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3A0" w14:textId="77777777" w:rsidR="002F24E0" w:rsidRPr="009B332B" w:rsidRDefault="002F24E0" w:rsidP="0065412C">
      <w:pPr>
        <w:rPr>
          <w:sz w:val="28"/>
        </w:rPr>
      </w:pPr>
      <w:r w:rsidRPr="009B332B">
        <w:rPr>
          <w:noProof/>
        </w:rPr>
        <w:drawing>
          <wp:inline distT="0" distB="0" distL="0" distR="0" wp14:anchorId="2D06EAB0" wp14:editId="7D661B41">
            <wp:extent cx="1503328" cy="1105200"/>
            <wp:effectExtent l="0" t="0" r="1905" b="0"/>
            <wp:docPr id="101" name="Picture 10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3934" w14:textId="77777777" w:rsidR="002F24E0" w:rsidRPr="009B332B" w:rsidRDefault="002F24E0" w:rsidP="0065412C">
      <w:pPr>
        <w:rPr>
          <w:sz w:val="19"/>
        </w:rPr>
      </w:pPr>
    </w:p>
    <w:p w14:paraId="4E61760D" w14:textId="77777777" w:rsidR="002F24E0" w:rsidRPr="009B332B" w:rsidRDefault="002F24E0" w:rsidP="0065412C">
      <w:pPr>
        <w:pStyle w:val="ShortT"/>
      </w:pPr>
      <w:r w:rsidRPr="009B332B">
        <w:t>Federal Circuit and Family Court of Australia (</w:t>
      </w:r>
      <w:r w:rsidR="0024237B">
        <w:t>Division 2</w:t>
      </w:r>
      <w:r w:rsidRPr="009B332B">
        <w:t xml:space="preserve">) (Family Law) </w:t>
      </w:r>
      <w:r w:rsidR="0024237B">
        <w:t>Rules 2</w:t>
      </w:r>
      <w:r w:rsidRPr="009B332B">
        <w:t>021</w:t>
      </w:r>
    </w:p>
    <w:p w14:paraId="0BFABBB9" w14:textId="77777777" w:rsidR="002F24E0" w:rsidRPr="009B332B" w:rsidRDefault="002F24E0" w:rsidP="002F24E0">
      <w:pPr>
        <w:pStyle w:val="SignCoverPageStart"/>
        <w:rPr>
          <w:szCs w:val="22"/>
        </w:rPr>
      </w:pPr>
      <w:r w:rsidRPr="009B332B">
        <w:rPr>
          <w:szCs w:val="22"/>
        </w:rPr>
        <w:t>I, The Honourable William Alstergren, Chief Judge of the Federal Circuit and Family Court of Australia (</w:t>
      </w:r>
      <w:r w:rsidR="0024237B">
        <w:rPr>
          <w:szCs w:val="22"/>
        </w:rPr>
        <w:t>Division 2</w:t>
      </w:r>
      <w:r w:rsidRPr="009B332B">
        <w:rPr>
          <w:szCs w:val="22"/>
        </w:rPr>
        <w:t>), make the following Rules of Court.</w:t>
      </w:r>
    </w:p>
    <w:p w14:paraId="2D006A5F" w14:textId="2509C8AD" w:rsidR="002F24E0" w:rsidRPr="009B332B" w:rsidRDefault="002F24E0" w:rsidP="002F24E0">
      <w:pPr>
        <w:keepNext/>
        <w:spacing w:before="300" w:line="240" w:lineRule="atLeast"/>
        <w:ind w:right="397"/>
        <w:jc w:val="both"/>
        <w:rPr>
          <w:szCs w:val="22"/>
        </w:rPr>
      </w:pPr>
      <w:r w:rsidRPr="009B332B">
        <w:rPr>
          <w:szCs w:val="22"/>
        </w:rPr>
        <w:t>Dated</w:t>
      </w:r>
      <w:r w:rsidR="00894B7E">
        <w:rPr>
          <w:szCs w:val="22"/>
        </w:rPr>
        <w:t xml:space="preserve"> </w:t>
      </w:r>
      <w:bookmarkStart w:id="0" w:name="_GoBack"/>
      <w:bookmarkEnd w:id="0"/>
      <w:r w:rsidRPr="009B332B">
        <w:rPr>
          <w:szCs w:val="22"/>
        </w:rPr>
        <w:fldChar w:fldCharType="begin"/>
      </w:r>
      <w:r w:rsidRPr="009B332B">
        <w:rPr>
          <w:szCs w:val="22"/>
        </w:rPr>
        <w:instrText xml:space="preserve"> DOCPROPERTY  DateMade </w:instrText>
      </w:r>
      <w:r w:rsidRPr="009B332B">
        <w:rPr>
          <w:szCs w:val="22"/>
        </w:rPr>
        <w:fldChar w:fldCharType="separate"/>
      </w:r>
      <w:r w:rsidR="00894B7E">
        <w:rPr>
          <w:szCs w:val="22"/>
        </w:rPr>
        <w:t>26 August 2021</w:t>
      </w:r>
      <w:r w:rsidRPr="009B332B">
        <w:rPr>
          <w:szCs w:val="22"/>
        </w:rPr>
        <w:fldChar w:fldCharType="end"/>
      </w:r>
    </w:p>
    <w:p w14:paraId="03FD80E7" w14:textId="77777777" w:rsidR="002F24E0" w:rsidRPr="009B332B" w:rsidRDefault="002F24E0" w:rsidP="002F24E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B332B">
        <w:rPr>
          <w:szCs w:val="22"/>
        </w:rPr>
        <w:t>The Honourable William Alstergren</w:t>
      </w:r>
    </w:p>
    <w:p w14:paraId="2F46CED9" w14:textId="77777777" w:rsidR="002F24E0" w:rsidRPr="009B332B" w:rsidRDefault="002F24E0" w:rsidP="002F24E0">
      <w:pPr>
        <w:pStyle w:val="SignCoverPageEnd"/>
        <w:rPr>
          <w:szCs w:val="22"/>
        </w:rPr>
      </w:pPr>
      <w:r w:rsidRPr="009B332B">
        <w:rPr>
          <w:szCs w:val="22"/>
        </w:rPr>
        <w:t>Chief Judge of the Federal Circuit and Family Court of Australia (</w:t>
      </w:r>
      <w:r w:rsidR="0024237B">
        <w:rPr>
          <w:szCs w:val="22"/>
        </w:rPr>
        <w:t>Division 2</w:t>
      </w:r>
      <w:r w:rsidRPr="009B332B">
        <w:rPr>
          <w:szCs w:val="22"/>
        </w:rPr>
        <w:t>)</w:t>
      </w:r>
    </w:p>
    <w:p w14:paraId="4A7A25C3" w14:textId="77777777" w:rsidR="002F24E0" w:rsidRPr="00823940" w:rsidRDefault="002F24E0" w:rsidP="0065412C">
      <w:pPr>
        <w:pStyle w:val="Header"/>
        <w:tabs>
          <w:tab w:val="clear" w:pos="4150"/>
          <w:tab w:val="clear" w:pos="8307"/>
        </w:tabs>
      </w:pPr>
      <w:r w:rsidRPr="00823940">
        <w:rPr>
          <w:rStyle w:val="CharChapNo"/>
        </w:rPr>
        <w:t xml:space="preserve"> </w:t>
      </w:r>
      <w:r w:rsidRPr="00823940">
        <w:rPr>
          <w:rStyle w:val="CharChapText"/>
        </w:rPr>
        <w:t xml:space="preserve"> </w:t>
      </w:r>
    </w:p>
    <w:p w14:paraId="4B0775E4" w14:textId="77777777" w:rsidR="002F24E0" w:rsidRPr="00823940" w:rsidRDefault="002F24E0" w:rsidP="0065412C">
      <w:pPr>
        <w:pStyle w:val="Header"/>
        <w:tabs>
          <w:tab w:val="clear" w:pos="4150"/>
          <w:tab w:val="clear" w:pos="8307"/>
        </w:tabs>
      </w:pPr>
      <w:r w:rsidRPr="00823940">
        <w:rPr>
          <w:rStyle w:val="CharPartNo"/>
        </w:rPr>
        <w:t xml:space="preserve"> </w:t>
      </w:r>
      <w:r w:rsidRPr="00823940">
        <w:rPr>
          <w:rStyle w:val="CharPartText"/>
        </w:rPr>
        <w:t xml:space="preserve"> </w:t>
      </w:r>
    </w:p>
    <w:p w14:paraId="784293AD" w14:textId="77777777" w:rsidR="002F24E0" w:rsidRPr="009B332B" w:rsidRDefault="002F24E0" w:rsidP="0065412C">
      <w:pPr>
        <w:sectPr w:rsidR="002F24E0" w:rsidRPr="009B332B" w:rsidSect="008A35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284A9C" w14:textId="77777777" w:rsidR="00F67BCA" w:rsidRPr="009B332B" w:rsidRDefault="00715914" w:rsidP="00715914">
      <w:pPr>
        <w:outlineLvl w:val="0"/>
        <w:rPr>
          <w:sz w:val="36"/>
        </w:rPr>
      </w:pPr>
      <w:r w:rsidRPr="009B332B">
        <w:rPr>
          <w:sz w:val="36"/>
        </w:rPr>
        <w:lastRenderedPageBreak/>
        <w:t>Contents</w:t>
      </w:r>
    </w:p>
    <w:p w14:paraId="7DC318C3" w14:textId="1B5A3605" w:rsidR="0024237B" w:rsidRDefault="002423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24237B">
        <w:rPr>
          <w:b w:val="0"/>
          <w:noProof/>
          <w:sz w:val="18"/>
        </w:rPr>
        <w:tab/>
      </w:r>
      <w:r w:rsidRPr="0024237B">
        <w:rPr>
          <w:b w:val="0"/>
          <w:noProof/>
          <w:sz w:val="18"/>
        </w:rPr>
        <w:fldChar w:fldCharType="begin"/>
      </w:r>
      <w:r w:rsidRPr="0024237B">
        <w:rPr>
          <w:b w:val="0"/>
          <w:noProof/>
          <w:sz w:val="18"/>
        </w:rPr>
        <w:instrText xml:space="preserve"> PAGEREF _Toc80871191 \h </w:instrText>
      </w:r>
      <w:r w:rsidRPr="0024237B">
        <w:rPr>
          <w:b w:val="0"/>
          <w:noProof/>
          <w:sz w:val="18"/>
        </w:rPr>
      </w:r>
      <w:r w:rsidRPr="0024237B">
        <w:rPr>
          <w:b w:val="0"/>
          <w:noProof/>
          <w:sz w:val="18"/>
        </w:rPr>
        <w:fldChar w:fldCharType="separate"/>
      </w:r>
      <w:r w:rsidR="00894B7E">
        <w:rPr>
          <w:b w:val="0"/>
          <w:noProof/>
          <w:sz w:val="18"/>
        </w:rPr>
        <w:t>1</w:t>
      </w:r>
      <w:r w:rsidRPr="0024237B">
        <w:rPr>
          <w:b w:val="0"/>
          <w:noProof/>
          <w:sz w:val="18"/>
        </w:rPr>
        <w:fldChar w:fldCharType="end"/>
      </w:r>
    </w:p>
    <w:p w14:paraId="4099E5BA" w14:textId="4D406A96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1.01</w:t>
      </w:r>
      <w:r>
        <w:rPr>
          <w:noProof/>
        </w:rPr>
        <w:tab/>
        <w:t>Name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_Toc80871192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1</w:t>
      </w:r>
      <w:r w:rsidRPr="0024237B">
        <w:rPr>
          <w:noProof/>
        </w:rPr>
        <w:fldChar w:fldCharType="end"/>
      </w:r>
    </w:p>
    <w:p w14:paraId="6B0EF832" w14:textId="04A6253D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1.02</w:t>
      </w:r>
      <w:r>
        <w:rPr>
          <w:noProof/>
        </w:rPr>
        <w:tab/>
        <w:t>Commencement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_Toc80871193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1</w:t>
      </w:r>
      <w:r w:rsidRPr="0024237B">
        <w:rPr>
          <w:noProof/>
        </w:rPr>
        <w:fldChar w:fldCharType="end"/>
      </w:r>
    </w:p>
    <w:p w14:paraId="38547805" w14:textId="1CAB10E7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1.03</w:t>
      </w:r>
      <w:r>
        <w:rPr>
          <w:noProof/>
        </w:rPr>
        <w:tab/>
        <w:t>Authority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_Toc80871194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1</w:t>
      </w:r>
      <w:r w:rsidRPr="0024237B">
        <w:rPr>
          <w:noProof/>
        </w:rPr>
        <w:fldChar w:fldCharType="end"/>
      </w:r>
    </w:p>
    <w:p w14:paraId="1B8D3A5A" w14:textId="429F4141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1.04</w:t>
      </w:r>
      <w:r>
        <w:rPr>
          <w:noProof/>
        </w:rPr>
        <w:tab/>
        <w:t>Court may make orders or dispense with these Rules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_Toc80871195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1</w:t>
      </w:r>
      <w:r w:rsidRPr="0024237B">
        <w:rPr>
          <w:noProof/>
        </w:rPr>
        <w:fldChar w:fldCharType="end"/>
      </w:r>
    </w:p>
    <w:p w14:paraId="14043CB4" w14:textId="2DEC5601" w:rsidR="0024237B" w:rsidRDefault="002423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2—Application of the Federal Circuit and Family Court of Australia (Family Law) Rules 2021</w:t>
      </w:r>
      <w:r w:rsidRPr="0024237B">
        <w:rPr>
          <w:b w:val="0"/>
          <w:noProof/>
          <w:sz w:val="18"/>
        </w:rPr>
        <w:tab/>
      </w:r>
      <w:r w:rsidRPr="0024237B">
        <w:rPr>
          <w:b w:val="0"/>
          <w:noProof/>
          <w:sz w:val="18"/>
        </w:rPr>
        <w:fldChar w:fldCharType="begin"/>
      </w:r>
      <w:r w:rsidRPr="0024237B">
        <w:rPr>
          <w:b w:val="0"/>
          <w:noProof/>
          <w:sz w:val="18"/>
        </w:rPr>
        <w:instrText xml:space="preserve"> PAGEREF _Toc80871196 \h </w:instrText>
      </w:r>
      <w:r w:rsidRPr="0024237B">
        <w:rPr>
          <w:b w:val="0"/>
          <w:noProof/>
          <w:sz w:val="18"/>
        </w:rPr>
      </w:r>
      <w:r w:rsidRPr="0024237B">
        <w:rPr>
          <w:b w:val="0"/>
          <w:noProof/>
          <w:sz w:val="18"/>
        </w:rPr>
        <w:fldChar w:fldCharType="separate"/>
      </w:r>
      <w:r w:rsidR="00894B7E">
        <w:rPr>
          <w:b w:val="0"/>
          <w:noProof/>
          <w:sz w:val="18"/>
        </w:rPr>
        <w:t>2</w:t>
      </w:r>
      <w:r w:rsidRPr="0024237B">
        <w:rPr>
          <w:b w:val="0"/>
          <w:noProof/>
          <w:sz w:val="18"/>
        </w:rPr>
        <w:fldChar w:fldCharType="end"/>
      </w:r>
    </w:p>
    <w:p w14:paraId="01998D1A" w14:textId="0DE444B5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2.01</w:t>
      </w:r>
      <w:r>
        <w:rPr>
          <w:noProof/>
        </w:rPr>
        <w:tab/>
        <w:t xml:space="preserve">Application of the </w:t>
      </w:r>
      <w:r w:rsidRPr="00DE5E60">
        <w:rPr>
          <w:i/>
          <w:noProof/>
        </w:rPr>
        <w:t>Federal Circuit and Family Court of Australia (Family Law) Rules 2021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_Toc80871197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2</w:t>
      </w:r>
      <w:r w:rsidRPr="0024237B">
        <w:rPr>
          <w:noProof/>
        </w:rPr>
        <w:fldChar w:fldCharType="end"/>
      </w:r>
    </w:p>
    <w:p w14:paraId="7AC6CB66" w14:textId="0E4C5D17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2.02</w:t>
      </w:r>
      <w:r>
        <w:rPr>
          <w:noProof/>
        </w:rPr>
        <w:tab/>
        <w:t xml:space="preserve">Modifications of the </w:t>
      </w:r>
      <w:r w:rsidRPr="00DE5E60">
        <w:rPr>
          <w:i/>
          <w:noProof/>
        </w:rPr>
        <w:t>Federal Circuit and Family Court of Australia (Family Law) Rules 2021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_Toc80871198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2</w:t>
      </w:r>
      <w:r w:rsidRPr="0024237B">
        <w:rPr>
          <w:noProof/>
        </w:rPr>
        <w:fldChar w:fldCharType="end"/>
      </w:r>
    </w:p>
    <w:p w14:paraId="377607A9" w14:textId="5262BBD8" w:rsidR="0024237B" w:rsidRDefault="002423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3—Transferring proceedings</w:t>
      </w:r>
      <w:r w:rsidRPr="0024237B">
        <w:rPr>
          <w:b w:val="0"/>
          <w:noProof/>
          <w:sz w:val="18"/>
        </w:rPr>
        <w:tab/>
      </w:r>
      <w:r w:rsidRPr="0024237B">
        <w:rPr>
          <w:b w:val="0"/>
          <w:noProof/>
          <w:sz w:val="18"/>
        </w:rPr>
        <w:fldChar w:fldCharType="begin"/>
      </w:r>
      <w:r w:rsidRPr="0024237B">
        <w:rPr>
          <w:b w:val="0"/>
          <w:noProof/>
          <w:sz w:val="18"/>
        </w:rPr>
        <w:instrText xml:space="preserve"> PAGEREF _Toc80871199 \h </w:instrText>
      </w:r>
      <w:r w:rsidRPr="0024237B">
        <w:rPr>
          <w:b w:val="0"/>
          <w:noProof/>
          <w:sz w:val="18"/>
        </w:rPr>
      </w:r>
      <w:r w:rsidRPr="0024237B">
        <w:rPr>
          <w:b w:val="0"/>
          <w:noProof/>
          <w:sz w:val="18"/>
        </w:rPr>
        <w:fldChar w:fldCharType="separate"/>
      </w:r>
      <w:r w:rsidR="00894B7E">
        <w:rPr>
          <w:b w:val="0"/>
          <w:noProof/>
          <w:sz w:val="18"/>
        </w:rPr>
        <w:t>5</w:t>
      </w:r>
      <w:r w:rsidRPr="0024237B">
        <w:rPr>
          <w:b w:val="0"/>
          <w:noProof/>
          <w:sz w:val="18"/>
        </w:rPr>
        <w:fldChar w:fldCharType="end"/>
      </w:r>
    </w:p>
    <w:p w14:paraId="4610AA4C" w14:textId="4B18FFF9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3.01</w:t>
      </w:r>
      <w:r>
        <w:rPr>
          <w:noProof/>
        </w:rPr>
        <w:tab/>
        <w:t>Transfer to Federal Circuit and Family Court (Division 1)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_Toc80871200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5</w:t>
      </w:r>
      <w:r w:rsidRPr="0024237B">
        <w:rPr>
          <w:noProof/>
        </w:rPr>
        <w:fldChar w:fldCharType="end"/>
      </w:r>
    </w:p>
    <w:p w14:paraId="0861FF87" w14:textId="19B8B690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3.02</w:t>
      </w:r>
      <w:r>
        <w:rPr>
          <w:noProof/>
        </w:rPr>
        <w:tab/>
        <w:t>Proceeding transferred to Federal Circuit and Family Court (Division 1)—transfer of documents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_Toc80871201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5</w:t>
      </w:r>
      <w:r w:rsidRPr="0024237B">
        <w:rPr>
          <w:noProof/>
        </w:rPr>
        <w:fldChar w:fldCharType="end"/>
      </w:r>
    </w:p>
    <w:p w14:paraId="32949052" w14:textId="66C4911B" w:rsidR="0024237B" w:rsidRDefault="002423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4—Costs</w:t>
      </w:r>
      <w:r w:rsidRPr="0024237B">
        <w:rPr>
          <w:b w:val="0"/>
          <w:noProof/>
          <w:sz w:val="18"/>
        </w:rPr>
        <w:tab/>
      </w:r>
      <w:r w:rsidRPr="0024237B">
        <w:rPr>
          <w:b w:val="0"/>
          <w:noProof/>
          <w:sz w:val="18"/>
        </w:rPr>
        <w:fldChar w:fldCharType="begin"/>
      </w:r>
      <w:r w:rsidRPr="0024237B">
        <w:rPr>
          <w:b w:val="0"/>
          <w:noProof/>
          <w:sz w:val="18"/>
        </w:rPr>
        <w:instrText xml:space="preserve"> PAGEREF _Toc80871202 \h </w:instrText>
      </w:r>
      <w:r w:rsidRPr="0024237B">
        <w:rPr>
          <w:b w:val="0"/>
          <w:noProof/>
          <w:sz w:val="18"/>
        </w:rPr>
      </w:r>
      <w:r w:rsidRPr="0024237B">
        <w:rPr>
          <w:b w:val="0"/>
          <w:noProof/>
          <w:sz w:val="18"/>
        </w:rPr>
        <w:fldChar w:fldCharType="separate"/>
      </w:r>
      <w:r w:rsidR="00894B7E">
        <w:rPr>
          <w:b w:val="0"/>
          <w:noProof/>
          <w:sz w:val="18"/>
        </w:rPr>
        <w:t>6</w:t>
      </w:r>
      <w:r w:rsidRPr="0024237B">
        <w:rPr>
          <w:b w:val="0"/>
          <w:noProof/>
          <w:sz w:val="18"/>
        </w:rPr>
        <w:fldChar w:fldCharType="end"/>
      </w:r>
    </w:p>
    <w:p w14:paraId="08716F10" w14:textId="73951A59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4.01</w:t>
      </w:r>
      <w:r>
        <w:rPr>
          <w:noProof/>
        </w:rPr>
        <w:tab/>
        <w:t>Costs in family law and child support matters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_Toc80871203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6</w:t>
      </w:r>
      <w:r w:rsidRPr="0024237B">
        <w:rPr>
          <w:noProof/>
        </w:rPr>
        <w:fldChar w:fldCharType="end"/>
      </w:r>
    </w:p>
    <w:p w14:paraId="02BE610E" w14:textId="17103DA4" w:rsidR="0024237B" w:rsidRDefault="002423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5—Delegation</w:t>
      </w:r>
      <w:r w:rsidRPr="0024237B">
        <w:rPr>
          <w:b w:val="0"/>
          <w:noProof/>
          <w:sz w:val="18"/>
        </w:rPr>
        <w:tab/>
      </w:r>
      <w:r w:rsidRPr="0024237B">
        <w:rPr>
          <w:b w:val="0"/>
          <w:noProof/>
          <w:sz w:val="18"/>
        </w:rPr>
        <w:fldChar w:fldCharType="begin"/>
      </w:r>
      <w:r w:rsidRPr="0024237B">
        <w:rPr>
          <w:b w:val="0"/>
          <w:noProof/>
          <w:sz w:val="18"/>
        </w:rPr>
        <w:instrText xml:space="preserve"> PAGEREF _Toc80871204 \h </w:instrText>
      </w:r>
      <w:r w:rsidRPr="0024237B">
        <w:rPr>
          <w:b w:val="0"/>
          <w:noProof/>
          <w:sz w:val="18"/>
        </w:rPr>
      </w:r>
      <w:r w:rsidRPr="0024237B">
        <w:rPr>
          <w:b w:val="0"/>
          <w:noProof/>
          <w:sz w:val="18"/>
        </w:rPr>
        <w:fldChar w:fldCharType="separate"/>
      </w:r>
      <w:r w:rsidR="00894B7E">
        <w:rPr>
          <w:b w:val="0"/>
          <w:noProof/>
          <w:sz w:val="18"/>
        </w:rPr>
        <w:t>7</w:t>
      </w:r>
      <w:r w:rsidRPr="0024237B">
        <w:rPr>
          <w:b w:val="0"/>
          <w:noProof/>
          <w:sz w:val="18"/>
        </w:rPr>
        <w:fldChar w:fldCharType="end"/>
      </w:r>
    </w:p>
    <w:p w14:paraId="5C9DF7F4" w14:textId="1B9EFE41" w:rsidR="0024237B" w:rsidRDefault="00242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5.01</w:t>
      </w:r>
      <w:r>
        <w:rPr>
          <w:noProof/>
        </w:rPr>
        <w:tab/>
        <w:t>Delegation of additional powers to Senior Judicial Registrars and Judicial Registrars</w:t>
      </w:r>
      <w:r w:rsidRPr="0024237B">
        <w:rPr>
          <w:noProof/>
        </w:rPr>
        <w:tab/>
      </w:r>
      <w:r w:rsidRPr="0024237B">
        <w:rPr>
          <w:noProof/>
        </w:rPr>
        <w:fldChar w:fldCharType="begin"/>
      </w:r>
      <w:r w:rsidRPr="0024237B">
        <w:rPr>
          <w:noProof/>
        </w:rPr>
        <w:instrText xml:space="preserve"> PAGEREF _Toc80871205 \h </w:instrText>
      </w:r>
      <w:r w:rsidRPr="0024237B">
        <w:rPr>
          <w:noProof/>
        </w:rPr>
      </w:r>
      <w:r w:rsidRPr="0024237B">
        <w:rPr>
          <w:noProof/>
        </w:rPr>
        <w:fldChar w:fldCharType="separate"/>
      </w:r>
      <w:r w:rsidR="00894B7E">
        <w:rPr>
          <w:noProof/>
        </w:rPr>
        <w:t>7</w:t>
      </w:r>
      <w:r w:rsidRPr="0024237B">
        <w:rPr>
          <w:noProof/>
        </w:rPr>
        <w:fldChar w:fldCharType="end"/>
      </w:r>
    </w:p>
    <w:p w14:paraId="333E2961" w14:textId="59B4E666" w:rsidR="0024237B" w:rsidRDefault="0024237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1—Scale of costs in family law and child support matters</w:t>
      </w:r>
      <w:r w:rsidRPr="0024237B">
        <w:rPr>
          <w:b w:val="0"/>
          <w:noProof/>
          <w:sz w:val="18"/>
        </w:rPr>
        <w:tab/>
      </w:r>
      <w:r w:rsidRPr="0024237B">
        <w:rPr>
          <w:b w:val="0"/>
          <w:noProof/>
          <w:sz w:val="18"/>
        </w:rPr>
        <w:fldChar w:fldCharType="begin"/>
      </w:r>
      <w:r w:rsidRPr="0024237B">
        <w:rPr>
          <w:b w:val="0"/>
          <w:noProof/>
          <w:sz w:val="18"/>
        </w:rPr>
        <w:instrText xml:space="preserve"> PAGEREF _Toc80871206 \h </w:instrText>
      </w:r>
      <w:r w:rsidRPr="0024237B">
        <w:rPr>
          <w:b w:val="0"/>
          <w:noProof/>
          <w:sz w:val="18"/>
        </w:rPr>
      </w:r>
      <w:r w:rsidRPr="0024237B">
        <w:rPr>
          <w:b w:val="0"/>
          <w:noProof/>
          <w:sz w:val="18"/>
        </w:rPr>
        <w:fldChar w:fldCharType="separate"/>
      </w:r>
      <w:r w:rsidR="00894B7E">
        <w:rPr>
          <w:b w:val="0"/>
          <w:noProof/>
          <w:sz w:val="18"/>
        </w:rPr>
        <w:t>8</w:t>
      </w:r>
      <w:r w:rsidRPr="0024237B">
        <w:rPr>
          <w:b w:val="0"/>
          <w:noProof/>
          <w:sz w:val="18"/>
        </w:rPr>
        <w:fldChar w:fldCharType="end"/>
      </w:r>
    </w:p>
    <w:p w14:paraId="72C641A1" w14:textId="38EDEB7E" w:rsidR="0024237B" w:rsidRDefault="0024237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2—Additional delegated powers</w:t>
      </w:r>
      <w:r w:rsidRPr="0024237B">
        <w:rPr>
          <w:b w:val="0"/>
          <w:noProof/>
          <w:sz w:val="18"/>
        </w:rPr>
        <w:tab/>
      </w:r>
      <w:r w:rsidRPr="0024237B">
        <w:rPr>
          <w:b w:val="0"/>
          <w:noProof/>
          <w:sz w:val="18"/>
        </w:rPr>
        <w:fldChar w:fldCharType="begin"/>
      </w:r>
      <w:r w:rsidRPr="0024237B">
        <w:rPr>
          <w:b w:val="0"/>
          <w:noProof/>
          <w:sz w:val="18"/>
        </w:rPr>
        <w:instrText xml:space="preserve"> PAGEREF _Toc80871207 \h </w:instrText>
      </w:r>
      <w:r w:rsidRPr="0024237B">
        <w:rPr>
          <w:b w:val="0"/>
          <w:noProof/>
          <w:sz w:val="18"/>
        </w:rPr>
      </w:r>
      <w:r w:rsidRPr="0024237B">
        <w:rPr>
          <w:b w:val="0"/>
          <w:noProof/>
          <w:sz w:val="18"/>
        </w:rPr>
        <w:fldChar w:fldCharType="separate"/>
      </w:r>
      <w:r w:rsidR="00894B7E">
        <w:rPr>
          <w:b w:val="0"/>
          <w:noProof/>
          <w:sz w:val="18"/>
        </w:rPr>
        <w:t>10</w:t>
      </w:r>
      <w:r w:rsidRPr="0024237B">
        <w:rPr>
          <w:b w:val="0"/>
          <w:noProof/>
          <w:sz w:val="18"/>
        </w:rPr>
        <w:fldChar w:fldCharType="end"/>
      </w:r>
    </w:p>
    <w:p w14:paraId="3AD0C40F" w14:textId="77777777" w:rsidR="00670EA1" w:rsidRPr="009B332B" w:rsidRDefault="0024237B" w:rsidP="00715914">
      <w:r>
        <w:fldChar w:fldCharType="end"/>
      </w:r>
    </w:p>
    <w:p w14:paraId="75FE55FA" w14:textId="77777777" w:rsidR="00670EA1" w:rsidRPr="009B332B" w:rsidRDefault="00670EA1" w:rsidP="00715914">
      <w:pPr>
        <w:sectPr w:rsidR="00670EA1" w:rsidRPr="009B332B" w:rsidSect="008A35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35528E" w14:textId="77777777" w:rsidR="00715914" w:rsidRPr="009B332B" w:rsidRDefault="00A5753C" w:rsidP="00715914">
      <w:pPr>
        <w:pStyle w:val="ActHead2"/>
      </w:pPr>
      <w:bookmarkStart w:id="1" w:name="_Toc80871191"/>
      <w:r w:rsidRPr="00823940">
        <w:rPr>
          <w:rStyle w:val="CharPartNo"/>
        </w:rPr>
        <w:lastRenderedPageBreak/>
        <w:t>Part 1</w:t>
      </w:r>
      <w:r w:rsidR="00715914" w:rsidRPr="009B332B">
        <w:t>—</w:t>
      </w:r>
      <w:r w:rsidR="00715914" w:rsidRPr="00823940">
        <w:rPr>
          <w:rStyle w:val="CharPartText"/>
        </w:rPr>
        <w:t>Preliminary</w:t>
      </w:r>
      <w:bookmarkEnd w:id="1"/>
    </w:p>
    <w:p w14:paraId="4DACD971" w14:textId="77777777" w:rsidR="00715914" w:rsidRPr="00823940" w:rsidRDefault="00715914" w:rsidP="00715914">
      <w:pPr>
        <w:pStyle w:val="Header"/>
      </w:pPr>
      <w:r w:rsidRPr="00823940">
        <w:rPr>
          <w:rStyle w:val="CharDivNo"/>
        </w:rPr>
        <w:t xml:space="preserve"> </w:t>
      </w:r>
      <w:r w:rsidRPr="00823940">
        <w:rPr>
          <w:rStyle w:val="CharDivText"/>
        </w:rPr>
        <w:t xml:space="preserve"> </w:t>
      </w:r>
    </w:p>
    <w:p w14:paraId="7B1EA54E" w14:textId="77777777" w:rsidR="00715914" w:rsidRPr="009B332B" w:rsidRDefault="0065412C" w:rsidP="00715914">
      <w:pPr>
        <w:pStyle w:val="ActHead5"/>
      </w:pPr>
      <w:bookmarkStart w:id="2" w:name="_Toc80871192"/>
      <w:r w:rsidRPr="00823940">
        <w:rPr>
          <w:rStyle w:val="CharSectno"/>
        </w:rPr>
        <w:t>1.01</w:t>
      </w:r>
      <w:r w:rsidR="00715914" w:rsidRPr="009B332B">
        <w:t xml:space="preserve">  </w:t>
      </w:r>
      <w:r w:rsidR="00CE493D" w:rsidRPr="009B332B">
        <w:t>Name</w:t>
      </w:r>
      <w:bookmarkEnd w:id="2"/>
    </w:p>
    <w:p w14:paraId="61B898B2" w14:textId="77777777" w:rsidR="00715914" w:rsidRPr="009B332B" w:rsidRDefault="00715914" w:rsidP="00715914">
      <w:pPr>
        <w:pStyle w:val="subsection"/>
      </w:pPr>
      <w:r w:rsidRPr="009B332B">
        <w:tab/>
      </w:r>
      <w:r w:rsidRPr="009B332B">
        <w:tab/>
      </w:r>
      <w:r w:rsidR="002F24E0" w:rsidRPr="009B332B">
        <w:t>These Rules are</w:t>
      </w:r>
      <w:r w:rsidR="00CE493D" w:rsidRPr="009B332B">
        <w:t xml:space="preserve"> the </w:t>
      </w:r>
      <w:r w:rsidR="0024237B">
        <w:rPr>
          <w:i/>
          <w:noProof/>
        </w:rPr>
        <w:t>Federal Circuit and Family Court of Australia (Division 2) (Family Law) Rules 2021</w:t>
      </w:r>
      <w:r w:rsidRPr="009B332B">
        <w:t>.</w:t>
      </w:r>
    </w:p>
    <w:p w14:paraId="01C6CC25" w14:textId="77777777" w:rsidR="00715914" w:rsidRPr="009B332B" w:rsidRDefault="0065412C" w:rsidP="00715914">
      <w:pPr>
        <w:pStyle w:val="ActHead5"/>
      </w:pPr>
      <w:bookmarkStart w:id="3" w:name="_Toc80871193"/>
      <w:r w:rsidRPr="00823940">
        <w:rPr>
          <w:rStyle w:val="CharSectno"/>
        </w:rPr>
        <w:t>1.02</w:t>
      </w:r>
      <w:r w:rsidR="00715914" w:rsidRPr="009B332B">
        <w:t xml:space="preserve">  Commencement</w:t>
      </w:r>
      <w:bookmarkEnd w:id="3"/>
    </w:p>
    <w:p w14:paraId="429254FF" w14:textId="77777777" w:rsidR="00AE3652" w:rsidRPr="009B332B" w:rsidRDefault="00807626" w:rsidP="00AE3652">
      <w:pPr>
        <w:pStyle w:val="subsection"/>
      </w:pPr>
      <w:r w:rsidRPr="009B332B">
        <w:tab/>
      </w:r>
      <w:r w:rsidR="00AE3652" w:rsidRPr="009B332B">
        <w:t>(1)</w:t>
      </w:r>
      <w:r w:rsidR="00AE3652" w:rsidRPr="009B332B">
        <w:tab/>
        <w:t xml:space="preserve">Each provision of </w:t>
      </w:r>
      <w:r w:rsidR="002F24E0" w:rsidRPr="009B332B">
        <w:t>these Rules</w:t>
      </w:r>
      <w:r w:rsidR="00AE3652" w:rsidRPr="009B332B">
        <w:t xml:space="preserve"> specified in column 1 of the table commences, or is taken to have commenced, in accordance with column 2 of the table. Any other statement in column 2 has effect according to its terms.</w:t>
      </w:r>
    </w:p>
    <w:p w14:paraId="02D3A544" w14:textId="77777777" w:rsidR="00AE3652" w:rsidRPr="009B332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B332B" w14:paraId="6CA75278" w14:textId="77777777" w:rsidTr="0065412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77D808" w14:textId="77777777" w:rsidR="00AE3652" w:rsidRPr="009B332B" w:rsidRDefault="00AE3652" w:rsidP="0065412C">
            <w:pPr>
              <w:pStyle w:val="TableHeading"/>
            </w:pPr>
            <w:r w:rsidRPr="009B332B">
              <w:t>Commencement information</w:t>
            </w:r>
          </w:p>
        </w:tc>
      </w:tr>
      <w:tr w:rsidR="00AE3652" w:rsidRPr="009B332B" w14:paraId="12991756" w14:textId="77777777" w:rsidTr="0065412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13B2D4" w14:textId="77777777" w:rsidR="00AE3652" w:rsidRPr="009B332B" w:rsidRDefault="00AE3652" w:rsidP="0065412C">
            <w:pPr>
              <w:pStyle w:val="TableHeading"/>
            </w:pPr>
            <w:r w:rsidRPr="009B332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C059A4" w14:textId="77777777" w:rsidR="00AE3652" w:rsidRPr="009B332B" w:rsidRDefault="00AE3652" w:rsidP="0065412C">
            <w:pPr>
              <w:pStyle w:val="TableHeading"/>
            </w:pPr>
            <w:r w:rsidRPr="009B332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3BAE43" w14:textId="77777777" w:rsidR="00AE3652" w:rsidRPr="009B332B" w:rsidRDefault="00AE3652" w:rsidP="0065412C">
            <w:pPr>
              <w:pStyle w:val="TableHeading"/>
            </w:pPr>
            <w:r w:rsidRPr="009B332B">
              <w:t>Column 3</w:t>
            </w:r>
          </w:p>
        </w:tc>
      </w:tr>
      <w:tr w:rsidR="00AE3652" w:rsidRPr="009B332B" w14:paraId="19BB383C" w14:textId="77777777" w:rsidTr="0065412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20ED4D" w14:textId="77777777" w:rsidR="00AE3652" w:rsidRPr="009B332B" w:rsidRDefault="00AE3652" w:rsidP="0065412C">
            <w:pPr>
              <w:pStyle w:val="TableHeading"/>
            </w:pPr>
            <w:r w:rsidRPr="009B332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3C5926" w14:textId="77777777" w:rsidR="00AE3652" w:rsidRPr="009B332B" w:rsidRDefault="00AE3652" w:rsidP="0065412C">
            <w:pPr>
              <w:pStyle w:val="TableHeading"/>
            </w:pPr>
            <w:r w:rsidRPr="009B332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34C6CC" w14:textId="77777777" w:rsidR="00AE3652" w:rsidRPr="009B332B" w:rsidRDefault="00AE3652" w:rsidP="0065412C">
            <w:pPr>
              <w:pStyle w:val="TableHeading"/>
            </w:pPr>
            <w:r w:rsidRPr="009B332B">
              <w:t>Date/Details</w:t>
            </w:r>
          </w:p>
        </w:tc>
      </w:tr>
      <w:tr w:rsidR="00AE3652" w:rsidRPr="009B332B" w14:paraId="5C9EEF09" w14:textId="77777777" w:rsidTr="0065412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690B25" w14:textId="77777777" w:rsidR="00AE3652" w:rsidRPr="009B332B" w:rsidRDefault="00AE3652" w:rsidP="0065412C">
            <w:pPr>
              <w:pStyle w:val="Tabletext"/>
            </w:pPr>
            <w:r w:rsidRPr="009B332B">
              <w:t xml:space="preserve">1.  The whole of </w:t>
            </w:r>
            <w:r w:rsidR="002F24E0" w:rsidRPr="009B332B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DD70DE" w14:textId="77777777" w:rsidR="00AE3652" w:rsidRPr="009B332B" w:rsidRDefault="00A5753C" w:rsidP="0065412C">
            <w:pPr>
              <w:pStyle w:val="Tabletext"/>
            </w:pPr>
            <w:r w:rsidRPr="009B332B">
              <w:t>1 September</w:t>
            </w:r>
            <w:r w:rsidR="0065412C" w:rsidRPr="009B332B">
              <w:t xml:space="preserve"> 2021</w:t>
            </w:r>
            <w:r w:rsidR="00AE3652" w:rsidRPr="009B332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FDA19" w14:textId="77777777" w:rsidR="00AE3652" w:rsidRPr="009B332B" w:rsidRDefault="00A5753C" w:rsidP="0065412C">
            <w:pPr>
              <w:pStyle w:val="Tabletext"/>
            </w:pPr>
            <w:r w:rsidRPr="009B332B">
              <w:t>1 September</w:t>
            </w:r>
            <w:r w:rsidR="0065412C" w:rsidRPr="009B332B">
              <w:t xml:space="preserve"> 2021</w:t>
            </w:r>
          </w:p>
        </w:tc>
      </w:tr>
    </w:tbl>
    <w:p w14:paraId="58451325" w14:textId="77777777" w:rsidR="00AE3652" w:rsidRPr="009B332B" w:rsidRDefault="00AE3652" w:rsidP="00AE3652">
      <w:pPr>
        <w:pStyle w:val="notetext"/>
      </w:pPr>
      <w:r w:rsidRPr="009B332B">
        <w:rPr>
          <w:snapToGrid w:val="0"/>
          <w:lang w:eastAsia="en-US"/>
        </w:rPr>
        <w:t>Note:</w:t>
      </w:r>
      <w:r w:rsidRPr="009B332B">
        <w:rPr>
          <w:snapToGrid w:val="0"/>
          <w:lang w:eastAsia="en-US"/>
        </w:rPr>
        <w:tab/>
        <w:t xml:space="preserve">This table relates only to the provisions of </w:t>
      </w:r>
      <w:r w:rsidR="002F24E0" w:rsidRPr="009B332B">
        <w:rPr>
          <w:snapToGrid w:val="0"/>
          <w:lang w:eastAsia="en-US"/>
        </w:rPr>
        <w:t>these Rules</w:t>
      </w:r>
      <w:r w:rsidRPr="009B332B">
        <w:t xml:space="preserve"> </w:t>
      </w:r>
      <w:r w:rsidRPr="009B332B">
        <w:rPr>
          <w:snapToGrid w:val="0"/>
          <w:lang w:eastAsia="en-US"/>
        </w:rPr>
        <w:t xml:space="preserve">as originally made. It will not be amended to deal with any later amendments of </w:t>
      </w:r>
      <w:r w:rsidR="002F24E0" w:rsidRPr="009B332B">
        <w:rPr>
          <w:snapToGrid w:val="0"/>
          <w:lang w:eastAsia="en-US"/>
        </w:rPr>
        <w:t>these Rules</w:t>
      </w:r>
      <w:r w:rsidRPr="009B332B">
        <w:rPr>
          <w:snapToGrid w:val="0"/>
          <w:lang w:eastAsia="en-US"/>
        </w:rPr>
        <w:t>.</w:t>
      </w:r>
    </w:p>
    <w:p w14:paraId="6CFC5B57" w14:textId="77777777" w:rsidR="00807626" w:rsidRPr="009B332B" w:rsidRDefault="00AE3652" w:rsidP="00AE3652">
      <w:pPr>
        <w:pStyle w:val="subsection"/>
      </w:pPr>
      <w:r w:rsidRPr="009B332B">
        <w:tab/>
        <w:t>(2)</w:t>
      </w:r>
      <w:r w:rsidRPr="009B332B">
        <w:tab/>
        <w:t xml:space="preserve">Any information in column 3 of the table is not part of </w:t>
      </w:r>
      <w:r w:rsidR="002F24E0" w:rsidRPr="009B332B">
        <w:t>these Rules</w:t>
      </w:r>
      <w:r w:rsidRPr="009B332B">
        <w:t xml:space="preserve">. Information may be inserted in this column, or information in it may be edited, in any published version of </w:t>
      </w:r>
      <w:r w:rsidR="002F24E0" w:rsidRPr="009B332B">
        <w:t>these Rules</w:t>
      </w:r>
      <w:r w:rsidRPr="009B332B">
        <w:t>.</w:t>
      </w:r>
    </w:p>
    <w:p w14:paraId="2848FDD6" w14:textId="77777777" w:rsidR="0065412C" w:rsidRPr="009B332B" w:rsidRDefault="0065412C" w:rsidP="0065412C">
      <w:pPr>
        <w:pStyle w:val="notetext"/>
      </w:pPr>
      <w:r w:rsidRPr="009B332B">
        <w:t>Note:</w:t>
      </w:r>
      <w:r w:rsidRPr="009B332B">
        <w:tab/>
        <w:t xml:space="preserve">The </w:t>
      </w:r>
      <w:r w:rsidRPr="009B332B">
        <w:rPr>
          <w:i/>
          <w:iCs/>
        </w:rPr>
        <w:t xml:space="preserve">Federal Circuit Court </w:t>
      </w:r>
      <w:r w:rsidR="0024237B">
        <w:rPr>
          <w:i/>
          <w:iCs/>
        </w:rPr>
        <w:t>Rules 2</w:t>
      </w:r>
      <w:r w:rsidRPr="009B332B">
        <w:rPr>
          <w:i/>
          <w:iCs/>
        </w:rPr>
        <w:t>001</w:t>
      </w:r>
      <w:r w:rsidRPr="009B332B">
        <w:t xml:space="preserve">, as in force under the </w:t>
      </w:r>
      <w:r w:rsidRPr="009B332B">
        <w:rPr>
          <w:i/>
          <w:iCs/>
        </w:rPr>
        <w:t>Federal Circuit Court of Australia Act 1999</w:t>
      </w:r>
      <w:r w:rsidRPr="009B332B">
        <w:t xml:space="preserve"> immediately before </w:t>
      </w:r>
      <w:r w:rsidR="00A5753C" w:rsidRPr="009B332B">
        <w:t>1 September</w:t>
      </w:r>
      <w:r w:rsidRPr="009B332B">
        <w:t xml:space="preserve"> 2021, are repealed as a consequence of the repeal of the </w:t>
      </w:r>
      <w:r w:rsidRPr="009B332B">
        <w:rPr>
          <w:i/>
        </w:rPr>
        <w:t>Federal Circuit Court of Australia Act 1999</w:t>
      </w:r>
      <w:r w:rsidRPr="009B332B">
        <w:t xml:space="preserve"> by </w:t>
      </w:r>
      <w:r w:rsidR="00C95A5E" w:rsidRPr="009B332B">
        <w:t>Schedule 3</w:t>
      </w:r>
      <w:r w:rsidRPr="009B332B">
        <w:t xml:space="preserve"> to the </w:t>
      </w:r>
      <w:r w:rsidRPr="009B332B">
        <w:rPr>
          <w:i/>
        </w:rPr>
        <w:t>Federal Circuit and Family Court of Australia (Consequential Amendments and Transitional Provisions) Act 2021</w:t>
      </w:r>
      <w:r w:rsidRPr="009B332B">
        <w:t>.</w:t>
      </w:r>
    </w:p>
    <w:p w14:paraId="133EBD82" w14:textId="77777777" w:rsidR="007500C8" w:rsidRPr="009B332B" w:rsidRDefault="0065412C" w:rsidP="007500C8">
      <w:pPr>
        <w:pStyle w:val="ActHead5"/>
      </w:pPr>
      <w:bookmarkStart w:id="4" w:name="_Toc80871194"/>
      <w:r w:rsidRPr="00823940">
        <w:rPr>
          <w:rStyle w:val="CharSectno"/>
        </w:rPr>
        <w:t>1.03</w:t>
      </w:r>
      <w:r w:rsidR="007500C8" w:rsidRPr="009B332B">
        <w:t xml:space="preserve">  Authority</w:t>
      </w:r>
      <w:bookmarkEnd w:id="4"/>
    </w:p>
    <w:p w14:paraId="68F8D1A2" w14:textId="77777777" w:rsidR="00157B8B" w:rsidRPr="009B332B" w:rsidRDefault="007500C8" w:rsidP="007E667A">
      <w:pPr>
        <w:pStyle w:val="subsection"/>
      </w:pPr>
      <w:r w:rsidRPr="009B332B">
        <w:tab/>
      </w:r>
      <w:r w:rsidRPr="009B332B">
        <w:tab/>
      </w:r>
      <w:r w:rsidR="002F24E0" w:rsidRPr="009B332B">
        <w:t>These Rules are</w:t>
      </w:r>
      <w:r w:rsidRPr="009B332B">
        <w:t xml:space="preserve"> made under </w:t>
      </w:r>
      <w:r w:rsidR="0065412C" w:rsidRPr="009B332B">
        <w:t xml:space="preserve">Chapter 4 of the </w:t>
      </w:r>
      <w:r w:rsidR="0065412C" w:rsidRPr="009B332B">
        <w:rPr>
          <w:i/>
        </w:rPr>
        <w:t>Federal Circuit and Family Court of Australia Act 2021</w:t>
      </w:r>
      <w:r w:rsidR="0065412C" w:rsidRPr="009B332B">
        <w:t>.</w:t>
      </w:r>
    </w:p>
    <w:p w14:paraId="2C8F108A" w14:textId="77777777" w:rsidR="00D41CBF" w:rsidRPr="009B332B" w:rsidRDefault="00D41CBF" w:rsidP="00D41CBF">
      <w:pPr>
        <w:pStyle w:val="ActHead5"/>
      </w:pPr>
      <w:bookmarkStart w:id="5" w:name="_Toc80871195"/>
      <w:r w:rsidRPr="00823940">
        <w:rPr>
          <w:rStyle w:val="CharSectno"/>
        </w:rPr>
        <w:t>1.04</w:t>
      </w:r>
      <w:r w:rsidRPr="009B332B">
        <w:t xml:space="preserve">  Court may make orders or dispense with these Rules</w:t>
      </w:r>
      <w:bookmarkEnd w:id="5"/>
    </w:p>
    <w:p w14:paraId="077A4C10" w14:textId="77777777" w:rsidR="00D41CBF" w:rsidRPr="009B332B" w:rsidRDefault="00D41CBF" w:rsidP="00D41CBF">
      <w:pPr>
        <w:pStyle w:val="subsection"/>
      </w:pPr>
      <w:r w:rsidRPr="009B332B">
        <w:tab/>
        <w:t>(1)</w:t>
      </w:r>
      <w:r w:rsidRPr="009B332B">
        <w:tab/>
        <w:t>The court may, in the interests of justice, dispense with compliance, or full compliance, with any of these Rules at any time.</w:t>
      </w:r>
    </w:p>
    <w:p w14:paraId="79C4B1B0" w14:textId="77777777" w:rsidR="00D41CBF" w:rsidRPr="009B332B" w:rsidRDefault="00D41CBF" w:rsidP="00D41CBF">
      <w:pPr>
        <w:pStyle w:val="subsection"/>
      </w:pPr>
      <w:r w:rsidRPr="009B332B">
        <w:tab/>
        <w:t>(2)</w:t>
      </w:r>
      <w:r w:rsidRPr="009B332B">
        <w:tab/>
        <w:t>If, in a proceeding, the court gives a direction or makes an order that is inconsistent with any of these Rules, the direction or order of the court prevails in that proceeding.</w:t>
      </w:r>
    </w:p>
    <w:p w14:paraId="09E1AFC4" w14:textId="77777777" w:rsidR="0065412C" w:rsidRPr="009B332B" w:rsidRDefault="00A5753C" w:rsidP="0065412C">
      <w:pPr>
        <w:pStyle w:val="ActHead2"/>
        <w:pageBreakBefore/>
      </w:pPr>
      <w:bookmarkStart w:id="6" w:name="_Toc80871196"/>
      <w:r w:rsidRPr="00823940">
        <w:rPr>
          <w:rStyle w:val="CharPartNo"/>
        </w:rPr>
        <w:lastRenderedPageBreak/>
        <w:t>Part 2</w:t>
      </w:r>
      <w:r w:rsidR="0065412C" w:rsidRPr="009B332B">
        <w:t>—</w:t>
      </w:r>
      <w:r w:rsidR="0065412C" w:rsidRPr="00823940">
        <w:rPr>
          <w:rStyle w:val="CharPartText"/>
        </w:rPr>
        <w:t xml:space="preserve">Application of </w:t>
      </w:r>
      <w:r w:rsidR="00C515CF" w:rsidRPr="00823940">
        <w:rPr>
          <w:rStyle w:val="CharPartText"/>
        </w:rPr>
        <w:t xml:space="preserve">the </w:t>
      </w:r>
      <w:r w:rsidR="0065412C" w:rsidRPr="00823940">
        <w:rPr>
          <w:rStyle w:val="CharPartText"/>
        </w:rPr>
        <w:t xml:space="preserve">Federal Circuit and Family Court of Australia (Family Law) </w:t>
      </w:r>
      <w:r w:rsidR="0024237B" w:rsidRPr="00823940">
        <w:rPr>
          <w:rStyle w:val="CharPartText"/>
        </w:rPr>
        <w:t>Rules 2</w:t>
      </w:r>
      <w:r w:rsidR="0065412C" w:rsidRPr="00823940">
        <w:rPr>
          <w:rStyle w:val="CharPartText"/>
        </w:rPr>
        <w:t>021</w:t>
      </w:r>
      <w:bookmarkEnd w:id="6"/>
    </w:p>
    <w:p w14:paraId="3220AB60" w14:textId="77777777" w:rsidR="0065412C" w:rsidRPr="00823940" w:rsidRDefault="0065412C" w:rsidP="0065412C">
      <w:pPr>
        <w:pStyle w:val="Header"/>
      </w:pPr>
      <w:r w:rsidRPr="00823940">
        <w:rPr>
          <w:rStyle w:val="CharDivNo"/>
        </w:rPr>
        <w:t xml:space="preserve"> </w:t>
      </w:r>
      <w:r w:rsidRPr="00823940">
        <w:rPr>
          <w:rStyle w:val="CharDivText"/>
        </w:rPr>
        <w:t xml:space="preserve"> </w:t>
      </w:r>
    </w:p>
    <w:p w14:paraId="2A5B4C0E" w14:textId="77777777" w:rsidR="0065412C" w:rsidRPr="009B332B" w:rsidRDefault="0058746A" w:rsidP="0065412C">
      <w:pPr>
        <w:pStyle w:val="ActHead5"/>
        <w:rPr>
          <w:i/>
        </w:rPr>
      </w:pPr>
      <w:bookmarkStart w:id="7" w:name="_Toc80871197"/>
      <w:r w:rsidRPr="00823940">
        <w:rPr>
          <w:rStyle w:val="CharSectno"/>
        </w:rPr>
        <w:t>2.01</w:t>
      </w:r>
      <w:r w:rsidR="0065412C" w:rsidRPr="009B332B">
        <w:t xml:space="preserve">  Application of</w:t>
      </w:r>
      <w:r w:rsidR="00C515CF" w:rsidRPr="009B332B">
        <w:t xml:space="preserve"> the</w:t>
      </w:r>
      <w:r w:rsidR="0065412C" w:rsidRPr="009B332B">
        <w:t xml:space="preserve"> </w:t>
      </w:r>
      <w:r w:rsidR="0065412C"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="0065412C" w:rsidRPr="009B332B">
        <w:rPr>
          <w:i/>
        </w:rPr>
        <w:t>021</w:t>
      </w:r>
      <w:bookmarkEnd w:id="7"/>
    </w:p>
    <w:p w14:paraId="0B81882F" w14:textId="77777777" w:rsidR="0065412C" w:rsidRPr="009B332B" w:rsidRDefault="0065412C" w:rsidP="0065412C">
      <w:pPr>
        <w:pStyle w:val="subsection"/>
      </w:pPr>
      <w:r w:rsidRPr="009B332B">
        <w:tab/>
      </w:r>
      <w:r w:rsidRPr="009B332B">
        <w:tab/>
        <w:t xml:space="preserve">The </w:t>
      </w:r>
      <w:r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Pr="009B332B">
        <w:rPr>
          <w:i/>
        </w:rPr>
        <w:t>021</w:t>
      </w:r>
      <w:r w:rsidR="00755983" w:rsidRPr="009B332B">
        <w:t xml:space="preserve"> (other than </w:t>
      </w:r>
      <w:r w:rsidR="00A4197E" w:rsidRPr="009B332B">
        <w:t>rules 1</w:t>
      </w:r>
      <w:r w:rsidR="00755983" w:rsidRPr="009B332B">
        <w:t>.01 to 1.03)</w:t>
      </w:r>
      <w:r w:rsidR="00C81AF9" w:rsidRPr="009B332B">
        <w:t xml:space="preserve">, as modified in accordance with </w:t>
      </w:r>
      <w:r w:rsidR="00477D36" w:rsidRPr="009B332B">
        <w:t>these Rules</w:t>
      </w:r>
      <w:r w:rsidR="00C81AF9" w:rsidRPr="009B332B">
        <w:t>,</w:t>
      </w:r>
      <w:r w:rsidRPr="009B332B">
        <w:t xml:space="preserve"> apply to the exercise of the Court’s jurisdiction in family law </w:t>
      </w:r>
      <w:r w:rsidR="00C81AF9" w:rsidRPr="009B332B">
        <w:t xml:space="preserve">or child support proceedings as if the </w:t>
      </w:r>
      <w:r w:rsidR="00C515CF"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="00C515CF" w:rsidRPr="009B332B">
        <w:rPr>
          <w:i/>
        </w:rPr>
        <w:t>021</w:t>
      </w:r>
      <w:r w:rsidR="00C515CF" w:rsidRPr="009B332B">
        <w:t xml:space="preserve"> </w:t>
      </w:r>
      <w:r w:rsidR="00C81AF9" w:rsidRPr="009B332B">
        <w:t>were provisions of these Rules.</w:t>
      </w:r>
    </w:p>
    <w:p w14:paraId="0352376A" w14:textId="77777777" w:rsidR="00C81AF9" w:rsidRPr="009B332B" w:rsidRDefault="0058746A" w:rsidP="00C81AF9">
      <w:pPr>
        <w:pStyle w:val="ActHead5"/>
      </w:pPr>
      <w:bookmarkStart w:id="8" w:name="_Toc80871198"/>
      <w:r w:rsidRPr="00823940">
        <w:rPr>
          <w:rStyle w:val="CharSectno"/>
        </w:rPr>
        <w:t>2.02</w:t>
      </w:r>
      <w:r w:rsidR="00C81AF9" w:rsidRPr="009B332B">
        <w:t xml:space="preserve">  Modification</w:t>
      </w:r>
      <w:r w:rsidR="007246BD" w:rsidRPr="009B332B">
        <w:t>s</w:t>
      </w:r>
      <w:r w:rsidR="00C81AF9" w:rsidRPr="009B332B">
        <w:t xml:space="preserve"> of the </w:t>
      </w:r>
      <w:r w:rsidR="00C81AF9"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="00C81AF9" w:rsidRPr="009B332B">
        <w:rPr>
          <w:i/>
        </w:rPr>
        <w:t>021</w:t>
      </w:r>
      <w:bookmarkEnd w:id="8"/>
    </w:p>
    <w:p w14:paraId="042483CD" w14:textId="77777777" w:rsidR="00C81AF9" w:rsidRPr="009B332B" w:rsidRDefault="00C81AF9" w:rsidP="00C81AF9">
      <w:pPr>
        <w:pStyle w:val="subsection"/>
      </w:pPr>
      <w:r w:rsidRPr="009B332B">
        <w:tab/>
      </w:r>
      <w:r w:rsidRPr="009B332B">
        <w:tab/>
        <w:t xml:space="preserve">For the purposes of </w:t>
      </w:r>
      <w:r w:rsidR="00D70758" w:rsidRPr="009B332B">
        <w:t>rule 2</w:t>
      </w:r>
      <w:r w:rsidRPr="009B332B">
        <w:t>.0</w:t>
      </w:r>
      <w:r w:rsidR="0058746A" w:rsidRPr="009B332B">
        <w:t>1</w:t>
      </w:r>
      <w:r w:rsidRPr="009B332B">
        <w:t xml:space="preserve"> of these Rules, the </w:t>
      </w:r>
      <w:r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Pr="009B332B">
        <w:rPr>
          <w:i/>
        </w:rPr>
        <w:t>021</w:t>
      </w:r>
      <w:r w:rsidRPr="009B332B">
        <w:t xml:space="preserve"> apply as if the modifications in the following table were made.</w:t>
      </w:r>
    </w:p>
    <w:p w14:paraId="07E0FBFC" w14:textId="77777777" w:rsidR="00C81AF9" w:rsidRPr="009B332B" w:rsidRDefault="00C81AF9" w:rsidP="00C81AF9">
      <w:pPr>
        <w:pStyle w:val="Tabletext"/>
      </w:pPr>
    </w:p>
    <w:tbl>
      <w:tblPr>
        <w:tblW w:w="4883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2171"/>
        <w:gridCol w:w="3025"/>
        <w:gridCol w:w="2402"/>
      </w:tblGrid>
      <w:tr w:rsidR="0058746A" w:rsidRPr="009B332B" w14:paraId="0AD7E927" w14:textId="77777777" w:rsidTr="0058746A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2FB8F8" w14:textId="77777777" w:rsidR="00C81AF9" w:rsidRPr="009B332B" w:rsidRDefault="00C81AF9" w:rsidP="00C81AF9">
            <w:pPr>
              <w:pStyle w:val="TableHeading"/>
            </w:pPr>
            <w:r w:rsidRPr="009B332B">
              <w:t xml:space="preserve">Table </w:t>
            </w:r>
            <w:r w:rsidR="0058746A" w:rsidRPr="009B332B">
              <w:t>2</w:t>
            </w:r>
            <w:r w:rsidRPr="009B332B">
              <w:t>.1—</w:t>
            </w:r>
            <w:r w:rsidR="0058746A" w:rsidRPr="009B332B">
              <w:t>M</w:t>
            </w:r>
            <w:r w:rsidRPr="009B332B">
              <w:t>odification</w:t>
            </w:r>
            <w:r w:rsidR="0058746A" w:rsidRPr="009B332B">
              <w:t>s</w:t>
            </w:r>
            <w:r w:rsidRPr="009B332B">
              <w:t xml:space="preserve"> of the </w:t>
            </w:r>
            <w:r w:rsidRPr="009B332B">
              <w:rPr>
                <w:i/>
              </w:rPr>
              <w:t xml:space="preserve">Federal Circuit and Family Court of Australia (Family Law) </w:t>
            </w:r>
            <w:r w:rsidR="0024237B">
              <w:rPr>
                <w:i/>
              </w:rPr>
              <w:t>Rules 2</w:t>
            </w:r>
            <w:r w:rsidRPr="009B332B">
              <w:rPr>
                <w:i/>
              </w:rPr>
              <w:t>021</w:t>
            </w:r>
          </w:p>
        </w:tc>
      </w:tr>
      <w:tr w:rsidR="0058746A" w:rsidRPr="009B332B" w14:paraId="3A7368C2" w14:textId="77777777" w:rsidTr="0058746A">
        <w:trPr>
          <w:tblHeader/>
        </w:trPr>
        <w:tc>
          <w:tcPr>
            <w:tcW w:w="4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182EB3" w14:textId="77777777" w:rsidR="00C81AF9" w:rsidRPr="009B332B" w:rsidRDefault="00C81AF9" w:rsidP="003746C2">
            <w:pPr>
              <w:pStyle w:val="TableHeading"/>
            </w:pPr>
            <w:r w:rsidRPr="009B332B">
              <w:t>Item</w:t>
            </w:r>
          </w:p>
        </w:tc>
        <w:tc>
          <w:tcPr>
            <w:tcW w:w="130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C43EF9" w14:textId="77777777" w:rsidR="00C81AF9" w:rsidRPr="009B332B" w:rsidRDefault="00C81AF9" w:rsidP="003746C2">
            <w:pPr>
              <w:pStyle w:val="TableHeading"/>
            </w:pPr>
            <w:r w:rsidRPr="009B332B">
              <w:t>Provision</w:t>
            </w:r>
          </w:p>
        </w:tc>
        <w:tc>
          <w:tcPr>
            <w:tcW w:w="18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B0CE44" w14:textId="77777777" w:rsidR="00C81AF9" w:rsidRPr="009B332B" w:rsidRDefault="00C81AF9" w:rsidP="003746C2">
            <w:pPr>
              <w:pStyle w:val="TableHeading"/>
            </w:pPr>
            <w:r w:rsidRPr="009B332B">
              <w:t>Omit (wherever occurring)</w:t>
            </w:r>
          </w:p>
        </w:tc>
        <w:tc>
          <w:tcPr>
            <w:tcW w:w="144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E5F1A0" w14:textId="77777777" w:rsidR="00C81AF9" w:rsidRPr="009B332B" w:rsidRDefault="00C81AF9" w:rsidP="003746C2">
            <w:pPr>
              <w:pStyle w:val="TableHeading"/>
            </w:pPr>
            <w:r w:rsidRPr="009B332B">
              <w:t>Substitute</w:t>
            </w:r>
          </w:p>
        </w:tc>
      </w:tr>
      <w:tr w:rsidR="0058746A" w:rsidRPr="009B332B" w14:paraId="2C15B5D6" w14:textId="77777777" w:rsidTr="0058746A">
        <w:tc>
          <w:tcPr>
            <w:tcW w:w="439" w:type="pct"/>
            <w:tcBorders>
              <w:top w:val="single" w:sz="12" w:space="0" w:color="auto"/>
            </w:tcBorders>
            <w:shd w:val="clear" w:color="auto" w:fill="auto"/>
          </w:tcPr>
          <w:p w14:paraId="7886A7F3" w14:textId="77777777" w:rsidR="00C81AF9" w:rsidRPr="009B332B" w:rsidRDefault="00A4197E" w:rsidP="00C81AF9">
            <w:pPr>
              <w:pStyle w:val="Tabletext"/>
            </w:pPr>
            <w:r w:rsidRPr="009B332B">
              <w:t>1</w:t>
            </w:r>
          </w:p>
        </w:tc>
        <w:tc>
          <w:tcPr>
            <w:tcW w:w="1303" w:type="pct"/>
            <w:tcBorders>
              <w:top w:val="single" w:sz="12" w:space="0" w:color="auto"/>
            </w:tcBorders>
            <w:shd w:val="clear" w:color="auto" w:fill="auto"/>
          </w:tcPr>
          <w:p w14:paraId="60E60E6F" w14:textId="77777777" w:rsidR="00C81AF9" w:rsidRPr="009B332B" w:rsidRDefault="0058746A" w:rsidP="00C81AF9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="00C81AF9" w:rsidRPr="009B332B">
              <w:t>.0</w:t>
            </w:r>
            <w:r w:rsidRPr="009B332B">
              <w:t>4(1)</w:t>
            </w:r>
          </w:p>
        </w:tc>
        <w:tc>
          <w:tcPr>
            <w:tcW w:w="1816" w:type="pct"/>
            <w:tcBorders>
              <w:top w:val="single" w:sz="12" w:space="0" w:color="auto"/>
            </w:tcBorders>
            <w:shd w:val="clear" w:color="auto" w:fill="auto"/>
          </w:tcPr>
          <w:p w14:paraId="74C4AD96" w14:textId="77777777" w:rsidR="00C81AF9" w:rsidRPr="009B332B" w:rsidRDefault="00A5753C" w:rsidP="00C81AF9">
            <w:pPr>
              <w:pStyle w:val="Tabletext"/>
            </w:pPr>
            <w:r w:rsidRPr="009B332B">
              <w:t>section 6</w:t>
            </w:r>
            <w:r w:rsidR="00C81AF9" w:rsidRPr="009B332B">
              <w:t>7</w:t>
            </w:r>
          </w:p>
        </w:tc>
        <w:tc>
          <w:tcPr>
            <w:tcW w:w="1442" w:type="pct"/>
            <w:tcBorders>
              <w:top w:val="single" w:sz="12" w:space="0" w:color="auto"/>
            </w:tcBorders>
            <w:shd w:val="clear" w:color="auto" w:fill="auto"/>
          </w:tcPr>
          <w:p w14:paraId="38443799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90</w:t>
            </w:r>
          </w:p>
        </w:tc>
      </w:tr>
      <w:tr w:rsidR="0058746A" w:rsidRPr="009B332B" w14:paraId="36945AB5" w14:textId="77777777" w:rsidTr="0058746A">
        <w:tc>
          <w:tcPr>
            <w:tcW w:w="439" w:type="pct"/>
            <w:shd w:val="clear" w:color="auto" w:fill="auto"/>
          </w:tcPr>
          <w:p w14:paraId="57ED90A2" w14:textId="77777777" w:rsidR="0058746A" w:rsidRPr="009B332B" w:rsidRDefault="00A4197E" w:rsidP="003746C2">
            <w:pPr>
              <w:pStyle w:val="Tabletext"/>
            </w:pPr>
            <w:r w:rsidRPr="009B332B">
              <w:t>2</w:t>
            </w:r>
          </w:p>
        </w:tc>
        <w:tc>
          <w:tcPr>
            <w:tcW w:w="1303" w:type="pct"/>
            <w:shd w:val="clear" w:color="auto" w:fill="auto"/>
          </w:tcPr>
          <w:p w14:paraId="4FD2720A" w14:textId="77777777" w:rsidR="0058746A" w:rsidRPr="009B332B" w:rsidRDefault="0058746A" w:rsidP="003746C2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Pr="009B332B">
              <w:t>.04(1) (note 1)</w:t>
            </w:r>
          </w:p>
        </w:tc>
        <w:tc>
          <w:tcPr>
            <w:tcW w:w="1816" w:type="pct"/>
            <w:shd w:val="clear" w:color="auto" w:fill="auto"/>
          </w:tcPr>
          <w:p w14:paraId="576DC5A5" w14:textId="77777777" w:rsidR="0058746A" w:rsidRPr="009B332B" w:rsidRDefault="00A5753C" w:rsidP="003746C2">
            <w:pPr>
              <w:pStyle w:val="Tabletext"/>
            </w:pPr>
            <w:r w:rsidRPr="009B332B">
              <w:t>subsection 6</w:t>
            </w:r>
            <w:r w:rsidR="0058746A" w:rsidRPr="009B332B">
              <w:t>7(3)</w:t>
            </w:r>
          </w:p>
        </w:tc>
        <w:tc>
          <w:tcPr>
            <w:tcW w:w="1442" w:type="pct"/>
            <w:shd w:val="clear" w:color="auto" w:fill="auto"/>
          </w:tcPr>
          <w:p w14:paraId="294426E1" w14:textId="77777777" w:rsidR="0058746A" w:rsidRPr="009B332B" w:rsidRDefault="00A5753C" w:rsidP="003746C2">
            <w:pPr>
              <w:pStyle w:val="Tabletext"/>
            </w:pPr>
            <w:r w:rsidRPr="009B332B">
              <w:t>subsection 1</w:t>
            </w:r>
            <w:r w:rsidR="0058746A" w:rsidRPr="009B332B">
              <w:t>90(3)</w:t>
            </w:r>
          </w:p>
        </w:tc>
      </w:tr>
      <w:tr w:rsidR="0058746A" w:rsidRPr="009B332B" w14:paraId="038D03FA" w14:textId="77777777" w:rsidTr="0058746A">
        <w:tc>
          <w:tcPr>
            <w:tcW w:w="439" w:type="pct"/>
            <w:shd w:val="clear" w:color="auto" w:fill="auto"/>
          </w:tcPr>
          <w:p w14:paraId="7468AAD7" w14:textId="77777777" w:rsidR="00C81AF9" w:rsidRPr="009B332B" w:rsidRDefault="00A4197E" w:rsidP="00C81AF9">
            <w:pPr>
              <w:pStyle w:val="Tabletext"/>
            </w:pPr>
            <w:r w:rsidRPr="009B332B">
              <w:t>3</w:t>
            </w:r>
          </w:p>
        </w:tc>
        <w:tc>
          <w:tcPr>
            <w:tcW w:w="1303" w:type="pct"/>
            <w:shd w:val="clear" w:color="auto" w:fill="auto"/>
          </w:tcPr>
          <w:p w14:paraId="6E6EF92E" w14:textId="77777777" w:rsidR="00C81AF9" w:rsidRPr="009B332B" w:rsidRDefault="00A5753C" w:rsidP="00C81AF9">
            <w:pPr>
              <w:pStyle w:val="Tabletext"/>
            </w:pPr>
            <w:r w:rsidRPr="009B332B">
              <w:t>Subsection 1</w:t>
            </w:r>
            <w:r w:rsidR="00C81AF9" w:rsidRPr="009B332B">
              <w:t>.0</w:t>
            </w:r>
            <w:r w:rsidR="0058746A" w:rsidRPr="009B332B">
              <w:t>4(2) (note)</w:t>
            </w:r>
          </w:p>
        </w:tc>
        <w:tc>
          <w:tcPr>
            <w:tcW w:w="1816" w:type="pct"/>
            <w:shd w:val="clear" w:color="auto" w:fill="auto"/>
          </w:tcPr>
          <w:p w14:paraId="325A5C50" w14:textId="77777777" w:rsidR="00C81AF9" w:rsidRPr="009B332B" w:rsidRDefault="00A5753C" w:rsidP="00C81AF9">
            <w:pPr>
              <w:pStyle w:val="Tabletext"/>
            </w:pPr>
            <w:r w:rsidRPr="009B332B">
              <w:t>subsection 6</w:t>
            </w:r>
            <w:r w:rsidR="00C81AF9" w:rsidRPr="009B332B">
              <w:t>8</w:t>
            </w:r>
            <w:r w:rsidR="0058746A" w:rsidRPr="009B332B">
              <w:t>(1)</w:t>
            </w:r>
          </w:p>
        </w:tc>
        <w:tc>
          <w:tcPr>
            <w:tcW w:w="1442" w:type="pct"/>
            <w:shd w:val="clear" w:color="auto" w:fill="auto"/>
          </w:tcPr>
          <w:p w14:paraId="4F94339E" w14:textId="77777777" w:rsidR="00C81AF9" w:rsidRPr="009B332B" w:rsidRDefault="00A5753C" w:rsidP="00C81AF9">
            <w:pPr>
              <w:pStyle w:val="Tabletext"/>
            </w:pPr>
            <w:r w:rsidRPr="009B332B">
              <w:t>subsection 1</w:t>
            </w:r>
            <w:r w:rsidR="00C81AF9" w:rsidRPr="009B332B">
              <w:t>91</w:t>
            </w:r>
            <w:r w:rsidR="0058746A" w:rsidRPr="009B332B">
              <w:t>(1)</w:t>
            </w:r>
          </w:p>
        </w:tc>
      </w:tr>
      <w:tr w:rsidR="0058746A" w:rsidRPr="009B332B" w14:paraId="29232172" w14:textId="77777777" w:rsidTr="0058746A">
        <w:tc>
          <w:tcPr>
            <w:tcW w:w="439" w:type="pct"/>
            <w:shd w:val="clear" w:color="auto" w:fill="auto"/>
          </w:tcPr>
          <w:p w14:paraId="53DE3D8C" w14:textId="77777777" w:rsidR="00C81AF9" w:rsidRPr="009B332B" w:rsidRDefault="00A4197E" w:rsidP="00C81AF9">
            <w:pPr>
              <w:pStyle w:val="Tabletext"/>
            </w:pPr>
            <w:r w:rsidRPr="009B332B">
              <w:t>4</w:t>
            </w:r>
          </w:p>
        </w:tc>
        <w:tc>
          <w:tcPr>
            <w:tcW w:w="1303" w:type="pct"/>
            <w:shd w:val="clear" w:color="auto" w:fill="auto"/>
          </w:tcPr>
          <w:p w14:paraId="0FEC18C0" w14:textId="77777777" w:rsidR="00C81AF9" w:rsidRPr="009B332B" w:rsidRDefault="00DA5A7E" w:rsidP="00C81AF9">
            <w:pPr>
              <w:pStyle w:val="Tabletext"/>
            </w:pPr>
            <w:r w:rsidRPr="009B332B">
              <w:t>Rule 1</w:t>
            </w:r>
            <w:r w:rsidR="00C81AF9" w:rsidRPr="009B332B">
              <w:t>.0</w:t>
            </w:r>
            <w:r w:rsidR="00105DC1" w:rsidRPr="009B332B">
              <w:t>5</w:t>
            </w:r>
            <w:r w:rsidR="00C81AF9" w:rsidRPr="009B332B">
              <w:t xml:space="preserve"> </w:t>
            </w:r>
            <w:r w:rsidR="00105DC1" w:rsidRPr="009B332B">
              <w:t>(</w:t>
            </w:r>
            <w:r w:rsidR="00A5753C" w:rsidRPr="009B332B">
              <w:t>paragraph (</w:t>
            </w:r>
            <w:r w:rsidR="00105DC1" w:rsidRPr="009B332B">
              <w:t xml:space="preserve">a) of the </w:t>
            </w:r>
            <w:r w:rsidR="00C81AF9" w:rsidRPr="009B332B">
              <w:t xml:space="preserve">definition of </w:t>
            </w:r>
            <w:r w:rsidR="00105DC1" w:rsidRPr="009B332B">
              <w:rPr>
                <w:b/>
                <w:i/>
              </w:rPr>
              <w:t>J</w:t>
            </w:r>
            <w:r w:rsidR="00C81AF9" w:rsidRPr="009B332B">
              <w:rPr>
                <w:b/>
                <w:i/>
              </w:rPr>
              <w:t xml:space="preserve">udicial </w:t>
            </w:r>
            <w:r w:rsidR="00105DC1" w:rsidRPr="009B332B">
              <w:rPr>
                <w:b/>
                <w:i/>
              </w:rPr>
              <w:t>R</w:t>
            </w:r>
            <w:r w:rsidR="00C81AF9" w:rsidRPr="009B332B">
              <w:rPr>
                <w:b/>
                <w:i/>
              </w:rPr>
              <w:t>egistrar</w:t>
            </w:r>
            <w:r w:rsidR="00105DC1" w:rsidRPr="009B332B">
              <w:t>)</w:t>
            </w:r>
          </w:p>
        </w:tc>
        <w:tc>
          <w:tcPr>
            <w:tcW w:w="1816" w:type="pct"/>
            <w:shd w:val="clear" w:color="auto" w:fill="auto"/>
          </w:tcPr>
          <w:p w14:paraId="6F7E3F03" w14:textId="77777777" w:rsidR="00C81AF9" w:rsidRPr="009B332B" w:rsidRDefault="00A5753C" w:rsidP="00C81AF9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594437F2" w14:textId="77777777" w:rsidR="00C81AF9" w:rsidRPr="009B332B" w:rsidRDefault="0024237B" w:rsidP="00C81AF9">
            <w:pPr>
              <w:pStyle w:val="Tabletext"/>
            </w:pPr>
            <w:r>
              <w:t>Division 2</w:t>
            </w:r>
          </w:p>
        </w:tc>
      </w:tr>
      <w:tr w:rsidR="0024212E" w:rsidRPr="009B332B" w14:paraId="5B8BECD4" w14:textId="77777777" w:rsidTr="0015608F">
        <w:tc>
          <w:tcPr>
            <w:tcW w:w="439" w:type="pct"/>
            <w:shd w:val="clear" w:color="auto" w:fill="auto"/>
          </w:tcPr>
          <w:p w14:paraId="43C6E6C9" w14:textId="77777777" w:rsidR="0024212E" w:rsidRPr="009B332B" w:rsidRDefault="00A4197E" w:rsidP="0015608F">
            <w:pPr>
              <w:pStyle w:val="Tabletext"/>
            </w:pPr>
            <w:r w:rsidRPr="009B332B">
              <w:t>5</w:t>
            </w:r>
          </w:p>
        </w:tc>
        <w:tc>
          <w:tcPr>
            <w:tcW w:w="1303" w:type="pct"/>
            <w:shd w:val="clear" w:color="auto" w:fill="auto"/>
          </w:tcPr>
          <w:p w14:paraId="409074BA" w14:textId="77777777" w:rsidR="0024212E" w:rsidRPr="009B332B" w:rsidRDefault="00A4197E" w:rsidP="0015608F">
            <w:pPr>
              <w:pStyle w:val="Tabletext"/>
            </w:pPr>
            <w:r w:rsidRPr="009B332B">
              <w:t>Subrules 1.07(1) and 1.08(1)</w:t>
            </w:r>
          </w:p>
        </w:tc>
        <w:tc>
          <w:tcPr>
            <w:tcW w:w="1816" w:type="pct"/>
            <w:shd w:val="clear" w:color="auto" w:fill="auto"/>
          </w:tcPr>
          <w:p w14:paraId="00DAD6E5" w14:textId="77777777" w:rsidR="0024212E" w:rsidRPr="009B332B" w:rsidRDefault="00A4197E" w:rsidP="0015608F">
            <w:pPr>
              <w:pStyle w:val="Tabletext"/>
            </w:pPr>
            <w:r w:rsidRPr="009B332B">
              <w:t>Chief Justice</w:t>
            </w:r>
          </w:p>
        </w:tc>
        <w:tc>
          <w:tcPr>
            <w:tcW w:w="1442" w:type="pct"/>
            <w:shd w:val="clear" w:color="auto" w:fill="auto"/>
          </w:tcPr>
          <w:p w14:paraId="6672C211" w14:textId="77777777" w:rsidR="0024212E" w:rsidRPr="009B332B" w:rsidRDefault="00A4197E" w:rsidP="0015608F">
            <w:pPr>
              <w:pStyle w:val="Tabletext"/>
            </w:pPr>
            <w:r w:rsidRPr="009B332B">
              <w:t>Chief Judge</w:t>
            </w:r>
          </w:p>
        </w:tc>
      </w:tr>
      <w:tr w:rsidR="0058746A" w:rsidRPr="009B332B" w14:paraId="6F84B12A" w14:textId="77777777" w:rsidTr="0058746A">
        <w:tc>
          <w:tcPr>
            <w:tcW w:w="439" w:type="pct"/>
            <w:shd w:val="clear" w:color="auto" w:fill="auto"/>
          </w:tcPr>
          <w:p w14:paraId="2209607A" w14:textId="77777777" w:rsidR="00C81AF9" w:rsidRPr="009B332B" w:rsidRDefault="00A4197E" w:rsidP="00C81AF9">
            <w:pPr>
              <w:pStyle w:val="Tabletext"/>
            </w:pPr>
            <w:r w:rsidRPr="009B332B">
              <w:t>6</w:t>
            </w:r>
          </w:p>
        </w:tc>
        <w:tc>
          <w:tcPr>
            <w:tcW w:w="1303" w:type="pct"/>
            <w:shd w:val="clear" w:color="auto" w:fill="auto"/>
          </w:tcPr>
          <w:p w14:paraId="5CC6EB88" w14:textId="77777777" w:rsidR="00C81AF9" w:rsidRPr="009B332B" w:rsidRDefault="00105DC1" w:rsidP="00C81AF9">
            <w:pPr>
              <w:pStyle w:val="Tabletext"/>
            </w:pPr>
            <w:r w:rsidRPr="009B332B">
              <w:t>Sub</w:t>
            </w:r>
            <w:r w:rsidR="00A5753C" w:rsidRPr="009B332B">
              <w:t>rule 3</w:t>
            </w:r>
            <w:r w:rsidR="00C81AF9" w:rsidRPr="009B332B">
              <w:t>.08</w:t>
            </w:r>
            <w:r w:rsidRPr="009B332B">
              <w:t>(2)</w:t>
            </w:r>
          </w:p>
        </w:tc>
        <w:tc>
          <w:tcPr>
            <w:tcW w:w="1816" w:type="pct"/>
            <w:shd w:val="clear" w:color="auto" w:fill="auto"/>
          </w:tcPr>
          <w:p w14:paraId="5646979F" w14:textId="77777777" w:rsidR="00C81AF9" w:rsidRPr="009B332B" w:rsidRDefault="00A5753C" w:rsidP="00C81AF9">
            <w:pPr>
              <w:pStyle w:val="Tabletext"/>
            </w:pPr>
            <w:r w:rsidRPr="009B332B">
              <w:t>section 5</w:t>
            </w:r>
            <w:r w:rsidR="00C81AF9" w:rsidRPr="009B332B">
              <w:t>7</w:t>
            </w:r>
          </w:p>
        </w:tc>
        <w:tc>
          <w:tcPr>
            <w:tcW w:w="1442" w:type="pct"/>
            <w:shd w:val="clear" w:color="auto" w:fill="auto"/>
          </w:tcPr>
          <w:p w14:paraId="6D339915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75</w:t>
            </w:r>
          </w:p>
        </w:tc>
      </w:tr>
      <w:tr w:rsidR="0058746A" w:rsidRPr="009B332B" w14:paraId="3B3DA035" w14:textId="77777777" w:rsidTr="0058746A">
        <w:tc>
          <w:tcPr>
            <w:tcW w:w="439" w:type="pct"/>
            <w:shd w:val="clear" w:color="auto" w:fill="auto"/>
          </w:tcPr>
          <w:p w14:paraId="508D7FE2" w14:textId="77777777" w:rsidR="00C81AF9" w:rsidRPr="009B332B" w:rsidRDefault="00A4197E" w:rsidP="00C81AF9">
            <w:pPr>
              <w:pStyle w:val="Tabletext"/>
            </w:pPr>
            <w:r w:rsidRPr="009B332B">
              <w:t>7</w:t>
            </w:r>
          </w:p>
        </w:tc>
        <w:tc>
          <w:tcPr>
            <w:tcW w:w="1303" w:type="pct"/>
            <w:shd w:val="clear" w:color="auto" w:fill="auto"/>
          </w:tcPr>
          <w:p w14:paraId="5F6FE308" w14:textId="77777777" w:rsidR="00C81AF9" w:rsidRPr="009B332B" w:rsidRDefault="00105DC1" w:rsidP="00C81AF9">
            <w:pPr>
              <w:pStyle w:val="Tabletext"/>
            </w:pPr>
            <w:r w:rsidRPr="009B332B">
              <w:t>Sub</w:t>
            </w:r>
            <w:r w:rsidR="00C95A5E" w:rsidRPr="009B332B">
              <w:t>rule 5</w:t>
            </w:r>
            <w:r w:rsidR="00C81AF9" w:rsidRPr="009B332B">
              <w:t>.08(</w:t>
            </w:r>
            <w:r w:rsidRPr="009B332B">
              <w:t>2</w:t>
            </w:r>
            <w:r w:rsidR="00C81AF9" w:rsidRPr="009B332B">
              <w:t>)</w:t>
            </w:r>
          </w:p>
        </w:tc>
        <w:tc>
          <w:tcPr>
            <w:tcW w:w="1816" w:type="pct"/>
            <w:shd w:val="clear" w:color="auto" w:fill="auto"/>
          </w:tcPr>
          <w:p w14:paraId="62659341" w14:textId="77777777" w:rsidR="00C81AF9" w:rsidRPr="009B332B" w:rsidRDefault="00C81AF9" w:rsidP="00C81AF9">
            <w:pPr>
              <w:pStyle w:val="Tabletext"/>
            </w:pPr>
            <w:r w:rsidRPr="009B332B">
              <w:t>25 pages</w:t>
            </w:r>
          </w:p>
        </w:tc>
        <w:tc>
          <w:tcPr>
            <w:tcW w:w="1442" w:type="pct"/>
            <w:shd w:val="clear" w:color="auto" w:fill="auto"/>
          </w:tcPr>
          <w:p w14:paraId="6DCF0D49" w14:textId="77777777" w:rsidR="00C81AF9" w:rsidRPr="009B332B" w:rsidRDefault="00C81AF9" w:rsidP="00C81AF9">
            <w:pPr>
              <w:pStyle w:val="Tabletext"/>
            </w:pPr>
            <w:r w:rsidRPr="009B332B">
              <w:t>10 pages</w:t>
            </w:r>
          </w:p>
        </w:tc>
      </w:tr>
      <w:tr w:rsidR="0058746A" w:rsidRPr="009B332B" w14:paraId="6818C027" w14:textId="77777777" w:rsidTr="0058746A">
        <w:tc>
          <w:tcPr>
            <w:tcW w:w="439" w:type="pct"/>
            <w:shd w:val="clear" w:color="auto" w:fill="auto"/>
          </w:tcPr>
          <w:p w14:paraId="4637E04E" w14:textId="77777777" w:rsidR="00C81AF9" w:rsidRPr="009B332B" w:rsidRDefault="00A4197E" w:rsidP="00C81AF9">
            <w:pPr>
              <w:pStyle w:val="Tabletext"/>
            </w:pPr>
            <w:r w:rsidRPr="009B332B">
              <w:t>8</w:t>
            </w:r>
          </w:p>
        </w:tc>
        <w:tc>
          <w:tcPr>
            <w:tcW w:w="1303" w:type="pct"/>
            <w:shd w:val="clear" w:color="auto" w:fill="auto"/>
          </w:tcPr>
          <w:p w14:paraId="68A4DC03" w14:textId="77777777" w:rsidR="00C81AF9" w:rsidRPr="009B332B" w:rsidRDefault="00105DC1" w:rsidP="00C81AF9">
            <w:pPr>
              <w:pStyle w:val="Tabletext"/>
            </w:pPr>
            <w:r w:rsidRPr="009B332B">
              <w:t>Sub</w:t>
            </w:r>
            <w:r w:rsidR="00C95A5E" w:rsidRPr="009B332B">
              <w:t>rule 5</w:t>
            </w:r>
            <w:r w:rsidR="00C81AF9" w:rsidRPr="009B332B">
              <w:t>.08(</w:t>
            </w:r>
            <w:r w:rsidRPr="009B332B">
              <w:t>3</w:t>
            </w:r>
            <w:r w:rsidR="00C81AF9" w:rsidRPr="009B332B">
              <w:t>)</w:t>
            </w:r>
          </w:p>
        </w:tc>
        <w:tc>
          <w:tcPr>
            <w:tcW w:w="1816" w:type="pct"/>
            <w:shd w:val="clear" w:color="auto" w:fill="auto"/>
          </w:tcPr>
          <w:p w14:paraId="17994A77" w14:textId="77777777" w:rsidR="00C81AF9" w:rsidRPr="009B332B" w:rsidRDefault="00C81AF9" w:rsidP="00C81AF9">
            <w:pPr>
              <w:pStyle w:val="Tabletext"/>
            </w:pPr>
            <w:r w:rsidRPr="009B332B">
              <w:t>10 annexures</w:t>
            </w:r>
          </w:p>
        </w:tc>
        <w:tc>
          <w:tcPr>
            <w:tcW w:w="1442" w:type="pct"/>
            <w:shd w:val="clear" w:color="auto" w:fill="auto"/>
          </w:tcPr>
          <w:p w14:paraId="6ECA75DE" w14:textId="77777777" w:rsidR="00C81AF9" w:rsidRPr="009B332B" w:rsidRDefault="00C81AF9" w:rsidP="00C81AF9">
            <w:pPr>
              <w:pStyle w:val="Tabletext"/>
            </w:pPr>
            <w:r w:rsidRPr="009B332B">
              <w:t>5 annexures</w:t>
            </w:r>
          </w:p>
        </w:tc>
      </w:tr>
      <w:tr w:rsidR="00477D36" w:rsidRPr="009B332B" w14:paraId="4A0B1240" w14:textId="77777777" w:rsidTr="0058746A">
        <w:tc>
          <w:tcPr>
            <w:tcW w:w="439" w:type="pct"/>
            <w:shd w:val="clear" w:color="auto" w:fill="auto"/>
          </w:tcPr>
          <w:p w14:paraId="189097C6" w14:textId="77777777" w:rsidR="00477D36" w:rsidRPr="009B332B" w:rsidRDefault="00A4197E" w:rsidP="00C81AF9">
            <w:pPr>
              <w:pStyle w:val="Tabletext"/>
            </w:pPr>
            <w:r w:rsidRPr="009B332B">
              <w:t>9</w:t>
            </w:r>
          </w:p>
        </w:tc>
        <w:tc>
          <w:tcPr>
            <w:tcW w:w="1303" w:type="pct"/>
            <w:shd w:val="clear" w:color="auto" w:fill="auto"/>
          </w:tcPr>
          <w:p w14:paraId="7E1B4737" w14:textId="77777777" w:rsidR="00477D36" w:rsidRPr="009B332B" w:rsidRDefault="00C95A5E" w:rsidP="00C81AF9">
            <w:pPr>
              <w:pStyle w:val="Tabletext"/>
            </w:pPr>
            <w:r w:rsidRPr="009B332B">
              <w:t>Rule 9</w:t>
            </w:r>
            <w:r w:rsidR="00477D36" w:rsidRPr="009B332B">
              <w:t>.04</w:t>
            </w:r>
          </w:p>
        </w:tc>
        <w:tc>
          <w:tcPr>
            <w:tcW w:w="1816" w:type="pct"/>
            <w:shd w:val="clear" w:color="auto" w:fill="auto"/>
          </w:tcPr>
          <w:p w14:paraId="77880356" w14:textId="77777777" w:rsidR="00477D36" w:rsidRPr="009B332B" w:rsidRDefault="00C95A5E" w:rsidP="00C81AF9">
            <w:pPr>
              <w:pStyle w:val="Tabletext"/>
            </w:pPr>
            <w:r w:rsidRPr="009B332B">
              <w:t>Part 9</w:t>
            </w:r>
            <w:r w:rsidR="00477D36" w:rsidRPr="009B332B">
              <w:t>.2</w:t>
            </w:r>
          </w:p>
        </w:tc>
        <w:tc>
          <w:tcPr>
            <w:tcW w:w="1442" w:type="pct"/>
            <w:shd w:val="clear" w:color="auto" w:fill="auto"/>
          </w:tcPr>
          <w:p w14:paraId="37F4EBE9" w14:textId="77777777" w:rsidR="00477D36" w:rsidRPr="009B332B" w:rsidRDefault="00C95A5E" w:rsidP="00C81AF9">
            <w:pPr>
              <w:pStyle w:val="Tabletext"/>
            </w:pPr>
            <w:r w:rsidRPr="009B332B">
              <w:t>Part 9</w:t>
            </w:r>
            <w:r w:rsidR="00477D36" w:rsidRPr="009B332B">
              <w:t xml:space="preserve">.2, or </w:t>
            </w:r>
            <w:r w:rsidRPr="009B332B">
              <w:t>Part 3</w:t>
            </w:r>
            <w:r w:rsidR="00477D36" w:rsidRPr="009B332B">
              <w:t xml:space="preserve"> of the </w:t>
            </w:r>
            <w:r w:rsidR="00477D36" w:rsidRPr="009B332B">
              <w:rPr>
                <w:i/>
              </w:rPr>
              <w:t>Federal Circuit and Family Court of Australia (</w:t>
            </w:r>
            <w:r w:rsidR="0024237B">
              <w:rPr>
                <w:i/>
              </w:rPr>
              <w:t>Division 2</w:t>
            </w:r>
            <w:r w:rsidR="00477D36" w:rsidRPr="009B332B">
              <w:rPr>
                <w:i/>
              </w:rPr>
              <w:t xml:space="preserve">) (Family Law) </w:t>
            </w:r>
            <w:r w:rsidR="0024237B">
              <w:rPr>
                <w:i/>
              </w:rPr>
              <w:t>Rules 2</w:t>
            </w:r>
            <w:r w:rsidR="00477D36" w:rsidRPr="009B332B">
              <w:rPr>
                <w:i/>
              </w:rPr>
              <w:t>021</w:t>
            </w:r>
            <w:r w:rsidR="00477D36" w:rsidRPr="009B332B">
              <w:t>,</w:t>
            </w:r>
          </w:p>
        </w:tc>
      </w:tr>
      <w:tr w:rsidR="0058746A" w:rsidRPr="009B332B" w14:paraId="2622C252" w14:textId="77777777" w:rsidTr="0058746A">
        <w:tc>
          <w:tcPr>
            <w:tcW w:w="439" w:type="pct"/>
            <w:shd w:val="clear" w:color="auto" w:fill="auto"/>
          </w:tcPr>
          <w:p w14:paraId="25C7FB77" w14:textId="77777777" w:rsidR="00C81AF9" w:rsidRPr="009B332B" w:rsidRDefault="00A4197E" w:rsidP="00C81AF9">
            <w:pPr>
              <w:pStyle w:val="Tabletext"/>
            </w:pPr>
            <w:r w:rsidRPr="009B332B">
              <w:t>10</w:t>
            </w:r>
          </w:p>
        </w:tc>
        <w:tc>
          <w:tcPr>
            <w:tcW w:w="1303" w:type="pct"/>
            <w:shd w:val="clear" w:color="auto" w:fill="auto"/>
          </w:tcPr>
          <w:p w14:paraId="0406D262" w14:textId="77777777" w:rsidR="00C81AF9" w:rsidRPr="009B332B" w:rsidRDefault="00A5753C" w:rsidP="00C81AF9">
            <w:pPr>
              <w:pStyle w:val="Tabletext"/>
            </w:pPr>
            <w:r w:rsidRPr="009B332B">
              <w:t>Paragraph 1</w:t>
            </w:r>
            <w:r w:rsidR="00C81AF9" w:rsidRPr="009B332B">
              <w:t>0.21(1)(a)</w:t>
            </w:r>
          </w:p>
        </w:tc>
        <w:tc>
          <w:tcPr>
            <w:tcW w:w="1816" w:type="pct"/>
            <w:shd w:val="clear" w:color="auto" w:fill="auto"/>
          </w:tcPr>
          <w:p w14:paraId="14C1BE64" w14:textId="77777777" w:rsidR="00C81AF9" w:rsidRPr="009B332B" w:rsidRDefault="00C81AF9" w:rsidP="00C81AF9">
            <w:pPr>
              <w:pStyle w:val="Tabletext"/>
            </w:pPr>
            <w:r w:rsidRPr="009B332B">
              <w:t>in the Federal Circuit and Family Court (</w:t>
            </w:r>
            <w:r w:rsidR="00A5753C" w:rsidRPr="009B332B">
              <w:t>Division 1</w:t>
            </w:r>
            <w:r w:rsidRPr="009B332B">
              <w:t>)—under an arrangement under section 79</w:t>
            </w:r>
          </w:p>
        </w:tc>
        <w:tc>
          <w:tcPr>
            <w:tcW w:w="1442" w:type="pct"/>
            <w:shd w:val="clear" w:color="auto" w:fill="auto"/>
          </w:tcPr>
          <w:p w14:paraId="67B1AC10" w14:textId="77777777" w:rsidR="00C81AF9" w:rsidRPr="009B332B" w:rsidRDefault="00C81AF9" w:rsidP="00C81AF9">
            <w:pPr>
              <w:pStyle w:val="Tabletext"/>
            </w:pPr>
            <w:r w:rsidRPr="009B332B">
              <w:t>in the Federal Circuit and Family Court (</w:t>
            </w:r>
            <w:r w:rsidR="0024237B">
              <w:t>Division 2</w:t>
            </w:r>
            <w:r w:rsidRPr="009B332B">
              <w:t xml:space="preserve">)—under an arrangement under </w:t>
            </w:r>
            <w:r w:rsidR="00A5753C" w:rsidRPr="009B332B">
              <w:t>section 2</w:t>
            </w:r>
            <w:r w:rsidRPr="009B332B">
              <w:t>46</w:t>
            </w:r>
          </w:p>
        </w:tc>
      </w:tr>
      <w:tr w:rsidR="0058746A" w:rsidRPr="009B332B" w14:paraId="4B619548" w14:textId="77777777" w:rsidTr="0058746A">
        <w:tc>
          <w:tcPr>
            <w:tcW w:w="439" w:type="pct"/>
            <w:shd w:val="clear" w:color="auto" w:fill="auto"/>
          </w:tcPr>
          <w:p w14:paraId="1E859BD5" w14:textId="77777777" w:rsidR="00C81AF9" w:rsidRPr="009B332B" w:rsidRDefault="00A4197E" w:rsidP="00C81AF9">
            <w:pPr>
              <w:pStyle w:val="Tabletext"/>
            </w:pPr>
            <w:r w:rsidRPr="009B332B">
              <w:lastRenderedPageBreak/>
              <w:t>11</w:t>
            </w:r>
          </w:p>
        </w:tc>
        <w:tc>
          <w:tcPr>
            <w:tcW w:w="1303" w:type="pct"/>
            <w:shd w:val="clear" w:color="auto" w:fill="auto"/>
          </w:tcPr>
          <w:p w14:paraId="06B7FE45" w14:textId="77777777" w:rsidR="00C81AF9" w:rsidRPr="009B332B" w:rsidRDefault="00683BD4" w:rsidP="00C81AF9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="00C81AF9" w:rsidRPr="009B332B">
              <w:t>0.23(1)</w:t>
            </w:r>
          </w:p>
        </w:tc>
        <w:tc>
          <w:tcPr>
            <w:tcW w:w="1816" w:type="pct"/>
            <w:shd w:val="clear" w:color="auto" w:fill="auto"/>
          </w:tcPr>
          <w:p w14:paraId="5BA23FE8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02QC of the Family Law Act</w:t>
            </w:r>
          </w:p>
        </w:tc>
        <w:tc>
          <w:tcPr>
            <w:tcW w:w="1442" w:type="pct"/>
            <w:shd w:val="clear" w:color="auto" w:fill="auto"/>
          </w:tcPr>
          <w:p w14:paraId="7A7A92E0" w14:textId="77777777" w:rsidR="00C81AF9" w:rsidRPr="009B332B" w:rsidRDefault="00A5753C" w:rsidP="00C81AF9">
            <w:pPr>
              <w:pStyle w:val="Tabletext"/>
            </w:pPr>
            <w:r w:rsidRPr="009B332B">
              <w:t>section 2</w:t>
            </w:r>
            <w:r w:rsidR="00C81AF9" w:rsidRPr="009B332B">
              <w:t xml:space="preserve">40 of the Federal Circuit and Family Court Act, or </w:t>
            </w:r>
            <w:r w:rsidRPr="009B332B">
              <w:t>section 1</w:t>
            </w:r>
            <w:r w:rsidR="00C81AF9" w:rsidRPr="009B332B">
              <w:t>02QC of the Family Law Act,</w:t>
            </w:r>
            <w:bookmarkStart w:id="9" w:name="opcCurrentPosition"/>
            <w:bookmarkEnd w:id="9"/>
          </w:p>
        </w:tc>
      </w:tr>
      <w:tr w:rsidR="0058746A" w:rsidRPr="009B332B" w14:paraId="49316408" w14:textId="77777777" w:rsidTr="0058746A">
        <w:tc>
          <w:tcPr>
            <w:tcW w:w="439" w:type="pct"/>
            <w:shd w:val="clear" w:color="auto" w:fill="auto"/>
          </w:tcPr>
          <w:p w14:paraId="79A8D95F" w14:textId="77777777" w:rsidR="00C81AF9" w:rsidRPr="009B332B" w:rsidRDefault="00A4197E" w:rsidP="00C81AF9">
            <w:pPr>
              <w:pStyle w:val="Tabletext"/>
            </w:pPr>
            <w:r w:rsidRPr="009B332B">
              <w:t>12</w:t>
            </w:r>
          </w:p>
        </w:tc>
        <w:tc>
          <w:tcPr>
            <w:tcW w:w="1303" w:type="pct"/>
            <w:shd w:val="clear" w:color="auto" w:fill="auto"/>
          </w:tcPr>
          <w:p w14:paraId="5DA81921" w14:textId="77777777" w:rsidR="00C81AF9" w:rsidRPr="009B332B" w:rsidRDefault="00683BD4" w:rsidP="00C81AF9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="00C81AF9" w:rsidRPr="009B332B">
              <w:t>0.24(1)</w:t>
            </w:r>
          </w:p>
        </w:tc>
        <w:tc>
          <w:tcPr>
            <w:tcW w:w="1816" w:type="pct"/>
            <w:shd w:val="clear" w:color="auto" w:fill="auto"/>
          </w:tcPr>
          <w:p w14:paraId="14D8FE80" w14:textId="77777777" w:rsidR="00C81AF9" w:rsidRPr="009B332B" w:rsidRDefault="00A5753C" w:rsidP="00C81AF9">
            <w:pPr>
              <w:pStyle w:val="Tabletext"/>
            </w:pPr>
            <w:r w:rsidRPr="009B332B">
              <w:t>subsection 1</w:t>
            </w:r>
            <w:r w:rsidR="00C81AF9" w:rsidRPr="009B332B">
              <w:t>02QE(2) of the Family Law Act</w:t>
            </w:r>
          </w:p>
        </w:tc>
        <w:tc>
          <w:tcPr>
            <w:tcW w:w="1442" w:type="pct"/>
            <w:shd w:val="clear" w:color="auto" w:fill="auto"/>
          </w:tcPr>
          <w:p w14:paraId="63A84379" w14:textId="77777777" w:rsidR="00C81AF9" w:rsidRPr="009B332B" w:rsidRDefault="00A5753C" w:rsidP="00C81AF9">
            <w:pPr>
              <w:pStyle w:val="Tabletext"/>
            </w:pPr>
            <w:r w:rsidRPr="009B332B">
              <w:t>subsection 2</w:t>
            </w:r>
            <w:r w:rsidR="00C81AF9" w:rsidRPr="009B332B">
              <w:t xml:space="preserve">42(2) of the Federal Circuit and Family Court Act, or </w:t>
            </w:r>
            <w:r w:rsidRPr="009B332B">
              <w:t>subsection 1</w:t>
            </w:r>
            <w:r w:rsidR="00C81AF9" w:rsidRPr="009B332B">
              <w:t>02QE(2) of the Family Law Act,</w:t>
            </w:r>
          </w:p>
        </w:tc>
      </w:tr>
      <w:tr w:rsidR="0058746A" w:rsidRPr="009B332B" w14:paraId="775B8858" w14:textId="77777777" w:rsidTr="0058746A">
        <w:tc>
          <w:tcPr>
            <w:tcW w:w="439" w:type="pct"/>
            <w:shd w:val="clear" w:color="auto" w:fill="auto"/>
          </w:tcPr>
          <w:p w14:paraId="06D7500A" w14:textId="77777777" w:rsidR="00C81AF9" w:rsidRPr="009B332B" w:rsidRDefault="00A4197E" w:rsidP="00C81AF9">
            <w:pPr>
              <w:pStyle w:val="Tabletext"/>
            </w:pPr>
            <w:r w:rsidRPr="009B332B">
              <w:t>13</w:t>
            </w:r>
          </w:p>
        </w:tc>
        <w:tc>
          <w:tcPr>
            <w:tcW w:w="1303" w:type="pct"/>
            <w:shd w:val="clear" w:color="auto" w:fill="auto"/>
          </w:tcPr>
          <w:p w14:paraId="0D264DE7" w14:textId="77777777" w:rsidR="00C81AF9" w:rsidRPr="009B332B" w:rsidRDefault="00DA5A7E" w:rsidP="00C81AF9">
            <w:pPr>
              <w:pStyle w:val="Tabletext"/>
            </w:pPr>
            <w:r w:rsidRPr="009B332B">
              <w:t>Rule 1</w:t>
            </w:r>
            <w:r w:rsidR="00C81AF9" w:rsidRPr="009B332B">
              <w:t>4.01</w:t>
            </w:r>
            <w:r w:rsidR="00683BD4" w:rsidRPr="009B332B">
              <w:t xml:space="preserve"> (definition of </w:t>
            </w:r>
            <w:r w:rsidR="00683BD4" w:rsidRPr="009B332B">
              <w:rPr>
                <w:b/>
                <w:i/>
              </w:rPr>
              <w:t>Judicial Registrar</w:t>
            </w:r>
            <w:r w:rsidR="00683BD4" w:rsidRPr="009B332B">
              <w:t>)</w:t>
            </w:r>
          </w:p>
        </w:tc>
        <w:tc>
          <w:tcPr>
            <w:tcW w:w="1816" w:type="pct"/>
            <w:shd w:val="clear" w:color="auto" w:fill="auto"/>
          </w:tcPr>
          <w:p w14:paraId="11874839" w14:textId="77777777" w:rsidR="00C81AF9" w:rsidRPr="009B332B" w:rsidRDefault="00A5753C" w:rsidP="00C81AF9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0DEA7A1E" w14:textId="77777777" w:rsidR="00C81AF9" w:rsidRPr="009B332B" w:rsidRDefault="0024237B" w:rsidP="00C81AF9">
            <w:pPr>
              <w:pStyle w:val="Tabletext"/>
            </w:pPr>
            <w:r>
              <w:t>Division 2</w:t>
            </w:r>
          </w:p>
        </w:tc>
      </w:tr>
      <w:tr w:rsidR="001861CF" w:rsidRPr="009B332B" w14:paraId="6C042C32" w14:textId="77777777" w:rsidTr="003746C2">
        <w:tc>
          <w:tcPr>
            <w:tcW w:w="439" w:type="pct"/>
            <w:shd w:val="clear" w:color="auto" w:fill="auto"/>
          </w:tcPr>
          <w:p w14:paraId="0D8A81B2" w14:textId="77777777" w:rsidR="001861CF" w:rsidRPr="009B332B" w:rsidRDefault="00A4197E" w:rsidP="003746C2">
            <w:pPr>
              <w:pStyle w:val="Tabletext"/>
            </w:pPr>
            <w:r w:rsidRPr="009B332B">
              <w:t>14</w:t>
            </w:r>
          </w:p>
        </w:tc>
        <w:tc>
          <w:tcPr>
            <w:tcW w:w="1303" w:type="pct"/>
            <w:shd w:val="clear" w:color="auto" w:fill="auto"/>
          </w:tcPr>
          <w:p w14:paraId="159E4888" w14:textId="77777777" w:rsidR="001861CF" w:rsidRPr="009B332B" w:rsidRDefault="00DA5A7E" w:rsidP="003746C2">
            <w:pPr>
              <w:pStyle w:val="Tabletext"/>
            </w:pPr>
            <w:r w:rsidRPr="009B332B">
              <w:t>Rule 1</w:t>
            </w:r>
            <w:r w:rsidR="001861CF" w:rsidRPr="009B332B">
              <w:t>4.01 (</w:t>
            </w:r>
            <w:r w:rsidR="00A5753C" w:rsidRPr="009B332B">
              <w:t>paragraph (</w:t>
            </w:r>
            <w:r w:rsidR="001861CF" w:rsidRPr="009B332B">
              <w:t xml:space="preserve">b) of the definition of </w:t>
            </w:r>
            <w:r w:rsidR="001861CF" w:rsidRPr="009B332B">
              <w:rPr>
                <w:b/>
                <w:i/>
              </w:rPr>
              <w:t>Senior</w:t>
            </w:r>
            <w:r w:rsidR="001861CF" w:rsidRPr="009B332B">
              <w:t xml:space="preserve"> </w:t>
            </w:r>
            <w:r w:rsidR="001861CF" w:rsidRPr="009B332B">
              <w:rPr>
                <w:b/>
                <w:i/>
              </w:rPr>
              <w:t>Judicial Registrar</w:t>
            </w:r>
            <w:r w:rsidR="001861CF" w:rsidRPr="009B332B">
              <w:t>)</w:t>
            </w:r>
          </w:p>
        </w:tc>
        <w:tc>
          <w:tcPr>
            <w:tcW w:w="1816" w:type="pct"/>
            <w:shd w:val="clear" w:color="auto" w:fill="auto"/>
          </w:tcPr>
          <w:p w14:paraId="74514C17" w14:textId="77777777" w:rsidR="001861CF" w:rsidRPr="009B332B" w:rsidRDefault="00A5753C" w:rsidP="003746C2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6DE10185" w14:textId="77777777" w:rsidR="001861CF" w:rsidRPr="009B332B" w:rsidRDefault="0024237B" w:rsidP="003746C2">
            <w:pPr>
              <w:pStyle w:val="Tabletext"/>
            </w:pPr>
            <w:r>
              <w:t>Division 2</w:t>
            </w:r>
          </w:p>
        </w:tc>
      </w:tr>
      <w:tr w:rsidR="0058746A" w:rsidRPr="009B332B" w14:paraId="5F6BDDB4" w14:textId="77777777" w:rsidTr="0058746A">
        <w:tc>
          <w:tcPr>
            <w:tcW w:w="439" w:type="pct"/>
            <w:shd w:val="clear" w:color="auto" w:fill="auto"/>
          </w:tcPr>
          <w:p w14:paraId="7720751E" w14:textId="77777777" w:rsidR="00C81AF9" w:rsidRPr="009B332B" w:rsidRDefault="00A4197E" w:rsidP="00C81AF9">
            <w:pPr>
              <w:pStyle w:val="Tabletext"/>
            </w:pPr>
            <w:r w:rsidRPr="009B332B">
              <w:t>15</w:t>
            </w:r>
          </w:p>
        </w:tc>
        <w:tc>
          <w:tcPr>
            <w:tcW w:w="1303" w:type="pct"/>
            <w:shd w:val="clear" w:color="auto" w:fill="auto"/>
          </w:tcPr>
          <w:p w14:paraId="333A02F3" w14:textId="77777777" w:rsidR="00C81AF9" w:rsidRPr="009B332B" w:rsidRDefault="00683BD4" w:rsidP="00C81AF9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="00C81AF9" w:rsidRPr="009B332B">
              <w:t>4.02(2)</w:t>
            </w:r>
          </w:p>
        </w:tc>
        <w:tc>
          <w:tcPr>
            <w:tcW w:w="1816" w:type="pct"/>
            <w:shd w:val="clear" w:color="auto" w:fill="auto"/>
          </w:tcPr>
          <w:p w14:paraId="538FF247" w14:textId="77777777" w:rsidR="00C81AF9" w:rsidRPr="009B332B" w:rsidRDefault="00A5753C" w:rsidP="00C81AF9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544E6B01" w14:textId="77777777" w:rsidR="00C81AF9" w:rsidRPr="009B332B" w:rsidRDefault="0024237B" w:rsidP="00C81AF9">
            <w:pPr>
              <w:pStyle w:val="Tabletext"/>
            </w:pPr>
            <w:r>
              <w:t>Division 2</w:t>
            </w:r>
          </w:p>
        </w:tc>
      </w:tr>
      <w:tr w:rsidR="0058746A" w:rsidRPr="009B332B" w14:paraId="2D7E8E05" w14:textId="77777777" w:rsidTr="0058746A">
        <w:tc>
          <w:tcPr>
            <w:tcW w:w="439" w:type="pct"/>
            <w:shd w:val="clear" w:color="auto" w:fill="auto"/>
          </w:tcPr>
          <w:p w14:paraId="48252226" w14:textId="77777777" w:rsidR="00C81AF9" w:rsidRPr="009B332B" w:rsidRDefault="00A4197E" w:rsidP="00C81AF9">
            <w:pPr>
              <w:pStyle w:val="Tabletext"/>
            </w:pPr>
            <w:r w:rsidRPr="009B332B">
              <w:t>16</w:t>
            </w:r>
          </w:p>
        </w:tc>
        <w:tc>
          <w:tcPr>
            <w:tcW w:w="1303" w:type="pct"/>
            <w:shd w:val="clear" w:color="auto" w:fill="auto"/>
          </w:tcPr>
          <w:p w14:paraId="539BEAE3" w14:textId="77777777" w:rsidR="00C81AF9" w:rsidRPr="009B332B" w:rsidRDefault="00683BD4" w:rsidP="00C81AF9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="00C81AF9" w:rsidRPr="009B332B">
              <w:t>4.02(2)</w:t>
            </w:r>
          </w:p>
        </w:tc>
        <w:tc>
          <w:tcPr>
            <w:tcW w:w="1816" w:type="pct"/>
            <w:shd w:val="clear" w:color="auto" w:fill="auto"/>
          </w:tcPr>
          <w:p w14:paraId="1F8EF390" w14:textId="77777777" w:rsidR="00C81AF9" w:rsidRPr="009B332B" w:rsidRDefault="00A5753C" w:rsidP="00C81AF9">
            <w:pPr>
              <w:pStyle w:val="Tabletext"/>
            </w:pPr>
            <w:r w:rsidRPr="009B332B">
              <w:t>subsection 9</w:t>
            </w:r>
            <w:r w:rsidR="00C81AF9" w:rsidRPr="009B332B">
              <w:t>8(1)</w:t>
            </w:r>
          </w:p>
        </w:tc>
        <w:tc>
          <w:tcPr>
            <w:tcW w:w="1442" w:type="pct"/>
            <w:shd w:val="clear" w:color="auto" w:fill="auto"/>
          </w:tcPr>
          <w:p w14:paraId="4A22A0C5" w14:textId="77777777" w:rsidR="00C81AF9" w:rsidRPr="009B332B" w:rsidRDefault="00A5753C" w:rsidP="00C81AF9">
            <w:pPr>
              <w:pStyle w:val="Tabletext"/>
            </w:pPr>
            <w:r w:rsidRPr="009B332B">
              <w:t>subsection 2</w:t>
            </w:r>
            <w:r w:rsidR="00C81AF9" w:rsidRPr="009B332B">
              <w:t>54(1)</w:t>
            </w:r>
          </w:p>
        </w:tc>
      </w:tr>
      <w:tr w:rsidR="00683BD4" w:rsidRPr="009B332B" w14:paraId="079D3F32" w14:textId="77777777" w:rsidTr="003746C2">
        <w:tc>
          <w:tcPr>
            <w:tcW w:w="439" w:type="pct"/>
            <w:shd w:val="clear" w:color="auto" w:fill="auto"/>
          </w:tcPr>
          <w:p w14:paraId="6B1B113B" w14:textId="77777777" w:rsidR="00683BD4" w:rsidRPr="009B332B" w:rsidRDefault="00A4197E" w:rsidP="003746C2">
            <w:pPr>
              <w:pStyle w:val="Tabletext"/>
            </w:pPr>
            <w:r w:rsidRPr="009B332B">
              <w:t>17</w:t>
            </w:r>
          </w:p>
        </w:tc>
        <w:tc>
          <w:tcPr>
            <w:tcW w:w="1303" w:type="pct"/>
            <w:shd w:val="clear" w:color="auto" w:fill="auto"/>
          </w:tcPr>
          <w:p w14:paraId="08710637" w14:textId="77777777" w:rsidR="00683BD4" w:rsidRPr="009B332B" w:rsidRDefault="00683BD4" w:rsidP="003746C2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Pr="009B332B">
              <w:t>4.02(2)</w:t>
            </w:r>
          </w:p>
        </w:tc>
        <w:tc>
          <w:tcPr>
            <w:tcW w:w="1816" w:type="pct"/>
            <w:shd w:val="clear" w:color="auto" w:fill="auto"/>
          </w:tcPr>
          <w:p w14:paraId="7308102B" w14:textId="77777777" w:rsidR="00683BD4" w:rsidRPr="009B332B" w:rsidRDefault="00683BD4" w:rsidP="003746C2">
            <w:pPr>
              <w:pStyle w:val="Tabletext"/>
            </w:pPr>
            <w:r w:rsidRPr="009B332B">
              <w:t>Chief Justice</w:t>
            </w:r>
          </w:p>
        </w:tc>
        <w:tc>
          <w:tcPr>
            <w:tcW w:w="1442" w:type="pct"/>
            <w:shd w:val="clear" w:color="auto" w:fill="auto"/>
          </w:tcPr>
          <w:p w14:paraId="17613790" w14:textId="77777777" w:rsidR="00683BD4" w:rsidRPr="009B332B" w:rsidRDefault="00683BD4" w:rsidP="003746C2">
            <w:pPr>
              <w:pStyle w:val="Tabletext"/>
            </w:pPr>
            <w:r w:rsidRPr="009B332B">
              <w:t>Chief Judge</w:t>
            </w:r>
          </w:p>
        </w:tc>
      </w:tr>
      <w:tr w:rsidR="00683BD4" w:rsidRPr="009B332B" w14:paraId="031E9682" w14:textId="77777777" w:rsidTr="003746C2">
        <w:tc>
          <w:tcPr>
            <w:tcW w:w="439" w:type="pct"/>
            <w:shd w:val="clear" w:color="auto" w:fill="auto"/>
          </w:tcPr>
          <w:p w14:paraId="368E1743" w14:textId="77777777" w:rsidR="00683BD4" w:rsidRPr="009B332B" w:rsidRDefault="00A4197E" w:rsidP="003746C2">
            <w:pPr>
              <w:pStyle w:val="Tabletext"/>
            </w:pPr>
            <w:r w:rsidRPr="009B332B">
              <w:t>18</w:t>
            </w:r>
          </w:p>
        </w:tc>
        <w:tc>
          <w:tcPr>
            <w:tcW w:w="1303" w:type="pct"/>
            <w:shd w:val="clear" w:color="auto" w:fill="auto"/>
          </w:tcPr>
          <w:p w14:paraId="041F44BA" w14:textId="77777777" w:rsidR="00683BD4" w:rsidRPr="009B332B" w:rsidRDefault="00683BD4" w:rsidP="003746C2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Pr="009B332B">
              <w:t>4.02(2) (note)</w:t>
            </w:r>
          </w:p>
        </w:tc>
        <w:tc>
          <w:tcPr>
            <w:tcW w:w="1816" w:type="pct"/>
            <w:shd w:val="clear" w:color="auto" w:fill="auto"/>
          </w:tcPr>
          <w:p w14:paraId="3E9C4FD0" w14:textId="77777777" w:rsidR="00683BD4" w:rsidRPr="009B332B" w:rsidRDefault="00A5753C" w:rsidP="003746C2">
            <w:pPr>
              <w:pStyle w:val="Tabletext"/>
            </w:pPr>
            <w:r w:rsidRPr="009B332B">
              <w:t>section 8</w:t>
            </w:r>
            <w:r w:rsidR="00683BD4" w:rsidRPr="009B332B">
              <w:t>5</w:t>
            </w:r>
          </w:p>
        </w:tc>
        <w:tc>
          <w:tcPr>
            <w:tcW w:w="1442" w:type="pct"/>
            <w:shd w:val="clear" w:color="auto" w:fill="auto"/>
          </w:tcPr>
          <w:p w14:paraId="0DAEB9E7" w14:textId="77777777" w:rsidR="00683BD4" w:rsidRPr="009B332B" w:rsidRDefault="00A5753C" w:rsidP="003746C2">
            <w:pPr>
              <w:pStyle w:val="Tabletext"/>
            </w:pPr>
            <w:r w:rsidRPr="009B332B">
              <w:t>section 2</w:t>
            </w:r>
            <w:r w:rsidR="00683BD4" w:rsidRPr="009B332B">
              <w:t>51</w:t>
            </w:r>
          </w:p>
        </w:tc>
      </w:tr>
      <w:tr w:rsidR="0058746A" w:rsidRPr="009B332B" w14:paraId="3549B9D4" w14:textId="77777777" w:rsidTr="0058746A">
        <w:tc>
          <w:tcPr>
            <w:tcW w:w="439" w:type="pct"/>
            <w:shd w:val="clear" w:color="auto" w:fill="auto"/>
          </w:tcPr>
          <w:p w14:paraId="4780A68F" w14:textId="77777777" w:rsidR="00C81AF9" w:rsidRPr="009B332B" w:rsidRDefault="00A4197E" w:rsidP="00C81AF9">
            <w:pPr>
              <w:pStyle w:val="Tabletext"/>
            </w:pPr>
            <w:r w:rsidRPr="009B332B">
              <w:t>19</w:t>
            </w:r>
          </w:p>
        </w:tc>
        <w:tc>
          <w:tcPr>
            <w:tcW w:w="1303" w:type="pct"/>
            <w:shd w:val="clear" w:color="auto" w:fill="auto"/>
          </w:tcPr>
          <w:p w14:paraId="2D8291AC" w14:textId="77777777" w:rsidR="00C81AF9" w:rsidRPr="009B332B" w:rsidRDefault="007C752C" w:rsidP="00C81AF9">
            <w:pPr>
              <w:pStyle w:val="Tabletext"/>
            </w:pPr>
            <w:r w:rsidRPr="009B332B">
              <w:t>Sub</w:t>
            </w:r>
            <w:r w:rsidR="00A4197E" w:rsidRPr="009B332B">
              <w:t>rules 1</w:t>
            </w:r>
            <w:r w:rsidR="00C81AF9" w:rsidRPr="009B332B">
              <w:t>4.03</w:t>
            </w:r>
            <w:r w:rsidRPr="009B332B">
              <w:t>(1) and (2)</w:t>
            </w:r>
          </w:p>
        </w:tc>
        <w:tc>
          <w:tcPr>
            <w:tcW w:w="1816" w:type="pct"/>
            <w:shd w:val="clear" w:color="auto" w:fill="auto"/>
          </w:tcPr>
          <w:p w14:paraId="051B362D" w14:textId="77777777" w:rsidR="00C81AF9" w:rsidRPr="009B332B" w:rsidRDefault="00A5753C" w:rsidP="00C81AF9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7FFA02C8" w14:textId="77777777" w:rsidR="00C81AF9" w:rsidRPr="009B332B" w:rsidRDefault="0024237B" w:rsidP="00C81AF9">
            <w:pPr>
              <w:pStyle w:val="Tabletext"/>
            </w:pPr>
            <w:r>
              <w:t>Division 2</w:t>
            </w:r>
          </w:p>
        </w:tc>
      </w:tr>
      <w:tr w:rsidR="001861CF" w:rsidRPr="009B332B" w14:paraId="0C9E68FB" w14:textId="77777777" w:rsidTr="003746C2">
        <w:tc>
          <w:tcPr>
            <w:tcW w:w="439" w:type="pct"/>
            <w:shd w:val="clear" w:color="auto" w:fill="auto"/>
          </w:tcPr>
          <w:p w14:paraId="686AC790" w14:textId="77777777" w:rsidR="001861CF" w:rsidRPr="009B332B" w:rsidRDefault="00A4197E" w:rsidP="003746C2">
            <w:pPr>
              <w:pStyle w:val="Tabletext"/>
            </w:pPr>
            <w:r w:rsidRPr="009B332B">
              <w:t>20</w:t>
            </w:r>
          </w:p>
        </w:tc>
        <w:tc>
          <w:tcPr>
            <w:tcW w:w="1303" w:type="pct"/>
            <w:shd w:val="clear" w:color="auto" w:fill="auto"/>
          </w:tcPr>
          <w:p w14:paraId="6376DF70" w14:textId="77777777" w:rsidR="001861CF" w:rsidRPr="009B332B" w:rsidRDefault="001861CF" w:rsidP="003746C2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Pr="009B332B">
              <w:t>5.21(1)</w:t>
            </w:r>
          </w:p>
        </w:tc>
        <w:tc>
          <w:tcPr>
            <w:tcW w:w="1816" w:type="pct"/>
            <w:shd w:val="clear" w:color="auto" w:fill="auto"/>
          </w:tcPr>
          <w:p w14:paraId="6266BCC1" w14:textId="77777777" w:rsidR="001861CF" w:rsidRPr="009B332B" w:rsidRDefault="001861CF" w:rsidP="003746C2">
            <w:pPr>
              <w:pStyle w:val="Tabletext"/>
            </w:pPr>
            <w:r w:rsidRPr="009B332B">
              <w:t>Chief Justice</w:t>
            </w:r>
          </w:p>
        </w:tc>
        <w:tc>
          <w:tcPr>
            <w:tcW w:w="1442" w:type="pct"/>
            <w:shd w:val="clear" w:color="auto" w:fill="auto"/>
          </w:tcPr>
          <w:p w14:paraId="1A6415A0" w14:textId="77777777" w:rsidR="001861CF" w:rsidRPr="009B332B" w:rsidRDefault="001861CF" w:rsidP="003746C2">
            <w:pPr>
              <w:pStyle w:val="Tabletext"/>
            </w:pPr>
            <w:r w:rsidRPr="009B332B">
              <w:t>Chief Judge</w:t>
            </w:r>
          </w:p>
        </w:tc>
      </w:tr>
      <w:tr w:rsidR="0058746A" w:rsidRPr="009B332B" w14:paraId="60EBD0A4" w14:textId="77777777" w:rsidTr="0058746A">
        <w:tc>
          <w:tcPr>
            <w:tcW w:w="439" w:type="pct"/>
            <w:shd w:val="clear" w:color="auto" w:fill="auto"/>
          </w:tcPr>
          <w:p w14:paraId="342E0E18" w14:textId="77777777" w:rsidR="00C81AF9" w:rsidRPr="009B332B" w:rsidRDefault="00A4197E" w:rsidP="00C81AF9">
            <w:pPr>
              <w:pStyle w:val="Tabletext"/>
            </w:pPr>
            <w:r w:rsidRPr="009B332B">
              <w:t>21</w:t>
            </w:r>
          </w:p>
        </w:tc>
        <w:tc>
          <w:tcPr>
            <w:tcW w:w="1303" w:type="pct"/>
            <w:shd w:val="clear" w:color="auto" w:fill="auto"/>
          </w:tcPr>
          <w:p w14:paraId="65DF8F4D" w14:textId="77777777" w:rsidR="00C81AF9" w:rsidRPr="009B332B" w:rsidRDefault="001861CF" w:rsidP="00C81AF9">
            <w:pPr>
              <w:pStyle w:val="Tabletext"/>
            </w:pPr>
            <w:r w:rsidRPr="009B332B">
              <w:t>Sub</w:t>
            </w:r>
            <w:r w:rsidR="00D70758" w:rsidRPr="009B332B">
              <w:t>rule 1</w:t>
            </w:r>
            <w:r w:rsidR="00C81AF9" w:rsidRPr="009B332B">
              <w:t>5.2</w:t>
            </w:r>
            <w:r w:rsidR="00FB12C6" w:rsidRPr="009B332B">
              <w:t>1</w:t>
            </w:r>
            <w:r w:rsidRPr="009B332B">
              <w:t>(1)</w:t>
            </w:r>
          </w:p>
        </w:tc>
        <w:tc>
          <w:tcPr>
            <w:tcW w:w="1816" w:type="pct"/>
            <w:shd w:val="clear" w:color="auto" w:fill="auto"/>
          </w:tcPr>
          <w:p w14:paraId="4C895BFB" w14:textId="77777777" w:rsidR="00C81AF9" w:rsidRPr="009B332B" w:rsidRDefault="00A5753C" w:rsidP="00C81AF9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4C9A924F" w14:textId="77777777" w:rsidR="00C81AF9" w:rsidRPr="009B332B" w:rsidRDefault="0024237B" w:rsidP="00C81AF9">
            <w:pPr>
              <w:pStyle w:val="Tabletext"/>
            </w:pPr>
            <w:r>
              <w:t>Division 2</w:t>
            </w:r>
          </w:p>
        </w:tc>
      </w:tr>
      <w:tr w:rsidR="0058746A" w:rsidRPr="009B332B" w14:paraId="76381829" w14:textId="77777777" w:rsidTr="0058746A">
        <w:tc>
          <w:tcPr>
            <w:tcW w:w="439" w:type="pct"/>
            <w:shd w:val="clear" w:color="auto" w:fill="auto"/>
          </w:tcPr>
          <w:p w14:paraId="51B00BA7" w14:textId="77777777" w:rsidR="00C81AF9" w:rsidRPr="009B332B" w:rsidRDefault="00A4197E" w:rsidP="00C81AF9">
            <w:pPr>
              <w:pStyle w:val="Tabletext"/>
            </w:pPr>
            <w:r w:rsidRPr="009B332B">
              <w:t>22</w:t>
            </w:r>
          </w:p>
        </w:tc>
        <w:tc>
          <w:tcPr>
            <w:tcW w:w="1303" w:type="pct"/>
            <w:shd w:val="clear" w:color="auto" w:fill="auto"/>
          </w:tcPr>
          <w:p w14:paraId="69BBEAF8" w14:textId="77777777" w:rsidR="00C81AF9" w:rsidRPr="009B332B" w:rsidRDefault="00DA5A7E" w:rsidP="00C81AF9">
            <w:pPr>
              <w:pStyle w:val="Tabletext"/>
            </w:pPr>
            <w:r w:rsidRPr="009B332B">
              <w:t>Rule 1</w:t>
            </w:r>
            <w:r w:rsidR="00C81AF9" w:rsidRPr="009B332B">
              <w:t>5.2</w:t>
            </w:r>
            <w:r w:rsidR="001861CF" w:rsidRPr="009B332B">
              <w:t>2</w:t>
            </w:r>
          </w:p>
        </w:tc>
        <w:tc>
          <w:tcPr>
            <w:tcW w:w="1816" w:type="pct"/>
            <w:shd w:val="clear" w:color="auto" w:fill="auto"/>
          </w:tcPr>
          <w:p w14:paraId="69321C1C" w14:textId="77777777" w:rsidR="00C81AF9" w:rsidRPr="009B332B" w:rsidRDefault="00A5753C" w:rsidP="00C81AF9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426D4D37" w14:textId="77777777" w:rsidR="00C81AF9" w:rsidRPr="009B332B" w:rsidRDefault="0024237B" w:rsidP="00C81AF9">
            <w:pPr>
              <w:pStyle w:val="Tabletext"/>
            </w:pPr>
            <w:r>
              <w:t>Division 2</w:t>
            </w:r>
          </w:p>
        </w:tc>
      </w:tr>
      <w:tr w:rsidR="0058746A" w:rsidRPr="009B332B" w14:paraId="737F5C3F" w14:textId="77777777" w:rsidTr="0058746A">
        <w:tc>
          <w:tcPr>
            <w:tcW w:w="439" w:type="pct"/>
            <w:shd w:val="clear" w:color="auto" w:fill="auto"/>
          </w:tcPr>
          <w:p w14:paraId="6103CD49" w14:textId="77777777" w:rsidR="00C81AF9" w:rsidRPr="009B332B" w:rsidRDefault="00A4197E" w:rsidP="00C81AF9">
            <w:pPr>
              <w:pStyle w:val="Tabletext"/>
            </w:pPr>
            <w:r w:rsidRPr="009B332B">
              <w:t>23</w:t>
            </w:r>
          </w:p>
        </w:tc>
        <w:tc>
          <w:tcPr>
            <w:tcW w:w="1303" w:type="pct"/>
            <w:shd w:val="clear" w:color="auto" w:fill="auto"/>
          </w:tcPr>
          <w:p w14:paraId="69E7550A" w14:textId="77777777" w:rsidR="00C81AF9" w:rsidRPr="009B332B" w:rsidRDefault="00DA5A7E" w:rsidP="00C81AF9">
            <w:pPr>
              <w:pStyle w:val="Tabletext"/>
            </w:pPr>
            <w:r w:rsidRPr="009B332B">
              <w:t>Rule 1</w:t>
            </w:r>
            <w:r w:rsidR="00C81AF9" w:rsidRPr="009B332B">
              <w:t>5.2</w:t>
            </w:r>
            <w:r w:rsidR="001861CF" w:rsidRPr="009B332B">
              <w:t>2</w:t>
            </w:r>
          </w:p>
        </w:tc>
        <w:tc>
          <w:tcPr>
            <w:tcW w:w="1816" w:type="pct"/>
            <w:shd w:val="clear" w:color="auto" w:fill="auto"/>
          </w:tcPr>
          <w:p w14:paraId="6AB65392" w14:textId="77777777" w:rsidR="00C81AF9" w:rsidRPr="009B332B" w:rsidRDefault="00C81AF9" w:rsidP="00C81AF9">
            <w:pPr>
              <w:pStyle w:val="Tabletext"/>
            </w:pPr>
            <w:r w:rsidRPr="009B332B">
              <w:t>Chief Justice</w:t>
            </w:r>
          </w:p>
        </w:tc>
        <w:tc>
          <w:tcPr>
            <w:tcW w:w="1442" w:type="pct"/>
            <w:shd w:val="clear" w:color="auto" w:fill="auto"/>
          </w:tcPr>
          <w:p w14:paraId="6FB0FA4D" w14:textId="77777777" w:rsidR="00C81AF9" w:rsidRPr="009B332B" w:rsidRDefault="00C81AF9" w:rsidP="00C81AF9">
            <w:pPr>
              <w:pStyle w:val="Tabletext"/>
            </w:pPr>
            <w:r w:rsidRPr="009B332B">
              <w:t>Chief Judge</w:t>
            </w:r>
          </w:p>
        </w:tc>
      </w:tr>
      <w:tr w:rsidR="0058746A" w:rsidRPr="009B332B" w14:paraId="328A8071" w14:textId="77777777" w:rsidTr="0058746A">
        <w:tc>
          <w:tcPr>
            <w:tcW w:w="439" w:type="pct"/>
            <w:shd w:val="clear" w:color="auto" w:fill="auto"/>
          </w:tcPr>
          <w:p w14:paraId="7802DBE3" w14:textId="77777777" w:rsidR="00C81AF9" w:rsidRPr="009B332B" w:rsidRDefault="00A4197E" w:rsidP="00C81AF9">
            <w:pPr>
              <w:pStyle w:val="Tabletext"/>
            </w:pPr>
            <w:r w:rsidRPr="009B332B">
              <w:t>24</w:t>
            </w:r>
          </w:p>
        </w:tc>
        <w:tc>
          <w:tcPr>
            <w:tcW w:w="1303" w:type="pct"/>
            <w:shd w:val="clear" w:color="auto" w:fill="auto"/>
          </w:tcPr>
          <w:p w14:paraId="20BA8F2C" w14:textId="77777777" w:rsidR="00C81AF9" w:rsidRPr="009B332B" w:rsidRDefault="00D70758" w:rsidP="00C81AF9">
            <w:pPr>
              <w:pStyle w:val="Tabletext"/>
            </w:pPr>
            <w:r w:rsidRPr="009B332B">
              <w:t>Schedule 1</w:t>
            </w:r>
            <w:r w:rsidR="00C81AF9" w:rsidRPr="009B332B">
              <w:t xml:space="preserve">, </w:t>
            </w:r>
            <w:r w:rsidR="00A5753C" w:rsidRPr="009B332B">
              <w:t>Part 1</w:t>
            </w:r>
            <w:r w:rsidR="001861CF" w:rsidRPr="009B332B">
              <w:t>,</w:t>
            </w:r>
          </w:p>
          <w:p w14:paraId="301360A1" w14:textId="77777777" w:rsidR="00C81AF9" w:rsidRPr="009B332B" w:rsidRDefault="00A5753C" w:rsidP="00C81AF9">
            <w:pPr>
              <w:pStyle w:val="Tabletext"/>
            </w:pPr>
            <w:r w:rsidRPr="009B332B">
              <w:t>paragraph 1</w:t>
            </w:r>
            <w:r w:rsidR="00C81AF9" w:rsidRPr="009B332B">
              <w:t>(4)(f)</w:t>
            </w:r>
          </w:p>
        </w:tc>
        <w:tc>
          <w:tcPr>
            <w:tcW w:w="1816" w:type="pct"/>
            <w:shd w:val="clear" w:color="auto" w:fill="auto"/>
          </w:tcPr>
          <w:p w14:paraId="726ECB90" w14:textId="77777777" w:rsidR="00C81AF9" w:rsidRPr="009B332B" w:rsidRDefault="00A5753C" w:rsidP="00C81AF9">
            <w:pPr>
              <w:pStyle w:val="Tabletext"/>
            </w:pPr>
            <w:r w:rsidRPr="009B332B">
              <w:t>section 6</w:t>
            </w:r>
            <w:r w:rsidR="00C81AF9" w:rsidRPr="009B332B">
              <w:t>7</w:t>
            </w:r>
          </w:p>
        </w:tc>
        <w:tc>
          <w:tcPr>
            <w:tcW w:w="1442" w:type="pct"/>
            <w:shd w:val="clear" w:color="auto" w:fill="auto"/>
          </w:tcPr>
          <w:p w14:paraId="1F8453AB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90</w:t>
            </w:r>
          </w:p>
        </w:tc>
      </w:tr>
      <w:tr w:rsidR="001861CF" w:rsidRPr="009B332B" w14:paraId="3CC4DD3C" w14:textId="77777777" w:rsidTr="003746C2">
        <w:tc>
          <w:tcPr>
            <w:tcW w:w="439" w:type="pct"/>
            <w:shd w:val="clear" w:color="auto" w:fill="auto"/>
          </w:tcPr>
          <w:p w14:paraId="066E472C" w14:textId="77777777" w:rsidR="001861CF" w:rsidRPr="009B332B" w:rsidRDefault="00A4197E" w:rsidP="003746C2">
            <w:pPr>
              <w:pStyle w:val="Tabletext"/>
            </w:pPr>
            <w:r w:rsidRPr="009B332B">
              <w:t>25</w:t>
            </w:r>
          </w:p>
        </w:tc>
        <w:tc>
          <w:tcPr>
            <w:tcW w:w="1303" w:type="pct"/>
            <w:shd w:val="clear" w:color="auto" w:fill="auto"/>
          </w:tcPr>
          <w:p w14:paraId="4FAD0779" w14:textId="77777777" w:rsidR="001861CF" w:rsidRPr="009B332B" w:rsidRDefault="00D70758" w:rsidP="003746C2">
            <w:pPr>
              <w:pStyle w:val="Tabletext"/>
            </w:pPr>
            <w:r w:rsidRPr="009B332B">
              <w:t>Schedule 1</w:t>
            </w:r>
            <w:r w:rsidR="001861CF" w:rsidRPr="009B332B">
              <w:t xml:space="preserve">, </w:t>
            </w:r>
            <w:r w:rsidR="00A5753C" w:rsidRPr="009B332B">
              <w:t>Part 2</w:t>
            </w:r>
          </w:p>
          <w:p w14:paraId="3C049868" w14:textId="77777777" w:rsidR="001861CF" w:rsidRPr="009B332B" w:rsidRDefault="00A5753C" w:rsidP="003746C2">
            <w:pPr>
              <w:pStyle w:val="Tabletext"/>
            </w:pPr>
            <w:r w:rsidRPr="009B332B">
              <w:t>paragraph 1</w:t>
            </w:r>
            <w:r w:rsidR="001861CF" w:rsidRPr="009B332B">
              <w:t>(4)(f)</w:t>
            </w:r>
          </w:p>
        </w:tc>
        <w:tc>
          <w:tcPr>
            <w:tcW w:w="1816" w:type="pct"/>
            <w:shd w:val="clear" w:color="auto" w:fill="auto"/>
          </w:tcPr>
          <w:p w14:paraId="17579364" w14:textId="77777777" w:rsidR="001861CF" w:rsidRPr="009B332B" w:rsidRDefault="00A5753C" w:rsidP="003746C2">
            <w:pPr>
              <w:pStyle w:val="Tabletext"/>
            </w:pPr>
            <w:r w:rsidRPr="009B332B">
              <w:t>section 6</w:t>
            </w:r>
            <w:r w:rsidR="001861CF" w:rsidRPr="009B332B">
              <w:t>7</w:t>
            </w:r>
          </w:p>
        </w:tc>
        <w:tc>
          <w:tcPr>
            <w:tcW w:w="1442" w:type="pct"/>
            <w:shd w:val="clear" w:color="auto" w:fill="auto"/>
          </w:tcPr>
          <w:p w14:paraId="15BE335B" w14:textId="77777777" w:rsidR="001861CF" w:rsidRPr="009B332B" w:rsidRDefault="00A5753C" w:rsidP="003746C2">
            <w:pPr>
              <w:pStyle w:val="Tabletext"/>
            </w:pPr>
            <w:r w:rsidRPr="009B332B">
              <w:t>section 1</w:t>
            </w:r>
            <w:r w:rsidR="001861CF" w:rsidRPr="009B332B">
              <w:t>90</w:t>
            </w:r>
          </w:p>
        </w:tc>
      </w:tr>
      <w:tr w:rsidR="0058746A" w:rsidRPr="009B332B" w14:paraId="6CD29D35" w14:textId="77777777" w:rsidTr="0058746A">
        <w:tc>
          <w:tcPr>
            <w:tcW w:w="439" w:type="pct"/>
            <w:shd w:val="clear" w:color="auto" w:fill="auto"/>
          </w:tcPr>
          <w:p w14:paraId="676822F5" w14:textId="77777777" w:rsidR="00C81AF9" w:rsidRPr="009B332B" w:rsidRDefault="00A4197E" w:rsidP="00C81AF9">
            <w:pPr>
              <w:pStyle w:val="Tabletext"/>
            </w:pPr>
            <w:r w:rsidRPr="009B332B">
              <w:t>26</w:t>
            </w:r>
          </w:p>
        </w:tc>
        <w:tc>
          <w:tcPr>
            <w:tcW w:w="1303" w:type="pct"/>
            <w:shd w:val="clear" w:color="auto" w:fill="auto"/>
          </w:tcPr>
          <w:p w14:paraId="2111FAE1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</w:p>
        </w:tc>
        <w:tc>
          <w:tcPr>
            <w:tcW w:w="1816" w:type="pct"/>
            <w:shd w:val="clear" w:color="auto" w:fill="auto"/>
          </w:tcPr>
          <w:p w14:paraId="49D25677" w14:textId="77777777" w:rsidR="00C81AF9" w:rsidRPr="009B332B" w:rsidRDefault="00A5753C" w:rsidP="00C81AF9">
            <w:pPr>
              <w:pStyle w:val="Tabletext"/>
            </w:pPr>
            <w:r w:rsidRPr="009B332B">
              <w:t>Division 1</w:t>
            </w:r>
          </w:p>
        </w:tc>
        <w:tc>
          <w:tcPr>
            <w:tcW w:w="1442" w:type="pct"/>
            <w:shd w:val="clear" w:color="auto" w:fill="auto"/>
          </w:tcPr>
          <w:p w14:paraId="254BED12" w14:textId="77777777" w:rsidR="00C81AF9" w:rsidRPr="009B332B" w:rsidRDefault="0024237B" w:rsidP="00C81AF9">
            <w:pPr>
              <w:pStyle w:val="Tabletext"/>
            </w:pPr>
            <w:r>
              <w:t>Division 2</w:t>
            </w:r>
          </w:p>
        </w:tc>
      </w:tr>
      <w:tr w:rsidR="0058746A" w:rsidRPr="009B332B" w14:paraId="06821F49" w14:textId="77777777" w:rsidTr="0058746A">
        <w:tc>
          <w:tcPr>
            <w:tcW w:w="439" w:type="pct"/>
            <w:shd w:val="clear" w:color="auto" w:fill="auto"/>
          </w:tcPr>
          <w:p w14:paraId="66E5FA01" w14:textId="77777777" w:rsidR="00C81AF9" w:rsidRPr="009B332B" w:rsidRDefault="00A4197E" w:rsidP="00C81AF9">
            <w:pPr>
              <w:pStyle w:val="Tabletext"/>
            </w:pPr>
            <w:r w:rsidRPr="009B332B">
              <w:t>27</w:t>
            </w:r>
          </w:p>
        </w:tc>
        <w:tc>
          <w:tcPr>
            <w:tcW w:w="1303" w:type="pct"/>
            <w:shd w:val="clear" w:color="auto" w:fill="auto"/>
          </w:tcPr>
          <w:p w14:paraId="1FB4ED07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.1</w:t>
            </w:r>
          </w:p>
        </w:tc>
        <w:tc>
          <w:tcPr>
            <w:tcW w:w="1816" w:type="pct"/>
            <w:shd w:val="clear" w:color="auto" w:fill="auto"/>
          </w:tcPr>
          <w:p w14:paraId="7AF5F843" w14:textId="77777777" w:rsidR="00C81AF9" w:rsidRPr="009B332B" w:rsidRDefault="00C81AF9" w:rsidP="00C81AF9">
            <w:pPr>
              <w:pStyle w:val="Tabletext"/>
            </w:pPr>
            <w:r w:rsidRPr="009B332B">
              <w:t>98(2)(q)</w:t>
            </w:r>
          </w:p>
        </w:tc>
        <w:tc>
          <w:tcPr>
            <w:tcW w:w="1442" w:type="pct"/>
            <w:shd w:val="clear" w:color="auto" w:fill="auto"/>
          </w:tcPr>
          <w:p w14:paraId="4942108F" w14:textId="77777777" w:rsidR="00C81AF9" w:rsidRPr="009B332B" w:rsidRDefault="00C81AF9" w:rsidP="00C81AF9">
            <w:pPr>
              <w:pStyle w:val="Tabletext"/>
            </w:pPr>
            <w:r w:rsidRPr="009B332B">
              <w:t>254(2)(q)</w:t>
            </w:r>
          </w:p>
        </w:tc>
      </w:tr>
      <w:tr w:rsidR="0058746A" w:rsidRPr="009B332B" w14:paraId="2A8275BC" w14:textId="77777777" w:rsidTr="0058746A">
        <w:tc>
          <w:tcPr>
            <w:tcW w:w="439" w:type="pct"/>
            <w:shd w:val="clear" w:color="auto" w:fill="auto"/>
          </w:tcPr>
          <w:p w14:paraId="48F6E51F" w14:textId="77777777" w:rsidR="00C81AF9" w:rsidRPr="009B332B" w:rsidRDefault="00A4197E" w:rsidP="00C81AF9">
            <w:pPr>
              <w:pStyle w:val="Tabletext"/>
            </w:pPr>
            <w:r w:rsidRPr="009B332B">
              <w:t>28</w:t>
            </w:r>
          </w:p>
        </w:tc>
        <w:tc>
          <w:tcPr>
            <w:tcW w:w="1303" w:type="pct"/>
            <w:shd w:val="clear" w:color="auto" w:fill="auto"/>
          </w:tcPr>
          <w:p w14:paraId="42C0B98B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</w:t>
            </w:r>
            <w:r w:rsidR="00C46E56" w:rsidRPr="009B332B">
              <w:t>s</w:t>
            </w:r>
            <w:r w:rsidR="00A5753C" w:rsidRPr="009B332B">
              <w:t> 3</w:t>
            </w:r>
            <w:r w:rsidR="00C81AF9" w:rsidRPr="009B332B">
              <w:t>.1</w:t>
            </w:r>
            <w:r w:rsidR="00C46E56" w:rsidRPr="009B332B">
              <w:t xml:space="preserve">, 3.2 and </w:t>
            </w:r>
            <w:r w:rsidR="00C81AF9" w:rsidRPr="009B332B">
              <w:t>3.3</w:t>
            </w:r>
          </w:p>
        </w:tc>
        <w:tc>
          <w:tcPr>
            <w:tcW w:w="1816" w:type="pct"/>
            <w:shd w:val="clear" w:color="auto" w:fill="auto"/>
          </w:tcPr>
          <w:p w14:paraId="769AD6D2" w14:textId="77777777" w:rsidR="00C81AF9" w:rsidRPr="009B332B" w:rsidRDefault="00C81AF9" w:rsidP="00C81AF9">
            <w:pPr>
              <w:pStyle w:val="Tabletext"/>
            </w:pPr>
            <w:r w:rsidRPr="009B332B">
              <w:t>98(3)(d)</w:t>
            </w:r>
          </w:p>
        </w:tc>
        <w:tc>
          <w:tcPr>
            <w:tcW w:w="1442" w:type="pct"/>
            <w:shd w:val="clear" w:color="auto" w:fill="auto"/>
          </w:tcPr>
          <w:p w14:paraId="2D302183" w14:textId="77777777" w:rsidR="00C81AF9" w:rsidRPr="009B332B" w:rsidRDefault="00C81AF9" w:rsidP="00C81AF9">
            <w:pPr>
              <w:pStyle w:val="Tabletext"/>
            </w:pPr>
            <w:r w:rsidRPr="009B332B">
              <w:t>254(3)(d)</w:t>
            </w:r>
          </w:p>
        </w:tc>
      </w:tr>
      <w:tr w:rsidR="0058746A" w:rsidRPr="009B332B" w14:paraId="22F8D236" w14:textId="77777777" w:rsidTr="0058746A">
        <w:tc>
          <w:tcPr>
            <w:tcW w:w="439" w:type="pct"/>
            <w:shd w:val="clear" w:color="auto" w:fill="auto"/>
          </w:tcPr>
          <w:p w14:paraId="69EB6A49" w14:textId="77777777" w:rsidR="00C81AF9" w:rsidRPr="009B332B" w:rsidRDefault="00A4197E" w:rsidP="00C81AF9">
            <w:pPr>
              <w:pStyle w:val="Tabletext"/>
            </w:pPr>
            <w:r w:rsidRPr="009B332B">
              <w:t>29</w:t>
            </w:r>
          </w:p>
        </w:tc>
        <w:tc>
          <w:tcPr>
            <w:tcW w:w="1303" w:type="pct"/>
            <w:shd w:val="clear" w:color="auto" w:fill="auto"/>
          </w:tcPr>
          <w:p w14:paraId="07596D2E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5</w:t>
            </w:r>
            <w:r w:rsidR="00C81AF9" w:rsidRPr="009B332B">
              <w:t>.2</w:t>
            </w:r>
          </w:p>
        </w:tc>
        <w:tc>
          <w:tcPr>
            <w:tcW w:w="1816" w:type="pct"/>
            <w:shd w:val="clear" w:color="auto" w:fill="auto"/>
          </w:tcPr>
          <w:p w14:paraId="0CBE3E74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 xml:space="preserve">8(2)(p) (qualified by </w:t>
            </w:r>
            <w:r w:rsidRPr="009B332B">
              <w:t>subsection 9</w:t>
            </w:r>
            <w:r w:rsidR="00C81AF9" w:rsidRPr="009B332B">
              <w:t>8(7))</w:t>
            </w:r>
          </w:p>
        </w:tc>
        <w:tc>
          <w:tcPr>
            <w:tcW w:w="1442" w:type="pct"/>
            <w:shd w:val="clear" w:color="auto" w:fill="auto"/>
          </w:tcPr>
          <w:p w14:paraId="796E9937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 xml:space="preserve">54(2)(p) (qualified by </w:t>
            </w:r>
            <w:r w:rsidRPr="009B332B">
              <w:t>subsection 2</w:t>
            </w:r>
            <w:r w:rsidR="00C81AF9" w:rsidRPr="009B332B">
              <w:t>54(7)</w:t>
            </w:r>
            <w:r w:rsidR="00E920DA" w:rsidRPr="009B332B">
              <w:t>)</w:t>
            </w:r>
          </w:p>
        </w:tc>
      </w:tr>
      <w:tr w:rsidR="0058746A" w:rsidRPr="009B332B" w14:paraId="51D04478" w14:textId="77777777" w:rsidTr="0058746A">
        <w:tc>
          <w:tcPr>
            <w:tcW w:w="439" w:type="pct"/>
            <w:shd w:val="clear" w:color="auto" w:fill="auto"/>
          </w:tcPr>
          <w:p w14:paraId="3EA52594" w14:textId="77777777" w:rsidR="00C81AF9" w:rsidRPr="009B332B" w:rsidRDefault="00A4197E" w:rsidP="00C81AF9">
            <w:pPr>
              <w:pStyle w:val="Tabletext"/>
            </w:pPr>
            <w:r w:rsidRPr="009B332B">
              <w:t>30</w:t>
            </w:r>
          </w:p>
        </w:tc>
        <w:tc>
          <w:tcPr>
            <w:tcW w:w="1303" w:type="pct"/>
            <w:shd w:val="clear" w:color="auto" w:fill="auto"/>
          </w:tcPr>
          <w:p w14:paraId="609F6EF0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</w:t>
            </w:r>
            <w:r w:rsidR="00477D36" w:rsidRPr="009B332B">
              <w:t>s</w:t>
            </w:r>
            <w:r w:rsidR="00A5753C" w:rsidRPr="009B332B">
              <w:t> 1</w:t>
            </w:r>
            <w:r w:rsidR="00C81AF9" w:rsidRPr="009B332B">
              <w:t>2.1</w:t>
            </w:r>
            <w:r w:rsidR="00477D36" w:rsidRPr="009B332B">
              <w:t xml:space="preserve"> and 12.2</w:t>
            </w:r>
          </w:p>
        </w:tc>
        <w:tc>
          <w:tcPr>
            <w:tcW w:w="1816" w:type="pct"/>
            <w:shd w:val="clear" w:color="auto" w:fill="auto"/>
          </w:tcPr>
          <w:p w14:paraId="5F6FD4A9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 xml:space="preserve">8(2)(i) and </w:t>
            </w:r>
            <w:r w:rsidRPr="009B332B">
              <w:t>subsection 9</w:t>
            </w:r>
            <w:r w:rsidR="00C81AF9" w:rsidRPr="009B332B">
              <w:t>8(6)</w:t>
            </w:r>
          </w:p>
        </w:tc>
        <w:tc>
          <w:tcPr>
            <w:tcW w:w="1442" w:type="pct"/>
            <w:shd w:val="clear" w:color="auto" w:fill="auto"/>
          </w:tcPr>
          <w:p w14:paraId="603E51AD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 xml:space="preserve">54(2)(i) and </w:t>
            </w:r>
            <w:r w:rsidRPr="009B332B">
              <w:t>subsection 2</w:t>
            </w:r>
            <w:r w:rsidR="00C81AF9" w:rsidRPr="009B332B">
              <w:t>54(6)</w:t>
            </w:r>
          </w:p>
        </w:tc>
      </w:tr>
      <w:tr w:rsidR="0058746A" w:rsidRPr="009B332B" w14:paraId="2C2B99FD" w14:textId="77777777" w:rsidTr="0058746A">
        <w:tc>
          <w:tcPr>
            <w:tcW w:w="439" w:type="pct"/>
            <w:shd w:val="clear" w:color="auto" w:fill="auto"/>
          </w:tcPr>
          <w:p w14:paraId="3DDF9BA4" w14:textId="77777777" w:rsidR="00C81AF9" w:rsidRPr="009B332B" w:rsidRDefault="00A4197E" w:rsidP="00C81AF9">
            <w:pPr>
              <w:pStyle w:val="Tabletext"/>
            </w:pPr>
            <w:r w:rsidRPr="009B332B">
              <w:t>31</w:t>
            </w:r>
          </w:p>
        </w:tc>
        <w:tc>
          <w:tcPr>
            <w:tcW w:w="1303" w:type="pct"/>
            <w:shd w:val="clear" w:color="auto" w:fill="auto"/>
          </w:tcPr>
          <w:p w14:paraId="4662B992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D70758" w:rsidRPr="009B332B">
              <w:t>item 1</w:t>
            </w:r>
            <w:r w:rsidR="00C81AF9" w:rsidRPr="009B332B">
              <w:t>2.</w:t>
            </w:r>
            <w:r w:rsidR="00477D36" w:rsidRPr="009B332B">
              <w:t>3</w:t>
            </w:r>
          </w:p>
        </w:tc>
        <w:tc>
          <w:tcPr>
            <w:tcW w:w="1816" w:type="pct"/>
            <w:shd w:val="clear" w:color="auto" w:fill="auto"/>
          </w:tcPr>
          <w:p w14:paraId="5475EB75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8(2)(j)</w:t>
            </w:r>
          </w:p>
        </w:tc>
        <w:tc>
          <w:tcPr>
            <w:tcW w:w="1442" w:type="pct"/>
            <w:shd w:val="clear" w:color="auto" w:fill="auto"/>
          </w:tcPr>
          <w:p w14:paraId="4AD6C40A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54(2)(j)</w:t>
            </w:r>
          </w:p>
        </w:tc>
      </w:tr>
      <w:tr w:rsidR="0058746A" w:rsidRPr="009B332B" w14:paraId="59866F66" w14:textId="77777777" w:rsidTr="0058746A">
        <w:tc>
          <w:tcPr>
            <w:tcW w:w="439" w:type="pct"/>
            <w:shd w:val="clear" w:color="auto" w:fill="auto"/>
          </w:tcPr>
          <w:p w14:paraId="1FBF3709" w14:textId="77777777" w:rsidR="00C81AF9" w:rsidRPr="009B332B" w:rsidRDefault="00A4197E" w:rsidP="00C81AF9">
            <w:pPr>
              <w:pStyle w:val="Tabletext"/>
            </w:pPr>
            <w:r w:rsidRPr="009B332B">
              <w:lastRenderedPageBreak/>
              <w:t>32</w:t>
            </w:r>
          </w:p>
        </w:tc>
        <w:tc>
          <w:tcPr>
            <w:tcW w:w="1303" w:type="pct"/>
            <w:shd w:val="clear" w:color="auto" w:fill="auto"/>
          </w:tcPr>
          <w:p w14:paraId="05AF099F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D70758" w:rsidRPr="009B332B">
              <w:t>item 1</w:t>
            </w:r>
            <w:r w:rsidR="00C81AF9" w:rsidRPr="009B332B">
              <w:t>4.1</w:t>
            </w:r>
          </w:p>
        </w:tc>
        <w:tc>
          <w:tcPr>
            <w:tcW w:w="1816" w:type="pct"/>
            <w:shd w:val="clear" w:color="auto" w:fill="auto"/>
          </w:tcPr>
          <w:p w14:paraId="2710D8D4" w14:textId="77777777" w:rsidR="00C81AF9" w:rsidRPr="009B332B" w:rsidRDefault="00A5753C" w:rsidP="00C81AF9">
            <w:pPr>
              <w:pStyle w:val="Tabletext"/>
            </w:pPr>
            <w:r w:rsidRPr="009B332B">
              <w:t>Subsection 6</w:t>
            </w:r>
            <w:r w:rsidR="00C81AF9" w:rsidRPr="009B332B">
              <w:t>8(3)</w:t>
            </w:r>
          </w:p>
        </w:tc>
        <w:tc>
          <w:tcPr>
            <w:tcW w:w="1442" w:type="pct"/>
            <w:shd w:val="clear" w:color="auto" w:fill="auto"/>
          </w:tcPr>
          <w:p w14:paraId="4C5AFC1B" w14:textId="77777777" w:rsidR="00C81AF9" w:rsidRPr="009B332B" w:rsidRDefault="00A5753C" w:rsidP="00C81AF9">
            <w:pPr>
              <w:pStyle w:val="Tabletext"/>
            </w:pPr>
            <w:r w:rsidRPr="009B332B">
              <w:t>Subsection 1</w:t>
            </w:r>
            <w:r w:rsidR="00C81AF9" w:rsidRPr="009B332B">
              <w:t>91(3)</w:t>
            </w:r>
          </w:p>
        </w:tc>
      </w:tr>
      <w:tr w:rsidR="0058746A" w:rsidRPr="009B332B" w14:paraId="6326FC3B" w14:textId="77777777" w:rsidTr="0058746A">
        <w:tc>
          <w:tcPr>
            <w:tcW w:w="439" w:type="pct"/>
            <w:shd w:val="clear" w:color="auto" w:fill="auto"/>
          </w:tcPr>
          <w:p w14:paraId="156C82DC" w14:textId="77777777" w:rsidR="00C81AF9" w:rsidRPr="009B332B" w:rsidRDefault="00A4197E" w:rsidP="00C81AF9">
            <w:pPr>
              <w:pStyle w:val="Tabletext"/>
            </w:pPr>
            <w:r w:rsidRPr="009B332B">
              <w:t>33</w:t>
            </w:r>
          </w:p>
        </w:tc>
        <w:tc>
          <w:tcPr>
            <w:tcW w:w="1303" w:type="pct"/>
            <w:shd w:val="clear" w:color="auto" w:fill="auto"/>
          </w:tcPr>
          <w:p w14:paraId="7EE4ED7D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D70758" w:rsidRPr="009B332B">
              <w:t>item 1</w:t>
            </w:r>
            <w:r w:rsidR="00C81AF9" w:rsidRPr="009B332B">
              <w:t>4.2</w:t>
            </w:r>
          </w:p>
        </w:tc>
        <w:tc>
          <w:tcPr>
            <w:tcW w:w="1816" w:type="pct"/>
            <w:shd w:val="clear" w:color="auto" w:fill="auto"/>
          </w:tcPr>
          <w:p w14:paraId="2F77BDC3" w14:textId="77777777" w:rsidR="00C81AF9" w:rsidRPr="009B332B" w:rsidRDefault="00A5753C" w:rsidP="00C81AF9">
            <w:pPr>
              <w:pStyle w:val="Tabletext"/>
            </w:pPr>
            <w:r w:rsidRPr="009B332B">
              <w:t>Section 6</w:t>
            </w:r>
            <w:r w:rsidR="00C81AF9" w:rsidRPr="009B332B">
              <w:t>9</w:t>
            </w:r>
          </w:p>
        </w:tc>
        <w:tc>
          <w:tcPr>
            <w:tcW w:w="1442" w:type="pct"/>
            <w:shd w:val="clear" w:color="auto" w:fill="auto"/>
          </w:tcPr>
          <w:p w14:paraId="1FB7A44E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92</w:t>
            </w:r>
          </w:p>
        </w:tc>
      </w:tr>
      <w:tr w:rsidR="0058746A" w:rsidRPr="009B332B" w14:paraId="355D8C33" w14:textId="77777777" w:rsidTr="0058746A">
        <w:tc>
          <w:tcPr>
            <w:tcW w:w="439" w:type="pct"/>
            <w:shd w:val="clear" w:color="auto" w:fill="auto"/>
          </w:tcPr>
          <w:p w14:paraId="69A7509A" w14:textId="77777777" w:rsidR="00C81AF9" w:rsidRPr="009B332B" w:rsidRDefault="00A4197E" w:rsidP="00C81AF9">
            <w:pPr>
              <w:pStyle w:val="Tabletext"/>
            </w:pPr>
            <w:r w:rsidRPr="009B332B">
              <w:t>34</w:t>
            </w:r>
          </w:p>
        </w:tc>
        <w:tc>
          <w:tcPr>
            <w:tcW w:w="1303" w:type="pct"/>
            <w:shd w:val="clear" w:color="auto" w:fill="auto"/>
          </w:tcPr>
          <w:p w14:paraId="52CC16BC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D70758" w:rsidRPr="009B332B">
              <w:t>item 1</w:t>
            </w:r>
            <w:r w:rsidR="00C81AF9" w:rsidRPr="009B332B">
              <w:t>4.</w:t>
            </w:r>
            <w:r w:rsidR="00C46E56" w:rsidRPr="009B332B">
              <w:t>5</w:t>
            </w:r>
          </w:p>
        </w:tc>
        <w:tc>
          <w:tcPr>
            <w:tcW w:w="1816" w:type="pct"/>
            <w:shd w:val="clear" w:color="auto" w:fill="auto"/>
          </w:tcPr>
          <w:p w14:paraId="7A910E9F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8(2)(k)</w:t>
            </w:r>
          </w:p>
        </w:tc>
        <w:tc>
          <w:tcPr>
            <w:tcW w:w="1442" w:type="pct"/>
            <w:shd w:val="clear" w:color="auto" w:fill="auto"/>
          </w:tcPr>
          <w:p w14:paraId="29EAF248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54(2)(k)</w:t>
            </w:r>
          </w:p>
        </w:tc>
      </w:tr>
      <w:tr w:rsidR="0058746A" w:rsidRPr="009B332B" w14:paraId="71FB6852" w14:textId="77777777" w:rsidTr="0058746A">
        <w:tc>
          <w:tcPr>
            <w:tcW w:w="439" w:type="pct"/>
            <w:shd w:val="clear" w:color="auto" w:fill="auto"/>
          </w:tcPr>
          <w:p w14:paraId="60D84469" w14:textId="77777777" w:rsidR="00C81AF9" w:rsidRPr="009B332B" w:rsidRDefault="00A4197E" w:rsidP="00C81AF9">
            <w:pPr>
              <w:pStyle w:val="Tabletext"/>
            </w:pPr>
            <w:r w:rsidRPr="009B332B">
              <w:t>35</w:t>
            </w:r>
          </w:p>
        </w:tc>
        <w:tc>
          <w:tcPr>
            <w:tcW w:w="1303" w:type="pct"/>
            <w:shd w:val="clear" w:color="auto" w:fill="auto"/>
          </w:tcPr>
          <w:p w14:paraId="63C55FB6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D70758" w:rsidRPr="009B332B">
              <w:t>item 1</w:t>
            </w:r>
            <w:r w:rsidR="00C81AF9" w:rsidRPr="009B332B">
              <w:t>5.1</w:t>
            </w:r>
          </w:p>
        </w:tc>
        <w:tc>
          <w:tcPr>
            <w:tcW w:w="1816" w:type="pct"/>
            <w:shd w:val="clear" w:color="auto" w:fill="auto"/>
          </w:tcPr>
          <w:p w14:paraId="25F5B4B7" w14:textId="77777777" w:rsidR="00C81AF9" w:rsidRPr="009B332B" w:rsidRDefault="00A5753C" w:rsidP="00C81AF9">
            <w:pPr>
              <w:pStyle w:val="Tabletext"/>
            </w:pPr>
            <w:r w:rsidRPr="009B332B">
              <w:t>Section 6</w:t>
            </w:r>
            <w:r w:rsidR="00C81AF9" w:rsidRPr="009B332B">
              <w:t>3</w:t>
            </w:r>
          </w:p>
        </w:tc>
        <w:tc>
          <w:tcPr>
            <w:tcW w:w="1442" w:type="pct"/>
            <w:shd w:val="clear" w:color="auto" w:fill="auto"/>
          </w:tcPr>
          <w:p w14:paraId="5E22A406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82</w:t>
            </w:r>
          </w:p>
        </w:tc>
      </w:tr>
      <w:tr w:rsidR="0058746A" w:rsidRPr="009B332B" w14:paraId="7CAF8D7A" w14:textId="77777777" w:rsidTr="0058746A">
        <w:tc>
          <w:tcPr>
            <w:tcW w:w="439" w:type="pct"/>
            <w:shd w:val="clear" w:color="auto" w:fill="auto"/>
          </w:tcPr>
          <w:p w14:paraId="54DE1271" w14:textId="77777777" w:rsidR="00C81AF9" w:rsidRPr="009B332B" w:rsidRDefault="00A4197E" w:rsidP="00C81AF9">
            <w:pPr>
              <w:pStyle w:val="Tabletext"/>
            </w:pPr>
            <w:r w:rsidRPr="009B332B">
              <w:t>36</w:t>
            </w:r>
          </w:p>
        </w:tc>
        <w:tc>
          <w:tcPr>
            <w:tcW w:w="1303" w:type="pct"/>
            <w:shd w:val="clear" w:color="auto" w:fill="auto"/>
          </w:tcPr>
          <w:p w14:paraId="66764E3E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D70758" w:rsidRPr="009B332B">
              <w:t>item 1</w:t>
            </w:r>
            <w:r w:rsidR="00C81AF9" w:rsidRPr="009B332B">
              <w:t>6.1</w:t>
            </w:r>
          </w:p>
        </w:tc>
        <w:tc>
          <w:tcPr>
            <w:tcW w:w="1816" w:type="pct"/>
            <w:shd w:val="clear" w:color="auto" w:fill="auto"/>
          </w:tcPr>
          <w:p w14:paraId="63A48E84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8(2)(d)</w:t>
            </w:r>
          </w:p>
        </w:tc>
        <w:tc>
          <w:tcPr>
            <w:tcW w:w="1442" w:type="pct"/>
            <w:shd w:val="clear" w:color="auto" w:fill="auto"/>
          </w:tcPr>
          <w:p w14:paraId="3AFC50AB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54(2)(d)</w:t>
            </w:r>
          </w:p>
        </w:tc>
      </w:tr>
      <w:tr w:rsidR="00C46E56" w:rsidRPr="009B332B" w14:paraId="2CBC5872" w14:textId="77777777" w:rsidTr="003746C2">
        <w:tc>
          <w:tcPr>
            <w:tcW w:w="439" w:type="pct"/>
            <w:shd w:val="clear" w:color="auto" w:fill="auto"/>
          </w:tcPr>
          <w:p w14:paraId="75D38DF5" w14:textId="77777777" w:rsidR="00C46E56" w:rsidRPr="009B332B" w:rsidRDefault="00A4197E" w:rsidP="003746C2">
            <w:pPr>
              <w:pStyle w:val="Tabletext"/>
            </w:pPr>
            <w:r w:rsidRPr="009B332B">
              <w:t>37</w:t>
            </w:r>
          </w:p>
        </w:tc>
        <w:tc>
          <w:tcPr>
            <w:tcW w:w="1303" w:type="pct"/>
            <w:shd w:val="clear" w:color="auto" w:fill="auto"/>
          </w:tcPr>
          <w:p w14:paraId="4FF9EDF5" w14:textId="77777777" w:rsidR="00C46E56" w:rsidRPr="009B332B" w:rsidRDefault="00C95A5E" w:rsidP="003746C2">
            <w:pPr>
              <w:pStyle w:val="Tabletext"/>
            </w:pPr>
            <w:r w:rsidRPr="009B332B">
              <w:t>Schedule 4</w:t>
            </w:r>
            <w:r w:rsidR="00C46E56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D70758" w:rsidRPr="009B332B">
              <w:t>item 1</w:t>
            </w:r>
            <w:r w:rsidR="00C46E56" w:rsidRPr="009B332B">
              <w:t>6.2</w:t>
            </w:r>
          </w:p>
        </w:tc>
        <w:tc>
          <w:tcPr>
            <w:tcW w:w="1816" w:type="pct"/>
            <w:shd w:val="clear" w:color="auto" w:fill="auto"/>
          </w:tcPr>
          <w:p w14:paraId="422AB6E1" w14:textId="77777777" w:rsidR="00C46E56" w:rsidRPr="009B332B" w:rsidRDefault="00C46E56" w:rsidP="003746C2">
            <w:pPr>
              <w:pStyle w:val="Tabletext"/>
            </w:pPr>
            <w:r w:rsidRPr="009B332B">
              <w:t>Paragraph 98(2)(e)</w:t>
            </w:r>
          </w:p>
        </w:tc>
        <w:tc>
          <w:tcPr>
            <w:tcW w:w="1442" w:type="pct"/>
            <w:shd w:val="clear" w:color="auto" w:fill="auto"/>
          </w:tcPr>
          <w:p w14:paraId="7BB6BEA2" w14:textId="77777777" w:rsidR="00C46E56" w:rsidRPr="009B332B" w:rsidRDefault="00C46E56" w:rsidP="003746C2">
            <w:pPr>
              <w:pStyle w:val="Tabletext"/>
            </w:pPr>
            <w:r w:rsidRPr="009B332B">
              <w:t>Paragraph 254(2)(e)</w:t>
            </w:r>
          </w:p>
        </w:tc>
      </w:tr>
      <w:tr w:rsidR="0058746A" w:rsidRPr="009B332B" w14:paraId="0122241E" w14:textId="77777777" w:rsidTr="0058746A">
        <w:tc>
          <w:tcPr>
            <w:tcW w:w="439" w:type="pct"/>
            <w:shd w:val="clear" w:color="auto" w:fill="auto"/>
          </w:tcPr>
          <w:p w14:paraId="5099D02D" w14:textId="77777777" w:rsidR="00C81AF9" w:rsidRPr="009B332B" w:rsidRDefault="00A4197E" w:rsidP="00C81AF9">
            <w:pPr>
              <w:pStyle w:val="Tabletext"/>
            </w:pPr>
            <w:r w:rsidRPr="009B332B">
              <w:t>38</w:t>
            </w:r>
          </w:p>
        </w:tc>
        <w:tc>
          <w:tcPr>
            <w:tcW w:w="1303" w:type="pct"/>
            <w:shd w:val="clear" w:color="auto" w:fill="auto"/>
          </w:tcPr>
          <w:p w14:paraId="37D4221E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Pr="009B332B">
              <w:t>items 2</w:t>
            </w:r>
            <w:r w:rsidR="00C81AF9" w:rsidRPr="009B332B">
              <w:t>1.</w:t>
            </w:r>
            <w:r w:rsidR="00C46E56" w:rsidRPr="009B332B">
              <w:t xml:space="preserve">2, </w:t>
            </w:r>
            <w:r w:rsidR="00C81AF9" w:rsidRPr="009B332B">
              <w:t>21.3</w:t>
            </w:r>
            <w:r w:rsidR="00C46E56" w:rsidRPr="009B332B">
              <w:t xml:space="preserve"> and</w:t>
            </w:r>
            <w:r w:rsidR="00C81AF9" w:rsidRPr="009B332B">
              <w:t xml:space="preserve"> 21.7</w:t>
            </w:r>
          </w:p>
        </w:tc>
        <w:tc>
          <w:tcPr>
            <w:tcW w:w="1816" w:type="pct"/>
            <w:shd w:val="clear" w:color="auto" w:fill="auto"/>
          </w:tcPr>
          <w:p w14:paraId="602DB595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8(2)(n)</w:t>
            </w:r>
          </w:p>
        </w:tc>
        <w:tc>
          <w:tcPr>
            <w:tcW w:w="1442" w:type="pct"/>
            <w:shd w:val="clear" w:color="auto" w:fill="auto"/>
          </w:tcPr>
          <w:p w14:paraId="549C096B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54(2)(n)</w:t>
            </w:r>
          </w:p>
        </w:tc>
      </w:tr>
      <w:tr w:rsidR="0058746A" w:rsidRPr="009B332B" w14:paraId="3EE5C324" w14:textId="77777777" w:rsidTr="0058746A">
        <w:tc>
          <w:tcPr>
            <w:tcW w:w="439" w:type="pct"/>
            <w:shd w:val="clear" w:color="auto" w:fill="auto"/>
          </w:tcPr>
          <w:p w14:paraId="15D04900" w14:textId="77777777" w:rsidR="00C81AF9" w:rsidRPr="009B332B" w:rsidRDefault="00A4197E" w:rsidP="00C81AF9">
            <w:pPr>
              <w:pStyle w:val="Tabletext"/>
            </w:pPr>
            <w:r w:rsidRPr="009B332B">
              <w:t>39</w:t>
            </w:r>
          </w:p>
        </w:tc>
        <w:tc>
          <w:tcPr>
            <w:tcW w:w="1303" w:type="pct"/>
            <w:shd w:val="clear" w:color="auto" w:fill="auto"/>
          </w:tcPr>
          <w:p w14:paraId="728D3E05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3.5</w:t>
            </w:r>
          </w:p>
        </w:tc>
        <w:tc>
          <w:tcPr>
            <w:tcW w:w="1816" w:type="pct"/>
            <w:shd w:val="clear" w:color="auto" w:fill="auto"/>
          </w:tcPr>
          <w:p w14:paraId="2F9133ED" w14:textId="77777777" w:rsidR="00C81AF9" w:rsidRPr="009B332B" w:rsidRDefault="00A5753C" w:rsidP="00C81AF9">
            <w:pPr>
              <w:pStyle w:val="Tabletext"/>
            </w:pPr>
            <w:r w:rsidRPr="009B332B">
              <w:t>Subsection 6</w:t>
            </w:r>
            <w:r w:rsidR="00C81AF9" w:rsidRPr="009B332B">
              <w:t>6(2)</w:t>
            </w:r>
          </w:p>
        </w:tc>
        <w:tc>
          <w:tcPr>
            <w:tcW w:w="1442" w:type="pct"/>
            <w:shd w:val="clear" w:color="auto" w:fill="auto"/>
          </w:tcPr>
          <w:p w14:paraId="7081CEC1" w14:textId="77777777" w:rsidR="00C81AF9" w:rsidRPr="009B332B" w:rsidRDefault="00A5753C" w:rsidP="00C81AF9">
            <w:pPr>
              <w:pStyle w:val="Tabletext"/>
            </w:pPr>
            <w:r w:rsidRPr="009B332B">
              <w:t>Subsection 1</w:t>
            </w:r>
            <w:r w:rsidR="00C81AF9" w:rsidRPr="009B332B">
              <w:t>89(2)</w:t>
            </w:r>
          </w:p>
        </w:tc>
      </w:tr>
      <w:tr w:rsidR="0058746A" w:rsidRPr="009B332B" w14:paraId="2078E4B4" w14:textId="77777777" w:rsidTr="0058746A">
        <w:tc>
          <w:tcPr>
            <w:tcW w:w="439" w:type="pct"/>
            <w:shd w:val="clear" w:color="auto" w:fill="auto"/>
          </w:tcPr>
          <w:p w14:paraId="0F7C0DD4" w14:textId="77777777" w:rsidR="00C81AF9" w:rsidRPr="009B332B" w:rsidRDefault="00A4197E" w:rsidP="00C81AF9">
            <w:pPr>
              <w:pStyle w:val="Tabletext"/>
            </w:pPr>
            <w:r w:rsidRPr="009B332B">
              <w:t>40</w:t>
            </w:r>
          </w:p>
        </w:tc>
        <w:tc>
          <w:tcPr>
            <w:tcW w:w="1303" w:type="pct"/>
            <w:shd w:val="clear" w:color="auto" w:fill="auto"/>
          </w:tcPr>
          <w:p w14:paraId="252B3803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3.6</w:t>
            </w:r>
          </w:p>
        </w:tc>
        <w:tc>
          <w:tcPr>
            <w:tcW w:w="1816" w:type="pct"/>
            <w:shd w:val="clear" w:color="auto" w:fill="auto"/>
          </w:tcPr>
          <w:p w14:paraId="06109533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8(2)(h)</w:t>
            </w:r>
          </w:p>
        </w:tc>
        <w:tc>
          <w:tcPr>
            <w:tcW w:w="1442" w:type="pct"/>
            <w:shd w:val="clear" w:color="auto" w:fill="auto"/>
          </w:tcPr>
          <w:p w14:paraId="45386B4B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54(2)(h)</w:t>
            </w:r>
          </w:p>
        </w:tc>
      </w:tr>
      <w:tr w:rsidR="0058746A" w:rsidRPr="009B332B" w14:paraId="7E574D13" w14:textId="77777777" w:rsidTr="0058746A">
        <w:tc>
          <w:tcPr>
            <w:tcW w:w="439" w:type="pct"/>
            <w:shd w:val="clear" w:color="auto" w:fill="auto"/>
          </w:tcPr>
          <w:p w14:paraId="58EA99AB" w14:textId="77777777" w:rsidR="00C81AF9" w:rsidRPr="009B332B" w:rsidRDefault="00A4197E" w:rsidP="00C81AF9">
            <w:pPr>
              <w:pStyle w:val="Tabletext"/>
            </w:pPr>
            <w:r w:rsidRPr="009B332B">
              <w:t>41</w:t>
            </w:r>
          </w:p>
        </w:tc>
        <w:tc>
          <w:tcPr>
            <w:tcW w:w="1303" w:type="pct"/>
            <w:shd w:val="clear" w:color="auto" w:fill="auto"/>
          </w:tcPr>
          <w:p w14:paraId="3B160B84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4.2</w:t>
            </w:r>
          </w:p>
        </w:tc>
        <w:tc>
          <w:tcPr>
            <w:tcW w:w="1816" w:type="pct"/>
            <w:shd w:val="clear" w:color="auto" w:fill="auto"/>
          </w:tcPr>
          <w:p w14:paraId="57C48AFD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8(2)(g)</w:t>
            </w:r>
          </w:p>
        </w:tc>
        <w:tc>
          <w:tcPr>
            <w:tcW w:w="1442" w:type="pct"/>
            <w:shd w:val="clear" w:color="auto" w:fill="auto"/>
          </w:tcPr>
          <w:p w14:paraId="2A14E30E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54(2)(g)</w:t>
            </w:r>
          </w:p>
        </w:tc>
      </w:tr>
      <w:tr w:rsidR="0058746A" w:rsidRPr="009B332B" w14:paraId="41F12C87" w14:textId="77777777" w:rsidTr="0058746A">
        <w:tc>
          <w:tcPr>
            <w:tcW w:w="439" w:type="pct"/>
            <w:shd w:val="clear" w:color="auto" w:fill="auto"/>
          </w:tcPr>
          <w:p w14:paraId="7634CC8F" w14:textId="77777777" w:rsidR="00C81AF9" w:rsidRPr="009B332B" w:rsidRDefault="00A4197E" w:rsidP="00C81AF9">
            <w:pPr>
              <w:pStyle w:val="Tabletext"/>
            </w:pPr>
            <w:r w:rsidRPr="009B332B">
              <w:t>42</w:t>
            </w:r>
          </w:p>
        </w:tc>
        <w:tc>
          <w:tcPr>
            <w:tcW w:w="1303" w:type="pct"/>
            <w:shd w:val="clear" w:color="auto" w:fill="auto"/>
          </w:tcPr>
          <w:p w14:paraId="62987120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7.</w:t>
            </w:r>
            <w:r w:rsidR="00C46E56" w:rsidRPr="009B332B">
              <w:t>5</w:t>
            </w:r>
          </w:p>
        </w:tc>
        <w:tc>
          <w:tcPr>
            <w:tcW w:w="1816" w:type="pct"/>
            <w:shd w:val="clear" w:color="auto" w:fill="auto"/>
          </w:tcPr>
          <w:p w14:paraId="0D38B71D" w14:textId="77777777" w:rsidR="00C81AF9" w:rsidRPr="009B332B" w:rsidRDefault="00C81AF9" w:rsidP="00C81AF9">
            <w:pPr>
              <w:pStyle w:val="Tabletext"/>
            </w:pPr>
            <w:r w:rsidRPr="009B332B">
              <w:t>Rule 8.04 FCFCOA Rules</w:t>
            </w:r>
          </w:p>
        </w:tc>
        <w:tc>
          <w:tcPr>
            <w:tcW w:w="1442" w:type="pct"/>
            <w:shd w:val="clear" w:color="auto" w:fill="auto"/>
          </w:tcPr>
          <w:p w14:paraId="53D588E2" w14:textId="77777777" w:rsidR="00C81AF9" w:rsidRPr="009B332B" w:rsidRDefault="00A5753C" w:rsidP="00C81AF9">
            <w:pPr>
              <w:pStyle w:val="Tabletext"/>
            </w:pPr>
            <w:r w:rsidRPr="009B332B">
              <w:t>Subsection 1</w:t>
            </w:r>
            <w:r w:rsidR="00C81AF9" w:rsidRPr="009B332B">
              <w:t>99(2) FCFCOA Act and rule 8.04 FCFCOA Rules</w:t>
            </w:r>
          </w:p>
        </w:tc>
      </w:tr>
      <w:tr w:rsidR="0058746A" w:rsidRPr="009B332B" w14:paraId="66F56B66" w14:textId="77777777" w:rsidTr="0058746A">
        <w:tc>
          <w:tcPr>
            <w:tcW w:w="439" w:type="pct"/>
            <w:shd w:val="clear" w:color="auto" w:fill="auto"/>
          </w:tcPr>
          <w:p w14:paraId="5C461C7F" w14:textId="77777777" w:rsidR="00C81AF9" w:rsidRPr="009B332B" w:rsidRDefault="00A4197E" w:rsidP="00C81AF9">
            <w:pPr>
              <w:pStyle w:val="Tabletext"/>
            </w:pPr>
            <w:r w:rsidRPr="009B332B">
              <w:t>43</w:t>
            </w:r>
          </w:p>
        </w:tc>
        <w:tc>
          <w:tcPr>
            <w:tcW w:w="1303" w:type="pct"/>
            <w:shd w:val="clear" w:color="auto" w:fill="auto"/>
          </w:tcPr>
          <w:p w14:paraId="08C00BBB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7.</w:t>
            </w:r>
            <w:r w:rsidR="00C46E56" w:rsidRPr="009B332B">
              <w:t>6</w:t>
            </w:r>
          </w:p>
        </w:tc>
        <w:tc>
          <w:tcPr>
            <w:tcW w:w="1816" w:type="pct"/>
            <w:shd w:val="clear" w:color="auto" w:fill="auto"/>
          </w:tcPr>
          <w:p w14:paraId="4A8EC55F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02C FLA</w:t>
            </w:r>
          </w:p>
        </w:tc>
        <w:tc>
          <w:tcPr>
            <w:tcW w:w="1442" w:type="pct"/>
            <w:shd w:val="clear" w:color="auto" w:fill="auto"/>
          </w:tcPr>
          <w:p w14:paraId="6236AF71" w14:textId="77777777" w:rsidR="00C81AF9" w:rsidRPr="009B332B" w:rsidRDefault="00C81AF9" w:rsidP="00C81AF9">
            <w:pPr>
              <w:pStyle w:val="Tabletext"/>
            </w:pPr>
            <w:r w:rsidRPr="009B332B">
              <w:t xml:space="preserve">Section 201 FCFCOA Act and </w:t>
            </w:r>
            <w:r w:rsidR="00A5753C" w:rsidRPr="009B332B">
              <w:t>section 1</w:t>
            </w:r>
            <w:r w:rsidRPr="009B332B">
              <w:t>02C FLA</w:t>
            </w:r>
          </w:p>
        </w:tc>
      </w:tr>
      <w:tr w:rsidR="0058746A" w:rsidRPr="009B332B" w14:paraId="41A87096" w14:textId="77777777" w:rsidTr="0058746A">
        <w:tc>
          <w:tcPr>
            <w:tcW w:w="439" w:type="pct"/>
            <w:shd w:val="clear" w:color="auto" w:fill="auto"/>
          </w:tcPr>
          <w:p w14:paraId="702610BA" w14:textId="77777777" w:rsidR="00C81AF9" w:rsidRPr="009B332B" w:rsidRDefault="00A4197E" w:rsidP="00C81AF9">
            <w:pPr>
              <w:pStyle w:val="Tabletext"/>
            </w:pPr>
            <w:r w:rsidRPr="009B332B">
              <w:t>44</w:t>
            </w:r>
          </w:p>
        </w:tc>
        <w:tc>
          <w:tcPr>
            <w:tcW w:w="1303" w:type="pct"/>
            <w:shd w:val="clear" w:color="auto" w:fill="auto"/>
          </w:tcPr>
          <w:p w14:paraId="7F5CA641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7.</w:t>
            </w:r>
            <w:r w:rsidR="00C46E56" w:rsidRPr="009B332B">
              <w:t>7</w:t>
            </w:r>
          </w:p>
        </w:tc>
        <w:tc>
          <w:tcPr>
            <w:tcW w:w="1816" w:type="pct"/>
            <w:shd w:val="clear" w:color="auto" w:fill="auto"/>
          </w:tcPr>
          <w:p w14:paraId="20630107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02D FLA</w:t>
            </w:r>
          </w:p>
        </w:tc>
        <w:tc>
          <w:tcPr>
            <w:tcW w:w="1442" w:type="pct"/>
            <w:shd w:val="clear" w:color="auto" w:fill="auto"/>
          </w:tcPr>
          <w:p w14:paraId="112B354C" w14:textId="77777777" w:rsidR="00C81AF9" w:rsidRPr="009B332B" w:rsidRDefault="00C81AF9" w:rsidP="00C81AF9">
            <w:pPr>
              <w:pStyle w:val="Tabletext"/>
            </w:pPr>
            <w:r w:rsidRPr="009B332B">
              <w:t xml:space="preserve">Section 202 FCFCOA Act and </w:t>
            </w:r>
            <w:r w:rsidR="00A5753C" w:rsidRPr="009B332B">
              <w:t>section 1</w:t>
            </w:r>
            <w:r w:rsidRPr="009B332B">
              <w:t>02D FLA</w:t>
            </w:r>
          </w:p>
        </w:tc>
      </w:tr>
      <w:tr w:rsidR="0058746A" w:rsidRPr="009B332B" w14:paraId="36791FEE" w14:textId="77777777" w:rsidTr="0058746A">
        <w:tc>
          <w:tcPr>
            <w:tcW w:w="439" w:type="pct"/>
            <w:shd w:val="clear" w:color="auto" w:fill="auto"/>
          </w:tcPr>
          <w:p w14:paraId="75F40B5F" w14:textId="77777777" w:rsidR="00C81AF9" w:rsidRPr="009B332B" w:rsidRDefault="00A4197E" w:rsidP="00C81AF9">
            <w:pPr>
              <w:pStyle w:val="Tabletext"/>
            </w:pPr>
            <w:r w:rsidRPr="009B332B">
              <w:t>45</w:t>
            </w:r>
          </w:p>
        </w:tc>
        <w:tc>
          <w:tcPr>
            <w:tcW w:w="1303" w:type="pct"/>
            <w:shd w:val="clear" w:color="auto" w:fill="auto"/>
          </w:tcPr>
          <w:p w14:paraId="2E653665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7.</w:t>
            </w:r>
            <w:r w:rsidR="00C46E56" w:rsidRPr="009B332B">
              <w:t>8</w:t>
            </w:r>
          </w:p>
        </w:tc>
        <w:tc>
          <w:tcPr>
            <w:tcW w:w="1816" w:type="pct"/>
            <w:shd w:val="clear" w:color="auto" w:fill="auto"/>
          </w:tcPr>
          <w:p w14:paraId="7BE49655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02E FLA</w:t>
            </w:r>
          </w:p>
        </w:tc>
        <w:tc>
          <w:tcPr>
            <w:tcW w:w="1442" w:type="pct"/>
            <w:shd w:val="clear" w:color="auto" w:fill="auto"/>
          </w:tcPr>
          <w:p w14:paraId="0B682C53" w14:textId="77777777" w:rsidR="00C81AF9" w:rsidRPr="009B332B" w:rsidRDefault="00C81AF9" w:rsidP="00C81AF9">
            <w:pPr>
              <w:pStyle w:val="Tabletext"/>
            </w:pPr>
            <w:r w:rsidRPr="009B332B">
              <w:t xml:space="preserve">Section 203 FCFCOA Act and </w:t>
            </w:r>
            <w:r w:rsidR="00A5753C" w:rsidRPr="009B332B">
              <w:t>section 1</w:t>
            </w:r>
            <w:r w:rsidRPr="009B332B">
              <w:t>02E FLA</w:t>
            </w:r>
          </w:p>
        </w:tc>
      </w:tr>
      <w:tr w:rsidR="0058746A" w:rsidRPr="009B332B" w14:paraId="40BF84AE" w14:textId="77777777" w:rsidTr="0058746A">
        <w:tc>
          <w:tcPr>
            <w:tcW w:w="439" w:type="pct"/>
            <w:shd w:val="clear" w:color="auto" w:fill="auto"/>
          </w:tcPr>
          <w:p w14:paraId="5FCAB4A4" w14:textId="77777777" w:rsidR="00C81AF9" w:rsidRPr="009B332B" w:rsidRDefault="00A4197E" w:rsidP="00C81AF9">
            <w:pPr>
              <w:pStyle w:val="Tabletext"/>
            </w:pPr>
            <w:r w:rsidRPr="009B332B">
              <w:t>46</w:t>
            </w:r>
          </w:p>
        </w:tc>
        <w:tc>
          <w:tcPr>
            <w:tcW w:w="1303" w:type="pct"/>
            <w:shd w:val="clear" w:color="auto" w:fill="auto"/>
          </w:tcPr>
          <w:p w14:paraId="7E80E6D8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7.</w:t>
            </w:r>
            <w:r w:rsidR="00C46E56" w:rsidRPr="009B332B">
              <w:t>9</w:t>
            </w:r>
          </w:p>
        </w:tc>
        <w:tc>
          <w:tcPr>
            <w:tcW w:w="1816" w:type="pct"/>
            <w:shd w:val="clear" w:color="auto" w:fill="auto"/>
          </w:tcPr>
          <w:p w14:paraId="3224E28F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02K FLA</w:t>
            </w:r>
          </w:p>
        </w:tc>
        <w:tc>
          <w:tcPr>
            <w:tcW w:w="1442" w:type="pct"/>
            <w:shd w:val="clear" w:color="auto" w:fill="auto"/>
          </w:tcPr>
          <w:p w14:paraId="4C14459D" w14:textId="77777777" w:rsidR="00C81AF9" w:rsidRPr="009B332B" w:rsidRDefault="00C81AF9" w:rsidP="00C81AF9">
            <w:pPr>
              <w:pStyle w:val="Tabletext"/>
            </w:pPr>
            <w:r w:rsidRPr="009B332B">
              <w:t xml:space="preserve">Section 204 FCFCOA Act and </w:t>
            </w:r>
            <w:r w:rsidR="00A5753C" w:rsidRPr="009B332B">
              <w:t>section 1</w:t>
            </w:r>
            <w:r w:rsidRPr="009B332B">
              <w:t>02K FLA</w:t>
            </w:r>
          </w:p>
        </w:tc>
      </w:tr>
      <w:tr w:rsidR="0058746A" w:rsidRPr="009B332B" w14:paraId="28BF5AC5" w14:textId="77777777" w:rsidTr="0058746A">
        <w:tc>
          <w:tcPr>
            <w:tcW w:w="439" w:type="pct"/>
            <w:shd w:val="clear" w:color="auto" w:fill="auto"/>
          </w:tcPr>
          <w:p w14:paraId="0E51EF97" w14:textId="77777777" w:rsidR="00C81AF9" w:rsidRPr="009B332B" w:rsidRDefault="00A4197E" w:rsidP="00C81AF9">
            <w:pPr>
              <w:pStyle w:val="Tabletext"/>
            </w:pPr>
            <w:r w:rsidRPr="009B332B">
              <w:t>47</w:t>
            </w:r>
          </w:p>
        </w:tc>
        <w:tc>
          <w:tcPr>
            <w:tcW w:w="1303" w:type="pct"/>
            <w:shd w:val="clear" w:color="auto" w:fill="auto"/>
          </w:tcPr>
          <w:p w14:paraId="7861284D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Pr="009B332B">
              <w:t>items 2</w:t>
            </w:r>
            <w:r w:rsidR="00C81AF9" w:rsidRPr="009B332B">
              <w:t>8.1</w:t>
            </w:r>
            <w:r w:rsidR="00C46E56" w:rsidRPr="009B332B">
              <w:t xml:space="preserve"> and </w:t>
            </w:r>
            <w:r w:rsidR="00C81AF9" w:rsidRPr="009B332B">
              <w:t>28.2</w:t>
            </w:r>
          </w:p>
        </w:tc>
        <w:tc>
          <w:tcPr>
            <w:tcW w:w="1816" w:type="pct"/>
            <w:shd w:val="clear" w:color="auto" w:fill="auto"/>
          </w:tcPr>
          <w:p w14:paraId="425417DF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8(2)(n)</w:t>
            </w:r>
          </w:p>
        </w:tc>
        <w:tc>
          <w:tcPr>
            <w:tcW w:w="1442" w:type="pct"/>
            <w:shd w:val="clear" w:color="auto" w:fill="auto"/>
          </w:tcPr>
          <w:p w14:paraId="2F249044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54(2)(n)</w:t>
            </w:r>
          </w:p>
        </w:tc>
      </w:tr>
      <w:tr w:rsidR="0058746A" w:rsidRPr="009B332B" w14:paraId="4BADA468" w14:textId="77777777" w:rsidTr="0058746A">
        <w:tc>
          <w:tcPr>
            <w:tcW w:w="439" w:type="pct"/>
            <w:tcBorders>
              <w:bottom w:val="single" w:sz="2" w:space="0" w:color="auto"/>
            </w:tcBorders>
            <w:shd w:val="clear" w:color="auto" w:fill="auto"/>
          </w:tcPr>
          <w:p w14:paraId="5009F7C8" w14:textId="77777777" w:rsidR="00C81AF9" w:rsidRPr="009B332B" w:rsidRDefault="00A4197E" w:rsidP="00C81AF9">
            <w:pPr>
              <w:pStyle w:val="Tabletext"/>
            </w:pPr>
            <w:r w:rsidRPr="009B332B">
              <w:t>48</w:t>
            </w:r>
          </w:p>
        </w:tc>
        <w:tc>
          <w:tcPr>
            <w:tcW w:w="1303" w:type="pct"/>
            <w:tcBorders>
              <w:bottom w:val="single" w:sz="2" w:space="0" w:color="auto"/>
            </w:tcBorders>
            <w:shd w:val="clear" w:color="auto" w:fill="auto"/>
          </w:tcPr>
          <w:p w14:paraId="297380AF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8.3</w:t>
            </w:r>
          </w:p>
        </w:tc>
        <w:tc>
          <w:tcPr>
            <w:tcW w:w="1816" w:type="pct"/>
            <w:tcBorders>
              <w:bottom w:val="single" w:sz="2" w:space="0" w:color="auto"/>
            </w:tcBorders>
            <w:shd w:val="clear" w:color="auto" w:fill="auto"/>
          </w:tcPr>
          <w:p w14:paraId="4F1C88EC" w14:textId="77777777" w:rsidR="00C81AF9" w:rsidRPr="009B332B" w:rsidRDefault="00A5753C" w:rsidP="00C81AF9">
            <w:pPr>
              <w:pStyle w:val="Tabletext"/>
            </w:pPr>
            <w:r w:rsidRPr="009B332B">
              <w:t>Paragraph 9</w:t>
            </w:r>
            <w:r w:rsidR="00C81AF9" w:rsidRPr="009B332B">
              <w:t>8(2)(o)</w:t>
            </w:r>
          </w:p>
        </w:tc>
        <w:tc>
          <w:tcPr>
            <w:tcW w:w="1442" w:type="pct"/>
            <w:tcBorders>
              <w:bottom w:val="single" w:sz="2" w:space="0" w:color="auto"/>
            </w:tcBorders>
            <w:shd w:val="clear" w:color="auto" w:fill="auto"/>
          </w:tcPr>
          <w:p w14:paraId="14BDAD4A" w14:textId="77777777" w:rsidR="00C81AF9" w:rsidRPr="009B332B" w:rsidRDefault="00A5753C" w:rsidP="00C81AF9">
            <w:pPr>
              <w:pStyle w:val="Tabletext"/>
            </w:pPr>
            <w:r w:rsidRPr="009B332B">
              <w:t>Paragraph 2</w:t>
            </w:r>
            <w:r w:rsidR="00C81AF9" w:rsidRPr="009B332B">
              <w:t>54(2)(o)</w:t>
            </w:r>
          </w:p>
        </w:tc>
      </w:tr>
      <w:tr w:rsidR="0058746A" w:rsidRPr="009B332B" w14:paraId="4B3369DE" w14:textId="77777777" w:rsidTr="0058746A">
        <w:tc>
          <w:tcPr>
            <w:tcW w:w="4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891048" w14:textId="77777777" w:rsidR="00C81AF9" w:rsidRPr="009B332B" w:rsidRDefault="00A4197E" w:rsidP="00C81AF9">
            <w:pPr>
              <w:pStyle w:val="Tabletext"/>
            </w:pPr>
            <w:r w:rsidRPr="009B332B">
              <w:t>49</w:t>
            </w:r>
          </w:p>
        </w:tc>
        <w:tc>
          <w:tcPr>
            <w:tcW w:w="130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428694" w14:textId="77777777" w:rsidR="00C81AF9" w:rsidRPr="009B332B" w:rsidRDefault="00C95A5E" w:rsidP="00C81AF9">
            <w:pPr>
              <w:pStyle w:val="Tabletext"/>
            </w:pPr>
            <w:r w:rsidRPr="009B332B">
              <w:t>Schedule 4</w:t>
            </w:r>
            <w:r w:rsidR="00C81AF9" w:rsidRPr="009B332B">
              <w:t xml:space="preserve">, </w:t>
            </w:r>
            <w:r w:rsidRPr="009B332B">
              <w:t>clause 2</w:t>
            </w:r>
            <w:r w:rsidR="00DA1987" w:rsidRPr="009B332B">
              <w:t xml:space="preserve">, table </w:t>
            </w:r>
            <w:r w:rsidR="00A5753C" w:rsidRPr="009B332B">
              <w:t>item 2</w:t>
            </w:r>
            <w:r w:rsidR="00C81AF9" w:rsidRPr="009B332B">
              <w:t>9.</w:t>
            </w:r>
            <w:r w:rsidR="00C46E56" w:rsidRPr="009B332B">
              <w:t>3</w:t>
            </w:r>
          </w:p>
        </w:tc>
        <w:tc>
          <w:tcPr>
            <w:tcW w:w="181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31AF3D" w14:textId="77777777" w:rsidR="00C81AF9" w:rsidRPr="009B332B" w:rsidRDefault="00A5753C" w:rsidP="00C81AF9">
            <w:pPr>
              <w:pStyle w:val="Tabletext"/>
            </w:pPr>
            <w:r w:rsidRPr="009B332B">
              <w:t>Section 6</w:t>
            </w:r>
            <w:r w:rsidR="00C81AF9" w:rsidRPr="009B332B">
              <w:t>5</w:t>
            </w:r>
          </w:p>
        </w:tc>
        <w:tc>
          <w:tcPr>
            <w:tcW w:w="144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1C77F9" w14:textId="77777777" w:rsidR="00C81AF9" w:rsidRPr="009B332B" w:rsidRDefault="00A5753C" w:rsidP="00C81AF9">
            <w:pPr>
              <w:pStyle w:val="Tabletext"/>
            </w:pPr>
            <w:r w:rsidRPr="009B332B">
              <w:t>Section 1</w:t>
            </w:r>
            <w:r w:rsidR="00C81AF9" w:rsidRPr="009B332B">
              <w:t>84</w:t>
            </w:r>
          </w:p>
        </w:tc>
      </w:tr>
    </w:tbl>
    <w:p w14:paraId="0E713E65" w14:textId="77777777" w:rsidR="00C81AF9" w:rsidRPr="009B332B" w:rsidRDefault="00C81AF9" w:rsidP="00C81AF9">
      <w:pPr>
        <w:rPr>
          <w:rFonts w:cs="Times New Roman"/>
        </w:rPr>
      </w:pPr>
    </w:p>
    <w:p w14:paraId="29736CE1" w14:textId="77777777" w:rsidR="00A5753C" w:rsidRPr="009B332B" w:rsidRDefault="00C95A5E" w:rsidP="00A5753C">
      <w:pPr>
        <w:pStyle w:val="ActHead2"/>
        <w:pageBreakBefore/>
      </w:pPr>
      <w:bookmarkStart w:id="10" w:name="_Toc80871199"/>
      <w:r w:rsidRPr="00823940">
        <w:rPr>
          <w:rStyle w:val="CharPartNo"/>
        </w:rPr>
        <w:lastRenderedPageBreak/>
        <w:t>Part 3</w:t>
      </w:r>
      <w:r w:rsidR="00A5753C" w:rsidRPr="009B332B">
        <w:t>—</w:t>
      </w:r>
      <w:r w:rsidR="00A5753C" w:rsidRPr="00823940">
        <w:rPr>
          <w:rStyle w:val="CharPartText"/>
        </w:rPr>
        <w:t>Transfer</w:t>
      </w:r>
      <w:r w:rsidR="00477D36" w:rsidRPr="00823940">
        <w:rPr>
          <w:rStyle w:val="CharPartText"/>
        </w:rPr>
        <w:t>ring proceedings</w:t>
      </w:r>
      <w:bookmarkEnd w:id="10"/>
    </w:p>
    <w:p w14:paraId="4C24B274" w14:textId="77777777" w:rsidR="00A5753C" w:rsidRPr="00823940" w:rsidRDefault="00A5753C" w:rsidP="00A5753C">
      <w:pPr>
        <w:pStyle w:val="Header"/>
      </w:pPr>
      <w:r w:rsidRPr="00823940">
        <w:rPr>
          <w:rStyle w:val="CharDivNo"/>
        </w:rPr>
        <w:t xml:space="preserve"> </w:t>
      </w:r>
      <w:r w:rsidRPr="00823940">
        <w:rPr>
          <w:rStyle w:val="CharDivText"/>
        </w:rPr>
        <w:t xml:space="preserve"> </w:t>
      </w:r>
    </w:p>
    <w:p w14:paraId="36DEE741" w14:textId="77777777" w:rsidR="00A5753C" w:rsidRPr="009B332B" w:rsidRDefault="00A5753C" w:rsidP="00A5753C">
      <w:pPr>
        <w:pStyle w:val="ActHead5"/>
      </w:pPr>
      <w:bookmarkStart w:id="11" w:name="_Toc80871200"/>
      <w:r w:rsidRPr="00823940">
        <w:rPr>
          <w:rStyle w:val="CharSectno"/>
        </w:rPr>
        <w:t>3.01</w:t>
      </w:r>
      <w:r w:rsidRPr="009B332B">
        <w:t xml:space="preserve">  Transfer to Federal Circuit and Family Court (Division 1)</w:t>
      </w:r>
      <w:bookmarkEnd w:id="11"/>
    </w:p>
    <w:p w14:paraId="205A7DA9" w14:textId="77777777" w:rsidR="00A5753C" w:rsidRPr="009B332B" w:rsidRDefault="00A5753C" w:rsidP="00A5753C">
      <w:pPr>
        <w:pStyle w:val="subsection"/>
      </w:pPr>
      <w:r w:rsidRPr="009B332B">
        <w:tab/>
        <w:t>(1)</w:t>
      </w:r>
      <w:r w:rsidRPr="009B332B">
        <w:tab/>
        <w:t>The Federal Circuit and Family Court (</w:t>
      </w:r>
      <w:r w:rsidR="0024237B">
        <w:t>Division 2</w:t>
      </w:r>
      <w:r w:rsidRPr="009B332B">
        <w:t>) may, on the application of a party or on its own initiative, transfer a family law or child support proceeding pending in the Court to the Federal Circuit and Family Court (Division 1) under section 149 of the Federal Circuit and Family Court Act.</w:t>
      </w:r>
    </w:p>
    <w:p w14:paraId="4A937617" w14:textId="77777777" w:rsidR="00A5753C" w:rsidRPr="009B332B" w:rsidRDefault="00A5753C" w:rsidP="00A5753C">
      <w:pPr>
        <w:pStyle w:val="subsection"/>
      </w:pPr>
      <w:r w:rsidRPr="009B332B">
        <w:tab/>
        <w:t>(</w:t>
      </w:r>
      <w:r w:rsidR="00D41CBF" w:rsidRPr="009B332B">
        <w:t>2</w:t>
      </w:r>
      <w:r w:rsidRPr="009B332B">
        <w:t>)</w:t>
      </w:r>
      <w:r w:rsidRPr="009B332B">
        <w:tab/>
        <w:t>Unless the Federal Circuit and Family Court (</w:t>
      </w:r>
      <w:r w:rsidR="0024237B">
        <w:t>Division 2</w:t>
      </w:r>
      <w:r w:rsidRPr="009B332B">
        <w:t>) otherwise orders, an application under this rule must be made by application supported by an affidavit or included in a response supported by an affidavit.</w:t>
      </w:r>
    </w:p>
    <w:p w14:paraId="162624F4" w14:textId="77777777" w:rsidR="00A5753C" w:rsidRPr="009B332B" w:rsidRDefault="00A5753C" w:rsidP="00A5753C">
      <w:pPr>
        <w:pStyle w:val="subsection"/>
      </w:pPr>
      <w:r w:rsidRPr="009B332B">
        <w:tab/>
        <w:t>(</w:t>
      </w:r>
      <w:r w:rsidR="00D41CBF" w:rsidRPr="009B332B">
        <w:t>3</w:t>
      </w:r>
      <w:r w:rsidRPr="009B332B">
        <w:t>)</w:t>
      </w:r>
      <w:r w:rsidRPr="009B332B">
        <w:tab/>
        <w:t>In addition to the factors to which the Federal Circuit and Family Court (</w:t>
      </w:r>
      <w:r w:rsidR="0024237B">
        <w:t>Division 2</w:t>
      </w:r>
      <w:r w:rsidRPr="009B332B">
        <w:t>) must have regard under subsection 149(3) of the Federal Circuit and Family Court Act in deciding whether to transfer a proceeding to the Federal Circuit and Family Court (Division 1), the Federal Circuit and Family Court (</w:t>
      </w:r>
      <w:r w:rsidR="0024237B">
        <w:t>Division 2</w:t>
      </w:r>
      <w:r w:rsidRPr="009B332B">
        <w:t>) must have regard to the following matters:</w:t>
      </w:r>
    </w:p>
    <w:p w14:paraId="50645AE3" w14:textId="77777777" w:rsidR="00A5753C" w:rsidRPr="009B332B" w:rsidRDefault="00A5753C" w:rsidP="00A5753C">
      <w:pPr>
        <w:pStyle w:val="paragraph"/>
      </w:pPr>
      <w:r w:rsidRPr="009B332B">
        <w:tab/>
        <w:t>(a)</w:t>
      </w:r>
      <w:r w:rsidRPr="009B332B">
        <w:tab/>
        <w:t>whether the proceeding is likely to involve questions of general importance, such that it would be desirable for there to be a decision of the Federal Circuit and Family Court (Division 1) on one or more of the points in issue;</w:t>
      </w:r>
    </w:p>
    <w:p w14:paraId="34FFA3C9" w14:textId="77777777" w:rsidR="00A5753C" w:rsidRPr="009B332B" w:rsidRDefault="00A5753C" w:rsidP="00A5753C">
      <w:pPr>
        <w:pStyle w:val="paragraph"/>
      </w:pPr>
      <w:r w:rsidRPr="009B332B">
        <w:tab/>
        <w:t>(b)</w:t>
      </w:r>
      <w:r w:rsidRPr="009B332B">
        <w:tab/>
        <w:t>the financial value of the claim;</w:t>
      </w:r>
    </w:p>
    <w:p w14:paraId="4E3B3062" w14:textId="77777777" w:rsidR="00A5753C" w:rsidRPr="009B332B" w:rsidRDefault="00A5753C" w:rsidP="00A5753C">
      <w:pPr>
        <w:pStyle w:val="paragraph"/>
      </w:pPr>
      <w:r w:rsidRPr="009B332B">
        <w:tab/>
        <w:t>(c)</w:t>
      </w:r>
      <w:r w:rsidRPr="009B332B">
        <w:tab/>
        <w:t>the complexity of the facts, legal issues, remedies and procedures involved;</w:t>
      </w:r>
    </w:p>
    <w:p w14:paraId="4FBBFBB0" w14:textId="77777777" w:rsidR="00A5753C" w:rsidRPr="009B332B" w:rsidRDefault="00A5753C" w:rsidP="00A5753C">
      <w:pPr>
        <w:pStyle w:val="paragraph"/>
      </w:pPr>
      <w:r w:rsidRPr="009B332B">
        <w:tab/>
        <w:t>(d)</w:t>
      </w:r>
      <w:r w:rsidRPr="009B332B">
        <w:tab/>
        <w:t>whether the proceeding, if transferred, is likely to be dealt with:</w:t>
      </w:r>
    </w:p>
    <w:p w14:paraId="79B371D7" w14:textId="77777777" w:rsidR="00A5753C" w:rsidRPr="009B332B" w:rsidRDefault="00A5753C" w:rsidP="00A5753C">
      <w:pPr>
        <w:pStyle w:val="paragraphsub"/>
      </w:pPr>
      <w:r w:rsidRPr="009B332B">
        <w:tab/>
        <w:t>(i)</w:t>
      </w:r>
      <w:r w:rsidRPr="009B332B">
        <w:tab/>
        <w:t>at less cost to the parties; or</w:t>
      </w:r>
    </w:p>
    <w:p w14:paraId="74233C50" w14:textId="77777777" w:rsidR="00A5753C" w:rsidRPr="009B332B" w:rsidRDefault="00A5753C" w:rsidP="00A5753C">
      <w:pPr>
        <w:pStyle w:val="paragraphsub"/>
      </w:pPr>
      <w:r w:rsidRPr="009B332B">
        <w:tab/>
        <w:t>(ii)</w:t>
      </w:r>
      <w:r w:rsidRPr="009B332B">
        <w:tab/>
        <w:t>at more convenience to the parties; or</w:t>
      </w:r>
    </w:p>
    <w:p w14:paraId="06CDC8F8" w14:textId="77777777" w:rsidR="00A5753C" w:rsidRPr="009B332B" w:rsidRDefault="00A5753C" w:rsidP="00A5753C">
      <w:pPr>
        <w:pStyle w:val="paragraphsub"/>
      </w:pPr>
      <w:r w:rsidRPr="009B332B">
        <w:tab/>
        <w:t>(iii)</w:t>
      </w:r>
      <w:r w:rsidRPr="009B332B">
        <w:tab/>
        <w:t>earlier;</w:t>
      </w:r>
    </w:p>
    <w:p w14:paraId="1FA387F8" w14:textId="77777777" w:rsidR="00A5753C" w:rsidRPr="009B332B" w:rsidRDefault="00A5753C" w:rsidP="00A5753C">
      <w:pPr>
        <w:pStyle w:val="paragraph"/>
      </w:pPr>
      <w:r w:rsidRPr="009B332B">
        <w:tab/>
        <w:t>(e)</w:t>
      </w:r>
      <w:r w:rsidRPr="009B332B">
        <w:tab/>
        <w:t>the availability of a judicial officer specialising in the type of proceeding to which the application relates;</w:t>
      </w:r>
    </w:p>
    <w:p w14:paraId="5FA3FF92" w14:textId="77777777" w:rsidR="00A5753C" w:rsidRPr="009B332B" w:rsidRDefault="00A5753C" w:rsidP="00A5753C">
      <w:pPr>
        <w:pStyle w:val="paragraph"/>
      </w:pPr>
      <w:r w:rsidRPr="009B332B">
        <w:tab/>
        <w:t>(f)</w:t>
      </w:r>
      <w:r w:rsidRPr="009B332B">
        <w:tab/>
        <w:t>the availability of particular procedures appropriate for the class of proceeding;</w:t>
      </w:r>
    </w:p>
    <w:p w14:paraId="31907302" w14:textId="77777777" w:rsidR="00A5753C" w:rsidRPr="009B332B" w:rsidRDefault="00A5753C" w:rsidP="00A5753C">
      <w:pPr>
        <w:pStyle w:val="paragraph"/>
      </w:pPr>
      <w:r w:rsidRPr="009B332B">
        <w:tab/>
        <w:t>(g)</w:t>
      </w:r>
      <w:r w:rsidRPr="009B332B">
        <w:tab/>
        <w:t>the adequacy of the available facilities, having regard to any disability of a party or witness, and any safety concerns;</w:t>
      </w:r>
    </w:p>
    <w:p w14:paraId="0D98EDF2" w14:textId="77777777" w:rsidR="00A5753C" w:rsidRPr="009B332B" w:rsidRDefault="00A5753C" w:rsidP="00A5753C">
      <w:pPr>
        <w:pStyle w:val="paragraph"/>
      </w:pPr>
      <w:r w:rsidRPr="009B332B">
        <w:tab/>
        <w:t>(h)</w:t>
      </w:r>
      <w:r w:rsidRPr="009B332B">
        <w:tab/>
        <w:t>the wishes of the parties.</w:t>
      </w:r>
    </w:p>
    <w:p w14:paraId="3EED04B4" w14:textId="77777777" w:rsidR="00A5753C" w:rsidRPr="009B332B" w:rsidRDefault="00A5753C" w:rsidP="00A5753C">
      <w:pPr>
        <w:pStyle w:val="ActHead5"/>
      </w:pPr>
      <w:bookmarkStart w:id="12" w:name="_Toc80871201"/>
      <w:r w:rsidRPr="00823940">
        <w:rPr>
          <w:rStyle w:val="CharSectno"/>
        </w:rPr>
        <w:t>3.02</w:t>
      </w:r>
      <w:r w:rsidRPr="009B332B">
        <w:t xml:space="preserve">  Proceeding transferred to Federal Circuit and Family Court (Division 1)—transfer of documents</w:t>
      </w:r>
      <w:bookmarkEnd w:id="12"/>
    </w:p>
    <w:p w14:paraId="25DA322D" w14:textId="77777777" w:rsidR="00A5753C" w:rsidRPr="009B332B" w:rsidRDefault="00A5753C" w:rsidP="00A5753C">
      <w:pPr>
        <w:pStyle w:val="subsection"/>
      </w:pPr>
      <w:r w:rsidRPr="009B332B">
        <w:tab/>
      </w:r>
      <w:r w:rsidRPr="009B332B">
        <w:tab/>
        <w:t>If a proceeding is transferred to the Federal Circuit and Family Court (Division 1), the Registry Manager of the Federal Circuit and Family Court (</w:t>
      </w:r>
      <w:r w:rsidR="0024237B">
        <w:t>Division 2</w:t>
      </w:r>
      <w:r w:rsidRPr="009B332B">
        <w:t>) must:</w:t>
      </w:r>
    </w:p>
    <w:p w14:paraId="3EC3B872" w14:textId="77777777" w:rsidR="00A5753C" w:rsidRPr="009B332B" w:rsidRDefault="00A5753C" w:rsidP="00A5753C">
      <w:pPr>
        <w:pStyle w:val="paragraph"/>
      </w:pPr>
      <w:r w:rsidRPr="009B332B">
        <w:tab/>
        <w:t>(a)</w:t>
      </w:r>
      <w:r w:rsidRPr="009B332B">
        <w:tab/>
        <w:t>send to the Registry Manager of the Federal Circuit and Family Court (Division 1) all documents filed and orders made in the proceeding; and</w:t>
      </w:r>
    </w:p>
    <w:p w14:paraId="7587CDEB" w14:textId="77777777" w:rsidR="00A5753C" w:rsidRPr="009B332B" w:rsidRDefault="00A5753C" w:rsidP="00A5753C">
      <w:pPr>
        <w:pStyle w:val="paragraph"/>
      </w:pPr>
      <w:r w:rsidRPr="009B332B">
        <w:tab/>
        <w:t>(b)</w:t>
      </w:r>
      <w:r w:rsidRPr="009B332B">
        <w:tab/>
        <w:t>retain in the Federal Circuit and Family Court (</w:t>
      </w:r>
      <w:r w:rsidR="0024237B">
        <w:t>Division 2</w:t>
      </w:r>
      <w:r w:rsidRPr="009B332B">
        <w:t>) a copy of all orders made in the proceeding.</w:t>
      </w:r>
    </w:p>
    <w:p w14:paraId="75F3AEC6" w14:textId="77777777" w:rsidR="00A5753C" w:rsidRPr="009B332B" w:rsidRDefault="00C95A5E" w:rsidP="00477D36">
      <w:pPr>
        <w:pStyle w:val="ActHead2"/>
        <w:pageBreakBefore/>
      </w:pPr>
      <w:bookmarkStart w:id="13" w:name="_Toc80871202"/>
      <w:r w:rsidRPr="00823940">
        <w:rPr>
          <w:rStyle w:val="CharPartNo"/>
        </w:rPr>
        <w:lastRenderedPageBreak/>
        <w:t>Part 4</w:t>
      </w:r>
      <w:r w:rsidR="00477D36" w:rsidRPr="009B332B">
        <w:t>—</w:t>
      </w:r>
      <w:r w:rsidR="00477D36" w:rsidRPr="00823940">
        <w:rPr>
          <w:rStyle w:val="CharPartText"/>
        </w:rPr>
        <w:t>Costs</w:t>
      </w:r>
      <w:bookmarkEnd w:id="13"/>
    </w:p>
    <w:p w14:paraId="2084CC41" w14:textId="77777777" w:rsidR="00477D36" w:rsidRPr="00823940" w:rsidRDefault="00477D36" w:rsidP="00477D36">
      <w:pPr>
        <w:pStyle w:val="Header"/>
      </w:pPr>
      <w:r w:rsidRPr="00823940">
        <w:rPr>
          <w:rStyle w:val="CharDivNo"/>
        </w:rPr>
        <w:t xml:space="preserve"> </w:t>
      </w:r>
      <w:r w:rsidRPr="00823940">
        <w:rPr>
          <w:rStyle w:val="CharDivText"/>
        </w:rPr>
        <w:t xml:space="preserve"> </w:t>
      </w:r>
    </w:p>
    <w:p w14:paraId="219CA9DD" w14:textId="77777777" w:rsidR="00477D36" w:rsidRPr="009B332B" w:rsidRDefault="00477D36" w:rsidP="00477D36">
      <w:pPr>
        <w:pStyle w:val="ActHead5"/>
      </w:pPr>
      <w:bookmarkStart w:id="14" w:name="_Toc80871203"/>
      <w:r w:rsidRPr="00823940">
        <w:rPr>
          <w:rStyle w:val="CharSectno"/>
        </w:rPr>
        <w:t>4.01</w:t>
      </w:r>
      <w:r w:rsidRPr="009B332B">
        <w:t xml:space="preserve">  Costs in family law and child support matters</w:t>
      </w:r>
      <w:bookmarkEnd w:id="14"/>
    </w:p>
    <w:p w14:paraId="122D4B5F" w14:textId="77777777" w:rsidR="00DA54E6" w:rsidRPr="009B332B" w:rsidRDefault="00477D36" w:rsidP="00477D36">
      <w:pPr>
        <w:pStyle w:val="subsection"/>
      </w:pPr>
      <w:r w:rsidRPr="009B332B">
        <w:tab/>
      </w:r>
      <w:r w:rsidR="00DA54E6" w:rsidRPr="009B332B">
        <w:t>(1)</w:t>
      </w:r>
      <w:r w:rsidRPr="009B332B">
        <w:tab/>
      </w:r>
      <w:r w:rsidR="00DA54E6" w:rsidRPr="009B332B">
        <w:t xml:space="preserve">In applying </w:t>
      </w:r>
      <w:r w:rsidR="00C95A5E" w:rsidRPr="009B332B">
        <w:t>Chapter 1</w:t>
      </w:r>
      <w:r w:rsidR="00DA54E6" w:rsidRPr="009B332B">
        <w:t xml:space="preserve">2 of the </w:t>
      </w:r>
      <w:r w:rsidR="00DA54E6"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="00DA54E6" w:rsidRPr="009B332B">
        <w:rPr>
          <w:i/>
        </w:rPr>
        <w:t>021</w:t>
      </w:r>
      <w:r w:rsidR="00DA54E6" w:rsidRPr="009B332B">
        <w:t xml:space="preserve"> in relation to family law or child support proceedings, the Court may apply the scale of costs in </w:t>
      </w:r>
      <w:r w:rsidR="00C95A5E" w:rsidRPr="009B332B">
        <w:t>Schedule 3</w:t>
      </w:r>
      <w:r w:rsidR="00DA54E6" w:rsidRPr="009B332B">
        <w:t xml:space="preserve"> to </w:t>
      </w:r>
      <w:r w:rsidRPr="009B332B">
        <w:t>th</w:t>
      </w:r>
      <w:r w:rsidR="00DA54E6" w:rsidRPr="009B332B">
        <w:t>os</w:t>
      </w:r>
      <w:r w:rsidRPr="009B332B">
        <w:t xml:space="preserve">e </w:t>
      </w:r>
      <w:r w:rsidR="00DA54E6" w:rsidRPr="009B332B">
        <w:t xml:space="preserve">Rules or the scale of costs in </w:t>
      </w:r>
      <w:r w:rsidR="00D70758" w:rsidRPr="009B332B">
        <w:t>Schedule 1</w:t>
      </w:r>
      <w:r w:rsidR="00DA54E6" w:rsidRPr="009B332B">
        <w:t xml:space="preserve"> to these Rules.</w:t>
      </w:r>
    </w:p>
    <w:p w14:paraId="6EB124F2" w14:textId="77777777" w:rsidR="001F2D80" w:rsidRPr="009B332B" w:rsidRDefault="001F2D80" w:rsidP="00477D36">
      <w:pPr>
        <w:pStyle w:val="subsection"/>
      </w:pPr>
      <w:r w:rsidRPr="009B332B">
        <w:tab/>
        <w:t>(2)</w:t>
      </w:r>
      <w:r w:rsidRPr="009B332B">
        <w:tab/>
        <w:t xml:space="preserve">In </w:t>
      </w:r>
      <w:r w:rsidR="00D70758" w:rsidRPr="009B332B">
        <w:t>item 1</w:t>
      </w:r>
      <w:r w:rsidRPr="009B332B">
        <w:t xml:space="preserve">2 of the table in </w:t>
      </w:r>
      <w:r w:rsidR="00D70758" w:rsidRPr="009B332B">
        <w:t>Schedule 1</w:t>
      </w:r>
      <w:r w:rsidRPr="009B332B">
        <w:t xml:space="preserve"> to these Rules:</w:t>
      </w:r>
    </w:p>
    <w:p w14:paraId="1CE342EA" w14:textId="77777777" w:rsidR="001F2D80" w:rsidRPr="009B332B" w:rsidRDefault="001F2D80" w:rsidP="001F2D80">
      <w:pPr>
        <w:pStyle w:val="paragraph"/>
      </w:pPr>
      <w:r w:rsidRPr="009B332B">
        <w:tab/>
        <w:t>(a)</w:t>
      </w:r>
      <w:r w:rsidRPr="009B332B">
        <w:tab/>
        <w:t xml:space="preserve">the reference to </w:t>
      </w:r>
      <w:r w:rsidR="00D70758" w:rsidRPr="009B332B">
        <w:t>rule 1</w:t>
      </w:r>
      <w:r w:rsidRPr="009B332B">
        <w:t xml:space="preserve">1.15 is a reference to </w:t>
      </w:r>
      <w:r w:rsidR="00D70758" w:rsidRPr="009B332B">
        <w:t>rule 1</w:t>
      </w:r>
      <w:r w:rsidRPr="009B332B">
        <w:t xml:space="preserve">1.15 of the </w:t>
      </w:r>
      <w:r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Pr="009B332B">
        <w:rPr>
          <w:i/>
        </w:rPr>
        <w:t>021</w:t>
      </w:r>
      <w:r w:rsidRPr="009B332B">
        <w:t xml:space="preserve"> as that rule applies because of </w:t>
      </w:r>
      <w:r w:rsidR="00D70758" w:rsidRPr="009B332B">
        <w:t>rule 2</w:t>
      </w:r>
      <w:r w:rsidRPr="009B332B">
        <w:t>.01 of these Rules; and</w:t>
      </w:r>
    </w:p>
    <w:p w14:paraId="558ACD2B" w14:textId="77777777" w:rsidR="001F2D80" w:rsidRPr="009B332B" w:rsidRDefault="001F2D80" w:rsidP="001F2D80">
      <w:pPr>
        <w:pStyle w:val="paragraph"/>
      </w:pPr>
      <w:r w:rsidRPr="009B332B">
        <w:tab/>
        <w:t>(b)</w:t>
      </w:r>
      <w:r w:rsidRPr="009B332B">
        <w:tab/>
        <w:t xml:space="preserve">the reference to </w:t>
      </w:r>
      <w:r w:rsidR="00D70758" w:rsidRPr="009B332B">
        <w:t>rule 1</w:t>
      </w:r>
      <w:r w:rsidRPr="009B332B">
        <w:t xml:space="preserve">1.34 is a reference to </w:t>
      </w:r>
      <w:r w:rsidR="00D70758" w:rsidRPr="009B332B">
        <w:t>rule 1</w:t>
      </w:r>
      <w:r w:rsidRPr="009B332B">
        <w:t xml:space="preserve">1.34 of the </w:t>
      </w:r>
      <w:r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Pr="009B332B">
        <w:rPr>
          <w:i/>
        </w:rPr>
        <w:t>021</w:t>
      </w:r>
      <w:r w:rsidRPr="009B332B">
        <w:t xml:space="preserve"> as that rule applies because of </w:t>
      </w:r>
      <w:r w:rsidR="00D70758" w:rsidRPr="009B332B">
        <w:t>rule 2</w:t>
      </w:r>
      <w:r w:rsidRPr="009B332B">
        <w:t>.01 of these Rules.</w:t>
      </w:r>
    </w:p>
    <w:p w14:paraId="48EDD35F" w14:textId="77777777" w:rsidR="00602377" w:rsidRPr="009B332B" w:rsidRDefault="00C95A5E" w:rsidP="00602377">
      <w:pPr>
        <w:pStyle w:val="ActHead2"/>
        <w:pageBreakBefore/>
      </w:pPr>
      <w:bookmarkStart w:id="15" w:name="_Toc80871204"/>
      <w:r w:rsidRPr="00823940">
        <w:rPr>
          <w:rStyle w:val="CharPartNo"/>
        </w:rPr>
        <w:lastRenderedPageBreak/>
        <w:t>Part 5</w:t>
      </w:r>
      <w:r w:rsidR="00602377" w:rsidRPr="009B332B">
        <w:t>—</w:t>
      </w:r>
      <w:r w:rsidR="00602377" w:rsidRPr="00823940">
        <w:rPr>
          <w:rStyle w:val="CharPartText"/>
        </w:rPr>
        <w:t>Delegation</w:t>
      </w:r>
      <w:bookmarkEnd w:id="15"/>
    </w:p>
    <w:p w14:paraId="66D2BACD" w14:textId="77777777" w:rsidR="00602377" w:rsidRPr="00823940" w:rsidRDefault="00602377" w:rsidP="00602377">
      <w:pPr>
        <w:pStyle w:val="Header"/>
      </w:pPr>
      <w:r w:rsidRPr="00823940">
        <w:rPr>
          <w:rStyle w:val="CharDivNo"/>
        </w:rPr>
        <w:t xml:space="preserve"> </w:t>
      </w:r>
      <w:r w:rsidRPr="00823940">
        <w:rPr>
          <w:rStyle w:val="CharDivText"/>
        </w:rPr>
        <w:t xml:space="preserve"> </w:t>
      </w:r>
    </w:p>
    <w:p w14:paraId="3D553BC4" w14:textId="77777777" w:rsidR="00602377" w:rsidRPr="009B332B" w:rsidRDefault="00602377" w:rsidP="00602377">
      <w:pPr>
        <w:pStyle w:val="ActHead5"/>
      </w:pPr>
      <w:bookmarkStart w:id="16" w:name="_Toc80871205"/>
      <w:r w:rsidRPr="00823940">
        <w:rPr>
          <w:rStyle w:val="CharSectno"/>
        </w:rPr>
        <w:t>5.01</w:t>
      </w:r>
      <w:r w:rsidRPr="009B332B">
        <w:t xml:space="preserve">  Delegation of additional powers to Senior Judicial Registrars and Judicial Registrars</w:t>
      </w:r>
      <w:bookmarkEnd w:id="16"/>
    </w:p>
    <w:p w14:paraId="09E29A42" w14:textId="77777777" w:rsidR="00602377" w:rsidRPr="009B332B" w:rsidRDefault="00602377" w:rsidP="00602377">
      <w:pPr>
        <w:pStyle w:val="subsection"/>
      </w:pPr>
      <w:r w:rsidRPr="009B332B">
        <w:tab/>
      </w:r>
      <w:r w:rsidRPr="009B332B">
        <w:tab/>
      </w:r>
      <w:r w:rsidR="00C95A5E" w:rsidRPr="009B332B">
        <w:t>Schedule 4</w:t>
      </w:r>
      <w:r w:rsidRPr="009B332B">
        <w:t xml:space="preserve"> to the </w:t>
      </w:r>
      <w:r w:rsidRPr="009B332B">
        <w:rPr>
          <w:i/>
        </w:rPr>
        <w:t xml:space="preserve">Federal Circuit and Family Court of Australia (Family Law) </w:t>
      </w:r>
      <w:r w:rsidR="0024237B">
        <w:rPr>
          <w:i/>
        </w:rPr>
        <w:t>Rules 2</w:t>
      </w:r>
      <w:r w:rsidRPr="009B332B">
        <w:rPr>
          <w:i/>
        </w:rPr>
        <w:t>021</w:t>
      </w:r>
      <w:r w:rsidRPr="009B332B">
        <w:t xml:space="preserve"> applies as if </w:t>
      </w:r>
      <w:r w:rsidR="00CD2489" w:rsidRPr="009B332B">
        <w:t xml:space="preserve">that Schedule included </w:t>
      </w:r>
      <w:r w:rsidRPr="009B332B">
        <w:t xml:space="preserve">the items in </w:t>
      </w:r>
      <w:r w:rsidR="00CD2489" w:rsidRPr="009B332B">
        <w:t xml:space="preserve">the table in </w:t>
      </w:r>
      <w:r w:rsidR="00C95A5E" w:rsidRPr="009B332B">
        <w:t>Schedule 2</w:t>
      </w:r>
      <w:r w:rsidRPr="009B332B">
        <w:t xml:space="preserve"> to these Rules.</w:t>
      </w:r>
    </w:p>
    <w:p w14:paraId="55449777" w14:textId="77777777" w:rsidR="00A5753C" w:rsidRPr="009B332B" w:rsidRDefault="00A5753C" w:rsidP="003746C2">
      <w:pPr>
        <w:sectPr w:rsidR="00A5753C" w:rsidRPr="009B332B" w:rsidSect="008A353F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437380A1" w14:textId="77777777" w:rsidR="00A5753C" w:rsidRPr="009B332B" w:rsidRDefault="00D70758" w:rsidP="00A5753C">
      <w:pPr>
        <w:pStyle w:val="ActHead1"/>
      </w:pPr>
      <w:bookmarkStart w:id="17" w:name="_Toc80871206"/>
      <w:r w:rsidRPr="00823940">
        <w:rPr>
          <w:rStyle w:val="CharChapNo"/>
        </w:rPr>
        <w:lastRenderedPageBreak/>
        <w:t>Schedule 1</w:t>
      </w:r>
      <w:r w:rsidR="00A5753C" w:rsidRPr="009B332B">
        <w:t>—</w:t>
      </w:r>
      <w:r w:rsidR="00A5753C" w:rsidRPr="00823940">
        <w:rPr>
          <w:rStyle w:val="CharChapText"/>
        </w:rPr>
        <w:t>Scale of costs in family law and child support matters</w:t>
      </w:r>
      <w:bookmarkEnd w:id="17"/>
    </w:p>
    <w:p w14:paraId="411A7682" w14:textId="77777777" w:rsidR="00477D36" w:rsidRPr="009B332B" w:rsidRDefault="00477D36" w:rsidP="00477D36">
      <w:pPr>
        <w:pStyle w:val="notemargin"/>
      </w:pPr>
      <w:r w:rsidRPr="009B332B">
        <w:t>Note:</w:t>
      </w:r>
      <w:r w:rsidRPr="009B332B">
        <w:tab/>
        <w:t xml:space="preserve">See </w:t>
      </w:r>
      <w:r w:rsidR="00C95A5E" w:rsidRPr="009B332B">
        <w:t>rule 4</w:t>
      </w:r>
      <w:r w:rsidRPr="009B332B">
        <w:t>.01.</w:t>
      </w:r>
    </w:p>
    <w:p w14:paraId="2F4120C9" w14:textId="77777777" w:rsidR="00A5753C" w:rsidRPr="00823940" w:rsidRDefault="00A5753C" w:rsidP="003746C2">
      <w:pPr>
        <w:pStyle w:val="Header"/>
      </w:pPr>
      <w:r w:rsidRPr="00823940">
        <w:rPr>
          <w:rStyle w:val="CharPartNo"/>
        </w:rPr>
        <w:t xml:space="preserve"> </w:t>
      </w:r>
      <w:r w:rsidRPr="00823940">
        <w:rPr>
          <w:rStyle w:val="CharPartText"/>
        </w:rPr>
        <w:t xml:space="preserve"> </w:t>
      </w:r>
    </w:p>
    <w:p w14:paraId="70938467" w14:textId="77777777" w:rsidR="00A5753C" w:rsidRPr="00823940" w:rsidRDefault="00A5753C" w:rsidP="003746C2">
      <w:pPr>
        <w:pStyle w:val="Header"/>
      </w:pPr>
      <w:r w:rsidRPr="00823940">
        <w:rPr>
          <w:rStyle w:val="CharDivNo"/>
        </w:rPr>
        <w:t xml:space="preserve"> </w:t>
      </w:r>
      <w:r w:rsidRPr="00823940">
        <w:rPr>
          <w:rStyle w:val="CharDivText"/>
        </w:rPr>
        <w:t xml:space="preserve"> </w:t>
      </w:r>
    </w:p>
    <w:p w14:paraId="664B44E6" w14:textId="77777777" w:rsidR="00A5753C" w:rsidRPr="009B332B" w:rsidRDefault="00A5753C" w:rsidP="00A5753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3927"/>
        <w:gridCol w:w="3927"/>
      </w:tblGrid>
      <w:tr w:rsidR="00A5753C" w:rsidRPr="009B332B" w14:paraId="2170706A" w14:textId="77777777" w:rsidTr="003746C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9F1188" w14:textId="77777777" w:rsidR="00A5753C" w:rsidRPr="009B332B" w:rsidRDefault="00A5753C" w:rsidP="003746C2">
            <w:pPr>
              <w:pStyle w:val="TableHeading"/>
            </w:pPr>
            <w:r w:rsidRPr="009B332B">
              <w:rPr>
                <w:shd w:val="clear" w:color="auto" w:fill="FFFFFF"/>
              </w:rPr>
              <w:t xml:space="preserve">Scale of </w:t>
            </w:r>
            <w:r w:rsidR="00D70758" w:rsidRPr="009B332B">
              <w:rPr>
                <w:shd w:val="clear" w:color="auto" w:fill="FFFFFF"/>
              </w:rPr>
              <w:t>c</w:t>
            </w:r>
            <w:r w:rsidRPr="009B332B">
              <w:rPr>
                <w:shd w:val="clear" w:color="auto" w:fill="FFFFFF"/>
              </w:rPr>
              <w:t xml:space="preserve">osts in </w:t>
            </w:r>
            <w:r w:rsidR="00D70758" w:rsidRPr="009B332B">
              <w:rPr>
                <w:shd w:val="clear" w:color="auto" w:fill="FFFFFF"/>
              </w:rPr>
              <w:t>f</w:t>
            </w:r>
            <w:r w:rsidRPr="009B332B">
              <w:rPr>
                <w:shd w:val="clear" w:color="auto" w:fill="FFFFFF"/>
              </w:rPr>
              <w:t xml:space="preserve">amily </w:t>
            </w:r>
            <w:r w:rsidR="00D70758" w:rsidRPr="009B332B">
              <w:rPr>
                <w:shd w:val="clear" w:color="auto" w:fill="FFFFFF"/>
              </w:rPr>
              <w:t>l</w:t>
            </w:r>
            <w:r w:rsidRPr="009B332B">
              <w:rPr>
                <w:shd w:val="clear" w:color="auto" w:fill="FFFFFF"/>
              </w:rPr>
              <w:t xml:space="preserve">aw and </w:t>
            </w:r>
            <w:r w:rsidR="00D70758" w:rsidRPr="009B332B">
              <w:rPr>
                <w:shd w:val="clear" w:color="auto" w:fill="FFFFFF"/>
              </w:rPr>
              <w:t>c</w:t>
            </w:r>
            <w:r w:rsidRPr="009B332B">
              <w:rPr>
                <w:shd w:val="clear" w:color="auto" w:fill="FFFFFF"/>
              </w:rPr>
              <w:t xml:space="preserve">hild </w:t>
            </w:r>
            <w:r w:rsidR="00D70758" w:rsidRPr="009B332B">
              <w:rPr>
                <w:shd w:val="clear" w:color="auto" w:fill="FFFFFF"/>
              </w:rPr>
              <w:t>s</w:t>
            </w:r>
            <w:r w:rsidRPr="009B332B">
              <w:rPr>
                <w:shd w:val="clear" w:color="auto" w:fill="FFFFFF"/>
              </w:rPr>
              <w:t xml:space="preserve">upport </w:t>
            </w:r>
            <w:r w:rsidR="00D70758" w:rsidRPr="009B332B">
              <w:rPr>
                <w:shd w:val="clear" w:color="auto" w:fill="FFFFFF"/>
              </w:rPr>
              <w:t>m</w:t>
            </w:r>
            <w:r w:rsidRPr="009B332B">
              <w:rPr>
                <w:shd w:val="clear" w:color="auto" w:fill="FFFFFF"/>
              </w:rPr>
              <w:t>atters</w:t>
            </w:r>
          </w:p>
        </w:tc>
      </w:tr>
      <w:tr w:rsidR="00A5753C" w:rsidRPr="009B332B" w14:paraId="0FA9D7A4" w14:textId="77777777" w:rsidTr="003746C2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955C76" w14:textId="77777777" w:rsidR="00A5753C" w:rsidRPr="009B332B" w:rsidRDefault="00A5753C" w:rsidP="003746C2">
            <w:pPr>
              <w:pStyle w:val="TableHeading"/>
            </w:pPr>
            <w:r w:rsidRPr="009B332B">
              <w:t>Item</w:t>
            </w:r>
          </w:p>
        </w:tc>
        <w:tc>
          <w:tcPr>
            <w:tcW w:w="23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08FF6D" w14:textId="77777777" w:rsidR="00A5753C" w:rsidRPr="009B332B" w:rsidRDefault="00A5753C" w:rsidP="003746C2">
            <w:pPr>
              <w:pStyle w:val="TableHeading"/>
            </w:pPr>
            <w:r w:rsidRPr="009B332B">
              <w:t>Column 1</w:t>
            </w:r>
          </w:p>
          <w:p w14:paraId="163BA316" w14:textId="77777777" w:rsidR="00A5753C" w:rsidRPr="009B332B" w:rsidRDefault="00A5753C" w:rsidP="003746C2">
            <w:pPr>
              <w:pStyle w:val="TableHeading"/>
            </w:pPr>
            <w:r w:rsidRPr="009B332B">
              <w:t>Description</w:t>
            </w:r>
          </w:p>
        </w:tc>
        <w:tc>
          <w:tcPr>
            <w:tcW w:w="23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EC3619" w14:textId="77777777" w:rsidR="00A5753C" w:rsidRPr="009B332B" w:rsidRDefault="00A5753C" w:rsidP="003746C2">
            <w:pPr>
              <w:pStyle w:val="TableHeading"/>
            </w:pPr>
            <w:r w:rsidRPr="009B332B">
              <w:t>Column 2</w:t>
            </w:r>
          </w:p>
          <w:p w14:paraId="68E40BE9" w14:textId="77777777" w:rsidR="00A5753C" w:rsidRPr="009B332B" w:rsidRDefault="00A5753C" w:rsidP="003746C2">
            <w:pPr>
              <w:pStyle w:val="TableHeading"/>
            </w:pPr>
            <w:r w:rsidRPr="009B332B">
              <w:t>Amount (including GST)</w:t>
            </w:r>
          </w:p>
        </w:tc>
      </w:tr>
      <w:tr w:rsidR="00A5753C" w:rsidRPr="009B332B" w14:paraId="14E6C57E" w14:textId="77777777" w:rsidTr="003746C2">
        <w:tc>
          <w:tcPr>
            <w:tcW w:w="396" w:type="pct"/>
            <w:tcBorders>
              <w:top w:val="single" w:sz="12" w:space="0" w:color="auto"/>
            </w:tcBorders>
            <w:shd w:val="clear" w:color="auto" w:fill="auto"/>
          </w:tcPr>
          <w:p w14:paraId="01C27AEF" w14:textId="77777777" w:rsidR="00A5753C" w:rsidRPr="009B332B" w:rsidRDefault="00A5753C" w:rsidP="003746C2">
            <w:pPr>
              <w:pStyle w:val="Tabletext"/>
            </w:pPr>
            <w:r w:rsidRPr="009B332B">
              <w:t>1</w:t>
            </w:r>
          </w:p>
        </w:tc>
        <w:tc>
          <w:tcPr>
            <w:tcW w:w="2302" w:type="pct"/>
            <w:tcBorders>
              <w:top w:val="single" w:sz="12" w:space="0" w:color="auto"/>
            </w:tcBorders>
            <w:shd w:val="clear" w:color="auto" w:fill="auto"/>
          </w:tcPr>
          <w:p w14:paraId="1CF2D9D3" w14:textId="77777777" w:rsidR="00A5753C" w:rsidRPr="009B332B" w:rsidRDefault="00A5753C" w:rsidP="003746C2">
            <w:pPr>
              <w:pStyle w:val="Tabletext"/>
            </w:pPr>
            <w:r w:rsidRPr="009B332B">
              <w:t>Initiating or opposing an application up to the completion of the first court date</w:t>
            </w:r>
          </w:p>
        </w:tc>
        <w:tc>
          <w:tcPr>
            <w:tcW w:w="2302" w:type="pct"/>
            <w:tcBorders>
              <w:top w:val="single" w:sz="12" w:space="0" w:color="auto"/>
            </w:tcBorders>
            <w:shd w:val="clear" w:color="auto" w:fill="auto"/>
          </w:tcPr>
          <w:p w14:paraId="2B9B3392" w14:textId="77777777" w:rsidR="00A5753C" w:rsidRPr="009B332B" w:rsidRDefault="00A5753C" w:rsidP="003746C2">
            <w:pPr>
              <w:pStyle w:val="Tabletext"/>
            </w:pPr>
            <w:r w:rsidRPr="009B332B">
              <w:t>Both:</w:t>
            </w:r>
          </w:p>
          <w:p w14:paraId="7C163031" w14:textId="77777777" w:rsidR="00A5753C" w:rsidRPr="009B332B" w:rsidRDefault="00A5753C" w:rsidP="003746C2">
            <w:pPr>
              <w:pStyle w:val="Tablea"/>
            </w:pPr>
            <w:r w:rsidRPr="009B332B">
              <w:t>(a) $2,357; and</w:t>
            </w:r>
          </w:p>
          <w:p w14:paraId="7A43C4EE" w14:textId="77777777" w:rsidR="00A5753C" w:rsidRPr="009B332B" w:rsidRDefault="00A5753C" w:rsidP="003746C2">
            <w:pPr>
              <w:pStyle w:val="Tablea"/>
            </w:pPr>
            <w:r w:rsidRPr="009B332B">
              <w:t xml:space="preserve">(b) the daily hearing fee specified in </w:t>
            </w:r>
            <w:r w:rsidR="00D70758" w:rsidRPr="009B332B">
              <w:t>item 1</w:t>
            </w:r>
            <w:r w:rsidRPr="009B332B">
              <w:t>3 that applies to the hearing</w:t>
            </w:r>
          </w:p>
        </w:tc>
      </w:tr>
      <w:tr w:rsidR="00A5753C" w:rsidRPr="009B332B" w14:paraId="355D9656" w14:textId="77777777" w:rsidTr="003746C2">
        <w:tc>
          <w:tcPr>
            <w:tcW w:w="396" w:type="pct"/>
            <w:shd w:val="clear" w:color="auto" w:fill="auto"/>
          </w:tcPr>
          <w:p w14:paraId="74331CF5" w14:textId="77777777" w:rsidR="00A5753C" w:rsidRPr="009B332B" w:rsidRDefault="00A5753C" w:rsidP="003746C2">
            <w:pPr>
              <w:pStyle w:val="Tabletext"/>
            </w:pPr>
            <w:r w:rsidRPr="009B332B">
              <w:t>2</w:t>
            </w:r>
          </w:p>
        </w:tc>
        <w:tc>
          <w:tcPr>
            <w:tcW w:w="2302" w:type="pct"/>
            <w:shd w:val="clear" w:color="auto" w:fill="auto"/>
          </w:tcPr>
          <w:p w14:paraId="67EAC6F5" w14:textId="77777777" w:rsidR="00A5753C" w:rsidRPr="009B332B" w:rsidRDefault="00A5753C" w:rsidP="003746C2">
            <w:pPr>
              <w:pStyle w:val="Tabletext"/>
            </w:pPr>
            <w:r w:rsidRPr="009B332B">
              <w:t>Initiating or opposing an application that includes interim orders (other than procedural orders) up to the completion of the first court date</w:t>
            </w:r>
          </w:p>
        </w:tc>
        <w:tc>
          <w:tcPr>
            <w:tcW w:w="2302" w:type="pct"/>
            <w:shd w:val="clear" w:color="auto" w:fill="auto"/>
          </w:tcPr>
          <w:p w14:paraId="34DF8AD5" w14:textId="77777777" w:rsidR="00A5753C" w:rsidRPr="009B332B" w:rsidRDefault="00A5753C" w:rsidP="003746C2">
            <w:pPr>
              <w:pStyle w:val="Tabletext"/>
            </w:pPr>
            <w:r w:rsidRPr="009B332B">
              <w:t>Both:</w:t>
            </w:r>
          </w:p>
          <w:p w14:paraId="7EDDE172" w14:textId="77777777" w:rsidR="00A5753C" w:rsidRPr="009B332B" w:rsidRDefault="00A5753C" w:rsidP="003746C2">
            <w:pPr>
              <w:pStyle w:val="Tablea"/>
            </w:pPr>
            <w:r w:rsidRPr="009B332B">
              <w:t>(a) $2,947 and</w:t>
            </w:r>
          </w:p>
          <w:p w14:paraId="211ECAFA" w14:textId="77777777" w:rsidR="00A5753C" w:rsidRPr="009B332B" w:rsidRDefault="00A5753C" w:rsidP="003746C2">
            <w:pPr>
              <w:pStyle w:val="Tablea"/>
            </w:pPr>
            <w:r w:rsidRPr="009B332B">
              <w:t xml:space="preserve">(b) the daily hearing fee specified in </w:t>
            </w:r>
            <w:r w:rsidR="00D70758" w:rsidRPr="009B332B">
              <w:t>item 1</w:t>
            </w:r>
            <w:r w:rsidRPr="009B332B">
              <w:t>3 that applies to the hearing</w:t>
            </w:r>
          </w:p>
        </w:tc>
      </w:tr>
      <w:tr w:rsidR="00A5753C" w:rsidRPr="009B332B" w14:paraId="444C105D" w14:textId="77777777" w:rsidTr="003746C2">
        <w:tc>
          <w:tcPr>
            <w:tcW w:w="396" w:type="pct"/>
            <w:shd w:val="clear" w:color="auto" w:fill="auto"/>
          </w:tcPr>
          <w:p w14:paraId="625D3FF3" w14:textId="77777777" w:rsidR="00A5753C" w:rsidRPr="009B332B" w:rsidRDefault="00A5753C" w:rsidP="003746C2">
            <w:pPr>
              <w:pStyle w:val="Tabletext"/>
            </w:pPr>
            <w:r w:rsidRPr="009B332B">
              <w:t>3</w:t>
            </w:r>
          </w:p>
        </w:tc>
        <w:tc>
          <w:tcPr>
            <w:tcW w:w="2302" w:type="pct"/>
            <w:shd w:val="clear" w:color="auto" w:fill="auto"/>
          </w:tcPr>
          <w:p w14:paraId="2E6B3DE5" w14:textId="77777777" w:rsidR="00A5753C" w:rsidRPr="009B332B" w:rsidRDefault="00A5753C" w:rsidP="003746C2">
            <w:pPr>
              <w:pStyle w:val="Tabletext"/>
            </w:pPr>
            <w:r w:rsidRPr="009B332B">
              <w:t xml:space="preserve">Initiating or opposing an application for interlocutory orders (including an interim hearing) that is not otherwise described in </w:t>
            </w:r>
            <w:r w:rsidR="00D70758" w:rsidRPr="009B332B">
              <w:t>item 1</w:t>
            </w:r>
            <w:r w:rsidRPr="009B332B">
              <w:t xml:space="preserve"> or 2</w:t>
            </w:r>
          </w:p>
        </w:tc>
        <w:tc>
          <w:tcPr>
            <w:tcW w:w="2302" w:type="pct"/>
            <w:shd w:val="clear" w:color="auto" w:fill="auto"/>
          </w:tcPr>
          <w:p w14:paraId="63325441" w14:textId="77777777" w:rsidR="00A5753C" w:rsidRPr="009B332B" w:rsidRDefault="00A5753C" w:rsidP="003746C2">
            <w:pPr>
              <w:pStyle w:val="Tabletext"/>
            </w:pPr>
            <w:r w:rsidRPr="009B332B">
              <w:t>Both:</w:t>
            </w:r>
          </w:p>
          <w:p w14:paraId="1CD72831" w14:textId="77777777" w:rsidR="00A5753C" w:rsidRPr="009B332B" w:rsidRDefault="00A5753C" w:rsidP="003746C2">
            <w:pPr>
              <w:pStyle w:val="Tablea"/>
            </w:pPr>
            <w:r w:rsidRPr="009B332B">
              <w:t>(a) $1,964; and</w:t>
            </w:r>
          </w:p>
          <w:p w14:paraId="052DACD5" w14:textId="77777777" w:rsidR="00A5753C" w:rsidRPr="009B332B" w:rsidRDefault="00A5753C" w:rsidP="003746C2">
            <w:pPr>
              <w:pStyle w:val="Tablea"/>
            </w:pPr>
            <w:r w:rsidRPr="009B332B">
              <w:t xml:space="preserve">(b) the daily hearing fee specified in </w:t>
            </w:r>
            <w:r w:rsidR="00D70758" w:rsidRPr="009B332B">
              <w:t>item 1</w:t>
            </w:r>
            <w:r w:rsidRPr="009B332B">
              <w:t>3 that applies to the hearing</w:t>
            </w:r>
          </w:p>
        </w:tc>
      </w:tr>
      <w:tr w:rsidR="00A5753C" w:rsidRPr="009B332B" w14:paraId="322E90D5" w14:textId="77777777" w:rsidTr="003746C2">
        <w:tc>
          <w:tcPr>
            <w:tcW w:w="396" w:type="pct"/>
            <w:shd w:val="clear" w:color="auto" w:fill="auto"/>
          </w:tcPr>
          <w:p w14:paraId="351CA756" w14:textId="77777777" w:rsidR="00A5753C" w:rsidRPr="009B332B" w:rsidRDefault="00A5753C" w:rsidP="003746C2">
            <w:pPr>
              <w:pStyle w:val="Tabletext"/>
            </w:pPr>
            <w:r w:rsidRPr="009B332B">
              <w:t>4</w:t>
            </w:r>
          </w:p>
        </w:tc>
        <w:tc>
          <w:tcPr>
            <w:tcW w:w="2302" w:type="pct"/>
            <w:shd w:val="clear" w:color="auto" w:fill="auto"/>
          </w:tcPr>
          <w:p w14:paraId="274C6922" w14:textId="77777777" w:rsidR="00A5753C" w:rsidRPr="009B332B" w:rsidRDefault="00A5753C" w:rsidP="003746C2">
            <w:pPr>
              <w:pStyle w:val="Tabletext"/>
            </w:pPr>
            <w:r w:rsidRPr="009B332B">
              <w:t>Procedural or summary hearing</w:t>
            </w:r>
            <w:r w:rsidR="0024237B">
              <w:noBreakHyphen/>
            </w:r>
            <w:r w:rsidRPr="009B332B">
              <w:t>—as a discrete event</w:t>
            </w:r>
          </w:p>
        </w:tc>
        <w:tc>
          <w:tcPr>
            <w:tcW w:w="2302" w:type="pct"/>
            <w:shd w:val="clear" w:color="auto" w:fill="auto"/>
          </w:tcPr>
          <w:p w14:paraId="3969FD7E" w14:textId="77777777" w:rsidR="00A5753C" w:rsidRPr="009B332B" w:rsidRDefault="00A5753C" w:rsidP="003746C2">
            <w:pPr>
              <w:pStyle w:val="Tabletext"/>
            </w:pPr>
            <w:r w:rsidRPr="009B332B">
              <w:t>$1,964</w:t>
            </w:r>
          </w:p>
        </w:tc>
      </w:tr>
      <w:tr w:rsidR="00A5753C" w:rsidRPr="009B332B" w14:paraId="20E5C476" w14:textId="77777777" w:rsidTr="003746C2">
        <w:tc>
          <w:tcPr>
            <w:tcW w:w="396" w:type="pct"/>
            <w:shd w:val="clear" w:color="auto" w:fill="auto"/>
          </w:tcPr>
          <w:p w14:paraId="3F770ED9" w14:textId="77777777" w:rsidR="00A5753C" w:rsidRPr="009B332B" w:rsidRDefault="00A5753C" w:rsidP="003746C2">
            <w:pPr>
              <w:pStyle w:val="Tabletext"/>
            </w:pPr>
            <w:r w:rsidRPr="009B332B">
              <w:t>5</w:t>
            </w:r>
          </w:p>
        </w:tc>
        <w:tc>
          <w:tcPr>
            <w:tcW w:w="2302" w:type="pct"/>
            <w:shd w:val="clear" w:color="auto" w:fill="auto"/>
          </w:tcPr>
          <w:p w14:paraId="55818202" w14:textId="77777777" w:rsidR="00A5753C" w:rsidRPr="009B332B" w:rsidRDefault="00A5753C" w:rsidP="003746C2">
            <w:pPr>
              <w:pStyle w:val="Tabletext"/>
            </w:pPr>
            <w:r w:rsidRPr="009B332B">
              <w:t>Conciliation conference (including preparation)</w:t>
            </w:r>
          </w:p>
        </w:tc>
        <w:tc>
          <w:tcPr>
            <w:tcW w:w="2302" w:type="pct"/>
            <w:shd w:val="clear" w:color="auto" w:fill="auto"/>
          </w:tcPr>
          <w:p w14:paraId="64656522" w14:textId="77777777" w:rsidR="00A5753C" w:rsidRPr="009B332B" w:rsidRDefault="00A5753C" w:rsidP="003746C2">
            <w:pPr>
              <w:pStyle w:val="Tabletext"/>
            </w:pPr>
            <w:r w:rsidRPr="009B332B">
              <w:t>$1,964</w:t>
            </w:r>
          </w:p>
        </w:tc>
      </w:tr>
      <w:tr w:rsidR="00A5753C" w:rsidRPr="009B332B" w14:paraId="760CC888" w14:textId="77777777" w:rsidTr="003746C2">
        <w:tc>
          <w:tcPr>
            <w:tcW w:w="396" w:type="pct"/>
            <w:shd w:val="clear" w:color="auto" w:fill="auto"/>
          </w:tcPr>
          <w:p w14:paraId="29AEA70E" w14:textId="77777777" w:rsidR="00A5753C" w:rsidRPr="009B332B" w:rsidRDefault="00A5753C" w:rsidP="003746C2">
            <w:pPr>
              <w:pStyle w:val="Tabletext"/>
            </w:pPr>
            <w:r w:rsidRPr="009B332B">
              <w:t>6</w:t>
            </w:r>
          </w:p>
        </w:tc>
        <w:tc>
          <w:tcPr>
            <w:tcW w:w="2302" w:type="pct"/>
            <w:shd w:val="clear" w:color="auto" w:fill="auto"/>
          </w:tcPr>
          <w:p w14:paraId="2C4B82CD" w14:textId="77777777" w:rsidR="00A5753C" w:rsidRPr="009B332B" w:rsidRDefault="00A5753C" w:rsidP="003746C2">
            <w:pPr>
              <w:pStyle w:val="Tabletext"/>
            </w:pPr>
            <w:r w:rsidRPr="009B332B">
              <w:t>Other dispute resolution (including preparation)</w:t>
            </w:r>
          </w:p>
        </w:tc>
        <w:tc>
          <w:tcPr>
            <w:tcW w:w="2302" w:type="pct"/>
            <w:shd w:val="clear" w:color="auto" w:fill="auto"/>
          </w:tcPr>
          <w:p w14:paraId="67E5CD95" w14:textId="77777777" w:rsidR="00A5753C" w:rsidRPr="009B332B" w:rsidRDefault="00A5753C" w:rsidP="003746C2">
            <w:pPr>
              <w:pStyle w:val="Tabletext"/>
            </w:pPr>
            <w:r w:rsidRPr="009B332B">
              <w:t>$1,964</w:t>
            </w:r>
          </w:p>
        </w:tc>
      </w:tr>
      <w:tr w:rsidR="00A5753C" w:rsidRPr="009B332B" w14:paraId="28DC2042" w14:textId="77777777" w:rsidTr="003746C2">
        <w:tc>
          <w:tcPr>
            <w:tcW w:w="396" w:type="pct"/>
            <w:shd w:val="clear" w:color="auto" w:fill="auto"/>
          </w:tcPr>
          <w:p w14:paraId="63760FD3" w14:textId="77777777" w:rsidR="00A5753C" w:rsidRPr="009B332B" w:rsidRDefault="00A5753C" w:rsidP="003746C2">
            <w:pPr>
              <w:pStyle w:val="Tabletext"/>
            </w:pPr>
            <w:r w:rsidRPr="009B332B">
              <w:t>7</w:t>
            </w:r>
          </w:p>
        </w:tc>
        <w:tc>
          <w:tcPr>
            <w:tcW w:w="2302" w:type="pct"/>
            <w:shd w:val="clear" w:color="auto" w:fill="auto"/>
          </w:tcPr>
          <w:p w14:paraId="434A0CC2" w14:textId="77777777" w:rsidR="00A5753C" w:rsidRPr="009B332B" w:rsidRDefault="00A5753C" w:rsidP="003746C2">
            <w:pPr>
              <w:pStyle w:val="Tabletext"/>
            </w:pPr>
            <w:r w:rsidRPr="009B332B">
              <w:t>Preparation for final hearing</w:t>
            </w:r>
            <w:r w:rsidR="0024237B">
              <w:noBreakHyphen/>
            </w:r>
            <w:r w:rsidRPr="009B332B">
              <w:t>—1 day matter</w:t>
            </w:r>
          </w:p>
        </w:tc>
        <w:tc>
          <w:tcPr>
            <w:tcW w:w="2302" w:type="pct"/>
            <w:shd w:val="clear" w:color="auto" w:fill="auto"/>
          </w:tcPr>
          <w:p w14:paraId="0AD85907" w14:textId="77777777" w:rsidR="00A5753C" w:rsidRPr="009B332B" w:rsidRDefault="00A5753C" w:rsidP="003746C2">
            <w:pPr>
              <w:pStyle w:val="Tabletext"/>
            </w:pPr>
            <w:r w:rsidRPr="009B332B">
              <w:t>$5,022</w:t>
            </w:r>
          </w:p>
        </w:tc>
      </w:tr>
      <w:tr w:rsidR="00A5753C" w:rsidRPr="009B332B" w14:paraId="05D4AC22" w14:textId="77777777" w:rsidTr="003746C2">
        <w:tc>
          <w:tcPr>
            <w:tcW w:w="396" w:type="pct"/>
            <w:shd w:val="clear" w:color="auto" w:fill="auto"/>
          </w:tcPr>
          <w:p w14:paraId="1FCE5F17" w14:textId="77777777" w:rsidR="00A5753C" w:rsidRPr="009B332B" w:rsidRDefault="00A5753C" w:rsidP="003746C2">
            <w:pPr>
              <w:pStyle w:val="Tabletext"/>
            </w:pPr>
            <w:r w:rsidRPr="009B332B">
              <w:t>8</w:t>
            </w:r>
          </w:p>
        </w:tc>
        <w:tc>
          <w:tcPr>
            <w:tcW w:w="2302" w:type="pct"/>
            <w:shd w:val="clear" w:color="auto" w:fill="auto"/>
          </w:tcPr>
          <w:p w14:paraId="4B22CA66" w14:textId="77777777" w:rsidR="00A5753C" w:rsidRPr="009B332B" w:rsidRDefault="00A5753C" w:rsidP="003746C2">
            <w:pPr>
              <w:pStyle w:val="Tabletext"/>
            </w:pPr>
            <w:r w:rsidRPr="009B332B">
              <w:t>Preparation for final hearing</w:t>
            </w:r>
            <w:r w:rsidR="0024237B">
              <w:noBreakHyphen/>
            </w:r>
            <w:r w:rsidRPr="009B332B">
              <w:t>—2 day matter</w:t>
            </w:r>
          </w:p>
        </w:tc>
        <w:tc>
          <w:tcPr>
            <w:tcW w:w="2302" w:type="pct"/>
            <w:shd w:val="clear" w:color="auto" w:fill="auto"/>
          </w:tcPr>
          <w:p w14:paraId="10BB8B1E" w14:textId="77777777" w:rsidR="00A5753C" w:rsidRPr="009B332B" w:rsidRDefault="00A5753C" w:rsidP="003746C2">
            <w:pPr>
              <w:pStyle w:val="Tabletext"/>
            </w:pPr>
            <w:r w:rsidRPr="009B332B">
              <w:t>$6,227</w:t>
            </w:r>
          </w:p>
        </w:tc>
      </w:tr>
      <w:tr w:rsidR="00A5753C" w:rsidRPr="009B332B" w14:paraId="025BDA40" w14:textId="77777777" w:rsidTr="003746C2">
        <w:tc>
          <w:tcPr>
            <w:tcW w:w="396" w:type="pct"/>
            <w:shd w:val="clear" w:color="auto" w:fill="auto"/>
          </w:tcPr>
          <w:p w14:paraId="4ADC4A99" w14:textId="77777777" w:rsidR="00A5753C" w:rsidRPr="009B332B" w:rsidRDefault="00A5753C" w:rsidP="003746C2">
            <w:pPr>
              <w:pStyle w:val="Tabletext"/>
            </w:pPr>
            <w:r w:rsidRPr="009B332B">
              <w:t>9</w:t>
            </w:r>
          </w:p>
        </w:tc>
        <w:tc>
          <w:tcPr>
            <w:tcW w:w="2302" w:type="pct"/>
            <w:shd w:val="clear" w:color="auto" w:fill="auto"/>
          </w:tcPr>
          <w:p w14:paraId="0026BCE8" w14:textId="77777777" w:rsidR="00A5753C" w:rsidRPr="009B332B" w:rsidRDefault="00A5753C" w:rsidP="003746C2">
            <w:pPr>
              <w:pStyle w:val="Tabletext"/>
            </w:pPr>
            <w:r w:rsidRPr="009B332B">
              <w:t>Preparation for final hearing</w:t>
            </w:r>
            <w:r w:rsidR="0024237B">
              <w:noBreakHyphen/>
            </w:r>
            <w:r w:rsidRPr="009B332B">
              <w:t>—each additional hearing day after the second hearing day</w:t>
            </w:r>
          </w:p>
        </w:tc>
        <w:tc>
          <w:tcPr>
            <w:tcW w:w="2302" w:type="pct"/>
            <w:shd w:val="clear" w:color="auto" w:fill="auto"/>
          </w:tcPr>
          <w:p w14:paraId="6929C448" w14:textId="77777777" w:rsidR="00A5753C" w:rsidRPr="009B332B" w:rsidRDefault="00A5753C" w:rsidP="003746C2">
            <w:pPr>
              <w:pStyle w:val="Tabletext"/>
            </w:pPr>
            <w:r w:rsidRPr="009B332B">
              <w:t xml:space="preserve">$1,334 </w:t>
            </w:r>
          </w:p>
        </w:tc>
      </w:tr>
      <w:tr w:rsidR="00A5753C" w:rsidRPr="009B332B" w14:paraId="1F6A3112" w14:textId="77777777" w:rsidTr="003746C2">
        <w:tc>
          <w:tcPr>
            <w:tcW w:w="396" w:type="pct"/>
            <w:shd w:val="clear" w:color="auto" w:fill="auto"/>
          </w:tcPr>
          <w:p w14:paraId="18D06DD1" w14:textId="77777777" w:rsidR="00A5753C" w:rsidRPr="009B332B" w:rsidRDefault="00A5753C" w:rsidP="003746C2">
            <w:pPr>
              <w:pStyle w:val="Tabletext"/>
            </w:pPr>
            <w:r w:rsidRPr="009B332B">
              <w:t>10</w:t>
            </w:r>
          </w:p>
        </w:tc>
        <w:tc>
          <w:tcPr>
            <w:tcW w:w="2302" w:type="pct"/>
            <w:shd w:val="clear" w:color="auto" w:fill="auto"/>
          </w:tcPr>
          <w:p w14:paraId="0F11B6FC" w14:textId="77777777" w:rsidR="00A5753C" w:rsidRPr="009B332B" w:rsidRDefault="00A5753C" w:rsidP="003746C2">
            <w:pPr>
              <w:pStyle w:val="Tabletext"/>
            </w:pPr>
            <w:r w:rsidRPr="009B332B">
              <w:t>Attendance at hearing to take judgment and explain orders</w:t>
            </w:r>
          </w:p>
        </w:tc>
        <w:tc>
          <w:tcPr>
            <w:tcW w:w="2302" w:type="pct"/>
            <w:shd w:val="clear" w:color="auto" w:fill="auto"/>
          </w:tcPr>
          <w:p w14:paraId="35A593AD" w14:textId="77777777" w:rsidR="00A5753C" w:rsidRPr="009B332B" w:rsidRDefault="00A5753C" w:rsidP="003746C2">
            <w:pPr>
              <w:pStyle w:val="Tabletext"/>
            </w:pPr>
            <w:r w:rsidRPr="009B332B">
              <w:t>Both:</w:t>
            </w:r>
          </w:p>
          <w:p w14:paraId="2C1F1B2E" w14:textId="77777777" w:rsidR="00A5753C" w:rsidRPr="009B332B" w:rsidRDefault="00A5753C" w:rsidP="003746C2">
            <w:pPr>
              <w:pStyle w:val="Tablea"/>
            </w:pPr>
            <w:r w:rsidRPr="009B332B">
              <w:t>(a) $321; and</w:t>
            </w:r>
          </w:p>
          <w:p w14:paraId="40628A8E" w14:textId="77777777" w:rsidR="00A5753C" w:rsidRPr="009B332B" w:rsidRDefault="00A5753C" w:rsidP="003746C2">
            <w:pPr>
              <w:pStyle w:val="Tablea"/>
            </w:pPr>
            <w:r w:rsidRPr="009B332B">
              <w:t xml:space="preserve">(b) the daily hearing fee specified in </w:t>
            </w:r>
            <w:r w:rsidR="00D70758" w:rsidRPr="009B332B">
              <w:t>item 1</w:t>
            </w:r>
            <w:r w:rsidRPr="009B332B">
              <w:t>3 that applies to the hearing</w:t>
            </w:r>
          </w:p>
        </w:tc>
      </w:tr>
      <w:tr w:rsidR="00A5753C" w:rsidRPr="009B332B" w14:paraId="2CC707CA" w14:textId="77777777" w:rsidTr="003746C2">
        <w:tc>
          <w:tcPr>
            <w:tcW w:w="396" w:type="pct"/>
            <w:shd w:val="clear" w:color="auto" w:fill="auto"/>
          </w:tcPr>
          <w:p w14:paraId="47E93DF4" w14:textId="77777777" w:rsidR="00A5753C" w:rsidRPr="009B332B" w:rsidRDefault="00A5753C" w:rsidP="003746C2">
            <w:pPr>
              <w:pStyle w:val="Tabletext"/>
            </w:pPr>
            <w:r w:rsidRPr="009B332B">
              <w:t>11</w:t>
            </w:r>
          </w:p>
        </w:tc>
        <w:tc>
          <w:tcPr>
            <w:tcW w:w="2302" w:type="pct"/>
            <w:shd w:val="clear" w:color="auto" w:fill="auto"/>
          </w:tcPr>
          <w:p w14:paraId="59FA9F3E" w14:textId="77777777" w:rsidR="00A5753C" w:rsidRPr="009B332B" w:rsidRDefault="00A5753C" w:rsidP="003746C2">
            <w:pPr>
              <w:pStyle w:val="Tabletext"/>
            </w:pPr>
            <w:r w:rsidRPr="009B332B">
              <w:t xml:space="preserve">Application location, recovery or enforcement of an order (other than an application for enforcement by a Registrar under </w:t>
            </w:r>
            <w:r w:rsidR="00D70758" w:rsidRPr="009B332B">
              <w:t>item 1</w:t>
            </w:r>
            <w:r w:rsidRPr="009B332B">
              <w:t>2)</w:t>
            </w:r>
          </w:p>
        </w:tc>
        <w:tc>
          <w:tcPr>
            <w:tcW w:w="2302" w:type="pct"/>
            <w:shd w:val="clear" w:color="auto" w:fill="auto"/>
          </w:tcPr>
          <w:p w14:paraId="7EBBF30C" w14:textId="77777777" w:rsidR="00A5753C" w:rsidRPr="009B332B" w:rsidRDefault="00A5753C" w:rsidP="003746C2">
            <w:pPr>
              <w:pStyle w:val="Tabletext"/>
            </w:pPr>
            <w:r w:rsidRPr="009B332B">
              <w:t>Both:</w:t>
            </w:r>
          </w:p>
          <w:p w14:paraId="0B681849" w14:textId="77777777" w:rsidR="00A5753C" w:rsidRPr="009B332B" w:rsidRDefault="00A5753C" w:rsidP="003746C2">
            <w:pPr>
              <w:pStyle w:val="Tablea"/>
            </w:pPr>
            <w:r w:rsidRPr="009B332B">
              <w:t>(a) $997; and</w:t>
            </w:r>
          </w:p>
          <w:p w14:paraId="337864FD" w14:textId="77777777" w:rsidR="00A5753C" w:rsidRPr="009B332B" w:rsidRDefault="00A5753C" w:rsidP="003746C2">
            <w:pPr>
              <w:pStyle w:val="Tablea"/>
            </w:pPr>
            <w:r w:rsidRPr="009B332B">
              <w:t xml:space="preserve">(b) the daily hearing fee specified in </w:t>
            </w:r>
            <w:r w:rsidR="00D70758" w:rsidRPr="009B332B">
              <w:t>item 1</w:t>
            </w:r>
            <w:r w:rsidRPr="009B332B">
              <w:t>3 that applies to the hearing</w:t>
            </w:r>
          </w:p>
        </w:tc>
      </w:tr>
      <w:tr w:rsidR="00A5753C" w:rsidRPr="009B332B" w14:paraId="3D0C7919" w14:textId="77777777" w:rsidTr="003746C2">
        <w:tc>
          <w:tcPr>
            <w:tcW w:w="396" w:type="pct"/>
            <w:shd w:val="clear" w:color="auto" w:fill="auto"/>
          </w:tcPr>
          <w:p w14:paraId="6A82ADF7" w14:textId="77777777" w:rsidR="00A5753C" w:rsidRPr="009B332B" w:rsidRDefault="00A5753C" w:rsidP="003746C2">
            <w:pPr>
              <w:pStyle w:val="Tabletext"/>
            </w:pPr>
            <w:r w:rsidRPr="009B332B">
              <w:t>12</w:t>
            </w:r>
          </w:p>
        </w:tc>
        <w:tc>
          <w:tcPr>
            <w:tcW w:w="2302" w:type="pct"/>
            <w:shd w:val="clear" w:color="auto" w:fill="auto"/>
          </w:tcPr>
          <w:p w14:paraId="3258D7EA" w14:textId="77777777" w:rsidR="00A5753C" w:rsidRPr="009B332B" w:rsidRDefault="00A5753C" w:rsidP="003746C2">
            <w:pPr>
              <w:pStyle w:val="Tabletext"/>
            </w:pPr>
            <w:r w:rsidRPr="009B332B">
              <w:t>Application for enforcement by a Registrar of:</w:t>
            </w:r>
          </w:p>
          <w:p w14:paraId="155FF72A" w14:textId="77777777" w:rsidR="00A5753C" w:rsidRPr="009B332B" w:rsidRDefault="00A5753C" w:rsidP="003746C2">
            <w:pPr>
              <w:pStyle w:val="Tablea"/>
            </w:pPr>
            <w:r w:rsidRPr="009B332B">
              <w:t xml:space="preserve">(a) a warrant under </w:t>
            </w:r>
            <w:r w:rsidR="00D70758" w:rsidRPr="009B332B">
              <w:t>rule 1</w:t>
            </w:r>
            <w:r w:rsidRPr="009B332B">
              <w:t>1.1</w:t>
            </w:r>
            <w:r w:rsidR="001F2D80" w:rsidRPr="009B332B">
              <w:t>5</w:t>
            </w:r>
            <w:r w:rsidRPr="009B332B">
              <w:t>; or</w:t>
            </w:r>
          </w:p>
          <w:p w14:paraId="1D99C0DB" w14:textId="77777777" w:rsidR="00A5753C" w:rsidRPr="009B332B" w:rsidRDefault="00A5753C" w:rsidP="003746C2">
            <w:pPr>
              <w:pStyle w:val="Tablea"/>
            </w:pPr>
            <w:r w:rsidRPr="009B332B">
              <w:t xml:space="preserve">(b) a third party debt notice under </w:t>
            </w:r>
            <w:r w:rsidR="00D70758" w:rsidRPr="009B332B">
              <w:t>rule 1</w:t>
            </w:r>
            <w:r w:rsidRPr="009B332B">
              <w:t>1.34</w:t>
            </w:r>
          </w:p>
        </w:tc>
        <w:tc>
          <w:tcPr>
            <w:tcW w:w="2302" w:type="pct"/>
            <w:shd w:val="clear" w:color="auto" w:fill="auto"/>
          </w:tcPr>
          <w:p w14:paraId="2E8846AF" w14:textId="77777777" w:rsidR="00A5753C" w:rsidRPr="009B332B" w:rsidRDefault="00A5753C" w:rsidP="003746C2">
            <w:pPr>
              <w:pStyle w:val="Tabletext"/>
            </w:pPr>
            <w:r w:rsidRPr="009B332B">
              <w:t>$659</w:t>
            </w:r>
          </w:p>
        </w:tc>
      </w:tr>
      <w:tr w:rsidR="00A5753C" w:rsidRPr="009B332B" w14:paraId="21448612" w14:textId="77777777" w:rsidTr="003746C2">
        <w:tc>
          <w:tcPr>
            <w:tcW w:w="396" w:type="pct"/>
            <w:shd w:val="clear" w:color="auto" w:fill="auto"/>
          </w:tcPr>
          <w:p w14:paraId="228E7F89" w14:textId="77777777" w:rsidR="00A5753C" w:rsidRPr="009B332B" w:rsidRDefault="00A5753C" w:rsidP="003746C2">
            <w:pPr>
              <w:pStyle w:val="Tabletext"/>
            </w:pPr>
            <w:r w:rsidRPr="009B332B">
              <w:t>13</w:t>
            </w:r>
          </w:p>
        </w:tc>
        <w:tc>
          <w:tcPr>
            <w:tcW w:w="2302" w:type="pct"/>
            <w:shd w:val="clear" w:color="auto" w:fill="auto"/>
          </w:tcPr>
          <w:p w14:paraId="4FBF813C" w14:textId="77777777" w:rsidR="00A5753C" w:rsidRPr="009B332B" w:rsidRDefault="00A5753C" w:rsidP="003746C2">
            <w:pPr>
              <w:pStyle w:val="Tabletext"/>
            </w:pPr>
            <w:r w:rsidRPr="009B332B">
              <w:t>Daily hearing fee</w:t>
            </w:r>
          </w:p>
        </w:tc>
        <w:tc>
          <w:tcPr>
            <w:tcW w:w="2302" w:type="pct"/>
            <w:shd w:val="clear" w:color="auto" w:fill="auto"/>
          </w:tcPr>
          <w:p w14:paraId="00CDCC2B" w14:textId="77777777" w:rsidR="00A5753C" w:rsidRPr="009B332B" w:rsidRDefault="00A5753C" w:rsidP="003746C2">
            <w:pPr>
              <w:pStyle w:val="Tablea"/>
            </w:pPr>
            <w:r w:rsidRPr="009B332B">
              <w:t>(a) for a short mention</w:t>
            </w:r>
            <w:r w:rsidR="0024237B">
              <w:noBreakHyphen/>
            </w:r>
            <w:r w:rsidRPr="009B332B">
              <w:t>—$321; or</w:t>
            </w:r>
          </w:p>
          <w:p w14:paraId="721E3A47" w14:textId="77777777" w:rsidR="00A5753C" w:rsidRPr="009B332B" w:rsidRDefault="00A5753C" w:rsidP="003746C2">
            <w:pPr>
              <w:pStyle w:val="Tablea"/>
            </w:pPr>
            <w:r w:rsidRPr="009B332B">
              <w:lastRenderedPageBreak/>
              <w:t>(b) for a half day hearing</w:t>
            </w:r>
            <w:r w:rsidR="0024237B">
              <w:noBreakHyphen/>
            </w:r>
            <w:r w:rsidRPr="009B332B">
              <w:t>—$1,178; or</w:t>
            </w:r>
          </w:p>
          <w:p w14:paraId="0CAE9987" w14:textId="77777777" w:rsidR="00A5753C" w:rsidRPr="009B332B" w:rsidRDefault="00A5753C" w:rsidP="003746C2">
            <w:pPr>
              <w:pStyle w:val="Tablea"/>
            </w:pPr>
            <w:r w:rsidRPr="009B332B">
              <w:t>(c) for a full day hearing</w:t>
            </w:r>
            <w:r w:rsidR="0024237B">
              <w:noBreakHyphen/>
            </w:r>
            <w:r w:rsidRPr="009B332B">
              <w:t>—$2,357</w:t>
            </w:r>
          </w:p>
        </w:tc>
      </w:tr>
      <w:tr w:rsidR="00A5753C" w:rsidRPr="009B332B" w14:paraId="66AACBD3" w14:textId="77777777" w:rsidTr="003746C2">
        <w:tc>
          <w:tcPr>
            <w:tcW w:w="396" w:type="pct"/>
            <w:shd w:val="clear" w:color="auto" w:fill="auto"/>
          </w:tcPr>
          <w:p w14:paraId="5CD81297" w14:textId="77777777" w:rsidR="00A5753C" w:rsidRPr="009B332B" w:rsidRDefault="00A5753C" w:rsidP="003746C2">
            <w:pPr>
              <w:pStyle w:val="Tabletext"/>
            </w:pPr>
            <w:r w:rsidRPr="009B332B">
              <w:lastRenderedPageBreak/>
              <w:t>14</w:t>
            </w:r>
          </w:p>
        </w:tc>
        <w:tc>
          <w:tcPr>
            <w:tcW w:w="2302" w:type="pct"/>
            <w:shd w:val="clear" w:color="auto" w:fill="auto"/>
          </w:tcPr>
          <w:p w14:paraId="684E1194" w14:textId="77777777" w:rsidR="00A5753C" w:rsidRPr="009B332B" w:rsidRDefault="00A5753C" w:rsidP="003746C2">
            <w:pPr>
              <w:pStyle w:val="Tabletext"/>
            </w:pPr>
            <w:r w:rsidRPr="009B332B">
              <w:t>Advocacy loading</w:t>
            </w:r>
          </w:p>
        </w:tc>
        <w:tc>
          <w:tcPr>
            <w:tcW w:w="2302" w:type="pct"/>
            <w:shd w:val="clear" w:color="auto" w:fill="auto"/>
          </w:tcPr>
          <w:p w14:paraId="16055C18" w14:textId="77777777" w:rsidR="00A5753C" w:rsidRPr="009B332B" w:rsidRDefault="00A5753C" w:rsidP="003746C2">
            <w:pPr>
              <w:pStyle w:val="Tabletext"/>
            </w:pPr>
            <w:r w:rsidRPr="009B332B">
              <w:t xml:space="preserve">50% of the daily hearing fee specified in </w:t>
            </w:r>
            <w:r w:rsidR="00D70758" w:rsidRPr="009B332B">
              <w:t>item 1</w:t>
            </w:r>
            <w:r w:rsidRPr="009B332B">
              <w:t>3 that applies to the hearing</w:t>
            </w:r>
          </w:p>
        </w:tc>
      </w:tr>
      <w:tr w:rsidR="00A5753C" w:rsidRPr="009B332B" w14:paraId="695E4D98" w14:textId="77777777" w:rsidTr="003746C2">
        <w:tc>
          <w:tcPr>
            <w:tcW w:w="396" w:type="pct"/>
            <w:shd w:val="clear" w:color="auto" w:fill="auto"/>
          </w:tcPr>
          <w:p w14:paraId="415A45F4" w14:textId="77777777" w:rsidR="00A5753C" w:rsidRPr="009B332B" w:rsidRDefault="00A5753C" w:rsidP="003746C2">
            <w:pPr>
              <w:pStyle w:val="Tabletext"/>
            </w:pPr>
            <w:r w:rsidRPr="009B332B">
              <w:t>15</w:t>
            </w:r>
          </w:p>
        </w:tc>
        <w:tc>
          <w:tcPr>
            <w:tcW w:w="2302" w:type="pct"/>
            <w:shd w:val="clear" w:color="auto" w:fill="auto"/>
          </w:tcPr>
          <w:p w14:paraId="3F3A757C" w14:textId="77777777" w:rsidR="00A5753C" w:rsidRPr="009B332B" w:rsidRDefault="00A5753C" w:rsidP="003746C2">
            <w:pPr>
              <w:pStyle w:val="Tabletext"/>
            </w:pPr>
            <w:r w:rsidRPr="009B332B">
              <w:t>Drafting, conferences and chamber work (not otherwise covered by other items in the table)</w:t>
            </w:r>
          </w:p>
        </w:tc>
        <w:tc>
          <w:tcPr>
            <w:tcW w:w="2302" w:type="pct"/>
            <w:shd w:val="clear" w:color="auto" w:fill="auto"/>
          </w:tcPr>
          <w:p w14:paraId="40B9F9B4" w14:textId="77777777" w:rsidR="00A5753C" w:rsidRPr="009B332B" w:rsidRDefault="00A5753C" w:rsidP="003746C2">
            <w:pPr>
              <w:pStyle w:val="Tablea"/>
            </w:pPr>
            <w:r w:rsidRPr="009B332B">
              <w:t>(a) Senior Counsel—$677 per hour;</w:t>
            </w:r>
          </w:p>
          <w:p w14:paraId="39AD3832" w14:textId="77777777" w:rsidR="00A5753C" w:rsidRPr="009B332B" w:rsidRDefault="00A5753C" w:rsidP="003746C2">
            <w:pPr>
              <w:pStyle w:val="Tablea"/>
            </w:pPr>
            <w:r w:rsidRPr="009B332B">
              <w:t>(b) Junior Counsel—$361 per hour;</w:t>
            </w:r>
          </w:p>
          <w:p w14:paraId="4551ACC8" w14:textId="77777777" w:rsidR="00A5753C" w:rsidRPr="009B332B" w:rsidRDefault="00A5753C" w:rsidP="003746C2">
            <w:pPr>
              <w:pStyle w:val="Tablea"/>
            </w:pPr>
            <w:r w:rsidRPr="009B332B">
              <w:t>(c) Solicitor—$260 per hour</w:t>
            </w:r>
          </w:p>
        </w:tc>
      </w:tr>
      <w:tr w:rsidR="00A5753C" w:rsidRPr="009B332B" w14:paraId="3FBD64F4" w14:textId="77777777" w:rsidTr="003746C2">
        <w:tc>
          <w:tcPr>
            <w:tcW w:w="396" w:type="pct"/>
            <w:tcBorders>
              <w:bottom w:val="single" w:sz="2" w:space="0" w:color="auto"/>
            </w:tcBorders>
            <w:shd w:val="clear" w:color="auto" w:fill="auto"/>
          </w:tcPr>
          <w:p w14:paraId="61D3B15C" w14:textId="77777777" w:rsidR="00A5753C" w:rsidRPr="009B332B" w:rsidRDefault="00A5753C" w:rsidP="003746C2">
            <w:pPr>
              <w:pStyle w:val="Tabletext"/>
            </w:pPr>
            <w:r w:rsidRPr="009B332B">
              <w:t>16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1147FAE7" w14:textId="77777777" w:rsidR="00A5753C" w:rsidRPr="009B332B" w:rsidRDefault="00A5753C" w:rsidP="003746C2">
            <w:pPr>
              <w:pStyle w:val="Tabletext"/>
            </w:pPr>
            <w:r w:rsidRPr="009B332B">
              <w:t>Disbursements</w:t>
            </w:r>
            <w:r w:rsidR="0024237B">
              <w:noBreakHyphen/>
            </w:r>
            <w:r w:rsidRPr="009B332B">
              <w:t>—Court fees and other fees and payments to the extent that they have been reasonably incurred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117139A7" w14:textId="77777777" w:rsidR="00A5753C" w:rsidRPr="009B332B" w:rsidRDefault="00A5753C" w:rsidP="003746C2">
            <w:pPr>
              <w:pStyle w:val="Tabletext"/>
            </w:pPr>
            <w:r w:rsidRPr="009B332B">
              <w:t>The amount of the fees and payments</w:t>
            </w:r>
          </w:p>
        </w:tc>
      </w:tr>
      <w:tr w:rsidR="00A5753C" w:rsidRPr="009B332B" w14:paraId="4B6184B9" w14:textId="77777777" w:rsidTr="003746C2">
        <w:tc>
          <w:tcPr>
            <w:tcW w:w="396" w:type="pct"/>
            <w:tcBorders>
              <w:bottom w:val="single" w:sz="2" w:space="0" w:color="auto"/>
            </w:tcBorders>
            <w:shd w:val="clear" w:color="auto" w:fill="auto"/>
          </w:tcPr>
          <w:p w14:paraId="5FD6C1B3" w14:textId="77777777" w:rsidR="00A5753C" w:rsidRPr="009B332B" w:rsidRDefault="00A5753C" w:rsidP="003746C2">
            <w:pPr>
              <w:pStyle w:val="Tabletext"/>
            </w:pPr>
            <w:r w:rsidRPr="009B332B">
              <w:t>17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4CD1E0CB" w14:textId="77777777" w:rsidR="00A5753C" w:rsidRPr="009B332B" w:rsidRDefault="00A5753C" w:rsidP="003746C2">
            <w:pPr>
              <w:pStyle w:val="Tabletext"/>
            </w:pPr>
            <w:r w:rsidRPr="009B332B">
              <w:t>Disbursements</w:t>
            </w:r>
            <w:r w:rsidR="0024237B">
              <w:noBreakHyphen/>
            </w:r>
            <w:r w:rsidRPr="009B332B">
              <w:t>—photocopying for each page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2AA9B3C0" w14:textId="77777777" w:rsidR="00A5753C" w:rsidRPr="009B332B" w:rsidRDefault="00A5753C" w:rsidP="003746C2">
            <w:pPr>
              <w:pStyle w:val="Tabletext"/>
            </w:pPr>
            <w:r w:rsidRPr="009B332B">
              <w:t>$0.81</w:t>
            </w:r>
          </w:p>
        </w:tc>
      </w:tr>
      <w:tr w:rsidR="00A5753C" w:rsidRPr="009B332B" w14:paraId="08745AFB" w14:textId="77777777" w:rsidTr="003746C2"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2D7AFB" w14:textId="77777777" w:rsidR="00A5753C" w:rsidRPr="009B332B" w:rsidRDefault="00A5753C" w:rsidP="003746C2">
            <w:pPr>
              <w:pStyle w:val="Tabletext"/>
            </w:pPr>
            <w:r w:rsidRPr="009B332B">
              <w:t>18</w:t>
            </w:r>
          </w:p>
        </w:tc>
        <w:tc>
          <w:tcPr>
            <w:tcW w:w="23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D3DDDB" w14:textId="77777777" w:rsidR="00A5753C" w:rsidRPr="009B332B" w:rsidRDefault="00A5753C" w:rsidP="003746C2">
            <w:pPr>
              <w:pStyle w:val="Tabletext"/>
            </w:pPr>
            <w:r w:rsidRPr="009B332B">
              <w:t>Agents fees and travelling costs</w:t>
            </w:r>
          </w:p>
          <w:p w14:paraId="28F2D8FA" w14:textId="77777777" w:rsidR="00A5753C" w:rsidRPr="009B332B" w:rsidRDefault="00A5753C" w:rsidP="003746C2">
            <w:pPr>
              <w:pStyle w:val="notemargin"/>
            </w:pPr>
            <w:r w:rsidRPr="009B332B">
              <w:t>Note:</w:t>
            </w:r>
            <w:r w:rsidRPr="009B332B">
              <w:tab/>
              <w:t>For 2 or more hours travel.</w:t>
            </w:r>
          </w:p>
        </w:tc>
        <w:tc>
          <w:tcPr>
            <w:tcW w:w="23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7AAE10" w14:textId="77777777" w:rsidR="00A5753C" w:rsidRPr="009B332B" w:rsidRDefault="00A5753C" w:rsidP="003746C2">
            <w:pPr>
              <w:pStyle w:val="Tabletext"/>
            </w:pPr>
            <w:r w:rsidRPr="009B332B">
              <w:t>$663</w:t>
            </w:r>
          </w:p>
        </w:tc>
      </w:tr>
    </w:tbl>
    <w:p w14:paraId="72D30761" w14:textId="77777777" w:rsidR="00A5753C" w:rsidRPr="009B332B" w:rsidRDefault="00A5753C" w:rsidP="00A5753C">
      <w:pPr>
        <w:pStyle w:val="Tabletext"/>
      </w:pPr>
    </w:p>
    <w:p w14:paraId="24CEF6EC" w14:textId="77777777" w:rsidR="00602377" w:rsidRPr="009B332B" w:rsidRDefault="00C95A5E" w:rsidP="00602377">
      <w:pPr>
        <w:pStyle w:val="ActHead1"/>
        <w:pageBreakBefore/>
      </w:pPr>
      <w:bookmarkStart w:id="18" w:name="_Toc80871207"/>
      <w:r w:rsidRPr="00823940">
        <w:rPr>
          <w:rStyle w:val="CharChapNo"/>
        </w:rPr>
        <w:lastRenderedPageBreak/>
        <w:t>Schedule 2</w:t>
      </w:r>
      <w:r w:rsidR="00602377" w:rsidRPr="009B332B">
        <w:t>—</w:t>
      </w:r>
      <w:r w:rsidRPr="00823940">
        <w:rPr>
          <w:rStyle w:val="CharChapText"/>
        </w:rPr>
        <w:t>Additional d</w:t>
      </w:r>
      <w:r w:rsidR="00602377" w:rsidRPr="00823940">
        <w:rPr>
          <w:rStyle w:val="CharChapText"/>
        </w:rPr>
        <w:t>elegated powers</w:t>
      </w:r>
      <w:bookmarkEnd w:id="18"/>
    </w:p>
    <w:p w14:paraId="32E377C1" w14:textId="77777777" w:rsidR="00602377" w:rsidRPr="009B332B" w:rsidRDefault="00602377" w:rsidP="00602377">
      <w:pPr>
        <w:pStyle w:val="notemargin"/>
      </w:pPr>
      <w:r w:rsidRPr="009B332B">
        <w:t>Note:</w:t>
      </w:r>
      <w:r w:rsidRPr="009B332B">
        <w:tab/>
        <w:t xml:space="preserve">See </w:t>
      </w:r>
      <w:r w:rsidR="00C95A5E" w:rsidRPr="009B332B">
        <w:t>rule 5</w:t>
      </w:r>
      <w:r w:rsidRPr="009B332B">
        <w:t>.01.</w:t>
      </w:r>
    </w:p>
    <w:p w14:paraId="5B75ED8B" w14:textId="77777777" w:rsidR="00602377" w:rsidRPr="00823940" w:rsidRDefault="00602377" w:rsidP="00602377">
      <w:pPr>
        <w:pStyle w:val="Header"/>
      </w:pPr>
      <w:bookmarkStart w:id="19" w:name="f_Check_Lines_below"/>
      <w:bookmarkEnd w:id="19"/>
      <w:r w:rsidRPr="00823940">
        <w:rPr>
          <w:rStyle w:val="CharPartNo"/>
        </w:rPr>
        <w:t xml:space="preserve"> </w:t>
      </w:r>
      <w:r w:rsidRPr="00823940">
        <w:rPr>
          <w:rStyle w:val="CharPartText"/>
        </w:rPr>
        <w:t xml:space="preserve"> </w:t>
      </w:r>
    </w:p>
    <w:p w14:paraId="5626E3CF" w14:textId="77777777" w:rsidR="00602377" w:rsidRPr="00823940" w:rsidRDefault="00602377" w:rsidP="00602377">
      <w:pPr>
        <w:pStyle w:val="Header"/>
      </w:pPr>
      <w:r w:rsidRPr="00823940">
        <w:rPr>
          <w:rStyle w:val="CharDivNo"/>
        </w:rPr>
        <w:t xml:space="preserve"> </w:t>
      </w:r>
      <w:r w:rsidRPr="00823940">
        <w:rPr>
          <w:rStyle w:val="CharDivText"/>
        </w:rPr>
        <w:t xml:space="preserve"> </w:t>
      </w:r>
    </w:p>
    <w:p w14:paraId="2CFE4EC6" w14:textId="77777777" w:rsidR="00602377" w:rsidRPr="009B332B" w:rsidRDefault="00602377" w:rsidP="0060237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2835"/>
        <w:gridCol w:w="1324"/>
        <w:gridCol w:w="1325"/>
      </w:tblGrid>
      <w:tr w:rsidR="00602377" w:rsidRPr="009B332B" w14:paraId="09D35D56" w14:textId="77777777" w:rsidTr="00D41CBF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20BBDA" w14:textId="77777777" w:rsidR="00602377" w:rsidRPr="009B332B" w:rsidRDefault="00CD2489" w:rsidP="00602377">
            <w:pPr>
              <w:pStyle w:val="TableHeading"/>
            </w:pPr>
            <w:r w:rsidRPr="009B332B">
              <w:t>Additional d</w:t>
            </w:r>
            <w:r w:rsidR="00602377" w:rsidRPr="009B332B">
              <w:t>elegations to Senior Judicial Registrars and Judicial Registrars</w:t>
            </w:r>
          </w:p>
        </w:tc>
      </w:tr>
      <w:tr w:rsidR="00602377" w:rsidRPr="009B332B" w14:paraId="0A1414AC" w14:textId="77777777" w:rsidTr="00D41CBF">
        <w:trPr>
          <w:tblHeader/>
        </w:trPr>
        <w:tc>
          <w:tcPr>
            <w:tcW w:w="9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B05621" w14:textId="77777777" w:rsidR="00602377" w:rsidRPr="009B332B" w:rsidRDefault="00602377" w:rsidP="00602377">
            <w:pPr>
              <w:pStyle w:val="TableHeading"/>
            </w:pPr>
            <w:r w:rsidRPr="009B332B">
              <w:t>Item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E4F811" w14:textId="77777777" w:rsidR="00602377" w:rsidRPr="009B332B" w:rsidRDefault="00602377" w:rsidP="00602377">
            <w:pPr>
              <w:pStyle w:val="TableHeading"/>
            </w:pPr>
            <w:r w:rsidRPr="009B332B">
              <w:t>Column 1</w:t>
            </w:r>
          </w:p>
          <w:p w14:paraId="620D9A56" w14:textId="77777777" w:rsidR="00602377" w:rsidRPr="009B332B" w:rsidRDefault="00602377" w:rsidP="00602377">
            <w:pPr>
              <w:pStyle w:val="TableHeading"/>
            </w:pPr>
            <w:r w:rsidRPr="009B332B">
              <w:t>Provision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E6C03D" w14:textId="77777777" w:rsidR="00602377" w:rsidRPr="009B332B" w:rsidRDefault="00602377" w:rsidP="00602377">
            <w:pPr>
              <w:pStyle w:val="TableHeading"/>
            </w:pPr>
            <w:r w:rsidRPr="009B332B">
              <w:t>Column 2</w:t>
            </w:r>
          </w:p>
          <w:p w14:paraId="3569CCB0" w14:textId="77777777" w:rsidR="00602377" w:rsidRPr="009B332B" w:rsidRDefault="00602377" w:rsidP="00602377">
            <w:pPr>
              <w:pStyle w:val="TableHeading"/>
            </w:pPr>
            <w:r w:rsidRPr="009B332B">
              <w:t>Description of power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DE3E53" w14:textId="77777777" w:rsidR="00602377" w:rsidRPr="009B332B" w:rsidRDefault="00602377" w:rsidP="00602377">
            <w:pPr>
              <w:pStyle w:val="TableHeading"/>
            </w:pPr>
            <w:r w:rsidRPr="009B332B">
              <w:t>Column 3</w:t>
            </w:r>
          </w:p>
          <w:p w14:paraId="0709CD73" w14:textId="77777777" w:rsidR="00602377" w:rsidRPr="009B332B" w:rsidRDefault="00602377" w:rsidP="00602377">
            <w:pPr>
              <w:pStyle w:val="TableHeading"/>
            </w:pPr>
            <w:r w:rsidRPr="009B332B">
              <w:t>Senior Judicial Registrar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1B5958" w14:textId="77777777" w:rsidR="00602377" w:rsidRPr="009B332B" w:rsidRDefault="00602377" w:rsidP="00602377">
            <w:pPr>
              <w:pStyle w:val="TableHeading"/>
            </w:pPr>
            <w:r w:rsidRPr="009B332B">
              <w:t>Column 4</w:t>
            </w:r>
          </w:p>
          <w:p w14:paraId="1A3F5106" w14:textId="77777777" w:rsidR="00602377" w:rsidRPr="009B332B" w:rsidRDefault="00602377" w:rsidP="00602377">
            <w:pPr>
              <w:pStyle w:val="TableHeading"/>
            </w:pPr>
            <w:r w:rsidRPr="009B332B">
              <w:t>Judicial Registrar</w:t>
            </w:r>
          </w:p>
        </w:tc>
      </w:tr>
      <w:tr w:rsidR="00602377" w:rsidRPr="009B332B" w14:paraId="2AA64B47" w14:textId="77777777" w:rsidTr="00D41CBF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3F69B485" w14:textId="77777777" w:rsidR="00602377" w:rsidRPr="009B332B" w:rsidRDefault="00602377" w:rsidP="00602377">
            <w:pPr>
              <w:pStyle w:val="Tabletext"/>
            </w:pPr>
            <w:r w:rsidRPr="009B332B">
              <w:t>14.2A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553F2855" w14:textId="77777777" w:rsidR="00602377" w:rsidRPr="009B332B" w:rsidRDefault="00602377" w:rsidP="00602377">
            <w:pPr>
              <w:pStyle w:val="Tabletext"/>
            </w:pPr>
            <w:r w:rsidRPr="009B332B">
              <w:t xml:space="preserve">Subsection 174(2) FCFCOA Act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72FB32CC" w14:textId="77777777" w:rsidR="00602377" w:rsidRPr="009B332B" w:rsidRDefault="00D41CBF" w:rsidP="00602377">
            <w:pPr>
              <w:pStyle w:val="Tabletext"/>
            </w:pPr>
            <w:r w:rsidRPr="009B332B">
              <w:t>T</w:t>
            </w:r>
            <w:r w:rsidR="00602377" w:rsidRPr="009B332B">
              <w:t>o give directions about the practice and procedure to be followed in relation to a proceeding or a part of a proceeding in the Federal Circuit and Family Court (</w:t>
            </w:r>
            <w:r w:rsidR="0024237B">
              <w:t>Division 2</w:t>
            </w:r>
            <w:r w:rsidR="00602377" w:rsidRPr="009B332B">
              <w:t>)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auto"/>
          </w:tcPr>
          <w:p w14:paraId="29D8A7DC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</w:tcPr>
          <w:p w14:paraId="77AC5E30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</w:tr>
      <w:tr w:rsidR="00D41CBF" w:rsidRPr="009B332B" w14:paraId="71E78396" w14:textId="77777777" w:rsidTr="00D41CBF">
        <w:tc>
          <w:tcPr>
            <w:tcW w:w="988" w:type="dxa"/>
            <w:shd w:val="clear" w:color="auto" w:fill="auto"/>
          </w:tcPr>
          <w:p w14:paraId="48A2B5BD" w14:textId="77777777" w:rsidR="00D41CBF" w:rsidRPr="009B332B" w:rsidRDefault="00D41CBF" w:rsidP="00D41CBF">
            <w:pPr>
              <w:pStyle w:val="Tabletext"/>
            </w:pPr>
            <w:r w:rsidRPr="009B332B">
              <w:t>14.6A</w:t>
            </w:r>
          </w:p>
        </w:tc>
        <w:tc>
          <w:tcPr>
            <w:tcW w:w="1842" w:type="dxa"/>
            <w:shd w:val="clear" w:color="auto" w:fill="auto"/>
          </w:tcPr>
          <w:p w14:paraId="2522F06C" w14:textId="77777777" w:rsidR="00D41CBF" w:rsidRPr="009B332B" w:rsidRDefault="00DA5A7E" w:rsidP="00D41CBF">
            <w:pPr>
              <w:pStyle w:val="Tabletext"/>
            </w:pPr>
            <w:r w:rsidRPr="009B332B">
              <w:t>Rule 1</w:t>
            </w:r>
            <w:r w:rsidR="00D41CBF" w:rsidRPr="009B332B">
              <w:t>.04 of these Rules</w:t>
            </w:r>
          </w:p>
        </w:tc>
        <w:tc>
          <w:tcPr>
            <w:tcW w:w="2835" w:type="dxa"/>
            <w:shd w:val="clear" w:color="auto" w:fill="auto"/>
          </w:tcPr>
          <w:p w14:paraId="486E3421" w14:textId="77777777" w:rsidR="00D41CBF" w:rsidRPr="009B332B" w:rsidRDefault="00D41CBF" w:rsidP="00D41CBF">
            <w:pPr>
              <w:pStyle w:val="Tabletext"/>
            </w:pPr>
            <w:r w:rsidRPr="009B332B">
              <w:t>On application, or on own initiative, to dispense with compliance with any of these Rules</w:t>
            </w:r>
          </w:p>
        </w:tc>
        <w:tc>
          <w:tcPr>
            <w:tcW w:w="1324" w:type="dxa"/>
            <w:shd w:val="clear" w:color="auto" w:fill="auto"/>
          </w:tcPr>
          <w:p w14:paraId="46D2A81C" w14:textId="77777777" w:rsidR="00D41CBF" w:rsidRPr="009B332B" w:rsidRDefault="00D41CBF" w:rsidP="00D41CBF">
            <w:pPr>
              <w:pStyle w:val="Tabletext"/>
            </w:pPr>
            <w:r w:rsidRPr="009B332B">
              <w:sym w:font="Wingdings" w:char="F0FC"/>
            </w:r>
          </w:p>
        </w:tc>
        <w:tc>
          <w:tcPr>
            <w:tcW w:w="1325" w:type="dxa"/>
            <w:shd w:val="clear" w:color="auto" w:fill="auto"/>
          </w:tcPr>
          <w:p w14:paraId="1A881703" w14:textId="77777777" w:rsidR="00D41CBF" w:rsidRPr="009B332B" w:rsidRDefault="00D41CBF" w:rsidP="00D41CBF">
            <w:pPr>
              <w:pStyle w:val="Tabletext"/>
            </w:pPr>
            <w:r w:rsidRPr="009B332B">
              <w:sym w:font="Wingdings" w:char="F0FC"/>
            </w:r>
          </w:p>
        </w:tc>
      </w:tr>
      <w:tr w:rsidR="008C29AA" w:rsidRPr="009B332B" w14:paraId="577CCCDF" w14:textId="77777777" w:rsidTr="00D41CBF">
        <w:tc>
          <w:tcPr>
            <w:tcW w:w="988" w:type="dxa"/>
            <w:shd w:val="clear" w:color="auto" w:fill="auto"/>
          </w:tcPr>
          <w:p w14:paraId="59B005DB" w14:textId="77777777" w:rsidR="00602377" w:rsidRPr="009B332B" w:rsidRDefault="00602377" w:rsidP="00602377">
            <w:pPr>
              <w:pStyle w:val="Tabletext"/>
            </w:pPr>
            <w:r w:rsidRPr="009B332B">
              <w:t>27.4A</w:t>
            </w:r>
          </w:p>
        </w:tc>
        <w:tc>
          <w:tcPr>
            <w:tcW w:w="1842" w:type="dxa"/>
            <w:shd w:val="clear" w:color="auto" w:fill="auto"/>
          </w:tcPr>
          <w:p w14:paraId="50DD7FD8" w14:textId="77777777" w:rsidR="00602377" w:rsidRPr="009B332B" w:rsidRDefault="00602377" w:rsidP="00602377">
            <w:pPr>
              <w:pStyle w:val="Tabletext"/>
            </w:pPr>
            <w:r w:rsidRPr="009B332B">
              <w:t>Section 187 FCFCOA Act</w:t>
            </w:r>
          </w:p>
          <w:p w14:paraId="5C7E60C7" w14:textId="77777777" w:rsidR="00602377" w:rsidRPr="009B332B" w:rsidRDefault="00602377" w:rsidP="00602377">
            <w:pPr>
              <w:pStyle w:val="Tabletext"/>
            </w:pPr>
            <w:r w:rsidRPr="009B332B">
              <w:t>but only for a proceeding that is being heard by a Senior Judicial Registrar or Judicial Registrar, or with the consent of the parties</w:t>
            </w:r>
          </w:p>
        </w:tc>
        <w:tc>
          <w:tcPr>
            <w:tcW w:w="2835" w:type="dxa"/>
            <w:shd w:val="clear" w:color="auto" w:fill="auto"/>
          </w:tcPr>
          <w:p w14:paraId="77538DED" w14:textId="77777777" w:rsidR="00602377" w:rsidRPr="009B332B" w:rsidRDefault="00D41CBF" w:rsidP="00602377">
            <w:pPr>
              <w:pStyle w:val="Tabletext"/>
            </w:pPr>
            <w:r w:rsidRPr="009B332B">
              <w:t>T</w:t>
            </w:r>
            <w:r w:rsidR="00602377" w:rsidRPr="009B332B">
              <w:t>o give directions about limiting the time for oral argument in a proceeding in the Federal Circuit and Family Court (</w:t>
            </w:r>
            <w:r w:rsidR="0024237B">
              <w:t>Division 2</w:t>
            </w:r>
            <w:r w:rsidR="00602377" w:rsidRPr="009B332B">
              <w:t>)</w:t>
            </w:r>
          </w:p>
        </w:tc>
        <w:tc>
          <w:tcPr>
            <w:tcW w:w="1324" w:type="dxa"/>
            <w:shd w:val="clear" w:color="auto" w:fill="auto"/>
          </w:tcPr>
          <w:p w14:paraId="5B78C2EB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  <w:tc>
          <w:tcPr>
            <w:tcW w:w="1325" w:type="dxa"/>
            <w:shd w:val="clear" w:color="auto" w:fill="auto"/>
          </w:tcPr>
          <w:p w14:paraId="42DA9B18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</w:tr>
      <w:tr w:rsidR="008C29AA" w:rsidRPr="009B332B" w14:paraId="7BA62E86" w14:textId="77777777" w:rsidTr="00D41CBF">
        <w:tc>
          <w:tcPr>
            <w:tcW w:w="988" w:type="dxa"/>
            <w:shd w:val="clear" w:color="auto" w:fill="auto"/>
          </w:tcPr>
          <w:p w14:paraId="69CC6917" w14:textId="77777777" w:rsidR="00602377" w:rsidRPr="009B332B" w:rsidRDefault="00602377" w:rsidP="00602377">
            <w:pPr>
              <w:pStyle w:val="Tabletext"/>
            </w:pPr>
            <w:r w:rsidRPr="009B332B">
              <w:t>27.4B</w:t>
            </w:r>
          </w:p>
        </w:tc>
        <w:tc>
          <w:tcPr>
            <w:tcW w:w="1842" w:type="dxa"/>
            <w:shd w:val="clear" w:color="auto" w:fill="auto"/>
          </w:tcPr>
          <w:p w14:paraId="61E88EA4" w14:textId="77777777" w:rsidR="00602377" w:rsidRPr="009B332B" w:rsidRDefault="00602377" w:rsidP="00602377">
            <w:pPr>
              <w:pStyle w:val="Tabletext"/>
            </w:pPr>
            <w:r w:rsidRPr="009B332B">
              <w:t>Section 188 FCFCOA Act</w:t>
            </w:r>
          </w:p>
          <w:p w14:paraId="31B50A03" w14:textId="77777777" w:rsidR="00602377" w:rsidRPr="009B332B" w:rsidRDefault="00602377" w:rsidP="00602377">
            <w:pPr>
              <w:pStyle w:val="Tabletext"/>
            </w:pPr>
            <w:r w:rsidRPr="009B332B">
              <w:t>but only for a proceeding that is being heard by a Senior Judicial Registrar or Judicial Registrar, or with the consent of the parties</w:t>
            </w:r>
          </w:p>
        </w:tc>
        <w:tc>
          <w:tcPr>
            <w:tcW w:w="2835" w:type="dxa"/>
            <w:shd w:val="clear" w:color="auto" w:fill="auto"/>
          </w:tcPr>
          <w:p w14:paraId="094DE62A" w14:textId="77777777" w:rsidR="00602377" w:rsidRPr="009B332B" w:rsidRDefault="00D41CBF" w:rsidP="00602377">
            <w:pPr>
              <w:pStyle w:val="Tabletext"/>
            </w:pPr>
            <w:r w:rsidRPr="009B332B">
              <w:t>T</w:t>
            </w:r>
            <w:r w:rsidR="00602377" w:rsidRPr="009B332B">
              <w:t>o give directions about the use of, or length of, written submissions in a proceeding in the Federal Circuit and Family Court (</w:t>
            </w:r>
            <w:r w:rsidR="0024237B">
              <w:t>Division 2</w:t>
            </w:r>
            <w:r w:rsidR="00602377" w:rsidRPr="009B332B">
              <w:t>)</w:t>
            </w:r>
          </w:p>
        </w:tc>
        <w:tc>
          <w:tcPr>
            <w:tcW w:w="1324" w:type="dxa"/>
            <w:shd w:val="clear" w:color="auto" w:fill="auto"/>
          </w:tcPr>
          <w:p w14:paraId="0C83A144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  <w:tc>
          <w:tcPr>
            <w:tcW w:w="1325" w:type="dxa"/>
            <w:shd w:val="clear" w:color="auto" w:fill="auto"/>
          </w:tcPr>
          <w:p w14:paraId="30CE7689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</w:tr>
      <w:tr w:rsidR="008C29AA" w:rsidRPr="009B332B" w14:paraId="41EA16D8" w14:textId="77777777" w:rsidTr="00D41CBF">
        <w:tc>
          <w:tcPr>
            <w:tcW w:w="988" w:type="dxa"/>
            <w:shd w:val="clear" w:color="auto" w:fill="auto"/>
          </w:tcPr>
          <w:p w14:paraId="3153B2D5" w14:textId="77777777" w:rsidR="00602377" w:rsidRPr="009B332B" w:rsidRDefault="00602377" w:rsidP="00602377">
            <w:pPr>
              <w:pStyle w:val="Tabletext"/>
            </w:pPr>
            <w:r w:rsidRPr="009B332B">
              <w:t>27.4C</w:t>
            </w:r>
          </w:p>
        </w:tc>
        <w:tc>
          <w:tcPr>
            <w:tcW w:w="1842" w:type="dxa"/>
            <w:shd w:val="clear" w:color="auto" w:fill="auto"/>
          </w:tcPr>
          <w:p w14:paraId="73005B6F" w14:textId="77777777" w:rsidR="00602377" w:rsidRPr="009B332B" w:rsidRDefault="00602377" w:rsidP="00602377">
            <w:pPr>
              <w:pStyle w:val="Tabletext"/>
            </w:pPr>
            <w:r w:rsidRPr="009B332B">
              <w:t>Section 197 FCFCOA Act</w:t>
            </w:r>
          </w:p>
          <w:p w14:paraId="6FC0AB28" w14:textId="77777777" w:rsidR="00602377" w:rsidRPr="009B332B" w:rsidRDefault="00602377" w:rsidP="00602377">
            <w:pPr>
              <w:pStyle w:val="Tabletext"/>
            </w:pPr>
            <w:r w:rsidRPr="009B332B">
              <w:t xml:space="preserve">but only for a proceeding that is being heard by a Senior Judicial Registrar or Judicial Registrar, or with </w:t>
            </w:r>
            <w:r w:rsidRPr="009B332B">
              <w:lastRenderedPageBreak/>
              <w:t>the consent of the parties</w:t>
            </w:r>
          </w:p>
        </w:tc>
        <w:tc>
          <w:tcPr>
            <w:tcW w:w="2835" w:type="dxa"/>
            <w:shd w:val="clear" w:color="auto" w:fill="auto"/>
          </w:tcPr>
          <w:p w14:paraId="4D7304DB" w14:textId="77777777" w:rsidR="00602377" w:rsidRPr="009B332B" w:rsidRDefault="00D41CBF" w:rsidP="00602377">
            <w:pPr>
              <w:pStyle w:val="Tabletext"/>
            </w:pPr>
            <w:r w:rsidRPr="009B332B">
              <w:lastRenderedPageBreak/>
              <w:t>T</w:t>
            </w:r>
            <w:r w:rsidR="00602377" w:rsidRPr="009B332B">
              <w:t>o give directions about limiting the time for giving testimony in a proceeding in the Federal Circuit and Family Court (</w:t>
            </w:r>
            <w:r w:rsidR="0024237B">
              <w:t>Division 2</w:t>
            </w:r>
            <w:r w:rsidR="00602377" w:rsidRPr="009B332B">
              <w:t>)</w:t>
            </w:r>
          </w:p>
        </w:tc>
        <w:tc>
          <w:tcPr>
            <w:tcW w:w="1324" w:type="dxa"/>
            <w:shd w:val="clear" w:color="auto" w:fill="auto"/>
          </w:tcPr>
          <w:p w14:paraId="508E31FB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  <w:tc>
          <w:tcPr>
            <w:tcW w:w="1325" w:type="dxa"/>
            <w:shd w:val="clear" w:color="auto" w:fill="auto"/>
          </w:tcPr>
          <w:p w14:paraId="7A203DA7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</w:tr>
      <w:tr w:rsidR="00602377" w:rsidRPr="009B332B" w14:paraId="28C57458" w14:textId="77777777" w:rsidTr="00D41CBF">
        <w:tc>
          <w:tcPr>
            <w:tcW w:w="988" w:type="dxa"/>
            <w:tcBorders>
              <w:bottom w:val="single" w:sz="2" w:space="0" w:color="auto"/>
            </w:tcBorders>
            <w:shd w:val="clear" w:color="auto" w:fill="auto"/>
          </w:tcPr>
          <w:p w14:paraId="4C7B3AF4" w14:textId="77777777" w:rsidR="00602377" w:rsidRPr="009B332B" w:rsidRDefault="008C29AA" w:rsidP="00602377">
            <w:pPr>
              <w:pStyle w:val="Tabletext"/>
            </w:pPr>
            <w:r w:rsidRPr="009B332B">
              <w:t>29.2A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</w:tcPr>
          <w:p w14:paraId="2E917E5B" w14:textId="77777777" w:rsidR="00602377" w:rsidRPr="009B332B" w:rsidRDefault="00602377" w:rsidP="00602377">
            <w:pPr>
              <w:pStyle w:val="Tabletext"/>
            </w:pPr>
            <w:r w:rsidRPr="009B332B">
              <w:t>Section 149 FCFCOA Act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14:paraId="1EA92920" w14:textId="77777777" w:rsidR="00602377" w:rsidRPr="009B332B" w:rsidRDefault="00D41CBF" w:rsidP="00602377">
            <w:pPr>
              <w:pStyle w:val="Tabletext"/>
            </w:pPr>
            <w:r w:rsidRPr="009B332B">
              <w:t>T</w:t>
            </w:r>
            <w:r w:rsidR="00602377" w:rsidRPr="009B332B">
              <w:t>o transfer a proceeding from the Federal Circuit and Family Court (</w:t>
            </w:r>
            <w:r w:rsidR="0024237B">
              <w:t>Division 2</w:t>
            </w:r>
            <w:r w:rsidR="00602377" w:rsidRPr="009B332B">
              <w:t>) to the Federal Circuit and Family Court (Division 1)</w:t>
            </w:r>
          </w:p>
        </w:tc>
        <w:tc>
          <w:tcPr>
            <w:tcW w:w="1324" w:type="dxa"/>
            <w:tcBorders>
              <w:bottom w:val="single" w:sz="2" w:space="0" w:color="auto"/>
            </w:tcBorders>
            <w:shd w:val="clear" w:color="auto" w:fill="auto"/>
          </w:tcPr>
          <w:p w14:paraId="5A9B6FB7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  <w:tc>
          <w:tcPr>
            <w:tcW w:w="1325" w:type="dxa"/>
            <w:tcBorders>
              <w:bottom w:val="single" w:sz="2" w:space="0" w:color="auto"/>
            </w:tcBorders>
            <w:shd w:val="clear" w:color="auto" w:fill="auto"/>
          </w:tcPr>
          <w:p w14:paraId="18199713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</w:tr>
      <w:tr w:rsidR="008C29AA" w:rsidRPr="009B332B" w14:paraId="3983CB71" w14:textId="77777777" w:rsidTr="00D41CBF">
        <w:tc>
          <w:tcPr>
            <w:tcW w:w="9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0D0F8A" w14:textId="77777777" w:rsidR="00602377" w:rsidRPr="009B332B" w:rsidRDefault="008C29AA" w:rsidP="00602377">
            <w:pPr>
              <w:pStyle w:val="Tabletext"/>
            </w:pPr>
            <w:r w:rsidRPr="009B332B">
              <w:t>29.5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19E41F" w14:textId="77777777" w:rsidR="00602377" w:rsidRPr="009B332B" w:rsidRDefault="00C95A5E" w:rsidP="00602377">
            <w:pPr>
              <w:pStyle w:val="Tabletext"/>
            </w:pPr>
            <w:r w:rsidRPr="009B332B">
              <w:t>Part </w:t>
            </w:r>
            <w:r w:rsidR="00D41CBF" w:rsidRPr="009B332B">
              <w:t xml:space="preserve">3 of these </w:t>
            </w:r>
            <w:r w:rsidR="00602377" w:rsidRPr="009B332B">
              <w:t>Rules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513B92" w14:textId="77777777" w:rsidR="00602377" w:rsidRPr="009B332B" w:rsidRDefault="00D41CBF" w:rsidP="00602377">
            <w:pPr>
              <w:pStyle w:val="Tabletext"/>
            </w:pPr>
            <w:r w:rsidRPr="009B332B">
              <w:t>T</w:t>
            </w:r>
            <w:r w:rsidR="00602377" w:rsidRPr="009B332B">
              <w:t>o transfer a proceeding from the Federal Circuit and Family Court (</w:t>
            </w:r>
            <w:r w:rsidR="0024237B">
              <w:t>Division 2</w:t>
            </w:r>
            <w:r w:rsidR="00602377" w:rsidRPr="009B332B">
              <w:t>) to the Federal Circuit and Family Court (Division 1) and documents filed in the proceeding</w:t>
            </w:r>
          </w:p>
        </w:tc>
        <w:tc>
          <w:tcPr>
            <w:tcW w:w="13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6746BB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  <w:tc>
          <w:tcPr>
            <w:tcW w:w="13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111C9E" w14:textId="77777777" w:rsidR="00602377" w:rsidRPr="009B332B" w:rsidRDefault="00602377" w:rsidP="00602377">
            <w:pPr>
              <w:pStyle w:val="Tabletext"/>
            </w:pPr>
            <w:r w:rsidRPr="009B332B">
              <w:sym w:font="Wingdings" w:char="F0FC"/>
            </w:r>
          </w:p>
        </w:tc>
      </w:tr>
    </w:tbl>
    <w:p w14:paraId="10207310" w14:textId="77777777" w:rsidR="00602377" w:rsidRPr="009B332B" w:rsidRDefault="00602377" w:rsidP="00C95A5E">
      <w:pPr>
        <w:pStyle w:val="Tabletext"/>
      </w:pPr>
    </w:p>
    <w:p w14:paraId="47EAEB74" w14:textId="77777777" w:rsidR="00A5753C" w:rsidRPr="009B332B" w:rsidRDefault="00A5753C" w:rsidP="003746C2">
      <w:pPr>
        <w:sectPr w:rsidR="00A5753C" w:rsidRPr="009B332B" w:rsidSect="008A353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1A57954A" w14:textId="77777777" w:rsidR="00A5753C" w:rsidRPr="009B332B" w:rsidRDefault="00A5753C" w:rsidP="003746C2">
      <w:pPr>
        <w:rPr>
          <w:b/>
          <w:i/>
        </w:rPr>
      </w:pPr>
    </w:p>
    <w:sectPr w:rsidR="00A5753C" w:rsidRPr="009B332B" w:rsidSect="008A353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6906" w14:textId="77777777" w:rsidR="007246BD" w:rsidRDefault="007246BD" w:rsidP="00715914">
      <w:pPr>
        <w:spacing w:line="240" w:lineRule="auto"/>
      </w:pPr>
      <w:r>
        <w:separator/>
      </w:r>
    </w:p>
  </w:endnote>
  <w:endnote w:type="continuationSeparator" w:id="0">
    <w:p w14:paraId="5A4327EF" w14:textId="77777777" w:rsidR="007246BD" w:rsidRDefault="007246B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C61D" w14:textId="77777777" w:rsidR="007246BD" w:rsidRPr="008A353F" w:rsidRDefault="008A353F" w:rsidP="008A35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353F">
      <w:rPr>
        <w:i/>
        <w:sz w:val="18"/>
      </w:rPr>
      <w:t>OPC65323 -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58F73" w14:textId="77777777" w:rsidR="007246BD" w:rsidRPr="008A2C51" w:rsidRDefault="007246BD" w:rsidP="00A5753C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1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246BD" w:rsidRPr="008A2C51" w14:paraId="679AC29D" w14:textId="77777777" w:rsidTr="003746C2">
      <w:tc>
        <w:tcPr>
          <w:tcW w:w="947" w:type="pct"/>
        </w:tcPr>
        <w:p w14:paraId="38ED12E2" w14:textId="77777777" w:rsidR="007246BD" w:rsidRPr="008A2C51" w:rsidRDefault="007246BD" w:rsidP="003746C2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14:paraId="79FA3559" w14:textId="46A41ECC" w:rsidR="007246BD" w:rsidRPr="008A2C51" w:rsidRDefault="007246BD" w:rsidP="003746C2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894B7E">
            <w:rPr>
              <w:rFonts w:eastAsia="Calibri"/>
              <w:i/>
              <w:sz w:val="18"/>
            </w:rPr>
            <w:t>Federal Circuit and Family Court of Australia (Division 2) (Family Law) Rules 2021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DDA1F4" w14:textId="77777777" w:rsidR="007246BD" w:rsidRPr="008A2C51" w:rsidRDefault="007246BD" w:rsidP="003746C2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>
            <w:rPr>
              <w:rFonts w:eastAsia="Calibri"/>
              <w:i/>
              <w:noProof/>
              <w:sz w:val="18"/>
            </w:rPr>
            <w:t>3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14:paraId="3728EAFC" w14:textId="77777777" w:rsidR="007246BD" w:rsidRPr="008A353F" w:rsidRDefault="008A353F" w:rsidP="008A353F">
    <w:pPr>
      <w:rPr>
        <w:rFonts w:eastAsia="Calibri" w:cs="Times New Roman"/>
        <w:i/>
        <w:sz w:val="18"/>
      </w:rPr>
    </w:pPr>
    <w:r w:rsidRPr="008A353F">
      <w:rPr>
        <w:rFonts w:eastAsia="Calibri" w:cs="Times New Roman"/>
        <w:i/>
        <w:sz w:val="18"/>
      </w:rPr>
      <w:t>OPC65323 -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3FFE7" w14:textId="77777777" w:rsidR="007246BD" w:rsidRDefault="007246BD">
    <w:pPr>
      <w:pBdr>
        <w:top w:val="single" w:sz="6" w:space="1" w:color="auto"/>
      </w:pBdr>
      <w:rPr>
        <w:sz w:val="18"/>
      </w:rPr>
    </w:pPr>
  </w:p>
  <w:p w14:paraId="610D4744" w14:textId="5BA1AE69" w:rsidR="007246BD" w:rsidRDefault="007246B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894B7E">
      <w:rPr>
        <w:i/>
        <w:noProof/>
        <w:sz w:val="18"/>
      </w:rPr>
      <w:t>Federal Circuit and Family Court of Australia (Division 2) (Family Law) Rules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894B7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3</w:t>
    </w:r>
    <w:r>
      <w:rPr>
        <w:i/>
        <w:sz w:val="18"/>
      </w:rPr>
      <w:fldChar w:fldCharType="end"/>
    </w:r>
  </w:p>
  <w:p w14:paraId="5573D4F1" w14:textId="77777777" w:rsidR="007246BD" w:rsidRPr="008A353F" w:rsidRDefault="008A353F" w:rsidP="008A353F">
    <w:pPr>
      <w:rPr>
        <w:rFonts w:cs="Times New Roman"/>
        <w:i/>
        <w:sz w:val="18"/>
      </w:rPr>
    </w:pPr>
    <w:r w:rsidRPr="008A353F">
      <w:rPr>
        <w:rFonts w:cs="Times New Roman"/>
        <w:i/>
        <w:sz w:val="18"/>
      </w:rPr>
      <w:t>OPC65323 -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1C7F" w14:textId="77777777" w:rsidR="007246BD" w:rsidRPr="00E33C1C" w:rsidRDefault="007246BD" w:rsidP="00A575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46BD" w14:paraId="148C5B41" w14:textId="77777777" w:rsidTr="008628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991D68" w14:textId="77777777" w:rsidR="007246BD" w:rsidRDefault="007246BD" w:rsidP="0065412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0A26DA" w14:textId="50BF5B62" w:rsidR="007246BD" w:rsidRDefault="007246BD" w:rsidP="006541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B7E">
            <w:rPr>
              <w:i/>
              <w:sz w:val="18"/>
            </w:rPr>
            <w:t>Federal Circuit and Family Court of Australia (Division 2) (Family Law)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814DA3" w14:textId="77777777" w:rsidR="007246BD" w:rsidRDefault="007246BD" w:rsidP="0065412C">
          <w:pPr>
            <w:spacing w:line="0" w:lineRule="atLeast"/>
            <w:jc w:val="right"/>
            <w:rPr>
              <w:sz w:val="18"/>
            </w:rPr>
          </w:pPr>
        </w:p>
      </w:tc>
    </w:tr>
  </w:tbl>
  <w:p w14:paraId="67959BF6" w14:textId="77777777" w:rsidR="007246BD" w:rsidRPr="008A353F" w:rsidRDefault="008A353F" w:rsidP="008A353F">
    <w:pPr>
      <w:rPr>
        <w:rFonts w:cs="Times New Roman"/>
        <w:i/>
        <w:sz w:val="18"/>
      </w:rPr>
    </w:pPr>
    <w:r w:rsidRPr="008A353F">
      <w:rPr>
        <w:rFonts w:cs="Times New Roman"/>
        <w:i/>
        <w:sz w:val="18"/>
      </w:rPr>
      <w:t>OPC65323 -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1F942" w14:textId="77777777" w:rsidR="007246BD" w:rsidRPr="00E33C1C" w:rsidRDefault="007246BD" w:rsidP="00A575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6BD" w14:paraId="7EE5C426" w14:textId="77777777" w:rsidTr="0065412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043F8E" w14:textId="77777777" w:rsidR="007246BD" w:rsidRDefault="007246BD" w:rsidP="006541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06F79D" w14:textId="1A2A2C83" w:rsidR="007246BD" w:rsidRDefault="007246BD" w:rsidP="006541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B7E">
            <w:rPr>
              <w:i/>
              <w:sz w:val="18"/>
            </w:rPr>
            <w:t>Federal Circuit and Family Court of Australia (Division 2) (Family Law)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561163" w14:textId="77777777" w:rsidR="007246BD" w:rsidRDefault="007246BD" w:rsidP="006541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A2E70E" w14:textId="77777777" w:rsidR="007246BD" w:rsidRPr="008A353F" w:rsidRDefault="008A353F" w:rsidP="008A353F">
    <w:pPr>
      <w:rPr>
        <w:rFonts w:cs="Times New Roman"/>
        <w:i/>
        <w:sz w:val="18"/>
      </w:rPr>
    </w:pPr>
    <w:r w:rsidRPr="008A353F">
      <w:rPr>
        <w:rFonts w:cs="Times New Roman"/>
        <w:i/>
        <w:sz w:val="18"/>
      </w:rPr>
      <w:t>OPC65323 -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FBB4" w14:textId="77777777" w:rsidR="007246BD" w:rsidRPr="00E33C1C" w:rsidRDefault="007246B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6BD" w14:paraId="5325855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A8DD12" w14:textId="77777777" w:rsidR="007246BD" w:rsidRDefault="007246BD" w:rsidP="006541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5A340" w14:textId="46748EC9" w:rsidR="007246BD" w:rsidRDefault="007246BD" w:rsidP="006541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B7E">
            <w:rPr>
              <w:i/>
              <w:sz w:val="18"/>
            </w:rPr>
            <w:t>Federal Circuit and Family Court of Australia (Division 2) (Family Law)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C4C0CE" w14:textId="77777777" w:rsidR="007246BD" w:rsidRDefault="007246BD" w:rsidP="006541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7920A9" w14:textId="77777777" w:rsidR="007246BD" w:rsidRPr="008A353F" w:rsidRDefault="008A353F" w:rsidP="008A353F">
    <w:pPr>
      <w:rPr>
        <w:rFonts w:cs="Times New Roman"/>
        <w:i/>
        <w:sz w:val="18"/>
      </w:rPr>
    </w:pPr>
    <w:r w:rsidRPr="008A353F">
      <w:rPr>
        <w:rFonts w:cs="Times New Roman"/>
        <w:i/>
        <w:sz w:val="18"/>
      </w:rPr>
      <w:t>OPC65323 -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34D2" w14:textId="77777777" w:rsidR="007246BD" w:rsidRDefault="007246BD" w:rsidP="00A5753C">
    <w:pPr>
      <w:spacing w:before="120"/>
    </w:pPr>
  </w:p>
  <w:p w14:paraId="36E34497" w14:textId="77777777" w:rsidR="007246BD" w:rsidRPr="008A353F" w:rsidRDefault="008A353F" w:rsidP="008A353F">
    <w:pPr>
      <w:rPr>
        <w:rFonts w:cs="Times New Roman"/>
        <w:i/>
        <w:sz w:val="18"/>
      </w:rPr>
    </w:pPr>
    <w:r w:rsidRPr="008A353F">
      <w:rPr>
        <w:rFonts w:cs="Times New Roman"/>
        <w:i/>
        <w:sz w:val="18"/>
      </w:rPr>
      <w:t>OPC65323 -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29C3" w14:textId="77777777" w:rsidR="007246BD" w:rsidRPr="008A353F" w:rsidRDefault="008A353F" w:rsidP="008A35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353F">
      <w:rPr>
        <w:i/>
        <w:sz w:val="18"/>
      </w:rPr>
      <w:t>OPC65323 -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3AE8" w14:textId="77777777" w:rsidR="007246BD" w:rsidRPr="00E33C1C" w:rsidRDefault="007246BD" w:rsidP="00A575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46BD" w14:paraId="23CF9171" w14:textId="77777777" w:rsidTr="008628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D785B6" w14:textId="77777777" w:rsidR="007246BD" w:rsidRDefault="007246BD" w:rsidP="0065412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17022" w14:textId="33ADD374" w:rsidR="007246BD" w:rsidRDefault="007246BD" w:rsidP="006541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B7E">
            <w:rPr>
              <w:i/>
              <w:sz w:val="18"/>
            </w:rPr>
            <w:t>Federal Circuit and Family Court of Australia (Division 2) (Family Law)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A79A19" w14:textId="77777777" w:rsidR="007246BD" w:rsidRDefault="007246BD" w:rsidP="0065412C">
          <w:pPr>
            <w:spacing w:line="0" w:lineRule="atLeast"/>
            <w:jc w:val="right"/>
            <w:rPr>
              <w:sz w:val="18"/>
            </w:rPr>
          </w:pPr>
        </w:p>
      </w:tc>
    </w:tr>
  </w:tbl>
  <w:p w14:paraId="6D0B6627" w14:textId="77777777" w:rsidR="007246BD" w:rsidRPr="008A353F" w:rsidRDefault="008A353F" w:rsidP="008A353F">
    <w:pPr>
      <w:rPr>
        <w:rFonts w:cs="Times New Roman"/>
        <w:i/>
        <w:sz w:val="18"/>
      </w:rPr>
    </w:pPr>
    <w:r w:rsidRPr="008A353F">
      <w:rPr>
        <w:rFonts w:cs="Times New Roman"/>
        <w:i/>
        <w:sz w:val="18"/>
      </w:rPr>
      <w:t>OPC65323 -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93D9" w14:textId="77777777" w:rsidR="007246BD" w:rsidRPr="00E33C1C" w:rsidRDefault="007246BD" w:rsidP="00A575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246BD" w14:paraId="1A292B1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D2DE7A" w14:textId="77777777" w:rsidR="007246BD" w:rsidRDefault="007246BD" w:rsidP="0065412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1AD9E59" w14:textId="43C7B02C" w:rsidR="007246BD" w:rsidRDefault="007246BD" w:rsidP="006541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B7E">
            <w:rPr>
              <w:i/>
              <w:sz w:val="18"/>
            </w:rPr>
            <w:t>Federal Circuit and Family Court of Australia (Division 2) (Family Law)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A0A6BB" w14:textId="77777777" w:rsidR="007246BD" w:rsidRDefault="007246BD" w:rsidP="006541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665B42" w14:textId="77777777" w:rsidR="007246BD" w:rsidRPr="008A353F" w:rsidRDefault="008A353F" w:rsidP="008A353F">
    <w:pPr>
      <w:rPr>
        <w:rFonts w:cs="Times New Roman"/>
        <w:i/>
        <w:sz w:val="18"/>
      </w:rPr>
    </w:pPr>
    <w:r w:rsidRPr="008A353F">
      <w:rPr>
        <w:rFonts w:cs="Times New Roman"/>
        <w:i/>
        <w:sz w:val="18"/>
      </w:rPr>
      <w:t>OPC65323 -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C9586" w14:textId="77777777" w:rsidR="007246BD" w:rsidRPr="008A2C51" w:rsidRDefault="007246BD" w:rsidP="00A5753C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2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246BD" w:rsidRPr="008A2C51" w14:paraId="061ACBF8" w14:textId="77777777" w:rsidTr="003746C2">
      <w:tc>
        <w:tcPr>
          <w:tcW w:w="365" w:type="pct"/>
        </w:tcPr>
        <w:p w14:paraId="53911969" w14:textId="77777777" w:rsidR="007246BD" w:rsidRPr="008A2C51" w:rsidRDefault="007246BD" w:rsidP="003746C2">
          <w:pPr>
            <w:spacing w:line="0" w:lineRule="atLeas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>
            <w:rPr>
              <w:rFonts w:eastAsia="Calibri" w:cs="Times New Roman"/>
              <w:i/>
              <w:noProof/>
              <w:sz w:val="18"/>
            </w:rPr>
            <w:t>2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88A1EC" w14:textId="484F878F" w:rsidR="007246BD" w:rsidRPr="008A2C51" w:rsidRDefault="007246BD" w:rsidP="003746C2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894B7E">
            <w:rPr>
              <w:rFonts w:eastAsia="Calibri" w:cs="Times New Roman"/>
              <w:i/>
              <w:sz w:val="18"/>
            </w:rPr>
            <w:t>Federal Circuit and Family Court of Australia (Division 2) (Family Law) Rules 2021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B886DF" w14:textId="77777777" w:rsidR="007246BD" w:rsidRPr="008A2C51" w:rsidRDefault="007246BD" w:rsidP="003746C2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</w:p>
      </w:tc>
    </w:tr>
  </w:tbl>
  <w:p w14:paraId="4D0F957D" w14:textId="77777777" w:rsidR="007246BD" w:rsidRPr="008A353F" w:rsidRDefault="008A353F" w:rsidP="008A353F">
    <w:pPr>
      <w:rPr>
        <w:rFonts w:eastAsia="Calibri" w:cs="Times New Roman"/>
        <w:i/>
        <w:sz w:val="18"/>
      </w:rPr>
    </w:pPr>
    <w:r w:rsidRPr="008A353F">
      <w:rPr>
        <w:rFonts w:eastAsia="Calibri" w:cs="Times New Roman"/>
        <w:i/>
        <w:sz w:val="18"/>
      </w:rPr>
      <w:t>OPC65323 -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E2ECD" w14:textId="77777777" w:rsidR="007246BD" w:rsidRPr="008A2C51" w:rsidRDefault="007246BD" w:rsidP="00A5753C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246BD" w:rsidRPr="008A2C51" w14:paraId="1EF0983A" w14:textId="77777777" w:rsidTr="003746C2">
      <w:tc>
        <w:tcPr>
          <w:tcW w:w="947" w:type="pct"/>
        </w:tcPr>
        <w:p w14:paraId="76764F5A" w14:textId="77777777" w:rsidR="007246BD" w:rsidRPr="008A2C51" w:rsidRDefault="007246BD" w:rsidP="003746C2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14:paraId="33CF2A94" w14:textId="45390A8D" w:rsidR="007246BD" w:rsidRPr="008A2C51" w:rsidRDefault="007246BD" w:rsidP="003746C2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894B7E">
            <w:rPr>
              <w:rFonts w:eastAsia="Calibri"/>
              <w:i/>
              <w:sz w:val="18"/>
            </w:rPr>
            <w:t>Federal Circuit and Family Court of Australia (Division 2) (Family Law) Rules 2021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DA14569" w14:textId="77777777" w:rsidR="007246BD" w:rsidRPr="008A2C51" w:rsidRDefault="007246BD" w:rsidP="003746C2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>
            <w:rPr>
              <w:rFonts w:eastAsia="Calibri"/>
              <w:i/>
              <w:noProof/>
              <w:sz w:val="18"/>
            </w:rPr>
            <w:t>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14:paraId="0F0C9CB3" w14:textId="77777777" w:rsidR="007246BD" w:rsidRPr="008A353F" w:rsidRDefault="008A353F" w:rsidP="008A353F">
    <w:pPr>
      <w:rPr>
        <w:rFonts w:eastAsia="Calibri" w:cs="Times New Roman"/>
        <w:i/>
        <w:sz w:val="18"/>
      </w:rPr>
    </w:pPr>
    <w:r w:rsidRPr="008A353F">
      <w:rPr>
        <w:rFonts w:eastAsia="Calibri" w:cs="Times New Roman"/>
        <w:i/>
        <w:sz w:val="18"/>
      </w:rPr>
      <w:t>OPC65323 -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A693" w14:textId="77777777" w:rsidR="007246BD" w:rsidRPr="00E33C1C" w:rsidRDefault="007246BD" w:rsidP="00A5753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6BD" w14:paraId="4171E26E" w14:textId="77777777" w:rsidTr="003746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64AD1" w14:textId="77777777" w:rsidR="007246BD" w:rsidRDefault="007246BD" w:rsidP="00A575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0FF9C" w14:textId="6F892CD3" w:rsidR="007246BD" w:rsidRDefault="007246BD" w:rsidP="00A575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B7E">
            <w:rPr>
              <w:i/>
              <w:sz w:val="18"/>
            </w:rPr>
            <w:t>Federal Circuit and Family Court of Australia (Division 2) (Family Law)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3AA252" w14:textId="77777777" w:rsidR="007246BD" w:rsidRDefault="007246BD" w:rsidP="00A575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08759B" w14:textId="77777777" w:rsidR="007246BD" w:rsidRPr="00ED79B6" w:rsidRDefault="007246BD" w:rsidP="00A5753C">
    <w:pPr>
      <w:rPr>
        <w:i/>
        <w:sz w:val="18"/>
      </w:rPr>
    </w:pPr>
  </w:p>
  <w:p w14:paraId="64948C28" w14:textId="77777777" w:rsidR="007246BD" w:rsidRPr="008A353F" w:rsidRDefault="008A353F" w:rsidP="008A353F">
    <w:pPr>
      <w:pStyle w:val="Footer"/>
      <w:rPr>
        <w:rFonts w:eastAsia="Calibri"/>
        <w:i/>
        <w:sz w:val="18"/>
      </w:rPr>
    </w:pPr>
    <w:r w:rsidRPr="008A353F">
      <w:rPr>
        <w:rFonts w:eastAsia="Calibri"/>
        <w:i/>
        <w:sz w:val="18"/>
      </w:rPr>
      <w:t>OPC65323 -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3B84" w14:textId="77777777" w:rsidR="007246BD" w:rsidRPr="008A2C51" w:rsidRDefault="007246BD" w:rsidP="00A5753C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3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246BD" w:rsidRPr="008A2C51" w14:paraId="3B660831" w14:textId="77777777" w:rsidTr="003746C2">
      <w:tc>
        <w:tcPr>
          <w:tcW w:w="365" w:type="pct"/>
        </w:tcPr>
        <w:p w14:paraId="743EFF55" w14:textId="77777777" w:rsidR="007246BD" w:rsidRPr="008A2C51" w:rsidRDefault="007246BD" w:rsidP="003746C2">
          <w:pPr>
            <w:spacing w:line="0" w:lineRule="atLeas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>
            <w:rPr>
              <w:rFonts w:eastAsia="Calibri"/>
              <w:i/>
              <w:noProof/>
              <w:sz w:val="18"/>
            </w:rPr>
            <w:t>2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D64B8D" w14:textId="0643AEEA" w:rsidR="007246BD" w:rsidRPr="008A2C51" w:rsidRDefault="007246BD" w:rsidP="003746C2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894B7E">
            <w:rPr>
              <w:rFonts w:eastAsia="Calibri"/>
              <w:i/>
              <w:sz w:val="18"/>
            </w:rPr>
            <w:t>Federal Circuit and Family Court of Australia (Division 2) (Family Law) Rules 2021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1D3AD0" w14:textId="77777777" w:rsidR="007246BD" w:rsidRPr="008A2C51" w:rsidRDefault="007246BD" w:rsidP="003746C2">
          <w:pPr>
            <w:spacing w:line="0" w:lineRule="atLeast"/>
            <w:jc w:val="right"/>
            <w:rPr>
              <w:rFonts w:eastAsia="Calibri"/>
              <w:sz w:val="18"/>
            </w:rPr>
          </w:pPr>
        </w:p>
      </w:tc>
    </w:tr>
  </w:tbl>
  <w:p w14:paraId="54551658" w14:textId="77777777" w:rsidR="007246BD" w:rsidRPr="008A353F" w:rsidRDefault="008A353F" w:rsidP="008A353F">
    <w:pPr>
      <w:rPr>
        <w:rFonts w:eastAsia="Calibri" w:cs="Times New Roman"/>
        <w:i/>
        <w:sz w:val="18"/>
      </w:rPr>
    </w:pPr>
    <w:r w:rsidRPr="008A353F">
      <w:rPr>
        <w:rFonts w:eastAsia="Calibri" w:cs="Times New Roman"/>
        <w:i/>
        <w:sz w:val="18"/>
      </w:rPr>
      <w:t>OPC65323 -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E42F" w14:textId="77777777" w:rsidR="007246BD" w:rsidRDefault="007246BD" w:rsidP="00715914">
      <w:pPr>
        <w:spacing w:line="240" w:lineRule="auto"/>
      </w:pPr>
      <w:r>
        <w:separator/>
      </w:r>
    </w:p>
  </w:footnote>
  <w:footnote w:type="continuationSeparator" w:id="0">
    <w:p w14:paraId="700A0E98" w14:textId="77777777" w:rsidR="007246BD" w:rsidRDefault="007246B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5FD0" w14:textId="77777777" w:rsidR="007246BD" w:rsidRPr="005F1388" w:rsidRDefault="007246BD" w:rsidP="0065412C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14C0" w14:textId="7C3951E6" w:rsidR="007246BD" w:rsidRPr="008A2C51" w:rsidRDefault="007246BD">
    <w:pPr>
      <w:jc w:val="right"/>
      <w:rPr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CharChapText </w:instrText>
    </w:r>
    <w:r w:rsidR="00894B7E">
      <w:rPr>
        <w:sz w:val="20"/>
      </w:rPr>
      <w:fldChar w:fldCharType="separate"/>
    </w:r>
    <w:r w:rsidR="00894B7E">
      <w:rPr>
        <w:noProof/>
        <w:sz w:val="20"/>
      </w:rPr>
      <w:t>Additional delegated powers</w: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CharChapNo </w:instrText>
    </w:r>
    <w:r w:rsidR="00894B7E">
      <w:rPr>
        <w:b/>
        <w:sz w:val="20"/>
      </w:rPr>
      <w:fldChar w:fldCharType="separate"/>
    </w:r>
    <w:r w:rsidR="00894B7E">
      <w:rPr>
        <w:b/>
        <w:noProof/>
        <w:sz w:val="20"/>
      </w:rPr>
      <w:t>Schedule 2</w:t>
    </w:r>
    <w:r w:rsidRPr="008A2C51">
      <w:rPr>
        <w:b/>
        <w:sz w:val="20"/>
      </w:rPr>
      <w:fldChar w:fldCharType="end"/>
    </w:r>
  </w:p>
  <w:p w14:paraId="15FEE996" w14:textId="0466AD8D" w:rsidR="007246BD" w:rsidRPr="008A2C51" w:rsidRDefault="007246BD">
    <w:pPr>
      <w:pBdr>
        <w:bottom w:val="single" w:sz="6" w:space="1" w:color="auto"/>
      </w:pBdr>
      <w:jc w:val="right"/>
      <w:rPr>
        <w:b/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CharPartText </w:instrTex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CharPartNo </w:instrText>
    </w:r>
    <w:r w:rsidRPr="008A2C51">
      <w:rPr>
        <w:b/>
        <w:sz w:val="20"/>
      </w:rPr>
      <w:fldChar w:fldCharType="end"/>
    </w:r>
  </w:p>
  <w:p w14:paraId="6F53DF41" w14:textId="2616D246" w:rsidR="007246BD" w:rsidRDefault="007246BD" w:rsidP="003746C2">
    <w:pPr>
      <w:pBdr>
        <w:bottom w:val="single" w:sz="6" w:space="1" w:color="auto"/>
      </w:pBd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FA8B08D" w14:textId="77777777" w:rsidR="007246BD" w:rsidRPr="008A2C51" w:rsidRDefault="007246BD" w:rsidP="00A5753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B53E" w14:textId="77777777" w:rsidR="007246BD" w:rsidRDefault="007246B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86E4" w14:textId="0C25647C" w:rsidR="007246BD" w:rsidRDefault="007246B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94B7E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94B7E">
      <w:rPr>
        <w:noProof/>
        <w:sz w:val="20"/>
      </w:rPr>
      <w:t>Additional delegated powers</w:t>
    </w:r>
    <w:r>
      <w:rPr>
        <w:sz w:val="20"/>
      </w:rPr>
      <w:fldChar w:fldCharType="end"/>
    </w:r>
  </w:p>
  <w:p w14:paraId="6B737DB1" w14:textId="63248B3B" w:rsidR="007246BD" w:rsidRDefault="007246B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8A9D73A" w14:textId="62610F37" w:rsidR="007246BD" w:rsidRPr="007A1328" w:rsidRDefault="007246B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6B2A383" w14:textId="77777777" w:rsidR="007246BD" w:rsidRPr="007A1328" w:rsidRDefault="007246BD" w:rsidP="00715914">
    <w:pPr>
      <w:rPr>
        <w:b/>
        <w:sz w:val="24"/>
      </w:rPr>
    </w:pPr>
  </w:p>
  <w:p w14:paraId="7E37B174" w14:textId="0332883B" w:rsidR="007246BD" w:rsidRPr="007A1328" w:rsidRDefault="007246BD" w:rsidP="00A5753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4B7E">
      <w:rPr>
        <w:sz w:val="24"/>
      </w:rPr>
      <w:t>Rule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4B7E">
      <w:rPr>
        <w:noProof/>
        <w:sz w:val="24"/>
      </w:rPr>
      <w:t>5.01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7ABD" w14:textId="6C212BE0" w:rsidR="007246BD" w:rsidRPr="007A1328" w:rsidRDefault="007246B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894B7E">
      <w:rPr>
        <w:noProof/>
        <w:sz w:val="20"/>
      </w:rPr>
      <w:t>Additional delegated powers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94B7E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5E7674FB" w14:textId="22A924A7" w:rsidR="007246BD" w:rsidRPr="007A1328" w:rsidRDefault="007246B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172B69A" w14:textId="5F355A28" w:rsidR="007246BD" w:rsidRPr="007A1328" w:rsidRDefault="007246B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8D3D743" w14:textId="77777777" w:rsidR="007246BD" w:rsidRPr="007A1328" w:rsidRDefault="007246BD" w:rsidP="00715914">
    <w:pPr>
      <w:jc w:val="right"/>
      <w:rPr>
        <w:b/>
        <w:sz w:val="24"/>
      </w:rPr>
    </w:pPr>
  </w:p>
  <w:p w14:paraId="61F5EA59" w14:textId="47568E5E" w:rsidR="007246BD" w:rsidRPr="007A1328" w:rsidRDefault="007246BD" w:rsidP="00A5753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4B7E">
      <w:rPr>
        <w:sz w:val="24"/>
      </w:rPr>
      <w:t>Rule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4B7E">
      <w:rPr>
        <w:noProof/>
        <w:sz w:val="24"/>
      </w:rPr>
      <w:t>5.01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48C9" w14:textId="77777777" w:rsidR="007246BD" w:rsidRPr="007A1328" w:rsidRDefault="007246B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4DE1" w14:textId="77777777" w:rsidR="007246BD" w:rsidRPr="005F1388" w:rsidRDefault="007246BD" w:rsidP="0065412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6725" w14:textId="77777777" w:rsidR="007246BD" w:rsidRPr="005F1388" w:rsidRDefault="007246BD" w:rsidP="0065412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4FFE" w14:textId="77777777" w:rsidR="007246BD" w:rsidRPr="00ED79B6" w:rsidRDefault="007246B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84F5" w14:textId="77777777" w:rsidR="007246BD" w:rsidRPr="00ED79B6" w:rsidRDefault="007246B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4892C" w14:textId="77777777" w:rsidR="007246BD" w:rsidRPr="00ED79B6" w:rsidRDefault="007246B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54AE" w14:textId="45A92C24" w:rsidR="007246BD" w:rsidRPr="008A2C51" w:rsidRDefault="007246BD" w:rsidP="003746C2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CharChapNo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CharChapText </w:instrText>
    </w:r>
    <w:r w:rsidRPr="008A2C51">
      <w:rPr>
        <w:rFonts w:eastAsia="Calibri"/>
        <w:sz w:val="20"/>
      </w:rPr>
      <w:fldChar w:fldCharType="end"/>
    </w:r>
  </w:p>
  <w:p w14:paraId="6FFC5B05" w14:textId="3F90981B" w:rsidR="007246BD" w:rsidRPr="008A2C51" w:rsidRDefault="007246BD" w:rsidP="003746C2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CharPartNo </w:instrText>
    </w:r>
    <w:r w:rsidR="00894B7E">
      <w:rPr>
        <w:rFonts w:eastAsia="Calibri"/>
        <w:b/>
        <w:sz w:val="20"/>
      </w:rPr>
      <w:fldChar w:fldCharType="separate"/>
    </w:r>
    <w:r w:rsidR="00894B7E">
      <w:rPr>
        <w:rFonts w:eastAsia="Calibri"/>
        <w:b/>
        <w:noProof/>
        <w:sz w:val="20"/>
      </w:rPr>
      <w:t>Part 4</w: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CharPartText </w:instrText>
    </w:r>
    <w:r w:rsidR="00894B7E">
      <w:rPr>
        <w:rFonts w:eastAsia="Calibri"/>
        <w:sz w:val="20"/>
      </w:rPr>
      <w:fldChar w:fldCharType="separate"/>
    </w:r>
    <w:r w:rsidR="00894B7E">
      <w:rPr>
        <w:rFonts w:eastAsia="Calibri"/>
        <w:noProof/>
        <w:sz w:val="20"/>
      </w:rPr>
      <w:t>Costs</w:t>
    </w:r>
    <w:r w:rsidRPr="008A2C51">
      <w:rPr>
        <w:rFonts w:eastAsia="Calibri"/>
        <w:sz w:val="20"/>
      </w:rPr>
      <w:fldChar w:fldCharType="end"/>
    </w:r>
  </w:p>
  <w:p w14:paraId="3F3CB76B" w14:textId="3C0AFFE1" w:rsidR="007246BD" w:rsidRPr="008A2C51" w:rsidRDefault="007246BD" w:rsidP="003746C2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CharDivNo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CharDivText </w:instrText>
    </w:r>
    <w:r w:rsidRPr="008A2C51">
      <w:rPr>
        <w:rFonts w:eastAsia="Calibri"/>
        <w:sz w:val="20"/>
      </w:rPr>
      <w:fldChar w:fldCharType="end"/>
    </w:r>
  </w:p>
  <w:p w14:paraId="17554D3B" w14:textId="77777777" w:rsidR="007246BD" w:rsidRPr="008A2C51" w:rsidRDefault="007246BD" w:rsidP="003746C2">
    <w:pPr>
      <w:rPr>
        <w:rFonts w:eastAsia="Calibri"/>
        <w:b/>
        <w:sz w:val="24"/>
      </w:rPr>
    </w:pPr>
  </w:p>
  <w:p w14:paraId="3E807D3E" w14:textId="69369AE6" w:rsidR="007246BD" w:rsidRPr="008A2C51" w:rsidRDefault="007246BD" w:rsidP="00A5753C">
    <w:pPr>
      <w:pBdr>
        <w:bottom w:val="single" w:sz="6" w:space="1" w:color="auto"/>
      </w:pBdr>
      <w:spacing w:after="120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894B7E">
      <w:rPr>
        <w:rFonts w:eastAsia="Calibri"/>
        <w:sz w:val="24"/>
      </w:rPr>
      <w:t>Rule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894B7E">
      <w:rPr>
        <w:rFonts w:eastAsia="Calibri"/>
        <w:noProof/>
        <w:sz w:val="24"/>
      </w:rPr>
      <w:t>4.01</w:t>
    </w:r>
    <w:r w:rsidRPr="008A2C51">
      <w:rPr>
        <w:rFonts w:eastAsia="Calibri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538B" w14:textId="550BA310" w:rsidR="007246BD" w:rsidRDefault="007246B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40F51A" w14:textId="3A4316BE" w:rsidR="007246BD" w:rsidRDefault="007246B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894B7E">
      <w:rPr>
        <w:sz w:val="20"/>
      </w:rPr>
      <w:fldChar w:fldCharType="separate"/>
    </w:r>
    <w:r w:rsidR="00894B7E">
      <w:rPr>
        <w:noProof/>
        <w:sz w:val="20"/>
      </w:rPr>
      <w:t>Transferring proceedings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94B7E">
      <w:rPr>
        <w:b/>
        <w:sz w:val="20"/>
      </w:rPr>
      <w:fldChar w:fldCharType="separate"/>
    </w:r>
    <w:r w:rsidR="00894B7E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5807DF27" w14:textId="733E9D30" w:rsidR="007246BD" w:rsidRDefault="007246B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108CCFC" w14:textId="77777777" w:rsidR="007246BD" w:rsidRDefault="007246BD">
    <w:pPr>
      <w:jc w:val="right"/>
      <w:rPr>
        <w:b/>
      </w:rPr>
    </w:pPr>
  </w:p>
  <w:p w14:paraId="09ACB605" w14:textId="457DE93F" w:rsidR="007246BD" w:rsidRPr="001D7F53" w:rsidRDefault="001D7F53" w:rsidP="001D7F53">
    <w:pPr>
      <w:pBdr>
        <w:bottom w:val="single" w:sz="6" w:space="1" w:color="auto"/>
      </w:pBdr>
      <w:spacing w:after="120"/>
      <w:jc w:val="right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894B7E">
      <w:rPr>
        <w:rFonts w:eastAsia="Calibri"/>
        <w:sz w:val="24"/>
      </w:rPr>
      <w:t>Rule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894B7E">
      <w:rPr>
        <w:rFonts w:eastAsia="Calibri"/>
        <w:noProof/>
        <w:sz w:val="24"/>
      </w:rPr>
      <w:t>3.01</w:t>
    </w:r>
    <w:r w:rsidRPr="008A2C51">
      <w:rPr>
        <w:rFonts w:eastAsia="Calibri"/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12D4" w14:textId="44BF46D9" w:rsidR="007246BD" w:rsidRDefault="007246B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894B7E">
      <w:rPr>
        <w:b/>
        <w:sz w:val="20"/>
      </w:rPr>
      <w:fldChar w:fldCharType="separate"/>
    </w:r>
    <w:r w:rsidR="00894B7E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894B7E">
      <w:rPr>
        <w:sz w:val="20"/>
      </w:rPr>
      <w:fldChar w:fldCharType="separate"/>
    </w:r>
    <w:r w:rsidR="00894B7E">
      <w:rPr>
        <w:noProof/>
        <w:sz w:val="20"/>
      </w:rPr>
      <w:t>Additional delegated powers</w:t>
    </w:r>
    <w:r>
      <w:rPr>
        <w:sz w:val="20"/>
      </w:rPr>
      <w:fldChar w:fldCharType="end"/>
    </w:r>
  </w:p>
  <w:p w14:paraId="0C263D04" w14:textId="1E303931" w:rsidR="007246BD" w:rsidRDefault="007246BD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1FF6871" w14:textId="324D8A1D" w:rsidR="007246BD" w:rsidRDefault="007246BD" w:rsidP="003746C2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E56946A" w14:textId="77777777" w:rsidR="007246BD" w:rsidRDefault="007246BD" w:rsidP="00A5753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4E0"/>
    <w:rsid w:val="00004470"/>
    <w:rsid w:val="000136AF"/>
    <w:rsid w:val="00014F4A"/>
    <w:rsid w:val="00032D67"/>
    <w:rsid w:val="000437C1"/>
    <w:rsid w:val="0005365D"/>
    <w:rsid w:val="000614BF"/>
    <w:rsid w:val="00080154"/>
    <w:rsid w:val="0009744C"/>
    <w:rsid w:val="000B58FA"/>
    <w:rsid w:val="000B7E30"/>
    <w:rsid w:val="000D05EF"/>
    <w:rsid w:val="000E2261"/>
    <w:rsid w:val="000F21C1"/>
    <w:rsid w:val="00105D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756C5"/>
    <w:rsid w:val="001809D7"/>
    <w:rsid w:val="001861CF"/>
    <w:rsid w:val="001939E1"/>
    <w:rsid w:val="00194C3E"/>
    <w:rsid w:val="00195382"/>
    <w:rsid w:val="001A09EE"/>
    <w:rsid w:val="001B2C30"/>
    <w:rsid w:val="001C61C5"/>
    <w:rsid w:val="001C69C4"/>
    <w:rsid w:val="001D37EF"/>
    <w:rsid w:val="001D7F53"/>
    <w:rsid w:val="001E3590"/>
    <w:rsid w:val="001E7407"/>
    <w:rsid w:val="001F2D80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212E"/>
    <w:rsid w:val="0024237B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2F24E0"/>
    <w:rsid w:val="00304F8B"/>
    <w:rsid w:val="003354D2"/>
    <w:rsid w:val="00335BC6"/>
    <w:rsid w:val="003415D3"/>
    <w:rsid w:val="00344701"/>
    <w:rsid w:val="00352B0F"/>
    <w:rsid w:val="00356690"/>
    <w:rsid w:val="00360459"/>
    <w:rsid w:val="003746C2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77D36"/>
    <w:rsid w:val="00496F97"/>
    <w:rsid w:val="004C00A0"/>
    <w:rsid w:val="004C6AE8"/>
    <w:rsid w:val="004D3593"/>
    <w:rsid w:val="004E063A"/>
    <w:rsid w:val="004E7BEC"/>
    <w:rsid w:val="004F53FA"/>
    <w:rsid w:val="00505D3D"/>
    <w:rsid w:val="00506AF6"/>
    <w:rsid w:val="00516B8D"/>
    <w:rsid w:val="00533B02"/>
    <w:rsid w:val="00537FBC"/>
    <w:rsid w:val="00554954"/>
    <w:rsid w:val="005574D1"/>
    <w:rsid w:val="00584811"/>
    <w:rsid w:val="00585784"/>
    <w:rsid w:val="0058746A"/>
    <w:rsid w:val="00593AA6"/>
    <w:rsid w:val="00594161"/>
    <w:rsid w:val="00594749"/>
    <w:rsid w:val="005B4067"/>
    <w:rsid w:val="005C3F41"/>
    <w:rsid w:val="005D2D09"/>
    <w:rsid w:val="00600219"/>
    <w:rsid w:val="00602377"/>
    <w:rsid w:val="00603DC4"/>
    <w:rsid w:val="00620076"/>
    <w:rsid w:val="0065412C"/>
    <w:rsid w:val="00670EA1"/>
    <w:rsid w:val="00677CC2"/>
    <w:rsid w:val="00683BD4"/>
    <w:rsid w:val="006905DE"/>
    <w:rsid w:val="0069207B"/>
    <w:rsid w:val="006944A8"/>
    <w:rsid w:val="006A0547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46BD"/>
    <w:rsid w:val="00731E00"/>
    <w:rsid w:val="007440B7"/>
    <w:rsid w:val="007500C8"/>
    <w:rsid w:val="00755983"/>
    <w:rsid w:val="00756272"/>
    <w:rsid w:val="00765781"/>
    <w:rsid w:val="0076681A"/>
    <w:rsid w:val="007715C9"/>
    <w:rsid w:val="00771613"/>
    <w:rsid w:val="00774EDD"/>
    <w:rsid w:val="007757EC"/>
    <w:rsid w:val="00783E89"/>
    <w:rsid w:val="00793915"/>
    <w:rsid w:val="007C2253"/>
    <w:rsid w:val="007C752C"/>
    <w:rsid w:val="007D5A63"/>
    <w:rsid w:val="007D7B81"/>
    <w:rsid w:val="007E163D"/>
    <w:rsid w:val="007E667A"/>
    <w:rsid w:val="007F28C9"/>
    <w:rsid w:val="00803587"/>
    <w:rsid w:val="00807626"/>
    <w:rsid w:val="008117E9"/>
    <w:rsid w:val="00823940"/>
    <w:rsid w:val="00824498"/>
    <w:rsid w:val="008437CB"/>
    <w:rsid w:val="00856A31"/>
    <w:rsid w:val="008628FE"/>
    <w:rsid w:val="00863318"/>
    <w:rsid w:val="00864B24"/>
    <w:rsid w:val="00867B37"/>
    <w:rsid w:val="008754D0"/>
    <w:rsid w:val="008855C9"/>
    <w:rsid w:val="00886456"/>
    <w:rsid w:val="00894B7E"/>
    <w:rsid w:val="008A353F"/>
    <w:rsid w:val="008A46E1"/>
    <w:rsid w:val="008A4F43"/>
    <w:rsid w:val="008B2706"/>
    <w:rsid w:val="008C29AA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87339"/>
    <w:rsid w:val="009B332B"/>
    <w:rsid w:val="009B5AB3"/>
    <w:rsid w:val="009E5CFC"/>
    <w:rsid w:val="00A079CB"/>
    <w:rsid w:val="00A12128"/>
    <w:rsid w:val="00A22C98"/>
    <w:rsid w:val="00A231E2"/>
    <w:rsid w:val="00A24516"/>
    <w:rsid w:val="00A4197E"/>
    <w:rsid w:val="00A5753C"/>
    <w:rsid w:val="00A64912"/>
    <w:rsid w:val="00A70A74"/>
    <w:rsid w:val="00A91335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0A2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06C2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6E56"/>
    <w:rsid w:val="00C50043"/>
    <w:rsid w:val="00C515CF"/>
    <w:rsid w:val="00C7573B"/>
    <w:rsid w:val="00C81AF9"/>
    <w:rsid w:val="00C93C03"/>
    <w:rsid w:val="00C95A5E"/>
    <w:rsid w:val="00CB2C8E"/>
    <w:rsid w:val="00CB602E"/>
    <w:rsid w:val="00CD2489"/>
    <w:rsid w:val="00CE051D"/>
    <w:rsid w:val="00CE1335"/>
    <w:rsid w:val="00CE493D"/>
    <w:rsid w:val="00CF07FA"/>
    <w:rsid w:val="00CF0BB2"/>
    <w:rsid w:val="00CF3EE8"/>
    <w:rsid w:val="00D04E4C"/>
    <w:rsid w:val="00D050E6"/>
    <w:rsid w:val="00D07D75"/>
    <w:rsid w:val="00D13441"/>
    <w:rsid w:val="00D150E7"/>
    <w:rsid w:val="00D32F65"/>
    <w:rsid w:val="00D41CBF"/>
    <w:rsid w:val="00D52DC2"/>
    <w:rsid w:val="00D53BCC"/>
    <w:rsid w:val="00D67E8A"/>
    <w:rsid w:val="00D70758"/>
    <w:rsid w:val="00D70DFB"/>
    <w:rsid w:val="00D766DF"/>
    <w:rsid w:val="00DA186E"/>
    <w:rsid w:val="00DA1987"/>
    <w:rsid w:val="00DA4116"/>
    <w:rsid w:val="00DA54E6"/>
    <w:rsid w:val="00DA5A7E"/>
    <w:rsid w:val="00DB251C"/>
    <w:rsid w:val="00DB4630"/>
    <w:rsid w:val="00DC4F88"/>
    <w:rsid w:val="00DD2B70"/>
    <w:rsid w:val="00E05704"/>
    <w:rsid w:val="00E11E44"/>
    <w:rsid w:val="00E17ABE"/>
    <w:rsid w:val="00E3270E"/>
    <w:rsid w:val="00E338EF"/>
    <w:rsid w:val="00E544BB"/>
    <w:rsid w:val="00E662CB"/>
    <w:rsid w:val="00E74DC7"/>
    <w:rsid w:val="00E76806"/>
    <w:rsid w:val="00E8075A"/>
    <w:rsid w:val="00E833D8"/>
    <w:rsid w:val="00E84505"/>
    <w:rsid w:val="00E920D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28DC"/>
    <w:rsid w:val="00F9379C"/>
    <w:rsid w:val="00F9632C"/>
    <w:rsid w:val="00FA1E52"/>
    <w:rsid w:val="00FB12C6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700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423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3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3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3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3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3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3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3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3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237B"/>
  </w:style>
  <w:style w:type="paragraph" w:customStyle="1" w:styleId="OPCParaBase">
    <w:name w:val="OPCParaBase"/>
    <w:qFormat/>
    <w:rsid w:val="002423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23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23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23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23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23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423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23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23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23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23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237B"/>
  </w:style>
  <w:style w:type="paragraph" w:customStyle="1" w:styleId="Blocks">
    <w:name w:val="Blocks"/>
    <w:aliases w:val="bb"/>
    <w:basedOn w:val="OPCParaBase"/>
    <w:qFormat/>
    <w:rsid w:val="002423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2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23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237B"/>
    <w:rPr>
      <w:i/>
    </w:rPr>
  </w:style>
  <w:style w:type="paragraph" w:customStyle="1" w:styleId="BoxList">
    <w:name w:val="BoxList"/>
    <w:aliases w:val="bl"/>
    <w:basedOn w:val="BoxText"/>
    <w:qFormat/>
    <w:rsid w:val="002423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23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23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237B"/>
    <w:pPr>
      <w:ind w:left="1985" w:hanging="851"/>
    </w:pPr>
  </w:style>
  <w:style w:type="character" w:customStyle="1" w:styleId="CharAmPartNo">
    <w:name w:val="CharAmPartNo"/>
    <w:basedOn w:val="OPCCharBase"/>
    <w:qFormat/>
    <w:rsid w:val="0024237B"/>
  </w:style>
  <w:style w:type="character" w:customStyle="1" w:styleId="CharAmPartText">
    <w:name w:val="CharAmPartText"/>
    <w:basedOn w:val="OPCCharBase"/>
    <w:qFormat/>
    <w:rsid w:val="0024237B"/>
  </w:style>
  <w:style w:type="character" w:customStyle="1" w:styleId="CharAmSchNo">
    <w:name w:val="CharAmSchNo"/>
    <w:basedOn w:val="OPCCharBase"/>
    <w:qFormat/>
    <w:rsid w:val="0024237B"/>
  </w:style>
  <w:style w:type="character" w:customStyle="1" w:styleId="CharAmSchText">
    <w:name w:val="CharAmSchText"/>
    <w:basedOn w:val="OPCCharBase"/>
    <w:qFormat/>
    <w:rsid w:val="0024237B"/>
  </w:style>
  <w:style w:type="character" w:customStyle="1" w:styleId="CharBoldItalic">
    <w:name w:val="CharBoldItalic"/>
    <w:basedOn w:val="OPCCharBase"/>
    <w:uiPriority w:val="1"/>
    <w:qFormat/>
    <w:rsid w:val="002423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237B"/>
  </w:style>
  <w:style w:type="character" w:customStyle="1" w:styleId="CharChapText">
    <w:name w:val="CharChapText"/>
    <w:basedOn w:val="OPCCharBase"/>
    <w:uiPriority w:val="1"/>
    <w:qFormat/>
    <w:rsid w:val="0024237B"/>
  </w:style>
  <w:style w:type="character" w:customStyle="1" w:styleId="CharDivNo">
    <w:name w:val="CharDivNo"/>
    <w:basedOn w:val="OPCCharBase"/>
    <w:uiPriority w:val="1"/>
    <w:qFormat/>
    <w:rsid w:val="0024237B"/>
  </w:style>
  <w:style w:type="character" w:customStyle="1" w:styleId="CharDivText">
    <w:name w:val="CharDivText"/>
    <w:basedOn w:val="OPCCharBase"/>
    <w:uiPriority w:val="1"/>
    <w:qFormat/>
    <w:rsid w:val="0024237B"/>
  </w:style>
  <w:style w:type="character" w:customStyle="1" w:styleId="CharItalic">
    <w:name w:val="CharItalic"/>
    <w:basedOn w:val="OPCCharBase"/>
    <w:uiPriority w:val="1"/>
    <w:qFormat/>
    <w:rsid w:val="0024237B"/>
    <w:rPr>
      <w:i/>
    </w:rPr>
  </w:style>
  <w:style w:type="character" w:customStyle="1" w:styleId="CharPartNo">
    <w:name w:val="CharPartNo"/>
    <w:basedOn w:val="OPCCharBase"/>
    <w:uiPriority w:val="1"/>
    <w:qFormat/>
    <w:rsid w:val="0024237B"/>
  </w:style>
  <w:style w:type="character" w:customStyle="1" w:styleId="CharPartText">
    <w:name w:val="CharPartText"/>
    <w:basedOn w:val="OPCCharBase"/>
    <w:uiPriority w:val="1"/>
    <w:qFormat/>
    <w:rsid w:val="0024237B"/>
  </w:style>
  <w:style w:type="character" w:customStyle="1" w:styleId="CharSectno">
    <w:name w:val="CharSectno"/>
    <w:basedOn w:val="OPCCharBase"/>
    <w:qFormat/>
    <w:rsid w:val="0024237B"/>
  </w:style>
  <w:style w:type="character" w:customStyle="1" w:styleId="CharSubdNo">
    <w:name w:val="CharSubdNo"/>
    <w:basedOn w:val="OPCCharBase"/>
    <w:uiPriority w:val="1"/>
    <w:qFormat/>
    <w:rsid w:val="0024237B"/>
  </w:style>
  <w:style w:type="character" w:customStyle="1" w:styleId="CharSubdText">
    <w:name w:val="CharSubdText"/>
    <w:basedOn w:val="OPCCharBase"/>
    <w:uiPriority w:val="1"/>
    <w:qFormat/>
    <w:rsid w:val="0024237B"/>
  </w:style>
  <w:style w:type="paragraph" w:customStyle="1" w:styleId="CTA--">
    <w:name w:val="CTA --"/>
    <w:basedOn w:val="OPCParaBase"/>
    <w:next w:val="Normal"/>
    <w:rsid w:val="002423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23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23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23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23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23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23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23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23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23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23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23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23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23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423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237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423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2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2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2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23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23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23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23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23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23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23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23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23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23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23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23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23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23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23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423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23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23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23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23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23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23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23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23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23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23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23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23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23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23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23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2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23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23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23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423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423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423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423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423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423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423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423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423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423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23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23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23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23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23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23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23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4237B"/>
    <w:rPr>
      <w:sz w:val="16"/>
    </w:rPr>
  </w:style>
  <w:style w:type="table" w:customStyle="1" w:styleId="CFlag">
    <w:name w:val="CFlag"/>
    <w:basedOn w:val="TableNormal"/>
    <w:uiPriority w:val="99"/>
    <w:rsid w:val="002423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423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2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23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23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23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23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23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237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4237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4237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423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23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423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23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23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23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23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23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23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23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23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23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237B"/>
  </w:style>
  <w:style w:type="character" w:customStyle="1" w:styleId="CharSubPartNoCASA">
    <w:name w:val="CharSubPartNo(CASA)"/>
    <w:basedOn w:val="OPCCharBase"/>
    <w:uiPriority w:val="1"/>
    <w:rsid w:val="0024237B"/>
  </w:style>
  <w:style w:type="paragraph" w:customStyle="1" w:styleId="ENoteTTIndentHeadingSub">
    <w:name w:val="ENoteTTIndentHeadingSub"/>
    <w:aliases w:val="enTTHis"/>
    <w:basedOn w:val="OPCParaBase"/>
    <w:rsid w:val="002423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23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23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23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23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4237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2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237B"/>
    <w:rPr>
      <w:sz w:val="22"/>
    </w:rPr>
  </w:style>
  <w:style w:type="paragraph" w:customStyle="1" w:styleId="SOTextNote">
    <w:name w:val="SO TextNote"/>
    <w:aliases w:val="sont"/>
    <w:basedOn w:val="SOText"/>
    <w:qFormat/>
    <w:rsid w:val="002423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23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237B"/>
    <w:rPr>
      <w:sz w:val="22"/>
    </w:rPr>
  </w:style>
  <w:style w:type="paragraph" w:customStyle="1" w:styleId="FileName">
    <w:name w:val="FileName"/>
    <w:basedOn w:val="Normal"/>
    <w:rsid w:val="0024237B"/>
  </w:style>
  <w:style w:type="paragraph" w:customStyle="1" w:styleId="TableHeading">
    <w:name w:val="TableHeading"/>
    <w:aliases w:val="th"/>
    <w:basedOn w:val="OPCParaBase"/>
    <w:next w:val="Tabletext"/>
    <w:rsid w:val="002423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23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23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23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23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23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23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23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23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2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23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23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23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23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2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423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23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23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423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423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42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423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4237B"/>
    <w:pPr>
      <w:ind w:left="240" w:hanging="240"/>
    </w:pPr>
  </w:style>
  <w:style w:type="paragraph" w:styleId="Index2">
    <w:name w:val="index 2"/>
    <w:basedOn w:val="Normal"/>
    <w:next w:val="Normal"/>
    <w:autoRedefine/>
    <w:rsid w:val="0024237B"/>
    <w:pPr>
      <w:ind w:left="480" w:hanging="240"/>
    </w:pPr>
  </w:style>
  <w:style w:type="paragraph" w:styleId="Index3">
    <w:name w:val="index 3"/>
    <w:basedOn w:val="Normal"/>
    <w:next w:val="Normal"/>
    <w:autoRedefine/>
    <w:rsid w:val="0024237B"/>
    <w:pPr>
      <w:ind w:left="720" w:hanging="240"/>
    </w:pPr>
  </w:style>
  <w:style w:type="paragraph" w:styleId="Index4">
    <w:name w:val="index 4"/>
    <w:basedOn w:val="Normal"/>
    <w:next w:val="Normal"/>
    <w:autoRedefine/>
    <w:rsid w:val="0024237B"/>
    <w:pPr>
      <w:ind w:left="960" w:hanging="240"/>
    </w:pPr>
  </w:style>
  <w:style w:type="paragraph" w:styleId="Index5">
    <w:name w:val="index 5"/>
    <w:basedOn w:val="Normal"/>
    <w:next w:val="Normal"/>
    <w:autoRedefine/>
    <w:rsid w:val="0024237B"/>
    <w:pPr>
      <w:ind w:left="1200" w:hanging="240"/>
    </w:pPr>
  </w:style>
  <w:style w:type="paragraph" w:styleId="Index6">
    <w:name w:val="index 6"/>
    <w:basedOn w:val="Normal"/>
    <w:next w:val="Normal"/>
    <w:autoRedefine/>
    <w:rsid w:val="0024237B"/>
    <w:pPr>
      <w:ind w:left="1440" w:hanging="240"/>
    </w:pPr>
  </w:style>
  <w:style w:type="paragraph" w:styleId="Index7">
    <w:name w:val="index 7"/>
    <w:basedOn w:val="Normal"/>
    <w:next w:val="Normal"/>
    <w:autoRedefine/>
    <w:rsid w:val="0024237B"/>
    <w:pPr>
      <w:ind w:left="1680" w:hanging="240"/>
    </w:pPr>
  </w:style>
  <w:style w:type="paragraph" w:styleId="Index8">
    <w:name w:val="index 8"/>
    <w:basedOn w:val="Normal"/>
    <w:next w:val="Normal"/>
    <w:autoRedefine/>
    <w:rsid w:val="0024237B"/>
    <w:pPr>
      <w:ind w:left="1920" w:hanging="240"/>
    </w:pPr>
  </w:style>
  <w:style w:type="paragraph" w:styleId="Index9">
    <w:name w:val="index 9"/>
    <w:basedOn w:val="Normal"/>
    <w:next w:val="Normal"/>
    <w:autoRedefine/>
    <w:rsid w:val="0024237B"/>
    <w:pPr>
      <w:ind w:left="2160" w:hanging="240"/>
    </w:pPr>
  </w:style>
  <w:style w:type="paragraph" w:styleId="NormalIndent">
    <w:name w:val="Normal Indent"/>
    <w:basedOn w:val="Normal"/>
    <w:rsid w:val="0024237B"/>
    <w:pPr>
      <w:ind w:left="720"/>
    </w:pPr>
  </w:style>
  <w:style w:type="paragraph" w:styleId="FootnoteText">
    <w:name w:val="footnote text"/>
    <w:basedOn w:val="Normal"/>
    <w:link w:val="FootnoteTextChar"/>
    <w:rsid w:val="002423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237B"/>
  </w:style>
  <w:style w:type="paragraph" w:styleId="CommentText">
    <w:name w:val="annotation text"/>
    <w:basedOn w:val="Normal"/>
    <w:link w:val="CommentTextChar"/>
    <w:rsid w:val="002423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237B"/>
  </w:style>
  <w:style w:type="paragraph" w:styleId="IndexHeading">
    <w:name w:val="index heading"/>
    <w:basedOn w:val="Normal"/>
    <w:next w:val="Index1"/>
    <w:rsid w:val="002423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423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4237B"/>
    <w:pPr>
      <w:ind w:left="480" w:hanging="480"/>
    </w:pPr>
  </w:style>
  <w:style w:type="paragraph" w:styleId="EnvelopeAddress">
    <w:name w:val="envelope address"/>
    <w:basedOn w:val="Normal"/>
    <w:rsid w:val="002423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423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423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4237B"/>
    <w:rPr>
      <w:sz w:val="16"/>
      <w:szCs w:val="16"/>
    </w:rPr>
  </w:style>
  <w:style w:type="character" w:styleId="PageNumber">
    <w:name w:val="page number"/>
    <w:basedOn w:val="DefaultParagraphFont"/>
    <w:rsid w:val="0024237B"/>
  </w:style>
  <w:style w:type="character" w:styleId="EndnoteReference">
    <w:name w:val="endnote reference"/>
    <w:basedOn w:val="DefaultParagraphFont"/>
    <w:rsid w:val="0024237B"/>
    <w:rPr>
      <w:vertAlign w:val="superscript"/>
    </w:rPr>
  </w:style>
  <w:style w:type="paragraph" w:styleId="EndnoteText">
    <w:name w:val="endnote text"/>
    <w:basedOn w:val="Normal"/>
    <w:link w:val="EndnoteTextChar"/>
    <w:rsid w:val="002423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237B"/>
  </w:style>
  <w:style w:type="paragraph" w:styleId="TableofAuthorities">
    <w:name w:val="table of authorities"/>
    <w:basedOn w:val="Normal"/>
    <w:next w:val="Normal"/>
    <w:rsid w:val="0024237B"/>
    <w:pPr>
      <w:ind w:left="240" w:hanging="240"/>
    </w:pPr>
  </w:style>
  <w:style w:type="paragraph" w:styleId="MacroText">
    <w:name w:val="macro"/>
    <w:link w:val="MacroTextChar"/>
    <w:rsid w:val="002423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423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423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4237B"/>
    <w:pPr>
      <w:ind w:left="283" w:hanging="283"/>
    </w:pPr>
  </w:style>
  <w:style w:type="paragraph" w:styleId="ListBullet">
    <w:name w:val="List Bullet"/>
    <w:basedOn w:val="Normal"/>
    <w:autoRedefine/>
    <w:rsid w:val="002423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423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4237B"/>
    <w:pPr>
      <w:ind w:left="566" w:hanging="283"/>
    </w:pPr>
  </w:style>
  <w:style w:type="paragraph" w:styleId="List3">
    <w:name w:val="List 3"/>
    <w:basedOn w:val="Normal"/>
    <w:rsid w:val="0024237B"/>
    <w:pPr>
      <w:ind w:left="849" w:hanging="283"/>
    </w:pPr>
  </w:style>
  <w:style w:type="paragraph" w:styleId="List4">
    <w:name w:val="List 4"/>
    <w:basedOn w:val="Normal"/>
    <w:rsid w:val="0024237B"/>
    <w:pPr>
      <w:ind w:left="1132" w:hanging="283"/>
    </w:pPr>
  </w:style>
  <w:style w:type="paragraph" w:styleId="List5">
    <w:name w:val="List 5"/>
    <w:basedOn w:val="Normal"/>
    <w:rsid w:val="0024237B"/>
    <w:pPr>
      <w:ind w:left="1415" w:hanging="283"/>
    </w:pPr>
  </w:style>
  <w:style w:type="paragraph" w:styleId="ListBullet2">
    <w:name w:val="List Bullet 2"/>
    <w:basedOn w:val="Normal"/>
    <w:autoRedefine/>
    <w:rsid w:val="002423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423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423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423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423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423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423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423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423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423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4237B"/>
    <w:pPr>
      <w:ind w:left="4252"/>
    </w:pPr>
  </w:style>
  <w:style w:type="character" w:customStyle="1" w:styleId="ClosingChar">
    <w:name w:val="Closing Char"/>
    <w:basedOn w:val="DefaultParagraphFont"/>
    <w:link w:val="Closing"/>
    <w:rsid w:val="0024237B"/>
    <w:rPr>
      <w:sz w:val="22"/>
    </w:rPr>
  </w:style>
  <w:style w:type="paragraph" w:styleId="Signature">
    <w:name w:val="Signature"/>
    <w:basedOn w:val="Normal"/>
    <w:link w:val="SignatureChar"/>
    <w:rsid w:val="002423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237B"/>
    <w:rPr>
      <w:sz w:val="22"/>
    </w:rPr>
  </w:style>
  <w:style w:type="paragraph" w:styleId="BodyText">
    <w:name w:val="Body Text"/>
    <w:basedOn w:val="Normal"/>
    <w:link w:val="BodyTextChar"/>
    <w:rsid w:val="002423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237B"/>
    <w:rPr>
      <w:sz w:val="22"/>
    </w:rPr>
  </w:style>
  <w:style w:type="paragraph" w:styleId="BodyTextIndent">
    <w:name w:val="Body Text Indent"/>
    <w:basedOn w:val="Normal"/>
    <w:link w:val="BodyTextIndentChar"/>
    <w:rsid w:val="002423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237B"/>
    <w:rPr>
      <w:sz w:val="22"/>
    </w:rPr>
  </w:style>
  <w:style w:type="paragraph" w:styleId="ListContinue">
    <w:name w:val="List Continue"/>
    <w:basedOn w:val="Normal"/>
    <w:rsid w:val="0024237B"/>
    <w:pPr>
      <w:spacing w:after="120"/>
      <w:ind w:left="283"/>
    </w:pPr>
  </w:style>
  <w:style w:type="paragraph" w:styleId="ListContinue2">
    <w:name w:val="List Continue 2"/>
    <w:basedOn w:val="Normal"/>
    <w:rsid w:val="0024237B"/>
    <w:pPr>
      <w:spacing w:after="120"/>
      <w:ind w:left="566"/>
    </w:pPr>
  </w:style>
  <w:style w:type="paragraph" w:styleId="ListContinue3">
    <w:name w:val="List Continue 3"/>
    <w:basedOn w:val="Normal"/>
    <w:rsid w:val="0024237B"/>
    <w:pPr>
      <w:spacing w:after="120"/>
      <w:ind w:left="849"/>
    </w:pPr>
  </w:style>
  <w:style w:type="paragraph" w:styleId="ListContinue4">
    <w:name w:val="List Continue 4"/>
    <w:basedOn w:val="Normal"/>
    <w:rsid w:val="0024237B"/>
    <w:pPr>
      <w:spacing w:after="120"/>
      <w:ind w:left="1132"/>
    </w:pPr>
  </w:style>
  <w:style w:type="paragraph" w:styleId="ListContinue5">
    <w:name w:val="List Continue 5"/>
    <w:basedOn w:val="Normal"/>
    <w:rsid w:val="002423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423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423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423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423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4237B"/>
  </w:style>
  <w:style w:type="character" w:customStyle="1" w:styleId="SalutationChar">
    <w:name w:val="Salutation Char"/>
    <w:basedOn w:val="DefaultParagraphFont"/>
    <w:link w:val="Salutation"/>
    <w:rsid w:val="0024237B"/>
    <w:rPr>
      <w:sz w:val="22"/>
    </w:rPr>
  </w:style>
  <w:style w:type="paragraph" w:styleId="Date">
    <w:name w:val="Date"/>
    <w:basedOn w:val="Normal"/>
    <w:next w:val="Normal"/>
    <w:link w:val="DateChar"/>
    <w:rsid w:val="0024237B"/>
  </w:style>
  <w:style w:type="character" w:customStyle="1" w:styleId="DateChar">
    <w:name w:val="Date Char"/>
    <w:basedOn w:val="DefaultParagraphFont"/>
    <w:link w:val="Date"/>
    <w:rsid w:val="0024237B"/>
    <w:rPr>
      <w:sz w:val="22"/>
    </w:rPr>
  </w:style>
  <w:style w:type="paragraph" w:styleId="BodyTextFirstIndent">
    <w:name w:val="Body Text First Indent"/>
    <w:basedOn w:val="BodyText"/>
    <w:link w:val="BodyTextFirstIndentChar"/>
    <w:rsid w:val="002423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23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423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237B"/>
    <w:rPr>
      <w:sz w:val="22"/>
    </w:rPr>
  </w:style>
  <w:style w:type="paragraph" w:styleId="BodyText2">
    <w:name w:val="Body Text 2"/>
    <w:basedOn w:val="Normal"/>
    <w:link w:val="BodyText2Char"/>
    <w:rsid w:val="002423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237B"/>
    <w:rPr>
      <w:sz w:val="22"/>
    </w:rPr>
  </w:style>
  <w:style w:type="paragraph" w:styleId="BodyText3">
    <w:name w:val="Body Text 3"/>
    <w:basedOn w:val="Normal"/>
    <w:link w:val="BodyText3Char"/>
    <w:rsid w:val="002423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23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423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237B"/>
    <w:rPr>
      <w:sz w:val="22"/>
    </w:rPr>
  </w:style>
  <w:style w:type="paragraph" w:styleId="BodyTextIndent3">
    <w:name w:val="Body Text Indent 3"/>
    <w:basedOn w:val="Normal"/>
    <w:link w:val="BodyTextIndent3Char"/>
    <w:rsid w:val="002423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237B"/>
    <w:rPr>
      <w:sz w:val="16"/>
      <w:szCs w:val="16"/>
    </w:rPr>
  </w:style>
  <w:style w:type="paragraph" w:styleId="BlockText">
    <w:name w:val="Block Text"/>
    <w:basedOn w:val="Normal"/>
    <w:rsid w:val="0024237B"/>
    <w:pPr>
      <w:spacing w:after="120"/>
      <w:ind w:left="1440" w:right="1440"/>
    </w:pPr>
  </w:style>
  <w:style w:type="character" w:styleId="Hyperlink">
    <w:name w:val="Hyperlink"/>
    <w:basedOn w:val="DefaultParagraphFont"/>
    <w:rsid w:val="0024237B"/>
    <w:rPr>
      <w:color w:val="0000FF"/>
      <w:u w:val="single"/>
    </w:rPr>
  </w:style>
  <w:style w:type="character" w:styleId="FollowedHyperlink">
    <w:name w:val="FollowedHyperlink"/>
    <w:basedOn w:val="DefaultParagraphFont"/>
    <w:rsid w:val="0024237B"/>
    <w:rPr>
      <w:color w:val="800080"/>
      <w:u w:val="single"/>
    </w:rPr>
  </w:style>
  <w:style w:type="character" w:styleId="Strong">
    <w:name w:val="Strong"/>
    <w:basedOn w:val="DefaultParagraphFont"/>
    <w:qFormat/>
    <w:rsid w:val="0024237B"/>
    <w:rPr>
      <w:b/>
      <w:bCs/>
    </w:rPr>
  </w:style>
  <w:style w:type="character" w:styleId="Emphasis">
    <w:name w:val="Emphasis"/>
    <w:basedOn w:val="DefaultParagraphFont"/>
    <w:qFormat/>
    <w:rsid w:val="0024237B"/>
    <w:rPr>
      <w:i/>
      <w:iCs/>
    </w:rPr>
  </w:style>
  <w:style w:type="paragraph" w:styleId="DocumentMap">
    <w:name w:val="Document Map"/>
    <w:basedOn w:val="Normal"/>
    <w:link w:val="DocumentMapChar"/>
    <w:rsid w:val="002423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423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423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423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4237B"/>
  </w:style>
  <w:style w:type="character" w:customStyle="1" w:styleId="E-mailSignatureChar">
    <w:name w:val="E-mail Signature Char"/>
    <w:basedOn w:val="DefaultParagraphFont"/>
    <w:link w:val="E-mailSignature"/>
    <w:rsid w:val="0024237B"/>
    <w:rPr>
      <w:sz w:val="22"/>
    </w:rPr>
  </w:style>
  <w:style w:type="paragraph" w:styleId="NormalWeb">
    <w:name w:val="Normal (Web)"/>
    <w:basedOn w:val="Normal"/>
    <w:rsid w:val="0024237B"/>
  </w:style>
  <w:style w:type="character" w:styleId="HTMLAcronym">
    <w:name w:val="HTML Acronym"/>
    <w:basedOn w:val="DefaultParagraphFont"/>
    <w:rsid w:val="0024237B"/>
  </w:style>
  <w:style w:type="paragraph" w:styleId="HTMLAddress">
    <w:name w:val="HTML Address"/>
    <w:basedOn w:val="Normal"/>
    <w:link w:val="HTMLAddressChar"/>
    <w:rsid w:val="002423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237B"/>
    <w:rPr>
      <w:i/>
      <w:iCs/>
      <w:sz w:val="22"/>
    </w:rPr>
  </w:style>
  <w:style w:type="character" w:styleId="HTMLCite">
    <w:name w:val="HTML Cite"/>
    <w:basedOn w:val="DefaultParagraphFont"/>
    <w:rsid w:val="0024237B"/>
    <w:rPr>
      <w:i/>
      <w:iCs/>
    </w:rPr>
  </w:style>
  <w:style w:type="character" w:styleId="HTMLCode">
    <w:name w:val="HTML Code"/>
    <w:basedOn w:val="DefaultParagraphFont"/>
    <w:rsid w:val="002423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4237B"/>
    <w:rPr>
      <w:i/>
      <w:iCs/>
    </w:rPr>
  </w:style>
  <w:style w:type="character" w:styleId="HTMLKeyboard">
    <w:name w:val="HTML Keyboard"/>
    <w:basedOn w:val="DefaultParagraphFont"/>
    <w:rsid w:val="002423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423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23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423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423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423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37B"/>
    <w:rPr>
      <w:b/>
      <w:bCs/>
    </w:rPr>
  </w:style>
  <w:style w:type="numbering" w:styleId="1ai">
    <w:name w:val="Outline List 1"/>
    <w:basedOn w:val="NoList"/>
    <w:rsid w:val="0024237B"/>
    <w:pPr>
      <w:numPr>
        <w:numId w:val="14"/>
      </w:numPr>
    </w:pPr>
  </w:style>
  <w:style w:type="numbering" w:styleId="111111">
    <w:name w:val="Outline List 2"/>
    <w:basedOn w:val="NoList"/>
    <w:rsid w:val="0024237B"/>
    <w:pPr>
      <w:numPr>
        <w:numId w:val="15"/>
      </w:numPr>
    </w:pPr>
  </w:style>
  <w:style w:type="numbering" w:styleId="ArticleSection">
    <w:name w:val="Outline List 3"/>
    <w:basedOn w:val="NoList"/>
    <w:rsid w:val="0024237B"/>
    <w:pPr>
      <w:numPr>
        <w:numId w:val="17"/>
      </w:numPr>
    </w:pPr>
  </w:style>
  <w:style w:type="table" w:styleId="TableSimple1">
    <w:name w:val="Table Simple 1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23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23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23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23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23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23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23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423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23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23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423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23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423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23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23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23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23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23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23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23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23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23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23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423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23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23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423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423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423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23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23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23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23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23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23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4237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42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23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2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2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4237B"/>
  </w:style>
  <w:style w:type="character" w:customStyle="1" w:styleId="paragraphChar">
    <w:name w:val="paragraph Char"/>
    <w:aliases w:val="a Char"/>
    <w:basedOn w:val="DefaultParagraphFont"/>
    <w:link w:val="paragraph"/>
    <w:rsid w:val="00C81AF9"/>
    <w:rPr>
      <w:rFonts w:eastAsia="Times New Roman" w:cs="Times New Roman"/>
      <w:sz w:val="22"/>
      <w:lang w:eastAsia="en-AU"/>
    </w:rPr>
  </w:style>
  <w:style w:type="table" w:customStyle="1" w:styleId="TableGrid10">
    <w:name w:val="Table Grid1"/>
    <w:basedOn w:val="TableNormal"/>
    <w:next w:val="TableGrid"/>
    <w:uiPriority w:val="59"/>
    <w:rsid w:val="00A5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5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A5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2187-D26B-43B2-BF74-3D15793C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15</Pages>
  <Words>2765</Words>
  <Characters>13608</Characters>
  <Application>Microsoft Office Word</Application>
  <DocSecurity>0</DocSecurity>
  <PresentationFormat/>
  <Lines>716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Circuit and Family Court of Australia (Division 2) (Family Law) Rules 2021</vt:lpstr>
    </vt:vector>
  </TitlesOfParts>
  <Manager/>
  <Company/>
  <LinksUpToDate>false</LinksUpToDate>
  <CharactersWithSpaces>15862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2021-08-26T23:52:00Z</dcterms:created>
  <dcterms:modified xsi:type="dcterms:W3CDTF">2021-08-26T23:52:00Z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and Family Court of Australia (Division 2) (Family Law) Rules 2021</vt:lpwstr>
  </property>
  <property fmtid="{D5CDD505-2E9C-101B-9397-08002B2CF9AE}" pid="4" name="Header">
    <vt:lpwstr>Rule</vt:lpwstr>
  </property>
  <property fmtid="{D5CDD505-2E9C-101B-9397-08002B2CF9AE}" pid="5" name="Class">
    <vt:lpwstr>Federal Circuit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OPC65323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26 August 2021</vt:lpwstr>
  </property>
</Properties>
</file>