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81C3" w14:textId="77777777" w:rsidR="00B0677D" w:rsidRDefault="00B0677D" w:rsidP="00B0677D">
      <w:pPr>
        <w:ind w:left="-142" w:firstLine="142"/>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0AC2D379" w14:textId="77777777" w:rsidR="00B0677D" w:rsidRDefault="00B0677D" w:rsidP="00B0677D">
      <w:pPr>
        <w:jc w:val="center"/>
        <w:rPr>
          <w:rFonts w:ascii="Times New Roman" w:hAnsi="Times New Roman" w:cs="Times New Roman"/>
        </w:rPr>
      </w:pPr>
      <w:r>
        <w:rPr>
          <w:rFonts w:ascii="Times New Roman" w:hAnsi="Times New Roman" w:cs="Times New Roman"/>
        </w:rPr>
        <w:t>Approved by the Australian Communications and Media Authority</w:t>
      </w:r>
    </w:p>
    <w:p w14:paraId="6F377893" w14:textId="77777777" w:rsidR="00B0677D" w:rsidRDefault="00B0677D" w:rsidP="00B0677D">
      <w:pPr>
        <w:jc w:val="center"/>
        <w:rPr>
          <w:rFonts w:ascii="Times New Roman" w:hAnsi="Times New Roman" w:cs="Times New Roman"/>
          <w:i/>
        </w:rPr>
      </w:pPr>
      <w:r>
        <w:rPr>
          <w:rFonts w:ascii="Times New Roman" w:hAnsi="Times New Roman" w:cs="Times New Roman"/>
          <w:i/>
        </w:rPr>
        <w:t>Telecommunications Act 1997</w:t>
      </w:r>
    </w:p>
    <w:p w14:paraId="3E198229" w14:textId="0078F82E" w:rsidR="00B0677D" w:rsidRDefault="00B0677D" w:rsidP="00B0677D">
      <w:pPr>
        <w:jc w:val="center"/>
        <w:rPr>
          <w:rFonts w:ascii="Times New Roman" w:hAnsi="Times New Roman" w:cs="Times New Roman"/>
          <w:b/>
          <w:i/>
        </w:rPr>
      </w:pPr>
      <w:r>
        <w:rPr>
          <w:rFonts w:ascii="Times New Roman" w:hAnsi="Times New Roman" w:cs="Times New Roman"/>
          <w:b/>
          <w:i/>
        </w:rPr>
        <w:t xml:space="preserve">Telecommunications </w:t>
      </w:r>
      <w:r w:rsidR="00696B8D">
        <w:rPr>
          <w:rFonts w:ascii="Times New Roman" w:hAnsi="Times New Roman" w:cs="Times New Roman"/>
          <w:b/>
          <w:i/>
        </w:rPr>
        <w:t>(</w:t>
      </w:r>
      <w:r>
        <w:rPr>
          <w:rFonts w:ascii="Times New Roman" w:hAnsi="Times New Roman" w:cs="Times New Roman"/>
          <w:b/>
          <w:i/>
        </w:rPr>
        <w:t>Fax Marketing</w:t>
      </w:r>
      <w:r w:rsidR="00696B8D">
        <w:rPr>
          <w:rFonts w:ascii="Times New Roman" w:hAnsi="Times New Roman" w:cs="Times New Roman"/>
          <w:b/>
          <w:i/>
        </w:rPr>
        <w:t>)</w:t>
      </w:r>
      <w:r>
        <w:rPr>
          <w:rFonts w:ascii="Times New Roman" w:hAnsi="Times New Roman" w:cs="Times New Roman"/>
          <w:b/>
          <w:i/>
        </w:rPr>
        <w:t xml:space="preserve"> Industry Standard 2021</w:t>
      </w:r>
    </w:p>
    <w:p w14:paraId="73A321F4" w14:textId="77777777" w:rsidR="00B0677D" w:rsidRDefault="00B0677D" w:rsidP="00B0677D">
      <w:pPr>
        <w:spacing w:before="280"/>
        <w:rPr>
          <w:rFonts w:ascii="Times New Roman" w:hAnsi="Times New Roman" w:cs="Times New Roman"/>
          <w:b/>
        </w:rPr>
      </w:pPr>
      <w:r>
        <w:rPr>
          <w:rFonts w:ascii="Times New Roman" w:hAnsi="Times New Roman" w:cs="Times New Roman"/>
          <w:b/>
        </w:rPr>
        <w:t>Authority</w:t>
      </w:r>
    </w:p>
    <w:p w14:paraId="545A7D48" w14:textId="758FFED1" w:rsidR="00B0677D" w:rsidRDefault="00B0677D" w:rsidP="00B0677D">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Pr>
          <w:rFonts w:ascii="Times New Roman" w:hAnsi="Times New Roman" w:cs="Times New Roman"/>
          <w:i/>
          <w:iCs/>
        </w:rPr>
        <w:t xml:space="preserve">Telecommunications </w:t>
      </w:r>
      <w:r w:rsidR="00DA308D">
        <w:rPr>
          <w:rFonts w:ascii="Times New Roman" w:hAnsi="Times New Roman" w:cs="Times New Roman"/>
          <w:i/>
          <w:iCs/>
        </w:rPr>
        <w:t>(</w:t>
      </w:r>
      <w:r>
        <w:rPr>
          <w:rFonts w:ascii="Times New Roman" w:hAnsi="Times New Roman" w:cs="Times New Roman"/>
          <w:i/>
        </w:rPr>
        <w:t>Fax Marketing</w:t>
      </w:r>
      <w:r w:rsidR="00DA308D">
        <w:rPr>
          <w:rFonts w:ascii="Times New Roman" w:hAnsi="Times New Roman" w:cs="Times New Roman"/>
          <w:i/>
        </w:rPr>
        <w:t>)</w:t>
      </w:r>
      <w:r>
        <w:rPr>
          <w:rFonts w:ascii="Times New Roman" w:hAnsi="Times New Roman" w:cs="Times New Roman"/>
          <w:i/>
        </w:rPr>
        <w:t xml:space="preserve"> Industry Standard 2021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subsection 125B(1) of the </w:t>
      </w:r>
      <w:r w:rsidRPr="00691FF2">
        <w:rPr>
          <w:rFonts w:ascii="Times New Roman" w:hAnsi="Times New Roman" w:cs="Times New Roman"/>
          <w:i/>
          <w:iCs/>
        </w:rPr>
        <w:t>Telecommunications Act 1997</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Pr="004A165D">
        <w:rPr>
          <w:rFonts w:ascii="Times New Roman" w:hAnsi="Times New Roman" w:cs="Times New Roman"/>
        </w:rPr>
        <w:t xml:space="preserve"> </w:t>
      </w:r>
      <w:r>
        <w:rPr>
          <w:rFonts w:ascii="Times New Roman" w:hAnsi="Times New Roman" w:cs="Times New Roman"/>
        </w:rPr>
        <w:t xml:space="preserve">and subsection 33(3) of the </w:t>
      </w:r>
      <w:r>
        <w:rPr>
          <w:rFonts w:ascii="Times New Roman" w:hAnsi="Times New Roman" w:cs="Times New Roman"/>
          <w:i/>
        </w:rPr>
        <w:t>Acts Interpretation Act 1901</w:t>
      </w:r>
      <w:r>
        <w:rPr>
          <w:rFonts w:ascii="Times New Roman" w:hAnsi="Times New Roman" w:cs="Times New Roman"/>
        </w:rPr>
        <w:t xml:space="preserve"> (</w:t>
      </w:r>
      <w:r>
        <w:rPr>
          <w:rFonts w:ascii="Times New Roman" w:hAnsi="Times New Roman" w:cs="Times New Roman"/>
          <w:b/>
        </w:rPr>
        <w:t>the AIA</w:t>
      </w:r>
      <w:r>
        <w:rPr>
          <w:rFonts w:ascii="Times New Roman" w:hAnsi="Times New Roman" w:cs="Times New Roman"/>
        </w:rPr>
        <w:t>).</w:t>
      </w:r>
    </w:p>
    <w:p w14:paraId="2E8525DF" w14:textId="77777777" w:rsidR="00B0677D" w:rsidRPr="008F0967" w:rsidRDefault="00B0677D" w:rsidP="00B0677D">
      <w:pPr>
        <w:pStyle w:val="ACMABodyText"/>
        <w:rPr>
          <w:sz w:val="22"/>
          <w:szCs w:val="18"/>
        </w:rPr>
      </w:pPr>
      <w:r w:rsidRPr="008F0967">
        <w:rPr>
          <w:sz w:val="22"/>
          <w:szCs w:val="18"/>
        </w:rPr>
        <w:t xml:space="preserve">Under subsection 125B(1) of the </w:t>
      </w:r>
      <w:r w:rsidRPr="008F0967">
        <w:rPr>
          <w:iCs/>
          <w:sz w:val="22"/>
          <w:szCs w:val="18"/>
        </w:rPr>
        <w:t xml:space="preserve">Act, </w:t>
      </w:r>
      <w:r w:rsidRPr="008F0967">
        <w:rPr>
          <w:sz w:val="22"/>
          <w:szCs w:val="18"/>
        </w:rPr>
        <w:t xml:space="preserve">the ACMA must determine a standard that: </w:t>
      </w:r>
    </w:p>
    <w:p w14:paraId="450AB95F" w14:textId="77777777" w:rsidR="00B0677D" w:rsidRPr="008F0967" w:rsidRDefault="00B0677D" w:rsidP="00B0677D">
      <w:pPr>
        <w:pStyle w:val="ACMABodyText"/>
        <w:numPr>
          <w:ilvl w:val="0"/>
          <w:numId w:val="18"/>
        </w:numPr>
        <w:snapToGrid w:val="0"/>
        <w:spacing w:after="200"/>
        <w:rPr>
          <w:sz w:val="22"/>
          <w:szCs w:val="18"/>
        </w:rPr>
      </w:pPr>
      <w:r w:rsidRPr="008F0967">
        <w:rPr>
          <w:sz w:val="22"/>
          <w:szCs w:val="18"/>
        </w:rPr>
        <w:t>applies to participants in each section of the fax marketing industry; and</w:t>
      </w:r>
    </w:p>
    <w:p w14:paraId="477657CA" w14:textId="77777777" w:rsidR="00B0677D" w:rsidRPr="008F0967" w:rsidRDefault="00B0677D" w:rsidP="00B0677D">
      <w:pPr>
        <w:pStyle w:val="ACMABodyText"/>
        <w:numPr>
          <w:ilvl w:val="0"/>
          <w:numId w:val="18"/>
        </w:numPr>
        <w:snapToGrid w:val="0"/>
        <w:spacing w:after="200"/>
        <w:rPr>
          <w:sz w:val="22"/>
          <w:szCs w:val="18"/>
        </w:rPr>
      </w:pPr>
      <w:r w:rsidRPr="008F0967">
        <w:rPr>
          <w:sz w:val="22"/>
          <w:szCs w:val="18"/>
        </w:rPr>
        <w:t>deals with the following matters relating to the fax marketing activities of those participants:</w:t>
      </w:r>
    </w:p>
    <w:p w14:paraId="2212B7E7" w14:textId="77777777" w:rsidR="00B0677D" w:rsidRDefault="00B0677D" w:rsidP="00B0677D">
      <w:pPr>
        <w:pStyle w:val="paragraphsub"/>
        <w:numPr>
          <w:ilvl w:val="1"/>
          <w:numId w:val="19"/>
        </w:numPr>
        <w:tabs>
          <w:tab w:val="right" w:pos="0"/>
        </w:tabs>
        <w:spacing w:after="200"/>
      </w:pPr>
      <w:r>
        <w:t>restricting the hours and/or days during which marketing faxes may be sent, or attempted to be sent, to an Australian number;</w:t>
      </w:r>
    </w:p>
    <w:p w14:paraId="4325D263" w14:textId="77777777" w:rsidR="00B0677D" w:rsidRDefault="00B0677D" w:rsidP="00B0677D">
      <w:pPr>
        <w:pStyle w:val="paragraphsub"/>
        <w:numPr>
          <w:ilvl w:val="1"/>
          <w:numId w:val="19"/>
        </w:numPr>
        <w:spacing w:after="200"/>
      </w:pPr>
      <w:r>
        <w:t>requiring that a marketing fax sent to an Australian number must contain specified information about the person who authorised the sending of the fax;</w:t>
      </w:r>
    </w:p>
    <w:p w14:paraId="1D050605" w14:textId="77777777" w:rsidR="00B0677D" w:rsidRDefault="00B0677D" w:rsidP="00B0677D">
      <w:pPr>
        <w:pStyle w:val="paragraphsub"/>
        <w:numPr>
          <w:ilvl w:val="1"/>
          <w:numId w:val="19"/>
        </w:numPr>
        <w:spacing w:after="200"/>
      </w:pPr>
      <w:r>
        <w:t>restricting the total number of marketing faxes sent, or attempted to be sent, by the relevant participant during a particular period to a particular Australian number;</w:t>
      </w:r>
    </w:p>
    <w:p w14:paraId="64C4B06D" w14:textId="77777777" w:rsidR="00B0677D" w:rsidRDefault="00B0677D" w:rsidP="00B0677D">
      <w:pPr>
        <w:pStyle w:val="paragraphsub"/>
        <w:numPr>
          <w:ilvl w:val="1"/>
          <w:numId w:val="19"/>
        </w:numPr>
        <w:spacing w:after="200"/>
      </w:pPr>
      <w:r>
        <w:t xml:space="preserve">requiring that, if a marketing fax sent to an Australian number is authorised by a particular person (the </w:t>
      </w:r>
      <w:r>
        <w:rPr>
          <w:b/>
          <w:i/>
        </w:rPr>
        <w:t>authorising person</w:t>
      </w:r>
      <w:r>
        <w:t>), the fax must contain information about how the recipient of the fax may send a message to the effect that the recipient does not want to receive any marketing faxes authorised by the authorising person.</w:t>
      </w:r>
    </w:p>
    <w:p w14:paraId="68B131CB" w14:textId="08503207" w:rsidR="00B0677D" w:rsidRDefault="00B0677D" w:rsidP="00B0677D">
      <w:pPr>
        <w:pStyle w:val="paragraphsub"/>
        <w:spacing w:after="200"/>
        <w:ind w:left="0" w:firstLine="0"/>
      </w:pPr>
      <w:r>
        <w:t>Subsection 33(3) of the AIA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0D01DAC" w14:textId="4FE89D63" w:rsidR="00B0677D" w:rsidRPr="00683C55" w:rsidRDefault="00B0677D" w:rsidP="00B0677D">
      <w:pPr>
        <w:pStyle w:val="paragraphsub"/>
        <w:tabs>
          <w:tab w:val="clear" w:pos="1985"/>
          <w:tab w:val="right" w:pos="0"/>
        </w:tabs>
        <w:spacing w:after="200"/>
        <w:ind w:left="0" w:firstLine="0"/>
        <w:rPr>
          <w:snapToGrid w:val="0"/>
          <w:szCs w:val="18"/>
          <w:lang w:eastAsia="en-US"/>
        </w:rPr>
      </w:pPr>
      <w:r>
        <w:rPr>
          <w:snapToGrid w:val="0"/>
          <w:szCs w:val="18"/>
          <w:lang w:eastAsia="en-US"/>
        </w:rPr>
        <w:t xml:space="preserve">Under subsection 125B(4) of the Act, the ACMA must ensure that a standard is in force at all times </w:t>
      </w:r>
      <w:r w:rsidR="00370759">
        <w:rPr>
          <w:snapToGrid w:val="0"/>
          <w:szCs w:val="18"/>
          <w:lang w:eastAsia="en-US"/>
        </w:rPr>
        <w:t>after the commencement of subsection 125B</w:t>
      </w:r>
      <w:r>
        <w:rPr>
          <w:snapToGrid w:val="0"/>
          <w:szCs w:val="18"/>
          <w:lang w:eastAsia="en-US"/>
        </w:rPr>
        <w:t xml:space="preserve">. </w:t>
      </w:r>
      <w:r w:rsidRPr="00683C55">
        <w:rPr>
          <w:snapToGrid w:val="0"/>
          <w:szCs w:val="18"/>
          <w:lang w:eastAsia="en-US"/>
        </w:rPr>
        <w:t>The instrument r</w:t>
      </w:r>
      <w:r>
        <w:rPr>
          <w:snapToGrid w:val="0"/>
          <w:szCs w:val="18"/>
          <w:lang w:eastAsia="en-US"/>
        </w:rPr>
        <w:t>epeals</w:t>
      </w:r>
      <w:r w:rsidRPr="00683C55">
        <w:rPr>
          <w:snapToGrid w:val="0"/>
          <w:szCs w:val="18"/>
          <w:lang w:eastAsia="en-US"/>
        </w:rPr>
        <w:t xml:space="preserve"> the </w:t>
      </w:r>
      <w:r w:rsidRPr="00683C55">
        <w:rPr>
          <w:i/>
          <w:iCs/>
          <w:snapToGrid w:val="0"/>
          <w:szCs w:val="18"/>
          <w:lang w:eastAsia="en-US"/>
        </w:rPr>
        <w:t>Fax Marketing Industry Standard 2011</w:t>
      </w:r>
      <w:r>
        <w:rPr>
          <w:i/>
          <w:iCs/>
          <w:snapToGrid w:val="0"/>
          <w:szCs w:val="18"/>
          <w:lang w:eastAsia="en-US"/>
        </w:rPr>
        <w:t xml:space="preserve"> </w:t>
      </w:r>
      <w:r>
        <w:rPr>
          <w:snapToGrid w:val="0"/>
          <w:szCs w:val="18"/>
          <w:lang w:eastAsia="en-US"/>
        </w:rPr>
        <w:t>(</w:t>
      </w:r>
      <w:r w:rsidRPr="009A6711">
        <w:rPr>
          <w:b/>
          <w:bCs/>
          <w:snapToGrid w:val="0"/>
          <w:szCs w:val="18"/>
          <w:lang w:eastAsia="en-US"/>
        </w:rPr>
        <w:t>2011 Standard</w:t>
      </w:r>
      <w:r>
        <w:rPr>
          <w:snapToGrid w:val="0"/>
          <w:szCs w:val="18"/>
          <w:lang w:eastAsia="en-US"/>
        </w:rPr>
        <w:t>)</w:t>
      </w:r>
      <w:r w:rsidRPr="00683C55">
        <w:rPr>
          <w:snapToGrid w:val="0"/>
          <w:szCs w:val="18"/>
          <w:lang w:eastAsia="en-US"/>
        </w:rPr>
        <w:t xml:space="preserve">, which is due to sunset on </w:t>
      </w:r>
      <w:r>
        <w:rPr>
          <w:snapToGrid w:val="0"/>
          <w:szCs w:val="18"/>
          <w:lang w:eastAsia="en-US"/>
        </w:rPr>
        <w:t xml:space="preserve">1 </w:t>
      </w:r>
      <w:r w:rsidRPr="00683C55">
        <w:rPr>
          <w:snapToGrid w:val="0"/>
          <w:szCs w:val="18"/>
          <w:lang w:eastAsia="en-US"/>
        </w:rPr>
        <w:t xml:space="preserve">October </w:t>
      </w:r>
      <w:r>
        <w:rPr>
          <w:snapToGrid w:val="0"/>
          <w:szCs w:val="18"/>
          <w:lang w:eastAsia="en-US"/>
        </w:rPr>
        <w:t xml:space="preserve">2021, and ensures continued compliance with subsection 125B(4) of the Act by determining a standard which meets the </w:t>
      </w:r>
      <w:r w:rsidR="002660DF">
        <w:rPr>
          <w:snapToGrid w:val="0"/>
          <w:szCs w:val="18"/>
          <w:lang w:eastAsia="en-US"/>
        </w:rPr>
        <w:t>requirements of</w:t>
      </w:r>
      <w:r>
        <w:rPr>
          <w:snapToGrid w:val="0"/>
          <w:szCs w:val="18"/>
          <w:lang w:eastAsia="en-US"/>
        </w:rPr>
        <w:t xml:space="preserve"> subsection 125B(1) of the Act.</w:t>
      </w:r>
    </w:p>
    <w:p w14:paraId="7B0F4305" w14:textId="77777777" w:rsidR="00B0677D" w:rsidRDefault="00B0677D" w:rsidP="00B0677D">
      <w:pPr>
        <w:rPr>
          <w:rFonts w:ascii="Times New Roman" w:hAnsi="Times New Roman" w:cs="Times New Roman"/>
          <w:b/>
        </w:rPr>
      </w:pPr>
      <w:r>
        <w:rPr>
          <w:rFonts w:ascii="Times New Roman" w:hAnsi="Times New Roman" w:cs="Times New Roman"/>
          <w:b/>
        </w:rPr>
        <w:t>Purpose and operation of the instrument</w:t>
      </w:r>
    </w:p>
    <w:p w14:paraId="138B1A9E" w14:textId="77777777" w:rsidR="00B0677D" w:rsidRPr="00A32E4A" w:rsidRDefault="00B0677D" w:rsidP="00B0677D">
      <w:pPr>
        <w:rPr>
          <w:rFonts w:ascii="Times New Roman" w:hAnsi="Times New Roman" w:cs="Times New Roman"/>
          <w:bCs/>
        </w:rPr>
      </w:pPr>
      <w:r>
        <w:rPr>
          <w:rFonts w:ascii="Times New Roman" w:hAnsi="Times New Roman" w:cs="Times New Roman"/>
          <w:bCs/>
        </w:rPr>
        <w:t xml:space="preserve">The instrument replaces the </w:t>
      </w:r>
      <w:r w:rsidRPr="009A3DB2">
        <w:rPr>
          <w:rFonts w:ascii="Times New Roman" w:eastAsia="Times New Roman" w:hAnsi="Times New Roman" w:cs="Times New Roman"/>
          <w:snapToGrid w:val="0"/>
          <w:szCs w:val="18"/>
        </w:rPr>
        <w:t>2011 Standard</w:t>
      </w:r>
      <w:r>
        <w:rPr>
          <w:rFonts w:ascii="Times New Roman" w:eastAsia="Times New Roman" w:hAnsi="Times New Roman" w:cs="Times New Roman"/>
          <w:b/>
          <w:bCs/>
          <w:snapToGrid w:val="0"/>
          <w:szCs w:val="18"/>
        </w:rPr>
        <w:t xml:space="preserve"> </w:t>
      </w:r>
      <w:r>
        <w:rPr>
          <w:rFonts w:ascii="Times New Roman" w:eastAsia="Times New Roman" w:hAnsi="Times New Roman" w:cs="Times New Roman"/>
          <w:snapToGrid w:val="0"/>
          <w:szCs w:val="18"/>
        </w:rPr>
        <w:t>which is due to sunset on 1 October 2021.</w:t>
      </w:r>
    </w:p>
    <w:p w14:paraId="5A88E65B" w14:textId="77777777" w:rsidR="00B0677D" w:rsidRDefault="00B0677D" w:rsidP="00B0677D">
      <w:pPr>
        <w:pStyle w:val="ACMABodyText"/>
        <w:rPr>
          <w:sz w:val="22"/>
          <w:szCs w:val="18"/>
        </w:rPr>
      </w:pPr>
      <w:r w:rsidRPr="00FC3B9A">
        <w:rPr>
          <w:sz w:val="22"/>
          <w:szCs w:val="18"/>
        </w:rPr>
        <w:t xml:space="preserve">The </w:t>
      </w:r>
      <w:r>
        <w:rPr>
          <w:sz w:val="22"/>
          <w:szCs w:val="18"/>
        </w:rPr>
        <w:t>instrument</w:t>
      </w:r>
      <w:r w:rsidRPr="00FC3B9A">
        <w:rPr>
          <w:sz w:val="22"/>
          <w:szCs w:val="18"/>
        </w:rPr>
        <w:t xml:space="preserve"> sets out the minimum requirements for</w:t>
      </w:r>
      <w:r>
        <w:rPr>
          <w:sz w:val="22"/>
          <w:szCs w:val="18"/>
        </w:rPr>
        <w:t xml:space="preserve"> sending </w:t>
      </w:r>
      <w:r w:rsidRPr="00FC3B9A">
        <w:rPr>
          <w:sz w:val="22"/>
          <w:szCs w:val="18"/>
        </w:rPr>
        <w:t xml:space="preserve">marketing faxes and </w:t>
      </w:r>
      <w:r>
        <w:rPr>
          <w:sz w:val="22"/>
          <w:szCs w:val="18"/>
        </w:rPr>
        <w:t>applies</w:t>
      </w:r>
      <w:r w:rsidRPr="00FC3B9A">
        <w:rPr>
          <w:sz w:val="22"/>
          <w:szCs w:val="18"/>
        </w:rPr>
        <w:t xml:space="preserve"> to all participants in the fax marketing industry.</w:t>
      </w:r>
      <w:r>
        <w:rPr>
          <w:sz w:val="22"/>
          <w:szCs w:val="18"/>
        </w:rPr>
        <w:t xml:space="preserve"> </w:t>
      </w:r>
      <w:r w:rsidRPr="00FC3B9A">
        <w:rPr>
          <w:sz w:val="22"/>
          <w:szCs w:val="18"/>
        </w:rPr>
        <w:t xml:space="preserve">Compliance with the </w:t>
      </w:r>
      <w:r>
        <w:rPr>
          <w:sz w:val="22"/>
          <w:szCs w:val="18"/>
        </w:rPr>
        <w:t>instrument</w:t>
      </w:r>
      <w:r w:rsidRPr="00FC3B9A">
        <w:rPr>
          <w:sz w:val="22"/>
          <w:szCs w:val="18"/>
        </w:rPr>
        <w:t xml:space="preserve"> is required by section 128 of the Act and failure to comply may lead to civil penalties being imposed. </w:t>
      </w:r>
      <w:r>
        <w:rPr>
          <w:sz w:val="22"/>
          <w:szCs w:val="18"/>
        </w:rPr>
        <w:t>Further c</w:t>
      </w:r>
      <w:r w:rsidRPr="00FC3B9A">
        <w:rPr>
          <w:sz w:val="22"/>
          <w:szCs w:val="18"/>
        </w:rPr>
        <w:t xml:space="preserve">ompliance </w:t>
      </w:r>
      <w:r>
        <w:rPr>
          <w:sz w:val="22"/>
          <w:szCs w:val="18"/>
        </w:rPr>
        <w:t>measures are contained in</w:t>
      </w:r>
      <w:r w:rsidRPr="00FC3B9A">
        <w:rPr>
          <w:sz w:val="22"/>
          <w:szCs w:val="18"/>
        </w:rPr>
        <w:t xml:space="preserve"> section 139 of the Act, which has the effect of requiring all agreements for the carrying on of fax marketing activities to contain provisions requiring compliance with the </w:t>
      </w:r>
      <w:r>
        <w:rPr>
          <w:sz w:val="22"/>
          <w:szCs w:val="18"/>
        </w:rPr>
        <w:t>instrument</w:t>
      </w:r>
      <w:r w:rsidRPr="00FC3B9A">
        <w:rPr>
          <w:sz w:val="22"/>
          <w:szCs w:val="18"/>
        </w:rPr>
        <w:t>.</w:t>
      </w:r>
    </w:p>
    <w:p w14:paraId="23950A53" w14:textId="77777777" w:rsidR="00B0677D" w:rsidRDefault="00B0677D" w:rsidP="00B0677D">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27B9CEB2" w14:textId="58321A72" w:rsidR="00B0677D" w:rsidRDefault="00B0677D" w:rsidP="00B0677D">
      <w:pPr>
        <w:rPr>
          <w:rFonts w:ascii="Times New Roman" w:hAnsi="Times New Roman" w:cs="Times New Roman"/>
        </w:rPr>
      </w:pPr>
      <w:r>
        <w:rPr>
          <w:rFonts w:ascii="Times New Roman" w:hAnsi="Times New Roman" w:cs="Times New Roman"/>
        </w:rPr>
        <w:lastRenderedPageBreak/>
        <w:t xml:space="preserve">The instrument is a </w:t>
      </w:r>
      <w:r w:rsidR="006969A4">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sidRPr="004963B3">
        <w:rPr>
          <w:rFonts w:ascii="Times New Roman" w:hAnsi="Times New Roman" w:cs="Times New Roman"/>
          <w:i/>
        </w:rPr>
        <w:t xml:space="preserve">Legislation Act 2003 </w:t>
      </w:r>
      <w:r w:rsidRPr="004963B3">
        <w:rPr>
          <w:rFonts w:ascii="Times New Roman" w:hAnsi="Times New Roman" w:cs="Times New Roman"/>
        </w:rPr>
        <w:t>(</w:t>
      </w:r>
      <w:r w:rsidRPr="004963B3">
        <w:rPr>
          <w:rFonts w:ascii="Times New Roman" w:hAnsi="Times New Roman" w:cs="Times New Roman"/>
          <w:b/>
        </w:rPr>
        <w:t>the LA</w:t>
      </w:r>
      <w:r w:rsidRPr="004963B3">
        <w:rPr>
          <w:rFonts w:ascii="Times New Roman" w:hAnsi="Times New Roman" w:cs="Times New Roman"/>
        </w:rPr>
        <w:t>).</w:t>
      </w:r>
    </w:p>
    <w:p w14:paraId="1E3B5384" w14:textId="77777777" w:rsidR="00B0677D" w:rsidRDefault="00B0677D" w:rsidP="00B0677D">
      <w:pPr>
        <w:rPr>
          <w:rFonts w:ascii="Times New Roman" w:hAnsi="Times New Roman" w:cs="Times New Roman"/>
          <w:b/>
        </w:rPr>
      </w:pPr>
      <w:r>
        <w:rPr>
          <w:rFonts w:ascii="Times New Roman" w:hAnsi="Times New Roman" w:cs="Times New Roman"/>
          <w:b/>
        </w:rPr>
        <w:t>Documents incorporated by reference</w:t>
      </w:r>
    </w:p>
    <w:p w14:paraId="64FFA20D" w14:textId="77777777" w:rsidR="00B0677D" w:rsidRPr="003D08F6" w:rsidRDefault="00B0677D" w:rsidP="00B0677D">
      <w:pPr>
        <w:rPr>
          <w:rFonts w:ascii="Times New Roman" w:hAnsi="Times New Roman" w:cs="Times New Roman"/>
        </w:rPr>
      </w:pPr>
      <w:r w:rsidRPr="003D08F6">
        <w:rPr>
          <w:rFonts w:ascii="Times New Roman" w:hAnsi="Times New Roman" w:cs="Times New Roman"/>
        </w:rPr>
        <w:t xml:space="preserve">The </w:t>
      </w:r>
      <w:r>
        <w:rPr>
          <w:rFonts w:ascii="Times New Roman" w:hAnsi="Times New Roman" w:cs="Times New Roman"/>
        </w:rPr>
        <w:t>instrument</w:t>
      </w:r>
      <w:r w:rsidRPr="003D08F6">
        <w:rPr>
          <w:rFonts w:ascii="Times New Roman" w:hAnsi="Times New Roman" w:cs="Times New Roman"/>
        </w:rPr>
        <w:t xml:space="preserve"> incorporates various definitions from the Act</w:t>
      </w:r>
      <w:r>
        <w:rPr>
          <w:rFonts w:ascii="Times New Roman" w:hAnsi="Times New Roman" w:cs="Times New Roman"/>
        </w:rPr>
        <w:t xml:space="preserve">, the </w:t>
      </w:r>
      <w:r>
        <w:rPr>
          <w:rFonts w:ascii="Times New Roman" w:hAnsi="Times New Roman" w:cs="Times New Roman"/>
          <w:i/>
          <w:iCs/>
        </w:rPr>
        <w:t>Do Not Call Register</w:t>
      </w:r>
      <w:r>
        <w:rPr>
          <w:rFonts w:ascii="Times New Roman" w:hAnsi="Times New Roman" w:cs="Times New Roman"/>
        </w:rPr>
        <w:t xml:space="preserve"> </w:t>
      </w:r>
      <w:r w:rsidRPr="003D08F6">
        <w:rPr>
          <w:rFonts w:ascii="Times New Roman" w:hAnsi="Times New Roman" w:cs="Times New Roman"/>
          <w:i/>
          <w:iCs/>
        </w:rPr>
        <w:t>Act</w:t>
      </w:r>
      <w:r>
        <w:rPr>
          <w:rFonts w:ascii="Times New Roman" w:hAnsi="Times New Roman" w:cs="Times New Roman"/>
          <w:i/>
          <w:iCs/>
        </w:rPr>
        <w:t xml:space="preserve"> 2006 </w:t>
      </w:r>
      <w:r>
        <w:rPr>
          <w:rFonts w:ascii="Times New Roman" w:hAnsi="Times New Roman" w:cs="Times New Roman"/>
        </w:rPr>
        <w:t>(</w:t>
      </w:r>
      <w:r w:rsidRPr="004C33B8">
        <w:rPr>
          <w:rFonts w:ascii="Times New Roman" w:hAnsi="Times New Roman" w:cs="Times New Roman"/>
          <w:b/>
          <w:bCs/>
        </w:rPr>
        <w:t>the</w:t>
      </w:r>
      <w:r>
        <w:rPr>
          <w:rFonts w:ascii="Times New Roman" w:hAnsi="Times New Roman" w:cs="Times New Roman"/>
        </w:rPr>
        <w:t xml:space="preserve"> </w:t>
      </w:r>
      <w:r w:rsidRPr="004C33B8">
        <w:rPr>
          <w:rFonts w:ascii="Times New Roman" w:hAnsi="Times New Roman" w:cs="Times New Roman"/>
          <w:b/>
          <w:bCs/>
        </w:rPr>
        <w:t>DNCR Act</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and the </w:t>
      </w:r>
      <w:r>
        <w:rPr>
          <w:rFonts w:ascii="Times New Roman" w:hAnsi="Times New Roman" w:cs="Times New Roman"/>
          <w:i/>
          <w:iCs/>
        </w:rPr>
        <w:t>Corporations Act 2001</w:t>
      </w:r>
      <w:r w:rsidRPr="003D08F6">
        <w:rPr>
          <w:rFonts w:ascii="Times New Roman" w:hAnsi="Times New Roman" w:cs="Times New Roman"/>
        </w:rPr>
        <w:t xml:space="preserve">. The </w:t>
      </w:r>
      <w:r>
        <w:rPr>
          <w:rFonts w:ascii="Times New Roman" w:hAnsi="Times New Roman" w:cs="Times New Roman"/>
        </w:rPr>
        <w:t>instrument</w:t>
      </w:r>
      <w:r w:rsidRPr="003D08F6">
        <w:rPr>
          <w:rFonts w:ascii="Times New Roman" w:hAnsi="Times New Roman" w:cs="Times New Roman"/>
        </w:rPr>
        <w:t xml:space="preserve"> does not otherwise incorporate any document by reference.</w:t>
      </w:r>
    </w:p>
    <w:p w14:paraId="3DF8C848" w14:textId="77777777" w:rsidR="00B0677D" w:rsidRDefault="00B0677D" w:rsidP="00B0677D">
      <w:pPr>
        <w:rPr>
          <w:rFonts w:ascii="Times New Roman" w:hAnsi="Times New Roman" w:cs="Times New Roman"/>
          <w:b/>
        </w:rPr>
      </w:pPr>
      <w:r>
        <w:rPr>
          <w:rFonts w:ascii="Times New Roman" w:hAnsi="Times New Roman" w:cs="Times New Roman"/>
          <w:b/>
        </w:rPr>
        <w:t>Consultation</w:t>
      </w:r>
    </w:p>
    <w:p w14:paraId="0C2839CB" w14:textId="523CDF65" w:rsidR="00B0677D" w:rsidRDefault="00B0677D" w:rsidP="00B0677D">
      <w:pPr>
        <w:rPr>
          <w:rFonts w:ascii="Times New Roman" w:hAnsi="Times New Roman" w:cs="Times New Roman"/>
        </w:rPr>
      </w:pPr>
      <w:r>
        <w:rPr>
          <w:rFonts w:ascii="Times New Roman" w:hAnsi="Times New Roman" w:cs="Times New Roman"/>
        </w:rPr>
        <w:t>Before the instrument was made, the ACMA was satisfied that consultation was undertaken to the extent appropriate and reasonably practicable, in accordance with section 17 of the LA and subsection 125B(3), and sections 132, 133, 134, 135 and 135A of the Act.</w:t>
      </w:r>
    </w:p>
    <w:p w14:paraId="72F105F8" w14:textId="152D73C3" w:rsidR="00D7215E" w:rsidRDefault="00D7215E" w:rsidP="00D7215E">
      <w:pPr>
        <w:rPr>
          <w:rFonts w:ascii="Times New Roman" w:hAnsi="Times New Roman" w:cs="Times New Roman"/>
        </w:rPr>
      </w:pPr>
      <w:r>
        <w:rPr>
          <w:rFonts w:ascii="Times New Roman" w:hAnsi="Times New Roman" w:cs="Times New Roman"/>
        </w:rPr>
        <w:t>The ACMA undertook a public consultation process from 23 June until 25 July 2021, which included publishing a consultation paper and draft of the instrument on the ACMA’s website– see link:</w:t>
      </w:r>
    </w:p>
    <w:p w14:paraId="237EFE4C" w14:textId="77777777" w:rsidR="00D7215E" w:rsidRDefault="00D70B22" w:rsidP="00D7215E">
      <w:pPr>
        <w:rPr>
          <w:rStyle w:val="Hyperlink"/>
          <w:rFonts w:ascii="Times New Roman" w:hAnsi="Times New Roman" w:cs="Times New Roman"/>
        </w:rPr>
      </w:pPr>
      <w:hyperlink r:id="rId12" w:history="1">
        <w:r w:rsidR="00D7215E" w:rsidRPr="00923C76">
          <w:rPr>
            <w:rStyle w:val="Hyperlink"/>
            <w:rFonts w:ascii="Times New Roman" w:hAnsi="Times New Roman" w:cs="Times New Roman"/>
          </w:rPr>
          <w:t>https://www.acma.gov.au/consultations/2021-06/remaking-fax-marketing-industry-standard-2011-consultation-232021</w:t>
        </w:r>
      </w:hyperlink>
    </w:p>
    <w:p w14:paraId="3498A90A" w14:textId="7F4149D4" w:rsidR="00FA3FF4" w:rsidRPr="00262873" w:rsidRDefault="001B13B9" w:rsidP="00FA3FF4">
      <w:pPr>
        <w:rPr>
          <w:rFonts w:ascii="Times New Roman" w:hAnsi="Times New Roman" w:cs="Times New Roman"/>
        </w:rPr>
      </w:pPr>
      <w:r>
        <w:rPr>
          <w:rFonts w:ascii="Times New Roman" w:hAnsi="Times New Roman" w:cs="Times New Roman"/>
        </w:rPr>
        <w:t>The ACMA was satisfied that t</w:t>
      </w:r>
      <w:r w:rsidR="00FA3FF4">
        <w:rPr>
          <w:rFonts w:ascii="Times New Roman" w:hAnsi="Times New Roman" w:cs="Times New Roman"/>
        </w:rPr>
        <w:t xml:space="preserve">here </w:t>
      </w:r>
      <w:r>
        <w:rPr>
          <w:rFonts w:ascii="Times New Roman" w:hAnsi="Times New Roman" w:cs="Times New Roman"/>
        </w:rPr>
        <w:t>wa</w:t>
      </w:r>
      <w:r w:rsidR="00FA3FF4" w:rsidRPr="005C11A9">
        <w:rPr>
          <w:rFonts w:ascii="Times New Roman" w:hAnsi="Times New Roman" w:cs="Times New Roman"/>
        </w:rPr>
        <w:t xml:space="preserve">s no body </w:t>
      </w:r>
      <w:r w:rsidR="00D33B36">
        <w:rPr>
          <w:rFonts w:ascii="Times New Roman" w:hAnsi="Times New Roman" w:cs="Times New Roman"/>
        </w:rPr>
        <w:t>n</w:t>
      </w:r>
      <w:r>
        <w:rPr>
          <w:rFonts w:ascii="Times New Roman" w:hAnsi="Times New Roman" w:cs="Times New Roman"/>
        </w:rPr>
        <w:t xml:space="preserve">or association </w:t>
      </w:r>
      <w:r w:rsidR="00FA3FF4" w:rsidRPr="005C11A9">
        <w:rPr>
          <w:rFonts w:ascii="Times New Roman" w:hAnsi="Times New Roman" w:cs="Times New Roman"/>
        </w:rPr>
        <w:t>representing the fax marketing industry</w:t>
      </w:r>
      <w:r w:rsidR="00FA3FF4">
        <w:rPr>
          <w:rFonts w:ascii="Times New Roman" w:hAnsi="Times New Roman" w:cs="Times New Roman"/>
        </w:rPr>
        <w:t xml:space="preserve">; therefore, on </w:t>
      </w:r>
      <w:r w:rsidR="00683D49">
        <w:rPr>
          <w:rFonts w:ascii="Times New Roman" w:hAnsi="Times New Roman" w:cs="Times New Roman"/>
        </w:rPr>
        <w:t>23 June 2021</w:t>
      </w:r>
      <w:r w:rsidR="00FA3FF4">
        <w:rPr>
          <w:rFonts w:ascii="Times New Roman" w:hAnsi="Times New Roman" w:cs="Times New Roman"/>
        </w:rPr>
        <w:t>, a</w:t>
      </w:r>
      <w:r w:rsidR="00FA3FF4" w:rsidRPr="00262873">
        <w:rPr>
          <w:rFonts w:ascii="Times New Roman" w:hAnsi="Times New Roman" w:cs="Times New Roman"/>
        </w:rPr>
        <w:t>n e-bulletin wa</w:t>
      </w:r>
      <w:r w:rsidR="00FA3FF4">
        <w:rPr>
          <w:rFonts w:ascii="Times New Roman" w:hAnsi="Times New Roman" w:cs="Times New Roman"/>
        </w:rPr>
        <w:t>s</w:t>
      </w:r>
      <w:r w:rsidR="00FA3FF4" w:rsidRPr="00262873">
        <w:rPr>
          <w:rFonts w:ascii="Times New Roman" w:hAnsi="Times New Roman" w:cs="Times New Roman"/>
        </w:rPr>
        <w:t xml:space="preserve"> </w:t>
      </w:r>
      <w:r w:rsidR="00FA3FF4">
        <w:rPr>
          <w:rFonts w:ascii="Times New Roman" w:hAnsi="Times New Roman" w:cs="Times New Roman"/>
        </w:rPr>
        <w:t>distributed to all fax marketing industry participants registered on the Do Not Call Register (</w:t>
      </w:r>
      <w:r w:rsidR="00FA3FF4" w:rsidRPr="005C11A9">
        <w:rPr>
          <w:rFonts w:ascii="Times New Roman" w:hAnsi="Times New Roman" w:cs="Times New Roman"/>
          <w:b/>
          <w:bCs/>
        </w:rPr>
        <w:t>the register</w:t>
      </w:r>
      <w:r w:rsidR="00FA3FF4">
        <w:rPr>
          <w:rFonts w:ascii="Times New Roman" w:hAnsi="Times New Roman" w:cs="Times New Roman"/>
        </w:rPr>
        <w:t>), inviting submissions on the consultation paper and draft instrument.</w:t>
      </w:r>
      <w:r w:rsidR="00E94A5D">
        <w:rPr>
          <w:rFonts w:ascii="Times New Roman" w:hAnsi="Times New Roman" w:cs="Times New Roman"/>
        </w:rPr>
        <w:t xml:space="preserve"> No submissions were received from industry participants.</w:t>
      </w:r>
    </w:p>
    <w:p w14:paraId="3FBFE0EE" w14:textId="77777777" w:rsidR="00FA3FF4" w:rsidRDefault="00FA3FF4" w:rsidP="00FA3FF4">
      <w:pPr>
        <w:rPr>
          <w:rFonts w:ascii="Times New Roman" w:hAnsi="Times New Roman" w:cs="Times New Roman"/>
        </w:rPr>
      </w:pPr>
      <w:r>
        <w:rPr>
          <w:rFonts w:ascii="Times New Roman" w:hAnsi="Times New Roman" w:cs="Times New Roman"/>
        </w:rPr>
        <w:t xml:space="preserve">On 25 June 2021, the ACMA published a notice in </w:t>
      </w:r>
      <w:r>
        <w:rPr>
          <w:rFonts w:ascii="Times New Roman" w:hAnsi="Times New Roman" w:cs="Times New Roman"/>
          <w:i/>
          <w:iCs/>
        </w:rPr>
        <w:t>T</w:t>
      </w:r>
      <w:r w:rsidRPr="009A3DB2">
        <w:rPr>
          <w:rFonts w:ascii="Times New Roman" w:hAnsi="Times New Roman" w:cs="Times New Roman"/>
          <w:i/>
          <w:iCs/>
        </w:rPr>
        <w:t>he</w:t>
      </w:r>
      <w:r>
        <w:rPr>
          <w:rFonts w:ascii="Times New Roman" w:hAnsi="Times New Roman" w:cs="Times New Roman"/>
        </w:rPr>
        <w:t xml:space="preserve"> </w:t>
      </w:r>
      <w:r>
        <w:rPr>
          <w:rFonts w:ascii="Times New Roman" w:hAnsi="Times New Roman" w:cs="Times New Roman"/>
          <w:i/>
          <w:iCs/>
        </w:rPr>
        <w:t>Australian</w:t>
      </w:r>
      <w:r>
        <w:rPr>
          <w:rFonts w:ascii="Times New Roman" w:hAnsi="Times New Roman" w:cs="Times New Roman"/>
        </w:rPr>
        <w:t xml:space="preserve"> newspaper, inviting submissions on the draft instrument and advising that a copy of the draft instrument could be obtained via the ACMA’s website.</w:t>
      </w:r>
    </w:p>
    <w:p w14:paraId="7E3DC6BB" w14:textId="4F168BFF" w:rsidR="00B0677D" w:rsidRDefault="00B0677D" w:rsidP="00B0677D">
      <w:pPr>
        <w:rPr>
          <w:rFonts w:ascii="Times New Roman" w:hAnsi="Times New Roman" w:cs="Times New Roman"/>
        </w:rPr>
      </w:pPr>
      <w:r>
        <w:rPr>
          <w:rFonts w:ascii="Times New Roman" w:hAnsi="Times New Roman" w:cs="Times New Roman"/>
        </w:rPr>
        <w:t>The ACMA consulted directly with the Australian Competition and Consumer Commission (</w:t>
      </w:r>
      <w:r>
        <w:rPr>
          <w:rFonts w:ascii="Times New Roman" w:hAnsi="Times New Roman" w:cs="Times New Roman"/>
          <w:b/>
          <w:bCs/>
        </w:rPr>
        <w:t>ACCC</w:t>
      </w:r>
      <w:r>
        <w:rPr>
          <w:rFonts w:ascii="Times New Roman" w:hAnsi="Times New Roman" w:cs="Times New Roman"/>
        </w:rPr>
        <w:t>), the Office of the Australian Information Commissioner (</w:t>
      </w:r>
      <w:r>
        <w:rPr>
          <w:rFonts w:ascii="Times New Roman" w:hAnsi="Times New Roman" w:cs="Times New Roman"/>
          <w:b/>
          <w:bCs/>
        </w:rPr>
        <w:t>OAIC</w:t>
      </w:r>
      <w:r>
        <w:rPr>
          <w:rFonts w:ascii="Times New Roman" w:hAnsi="Times New Roman" w:cs="Times New Roman"/>
        </w:rPr>
        <w:t xml:space="preserve">), and </w:t>
      </w:r>
      <w:r w:rsidR="001B13B9">
        <w:rPr>
          <w:rFonts w:ascii="Times New Roman" w:hAnsi="Times New Roman" w:cs="Times New Roman"/>
        </w:rPr>
        <w:t xml:space="preserve">a body </w:t>
      </w:r>
      <w:r w:rsidR="00A86D3E">
        <w:rPr>
          <w:rFonts w:ascii="Times New Roman" w:hAnsi="Times New Roman" w:cs="Times New Roman"/>
        </w:rPr>
        <w:t xml:space="preserve">representing the interests of consumers – </w:t>
      </w:r>
      <w:r>
        <w:rPr>
          <w:rFonts w:ascii="Times New Roman" w:hAnsi="Times New Roman" w:cs="Times New Roman"/>
        </w:rPr>
        <w:t>the Australian Communications Consumer Action Network (</w:t>
      </w:r>
      <w:r>
        <w:rPr>
          <w:rFonts w:ascii="Times New Roman" w:hAnsi="Times New Roman" w:cs="Times New Roman"/>
          <w:b/>
          <w:bCs/>
        </w:rPr>
        <w:t>ACCAN</w:t>
      </w:r>
      <w:r>
        <w:rPr>
          <w:rFonts w:ascii="Times New Roman" w:hAnsi="Times New Roman" w:cs="Times New Roman"/>
        </w:rPr>
        <w:t>)</w:t>
      </w:r>
      <w:r w:rsidR="0020146F">
        <w:rPr>
          <w:rFonts w:ascii="Times New Roman" w:hAnsi="Times New Roman" w:cs="Times New Roman"/>
        </w:rPr>
        <w:t xml:space="preserve"> </w:t>
      </w:r>
      <w:r w:rsidR="00A86D3E">
        <w:rPr>
          <w:rFonts w:ascii="Times New Roman" w:hAnsi="Times New Roman" w:cs="Times New Roman"/>
        </w:rPr>
        <w:t>–</w:t>
      </w:r>
      <w:r w:rsidR="00D33B36">
        <w:rPr>
          <w:rFonts w:ascii="Times New Roman" w:hAnsi="Times New Roman" w:cs="Times New Roman"/>
        </w:rPr>
        <w:t xml:space="preserve"> </w:t>
      </w:r>
      <w:r w:rsidR="0020146F">
        <w:rPr>
          <w:rFonts w:ascii="Times New Roman" w:hAnsi="Times New Roman" w:cs="Times New Roman"/>
        </w:rPr>
        <w:t>during the consultation period. Submissions were received from the ACCC and ACCAN.</w:t>
      </w:r>
    </w:p>
    <w:p w14:paraId="22FDF7A9" w14:textId="119E4D14" w:rsidR="00B0677D" w:rsidRDefault="00B0677D" w:rsidP="00B0677D">
      <w:pPr>
        <w:rPr>
          <w:rFonts w:ascii="Times New Roman" w:hAnsi="Times New Roman" w:cs="Times New Roman"/>
        </w:rPr>
      </w:pPr>
      <w:r>
        <w:rPr>
          <w:rFonts w:ascii="Times New Roman" w:hAnsi="Times New Roman" w:cs="Times New Roman"/>
        </w:rPr>
        <w:t>The ACMA also invited submissions from each of the States and Territories</w:t>
      </w:r>
      <w:r w:rsidR="00D7215E">
        <w:rPr>
          <w:rFonts w:ascii="Times New Roman" w:hAnsi="Times New Roman" w:cs="Times New Roman"/>
        </w:rPr>
        <w:t>. This was done by sending letters to</w:t>
      </w:r>
      <w:r>
        <w:rPr>
          <w:rFonts w:ascii="Times New Roman" w:hAnsi="Times New Roman" w:cs="Times New Roman"/>
        </w:rPr>
        <w:t xml:space="preserve"> the relevant regulator or consumer affairs entity in each State and Territory</w:t>
      </w:r>
      <w:r w:rsidR="00D7215E">
        <w:rPr>
          <w:rFonts w:ascii="Times New Roman" w:hAnsi="Times New Roman" w:cs="Times New Roman"/>
        </w:rPr>
        <w:t xml:space="preserve"> on </w:t>
      </w:r>
      <w:r w:rsidR="00E72636">
        <w:rPr>
          <w:rFonts w:ascii="Times New Roman" w:hAnsi="Times New Roman" w:cs="Times New Roman"/>
        </w:rPr>
        <w:t>23 June 2021</w:t>
      </w:r>
      <w:r>
        <w:rPr>
          <w:rFonts w:ascii="Times New Roman" w:hAnsi="Times New Roman" w:cs="Times New Roman"/>
        </w:rPr>
        <w:t>.</w:t>
      </w:r>
      <w:r w:rsidR="00D7215E">
        <w:rPr>
          <w:rFonts w:ascii="Times New Roman" w:hAnsi="Times New Roman" w:cs="Times New Roman"/>
        </w:rPr>
        <w:t xml:space="preserve"> A </w:t>
      </w:r>
      <w:r w:rsidR="00E72636">
        <w:rPr>
          <w:rFonts w:ascii="Times New Roman" w:hAnsi="Times New Roman" w:cs="Times New Roman"/>
        </w:rPr>
        <w:t>submission</w:t>
      </w:r>
      <w:r w:rsidR="00D7215E">
        <w:rPr>
          <w:rFonts w:ascii="Times New Roman" w:hAnsi="Times New Roman" w:cs="Times New Roman"/>
        </w:rPr>
        <w:t xml:space="preserve"> was received from </w:t>
      </w:r>
      <w:r w:rsidR="00E72636">
        <w:rPr>
          <w:rFonts w:ascii="Times New Roman" w:hAnsi="Times New Roman" w:cs="Times New Roman"/>
        </w:rPr>
        <w:t>South Australia</w:t>
      </w:r>
      <w:r w:rsidR="00D7215E">
        <w:rPr>
          <w:rFonts w:ascii="Times New Roman" w:hAnsi="Times New Roman" w:cs="Times New Roman"/>
        </w:rPr>
        <w:t xml:space="preserve">. No other State or Territory </w:t>
      </w:r>
      <w:r w:rsidR="00E94A5D">
        <w:rPr>
          <w:rFonts w:ascii="Times New Roman" w:hAnsi="Times New Roman" w:cs="Times New Roman"/>
        </w:rPr>
        <w:t>entity</w:t>
      </w:r>
      <w:r w:rsidR="00D7215E">
        <w:rPr>
          <w:rFonts w:ascii="Times New Roman" w:hAnsi="Times New Roman" w:cs="Times New Roman"/>
        </w:rPr>
        <w:t xml:space="preserve"> </w:t>
      </w:r>
      <w:r w:rsidR="00E72636">
        <w:rPr>
          <w:rFonts w:ascii="Times New Roman" w:hAnsi="Times New Roman" w:cs="Times New Roman"/>
        </w:rPr>
        <w:t>submitted</w:t>
      </w:r>
      <w:r w:rsidR="00D7215E">
        <w:rPr>
          <w:rFonts w:ascii="Times New Roman" w:hAnsi="Times New Roman" w:cs="Times New Roman"/>
        </w:rPr>
        <w:t>.</w:t>
      </w:r>
    </w:p>
    <w:p w14:paraId="6C92A4BF" w14:textId="4EE72B97" w:rsidR="00B0677D" w:rsidRPr="006F797E" w:rsidRDefault="00B0677D" w:rsidP="00B0677D">
      <w:pPr>
        <w:rPr>
          <w:rFonts w:ascii="Times New Roman" w:hAnsi="Times New Roman" w:cs="Times New Roman"/>
        </w:rPr>
      </w:pPr>
      <w:r>
        <w:rPr>
          <w:rFonts w:ascii="Times New Roman" w:hAnsi="Times New Roman" w:cs="Times New Roman"/>
        </w:rPr>
        <w:t xml:space="preserve">The consultation paper sought comment on </w:t>
      </w:r>
      <w:r w:rsidR="00915A33">
        <w:rPr>
          <w:rFonts w:ascii="Times New Roman" w:hAnsi="Times New Roman" w:cs="Times New Roman"/>
        </w:rPr>
        <w:t xml:space="preserve">certain </w:t>
      </w:r>
      <w:r w:rsidR="00C0349F">
        <w:rPr>
          <w:rFonts w:ascii="Times New Roman" w:hAnsi="Times New Roman" w:cs="Times New Roman"/>
        </w:rPr>
        <w:t>matters</w:t>
      </w:r>
      <w:r>
        <w:rPr>
          <w:rFonts w:ascii="Times New Roman" w:hAnsi="Times New Roman" w:cs="Times New Roman"/>
        </w:rPr>
        <w:t xml:space="preserve"> included in the draft instrument as well as inviting general comments. </w:t>
      </w:r>
      <w:r w:rsidRPr="00CA5009">
        <w:rPr>
          <w:rFonts w:ascii="Times New Roman" w:hAnsi="Times New Roman" w:cs="Times New Roman"/>
        </w:rPr>
        <w:t xml:space="preserve">The ACMA received </w:t>
      </w:r>
      <w:r>
        <w:rPr>
          <w:rFonts w:ascii="Times New Roman" w:hAnsi="Times New Roman" w:cs="Times New Roman"/>
        </w:rPr>
        <w:t>3</w:t>
      </w:r>
      <w:r w:rsidRPr="00CA5009">
        <w:rPr>
          <w:rFonts w:ascii="Times New Roman" w:hAnsi="Times New Roman" w:cs="Times New Roman"/>
        </w:rPr>
        <w:t xml:space="preserve"> submissions in response to the consultation paper. The ACMA considered all relevant issues raised by the </w:t>
      </w:r>
      <w:r w:rsidR="003F28BB">
        <w:rPr>
          <w:rFonts w:ascii="Times New Roman" w:hAnsi="Times New Roman" w:cs="Times New Roman"/>
        </w:rPr>
        <w:t xml:space="preserve">3 </w:t>
      </w:r>
      <w:r w:rsidRPr="00CA5009">
        <w:rPr>
          <w:rFonts w:ascii="Times New Roman" w:hAnsi="Times New Roman" w:cs="Times New Roman"/>
        </w:rPr>
        <w:t>submissions when finalising the form of the</w:t>
      </w:r>
      <w:r>
        <w:rPr>
          <w:rFonts w:ascii="Times New Roman" w:hAnsi="Times New Roman" w:cs="Times New Roman"/>
        </w:rPr>
        <w:t xml:space="preserve"> instrument.</w:t>
      </w:r>
    </w:p>
    <w:p w14:paraId="50C71CCF" w14:textId="77777777" w:rsidR="00B0677D" w:rsidRDefault="00B0677D" w:rsidP="00B0677D">
      <w:pPr>
        <w:rPr>
          <w:rFonts w:ascii="Times New Roman" w:hAnsi="Times New Roman" w:cs="Times New Roman"/>
          <w:b/>
        </w:rPr>
      </w:pPr>
      <w:r>
        <w:rPr>
          <w:rFonts w:ascii="Times New Roman" w:hAnsi="Times New Roman" w:cs="Times New Roman"/>
          <w:b/>
        </w:rPr>
        <w:t>Regulatory impact assessment</w:t>
      </w:r>
    </w:p>
    <w:p w14:paraId="277B61CD" w14:textId="11EB7058" w:rsidR="00B0677D" w:rsidRPr="00A45075" w:rsidRDefault="00B0677D" w:rsidP="00A45075">
      <w:pPr>
        <w:rPr>
          <w:rFonts w:ascii="Times New Roman" w:hAnsi="Times New Roman" w:cs="Times New Roman"/>
        </w:rPr>
      </w:pPr>
      <w:r w:rsidRPr="002E15B6">
        <w:rPr>
          <w:rFonts w:ascii="Times New Roman" w:hAnsi="Times New Roman" w:cs="Times New Roman"/>
        </w:rPr>
        <w:t>The ACMA considered whether a regulatory impact analysis process was required by undertaking a preliminary assessment and based on this preliminary assessment, the Office of Best Practice Regulation (</w:t>
      </w:r>
      <w:r w:rsidRPr="006969A4">
        <w:rPr>
          <w:rFonts w:ascii="Times New Roman" w:hAnsi="Times New Roman" w:cs="Times New Roman"/>
          <w:b/>
          <w:bCs/>
        </w:rPr>
        <w:t>OBPR</w:t>
      </w:r>
      <w:r w:rsidRPr="002E15B6">
        <w:rPr>
          <w:rFonts w:ascii="Times New Roman" w:hAnsi="Times New Roman" w:cs="Times New Roman"/>
        </w:rPr>
        <w:t xml:space="preserve">) determined that the proposed regulatory changes were minor or machinery in nature. </w:t>
      </w:r>
      <w:r w:rsidRPr="00F33FCA">
        <w:rPr>
          <w:rFonts w:ascii="Times New Roman" w:hAnsi="Times New Roman" w:cs="Times New Roman"/>
        </w:rPr>
        <w:t>OBPR verified that no further regulatory impact analysis was required – OBPR reference number 44083.</w:t>
      </w:r>
    </w:p>
    <w:p w14:paraId="43D049BF" w14:textId="77777777" w:rsidR="0095215C" w:rsidRDefault="0095215C">
      <w:pPr>
        <w:spacing w:line="259" w:lineRule="auto"/>
        <w:rPr>
          <w:rFonts w:ascii="Times New Roman" w:hAnsi="Times New Roman" w:cs="Times New Roman"/>
          <w:b/>
        </w:rPr>
      </w:pPr>
      <w:r>
        <w:rPr>
          <w:rFonts w:ascii="Times New Roman" w:hAnsi="Times New Roman" w:cs="Times New Roman"/>
          <w:b/>
        </w:rPr>
        <w:br w:type="page"/>
      </w:r>
    </w:p>
    <w:p w14:paraId="4363C978" w14:textId="750E61F1" w:rsidR="00B0677D" w:rsidRDefault="00B0677D" w:rsidP="00B0677D">
      <w:pPr>
        <w:rPr>
          <w:rFonts w:ascii="Times New Roman" w:hAnsi="Times New Roman" w:cs="Times New Roman"/>
          <w:b/>
        </w:rPr>
      </w:pPr>
      <w:r>
        <w:rPr>
          <w:rFonts w:ascii="Times New Roman" w:hAnsi="Times New Roman" w:cs="Times New Roman"/>
          <w:b/>
        </w:rPr>
        <w:lastRenderedPageBreak/>
        <w:t>Statement of compatibility with human rights</w:t>
      </w:r>
    </w:p>
    <w:p w14:paraId="6634CBD2" w14:textId="1226E7B3" w:rsidR="00B0677D" w:rsidRDefault="00B0677D" w:rsidP="00B0677D">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w:t>
      </w:r>
    </w:p>
    <w:p w14:paraId="127C1F38" w14:textId="77777777" w:rsidR="00B0677D" w:rsidRDefault="00B0677D" w:rsidP="00B0677D">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3EC65859" w14:textId="77777777" w:rsidR="00B0677D" w:rsidRDefault="00B0677D" w:rsidP="00B0677D">
      <w:pPr>
        <w:rPr>
          <w:rFonts w:ascii="Times New Roman" w:hAnsi="Times New Roman" w:cs="Times New Roman"/>
          <w:b/>
          <w:i/>
        </w:rPr>
      </w:pPr>
      <w:r>
        <w:rPr>
          <w:rFonts w:ascii="Times New Roman" w:hAnsi="Times New Roman" w:cs="Times New Roman"/>
          <w:b/>
          <w:i/>
        </w:rPr>
        <w:t>Overview of the instrument</w:t>
      </w:r>
    </w:p>
    <w:p w14:paraId="5A38203A" w14:textId="515400DE" w:rsidR="00B0677D" w:rsidRPr="00983CA6" w:rsidRDefault="00B0677D" w:rsidP="00B0677D">
      <w:pPr>
        <w:rPr>
          <w:rFonts w:ascii="Times New Roman" w:hAnsi="Times New Roman" w:cs="Times New Roman"/>
          <w:bCs/>
        </w:rPr>
      </w:pPr>
      <w:r>
        <w:rPr>
          <w:rFonts w:ascii="Times New Roman" w:hAnsi="Times New Roman" w:cs="Times New Roman"/>
          <w:bCs/>
        </w:rPr>
        <w:t xml:space="preserve">The instrument replaces the 2011 Standard, </w:t>
      </w:r>
      <w:r>
        <w:rPr>
          <w:rFonts w:ascii="Times New Roman" w:eastAsia="Times New Roman" w:hAnsi="Times New Roman" w:cs="Times New Roman"/>
          <w:snapToGrid w:val="0"/>
          <w:szCs w:val="18"/>
        </w:rPr>
        <w:t>which is due to sunset on 1 October 2021. The anticipated outcome is the ongoing effective and efficient operation of the instrument which the ACMA is required, by subsection 125B(4), to have in place.</w:t>
      </w:r>
    </w:p>
    <w:p w14:paraId="36393F5E" w14:textId="77777777" w:rsidR="00B0677D" w:rsidRDefault="00B0677D" w:rsidP="00B0677D">
      <w:pPr>
        <w:rPr>
          <w:rFonts w:ascii="Times New Roman" w:hAnsi="Times New Roman" w:cs="Times New Roman"/>
          <w:b/>
          <w:i/>
        </w:rPr>
      </w:pPr>
      <w:r>
        <w:rPr>
          <w:rFonts w:ascii="Times New Roman" w:hAnsi="Times New Roman" w:cs="Times New Roman"/>
          <w:b/>
          <w:i/>
        </w:rPr>
        <w:t>Human rights implications</w:t>
      </w:r>
    </w:p>
    <w:p w14:paraId="4D40BB03" w14:textId="1EB217BF" w:rsidR="00B0677D" w:rsidRDefault="00B0677D" w:rsidP="00B0677D">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as they apply to Australia.</w:t>
      </w:r>
    </w:p>
    <w:p w14:paraId="47532EF7" w14:textId="3145BEB9" w:rsidR="00B0677D" w:rsidRDefault="00B0677D" w:rsidP="00B0677D">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5D3DA181" w14:textId="77777777" w:rsidR="00B0677D" w:rsidRDefault="00B0677D" w:rsidP="00B0677D">
      <w:pPr>
        <w:rPr>
          <w:rFonts w:ascii="Times New Roman" w:hAnsi="Times New Roman" w:cs="Times New Roman"/>
          <w:b/>
          <w:i/>
        </w:rPr>
      </w:pPr>
      <w:r>
        <w:rPr>
          <w:rFonts w:ascii="Times New Roman" w:hAnsi="Times New Roman" w:cs="Times New Roman"/>
          <w:b/>
          <w:i/>
        </w:rPr>
        <w:t>Conclusion</w:t>
      </w:r>
    </w:p>
    <w:p w14:paraId="2069C1A9" w14:textId="77777777" w:rsidR="00B0677D" w:rsidRDefault="00B0677D" w:rsidP="00B0677D">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1437242C" w14:textId="77777777" w:rsidR="00B0677D" w:rsidRDefault="00B0677D" w:rsidP="00B0677D">
      <w:pPr>
        <w:rPr>
          <w:rFonts w:ascii="Times New Roman" w:hAnsi="Times New Roman" w:cs="Times New Roman"/>
          <w:b/>
        </w:rPr>
      </w:pPr>
      <w:r>
        <w:rPr>
          <w:rFonts w:ascii="Times New Roman" w:hAnsi="Times New Roman" w:cs="Times New Roman"/>
          <w:b/>
        </w:rPr>
        <w:br w:type="page"/>
      </w:r>
    </w:p>
    <w:p w14:paraId="2273732B" w14:textId="77777777" w:rsidR="00B0677D" w:rsidRDefault="00B0677D" w:rsidP="00B0677D">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42160187" w14:textId="19FB663B" w:rsidR="00B0677D" w:rsidRDefault="00B0677D" w:rsidP="00B0677D">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Pr>
          <w:rFonts w:ascii="Times New Roman" w:hAnsi="Times New Roman" w:cs="Times New Roman"/>
          <w:b/>
          <w:i/>
          <w:sz w:val="28"/>
          <w:szCs w:val="28"/>
        </w:rPr>
        <w:t xml:space="preserve">Telecommunications </w:t>
      </w:r>
      <w:r w:rsidR="0095215C">
        <w:rPr>
          <w:rFonts w:ascii="Times New Roman" w:hAnsi="Times New Roman" w:cs="Times New Roman"/>
          <w:b/>
          <w:i/>
          <w:sz w:val="28"/>
          <w:szCs w:val="28"/>
        </w:rPr>
        <w:t>(</w:t>
      </w:r>
      <w:r>
        <w:rPr>
          <w:rFonts w:ascii="Times New Roman" w:hAnsi="Times New Roman" w:cs="Times New Roman"/>
          <w:b/>
          <w:i/>
          <w:sz w:val="28"/>
          <w:szCs w:val="28"/>
        </w:rPr>
        <w:t>Fax Marketing</w:t>
      </w:r>
      <w:r w:rsidR="0095215C">
        <w:rPr>
          <w:rFonts w:ascii="Times New Roman" w:hAnsi="Times New Roman" w:cs="Times New Roman"/>
          <w:b/>
          <w:i/>
          <w:sz w:val="28"/>
          <w:szCs w:val="28"/>
        </w:rPr>
        <w:t>)</w:t>
      </w:r>
      <w:r>
        <w:rPr>
          <w:rFonts w:ascii="Times New Roman" w:hAnsi="Times New Roman" w:cs="Times New Roman"/>
          <w:b/>
          <w:i/>
          <w:sz w:val="28"/>
          <w:szCs w:val="28"/>
        </w:rPr>
        <w:t xml:space="preserve"> Industry Standard 2021</w:t>
      </w:r>
    </w:p>
    <w:p w14:paraId="614567C4" w14:textId="77777777" w:rsidR="00B0677D" w:rsidRDefault="00B0677D" w:rsidP="00B0677D">
      <w:pPr>
        <w:spacing w:before="280"/>
        <w:rPr>
          <w:rFonts w:ascii="Times New Roman" w:hAnsi="Times New Roman" w:cs="Times New Roman"/>
          <w:b/>
        </w:rPr>
      </w:pPr>
      <w:r>
        <w:rPr>
          <w:rFonts w:ascii="Times New Roman" w:hAnsi="Times New Roman" w:cs="Times New Roman"/>
          <w:b/>
        </w:rPr>
        <w:t>Part 1–Preliminary</w:t>
      </w:r>
    </w:p>
    <w:p w14:paraId="3EAAAE3C" w14:textId="77777777" w:rsidR="00B0677D" w:rsidRDefault="00B0677D" w:rsidP="00B0677D">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4EAFA15" w14:textId="275D5E75" w:rsidR="00B0677D" w:rsidRDefault="00B0677D" w:rsidP="00B0677D">
      <w:pPr>
        <w:rPr>
          <w:rFonts w:ascii="Times New Roman" w:hAnsi="Times New Roman" w:cs="Times New Roman"/>
        </w:rPr>
      </w:pPr>
      <w:r>
        <w:rPr>
          <w:rFonts w:ascii="Times New Roman" w:hAnsi="Times New Roman" w:cs="Times New Roman"/>
        </w:rPr>
        <w:t xml:space="preserve">This section provides for the instrument to be cited as the </w:t>
      </w:r>
      <w:r>
        <w:rPr>
          <w:rFonts w:ascii="Times New Roman" w:hAnsi="Times New Roman" w:cs="Times New Roman"/>
          <w:i/>
          <w:iCs/>
        </w:rPr>
        <w:t xml:space="preserve">Telecommunications </w:t>
      </w:r>
      <w:r w:rsidR="00E926E6">
        <w:rPr>
          <w:rFonts w:ascii="Times New Roman" w:hAnsi="Times New Roman" w:cs="Times New Roman"/>
          <w:i/>
          <w:iCs/>
        </w:rPr>
        <w:t>(</w:t>
      </w:r>
      <w:r>
        <w:rPr>
          <w:rFonts w:ascii="Times New Roman" w:hAnsi="Times New Roman" w:cs="Times New Roman"/>
          <w:i/>
        </w:rPr>
        <w:t>Fax Marketing</w:t>
      </w:r>
      <w:r w:rsidR="00E926E6">
        <w:rPr>
          <w:rFonts w:ascii="Times New Roman" w:hAnsi="Times New Roman" w:cs="Times New Roman"/>
          <w:i/>
        </w:rPr>
        <w:t>)</w:t>
      </w:r>
      <w:r>
        <w:rPr>
          <w:rFonts w:ascii="Times New Roman" w:hAnsi="Times New Roman" w:cs="Times New Roman"/>
          <w:i/>
        </w:rPr>
        <w:t xml:space="preserve"> Industry Standard 2021.</w:t>
      </w:r>
    </w:p>
    <w:p w14:paraId="3588B9A4" w14:textId="77777777" w:rsidR="00B0677D" w:rsidRDefault="00B0677D" w:rsidP="00B0677D">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946A364" w14:textId="6D37D6A0" w:rsidR="00B0677D" w:rsidRDefault="00B0677D" w:rsidP="00B0677D">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05F712DE" w14:textId="77777777" w:rsidR="00B0677D" w:rsidRDefault="00B0677D" w:rsidP="00B0677D">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729B7276" w14:textId="77777777" w:rsidR="00B0677D" w:rsidRDefault="00B0677D" w:rsidP="00B0677D">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0831253" w14:textId="6F2641A4" w:rsidR="00B0677D" w:rsidRDefault="00B0677D" w:rsidP="00B0677D">
      <w:pPr>
        <w:rPr>
          <w:rFonts w:ascii="Times New Roman" w:hAnsi="Times New Roman" w:cs="Times New Roman"/>
        </w:rPr>
      </w:pPr>
      <w:r>
        <w:rPr>
          <w:rFonts w:ascii="Times New Roman" w:hAnsi="Times New Roman" w:cs="Times New Roman"/>
        </w:rPr>
        <w:t xml:space="preserve">This section identifies the provision that authorises the making of the instrument, namely subsection 125B(1) of the </w:t>
      </w:r>
      <w:r w:rsidRPr="00757853">
        <w:rPr>
          <w:rFonts w:ascii="Times New Roman" w:hAnsi="Times New Roman" w:cs="Times New Roman"/>
          <w:i/>
          <w:iCs/>
        </w:rPr>
        <w:t>Telecommunications Act 1997</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4F62E4ED" w14:textId="77777777" w:rsidR="00B0677D" w:rsidRPr="00B47908" w:rsidRDefault="00B0677D" w:rsidP="00B0677D">
      <w:pPr>
        <w:rPr>
          <w:rFonts w:ascii="Times New Roman" w:hAnsi="Times New Roman" w:cs="Times New Roman"/>
          <w:b/>
          <w:iCs/>
        </w:rPr>
      </w:pPr>
      <w:r>
        <w:rPr>
          <w:rFonts w:ascii="Times New Roman" w:hAnsi="Times New Roman" w:cs="Times New Roman"/>
          <w:b/>
        </w:rPr>
        <w:t>Section 4</w:t>
      </w:r>
      <w:r>
        <w:rPr>
          <w:rFonts w:ascii="Times New Roman" w:hAnsi="Times New Roman" w:cs="Times New Roman"/>
          <w:b/>
        </w:rPr>
        <w:tab/>
        <w:t xml:space="preserve">Repeal of the </w:t>
      </w:r>
      <w:r w:rsidRPr="00B47908">
        <w:rPr>
          <w:rFonts w:ascii="Times New Roman" w:hAnsi="Times New Roman" w:cs="Times New Roman"/>
          <w:b/>
          <w:iCs/>
        </w:rPr>
        <w:t>Fax Marketing Industry Standard 2011</w:t>
      </w:r>
    </w:p>
    <w:p w14:paraId="1FF52BB8" w14:textId="77777777" w:rsidR="00B0677D" w:rsidRDefault="00B0677D" w:rsidP="00B0677D">
      <w:pPr>
        <w:rPr>
          <w:rFonts w:ascii="Times New Roman" w:hAnsi="Times New Roman" w:cs="Times New Roman"/>
        </w:rPr>
      </w:pPr>
      <w:r>
        <w:rPr>
          <w:rFonts w:ascii="Times New Roman" w:hAnsi="Times New Roman" w:cs="Times New Roman"/>
        </w:rPr>
        <w:t xml:space="preserve">This section provides that the </w:t>
      </w:r>
      <w:r>
        <w:rPr>
          <w:rFonts w:ascii="Times New Roman" w:hAnsi="Times New Roman" w:cs="Times New Roman"/>
          <w:i/>
        </w:rPr>
        <w:t xml:space="preserve">Fax Marketing Industry Standard 2011 </w:t>
      </w:r>
      <w:r>
        <w:rPr>
          <w:rFonts w:ascii="Times New Roman" w:hAnsi="Times New Roman" w:cs="Times New Roman"/>
        </w:rPr>
        <w:t>(F2011L00668) is repealed.</w:t>
      </w:r>
    </w:p>
    <w:p w14:paraId="1B9B0099" w14:textId="77777777" w:rsidR="00B0677D" w:rsidRDefault="00B0677D" w:rsidP="00B0677D">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Definitions</w:t>
      </w:r>
    </w:p>
    <w:p w14:paraId="24729D63" w14:textId="123196C3" w:rsidR="00B0677D" w:rsidRDefault="00B0677D" w:rsidP="00B0677D">
      <w:pPr>
        <w:rPr>
          <w:rFonts w:ascii="Times New Roman" w:hAnsi="Times New Roman" w:cs="Times New Roman"/>
        </w:rPr>
      </w:pPr>
      <w:r>
        <w:rPr>
          <w:rFonts w:ascii="Times New Roman" w:hAnsi="Times New Roman" w:cs="Times New Roman"/>
        </w:rPr>
        <w:t>This section defines a number of key terms used throughout the instrument.</w:t>
      </w:r>
    </w:p>
    <w:p w14:paraId="5C0CB475" w14:textId="50B43705" w:rsidR="00B0677D" w:rsidRPr="00D60F4A" w:rsidRDefault="00B0677D" w:rsidP="00B0677D">
      <w:pPr>
        <w:rPr>
          <w:rFonts w:ascii="Times New Roman" w:hAnsi="Times New Roman" w:cs="Times New Roman"/>
        </w:rPr>
      </w:pPr>
      <w:r>
        <w:rPr>
          <w:rFonts w:ascii="Times New Roman" w:hAnsi="Times New Roman" w:cs="Times New Roman"/>
        </w:rPr>
        <w:t>A number of other expressions used in the instrument are defined in the Act, the</w:t>
      </w:r>
      <w:r w:rsidR="00E926E6">
        <w:rPr>
          <w:rFonts w:ascii="Times New Roman" w:hAnsi="Times New Roman" w:cs="Times New Roman"/>
        </w:rPr>
        <w:t xml:space="preserve"> D</w:t>
      </w:r>
      <w:r w:rsidR="007B02C2">
        <w:rPr>
          <w:rFonts w:ascii="Times New Roman" w:hAnsi="Times New Roman" w:cs="Times New Roman"/>
        </w:rPr>
        <w:t>NCR Act</w:t>
      </w:r>
      <w:r>
        <w:rPr>
          <w:rFonts w:ascii="Times New Roman" w:hAnsi="Times New Roman" w:cs="Times New Roman"/>
        </w:rPr>
        <w:t xml:space="preserve"> and the </w:t>
      </w:r>
      <w:r>
        <w:rPr>
          <w:rFonts w:ascii="Times New Roman" w:hAnsi="Times New Roman" w:cs="Times New Roman"/>
          <w:i/>
          <w:iCs/>
        </w:rPr>
        <w:t>Corporations Act 2001</w:t>
      </w:r>
      <w:r>
        <w:rPr>
          <w:rFonts w:ascii="Times New Roman" w:hAnsi="Times New Roman" w:cs="Times New Roman"/>
        </w:rPr>
        <w:t xml:space="preserve">. </w:t>
      </w:r>
    </w:p>
    <w:p w14:paraId="6E73D002" w14:textId="77777777" w:rsidR="00B0677D" w:rsidRDefault="00B0677D" w:rsidP="00B0677D">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References to other instruments</w:t>
      </w:r>
    </w:p>
    <w:p w14:paraId="6BFFBEF5" w14:textId="408CC9EE" w:rsidR="00B0677D" w:rsidRDefault="00B0677D" w:rsidP="00B0677D">
      <w:pPr>
        <w:spacing w:after="40"/>
        <w:rPr>
          <w:rFonts w:ascii="Times New Roman" w:hAnsi="Times New Roman" w:cs="Times New Roman"/>
        </w:rPr>
      </w:pPr>
      <w:r>
        <w:rPr>
          <w:rFonts w:ascii="Times New Roman" w:hAnsi="Times New Roman" w:cs="Times New Roman"/>
        </w:rPr>
        <w:t xml:space="preserve">This section </w:t>
      </w:r>
      <w:r w:rsidR="007B02C2">
        <w:rPr>
          <w:rFonts w:ascii="Times New Roman" w:hAnsi="Times New Roman" w:cs="Times New Roman"/>
        </w:rPr>
        <w:t>has the effect that</w:t>
      </w:r>
      <w:r>
        <w:rPr>
          <w:rFonts w:ascii="Times New Roman" w:hAnsi="Times New Roman" w:cs="Times New Roman"/>
        </w:rPr>
        <w:t xml:space="preserve"> in the instrument, unless the contrary intention appears:</w:t>
      </w:r>
    </w:p>
    <w:p w14:paraId="4D4D9BF0" w14:textId="77777777" w:rsidR="00B0677D" w:rsidRDefault="00B0677D" w:rsidP="00B0677D">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3564256C" w14:textId="77777777" w:rsidR="00B0677D" w:rsidRDefault="00B0677D" w:rsidP="00B0677D">
      <w:pPr>
        <w:pStyle w:val="ListParagraph"/>
        <w:numPr>
          <w:ilvl w:val="0"/>
          <w:numId w:val="7"/>
        </w:numPr>
        <w:rPr>
          <w:rFonts w:ascii="Times New Roman" w:hAnsi="Times New Roman" w:cs="Times New Roman"/>
        </w:rPr>
      </w:pPr>
      <w:r>
        <w:rPr>
          <w:rFonts w:ascii="Times New Roman" w:hAnsi="Times New Roman" w:cs="Times New Roman"/>
        </w:rPr>
        <w:t>a reference to any other kind of instrument is a reference to that other instrument as in force from time to time.</w:t>
      </w:r>
    </w:p>
    <w:p w14:paraId="5DFC74E7" w14:textId="77777777" w:rsidR="00B0677D" w:rsidRDefault="00B0677D" w:rsidP="00B0677D">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Persons to whom this industry standard applies</w:t>
      </w:r>
    </w:p>
    <w:p w14:paraId="391DA580" w14:textId="77777777" w:rsidR="00B0677D" w:rsidRDefault="00B0677D" w:rsidP="00B0677D">
      <w:pPr>
        <w:rPr>
          <w:rFonts w:ascii="Times New Roman" w:hAnsi="Times New Roman" w:cs="Times New Roman"/>
        </w:rPr>
      </w:pPr>
      <w:r>
        <w:rPr>
          <w:rFonts w:ascii="Times New Roman" w:hAnsi="Times New Roman" w:cs="Times New Roman"/>
        </w:rPr>
        <w:t xml:space="preserve">This section provides that </w:t>
      </w:r>
      <w:r w:rsidRPr="005F20D9">
        <w:rPr>
          <w:rFonts w:ascii="Times New Roman" w:hAnsi="Times New Roman" w:cs="Times New Roman"/>
        </w:rPr>
        <w:t xml:space="preserve">that for the purposes of section 125B of the Act, the </w:t>
      </w:r>
      <w:r>
        <w:rPr>
          <w:rFonts w:ascii="Times New Roman" w:hAnsi="Times New Roman" w:cs="Times New Roman"/>
        </w:rPr>
        <w:t>instrument</w:t>
      </w:r>
      <w:r w:rsidRPr="005F20D9">
        <w:rPr>
          <w:rFonts w:ascii="Times New Roman" w:hAnsi="Times New Roman" w:cs="Times New Roman"/>
        </w:rPr>
        <w:t xml:space="preserve"> applies to participants in each section of the fax marketing industry.</w:t>
      </w:r>
    </w:p>
    <w:p w14:paraId="4162E256" w14:textId="77777777" w:rsidR="00B0677D" w:rsidRDefault="00B0677D" w:rsidP="00B0677D">
      <w:pPr>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t>Prohibited times for the sending of faxes</w:t>
      </w:r>
    </w:p>
    <w:p w14:paraId="0991D7FC" w14:textId="77777777" w:rsidR="00B0677D" w:rsidRPr="00B4014E" w:rsidRDefault="00B0677D" w:rsidP="00B0677D">
      <w:pPr>
        <w:pStyle w:val="ACMABodyText"/>
        <w:rPr>
          <w:rFonts w:eastAsiaTheme="minorHAnsi"/>
          <w:snapToGrid/>
          <w:sz w:val="22"/>
          <w:szCs w:val="22"/>
        </w:rPr>
      </w:pPr>
      <w:r w:rsidRPr="00B4014E">
        <w:rPr>
          <w:rFonts w:eastAsiaTheme="minorHAnsi"/>
          <w:snapToGrid/>
          <w:sz w:val="22"/>
          <w:szCs w:val="22"/>
        </w:rPr>
        <w:t xml:space="preserve">Subsection </w:t>
      </w:r>
      <w:r>
        <w:rPr>
          <w:rFonts w:eastAsiaTheme="minorHAnsi"/>
          <w:snapToGrid/>
          <w:sz w:val="22"/>
          <w:szCs w:val="22"/>
        </w:rPr>
        <w:t>8</w:t>
      </w:r>
      <w:r w:rsidRPr="00B4014E">
        <w:rPr>
          <w:rFonts w:eastAsiaTheme="minorHAnsi"/>
          <w:snapToGrid/>
          <w:sz w:val="22"/>
          <w:szCs w:val="22"/>
        </w:rPr>
        <w:t>(1) requires that a sender must not send, or cause to be sent, a marketing fax on:</w:t>
      </w:r>
    </w:p>
    <w:p w14:paraId="3B1790C0" w14:textId="77777777" w:rsidR="00B0677D" w:rsidRPr="00B4014E" w:rsidRDefault="00B0677D" w:rsidP="00B0677D">
      <w:pPr>
        <w:numPr>
          <w:ilvl w:val="0"/>
          <w:numId w:val="22"/>
        </w:numPr>
        <w:tabs>
          <w:tab w:val="left" w:pos="567"/>
          <w:tab w:val="left" w:pos="993"/>
          <w:tab w:val="left" w:pos="1418"/>
          <w:tab w:val="left" w:pos="2268"/>
        </w:tabs>
        <w:spacing w:after="80" w:line="240" w:lineRule="auto"/>
        <w:ind w:left="567" w:firstLine="0"/>
        <w:contextualSpacing/>
        <w:rPr>
          <w:rFonts w:ascii="Times New Roman" w:hAnsi="Times New Roman" w:cs="Times New Roman"/>
        </w:rPr>
      </w:pPr>
      <w:r w:rsidRPr="00B4014E">
        <w:rPr>
          <w:rFonts w:ascii="Times New Roman" w:hAnsi="Times New Roman" w:cs="Times New Roman"/>
        </w:rPr>
        <w:t>a weekday before 9 am; or</w:t>
      </w:r>
    </w:p>
    <w:p w14:paraId="1218E40E" w14:textId="77777777" w:rsidR="00B0677D" w:rsidRPr="00B4014E" w:rsidRDefault="00B0677D" w:rsidP="00B0677D">
      <w:pPr>
        <w:numPr>
          <w:ilvl w:val="0"/>
          <w:numId w:val="22"/>
        </w:numPr>
        <w:tabs>
          <w:tab w:val="left" w:pos="567"/>
          <w:tab w:val="left" w:pos="993"/>
          <w:tab w:val="left" w:pos="1418"/>
          <w:tab w:val="left" w:pos="2268"/>
        </w:tabs>
        <w:spacing w:after="0" w:line="240" w:lineRule="auto"/>
        <w:ind w:left="567" w:firstLine="0"/>
        <w:contextualSpacing/>
        <w:rPr>
          <w:rFonts w:ascii="Times New Roman" w:hAnsi="Times New Roman" w:cs="Times New Roman"/>
        </w:rPr>
      </w:pPr>
      <w:r w:rsidRPr="00B4014E">
        <w:rPr>
          <w:rFonts w:ascii="Times New Roman" w:hAnsi="Times New Roman" w:cs="Times New Roman"/>
        </w:rPr>
        <w:t>a weekday after 8 pm; or</w:t>
      </w:r>
    </w:p>
    <w:p w14:paraId="5FF19971" w14:textId="77777777" w:rsidR="00B0677D" w:rsidRPr="00B4014E" w:rsidRDefault="00B0677D" w:rsidP="00B0677D">
      <w:pPr>
        <w:numPr>
          <w:ilvl w:val="0"/>
          <w:numId w:val="22"/>
        </w:numPr>
        <w:tabs>
          <w:tab w:val="left" w:pos="567"/>
          <w:tab w:val="left" w:pos="993"/>
          <w:tab w:val="left" w:pos="1418"/>
          <w:tab w:val="left" w:pos="2268"/>
        </w:tabs>
        <w:spacing w:after="0" w:line="240" w:lineRule="auto"/>
        <w:ind w:left="567" w:firstLine="0"/>
        <w:contextualSpacing/>
        <w:rPr>
          <w:rFonts w:ascii="Times New Roman" w:hAnsi="Times New Roman" w:cs="Times New Roman"/>
        </w:rPr>
      </w:pPr>
      <w:r w:rsidRPr="00B4014E">
        <w:rPr>
          <w:rFonts w:ascii="Times New Roman" w:hAnsi="Times New Roman" w:cs="Times New Roman"/>
        </w:rPr>
        <w:t>a Saturday before 9 am; or</w:t>
      </w:r>
    </w:p>
    <w:p w14:paraId="52987245" w14:textId="77777777" w:rsidR="00B0677D" w:rsidRPr="00B4014E" w:rsidRDefault="00B0677D" w:rsidP="00B0677D">
      <w:pPr>
        <w:numPr>
          <w:ilvl w:val="0"/>
          <w:numId w:val="22"/>
        </w:numPr>
        <w:tabs>
          <w:tab w:val="left" w:pos="567"/>
          <w:tab w:val="left" w:pos="993"/>
          <w:tab w:val="left" w:pos="1418"/>
          <w:tab w:val="left" w:pos="2268"/>
        </w:tabs>
        <w:spacing w:after="0" w:line="240" w:lineRule="auto"/>
        <w:ind w:left="567" w:firstLine="0"/>
        <w:contextualSpacing/>
        <w:rPr>
          <w:rFonts w:ascii="Times New Roman" w:hAnsi="Times New Roman" w:cs="Times New Roman"/>
        </w:rPr>
      </w:pPr>
      <w:r w:rsidRPr="00B4014E">
        <w:rPr>
          <w:rFonts w:ascii="Times New Roman" w:hAnsi="Times New Roman" w:cs="Times New Roman"/>
        </w:rPr>
        <w:t>a Saturday after 5 pm; or</w:t>
      </w:r>
    </w:p>
    <w:p w14:paraId="3D64A253" w14:textId="77777777" w:rsidR="00B0677D" w:rsidRPr="00B4014E" w:rsidRDefault="00B0677D" w:rsidP="00B0677D">
      <w:pPr>
        <w:numPr>
          <w:ilvl w:val="0"/>
          <w:numId w:val="22"/>
        </w:numPr>
        <w:tabs>
          <w:tab w:val="left" w:pos="567"/>
          <w:tab w:val="left" w:pos="993"/>
          <w:tab w:val="left" w:pos="1418"/>
          <w:tab w:val="left" w:pos="2268"/>
        </w:tabs>
        <w:spacing w:after="0" w:line="240" w:lineRule="auto"/>
        <w:ind w:left="567" w:firstLine="0"/>
        <w:contextualSpacing/>
        <w:rPr>
          <w:rFonts w:ascii="Times New Roman" w:hAnsi="Times New Roman" w:cs="Times New Roman"/>
        </w:rPr>
      </w:pPr>
      <w:r w:rsidRPr="00B4014E">
        <w:rPr>
          <w:rFonts w:ascii="Times New Roman" w:hAnsi="Times New Roman" w:cs="Times New Roman"/>
        </w:rPr>
        <w:t>a Sunday.</w:t>
      </w:r>
    </w:p>
    <w:p w14:paraId="58B41B26" w14:textId="77777777" w:rsidR="00B0677D" w:rsidRDefault="00B0677D" w:rsidP="00B0677D"/>
    <w:p w14:paraId="10826835" w14:textId="667C0E8C" w:rsidR="00B0677D" w:rsidRPr="00B4014E" w:rsidRDefault="00B0677D" w:rsidP="00B0677D">
      <w:pPr>
        <w:pStyle w:val="ACMABodyText"/>
        <w:rPr>
          <w:rFonts w:eastAsiaTheme="minorHAnsi"/>
          <w:snapToGrid/>
          <w:sz w:val="22"/>
          <w:szCs w:val="22"/>
        </w:rPr>
      </w:pPr>
      <w:r w:rsidRPr="00B4014E">
        <w:rPr>
          <w:rFonts w:eastAsiaTheme="minorHAnsi"/>
          <w:snapToGrid/>
          <w:sz w:val="22"/>
          <w:szCs w:val="22"/>
        </w:rPr>
        <w:lastRenderedPageBreak/>
        <w:t xml:space="preserve">Subsection </w:t>
      </w:r>
      <w:r>
        <w:rPr>
          <w:rFonts w:eastAsiaTheme="minorHAnsi"/>
          <w:snapToGrid/>
          <w:sz w:val="22"/>
          <w:szCs w:val="22"/>
        </w:rPr>
        <w:t>8</w:t>
      </w:r>
      <w:r w:rsidRPr="00B4014E">
        <w:rPr>
          <w:rFonts w:eastAsiaTheme="minorHAnsi"/>
          <w:snapToGrid/>
          <w:sz w:val="22"/>
          <w:szCs w:val="22"/>
        </w:rPr>
        <w:t xml:space="preserve">(2) </w:t>
      </w:r>
      <w:r>
        <w:rPr>
          <w:rFonts w:eastAsiaTheme="minorHAnsi"/>
          <w:snapToGrid/>
          <w:sz w:val="22"/>
          <w:szCs w:val="22"/>
        </w:rPr>
        <w:t>provides for additional</w:t>
      </w:r>
      <w:r w:rsidRPr="00B4014E">
        <w:rPr>
          <w:rFonts w:eastAsiaTheme="minorHAnsi"/>
          <w:snapToGrid/>
          <w:sz w:val="22"/>
          <w:szCs w:val="22"/>
        </w:rPr>
        <w:t xml:space="preserve"> prohibited times so that no marketing fax may be sent on the listed national public holidays</w:t>
      </w:r>
      <w:r>
        <w:rPr>
          <w:rFonts w:eastAsiaTheme="minorHAnsi"/>
          <w:snapToGrid/>
          <w:sz w:val="22"/>
          <w:szCs w:val="22"/>
        </w:rPr>
        <w:t>,</w:t>
      </w:r>
      <w:r w:rsidRPr="00B4014E">
        <w:rPr>
          <w:rFonts w:eastAsiaTheme="minorHAnsi"/>
          <w:snapToGrid/>
          <w:sz w:val="22"/>
          <w:szCs w:val="22"/>
        </w:rPr>
        <w:t xml:space="preserve"> or a holiday on a weekday given in lieu of one of those national public holidays.</w:t>
      </w:r>
    </w:p>
    <w:p w14:paraId="75E48634" w14:textId="77777777" w:rsidR="00B0677D" w:rsidRPr="00B4014E" w:rsidRDefault="00B0677D" w:rsidP="00B0677D">
      <w:pPr>
        <w:pStyle w:val="ACMABodyText"/>
        <w:rPr>
          <w:rFonts w:eastAsiaTheme="minorHAnsi"/>
          <w:snapToGrid/>
          <w:sz w:val="22"/>
          <w:szCs w:val="22"/>
        </w:rPr>
      </w:pPr>
      <w:r w:rsidRPr="00B4014E">
        <w:rPr>
          <w:rFonts w:eastAsiaTheme="minorHAnsi"/>
          <w:snapToGrid/>
          <w:sz w:val="22"/>
          <w:szCs w:val="22"/>
        </w:rPr>
        <w:t xml:space="preserve">Subsection </w:t>
      </w:r>
      <w:r>
        <w:rPr>
          <w:rFonts w:eastAsiaTheme="minorHAnsi"/>
          <w:snapToGrid/>
          <w:sz w:val="22"/>
          <w:szCs w:val="22"/>
        </w:rPr>
        <w:t>8</w:t>
      </w:r>
      <w:r w:rsidRPr="00B4014E">
        <w:rPr>
          <w:rFonts w:eastAsiaTheme="minorHAnsi"/>
          <w:snapToGrid/>
          <w:sz w:val="22"/>
          <w:szCs w:val="22"/>
        </w:rPr>
        <w:t xml:space="preserve">(3) </w:t>
      </w:r>
      <w:r>
        <w:rPr>
          <w:rFonts w:eastAsiaTheme="minorHAnsi"/>
          <w:snapToGrid/>
          <w:sz w:val="22"/>
          <w:szCs w:val="22"/>
        </w:rPr>
        <w:t>provides an exception to the prohibitions in subsections 8(1) and (2)</w:t>
      </w:r>
      <w:r w:rsidRPr="00B4014E">
        <w:rPr>
          <w:rFonts w:eastAsiaTheme="minorHAnsi"/>
          <w:snapToGrid/>
          <w:sz w:val="22"/>
          <w:szCs w:val="22"/>
        </w:rPr>
        <w:t xml:space="preserve"> for faxes sent or attempted to be sent outside the prohibited faxing times if the relevant account-holder or their nominee has given consent in advance to receiving a fax at the time or day at which the fax is sent or attempted to be sent</w:t>
      </w:r>
      <w:r>
        <w:rPr>
          <w:rFonts w:eastAsiaTheme="minorHAnsi"/>
          <w:snapToGrid/>
          <w:sz w:val="22"/>
          <w:szCs w:val="22"/>
        </w:rPr>
        <w:t>, and,</w:t>
      </w:r>
      <w:r w:rsidRPr="00B4014E">
        <w:rPr>
          <w:rFonts w:eastAsiaTheme="minorHAnsi"/>
          <w:snapToGrid/>
          <w:sz w:val="22"/>
          <w:szCs w:val="22"/>
        </w:rPr>
        <w:t xml:space="preserve"> </w:t>
      </w:r>
      <w:r>
        <w:rPr>
          <w:rFonts w:eastAsiaTheme="minorHAnsi"/>
          <w:snapToGrid/>
          <w:sz w:val="22"/>
          <w:szCs w:val="22"/>
        </w:rPr>
        <w:t>i</w:t>
      </w:r>
      <w:r w:rsidRPr="00B4014E">
        <w:rPr>
          <w:rFonts w:eastAsiaTheme="minorHAnsi"/>
          <w:snapToGrid/>
          <w:sz w:val="22"/>
          <w:szCs w:val="22"/>
        </w:rPr>
        <w:t>f required by ACMA, the fax advertiser demonstrate</w:t>
      </w:r>
      <w:r>
        <w:rPr>
          <w:rFonts w:eastAsiaTheme="minorHAnsi"/>
          <w:snapToGrid/>
          <w:sz w:val="22"/>
          <w:szCs w:val="22"/>
        </w:rPr>
        <w:t>s</w:t>
      </w:r>
      <w:r w:rsidRPr="00B4014E">
        <w:rPr>
          <w:rFonts w:eastAsiaTheme="minorHAnsi"/>
          <w:snapToGrid/>
          <w:sz w:val="22"/>
          <w:szCs w:val="22"/>
        </w:rPr>
        <w:t xml:space="preserve"> that consent was obtained and the fax was sent on the day or at the time consented to.</w:t>
      </w:r>
    </w:p>
    <w:p w14:paraId="5AFD67A2" w14:textId="77777777" w:rsidR="00B0677D" w:rsidRDefault="00B0677D" w:rsidP="00B0677D">
      <w:pPr>
        <w:pStyle w:val="ACMABodyText"/>
        <w:rPr>
          <w:rFonts w:eastAsiaTheme="minorHAnsi"/>
          <w:snapToGrid/>
          <w:sz w:val="22"/>
          <w:szCs w:val="22"/>
        </w:rPr>
      </w:pPr>
      <w:r w:rsidRPr="00B4014E">
        <w:rPr>
          <w:rFonts w:eastAsiaTheme="minorHAnsi"/>
          <w:snapToGrid/>
          <w:sz w:val="22"/>
          <w:szCs w:val="22"/>
        </w:rPr>
        <w:t>For the purposes of this section, the relevant time or day referred to is the time or day at the place of the usual address of the relevant account-holder.</w:t>
      </w:r>
    </w:p>
    <w:p w14:paraId="467D9DAC" w14:textId="13717A34" w:rsidR="00B0677D" w:rsidRPr="00B4014E" w:rsidRDefault="00B0677D" w:rsidP="00B0677D">
      <w:pPr>
        <w:pStyle w:val="ACMABodyText"/>
        <w:rPr>
          <w:rFonts w:eastAsiaTheme="minorHAnsi"/>
          <w:snapToGrid/>
          <w:sz w:val="22"/>
          <w:szCs w:val="22"/>
        </w:rPr>
      </w:pPr>
      <w:bookmarkStart w:id="0" w:name="_Hlk78968190"/>
      <w:r>
        <w:rPr>
          <w:rFonts w:eastAsiaTheme="minorHAnsi"/>
          <w:snapToGrid/>
          <w:sz w:val="22"/>
          <w:szCs w:val="22"/>
        </w:rPr>
        <w:t>Failure to comply with an industry standard can result in a contravention of a civil penalty provision in section 128 of the Act, by either the fax marketing industry participant or a person who is an ancillary to such a contravention. The maximum civil penalty per contravention is $250,000 for a body corporate and $50,000 for persons other than a body corporate (see Part 31 of the Act).</w:t>
      </w:r>
      <w:bookmarkEnd w:id="0"/>
    </w:p>
    <w:p w14:paraId="5C16B7EF" w14:textId="77777777" w:rsidR="00B0677D" w:rsidRDefault="00B0677D" w:rsidP="00B0677D">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Provision of information within a fax</w:t>
      </w:r>
    </w:p>
    <w:p w14:paraId="6E9B2D9A" w14:textId="73D4CAF4" w:rsidR="00B0677D" w:rsidRDefault="00B0677D" w:rsidP="00B0677D">
      <w:pPr>
        <w:rPr>
          <w:rFonts w:ascii="Times New Roman" w:hAnsi="Times New Roman" w:cs="Times New Roman"/>
        </w:rPr>
      </w:pPr>
      <w:r>
        <w:rPr>
          <w:rFonts w:ascii="Times New Roman" w:hAnsi="Times New Roman" w:cs="Times New Roman"/>
        </w:rPr>
        <w:t xml:space="preserve">This section sets out the information that must be </w:t>
      </w:r>
      <w:r w:rsidR="000953CE">
        <w:rPr>
          <w:rFonts w:ascii="Times New Roman" w:hAnsi="Times New Roman" w:cs="Times New Roman"/>
        </w:rPr>
        <w:t>provided with</w:t>
      </w:r>
      <w:r>
        <w:rPr>
          <w:rFonts w:ascii="Times New Roman" w:hAnsi="Times New Roman" w:cs="Times New Roman"/>
        </w:rPr>
        <w:t>in a fax.</w:t>
      </w:r>
    </w:p>
    <w:p w14:paraId="52316EB8" w14:textId="77777777" w:rsidR="00B0677D" w:rsidRDefault="00B0677D" w:rsidP="00B0677D">
      <w:pPr>
        <w:rPr>
          <w:rFonts w:ascii="Times New Roman" w:hAnsi="Times New Roman" w:cs="Times New Roman"/>
        </w:rPr>
      </w:pPr>
      <w:r>
        <w:rPr>
          <w:rFonts w:ascii="Times New Roman" w:hAnsi="Times New Roman" w:cs="Times New Roman"/>
        </w:rPr>
        <w:t>Information which must be provided includes:</w:t>
      </w:r>
    </w:p>
    <w:p w14:paraId="4D7179C3" w14:textId="77777777" w:rsidR="00B0677D" w:rsidRDefault="00B0677D" w:rsidP="00B0677D">
      <w:pPr>
        <w:rPr>
          <w:rFonts w:ascii="Times New Roman" w:hAnsi="Times New Roman" w:cs="Times New Roman"/>
          <w:i/>
          <w:iCs/>
        </w:rPr>
      </w:pPr>
      <w:r w:rsidRPr="003A019C">
        <w:rPr>
          <w:rFonts w:ascii="Times New Roman" w:hAnsi="Times New Roman" w:cs="Times New Roman"/>
          <w:i/>
          <w:iCs/>
        </w:rPr>
        <w:t>9(1)(a) – the name of the fax advertiser</w:t>
      </w:r>
    </w:p>
    <w:p w14:paraId="1558FD6B" w14:textId="77777777" w:rsidR="00B0677D" w:rsidRPr="00B117C6" w:rsidRDefault="00B0677D" w:rsidP="00B0677D">
      <w:pPr>
        <w:pStyle w:val="ACMABodyText"/>
        <w:rPr>
          <w:rFonts w:eastAsiaTheme="minorHAnsi"/>
          <w:snapToGrid/>
          <w:sz w:val="22"/>
          <w:szCs w:val="22"/>
        </w:rPr>
      </w:pPr>
      <w:r w:rsidRPr="00B117C6">
        <w:rPr>
          <w:rFonts w:eastAsiaTheme="minorHAnsi"/>
          <w:snapToGrid/>
          <w:sz w:val="22"/>
          <w:szCs w:val="22"/>
        </w:rPr>
        <w:t xml:space="preserve">The fax advertiser must provide their name. This will usually be the name of the company or business that authorised the sending of the fax but may include a sole trader’s full name. </w:t>
      </w:r>
    </w:p>
    <w:p w14:paraId="11FEA19B" w14:textId="77777777" w:rsidR="00B0677D" w:rsidRDefault="00B0677D" w:rsidP="00B0677D">
      <w:pPr>
        <w:rPr>
          <w:rFonts w:ascii="Times New Roman" w:hAnsi="Times New Roman" w:cs="Times New Roman"/>
          <w:i/>
          <w:iCs/>
        </w:rPr>
      </w:pPr>
      <w:r w:rsidRPr="002B6048">
        <w:rPr>
          <w:rFonts w:ascii="Times New Roman" w:hAnsi="Times New Roman" w:cs="Times New Roman"/>
          <w:i/>
          <w:iCs/>
        </w:rPr>
        <w:t>9(1)(b) - the Australian Business Number (ABN) of the fax advertiser, or equivalent business number identification if the fax advertiser is a foreign company</w:t>
      </w:r>
    </w:p>
    <w:p w14:paraId="708A5F78" w14:textId="77777777" w:rsidR="00B0677D" w:rsidRDefault="00B0677D" w:rsidP="00B0677D">
      <w:pPr>
        <w:pStyle w:val="ACMABodyText"/>
        <w:rPr>
          <w:rFonts w:eastAsiaTheme="minorHAnsi"/>
          <w:snapToGrid/>
          <w:sz w:val="22"/>
          <w:szCs w:val="22"/>
        </w:rPr>
      </w:pPr>
      <w:r w:rsidRPr="000D73F8">
        <w:rPr>
          <w:rFonts w:eastAsiaTheme="minorHAnsi"/>
          <w:snapToGrid/>
          <w:sz w:val="22"/>
          <w:szCs w:val="22"/>
        </w:rPr>
        <w:t>The fax advertiser must provide their ABN or equivalent. This will assist consumers and the ACMA to accurately identify the entity authorising the fax.</w:t>
      </w:r>
    </w:p>
    <w:p w14:paraId="077D6639" w14:textId="77777777" w:rsidR="00B0677D" w:rsidRPr="00876B21" w:rsidRDefault="00B0677D" w:rsidP="00B0677D">
      <w:pPr>
        <w:tabs>
          <w:tab w:val="left" w:pos="567"/>
          <w:tab w:val="left" w:pos="993"/>
          <w:tab w:val="left" w:pos="1418"/>
          <w:tab w:val="left" w:pos="2268"/>
        </w:tabs>
        <w:spacing w:after="0" w:line="360" w:lineRule="auto"/>
        <w:contextualSpacing/>
        <w:rPr>
          <w:rFonts w:ascii="Times New Roman" w:hAnsi="Times New Roman" w:cs="Times New Roman"/>
          <w:i/>
          <w:iCs/>
        </w:rPr>
      </w:pPr>
      <w:r w:rsidRPr="00876B21">
        <w:rPr>
          <w:rFonts w:ascii="Times New Roman" w:hAnsi="Times New Roman" w:cs="Times New Roman"/>
          <w:i/>
          <w:iCs/>
        </w:rPr>
        <w:t>9(1)(c) the contact details of the fax advertiser</w:t>
      </w:r>
    </w:p>
    <w:p w14:paraId="70C75446" w14:textId="77777777" w:rsidR="00B0677D" w:rsidRPr="00D81D52" w:rsidRDefault="00B0677D" w:rsidP="00B0677D">
      <w:pPr>
        <w:pStyle w:val="ACMABodyText"/>
        <w:rPr>
          <w:rFonts w:eastAsiaTheme="minorHAnsi"/>
          <w:snapToGrid/>
          <w:sz w:val="22"/>
          <w:szCs w:val="22"/>
        </w:rPr>
      </w:pPr>
      <w:r w:rsidRPr="00D81D52">
        <w:rPr>
          <w:rFonts w:eastAsiaTheme="minorHAnsi"/>
          <w:snapToGrid/>
          <w:sz w:val="22"/>
          <w:szCs w:val="22"/>
        </w:rPr>
        <w:t xml:space="preserve">The fax advertiser must provide their contact details. Under subsection </w:t>
      </w:r>
      <w:r>
        <w:rPr>
          <w:rFonts w:eastAsiaTheme="minorHAnsi"/>
          <w:snapToGrid/>
          <w:sz w:val="22"/>
          <w:szCs w:val="22"/>
        </w:rPr>
        <w:t>9</w:t>
      </w:r>
      <w:r w:rsidRPr="00D81D52">
        <w:rPr>
          <w:rFonts w:eastAsiaTheme="minorHAnsi"/>
          <w:snapToGrid/>
          <w:sz w:val="22"/>
          <w:szCs w:val="22"/>
        </w:rPr>
        <w:t xml:space="preserve">(3), for the purposes of subsection </w:t>
      </w:r>
      <w:r>
        <w:rPr>
          <w:rFonts w:eastAsiaTheme="minorHAnsi"/>
          <w:snapToGrid/>
          <w:sz w:val="22"/>
          <w:szCs w:val="22"/>
        </w:rPr>
        <w:t>9</w:t>
      </w:r>
      <w:r w:rsidRPr="00D81D52">
        <w:rPr>
          <w:rFonts w:eastAsiaTheme="minorHAnsi"/>
          <w:snapToGrid/>
          <w:sz w:val="22"/>
          <w:szCs w:val="22"/>
        </w:rPr>
        <w:t>(1), contact details must include a telephone or fax number suitable for receiving telephone calls or faxes during normal business hours at the location of the fax advertiser, and at least one of the following:</w:t>
      </w:r>
    </w:p>
    <w:p w14:paraId="29F8EAC8" w14:textId="77777777" w:rsidR="00B0677D" w:rsidRPr="00D81D52" w:rsidRDefault="00B0677D" w:rsidP="00B0677D">
      <w:pPr>
        <w:pStyle w:val="ListParagraph"/>
        <w:numPr>
          <w:ilvl w:val="0"/>
          <w:numId w:val="23"/>
        </w:numPr>
        <w:tabs>
          <w:tab w:val="left" w:pos="567"/>
          <w:tab w:val="left" w:pos="993"/>
          <w:tab w:val="left" w:pos="1418"/>
          <w:tab w:val="left" w:pos="2268"/>
        </w:tabs>
        <w:spacing w:after="0" w:line="360" w:lineRule="auto"/>
        <w:rPr>
          <w:rFonts w:ascii="Times New Roman" w:hAnsi="Times New Roman" w:cs="Times New Roman"/>
        </w:rPr>
      </w:pPr>
      <w:r w:rsidRPr="00D81D52">
        <w:rPr>
          <w:rFonts w:ascii="Times New Roman" w:hAnsi="Times New Roman" w:cs="Times New Roman"/>
        </w:rPr>
        <w:t xml:space="preserve">street address; </w:t>
      </w:r>
    </w:p>
    <w:p w14:paraId="4D53BD1E" w14:textId="77777777" w:rsidR="00B0677D" w:rsidRPr="00D81D52" w:rsidRDefault="00B0677D" w:rsidP="00B0677D">
      <w:pPr>
        <w:pStyle w:val="ListParagraph"/>
        <w:numPr>
          <w:ilvl w:val="0"/>
          <w:numId w:val="23"/>
        </w:numPr>
        <w:tabs>
          <w:tab w:val="left" w:pos="567"/>
          <w:tab w:val="left" w:pos="993"/>
          <w:tab w:val="left" w:pos="1418"/>
          <w:tab w:val="left" w:pos="2268"/>
        </w:tabs>
        <w:spacing w:after="0" w:line="360" w:lineRule="auto"/>
        <w:rPr>
          <w:rFonts w:ascii="Times New Roman" w:hAnsi="Times New Roman" w:cs="Times New Roman"/>
        </w:rPr>
      </w:pPr>
      <w:r w:rsidRPr="00D81D52">
        <w:rPr>
          <w:rFonts w:ascii="Times New Roman" w:hAnsi="Times New Roman" w:cs="Times New Roman"/>
        </w:rPr>
        <w:t>postal or business address, other than a street address;</w:t>
      </w:r>
    </w:p>
    <w:p w14:paraId="208B0629" w14:textId="77777777" w:rsidR="00B0677D" w:rsidRPr="00D81D52" w:rsidRDefault="00B0677D" w:rsidP="00B0677D">
      <w:pPr>
        <w:pStyle w:val="ListParagraph"/>
        <w:numPr>
          <w:ilvl w:val="0"/>
          <w:numId w:val="23"/>
        </w:numPr>
        <w:tabs>
          <w:tab w:val="left" w:pos="567"/>
          <w:tab w:val="left" w:pos="993"/>
          <w:tab w:val="left" w:pos="1418"/>
          <w:tab w:val="left" w:pos="2268"/>
        </w:tabs>
        <w:spacing w:after="0" w:line="360" w:lineRule="auto"/>
        <w:rPr>
          <w:rFonts w:ascii="Times New Roman" w:hAnsi="Times New Roman" w:cs="Times New Roman"/>
        </w:rPr>
      </w:pPr>
      <w:r w:rsidRPr="00D81D52">
        <w:rPr>
          <w:rFonts w:ascii="Times New Roman" w:hAnsi="Times New Roman" w:cs="Times New Roman"/>
        </w:rPr>
        <w:t>email address.</w:t>
      </w:r>
    </w:p>
    <w:p w14:paraId="107819B4" w14:textId="77777777" w:rsidR="00B0677D" w:rsidRDefault="00B0677D" w:rsidP="00B0677D">
      <w:pPr>
        <w:tabs>
          <w:tab w:val="left" w:pos="567"/>
          <w:tab w:val="left" w:pos="993"/>
          <w:tab w:val="left" w:pos="1418"/>
          <w:tab w:val="left" w:pos="2268"/>
        </w:tabs>
        <w:spacing w:after="0" w:line="240" w:lineRule="auto"/>
        <w:rPr>
          <w:rFonts w:ascii="Times New Roman" w:hAnsi="Times New Roman" w:cs="Times New Roman"/>
        </w:rPr>
      </w:pPr>
      <w:r w:rsidRPr="00D81D52">
        <w:rPr>
          <w:rFonts w:ascii="Times New Roman" w:hAnsi="Times New Roman" w:cs="Times New Roman"/>
        </w:rPr>
        <w:t>Fax advertisers consequently can choose whether to disclose their street address, business address or email address.</w:t>
      </w:r>
    </w:p>
    <w:p w14:paraId="6A7EDAD1" w14:textId="77777777" w:rsidR="00B0677D" w:rsidRDefault="00B0677D" w:rsidP="00B0677D">
      <w:pPr>
        <w:tabs>
          <w:tab w:val="left" w:pos="567"/>
          <w:tab w:val="left" w:pos="993"/>
          <w:tab w:val="left" w:pos="1418"/>
          <w:tab w:val="left" w:pos="2268"/>
        </w:tabs>
        <w:spacing w:after="0" w:line="240" w:lineRule="auto"/>
        <w:rPr>
          <w:rFonts w:ascii="Times New Roman" w:hAnsi="Times New Roman" w:cs="Times New Roman"/>
        </w:rPr>
      </w:pPr>
    </w:p>
    <w:p w14:paraId="1F9D6842" w14:textId="77777777" w:rsidR="00B0677D" w:rsidRPr="00B06707" w:rsidRDefault="00B0677D" w:rsidP="00B0677D">
      <w:pPr>
        <w:tabs>
          <w:tab w:val="left" w:pos="567"/>
          <w:tab w:val="left" w:pos="993"/>
          <w:tab w:val="left" w:pos="1418"/>
          <w:tab w:val="left" w:pos="2268"/>
        </w:tabs>
        <w:spacing w:after="0" w:line="360" w:lineRule="auto"/>
        <w:contextualSpacing/>
        <w:rPr>
          <w:rFonts w:ascii="Times New Roman" w:hAnsi="Times New Roman" w:cs="Times New Roman"/>
          <w:i/>
          <w:iCs/>
        </w:rPr>
      </w:pPr>
      <w:r w:rsidRPr="00B06707">
        <w:rPr>
          <w:rFonts w:ascii="Times New Roman" w:hAnsi="Times New Roman" w:cs="Times New Roman"/>
          <w:i/>
          <w:iCs/>
        </w:rPr>
        <w:t>9(1)(d) the destination number that the fax is intended to be sent to</w:t>
      </w:r>
    </w:p>
    <w:p w14:paraId="74B567C4" w14:textId="57D01B5A" w:rsidR="00B0677D" w:rsidRPr="00D12860" w:rsidRDefault="00E72636" w:rsidP="00B0677D">
      <w:pPr>
        <w:pStyle w:val="NormalWeb"/>
        <w:spacing w:before="0" w:beforeAutospacing="0" w:after="0" w:afterAutospacing="0"/>
        <w:rPr>
          <w:rFonts w:eastAsiaTheme="minorHAnsi"/>
          <w:sz w:val="22"/>
          <w:szCs w:val="22"/>
          <w:lang w:eastAsia="en-US"/>
        </w:rPr>
      </w:pPr>
      <w:r>
        <w:rPr>
          <w:rFonts w:eastAsiaTheme="minorHAnsi"/>
          <w:sz w:val="22"/>
          <w:szCs w:val="22"/>
          <w:lang w:eastAsia="en-US"/>
        </w:rPr>
        <w:t xml:space="preserve">The fax advertiser must </w:t>
      </w:r>
      <w:r w:rsidR="00B0677D" w:rsidRPr="00D12860">
        <w:rPr>
          <w:rFonts w:eastAsiaTheme="minorHAnsi"/>
          <w:sz w:val="22"/>
          <w:szCs w:val="22"/>
          <w:lang w:eastAsia="en-US"/>
        </w:rPr>
        <w:t>include the destination number that a fax is intended to be sent</w:t>
      </w:r>
      <w:r w:rsidR="002E0055">
        <w:rPr>
          <w:rFonts w:eastAsiaTheme="minorHAnsi"/>
          <w:sz w:val="22"/>
          <w:szCs w:val="22"/>
          <w:lang w:eastAsia="en-US"/>
        </w:rPr>
        <w:t xml:space="preserve"> to</w:t>
      </w:r>
      <w:r w:rsidR="00EF523E">
        <w:rPr>
          <w:rFonts w:eastAsiaTheme="minorHAnsi"/>
          <w:sz w:val="22"/>
          <w:szCs w:val="22"/>
          <w:lang w:eastAsia="en-US"/>
        </w:rPr>
        <w:t xml:space="preserve">. This will </w:t>
      </w:r>
      <w:r w:rsidR="00B0677D" w:rsidRPr="00D12860">
        <w:rPr>
          <w:rFonts w:eastAsiaTheme="minorHAnsi"/>
          <w:sz w:val="22"/>
          <w:szCs w:val="22"/>
          <w:lang w:eastAsia="en-US"/>
        </w:rPr>
        <w:t xml:space="preserve">assist fax </w:t>
      </w:r>
      <w:r w:rsidR="00945A5D">
        <w:rPr>
          <w:rFonts w:eastAsiaTheme="minorHAnsi"/>
          <w:sz w:val="22"/>
          <w:szCs w:val="22"/>
          <w:lang w:eastAsia="en-US"/>
        </w:rPr>
        <w:t>advertis</w:t>
      </w:r>
      <w:r w:rsidR="00945A5D" w:rsidRPr="00D12860">
        <w:rPr>
          <w:rFonts w:eastAsiaTheme="minorHAnsi"/>
          <w:sz w:val="22"/>
          <w:szCs w:val="22"/>
          <w:lang w:eastAsia="en-US"/>
        </w:rPr>
        <w:t xml:space="preserve">ers </w:t>
      </w:r>
      <w:r w:rsidR="00B0677D" w:rsidRPr="00D12860">
        <w:rPr>
          <w:rFonts w:eastAsiaTheme="minorHAnsi"/>
          <w:sz w:val="22"/>
          <w:szCs w:val="22"/>
          <w:lang w:eastAsia="en-US"/>
        </w:rPr>
        <w:t xml:space="preserve">and the ACMA in identifying whether faxes that were caused to be received on a fax number registered on the </w:t>
      </w:r>
      <w:r w:rsidR="00010519">
        <w:rPr>
          <w:rFonts w:eastAsiaTheme="minorHAnsi"/>
          <w:sz w:val="22"/>
          <w:szCs w:val="22"/>
          <w:lang w:eastAsia="en-US"/>
        </w:rPr>
        <w:t>Do Not Call R</w:t>
      </w:r>
      <w:r w:rsidR="00B0677D" w:rsidRPr="00D12860">
        <w:rPr>
          <w:rFonts w:eastAsiaTheme="minorHAnsi"/>
          <w:sz w:val="22"/>
          <w:szCs w:val="22"/>
          <w:lang w:eastAsia="en-US"/>
        </w:rPr>
        <w:t>egister, were received on that number due to a call diversion, PABX call routing or receipt on a dual/phone fax connection from another fax number.</w:t>
      </w:r>
    </w:p>
    <w:p w14:paraId="6E5AC874" w14:textId="119C015F" w:rsidR="00B0677D" w:rsidRPr="00D12860" w:rsidRDefault="00B0677D" w:rsidP="00B0677D">
      <w:pPr>
        <w:pStyle w:val="NormalWeb"/>
        <w:tabs>
          <w:tab w:val="left" w:pos="0"/>
        </w:tabs>
        <w:rPr>
          <w:rFonts w:eastAsiaTheme="minorHAnsi"/>
          <w:sz w:val="22"/>
          <w:szCs w:val="22"/>
          <w:lang w:eastAsia="en-US"/>
        </w:rPr>
      </w:pPr>
      <w:r w:rsidRPr="00D12860">
        <w:rPr>
          <w:rFonts w:eastAsiaTheme="minorHAnsi"/>
          <w:sz w:val="22"/>
          <w:szCs w:val="22"/>
          <w:lang w:eastAsia="en-US"/>
        </w:rPr>
        <w:lastRenderedPageBreak/>
        <w:t xml:space="preserve">This will assist </w:t>
      </w:r>
      <w:r w:rsidR="00EF523E">
        <w:rPr>
          <w:rFonts w:eastAsiaTheme="minorHAnsi"/>
          <w:sz w:val="22"/>
          <w:szCs w:val="22"/>
          <w:lang w:eastAsia="en-US"/>
        </w:rPr>
        <w:t xml:space="preserve">the ACMA </w:t>
      </w:r>
      <w:r w:rsidRPr="00D12860">
        <w:rPr>
          <w:rFonts w:eastAsiaTheme="minorHAnsi"/>
          <w:sz w:val="22"/>
          <w:szCs w:val="22"/>
          <w:lang w:eastAsia="en-US"/>
        </w:rPr>
        <w:t xml:space="preserve">in </w:t>
      </w:r>
      <w:r w:rsidR="00EF523E">
        <w:rPr>
          <w:rFonts w:eastAsiaTheme="minorHAnsi"/>
          <w:sz w:val="22"/>
          <w:szCs w:val="22"/>
          <w:lang w:eastAsia="en-US"/>
        </w:rPr>
        <w:t>identifying</w:t>
      </w:r>
      <w:r w:rsidRPr="00D12860">
        <w:rPr>
          <w:rFonts w:eastAsiaTheme="minorHAnsi"/>
          <w:sz w:val="22"/>
          <w:szCs w:val="22"/>
          <w:lang w:eastAsia="en-US"/>
        </w:rPr>
        <w:t xml:space="preserve"> the number of complaints arising from faxes that were originally sent to numbers not on the register being redirected automatically to numbers that are on the register. </w:t>
      </w:r>
    </w:p>
    <w:p w14:paraId="2BC90CE4" w14:textId="04CDDDE5" w:rsidR="00B0677D" w:rsidRPr="00C8659B" w:rsidRDefault="00B0677D" w:rsidP="00B0677D">
      <w:pPr>
        <w:tabs>
          <w:tab w:val="left" w:pos="567"/>
          <w:tab w:val="left" w:pos="993"/>
          <w:tab w:val="left" w:pos="1418"/>
          <w:tab w:val="left" w:pos="2268"/>
        </w:tabs>
        <w:spacing w:after="0" w:line="360" w:lineRule="auto"/>
        <w:contextualSpacing/>
        <w:rPr>
          <w:rFonts w:ascii="Times New Roman" w:hAnsi="Times New Roman" w:cs="Times New Roman"/>
          <w:i/>
          <w:iCs/>
        </w:rPr>
      </w:pPr>
      <w:r w:rsidRPr="00C8659B">
        <w:rPr>
          <w:rFonts w:ascii="Times New Roman" w:hAnsi="Times New Roman" w:cs="Times New Roman"/>
          <w:i/>
          <w:iCs/>
        </w:rPr>
        <w:t>9(1)(e) the details of how the fax recipient can communicate an opt-out message, including:</w:t>
      </w:r>
    </w:p>
    <w:p w14:paraId="5B005F51" w14:textId="77777777" w:rsidR="00B0677D" w:rsidRPr="00C8659B" w:rsidRDefault="00B0677D" w:rsidP="00B0677D">
      <w:pPr>
        <w:numPr>
          <w:ilvl w:val="0"/>
          <w:numId w:val="24"/>
        </w:numPr>
        <w:tabs>
          <w:tab w:val="left" w:pos="567"/>
          <w:tab w:val="left" w:pos="993"/>
          <w:tab w:val="left" w:pos="2268"/>
        </w:tabs>
        <w:spacing w:after="0" w:line="240" w:lineRule="auto"/>
        <w:contextualSpacing/>
        <w:rPr>
          <w:rFonts w:ascii="Times New Roman" w:hAnsi="Times New Roman" w:cs="Times New Roman"/>
          <w:i/>
          <w:iCs/>
        </w:rPr>
      </w:pPr>
      <w:r w:rsidRPr="00C8659B">
        <w:rPr>
          <w:rFonts w:ascii="Times New Roman" w:hAnsi="Times New Roman" w:cs="Times New Roman"/>
          <w:i/>
          <w:iCs/>
        </w:rPr>
        <w:t xml:space="preserve">a statement to the effect that the fax recipient may opt-out of receiving any future faxes from the fax advertiser by conveying an opt-out message to an opt-out address; and </w:t>
      </w:r>
    </w:p>
    <w:p w14:paraId="3855941F" w14:textId="68C65382" w:rsidR="00B0677D" w:rsidRPr="00C8659B" w:rsidRDefault="00B0677D" w:rsidP="00B0677D">
      <w:pPr>
        <w:numPr>
          <w:ilvl w:val="0"/>
          <w:numId w:val="24"/>
        </w:numPr>
        <w:tabs>
          <w:tab w:val="left" w:pos="567"/>
          <w:tab w:val="left" w:pos="993"/>
          <w:tab w:val="left" w:pos="2268"/>
        </w:tabs>
        <w:spacing w:after="0" w:line="240" w:lineRule="auto"/>
        <w:contextualSpacing/>
        <w:rPr>
          <w:rFonts w:ascii="Times New Roman" w:hAnsi="Times New Roman" w:cs="Times New Roman"/>
          <w:i/>
          <w:iCs/>
        </w:rPr>
      </w:pPr>
      <w:r w:rsidRPr="00C8659B">
        <w:rPr>
          <w:rFonts w:ascii="Times New Roman" w:hAnsi="Times New Roman" w:cs="Times New Roman"/>
          <w:i/>
          <w:iCs/>
        </w:rPr>
        <w:t>an opt-out address to which fax recipients can communicate an opt-out message.</w:t>
      </w:r>
    </w:p>
    <w:p w14:paraId="4620401B" w14:textId="77777777" w:rsidR="00B0677D" w:rsidRDefault="00B0677D" w:rsidP="00B0677D">
      <w:pPr>
        <w:tabs>
          <w:tab w:val="left" w:pos="567"/>
          <w:tab w:val="left" w:pos="993"/>
          <w:tab w:val="left" w:pos="1418"/>
          <w:tab w:val="left" w:pos="2268"/>
        </w:tabs>
        <w:spacing w:after="0" w:line="240" w:lineRule="auto"/>
        <w:rPr>
          <w:rFonts w:ascii="Times New Roman" w:hAnsi="Times New Roman" w:cs="Times New Roman"/>
        </w:rPr>
      </w:pPr>
    </w:p>
    <w:p w14:paraId="5E48134A" w14:textId="0A51F94D" w:rsidR="00B0677D" w:rsidRPr="00942942" w:rsidRDefault="00EF4EE9" w:rsidP="00B0677D">
      <w:pPr>
        <w:pStyle w:val="ACMABodyText"/>
        <w:rPr>
          <w:rFonts w:eastAsiaTheme="minorHAnsi"/>
          <w:snapToGrid/>
          <w:sz w:val="22"/>
          <w:szCs w:val="22"/>
        </w:rPr>
      </w:pPr>
      <w:r>
        <w:rPr>
          <w:rFonts w:eastAsiaTheme="minorHAnsi"/>
          <w:snapToGrid/>
          <w:sz w:val="22"/>
          <w:szCs w:val="22"/>
        </w:rPr>
        <w:t xml:space="preserve">This </w:t>
      </w:r>
      <w:r w:rsidR="00E2572D">
        <w:rPr>
          <w:rFonts w:eastAsiaTheme="minorHAnsi"/>
          <w:snapToGrid/>
          <w:sz w:val="22"/>
          <w:szCs w:val="22"/>
        </w:rPr>
        <w:t>paragraph</w:t>
      </w:r>
      <w:r>
        <w:rPr>
          <w:rFonts w:eastAsiaTheme="minorHAnsi"/>
          <w:snapToGrid/>
          <w:sz w:val="22"/>
          <w:szCs w:val="22"/>
        </w:rPr>
        <w:t xml:space="preserve"> r</w:t>
      </w:r>
      <w:r w:rsidR="00B0677D" w:rsidRPr="00942942">
        <w:rPr>
          <w:rFonts w:eastAsiaTheme="minorHAnsi"/>
          <w:snapToGrid/>
          <w:sz w:val="22"/>
          <w:szCs w:val="22"/>
        </w:rPr>
        <w:t>equir</w:t>
      </w:r>
      <w:r>
        <w:rPr>
          <w:rFonts w:eastAsiaTheme="minorHAnsi"/>
          <w:snapToGrid/>
          <w:sz w:val="22"/>
          <w:szCs w:val="22"/>
        </w:rPr>
        <w:t>es</w:t>
      </w:r>
      <w:r w:rsidR="00B0677D" w:rsidRPr="00942942">
        <w:rPr>
          <w:rFonts w:eastAsiaTheme="minorHAnsi"/>
          <w:snapToGrid/>
          <w:sz w:val="22"/>
          <w:szCs w:val="22"/>
        </w:rPr>
        <w:t xml:space="preserve"> an opt-out address to be provided </w:t>
      </w:r>
      <w:r>
        <w:rPr>
          <w:rFonts w:eastAsiaTheme="minorHAnsi"/>
          <w:snapToGrid/>
          <w:sz w:val="22"/>
          <w:szCs w:val="22"/>
        </w:rPr>
        <w:t xml:space="preserve">as it </w:t>
      </w:r>
      <w:r w:rsidR="00B0677D" w:rsidRPr="00942942">
        <w:rPr>
          <w:rFonts w:eastAsiaTheme="minorHAnsi"/>
          <w:snapToGrid/>
          <w:sz w:val="22"/>
          <w:szCs w:val="22"/>
        </w:rPr>
        <w:t xml:space="preserve">will assist recipients in ‘opting out’ of receiving </w:t>
      </w:r>
      <w:r w:rsidR="00B0677D">
        <w:rPr>
          <w:rFonts w:eastAsiaTheme="minorHAnsi"/>
          <w:snapToGrid/>
          <w:sz w:val="22"/>
          <w:szCs w:val="22"/>
        </w:rPr>
        <w:t>further</w:t>
      </w:r>
      <w:r w:rsidR="00B0677D" w:rsidRPr="00942942">
        <w:rPr>
          <w:rFonts w:eastAsiaTheme="minorHAnsi"/>
          <w:snapToGrid/>
          <w:sz w:val="22"/>
          <w:szCs w:val="22"/>
        </w:rPr>
        <w:t xml:space="preserve"> faxes from the fax advertiser. As defined in section </w:t>
      </w:r>
      <w:r w:rsidR="00B0677D">
        <w:rPr>
          <w:rFonts w:eastAsiaTheme="minorHAnsi"/>
          <w:snapToGrid/>
          <w:sz w:val="22"/>
          <w:szCs w:val="22"/>
        </w:rPr>
        <w:t>5</w:t>
      </w:r>
      <w:r w:rsidR="00B0677D" w:rsidRPr="00942942">
        <w:rPr>
          <w:rFonts w:eastAsiaTheme="minorHAnsi"/>
          <w:snapToGrid/>
          <w:sz w:val="22"/>
          <w:szCs w:val="22"/>
        </w:rPr>
        <w:t xml:space="preserve"> of the</w:t>
      </w:r>
      <w:r w:rsidR="00B0677D">
        <w:rPr>
          <w:rFonts w:eastAsiaTheme="minorHAnsi"/>
          <w:snapToGrid/>
          <w:sz w:val="22"/>
          <w:szCs w:val="22"/>
        </w:rPr>
        <w:t xml:space="preserve"> instrument</w:t>
      </w:r>
      <w:r w:rsidR="00B0677D" w:rsidRPr="00942942">
        <w:rPr>
          <w:rFonts w:eastAsiaTheme="minorHAnsi"/>
          <w:snapToGrid/>
          <w:sz w:val="22"/>
          <w:szCs w:val="22"/>
        </w:rPr>
        <w:t>, the opt</w:t>
      </w:r>
      <w:r w:rsidR="00B0677D">
        <w:rPr>
          <w:rFonts w:eastAsiaTheme="minorHAnsi"/>
          <w:snapToGrid/>
          <w:sz w:val="22"/>
          <w:szCs w:val="22"/>
        </w:rPr>
        <w:t>-</w:t>
      </w:r>
      <w:r w:rsidR="00B0677D" w:rsidRPr="00942942">
        <w:rPr>
          <w:rFonts w:eastAsiaTheme="minorHAnsi"/>
          <w:snapToGrid/>
          <w:sz w:val="22"/>
          <w:szCs w:val="22"/>
        </w:rPr>
        <w:t>out address required to be provided must include a fax number at which opt-out messages may be left as well as one other address at which an opt-out message may be sent (which must be either a toll-free or local phone number, an email address, or a website).</w:t>
      </w:r>
    </w:p>
    <w:p w14:paraId="0E18E2AA" w14:textId="6780C24A" w:rsidR="00B0677D" w:rsidRPr="00942942" w:rsidRDefault="00B0677D" w:rsidP="00B0677D">
      <w:pPr>
        <w:pStyle w:val="ACMABodyText"/>
        <w:rPr>
          <w:rFonts w:eastAsiaTheme="minorHAnsi"/>
          <w:snapToGrid/>
          <w:sz w:val="22"/>
          <w:szCs w:val="22"/>
        </w:rPr>
      </w:pPr>
      <w:r w:rsidRPr="00942942">
        <w:rPr>
          <w:rFonts w:eastAsiaTheme="minorHAnsi"/>
          <w:snapToGrid/>
          <w:sz w:val="22"/>
          <w:szCs w:val="22"/>
        </w:rPr>
        <w:t xml:space="preserve">Subsection </w:t>
      </w:r>
      <w:r>
        <w:rPr>
          <w:rFonts w:eastAsiaTheme="minorHAnsi"/>
          <w:snapToGrid/>
          <w:sz w:val="22"/>
          <w:szCs w:val="22"/>
        </w:rPr>
        <w:t>9</w:t>
      </w:r>
      <w:r w:rsidRPr="00942942">
        <w:rPr>
          <w:rFonts w:eastAsiaTheme="minorHAnsi"/>
          <w:snapToGrid/>
          <w:sz w:val="22"/>
          <w:szCs w:val="22"/>
        </w:rPr>
        <w:t>(2) requires that the information required to be included in the fax must be set out in a clear, legible, and conspicuous manner, included on the first page of the fax, and displayed using a minimum 10-point font size. This is to ensure recipients can use the contact details if they wish to pursue a query or complaint</w:t>
      </w:r>
      <w:r w:rsidR="002718A6">
        <w:t>, or can send an opt-out message</w:t>
      </w:r>
      <w:r w:rsidRPr="00942942">
        <w:rPr>
          <w:rFonts w:eastAsiaTheme="minorHAnsi"/>
          <w:snapToGrid/>
          <w:sz w:val="22"/>
          <w:szCs w:val="22"/>
        </w:rPr>
        <w:t>.</w:t>
      </w:r>
    </w:p>
    <w:p w14:paraId="6BBC52FF" w14:textId="77777777" w:rsidR="00B0677D" w:rsidRDefault="00B0677D" w:rsidP="00B0677D">
      <w:pPr>
        <w:pStyle w:val="ACMABodyText"/>
        <w:rPr>
          <w:rFonts w:eastAsiaTheme="minorHAnsi"/>
          <w:snapToGrid/>
          <w:sz w:val="22"/>
          <w:szCs w:val="22"/>
        </w:rPr>
      </w:pPr>
      <w:r w:rsidRPr="00942942">
        <w:rPr>
          <w:rFonts w:eastAsiaTheme="minorHAnsi"/>
          <w:snapToGrid/>
          <w:sz w:val="22"/>
          <w:szCs w:val="22"/>
        </w:rPr>
        <w:t xml:space="preserve">Information provided under section </w:t>
      </w:r>
      <w:r>
        <w:rPr>
          <w:rFonts w:eastAsiaTheme="minorHAnsi"/>
          <w:snapToGrid/>
          <w:sz w:val="22"/>
          <w:szCs w:val="22"/>
        </w:rPr>
        <w:t>9</w:t>
      </w:r>
      <w:r w:rsidRPr="00942942">
        <w:rPr>
          <w:rFonts w:eastAsiaTheme="minorHAnsi"/>
          <w:snapToGrid/>
          <w:sz w:val="22"/>
          <w:szCs w:val="22"/>
        </w:rPr>
        <w:t xml:space="preserve"> will assist faxed parties who wish to pursue a query or complaint relating to a particular marketing fax. It will also assist the ACMA in the investigation of any potential breach of the Standard and the DNCR Act.</w:t>
      </w:r>
    </w:p>
    <w:p w14:paraId="6032B7E4" w14:textId="16BE605C" w:rsidR="00B0677D" w:rsidRDefault="00B0677D" w:rsidP="00B0677D">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006109BE">
        <w:rPr>
          <w:rFonts w:ascii="Times New Roman" w:hAnsi="Times New Roman" w:cs="Times New Roman"/>
          <w:b/>
        </w:rPr>
        <w:t>P</w:t>
      </w:r>
      <w:r w:rsidRPr="00F516AE">
        <w:rPr>
          <w:rFonts w:ascii="Times New Roman" w:hAnsi="Times New Roman" w:cs="Times New Roman"/>
          <w:b/>
        </w:rPr>
        <w:t>roviding fax recipient with facility to opt out from receiving</w:t>
      </w:r>
      <w:r>
        <w:rPr>
          <w:rFonts w:ascii="Times New Roman" w:hAnsi="Times New Roman" w:cs="Times New Roman"/>
          <w:b/>
        </w:rPr>
        <w:t xml:space="preserve"> </w:t>
      </w:r>
      <w:r w:rsidRPr="00F516AE">
        <w:rPr>
          <w:rFonts w:ascii="Times New Roman" w:hAnsi="Times New Roman" w:cs="Times New Roman"/>
          <w:b/>
        </w:rPr>
        <w:t>further faxes</w:t>
      </w:r>
    </w:p>
    <w:p w14:paraId="14C58F7B" w14:textId="77777777" w:rsidR="00B0677D" w:rsidRPr="00EC0A6E" w:rsidRDefault="00B0677D" w:rsidP="00B0677D">
      <w:pPr>
        <w:pStyle w:val="ACMABodyText"/>
      </w:pPr>
      <w:r w:rsidRPr="00EC0A6E">
        <w:rPr>
          <w:rFonts w:eastAsiaTheme="minorHAnsi"/>
          <w:snapToGrid/>
          <w:sz w:val="22"/>
          <w:szCs w:val="22"/>
        </w:rPr>
        <w:t>Subsection 10(1) requires that a fax recipient will be taken to have opted out of receiving fax messages if the person has sent, left at, or otherwise communicated an opt-out message to the opt-out address provided in a marketing fax. Under paragraph 10(2)(b), once a fax recipient has opted-out of receiving fax marketing messages from a fax advertiser, the fax recipient must be removed from any list of Australian numbers used by the sender to arrange for the sending of faxes on behalf of the fax advertiser within 7 days.</w:t>
      </w:r>
    </w:p>
    <w:p w14:paraId="7A1E1981" w14:textId="77777777" w:rsidR="00B0677D" w:rsidRDefault="00B0677D" w:rsidP="00B0677D">
      <w:pPr>
        <w:pStyle w:val="ACMABodyText"/>
        <w:rPr>
          <w:rFonts w:eastAsiaTheme="minorHAnsi"/>
          <w:snapToGrid/>
          <w:sz w:val="22"/>
          <w:szCs w:val="22"/>
        </w:rPr>
      </w:pPr>
      <w:r w:rsidRPr="00B673D6">
        <w:rPr>
          <w:rFonts w:eastAsiaTheme="minorHAnsi"/>
          <w:snapToGrid/>
          <w:sz w:val="22"/>
          <w:szCs w:val="22"/>
        </w:rPr>
        <w:t xml:space="preserve">Paragraph </w:t>
      </w:r>
      <w:r>
        <w:rPr>
          <w:rFonts w:eastAsiaTheme="minorHAnsi"/>
          <w:snapToGrid/>
          <w:sz w:val="22"/>
          <w:szCs w:val="22"/>
        </w:rPr>
        <w:t>10</w:t>
      </w:r>
      <w:r w:rsidRPr="00B673D6">
        <w:rPr>
          <w:rFonts w:eastAsiaTheme="minorHAnsi"/>
          <w:snapToGrid/>
          <w:sz w:val="22"/>
          <w:szCs w:val="22"/>
        </w:rPr>
        <w:t>(2)(a) states that a sender must have in place processes to ensure that the opt-out address provided in the fax is reasonabl</w:t>
      </w:r>
      <w:r>
        <w:rPr>
          <w:rFonts w:eastAsiaTheme="minorHAnsi"/>
          <w:snapToGrid/>
          <w:sz w:val="22"/>
          <w:szCs w:val="22"/>
        </w:rPr>
        <w:t>y</w:t>
      </w:r>
      <w:r w:rsidRPr="00B673D6">
        <w:rPr>
          <w:rFonts w:eastAsiaTheme="minorHAnsi"/>
          <w:snapToGrid/>
          <w:sz w:val="22"/>
          <w:szCs w:val="22"/>
        </w:rPr>
        <w:t xml:space="preserve"> likely to be capable of receiving opt-out messages at all times. This will help to ensure that opt-out messages are received and </w:t>
      </w:r>
      <w:r>
        <w:rPr>
          <w:rFonts w:eastAsiaTheme="minorHAnsi"/>
          <w:snapToGrid/>
          <w:sz w:val="22"/>
          <w:szCs w:val="22"/>
        </w:rPr>
        <w:t xml:space="preserve">can be </w:t>
      </w:r>
      <w:r w:rsidRPr="00B673D6">
        <w:rPr>
          <w:rFonts w:eastAsiaTheme="minorHAnsi"/>
          <w:snapToGrid/>
          <w:sz w:val="22"/>
          <w:szCs w:val="22"/>
        </w:rPr>
        <w:t xml:space="preserve">actioned </w:t>
      </w:r>
      <w:r>
        <w:rPr>
          <w:rFonts w:eastAsiaTheme="minorHAnsi"/>
          <w:snapToGrid/>
          <w:sz w:val="22"/>
          <w:szCs w:val="22"/>
        </w:rPr>
        <w:t xml:space="preserve">promptly and </w:t>
      </w:r>
      <w:r w:rsidRPr="00B673D6">
        <w:rPr>
          <w:rFonts w:eastAsiaTheme="minorHAnsi"/>
          <w:snapToGrid/>
          <w:sz w:val="22"/>
          <w:szCs w:val="22"/>
        </w:rPr>
        <w:t>appropriately.</w:t>
      </w:r>
    </w:p>
    <w:p w14:paraId="7F9D6CB8" w14:textId="77777777" w:rsidR="00B0677D" w:rsidRDefault="00B0677D" w:rsidP="00B0677D">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r>
      <w:r w:rsidRPr="00F97F59">
        <w:rPr>
          <w:rFonts w:ascii="Times New Roman" w:hAnsi="Times New Roman" w:cs="Times New Roman"/>
          <w:b/>
        </w:rPr>
        <w:t>Limit on number of faxes to be sent to a recipient in a period</w:t>
      </w:r>
    </w:p>
    <w:p w14:paraId="5560D93C" w14:textId="77777777" w:rsidR="00B0677D" w:rsidRPr="00CC007C" w:rsidRDefault="00B0677D" w:rsidP="00B0677D">
      <w:pPr>
        <w:rPr>
          <w:rFonts w:ascii="Times New Roman" w:hAnsi="Times New Roman" w:cs="Times New Roman"/>
          <w:bCs/>
        </w:rPr>
      </w:pPr>
      <w:r>
        <w:rPr>
          <w:rFonts w:ascii="Times New Roman" w:hAnsi="Times New Roman" w:cs="Times New Roman"/>
          <w:bCs/>
        </w:rPr>
        <w:t xml:space="preserve">This section provides that a sender must make reasonable efforts to ensure it does not send more than 10 faxes in respect of the same fax advertiser, to a particular Australian number in any </w:t>
      </w:r>
      <w:r w:rsidRPr="00CC007C">
        <w:rPr>
          <w:rFonts w:ascii="Times New Roman" w:hAnsi="Times New Roman" w:cs="Times New Roman"/>
          <w:bCs/>
        </w:rPr>
        <w:t>24-hour period.</w:t>
      </w:r>
    </w:p>
    <w:p w14:paraId="7F7ABF84" w14:textId="77777777" w:rsidR="00B0677D" w:rsidRDefault="00B0677D" w:rsidP="00B0677D">
      <w:pPr>
        <w:rPr>
          <w:rFonts w:ascii="Times New Roman" w:hAnsi="Times New Roman" w:cs="Times New Roman"/>
          <w:bCs/>
        </w:rPr>
      </w:pPr>
      <w:r w:rsidRPr="00CC007C">
        <w:rPr>
          <w:rFonts w:ascii="Times New Roman" w:hAnsi="Times New Roman" w:cs="Times New Roman"/>
          <w:bCs/>
        </w:rPr>
        <w:t>This is to ensure that a fax recipient is not inundated with marketing faxes but also provides some allowance for dialling errors.</w:t>
      </w:r>
    </w:p>
    <w:p w14:paraId="0887AC74" w14:textId="77777777" w:rsidR="00B0677D" w:rsidRDefault="00B0677D" w:rsidP="00B0677D">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r>
      <w:r w:rsidRPr="00370E96">
        <w:rPr>
          <w:rFonts w:ascii="Times New Roman" w:hAnsi="Times New Roman" w:cs="Times New Roman"/>
          <w:b/>
        </w:rPr>
        <w:t>Operation of State and Territory laws</w:t>
      </w:r>
    </w:p>
    <w:p w14:paraId="1A004ED8" w14:textId="127266E2" w:rsidR="00B368BE" w:rsidRPr="00BB1B68" w:rsidRDefault="00B0677D" w:rsidP="00B0677D">
      <w:pPr>
        <w:rPr>
          <w:rFonts w:ascii="Times New Roman" w:hAnsi="Times New Roman" w:cs="Times New Roman"/>
        </w:rPr>
      </w:pPr>
      <w:r w:rsidRPr="00B368BE">
        <w:rPr>
          <w:rFonts w:ascii="Times New Roman" w:hAnsi="Times New Roman" w:cs="Times New Roman"/>
        </w:rPr>
        <w:t>This section provides that the industry standard is not intended to exclude the operation of a law of a State or Territory to the extent that the law is capable of operating concurrently with the industry standard.</w:t>
      </w:r>
    </w:p>
    <w:sectPr w:rsidR="00B368BE" w:rsidRPr="00BB1B68" w:rsidSect="00082354">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1E1D" w14:textId="77777777" w:rsidR="00D70B22" w:rsidRDefault="00D70B22" w:rsidP="00025ACE">
      <w:pPr>
        <w:spacing w:after="0" w:line="240" w:lineRule="auto"/>
      </w:pPr>
      <w:r>
        <w:separator/>
      </w:r>
    </w:p>
  </w:endnote>
  <w:endnote w:type="continuationSeparator" w:id="0">
    <w:p w14:paraId="663D382F" w14:textId="77777777" w:rsidR="00D70B22" w:rsidRDefault="00D70B22"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74B1AF47"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86CB7">
          <w:rPr>
            <w:rFonts w:ascii="Times New Roman" w:hAnsi="Times New Roman" w:cs="Times New Roman"/>
            <w:i/>
          </w:rPr>
          <w:t>Telecommunications Fax Marketing Industry Standard 2021</w:t>
        </w:r>
      </w:p>
      <w:p w14:paraId="556B0C98" w14:textId="77777777" w:rsidR="00AD3414" w:rsidRDefault="00AD3414">
        <w:pPr>
          <w:pStyle w:val="Footer"/>
          <w:jc w:val="right"/>
        </w:pPr>
      </w:p>
      <w:p w14:paraId="4E36910F" w14:textId="23275338"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5ADB" w14:textId="77777777" w:rsidR="00D70B22" w:rsidRDefault="00D70B22" w:rsidP="00025ACE">
      <w:pPr>
        <w:spacing w:after="0" w:line="240" w:lineRule="auto"/>
      </w:pPr>
      <w:r>
        <w:separator/>
      </w:r>
    </w:p>
  </w:footnote>
  <w:footnote w:type="continuationSeparator" w:id="0">
    <w:p w14:paraId="1D70CCDB" w14:textId="77777777" w:rsidR="00D70B22" w:rsidRDefault="00D70B22" w:rsidP="00025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5EB"/>
    <w:multiLevelType w:val="hybridMultilevel"/>
    <w:tmpl w:val="A0902742"/>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2C186A"/>
    <w:multiLevelType w:val="hybridMultilevel"/>
    <w:tmpl w:val="D5688FF8"/>
    <w:lvl w:ilvl="0" w:tplc="A7F6133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EE200D3"/>
    <w:multiLevelType w:val="hybridMultilevel"/>
    <w:tmpl w:val="A322DE44"/>
    <w:lvl w:ilvl="0" w:tplc="130407F8">
      <w:start w:val="1"/>
      <w:numFmt w:val="lowerRoman"/>
      <w:lvlText w:val="(%1)"/>
      <w:lvlJc w:val="left"/>
      <w:pPr>
        <w:ind w:left="720" w:hanging="360"/>
      </w:pPr>
    </w:lvl>
    <w:lvl w:ilvl="1" w:tplc="ECB21B44">
      <w:start w:val="1"/>
      <w:numFmt w:val="lowerLetter"/>
      <w:lvlText w:val="(%2)"/>
      <w:lvlJc w:val="left"/>
      <w:pPr>
        <w:ind w:left="1440" w:hanging="360"/>
      </w:pPr>
    </w:lvl>
    <w:lvl w:ilvl="2" w:tplc="D0DC20A0">
      <w:start w:val="1"/>
      <w:numFmt w:val="lowerRoman"/>
      <w:suff w:val="space"/>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3FB0408"/>
    <w:multiLevelType w:val="hybridMultilevel"/>
    <w:tmpl w:val="FD8A5A08"/>
    <w:lvl w:ilvl="0" w:tplc="678E0D14">
      <w:start w:val="1"/>
      <w:numFmt w:val="lowerLetter"/>
      <w:lvlText w:val="(%1)"/>
      <w:lvlJc w:val="left"/>
      <w:pPr>
        <w:ind w:left="3196" w:hanging="360"/>
      </w:pPr>
    </w:lvl>
    <w:lvl w:ilvl="1" w:tplc="0C090019">
      <w:start w:val="1"/>
      <w:numFmt w:val="lowerLetter"/>
      <w:lvlText w:val="%2."/>
      <w:lvlJc w:val="left"/>
      <w:pPr>
        <w:ind w:left="3916" w:hanging="360"/>
      </w:pPr>
    </w:lvl>
    <w:lvl w:ilvl="2" w:tplc="0C09001B">
      <w:start w:val="1"/>
      <w:numFmt w:val="lowerRoman"/>
      <w:lvlText w:val="%3."/>
      <w:lvlJc w:val="right"/>
      <w:pPr>
        <w:ind w:left="4636" w:hanging="180"/>
      </w:pPr>
    </w:lvl>
    <w:lvl w:ilvl="3" w:tplc="0C09000F">
      <w:start w:val="1"/>
      <w:numFmt w:val="decimal"/>
      <w:lvlText w:val="%4."/>
      <w:lvlJc w:val="left"/>
      <w:pPr>
        <w:ind w:left="5356" w:hanging="360"/>
      </w:pPr>
    </w:lvl>
    <w:lvl w:ilvl="4" w:tplc="0C090019">
      <w:start w:val="1"/>
      <w:numFmt w:val="lowerLetter"/>
      <w:lvlText w:val="%5."/>
      <w:lvlJc w:val="left"/>
      <w:pPr>
        <w:ind w:left="6076" w:hanging="360"/>
      </w:pPr>
    </w:lvl>
    <w:lvl w:ilvl="5" w:tplc="0C09001B">
      <w:start w:val="1"/>
      <w:numFmt w:val="lowerRoman"/>
      <w:lvlText w:val="%6."/>
      <w:lvlJc w:val="right"/>
      <w:pPr>
        <w:ind w:left="6796" w:hanging="180"/>
      </w:pPr>
    </w:lvl>
    <w:lvl w:ilvl="6" w:tplc="0C09000F">
      <w:start w:val="1"/>
      <w:numFmt w:val="decimal"/>
      <w:lvlText w:val="%7."/>
      <w:lvlJc w:val="left"/>
      <w:pPr>
        <w:ind w:left="7516" w:hanging="360"/>
      </w:pPr>
    </w:lvl>
    <w:lvl w:ilvl="7" w:tplc="0C090019">
      <w:start w:val="1"/>
      <w:numFmt w:val="lowerLetter"/>
      <w:lvlText w:val="%8."/>
      <w:lvlJc w:val="left"/>
      <w:pPr>
        <w:ind w:left="8236" w:hanging="360"/>
      </w:pPr>
    </w:lvl>
    <w:lvl w:ilvl="8" w:tplc="0C09001B">
      <w:start w:val="1"/>
      <w:numFmt w:val="lowerRoman"/>
      <w:lvlText w:val="%9."/>
      <w:lvlJc w:val="right"/>
      <w:pPr>
        <w:ind w:left="8956" w:hanging="180"/>
      </w:p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DD6DD5"/>
    <w:multiLevelType w:val="hybridMultilevel"/>
    <w:tmpl w:val="9C38BDC2"/>
    <w:lvl w:ilvl="0" w:tplc="A7DC2F7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9454980"/>
    <w:multiLevelType w:val="hybridMultilevel"/>
    <w:tmpl w:val="CA9EC802"/>
    <w:lvl w:ilvl="0" w:tplc="A7F6133E">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FA83CB5"/>
    <w:multiLevelType w:val="hybridMultilevel"/>
    <w:tmpl w:val="E46C921A"/>
    <w:lvl w:ilvl="0" w:tplc="2306DE96">
      <w:start w:val="12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6"/>
  </w:num>
  <w:num w:numId="5">
    <w:abstractNumId w:val="5"/>
  </w:num>
  <w:num w:numId="6">
    <w:abstractNumId w:val="1"/>
  </w:num>
  <w:num w:numId="7">
    <w:abstractNumId w:val="3"/>
  </w:num>
  <w:num w:numId="8">
    <w:abstractNumId w:val="11"/>
  </w:num>
  <w:num w:numId="9">
    <w:abstractNumId w:val="2"/>
  </w:num>
  <w:num w:numId="10">
    <w:abstractNumId w:val="3"/>
  </w:num>
  <w:num w:numId="11">
    <w:abstractNumId w:val="6"/>
  </w:num>
  <w:num w:numId="12">
    <w:abstractNumId w:val="5"/>
  </w:num>
  <w:num w:numId="13">
    <w:abstractNumId w:val="11"/>
  </w:num>
  <w:num w:numId="14">
    <w:abstractNumId w:val="2"/>
  </w:num>
  <w:num w:numId="15">
    <w:abstractNumId w:val="3"/>
  </w:num>
  <w:num w:numId="16">
    <w:abstractNumId w:val="6"/>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0519"/>
    <w:rsid w:val="000124F9"/>
    <w:rsid w:val="00013079"/>
    <w:rsid w:val="00015F0B"/>
    <w:rsid w:val="00017BFD"/>
    <w:rsid w:val="00020E76"/>
    <w:rsid w:val="00025ACE"/>
    <w:rsid w:val="00032D6A"/>
    <w:rsid w:val="00032DA9"/>
    <w:rsid w:val="000331C5"/>
    <w:rsid w:val="00035A08"/>
    <w:rsid w:val="00036F4A"/>
    <w:rsid w:val="00037DEA"/>
    <w:rsid w:val="00037F0E"/>
    <w:rsid w:val="000455E6"/>
    <w:rsid w:val="00047CC5"/>
    <w:rsid w:val="00057E0F"/>
    <w:rsid w:val="00065CEE"/>
    <w:rsid w:val="00070D91"/>
    <w:rsid w:val="000726C7"/>
    <w:rsid w:val="00074A8D"/>
    <w:rsid w:val="00082354"/>
    <w:rsid w:val="00083FBB"/>
    <w:rsid w:val="000953CE"/>
    <w:rsid w:val="00095AB3"/>
    <w:rsid w:val="000975F0"/>
    <w:rsid w:val="000A152B"/>
    <w:rsid w:val="000A3A94"/>
    <w:rsid w:val="000A4E49"/>
    <w:rsid w:val="000B0BA7"/>
    <w:rsid w:val="000B1E62"/>
    <w:rsid w:val="000B33B6"/>
    <w:rsid w:val="000B4B6C"/>
    <w:rsid w:val="000C4E45"/>
    <w:rsid w:val="000C6436"/>
    <w:rsid w:val="000D40D7"/>
    <w:rsid w:val="000D4ECE"/>
    <w:rsid w:val="000D73F8"/>
    <w:rsid w:val="000E1F80"/>
    <w:rsid w:val="000E38C9"/>
    <w:rsid w:val="000E6F58"/>
    <w:rsid w:val="000F6255"/>
    <w:rsid w:val="00104130"/>
    <w:rsid w:val="001042F2"/>
    <w:rsid w:val="00106523"/>
    <w:rsid w:val="00112987"/>
    <w:rsid w:val="0011720E"/>
    <w:rsid w:val="00117351"/>
    <w:rsid w:val="00121B9E"/>
    <w:rsid w:val="00122072"/>
    <w:rsid w:val="00122C7B"/>
    <w:rsid w:val="00134705"/>
    <w:rsid w:val="00146A0C"/>
    <w:rsid w:val="00161C73"/>
    <w:rsid w:val="00167B1F"/>
    <w:rsid w:val="00185BDC"/>
    <w:rsid w:val="00186FE3"/>
    <w:rsid w:val="001A0AFF"/>
    <w:rsid w:val="001B13B9"/>
    <w:rsid w:val="001B43C8"/>
    <w:rsid w:val="001C4BF8"/>
    <w:rsid w:val="001C5421"/>
    <w:rsid w:val="001D5C25"/>
    <w:rsid w:val="001E343E"/>
    <w:rsid w:val="001F7978"/>
    <w:rsid w:val="0020146F"/>
    <w:rsid w:val="002056A1"/>
    <w:rsid w:val="00212847"/>
    <w:rsid w:val="002130ED"/>
    <w:rsid w:val="0022361E"/>
    <w:rsid w:val="002508F7"/>
    <w:rsid w:val="00255787"/>
    <w:rsid w:val="00262873"/>
    <w:rsid w:val="002634A7"/>
    <w:rsid w:val="00264CF7"/>
    <w:rsid w:val="002660DF"/>
    <w:rsid w:val="00266102"/>
    <w:rsid w:val="002674E7"/>
    <w:rsid w:val="002718A6"/>
    <w:rsid w:val="002800A7"/>
    <w:rsid w:val="002856FA"/>
    <w:rsid w:val="00291BCD"/>
    <w:rsid w:val="002A0053"/>
    <w:rsid w:val="002A4E10"/>
    <w:rsid w:val="002B0A61"/>
    <w:rsid w:val="002B4744"/>
    <w:rsid w:val="002B5BCE"/>
    <w:rsid w:val="002B6048"/>
    <w:rsid w:val="002B6452"/>
    <w:rsid w:val="002B6699"/>
    <w:rsid w:val="002C0A74"/>
    <w:rsid w:val="002C2256"/>
    <w:rsid w:val="002D2CE5"/>
    <w:rsid w:val="002D335B"/>
    <w:rsid w:val="002E0055"/>
    <w:rsid w:val="002E3B2A"/>
    <w:rsid w:val="002F3156"/>
    <w:rsid w:val="002F36E0"/>
    <w:rsid w:val="00303EE9"/>
    <w:rsid w:val="00312C84"/>
    <w:rsid w:val="003135AE"/>
    <w:rsid w:val="003200D0"/>
    <w:rsid w:val="003209B3"/>
    <w:rsid w:val="00327856"/>
    <w:rsid w:val="00332EFD"/>
    <w:rsid w:val="00333824"/>
    <w:rsid w:val="00335D33"/>
    <w:rsid w:val="00342352"/>
    <w:rsid w:val="003434D4"/>
    <w:rsid w:val="00356315"/>
    <w:rsid w:val="00363025"/>
    <w:rsid w:val="00363234"/>
    <w:rsid w:val="0036752E"/>
    <w:rsid w:val="00370620"/>
    <w:rsid w:val="00370759"/>
    <w:rsid w:val="00370E96"/>
    <w:rsid w:val="00375FA7"/>
    <w:rsid w:val="00380019"/>
    <w:rsid w:val="003815CA"/>
    <w:rsid w:val="00385EF1"/>
    <w:rsid w:val="003A019C"/>
    <w:rsid w:val="003A3635"/>
    <w:rsid w:val="003A7407"/>
    <w:rsid w:val="003B08E1"/>
    <w:rsid w:val="003B3D92"/>
    <w:rsid w:val="003B5BFC"/>
    <w:rsid w:val="003B7010"/>
    <w:rsid w:val="003C2F82"/>
    <w:rsid w:val="003C3E41"/>
    <w:rsid w:val="003C44B4"/>
    <w:rsid w:val="003D08F6"/>
    <w:rsid w:val="003D46E1"/>
    <w:rsid w:val="003D74BE"/>
    <w:rsid w:val="003E0D0D"/>
    <w:rsid w:val="003F28BB"/>
    <w:rsid w:val="003F796C"/>
    <w:rsid w:val="00400507"/>
    <w:rsid w:val="004029D5"/>
    <w:rsid w:val="00406EA8"/>
    <w:rsid w:val="0041003E"/>
    <w:rsid w:val="00417A5E"/>
    <w:rsid w:val="004362E3"/>
    <w:rsid w:val="00446CB7"/>
    <w:rsid w:val="00450F48"/>
    <w:rsid w:val="00451DCC"/>
    <w:rsid w:val="00454562"/>
    <w:rsid w:val="0045489F"/>
    <w:rsid w:val="004602FB"/>
    <w:rsid w:val="00470BEC"/>
    <w:rsid w:val="00473DFD"/>
    <w:rsid w:val="00474889"/>
    <w:rsid w:val="0048233E"/>
    <w:rsid w:val="004826DD"/>
    <w:rsid w:val="0048506F"/>
    <w:rsid w:val="0049289F"/>
    <w:rsid w:val="004963B3"/>
    <w:rsid w:val="004971D6"/>
    <w:rsid w:val="004A1064"/>
    <w:rsid w:val="004A165D"/>
    <w:rsid w:val="004A737D"/>
    <w:rsid w:val="004B13DE"/>
    <w:rsid w:val="004B4B3E"/>
    <w:rsid w:val="004C27EF"/>
    <w:rsid w:val="004C33B8"/>
    <w:rsid w:val="004C413D"/>
    <w:rsid w:val="004C58B9"/>
    <w:rsid w:val="004D280E"/>
    <w:rsid w:val="004D2843"/>
    <w:rsid w:val="004E790E"/>
    <w:rsid w:val="004F3805"/>
    <w:rsid w:val="00501BD4"/>
    <w:rsid w:val="005022FF"/>
    <w:rsid w:val="00502A7F"/>
    <w:rsid w:val="0050389F"/>
    <w:rsid w:val="00503C67"/>
    <w:rsid w:val="00507A30"/>
    <w:rsid w:val="00516505"/>
    <w:rsid w:val="00516C1A"/>
    <w:rsid w:val="0052687A"/>
    <w:rsid w:val="00532874"/>
    <w:rsid w:val="00542039"/>
    <w:rsid w:val="00546F3F"/>
    <w:rsid w:val="00556AF0"/>
    <w:rsid w:val="00560269"/>
    <w:rsid w:val="00570722"/>
    <w:rsid w:val="00570974"/>
    <w:rsid w:val="0057520A"/>
    <w:rsid w:val="005958D6"/>
    <w:rsid w:val="005964CF"/>
    <w:rsid w:val="005A02A3"/>
    <w:rsid w:val="005A1AA1"/>
    <w:rsid w:val="005A3F5C"/>
    <w:rsid w:val="005B1B41"/>
    <w:rsid w:val="005B4863"/>
    <w:rsid w:val="005B7019"/>
    <w:rsid w:val="005C040A"/>
    <w:rsid w:val="005C11A9"/>
    <w:rsid w:val="005C65EB"/>
    <w:rsid w:val="005E65D0"/>
    <w:rsid w:val="005F20D9"/>
    <w:rsid w:val="005F23A3"/>
    <w:rsid w:val="005F5824"/>
    <w:rsid w:val="005F5BE6"/>
    <w:rsid w:val="00600393"/>
    <w:rsid w:val="00603B3F"/>
    <w:rsid w:val="006067D5"/>
    <w:rsid w:val="0061015A"/>
    <w:rsid w:val="006109BE"/>
    <w:rsid w:val="006129F4"/>
    <w:rsid w:val="00627F0D"/>
    <w:rsid w:val="00640EEC"/>
    <w:rsid w:val="00641906"/>
    <w:rsid w:val="00656001"/>
    <w:rsid w:val="00663AF2"/>
    <w:rsid w:val="00666E9D"/>
    <w:rsid w:val="00670716"/>
    <w:rsid w:val="00671216"/>
    <w:rsid w:val="00676289"/>
    <w:rsid w:val="00681986"/>
    <w:rsid w:val="0068238C"/>
    <w:rsid w:val="00683C55"/>
    <w:rsid w:val="00683D49"/>
    <w:rsid w:val="00686CC9"/>
    <w:rsid w:val="00686F06"/>
    <w:rsid w:val="00687290"/>
    <w:rsid w:val="00691FF2"/>
    <w:rsid w:val="006940DB"/>
    <w:rsid w:val="00696659"/>
    <w:rsid w:val="006969A4"/>
    <w:rsid w:val="00696B8D"/>
    <w:rsid w:val="006A0BDF"/>
    <w:rsid w:val="006A53BB"/>
    <w:rsid w:val="006A75AF"/>
    <w:rsid w:val="006B2AED"/>
    <w:rsid w:val="006C3B62"/>
    <w:rsid w:val="006C59D5"/>
    <w:rsid w:val="006C7FFE"/>
    <w:rsid w:val="006D030D"/>
    <w:rsid w:val="006E3784"/>
    <w:rsid w:val="006E7C36"/>
    <w:rsid w:val="006F32BF"/>
    <w:rsid w:val="006F797E"/>
    <w:rsid w:val="006F7BE5"/>
    <w:rsid w:val="00700A02"/>
    <w:rsid w:val="00706F43"/>
    <w:rsid w:val="0070719C"/>
    <w:rsid w:val="00727072"/>
    <w:rsid w:val="007279B1"/>
    <w:rsid w:val="00742111"/>
    <w:rsid w:val="0074661C"/>
    <w:rsid w:val="007501D4"/>
    <w:rsid w:val="00750397"/>
    <w:rsid w:val="00757853"/>
    <w:rsid w:val="00766475"/>
    <w:rsid w:val="0077364D"/>
    <w:rsid w:val="00773C68"/>
    <w:rsid w:val="00774F84"/>
    <w:rsid w:val="0077770D"/>
    <w:rsid w:val="007920CB"/>
    <w:rsid w:val="00794C5F"/>
    <w:rsid w:val="007A0103"/>
    <w:rsid w:val="007A2277"/>
    <w:rsid w:val="007A7E39"/>
    <w:rsid w:val="007B02C2"/>
    <w:rsid w:val="007B2A7F"/>
    <w:rsid w:val="007D0367"/>
    <w:rsid w:val="007D19EA"/>
    <w:rsid w:val="007D6203"/>
    <w:rsid w:val="007D7CEC"/>
    <w:rsid w:val="007E3EBF"/>
    <w:rsid w:val="007F2573"/>
    <w:rsid w:val="00804001"/>
    <w:rsid w:val="00805358"/>
    <w:rsid w:val="008070A8"/>
    <w:rsid w:val="00810499"/>
    <w:rsid w:val="0081166D"/>
    <w:rsid w:val="0081203C"/>
    <w:rsid w:val="00816C94"/>
    <w:rsid w:val="0082029C"/>
    <w:rsid w:val="00821F3F"/>
    <w:rsid w:val="008306C9"/>
    <w:rsid w:val="00842593"/>
    <w:rsid w:val="008441CF"/>
    <w:rsid w:val="0084470A"/>
    <w:rsid w:val="00844F57"/>
    <w:rsid w:val="00847B43"/>
    <w:rsid w:val="00855A96"/>
    <w:rsid w:val="00857286"/>
    <w:rsid w:val="00876B21"/>
    <w:rsid w:val="0087707C"/>
    <w:rsid w:val="0087728C"/>
    <w:rsid w:val="008A1FDF"/>
    <w:rsid w:val="008A42FA"/>
    <w:rsid w:val="008A4C47"/>
    <w:rsid w:val="008A5FB6"/>
    <w:rsid w:val="008B0FA5"/>
    <w:rsid w:val="008B142E"/>
    <w:rsid w:val="008C584E"/>
    <w:rsid w:val="008E167F"/>
    <w:rsid w:val="008E320B"/>
    <w:rsid w:val="008E3483"/>
    <w:rsid w:val="008F05AD"/>
    <w:rsid w:val="008F0967"/>
    <w:rsid w:val="008F4387"/>
    <w:rsid w:val="008F4C58"/>
    <w:rsid w:val="0090572C"/>
    <w:rsid w:val="0091080B"/>
    <w:rsid w:val="00915A33"/>
    <w:rsid w:val="00926833"/>
    <w:rsid w:val="00942942"/>
    <w:rsid w:val="00945A5D"/>
    <w:rsid w:val="0095215C"/>
    <w:rsid w:val="009534B5"/>
    <w:rsid w:val="00961193"/>
    <w:rsid w:val="009670B7"/>
    <w:rsid w:val="009723D1"/>
    <w:rsid w:val="009732C1"/>
    <w:rsid w:val="009745DD"/>
    <w:rsid w:val="009756DE"/>
    <w:rsid w:val="00975EEB"/>
    <w:rsid w:val="00977705"/>
    <w:rsid w:val="00983CA6"/>
    <w:rsid w:val="00990787"/>
    <w:rsid w:val="009A5675"/>
    <w:rsid w:val="009A6711"/>
    <w:rsid w:val="009A6B5B"/>
    <w:rsid w:val="009B038A"/>
    <w:rsid w:val="009B5866"/>
    <w:rsid w:val="009C49E6"/>
    <w:rsid w:val="009D5783"/>
    <w:rsid w:val="009D67A8"/>
    <w:rsid w:val="009F0BCB"/>
    <w:rsid w:val="009F2984"/>
    <w:rsid w:val="009F7219"/>
    <w:rsid w:val="00A047F8"/>
    <w:rsid w:val="00A07A2F"/>
    <w:rsid w:val="00A14BC4"/>
    <w:rsid w:val="00A15B3A"/>
    <w:rsid w:val="00A213A8"/>
    <w:rsid w:val="00A21F3E"/>
    <w:rsid w:val="00A30135"/>
    <w:rsid w:val="00A31FFE"/>
    <w:rsid w:val="00A32E4A"/>
    <w:rsid w:val="00A45075"/>
    <w:rsid w:val="00A607C7"/>
    <w:rsid w:val="00A637E8"/>
    <w:rsid w:val="00A63F9D"/>
    <w:rsid w:val="00A64EC4"/>
    <w:rsid w:val="00A7023B"/>
    <w:rsid w:val="00A77687"/>
    <w:rsid w:val="00A856FC"/>
    <w:rsid w:val="00A86D3E"/>
    <w:rsid w:val="00A903A1"/>
    <w:rsid w:val="00A905F5"/>
    <w:rsid w:val="00AA6088"/>
    <w:rsid w:val="00AB1F62"/>
    <w:rsid w:val="00AB34DC"/>
    <w:rsid w:val="00AB40CF"/>
    <w:rsid w:val="00AB42EA"/>
    <w:rsid w:val="00AB65E7"/>
    <w:rsid w:val="00AC010D"/>
    <w:rsid w:val="00AC4089"/>
    <w:rsid w:val="00AD3414"/>
    <w:rsid w:val="00AD38CE"/>
    <w:rsid w:val="00AD45E0"/>
    <w:rsid w:val="00AD500F"/>
    <w:rsid w:val="00AD6AA0"/>
    <w:rsid w:val="00AD7352"/>
    <w:rsid w:val="00AE2CB4"/>
    <w:rsid w:val="00AE6898"/>
    <w:rsid w:val="00AF080D"/>
    <w:rsid w:val="00AF2316"/>
    <w:rsid w:val="00AF3707"/>
    <w:rsid w:val="00AF6545"/>
    <w:rsid w:val="00AF6849"/>
    <w:rsid w:val="00B00FC3"/>
    <w:rsid w:val="00B06707"/>
    <w:rsid w:val="00B0677D"/>
    <w:rsid w:val="00B109DF"/>
    <w:rsid w:val="00B117C6"/>
    <w:rsid w:val="00B16EBF"/>
    <w:rsid w:val="00B368BE"/>
    <w:rsid w:val="00B36CF5"/>
    <w:rsid w:val="00B4014E"/>
    <w:rsid w:val="00B4318A"/>
    <w:rsid w:val="00B47908"/>
    <w:rsid w:val="00B51B38"/>
    <w:rsid w:val="00B5205B"/>
    <w:rsid w:val="00B52584"/>
    <w:rsid w:val="00B52F5E"/>
    <w:rsid w:val="00B644ED"/>
    <w:rsid w:val="00B665E6"/>
    <w:rsid w:val="00B673D6"/>
    <w:rsid w:val="00B7058B"/>
    <w:rsid w:val="00B727F3"/>
    <w:rsid w:val="00B83D84"/>
    <w:rsid w:val="00B90F17"/>
    <w:rsid w:val="00B94B30"/>
    <w:rsid w:val="00BA7D17"/>
    <w:rsid w:val="00BB076E"/>
    <w:rsid w:val="00BB1B68"/>
    <w:rsid w:val="00BB1CF2"/>
    <w:rsid w:val="00BB7A25"/>
    <w:rsid w:val="00BC0A3C"/>
    <w:rsid w:val="00BC5916"/>
    <w:rsid w:val="00BC621F"/>
    <w:rsid w:val="00BD4532"/>
    <w:rsid w:val="00BD782F"/>
    <w:rsid w:val="00BF4767"/>
    <w:rsid w:val="00BF687B"/>
    <w:rsid w:val="00C032F0"/>
    <w:rsid w:val="00C0349F"/>
    <w:rsid w:val="00C03503"/>
    <w:rsid w:val="00C10E3A"/>
    <w:rsid w:val="00C14388"/>
    <w:rsid w:val="00C14BF0"/>
    <w:rsid w:val="00C1515F"/>
    <w:rsid w:val="00C20621"/>
    <w:rsid w:val="00C21933"/>
    <w:rsid w:val="00C2299B"/>
    <w:rsid w:val="00C25511"/>
    <w:rsid w:val="00C27230"/>
    <w:rsid w:val="00C30A70"/>
    <w:rsid w:val="00C44136"/>
    <w:rsid w:val="00C52681"/>
    <w:rsid w:val="00C57E29"/>
    <w:rsid w:val="00C63E8C"/>
    <w:rsid w:val="00C659A7"/>
    <w:rsid w:val="00C706EA"/>
    <w:rsid w:val="00C76BDE"/>
    <w:rsid w:val="00C76FFC"/>
    <w:rsid w:val="00C8659B"/>
    <w:rsid w:val="00C9092A"/>
    <w:rsid w:val="00C910FE"/>
    <w:rsid w:val="00C9259F"/>
    <w:rsid w:val="00CA3398"/>
    <w:rsid w:val="00CA40FA"/>
    <w:rsid w:val="00CA5F96"/>
    <w:rsid w:val="00CA6926"/>
    <w:rsid w:val="00CA735C"/>
    <w:rsid w:val="00CB0541"/>
    <w:rsid w:val="00CB2E23"/>
    <w:rsid w:val="00CB3AD5"/>
    <w:rsid w:val="00CB7014"/>
    <w:rsid w:val="00CC007C"/>
    <w:rsid w:val="00CC7926"/>
    <w:rsid w:val="00CD07B6"/>
    <w:rsid w:val="00CD0D86"/>
    <w:rsid w:val="00CD1B36"/>
    <w:rsid w:val="00CD71EB"/>
    <w:rsid w:val="00CE3CC8"/>
    <w:rsid w:val="00CE5861"/>
    <w:rsid w:val="00CF4E25"/>
    <w:rsid w:val="00D12860"/>
    <w:rsid w:val="00D13D39"/>
    <w:rsid w:val="00D16505"/>
    <w:rsid w:val="00D21B74"/>
    <w:rsid w:val="00D23BD5"/>
    <w:rsid w:val="00D2518B"/>
    <w:rsid w:val="00D27A26"/>
    <w:rsid w:val="00D32460"/>
    <w:rsid w:val="00D32E4E"/>
    <w:rsid w:val="00D33B36"/>
    <w:rsid w:val="00D35790"/>
    <w:rsid w:val="00D37552"/>
    <w:rsid w:val="00D413B3"/>
    <w:rsid w:val="00D4743E"/>
    <w:rsid w:val="00D5385A"/>
    <w:rsid w:val="00D57387"/>
    <w:rsid w:val="00D60F4A"/>
    <w:rsid w:val="00D62400"/>
    <w:rsid w:val="00D70B22"/>
    <w:rsid w:val="00D7215E"/>
    <w:rsid w:val="00D74936"/>
    <w:rsid w:val="00D759B5"/>
    <w:rsid w:val="00D765FF"/>
    <w:rsid w:val="00D81D52"/>
    <w:rsid w:val="00D83E37"/>
    <w:rsid w:val="00D86CB7"/>
    <w:rsid w:val="00D92A6C"/>
    <w:rsid w:val="00D940DD"/>
    <w:rsid w:val="00DA0D39"/>
    <w:rsid w:val="00DA308D"/>
    <w:rsid w:val="00DA32D2"/>
    <w:rsid w:val="00DB3378"/>
    <w:rsid w:val="00DB4A50"/>
    <w:rsid w:val="00DC25CB"/>
    <w:rsid w:val="00DC58D9"/>
    <w:rsid w:val="00DC69BF"/>
    <w:rsid w:val="00DC7BB9"/>
    <w:rsid w:val="00DD724F"/>
    <w:rsid w:val="00DD7EA5"/>
    <w:rsid w:val="00DF2758"/>
    <w:rsid w:val="00E23400"/>
    <w:rsid w:val="00E2572D"/>
    <w:rsid w:val="00E273BF"/>
    <w:rsid w:val="00E44757"/>
    <w:rsid w:val="00E54C1E"/>
    <w:rsid w:val="00E6115C"/>
    <w:rsid w:val="00E622C1"/>
    <w:rsid w:val="00E71B6F"/>
    <w:rsid w:val="00E72636"/>
    <w:rsid w:val="00E745A8"/>
    <w:rsid w:val="00E81A3A"/>
    <w:rsid w:val="00E833DA"/>
    <w:rsid w:val="00E860CC"/>
    <w:rsid w:val="00E926E6"/>
    <w:rsid w:val="00E94A5D"/>
    <w:rsid w:val="00EA31AD"/>
    <w:rsid w:val="00EA3688"/>
    <w:rsid w:val="00EB0C79"/>
    <w:rsid w:val="00EB36D2"/>
    <w:rsid w:val="00EC54C3"/>
    <w:rsid w:val="00EC761A"/>
    <w:rsid w:val="00EC76A0"/>
    <w:rsid w:val="00ED4035"/>
    <w:rsid w:val="00ED6790"/>
    <w:rsid w:val="00EE2161"/>
    <w:rsid w:val="00EE224D"/>
    <w:rsid w:val="00EE3EEC"/>
    <w:rsid w:val="00EE5E7F"/>
    <w:rsid w:val="00EF4EE9"/>
    <w:rsid w:val="00EF523E"/>
    <w:rsid w:val="00F0055F"/>
    <w:rsid w:val="00F01566"/>
    <w:rsid w:val="00F106BE"/>
    <w:rsid w:val="00F2379A"/>
    <w:rsid w:val="00F33BD8"/>
    <w:rsid w:val="00F33FCA"/>
    <w:rsid w:val="00F340A1"/>
    <w:rsid w:val="00F406BB"/>
    <w:rsid w:val="00F4414D"/>
    <w:rsid w:val="00F516AE"/>
    <w:rsid w:val="00F6029F"/>
    <w:rsid w:val="00F675AA"/>
    <w:rsid w:val="00F73DCA"/>
    <w:rsid w:val="00F76815"/>
    <w:rsid w:val="00F81D22"/>
    <w:rsid w:val="00F97F59"/>
    <w:rsid w:val="00FA1C5A"/>
    <w:rsid w:val="00FA3FF4"/>
    <w:rsid w:val="00FB23F5"/>
    <w:rsid w:val="00FB4437"/>
    <w:rsid w:val="00FC0BF3"/>
    <w:rsid w:val="00FC3B9A"/>
    <w:rsid w:val="00FC67DA"/>
    <w:rsid w:val="00FD6A58"/>
    <w:rsid w:val="00FE412D"/>
    <w:rsid w:val="00FE7F4C"/>
    <w:rsid w:val="00FF3819"/>
    <w:rsid w:val="00FF5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ub">
    <w:name w:val="paragraph(sub)"/>
    <w:aliases w:val="aa"/>
    <w:basedOn w:val="Normal"/>
    <w:rsid w:val="008F0967"/>
    <w:pPr>
      <w:tabs>
        <w:tab w:val="right" w:pos="1985"/>
      </w:tabs>
      <w:spacing w:before="40" w:after="0" w:line="240" w:lineRule="auto"/>
      <w:ind w:left="2098" w:hanging="2098"/>
    </w:pPr>
    <w:rPr>
      <w:rFonts w:ascii="Times New Roman" w:eastAsia="Times New Roman" w:hAnsi="Times New Roman" w:cs="Times New Roman"/>
      <w:szCs w:val="24"/>
      <w:lang w:eastAsia="en-AU"/>
    </w:rPr>
  </w:style>
  <w:style w:type="paragraph" w:customStyle="1" w:styleId="ACMANumberedList">
    <w:name w:val="ACMA Numbered List"/>
    <w:rsid w:val="00844F57"/>
    <w:pPr>
      <w:numPr>
        <w:numId w:val="20"/>
      </w:numPr>
      <w:spacing w:before="20" w:after="20" w:line="240" w:lineRule="auto"/>
    </w:pPr>
    <w:rPr>
      <w:rFonts w:ascii="Times New Roman" w:eastAsia="Times New Roman" w:hAnsi="Times New Roman" w:cs="Times New Roman"/>
      <w:sz w:val="24"/>
      <w:szCs w:val="20"/>
    </w:rPr>
  </w:style>
  <w:style w:type="character" w:styleId="FootnoteReference">
    <w:name w:val="footnote reference"/>
    <w:basedOn w:val="DefaultParagraphFont"/>
    <w:semiHidden/>
    <w:rsid w:val="00847B43"/>
    <w:rPr>
      <w:rFonts w:ascii="Arial" w:hAnsi="Arial"/>
      <w:vertAlign w:val="superscript"/>
    </w:rPr>
  </w:style>
  <w:style w:type="paragraph" w:styleId="FootnoteText">
    <w:name w:val="footnote text"/>
    <w:aliases w:val="Footnote text"/>
    <w:basedOn w:val="Normal"/>
    <w:link w:val="FootnoteTextChar"/>
    <w:uiPriority w:val="23"/>
    <w:rsid w:val="00847B43"/>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
    <w:basedOn w:val="DefaultParagraphFont"/>
    <w:link w:val="FootnoteText"/>
    <w:uiPriority w:val="23"/>
    <w:rsid w:val="00847B43"/>
    <w:rPr>
      <w:rFonts w:ascii="Arial" w:eastAsia="Times New Roman" w:hAnsi="Arial" w:cs="Times New Roman"/>
      <w:sz w:val="16"/>
      <w:szCs w:val="16"/>
      <w:lang w:eastAsia="en-AU"/>
    </w:rPr>
  </w:style>
  <w:style w:type="paragraph" w:customStyle="1" w:styleId="Paragraph">
    <w:name w:val="Paragraph"/>
    <w:basedOn w:val="Normal"/>
    <w:qFormat/>
    <w:rsid w:val="00847B43"/>
    <w:pPr>
      <w:spacing w:after="240" w:line="240" w:lineRule="atLeast"/>
    </w:pPr>
    <w:rPr>
      <w:rFonts w:ascii="Arial" w:eastAsia="Times New Roman" w:hAnsi="Arial" w:cs="Arial"/>
      <w:sz w:val="20"/>
      <w:szCs w:val="24"/>
      <w:lang w:eastAsia="en-AU"/>
    </w:rPr>
  </w:style>
  <w:style w:type="paragraph" w:styleId="NormalWeb">
    <w:name w:val="Normal (Web)"/>
    <w:basedOn w:val="Normal"/>
    <w:uiPriority w:val="99"/>
    <w:semiHidden/>
    <w:unhideWhenUsed/>
    <w:rsid w:val="00847B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B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609">
      <w:bodyDiv w:val="1"/>
      <w:marLeft w:val="0"/>
      <w:marRight w:val="0"/>
      <w:marTop w:val="0"/>
      <w:marBottom w:val="0"/>
      <w:divBdr>
        <w:top w:val="none" w:sz="0" w:space="0" w:color="auto"/>
        <w:left w:val="none" w:sz="0" w:space="0" w:color="auto"/>
        <w:bottom w:val="none" w:sz="0" w:space="0" w:color="auto"/>
        <w:right w:val="none" w:sz="0" w:space="0" w:color="auto"/>
      </w:divBdr>
    </w:div>
    <w:div w:id="272710651">
      <w:bodyDiv w:val="1"/>
      <w:marLeft w:val="0"/>
      <w:marRight w:val="0"/>
      <w:marTop w:val="0"/>
      <w:marBottom w:val="0"/>
      <w:divBdr>
        <w:top w:val="none" w:sz="0" w:space="0" w:color="auto"/>
        <w:left w:val="none" w:sz="0" w:space="0" w:color="auto"/>
        <w:bottom w:val="none" w:sz="0" w:space="0" w:color="auto"/>
        <w:right w:val="none" w:sz="0" w:space="0" w:color="auto"/>
      </w:divBdr>
    </w:div>
    <w:div w:id="348411480">
      <w:bodyDiv w:val="1"/>
      <w:marLeft w:val="0"/>
      <w:marRight w:val="0"/>
      <w:marTop w:val="0"/>
      <w:marBottom w:val="0"/>
      <w:divBdr>
        <w:top w:val="none" w:sz="0" w:space="0" w:color="auto"/>
        <w:left w:val="none" w:sz="0" w:space="0" w:color="auto"/>
        <w:bottom w:val="none" w:sz="0" w:space="0" w:color="auto"/>
        <w:right w:val="none" w:sz="0" w:space="0" w:color="auto"/>
      </w:divBdr>
    </w:div>
    <w:div w:id="363946742">
      <w:bodyDiv w:val="1"/>
      <w:marLeft w:val="0"/>
      <w:marRight w:val="0"/>
      <w:marTop w:val="0"/>
      <w:marBottom w:val="0"/>
      <w:divBdr>
        <w:top w:val="none" w:sz="0" w:space="0" w:color="auto"/>
        <w:left w:val="none" w:sz="0" w:space="0" w:color="auto"/>
        <w:bottom w:val="none" w:sz="0" w:space="0" w:color="auto"/>
        <w:right w:val="none" w:sz="0" w:space="0" w:color="auto"/>
      </w:divBdr>
    </w:div>
    <w:div w:id="370765649">
      <w:bodyDiv w:val="1"/>
      <w:marLeft w:val="0"/>
      <w:marRight w:val="0"/>
      <w:marTop w:val="0"/>
      <w:marBottom w:val="0"/>
      <w:divBdr>
        <w:top w:val="none" w:sz="0" w:space="0" w:color="auto"/>
        <w:left w:val="none" w:sz="0" w:space="0" w:color="auto"/>
        <w:bottom w:val="none" w:sz="0" w:space="0" w:color="auto"/>
        <w:right w:val="none" w:sz="0" w:space="0" w:color="auto"/>
      </w:divBdr>
    </w:div>
    <w:div w:id="444547269">
      <w:bodyDiv w:val="1"/>
      <w:marLeft w:val="0"/>
      <w:marRight w:val="0"/>
      <w:marTop w:val="0"/>
      <w:marBottom w:val="0"/>
      <w:divBdr>
        <w:top w:val="none" w:sz="0" w:space="0" w:color="auto"/>
        <w:left w:val="none" w:sz="0" w:space="0" w:color="auto"/>
        <w:bottom w:val="none" w:sz="0" w:space="0" w:color="auto"/>
        <w:right w:val="none" w:sz="0" w:space="0" w:color="auto"/>
      </w:divBdr>
    </w:div>
    <w:div w:id="453059360">
      <w:bodyDiv w:val="1"/>
      <w:marLeft w:val="0"/>
      <w:marRight w:val="0"/>
      <w:marTop w:val="0"/>
      <w:marBottom w:val="0"/>
      <w:divBdr>
        <w:top w:val="none" w:sz="0" w:space="0" w:color="auto"/>
        <w:left w:val="none" w:sz="0" w:space="0" w:color="auto"/>
        <w:bottom w:val="none" w:sz="0" w:space="0" w:color="auto"/>
        <w:right w:val="none" w:sz="0" w:space="0" w:color="auto"/>
      </w:divBdr>
    </w:div>
    <w:div w:id="762530477">
      <w:bodyDiv w:val="1"/>
      <w:marLeft w:val="0"/>
      <w:marRight w:val="0"/>
      <w:marTop w:val="0"/>
      <w:marBottom w:val="0"/>
      <w:divBdr>
        <w:top w:val="none" w:sz="0" w:space="0" w:color="auto"/>
        <w:left w:val="none" w:sz="0" w:space="0" w:color="auto"/>
        <w:bottom w:val="none" w:sz="0" w:space="0" w:color="auto"/>
        <w:right w:val="none" w:sz="0" w:space="0" w:color="auto"/>
      </w:divBdr>
    </w:div>
    <w:div w:id="765811568">
      <w:bodyDiv w:val="1"/>
      <w:marLeft w:val="0"/>
      <w:marRight w:val="0"/>
      <w:marTop w:val="0"/>
      <w:marBottom w:val="0"/>
      <w:divBdr>
        <w:top w:val="none" w:sz="0" w:space="0" w:color="auto"/>
        <w:left w:val="none" w:sz="0" w:space="0" w:color="auto"/>
        <w:bottom w:val="none" w:sz="0" w:space="0" w:color="auto"/>
        <w:right w:val="none" w:sz="0" w:space="0" w:color="auto"/>
      </w:divBdr>
    </w:div>
    <w:div w:id="837306990">
      <w:bodyDiv w:val="1"/>
      <w:marLeft w:val="0"/>
      <w:marRight w:val="0"/>
      <w:marTop w:val="0"/>
      <w:marBottom w:val="0"/>
      <w:divBdr>
        <w:top w:val="none" w:sz="0" w:space="0" w:color="auto"/>
        <w:left w:val="none" w:sz="0" w:space="0" w:color="auto"/>
        <w:bottom w:val="none" w:sz="0" w:space="0" w:color="auto"/>
        <w:right w:val="none" w:sz="0" w:space="0" w:color="auto"/>
      </w:divBdr>
    </w:div>
    <w:div w:id="838350217">
      <w:bodyDiv w:val="1"/>
      <w:marLeft w:val="0"/>
      <w:marRight w:val="0"/>
      <w:marTop w:val="0"/>
      <w:marBottom w:val="0"/>
      <w:divBdr>
        <w:top w:val="none" w:sz="0" w:space="0" w:color="auto"/>
        <w:left w:val="none" w:sz="0" w:space="0" w:color="auto"/>
        <w:bottom w:val="none" w:sz="0" w:space="0" w:color="auto"/>
        <w:right w:val="none" w:sz="0" w:space="0" w:color="auto"/>
      </w:divBdr>
    </w:div>
    <w:div w:id="916549364">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24788557">
      <w:bodyDiv w:val="1"/>
      <w:marLeft w:val="0"/>
      <w:marRight w:val="0"/>
      <w:marTop w:val="0"/>
      <w:marBottom w:val="0"/>
      <w:divBdr>
        <w:top w:val="none" w:sz="0" w:space="0" w:color="auto"/>
        <w:left w:val="none" w:sz="0" w:space="0" w:color="auto"/>
        <w:bottom w:val="none" w:sz="0" w:space="0" w:color="auto"/>
        <w:right w:val="none" w:sz="0" w:space="0" w:color="auto"/>
      </w:divBdr>
    </w:div>
    <w:div w:id="1253662248">
      <w:bodyDiv w:val="1"/>
      <w:marLeft w:val="0"/>
      <w:marRight w:val="0"/>
      <w:marTop w:val="0"/>
      <w:marBottom w:val="0"/>
      <w:divBdr>
        <w:top w:val="none" w:sz="0" w:space="0" w:color="auto"/>
        <w:left w:val="none" w:sz="0" w:space="0" w:color="auto"/>
        <w:bottom w:val="none" w:sz="0" w:space="0" w:color="auto"/>
        <w:right w:val="none" w:sz="0" w:space="0" w:color="auto"/>
      </w:divBdr>
    </w:div>
    <w:div w:id="1276713401">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505821011">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71452423">
      <w:bodyDiv w:val="1"/>
      <w:marLeft w:val="0"/>
      <w:marRight w:val="0"/>
      <w:marTop w:val="0"/>
      <w:marBottom w:val="0"/>
      <w:divBdr>
        <w:top w:val="none" w:sz="0" w:space="0" w:color="auto"/>
        <w:left w:val="none" w:sz="0" w:space="0" w:color="auto"/>
        <w:bottom w:val="none" w:sz="0" w:space="0" w:color="auto"/>
        <w:right w:val="none" w:sz="0" w:space="0" w:color="auto"/>
      </w:divBdr>
    </w:div>
    <w:div w:id="1901094140">
      <w:bodyDiv w:val="1"/>
      <w:marLeft w:val="0"/>
      <w:marRight w:val="0"/>
      <w:marTop w:val="0"/>
      <w:marBottom w:val="0"/>
      <w:divBdr>
        <w:top w:val="none" w:sz="0" w:space="0" w:color="auto"/>
        <w:left w:val="none" w:sz="0" w:space="0" w:color="auto"/>
        <w:bottom w:val="none" w:sz="0" w:space="0" w:color="auto"/>
        <w:right w:val="none" w:sz="0" w:space="0" w:color="auto"/>
      </w:divBdr>
    </w:div>
    <w:div w:id="19235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ma.gov.au/consultations/2021-06/remaking-fax-marketing-industry-standard-2011-consultation-23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UQVA7MFFXVNW-343728570-1506</_dlc_DocId>
    <_dlc_DocIdUrl xmlns="04b8ec43-391f-4ce4-8841-d6a482add564">
      <Url>http://collaboration/organisation/auth/Chair/Auth/_layouts/15/DocIdRedir.aspx?ID=UQVA7MFFXVNW-343728570-1506</Url>
      <Description>UQVA7MFFXVNW-343728570-1506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48D86-EE5A-43C0-851F-29DE4C284B5E}">
  <ds:schemaRefs>
    <ds:schemaRef ds:uri="http://schemas.microsoft.com/sharepoint/event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2B20F17E-4EAF-4AD3-B4CC-9DF6FC9B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Suzanne Atkins</cp:lastModifiedBy>
  <cp:revision>17</cp:revision>
  <cp:lastPrinted>2016-07-25T00:08:00Z</cp:lastPrinted>
  <dcterms:created xsi:type="dcterms:W3CDTF">2021-08-25T06:06:00Z</dcterms:created>
  <dcterms:modified xsi:type="dcterms:W3CDTF">2021-08-25T06:30:00Z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aa264a2c-5019-4b79-b096-732cb5190dd0</vt:lpwstr>
  </property>
</Properties>
</file>