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60602" w14:textId="77777777" w:rsidR="003F0DCD" w:rsidRPr="008738D0" w:rsidRDefault="00337666" w:rsidP="008738D0">
      <w:pPr>
        <w:widowControl/>
        <w:autoSpaceDE/>
        <w:autoSpaceDN/>
        <w:jc w:val="center"/>
        <w:rPr>
          <w:b/>
          <w:bCs/>
          <w:sz w:val="24"/>
          <w:szCs w:val="24"/>
          <w:u w:val="single"/>
          <w:lang w:eastAsia="en-AU" w:bidi="ar-SA"/>
        </w:rPr>
      </w:pPr>
      <w:bookmarkStart w:id="0" w:name="Bookmarks"/>
      <w:bookmarkEnd w:id="0"/>
      <w:r w:rsidRPr="008738D0">
        <w:rPr>
          <w:b/>
          <w:bCs/>
          <w:sz w:val="24"/>
          <w:szCs w:val="24"/>
          <w:u w:val="single"/>
          <w:lang w:eastAsia="en-AU" w:bidi="ar-SA"/>
        </w:rPr>
        <w:t>EXPLANATORY STATEMENT</w:t>
      </w:r>
    </w:p>
    <w:p w14:paraId="32617948" w14:textId="77777777" w:rsidR="00A67F58" w:rsidRPr="008D4A06" w:rsidRDefault="00A67F58" w:rsidP="008D4A06">
      <w:pPr>
        <w:widowControl/>
        <w:tabs>
          <w:tab w:val="left" w:pos="2542"/>
        </w:tabs>
        <w:autoSpaceDE/>
        <w:autoSpaceDN/>
        <w:jc w:val="center"/>
        <w:rPr>
          <w:rFonts w:ascii="Tms Rmn" w:hAnsi="Tms Rmn"/>
          <w:lang w:eastAsia="en-AU" w:bidi="ar-SA"/>
        </w:rPr>
      </w:pPr>
    </w:p>
    <w:p w14:paraId="6076910D" w14:textId="77777777" w:rsidR="00A67F58" w:rsidRPr="008738D0" w:rsidRDefault="00337666" w:rsidP="008738D0">
      <w:pPr>
        <w:widowControl/>
        <w:autoSpaceDE/>
        <w:autoSpaceDN/>
        <w:jc w:val="center"/>
        <w:rPr>
          <w:bCs/>
          <w:i/>
          <w:iCs/>
          <w:lang w:eastAsia="en-AU" w:bidi="ar-SA"/>
        </w:rPr>
      </w:pPr>
      <w:r w:rsidRPr="008738D0">
        <w:rPr>
          <w:bCs/>
          <w:i/>
          <w:iCs/>
          <w:lang w:eastAsia="en-AU" w:bidi="ar-SA"/>
        </w:rPr>
        <w:t>Therapeutic Goods Act 1989</w:t>
      </w:r>
    </w:p>
    <w:p w14:paraId="3FA78E04" w14:textId="77777777" w:rsidR="00A67F58" w:rsidRPr="008D4A06" w:rsidRDefault="00A67F58" w:rsidP="008738D0">
      <w:pPr>
        <w:widowControl/>
        <w:autoSpaceDE/>
        <w:autoSpaceDN/>
        <w:jc w:val="center"/>
        <w:rPr>
          <w:bCs/>
          <w:i/>
          <w:iCs/>
          <w:lang w:eastAsia="en-AU" w:bidi="ar-SA"/>
        </w:rPr>
      </w:pPr>
    </w:p>
    <w:p w14:paraId="1A0017AE" w14:textId="560627C2" w:rsidR="003F0DCD" w:rsidRDefault="00C30F09" w:rsidP="008738D0">
      <w:pPr>
        <w:widowControl/>
        <w:autoSpaceDE/>
        <w:autoSpaceDN/>
        <w:jc w:val="center"/>
        <w:rPr>
          <w:bCs/>
          <w:i/>
          <w:iCs/>
          <w:lang w:eastAsia="en-AU" w:bidi="ar-SA"/>
        </w:rPr>
      </w:pPr>
      <w:r w:rsidRPr="008738D0">
        <w:rPr>
          <w:bCs/>
          <w:i/>
          <w:iCs/>
          <w:lang w:eastAsia="en-AU" w:bidi="ar-SA"/>
        </w:rPr>
        <w:t xml:space="preserve">Poisons </w:t>
      </w:r>
      <w:r w:rsidR="00C60C38">
        <w:rPr>
          <w:bCs/>
          <w:i/>
          <w:iCs/>
          <w:lang w:eastAsia="en-AU" w:bidi="ar-SA"/>
        </w:rPr>
        <w:t>Standard Amendment (</w:t>
      </w:r>
      <w:r w:rsidR="006D0FF0">
        <w:rPr>
          <w:bCs/>
          <w:i/>
          <w:iCs/>
          <w:lang w:eastAsia="en-AU" w:bidi="ar-SA"/>
        </w:rPr>
        <w:t>Ivermectin</w:t>
      </w:r>
      <w:r w:rsidRPr="008738D0">
        <w:rPr>
          <w:bCs/>
          <w:i/>
          <w:iCs/>
          <w:lang w:eastAsia="en-AU" w:bidi="ar-SA"/>
        </w:rPr>
        <w:t>) Instrument 202</w:t>
      </w:r>
      <w:r w:rsidR="006D0FF0">
        <w:rPr>
          <w:bCs/>
          <w:i/>
          <w:iCs/>
          <w:lang w:eastAsia="en-AU" w:bidi="ar-SA"/>
        </w:rPr>
        <w:t>1</w:t>
      </w:r>
    </w:p>
    <w:p w14:paraId="10993B17" w14:textId="77777777" w:rsidR="00A67F58" w:rsidRPr="008D4A06" w:rsidRDefault="00A67F58" w:rsidP="008738D0">
      <w:pPr>
        <w:widowControl/>
        <w:autoSpaceDE/>
        <w:autoSpaceDN/>
        <w:jc w:val="center"/>
        <w:rPr>
          <w:bCs/>
          <w:i/>
          <w:iCs/>
          <w:lang w:eastAsia="en-AU" w:bidi="ar-SA"/>
        </w:rPr>
      </w:pPr>
    </w:p>
    <w:p w14:paraId="617CA2C4" w14:textId="220FD317" w:rsidR="00C85419" w:rsidRDefault="00C85419" w:rsidP="00F37432">
      <w:pPr>
        <w:widowControl/>
        <w:adjustRightInd w:val="0"/>
        <w:rPr>
          <w:lang w:eastAsia="en-AU" w:bidi="ar-SA"/>
        </w:rPr>
      </w:pPr>
      <w:r>
        <w:rPr>
          <w:lang w:eastAsia="en-AU" w:bidi="ar-SA"/>
        </w:rPr>
        <w:t xml:space="preserve">The </w:t>
      </w:r>
      <w:r w:rsidRPr="008D4A06">
        <w:rPr>
          <w:i/>
          <w:lang w:eastAsia="en-AU" w:bidi="ar-SA"/>
        </w:rPr>
        <w:t>Therapeutic Goods Act 1989</w:t>
      </w:r>
      <w:r>
        <w:rPr>
          <w:lang w:eastAsia="en-AU" w:bidi="ar-SA"/>
        </w:rPr>
        <w:t xml:space="preserve"> (“the Act”) provides for the establishment and maintenance of</w:t>
      </w:r>
      <w:r w:rsidR="00F1154D">
        <w:rPr>
          <w:lang w:eastAsia="en-AU" w:bidi="ar-SA"/>
        </w:rPr>
        <w:t> </w:t>
      </w:r>
      <w:r>
        <w:rPr>
          <w:lang w:eastAsia="en-AU" w:bidi="ar-SA"/>
        </w:rPr>
        <w:t xml:space="preserve">a national system of controls for the quality, safety, </w:t>
      </w:r>
      <w:proofErr w:type="gramStart"/>
      <w:r>
        <w:rPr>
          <w:lang w:eastAsia="en-AU" w:bidi="ar-SA"/>
        </w:rPr>
        <w:t>efficacy</w:t>
      </w:r>
      <w:proofErr w:type="gramEnd"/>
      <w:r>
        <w:rPr>
          <w:lang w:eastAsia="en-AU" w:bidi="ar-SA"/>
        </w:rPr>
        <w:t xml:space="preserve"> and timely availability of therapeutic goods that are used in, or exported from, Australia. The Act also provides a framework for </w:t>
      </w:r>
      <w:r w:rsidR="000D237E">
        <w:rPr>
          <w:lang w:eastAsia="en-AU" w:bidi="ar-SA"/>
        </w:rPr>
        <w:t xml:space="preserve">the </w:t>
      </w:r>
      <w:r w:rsidR="00F1154D">
        <w:rPr>
          <w:lang w:eastAsia="en-AU" w:bidi="ar-SA"/>
        </w:rPr>
        <w:t>s</w:t>
      </w:r>
      <w:r>
        <w:rPr>
          <w:lang w:eastAsia="en-AU" w:bidi="ar-SA"/>
        </w:rPr>
        <w:t>tate</w:t>
      </w:r>
      <w:r w:rsidR="00E84C07">
        <w:rPr>
          <w:lang w:eastAsia="en-AU" w:bidi="ar-SA"/>
        </w:rPr>
        <w:t>s</w:t>
      </w:r>
      <w:r>
        <w:rPr>
          <w:lang w:eastAsia="en-AU" w:bidi="ar-SA"/>
        </w:rPr>
        <w:t xml:space="preserve"> and </w:t>
      </w:r>
      <w:r w:rsidR="00F1154D">
        <w:rPr>
          <w:lang w:eastAsia="en-AU" w:bidi="ar-SA"/>
        </w:rPr>
        <w:t>t</w:t>
      </w:r>
      <w:r>
        <w:rPr>
          <w:lang w:eastAsia="en-AU" w:bidi="ar-SA"/>
        </w:rPr>
        <w:t>erritor</w:t>
      </w:r>
      <w:r w:rsidR="00E84C07">
        <w:rPr>
          <w:lang w:eastAsia="en-AU" w:bidi="ar-SA"/>
        </w:rPr>
        <w:t>ies</w:t>
      </w:r>
      <w:r>
        <w:rPr>
          <w:lang w:eastAsia="en-AU" w:bidi="ar-SA"/>
        </w:rPr>
        <w:t xml:space="preserve"> to adopt a uniform approach to control the availability and accessibility, and to ensure the safe handling, of medicines and poisons in Australia. The Act is administered by the Therapeutic Goods Administration (“the TGA”) within the Australian Government Department of Health</w:t>
      </w:r>
      <w:r w:rsidR="00EF5087">
        <w:rPr>
          <w:lang w:eastAsia="en-AU" w:bidi="ar-SA"/>
        </w:rPr>
        <w:t xml:space="preserve"> (“the Department”)</w:t>
      </w:r>
      <w:r>
        <w:rPr>
          <w:lang w:eastAsia="en-AU" w:bidi="ar-SA"/>
        </w:rPr>
        <w:t>.</w:t>
      </w:r>
    </w:p>
    <w:p w14:paraId="057D2900" w14:textId="77777777" w:rsidR="0063546A" w:rsidRDefault="0063546A" w:rsidP="00F37432">
      <w:pPr>
        <w:widowControl/>
        <w:adjustRightInd w:val="0"/>
        <w:rPr>
          <w:lang w:eastAsia="en-AU" w:bidi="ar-SA"/>
        </w:rPr>
      </w:pPr>
    </w:p>
    <w:p w14:paraId="2D9A98C7" w14:textId="21282CA8" w:rsidR="00C85419" w:rsidRDefault="00C85419" w:rsidP="00F37432">
      <w:pPr>
        <w:widowControl/>
        <w:adjustRightInd w:val="0"/>
        <w:rPr>
          <w:lang w:eastAsia="en-AU" w:bidi="ar-SA"/>
        </w:rPr>
      </w:pPr>
      <w:r>
        <w:rPr>
          <w:lang w:eastAsia="en-AU" w:bidi="ar-SA"/>
        </w:rPr>
        <w:t xml:space="preserve">Part 6-3 of the Act provides the basis for a uniform system of </w:t>
      </w:r>
      <w:r w:rsidR="00A95E48">
        <w:rPr>
          <w:lang w:eastAsia="en-AU" w:bidi="ar-SA"/>
        </w:rPr>
        <w:t xml:space="preserve">access </w:t>
      </w:r>
      <w:r>
        <w:rPr>
          <w:lang w:eastAsia="en-AU" w:bidi="ar-SA"/>
        </w:rPr>
        <w:t>controls for goods containing scheduled substances. The scheduling of substances allows restrictions to be placed on the</w:t>
      </w:r>
      <w:r w:rsidR="007171D3">
        <w:rPr>
          <w:lang w:eastAsia="en-AU" w:bidi="ar-SA"/>
        </w:rPr>
        <w:t xml:space="preserve"> </w:t>
      </w:r>
      <w:r>
        <w:rPr>
          <w:lang w:eastAsia="en-AU" w:bidi="ar-SA"/>
        </w:rPr>
        <w:t xml:space="preserve">supply </w:t>
      </w:r>
      <w:r w:rsidR="007171D3">
        <w:rPr>
          <w:lang w:eastAsia="en-AU" w:bidi="ar-SA"/>
        </w:rPr>
        <w:t xml:space="preserve">of those substances </w:t>
      </w:r>
      <w:r>
        <w:rPr>
          <w:lang w:eastAsia="en-AU" w:bidi="ar-SA"/>
        </w:rPr>
        <w:t>to the public, in the interests of public health and safety</w:t>
      </w:r>
      <w:r w:rsidR="000D237E">
        <w:rPr>
          <w:lang w:eastAsia="en-AU" w:bidi="ar-SA"/>
        </w:rPr>
        <w:t xml:space="preserve">, </w:t>
      </w:r>
      <w:r w:rsidR="00AE6698">
        <w:rPr>
          <w:lang w:eastAsia="en-AU" w:bidi="ar-SA"/>
        </w:rPr>
        <w:t xml:space="preserve">to minimise </w:t>
      </w:r>
      <w:r>
        <w:rPr>
          <w:lang w:eastAsia="en-AU" w:bidi="ar-SA"/>
        </w:rPr>
        <w:t>the risks of poisoning from, and the misuse or abuse of, scheduled substances.</w:t>
      </w:r>
    </w:p>
    <w:p w14:paraId="1EE3D17A" w14:textId="77777777" w:rsidR="0063546A" w:rsidRDefault="0063546A" w:rsidP="00F37432">
      <w:pPr>
        <w:widowControl/>
        <w:adjustRightInd w:val="0"/>
        <w:rPr>
          <w:lang w:eastAsia="en-AU" w:bidi="ar-SA"/>
        </w:rPr>
      </w:pPr>
    </w:p>
    <w:p w14:paraId="24E7FE3A" w14:textId="58356D49" w:rsidR="003830E8" w:rsidRDefault="00C85419" w:rsidP="003830E8">
      <w:pPr>
        <w:widowControl/>
        <w:adjustRightInd w:val="0"/>
        <w:rPr>
          <w:lang w:eastAsia="en-AU" w:bidi="ar-SA"/>
        </w:rPr>
      </w:pPr>
      <w:r>
        <w:rPr>
          <w:lang w:eastAsia="en-AU" w:bidi="ar-SA"/>
        </w:rPr>
        <w:t xml:space="preserve">Subsection 52D(2) of the Act </w:t>
      </w:r>
      <w:r w:rsidR="000D237E">
        <w:rPr>
          <w:lang w:eastAsia="en-AU" w:bidi="ar-SA"/>
        </w:rPr>
        <w:t xml:space="preserve">provides that </w:t>
      </w:r>
      <w:r>
        <w:rPr>
          <w:lang w:eastAsia="en-AU" w:bidi="ar-SA"/>
        </w:rPr>
        <w:t xml:space="preserve">the Secretary </w:t>
      </w:r>
      <w:r w:rsidR="000D237E">
        <w:rPr>
          <w:lang w:eastAsia="en-AU" w:bidi="ar-SA"/>
        </w:rPr>
        <w:t xml:space="preserve">may </w:t>
      </w:r>
      <w:r>
        <w:rPr>
          <w:lang w:eastAsia="en-AU" w:bidi="ar-SA"/>
        </w:rPr>
        <w:t>amend the current Poisons Standard or prepare a document (“a new Poisons Standard”) in substitution for the current Poisons Standard.</w:t>
      </w:r>
      <w:r w:rsidR="0063546A" w:rsidRPr="0063546A">
        <w:rPr>
          <w:lang w:eastAsia="en-AU" w:bidi="ar-SA"/>
        </w:rPr>
        <w:t xml:space="preserve"> </w:t>
      </w:r>
      <w:r w:rsidR="003830E8">
        <w:rPr>
          <w:lang w:eastAsia="en-AU" w:bidi="ar-SA"/>
        </w:rPr>
        <w:t>The current Poisons Standard classifies substances in a number of schedules, with each schedule signifying the degree of risk and the recommended controls for the availability of those substances to the public.</w:t>
      </w:r>
    </w:p>
    <w:p w14:paraId="65A73DC6" w14:textId="77777777" w:rsidR="0063546A" w:rsidRDefault="0063546A" w:rsidP="00F37432">
      <w:pPr>
        <w:widowControl/>
        <w:adjustRightInd w:val="0"/>
        <w:rPr>
          <w:lang w:eastAsia="en-AU" w:bidi="ar-SA"/>
        </w:rPr>
      </w:pPr>
    </w:p>
    <w:p w14:paraId="1786ECA7" w14:textId="523E65BA" w:rsidR="00C85419" w:rsidRDefault="007171D3" w:rsidP="00F37432">
      <w:pPr>
        <w:widowControl/>
        <w:adjustRightInd w:val="0"/>
        <w:rPr>
          <w:lang w:eastAsia="en-AU" w:bidi="ar-SA"/>
        </w:rPr>
      </w:pPr>
      <w:r>
        <w:rPr>
          <w:lang w:eastAsia="en-AU" w:bidi="ar-SA"/>
        </w:rPr>
        <w:t>Section 52E of the Act specifies the matters the Secretary must take into account when exercising the power under subsection 52D(2)</w:t>
      </w:r>
      <w:r w:rsidR="00A95E48">
        <w:rPr>
          <w:lang w:eastAsia="en-AU" w:bidi="ar-SA"/>
        </w:rPr>
        <w:t xml:space="preserve"> of the Act</w:t>
      </w:r>
      <w:r>
        <w:rPr>
          <w:lang w:eastAsia="en-AU" w:bidi="ar-SA"/>
        </w:rPr>
        <w:t>. In accordance with subsection 52E(1), these matters include</w:t>
      </w:r>
      <w:r w:rsidR="00F1154D">
        <w:rPr>
          <w:lang w:eastAsia="en-AU" w:bidi="ar-SA"/>
        </w:rPr>
        <w:t xml:space="preserve">, </w:t>
      </w:r>
      <w:r>
        <w:rPr>
          <w:lang w:eastAsia="en-AU" w:bidi="ar-SA"/>
        </w:rPr>
        <w:t>among other matters</w:t>
      </w:r>
      <w:r w:rsidR="00F1154D">
        <w:rPr>
          <w:lang w:eastAsia="en-AU" w:bidi="ar-SA"/>
        </w:rPr>
        <w:t>,</w:t>
      </w:r>
      <w:r>
        <w:rPr>
          <w:lang w:eastAsia="en-AU" w:bidi="ar-SA"/>
        </w:rPr>
        <w:t xml:space="preserve"> the risks and benefits of </w:t>
      </w:r>
      <w:r w:rsidR="003830E8">
        <w:rPr>
          <w:lang w:eastAsia="en-AU" w:bidi="ar-SA"/>
        </w:rPr>
        <w:t xml:space="preserve">the </w:t>
      </w:r>
      <w:r>
        <w:rPr>
          <w:lang w:eastAsia="en-AU" w:bidi="ar-SA"/>
        </w:rPr>
        <w:t xml:space="preserve">use of a substance, the purposes for which a substance is to be used and the extent of use of a substance, the toxicity of a substance, and the potential for abuse. In accordance with subsection 52E(3), the Secretary must also have regard to any recommendations of </w:t>
      </w:r>
      <w:r w:rsidR="00C85419">
        <w:rPr>
          <w:lang w:eastAsia="en-AU" w:bidi="ar-SA"/>
        </w:rPr>
        <w:t>the Advisory Committee on Medicines Scheduling (“</w:t>
      </w:r>
      <w:r w:rsidR="00D24753">
        <w:rPr>
          <w:lang w:eastAsia="en-AU" w:bidi="ar-SA"/>
        </w:rPr>
        <w:t xml:space="preserve">the </w:t>
      </w:r>
      <w:r w:rsidR="00C85419">
        <w:rPr>
          <w:lang w:eastAsia="en-AU" w:bidi="ar-SA"/>
        </w:rPr>
        <w:t>ACMS”) and the Advisory Committee on Chemicals Scheduling (“</w:t>
      </w:r>
      <w:r w:rsidR="00D24753">
        <w:rPr>
          <w:lang w:eastAsia="en-AU" w:bidi="ar-SA"/>
        </w:rPr>
        <w:t xml:space="preserve">the </w:t>
      </w:r>
      <w:r w:rsidR="00C85419">
        <w:rPr>
          <w:lang w:eastAsia="en-AU" w:bidi="ar-SA"/>
        </w:rPr>
        <w:t>ACCS”)</w:t>
      </w:r>
      <w:r>
        <w:rPr>
          <w:lang w:eastAsia="en-AU" w:bidi="ar-SA"/>
        </w:rPr>
        <w:t>, established under sections 52B and 52C of the Act respectively.</w:t>
      </w:r>
    </w:p>
    <w:p w14:paraId="2E317300" w14:textId="77777777" w:rsidR="003830E8" w:rsidRDefault="003830E8" w:rsidP="003830E8">
      <w:pPr>
        <w:widowControl/>
        <w:adjustRightInd w:val="0"/>
        <w:rPr>
          <w:lang w:eastAsia="en-AU" w:bidi="ar-SA"/>
        </w:rPr>
      </w:pPr>
    </w:p>
    <w:p w14:paraId="3A15808C" w14:textId="64BEA5B3" w:rsidR="003830E8" w:rsidRDefault="003830E8" w:rsidP="003830E8">
      <w:pPr>
        <w:widowControl/>
        <w:adjustRightInd w:val="0"/>
        <w:rPr>
          <w:lang w:eastAsia="en-AU" w:bidi="ar-SA"/>
        </w:rPr>
      </w:pPr>
      <w:r>
        <w:rPr>
          <w:lang w:eastAsia="en-AU" w:bidi="ar-SA"/>
        </w:rPr>
        <w:t>The Scheduling Policy Framework (“the SPF”) provides guidance on whether a decision concerning the scheduling of substances would benefit from the advice of the ACMS or ACCS. The SPF is available on the TGA website.</w:t>
      </w:r>
    </w:p>
    <w:p w14:paraId="75FB5067" w14:textId="77777777" w:rsidR="007171D3" w:rsidRDefault="007171D3" w:rsidP="00F37432">
      <w:pPr>
        <w:widowControl/>
        <w:adjustRightInd w:val="0"/>
        <w:rPr>
          <w:lang w:eastAsia="en-AU" w:bidi="ar-SA"/>
        </w:rPr>
      </w:pPr>
    </w:p>
    <w:p w14:paraId="0A79FB52" w14:textId="045BFF44" w:rsidR="007171D3" w:rsidRDefault="00D24753" w:rsidP="00F37432">
      <w:pPr>
        <w:widowControl/>
        <w:adjustRightInd w:val="0"/>
        <w:rPr>
          <w:lang w:eastAsia="en-AU" w:bidi="ar-SA"/>
        </w:rPr>
      </w:pPr>
      <w:r>
        <w:rPr>
          <w:lang w:eastAsia="en-AU" w:bidi="ar-SA"/>
        </w:rPr>
        <w:t>State</w:t>
      </w:r>
      <w:r w:rsidR="004074B5">
        <w:rPr>
          <w:lang w:eastAsia="en-AU" w:bidi="ar-SA"/>
        </w:rPr>
        <w:t>s</w:t>
      </w:r>
      <w:r w:rsidR="00AB02C9">
        <w:rPr>
          <w:lang w:eastAsia="en-AU" w:bidi="ar-SA"/>
        </w:rPr>
        <w:t xml:space="preserve"> and </w:t>
      </w:r>
      <w:r w:rsidR="004074B5">
        <w:rPr>
          <w:lang w:eastAsia="en-AU" w:bidi="ar-SA"/>
        </w:rPr>
        <w:t>t</w:t>
      </w:r>
      <w:r w:rsidR="00AB02C9">
        <w:rPr>
          <w:lang w:eastAsia="en-AU" w:bidi="ar-SA"/>
        </w:rPr>
        <w:t>erritories regulate the supply of medicines and poisons by</w:t>
      </w:r>
      <w:r w:rsidR="00FB6F92">
        <w:rPr>
          <w:lang w:eastAsia="en-AU" w:bidi="ar-SA"/>
        </w:rPr>
        <w:t xml:space="preserve"> </w:t>
      </w:r>
      <w:r w:rsidR="00AB02C9">
        <w:rPr>
          <w:lang w:eastAsia="en-AU" w:bidi="ar-SA"/>
        </w:rPr>
        <w:t>incorporating</w:t>
      </w:r>
      <w:r w:rsidR="00FB6F92">
        <w:rPr>
          <w:lang w:eastAsia="en-AU" w:bidi="ar-SA"/>
        </w:rPr>
        <w:t xml:space="preserve"> the s</w:t>
      </w:r>
      <w:r w:rsidR="00C85419">
        <w:rPr>
          <w:lang w:eastAsia="en-AU" w:bidi="ar-SA"/>
        </w:rPr>
        <w:t xml:space="preserve">chedules contained in the </w:t>
      </w:r>
      <w:r w:rsidR="0022009E">
        <w:rPr>
          <w:lang w:eastAsia="en-AU" w:bidi="ar-SA"/>
        </w:rPr>
        <w:t xml:space="preserve">current </w:t>
      </w:r>
      <w:r w:rsidR="00C85419">
        <w:rPr>
          <w:lang w:eastAsia="en-AU" w:bidi="ar-SA"/>
        </w:rPr>
        <w:t>Poisons Standard</w:t>
      </w:r>
      <w:r w:rsidR="00FB6F92">
        <w:rPr>
          <w:lang w:eastAsia="en-AU" w:bidi="ar-SA"/>
        </w:rPr>
        <w:t xml:space="preserve"> </w:t>
      </w:r>
      <w:r w:rsidR="00AB02C9">
        <w:rPr>
          <w:lang w:eastAsia="en-AU" w:bidi="ar-SA"/>
        </w:rPr>
        <w:t xml:space="preserve">in </w:t>
      </w:r>
      <w:r w:rsidR="00A34E99">
        <w:rPr>
          <w:lang w:eastAsia="en-AU" w:bidi="ar-SA"/>
        </w:rPr>
        <w:t>s</w:t>
      </w:r>
      <w:r w:rsidR="00AB02C9">
        <w:rPr>
          <w:lang w:eastAsia="en-AU" w:bidi="ar-SA"/>
        </w:rPr>
        <w:t xml:space="preserve">tate and </w:t>
      </w:r>
      <w:r w:rsidR="00A34E99">
        <w:rPr>
          <w:lang w:eastAsia="en-AU" w:bidi="ar-SA"/>
        </w:rPr>
        <w:t>t</w:t>
      </w:r>
      <w:r w:rsidR="00AB02C9">
        <w:rPr>
          <w:lang w:eastAsia="en-AU" w:bidi="ar-SA"/>
        </w:rPr>
        <w:t>erritory laws</w:t>
      </w:r>
      <w:r w:rsidR="00C85419">
        <w:rPr>
          <w:lang w:eastAsia="en-AU" w:bidi="ar-SA"/>
        </w:rPr>
        <w:t xml:space="preserve">. This </w:t>
      </w:r>
      <w:r>
        <w:rPr>
          <w:lang w:eastAsia="en-AU" w:bidi="ar-SA"/>
        </w:rPr>
        <w:t xml:space="preserve">ensures </w:t>
      </w:r>
      <w:r w:rsidR="00FB6F92">
        <w:rPr>
          <w:lang w:eastAsia="en-AU" w:bidi="ar-SA"/>
        </w:rPr>
        <w:t xml:space="preserve">there is </w:t>
      </w:r>
      <w:r>
        <w:rPr>
          <w:lang w:eastAsia="en-AU" w:bidi="ar-SA"/>
        </w:rPr>
        <w:t xml:space="preserve">a uniform system of </w:t>
      </w:r>
      <w:r w:rsidR="00C85419">
        <w:rPr>
          <w:lang w:eastAsia="en-AU" w:bidi="ar-SA"/>
        </w:rPr>
        <w:t xml:space="preserve">restrictions </w:t>
      </w:r>
      <w:r w:rsidR="00FB6F92">
        <w:rPr>
          <w:lang w:eastAsia="en-AU" w:bidi="ar-SA"/>
        </w:rPr>
        <w:t>in</w:t>
      </w:r>
      <w:r>
        <w:rPr>
          <w:lang w:eastAsia="en-AU" w:bidi="ar-SA"/>
        </w:rPr>
        <w:t xml:space="preserve"> Australia </w:t>
      </w:r>
      <w:r w:rsidR="00C02FA6">
        <w:rPr>
          <w:lang w:eastAsia="en-AU" w:bidi="ar-SA"/>
        </w:rPr>
        <w:t>relating to</w:t>
      </w:r>
      <w:r>
        <w:rPr>
          <w:lang w:eastAsia="en-AU" w:bidi="ar-SA"/>
        </w:rPr>
        <w:t xml:space="preserve"> </w:t>
      </w:r>
      <w:r w:rsidR="00C85419">
        <w:rPr>
          <w:lang w:eastAsia="en-AU" w:bidi="ar-SA"/>
        </w:rPr>
        <w:t xml:space="preserve">the supply of scheduled substances, </w:t>
      </w:r>
      <w:r w:rsidR="00C02FA6">
        <w:rPr>
          <w:lang w:eastAsia="en-AU" w:bidi="ar-SA"/>
        </w:rPr>
        <w:t>based on</w:t>
      </w:r>
      <w:r w:rsidR="00C85419">
        <w:rPr>
          <w:lang w:eastAsia="en-AU" w:bidi="ar-SA"/>
        </w:rPr>
        <w:t xml:space="preserve"> </w:t>
      </w:r>
      <w:r w:rsidR="00AB02C9">
        <w:rPr>
          <w:lang w:eastAsia="en-AU" w:bidi="ar-SA"/>
        </w:rPr>
        <w:t xml:space="preserve">the </w:t>
      </w:r>
      <w:r w:rsidR="00C85419">
        <w:rPr>
          <w:lang w:eastAsia="en-AU" w:bidi="ar-SA"/>
        </w:rPr>
        <w:t>risk</w:t>
      </w:r>
      <w:r w:rsidR="00C02FA6">
        <w:rPr>
          <w:lang w:eastAsia="en-AU" w:bidi="ar-SA"/>
        </w:rPr>
        <w:t>s</w:t>
      </w:r>
      <w:r w:rsidR="007171D3">
        <w:rPr>
          <w:lang w:eastAsia="en-AU" w:bidi="ar-SA"/>
        </w:rPr>
        <w:t xml:space="preserve"> associated with </w:t>
      </w:r>
      <w:r w:rsidR="00A34E99">
        <w:rPr>
          <w:lang w:eastAsia="en-AU" w:bidi="ar-SA"/>
        </w:rPr>
        <w:t xml:space="preserve">the </w:t>
      </w:r>
      <w:r w:rsidR="007171D3">
        <w:rPr>
          <w:lang w:eastAsia="en-AU" w:bidi="ar-SA"/>
        </w:rPr>
        <w:t xml:space="preserve">use of </w:t>
      </w:r>
      <w:r w:rsidR="00AB02C9">
        <w:rPr>
          <w:lang w:eastAsia="en-AU" w:bidi="ar-SA"/>
        </w:rPr>
        <w:t>those</w:t>
      </w:r>
      <w:r w:rsidR="007171D3">
        <w:rPr>
          <w:lang w:eastAsia="en-AU" w:bidi="ar-SA"/>
        </w:rPr>
        <w:t xml:space="preserve"> substance</w:t>
      </w:r>
      <w:r w:rsidR="00AB02C9">
        <w:rPr>
          <w:lang w:eastAsia="en-AU" w:bidi="ar-SA"/>
        </w:rPr>
        <w:t>s</w:t>
      </w:r>
      <w:r w:rsidR="00C85419">
        <w:rPr>
          <w:lang w:eastAsia="en-AU" w:bidi="ar-SA"/>
        </w:rPr>
        <w:t xml:space="preserve"> and the </w:t>
      </w:r>
      <w:r w:rsidR="00AB02C9">
        <w:rPr>
          <w:lang w:eastAsia="en-AU" w:bidi="ar-SA"/>
        </w:rPr>
        <w:t xml:space="preserve">recommended </w:t>
      </w:r>
      <w:r w:rsidR="00C85419">
        <w:rPr>
          <w:lang w:eastAsia="en-AU" w:bidi="ar-SA"/>
        </w:rPr>
        <w:t>level of control</w:t>
      </w:r>
      <w:r w:rsidR="00C02FA6">
        <w:rPr>
          <w:lang w:eastAsia="en-AU" w:bidi="ar-SA"/>
        </w:rPr>
        <w:t>s</w:t>
      </w:r>
      <w:r w:rsidR="00C85419">
        <w:rPr>
          <w:lang w:eastAsia="en-AU" w:bidi="ar-SA"/>
        </w:rPr>
        <w:t xml:space="preserve"> over </w:t>
      </w:r>
      <w:r w:rsidR="00A34E99">
        <w:rPr>
          <w:lang w:eastAsia="en-AU" w:bidi="ar-SA"/>
        </w:rPr>
        <w:t xml:space="preserve">their </w:t>
      </w:r>
      <w:r w:rsidR="00C85419">
        <w:rPr>
          <w:lang w:eastAsia="en-AU" w:bidi="ar-SA"/>
        </w:rPr>
        <w:t>availability</w:t>
      </w:r>
      <w:r w:rsidR="00340DF0">
        <w:rPr>
          <w:lang w:eastAsia="en-AU" w:bidi="ar-SA"/>
        </w:rPr>
        <w:t>.</w:t>
      </w:r>
    </w:p>
    <w:p w14:paraId="2BDE816F" w14:textId="77777777" w:rsidR="00D141E0" w:rsidRDefault="00D141E0" w:rsidP="00F37432">
      <w:pPr>
        <w:widowControl/>
        <w:adjustRightInd w:val="0"/>
        <w:rPr>
          <w:lang w:eastAsia="en-AU" w:bidi="ar-SA"/>
        </w:rPr>
      </w:pPr>
    </w:p>
    <w:p w14:paraId="2E9FC9C1" w14:textId="7219719A" w:rsidR="006D0FF0" w:rsidRDefault="00470320" w:rsidP="00F37432">
      <w:pPr>
        <w:widowControl/>
        <w:adjustRightInd w:val="0"/>
        <w:rPr>
          <w:lang w:eastAsia="en-AU" w:bidi="ar-SA"/>
        </w:rPr>
      </w:pPr>
      <w:r w:rsidRPr="009A4740">
        <w:rPr>
          <w:lang w:eastAsia="en-AU" w:bidi="ar-SA"/>
        </w:rPr>
        <w:t>The purpose of th</w:t>
      </w:r>
      <w:r w:rsidR="00A35815" w:rsidRPr="009A4740">
        <w:rPr>
          <w:lang w:eastAsia="en-AU" w:bidi="ar-SA"/>
        </w:rPr>
        <w:t xml:space="preserve">e </w:t>
      </w:r>
      <w:r w:rsidR="00A35815" w:rsidRPr="008D4A06">
        <w:rPr>
          <w:i/>
          <w:lang w:eastAsia="en-AU" w:bidi="ar-SA"/>
        </w:rPr>
        <w:t xml:space="preserve">Poisons </w:t>
      </w:r>
      <w:r w:rsidR="00C60C38" w:rsidRPr="008D4A06">
        <w:rPr>
          <w:i/>
          <w:lang w:eastAsia="en-AU" w:bidi="ar-SA"/>
        </w:rPr>
        <w:t>Standard Amendment (</w:t>
      </w:r>
      <w:r w:rsidR="006D0FF0">
        <w:rPr>
          <w:i/>
          <w:lang w:eastAsia="en-AU" w:bidi="ar-SA"/>
        </w:rPr>
        <w:t>Ivermectin</w:t>
      </w:r>
      <w:r w:rsidR="00A35815" w:rsidRPr="008D4A06">
        <w:rPr>
          <w:i/>
          <w:lang w:eastAsia="en-AU" w:bidi="ar-SA"/>
        </w:rPr>
        <w:t>) Instrument 202</w:t>
      </w:r>
      <w:r w:rsidR="006D0FF0">
        <w:rPr>
          <w:i/>
          <w:lang w:eastAsia="en-AU" w:bidi="ar-SA"/>
        </w:rPr>
        <w:t>1</w:t>
      </w:r>
      <w:r w:rsidR="00A35815" w:rsidRPr="009A4740">
        <w:rPr>
          <w:lang w:eastAsia="en-AU" w:bidi="ar-SA"/>
        </w:rPr>
        <w:t xml:space="preserve"> (“the Amendment Instrument”) </w:t>
      </w:r>
      <w:r w:rsidRPr="009A4740">
        <w:rPr>
          <w:lang w:eastAsia="en-AU" w:bidi="ar-SA"/>
        </w:rPr>
        <w:t>is to amend</w:t>
      </w:r>
      <w:r w:rsidR="009F1ED8">
        <w:rPr>
          <w:lang w:eastAsia="en-AU" w:bidi="ar-SA"/>
        </w:rPr>
        <w:t xml:space="preserve"> </w:t>
      </w:r>
      <w:r w:rsidRPr="009A4740">
        <w:rPr>
          <w:lang w:eastAsia="en-AU" w:bidi="ar-SA"/>
        </w:rPr>
        <w:t xml:space="preserve">the </w:t>
      </w:r>
      <w:r w:rsidRPr="008D4A06">
        <w:rPr>
          <w:i/>
          <w:lang w:eastAsia="en-AU" w:bidi="ar-SA"/>
        </w:rPr>
        <w:t xml:space="preserve">Poisons Standard </w:t>
      </w:r>
      <w:r w:rsidR="006D0FF0">
        <w:rPr>
          <w:i/>
          <w:lang w:eastAsia="en-AU" w:bidi="ar-SA"/>
        </w:rPr>
        <w:t>June</w:t>
      </w:r>
      <w:r w:rsidRPr="008D4A06">
        <w:rPr>
          <w:i/>
          <w:lang w:eastAsia="en-AU" w:bidi="ar-SA"/>
        </w:rPr>
        <w:t xml:space="preserve"> 202</w:t>
      </w:r>
      <w:r w:rsidR="006D0FF0">
        <w:rPr>
          <w:i/>
          <w:lang w:eastAsia="en-AU" w:bidi="ar-SA"/>
        </w:rPr>
        <w:t>1</w:t>
      </w:r>
      <w:r w:rsidR="00B6323D">
        <w:rPr>
          <w:lang w:eastAsia="en-AU" w:bidi="ar-SA"/>
        </w:rPr>
        <w:t xml:space="preserve"> </w:t>
      </w:r>
      <w:r w:rsidR="00EF5087">
        <w:rPr>
          <w:lang w:eastAsia="en-AU" w:bidi="ar-SA"/>
        </w:rPr>
        <w:t xml:space="preserve">(“the Principal Instrument”) </w:t>
      </w:r>
      <w:r w:rsidR="00B6323D">
        <w:rPr>
          <w:lang w:eastAsia="en-AU" w:bidi="ar-SA"/>
        </w:rPr>
        <w:t xml:space="preserve">in relation to the substance </w:t>
      </w:r>
      <w:r w:rsidR="006D0FF0">
        <w:rPr>
          <w:lang w:eastAsia="en-AU" w:bidi="ar-SA"/>
        </w:rPr>
        <w:t xml:space="preserve">ivermectin </w:t>
      </w:r>
      <w:r w:rsidR="001C71B5">
        <w:rPr>
          <w:lang w:eastAsia="en-AU" w:bidi="ar-SA"/>
        </w:rPr>
        <w:t xml:space="preserve">in preparations for oral administration </w:t>
      </w:r>
      <w:r w:rsidR="006D0FF0">
        <w:rPr>
          <w:lang w:eastAsia="en-AU" w:bidi="ar-SA"/>
        </w:rPr>
        <w:t>for human use</w:t>
      </w:r>
      <w:r w:rsidR="0022026B">
        <w:rPr>
          <w:lang w:eastAsia="en-AU" w:bidi="ar-SA"/>
        </w:rPr>
        <w:t>.</w:t>
      </w:r>
      <w:r w:rsidR="008871B5" w:rsidRPr="009A4740">
        <w:rPr>
          <w:lang w:eastAsia="en-AU" w:bidi="ar-SA"/>
        </w:rPr>
        <w:t xml:space="preserve"> </w:t>
      </w:r>
      <w:r w:rsidR="000A6DE7">
        <w:rPr>
          <w:lang w:eastAsia="en-AU" w:bidi="ar-SA"/>
        </w:rPr>
        <w:t xml:space="preserve">Concerns have arisen in relation to the increase in off-label prescribing of oral </w:t>
      </w:r>
      <w:r w:rsidR="001C71B5">
        <w:rPr>
          <w:lang w:eastAsia="en-AU" w:bidi="ar-SA"/>
        </w:rPr>
        <w:t>i</w:t>
      </w:r>
      <w:r w:rsidR="000A6DE7">
        <w:rPr>
          <w:lang w:eastAsia="en-AU" w:bidi="ar-SA"/>
        </w:rPr>
        <w:t>vermectin as a potential therapy for the prevention or treatment of coronavirus disease (</w:t>
      </w:r>
      <w:r w:rsidR="003C26FA">
        <w:rPr>
          <w:lang w:eastAsia="en-AU" w:bidi="ar-SA"/>
        </w:rPr>
        <w:t>“</w:t>
      </w:r>
      <w:r w:rsidR="000A6DE7">
        <w:rPr>
          <w:lang w:eastAsia="en-AU" w:bidi="ar-SA"/>
        </w:rPr>
        <w:t>COVID-19</w:t>
      </w:r>
      <w:r w:rsidR="003C26FA">
        <w:rPr>
          <w:lang w:eastAsia="en-AU" w:bidi="ar-SA"/>
        </w:rPr>
        <w:t>”</w:t>
      </w:r>
      <w:r w:rsidR="000A6DE7">
        <w:rPr>
          <w:lang w:eastAsia="en-AU" w:bidi="ar-SA"/>
        </w:rPr>
        <w:t>).</w:t>
      </w:r>
    </w:p>
    <w:p w14:paraId="3649119A" w14:textId="2C351E15" w:rsidR="003C26FA" w:rsidRDefault="003C26FA" w:rsidP="00F37432">
      <w:pPr>
        <w:widowControl/>
        <w:adjustRightInd w:val="0"/>
        <w:rPr>
          <w:lang w:eastAsia="en-AU" w:bidi="ar-SA"/>
        </w:rPr>
      </w:pPr>
    </w:p>
    <w:p w14:paraId="0E3ABE20" w14:textId="3377C886" w:rsidR="003F060F" w:rsidRDefault="003C26FA" w:rsidP="003F060F">
      <w:pPr>
        <w:widowControl/>
        <w:adjustRightInd w:val="0"/>
        <w:rPr>
          <w:lang w:eastAsia="en-AU" w:bidi="ar-SA"/>
        </w:rPr>
      </w:pPr>
      <w:r>
        <w:rPr>
          <w:lang w:eastAsia="en-AU" w:bidi="ar-SA"/>
        </w:rPr>
        <w:t xml:space="preserve">Ivermectin is not currently </w:t>
      </w:r>
      <w:r w:rsidR="00A34E99">
        <w:rPr>
          <w:lang w:eastAsia="en-AU" w:bidi="ar-SA"/>
        </w:rPr>
        <w:t xml:space="preserve">registered or </w:t>
      </w:r>
      <w:r>
        <w:rPr>
          <w:lang w:eastAsia="en-AU" w:bidi="ar-SA"/>
        </w:rPr>
        <w:t xml:space="preserve">approved for </w:t>
      </w:r>
      <w:r w:rsidR="001C71B5">
        <w:rPr>
          <w:lang w:eastAsia="en-AU" w:bidi="ar-SA"/>
        </w:rPr>
        <w:t>the prevention or treatment of COVID-19</w:t>
      </w:r>
      <w:r>
        <w:rPr>
          <w:lang w:eastAsia="en-AU" w:bidi="ar-SA"/>
        </w:rPr>
        <w:t xml:space="preserve"> in any </w:t>
      </w:r>
      <w:r w:rsidR="00C23311">
        <w:rPr>
          <w:lang w:eastAsia="en-AU" w:bidi="ar-SA"/>
        </w:rPr>
        <w:t xml:space="preserve">member </w:t>
      </w:r>
      <w:r>
        <w:rPr>
          <w:lang w:eastAsia="en-AU" w:bidi="ar-SA"/>
        </w:rPr>
        <w:t xml:space="preserve">country </w:t>
      </w:r>
      <w:r w:rsidR="00C23311">
        <w:rPr>
          <w:lang w:eastAsia="en-AU" w:bidi="ar-SA"/>
        </w:rPr>
        <w:t>of the O</w:t>
      </w:r>
      <w:r w:rsidR="00C23311" w:rsidRPr="00C23311">
        <w:rPr>
          <w:lang w:eastAsia="en-AU" w:bidi="ar-SA"/>
        </w:rPr>
        <w:t>rganisation for Economic Co-operation and Development (</w:t>
      </w:r>
      <w:r w:rsidR="00B03C46">
        <w:rPr>
          <w:lang w:eastAsia="en-AU" w:bidi="ar-SA"/>
        </w:rPr>
        <w:t>“</w:t>
      </w:r>
      <w:r w:rsidR="00C23311" w:rsidRPr="00C23311">
        <w:rPr>
          <w:lang w:eastAsia="en-AU" w:bidi="ar-SA"/>
        </w:rPr>
        <w:t>OECD</w:t>
      </w:r>
      <w:r w:rsidR="00B03C46">
        <w:rPr>
          <w:lang w:eastAsia="en-AU" w:bidi="ar-SA"/>
        </w:rPr>
        <w:t>”</w:t>
      </w:r>
      <w:r w:rsidR="00C23311" w:rsidRPr="00C23311">
        <w:rPr>
          <w:lang w:eastAsia="en-AU" w:bidi="ar-SA"/>
        </w:rPr>
        <w:t>)</w:t>
      </w:r>
      <w:r w:rsidR="001C1195">
        <w:rPr>
          <w:lang w:eastAsia="en-AU" w:bidi="ar-SA"/>
        </w:rPr>
        <w:t>.</w:t>
      </w:r>
      <w:r>
        <w:rPr>
          <w:lang w:eastAsia="en-AU" w:bidi="ar-SA"/>
        </w:rPr>
        <w:t xml:space="preserve"> </w:t>
      </w:r>
      <w:r w:rsidR="001C1195" w:rsidRPr="001C1195">
        <w:rPr>
          <w:lang w:eastAsia="en-AU" w:bidi="ar-SA"/>
        </w:rPr>
        <w:t xml:space="preserve">However, there has been a noticeable increase in </w:t>
      </w:r>
      <w:r w:rsidR="00C23311">
        <w:rPr>
          <w:lang w:eastAsia="en-AU" w:bidi="ar-SA"/>
        </w:rPr>
        <w:t xml:space="preserve">the </w:t>
      </w:r>
      <w:r w:rsidR="001C1195" w:rsidRPr="001C1195">
        <w:rPr>
          <w:lang w:eastAsia="en-AU" w:bidi="ar-SA"/>
        </w:rPr>
        <w:t xml:space="preserve">prescribing of oral ivermectin </w:t>
      </w:r>
      <w:r w:rsidR="00EF5087">
        <w:rPr>
          <w:lang w:eastAsia="en-AU" w:bidi="ar-SA"/>
        </w:rPr>
        <w:lastRenderedPageBreak/>
        <w:t xml:space="preserve">in Australia </w:t>
      </w:r>
      <w:r w:rsidR="001C1195" w:rsidRPr="001C1195">
        <w:rPr>
          <w:lang w:eastAsia="en-AU" w:bidi="ar-SA"/>
        </w:rPr>
        <w:t>for this purpose.</w:t>
      </w:r>
      <w:r w:rsidR="001C1195">
        <w:rPr>
          <w:lang w:eastAsia="en-AU" w:bidi="ar-SA"/>
        </w:rPr>
        <w:t xml:space="preserve"> T</w:t>
      </w:r>
      <w:r>
        <w:rPr>
          <w:lang w:eastAsia="en-AU" w:bidi="ar-SA"/>
        </w:rPr>
        <w:t>he</w:t>
      </w:r>
      <w:r w:rsidR="00EF5087">
        <w:rPr>
          <w:lang w:eastAsia="en-AU" w:bidi="ar-SA"/>
        </w:rPr>
        <w:t xml:space="preserve"> Department is concerned that the</w:t>
      </w:r>
      <w:r>
        <w:rPr>
          <w:lang w:eastAsia="en-AU" w:bidi="ar-SA"/>
        </w:rPr>
        <w:t xml:space="preserve">re are a number of significant public health risks associated with this practice including, for example, that persons taking ivermectin in an effort to prevent COVID-19 </w:t>
      </w:r>
      <w:r w:rsidR="001C71B5">
        <w:rPr>
          <w:lang w:eastAsia="en-AU" w:bidi="ar-SA"/>
        </w:rPr>
        <w:t xml:space="preserve">consider themselves to be protected against the disease, </w:t>
      </w:r>
      <w:r>
        <w:rPr>
          <w:lang w:eastAsia="en-AU" w:bidi="ar-SA"/>
        </w:rPr>
        <w:t xml:space="preserve">elect not to be vaccinated as part of the national COVID-19 </w:t>
      </w:r>
      <w:r w:rsidR="001C71B5">
        <w:rPr>
          <w:lang w:eastAsia="en-AU" w:bidi="ar-SA"/>
        </w:rPr>
        <w:t xml:space="preserve">vaccination </w:t>
      </w:r>
      <w:r>
        <w:rPr>
          <w:lang w:eastAsia="en-AU" w:bidi="ar-SA"/>
        </w:rPr>
        <w:t xml:space="preserve">program, </w:t>
      </w:r>
      <w:r w:rsidR="007B3695">
        <w:rPr>
          <w:lang w:eastAsia="en-AU" w:bidi="ar-SA"/>
        </w:rPr>
        <w:t>and</w:t>
      </w:r>
      <w:r w:rsidR="001C71B5">
        <w:rPr>
          <w:lang w:eastAsia="en-AU" w:bidi="ar-SA"/>
        </w:rPr>
        <w:t xml:space="preserve"> chose not </w:t>
      </w:r>
      <w:r>
        <w:rPr>
          <w:lang w:eastAsia="en-AU" w:bidi="ar-SA"/>
        </w:rPr>
        <w:t xml:space="preserve">to </w:t>
      </w:r>
      <w:r w:rsidR="001C71B5">
        <w:rPr>
          <w:lang w:eastAsia="en-AU" w:bidi="ar-SA"/>
        </w:rPr>
        <w:t xml:space="preserve">get tested or </w:t>
      </w:r>
      <w:r>
        <w:rPr>
          <w:lang w:eastAsia="en-AU" w:bidi="ar-SA"/>
        </w:rPr>
        <w:t xml:space="preserve">seek medical care if they experience symptoms. </w:t>
      </w:r>
      <w:r w:rsidR="003F060F" w:rsidRPr="003F060F">
        <w:rPr>
          <w:lang w:eastAsia="en-AU" w:bidi="ar-SA"/>
        </w:rPr>
        <w:t xml:space="preserve">As a result, </w:t>
      </w:r>
      <w:r w:rsidR="003F060F">
        <w:rPr>
          <w:lang w:eastAsia="en-AU" w:bidi="ar-SA"/>
        </w:rPr>
        <w:t xml:space="preserve">the </w:t>
      </w:r>
      <w:r w:rsidR="003F060F" w:rsidRPr="003F060F">
        <w:rPr>
          <w:lang w:eastAsia="en-AU" w:bidi="ar-SA"/>
        </w:rPr>
        <w:t xml:space="preserve">use of oral ivermectin for </w:t>
      </w:r>
      <w:r w:rsidR="003F060F">
        <w:rPr>
          <w:lang w:eastAsia="en-AU" w:bidi="ar-SA"/>
        </w:rPr>
        <w:t xml:space="preserve">the prevention or treatment of COVID-19 </w:t>
      </w:r>
      <w:r w:rsidR="003F060F" w:rsidRPr="003F060F">
        <w:rPr>
          <w:lang w:eastAsia="en-AU" w:bidi="ar-SA"/>
        </w:rPr>
        <w:t>has the potential to spread the risk of infection throughout the community</w:t>
      </w:r>
      <w:r w:rsidR="001C1195">
        <w:rPr>
          <w:lang w:eastAsia="en-AU" w:bidi="ar-SA"/>
        </w:rPr>
        <w:t>.</w:t>
      </w:r>
    </w:p>
    <w:p w14:paraId="51AA2710" w14:textId="77777777" w:rsidR="003F060F" w:rsidRPr="003F060F" w:rsidRDefault="003F060F" w:rsidP="003F060F">
      <w:pPr>
        <w:widowControl/>
        <w:adjustRightInd w:val="0"/>
        <w:rPr>
          <w:b/>
          <w:bCs/>
          <w:lang w:eastAsia="en-AU" w:bidi="ar-SA"/>
        </w:rPr>
      </w:pPr>
    </w:p>
    <w:p w14:paraId="34BA7B04" w14:textId="0402DD20" w:rsidR="00171026" w:rsidRDefault="00DC139A" w:rsidP="00171026">
      <w:pPr>
        <w:widowControl/>
        <w:adjustRightInd w:val="0"/>
        <w:rPr>
          <w:lang w:eastAsia="en-AU" w:bidi="ar-SA"/>
        </w:rPr>
      </w:pPr>
      <w:r>
        <w:rPr>
          <w:lang w:eastAsia="en-AU" w:bidi="ar-SA"/>
        </w:rPr>
        <w:t>O</w:t>
      </w:r>
      <w:r w:rsidR="00477441">
        <w:rPr>
          <w:lang w:eastAsia="en-AU" w:bidi="ar-SA"/>
        </w:rPr>
        <w:t xml:space="preserve">ral ivermectin </w:t>
      </w:r>
      <w:r w:rsidR="00F1154D">
        <w:rPr>
          <w:lang w:eastAsia="en-AU" w:bidi="ar-SA"/>
        </w:rPr>
        <w:t xml:space="preserve">also </w:t>
      </w:r>
      <w:r w:rsidR="00477441">
        <w:rPr>
          <w:lang w:eastAsia="en-AU" w:bidi="ar-SA"/>
        </w:rPr>
        <w:t>has the potential to cause sever</w:t>
      </w:r>
      <w:r w:rsidR="00437CCD">
        <w:rPr>
          <w:lang w:eastAsia="en-AU" w:bidi="ar-SA"/>
        </w:rPr>
        <w:t>e</w:t>
      </w:r>
      <w:r w:rsidR="00477441">
        <w:rPr>
          <w:lang w:eastAsia="en-AU" w:bidi="ar-SA"/>
        </w:rPr>
        <w:t xml:space="preserve"> adverse events in persons, particularly when taken in high doses that have </w:t>
      </w:r>
      <w:r w:rsidR="00437CCD">
        <w:rPr>
          <w:lang w:eastAsia="en-AU" w:bidi="ar-SA"/>
        </w:rPr>
        <w:t xml:space="preserve">recently </w:t>
      </w:r>
      <w:r w:rsidR="00477441">
        <w:rPr>
          <w:lang w:eastAsia="en-AU" w:bidi="ar-SA"/>
        </w:rPr>
        <w:t xml:space="preserve">been described </w:t>
      </w:r>
      <w:r w:rsidR="00F74700">
        <w:rPr>
          <w:lang w:eastAsia="en-AU" w:bidi="ar-SA"/>
        </w:rPr>
        <w:t xml:space="preserve">in </w:t>
      </w:r>
      <w:r w:rsidR="00477441">
        <w:rPr>
          <w:lang w:eastAsia="en-AU" w:bidi="ar-SA"/>
        </w:rPr>
        <w:t>social media</w:t>
      </w:r>
      <w:r w:rsidR="00F74700">
        <w:rPr>
          <w:lang w:eastAsia="en-AU" w:bidi="ar-SA"/>
        </w:rPr>
        <w:t xml:space="preserve"> and other sources for the prevention or treatment of COVID-19 infection</w:t>
      </w:r>
      <w:r>
        <w:rPr>
          <w:lang w:eastAsia="en-AU" w:bidi="ar-SA"/>
        </w:rPr>
        <w:t xml:space="preserve">. These include, </w:t>
      </w:r>
      <w:r w:rsidR="008C6002" w:rsidRPr="00263590">
        <w:rPr>
          <w:lang w:eastAsia="en-AU" w:bidi="ar-SA"/>
        </w:rPr>
        <w:t>for example</w:t>
      </w:r>
      <w:r w:rsidR="003F060F">
        <w:rPr>
          <w:lang w:eastAsia="en-AU" w:bidi="ar-SA"/>
        </w:rPr>
        <w:t>,</w:t>
      </w:r>
      <w:r w:rsidR="00263590">
        <w:rPr>
          <w:lang w:eastAsia="en-AU" w:bidi="ar-SA"/>
        </w:rPr>
        <w:t xml:space="preserve"> severe skin reactions accompanied by fever, chills and aching muscles, severe blisters and bleeding in the lips, eyes, mouth, </w:t>
      </w:r>
      <w:proofErr w:type="gramStart"/>
      <w:r w:rsidR="00263590">
        <w:rPr>
          <w:lang w:eastAsia="en-AU" w:bidi="ar-SA"/>
        </w:rPr>
        <w:t>nose</w:t>
      </w:r>
      <w:proofErr w:type="gramEnd"/>
      <w:r w:rsidR="00263590">
        <w:rPr>
          <w:lang w:eastAsia="en-AU" w:bidi="ar-SA"/>
        </w:rPr>
        <w:t xml:space="preserve"> and genitals, worsening asthma</w:t>
      </w:r>
      <w:r w:rsidR="001F271E">
        <w:rPr>
          <w:lang w:eastAsia="en-AU" w:bidi="ar-SA"/>
        </w:rPr>
        <w:t xml:space="preserve"> and </w:t>
      </w:r>
      <w:r w:rsidR="00263590">
        <w:rPr>
          <w:lang w:eastAsia="en-AU" w:bidi="ar-SA"/>
        </w:rPr>
        <w:t xml:space="preserve">swelling of the face, legs, ankles </w:t>
      </w:r>
      <w:r>
        <w:rPr>
          <w:lang w:eastAsia="en-AU" w:bidi="ar-SA"/>
        </w:rPr>
        <w:t>and</w:t>
      </w:r>
      <w:r w:rsidR="00263590">
        <w:rPr>
          <w:lang w:eastAsia="en-AU" w:bidi="ar-SA"/>
        </w:rPr>
        <w:t xml:space="preserve"> feet</w:t>
      </w:r>
      <w:r w:rsidR="008C6002">
        <w:rPr>
          <w:lang w:eastAsia="en-AU" w:bidi="ar-SA"/>
        </w:rPr>
        <w:t>.</w:t>
      </w:r>
    </w:p>
    <w:p w14:paraId="44DC3937" w14:textId="77777777" w:rsidR="00171026" w:rsidRDefault="00171026" w:rsidP="00171026">
      <w:pPr>
        <w:widowControl/>
        <w:adjustRightInd w:val="0"/>
        <w:rPr>
          <w:lang w:eastAsia="en-AU" w:bidi="ar-SA"/>
        </w:rPr>
      </w:pPr>
    </w:p>
    <w:p w14:paraId="0D3EE6B7" w14:textId="53E519EC" w:rsidR="00171026" w:rsidRDefault="00F74700" w:rsidP="00171026">
      <w:pPr>
        <w:widowControl/>
        <w:adjustRightInd w:val="0"/>
        <w:rPr>
          <w:lang w:eastAsia="en-AU" w:bidi="ar-SA"/>
        </w:rPr>
      </w:pPr>
      <w:r w:rsidRPr="003F060F">
        <w:rPr>
          <w:lang w:eastAsia="en-AU" w:bidi="ar-SA"/>
        </w:rPr>
        <w:t>While oral ivermectin is generally well-tolerated at the recommended dose for the approved indications</w:t>
      </w:r>
      <w:r w:rsidR="00EF5087" w:rsidRPr="00EF5087">
        <w:rPr>
          <w:lang w:eastAsia="en-AU" w:bidi="ar-SA"/>
        </w:rPr>
        <w:t xml:space="preserve"> </w:t>
      </w:r>
      <w:r w:rsidR="00EF5087">
        <w:rPr>
          <w:lang w:eastAsia="en-AU" w:bidi="ar-SA"/>
        </w:rPr>
        <w:t>for which it is included in the Australian Register of Therapeutic Goods (“the Register”)</w:t>
      </w:r>
      <w:r w:rsidRPr="003F060F">
        <w:rPr>
          <w:lang w:eastAsia="en-AU" w:bidi="ar-SA"/>
        </w:rPr>
        <w:t xml:space="preserve">, there is insufficient data to support </w:t>
      </w:r>
      <w:r>
        <w:rPr>
          <w:lang w:eastAsia="en-AU" w:bidi="ar-SA"/>
        </w:rPr>
        <w:t xml:space="preserve">any </w:t>
      </w:r>
      <w:r w:rsidR="00171026">
        <w:rPr>
          <w:lang w:eastAsia="en-AU" w:bidi="ar-SA"/>
        </w:rPr>
        <w:t xml:space="preserve">higher </w:t>
      </w:r>
      <w:r w:rsidR="00EF5087">
        <w:rPr>
          <w:lang w:eastAsia="en-AU" w:bidi="ar-SA"/>
        </w:rPr>
        <w:t>dose</w:t>
      </w:r>
      <w:r w:rsidR="00DC139A">
        <w:rPr>
          <w:lang w:eastAsia="en-AU" w:bidi="ar-SA"/>
        </w:rPr>
        <w:t>s</w:t>
      </w:r>
      <w:r w:rsidR="00EF5087">
        <w:rPr>
          <w:lang w:eastAsia="en-AU" w:bidi="ar-SA"/>
        </w:rPr>
        <w:t xml:space="preserve">. Currently, there is only one product containing oral ivermectin included in the Register. This is </w:t>
      </w:r>
      <w:r w:rsidR="00DC139A">
        <w:rPr>
          <w:lang w:eastAsia="en-AU" w:bidi="ar-SA"/>
        </w:rPr>
        <w:t xml:space="preserve">the prescription medicine, </w:t>
      </w:r>
      <w:proofErr w:type="spellStart"/>
      <w:r w:rsidR="00EF5087">
        <w:rPr>
          <w:lang w:eastAsia="en-AU" w:bidi="ar-SA"/>
        </w:rPr>
        <w:t>Stromectol</w:t>
      </w:r>
      <w:proofErr w:type="spellEnd"/>
      <w:r w:rsidR="00EF5087">
        <w:rPr>
          <w:lang w:eastAsia="en-AU" w:bidi="ar-SA"/>
        </w:rPr>
        <w:t xml:space="preserve"> ivermectin 3mg tablet blister pack (AUST R 181338), which is indicated for</w:t>
      </w:r>
      <w:r w:rsidR="00171026">
        <w:rPr>
          <w:lang w:eastAsia="en-AU" w:bidi="ar-SA"/>
        </w:rPr>
        <w:t xml:space="preserve"> the treatment of river blindness (onchocerciasis), threadworm of the intestines (intestinal strongyloidiasis) and scabies.</w:t>
      </w:r>
    </w:p>
    <w:p w14:paraId="6098A986" w14:textId="4125C569" w:rsidR="008C6002" w:rsidRDefault="008C6002" w:rsidP="00F37432">
      <w:pPr>
        <w:widowControl/>
        <w:adjustRightInd w:val="0"/>
        <w:rPr>
          <w:lang w:eastAsia="en-AU" w:bidi="ar-SA"/>
        </w:rPr>
      </w:pPr>
    </w:p>
    <w:p w14:paraId="0B836B6C" w14:textId="26A57D52" w:rsidR="00B41203" w:rsidRDefault="008C6002" w:rsidP="00B41203">
      <w:pPr>
        <w:widowControl/>
        <w:autoSpaceDE/>
        <w:autoSpaceDN/>
        <w:rPr>
          <w:bCs/>
          <w:lang w:eastAsia="en-AU" w:bidi="ar-SA"/>
        </w:rPr>
      </w:pPr>
      <w:r>
        <w:rPr>
          <w:lang w:eastAsia="en-AU" w:bidi="ar-SA"/>
        </w:rPr>
        <w:t xml:space="preserve">The TGA has observed a significant increase in </w:t>
      </w:r>
      <w:r w:rsidR="00BB5708">
        <w:rPr>
          <w:lang w:eastAsia="en-AU" w:bidi="ar-SA"/>
        </w:rPr>
        <w:t>sales</w:t>
      </w:r>
      <w:r w:rsidR="00B41203">
        <w:rPr>
          <w:lang w:eastAsia="en-AU" w:bidi="ar-SA"/>
        </w:rPr>
        <w:t xml:space="preserve"> of </w:t>
      </w:r>
      <w:r w:rsidR="00EF5087">
        <w:rPr>
          <w:lang w:eastAsia="en-AU" w:bidi="ar-SA"/>
        </w:rPr>
        <w:t xml:space="preserve">this product </w:t>
      </w:r>
      <w:r w:rsidR="00B41203">
        <w:rPr>
          <w:lang w:eastAsia="en-AU" w:bidi="ar-SA"/>
        </w:rPr>
        <w:t>in the last 24 months</w:t>
      </w:r>
      <w:r w:rsidR="00EF5087">
        <w:rPr>
          <w:lang w:eastAsia="en-AU" w:bidi="ar-SA"/>
        </w:rPr>
        <w:t xml:space="preserve"> that cannot be attributed to the approved indications</w:t>
      </w:r>
      <w:r w:rsidR="00DC139A">
        <w:rPr>
          <w:lang w:eastAsia="en-AU" w:bidi="ar-SA"/>
        </w:rPr>
        <w:t xml:space="preserve"> alone</w:t>
      </w:r>
      <w:r w:rsidR="00B41203">
        <w:rPr>
          <w:lang w:eastAsia="en-AU" w:bidi="ar-SA"/>
        </w:rPr>
        <w:t>. If action is not taken to address these concerns</w:t>
      </w:r>
      <w:r w:rsidR="00A11111">
        <w:rPr>
          <w:lang w:eastAsia="en-AU" w:bidi="ar-SA"/>
        </w:rPr>
        <w:t>,</w:t>
      </w:r>
      <w:r w:rsidR="00B41203">
        <w:rPr>
          <w:lang w:eastAsia="en-AU" w:bidi="ar-SA"/>
        </w:rPr>
        <w:t xml:space="preserve"> it </w:t>
      </w:r>
      <w:r w:rsidR="00B41203">
        <w:rPr>
          <w:bCs/>
          <w:lang w:eastAsia="en-AU" w:bidi="ar-SA"/>
        </w:rPr>
        <w:t xml:space="preserve">is </w:t>
      </w:r>
      <w:r w:rsidR="001C71B5">
        <w:rPr>
          <w:bCs/>
          <w:lang w:eastAsia="en-AU" w:bidi="ar-SA"/>
        </w:rPr>
        <w:t xml:space="preserve">possible </w:t>
      </w:r>
      <w:r w:rsidR="00B41203">
        <w:rPr>
          <w:bCs/>
          <w:lang w:eastAsia="en-AU" w:bidi="ar-SA"/>
        </w:rPr>
        <w:t>that oral ivermectin w</w:t>
      </w:r>
      <w:r w:rsidR="004579B9">
        <w:rPr>
          <w:bCs/>
          <w:lang w:eastAsia="en-AU" w:bidi="ar-SA"/>
        </w:rPr>
        <w:t>ill</w:t>
      </w:r>
      <w:r w:rsidR="00B41203">
        <w:rPr>
          <w:bCs/>
          <w:lang w:eastAsia="en-AU" w:bidi="ar-SA"/>
        </w:rPr>
        <w:t xml:space="preserve"> be in shortage </w:t>
      </w:r>
      <w:r w:rsidR="00BB5708">
        <w:rPr>
          <w:bCs/>
          <w:lang w:eastAsia="en-AU" w:bidi="ar-SA"/>
        </w:rPr>
        <w:t xml:space="preserve">in Australia </w:t>
      </w:r>
      <w:r w:rsidR="00B41203">
        <w:rPr>
          <w:bCs/>
          <w:lang w:eastAsia="en-AU" w:bidi="ar-SA"/>
        </w:rPr>
        <w:t xml:space="preserve">for the treatment of </w:t>
      </w:r>
      <w:r w:rsidR="00DC139A">
        <w:rPr>
          <w:bCs/>
          <w:lang w:eastAsia="en-AU" w:bidi="ar-SA"/>
        </w:rPr>
        <w:t xml:space="preserve">the </w:t>
      </w:r>
      <w:r w:rsidR="00B41203">
        <w:rPr>
          <w:bCs/>
          <w:lang w:eastAsia="en-AU" w:bidi="ar-SA"/>
        </w:rPr>
        <w:t xml:space="preserve">conditions </w:t>
      </w:r>
      <w:r w:rsidR="00BB5708">
        <w:rPr>
          <w:bCs/>
          <w:lang w:eastAsia="en-AU" w:bidi="ar-SA"/>
        </w:rPr>
        <w:t xml:space="preserve">for which it has been properly </w:t>
      </w:r>
      <w:r w:rsidR="00EF5087">
        <w:rPr>
          <w:bCs/>
          <w:lang w:eastAsia="en-AU" w:bidi="ar-SA"/>
        </w:rPr>
        <w:t xml:space="preserve">evaluated </w:t>
      </w:r>
      <w:r w:rsidR="00F1154D">
        <w:rPr>
          <w:bCs/>
          <w:lang w:eastAsia="en-AU" w:bidi="ar-SA"/>
        </w:rPr>
        <w:t xml:space="preserve">and approved </w:t>
      </w:r>
      <w:r w:rsidR="00EF5087">
        <w:rPr>
          <w:bCs/>
          <w:lang w:eastAsia="en-AU" w:bidi="ar-SA"/>
        </w:rPr>
        <w:t>in accordance with scientific data</w:t>
      </w:r>
      <w:r w:rsidR="00A11111">
        <w:rPr>
          <w:bCs/>
          <w:lang w:eastAsia="en-AU" w:bidi="ar-SA"/>
        </w:rPr>
        <w:t xml:space="preserve">. </w:t>
      </w:r>
      <w:r w:rsidR="00EF5087">
        <w:rPr>
          <w:bCs/>
          <w:lang w:eastAsia="en-AU" w:bidi="ar-SA"/>
        </w:rPr>
        <w:t xml:space="preserve">The TGA is concerned that </w:t>
      </w:r>
      <w:r w:rsidR="00DC139A">
        <w:rPr>
          <w:bCs/>
          <w:lang w:eastAsia="en-AU" w:bidi="ar-SA"/>
        </w:rPr>
        <w:t xml:space="preserve">such shortage </w:t>
      </w:r>
      <w:r w:rsidR="00EF5087">
        <w:rPr>
          <w:bCs/>
          <w:lang w:eastAsia="en-AU" w:bidi="ar-SA"/>
        </w:rPr>
        <w:t xml:space="preserve">may </w:t>
      </w:r>
      <w:r w:rsidR="00B41203">
        <w:rPr>
          <w:bCs/>
          <w:lang w:eastAsia="en-AU" w:bidi="ar-SA"/>
        </w:rPr>
        <w:t>disproportionately impact vulnerable communities</w:t>
      </w:r>
      <w:r w:rsidR="00A11111">
        <w:rPr>
          <w:bCs/>
          <w:lang w:eastAsia="en-AU" w:bidi="ar-SA"/>
        </w:rPr>
        <w:t>,</w:t>
      </w:r>
      <w:r w:rsidR="00B41203">
        <w:rPr>
          <w:bCs/>
          <w:lang w:eastAsia="en-AU" w:bidi="ar-SA"/>
        </w:rPr>
        <w:t xml:space="preserve"> including Aboriginal and Torres Strait Islander communities.</w:t>
      </w:r>
    </w:p>
    <w:p w14:paraId="5C9E82B0" w14:textId="22D07B42" w:rsidR="008C6002" w:rsidRDefault="008C6002" w:rsidP="008C6002">
      <w:pPr>
        <w:widowControl/>
        <w:autoSpaceDE/>
        <w:autoSpaceDN/>
        <w:rPr>
          <w:lang w:eastAsia="en-AU" w:bidi="ar-SA"/>
        </w:rPr>
      </w:pPr>
    </w:p>
    <w:p w14:paraId="66D1CCEC" w14:textId="30E18FA8" w:rsidR="003468F6" w:rsidRDefault="00477441" w:rsidP="00437CCD">
      <w:pPr>
        <w:widowControl/>
        <w:autoSpaceDE/>
        <w:autoSpaceDN/>
        <w:rPr>
          <w:bCs/>
          <w:lang w:eastAsia="en-AU" w:bidi="ar-SA"/>
        </w:rPr>
      </w:pPr>
      <w:r>
        <w:rPr>
          <w:lang w:eastAsia="en-AU" w:bidi="ar-SA"/>
        </w:rPr>
        <w:t xml:space="preserve">The purpose of the </w:t>
      </w:r>
      <w:r w:rsidR="00437CCD">
        <w:rPr>
          <w:bCs/>
          <w:lang w:eastAsia="en-AU" w:bidi="ar-SA"/>
        </w:rPr>
        <w:t xml:space="preserve">Amendment Instrument is </w:t>
      </w:r>
      <w:r w:rsidR="00BB5708">
        <w:rPr>
          <w:bCs/>
          <w:lang w:eastAsia="en-AU" w:bidi="ar-SA"/>
        </w:rPr>
        <w:t xml:space="preserve">therefore </w:t>
      </w:r>
      <w:r w:rsidR="00437CCD">
        <w:rPr>
          <w:bCs/>
          <w:lang w:eastAsia="en-AU" w:bidi="ar-SA"/>
        </w:rPr>
        <w:t xml:space="preserve">to amend the </w:t>
      </w:r>
      <w:r w:rsidR="00DC139A">
        <w:rPr>
          <w:bCs/>
          <w:lang w:eastAsia="en-AU" w:bidi="ar-SA"/>
        </w:rPr>
        <w:t xml:space="preserve">Principal Instrument </w:t>
      </w:r>
      <w:r w:rsidR="00437CCD">
        <w:rPr>
          <w:bCs/>
          <w:lang w:eastAsia="en-AU" w:bidi="ar-SA"/>
        </w:rPr>
        <w:t>to address the safety</w:t>
      </w:r>
      <w:r w:rsidR="004C00DE">
        <w:rPr>
          <w:bCs/>
          <w:lang w:eastAsia="en-AU" w:bidi="ar-SA"/>
        </w:rPr>
        <w:t xml:space="preserve"> risks</w:t>
      </w:r>
      <w:r w:rsidR="00BB5708">
        <w:rPr>
          <w:bCs/>
          <w:lang w:eastAsia="en-AU" w:bidi="ar-SA"/>
        </w:rPr>
        <w:t xml:space="preserve"> outlined above</w:t>
      </w:r>
      <w:r w:rsidR="00437CCD">
        <w:rPr>
          <w:bCs/>
          <w:lang w:eastAsia="en-AU" w:bidi="ar-SA"/>
        </w:rPr>
        <w:t>, and to ensure the continued availability of oral ivermectin for</w:t>
      </w:r>
      <w:r w:rsidR="00BB5708">
        <w:rPr>
          <w:bCs/>
          <w:lang w:eastAsia="en-AU" w:bidi="ar-SA"/>
        </w:rPr>
        <w:t xml:space="preserve"> its approved</w:t>
      </w:r>
      <w:r w:rsidR="00437CCD">
        <w:rPr>
          <w:bCs/>
          <w:lang w:eastAsia="en-AU" w:bidi="ar-SA"/>
        </w:rPr>
        <w:t xml:space="preserve"> </w:t>
      </w:r>
      <w:r w:rsidR="00DC139A">
        <w:rPr>
          <w:bCs/>
          <w:lang w:eastAsia="en-AU" w:bidi="ar-SA"/>
        </w:rPr>
        <w:t>indications</w:t>
      </w:r>
      <w:r w:rsidR="00BB5708">
        <w:rPr>
          <w:bCs/>
          <w:lang w:eastAsia="en-AU" w:bidi="ar-SA"/>
        </w:rPr>
        <w:t>.</w:t>
      </w:r>
      <w:r w:rsidR="003468F6">
        <w:rPr>
          <w:bCs/>
          <w:lang w:eastAsia="en-AU" w:bidi="ar-SA"/>
        </w:rPr>
        <w:t xml:space="preserve"> Principally, the Amendment Instrument amends Appendix D to the </w:t>
      </w:r>
      <w:r w:rsidR="00DC139A">
        <w:rPr>
          <w:bCs/>
          <w:lang w:eastAsia="en-AU" w:bidi="ar-SA"/>
        </w:rPr>
        <w:t xml:space="preserve">Principal Instrument </w:t>
      </w:r>
      <w:r w:rsidR="003468F6">
        <w:rPr>
          <w:bCs/>
          <w:lang w:eastAsia="en-AU" w:bidi="ar-SA"/>
        </w:rPr>
        <w:t>to impose additional controls on the possession or supply of ivermectin for human use</w:t>
      </w:r>
      <w:r w:rsidR="00DC139A">
        <w:rPr>
          <w:bCs/>
          <w:lang w:eastAsia="en-AU" w:bidi="ar-SA"/>
        </w:rPr>
        <w:t>. Specifically, this is achieved</w:t>
      </w:r>
      <w:r w:rsidR="003468F6">
        <w:rPr>
          <w:bCs/>
          <w:lang w:eastAsia="en-AU" w:bidi="ar-SA"/>
        </w:rPr>
        <w:t xml:space="preserve"> by restricting </w:t>
      </w:r>
      <w:r w:rsidR="001C71B5">
        <w:rPr>
          <w:bCs/>
          <w:lang w:eastAsia="en-AU" w:bidi="ar-SA"/>
        </w:rPr>
        <w:t>the prescribing or authorising of oral ivermectin</w:t>
      </w:r>
      <w:r w:rsidR="00DC139A">
        <w:rPr>
          <w:bCs/>
          <w:lang w:eastAsia="en-AU" w:bidi="ar-SA"/>
        </w:rPr>
        <w:t xml:space="preserve"> for</w:t>
      </w:r>
      <w:r w:rsidR="003468F6">
        <w:rPr>
          <w:bCs/>
          <w:lang w:eastAsia="en-AU" w:bidi="ar-SA"/>
        </w:rPr>
        <w:t>:</w:t>
      </w:r>
    </w:p>
    <w:p w14:paraId="30D142D7" w14:textId="77777777" w:rsidR="00F1154D" w:rsidRDefault="00F1154D" w:rsidP="00437CCD">
      <w:pPr>
        <w:widowControl/>
        <w:autoSpaceDE/>
        <w:autoSpaceDN/>
        <w:rPr>
          <w:bCs/>
          <w:lang w:eastAsia="en-AU" w:bidi="ar-SA"/>
        </w:rPr>
      </w:pPr>
    </w:p>
    <w:p w14:paraId="76D3A9FC" w14:textId="79A142E8" w:rsidR="003468F6" w:rsidRDefault="001C71B5" w:rsidP="003468F6">
      <w:pPr>
        <w:pStyle w:val="ListParagraph"/>
        <w:widowControl/>
        <w:numPr>
          <w:ilvl w:val="0"/>
          <w:numId w:val="3"/>
        </w:numPr>
        <w:autoSpaceDE/>
        <w:autoSpaceDN/>
        <w:rPr>
          <w:bCs/>
          <w:lang w:eastAsia="en-AU" w:bidi="ar-SA"/>
        </w:rPr>
      </w:pPr>
      <w:r>
        <w:rPr>
          <w:bCs/>
          <w:lang w:eastAsia="en-AU" w:bidi="ar-SA"/>
        </w:rPr>
        <w:t xml:space="preserve">an </w:t>
      </w:r>
      <w:r w:rsidR="003468F6" w:rsidRPr="003468F6">
        <w:rPr>
          <w:bCs/>
          <w:lang w:eastAsia="en-AU" w:bidi="ar-SA"/>
        </w:rPr>
        <w:t>indication accepted by the Secretary in relation to the inclusion of ivermectin in tablet dosage form in the Register</w:t>
      </w:r>
      <w:r>
        <w:rPr>
          <w:bCs/>
          <w:lang w:eastAsia="en-AU" w:bidi="ar-SA"/>
        </w:rPr>
        <w:t xml:space="preserve"> (</w:t>
      </w:r>
      <w:r w:rsidR="00DC139A">
        <w:rPr>
          <w:bCs/>
          <w:lang w:eastAsia="en-AU" w:bidi="ar-SA"/>
        </w:rPr>
        <w:t xml:space="preserve">an </w:t>
      </w:r>
      <w:r w:rsidRPr="00B03C46">
        <w:rPr>
          <w:b/>
          <w:i/>
          <w:iCs/>
          <w:lang w:eastAsia="en-AU" w:bidi="ar-SA"/>
        </w:rPr>
        <w:t>approved indication</w:t>
      </w:r>
      <w:r>
        <w:rPr>
          <w:bCs/>
          <w:lang w:eastAsia="en-AU" w:bidi="ar-SA"/>
        </w:rPr>
        <w:t>)</w:t>
      </w:r>
      <w:r w:rsidR="003468F6">
        <w:rPr>
          <w:bCs/>
          <w:lang w:eastAsia="en-AU" w:bidi="ar-SA"/>
        </w:rPr>
        <w:t>;</w:t>
      </w:r>
      <w:r w:rsidR="003468F6" w:rsidRPr="003468F6">
        <w:rPr>
          <w:bCs/>
          <w:lang w:eastAsia="en-AU" w:bidi="ar-SA"/>
        </w:rPr>
        <w:t xml:space="preserve"> or</w:t>
      </w:r>
    </w:p>
    <w:p w14:paraId="14826B27" w14:textId="3A342A24" w:rsidR="003468F6" w:rsidRPr="000C588F" w:rsidRDefault="001C71B5" w:rsidP="000B11CA">
      <w:pPr>
        <w:pStyle w:val="ListParagraph"/>
        <w:widowControl/>
        <w:numPr>
          <w:ilvl w:val="0"/>
          <w:numId w:val="3"/>
        </w:numPr>
        <w:autoSpaceDE/>
        <w:autoSpaceDN/>
        <w:rPr>
          <w:bCs/>
          <w:lang w:eastAsia="en-AU" w:bidi="ar-SA"/>
        </w:rPr>
      </w:pPr>
      <w:r w:rsidRPr="000C588F">
        <w:rPr>
          <w:bCs/>
          <w:lang w:eastAsia="en-AU" w:bidi="ar-SA"/>
        </w:rPr>
        <w:t xml:space="preserve">an indication </w:t>
      </w:r>
      <w:r w:rsidR="00DC139A" w:rsidRPr="000C588F">
        <w:rPr>
          <w:bCs/>
          <w:lang w:eastAsia="en-AU" w:bidi="ar-SA"/>
        </w:rPr>
        <w:t>that is not an approved indication</w:t>
      </w:r>
      <w:r w:rsidR="003468F6" w:rsidRPr="000C588F">
        <w:rPr>
          <w:bCs/>
          <w:lang w:eastAsia="en-AU" w:bidi="ar-SA"/>
        </w:rPr>
        <w:t xml:space="preserve">, </w:t>
      </w:r>
      <w:r w:rsidR="00DC139A" w:rsidRPr="000C588F">
        <w:rPr>
          <w:bCs/>
          <w:lang w:eastAsia="en-AU" w:bidi="ar-SA"/>
        </w:rPr>
        <w:t>when</w:t>
      </w:r>
      <w:r w:rsidR="003468F6" w:rsidRPr="000C588F">
        <w:rPr>
          <w:bCs/>
          <w:lang w:eastAsia="en-AU" w:bidi="ar-SA"/>
        </w:rPr>
        <w:t xml:space="preserve"> prescribed or authorised by a medical practitioner who is a specialist in dermatology, gastroenterology </w:t>
      </w:r>
      <w:r w:rsidR="000C588F" w:rsidRPr="000C588F">
        <w:rPr>
          <w:bCs/>
          <w:lang w:eastAsia="en-AU" w:bidi="ar-SA"/>
        </w:rPr>
        <w:t>and hepatology</w:t>
      </w:r>
      <w:r w:rsidR="000C588F" w:rsidRPr="000C588F">
        <w:rPr>
          <w:bCs/>
          <w:lang w:eastAsia="en-AU" w:bidi="ar-SA"/>
        </w:rPr>
        <w:t>,</w:t>
      </w:r>
      <w:r w:rsidR="000C588F" w:rsidRPr="000C588F">
        <w:rPr>
          <w:bCs/>
          <w:lang w:eastAsia="en-AU" w:bidi="ar-SA"/>
        </w:rPr>
        <w:t xml:space="preserve"> infectious diseases</w:t>
      </w:r>
      <w:r w:rsidR="000C588F" w:rsidRPr="000C588F">
        <w:rPr>
          <w:bCs/>
          <w:lang w:eastAsia="en-AU" w:bidi="ar-SA"/>
        </w:rPr>
        <w:t xml:space="preserve">, </w:t>
      </w:r>
      <w:r w:rsidR="000C588F" w:rsidRPr="000C588F">
        <w:rPr>
          <w:bCs/>
          <w:lang w:eastAsia="en-AU" w:bidi="ar-SA"/>
        </w:rPr>
        <w:t>paediatric gastroenterology and hepatology</w:t>
      </w:r>
      <w:r w:rsidR="000C588F" w:rsidRPr="000C588F">
        <w:rPr>
          <w:bCs/>
          <w:lang w:eastAsia="en-AU" w:bidi="ar-SA"/>
        </w:rPr>
        <w:t xml:space="preserve">, or </w:t>
      </w:r>
      <w:r w:rsidR="000C588F" w:rsidRPr="000C588F">
        <w:rPr>
          <w:bCs/>
          <w:lang w:eastAsia="en-AU" w:bidi="ar-SA"/>
        </w:rPr>
        <w:t>paediatric infectious diseases</w:t>
      </w:r>
      <w:r w:rsidR="003468F6" w:rsidRPr="000C588F">
        <w:rPr>
          <w:bCs/>
          <w:lang w:eastAsia="en-AU" w:bidi="ar-SA"/>
        </w:rPr>
        <w:t>; or</w:t>
      </w:r>
    </w:p>
    <w:p w14:paraId="166EB9BE" w14:textId="168166CE" w:rsidR="00BB5708" w:rsidRPr="003468F6" w:rsidRDefault="003468F6" w:rsidP="003468F6">
      <w:pPr>
        <w:pStyle w:val="ListParagraph"/>
        <w:widowControl/>
        <w:numPr>
          <w:ilvl w:val="0"/>
          <w:numId w:val="3"/>
        </w:numPr>
        <w:autoSpaceDE/>
        <w:autoSpaceDN/>
        <w:rPr>
          <w:bCs/>
          <w:lang w:eastAsia="en-AU" w:bidi="ar-SA"/>
        </w:rPr>
      </w:pPr>
      <w:r>
        <w:rPr>
          <w:bCs/>
          <w:lang w:eastAsia="en-AU" w:bidi="ar-SA"/>
        </w:rPr>
        <w:t xml:space="preserve">use in a clinical trial that is approved by, or notified to, the Secretary </w:t>
      </w:r>
      <w:r w:rsidR="00813B62">
        <w:rPr>
          <w:bCs/>
          <w:lang w:eastAsia="en-AU" w:bidi="ar-SA"/>
        </w:rPr>
        <w:t>under the Act.</w:t>
      </w:r>
    </w:p>
    <w:p w14:paraId="44BD04A3" w14:textId="79F1F23E" w:rsidR="00437CCD" w:rsidRDefault="00437CCD" w:rsidP="00437CCD">
      <w:pPr>
        <w:widowControl/>
        <w:autoSpaceDE/>
        <w:autoSpaceDN/>
        <w:rPr>
          <w:bCs/>
          <w:lang w:eastAsia="en-AU" w:bidi="ar-SA"/>
        </w:rPr>
      </w:pPr>
    </w:p>
    <w:p w14:paraId="79A35A8C" w14:textId="5E133E53" w:rsidR="00437CCD" w:rsidRDefault="00813B62" w:rsidP="00437CCD">
      <w:pPr>
        <w:widowControl/>
        <w:autoSpaceDE/>
        <w:autoSpaceDN/>
        <w:rPr>
          <w:bCs/>
          <w:lang w:eastAsia="en-AU" w:bidi="ar-SA"/>
        </w:rPr>
      </w:pPr>
      <w:r>
        <w:rPr>
          <w:bCs/>
          <w:lang w:eastAsia="en-AU" w:bidi="ar-SA"/>
        </w:rPr>
        <w:t xml:space="preserve">These amendments are designed to ensure the supply of ivermectin in Australia for those patients who need </w:t>
      </w:r>
      <w:r w:rsidR="00DC139A">
        <w:rPr>
          <w:bCs/>
          <w:lang w:eastAsia="en-AU" w:bidi="ar-SA"/>
        </w:rPr>
        <w:t>the medicine</w:t>
      </w:r>
      <w:r>
        <w:rPr>
          <w:bCs/>
          <w:lang w:eastAsia="en-AU" w:bidi="ar-SA"/>
        </w:rPr>
        <w:t xml:space="preserve"> for its approved indications, particularly those in vulnerable communities</w:t>
      </w:r>
      <w:r w:rsidR="00F1154D">
        <w:rPr>
          <w:bCs/>
          <w:lang w:eastAsia="en-AU" w:bidi="ar-SA"/>
        </w:rPr>
        <w:t>;</w:t>
      </w:r>
      <w:r>
        <w:rPr>
          <w:bCs/>
          <w:lang w:eastAsia="en-AU" w:bidi="ar-SA"/>
        </w:rPr>
        <w:t xml:space="preserve"> and </w:t>
      </w:r>
      <w:r w:rsidR="001C71B5">
        <w:rPr>
          <w:bCs/>
          <w:lang w:eastAsia="en-AU" w:bidi="ar-SA"/>
        </w:rPr>
        <w:t xml:space="preserve">to </w:t>
      </w:r>
      <w:r>
        <w:rPr>
          <w:bCs/>
          <w:lang w:eastAsia="en-AU" w:bidi="ar-SA"/>
        </w:rPr>
        <w:t xml:space="preserve">avoid the risks to public health associated with the current patterns of off-label use by restricting </w:t>
      </w:r>
      <w:r w:rsidR="00DC139A">
        <w:rPr>
          <w:bCs/>
          <w:lang w:eastAsia="en-AU" w:bidi="ar-SA"/>
        </w:rPr>
        <w:t xml:space="preserve">prescribing and authorising practices </w:t>
      </w:r>
      <w:r>
        <w:rPr>
          <w:bCs/>
          <w:lang w:eastAsia="en-AU" w:bidi="ar-SA"/>
        </w:rPr>
        <w:t xml:space="preserve">to circumstances in which there is appropriate specialist medical expertise and oversight to consider and manage </w:t>
      </w:r>
      <w:r w:rsidR="00F1154D">
        <w:rPr>
          <w:bCs/>
          <w:lang w:eastAsia="en-AU" w:bidi="ar-SA"/>
        </w:rPr>
        <w:t xml:space="preserve">those </w:t>
      </w:r>
      <w:r>
        <w:rPr>
          <w:bCs/>
          <w:lang w:eastAsia="en-AU" w:bidi="ar-SA"/>
        </w:rPr>
        <w:t>risks.</w:t>
      </w:r>
    </w:p>
    <w:p w14:paraId="3F88B126" w14:textId="77777777" w:rsidR="00437CCD" w:rsidRPr="00437CCD" w:rsidRDefault="00437CCD" w:rsidP="00437CCD">
      <w:pPr>
        <w:widowControl/>
        <w:autoSpaceDE/>
        <w:autoSpaceDN/>
        <w:rPr>
          <w:bCs/>
          <w:lang w:eastAsia="en-AU" w:bidi="ar-SA"/>
        </w:rPr>
      </w:pPr>
    </w:p>
    <w:p w14:paraId="498A59F2" w14:textId="09EFF07D" w:rsidR="003F0DCD" w:rsidRDefault="00A74600" w:rsidP="00F37432">
      <w:pPr>
        <w:widowControl/>
        <w:adjustRightInd w:val="0"/>
        <w:rPr>
          <w:lang w:eastAsia="en-AU" w:bidi="ar-SA"/>
        </w:rPr>
      </w:pPr>
      <w:r>
        <w:rPr>
          <w:lang w:eastAsia="en-AU" w:bidi="ar-SA"/>
        </w:rPr>
        <w:t>Th</w:t>
      </w:r>
      <w:r w:rsidR="008D4A06">
        <w:rPr>
          <w:lang w:eastAsia="en-AU" w:bidi="ar-SA"/>
        </w:rPr>
        <w:t xml:space="preserve">e Amendment Instrument </w:t>
      </w:r>
      <w:r w:rsidR="005722C4">
        <w:rPr>
          <w:lang w:eastAsia="en-AU" w:bidi="ar-SA"/>
        </w:rPr>
        <w:t>reflects a</w:t>
      </w:r>
      <w:r w:rsidR="00B52CD0">
        <w:rPr>
          <w:lang w:eastAsia="en-AU" w:bidi="ar-SA"/>
        </w:rPr>
        <w:t xml:space="preserve"> </w:t>
      </w:r>
      <w:r w:rsidR="00337666">
        <w:rPr>
          <w:lang w:eastAsia="en-AU" w:bidi="ar-SA"/>
        </w:rPr>
        <w:t xml:space="preserve">decision </w:t>
      </w:r>
      <w:r w:rsidR="005722C4">
        <w:rPr>
          <w:lang w:eastAsia="en-AU" w:bidi="ar-SA"/>
        </w:rPr>
        <w:t xml:space="preserve">to amend the </w:t>
      </w:r>
      <w:r w:rsidR="00DC139A">
        <w:rPr>
          <w:lang w:eastAsia="en-AU" w:bidi="ar-SA"/>
        </w:rPr>
        <w:t>Principal Instrument (being, the current Poisons Standard)</w:t>
      </w:r>
      <w:r w:rsidR="005722C4">
        <w:rPr>
          <w:lang w:eastAsia="en-AU" w:bidi="ar-SA"/>
        </w:rPr>
        <w:t xml:space="preserve"> by a delegate of Secretary on their own initiative and </w:t>
      </w:r>
      <w:r>
        <w:rPr>
          <w:lang w:eastAsia="en-AU" w:bidi="ar-SA"/>
        </w:rPr>
        <w:t>was</w:t>
      </w:r>
      <w:r w:rsidR="00BC3D2A">
        <w:rPr>
          <w:lang w:eastAsia="en-AU" w:bidi="ar-SA"/>
        </w:rPr>
        <w:t xml:space="preserve"> </w:t>
      </w:r>
      <w:r w:rsidR="00337666">
        <w:rPr>
          <w:lang w:eastAsia="en-AU" w:bidi="ar-SA"/>
        </w:rPr>
        <w:t>not</w:t>
      </w:r>
      <w:r w:rsidR="003C3083">
        <w:rPr>
          <w:lang w:eastAsia="en-AU" w:bidi="ar-SA"/>
        </w:rPr>
        <w:t xml:space="preserve"> open to public consultation</w:t>
      </w:r>
      <w:r w:rsidR="00813B62">
        <w:rPr>
          <w:lang w:eastAsia="en-AU" w:bidi="ar-SA"/>
        </w:rPr>
        <w:t>, given the seriousness of the circumstances</w:t>
      </w:r>
      <w:r w:rsidR="001C71B5">
        <w:rPr>
          <w:lang w:eastAsia="en-AU" w:bidi="ar-SA"/>
        </w:rPr>
        <w:t>,</w:t>
      </w:r>
      <w:r w:rsidR="00813B62">
        <w:rPr>
          <w:lang w:eastAsia="en-AU" w:bidi="ar-SA"/>
        </w:rPr>
        <w:t xml:space="preserve"> the risks to the community</w:t>
      </w:r>
      <w:r w:rsidR="001C71B5">
        <w:rPr>
          <w:lang w:eastAsia="en-AU" w:bidi="ar-SA"/>
        </w:rPr>
        <w:t xml:space="preserve"> and </w:t>
      </w:r>
      <w:r w:rsidR="001C71B5">
        <w:rPr>
          <w:lang w:eastAsia="en-AU" w:bidi="ar-SA"/>
        </w:rPr>
        <w:lastRenderedPageBreak/>
        <w:t>the immediacy with which action needed to be taken</w:t>
      </w:r>
      <w:r w:rsidR="000560F4">
        <w:rPr>
          <w:lang w:eastAsia="en-AU" w:bidi="ar-SA"/>
        </w:rPr>
        <w:t>. However</w:t>
      </w:r>
      <w:r w:rsidR="003C3083">
        <w:rPr>
          <w:lang w:eastAsia="en-AU" w:bidi="ar-SA"/>
        </w:rPr>
        <w:t xml:space="preserve">, the ACMS (including </w:t>
      </w:r>
      <w:r w:rsidR="00DC139A">
        <w:rPr>
          <w:lang w:eastAsia="en-AU" w:bidi="ar-SA"/>
        </w:rPr>
        <w:t>s</w:t>
      </w:r>
      <w:r w:rsidR="003C3083">
        <w:rPr>
          <w:lang w:eastAsia="en-AU" w:bidi="ar-SA"/>
        </w:rPr>
        <w:t xml:space="preserve">tate and </w:t>
      </w:r>
      <w:r w:rsidR="00DC139A">
        <w:rPr>
          <w:lang w:eastAsia="en-AU" w:bidi="ar-SA"/>
        </w:rPr>
        <w:t>t</w:t>
      </w:r>
      <w:r w:rsidR="003C3083">
        <w:rPr>
          <w:lang w:eastAsia="en-AU" w:bidi="ar-SA"/>
        </w:rPr>
        <w:t>erritory representative members) w</w:t>
      </w:r>
      <w:r>
        <w:rPr>
          <w:lang w:eastAsia="en-AU" w:bidi="ar-SA"/>
        </w:rPr>
        <w:t xml:space="preserve">as consulted </w:t>
      </w:r>
      <w:r w:rsidR="00F1154D">
        <w:rPr>
          <w:lang w:eastAsia="en-AU" w:bidi="ar-SA"/>
        </w:rPr>
        <w:t xml:space="preserve">by the TGA in relation to the proposal </w:t>
      </w:r>
      <w:r>
        <w:rPr>
          <w:lang w:eastAsia="en-AU" w:bidi="ar-SA"/>
        </w:rPr>
        <w:t xml:space="preserve">and supported </w:t>
      </w:r>
      <w:r w:rsidR="008D4A06">
        <w:rPr>
          <w:lang w:eastAsia="en-AU" w:bidi="ar-SA"/>
        </w:rPr>
        <w:t xml:space="preserve">the </w:t>
      </w:r>
      <w:r>
        <w:rPr>
          <w:lang w:eastAsia="en-AU" w:bidi="ar-SA"/>
        </w:rPr>
        <w:t>amendment</w:t>
      </w:r>
      <w:r w:rsidR="00337666">
        <w:rPr>
          <w:lang w:eastAsia="en-AU" w:bidi="ar-SA"/>
        </w:rPr>
        <w:t>.</w:t>
      </w:r>
      <w:r w:rsidR="003C3083">
        <w:rPr>
          <w:lang w:eastAsia="en-AU" w:bidi="ar-SA"/>
        </w:rPr>
        <w:t xml:space="preserve"> </w:t>
      </w:r>
      <w:r w:rsidR="000560F4">
        <w:rPr>
          <w:lang w:eastAsia="en-AU" w:bidi="ar-SA"/>
        </w:rPr>
        <w:t xml:space="preserve">Further, it </w:t>
      </w:r>
      <w:r w:rsidR="003C3083">
        <w:rPr>
          <w:lang w:eastAsia="en-AU" w:bidi="ar-SA"/>
        </w:rPr>
        <w:t xml:space="preserve">was </w:t>
      </w:r>
      <w:r w:rsidR="00F03B97">
        <w:rPr>
          <w:lang w:eastAsia="en-AU" w:bidi="ar-SA"/>
        </w:rPr>
        <w:t xml:space="preserve">considered necessary to </w:t>
      </w:r>
      <w:r w:rsidR="008D4A06">
        <w:rPr>
          <w:lang w:eastAsia="en-AU" w:bidi="ar-SA"/>
        </w:rPr>
        <w:t>make the Amendment Instrument</w:t>
      </w:r>
      <w:r w:rsidR="00F03B97">
        <w:rPr>
          <w:lang w:eastAsia="en-AU" w:bidi="ar-SA"/>
        </w:rPr>
        <w:t xml:space="preserve"> urgently </w:t>
      </w:r>
      <w:proofErr w:type="gramStart"/>
      <w:r w:rsidR="00F03B97">
        <w:rPr>
          <w:lang w:eastAsia="en-AU" w:bidi="ar-SA"/>
        </w:rPr>
        <w:t>in order to</w:t>
      </w:r>
      <w:proofErr w:type="gramEnd"/>
      <w:r w:rsidR="00F03B97">
        <w:rPr>
          <w:lang w:eastAsia="en-AU" w:bidi="ar-SA"/>
        </w:rPr>
        <w:t xml:space="preserve"> </w:t>
      </w:r>
      <w:r w:rsidR="004F54AE">
        <w:rPr>
          <w:lang w:eastAsia="en-AU" w:bidi="ar-SA"/>
        </w:rPr>
        <w:t xml:space="preserve">support the Australian Government’s response to the COVID-19 public health emergency and to </w:t>
      </w:r>
      <w:r w:rsidR="00F03B97">
        <w:rPr>
          <w:lang w:eastAsia="en-AU" w:bidi="ar-SA"/>
        </w:rPr>
        <w:t xml:space="preserve">support the </w:t>
      </w:r>
      <w:r w:rsidR="00DA57E9">
        <w:rPr>
          <w:lang w:eastAsia="en-AU" w:bidi="ar-SA"/>
        </w:rPr>
        <w:t xml:space="preserve">continued </w:t>
      </w:r>
      <w:r w:rsidR="00F03B97">
        <w:rPr>
          <w:lang w:eastAsia="en-AU" w:bidi="ar-SA"/>
        </w:rPr>
        <w:t xml:space="preserve">availability of </w:t>
      </w:r>
      <w:r w:rsidR="00813B62">
        <w:rPr>
          <w:lang w:eastAsia="en-AU" w:bidi="ar-SA"/>
        </w:rPr>
        <w:t>ivermectin</w:t>
      </w:r>
      <w:r w:rsidR="008D4A06">
        <w:rPr>
          <w:lang w:eastAsia="en-AU" w:bidi="ar-SA"/>
        </w:rPr>
        <w:t xml:space="preserve"> </w:t>
      </w:r>
      <w:r w:rsidR="00F03B97">
        <w:rPr>
          <w:lang w:eastAsia="en-AU" w:bidi="ar-SA"/>
        </w:rPr>
        <w:t>for Australian</w:t>
      </w:r>
      <w:r w:rsidR="0030729B">
        <w:rPr>
          <w:lang w:eastAsia="en-AU" w:bidi="ar-SA"/>
        </w:rPr>
        <w:t xml:space="preserve"> patient</w:t>
      </w:r>
      <w:r w:rsidR="00F03B97">
        <w:rPr>
          <w:lang w:eastAsia="en-AU" w:bidi="ar-SA"/>
        </w:rPr>
        <w:t>s.</w:t>
      </w:r>
    </w:p>
    <w:p w14:paraId="5BA963B1" w14:textId="77777777" w:rsidR="00D141E0" w:rsidRDefault="00D141E0" w:rsidP="00F37432">
      <w:pPr>
        <w:widowControl/>
        <w:adjustRightInd w:val="0"/>
        <w:rPr>
          <w:lang w:eastAsia="en-AU" w:bidi="ar-SA"/>
        </w:rPr>
      </w:pPr>
    </w:p>
    <w:p w14:paraId="0C6261C8" w14:textId="21A3BA96" w:rsidR="003F0DCD" w:rsidRDefault="00337666" w:rsidP="00F37432">
      <w:pPr>
        <w:widowControl/>
        <w:adjustRightInd w:val="0"/>
        <w:rPr>
          <w:lang w:eastAsia="en-AU" w:bidi="ar-SA"/>
        </w:rPr>
      </w:pPr>
      <w:r>
        <w:rPr>
          <w:lang w:eastAsia="en-AU" w:bidi="ar-SA"/>
        </w:rPr>
        <w:t>Th</w:t>
      </w:r>
      <w:r w:rsidR="00A35815">
        <w:rPr>
          <w:lang w:eastAsia="en-AU" w:bidi="ar-SA"/>
        </w:rPr>
        <w:t>e</w:t>
      </w:r>
      <w:r w:rsidR="00262C4C">
        <w:rPr>
          <w:lang w:eastAsia="en-AU" w:bidi="ar-SA"/>
        </w:rPr>
        <w:t xml:space="preserve"> </w:t>
      </w:r>
      <w:r w:rsidR="00A35815">
        <w:rPr>
          <w:lang w:eastAsia="en-AU" w:bidi="ar-SA"/>
        </w:rPr>
        <w:t>Amendment I</w:t>
      </w:r>
      <w:r w:rsidR="00262C4C">
        <w:rPr>
          <w:lang w:eastAsia="en-AU" w:bidi="ar-SA"/>
        </w:rPr>
        <w:t xml:space="preserve">nstrument </w:t>
      </w:r>
      <w:r>
        <w:rPr>
          <w:lang w:eastAsia="en-AU" w:bidi="ar-SA"/>
        </w:rPr>
        <w:t xml:space="preserve">is a legislative instrument for the purposes of the </w:t>
      </w:r>
      <w:r w:rsidRPr="00F722BC">
        <w:rPr>
          <w:i/>
          <w:lang w:eastAsia="en-AU" w:bidi="ar-SA"/>
        </w:rPr>
        <w:t>Legislation Act 2003</w:t>
      </w:r>
      <w:r w:rsidR="002A40EC">
        <w:rPr>
          <w:i/>
          <w:lang w:eastAsia="en-AU" w:bidi="ar-SA"/>
        </w:rPr>
        <w:t xml:space="preserve"> </w:t>
      </w:r>
      <w:r w:rsidR="002A40EC">
        <w:rPr>
          <w:iCs/>
          <w:lang w:eastAsia="en-AU" w:bidi="ar-SA"/>
        </w:rPr>
        <w:t>(“the Legislation Act”)</w:t>
      </w:r>
      <w:r>
        <w:rPr>
          <w:lang w:eastAsia="en-AU" w:bidi="ar-SA"/>
        </w:rPr>
        <w:t xml:space="preserve">. However, section 42 of the </w:t>
      </w:r>
      <w:r w:rsidR="000560F4" w:rsidRPr="00B03C46">
        <w:rPr>
          <w:iCs/>
          <w:lang w:eastAsia="en-AU" w:bidi="ar-SA"/>
        </w:rPr>
        <w:t>Legislation Act</w:t>
      </w:r>
      <w:r w:rsidR="002A40EC">
        <w:rPr>
          <w:lang w:eastAsia="en-AU" w:bidi="ar-SA"/>
        </w:rPr>
        <w:t xml:space="preserve"> </w:t>
      </w:r>
      <w:r w:rsidR="00E045BB">
        <w:rPr>
          <w:lang w:eastAsia="en-AU" w:bidi="ar-SA"/>
        </w:rPr>
        <w:t xml:space="preserve">relating to disallowance </w:t>
      </w:r>
      <w:r>
        <w:rPr>
          <w:lang w:eastAsia="en-AU" w:bidi="ar-SA"/>
        </w:rPr>
        <w:t>does not apply (subsection 52D(4A)</w:t>
      </w:r>
      <w:r w:rsidR="000560F4">
        <w:rPr>
          <w:lang w:eastAsia="en-AU" w:bidi="ar-SA"/>
        </w:rPr>
        <w:t xml:space="preserve"> of the </w:t>
      </w:r>
      <w:r w:rsidR="008D4A06">
        <w:rPr>
          <w:lang w:eastAsia="en-AU" w:bidi="ar-SA"/>
        </w:rPr>
        <w:t>Act</w:t>
      </w:r>
      <w:r w:rsidR="000560F4" w:rsidRPr="00F37432">
        <w:rPr>
          <w:lang w:eastAsia="en-AU" w:bidi="ar-SA"/>
        </w:rPr>
        <w:t xml:space="preserve"> </w:t>
      </w:r>
      <w:r w:rsidR="000560F4">
        <w:rPr>
          <w:lang w:eastAsia="en-AU" w:bidi="ar-SA"/>
        </w:rPr>
        <w:t>refers</w:t>
      </w:r>
      <w:r>
        <w:rPr>
          <w:lang w:eastAsia="en-AU" w:bidi="ar-SA"/>
        </w:rPr>
        <w:t xml:space="preserve">). As </w:t>
      </w:r>
      <w:r w:rsidR="000560F4">
        <w:rPr>
          <w:lang w:eastAsia="en-AU" w:bidi="ar-SA"/>
        </w:rPr>
        <w:t xml:space="preserve">the Amendment Instrument is </w:t>
      </w:r>
      <w:r>
        <w:rPr>
          <w:lang w:eastAsia="en-AU" w:bidi="ar-SA"/>
        </w:rPr>
        <w:t xml:space="preserve">not disallowable, subsection 9(1) of the </w:t>
      </w:r>
      <w:r w:rsidRPr="00F722BC">
        <w:rPr>
          <w:i/>
          <w:lang w:eastAsia="en-AU" w:bidi="ar-SA"/>
        </w:rPr>
        <w:t>Human Rights (Parliamentary Scrutiny) Act 2011</w:t>
      </w:r>
      <w:r w:rsidRPr="009A4740">
        <w:rPr>
          <w:lang w:eastAsia="en-AU" w:bidi="ar-SA"/>
        </w:rPr>
        <w:t xml:space="preserve"> </w:t>
      </w:r>
      <w:r>
        <w:rPr>
          <w:lang w:eastAsia="en-AU" w:bidi="ar-SA"/>
        </w:rPr>
        <w:t xml:space="preserve">does not require the instrument </w:t>
      </w:r>
      <w:r w:rsidR="000560F4">
        <w:rPr>
          <w:lang w:eastAsia="en-AU" w:bidi="ar-SA"/>
        </w:rPr>
        <w:t xml:space="preserve">to </w:t>
      </w:r>
      <w:r>
        <w:rPr>
          <w:lang w:eastAsia="en-AU" w:bidi="ar-SA"/>
        </w:rPr>
        <w:t>be accompanied by a statement of compatibility with the human rights recognised under that Act.</w:t>
      </w:r>
    </w:p>
    <w:p w14:paraId="20A7932E" w14:textId="63889945" w:rsidR="00813B62" w:rsidRDefault="00813B62" w:rsidP="00F37432">
      <w:pPr>
        <w:widowControl/>
        <w:adjustRightInd w:val="0"/>
        <w:rPr>
          <w:lang w:eastAsia="en-AU" w:bidi="ar-SA"/>
        </w:rPr>
      </w:pPr>
    </w:p>
    <w:p w14:paraId="4E61ED87" w14:textId="57667373" w:rsidR="003F29A0" w:rsidRDefault="00C91011" w:rsidP="00F37432">
      <w:pPr>
        <w:widowControl/>
        <w:adjustRightInd w:val="0"/>
        <w:rPr>
          <w:lang w:eastAsia="en-AU" w:bidi="ar-SA"/>
        </w:rPr>
      </w:pPr>
      <w:r>
        <w:rPr>
          <w:lang w:eastAsia="en-AU" w:bidi="ar-SA"/>
        </w:rPr>
        <w:t>In providing that disallowance does not apply to an instrument made under paragraphs 52D(2)(a) or (b) of the Act, s</w:t>
      </w:r>
      <w:r w:rsidR="00637E70">
        <w:rPr>
          <w:lang w:eastAsia="en-AU" w:bidi="ar-SA"/>
        </w:rPr>
        <w:t xml:space="preserve">ubsection 52D(4A) </w:t>
      </w:r>
      <w:r>
        <w:rPr>
          <w:lang w:eastAsia="en-AU" w:bidi="ar-SA"/>
        </w:rPr>
        <w:t xml:space="preserve">of the Act appropriately recognises that instruments </w:t>
      </w:r>
      <w:r w:rsidR="002A40EC">
        <w:rPr>
          <w:lang w:eastAsia="en-AU" w:bidi="ar-SA"/>
        </w:rPr>
        <w:t xml:space="preserve">made under these paragraphs </w:t>
      </w:r>
      <w:r>
        <w:rPr>
          <w:lang w:eastAsia="en-AU" w:bidi="ar-SA"/>
        </w:rPr>
        <w:t xml:space="preserve">form part of an intergovernmental scheme, </w:t>
      </w:r>
      <w:r w:rsidR="002A40EC">
        <w:rPr>
          <w:lang w:eastAsia="en-AU" w:bidi="ar-SA"/>
        </w:rPr>
        <w:t xml:space="preserve">which </w:t>
      </w:r>
      <w:r w:rsidR="003F29A0">
        <w:rPr>
          <w:lang w:eastAsia="en-AU" w:bidi="ar-SA"/>
        </w:rPr>
        <w:t>should not be subject to unilateral disallowance</w:t>
      </w:r>
      <w:r w:rsidR="004F54AE">
        <w:rPr>
          <w:lang w:eastAsia="en-AU" w:bidi="ar-SA"/>
        </w:rPr>
        <w:t xml:space="preserve"> by the Commonwealth Parliament</w:t>
      </w:r>
      <w:r w:rsidR="003F29A0">
        <w:rPr>
          <w:lang w:eastAsia="en-AU" w:bidi="ar-SA"/>
        </w:rPr>
        <w:t>, consistent with section 44 of the Legislation Act.</w:t>
      </w:r>
    </w:p>
    <w:p w14:paraId="0B00F204" w14:textId="77777777" w:rsidR="003F29A0" w:rsidRDefault="003F29A0" w:rsidP="00F37432">
      <w:pPr>
        <w:widowControl/>
        <w:adjustRightInd w:val="0"/>
        <w:rPr>
          <w:lang w:eastAsia="en-AU" w:bidi="ar-SA"/>
        </w:rPr>
      </w:pPr>
    </w:p>
    <w:p w14:paraId="4D2DD4B3" w14:textId="46522D40" w:rsidR="003F29A0" w:rsidRDefault="003F29A0" w:rsidP="00F37432">
      <w:pPr>
        <w:widowControl/>
        <w:adjustRightInd w:val="0"/>
        <w:rPr>
          <w:lang w:eastAsia="en-AU" w:bidi="ar-SA"/>
        </w:rPr>
      </w:pPr>
      <w:r>
        <w:rPr>
          <w:lang w:eastAsia="en-AU" w:bidi="ar-SA"/>
        </w:rPr>
        <w:t>U</w:t>
      </w:r>
      <w:r w:rsidR="00C91011">
        <w:rPr>
          <w:lang w:eastAsia="en-AU" w:bidi="ar-SA"/>
        </w:rPr>
        <w:t xml:space="preserve">nder </w:t>
      </w:r>
      <w:r>
        <w:rPr>
          <w:lang w:eastAsia="en-AU" w:bidi="ar-SA"/>
        </w:rPr>
        <w:t xml:space="preserve">this scheme, </w:t>
      </w:r>
      <w:r w:rsidR="00C91011">
        <w:rPr>
          <w:lang w:eastAsia="en-AU" w:bidi="ar-SA"/>
        </w:rPr>
        <w:t xml:space="preserve">the current Poisons Standard </w:t>
      </w:r>
      <w:r>
        <w:rPr>
          <w:lang w:eastAsia="en-AU" w:bidi="ar-SA"/>
        </w:rPr>
        <w:t xml:space="preserve">principally </w:t>
      </w:r>
      <w:r w:rsidR="00C91011">
        <w:rPr>
          <w:lang w:eastAsia="en-AU" w:bidi="ar-SA"/>
        </w:rPr>
        <w:t xml:space="preserve">provides a set of recommendations to the states and territories as to the appropriate level of controls that should apply to </w:t>
      </w:r>
      <w:r>
        <w:rPr>
          <w:lang w:eastAsia="en-AU" w:bidi="ar-SA"/>
        </w:rPr>
        <w:t>medicines and poisons</w:t>
      </w:r>
      <w:r w:rsidR="00DC139A">
        <w:rPr>
          <w:lang w:eastAsia="en-AU" w:bidi="ar-SA"/>
        </w:rPr>
        <w:t xml:space="preserve">. The states </w:t>
      </w:r>
      <w:r>
        <w:rPr>
          <w:lang w:eastAsia="en-AU" w:bidi="ar-SA"/>
        </w:rPr>
        <w:t xml:space="preserve">and territories regulate such substances by </w:t>
      </w:r>
      <w:r w:rsidR="00DC139A">
        <w:rPr>
          <w:lang w:eastAsia="en-AU" w:bidi="ar-SA"/>
        </w:rPr>
        <w:t xml:space="preserve">electing to apply </w:t>
      </w:r>
      <w:r>
        <w:rPr>
          <w:lang w:eastAsia="en-AU" w:bidi="ar-SA"/>
        </w:rPr>
        <w:t xml:space="preserve">the current Poisons Standard </w:t>
      </w:r>
      <w:r w:rsidR="00DC139A">
        <w:rPr>
          <w:lang w:eastAsia="en-AU" w:bidi="ar-SA"/>
        </w:rPr>
        <w:t xml:space="preserve">as </w:t>
      </w:r>
      <w:r w:rsidR="002A40EC">
        <w:rPr>
          <w:lang w:eastAsia="en-AU" w:bidi="ar-SA"/>
        </w:rPr>
        <w:t xml:space="preserve">a </w:t>
      </w:r>
      <w:r w:rsidR="00DC139A">
        <w:rPr>
          <w:lang w:eastAsia="en-AU" w:bidi="ar-SA"/>
        </w:rPr>
        <w:t xml:space="preserve">law within </w:t>
      </w:r>
      <w:r>
        <w:rPr>
          <w:lang w:eastAsia="en-AU" w:bidi="ar-SA"/>
        </w:rPr>
        <w:t xml:space="preserve">their own </w:t>
      </w:r>
      <w:r w:rsidR="00DC139A">
        <w:rPr>
          <w:lang w:eastAsia="en-AU" w:bidi="ar-SA"/>
        </w:rPr>
        <w:t xml:space="preserve">jurisdiction. In this way, the </w:t>
      </w:r>
      <w:r w:rsidR="004F54AE">
        <w:rPr>
          <w:lang w:eastAsia="en-AU" w:bidi="ar-SA"/>
        </w:rPr>
        <w:t xml:space="preserve">current </w:t>
      </w:r>
      <w:r w:rsidR="004B474A">
        <w:rPr>
          <w:lang w:eastAsia="en-AU" w:bidi="ar-SA"/>
        </w:rPr>
        <w:t xml:space="preserve">Poisons Standard </w:t>
      </w:r>
      <w:r w:rsidR="00DC139A">
        <w:rPr>
          <w:lang w:eastAsia="en-AU" w:bidi="ar-SA"/>
        </w:rPr>
        <w:t xml:space="preserve">does not have </w:t>
      </w:r>
      <w:r w:rsidR="004B474A">
        <w:rPr>
          <w:lang w:eastAsia="en-AU" w:bidi="ar-SA"/>
        </w:rPr>
        <w:t xml:space="preserve">direct </w:t>
      </w:r>
      <w:proofErr w:type="gramStart"/>
      <w:r w:rsidR="004B474A">
        <w:rPr>
          <w:lang w:eastAsia="en-AU" w:bidi="ar-SA"/>
        </w:rPr>
        <w:t>application in its own right</w:t>
      </w:r>
      <w:proofErr w:type="gramEnd"/>
      <w:r>
        <w:rPr>
          <w:lang w:eastAsia="en-AU" w:bidi="ar-SA"/>
        </w:rPr>
        <w:t>.</w:t>
      </w:r>
    </w:p>
    <w:p w14:paraId="795C66C3" w14:textId="77777777" w:rsidR="003F29A0" w:rsidRDefault="003F29A0" w:rsidP="00F37432">
      <w:pPr>
        <w:widowControl/>
        <w:adjustRightInd w:val="0"/>
        <w:rPr>
          <w:lang w:eastAsia="en-AU" w:bidi="ar-SA"/>
        </w:rPr>
      </w:pPr>
    </w:p>
    <w:p w14:paraId="0A6CDA97" w14:textId="3A9C32F6" w:rsidR="00637E70" w:rsidRDefault="003F29A0" w:rsidP="00F37432">
      <w:pPr>
        <w:widowControl/>
        <w:adjustRightInd w:val="0"/>
        <w:rPr>
          <w:lang w:eastAsia="en-AU" w:bidi="ar-SA"/>
        </w:rPr>
      </w:pPr>
      <w:r>
        <w:rPr>
          <w:lang w:eastAsia="en-AU" w:bidi="ar-SA"/>
        </w:rPr>
        <w:t xml:space="preserve">If </w:t>
      </w:r>
      <w:r w:rsidR="004F54AE">
        <w:rPr>
          <w:lang w:eastAsia="en-AU" w:bidi="ar-SA"/>
        </w:rPr>
        <w:t xml:space="preserve">the current Poisons Standard was </w:t>
      </w:r>
      <w:r>
        <w:rPr>
          <w:lang w:eastAsia="en-AU" w:bidi="ar-SA"/>
        </w:rPr>
        <w:t>to be subject to disallowance, this would impact the current uniform system of restrictions in Australia relating to the supply of scheduled substances, based on the risk, and lead to confusion and different approaches across different states and territories</w:t>
      </w:r>
      <w:r w:rsidR="00F1154D">
        <w:rPr>
          <w:lang w:eastAsia="en-AU" w:bidi="ar-SA"/>
        </w:rPr>
        <w:t xml:space="preserve"> with respect to their handling, storage, possession and supply</w:t>
      </w:r>
      <w:r>
        <w:rPr>
          <w:lang w:eastAsia="en-AU" w:bidi="ar-SA"/>
        </w:rPr>
        <w:t>.</w:t>
      </w:r>
    </w:p>
    <w:p w14:paraId="11349332" w14:textId="28FF91AC" w:rsidR="003F29A0" w:rsidRDefault="003F29A0" w:rsidP="00F37432">
      <w:pPr>
        <w:widowControl/>
        <w:adjustRightInd w:val="0"/>
        <w:rPr>
          <w:lang w:eastAsia="en-AU" w:bidi="ar-SA"/>
        </w:rPr>
      </w:pPr>
    </w:p>
    <w:p w14:paraId="6F844946" w14:textId="0DD26B94" w:rsidR="003F29A0" w:rsidRDefault="003F29A0" w:rsidP="00F37432">
      <w:pPr>
        <w:widowControl/>
        <w:adjustRightInd w:val="0"/>
        <w:rPr>
          <w:lang w:eastAsia="en-AU" w:bidi="ar-SA"/>
        </w:rPr>
      </w:pPr>
      <w:r>
        <w:rPr>
          <w:lang w:eastAsia="en-AU" w:bidi="ar-SA"/>
        </w:rPr>
        <w:t>Further, as inclusion of new medicines in the current Poisons Standard is often a consequence of the granting of marketing approval of new medicines</w:t>
      </w:r>
      <w:r w:rsidR="00F1154D">
        <w:rPr>
          <w:lang w:eastAsia="en-AU" w:bidi="ar-SA"/>
        </w:rPr>
        <w:t xml:space="preserve"> under the Act</w:t>
      </w:r>
      <w:r>
        <w:rPr>
          <w:lang w:eastAsia="en-AU" w:bidi="ar-SA"/>
        </w:rPr>
        <w:t>, it is likely that disallowance would also lead to delays for Australian patients in accessing new and effective treatments.</w:t>
      </w:r>
    </w:p>
    <w:p w14:paraId="354DFF63" w14:textId="77777777" w:rsidR="00D141E0" w:rsidRDefault="00D141E0" w:rsidP="00F37432">
      <w:pPr>
        <w:widowControl/>
        <w:adjustRightInd w:val="0"/>
        <w:rPr>
          <w:lang w:eastAsia="en-AU" w:bidi="ar-SA"/>
        </w:rPr>
      </w:pPr>
    </w:p>
    <w:p w14:paraId="0C4B489E" w14:textId="77777777" w:rsidR="003F0DCD" w:rsidRDefault="00337666" w:rsidP="00F37432">
      <w:pPr>
        <w:widowControl/>
        <w:adjustRightInd w:val="0"/>
        <w:rPr>
          <w:lang w:eastAsia="en-AU" w:bidi="ar-SA"/>
        </w:rPr>
      </w:pPr>
      <w:r>
        <w:rPr>
          <w:lang w:eastAsia="en-AU" w:bidi="ar-SA"/>
        </w:rPr>
        <w:t>Th</w:t>
      </w:r>
      <w:r w:rsidR="00A35815">
        <w:rPr>
          <w:lang w:eastAsia="en-AU" w:bidi="ar-SA"/>
        </w:rPr>
        <w:t>e</w:t>
      </w:r>
      <w:r w:rsidR="00262C4C">
        <w:rPr>
          <w:lang w:eastAsia="en-AU" w:bidi="ar-SA"/>
        </w:rPr>
        <w:t xml:space="preserve"> </w:t>
      </w:r>
      <w:r w:rsidR="00A35815">
        <w:rPr>
          <w:lang w:eastAsia="en-AU" w:bidi="ar-SA"/>
        </w:rPr>
        <w:t>Amendment I</w:t>
      </w:r>
      <w:r w:rsidR="00262C4C">
        <w:rPr>
          <w:lang w:eastAsia="en-AU" w:bidi="ar-SA"/>
        </w:rPr>
        <w:t xml:space="preserve">nstrument commences on </w:t>
      </w:r>
      <w:r w:rsidR="00C60C38">
        <w:rPr>
          <w:lang w:eastAsia="en-AU" w:bidi="ar-SA"/>
        </w:rPr>
        <w:t>the day after it is reg</w:t>
      </w:r>
      <w:r w:rsidR="00B52CD0">
        <w:rPr>
          <w:lang w:eastAsia="en-AU" w:bidi="ar-SA"/>
        </w:rPr>
        <w:t>is</w:t>
      </w:r>
      <w:r w:rsidR="00C60C38">
        <w:rPr>
          <w:lang w:eastAsia="en-AU" w:bidi="ar-SA"/>
        </w:rPr>
        <w:t>tered</w:t>
      </w:r>
      <w:r w:rsidR="005D3A75" w:rsidRPr="00BE0DB9">
        <w:rPr>
          <w:lang w:eastAsia="en-AU" w:bidi="ar-SA"/>
        </w:rPr>
        <w:t>.</w:t>
      </w:r>
    </w:p>
    <w:sectPr w:rsidR="003F0DCD" w:rsidSect="00094A76">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1680" w:bottom="1702" w:left="168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6354F" w14:textId="77777777" w:rsidR="00DE6B0F" w:rsidRDefault="00DE6B0F">
      <w:r>
        <w:separator/>
      </w:r>
    </w:p>
  </w:endnote>
  <w:endnote w:type="continuationSeparator" w:id="0">
    <w:p w14:paraId="359AFF90" w14:textId="77777777" w:rsidR="00DE6B0F" w:rsidRDefault="00DE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C2499" w14:textId="77777777" w:rsidR="00094A76" w:rsidRDefault="0009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2107356"/>
      <w:docPartObj>
        <w:docPartGallery w:val="Page Numbers (Bottom of Page)"/>
        <w:docPartUnique/>
      </w:docPartObj>
    </w:sdtPr>
    <w:sdtEndPr>
      <w:rPr>
        <w:noProof/>
      </w:rPr>
    </w:sdtEndPr>
    <w:sdtContent>
      <w:p w14:paraId="56D58E3F" w14:textId="383E7114" w:rsidR="008D0CDA" w:rsidRDefault="008D0CDA" w:rsidP="00340DF0">
        <w:pPr>
          <w:pStyle w:val="Footer"/>
          <w:jc w:val="right"/>
        </w:pPr>
        <w:r>
          <w:fldChar w:fldCharType="begin"/>
        </w:r>
        <w:r>
          <w:instrText xml:space="preserve"> PAGE   \* MERGEFORMAT </w:instrText>
        </w:r>
        <w:r>
          <w:fldChar w:fldCharType="separate"/>
        </w:r>
        <w:r w:rsidR="009C3F4D">
          <w:rPr>
            <w:noProof/>
          </w:rPr>
          <w:t>3</w:t>
        </w:r>
        <w:r>
          <w:rPr>
            <w:noProof/>
          </w:rPr>
          <w:fldChar w:fldCharType="end"/>
        </w:r>
      </w:p>
    </w:sdtContent>
  </w:sdt>
  <w:p w14:paraId="59BEF149" w14:textId="77777777" w:rsidR="003123F1" w:rsidRDefault="003123F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4935" w14:textId="77777777" w:rsidR="00094A76" w:rsidRDefault="0009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7F8DB" w14:textId="77777777" w:rsidR="00DE6B0F" w:rsidRDefault="00DE6B0F">
      <w:r>
        <w:separator/>
      </w:r>
    </w:p>
  </w:footnote>
  <w:footnote w:type="continuationSeparator" w:id="0">
    <w:p w14:paraId="163A8C2B" w14:textId="77777777" w:rsidR="00DE6B0F" w:rsidRDefault="00DE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89467" w14:textId="77777777" w:rsidR="00094A76" w:rsidRDefault="00094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602B" w14:textId="77777777" w:rsidR="00094A76" w:rsidRDefault="00094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7F8A0" w14:textId="77777777" w:rsidR="00094A76" w:rsidRDefault="00094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6ED647E5"/>
    <w:multiLevelType w:val="hybridMultilevel"/>
    <w:tmpl w:val="DEB4457C"/>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 w15:restartNumberingAfterBreak="0">
    <w:nsid w:val="79341140"/>
    <w:multiLevelType w:val="hybridMultilevel"/>
    <w:tmpl w:val="E40C5D50"/>
    <w:lvl w:ilvl="0" w:tplc="3FF60E1C">
      <w:numFmt w:val="bullet"/>
      <w:lvlText w:val=""/>
      <w:lvlJc w:val="left"/>
      <w:pPr>
        <w:ind w:left="547" w:hanging="360"/>
      </w:pPr>
      <w:rPr>
        <w:rFonts w:ascii="Symbol" w:eastAsia="Symbol" w:hAnsi="Symbol" w:cs="Symbol" w:hint="default"/>
        <w:w w:val="100"/>
        <w:sz w:val="24"/>
        <w:szCs w:val="24"/>
        <w:lang w:val="en-US" w:eastAsia="en-US" w:bidi="en-US"/>
      </w:rPr>
    </w:lvl>
    <w:lvl w:ilvl="1" w:tplc="9C783980">
      <w:numFmt w:val="bullet"/>
      <w:lvlText w:val="•"/>
      <w:lvlJc w:val="left"/>
      <w:pPr>
        <w:ind w:left="1340" w:hanging="360"/>
      </w:pPr>
      <w:rPr>
        <w:rFonts w:hint="default"/>
        <w:lang w:val="en-US" w:eastAsia="en-US" w:bidi="en-US"/>
      </w:rPr>
    </w:lvl>
    <w:lvl w:ilvl="2" w:tplc="58F2B66E">
      <w:numFmt w:val="bullet"/>
      <w:lvlText w:val="•"/>
      <w:lvlJc w:val="left"/>
      <w:pPr>
        <w:ind w:left="2141" w:hanging="360"/>
      </w:pPr>
      <w:rPr>
        <w:rFonts w:hint="default"/>
        <w:lang w:val="en-US" w:eastAsia="en-US" w:bidi="en-US"/>
      </w:rPr>
    </w:lvl>
    <w:lvl w:ilvl="3" w:tplc="52C49958">
      <w:numFmt w:val="bullet"/>
      <w:lvlText w:val="•"/>
      <w:lvlJc w:val="left"/>
      <w:pPr>
        <w:ind w:left="2941" w:hanging="360"/>
      </w:pPr>
      <w:rPr>
        <w:rFonts w:hint="default"/>
        <w:lang w:val="en-US" w:eastAsia="en-US" w:bidi="en-US"/>
      </w:rPr>
    </w:lvl>
    <w:lvl w:ilvl="4" w:tplc="53B81C04">
      <w:numFmt w:val="bullet"/>
      <w:lvlText w:val="•"/>
      <w:lvlJc w:val="left"/>
      <w:pPr>
        <w:ind w:left="3742" w:hanging="360"/>
      </w:pPr>
      <w:rPr>
        <w:rFonts w:hint="default"/>
        <w:lang w:val="en-US" w:eastAsia="en-US" w:bidi="en-US"/>
      </w:rPr>
    </w:lvl>
    <w:lvl w:ilvl="5" w:tplc="0EEE4064">
      <w:numFmt w:val="bullet"/>
      <w:lvlText w:val="•"/>
      <w:lvlJc w:val="left"/>
      <w:pPr>
        <w:ind w:left="4543" w:hanging="360"/>
      </w:pPr>
      <w:rPr>
        <w:rFonts w:hint="default"/>
        <w:lang w:val="en-US" w:eastAsia="en-US" w:bidi="en-US"/>
      </w:rPr>
    </w:lvl>
    <w:lvl w:ilvl="6" w:tplc="AAB469A4">
      <w:numFmt w:val="bullet"/>
      <w:lvlText w:val="•"/>
      <w:lvlJc w:val="left"/>
      <w:pPr>
        <w:ind w:left="5343" w:hanging="360"/>
      </w:pPr>
      <w:rPr>
        <w:rFonts w:hint="default"/>
        <w:lang w:val="en-US" w:eastAsia="en-US" w:bidi="en-US"/>
      </w:rPr>
    </w:lvl>
    <w:lvl w:ilvl="7" w:tplc="1A1601DC">
      <w:numFmt w:val="bullet"/>
      <w:lvlText w:val="•"/>
      <w:lvlJc w:val="left"/>
      <w:pPr>
        <w:ind w:left="6144" w:hanging="360"/>
      </w:pPr>
      <w:rPr>
        <w:rFonts w:hint="default"/>
        <w:lang w:val="en-US" w:eastAsia="en-US" w:bidi="en-US"/>
      </w:rPr>
    </w:lvl>
    <w:lvl w:ilvl="8" w:tplc="AB7C3AFE">
      <w:numFmt w:val="bullet"/>
      <w:lvlText w:val="•"/>
      <w:lvlJc w:val="left"/>
      <w:pPr>
        <w:ind w:left="6945" w:hanging="360"/>
      </w:pPr>
      <w:rPr>
        <w:rFonts w:hint="default"/>
        <w:lang w:val="en-US" w:eastAsia="en-US" w:bidi="en-US"/>
      </w:rPr>
    </w:lvl>
  </w:abstractNum>
  <w:abstractNum w:abstractNumId="3" w15:restartNumberingAfterBreak="0">
    <w:nsid w:val="7BAB1A31"/>
    <w:multiLevelType w:val="hybridMultilevel"/>
    <w:tmpl w:val="D96CC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DCD"/>
    <w:rsid w:val="000346AD"/>
    <w:rsid w:val="000560F4"/>
    <w:rsid w:val="00094A76"/>
    <w:rsid w:val="000A32DF"/>
    <w:rsid w:val="000A42C3"/>
    <w:rsid w:val="000A6DE7"/>
    <w:rsid w:val="000C588F"/>
    <w:rsid w:val="000D237E"/>
    <w:rsid w:val="000D5873"/>
    <w:rsid w:val="001153F8"/>
    <w:rsid w:val="00171026"/>
    <w:rsid w:val="001956B6"/>
    <w:rsid w:val="001B4D68"/>
    <w:rsid w:val="001C1195"/>
    <w:rsid w:val="001C71B5"/>
    <w:rsid w:val="001D3412"/>
    <w:rsid w:val="001E2C36"/>
    <w:rsid w:val="001F271E"/>
    <w:rsid w:val="0022009E"/>
    <w:rsid w:val="0022026B"/>
    <w:rsid w:val="00240C7A"/>
    <w:rsid w:val="00262C4C"/>
    <w:rsid w:val="00263590"/>
    <w:rsid w:val="00286120"/>
    <w:rsid w:val="002A40EC"/>
    <w:rsid w:val="002C425A"/>
    <w:rsid w:val="002E37CA"/>
    <w:rsid w:val="0030729B"/>
    <w:rsid w:val="003123F1"/>
    <w:rsid w:val="00337666"/>
    <w:rsid w:val="00340DF0"/>
    <w:rsid w:val="003468F6"/>
    <w:rsid w:val="003830E8"/>
    <w:rsid w:val="003C26FA"/>
    <w:rsid w:val="003C3083"/>
    <w:rsid w:val="003F060F"/>
    <w:rsid w:val="003F0DCD"/>
    <w:rsid w:val="003F29A0"/>
    <w:rsid w:val="00400C34"/>
    <w:rsid w:val="004074B5"/>
    <w:rsid w:val="00411504"/>
    <w:rsid w:val="00437CCD"/>
    <w:rsid w:val="0045230A"/>
    <w:rsid w:val="004579B9"/>
    <w:rsid w:val="00470320"/>
    <w:rsid w:val="00477441"/>
    <w:rsid w:val="004A7DAD"/>
    <w:rsid w:val="004B474A"/>
    <w:rsid w:val="004C00DE"/>
    <w:rsid w:val="004D7961"/>
    <w:rsid w:val="004E72FF"/>
    <w:rsid w:val="004F54AE"/>
    <w:rsid w:val="0055164B"/>
    <w:rsid w:val="005664A0"/>
    <w:rsid w:val="005722C4"/>
    <w:rsid w:val="0058060B"/>
    <w:rsid w:val="005C1787"/>
    <w:rsid w:val="005D3A75"/>
    <w:rsid w:val="005E0157"/>
    <w:rsid w:val="005E0B32"/>
    <w:rsid w:val="00614DD4"/>
    <w:rsid w:val="00632F76"/>
    <w:rsid w:val="00635130"/>
    <w:rsid w:val="0063546A"/>
    <w:rsid w:val="00635E9F"/>
    <w:rsid w:val="00637E70"/>
    <w:rsid w:val="00695140"/>
    <w:rsid w:val="006D0FF0"/>
    <w:rsid w:val="006D4A53"/>
    <w:rsid w:val="006F0012"/>
    <w:rsid w:val="007171D3"/>
    <w:rsid w:val="00734274"/>
    <w:rsid w:val="00781743"/>
    <w:rsid w:val="007B3695"/>
    <w:rsid w:val="007D2A48"/>
    <w:rsid w:val="007E20B7"/>
    <w:rsid w:val="007E77F6"/>
    <w:rsid w:val="007F33EE"/>
    <w:rsid w:val="008119BB"/>
    <w:rsid w:val="00813B62"/>
    <w:rsid w:val="00846E3D"/>
    <w:rsid w:val="008738D0"/>
    <w:rsid w:val="00881D02"/>
    <w:rsid w:val="008871B5"/>
    <w:rsid w:val="008A199E"/>
    <w:rsid w:val="008C6002"/>
    <w:rsid w:val="008D0CDA"/>
    <w:rsid w:val="008D4A06"/>
    <w:rsid w:val="008F0152"/>
    <w:rsid w:val="00935751"/>
    <w:rsid w:val="0096285F"/>
    <w:rsid w:val="00976BAA"/>
    <w:rsid w:val="0097764A"/>
    <w:rsid w:val="00980C05"/>
    <w:rsid w:val="009A30B9"/>
    <w:rsid w:val="009A4740"/>
    <w:rsid w:val="009C3F4D"/>
    <w:rsid w:val="009E3ACB"/>
    <w:rsid w:val="009F1ED8"/>
    <w:rsid w:val="00A11111"/>
    <w:rsid w:val="00A22CD2"/>
    <w:rsid w:val="00A34E99"/>
    <w:rsid w:val="00A35815"/>
    <w:rsid w:val="00A604D3"/>
    <w:rsid w:val="00A67F58"/>
    <w:rsid w:val="00A73F81"/>
    <w:rsid w:val="00A74600"/>
    <w:rsid w:val="00A95E48"/>
    <w:rsid w:val="00AB02C9"/>
    <w:rsid w:val="00AE6698"/>
    <w:rsid w:val="00B03C46"/>
    <w:rsid w:val="00B41203"/>
    <w:rsid w:val="00B52CD0"/>
    <w:rsid w:val="00B6323D"/>
    <w:rsid w:val="00B81969"/>
    <w:rsid w:val="00BA6A93"/>
    <w:rsid w:val="00BB5708"/>
    <w:rsid w:val="00BB5DF0"/>
    <w:rsid w:val="00BC3D2A"/>
    <w:rsid w:val="00BD1F41"/>
    <w:rsid w:val="00BE0DB9"/>
    <w:rsid w:val="00C02FA6"/>
    <w:rsid w:val="00C23311"/>
    <w:rsid w:val="00C30F09"/>
    <w:rsid w:val="00C317DD"/>
    <w:rsid w:val="00C4691C"/>
    <w:rsid w:val="00C60C38"/>
    <w:rsid w:val="00C60D3D"/>
    <w:rsid w:val="00C85419"/>
    <w:rsid w:val="00C87B09"/>
    <w:rsid w:val="00C91011"/>
    <w:rsid w:val="00CA00A1"/>
    <w:rsid w:val="00CC2CD3"/>
    <w:rsid w:val="00CD042D"/>
    <w:rsid w:val="00CF109D"/>
    <w:rsid w:val="00D11D3D"/>
    <w:rsid w:val="00D136CB"/>
    <w:rsid w:val="00D141E0"/>
    <w:rsid w:val="00D24753"/>
    <w:rsid w:val="00D24A14"/>
    <w:rsid w:val="00D33E3E"/>
    <w:rsid w:val="00D94864"/>
    <w:rsid w:val="00D9637C"/>
    <w:rsid w:val="00DA57E9"/>
    <w:rsid w:val="00DB5C36"/>
    <w:rsid w:val="00DC139A"/>
    <w:rsid w:val="00DE1E48"/>
    <w:rsid w:val="00DE6B0F"/>
    <w:rsid w:val="00DF59BA"/>
    <w:rsid w:val="00E045BB"/>
    <w:rsid w:val="00E23986"/>
    <w:rsid w:val="00E63650"/>
    <w:rsid w:val="00E64D57"/>
    <w:rsid w:val="00E84C07"/>
    <w:rsid w:val="00E86E17"/>
    <w:rsid w:val="00ED57A1"/>
    <w:rsid w:val="00EE45D8"/>
    <w:rsid w:val="00EF5087"/>
    <w:rsid w:val="00F03B97"/>
    <w:rsid w:val="00F1154D"/>
    <w:rsid w:val="00F36816"/>
    <w:rsid w:val="00F37432"/>
    <w:rsid w:val="00F722BC"/>
    <w:rsid w:val="00F74700"/>
    <w:rsid w:val="00F96366"/>
    <w:rsid w:val="00FB6F92"/>
    <w:rsid w:val="00FC1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3216E3"/>
  <w15:docId w15:val="{DAC5FF95-DE70-4C0C-A257-0D07653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AU"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0C34"/>
    <w:pPr>
      <w:tabs>
        <w:tab w:val="center" w:pos="4513"/>
        <w:tab w:val="right" w:pos="9026"/>
      </w:tabs>
    </w:pPr>
  </w:style>
  <w:style w:type="character" w:customStyle="1" w:styleId="HeaderChar">
    <w:name w:val="Header Char"/>
    <w:basedOn w:val="DefaultParagraphFont"/>
    <w:link w:val="Header"/>
    <w:uiPriority w:val="99"/>
    <w:rsid w:val="00400C34"/>
    <w:rPr>
      <w:rFonts w:ascii="Times New Roman" w:eastAsia="Times New Roman" w:hAnsi="Times New Roman" w:cs="Times New Roman"/>
      <w:lang w:bidi="en-US"/>
    </w:rPr>
  </w:style>
  <w:style w:type="paragraph" w:styleId="Footer">
    <w:name w:val="footer"/>
    <w:basedOn w:val="Normal"/>
    <w:link w:val="FooterChar"/>
    <w:uiPriority w:val="99"/>
    <w:unhideWhenUsed/>
    <w:rsid w:val="00400C34"/>
    <w:pPr>
      <w:tabs>
        <w:tab w:val="center" w:pos="4513"/>
        <w:tab w:val="right" w:pos="9026"/>
      </w:tabs>
    </w:pPr>
  </w:style>
  <w:style w:type="character" w:customStyle="1" w:styleId="FooterChar">
    <w:name w:val="Footer Char"/>
    <w:basedOn w:val="DefaultParagraphFont"/>
    <w:link w:val="Footer"/>
    <w:uiPriority w:val="99"/>
    <w:rsid w:val="00400C3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470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2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5D3A75"/>
    <w:rPr>
      <w:sz w:val="16"/>
      <w:szCs w:val="16"/>
    </w:rPr>
  </w:style>
  <w:style w:type="paragraph" w:styleId="CommentText">
    <w:name w:val="annotation text"/>
    <w:basedOn w:val="Normal"/>
    <w:link w:val="CommentTextChar"/>
    <w:uiPriority w:val="99"/>
    <w:semiHidden/>
    <w:unhideWhenUsed/>
    <w:rsid w:val="005D3A75"/>
    <w:rPr>
      <w:sz w:val="20"/>
      <w:szCs w:val="20"/>
    </w:rPr>
  </w:style>
  <w:style w:type="character" w:customStyle="1" w:styleId="CommentTextChar">
    <w:name w:val="Comment Text Char"/>
    <w:basedOn w:val="DefaultParagraphFont"/>
    <w:link w:val="CommentText"/>
    <w:uiPriority w:val="99"/>
    <w:semiHidden/>
    <w:rsid w:val="005D3A7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D3A75"/>
    <w:rPr>
      <w:b/>
      <w:bCs/>
    </w:rPr>
  </w:style>
  <w:style w:type="character" w:customStyle="1" w:styleId="CommentSubjectChar">
    <w:name w:val="Comment Subject Char"/>
    <w:basedOn w:val="CommentTextChar"/>
    <w:link w:val="CommentSubject"/>
    <w:uiPriority w:val="99"/>
    <w:semiHidden/>
    <w:rsid w:val="005D3A75"/>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E23986"/>
    <w:rPr>
      <w:color w:val="0000FF" w:themeColor="hyperlink"/>
      <w:u w:val="single"/>
    </w:rPr>
  </w:style>
  <w:style w:type="character" w:styleId="FollowedHyperlink">
    <w:name w:val="FollowedHyperlink"/>
    <w:basedOn w:val="DefaultParagraphFont"/>
    <w:uiPriority w:val="99"/>
    <w:semiHidden/>
    <w:unhideWhenUsed/>
    <w:rsid w:val="00D94864"/>
    <w:rPr>
      <w:color w:val="800080" w:themeColor="followedHyperlink"/>
      <w:u w:val="single"/>
    </w:rPr>
  </w:style>
  <w:style w:type="paragraph" w:styleId="Revision">
    <w:name w:val="Revision"/>
    <w:hidden/>
    <w:uiPriority w:val="99"/>
    <w:semiHidden/>
    <w:rsid w:val="008D4A06"/>
    <w:pPr>
      <w:widowControl/>
      <w:autoSpaceDE/>
      <w:autoSpaceDN/>
    </w:pPr>
    <w:rPr>
      <w:rFonts w:ascii="Times New Roman" w:eastAsia="Times New Roman" w:hAnsi="Times New Roman" w:cs="Times New Roman"/>
      <w:lang w:val="en-A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21091">
      <w:bodyDiv w:val="1"/>
      <w:marLeft w:val="0"/>
      <w:marRight w:val="0"/>
      <w:marTop w:val="0"/>
      <w:marBottom w:val="0"/>
      <w:divBdr>
        <w:top w:val="none" w:sz="0" w:space="0" w:color="auto"/>
        <w:left w:val="none" w:sz="0" w:space="0" w:color="auto"/>
        <w:bottom w:val="none" w:sz="0" w:space="0" w:color="auto"/>
        <w:right w:val="none" w:sz="0" w:space="0" w:color="auto"/>
      </w:divBdr>
      <w:divsChild>
        <w:div w:id="174345705">
          <w:marLeft w:val="0"/>
          <w:marRight w:val="0"/>
          <w:marTop w:val="0"/>
          <w:marBottom w:val="0"/>
          <w:divBdr>
            <w:top w:val="none" w:sz="0" w:space="0" w:color="auto"/>
            <w:left w:val="none" w:sz="0" w:space="0" w:color="auto"/>
            <w:bottom w:val="none" w:sz="0" w:space="0" w:color="auto"/>
            <w:right w:val="none" w:sz="0" w:space="0" w:color="auto"/>
          </w:divBdr>
          <w:divsChild>
            <w:div w:id="420882455">
              <w:marLeft w:val="0"/>
              <w:marRight w:val="0"/>
              <w:marTop w:val="0"/>
              <w:marBottom w:val="0"/>
              <w:divBdr>
                <w:top w:val="none" w:sz="0" w:space="0" w:color="auto"/>
                <w:left w:val="none" w:sz="0" w:space="0" w:color="auto"/>
                <w:bottom w:val="none" w:sz="0" w:space="0" w:color="auto"/>
                <w:right w:val="none" w:sz="0" w:space="0" w:color="auto"/>
              </w:divBdr>
              <w:divsChild>
                <w:div w:id="191116883">
                  <w:marLeft w:val="0"/>
                  <w:marRight w:val="0"/>
                  <w:marTop w:val="0"/>
                  <w:marBottom w:val="0"/>
                  <w:divBdr>
                    <w:top w:val="none" w:sz="0" w:space="0" w:color="auto"/>
                    <w:left w:val="none" w:sz="0" w:space="0" w:color="auto"/>
                    <w:bottom w:val="none" w:sz="0" w:space="0" w:color="auto"/>
                    <w:right w:val="none" w:sz="0" w:space="0" w:color="auto"/>
                  </w:divBdr>
                  <w:divsChild>
                    <w:div w:id="669481539">
                      <w:marLeft w:val="0"/>
                      <w:marRight w:val="0"/>
                      <w:marTop w:val="0"/>
                      <w:marBottom w:val="0"/>
                      <w:divBdr>
                        <w:top w:val="none" w:sz="0" w:space="0" w:color="auto"/>
                        <w:left w:val="none" w:sz="0" w:space="0" w:color="auto"/>
                        <w:bottom w:val="none" w:sz="0" w:space="0" w:color="auto"/>
                        <w:right w:val="none" w:sz="0" w:space="0" w:color="auto"/>
                      </w:divBdr>
                      <w:divsChild>
                        <w:div w:id="2091736115">
                          <w:marLeft w:val="0"/>
                          <w:marRight w:val="0"/>
                          <w:marTop w:val="0"/>
                          <w:marBottom w:val="0"/>
                          <w:divBdr>
                            <w:top w:val="none" w:sz="0" w:space="0" w:color="auto"/>
                            <w:left w:val="none" w:sz="0" w:space="0" w:color="auto"/>
                            <w:bottom w:val="none" w:sz="0" w:space="0" w:color="auto"/>
                            <w:right w:val="none" w:sz="0" w:space="0" w:color="auto"/>
                          </w:divBdr>
                          <w:divsChild>
                            <w:div w:id="681051013">
                              <w:marLeft w:val="0"/>
                              <w:marRight w:val="0"/>
                              <w:marTop w:val="0"/>
                              <w:marBottom w:val="0"/>
                              <w:divBdr>
                                <w:top w:val="none" w:sz="0" w:space="0" w:color="auto"/>
                                <w:left w:val="none" w:sz="0" w:space="0" w:color="auto"/>
                                <w:bottom w:val="none" w:sz="0" w:space="0" w:color="auto"/>
                                <w:right w:val="none" w:sz="0" w:space="0" w:color="auto"/>
                              </w:divBdr>
                              <w:divsChild>
                                <w:div w:id="1935045391">
                                  <w:marLeft w:val="0"/>
                                  <w:marRight w:val="0"/>
                                  <w:marTop w:val="0"/>
                                  <w:marBottom w:val="0"/>
                                  <w:divBdr>
                                    <w:top w:val="none" w:sz="0" w:space="0" w:color="auto"/>
                                    <w:left w:val="none" w:sz="0" w:space="0" w:color="auto"/>
                                    <w:bottom w:val="none" w:sz="0" w:space="0" w:color="auto"/>
                                    <w:right w:val="none" w:sz="0" w:space="0" w:color="auto"/>
                                  </w:divBdr>
                                  <w:divsChild>
                                    <w:div w:id="934170379">
                                      <w:marLeft w:val="0"/>
                                      <w:marRight w:val="0"/>
                                      <w:marTop w:val="0"/>
                                      <w:marBottom w:val="0"/>
                                      <w:divBdr>
                                        <w:top w:val="none" w:sz="0" w:space="0" w:color="auto"/>
                                        <w:left w:val="none" w:sz="0" w:space="0" w:color="auto"/>
                                        <w:bottom w:val="none" w:sz="0" w:space="0" w:color="auto"/>
                                        <w:right w:val="none" w:sz="0" w:space="0" w:color="auto"/>
                                      </w:divBdr>
                                      <w:divsChild>
                                        <w:div w:id="241915221">
                                          <w:marLeft w:val="0"/>
                                          <w:marRight w:val="0"/>
                                          <w:marTop w:val="0"/>
                                          <w:marBottom w:val="0"/>
                                          <w:divBdr>
                                            <w:top w:val="none" w:sz="0" w:space="0" w:color="auto"/>
                                            <w:left w:val="none" w:sz="0" w:space="0" w:color="auto"/>
                                            <w:bottom w:val="none" w:sz="0" w:space="0" w:color="auto"/>
                                            <w:right w:val="none" w:sz="0" w:space="0" w:color="auto"/>
                                          </w:divBdr>
                                          <w:divsChild>
                                            <w:div w:id="1967540653">
                                              <w:marLeft w:val="0"/>
                                              <w:marRight w:val="0"/>
                                              <w:marTop w:val="0"/>
                                              <w:marBottom w:val="0"/>
                                              <w:divBdr>
                                                <w:top w:val="none" w:sz="0" w:space="0" w:color="auto"/>
                                                <w:left w:val="none" w:sz="0" w:space="0" w:color="auto"/>
                                                <w:bottom w:val="none" w:sz="0" w:space="0" w:color="auto"/>
                                                <w:right w:val="none" w:sz="0" w:space="0" w:color="auto"/>
                                              </w:divBdr>
                                              <w:divsChild>
                                                <w:div w:id="1175727163">
                                                  <w:marLeft w:val="0"/>
                                                  <w:marRight w:val="0"/>
                                                  <w:marTop w:val="0"/>
                                                  <w:marBottom w:val="0"/>
                                                  <w:divBdr>
                                                    <w:top w:val="none" w:sz="0" w:space="0" w:color="auto"/>
                                                    <w:left w:val="none" w:sz="0" w:space="0" w:color="auto"/>
                                                    <w:bottom w:val="none" w:sz="0" w:space="0" w:color="auto"/>
                                                    <w:right w:val="none" w:sz="0" w:space="0" w:color="auto"/>
                                                  </w:divBdr>
                                                  <w:divsChild>
                                                    <w:div w:id="921138039">
                                                      <w:marLeft w:val="0"/>
                                                      <w:marRight w:val="0"/>
                                                      <w:marTop w:val="0"/>
                                                      <w:marBottom w:val="0"/>
                                                      <w:divBdr>
                                                        <w:top w:val="none" w:sz="0" w:space="0" w:color="auto"/>
                                                        <w:left w:val="none" w:sz="0" w:space="0" w:color="auto"/>
                                                        <w:bottom w:val="none" w:sz="0" w:space="0" w:color="auto"/>
                                                        <w:right w:val="none" w:sz="0" w:space="0" w:color="auto"/>
                                                      </w:divBdr>
                                                      <w:divsChild>
                                                        <w:div w:id="6750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Rachel</dc:creator>
  <cp:lastModifiedBy>EDLINGTON, Mandy</cp:lastModifiedBy>
  <cp:revision>2</cp:revision>
  <cp:lastPrinted>2020-01-22T01:07:00Z</cp:lastPrinted>
  <dcterms:created xsi:type="dcterms:W3CDTF">2021-09-10T02:02:00Z</dcterms:created>
  <dcterms:modified xsi:type="dcterms:W3CDTF">2021-09-10T02:02:00Z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2010</vt:lpwstr>
  </property>
  <property fmtid="{D5CDD505-2E9C-101B-9397-08002B2CF9AE}" pid="4" name="LastSaved">
    <vt:filetime>2020-01-20T00:00:00Z</vt:filetime>
  </property>
</Properties>
</file>