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C70367" w:rsidRDefault="00703828" w:rsidP="00703828">
      <w:pPr>
        <w:rPr>
          <w:rFonts w:ascii="Times New Roman" w:hAnsi="Times New Roman" w:cs="Times New Roman"/>
          <w:sz w:val="28"/>
        </w:rPr>
      </w:pPr>
      <w:r w:rsidRPr="00C70367">
        <w:rPr>
          <w:rFonts w:ascii="Times New Roman" w:hAnsi="Times New Roman" w:cs="Times New Roman"/>
          <w:noProof/>
          <w:lang w:eastAsia="en-AU"/>
        </w:rPr>
        <w:drawing>
          <wp:inline distT="0" distB="0" distL="0" distR="0" wp14:anchorId="3728AABA" wp14:editId="759E9159">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C70367" w:rsidRDefault="00703828" w:rsidP="00703828">
      <w:pPr>
        <w:rPr>
          <w:rFonts w:ascii="Times New Roman" w:hAnsi="Times New Roman" w:cs="Times New Roman"/>
          <w:sz w:val="19"/>
        </w:rPr>
      </w:pPr>
    </w:p>
    <w:p w14:paraId="4DAF9F1F" w14:textId="5A52D41C" w:rsidR="00703828" w:rsidRPr="00C70367" w:rsidRDefault="00C70367" w:rsidP="00703828">
      <w:pPr>
        <w:pStyle w:val="ShortT"/>
      </w:pPr>
      <w:r>
        <w:t>Radiocommunications (Spectrum Licence Tax) Determination 2021</w:t>
      </w:r>
    </w:p>
    <w:p w14:paraId="65784851" w14:textId="77777777" w:rsidR="00703828" w:rsidRPr="00C70367" w:rsidRDefault="00703828" w:rsidP="00703828">
      <w:pPr>
        <w:pStyle w:val="SignCoverPageStart"/>
        <w:spacing w:before="0" w:line="240" w:lineRule="auto"/>
        <w:rPr>
          <w:szCs w:val="22"/>
        </w:rPr>
      </w:pPr>
    </w:p>
    <w:p w14:paraId="41C311A6" w14:textId="1CE27D58" w:rsidR="001C18B9" w:rsidRPr="00C70367" w:rsidRDefault="001C18B9" w:rsidP="001C18B9">
      <w:pPr>
        <w:pStyle w:val="MadeunderText"/>
      </w:pPr>
      <w:r w:rsidRPr="00C70367">
        <w:t>made under</w:t>
      </w:r>
      <w:r w:rsidR="00EF3D21" w:rsidRPr="00C70367">
        <w:t xml:space="preserve"> </w:t>
      </w:r>
      <w:r w:rsidR="00C70367">
        <w:t xml:space="preserve">sections 4 and 7 </w:t>
      </w:r>
      <w:r w:rsidR="00EF3D21" w:rsidRPr="00C70367">
        <w:t>of</w:t>
      </w:r>
      <w:r w:rsidRPr="00C70367">
        <w:t xml:space="preserve"> the</w:t>
      </w:r>
    </w:p>
    <w:p w14:paraId="7388DFB9" w14:textId="646C8F39" w:rsidR="001C18B9" w:rsidRPr="00C70367" w:rsidRDefault="00C70367" w:rsidP="001C18B9">
      <w:pPr>
        <w:pStyle w:val="CompiledMadeUnder"/>
        <w:spacing w:before="240"/>
      </w:pPr>
      <w:r>
        <w:t>Radiocommunications</w:t>
      </w:r>
      <w:r w:rsidR="00763691">
        <w:t xml:space="preserve"> (Spectrum Licence Tax) Act 1997</w:t>
      </w:r>
    </w:p>
    <w:p w14:paraId="64FBB4EA" w14:textId="77777777" w:rsidR="001C18B9" w:rsidRPr="00C70367" w:rsidRDefault="001C18B9" w:rsidP="001C18B9">
      <w:pPr>
        <w:rPr>
          <w:rFonts w:ascii="Times New Roman" w:hAnsi="Times New Roman" w:cs="Times New Roman"/>
          <w:lang w:eastAsia="en-AU"/>
        </w:rPr>
      </w:pPr>
    </w:p>
    <w:p w14:paraId="275866D3" w14:textId="77777777" w:rsidR="001C18B9" w:rsidRPr="00C70367" w:rsidRDefault="001C18B9" w:rsidP="001C18B9">
      <w:pPr>
        <w:rPr>
          <w:rFonts w:ascii="Times New Roman" w:hAnsi="Times New Roman" w:cs="Times New Roman"/>
          <w:lang w:eastAsia="en-AU"/>
        </w:rPr>
      </w:pPr>
    </w:p>
    <w:p w14:paraId="056D8320" w14:textId="501AF4C3" w:rsidR="001C18B9" w:rsidRPr="00C70367" w:rsidRDefault="001C18B9" w:rsidP="001C18B9">
      <w:pPr>
        <w:spacing w:before="1000"/>
        <w:rPr>
          <w:rFonts w:ascii="Times New Roman" w:hAnsi="Times New Roman" w:cs="Times New Roman"/>
          <w:b/>
          <w:sz w:val="32"/>
          <w:szCs w:val="32"/>
        </w:rPr>
      </w:pPr>
      <w:r w:rsidRPr="00C70367">
        <w:rPr>
          <w:rFonts w:ascii="Times New Roman" w:hAnsi="Times New Roman" w:cs="Times New Roman"/>
          <w:b/>
          <w:sz w:val="32"/>
          <w:szCs w:val="32"/>
        </w:rPr>
        <w:t>Compilation No.</w:t>
      </w:r>
      <w:r w:rsidR="00D33952" w:rsidRPr="00C70367">
        <w:rPr>
          <w:rFonts w:ascii="Times New Roman" w:hAnsi="Times New Roman" w:cs="Times New Roman"/>
          <w:b/>
          <w:sz w:val="32"/>
          <w:szCs w:val="32"/>
        </w:rPr>
        <w:t> </w:t>
      </w:r>
      <w:r w:rsidR="007F3BE4">
        <w:rPr>
          <w:rFonts w:ascii="Times New Roman" w:hAnsi="Times New Roman" w:cs="Times New Roman"/>
          <w:b/>
          <w:sz w:val="32"/>
          <w:szCs w:val="32"/>
        </w:rPr>
        <w:t>3</w:t>
      </w:r>
    </w:p>
    <w:p w14:paraId="554C0744" w14:textId="352CC358" w:rsidR="001C18B9" w:rsidRPr="00C70367" w:rsidRDefault="001C18B9" w:rsidP="001C18B9">
      <w:pPr>
        <w:spacing w:before="480"/>
        <w:rPr>
          <w:rFonts w:ascii="Times New Roman" w:hAnsi="Times New Roman" w:cs="Times New Roman"/>
          <w:sz w:val="24"/>
        </w:rPr>
      </w:pPr>
      <w:r w:rsidRPr="00C70367">
        <w:rPr>
          <w:rFonts w:ascii="Times New Roman" w:hAnsi="Times New Roman" w:cs="Times New Roman"/>
          <w:b/>
          <w:sz w:val="24"/>
        </w:rPr>
        <w:t xml:space="preserve">Compilation date: </w:t>
      </w:r>
      <w:r w:rsidRPr="00C70367">
        <w:rPr>
          <w:rFonts w:ascii="Times New Roman" w:hAnsi="Times New Roman" w:cs="Times New Roman"/>
          <w:b/>
          <w:sz w:val="24"/>
        </w:rPr>
        <w:tab/>
      </w:r>
      <w:r w:rsidRPr="00C70367">
        <w:rPr>
          <w:rFonts w:ascii="Times New Roman" w:hAnsi="Times New Roman" w:cs="Times New Roman"/>
          <w:b/>
          <w:sz w:val="24"/>
        </w:rPr>
        <w:tab/>
      </w:r>
      <w:r w:rsidRPr="00C70367">
        <w:rPr>
          <w:rFonts w:ascii="Times New Roman" w:hAnsi="Times New Roman" w:cs="Times New Roman"/>
          <w:b/>
          <w:sz w:val="24"/>
        </w:rPr>
        <w:tab/>
      </w:r>
      <w:r w:rsidR="007F3BE4">
        <w:rPr>
          <w:rFonts w:ascii="Times New Roman" w:hAnsi="Times New Roman" w:cs="Times New Roman"/>
          <w:sz w:val="24"/>
        </w:rPr>
        <w:t>13 September 2024</w:t>
      </w:r>
    </w:p>
    <w:p w14:paraId="4182E99B" w14:textId="7C2E89E5" w:rsidR="00703828" w:rsidRPr="00C70367" w:rsidRDefault="001C18B9" w:rsidP="001C18B9">
      <w:pPr>
        <w:spacing w:before="240"/>
        <w:rPr>
          <w:rFonts w:ascii="Times New Roman" w:hAnsi="Times New Roman" w:cs="Times New Roman"/>
          <w:sz w:val="24"/>
        </w:rPr>
      </w:pPr>
      <w:r w:rsidRPr="00C70367">
        <w:rPr>
          <w:rFonts w:ascii="Times New Roman" w:hAnsi="Times New Roman" w:cs="Times New Roman"/>
          <w:b/>
          <w:sz w:val="24"/>
        </w:rPr>
        <w:t>Includes amendments:</w:t>
      </w:r>
      <w:r w:rsidRPr="00C70367">
        <w:rPr>
          <w:rFonts w:ascii="Times New Roman" w:hAnsi="Times New Roman" w:cs="Times New Roman"/>
          <w:b/>
          <w:sz w:val="24"/>
        </w:rPr>
        <w:tab/>
      </w:r>
      <w:r w:rsidR="007F3BE4">
        <w:rPr>
          <w:rFonts w:ascii="Times New Roman" w:hAnsi="Times New Roman" w:cs="Times New Roman"/>
        </w:rPr>
        <w:t>F2024L01146</w:t>
      </w:r>
    </w:p>
    <w:p w14:paraId="5648B028" w14:textId="77777777" w:rsidR="0017734A" w:rsidRPr="00C70367" w:rsidRDefault="0017734A">
      <w:pPr>
        <w:rPr>
          <w:rFonts w:ascii="Times New Roman" w:hAnsi="Times New Roman" w:cs="Times New Roman"/>
        </w:rPr>
      </w:pPr>
    </w:p>
    <w:p w14:paraId="2A09EE8C" w14:textId="77777777" w:rsidR="00F4431E" w:rsidRPr="00C70367" w:rsidRDefault="00F4431E">
      <w:pPr>
        <w:rPr>
          <w:rFonts w:ascii="Times New Roman" w:hAnsi="Times New Roman" w:cs="Times New Roman"/>
        </w:rPr>
      </w:pPr>
    </w:p>
    <w:p w14:paraId="714AE3AB" w14:textId="77777777" w:rsidR="005555CC" w:rsidRPr="00C70367" w:rsidRDefault="005555CC">
      <w:pPr>
        <w:rPr>
          <w:rFonts w:ascii="Times New Roman" w:hAnsi="Times New Roman" w:cs="Times New Roman"/>
        </w:rPr>
      </w:pPr>
    </w:p>
    <w:p w14:paraId="5A112CBA" w14:textId="77777777" w:rsidR="00F4431E" w:rsidRPr="00C70367" w:rsidRDefault="00F4431E">
      <w:pPr>
        <w:rPr>
          <w:rFonts w:ascii="Times New Roman" w:hAnsi="Times New Roman" w:cs="Times New Roman"/>
        </w:rPr>
      </w:pPr>
    </w:p>
    <w:p w14:paraId="5FEDBA6E" w14:textId="7D43844F" w:rsidR="00F4431E" w:rsidRPr="00C70367" w:rsidRDefault="00F4431E">
      <w:pPr>
        <w:rPr>
          <w:rFonts w:ascii="Times New Roman" w:hAnsi="Times New Roman" w:cs="Times New Roman"/>
        </w:rPr>
      </w:pPr>
    </w:p>
    <w:p w14:paraId="3E15E627" w14:textId="77777777" w:rsidR="00F4431E" w:rsidRPr="00C70367" w:rsidRDefault="00F4431E">
      <w:pPr>
        <w:rPr>
          <w:rFonts w:ascii="Times New Roman" w:hAnsi="Times New Roman" w:cs="Times New Roman"/>
        </w:rPr>
      </w:pPr>
    </w:p>
    <w:p w14:paraId="692B37FD" w14:textId="77777777" w:rsidR="00F4431E" w:rsidRPr="00C70367" w:rsidRDefault="00F4431E">
      <w:pPr>
        <w:rPr>
          <w:rFonts w:ascii="Times New Roman" w:hAnsi="Times New Roman" w:cs="Times New Roman"/>
        </w:rPr>
      </w:pPr>
    </w:p>
    <w:p w14:paraId="3A0FCC3D" w14:textId="77777777" w:rsidR="00F4431E" w:rsidRPr="00C70367" w:rsidRDefault="00F4431E">
      <w:pPr>
        <w:rPr>
          <w:rFonts w:ascii="Times New Roman" w:hAnsi="Times New Roman" w:cs="Times New Roman"/>
        </w:rPr>
      </w:pPr>
    </w:p>
    <w:p w14:paraId="0B1B0626" w14:textId="77777777" w:rsidR="00F4431E" w:rsidRPr="00C70367" w:rsidRDefault="00F4431E">
      <w:pPr>
        <w:rPr>
          <w:rFonts w:ascii="Times New Roman" w:hAnsi="Times New Roman" w:cs="Times New Roman"/>
        </w:rPr>
      </w:pPr>
    </w:p>
    <w:p w14:paraId="3A7DBD0E" w14:textId="77777777" w:rsidR="00C70367" w:rsidRDefault="00F4431E">
      <w:pPr>
        <w:rPr>
          <w:rFonts w:ascii="Times New Roman" w:hAnsi="Times New Roman" w:cs="Times New Roman"/>
        </w:rPr>
      </w:pPr>
      <w:r w:rsidRPr="00C70367">
        <w:rPr>
          <w:rFonts w:ascii="Times New Roman" w:hAnsi="Times New Roman" w:cs="Times New Roman"/>
        </w:rPr>
        <w:t>Prepared by the Australian Communications and Media Authority</w:t>
      </w:r>
      <w:r w:rsidR="00D159CA" w:rsidRPr="00C70367">
        <w:rPr>
          <w:rFonts w:ascii="Times New Roman" w:hAnsi="Times New Roman" w:cs="Times New Roman"/>
        </w:rPr>
        <w:t xml:space="preserve">, </w:t>
      </w:r>
      <w:r w:rsidR="00C70367">
        <w:rPr>
          <w:rFonts w:ascii="Times New Roman" w:hAnsi="Times New Roman" w:cs="Times New Roman"/>
        </w:rPr>
        <w:t>Melbourne</w:t>
      </w:r>
    </w:p>
    <w:p w14:paraId="6B65296C" w14:textId="77777777" w:rsidR="00C70367" w:rsidRDefault="00C70367">
      <w:pPr>
        <w:rPr>
          <w:rFonts w:ascii="Times New Roman" w:hAnsi="Times New Roman" w:cs="Times New Roman"/>
        </w:rPr>
      </w:pPr>
    </w:p>
    <w:p w14:paraId="32888D7B" w14:textId="04CA993B" w:rsidR="00C70367" w:rsidRDefault="00C70367">
      <w:pPr>
        <w:rPr>
          <w:rFonts w:ascii="Times New Roman" w:hAnsi="Times New Roman" w:cs="Times New Roman"/>
        </w:rPr>
        <w:sectPr w:rsidR="00C70367" w:rsidSect="007B0AC2">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pPr>
    </w:p>
    <w:p w14:paraId="085912EA" w14:textId="77777777" w:rsidR="005555CC" w:rsidRPr="00C70367" w:rsidRDefault="005555CC" w:rsidP="005555CC">
      <w:pPr>
        <w:rPr>
          <w:rFonts w:ascii="Times New Roman" w:hAnsi="Times New Roman" w:cs="Times New Roman"/>
          <w:b/>
          <w:sz w:val="32"/>
          <w:szCs w:val="32"/>
        </w:rPr>
      </w:pPr>
      <w:r w:rsidRPr="00C70367">
        <w:rPr>
          <w:rFonts w:ascii="Times New Roman" w:hAnsi="Times New Roman" w:cs="Times New Roman"/>
          <w:b/>
          <w:sz w:val="32"/>
          <w:szCs w:val="32"/>
        </w:rPr>
        <w:lastRenderedPageBreak/>
        <w:t>About this compilation</w:t>
      </w:r>
    </w:p>
    <w:p w14:paraId="2C617065" w14:textId="77777777" w:rsidR="004E2677" w:rsidRPr="00CC2BDB" w:rsidRDefault="004E2677" w:rsidP="004E2677">
      <w:pPr>
        <w:spacing w:before="240" w:after="0" w:line="260" w:lineRule="atLeast"/>
        <w:rPr>
          <w:rFonts w:ascii="Times New Roman" w:eastAsia="Calibri" w:hAnsi="Times New Roman" w:cs="Arial"/>
          <w:szCs w:val="20"/>
        </w:rPr>
      </w:pPr>
      <w:r w:rsidRPr="00CC2BDB">
        <w:rPr>
          <w:rFonts w:ascii="Times New Roman" w:eastAsia="Calibri" w:hAnsi="Times New Roman" w:cs="Arial"/>
          <w:b/>
        </w:rPr>
        <w:t>This compilation</w:t>
      </w:r>
    </w:p>
    <w:p w14:paraId="3121A8DC" w14:textId="358FAF44" w:rsidR="004E2677" w:rsidRPr="00CC2BDB" w:rsidRDefault="004E2677" w:rsidP="004E2677">
      <w:pPr>
        <w:spacing w:before="120" w:after="120" w:line="260" w:lineRule="atLeast"/>
        <w:rPr>
          <w:rFonts w:ascii="Times New Roman" w:eastAsia="Calibri" w:hAnsi="Times New Roman" w:cs="Arial"/>
        </w:rPr>
      </w:pPr>
      <w:r w:rsidRPr="00CC2BDB">
        <w:rPr>
          <w:rFonts w:ascii="Times New Roman" w:eastAsia="Calibri" w:hAnsi="Times New Roman" w:cs="Arial"/>
        </w:rPr>
        <w:t xml:space="preserve">This is a compilation of the </w:t>
      </w:r>
      <w:r w:rsidR="008954DA" w:rsidRPr="00654603">
        <w:rPr>
          <w:rFonts w:ascii="Times New Roman" w:eastAsia="Calibri" w:hAnsi="Times New Roman" w:cs="Arial"/>
          <w:i/>
          <w:noProof/>
        </w:rPr>
        <w:t>Rad</w:t>
      </w:r>
      <w:r w:rsidR="008954DA" w:rsidRPr="00654603">
        <w:rPr>
          <w:rFonts w:ascii="Times New Roman" w:eastAsia="Calibri" w:hAnsi="Times New Roman" w:cs="Arial"/>
          <w:i/>
        </w:rPr>
        <w:t>iocommunications (Spectrum Licence Tax)</w:t>
      </w:r>
      <w:r w:rsidR="007E5EB1" w:rsidRPr="00654603">
        <w:rPr>
          <w:rFonts w:ascii="Times New Roman" w:eastAsia="Calibri" w:hAnsi="Times New Roman" w:cs="Arial"/>
          <w:i/>
        </w:rPr>
        <w:t xml:space="preserve"> Determination 2021</w:t>
      </w:r>
      <w:r w:rsidRPr="007E5EB1">
        <w:rPr>
          <w:rFonts w:ascii="Times New Roman" w:eastAsia="Calibri" w:hAnsi="Times New Roman" w:cs="Arial"/>
        </w:rPr>
        <w:t xml:space="preserve"> that shows the text of the law as amended and in force on </w:t>
      </w:r>
      <w:r w:rsidR="007F3BE4">
        <w:rPr>
          <w:rFonts w:ascii="Times New Roman" w:eastAsia="Calibri" w:hAnsi="Times New Roman" w:cs="Arial"/>
        </w:rPr>
        <w:t>13 September 2024</w:t>
      </w:r>
      <w:r w:rsidRPr="007E5EB1">
        <w:rPr>
          <w:rFonts w:ascii="Times New Roman" w:eastAsia="Calibri" w:hAnsi="Times New Roman" w:cs="Arial"/>
        </w:rPr>
        <w:t xml:space="preserve"> </w:t>
      </w:r>
      <w:r w:rsidRPr="00CC2BDB">
        <w:rPr>
          <w:rFonts w:ascii="Times New Roman" w:eastAsia="Calibri" w:hAnsi="Times New Roman" w:cs="Arial"/>
        </w:rPr>
        <w:t xml:space="preserve">(the </w:t>
      </w:r>
      <w:r w:rsidRPr="00CC2BDB">
        <w:rPr>
          <w:rFonts w:ascii="Times New Roman" w:eastAsia="Calibri" w:hAnsi="Times New Roman" w:cs="Arial"/>
          <w:b/>
          <w:i/>
        </w:rPr>
        <w:t>compilation date</w:t>
      </w:r>
      <w:r w:rsidRPr="00CC2BDB">
        <w:rPr>
          <w:rFonts w:ascii="Times New Roman" w:eastAsia="Calibri" w:hAnsi="Times New Roman" w:cs="Arial"/>
        </w:rPr>
        <w:t>).</w:t>
      </w:r>
    </w:p>
    <w:p w14:paraId="7357D56A" w14:textId="77777777" w:rsidR="004E2677" w:rsidRPr="00CC2BDB" w:rsidRDefault="004E2677" w:rsidP="004E2677">
      <w:pPr>
        <w:spacing w:after="120" w:line="260" w:lineRule="atLeast"/>
        <w:rPr>
          <w:rFonts w:ascii="Times New Roman" w:eastAsia="Calibri" w:hAnsi="Times New Roman" w:cs="Arial"/>
        </w:rPr>
      </w:pPr>
      <w:r w:rsidRPr="00CC2BDB">
        <w:rPr>
          <w:rFonts w:ascii="Times New Roman" w:eastAsia="Calibri" w:hAnsi="Times New Roman" w:cs="Arial"/>
        </w:rPr>
        <w:t xml:space="preserve">The notes at the end of this compilation (the </w:t>
      </w:r>
      <w:r w:rsidRPr="00CC2BDB">
        <w:rPr>
          <w:rFonts w:ascii="Times New Roman" w:eastAsia="Calibri" w:hAnsi="Times New Roman" w:cs="Arial"/>
          <w:b/>
          <w:i/>
        </w:rPr>
        <w:t>endnotes</w:t>
      </w:r>
      <w:r w:rsidRPr="00CC2BDB">
        <w:rPr>
          <w:rFonts w:ascii="Times New Roman" w:eastAsia="Calibri" w:hAnsi="Times New Roman" w:cs="Arial"/>
        </w:rPr>
        <w:t>) include information about amending laws and the amendment history of provisions of the compiled law.</w:t>
      </w:r>
    </w:p>
    <w:p w14:paraId="0BA32704" w14:textId="77777777" w:rsidR="004E2677" w:rsidRPr="00CC2BDB" w:rsidRDefault="004E2677" w:rsidP="004E2677">
      <w:pPr>
        <w:tabs>
          <w:tab w:val="left" w:pos="5640"/>
        </w:tabs>
        <w:spacing w:before="120" w:after="120" w:line="260" w:lineRule="atLeast"/>
        <w:rPr>
          <w:rFonts w:ascii="Times New Roman" w:eastAsia="Calibri" w:hAnsi="Times New Roman" w:cs="Arial"/>
          <w:b/>
        </w:rPr>
      </w:pPr>
      <w:r w:rsidRPr="00CC2BDB">
        <w:rPr>
          <w:rFonts w:ascii="Times New Roman" w:eastAsia="Calibri" w:hAnsi="Times New Roman" w:cs="Arial"/>
          <w:b/>
        </w:rPr>
        <w:t>Uncommenced amendments</w:t>
      </w:r>
    </w:p>
    <w:p w14:paraId="0D1C8053" w14:textId="77777777" w:rsidR="004E2677" w:rsidRPr="00CC2BDB" w:rsidRDefault="004E2677" w:rsidP="004E2677">
      <w:pPr>
        <w:spacing w:after="120" w:line="260" w:lineRule="atLeast"/>
        <w:rPr>
          <w:rFonts w:ascii="Times New Roman" w:eastAsia="Calibri" w:hAnsi="Times New Roman" w:cs="Arial"/>
        </w:rPr>
      </w:pPr>
      <w:r w:rsidRPr="00CC2BDB">
        <w:rPr>
          <w:rFonts w:ascii="Times New Roman" w:eastAsia="Calibri" w:hAnsi="Times New Roman"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973A8A7" w14:textId="77777777" w:rsidR="004E2677" w:rsidRPr="00CC2BDB" w:rsidRDefault="004E2677" w:rsidP="004E2677">
      <w:pPr>
        <w:spacing w:before="120" w:after="120" w:line="260" w:lineRule="atLeast"/>
        <w:rPr>
          <w:rFonts w:ascii="Times New Roman" w:eastAsia="Calibri" w:hAnsi="Times New Roman" w:cs="Arial"/>
          <w:b/>
        </w:rPr>
      </w:pPr>
      <w:r w:rsidRPr="00CC2BDB">
        <w:rPr>
          <w:rFonts w:ascii="Times New Roman" w:eastAsia="Calibri" w:hAnsi="Times New Roman" w:cs="Arial"/>
          <w:b/>
        </w:rPr>
        <w:t>Application, saving and transitional provisions for provisions and amendments</w:t>
      </w:r>
    </w:p>
    <w:p w14:paraId="0519C080" w14:textId="77777777" w:rsidR="004E2677" w:rsidRPr="00CC2BDB" w:rsidRDefault="004E2677" w:rsidP="004E2677">
      <w:pPr>
        <w:spacing w:after="120" w:line="260" w:lineRule="atLeast"/>
        <w:rPr>
          <w:rFonts w:ascii="Times New Roman" w:eastAsia="Calibri" w:hAnsi="Times New Roman" w:cs="Arial"/>
        </w:rPr>
      </w:pPr>
      <w:r w:rsidRPr="00CC2BDB">
        <w:rPr>
          <w:rFonts w:ascii="Times New Roman" w:eastAsia="Calibri" w:hAnsi="Times New Roman" w:cs="Arial"/>
        </w:rPr>
        <w:t>If the operation of a provision or amendment of the compiled law is affected by an application, saving or transitional provision that is not included in this compilation, details are included in the endnotes.</w:t>
      </w:r>
    </w:p>
    <w:p w14:paraId="47FA99F5" w14:textId="77777777" w:rsidR="004E2677" w:rsidRPr="00CC2BDB" w:rsidRDefault="004E2677" w:rsidP="004E2677">
      <w:pPr>
        <w:spacing w:before="120" w:after="120" w:line="260" w:lineRule="atLeast"/>
        <w:rPr>
          <w:rFonts w:ascii="Times New Roman" w:eastAsia="Calibri" w:hAnsi="Times New Roman" w:cs="Arial"/>
          <w:b/>
        </w:rPr>
      </w:pPr>
      <w:r w:rsidRPr="00CC2BDB">
        <w:rPr>
          <w:rFonts w:ascii="Times New Roman" w:eastAsia="Calibri" w:hAnsi="Times New Roman" w:cs="Arial"/>
          <w:b/>
        </w:rPr>
        <w:t>Modifications</w:t>
      </w:r>
    </w:p>
    <w:p w14:paraId="73F13354" w14:textId="77777777" w:rsidR="004E2677" w:rsidRPr="00CC2BDB" w:rsidRDefault="004E2677" w:rsidP="004E2677">
      <w:pPr>
        <w:spacing w:after="120" w:line="260" w:lineRule="atLeast"/>
        <w:rPr>
          <w:rFonts w:ascii="Times New Roman" w:eastAsia="Calibri" w:hAnsi="Times New Roman" w:cs="Arial"/>
        </w:rPr>
      </w:pPr>
      <w:r w:rsidRPr="00CC2BDB">
        <w:rPr>
          <w:rFonts w:ascii="Times New Roman" w:eastAsia="Calibri"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74B09DE" w14:textId="77777777" w:rsidR="004E2677" w:rsidRPr="00CC2BDB" w:rsidRDefault="004E2677" w:rsidP="004E2677">
      <w:pPr>
        <w:spacing w:before="80" w:after="120" w:line="260" w:lineRule="atLeast"/>
        <w:rPr>
          <w:rFonts w:ascii="Times New Roman" w:eastAsia="Calibri" w:hAnsi="Times New Roman" w:cs="Arial"/>
          <w:b/>
        </w:rPr>
      </w:pPr>
      <w:r w:rsidRPr="00CC2BDB">
        <w:rPr>
          <w:rFonts w:ascii="Times New Roman" w:eastAsia="Calibri" w:hAnsi="Times New Roman" w:cs="Arial"/>
          <w:b/>
        </w:rPr>
        <w:t>Self</w:t>
      </w:r>
      <w:r w:rsidRPr="00CC2BDB">
        <w:rPr>
          <w:rFonts w:ascii="Times New Roman" w:eastAsia="Calibri" w:hAnsi="Times New Roman" w:cs="Arial"/>
          <w:b/>
        </w:rPr>
        <w:noBreakHyphen/>
        <w:t>repealing provisions</w:t>
      </w:r>
    </w:p>
    <w:p w14:paraId="64C62FEF" w14:textId="77777777" w:rsidR="004E2677" w:rsidRDefault="004E2677" w:rsidP="004E2677">
      <w:pPr>
        <w:rPr>
          <w:rFonts w:ascii="Times New Roman" w:eastAsia="Calibri" w:hAnsi="Times New Roman" w:cs="Arial"/>
        </w:rPr>
      </w:pPr>
      <w:r w:rsidRPr="00CC2BDB">
        <w:rPr>
          <w:rFonts w:ascii="Times New Roman" w:eastAsia="Calibri" w:hAnsi="Times New Roman" w:cs="Arial"/>
        </w:rPr>
        <w:t>If a provision of the compiled law has been repealed in accordance with a provision of the law, details are included in the endnotes.</w:t>
      </w:r>
    </w:p>
    <w:p w14:paraId="2CCAF103" w14:textId="77777777" w:rsidR="0017734A" w:rsidRPr="00C70367" w:rsidRDefault="0017734A">
      <w:pPr>
        <w:rPr>
          <w:rFonts w:ascii="Times New Roman" w:hAnsi="Times New Roman" w:cs="Times New Roman"/>
        </w:rPr>
        <w:sectPr w:rsidR="0017734A" w:rsidRPr="00C70367" w:rsidSect="006F3DB2">
          <w:pgSz w:w="11906" w:h="16838"/>
          <w:pgMar w:top="1440" w:right="1440" w:bottom="1440" w:left="1440" w:header="708" w:footer="708" w:gutter="0"/>
          <w:pgNumType w:start="2"/>
          <w:cols w:space="708"/>
          <w:titlePg/>
          <w:docGrid w:linePitch="360"/>
        </w:sectPr>
      </w:pPr>
    </w:p>
    <w:p w14:paraId="380E708D" w14:textId="77777777" w:rsidR="00C95873" w:rsidRDefault="00C95873" w:rsidP="00C95873">
      <w:pPr>
        <w:pStyle w:val="ActHead5"/>
      </w:pPr>
      <w:bookmarkStart w:id="0" w:name="_Toc444596031"/>
      <w:r>
        <w:rPr>
          <w:rStyle w:val="CharSectno"/>
        </w:rPr>
        <w:lastRenderedPageBreak/>
        <w:t>1</w:t>
      </w:r>
      <w:r>
        <w:t xml:space="preserve">  Name</w:t>
      </w:r>
    </w:p>
    <w:p w14:paraId="1D00A36C" w14:textId="77777777" w:rsidR="00C95873" w:rsidRDefault="00C95873" w:rsidP="00C95873">
      <w:pPr>
        <w:pStyle w:val="subsection"/>
      </w:pPr>
      <w:r>
        <w:tab/>
      </w:r>
      <w:r>
        <w:tab/>
        <w:t xml:space="preserve">This is the </w:t>
      </w:r>
      <w:bookmarkStart w:id="1" w:name="BKCheck15B_3"/>
      <w:bookmarkEnd w:id="1"/>
      <w:r w:rsidRPr="00C22ACD">
        <w:rPr>
          <w:i/>
          <w:iCs/>
        </w:rPr>
        <w:t>Radiocommunications (Spectrum Licence Tax) Determination 2021</w:t>
      </w:r>
      <w:r>
        <w:t>.</w:t>
      </w:r>
    </w:p>
    <w:p w14:paraId="589D971F" w14:textId="77777777" w:rsidR="00C95873" w:rsidRDefault="00C95873" w:rsidP="00C95873">
      <w:pPr>
        <w:pStyle w:val="ActHead5"/>
      </w:pPr>
      <w:bookmarkStart w:id="2" w:name="_Toc444596033"/>
      <w:r>
        <w:rPr>
          <w:rStyle w:val="CharSectno"/>
        </w:rPr>
        <w:t>3</w:t>
      </w:r>
      <w:r>
        <w:t xml:space="preserve">  Authority</w:t>
      </w:r>
      <w:bookmarkEnd w:id="2"/>
    </w:p>
    <w:p w14:paraId="30BB6A5D" w14:textId="77777777" w:rsidR="00C95873" w:rsidRDefault="00C95873" w:rsidP="00C95873">
      <w:pPr>
        <w:pStyle w:val="subsection"/>
      </w:pPr>
      <w:r>
        <w:tab/>
      </w:r>
      <w:r>
        <w:tab/>
        <w:t>This instrument is made under subsections 4(1) and 7(1) of the Act.</w:t>
      </w:r>
    </w:p>
    <w:p w14:paraId="6F584A1B" w14:textId="77777777" w:rsidR="00C95873" w:rsidRDefault="00C95873" w:rsidP="00C95873">
      <w:pPr>
        <w:pStyle w:val="ActHead5"/>
      </w:pPr>
      <w:bookmarkStart w:id="3" w:name="_Toc444596034"/>
      <w:r>
        <w:rPr>
          <w:rStyle w:val="CharSectno"/>
        </w:rPr>
        <w:t>5</w:t>
      </w:r>
      <w:r>
        <w:t xml:space="preserve">  </w:t>
      </w:r>
      <w:bookmarkEnd w:id="3"/>
      <w:r>
        <w:t>Interpretation</w:t>
      </w:r>
    </w:p>
    <w:p w14:paraId="291FE300" w14:textId="77777777" w:rsidR="00C95873" w:rsidRDefault="00C95873" w:rsidP="00C95873">
      <w:pPr>
        <w:pStyle w:val="subsection"/>
      </w:pPr>
      <w:r>
        <w:tab/>
        <w:t>(1)</w:t>
      </w:r>
      <w:r>
        <w:tab/>
        <w:t>In this instrument:</w:t>
      </w:r>
    </w:p>
    <w:p w14:paraId="47542DC6" w14:textId="77777777" w:rsidR="00C95873" w:rsidRDefault="00C95873" w:rsidP="00C95873">
      <w:pPr>
        <w:pStyle w:val="Definition"/>
      </w:pPr>
      <w:r>
        <w:rPr>
          <w:b/>
          <w:i/>
        </w:rPr>
        <w:t>Act</w:t>
      </w:r>
      <w:r>
        <w:t xml:space="preserve"> means </w:t>
      </w:r>
      <w:r>
        <w:rPr>
          <w:i/>
        </w:rPr>
        <w:t>Radiocommunications (Spectrum Licence Tax) Act 1997</w:t>
      </w:r>
      <w:r>
        <w:t>.</w:t>
      </w:r>
    </w:p>
    <w:p w14:paraId="036CD64E" w14:textId="77777777" w:rsidR="00C95873" w:rsidRDefault="00C95873" w:rsidP="00C95873">
      <w:pPr>
        <w:pStyle w:val="Definition"/>
      </w:pPr>
      <w:r w:rsidRPr="00C22ACD">
        <w:rPr>
          <w:b/>
          <w:bCs/>
          <w:i/>
        </w:rPr>
        <w:t>Designated Spectrum Licence</w:t>
      </w:r>
      <w:r>
        <w:t xml:space="preserve"> means a spectrum licence issued under Part 3.2 of the </w:t>
      </w:r>
      <w:r>
        <w:rPr>
          <w:i/>
          <w:iCs/>
        </w:rPr>
        <w:t>Radiocommunications Act 1992</w:t>
      </w:r>
      <w:r>
        <w:t>, other than the following:</w:t>
      </w:r>
    </w:p>
    <w:p w14:paraId="01662BDB" w14:textId="77777777" w:rsidR="00C95873" w:rsidRDefault="00C95873" w:rsidP="00C95873">
      <w:pPr>
        <w:pStyle w:val="paragraph"/>
      </w:pPr>
      <w:r>
        <w:tab/>
        <w:t>(a)</w:t>
      </w:r>
      <w:r>
        <w:tab/>
        <w:t>a spectrum licence issued to:</w:t>
      </w:r>
    </w:p>
    <w:p w14:paraId="47AD28E8" w14:textId="77777777" w:rsidR="00C95873" w:rsidRDefault="00C95873" w:rsidP="00C95873">
      <w:pPr>
        <w:pStyle w:val="paragraphsub"/>
      </w:pPr>
      <w:r>
        <w:tab/>
        <w:t>(i)</w:t>
      </w:r>
      <w:r>
        <w:tab/>
        <w:t>a Department of State of the Commonwealth of Australia; or</w:t>
      </w:r>
    </w:p>
    <w:p w14:paraId="59071689" w14:textId="77777777" w:rsidR="00C95873" w:rsidRDefault="00C95873" w:rsidP="00C95873">
      <w:pPr>
        <w:pStyle w:val="paragraphsub"/>
      </w:pPr>
      <w:r>
        <w:tab/>
        <w:t>(ii)</w:t>
      </w:r>
      <w:r>
        <w:tab/>
        <w:t xml:space="preserve">an Executive Agency established under section 65 of the </w:t>
      </w:r>
      <w:r>
        <w:rPr>
          <w:i/>
          <w:iCs/>
        </w:rPr>
        <w:t>Public Service Act 1999</w:t>
      </w:r>
      <w:r>
        <w:t>; or</w:t>
      </w:r>
    </w:p>
    <w:p w14:paraId="7FF86B4B" w14:textId="77777777" w:rsidR="00C95873" w:rsidRPr="00C564BC" w:rsidRDefault="00C95873" w:rsidP="00C95873">
      <w:pPr>
        <w:pStyle w:val="paragraphsub"/>
        <w:rPr>
          <w:i/>
          <w:iCs/>
        </w:rPr>
      </w:pPr>
      <w:r>
        <w:tab/>
        <w:t>(iii)</w:t>
      </w:r>
      <w:r>
        <w:tab/>
        <w:t xml:space="preserve">a Statutory Agency within the meaning of section 7 of the </w:t>
      </w:r>
      <w:r>
        <w:rPr>
          <w:i/>
          <w:iCs/>
        </w:rPr>
        <w:t>Public Service Act 1999</w:t>
      </w:r>
      <w:r w:rsidRPr="00D33166">
        <w:t>;</w:t>
      </w:r>
    </w:p>
    <w:p w14:paraId="7839212A" w14:textId="77777777" w:rsidR="00C95873" w:rsidRDefault="00C95873" w:rsidP="00C95873">
      <w:pPr>
        <w:pStyle w:val="paragraph"/>
      </w:pPr>
      <w:r>
        <w:tab/>
        <w:t>(b)</w:t>
      </w:r>
      <w:r>
        <w:tab/>
        <w:t>a spectrum licence issued with one or more conditions that require the licensed spectrum to be used only for the provision of a television outside broadcast service;</w:t>
      </w:r>
    </w:p>
    <w:p w14:paraId="42BA5174" w14:textId="77777777" w:rsidR="00C95873" w:rsidRDefault="00C95873" w:rsidP="00C95873">
      <w:pPr>
        <w:pStyle w:val="paragraph"/>
      </w:pPr>
      <w:r>
        <w:tab/>
        <w:t>(c)</w:t>
      </w:r>
      <w:r>
        <w:tab/>
        <w:t>a spectrum licence issued with one or more conditions that require the licensed spectrum to be used only for the provision of rail safety, rail operations or rail control.</w:t>
      </w:r>
    </w:p>
    <w:p w14:paraId="00D39919" w14:textId="77777777" w:rsidR="00C95873" w:rsidRDefault="00C95873" w:rsidP="00C95873">
      <w:pPr>
        <w:pStyle w:val="Definition"/>
      </w:pPr>
      <w:r w:rsidRPr="004E05D3">
        <w:rPr>
          <w:b/>
          <w:bCs/>
          <w:i/>
          <w:iCs/>
        </w:rPr>
        <w:t>EME</w:t>
      </w:r>
      <w:r>
        <w:rPr>
          <w:b/>
          <w:bCs/>
          <w:i/>
          <w:iCs/>
        </w:rPr>
        <w:t xml:space="preserve"> Component</w:t>
      </w:r>
      <w:r>
        <w:t>, for a spectrum licence, means the amount calculated in accordance with Schedule 2.</w:t>
      </w:r>
    </w:p>
    <w:p w14:paraId="50A51246" w14:textId="77777777" w:rsidR="00C95873" w:rsidRPr="004E05D3" w:rsidRDefault="00C95873" w:rsidP="00C95873">
      <w:pPr>
        <w:pStyle w:val="Definition"/>
      </w:pPr>
      <w:r>
        <w:rPr>
          <w:b/>
          <w:bCs/>
          <w:i/>
          <w:iCs/>
        </w:rPr>
        <w:t>Main Component</w:t>
      </w:r>
      <w:r w:rsidRPr="004E05D3">
        <w:t xml:space="preserve">, </w:t>
      </w:r>
      <w:r>
        <w:t>for a spectrum licence, means the amount calculated in accordance with Schedule 1.</w:t>
      </w:r>
    </w:p>
    <w:p w14:paraId="67BAD820" w14:textId="77777777" w:rsidR="00C95873" w:rsidRDefault="00C95873" w:rsidP="00C95873">
      <w:pPr>
        <w:pStyle w:val="notetext"/>
      </w:pPr>
      <w:r>
        <w:t>Note 1:</w:t>
      </w:r>
      <w:r>
        <w:tab/>
        <w:t>A number of other expressions used in this instrument are defined in the Act, including the following:</w:t>
      </w:r>
    </w:p>
    <w:p w14:paraId="060240FC" w14:textId="77777777" w:rsidR="00C95873" w:rsidRDefault="00C95873" w:rsidP="00C95873">
      <w:pPr>
        <w:pStyle w:val="notepara"/>
      </w:pPr>
      <w:r>
        <w:t>(a)</w:t>
      </w:r>
      <w:r>
        <w:tab/>
        <w:t>ACMA;</w:t>
      </w:r>
    </w:p>
    <w:p w14:paraId="1F83B29B" w14:textId="77777777" w:rsidR="00C95873" w:rsidRDefault="00C95873" w:rsidP="00C95873">
      <w:pPr>
        <w:pStyle w:val="notepara"/>
      </w:pPr>
      <w:r>
        <w:t>(b)</w:t>
      </w:r>
      <w:r>
        <w:tab/>
        <w:t>initial holding date;</w:t>
      </w:r>
    </w:p>
    <w:p w14:paraId="1A679A7C" w14:textId="77777777" w:rsidR="00C95873" w:rsidRDefault="00C95873" w:rsidP="00C95873">
      <w:pPr>
        <w:pStyle w:val="notepara"/>
      </w:pPr>
      <w:r>
        <w:t>(c)</w:t>
      </w:r>
      <w:r>
        <w:tab/>
        <w:t>spectrum licence;</w:t>
      </w:r>
    </w:p>
    <w:p w14:paraId="139E470A" w14:textId="77777777" w:rsidR="00C95873" w:rsidRDefault="00C95873" w:rsidP="00C95873">
      <w:pPr>
        <w:pStyle w:val="notepara"/>
      </w:pPr>
      <w:r>
        <w:t>(d)</w:t>
      </w:r>
      <w:r>
        <w:tab/>
        <w:t>tax.</w:t>
      </w:r>
    </w:p>
    <w:p w14:paraId="3A1802C1" w14:textId="77777777" w:rsidR="00C95873" w:rsidRPr="00CF6480" w:rsidRDefault="00C95873" w:rsidP="00C95873">
      <w:pPr>
        <w:pStyle w:val="notetext"/>
      </w:pPr>
      <w:r>
        <w:t>Note 2:</w:t>
      </w:r>
      <w:r>
        <w:tab/>
        <w:t xml:space="preserve">Other expressions used in this instrument may be defined in a determination made under subsection 64(1) of the </w:t>
      </w:r>
      <w:r>
        <w:rPr>
          <w:i/>
          <w:iCs/>
        </w:rPr>
        <w:t>Australian Communications and Media Authority Act 2005</w:t>
      </w:r>
      <w:r>
        <w:t>.</w:t>
      </w:r>
    </w:p>
    <w:p w14:paraId="462E81D3" w14:textId="7DF62FD9" w:rsidR="00C95873" w:rsidRPr="00E05571" w:rsidRDefault="00C95873" w:rsidP="00C95873">
      <w:pPr>
        <w:pStyle w:val="notetext"/>
        <w:keepLines/>
      </w:pPr>
      <w:r>
        <w:t>Note 3:</w:t>
      </w:r>
      <w:r>
        <w:tab/>
        <w:t xml:space="preserve">For the definition of </w:t>
      </w:r>
      <w:r>
        <w:rPr>
          <w:b/>
          <w:bCs/>
          <w:i/>
          <w:iCs/>
        </w:rPr>
        <w:t>Designated Spectrum Licence</w:t>
      </w:r>
      <w:r>
        <w:t>, see the</w:t>
      </w:r>
      <w:r w:rsidRPr="00E05571">
        <w:rPr>
          <w:i/>
          <w:iCs/>
        </w:rPr>
        <w:t xml:space="preserve"> </w:t>
      </w:r>
      <w:r>
        <w:rPr>
          <w:i/>
          <w:iCs/>
        </w:rPr>
        <w:t>Australian Communications and Media Authority (Modifications to Apparatus and Spectrum Licences Taxes) Direction 2020</w:t>
      </w:r>
      <w:r>
        <w:t xml:space="preserve">. That direction can be accessed, free of charge, on the Federal Register of Legislation at </w:t>
      </w:r>
      <w:r w:rsidRPr="00C849FE">
        <w:t>www.legislation.gov.au</w:t>
      </w:r>
      <w:r>
        <w:t xml:space="preserve">. </w:t>
      </w:r>
    </w:p>
    <w:p w14:paraId="01376215" w14:textId="77777777" w:rsidR="00C95873" w:rsidRDefault="00C95873" w:rsidP="00C95873">
      <w:pPr>
        <w:pStyle w:val="subsection"/>
      </w:pPr>
      <w:r>
        <w:tab/>
        <w:t>(2)</w:t>
      </w:r>
      <w:r>
        <w:tab/>
        <w:t>In this instrument, a reference to a part of the spectrum, a frequency band or a frequency range includes all frequencies that are greater than but not including the lower frequency, up to and including the higher frequency.</w:t>
      </w:r>
    </w:p>
    <w:p w14:paraId="44BA7EB8" w14:textId="77777777" w:rsidR="00C95873" w:rsidRDefault="00C95873" w:rsidP="00C95873">
      <w:pPr>
        <w:pStyle w:val="notetext"/>
      </w:pPr>
      <w:r>
        <w:t>Note:</w:t>
      </w:r>
      <w:r>
        <w:tab/>
        <w:t>This means the lower number in the reference to a part of the spectrum, a frequency band or a frequency range is not included in the part of the spectrum, the frequency band or the frequency range.</w:t>
      </w:r>
    </w:p>
    <w:p w14:paraId="419C3070" w14:textId="77777777" w:rsidR="00C95873" w:rsidRDefault="00C95873" w:rsidP="00C95873">
      <w:pPr>
        <w:pStyle w:val="ActHead5"/>
      </w:pPr>
      <w:r w:rsidRPr="004E05D3">
        <w:rPr>
          <w:rStyle w:val="CharSectno"/>
        </w:rPr>
        <w:lastRenderedPageBreak/>
        <w:t>6</w:t>
      </w:r>
      <w:r>
        <w:t xml:space="preserve">  References to other instruments</w:t>
      </w:r>
    </w:p>
    <w:p w14:paraId="1FFB0498" w14:textId="77777777" w:rsidR="00C95873" w:rsidRDefault="00C95873" w:rsidP="00C95873">
      <w:pPr>
        <w:pStyle w:val="subsection"/>
      </w:pPr>
      <w:r>
        <w:tab/>
      </w:r>
      <w:r>
        <w:tab/>
        <w:t>In this instrument, unless the contrary intention appears:</w:t>
      </w:r>
    </w:p>
    <w:p w14:paraId="7BEBEEC4" w14:textId="77777777" w:rsidR="00C95873" w:rsidRDefault="00C95873" w:rsidP="00C95873">
      <w:pPr>
        <w:pStyle w:val="paragraph"/>
      </w:pPr>
      <w:r>
        <w:tab/>
        <w:t>(a)</w:t>
      </w:r>
      <w:r>
        <w:tab/>
        <w:t>a reference to any other legislative instrument is a reference to that other legislative instrument as in force from time to time; and</w:t>
      </w:r>
    </w:p>
    <w:p w14:paraId="2533D435" w14:textId="77777777" w:rsidR="00C95873" w:rsidRDefault="00C95873" w:rsidP="00C95873">
      <w:pPr>
        <w:pStyle w:val="paragraph"/>
        <w:tabs>
          <w:tab w:val="left" w:pos="2160"/>
          <w:tab w:val="left" w:pos="2880"/>
          <w:tab w:val="left" w:pos="3600"/>
          <w:tab w:val="center" w:pos="4513"/>
        </w:tabs>
      </w:pPr>
      <w:r>
        <w:tab/>
        <w:t>(b)</w:t>
      </w:r>
      <w:r>
        <w:tab/>
        <w:t>a reference to any other kind of instrument is a reference to that other instrument as in force or existing at the commencement of this instrument.</w:t>
      </w:r>
    </w:p>
    <w:p w14:paraId="5060CA99" w14:textId="77777777" w:rsidR="00C95873" w:rsidRDefault="00C95873" w:rsidP="00C95873">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2C492527" w14:textId="49B8E80D" w:rsidR="00C95873" w:rsidRDefault="00C95873" w:rsidP="00C95873">
      <w:pPr>
        <w:pStyle w:val="notetext"/>
      </w:pPr>
      <w:r>
        <w:t>Note 2:</w:t>
      </w:r>
      <w:r>
        <w:tab/>
        <w:t xml:space="preserve">All Commonwealth Acts and legislative instruments are registered on the Federal Register of Legislation at </w:t>
      </w:r>
      <w:r w:rsidRPr="00C849FE">
        <w:t>www.legislation.gov.au</w:t>
      </w:r>
      <w:r>
        <w:t xml:space="preserve">. </w:t>
      </w:r>
    </w:p>
    <w:p w14:paraId="0D230D48" w14:textId="77777777" w:rsidR="00C95873" w:rsidRDefault="00C95873" w:rsidP="00C95873">
      <w:pPr>
        <w:pStyle w:val="ActHead5"/>
      </w:pPr>
      <w:r>
        <w:t>7  Initial holding date</w:t>
      </w:r>
    </w:p>
    <w:p w14:paraId="14C13AE8" w14:textId="77777777" w:rsidR="00C95873" w:rsidRDefault="00C95873" w:rsidP="00C95873">
      <w:pPr>
        <w:pStyle w:val="subsection"/>
      </w:pPr>
      <w:r>
        <w:tab/>
      </w:r>
      <w:r>
        <w:tab/>
        <w:t xml:space="preserve">For subsection 4(1) of the Act, the </w:t>
      </w:r>
      <w:r>
        <w:rPr>
          <w:b/>
          <w:bCs/>
          <w:i/>
          <w:iCs/>
        </w:rPr>
        <w:t>initial holding date</w:t>
      </w:r>
      <w:r>
        <w:t xml:space="preserve"> for a spectrum licence is:</w:t>
      </w:r>
    </w:p>
    <w:p w14:paraId="53FD8F27" w14:textId="77777777" w:rsidR="00C95873" w:rsidRDefault="00C95873" w:rsidP="00C95873">
      <w:pPr>
        <w:pStyle w:val="paragraph"/>
      </w:pPr>
      <w:r>
        <w:tab/>
        <w:t>(a)</w:t>
      </w:r>
      <w:r>
        <w:tab/>
        <w:t>if the licence is in force on 11 October 2021 – that day; or</w:t>
      </w:r>
    </w:p>
    <w:p w14:paraId="41699FD6" w14:textId="77777777" w:rsidR="00C95873" w:rsidRDefault="00C95873" w:rsidP="00C95873">
      <w:pPr>
        <w:pStyle w:val="paragraph"/>
      </w:pPr>
      <w:r>
        <w:tab/>
        <w:t>(b)</w:t>
      </w:r>
      <w:r>
        <w:tab/>
        <w:t>if the licence comes into force on 11 October in a year after 2021 – the day the licence comes into force; or</w:t>
      </w:r>
    </w:p>
    <w:p w14:paraId="0C25B853" w14:textId="77777777" w:rsidR="00C95873" w:rsidRPr="00560459" w:rsidRDefault="00C95873" w:rsidP="00C95873">
      <w:pPr>
        <w:pStyle w:val="paragraph"/>
      </w:pPr>
      <w:r>
        <w:tab/>
        <w:t>(c)</w:t>
      </w:r>
      <w:r>
        <w:tab/>
        <w:t>for any other spectrum licence – the 11 October that first occurs after the licence came into force.</w:t>
      </w:r>
    </w:p>
    <w:p w14:paraId="1E1D0AFE" w14:textId="77777777" w:rsidR="00C95873" w:rsidRDefault="00C95873" w:rsidP="00C95873">
      <w:pPr>
        <w:pStyle w:val="ActHead5"/>
      </w:pPr>
      <w:r>
        <w:t>8  Amount of spectrum licence tax</w:t>
      </w:r>
    </w:p>
    <w:p w14:paraId="5B3B66A6" w14:textId="77777777" w:rsidR="00C95873" w:rsidRDefault="00C95873" w:rsidP="00C95873">
      <w:pPr>
        <w:pStyle w:val="subsection"/>
      </w:pPr>
      <w:r>
        <w:tab/>
        <w:t>(1)</w:t>
      </w:r>
      <w:r>
        <w:tab/>
        <w:t>For subsection 7(1) of the Act, the amount of tax in relation to a spectrum licence is ascertained in accordance with this section.</w:t>
      </w:r>
    </w:p>
    <w:p w14:paraId="10DDC6E0" w14:textId="77777777" w:rsidR="00C95873" w:rsidRDefault="00C95873" w:rsidP="00C95873">
      <w:pPr>
        <w:pStyle w:val="subsection"/>
      </w:pPr>
      <w:r>
        <w:tab/>
        <w:t>(2)</w:t>
      </w:r>
      <w:r>
        <w:tab/>
        <w:t>For a spectrum licence other than a Designated Spectrum Licence, the amount of tax in relation to the licence is equal to the Main Component for the licence.</w:t>
      </w:r>
    </w:p>
    <w:p w14:paraId="27232750" w14:textId="77777777" w:rsidR="00C95873" w:rsidRDefault="00C95873" w:rsidP="00C95873">
      <w:pPr>
        <w:pStyle w:val="subsection"/>
        <w:rPr>
          <w:b/>
          <w:kern w:val="28"/>
          <w:sz w:val="24"/>
        </w:rPr>
      </w:pPr>
      <w:r>
        <w:tab/>
        <w:t>(3)</w:t>
      </w:r>
      <w:r>
        <w:tab/>
        <w:t>For a Designated Spectrum Licence, the amount of tax in relation to the licence is equal to the sum of the Main Component for the licence and the EME component for the licence.</w:t>
      </w:r>
    </w:p>
    <w:bookmarkEnd w:id="0"/>
    <w:p w14:paraId="0AA7FAC9" w14:textId="77777777" w:rsidR="00C95873" w:rsidRDefault="00C95873" w:rsidP="00C95873">
      <w:pPr>
        <w:spacing w:after="0"/>
        <w:rPr>
          <w:rFonts w:ascii="Times New Roman" w:hAnsi="Times New Roman" w:cs="Times New Roman"/>
          <w:b/>
          <w:sz w:val="24"/>
          <w:szCs w:val="24"/>
        </w:rPr>
        <w:sectPr w:rsidR="00C95873" w:rsidSect="007B0AC2">
          <w:headerReference w:type="default" r:id="rId16"/>
          <w:footerReference w:type="default" r:id="rId17"/>
          <w:pgSz w:w="11906" w:h="16838"/>
          <w:pgMar w:top="1440" w:right="1440" w:bottom="1440" w:left="1440" w:header="708" w:footer="708" w:gutter="0"/>
          <w:cols w:space="720"/>
        </w:sectPr>
      </w:pPr>
    </w:p>
    <w:p w14:paraId="694CB8E0" w14:textId="77777777" w:rsidR="00C95873" w:rsidRDefault="00C95873" w:rsidP="00C95873">
      <w:pPr>
        <w:pStyle w:val="ActHead5"/>
        <w:spacing w:before="0"/>
        <w:ind w:left="0" w:firstLine="0"/>
        <w:rPr>
          <w:rStyle w:val="CharSectno"/>
          <w:sz w:val="32"/>
          <w:szCs w:val="32"/>
        </w:rPr>
      </w:pPr>
      <w:r>
        <w:rPr>
          <w:rStyle w:val="CharSectno"/>
          <w:sz w:val="32"/>
          <w:szCs w:val="32"/>
        </w:rPr>
        <w:lastRenderedPageBreak/>
        <w:t>Schedule 1 – Main Component</w:t>
      </w:r>
    </w:p>
    <w:p w14:paraId="3F5D4AA2" w14:textId="77777777" w:rsidR="00C95873" w:rsidRPr="006F0DE2" w:rsidRDefault="00C95873" w:rsidP="00C95873">
      <w:pPr>
        <w:pStyle w:val="subsection"/>
        <w:spacing w:before="0"/>
        <w:ind w:firstLine="426"/>
        <w:rPr>
          <w:sz w:val="18"/>
          <w:szCs w:val="16"/>
        </w:rPr>
      </w:pPr>
      <w:r>
        <w:rPr>
          <w:sz w:val="18"/>
          <w:szCs w:val="16"/>
        </w:rPr>
        <w:t>(section 5)</w:t>
      </w:r>
    </w:p>
    <w:p w14:paraId="7904F9D9" w14:textId="77777777" w:rsidR="00C95873" w:rsidRDefault="00C95873" w:rsidP="00C95873">
      <w:pPr>
        <w:pStyle w:val="ActHead5"/>
      </w:pPr>
      <w:r>
        <w:t>1  Definitions</w:t>
      </w:r>
    </w:p>
    <w:p w14:paraId="4EF1E13C" w14:textId="77777777" w:rsidR="00C95873" w:rsidRDefault="00C95873" w:rsidP="00C95873">
      <w:pPr>
        <w:pStyle w:val="subsection"/>
      </w:pPr>
      <w:r>
        <w:tab/>
      </w:r>
      <w:r>
        <w:tab/>
        <w:t>In this Schedule:</w:t>
      </w:r>
    </w:p>
    <w:p w14:paraId="305A87C0" w14:textId="77777777" w:rsidR="00C95873" w:rsidRPr="00A8420B" w:rsidRDefault="00C95873" w:rsidP="00C95873">
      <w:pPr>
        <w:pStyle w:val="Definition"/>
        <w:rPr>
          <w:bCs/>
          <w:iCs/>
          <w:szCs w:val="22"/>
        </w:rPr>
      </w:pPr>
      <w:r>
        <w:rPr>
          <w:b/>
          <w:i/>
        </w:rPr>
        <w:t>area population</w:t>
      </w:r>
      <w:r>
        <w:rPr>
          <w:bCs/>
          <w:iCs/>
        </w:rPr>
        <w:t>, for a geographic area, means the population of that geographic area, determined in accordance with the HCIS population data document</w:t>
      </w:r>
      <w:r w:rsidRPr="001641DA">
        <w:rPr>
          <w:bCs/>
          <w:iCs/>
          <w:szCs w:val="22"/>
        </w:rPr>
        <w:t>.</w:t>
      </w:r>
    </w:p>
    <w:p w14:paraId="1C169922" w14:textId="548AEBA4" w:rsidR="00C95873" w:rsidRPr="0084184C" w:rsidRDefault="00C95873" w:rsidP="00C95873">
      <w:pPr>
        <w:pStyle w:val="Definition"/>
        <w:rPr>
          <w:bCs/>
          <w:iCs/>
        </w:rPr>
      </w:pPr>
      <w:r>
        <w:rPr>
          <w:b/>
          <w:i/>
        </w:rPr>
        <w:t>Australian population</w:t>
      </w:r>
      <w:r>
        <w:rPr>
          <w:bCs/>
          <w:iCs/>
        </w:rPr>
        <w:t xml:space="preserve"> means </w:t>
      </w:r>
      <w:r w:rsidR="009556C3">
        <w:rPr>
          <w:bCs/>
          <w:iCs/>
        </w:rPr>
        <w:t>25,362,351</w:t>
      </w:r>
      <w:r>
        <w:rPr>
          <w:bCs/>
          <w:iCs/>
        </w:rPr>
        <w:t>.</w:t>
      </w:r>
    </w:p>
    <w:p w14:paraId="29FD72A9" w14:textId="77777777" w:rsidR="00C95873" w:rsidRDefault="00C95873" w:rsidP="00C95873">
      <w:pPr>
        <w:pStyle w:val="Definition"/>
        <w:rPr>
          <w:bCs/>
          <w:iCs/>
        </w:rPr>
      </w:pPr>
      <w:r>
        <w:rPr>
          <w:b/>
          <w:i/>
        </w:rPr>
        <w:t>base amount</w:t>
      </w:r>
      <w:r>
        <w:rPr>
          <w:bCs/>
          <w:iCs/>
        </w:rPr>
        <w:t>: see subclause 2(1).</w:t>
      </w:r>
    </w:p>
    <w:p w14:paraId="7B2497E8" w14:textId="77777777" w:rsidR="00C95873" w:rsidRPr="00EB1386" w:rsidRDefault="00C95873" w:rsidP="00C95873">
      <w:pPr>
        <w:pStyle w:val="Definition"/>
        <w:rPr>
          <w:bCs/>
          <w:iCs/>
        </w:rPr>
      </w:pPr>
      <w:r>
        <w:rPr>
          <w:b/>
          <w:i/>
        </w:rPr>
        <w:t>expiry date</w:t>
      </w:r>
      <w:r>
        <w:rPr>
          <w:bCs/>
          <w:iCs/>
        </w:rPr>
        <w:t xml:space="preserve">, for a spectrum licence, means the last day of the period specified in the licence for the purposes of subsection 65(2) of the </w:t>
      </w:r>
      <w:r>
        <w:rPr>
          <w:bCs/>
          <w:i/>
        </w:rPr>
        <w:t>Radiocommunications Act 1992</w:t>
      </w:r>
      <w:r>
        <w:rPr>
          <w:bCs/>
          <w:iCs/>
        </w:rPr>
        <w:t>.</w:t>
      </w:r>
    </w:p>
    <w:p w14:paraId="45E4894E" w14:textId="77777777" w:rsidR="00C95873" w:rsidRDefault="00C95873" w:rsidP="00C95873">
      <w:pPr>
        <w:pStyle w:val="Definition"/>
      </w:pPr>
      <w:r>
        <w:rPr>
          <w:b/>
          <w:i/>
        </w:rPr>
        <w:t>geographic area</w:t>
      </w:r>
      <w:r>
        <w:rPr>
          <w:bCs/>
          <w:iCs/>
        </w:rPr>
        <w:t xml:space="preserve">, in relation to a licensed frequency range in a spectrum licence, means the area specified in the core condition mentioned in paragraph 66(1)(c) of the </w:t>
      </w:r>
      <w:r>
        <w:rPr>
          <w:i/>
        </w:rPr>
        <w:t>Radiocommunications Act 1992</w:t>
      </w:r>
      <w:r>
        <w:t xml:space="preserve"> for that licensed frequency range.</w:t>
      </w:r>
    </w:p>
    <w:p w14:paraId="6B745012" w14:textId="472F4A57" w:rsidR="00C95873" w:rsidRDefault="00C95873" w:rsidP="00C95873">
      <w:pPr>
        <w:pStyle w:val="Definition"/>
        <w:rPr>
          <w:bCs/>
          <w:iCs/>
        </w:rPr>
      </w:pPr>
      <w:r>
        <w:rPr>
          <w:b/>
          <w:i/>
        </w:rPr>
        <w:t xml:space="preserve">HCIS population data document </w:t>
      </w:r>
      <w:r>
        <w:rPr>
          <w:bCs/>
          <w:iCs/>
        </w:rPr>
        <w:t>means the document that sets out population data for areas in Hierarchical Cell Identification Scheme levels 1 to 4 in the set of documents entitled Hierarchical Cell Identification Scheme (HCIS) – List of Population Data, published by the ACMA on its website</w:t>
      </w:r>
      <w:r w:rsidR="002F32B8">
        <w:rPr>
          <w:bCs/>
          <w:iCs/>
        </w:rPr>
        <w:t xml:space="preserve"> and as existing at the commencement of the </w:t>
      </w:r>
      <w:r w:rsidR="002F32B8">
        <w:rPr>
          <w:bCs/>
          <w:i/>
        </w:rPr>
        <w:t>Radiocommunications (Spectrum Licence Tax) Amendmen</w:t>
      </w:r>
      <w:r w:rsidR="007D37DC">
        <w:rPr>
          <w:bCs/>
          <w:i/>
        </w:rPr>
        <w:t>t Determination 2022 (No.1)</w:t>
      </w:r>
      <w:r>
        <w:rPr>
          <w:bCs/>
          <w:iCs/>
        </w:rPr>
        <w:t>.</w:t>
      </w:r>
    </w:p>
    <w:p w14:paraId="6830C177" w14:textId="77777777" w:rsidR="00C95873" w:rsidRDefault="00C95873" w:rsidP="00C95873">
      <w:pPr>
        <w:pStyle w:val="notetext"/>
      </w:pPr>
      <w:r>
        <w:t>Note 1:</w:t>
      </w:r>
      <w:r>
        <w:tab/>
        <w:t>The geographic area in relation to a licensed frequency range in a spectrum licence is described by reference to Hierarchical Cell Identification Scheme identifiers, in accordance with the Australian Spectrum Map Grid 2012.</w:t>
      </w:r>
    </w:p>
    <w:p w14:paraId="317AE70B" w14:textId="3AEEDC66" w:rsidR="00C95873" w:rsidRDefault="00C95873" w:rsidP="00C95873">
      <w:pPr>
        <w:pStyle w:val="notetext"/>
      </w:pPr>
      <w:r>
        <w:t>Note 2:</w:t>
      </w:r>
      <w:r>
        <w:tab/>
        <w:t xml:space="preserve">The HCIS population data document and the Australian Spectrum Map Grid 2012 are both available, free of charge, from the ACMA website at </w:t>
      </w:r>
      <w:r w:rsidRPr="00C849FE">
        <w:t>www.acma.gov.au</w:t>
      </w:r>
      <w:r>
        <w:t xml:space="preserve">. </w:t>
      </w:r>
    </w:p>
    <w:p w14:paraId="52FE71A7" w14:textId="4AA0401D" w:rsidR="00C95873" w:rsidRPr="00215B32" w:rsidRDefault="00C95873" w:rsidP="00C95873">
      <w:pPr>
        <w:pStyle w:val="notetext"/>
        <w:rPr>
          <w:bCs/>
          <w:iCs/>
        </w:rPr>
      </w:pPr>
      <w:r>
        <w:t>Note 3:</w:t>
      </w:r>
      <w:r>
        <w:tab/>
      </w:r>
      <w:r w:rsidR="007D37DC">
        <w:t xml:space="preserve">The HCIS population data document is incorporated as existing at the time the </w:t>
      </w:r>
      <w:r w:rsidR="007D37DC" w:rsidRPr="0085125B">
        <w:rPr>
          <w:i/>
          <w:iCs/>
        </w:rPr>
        <w:t>Radiocommunications (Spectrum Licence Tax) Amendment Determination 2022 (No.1)</w:t>
      </w:r>
      <w:r w:rsidR="007D37DC">
        <w:t xml:space="preserve"> commenced. At that time, the HCIS population data document was based on population data reported in the 2021 census of Population and Housing.</w:t>
      </w:r>
    </w:p>
    <w:p w14:paraId="065AF9A6" w14:textId="77777777" w:rsidR="00C95873" w:rsidRPr="00A519DB" w:rsidRDefault="00C95873" w:rsidP="00C95873">
      <w:pPr>
        <w:pStyle w:val="Definition"/>
        <w:rPr>
          <w:bCs/>
          <w:iCs/>
        </w:rPr>
      </w:pPr>
      <w:r>
        <w:rPr>
          <w:b/>
          <w:i/>
        </w:rPr>
        <w:t>last anniversary</w:t>
      </w:r>
      <w:r>
        <w:rPr>
          <w:bCs/>
          <w:iCs/>
        </w:rPr>
        <w:t>, for a spectrum licence, means the anniversary of the initial holding date for the licence occurring less than 12 months before the expiry date for the licence.</w:t>
      </w:r>
    </w:p>
    <w:p w14:paraId="6B2810F2" w14:textId="77777777" w:rsidR="00C95873" w:rsidRPr="0083548F" w:rsidRDefault="00C95873" w:rsidP="00C95873">
      <w:pPr>
        <w:pStyle w:val="Definition"/>
        <w:rPr>
          <w:bCs/>
          <w:iCs/>
        </w:rPr>
      </w:pPr>
      <w:r>
        <w:rPr>
          <w:b/>
          <w:i/>
        </w:rPr>
        <w:t>licensed frequency range</w:t>
      </w:r>
      <w:r>
        <w:rPr>
          <w:bCs/>
          <w:iCs/>
        </w:rPr>
        <w:t xml:space="preserve">, in a spectrum licence, means a part of the spectrum specified in the core condition mentioned in paragraph 66(1)(a) of the </w:t>
      </w:r>
      <w:r>
        <w:rPr>
          <w:bCs/>
          <w:i/>
        </w:rPr>
        <w:t>Radiocommunications Act 1992</w:t>
      </w:r>
      <w:r>
        <w:rPr>
          <w:bCs/>
          <w:iCs/>
        </w:rPr>
        <w:t>.</w:t>
      </w:r>
    </w:p>
    <w:p w14:paraId="7B1F043A" w14:textId="77777777" w:rsidR="00C95873" w:rsidRDefault="00C95873" w:rsidP="00C95873">
      <w:pPr>
        <w:pStyle w:val="Definition"/>
        <w:rPr>
          <w:bCs/>
          <w:iCs/>
        </w:rPr>
      </w:pPr>
      <w:r>
        <w:rPr>
          <w:b/>
          <w:i/>
        </w:rPr>
        <w:t>relevant frequency band</w:t>
      </w:r>
      <w:r w:rsidRPr="00C952E7">
        <w:rPr>
          <w:bCs/>
          <w:iCs/>
        </w:rPr>
        <w:t xml:space="preserve">: see </w:t>
      </w:r>
      <w:r>
        <w:rPr>
          <w:bCs/>
          <w:iCs/>
        </w:rPr>
        <w:t>sub</w:t>
      </w:r>
      <w:r w:rsidRPr="00C952E7">
        <w:rPr>
          <w:bCs/>
          <w:iCs/>
        </w:rPr>
        <w:t>clause 2</w:t>
      </w:r>
      <w:r>
        <w:rPr>
          <w:bCs/>
          <w:iCs/>
        </w:rPr>
        <w:t>(1)</w:t>
      </w:r>
      <w:r w:rsidRPr="00C952E7">
        <w:rPr>
          <w:bCs/>
          <w:iCs/>
        </w:rPr>
        <w:t>.</w:t>
      </w:r>
    </w:p>
    <w:p w14:paraId="6FF2300F" w14:textId="77777777" w:rsidR="00C95873" w:rsidRDefault="00C95873" w:rsidP="00C95873">
      <w:pPr>
        <w:pStyle w:val="Definition"/>
        <w:rPr>
          <w:bCs/>
          <w:iCs/>
        </w:rPr>
      </w:pPr>
      <w:r>
        <w:rPr>
          <w:b/>
          <w:i/>
        </w:rPr>
        <w:t>SL bandwidth</w:t>
      </w:r>
      <w:r>
        <w:rPr>
          <w:bCs/>
          <w:iCs/>
        </w:rPr>
        <w:t>: see subclause 2(2).</w:t>
      </w:r>
    </w:p>
    <w:p w14:paraId="392AAD8E" w14:textId="77777777" w:rsidR="00C95873" w:rsidRDefault="00C95873" w:rsidP="00C95873">
      <w:pPr>
        <w:pStyle w:val="Definition"/>
        <w:rPr>
          <w:bCs/>
          <w:iCs/>
        </w:rPr>
      </w:pPr>
      <w:r>
        <w:rPr>
          <w:b/>
          <w:i/>
        </w:rPr>
        <w:t>total specified spectrum</w:t>
      </w:r>
      <w:r w:rsidRPr="00654D81">
        <w:rPr>
          <w:bCs/>
          <w:iCs/>
        </w:rPr>
        <w:t>:</w:t>
      </w:r>
      <w:r>
        <w:rPr>
          <w:bCs/>
          <w:iCs/>
        </w:rPr>
        <w:t xml:space="preserve"> see subclause 2(1).</w:t>
      </w:r>
    </w:p>
    <w:p w14:paraId="3550EF09" w14:textId="77777777" w:rsidR="00C95873" w:rsidRDefault="00C95873" w:rsidP="00C95873">
      <w:pPr>
        <w:pStyle w:val="ActHead5"/>
      </w:pPr>
      <w:r>
        <w:t>2  Base amount, relevant frequency band, total specified spectrum and SL bandwidth</w:t>
      </w:r>
    </w:p>
    <w:p w14:paraId="7CEF0CEC" w14:textId="77777777" w:rsidR="00C95873" w:rsidRDefault="00C95873" w:rsidP="00C95873">
      <w:pPr>
        <w:pStyle w:val="subsection"/>
      </w:pPr>
      <w:r>
        <w:tab/>
        <w:t>(1)</w:t>
      </w:r>
      <w:r>
        <w:tab/>
        <w:t>For the purposes of this Schedule:</w:t>
      </w:r>
    </w:p>
    <w:p w14:paraId="79CFC612" w14:textId="77777777" w:rsidR="00C95873" w:rsidRDefault="00C95873" w:rsidP="00C95873">
      <w:pPr>
        <w:pStyle w:val="paragraph"/>
      </w:pPr>
      <w:r>
        <w:tab/>
        <w:t>(a)</w:t>
      </w:r>
      <w:r>
        <w:tab/>
        <w:t xml:space="preserve">if a licensed frequency range in a spectrum licence falls within a frequency band specified in column 1 of the table, the frequency band is a </w:t>
      </w:r>
      <w:r w:rsidRPr="001736D8">
        <w:rPr>
          <w:b/>
          <w:bCs/>
          <w:i/>
          <w:iCs/>
        </w:rPr>
        <w:t xml:space="preserve">relevant frequency </w:t>
      </w:r>
      <w:r>
        <w:rPr>
          <w:b/>
          <w:bCs/>
          <w:i/>
          <w:iCs/>
        </w:rPr>
        <w:t>band</w:t>
      </w:r>
      <w:r>
        <w:t xml:space="preserve"> for the licence; and</w:t>
      </w:r>
    </w:p>
    <w:p w14:paraId="32EEA8FC" w14:textId="77777777" w:rsidR="00C95873" w:rsidRDefault="00C95873" w:rsidP="00C95873">
      <w:pPr>
        <w:pStyle w:val="paragraph"/>
      </w:pPr>
      <w:r>
        <w:tab/>
        <w:t>(b)</w:t>
      </w:r>
      <w:r>
        <w:tab/>
        <w:t xml:space="preserve">column 2 specifies the </w:t>
      </w:r>
      <w:r w:rsidRPr="00787591">
        <w:rPr>
          <w:b/>
          <w:bCs/>
          <w:i/>
          <w:iCs/>
        </w:rPr>
        <w:t>total specified spectrum</w:t>
      </w:r>
      <w:r>
        <w:t xml:space="preserve"> for each relevant frequency band for the licence; and</w:t>
      </w:r>
    </w:p>
    <w:p w14:paraId="08D59C8C" w14:textId="77777777" w:rsidR="00C95873" w:rsidRPr="00787591" w:rsidRDefault="00C95873" w:rsidP="00C95873">
      <w:pPr>
        <w:pStyle w:val="paragraph"/>
        <w:spacing w:after="240"/>
      </w:pPr>
      <w:r>
        <w:lastRenderedPageBreak/>
        <w:tab/>
        <w:t>(c)</w:t>
      </w:r>
      <w:r>
        <w:tab/>
        <w:t xml:space="preserve">column 3 specifies the </w:t>
      </w:r>
      <w:r>
        <w:rPr>
          <w:b/>
          <w:bCs/>
          <w:i/>
          <w:iCs/>
        </w:rPr>
        <w:t>base amount</w:t>
      </w:r>
      <w:r>
        <w:t xml:space="preserve"> for each relevant frequency band for the licence.</w:t>
      </w:r>
    </w:p>
    <w:tbl>
      <w:tblPr>
        <w:tblW w:w="5033"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105"/>
        <w:gridCol w:w="2551"/>
        <w:gridCol w:w="3113"/>
        <w:gridCol w:w="2317"/>
      </w:tblGrid>
      <w:tr w:rsidR="00C95873" w14:paraId="1DC1FC56" w14:textId="77777777" w:rsidTr="00126A17">
        <w:trPr>
          <w:tblHeader/>
        </w:trPr>
        <w:tc>
          <w:tcPr>
            <w:tcW w:w="608" w:type="pct"/>
            <w:tcBorders>
              <w:top w:val="single" w:sz="12" w:space="0" w:color="auto"/>
              <w:left w:val="nil"/>
              <w:bottom w:val="single" w:sz="6" w:space="0" w:color="auto"/>
              <w:right w:val="nil"/>
            </w:tcBorders>
            <w:hideMark/>
          </w:tcPr>
          <w:p w14:paraId="05E367E7" w14:textId="77777777" w:rsidR="00C95873" w:rsidRDefault="00C95873" w:rsidP="00126A17">
            <w:pPr>
              <w:pStyle w:val="TableHeading"/>
              <w:rPr>
                <w:lang w:eastAsia="en-US"/>
              </w:rPr>
            </w:pPr>
            <w:r>
              <w:rPr>
                <w:lang w:eastAsia="en-US"/>
              </w:rPr>
              <w:t>Item</w:t>
            </w:r>
          </w:p>
        </w:tc>
        <w:tc>
          <w:tcPr>
            <w:tcW w:w="1404" w:type="pct"/>
            <w:tcBorders>
              <w:top w:val="single" w:sz="12" w:space="0" w:color="auto"/>
              <w:left w:val="nil"/>
              <w:bottom w:val="single" w:sz="6" w:space="0" w:color="auto"/>
              <w:right w:val="nil"/>
            </w:tcBorders>
            <w:hideMark/>
          </w:tcPr>
          <w:p w14:paraId="0015AF83" w14:textId="77777777" w:rsidR="00C95873" w:rsidRDefault="00C95873" w:rsidP="00126A17">
            <w:pPr>
              <w:pStyle w:val="TableHeading"/>
              <w:rPr>
                <w:lang w:eastAsia="en-US"/>
              </w:rPr>
            </w:pPr>
            <w:r>
              <w:rPr>
                <w:lang w:eastAsia="en-US"/>
              </w:rPr>
              <w:t>Column 1</w:t>
            </w:r>
          </w:p>
        </w:tc>
        <w:tc>
          <w:tcPr>
            <w:tcW w:w="1713" w:type="pct"/>
            <w:tcBorders>
              <w:top w:val="single" w:sz="12" w:space="0" w:color="auto"/>
              <w:left w:val="nil"/>
              <w:bottom w:val="single" w:sz="6" w:space="0" w:color="auto"/>
              <w:right w:val="nil"/>
            </w:tcBorders>
            <w:hideMark/>
          </w:tcPr>
          <w:p w14:paraId="5AFAD69B" w14:textId="77777777" w:rsidR="00C95873" w:rsidRDefault="00C95873" w:rsidP="00126A17">
            <w:pPr>
              <w:pStyle w:val="TableHeading"/>
              <w:rPr>
                <w:lang w:eastAsia="en-US"/>
              </w:rPr>
            </w:pPr>
            <w:r>
              <w:rPr>
                <w:lang w:eastAsia="en-US"/>
              </w:rPr>
              <w:t>Column 2</w:t>
            </w:r>
          </w:p>
        </w:tc>
        <w:tc>
          <w:tcPr>
            <w:tcW w:w="1275" w:type="pct"/>
            <w:tcBorders>
              <w:top w:val="single" w:sz="12" w:space="0" w:color="auto"/>
              <w:left w:val="nil"/>
              <w:bottom w:val="single" w:sz="6" w:space="0" w:color="auto"/>
              <w:right w:val="nil"/>
            </w:tcBorders>
            <w:hideMark/>
          </w:tcPr>
          <w:p w14:paraId="6407E3FB" w14:textId="77777777" w:rsidR="00C95873" w:rsidRDefault="00C95873" w:rsidP="00126A17">
            <w:pPr>
              <w:pStyle w:val="TableHeading"/>
              <w:rPr>
                <w:lang w:eastAsia="en-US"/>
              </w:rPr>
            </w:pPr>
            <w:r>
              <w:rPr>
                <w:lang w:eastAsia="en-US"/>
              </w:rPr>
              <w:t>Column 3</w:t>
            </w:r>
          </w:p>
        </w:tc>
      </w:tr>
      <w:tr w:rsidR="00C95873" w14:paraId="2711A3B1" w14:textId="77777777" w:rsidTr="00126A17">
        <w:trPr>
          <w:tblHeader/>
        </w:trPr>
        <w:tc>
          <w:tcPr>
            <w:tcW w:w="608" w:type="pct"/>
            <w:tcBorders>
              <w:top w:val="single" w:sz="6" w:space="0" w:color="auto"/>
              <w:left w:val="nil"/>
              <w:bottom w:val="single" w:sz="12" w:space="0" w:color="auto"/>
              <w:right w:val="nil"/>
            </w:tcBorders>
          </w:tcPr>
          <w:p w14:paraId="35FA3527" w14:textId="77777777" w:rsidR="00C95873" w:rsidRDefault="00C95873" w:rsidP="00126A17">
            <w:pPr>
              <w:pStyle w:val="TableHeading"/>
              <w:rPr>
                <w:lang w:eastAsia="en-US"/>
              </w:rPr>
            </w:pPr>
          </w:p>
        </w:tc>
        <w:tc>
          <w:tcPr>
            <w:tcW w:w="1404" w:type="pct"/>
            <w:tcBorders>
              <w:top w:val="single" w:sz="6" w:space="0" w:color="auto"/>
              <w:left w:val="nil"/>
              <w:bottom w:val="single" w:sz="12" w:space="0" w:color="auto"/>
              <w:right w:val="nil"/>
            </w:tcBorders>
            <w:hideMark/>
          </w:tcPr>
          <w:p w14:paraId="5AD5DEB3" w14:textId="77777777" w:rsidR="00C95873" w:rsidRDefault="00C95873" w:rsidP="00126A17">
            <w:pPr>
              <w:pStyle w:val="TableHeading"/>
              <w:rPr>
                <w:lang w:eastAsia="en-US"/>
              </w:rPr>
            </w:pPr>
            <w:r>
              <w:rPr>
                <w:lang w:eastAsia="en-US"/>
              </w:rPr>
              <w:t>Frequency band</w:t>
            </w:r>
          </w:p>
        </w:tc>
        <w:tc>
          <w:tcPr>
            <w:tcW w:w="1713" w:type="pct"/>
            <w:tcBorders>
              <w:top w:val="single" w:sz="6" w:space="0" w:color="auto"/>
              <w:left w:val="nil"/>
              <w:bottom w:val="single" w:sz="12" w:space="0" w:color="auto"/>
              <w:right w:val="nil"/>
            </w:tcBorders>
            <w:hideMark/>
          </w:tcPr>
          <w:p w14:paraId="59CD6872" w14:textId="77777777" w:rsidR="00C95873" w:rsidRDefault="00C95873" w:rsidP="00126A17">
            <w:pPr>
              <w:pStyle w:val="TableHeading"/>
              <w:rPr>
                <w:lang w:eastAsia="en-US"/>
              </w:rPr>
            </w:pPr>
            <w:r>
              <w:rPr>
                <w:lang w:eastAsia="en-US"/>
              </w:rPr>
              <w:t>Total specified spectrum</w:t>
            </w:r>
          </w:p>
        </w:tc>
        <w:tc>
          <w:tcPr>
            <w:tcW w:w="1275" w:type="pct"/>
            <w:tcBorders>
              <w:top w:val="single" w:sz="6" w:space="0" w:color="auto"/>
              <w:left w:val="nil"/>
              <w:bottom w:val="single" w:sz="12" w:space="0" w:color="auto"/>
              <w:right w:val="nil"/>
            </w:tcBorders>
            <w:hideMark/>
          </w:tcPr>
          <w:p w14:paraId="382CBB13" w14:textId="77777777" w:rsidR="00C95873" w:rsidRDefault="00C95873" w:rsidP="00126A17">
            <w:pPr>
              <w:pStyle w:val="TableHeading"/>
              <w:rPr>
                <w:lang w:eastAsia="en-US"/>
              </w:rPr>
            </w:pPr>
            <w:r>
              <w:rPr>
                <w:lang w:eastAsia="en-US"/>
              </w:rPr>
              <w:t>Base amount ($)</w:t>
            </w:r>
          </w:p>
        </w:tc>
      </w:tr>
      <w:tr w:rsidR="00C95873" w14:paraId="3FCA97B0" w14:textId="77777777" w:rsidTr="00126A17">
        <w:tc>
          <w:tcPr>
            <w:tcW w:w="608" w:type="pct"/>
            <w:tcBorders>
              <w:top w:val="single" w:sz="12" w:space="0" w:color="auto"/>
              <w:left w:val="nil"/>
              <w:bottom w:val="single" w:sz="2" w:space="0" w:color="auto"/>
              <w:right w:val="nil"/>
            </w:tcBorders>
            <w:hideMark/>
          </w:tcPr>
          <w:p w14:paraId="6AC18455" w14:textId="77777777" w:rsidR="00C95873" w:rsidRDefault="00C95873" w:rsidP="00126A17">
            <w:pPr>
              <w:pStyle w:val="Tabletext"/>
              <w:rPr>
                <w:i/>
                <w:iCs/>
                <w:lang w:eastAsia="en-US"/>
              </w:rPr>
            </w:pPr>
            <w:r>
              <w:rPr>
                <w:i/>
                <w:iCs/>
                <w:lang w:eastAsia="en-US"/>
              </w:rPr>
              <w:t>1</w:t>
            </w:r>
          </w:p>
        </w:tc>
        <w:tc>
          <w:tcPr>
            <w:tcW w:w="1404" w:type="pct"/>
            <w:tcBorders>
              <w:top w:val="single" w:sz="12" w:space="0" w:color="auto"/>
              <w:left w:val="nil"/>
              <w:bottom w:val="single" w:sz="2" w:space="0" w:color="auto"/>
              <w:right w:val="nil"/>
            </w:tcBorders>
          </w:tcPr>
          <w:p w14:paraId="1CFE9237" w14:textId="77777777" w:rsidR="00C95873" w:rsidRDefault="00C95873" w:rsidP="00126A17">
            <w:pPr>
              <w:pStyle w:val="Tabletext"/>
              <w:rPr>
                <w:lang w:eastAsia="en-US"/>
              </w:rPr>
            </w:pPr>
            <w:r>
              <w:rPr>
                <w:lang w:eastAsia="en-US"/>
              </w:rPr>
              <w:t>703 MHz to 748 MHz</w:t>
            </w:r>
          </w:p>
          <w:p w14:paraId="6D3BF995" w14:textId="77777777" w:rsidR="00C95873" w:rsidRDefault="00C95873" w:rsidP="00126A17">
            <w:pPr>
              <w:pStyle w:val="Tabletext"/>
              <w:rPr>
                <w:lang w:eastAsia="en-US"/>
              </w:rPr>
            </w:pPr>
            <w:r>
              <w:rPr>
                <w:lang w:eastAsia="en-US"/>
              </w:rPr>
              <w:t>758 MHz to 803 MHz</w:t>
            </w:r>
          </w:p>
        </w:tc>
        <w:tc>
          <w:tcPr>
            <w:tcW w:w="1713" w:type="pct"/>
            <w:tcBorders>
              <w:top w:val="single" w:sz="12" w:space="0" w:color="auto"/>
              <w:left w:val="nil"/>
              <w:bottom w:val="single" w:sz="2" w:space="0" w:color="auto"/>
              <w:right w:val="nil"/>
            </w:tcBorders>
          </w:tcPr>
          <w:p w14:paraId="30E2AC69" w14:textId="77777777" w:rsidR="00C95873" w:rsidRDefault="00C95873" w:rsidP="00126A17">
            <w:pPr>
              <w:pStyle w:val="Tabletext"/>
              <w:rPr>
                <w:lang w:eastAsia="en-US"/>
              </w:rPr>
            </w:pPr>
            <w:r>
              <w:rPr>
                <w:lang w:eastAsia="en-US"/>
              </w:rPr>
              <w:t>90 MHz</w:t>
            </w:r>
          </w:p>
        </w:tc>
        <w:tc>
          <w:tcPr>
            <w:tcW w:w="1275" w:type="pct"/>
            <w:tcBorders>
              <w:top w:val="single" w:sz="12" w:space="0" w:color="auto"/>
              <w:left w:val="nil"/>
              <w:bottom w:val="single" w:sz="2" w:space="0" w:color="auto"/>
              <w:right w:val="nil"/>
            </w:tcBorders>
          </w:tcPr>
          <w:p w14:paraId="02FD058D" w14:textId="77777777" w:rsidR="00C95873" w:rsidRDefault="00C95873" w:rsidP="00126A17">
            <w:pPr>
              <w:pStyle w:val="Tabletext"/>
              <w:rPr>
                <w:lang w:eastAsia="en-US"/>
              </w:rPr>
            </w:pPr>
            <w:r>
              <w:rPr>
                <w:lang w:eastAsia="en-US"/>
              </w:rPr>
              <w:t>49,938</w:t>
            </w:r>
          </w:p>
        </w:tc>
      </w:tr>
      <w:tr w:rsidR="00C95873" w14:paraId="0FAA3783" w14:textId="77777777" w:rsidTr="00126A17">
        <w:tc>
          <w:tcPr>
            <w:tcW w:w="608" w:type="pct"/>
            <w:tcBorders>
              <w:top w:val="single" w:sz="2" w:space="0" w:color="auto"/>
              <w:left w:val="nil"/>
              <w:bottom w:val="single" w:sz="2" w:space="0" w:color="auto"/>
              <w:right w:val="nil"/>
            </w:tcBorders>
            <w:hideMark/>
          </w:tcPr>
          <w:p w14:paraId="5A2A0DE2" w14:textId="77777777" w:rsidR="00C95873" w:rsidRDefault="00C95873" w:rsidP="00126A17">
            <w:pPr>
              <w:pStyle w:val="Tabletext"/>
              <w:rPr>
                <w:i/>
                <w:iCs/>
                <w:lang w:eastAsia="en-US"/>
              </w:rPr>
            </w:pPr>
            <w:r>
              <w:rPr>
                <w:i/>
                <w:iCs/>
                <w:lang w:eastAsia="en-US"/>
              </w:rPr>
              <w:t>2</w:t>
            </w:r>
          </w:p>
        </w:tc>
        <w:tc>
          <w:tcPr>
            <w:tcW w:w="1404" w:type="pct"/>
            <w:tcBorders>
              <w:top w:val="single" w:sz="2" w:space="0" w:color="auto"/>
              <w:left w:val="nil"/>
              <w:bottom w:val="single" w:sz="2" w:space="0" w:color="auto"/>
              <w:right w:val="nil"/>
            </w:tcBorders>
          </w:tcPr>
          <w:p w14:paraId="1A638ADE" w14:textId="77777777" w:rsidR="00C95873" w:rsidRDefault="00C95873" w:rsidP="00126A17">
            <w:pPr>
              <w:pStyle w:val="Tabletext"/>
              <w:rPr>
                <w:lang w:eastAsia="en-US"/>
              </w:rPr>
            </w:pPr>
            <w:r>
              <w:rPr>
                <w:lang w:eastAsia="en-US"/>
              </w:rPr>
              <w:t>814 MHz to 845 MHz</w:t>
            </w:r>
          </w:p>
          <w:p w14:paraId="77D33279" w14:textId="77777777" w:rsidR="00C95873" w:rsidRDefault="00C95873" w:rsidP="00126A17">
            <w:pPr>
              <w:pStyle w:val="Tabletext"/>
              <w:rPr>
                <w:lang w:eastAsia="en-US"/>
              </w:rPr>
            </w:pPr>
            <w:r>
              <w:rPr>
                <w:lang w:eastAsia="en-US"/>
              </w:rPr>
              <w:t>859 MHz to 915 MHz</w:t>
            </w:r>
          </w:p>
          <w:p w14:paraId="7C444543" w14:textId="77777777" w:rsidR="00C95873" w:rsidRDefault="00C95873" w:rsidP="00126A17">
            <w:pPr>
              <w:pStyle w:val="Tabletext"/>
              <w:rPr>
                <w:lang w:eastAsia="en-US"/>
              </w:rPr>
            </w:pPr>
            <w:r>
              <w:rPr>
                <w:lang w:eastAsia="en-US"/>
              </w:rPr>
              <w:t>935 MHz to 960 MHz</w:t>
            </w:r>
          </w:p>
        </w:tc>
        <w:tc>
          <w:tcPr>
            <w:tcW w:w="1713" w:type="pct"/>
            <w:tcBorders>
              <w:top w:val="single" w:sz="2" w:space="0" w:color="auto"/>
              <w:left w:val="nil"/>
              <w:bottom w:val="single" w:sz="2" w:space="0" w:color="auto"/>
              <w:right w:val="nil"/>
            </w:tcBorders>
          </w:tcPr>
          <w:p w14:paraId="62221E8A" w14:textId="77777777" w:rsidR="00C95873" w:rsidRDefault="00C95873" w:rsidP="00126A17">
            <w:pPr>
              <w:pStyle w:val="Tabletext"/>
              <w:rPr>
                <w:lang w:eastAsia="en-US"/>
              </w:rPr>
            </w:pPr>
            <w:r>
              <w:rPr>
                <w:lang w:eastAsia="en-US"/>
              </w:rPr>
              <w:t>112 MHz</w:t>
            </w:r>
          </w:p>
        </w:tc>
        <w:tc>
          <w:tcPr>
            <w:tcW w:w="1275" w:type="pct"/>
            <w:tcBorders>
              <w:top w:val="single" w:sz="2" w:space="0" w:color="auto"/>
              <w:left w:val="nil"/>
              <w:bottom w:val="single" w:sz="2" w:space="0" w:color="auto"/>
              <w:right w:val="nil"/>
            </w:tcBorders>
          </w:tcPr>
          <w:p w14:paraId="51FA7012" w14:textId="77777777" w:rsidR="00C95873" w:rsidRDefault="00C95873" w:rsidP="00126A17">
            <w:pPr>
              <w:pStyle w:val="Tabletext"/>
              <w:rPr>
                <w:lang w:eastAsia="en-US"/>
              </w:rPr>
            </w:pPr>
            <w:r>
              <w:rPr>
                <w:lang w:eastAsia="en-US"/>
              </w:rPr>
              <w:t>62,146</w:t>
            </w:r>
          </w:p>
        </w:tc>
      </w:tr>
      <w:tr w:rsidR="00C95873" w14:paraId="6EA1F3AD" w14:textId="77777777" w:rsidTr="00126A17">
        <w:tc>
          <w:tcPr>
            <w:tcW w:w="608" w:type="pct"/>
            <w:tcBorders>
              <w:top w:val="single" w:sz="2" w:space="0" w:color="auto"/>
              <w:left w:val="nil"/>
              <w:bottom w:val="single" w:sz="2" w:space="0" w:color="auto"/>
              <w:right w:val="nil"/>
            </w:tcBorders>
            <w:hideMark/>
          </w:tcPr>
          <w:p w14:paraId="10204F52" w14:textId="77777777" w:rsidR="00C95873" w:rsidRDefault="00C95873" w:rsidP="00126A17">
            <w:pPr>
              <w:pStyle w:val="Tabletext"/>
              <w:rPr>
                <w:i/>
                <w:iCs/>
                <w:lang w:eastAsia="en-US"/>
              </w:rPr>
            </w:pPr>
            <w:r>
              <w:rPr>
                <w:i/>
                <w:iCs/>
                <w:lang w:eastAsia="en-US"/>
              </w:rPr>
              <w:t>3</w:t>
            </w:r>
          </w:p>
        </w:tc>
        <w:tc>
          <w:tcPr>
            <w:tcW w:w="1404" w:type="pct"/>
            <w:tcBorders>
              <w:top w:val="single" w:sz="2" w:space="0" w:color="auto"/>
              <w:left w:val="nil"/>
              <w:bottom w:val="single" w:sz="2" w:space="0" w:color="auto"/>
              <w:right w:val="nil"/>
            </w:tcBorders>
          </w:tcPr>
          <w:p w14:paraId="428FAF24" w14:textId="77777777" w:rsidR="00C95873" w:rsidRDefault="00C95873" w:rsidP="00126A17">
            <w:pPr>
              <w:pStyle w:val="Tabletext"/>
              <w:keepNext/>
              <w:keepLines/>
              <w:rPr>
                <w:lang w:eastAsia="en-US"/>
              </w:rPr>
            </w:pPr>
            <w:r>
              <w:rPr>
                <w:lang w:eastAsia="en-US"/>
              </w:rPr>
              <w:t>1710 MHz to 1755 MHz</w:t>
            </w:r>
          </w:p>
          <w:p w14:paraId="1D3ED451" w14:textId="77777777" w:rsidR="00C95873" w:rsidRDefault="00C95873" w:rsidP="00126A17">
            <w:pPr>
              <w:pStyle w:val="Tabletext"/>
              <w:keepLines/>
              <w:rPr>
                <w:lang w:eastAsia="en-US"/>
              </w:rPr>
            </w:pPr>
            <w:r>
              <w:rPr>
                <w:lang w:eastAsia="en-US"/>
              </w:rPr>
              <w:t>1805 MHz to 1850 MHz</w:t>
            </w:r>
          </w:p>
        </w:tc>
        <w:tc>
          <w:tcPr>
            <w:tcW w:w="1713" w:type="pct"/>
            <w:tcBorders>
              <w:top w:val="single" w:sz="2" w:space="0" w:color="auto"/>
              <w:left w:val="nil"/>
              <w:bottom w:val="single" w:sz="2" w:space="0" w:color="auto"/>
              <w:right w:val="nil"/>
            </w:tcBorders>
          </w:tcPr>
          <w:p w14:paraId="0E63F1E8" w14:textId="77777777" w:rsidR="00C95873" w:rsidRDefault="00C95873" w:rsidP="00126A17">
            <w:pPr>
              <w:pStyle w:val="Tabletext"/>
              <w:rPr>
                <w:lang w:eastAsia="en-US"/>
              </w:rPr>
            </w:pPr>
            <w:r>
              <w:rPr>
                <w:lang w:eastAsia="en-US"/>
              </w:rPr>
              <w:t>90 MHz</w:t>
            </w:r>
          </w:p>
        </w:tc>
        <w:tc>
          <w:tcPr>
            <w:tcW w:w="1275" w:type="pct"/>
            <w:tcBorders>
              <w:top w:val="single" w:sz="2" w:space="0" w:color="auto"/>
              <w:left w:val="nil"/>
              <w:bottom w:val="single" w:sz="2" w:space="0" w:color="auto"/>
              <w:right w:val="nil"/>
            </w:tcBorders>
          </w:tcPr>
          <w:p w14:paraId="2B4419E3" w14:textId="77777777" w:rsidR="00C95873" w:rsidRDefault="00C95873" w:rsidP="00126A17">
            <w:pPr>
              <w:pStyle w:val="Tabletext"/>
              <w:rPr>
                <w:lang w:eastAsia="en-US"/>
              </w:rPr>
            </w:pPr>
            <w:r>
              <w:rPr>
                <w:lang w:eastAsia="en-US"/>
              </w:rPr>
              <w:t>49,864</w:t>
            </w:r>
          </w:p>
        </w:tc>
      </w:tr>
      <w:tr w:rsidR="00C95873" w14:paraId="696E96C8" w14:textId="77777777" w:rsidTr="00126A17">
        <w:tc>
          <w:tcPr>
            <w:tcW w:w="608" w:type="pct"/>
            <w:tcBorders>
              <w:top w:val="single" w:sz="2" w:space="0" w:color="auto"/>
              <w:left w:val="nil"/>
              <w:bottom w:val="single" w:sz="2" w:space="0" w:color="auto"/>
              <w:right w:val="nil"/>
            </w:tcBorders>
            <w:hideMark/>
          </w:tcPr>
          <w:p w14:paraId="560E285C" w14:textId="77777777" w:rsidR="00C95873" w:rsidRDefault="00C95873" w:rsidP="00126A17">
            <w:pPr>
              <w:pStyle w:val="Tabletext"/>
              <w:rPr>
                <w:i/>
                <w:iCs/>
                <w:lang w:eastAsia="en-US"/>
              </w:rPr>
            </w:pPr>
            <w:r>
              <w:rPr>
                <w:i/>
                <w:iCs/>
                <w:lang w:eastAsia="en-US"/>
              </w:rPr>
              <w:t>4</w:t>
            </w:r>
          </w:p>
        </w:tc>
        <w:tc>
          <w:tcPr>
            <w:tcW w:w="1404" w:type="pct"/>
            <w:tcBorders>
              <w:top w:val="single" w:sz="2" w:space="0" w:color="auto"/>
              <w:left w:val="nil"/>
              <w:bottom w:val="single" w:sz="2" w:space="0" w:color="auto"/>
              <w:right w:val="nil"/>
            </w:tcBorders>
          </w:tcPr>
          <w:p w14:paraId="782F3CA4" w14:textId="77777777" w:rsidR="00C95873" w:rsidRDefault="00C95873" w:rsidP="00126A17">
            <w:pPr>
              <w:pStyle w:val="Tabletext"/>
              <w:rPr>
                <w:lang w:eastAsia="en-US"/>
              </w:rPr>
            </w:pPr>
            <w:r>
              <w:rPr>
                <w:lang w:eastAsia="en-US"/>
              </w:rPr>
              <w:t>1755 MHz to 1785 MHz</w:t>
            </w:r>
          </w:p>
          <w:p w14:paraId="47365D02" w14:textId="77777777" w:rsidR="00C95873" w:rsidRDefault="00C95873" w:rsidP="00126A17">
            <w:pPr>
              <w:pStyle w:val="Tabletext"/>
              <w:rPr>
                <w:lang w:eastAsia="en-US"/>
              </w:rPr>
            </w:pPr>
            <w:r>
              <w:rPr>
                <w:lang w:eastAsia="en-US"/>
              </w:rPr>
              <w:t>1850 MHz to 1880 MHz</w:t>
            </w:r>
          </w:p>
        </w:tc>
        <w:tc>
          <w:tcPr>
            <w:tcW w:w="1713" w:type="pct"/>
            <w:tcBorders>
              <w:top w:val="single" w:sz="2" w:space="0" w:color="auto"/>
              <w:left w:val="nil"/>
              <w:bottom w:val="single" w:sz="2" w:space="0" w:color="auto"/>
              <w:right w:val="nil"/>
            </w:tcBorders>
          </w:tcPr>
          <w:p w14:paraId="0B9AF244" w14:textId="77777777" w:rsidR="00C95873" w:rsidRDefault="00C95873" w:rsidP="00126A17">
            <w:pPr>
              <w:pStyle w:val="Tabletext"/>
              <w:rPr>
                <w:lang w:eastAsia="en-US"/>
              </w:rPr>
            </w:pPr>
            <w:r>
              <w:rPr>
                <w:lang w:eastAsia="en-US"/>
              </w:rPr>
              <w:t>60 MHz</w:t>
            </w:r>
          </w:p>
        </w:tc>
        <w:tc>
          <w:tcPr>
            <w:tcW w:w="1275" w:type="pct"/>
            <w:tcBorders>
              <w:top w:val="single" w:sz="2" w:space="0" w:color="auto"/>
              <w:left w:val="nil"/>
              <w:bottom w:val="single" w:sz="2" w:space="0" w:color="auto"/>
              <w:right w:val="nil"/>
            </w:tcBorders>
          </w:tcPr>
          <w:p w14:paraId="524CDAB1" w14:textId="77777777" w:rsidR="00C95873" w:rsidRDefault="00C95873" w:rsidP="00126A17">
            <w:pPr>
              <w:pStyle w:val="Tabletext"/>
              <w:rPr>
                <w:lang w:eastAsia="en-US"/>
              </w:rPr>
            </w:pPr>
            <w:r>
              <w:rPr>
                <w:lang w:eastAsia="en-US"/>
              </w:rPr>
              <w:t>33,243</w:t>
            </w:r>
          </w:p>
        </w:tc>
      </w:tr>
      <w:tr w:rsidR="00C95873" w14:paraId="3A171757" w14:textId="77777777" w:rsidTr="00126A17">
        <w:tc>
          <w:tcPr>
            <w:tcW w:w="608" w:type="pct"/>
            <w:tcBorders>
              <w:top w:val="single" w:sz="2" w:space="0" w:color="auto"/>
              <w:left w:val="nil"/>
              <w:bottom w:val="single" w:sz="2" w:space="0" w:color="auto"/>
              <w:right w:val="nil"/>
            </w:tcBorders>
          </w:tcPr>
          <w:p w14:paraId="529B78BB" w14:textId="77777777" w:rsidR="00C95873" w:rsidRDefault="00C95873" w:rsidP="00126A17">
            <w:pPr>
              <w:pStyle w:val="Tabletext"/>
              <w:rPr>
                <w:i/>
                <w:iCs/>
                <w:lang w:eastAsia="en-US"/>
              </w:rPr>
            </w:pPr>
            <w:r>
              <w:rPr>
                <w:i/>
                <w:iCs/>
                <w:lang w:eastAsia="en-US"/>
              </w:rPr>
              <w:t>5</w:t>
            </w:r>
          </w:p>
        </w:tc>
        <w:tc>
          <w:tcPr>
            <w:tcW w:w="1404" w:type="pct"/>
            <w:tcBorders>
              <w:top w:val="single" w:sz="2" w:space="0" w:color="auto"/>
              <w:left w:val="nil"/>
              <w:bottom w:val="single" w:sz="2" w:space="0" w:color="auto"/>
              <w:right w:val="nil"/>
            </w:tcBorders>
          </w:tcPr>
          <w:p w14:paraId="3173845D" w14:textId="77777777" w:rsidR="00C95873" w:rsidRDefault="00C95873" w:rsidP="00126A17">
            <w:pPr>
              <w:pStyle w:val="Tabletext"/>
              <w:rPr>
                <w:lang w:eastAsia="en-US"/>
              </w:rPr>
            </w:pPr>
            <w:r>
              <w:rPr>
                <w:lang w:eastAsia="en-US"/>
              </w:rPr>
              <w:t>1920 MHz to 1980 MHz</w:t>
            </w:r>
          </w:p>
          <w:p w14:paraId="37A9A2E0" w14:textId="77777777" w:rsidR="00C95873" w:rsidRDefault="00C95873" w:rsidP="00126A17">
            <w:pPr>
              <w:pStyle w:val="Tabletext"/>
              <w:rPr>
                <w:lang w:eastAsia="en-US"/>
              </w:rPr>
            </w:pPr>
            <w:r>
              <w:rPr>
                <w:lang w:eastAsia="en-US"/>
              </w:rPr>
              <w:t>2110 MHz to 2170 MHz</w:t>
            </w:r>
          </w:p>
        </w:tc>
        <w:tc>
          <w:tcPr>
            <w:tcW w:w="1713" w:type="pct"/>
            <w:tcBorders>
              <w:top w:val="single" w:sz="2" w:space="0" w:color="auto"/>
              <w:left w:val="nil"/>
              <w:bottom w:val="single" w:sz="2" w:space="0" w:color="auto"/>
              <w:right w:val="nil"/>
            </w:tcBorders>
          </w:tcPr>
          <w:p w14:paraId="01DA42F8" w14:textId="77777777" w:rsidR="00C95873" w:rsidRDefault="00C95873" w:rsidP="00126A17">
            <w:pPr>
              <w:pStyle w:val="Tabletext"/>
              <w:rPr>
                <w:lang w:eastAsia="en-US"/>
              </w:rPr>
            </w:pPr>
            <w:r>
              <w:rPr>
                <w:lang w:eastAsia="en-US"/>
              </w:rPr>
              <w:t>120 MHz</w:t>
            </w:r>
          </w:p>
        </w:tc>
        <w:tc>
          <w:tcPr>
            <w:tcW w:w="1275" w:type="pct"/>
            <w:tcBorders>
              <w:top w:val="single" w:sz="2" w:space="0" w:color="auto"/>
              <w:left w:val="nil"/>
              <w:bottom w:val="single" w:sz="2" w:space="0" w:color="auto"/>
              <w:right w:val="nil"/>
            </w:tcBorders>
          </w:tcPr>
          <w:p w14:paraId="2D47E489" w14:textId="77777777" w:rsidR="00C95873" w:rsidRDefault="00C95873" w:rsidP="00126A17">
            <w:pPr>
              <w:pStyle w:val="Tabletext"/>
              <w:rPr>
                <w:lang w:eastAsia="en-US"/>
              </w:rPr>
            </w:pPr>
            <w:r>
              <w:rPr>
                <w:lang w:eastAsia="en-US"/>
              </w:rPr>
              <w:t>66,485</w:t>
            </w:r>
          </w:p>
        </w:tc>
      </w:tr>
      <w:tr w:rsidR="00C95873" w14:paraId="6DBFD681" w14:textId="77777777" w:rsidTr="00126A17">
        <w:tc>
          <w:tcPr>
            <w:tcW w:w="608" w:type="pct"/>
            <w:tcBorders>
              <w:top w:val="single" w:sz="2" w:space="0" w:color="auto"/>
              <w:left w:val="nil"/>
              <w:bottom w:val="single" w:sz="2" w:space="0" w:color="auto"/>
              <w:right w:val="nil"/>
            </w:tcBorders>
            <w:hideMark/>
          </w:tcPr>
          <w:p w14:paraId="22E73E99" w14:textId="77777777" w:rsidR="00C95873" w:rsidRDefault="00C95873" w:rsidP="00126A17">
            <w:pPr>
              <w:pStyle w:val="Tabletext"/>
              <w:rPr>
                <w:i/>
                <w:iCs/>
                <w:lang w:eastAsia="en-US"/>
              </w:rPr>
            </w:pPr>
            <w:r>
              <w:rPr>
                <w:i/>
                <w:iCs/>
                <w:lang w:eastAsia="en-US"/>
              </w:rPr>
              <w:t>6</w:t>
            </w:r>
          </w:p>
        </w:tc>
        <w:tc>
          <w:tcPr>
            <w:tcW w:w="1404" w:type="pct"/>
            <w:tcBorders>
              <w:top w:val="single" w:sz="2" w:space="0" w:color="auto"/>
              <w:left w:val="nil"/>
              <w:bottom w:val="single" w:sz="2" w:space="0" w:color="auto"/>
              <w:right w:val="nil"/>
            </w:tcBorders>
          </w:tcPr>
          <w:p w14:paraId="1C592CD4" w14:textId="77777777" w:rsidR="00C95873" w:rsidRDefault="00C95873" w:rsidP="00126A17">
            <w:pPr>
              <w:pStyle w:val="Tabletext"/>
              <w:rPr>
                <w:lang w:eastAsia="en-US"/>
              </w:rPr>
            </w:pPr>
            <w:r>
              <w:rPr>
                <w:lang w:eastAsia="en-US"/>
              </w:rPr>
              <w:t>2302 MHz to 2400 MHz</w:t>
            </w:r>
          </w:p>
        </w:tc>
        <w:tc>
          <w:tcPr>
            <w:tcW w:w="1713" w:type="pct"/>
            <w:tcBorders>
              <w:top w:val="single" w:sz="2" w:space="0" w:color="auto"/>
              <w:left w:val="nil"/>
              <w:bottom w:val="single" w:sz="2" w:space="0" w:color="auto"/>
              <w:right w:val="nil"/>
            </w:tcBorders>
          </w:tcPr>
          <w:p w14:paraId="2419922A" w14:textId="77777777" w:rsidR="00C95873" w:rsidRDefault="00C95873" w:rsidP="00126A17">
            <w:pPr>
              <w:pStyle w:val="Tabletext"/>
              <w:rPr>
                <w:lang w:eastAsia="en-US"/>
              </w:rPr>
            </w:pPr>
            <w:r>
              <w:rPr>
                <w:lang w:eastAsia="en-US"/>
              </w:rPr>
              <w:t>98 MHz</w:t>
            </w:r>
          </w:p>
        </w:tc>
        <w:tc>
          <w:tcPr>
            <w:tcW w:w="1275" w:type="pct"/>
            <w:tcBorders>
              <w:top w:val="single" w:sz="2" w:space="0" w:color="auto"/>
              <w:left w:val="nil"/>
              <w:bottom w:val="single" w:sz="2" w:space="0" w:color="auto"/>
              <w:right w:val="nil"/>
            </w:tcBorders>
          </w:tcPr>
          <w:p w14:paraId="0409243C" w14:textId="77777777" w:rsidR="00C95873" w:rsidRDefault="00C95873" w:rsidP="00126A17">
            <w:pPr>
              <w:pStyle w:val="Tabletext"/>
              <w:tabs>
                <w:tab w:val="left" w:pos="493"/>
              </w:tabs>
              <w:rPr>
                <w:lang w:eastAsia="en-US"/>
              </w:rPr>
            </w:pPr>
            <w:r>
              <w:rPr>
                <w:lang w:eastAsia="en-US"/>
              </w:rPr>
              <w:t>54,296</w:t>
            </w:r>
          </w:p>
        </w:tc>
      </w:tr>
      <w:tr w:rsidR="00C95873" w14:paraId="11251FD0" w14:textId="77777777" w:rsidTr="00126A17">
        <w:tc>
          <w:tcPr>
            <w:tcW w:w="608" w:type="pct"/>
            <w:tcBorders>
              <w:top w:val="single" w:sz="2" w:space="0" w:color="auto"/>
              <w:left w:val="nil"/>
              <w:bottom w:val="single" w:sz="2" w:space="0" w:color="auto"/>
              <w:right w:val="nil"/>
            </w:tcBorders>
          </w:tcPr>
          <w:p w14:paraId="7395025B" w14:textId="77777777" w:rsidR="00C95873" w:rsidRDefault="00C95873" w:rsidP="00126A17">
            <w:pPr>
              <w:pStyle w:val="Tabletext"/>
              <w:rPr>
                <w:i/>
                <w:iCs/>
                <w:lang w:eastAsia="en-US"/>
              </w:rPr>
            </w:pPr>
            <w:r>
              <w:rPr>
                <w:i/>
                <w:iCs/>
                <w:lang w:eastAsia="en-US"/>
              </w:rPr>
              <w:t>7</w:t>
            </w:r>
          </w:p>
        </w:tc>
        <w:tc>
          <w:tcPr>
            <w:tcW w:w="1404" w:type="pct"/>
            <w:tcBorders>
              <w:top w:val="single" w:sz="2" w:space="0" w:color="auto"/>
              <w:left w:val="nil"/>
              <w:bottom w:val="single" w:sz="2" w:space="0" w:color="auto"/>
              <w:right w:val="nil"/>
            </w:tcBorders>
          </w:tcPr>
          <w:p w14:paraId="368841B0" w14:textId="77777777" w:rsidR="00C95873" w:rsidRDefault="00C95873" w:rsidP="00126A17">
            <w:pPr>
              <w:pStyle w:val="Tabletext"/>
              <w:rPr>
                <w:lang w:eastAsia="en-US"/>
              </w:rPr>
            </w:pPr>
            <w:r>
              <w:rPr>
                <w:lang w:eastAsia="en-US"/>
              </w:rPr>
              <w:t>2500 MHz to 2570 MHz</w:t>
            </w:r>
          </w:p>
          <w:p w14:paraId="244CD4AE" w14:textId="77777777" w:rsidR="00C95873" w:rsidRDefault="00C95873" w:rsidP="00126A17">
            <w:pPr>
              <w:pStyle w:val="Tabletext"/>
              <w:rPr>
                <w:lang w:eastAsia="en-US"/>
              </w:rPr>
            </w:pPr>
            <w:r>
              <w:rPr>
                <w:lang w:eastAsia="en-US"/>
              </w:rPr>
              <w:t>2620 MHz to 2690 MHz</w:t>
            </w:r>
          </w:p>
        </w:tc>
        <w:tc>
          <w:tcPr>
            <w:tcW w:w="1713" w:type="pct"/>
            <w:tcBorders>
              <w:top w:val="single" w:sz="2" w:space="0" w:color="auto"/>
              <w:left w:val="nil"/>
              <w:bottom w:val="single" w:sz="2" w:space="0" w:color="auto"/>
              <w:right w:val="nil"/>
            </w:tcBorders>
          </w:tcPr>
          <w:p w14:paraId="3287E596" w14:textId="77777777" w:rsidR="00C95873" w:rsidRDefault="00C95873" w:rsidP="00126A17">
            <w:pPr>
              <w:pStyle w:val="Tabletext"/>
              <w:rPr>
                <w:lang w:eastAsia="en-US"/>
              </w:rPr>
            </w:pPr>
            <w:r>
              <w:rPr>
                <w:lang w:eastAsia="en-US"/>
              </w:rPr>
              <w:t>140 MHz</w:t>
            </w:r>
          </w:p>
        </w:tc>
        <w:tc>
          <w:tcPr>
            <w:tcW w:w="1275" w:type="pct"/>
            <w:tcBorders>
              <w:top w:val="single" w:sz="2" w:space="0" w:color="auto"/>
              <w:left w:val="nil"/>
              <w:bottom w:val="single" w:sz="2" w:space="0" w:color="auto"/>
              <w:right w:val="nil"/>
            </w:tcBorders>
          </w:tcPr>
          <w:p w14:paraId="227F852F" w14:textId="77777777" w:rsidR="00C95873" w:rsidRDefault="00C95873" w:rsidP="00126A17">
            <w:pPr>
              <w:pStyle w:val="Tabletext"/>
              <w:tabs>
                <w:tab w:val="left" w:pos="493"/>
              </w:tabs>
              <w:rPr>
                <w:lang w:eastAsia="en-US"/>
              </w:rPr>
            </w:pPr>
            <w:r>
              <w:rPr>
                <w:lang w:eastAsia="en-US"/>
              </w:rPr>
              <w:t>77,566</w:t>
            </w:r>
          </w:p>
        </w:tc>
      </w:tr>
      <w:tr w:rsidR="00C95873" w14:paraId="319E7D1C" w14:textId="77777777" w:rsidTr="00126A17">
        <w:tc>
          <w:tcPr>
            <w:tcW w:w="608" w:type="pct"/>
            <w:tcBorders>
              <w:top w:val="single" w:sz="2" w:space="0" w:color="auto"/>
              <w:left w:val="nil"/>
              <w:bottom w:val="single" w:sz="2" w:space="0" w:color="auto"/>
              <w:right w:val="nil"/>
            </w:tcBorders>
          </w:tcPr>
          <w:p w14:paraId="584229D4" w14:textId="77777777" w:rsidR="00C95873" w:rsidRDefault="00C95873" w:rsidP="00126A17">
            <w:pPr>
              <w:pStyle w:val="Tabletext"/>
              <w:rPr>
                <w:i/>
                <w:iCs/>
                <w:lang w:eastAsia="en-US"/>
              </w:rPr>
            </w:pPr>
            <w:r>
              <w:rPr>
                <w:i/>
                <w:iCs/>
                <w:lang w:eastAsia="en-US"/>
              </w:rPr>
              <w:t>8</w:t>
            </w:r>
          </w:p>
        </w:tc>
        <w:tc>
          <w:tcPr>
            <w:tcW w:w="1404" w:type="pct"/>
            <w:tcBorders>
              <w:top w:val="single" w:sz="2" w:space="0" w:color="auto"/>
              <w:left w:val="nil"/>
              <w:bottom w:val="single" w:sz="2" w:space="0" w:color="auto"/>
              <w:right w:val="nil"/>
            </w:tcBorders>
          </w:tcPr>
          <w:p w14:paraId="7D4B9DDA" w14:textId="77777777" w:rsidR="00C95873" w:rsidRDefault="00C95873" w:rsidP="00126A17">
            <w:pPr>
              <w:pStyle w:val="Tabletext"/>
              <w:rPr>
                <w:lang w:eastAsia="en-US"/>
              </w:rPr>
            </w:pPr>
            <w:r>
              <w:rPr>
                <w:lang w:eastAsia="en-US"/>
              </w:rPr>
              <w:t>2570 MHz to 2620 MHz</w:t>
            </w:r>
          </w:p>
        </w:tc>
        <w:tc>
          <w:tcPr>
            <w:tcW w:w="1713" w:type="pct"/>
            <w:tcBorders>
              <w:top w:val="single" w:sz="2" w:space="0" w:color="auto"/>
              <w:left w:val="nil"/>
              <w:bottom w:val="single" w:sz="2" w:space="0" w:color="auto"/>
              <w:right w:val="nil"/>
            </w:tcBorders>
          </w:tcPr>
          <w:p w14:paraId="58F3AD5A" w14:textId="77777777" w:rsidR="00C95873" w:rsidRDefault="00C95873" w:rsidP="00126A17">
            <w:pPr>
              <w:pStyle w:val="Tabletext"/>
              <w:rPr>
                <w:lang w:eastAsia="en-US"/>
              </w:rPr>
            </w:pPr>
            <w:r>
              <w:rPr>
                <w:lang w:eastAsia="en-US"/>
              </w:rPr>
              <w:t>50 MHz</w:t>
            </w:r>
          </w:p>
        </w:tc>
        <w:tc>
          <w:tcPr>
            <w:tcW w:w="1275" w:type="pct"/>
            <w:tcBorders>
              <w:top w:val="single" w:sz="2" w:space="0" w:color="auto"/>
              <w:left w:val="nil"/>
              <w:bottom w:val="single" w:sz="2" w:space="0" w:color="auto"/>
              <w:right w:val="nil"/>
            </w:tcBorders>
          </w:tcPr>
          <w:p w14:paraId="174E4AF6" w14:textId="77777777" w:rsidR="00C95873" w:rsidRDefault="00C95873" w:rsidP="00126A17">
            <w:pPr>
              <w:pStyle w:val="Tabletext"/>
              <w:tabs>
                <w:tab w:val="left" w:pos="493"/>
              </w:tabs>
              <w:rPr>
                <w:lang w:eastAsia="en-US"/>
              </w:rPr>
            </w:pPr>
            <w:r>
              <w:rPr>
                <w:lang w:eastAsia="en-US"/>
              </w:rPr>
              <w:t>27,702</w:t>
            </w:r>
          </w:p>
        </w:tc>
      </w:tr>
      <w:tr w:rsidR="00C95873" w14:paraId="4EECB528" w14:textId="77777777" w:rsidTr="00126A17">
        <w:tc>
          <w:tcPr>
            <w:tcW w:w="608" w:type="pct"/>
            <w:tcBorders>
              <w:top w:val="single" w:sz="2" w:space="0" w:color="auto"/>
              <w:left w:val="nil"/>
              <w:bottom w:val="single" w:sz="2" w:space="0" w:color="auto"/>
              <w:right w:val="nil"/>
            </w:tcBorders>
          </w:tcPr>
          <w:p w14:paraId="2832686D" w14:textId="77777777" w:rsidR="00C95873" w:rsidRDefault="00C95873" w:rsidP="00126A17">
            <w:pPr>
              <w:pStyle w:val="Tabletext"/>
              <w:rPr>
                <w:i/>
                <w:iCs/>
                <w:lang w:eastAsia="en-US"/>
              </w:rPr>
            </w:pPr>
            <w:r>
              <w:rPr>
                <w:i/>
                <w:iCs/>
                <w:lang w:eastAsia="en-US"/>
              </w:rPr>
              <w:t>9</w:t>
            </w:r>
          </w:p>
        </w:tc>
        <w:tc>
          <w:tcPr>
            <w:tcW w:w="1404" w:type="pct"/>
            <w:tcBorders>
              <w:top w:val="single" w:sz="2" w:space="0" w:color="auto"/>
              <w:left w:val="nil"/>
              <w:bottom w:val="single" w:sz="2" w:space="0" w:color="auto"/>
              <w:right w:val="nil"/>
            </w:tcBorders>
          </w:tcPr>
          <w:p w14:paraId="30DCDB7D" w14:textId="7877CFB3" w:rsidR="00C95873" w:rsidRDefault="00C95873" w:rsidP="00126A17">
            <w:pPr>
              <w:pStyle w:val="Tabletext"/>
              <w:rPr>
                <w:lang w:eastAsia="en-US"/>
              </w:rPr>
            </w:pPr>
            <w:r>
              <w:rPr>
                <w:lang w:eastAsia="en-US"/>
              </w:rPr>
              <w:t>3400 MHz to 3</w:t>
            </w:r>
            <w:r w:rsidR="00845AB9">
              <w:rPr>
                <w:lang w:eastAsia="en-US"/>
              </w:rPr>
              <w:t>8</w:t>
            </w:r>
            <w:r>
              <w:rPr>
                <w:lang w:eastAsia="en-US"/>
              </w:rPr>
              <w:t>00 MHz</w:t>
            </w:r>
          </w:p>
        </w:tc>
        <w:tc>
          <w:tcPr>
            <w:tcW w:w="1713" w:type="pct"/>
            <w:tcBorders>
              <w:top w:val="single" w:sz="2" w:space="0" w:color="auto"/>
              <w:left w:val="nil"/>
              <w:bottom w:val="single" w:sz="2" w:space="0" w:color="auto"/>
              <w:right w:val="nil"/>
            </w:tcBorders>
          </w:tcPr>
          <w:p w14:paraId="23DD259A" w14:textId="2767F0E0" w:rsidR="00C95873" w:rsidRDefault="00845AB9" w:rsidP="00126A17">
            <w:pPr>
              <w:pStyle w:val="Tabletext"/>
              <w:rPr>
                <w:lang w:eastAsia="en-US"/>
              </w:rPr>
            </w:pPr>
            <w:r>
              <w:rPr>
                <w:lang w:eastAsia="en-US"/>
              </w:rPr>
              <w:t>4</w:t>
            </w:r>
            <w:r w:rsidR="00C95873">
              <w:rPr>
                <w:lang w:eastAsia="en-US"/>
              </w:rPr>
              <w:t>00 MHz</w:t>
            </w:r>
          </w:p>
        </w:tc>
        <w:tc>
          <w:tcPr>
            <w:tcW w:w="1275" w:type="pct"/>
            <w:tcBorders>
              <w:top w:val="single" w:sz="2" w:space="0" w:color="auto"/>
              <w:left w:val="nil"/>
              <w:bottom w:val="single" w:sz="2" w:space="0" w:color="auto"/>
              <w:right w:val="nil"/>
            </w:tcBorders>
          </w:tcPr>
          <w:p w14:paraId="75F83A97" w14:textId="59909C1D" w:rsidR="00C95873" w:rsidRDefault="00845AB9" w:rsidP="00126A17">
            <w:pPr>
              <w:pStyle w:val="Tabletext"/>
              <w:tabs>
                <w:tab w:val="left" w:pos="493"/>
              </w:tabs>
              <w:rPr>
                <w:lang w:eastAsia="en-US"/>
              </w:rPr>
            </w:pPr>
            <w:r>
              <w:rPr>
                <w:lang w:eastAsia="en-US"/>
              </w:rPr>
              <w:t>221,376</w:t>
            </w:r>
          </w:p>
        </w:tc>
      </w:tr>
      <w:tr w:rsidR="00C95873" w14:paraId="6D9AC827" w14:textId="77777777" w:rsidTr="00126A17">
        <w:tc>
          <w:tcPr>
            <w:tcW w:w="608" w:type="pct"/>
            <w:tcBorders>
              <w:top w:val="single" w:sz="2" w:space="0" w:color="auto"/>
              <w:left w:val="nil"/>
              <w:bottom w:val="single" w:sz="2" w:space="0" w:color="auto"/>
              <w:right w:val="nil"/>
            </w:tcBorders>
          </w:tcPr>
          <w:p w14:paraId="69EE9493" w14:textId="77777777" w:rsidR="00C95873" w:rsidRDefault="00C95873" w:rsidP="00126A17">
            <w:pPr>
              <w:pStyle w:val="Tabletext"/>
              <w:rPr>
                <w:i/>
                <w:iCs/>
                <w:lang w:eastAsia="en-US"/>
              </w:rPr>
            </w:pPr>
            <w:r>
              <w:rPr>
                <w:i/>
                <w:iCs/>
                <w:lang w:eastAsia="en-US"/>
              </w:rPr>
              <w:t>10</w:t>
            </w:r>
          </w:p>
        </w:tc>
        <w:tc>
          <w:tcPr>
            <w:tcW w:w="1404" w:type="pct"/>
            <w:tcBorders>
              <w:top w:val="single" w:sz="2" w:space="0" w:color="auto"/>
              <w:left w:val="nil"/>
              <w:bottom w:val="single" w:sz="2" w:space="0" w:color="auto"/>
              <w:right w:val="nil"/>
            </w:tcBorders>
          </w:tcPr>
          <w:p w14:paraId="00C6AB77" w14:textId="77777777" w:rsidR="00C95873" w:rsidRDefault="00C95873" w:rsidP="00126A17">
            <w:pPr>
              <w:pStyle w:val="Tabletext"/>
              <w:rPr>
                <w:lang w:eastAsia="en-US"/>
              </w:rPr>
            </w:pPr>
            <w:r>
              <w:rPr>
                <w:lang w:eastAsia="en-US"/>
              </w:rPr>
              <w:t>20,200 MHz to 21,200 MHz</w:t>
            </w:r>
          </w:p>
          <w:p w14:paraId="60ACA276" w14:textId="77777777" w:rsidR="00C95873" w:rsidRDefault="00C95873" w:rsidP="00126A17">
            <w:pPr>
              <w:pStyle w:val="Tabletext"/>
              <w:rPr>
                <w:lang w:eastAsia="en-US"/>
              </w:rPr>
            </w:pPr>
            <w:r>
              <w:rPr>
                <w:lang w:eastAsia="en-US"/>
              </w:rPr>
              <w:t>30,000 MHz to 31,000 MHz</w:t>
            </w:r>
          </w:p>
        </w:tc>
        <w:tc>
          <w:tcPr>
            <w:tcW w:w="1713" w:type="pct"/>
            <w:tcBorders>
              <w:top w:val="single" w:sz="2" w:space="0" w:color="auto"/>
              <w:left w:val="nil"/>
              <w:bottom w:val="single" w:sz="2" w:space="0" w:color="auto"/>
              <w:right w:val="nil"/>
            </w:tcBorders>
          </w:tcPr>
          <w:p w14:paraId="59E1657A" w14:textId="77777777" w:rsidR="00C95873" w:rsidRDefault="00C95873" w:rsidP="00126A17">
            <w:pPr>
              <w:pStyle w:val="Tabletext"/>
              <w:rPr>
                <w:lang w:eastAsia="en-US"/>
              </w:rPr>
            </w:pPr>
            <w:r>
              <w:rPr>
                <w:lang w:eastAsia="en-US"/>
              </w:rPr>
              <w:t>2,000 MHz</w:t>
            </w:r>
          </w:p>
        </w:tc>
        <w:tc>
          <w:tcPr>
            <w:tcW w:w="1275" w:type="pct"/>
            <w:tcBorders>
              <w:top w:val="single" w:sz="2" w:space="0" w:color="auto"/>
              <w:left w:val="nil"/>
              <w:bottom w:val="single" w:sz="2" w:space="0" w:color="auto"/>
              <w:right w:val="nil"/>
            </w:tcBorders>
          </w:tcPr>
          <w:p w14:paraId="36FEF21B" w14:textId="77777777" w:rsidR="00C95873" w:rsidRDefault="00C95873" w:rsidP="00126A17">
            <w:pPr>
              <w:pStyle w:val="Tabletext"/>
              <w:tabs>
                <w:tab w:val="left" w:pos="493"/>
              </w:tabs>
              <w:rPr>
                <w:lang w:eastAsia="en-US"/>
              </w:rPr>
            </w:pPr>
            <w:r>
              <w:rPr>
                <w:lang w:eastAsia="en-US"/>
              </w:rPr>
              <w:t>42,257</w:t>
            </w:r>
          </w:p>
        </w:tc>
      </w:tr>
      <w:tr w:rsidR="00C95873" w14:paraId="0DA69773" w14:textId="77777777" w:rsidTr="00126A17">
        <w:tc>
          <w:tcPr>
            <w:tcW w:w="608" w:type="pct"/>
            <w:tcBorders>
              <w:top w:val="single" w:sz="2" w:space="0" w:color="auto"/>
              <w:left w:val="nil"/>
              <w:bottom w:val="single" w:sz="12" w:space="0" w:color="auto"/>
              <w:right w:val="nil"/>
            </w:tcBorders>
            <w:hideMark/>
          </w:tcPr>
          <w:p w14:paraId="65FD71E8" w14:textId="77777777" w:rsidR="00C95873" w:rsidRDefault="00C95873" w:rsidP="00126A17">
            <w:pPr>
              <w:pStyle w:val="Tabletext"/>
              <w:rPr>
                <w:i/>
                <w:iCs/>
                <w:lang w:eastAsia="en-US"/>
              </w:rPr>
            </w:pPr>
            <w:r>
              <w:rPr>
                <w:i/>
                <w:iCs/>
                <w:lang w:eastAsia="en-US"/>
              </w:rPr>
              <w:t>11</w:t>
            </w:r>
          </w:p>
        </w:tc>
        <w:tc>
          <w:tcPr>
            <w:tcW w:w="1404" w:type="pct"/>
            <w:tcBorders>
              <w:top w:val="single" w:sz="2" w:space="0" w:color="auto"/>
              <w:left w:val="nil"/>
              <w:bottom w:val="single" w:sz="12" w:space="0" w:color="auto"/>
              <w:right w:val="nil"/>
            </w:tcBorders>
          </w:tcPr>
          <w:p w14:paraId="4707C74B" w14:textId="77777777" w:rsidR="00C95873" w:rsidRDefault="00C95873" w:rsidP="00126A17">
            <w:pPr>
              <w:pStyle w:val="Tabletext"/>
              <w:rPr>
                <w:lang w:eastAsia="en-US"/>
              </w:rPr>
            </w:pPr>
            <w:r>
              <w:rPr>
                <w:lang w:eastAsia="en-US"/>
              </w:rPr>
              <w:t>25,100 MHz to 27,500 MHz</w:t>
            </w:r>
          </w:p>
        </w:tc>
        <w:tc>
          <w:tcPr>
            <w:tcW w:w="1713" w:type="pct"/>
            <w:tcBorders>
              <w:top w:val="single" w:sz="2" w:space="0" w:color="auto"/>
              <w:left w:val="nil"/>
              <w:bottom w:val="single" w:sz="12" w:space="0" w:color="auto"/>
              <w:right w:val="nil"/>
            </w:tcBorders>
          </w:tcPr>
          <w:p w14:paraId="1075654F" w14:textId="77777777" w:rsidR="00C95873" w:rsidRDefault="00C95873" w:rsidP="00126A17">
            <w:pPr>
              <w:pStyle w:val="Tabletext"/>
              <w:rPr>
                <w:lang w:eastAsia="en-US"/>
              </w:rPr>
            </w:pPr>
            <w:r>
              <w:rPr>
                <w:lang w:eastAsia="en-US"/>
              </w:rPr>
              <w:t>2,400 MHz</w:t>
            </w:r>
          </w:p>
        </w:tc>
        <w:tc>
          <w:tcPr>
            <w:tcW w:w="1275" w:type="pct"/>
            <w:tcBorders>
              <w:top w:val="single" w:sz="2" w:space="0" w:color="auto"/>
              <w:left w:val="nil"/>
              <w:bottom w:val="single" w:sz="12" w:space="0" w:color="auto"/>
              <w:right w:val="nil"/>
            </w:tcBorders>
          </w:tcPr>
          <w:p w14:paraId="02BC521B" w14:textId="77777777" w:rsidR="00C95873" w:rsidRDefault="00C95873" w:rsidP="00126A17">
            <w:pPr>
              <w:pStyle w:val="Tabletext"/>
              <w:tabs>
                <w:tab w:val="left" w:pos="493"/>
              </w:tabs>
              <w:rPr>
                <w:lang w:eastAsia="en-US"/>
              </w:rPr>
            </w:pPr>
            <w:r>
              <w:rPr>
                <w:lang w:eastAsia="en-US"/>
              </w:rPr>
              <w:t>50,708</w:t>
            </w:r>
          </w:p>
        </w:tc>
      </w:tr>
    </w:tbl>
    <w:p w14:paraId="4B0CCEC0" w14:textId="77777777" w:rsidR="00C95873" w:rsidRDefault="00C95873" w:rsidP="00C95873">
      <w:pPr>
        <w:pStyle w:val="notetext"/>
      </w:pPr>
      <w:r>
        <w:t>Note:</w:t>
      </w:r>
      <w:r>
        <w:tab/>
        <w:t>Each frequency band in column 1 comprises a part of the spectrum in which the ACMA has allocated or issued spectrum licences, or has made arrangements for the allocation and issue of spectrum licences.</w:t>
      </w:r>
    </w:p>
    <w:p w14:paraId="45648087" w14:textId="77777777" w:rsidR="00C95873" w:rsidRDefault="00C95873" w:rsidP="00C95873">
      <w:pPr>
        <w:pStyle w:val="subsection"/>
      </w:pPr>
      <w:r>
        <w:tab/>
        <w:t>(2)</w:t>
      </w:r>
      <w:r>
        <w:tab/>
        <w:t xml:space="preserve">In this Schedule, the </w:t>
      </w:r>
      <w:r>
        <w:rPr>
          <w:b/>
          <w:bCs/>
          <w:i/>
          <w:iCs/>
        </w:rPr>
        <w:t xml:space="preserve">SL bandwidth </w:t>
      </w:r>
      <w:r>
        <w:t>of a licensed frequency range, for a relevant frequency band, is the amount of spectrum (in MHz) in the licensed frequency range that falls within the relevant frequency band.</w:t>
      </w:r>
    </w:p>
    <w:p w14:paraId="3BA3A0A5" w14:textId="77777777" w:rsidR="00C95873" w:rsidRDefault="00C95873" w:rsidP="00C95873">
      <w:pPr>
        <w:pStyle w:val="ActHead5"/>
      </w:pPr>
      <w:r>
        <w:t>3  Calculating the Main Component for a spectrum licence</w:t>
      </w:r>
    </w:p>
    <w:p w14:paraId="0F56BF79" w14:textId="77777777" w:rsidR="00C95873" w:rsidRDefault="00C95873" w:rsidP="00C95873">
      <w:pPr>
        <w:pStyle w:val="subsection"/>
      </w:pPr>
      <w:r>
        <w:tab/>
        <w:t>(1)</w:t>
      </w:r>
      <w:r>
        <w:tab/>
        <w:t>Subject to subclauses (4) and (5), for:</w:t>
      </w:r>
    </w:p>
    <w:p w14:paraId="0DFC3D28" w14:textId="77777777" w:rsidR="00C95873" w:rsidRDefault="00C95873" w:rsidP="00C95873">
      <w:pPr>
        <w:pStyle w:val="paragraph"/>
      </w:pPr>
      <w:r>
        <w:tab/>
        <w:t>(a)</w:t>
      </w:r>
      <w:r>
        <w:tab/>
        <w:t xml:space="preserve">the tax imposed on the initial holding date for a spectrum licence; or </w:t>
      </w:r>
    </w:p>
    <w:p w14:paraId="20C2E3DA" w14:textId="77777777" w:rsidR="00C95873" w:rsidRDefault="00C95873" w:rsidP="00C95873">
      <w:pPr>
        <w:pStyle w:val="paragraph"/>
      </w:pPr>
      <w:r>
        <w:tab/>
        <w:t>(b)</w:t>
      </w:r>
      <w:r>
        <w:tab/>
        <w:t>the tax imposed on each anniversary of the initial holding date for a spectrum licence, other than the last anniversary for the licence;</w:t>
      </w:r>
    </w:p>
    <w:p w14:paraId="6FABDE23" w14:textId="77777777" w:rsidR="00C95873" w:rsidRDefault="00C95873" w:rsidP="00C95873">
      <w:pPr>
        <w:pStyle w:val="subsection"/>
        <w:spacing w:before="60" w:after="120"/>
      </w:pPr>
      <w:r>
        <w:tab/>
      </w:r>
      <w:r>
        <w:tab/>
        <w:t>the Main Component for the licence is calculated by following Step 1A, Step 2 and Step 3 in subclause (3).</w:t>
      </w:r>
    </w:p>
    <w:p w14:paraId="2F75CA8B" w14:textId="77777777" w:rsidR="00C95873" w:rsidRDefault="00C95873" w:rsidP="00C95873">
      <w:pPr>
        <w:pStyle w:val="subsection"/>
      </w:pPr>
      <w:r>
        <w:tab/>
        <w:t>(2)</w:t>
      </w:r>
      <w:r>
        <w:tab/>
        <w:t>Subject to subclauses (4) and (5), for the tax imposed on the last anniversary for the spectrum licence, the Main Component for the licence is calculated by following Step 1B, Step 2 and Step 3 in subclause (3).</w:t>
      </w:r>
    </w:p>
    <w:p w14:paraId="54E80AA4" w14:textId="77777777" w:rsidR="00C95873" w:rsidRDefault="00C95873" w:rsidP="00C95873">
      <w:pPr>
        <w:pStyle w:val="subsection"/>
        <w:spacing w:before="60" w:after="120"/>
      </w:pPr>
      <w:r>
        <w:tab/>
        <w:t>(3)</w:t>
      </w:r>
      <w:r>
        <w:tab/>
        <w:t>The steps for calculating the Main Component for a spectrum licence are:</w:t>
      </w:r>
    </w:p>
    <w:p w14:paraId="64ED0EBE" w14:textId="77777777" w:rsidR="00C95873" w:rsidRPr="00BC43FE" w:rsidRDefault="00C95873" w:rsidP="00C95873">
      <w:pPr>
        <w:pStyle w:val="subsection"/>
        <w:spacing w:before="60" w:after="120"/>
        <w:rPr>
          <w:b/>
          <w:bCs/>
        </w:rPr>
      </w:pPr>
      <w:r>
        <w:tab/>
      </w:r>
      <w:r>
        <w:tab/>
      </w:r>
      <w:r>
        <w:rPr>
          <w:b/>
          <w:bCs/>
        </w:rPr>
        <w:t>Step 1A</w:t>
      </w:r>
    </w:p>
    <w:p w14:paraId="755B6EB4" w14:textId="77777777" w:rsidR="00C95873" w:rsidRDefault="00C95873" w:rsidP="00C95873">
      <w:pPr>
        <w:pStyle w:val="subsection"/>
        <w:spacing w:before="60"/>
      </w:pPr>
      <w:r w:rsidRPr="00BC43FE">
        <w:tab/>
      </w:r>
      <w:r w:rsidRPr="00BC43FE">
        <w:tab/>
        <w:t xml:space="preserve">For </w:t>
      </w:r>
      <w:r>
        <w:t>each relevant frequency band for the licence, identify:</w:t>
      </w:r>
    </w:p>
    <w:p w14:paraId="4FB2EDDE" w14:textId="77777777" w:rsidR="00C95873" w:rsidRDefault="00C95873" w:rsidP="00C95873">
      <w:pPr>
        <w:pStyle w:val="paragraph"/>
      </w:pPr>
      <w:r>
        <w:tab/>
        <w:t>(a)</w:t>
      </w:r>
      <w:r>
        <w:tab/>
        <w:t xml:space="preserve">each licensed frequency range that falls within the relevant frequency band; and </w:t>
      </w:r>
    </w:p>
    <w:p w14:paraId="1E5C4EDE" w14:textId="77777777" w:rsidR="00C95873" w:rsidRDefault="00C95873" w:rsidP="00C95873">
      <w:pPr>
        <w:pStyle w:val="paragraph"/>
      </w:pPr>
      <w:r>
        <w:lastRenderedPageBreak/>
        <w:tab/>
        <w:t>(b)</w:t>
      </w:r>
      <w:r>
        <w:tab/>
        <w:t>the geographic area (</w:t>
      </w:r>
      <w:r w:rsidRPr="00746538">
        <w:rPr>
          <w:b/>
          <w:bCs/>
          <w:i/>
          <w:iCs/>
        </w:rPr>
        <w:t>GA</w:t>
      </w:r>
      <w:r>
        <w:t>) for each licensed frequency range identified in paragraph (a); and</w:t>
      </w:r>
    </w:p>
    <w:p w14:paraId="564A5FBB" w14:textId="77777777" w:rsidR="00C95873" w:rsidRDefault="00C95873" w:rsidP="00C95873">
      <w:pPr>
        <w:pStyle w:val="paragraph"/>
      </w:pPr>
      <w:r>
        <w:tab/>
        <w:t>(c)</w:t>
      </w:r>
      <w:r>
        <w:tab/>
        <w:t>the base amount for that relevant frequency band (</w:t>
      </w:r>
      <w:r w:rsidRPr="005F2426">
        <w:rPr>
          <w:b/>
          <w:bCs/>
          <w:i/>
          <w:iCs/>
        </w:rPr>
        <w:t>corresponding base amount</w:t>
      </w:r>
      <w:r>
        <w:t>); and</w:t>
      </w:r>
    </w:p>
    <w:p w14:paraId="7E4774E7" w14:textId="77777777" w:rsidR="00C95873" w:rsidRDefault="00C95873" w:rsidP="00C95873">
      <w:pPr>
        <w:pStyle w:val="subsection"/>
        <w:keepNext/>
        <w:spacing w:before="60" w:after="120"/>
      </w:pPr>
      <w:r>
        <w:tab/>
      </w:r>
      <w:r>
        <w:tab/>
        <w:t>for each licensed frequency range identified in paragraph (a), multiply the corresponding base amount by:</w:t>
      </w:r>
    </w:p>
    <w:p w14:paraId="165CB84F" w14:textId="5D47B6F2" w:rsidR="00C95873" w:rsidRPr="008D1CF0" w:rsidRDefault="000675CB" w:rsidP="000675CB">
      <w:pPr>
        <w:pStyle w:val="subsection"/>
        <w:spacing w:before="60"/>
        <w:ind w:hanging="141"/>
        <w:rPr>
          <w:sz w:val="20"/>
          <w:szCs w:val="18"/>
        </w:rPr>
      </w:pPr>
      <w:r>
        <w:rPr>
          <w:noProof/>
        </w:rPr>
        <w:drawing>
          <wp:inline distT="0" distB="0" distL="0" distR="0" wp14:anchorId="23424F76" wp14:editId="4F93E59A">
            <wp:extent cx="5019675" cy="428625"/>
            <wp:effectExtent l="0" t="0" r="9525" b="9525"/>
            <wp:docPr id="2" name="Picture 2" descr="Start formula start fraction area population for GA over Australian population end fraction times start fraction SL bandwidth for the licenced frequency range over total specified spectrum for the relevant frequency ba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area population for GA over Australian population end fraction times start fraction SL bandwidth for the licenced frequency range over total specified spectrum for the relevant frequency band end fraction end formula"/>
                    <pic:cNvPicPr/>
                  </pic:nvPicPr>
                  <pic:blipFill>
                    <a:blip r:embed="rId18"/>
                    <a:stretch>
                      <a:fillRect/>
                    </a:stretch>
                  </pic:blipFill>
                  <pic:spPr>
                    <a:xfrm>
                      <a:off x="0" y="0"/>
                      <a:ext cx="5019675" cy="428625"/>
                    </a:xfrm>
                    <a:prstGeom prst="rect">
                      <a:avLst/>
                    </a:prstGeom>
                  </pic:spPr>
                </pic:pic>
              </a:graphicData>
            </a:graphic>
          </wp:inline>
        </w:drawing>
      </w:r>
    </w:p>
    <w:p w14:paraId="7E1761DF" w14:textId="77777777" w:rsidR="00C95873" w:rsidRPr="00BC43FE" w:rsidRDefault="00C95873" w:rsidP="00C95873">
      <w:pPr>
        <w:pStyle w:val="subsection"/>
        <w:spacing w:before="120" w:after="120"/>
        <w:rPr>
          <w:b/>
          <w:bCs/>
        </w:rPr>
      </w:pPr>
      <w:r>
        <w:tab/>
      </w:r>
      <w:r>
        <w:tab/>
      </w:r>
      <w:r>
        <w:rPr>
          <w:b/>
          <w:bCs/>
        </w:rPr>
        <w:t>Step 1B</w:t>
      </w:r>
    </w:p>
    <w:p w14:paraId="6212AA89" w14:textId="77777777" w:rsidR="00C95873" w:rsidRDefault="00C95873" w:rsidP="00C95873">
      <w:pPr>
        <w:pStyle w:val="subsection"/>
        <w:spacing w:before="60"/>
      </w:pPr>
      <w:r w:rsidRPr="00BC43FE">
        <w:tab/>
      </w:r>
      <w:r w:rsidRPr="00BC43FE">
        <w:tab/>
        <w:t xml:space="preserve">For </w:t>
      </w:r>
      <w:r>
        <w:t>each relevant frequency band for the licence,</w:t>
      </w:r>
      <w:r w:rsidRPr="00C903F9">
        <w:t xml:space="preserve"> </w:t>
      </w:r>
      <w:r>
        <w:t>identify:</w:t>
      </w:r>
    </w:p>
    <w:p w14:paraId="012533CC" w14:textId="77777777" w:rsidR="00C95873" w:rsidRDefault="00C95873" w:rsidP="00C95873">
      <w:pPr>
        <w:pStyle w:val="paragraph"/>
      </w:pPr>
      <w:r>
        <w:tab/>
        <w:t>(a)</w:t>
      </w:r>
      <w:r>
        <w:tab/>
        <w:t xml:space="preserve">each licensed frequency range that falls within the relevant frequency band; and </w:t>
      </w:r>
    </w:p>
    <w:p w14:paraId="0B40CD6A" w14:textId="77777777" w:rsidR="00C95873" w:rsidRDefault="00C95873" w:rsidP="00C95873">
      <w:pPr>
        <w:pStyle w:val="paragraph"/>
      </w:pPr>
      <w:r>
        <w:tab/>
        <w:t>(b)</w:t>
      </w:r>
      <w:r>
        <w:tab/>
        <w:t>each geographic area (</w:t>
      </w:r>
      <w:r w:rsidRPr="00746538">
        <w:rPr>
          <w:b/>
          <w:bCs/>
          <w:i/>
          <w:iCs/>
        </w:rPr>
        <w:t>GA</w:t>
      </w:r>
      <w:r>
        <w:t>) for each licensed frequency range identified in paragraph (a); and</w:t>
      </w:r>
    </w:p>
    <w:p w14:paraId="501506BE" w14:textId="77777777" w:rsidR="00C95873" w:rsidRDefault="00C95873" w:rsidP="00C95873">
      <w:pPr>
        <w:pStyle w:val="paragraph"/>
      </w:pPr>
      <w:r>
        <w:tab/>
        <w:t>(c)</w:t>
      </w:r>
      <w:r>
        <w:tab/>
        <w:t>the base amount for that relevant frequency band (</w:t>
      </w:r>
      <w:r w:rsidRPr="005F2426">
        <w:rPr>
          <w:b/>
          <w:bCs/>
          <w:i/>
          <w:iCs/>
        </w:rPr>
        <w:t>corresponding base amount</w:t>
      </w:r>
      <w:r>
        <w:t>); and</w:t>
      </w:r>
    </w:p>
    <w:p w14:paraId="51B084F2" w14:textId="77777777" w:rsidR="00C95873" w:rsidRPr="00BC43FE" w:rsidRDefault="00C95873" w:rsidP="00C95873">
      <w:pPr>
        <w:pStyle w:val="subsection"/>
        <w:spacing w:before="60" w:after="120"/>
      </w:pPr>
      <w:r>
        <w:tab/>
      </w:r>
      <w:r>
        <w:tab/>
        <w:t>for each licensed frequency range identified in paragraph (a), multiply the corresponding base amount by:</w:t>
      </w:r>
    </w:p>
    <w:p w14:paraId="3E44A48C" w14:textId="75EFFFAE" w:rsidR="00DB4032" w:rsidRDefault="00DB4032" w:rsidP="00DB4032">
      <w:pPr>
        <w:pStyle w:val="subsection"/>
        <w:spacing w:before="60" w:after="120"/>
        <w:ind w:hanging="141"/>
      </w:pPr>
      <w:r w:rsidRPr="00DB4032">
        <w:rPr>
          <w:noProof/>
        </w:rPr>
        <w:drawing>
          <wp:inline distT="0" distB="0" distL="0" distR="0" wp14:anchorId="154A67E0" wp14:editId="7913A995">
            <wp:extent cx="5057775" cy="666750"/>
            <wp:effectExtent l="0" t="0" r="9525" b="0"/>
            <wp:docPr id="3" name="Picture 3" descr="Start formula start fraction area population for GA over Australian population end fraction times start fraction SL bandwidth for the licensed frequency range over total specified spectrum for the relevant frequency band end fraction times open fraction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area population for GA over Australian population end fraction times start fraction SL bandwidth for the licensed frequency range over total specified spectrum for the relevant frequency band end fraction times open fraction days over 365 end fraction end formula"/>
                    <pic:cNvPicPr/>
                  </pic:nvPicPr>
                  <pic:blipFill>
                    <a:blip r:embed="rId19"/>
                    <a:stretch>
                      <a:fillRect/>
                    </a:stretch>
                  </pic:blipFill>
                  <pic:spPr>
                    <a:xfrm>
                      <a:off x="0" y="0"/>
                      <a:ext cx="5057775" cy="666750"/>
                    </a:xfrm>
                    <a:prstGeom prst="rect">
                      <a:avLst/>
                    </a:prstGeom>
                  </pic:spPr>
                </pic:pic>
              </a:graphicData>
            </a:graphic>
          </wp:inline>
        </w:drawing>
      </w:r>
    </w:p>
    <w:p w14:paraId="386BFE80" w14:textId="3EF7AA14" w:rsidR="00C95873" w:rsidRDefault="00C95873" w:rsidP="00C95873">
      <w:pPr>
        <w:pStyle w:val="subsection"/>
        <w:spacing w:before="60" w:after="120"/>
      </w:pPr>
      <w:r>
        <w:tab/>
      </w:r>
      <w:r>
        <w:tab/>
        <w:t xml:space="preserve">where </w:t>
      </w:r>
      <w:r>
        <w:rPr>
          <w:b/>
          <w:bCs/>
          <w:i/>
          <w:iCs/>
        </w:rPr>
        <w:t>days</w:t>
      </w:r>
      <w:r>
        <w:t xml:space="preserve"> means the number of days in the period:</w:t>
      </w:r>
    </w:p>
    <w:p w14:paraId="220F4619" w14:textId="77777777" w:rsidR="00C95873" w:rsidRDefault="00C95873" w:rsidP="00C95873">
      <w:pPr>
        <w:pStyle w:val="paragraph"/>
      </w:pPr>
      <w:r>
        <w:tab/>
        <w:t>(d)</w:t>
      </w:r>
      <w:r>
        <w:tab/>
        <w:t>starting on the last anniversary for the licence; and</w:t>
      </w:r>
    </w:p>
    <w:p w14:paraId="3F00FF81" w14:textId="77777777" w:rsidR="00C95873" w:rsidRPr="00A519DB" w:rsidRDefault="00C95873" w:rsidP="00C95873">
      <w:pPr>
        <w:pStyle w:val="paragraph"/>
      </w:pPr>
      <w:r>
        <w:tab/>
        <w:t>(e)</w:t>
      </w:r>
      <w:r>
        <w:tab/>
        <w:t>ending on the expiry date for the licence.</w:t>
      </w:r>
    </w:p>
    <w:p w14:paraId="2456CA36" w14:textId="77777777" w:rsidR="00C95873" w:rsidRPr="00BC43FE" w:rsidRDefault="00C95873" w:rsidP="00C95873">
      <w:pPr>
        <w:pStyle w:val="subsection"/>
        <w:spacing w:before="120" w:after="120"/>
        <w:rPr>
          <w:b/>
          <w:bCs/>
        </w:rPr>
      </w:pPr>
      <w:r>
        <w:tab/>
      </w:r>
      <w:r>
        <w:tab/>
      </w:r>
      <w:r>
        <w:rPr>
          <w:b/>
          <w:bCs/>
        </w:rPr>
        <w:t>Step 2</w:t>
      </w:r>
    </w:p>
    <w:p w14:paraId="309844FF" w14:textId="77777777" w:rsidR="00C95873" w:rsidRDefault="00C95873" w:rsidP="00C95873">
      <w:pPr>
        <w:pStyle w:val="subsection"/>
        <w:spacing w:before="60"/>
      </w:pPr>
      <w:r w:rsidRPr="00BC43FE">
        <w:tab/>
      </w:r>
      <w:r w:rsidRPr="00BC43FE">
        <w:tab/>
      </w:r>
      <w:r>
        <w:t>Add together all the amounts worked out in Step 1A or Step 1B. If the result is not a whole dollar amount:</w:t>
      </w:r>
    </w:p>
    <w:p w14:paraId="5C9BBA22" w14:textId="77777777" w:rsidR="00C95873" w:rsidRDefault="00C95873" w:rsidP="00C95873">
      <w:pPr>
        <w:pStyle w:val="paragraph"/>
      </w:pPr>
      <w:r>
        <w:tab/>
        <w:t>(a)</w:t>
      </w:r>
      <w:r>
        <w:tab/>
        <w:t>if the result ends in an amount less than 50 cents – round down to the next dollar;</w:t>
      </w:r>
    </w:p>
    <w:p w14:paraId="5D409FD6" w14:textId="77777777" w:rsidR="00C95873" w:rsidRDefault="00C95873" w:rsidP="00C95873">
      <w:pPr>
        <w:pStyle w:val="paragraph"/>
      </w:pPr>
      <w:r>
        <w:tab/>
        <w:t>(b)</w:t>
      </w:r>
      <w:r>
        <w:tab/>
        <w:t>otherwise – round up to the next dollar.</w:t>
      </w:r>
    </w:p>
    <w:p w14:paraId="1340CDC1" w14:textId="77777777" w:rsidR="00C95873" w:rsidRDefault="00C95873" w:rsidP="00C95873">
      <w:pPr>
        <w:pStyle w:val="notetext"/>
      </w:pPr>
      <w:r>
        <w:t>Note:</w:t>
      </w:r>
      <w:r>
        <w:tab/>
        <w:t>Step 2 may be substituted by subclause (4).</w:t>
      </w:r>
    </w:p>
    <w:p w14:paraId="38222601" w14:textId="77777777" w:rsidR="00C95873" w:rsidRPr="000E20FB" w:rsidRDefault="00C95873" w:rsidP="00C95873">
      <w:pPr>
        <w:pStyle w:val="subsection"/>
        <w:spacing w:before="120" w:after="120"/>
        <w:rPr>
          <w:b/>
          <w:bCs/>
        </w:rPr>
      </w:pPr>
      <w:r>
        <w:tab/>
      </w:r>
      <w:r>
        <w:tab/>
      </w:r>
      <w:r w:rsidRPr="000E20FB">
        <w:rPr>
          <w:b/>
          <w:bCs/>
        </w:rPr>
        <w:t xml:space="preserve">Step </w:t>
      </w:r>
      <w:r>
        <w:rPr>
          <w:b/>
          <w:bCs/>
        </w:rPr>
        <w:t>3</w:t>
      </w:r>
    </w:p>
    <w:p w14:paraId="1118B362" w14:textId="77777777" w:rsidR="00C95873" w:rsidRDefault="00C95873" w:rsidP="00C95873">
      <w:pPr>
        <w:pStyle w:val="subsection"/>
        <w:spacing w:before="60"/>
      </w:pPr>
      <w:r>
        <w:tab/>
      </w:r>
      <w:r>
        <w:tab/>
        <w:t xml:space="preserve">The </w:t>
      </w:r>
      <w:r w:rsidRPr="0072693C">
        <w:rPr>
          <w:b/>
          <w:bCs/>
          <w:i/>
          <w:iCs/>
        </w:rPr>
        <w:t>Main Component</w:t>
      </w:r>
      <w:r>
        <w:t xml:space="preserve"> for the licence is the greater of:</w:t>
      </w:r>
    </w:p>
    <w:p w14:paraId="7BA660DC" w14:textId="77777777" w:rsidR="00C95873" w:rsidRDefault="00C95873" w:rsidP="00C95873">
      <w:pPr>
        <w:pStyle w:val="paragraph"/>
      </w:pPr>
      <w:r>
        <w:tab/>
        <w:t>(a)</w:t>
      </w:r>
      <w:r>
        <w:tab/>
        <w:t>the amount worked out in Step 2; and</w:t>
      </w:r>
    </w:p>
    <w:p w14:paraId="38DEC2D8" w14:textId="77777777" w:rsidR="00C95873" w:rsidRDefault="00C95873" w:rsidP="00C95873">
      <w:pPr>
        <w:pStyle w:val="paragraph"/>
      </w:pPr>
      <w:r>
        <w:tab/>
        <w:t>(b)</w:t>
      </w:r>
      <w:r>
        <w:tab/>
        <w:t>$7.</w:t>
      </w:r>
    </w:p>
    <w:p w14:paraId="54E5BA19" w14:textId="77777777" w:rsidR="00C95873" w:rsidRDefault="00C95873" w:rsidP="00C95873">
      <w:pPr>
        <w:pStyle w:val="subsection"/>
      </w:pPr>
      <w:r>
        <w:tab/>
        <w:t>(4)</w:t>
      </w:r>
      <w:r>
        <w:tab/>
        <w:t>If a spectrum licence authorises the use of spectrum in either of the following frequency bands:</w:t>
      </w:r>
    </w:p>
    <w:p w14:paraId="0C2144ED" w14:textId="77777777" w:rsidR="00C95873" w:rsidRDefault="00C95873" w:rsidP="00C95873">
      <w:pPr>
        <w:pStyle w:val="paragraph"/>
      </w:pPr>
      <w:r>
        <w:tab/>
        <w:t>(a)</w:t>
      </w:r>
      <w:r>
        <w:tab/>
        <w:t>2570 MHz to 2585 MHz;</w:t>
      </w:r>
    </w:p>
    <w:p w14:paraId="735DE487" w14:textId="77777777" w:rsidR="00C95873" w:rsidRDefault="00C95873" w:rsidP="00C95873">
      <w:pPr>
        <w:pStyle w:val="paragraph"/>
      </w:pPr>
      <w:r>
        <w:tab/>
        <w:t>(b)</w:t>
      </w:r>
      <w:r>
        <w:tab/>
        <w:t>2605 MHz to 2620 MHz;</w:t>
      </w:r>
    </w:p>
    <w:p w14:paraId="7415043A" w14:textId="77777777" w:rsidR="00C95873" w:rsidRDefault="00C95873" w:rsidP="00C95873">
      <w:pPr>
        <w:pStyle w:val="subsection"/>
        <w:spacing w:before="60"/>
      </w:pPr>
      <w:r>
        <w:tab/>
      </w:r>
      <w:r>
        <w:tab/>
        <w:t>then, instead of Step 2 in subclause (3), use the following Step 2:</w:t>
      </w:r>
    </w:p>
    <w:p w14:paraId="65502891" w14:textId="77777777" w:rsidR="00C95873" w:rsidRPr="00BC43FE" w:rsidRDefault="00C95873" w:rsidP="00C95873">
      <w:pPr>
        <w:pStyle w:val="subsection"/>
        <w:spacing w:before="120" w:after="120"/>
        <w:rPr>
          <w:b/>
          <w:bCs/>
        </w:rPr>
      </w:pPr>
      <w:r>
        <w:tab/>
      </w:r>
      <w:r>
        <w:tab/>
      </w:r>
      <w:r>
        <w:rPr>
          <w:b/>
          <w:bCs/>
        </w:rPr>
        <w:t>Step 2</w:t>
      </w:r>
    </w:p>
    <w:p w14:paraId="4F313A7C" w14:textId="77777777" w:rsidR="00C95873" w:rsidRDefault="00C95873" w:rsidP="00C95873">
      <w:pPr>
        <w:pStyle w:val="subsection"/>
        <w:spacing w:before="60"/>
      </w:pPr>
      <w:r w:rsidRPr="00BC43FE">
        <w:tab/>
      </w:r>
      <w:r w:rsidRPr="00BC43FE">
        <w:tab/>
      </w:r>
      <w:r>
        <w:t>Add together all the amounts worked out in Step 1A or Step 1B, and reduce the result by one third (</w:t>
      </w:r>
      <w:r w:rsidRPr="00C511CA">
        <w:rPr>
          <w:b/>
          <w:bCs/>
          <w:i/>
          <w:iCs/>
        </w:rPr>
        <w:t>discounted result</w:t>
      </w:r>
      <w:r>
        <w:t>). If the discounted result is not a whole dollar amount:</w:t>
      </w:r>
    </w:p>
    <w:p w14:paraId="2E9D91E5" w14:textId="77777777" w:rsidR="00C95873" w:rsidRDefault="00C95873" w:rsidP="00C95873">
      <w:pPr>
        <w:pStyle w:val="paragraph"/>
      </w:pPr>
      <w:r>
        <w:tab/>
        <w:t>(a)</w:t>
      </w:r>
      <w:r>
        <w:tab/>
        <w:t>if the discounted result ends in an amount less than 50 cents – round down to the next dollar;</w:t>
      </w:r>
    </w:p>
    <w:p w14:paraId="6DF2D8C7" w14:textId="77777777" w:rsidR="00C95873" w:rsidRDefault="00C95873" w:rsidP="00C95873">
      <w:pPr>
        <w:pStyle w:val="paragraph"/>
      </w:pPr>
      <w:r>
        <w:lastRenderedPageBreak/>
        <w:tab/>
        <w:t>(b)</w:t>
      </w:r>
      <w:r>
        <w:tab/>
        <w:t>otherwise – round up to the next dollar.</w:t>
      </w:r>
    </w:p>
    <w:p w14:paraId="18733B4A" w14:textId="77777777" w:rsidR="00C95873" w:rsidRDefault="00C95873" w:rsidP="00C95873">
      <w:pPr>
        <w:pStyle w:val="subsection"/>
        <w:keepNext/>
        <w:spacing w:before="60"/>
      </w:pPr>
      <w:r>
        <w:tab/>
        <w:t>(5)</w:t>
      </w:r>
      <w:r>
        <w:tab/>
        <w:t>Despite anything else in this clause, if a spectrum licence authorises the use of spectrum in both of the following frequency bands:</w:t>
      </w:r>
    </w:p>
    <w:p w14:paraId="17B63611" w14:textId="77777777" w:rsidR="00C95873" w:rsidRDefault="00C95873" w:rsidP="00C95873">
      <w:pPr>
        <w:pStyle w:val="paragraph"/>
        <w:keepNext/>
      </w:pPr>
      <w:r>
        <w:tab/>
        <w:t>(a)</w:t>
      </w:r>
      <w:r>
        <w:tab/>
        <w:t>824 MHz to 825 MHz;</w:t>
      </w:r>
    </w:p>
    <w:p w14:paraId="4444D5C9" w14:textId="77777777" w:rsidR="00C95873" w:rsidRDefault="00C95873" w:rsidP="00C95873">
      <w:pPr>
        <w:pStyle w:val="paragraph"/>
        <w:keepNext/>
      </w:pPr>
      <w:r>
        <w:tab/>
        <w:t>(b)</w:t>
      </w:r>
      <w:r>
        <w:tab/>
        <w:t>869 MHz to 870 MHz;</w:t>
      </w:r>
    </w:p>
    <w:p w14:paraId="1FCA4EEC" w14:textId="77777777" w:rsidR="00C95873" w:rsidRDefault="00C95873" w:rsidP="00C95873">
      <w:pPr>
        <w:pStyle w:val="subsection"/>
        <w:spacing w:before="60"/>
      </w:pPr>
      <w:r>
        <w:tab/>
      </w:r>
      <w:r>
        <w:tab/>
        <w:t xml:space="preserve">and in no other part of the spectrum, the </w:t>
      </w:r>
      <w:r>
        <w:rPr>
          <w:b/>
          <w:bCs/>
          <w:i/>
          <w:iCs/>
        </w:rPr>
        <w:t>Main Component</w:t>
      </w:r>
      <w:r>
        <w:t xml:space="preserve"> for the licence is $7.</w:t>
      </w:r>
    </w:p>
    <w:p w14:paraId="2F42717A" w14:textId="77777777" w:rsidR="00C95873" w:rsidRDefault="00C95873" w:rsidP="00C95873">
      <w:pPr>
        <w:pStyle w:val="subsection"/>
      </w:pPr>
    </w:p>
    <w:p w14:paraId="23082293" w14:textId="77777777" w:rsidR="00C95873" w:rsidRDefault="00C95873" w:rsidP="00C95873">
      <w:pPr>
        <w:pStyle w:val="subsection"/>
        <w:sectPr w:rsidR="00C95873">
          <w:headerReference w:type="default" r:id="rId20"/>
          <w:pgSz w:w="11906" w:h="16838"/>
          <w:pgMar w:top="1440" w:right="1440" w:bottom="1440" w:left="1440" w:header="708" w:footer="708" w:gutter="0"/>
          <w:cols w:space="720"/>
        </w:sectPr>
      </w:pPr>
    </w:p>
    <w:p w14:paraId="0A231F4C" w14:textId="77777777" w:rsidR="00C95873" w:rsidRDefault="00C95873" w:rsidP="00C95873">
      <w:pPr>
        <w:pStyle w:val="ActHead5"/>
        <w:spacing w:before="0"/>
        <w:ind w:left="0" w:firstLine="0"/>
        <w:rPr>
          <w:rStyle w:val="CharSectno"/>
          <w:sz w:val="32"/>
          <w:szCs w:val="32"/>
        </w:rPr>
      </w:pPr>
      <w:r>
        <w:rPr>
          <w:rStyle w:val="CharSectno"/>
          <w:sz w:val="32"/>
          <w:szCs w:val="32"/>
        </w:rPr>
        <w:lastRenderedPageBreak/>
        <w:t>Schedule 2 – EME Component</w:t>
      </w:r>
    </w:p>
    <w:p w14:paraId="00745B70" w14:textId="77777777" w:rsidR="00C95873" w:rsidRPr="006F0DE2" w:rsidRDefault="00C95873" w:rsidP="00C95873">
      <w:pPr>
        <w:pStyle w:val="subsection"/>
        <w:spacing w:before="0"/>
        <w:ind w:firstLine="426"/>
        <w:rPr>
          <w:sz w:val="18"/>
          <w:szCs w:val="16"/>
        </w:rPr>
      </w:pPr>
      <w:r>
        <w:rPr>
          <w:sz w:val="18"/>
          <w:szCs w:val="16"/>
        </w:rPr>
        <w:t>(section 5)</w:t>
      </w:r>
    </w:p>
    <w:p w14:paraId="0AE48D57" w14:textId="77777777" w:rsidR="00C95873" w:rsidRDefault="00C95873" w:rsidP="00C95873">
      <w:pPr>
        <w:pStyle w:val="ActHead5"/>
      </w:pPr>
      <w:r>
        <w:t>1  Definitions</w:t>
      </w:r>
    </w:p>
    <w:p w14:paraId="7D0EF82D" w14:textId="77777777" w:rsidR="00C95873" w:rsidRDefault="00C95873" w:rsidP="00C95873">
      <w:pPr>
        <w:pStyle w:val="subsection"/>
      </w:pPr>
      <w:r>
        <w:tab/>
      </w:r>
      <w:r>
        <w:tab/>
        <w:t>In this Schedule:</w:t>
      </w:r>
    </w:p>
    <w:p w14:paraId="4253DD2E" w14:textId="77777777" w:rsidR="00C95873" w:rsidRDefault="00C95873" w:rsidP="00C95873">
      <w:pPr>
        <w:pStyle w:val="Definition"/>
        <w:rPr>
          <w:bCs/>
          <w:iCs/>
        </w:rPr>
      </w:pPr>
      <w:r>
        <w:rPr>
          <w:b/>
          <w:i/>
        </w:rPr>
        <w:t>MCL</w:t>
      </w:r>
      <w:r>
        <w:rPr>
          <w:bCs/>
          <w:iCs/>
        </w:rPr>
        <w:t>, for a Designated Spectrum Licence for a financial year, means the Main Component for the licence calculated on 11 October in that financial year.</w:t>
      </w:r>
    </w:p>
    <w:p w14:paraId="2D885391" w14:textId="77777777" w:rsidR="00E35D3B" w:rsidRPr="00E35D3B" w:rsidRDefault="00E35D3B" w:rsidP="00E35D3B">
      <w:pPr>
        <w:pStyle w:val="Definition"/>
        <w:rPr>
          <w:bCs/>
          <w:iCs/>
        </w:rPr>
      </w:pPr>
      <w:r w:rsidRPr="006D637F">
        <w:rPr>
          <w:b/>
          <w:i/>
        </w:rPr>
        <w:t>total annual EME Component</w:t>
      </w:r>
      <w:r w:rsidRPr="00E35D3B">
        <w:rPr>
          <w:bCs/>
          <w:iCs/>
        </w:rPr>
        <w:t xml:space="preserve"> means, for the 2024-2025 financial year, $2,090,532.</w:t>
      </w:r>
    </w:p>
    <w:p w14:paraId="1258E43D" w14:textId="470F9F63" w:rsidR="00E35D3B" w:rsidRPr="006D637F" w:rsidRDefault="00E35D3B" w:rsidP="006D637F">
      <w:pPr>
        <w:pStyle w:val="Definition"/>
        <w:spacing w:before="60"/>
        <w:ind w:left="1985" w:hanging="851"/>
        <w:rPr>
          <w:bCs/>
          <w:iCs/>
          <w:sz w:val="18"/>
          <w:szCs w:val="16"/>
        </w:rPr>
      </w:pPr>
      <w:r w:rsidRPr="006D637F">
        <w:rPr>
          <w:bCs/>
          <w:iCs/>
          <w:sz w:val="18"/>
          <w:szCs w:val="16"/>
        </w:rPr>
        <w:t>Note:</w:t>
      </w:r>
      <w:r w:rsidRPr="006D637F">
        <w:rPr>
          <w:bCs/>
          <w:iCs/>
          <w:sz w:val="18"/>
          <w:szCs w:val="16"/>
        </w:rPr>
        <w:tab/>
        <w:t xml:space="preserve">Subsection 6(2) of the </w:t>
      </w:r>
      <w:r w:rsidRPr="006D637F">
        <w:rPr>
          <w:bCs/>
          <w:i/>
          <w:sz w:val="18"/>
          <w:szCs w:val="16"/>
        </w:rPr>
        <w:t>Australian Communications and Media Authority (Modifications to Apparatus and Spectrum Licences Taxes) Direction 2020</w:t>
      </w:r>
      <w:r w:rsidRPr="006D637F">
        <w:rPr>
          <w:bCs/>
          <w:iCs/>
          <w:sz w:val="18"/>
          <w:szCs w:val="16"/>
        </w:rPr>
        <w:t xml:space="preserve"> requires that the ACMA must increase the </w:t>
      </w:r>
      <w:r w:rsidRPr="006D637F">
        <w:rPr>
          <w:b/>
          <w:i/>
          <w:sz w:val="18"/>
          <w:szCs w:val="16"/>
        </w:rPr>
        <w:t>total annual EME Component</w:t>
      </w:r>
      <w:r w:rsidRPr="006D637F">
        <w:rPr>
          <w:bCs/>
          <w:iCs/>
          <w:sz w:val="18"/>
          <w:szCs w:val="16"/>
        </w:rPr>
        <w:t xml:space="preserve"> from the 2023-24 financial year and each subsequent year. That direction is available, free of charge, from the Federal Register of Legislation at www.legislation.gov.au.</w:t>
      </w:r>
    </w:p>
    <w:p w14:paraId="0209AE73" w14:textId="77777777" w:rsidR="00C95873" w:rsidRDefault="00C95873" w:rsidP="00C95873">
      <w:pPr>
        <w:pStyle w:val="Definition"/>
        <w:rPr>
          <w:bCs/>
          <w:iCs/>
        </w:rPr>
      </w:pPr>
      <w:r>
        <w:rPr>
          <w:b/>
          <w:i/>
        </w:rPr>
        <w:t>total Main Component</w:t>
      </w:r>
      <w:r>
        <w:rPr>
          <w:bCs/>
          <w:iCs/>
        </w:rPr>
        <w:t>, for a financial year, means the sum of the MCL for each Designated Spectrum Licence in force on 11 October in that financial year.</w:t>
      </w:r>
    </w:p>
    <w:p w14:paraId="48761B23" w14:textId="77777777" w:rsidR="00C95873" w:rsidRDefault="00C95873" w:rsidP="00C95873">
      <w:pPr>
        <w:pStyle w:val="ActHead5"/>
      </w:pPr>
      <w:r>
        <w:t>2  Calculating the EME Component for a Designated Spectrum Licence</w:t>
      </w:r>
    </w:p>
    <w:p w14:paraId="75FBF1BE" w14:textId="77777777" w:rsidR="00C95873" w:rsidRDefault="00C95873" w:rsidP="00C95873">
      <w:pPr>
        <w:pStyle w:val="subsection"/>
      </w:pPr>
      <w:r>
        <w:tab/>
      </w:r>
      <w:r>
        <w:tab/>
        <w:t>For the tax imposed on the initial holding date for a Designated Spectrum Licence, and on each anniversary of the initial holding date for a Designated Spectrum Licence, the EME Component for the licence is calculated by following Step 1 and Step 2:</w:t>
      </w:r>
    </w:p>
    <w:p w14:paraId="5D7609AC" w14:textId="77777777" w:rsidR="00C95873" w:rsidRPr="00BC43FE" w:rsidRDefault="00C95873" w:rsidP="00C95873">
      <w:pPr>
        <w:pStyle w:val="subsection"/>
        <w:spacing w:before="60" w:after="120"/>
        <w:rPr>
          <w:b/>
          <w:bCs/>
        </w:rPr>
      </w:pPr>
      <w:r>
        <w:tab/>
      </w:r>
      <w:r>
        <w:tab/>
      </w:r>
      <w:r>
        <w:rPr>
          <w:b/>
          <w:bCs/>
        </w:rPr>
        <w:t>Step 1</w:t>
      </w:r>
    </w:p>
    <w:p w14:paraId="145DEADF" w14:textId="77777777" w:rsidR="00C95873" w:rsidRDefault="00C95873" w:rsidP="00C95873">
      <w:pPr>
        <w:pStyle w:val="subsection"/>
        <w:spacing w:before="60"/>
      </w:pPr>
      <w:r w:rsidRPr="00BC43FE">
        <w:tab/>
      </w:r>
      <w:r w:rsidRPr="00BC43FE">
        <w:tab/>
      </w:r>
      <w:r>
        <w:t>For the financial year in which tax is imposed, apply the following formula:</w:t>
      </w:r>
    </w:p>
    <w:p w14:paraId="03E36939" w14:textId="3028B8CA" w:rsidR="00B43B2B" w:rsidRPr="00B43B2B" w:rsidRDefault="00B43B2B" w:rsidP="00951B2E">
      <w:pPr>
        <w:pStyle w:val="subsection"/>
        <w:spacing w:before="60" w:after="120"/>
        <w:ind w:firstLine="0"/>
        <w:rPr>
          <w:sz w:val="16"/>
          <w:szCs w:val="14"/>
        </w:rPr>
      </w:pPr>
      <w:r w:rsidRPr="00B43B2B">
        <w:rPr>
          <w:noProof/>
        </w:rPr>
        <w:drawing>
          <wp:inline distT="0" distB="0" distL="0" distR="0" wp14:anchorId="2545E9BD" wp14:editId="0531A5FF">
            <wp:extent cx="5001370" cy="328585"/>
            <wp:effectExtent l="0" t="0" r="0" b="0"/>
            <wp:docPr id="6" name="Picture 6" descr="Start formula start fraction MCL for the licence for that financial year over total Main Component for that financial year end fraction times total annual EME component for that financial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start fraction MCL for the licence for that financial year over total Main Component for that financial year end fraction times total annual EME component for that financial year end formula"/>
                    <pic:cNvPicPr/>
                  </pic:nvPicPr>
                  <pic:blipFill>
                    <a:blip r:embed="rId21"/>
                    <a:stretch>
                      <a:fillRect/>
                    </a:stretch>
                  </pic:blipFill>
                  <pic:spPr>
                    <a:xfrm>
                      <a:off x="0" y="0"/>
                      <a:ext cx="5073398" cy="333317"/>
                    </a:xfrm>
                    <a:prstGeom prst="rect">
                      <a:avLst/>
                    </a:prstGeom>
                  </pic:spPr>
                </pic:pic>
              </a:graphicData>
            </a:graphic>
          </wp:inline>
        </w:drawing>
      </w:r>
    </w:p>
    <w:p w14:paraId="3E237DF4" w14:textId="47182229" w:rsidR="00C95873" w:rsidRPr="00BC43FE" w:rsidRDefault="00C95873" w:rsidP="00C95873">
      <w:pPr>
        <w:pStyle w:val="subsection"/>
        <w:spacing w:before="60" w:after="120"/>
        <w:rPr>
          <w:b/>
          <w:bCs/>
        </w:rPr>
      </w:pPr>
      <w:r>
        <w:rPr>
          <w:b/>
          <w:bCs/>
        </w:rPr>
        <w:tab/>
      </w:r>
      <w:r>
        <w:rPr>
          <w:b/>
          <w:bCs/>
        </w:rPr>
        <w:tab/>
        <w:t>Step 2</w:t>
      </w:r>
    </w:p>
    <w:p w14:paraId="72A3BD4C" w14:textId="77777777" w:rsidR="00C95873" w:rsidRPr="00C906C9" w:rsidRDefault="00C95873" w:rsidP="00C95873">
      <w:pPr>
        <w:pStyle w:val="subsection"/>
        <w:spacing w:before="60"/>
      </w:pPr>
      <w:r w:rsidRPr="00BC43FE">
        <w:tab/>
      </w:r>
      <w:r w:rsidRPr="00BC43FE">
        <w:tab/>
      </w:r>
      <w:r>
        <w:t xml:space="preserve">The </w:t>
      </w:r>
      <w:r>
        <w:rPr>
          <w:b/>
          <w:bCs/>
          <w:i/>
          <w:iCs/>
        </w:rPr>
        <w:t>EME Component</w:t>
      </w:r>
      <w:r>
        <w:t xml:space="preserve"> for the licence is</w:t>
      </w:r>
    </w:p>
    <w:p w14:paraId="0EA20DA4" w14:textId="77777777" w:rsidR="00C95873" w:rsidRDefault="00C95873" w:rsidP="00C95873">
      <w:pPr>
        <w:pStyle w:val="paragraph"/>
      </w:pPr>
      <w:r>
        <w:tab/>
        <w:t>(a)</w:t>
      </w:r>
      <w:r>
        <w:tab/>
        <w:t>if the result of Step 1 is a whole dollar amount – that amount;</w:t>
      </w:r>
    </w:p>
    <w:p w14:paraId="79F1F7F5" w14:textId="77777777" w:rsidR="00C95873" w:rsidRDefault="00C95873" w:rsidP="00C95873">
      <w:pPr>
        <w:pStyle w:val="paragraph"/>
      </w:pPr>
      <w:r>
        <w:tab/>
        <w:t>(b)</w:t>
      </w:r>
      <w:r>
        <w:tab/>
        <w:t>otherwise – the amount worked out in Step 1 rounded down to the nearest whole dollar.</w:t>
      </w:r>
    </w:p>
    <w:p w14:paraId="044707AC" w14:textId="79DA95AB" w:rsidR="00C95873" w:rsidRPr="00F87327" w:rsidRDefault="00C95873" w:rsidP="00654603">
      <w:pPr>
        <w:pStyle w:val="subsection"/>
        <w:spacing w:before="60"/>
      </w:pPr>
    </w:p>
    <w:p w14:paraId="06F0D6CA" w14:textId="606CAFBD" w:rsidR="00AB74ED" w:rsidRPr="00C70367" w:rsidRDefault="00AB74ED" w:rsidP="00AB74ED">
      <w:pPr>
        <w:jc w:val="right"/>
        <w:rPr>
          <w:lang w:eastAsia="en-AU"/>
        </w:rPr>
      </w:pPr>
    </w:p>
    <w:p w14:paraId="449ED3E1" w14:textId="1C333FFF" w:rsidR="00AB74ED" w:rsidRPr="00C70367" w:rsidRDefault="00AB74ED" w:rsidP="00AB74ED">
      <w:pPr>
        <w:rPr>
          <w:lang w:eastAsia="en-AU"/>
        </w:rPr>
      </w:pPr>
    </w:p>
    <w:p w14:paraId="752AEAA2" w14:textId="77777777" w:rsidR="00097890" w:rsidRPr="00C70367" w:rsidRDefault="00097890" w:rsidP="00AB74ED">
      <w:pPr>
        <w:rPr>
          <w:lang w:eastAsia="en-AU"/>
        </w:rPr>
        <w:sectPr w:rsidR="00097890" w:rsidRPr="00C70367" w:rsidSect="00CF10DA">
          <w:headerReference w:type="default" r:id="rId22"/>
          <w:pgSz w:w="11906" w:h="16838"/>
          <w:pgMar w:top="1440" w:right="1440" w:bottom="1440" w:left="1440" w:header="708" w:footer="708" w:gutter="0"/>
          <w:cols w:space="708"/>
          <w:docGrid w:linePitch="360"/>
        </w:sectPr>
      </w:pPr>
    </w:p>
    <w:p w14:paraId="3C478118" w14:textId="77777777" w:rsidR="00877F89" w:rsidRDefault="00877F89" w:rsidP="00877F89">
      <w:pPr>
        <w:pStyle w:val="ActHead5"/>
        <w:spacing w:before="0"/>
        <w:ind w:left="0" w:firstLine="0"/>
        <w:rPr>
          <w:rStyle w:val="CharSectno"/>
          <w:sz w:val="32"/>
          <w:szCs w:val="32"/>
        </w:rPr>
      </w:pPr>
      <w:r w:rsidRPr="00D95A71">
        <w:rPr>
          <w:rStyle w:val="CharSectno"/>
          <w:sz w:val="32"/>
          <w:szCs w:val="32"/>
        </w:rPr>
        <w:lastRenderedPageBreak/>
        <w:t xml:space="preserve">Endnotes </w:t>
      </w:r>
    </w:p>
    <w:p w14:paraId="1E303C87" w14:textId="77777777" w:rsidR="00877F89" w:rsidRPr="00C96702" w:rsidRDefault="00877F89" w:rsidP="00877F89">
      <w:pPr>
        <w:spacing w:before="120" w:after="120" w:line="240" w:lineRule="auto"/>
        <w:outlineLvl w:val="2"/>
        <w:rPr>
          <w:rFonts w:ascii="Times New Roman" w:eastAsia="Times New Roman" w:hAnsi="Times New Roman" w:cs="Times New Roman"/>
          <w:b/>
          <w:sz w:val="24"/>
          <w:szCs w:val="28"/>
          <w:lang w:eastAsia="en-AU"/>
        </w:rPr>
      </w:pPr>
      <w:r w:rsidRPr="00C96702">
        <w:rPr>
          <w:rFonts w:ascii="Times New Roman" w:eastAsia="Times New Roman" w:hAnsi="Times New Roman" w:cs="Times New Roman"/>
          <w:b/>
          <w:sz w:val="24"/>
          <w:szCs w:val="28"/>
          <w:lang w:eastAsia="en-AU"/>
        </w:rPr>
        <w:t>Endnote 1—About the endnotes</w:t>
      </w:r>
    </w:p>
    <w:p w14:paraId="3B8ED378"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endnotes provide information about this compilation and the compiled law.</w:t>
      </w:r>
    </w:p>
    <w:p w14:paraId="715386EC"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following endnotes are included in every compilation:</w:t>
      </w:r>
    </w:p>
    <w:p w14:paraId="2C6BEDE4" w14:textId="77777777" w:rsidR="00877F89" w:rsidRPr="00C96702" w:rsidRDefault="00877F89" w:rsidP="00877F89">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1—About the endnotes</w:t>
      </w:r>
    </w:p>
    <w:p w14:paraId="43921BDE" w14:textId="77777777" w:rsidR="00877F89" w:rsidRPr="00C96702" w:rsidRDefault="00877F89" w:rsidP="00877F89">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2—Abbreviation key</w:t>
      </w:r>
    </w:p>
    <w:p w14:paraId="5743FDE5" w14:textId="77777777" w:rsidR="00877F89" w:rsidRPr="00C96702" w:rsidRDefault="00877F89" w:rsidP="00877F89">
      <w:pPr>
        <w:spacing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3—Legislation history</w:t>
      </w:r>
    </w:p>
    <w:p w14:paraId="667029C2"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Endnote 4—Amendment history</w:t>
      </w:r>
    </w:p>
    <w:p w14:paraId="77FEE312" w14:textId="77777777" w:rsidR="00877F89" w:rsidRPr="00C96702" w:rsidRDefault="00877F89" w:rsidP="00877F89">
      <w:pPr>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Abbreviation key—Endnote 2</w:t>
      </w:r>
    </w:p>
    <w:p w14:paraId="085A2373"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abbreviation key sets out abbreviations that may be used in the endnotes.</w:t>
      </w:r>
    </w:p>
    <w:p w14:paraId="050EBAA3" w14:textId="77777777" w:rsidR="00877F89" w:rsidRPr="00C96702" w:rsidRDefault="00877F89" w:rsidP="00877F89">
      <w:pPr>
        <w:spacing w:after="0" w:line="260" w:lineRule="atLeast"/>
        <w:rPr>
          <w:rFonts w:ascii="Times New Roman" w:eastAsia="Calibri" w:hAnsi="Times New Roman" w:cs="Times New Roman"/>
          <w:b/>
          <w:szCs w:val="20"/>
        </w:rPr>
      </w:pPr>
      <w:r w:rsidRPr="00C96702">
        <w:rPr>
          <w:rFonts w:ascii="Times New Roman" w:eastAsia="Calibri" w:hAnsi="Times New Roman" w:cs="Times New Roman"/>
          <w:b/>
          <w:szCs w:val="20"/>
        </w:rPr>
        <w:t>Legislation history and amendment history—Endnotes 3 and 4</w:t>
      </w:r>
    </w:p>
    <w:p w14:paraId="211ABA1C"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Amending laws are annotated in the legislation history and amendment history.</w:t>
      </w:r>
    </w:p>
    <w:p w14:paraId="1962952C"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6017A05"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1B30522" w14:textId="77777777" w:rsidR="00877F89" w:rsidRPr="00C96702" w:rsidRDefault="00877F89" w:rsidP="00877F89">
      <w:pPr>
        <w:keepNext/>
        <w:spacing w:after="0" w:line="260" w:lineRule="atLeast"/>
        <w:rPr>
          <w:rFonts w:ascii="Times New Roman" w:eastAsia="Calibri" w:hAnsi="Times New Roman" w:cs="Times New Roman"/>
          <w:szCs w:val="20"/>
        </w:rPr>
      </w:pPr>
      <w:r w:rsidRPr="00C96702">
        <w:rPr>
          <w:rFonts w:ascii="Times New Roman" w:eastAsia="Calibri" w:hAnsi="Times New Roman" w:cs="Times New Roman"/>
          <w:b/>
          <w:szCs w:val="20"/>
        </w:rPr>
        <w:t>Misdescribed amendments</w:t>
      </w:r>
    </w:p>
    <w:p w14:paraId="3BD8B1CF" w14:textId="77777777" w:rsidR="00877F89" w:rsidRPr="00C96702" w:rsidRDefault="00877F89" w:rsidP="00877F89">
      <w:pPr>
        <w:spacing w:after="120" w:line="260" w:lineRule="atLeast"/>
        <w:rPr>
          <w:rFonts w:ascii="Times New Roman" w:eastAsia="Calibri" w:hAnsi="Times New Roman" w:cs="Times New Roman"/>
          <w:szCs w:val="20"/>
        </w:rPr>
      </w:pPr>
      <w:r w:rsidRPr="00C96702">
        <w:rPr>
          <w:rFonts w:ascii="Times New Roman" w:eastAsia="Calibri" w:hAnsi="Times New Roman" w:cs="Times New Roman"/>
          <w:szCs w:val="20"/>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6702">
        <w:rPr>
          <w:rFonts w:ascii="Times New Roman" w:eastAsia="Calibri" w:hAnsi="Times New Roman" w:cs="Times New Roman"/>
          <w:i/>
          <w:szCs w:val="20"/>
        </w:rPr>
        <w:t>Legislation Act 2003</w:t>
      </w:r>
      <w:r w:rsidRPr="00C96702">
        <w:rPr>
          <w:rFonts w:ascii="Times New Roman" w:eastAsia="Calibri" w:hAnsi="Times New Roman" w:cs="Times New Roman"/>
          <w:szCs w:val="20"/>
        </w:rPr>
        <w:t>.</w:t>
      </w:r>
    </w:p>
    <w:p w14:paraId="032A1E7B" w14:textId="77777777" w:rsidR="00877F89" w:rsidRPr="00C96702" w:rsidRDefault="00877F89" w:rsidP="00877F89">
      <w:pPr>
        <w:spacing w:before="120" w:after="0" w:line="260" w:lineRule="atLeast"/>
        <w:rPr>
          <w:rFonts w:ascii="Times New Roman" w:eastAsia="Calibri" w:hAnsi="Times New Roman" w:cs="Times New Roman"/>
          <w:szCs w:val="20"/>
        </w:rPr>
      </w:pPr>
      <w:r w:rsidRPr="00C96702">
        <w:rPr>
          <w:rFonts w:ascii="Times New Roman" w:eastAsia="Calibri" w:hAnsi="Times New Roman" w:cs="Times New Roman"/>
          <w:szCs w:val="20"/>
        </w:rPr>
        <w:t>If a misdescribed amendment cannot be given effect as intended, the amendment is not incorporated and “(md not incorp)” is added to the amendment history.</w:t>
      </w:r>
    </w:p>
    <w:p w14:paraId="01E004B7" w14:textId="77777777" w:rsidR="00877F89" w:rsidRPr="00D917BD" w:rsidRDefault="00877F89" w:rsidP="00877F89">
      <w:pPr>
        <w:spacing w:before="120" w:after="120" w:line="260" w:lineRule="atLeast"/>
        <w:rPr>
          <w:rFonts w:ascii="Times New Roman" w:eastAsia="Times New Roman" w:hAnsi="Times New Roman" w:cs="Times New Roman"/>
          <w:b/>
          <w:sz w:val="24"/>
          <w:szCs w:val="28"/>
          <w:lang w:eastAsia="en-AU"/>
        </w:rPr>
      </w:pPr>
      <w:r w:rsidRPr="00D917BD">
        <w:rPr>
          <w:rFonts w:ascii="Times New Roman" w:eastAsia="Times New Roman" w:hAnsi="Times New Roman" w:cs="Times New Roman"/>
          <w:b/>
          <w:sz w:val="24"/>
          <w:szCs w:val="28"/>
          <w:lang w:eastAsia="en-AU"/>
        </w:rPr>
        <w:t>Endnote 2—Abbreviation key</w:t>
      </w:r>
    </w:p>
    <w:tbl>
      <w:tblPr>
        <w:tblW w:w="5000" w:type="pct"/>
        <w:tblLook w:val="0000" w:firstRow="0" w:lastRow="0" w:firstColumn="0" w:lastColumn="0" w:noHBand="0" w:noVBand="0"/>
      </w:tblPr>
      <w:tblGrid>
        <w:gridCol w:w="4836"/>
        <w:gridCol w:w="4190"/>
      </w:tblGrid>
      <w:tr w:rsidR="00877F89" w:rsidRPr="00D917BD" w14:paraId="77744D61" w14:textId="77777777" w:rsidTr="006D0BBC">
        <w:tc>
          <w:tcPr>
            <w:tcW w:w="2679" w:type="pct"/>
            <w:shd w:val="clear" w:color="auto" w:fill="auto"/>
          </w:tcPr>
          <w:p w14:paraId="0A21A485"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ad = added or inserted</w:t>
            </w:r>
          </w:p>
        </w:tc>
        <w:tc>
          <w:tcPr>
            <w:tcW w:w="2321" w:type="pct"/>
            <w:shd w:val="clear" w:color="auto" w:fill="auto"/>
          </w:tcPr>
          <w:p w14:paraId="47B14A18"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orig = original</w:t>
            </w:r>
          </w:p>
        </w:tc>
      </w:tr>
      <w:tr w:rsidR="00877F89" w:rsidRPr="00D917BD" w14:paraId="3C05E060" w14:textId="77777777" w:rsidTr="006D0BBC">
        <w:tc>
          <w:tcPr>
            <w:tcW w:w="2679" w:type="pct"/>
            <w:shd w:val="clear" w:color="auto" w:fill="auto"/>
          </w:tcPr>
          <w:p w14:paraId="43C987FC"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 = amended</w:t>
            </w:r>
          </w:p>
        </w:tc>
        <w:tc>
          <w:tcPr>
            <w:tcW w:w="2321" w:type="pct"/>
            <w:shd w:val="clear" w:color="auto" w:fill="auto"/>
          </w:tcPr>
          <w:p w14:paraId="2572B13B"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par = paragraph(s)/subparagraph(s)</w:t>
            </w:r>
          </w:p>
        </w:tc>
      </w:tr>
      <w:tr w:rsidR="00877F89" w:rsidRPr="00D917BD" w14:paraId="68B2E210" w14:textId="77777777" w:rsidTr="006D0BBC">
        <w:tc>
          <w:tcPr>
            <w:tcW w:w="2679" w:type="pct"/>
            <w:shd w:val="clear" w:color="auto" w:fill="auto"/>
          </w:tcPr>
          <w:p w14:paraId="487DA8B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amdt = amendment</w:t>
            </w:r>
          </w:p>
        </w:tc>
        <w:tc>
          <w:tcPr>
            <w:tcW w:w="2321" w:type="pct"/>
            <w:shd w:val="clear" w:color="auto" w:fill="auto"/>
          </w:tcPr>
          <w:p w14:paraId="17BDD577" w14:textId="77777777" w:rsidR="00877F89" w:rsidRPr="00D917BD" w:rsidRDefault="00877F89" w:rsidP="006D0BBC">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subparagraph(s)</w:t>
            </w:r>
          </w:p>
        </w:tc>
      </w:tr>
      <w:tr w:rsidR="00877F89" w:rsidRPr="00D917BD" w14:paraId="74083F73" w14:textId="77777777" w:rsidTr="006D0BBC">
        <w:tc>
          <w:tcPr>
            <w:tcW w:w="2679" w:type="pct"/>
            <w:shd w:val="clear" w:color="auto" w:fill="auto"/>
          </w:tcPr>
          <w:p w14:paraId="3197639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 = clause(s)</w:t>
            </w:r>
          </w:p>
        </w:tc>
        <w:tc>
          <w:tcPr>
            <w:tcW w:w="2321" w:type="pct"/>
            <w:shd w:val="clear" w:color="auto" w:fill="auto"/>
          </w:tcPr>
          <w:p w14:paraId="17D57C2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pres = present</w:t>
            </w:r>
          </w:p>
        </w:tc>
      </w:tr>
      <w:tr w:rsidR="00877F89" w:rsidRPr="00D917BD" w14:paraId="5FF63B1C" w14:textId="77777777" w:rsidTr="006D0BBC">
        <w:tc>
          <w:tcPr>
            <w:tcW w:w="2679" w:type="pct"/>
            <w:shd w:val="clear" w:color="auto" w:fill="auto"/>
          </w:tcPr>
          <w:p w14:paraId="7B771ED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C[x] = Compilation No. x</w:t>
            </w:r>
          </w:p>
        </w:tc>
        <w:tc>
          <w:tcPr>
            <w:tcW w:w="2321" w:type="pct"/>
            <w:shd w:val="clear" w:color="auto" w:fill="auto"/>
          </w:tcPr>
          <w:p w14:paraId="23E69531"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prev = previous</w:t>
            </w:r>
          </w:p>
        </w:tc>
      </w:tr>
      <w:tr w:rsidR="00877F89" w:rsidRPr="00D917BD" w14:paraId="681E9922" w14:textId="77777777" w:rsidTr="006D0BBC">
        <w:tc>
          <w:tcPr>
            <w:tcW w:w="2679" w:type="pct"/>
            <w:shd w:val="clear" w:color="auto" w:fill="auto"/>
          </w:tcPr>
          <w:p w14:paraId="044697DD"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Ch = Chapter(s)</w:t>
            </w:r>
          </w:p>
        </w:tc>
        <w:tc>
          <w:tcPr>
            <w:tcW w:w="2321" w:type="pct"/>
            <w:shd w:val="clear" w:color="auto" w:fill="auto"/>
          </w:tcPr>
          <w:p w14:paraId="233CA1F9"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(prev…) = previously</w:t>
            </w:r>
          </w:p>
        </w:tc>
      </w:tr>
      <w:tr w:rsidR="00877F89" w:rsidRPr="00D917BD" w14:paraId="55C6A9C3" w14:textId="77777777" w:rsidTr="006D0BBC">
        <w:tc>
          <w:tcPr>
            <w:tcW w:w="2679" w:type="pct"/>
            <w:shd w:val="clear" w:color="auto" w:fill="auto"/>
          </w:tcPr>
          <w:p w14:paraId="78E598B8"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def = definition(s)</w:t>
            </w:r>
          </w:p>
        </w:tc>
        <w:tc>
          <w:tcPr>
            <w:tcW w:w="2321" w:type="pct"/>
            <w:shd w:val="clear" w:color="auto" w:fill="auto"/>
          </w:tcPr>
          <w:p w14:paraId="1B20D637"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Pt = Part(s)</w:t>
            </w:r>
          </w:p>
        </w:tc>
      </w:tr>
      <w:tr w:rsidR="00877F89" w:rsidRPr="00D917BD" w14:paraId="5AE94179" w14:textId="77777777" w:rsidTr="006D0BBC">
        <w:tc>
          <w:tcPr>
            <w:tcW w:w="2679" w:type="pct"/>
            <w:shd w:val="clear" w:color="auto" w:fill="auto"/>
          </w:tcPr>
          <w:p w14:paraId="416B7701"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Dict = Dictionary</w:t>
            </w:r>
          </w:p>
        </w:tc>
        <w:tc>
          <w:tcPr>
            <w:tcW w:w="2321" w:type="pct"/>
            <w:shd w:val="clear" w:color="auto" w:fill="auto"/>
          </w:tcPr>
          <w:p w14:paraId="52C1410C"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 = regulation(s)/rule(s)</w:t>
            </w:r>
          </w:p>
        </w:tc>
      </w:tr>
      <w:tr w:rsidR="00877F89" w:rsidRPr="00D917BD" w14:paraId="54692EEF" w14:textId="77777777" w:rsidTr="006D0BBC">
        <w:tc>
          <w:tcPr>
            <w:tcW w:w="2679" w:type="pct"/>
            <w:shd w:val="clear" w:color="auto" w:fill="auto"/>
          </w:tcPr>
          <w:p w14:paraId="4181B02D"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disallowed = disallowed by Parliament</w:t>
            </w:r>
          </w:p>
        </w:tc>
        <w:tc>
          <w:tcPr>
            <w:tcW w:w="2321" w:type="pct"/>
            <w:shd w:val="clear" w:color="auto" w:fill="auto"/>
          </w:tcPr>
          <w:p w14:paraId="2750736F"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reloc = relocated</w:t>
            </w:r>
          </w:p>
        </w:tc>
      </w:tr>
      <w:tr w:rsidR="00877F89" w:rsidRPr="00D917BD" w14:paraId="11D5C4AD" w14:textId="77777777" w:rsidTr="006D0BBC">
        <w:tc>
          <w:tcPr>
            <w:tcW w:w="2679" w:type="pct"/>
            <w:shd w:val="clear" w:color="auto" w:fill="auto"/>
          </w:tcPr>
          <w:p w14:paraId="623A56D9"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Div = Division(s)</w:t>
            </w:r>
          </w:p>
        </w:tc>
        <w:tc>
          <w:tcPr>
            <w:tcW w:w="2321" w:type="pct"/>
            <w:shd w:val="clear" w:color="auto" w:fill="auto"/>
          </w:tcPr>
          <w:p w14:paraId="73229C5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renum = renumbered</w:t>
            </w:r>
          </w:p>
        </w:tc>
      </w:tr>
      <w:tr w:rsidR="00877F89" w:rsidRPr="00D917BD" w14:paraId="5A28E16C" w14:textId="77777777" w:rsidTr="006D0BBC">
        <w:tc>
          <w:tcPr>
            <w:tcW w:w="2679" w:type="pct"/>
            <w:shd w:val="clear" w:color="auto" w:fill="auto"/>
          </w:tcPr>
          <w:p w14:paraId="50E6E482"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exp = expires/expired or ceases/ceased to have</w:t>
            </w:r>
          </w:p>
        </w:tc>
        <w:tc>
          <w:tcPr>
            <w:tcW w:w="2321" w:type="pct"/>
            <w:shd w:val="clear" w:color="auto" w:fill="auto"/>
          </w:tcPr>
          <w:p w14:paraId="44D929E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rep = repealed</w:t>
            </w:r>
          </w:p>
        </w:tc>
      </w:tr>
      <w:tr w:rsidR="00877F89" w:rsidRPr="00D917BD" w14:paraId="40ADEDB6" w14:textId="77777777" w:rsidTr="006D0BBC">
        <w:tc>
          <w:tcPr>
            <w:tcW w:w="2679" w:type="pct"/>
            <w:shd w:val="clear" w:color="auto" w:fill="auto"/>
          </w:tcPr>
          <w:p w14:paraId="6D5CE504" w14:textId="77777777" w:rsidR="00877F89" w:rsidRPr="00D917BD" w:rsidRDefault="00877F89" w:rsidP="006D0BBC">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effect</w:t>
            </w:r>
          </w:p>
        </w:tc>
        <w:tc>
          <w:tcPr>
            <w:tcW w:w="2321" w:type="pct"/>
            <w:shd w:val="clear" w:color="auto" w:fill="auto"/>
          </w:tcPr>
          <w:p w14:paraId="1FCAC32A"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rs = repealed and substituted</w:t>
            </w:r>
          </w:p>
        </w:tc>
      </w:tr>
      <w:tr w:rsidR="00877F89" w:rsidRPr="00D917BD" w14:paraId="01E5893C" w14:textId="77777777" w:rsidTr="006D0BBC">
        <w:tc>
          <w:tcPr>
            <w:tcW w:w="2679" w:type="pct"/>
            <w:shd w:val="clear" w:color="auto" w:fill="auto"/>
          </w:tcPr>
          <w:p w14:paraId="6B853595"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F = Federal Register of Legislation</w:t>
            </w:r>
          </w:p>
        </w:tc>
        <w:tc>
          <w:tcPr>
            <w:tcW w:w="2321" w:type="pct"/>
            <w:shd w:val="clear" w:color="auto" w:fill="auto"/>
          </w:tcPr>
          <w:p w14:paraId="7065867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 = section(s)/subsection(s)</w:t>
            </w:r>
          </w:p>
        </w:tc>
      </w:tr>
      <w:tr w:rsidR="00877F89" w:rsidRPr="00D917BD" w14:paraId="60A4AA20" w14:textId="77777777" w:rsidTr="006D0BBC">
        <w:tc>
          <w:tcPr>
            <w:tcW w:w="2679" w:type="pct"/>
            <w:shd w:val="clear" w:color="auto" w:fill="auto"/>
          </w:tcPr>
          <w:p w14:paraId="5DCE873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gaz = gazette</w:t>
            </w:r>
          </w:p>
        </w:tc>
        <w:tc>
          <w:tcPr>
            <w:tcW w:w="2321" w:type="pct"/>
            <w:shd w:val="clear" w:color="auto" w:fill="auto"/>
          </w:tcPr>
          <w:p w14:paraId="5725CFE0"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Sch = Schedule(s)</w:t>
            </w:r>
          </w:p>
        </w:tc>
      </w:tr>
      <w:tr w:rsidR="00877F89" w:rsidRPr="00D917BD" w14:paraId="5CBA1AEA" w14:textId="77777777" w:rsidTr="006D0BBC">
        <w:tc>
          <w:tcPr>
            <w:tcW w:w="2679" w:type="pct"/>
            <w:shd w:val="clear" w:color="auto" w:fill="auto"/>
          </w:tcPr>
          <w:p w14:paraId="281F8117"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LA = </w:t>
            </w:r>
            <w:r w:rsidRPr="00D917BD">
              <w:rPr>
                <w:rFonts w:ascii="Times New Roman" w:eastAsia="Calibri" w:hAnsi="Times New Roman" w:cs="Times New Roman"/>
                <w:i/>
                <w:sz w:val="20"/>
                <w:szCs w:val="20"/>
              </w:rPr>
              <w:t>Legislation Act 2003</w:t>
            </w:r>
          </w:p>
        </w:tc>
        <w:tc>
          <w:tcPr>
            <w:tcW w:w="2321" w:type="pct"/>
            <w:shd w:val="clear" w:color="auto" w:fill="auto"/>
          </w:tcPr>
          <w:p w14:paraId="5BA825AC"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Sdiv = Subdivision(s)</w:t>
            </w:r>
          </w:p>
        </w:tc>
      </w:tr>
      <w:tr w:rsidR="00877F89" w:rsidRPr="00D917BD" w14:paraId="54E9842D" w14:textId="77777777" w:rsidTr="006D0BBC">
        <w:tc>
          <w:tcPr>
            <w:tcW w:w="2679" w:type="pct"/>
            <w:shd w:val="clear" w:color="auto" w:fill="auto"/>
          </w:tcPr>
          <w:p w14:paraId="6AA75E45"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 xml:space="preserve">LIA = </w:t>
            </w:r>
            <w:r w:rsidRPr="00D917BD">
              <w:rPr>
                <w:rFonts w:ascii="Times New Roman" w:eastAsia="Calibri" w:hAnsi="Times New Roman" w:cs="Times New Roman"/>
                <w:i/>
                <w:sz w:val="20"/>
                <w:szCs w:val="20"/>
              </w:rPr>
              <w:t>Legislative Instruments Act 2003</w:t>
            </w:r>
          </w:p>
        </w:tc>
        <w:tc>
          <w:tcPr>
            <w:tcW w:w="2321" w:type="pct"/>
            <w:shd w:val="clear" w:color="auto" w:fill="auto"/>
          </w:tcPr>
          <w:p w14:paraId="31D8600C"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SLI = Select Legislative Instrument</w:t>
            </w:r>
          </w:p>
        </w:tc>
      </w:tr>
      <w:tr w:rsidR="00877F89" w:rsidRPr="00D917BD" w14:paraId="16913D20" w14:textId="77777777" w:rsidTr="006D0BBC">
        <w:tc>
          <w:tcPr>
            <w:tcW w:w="2679" w:type="pct"/>
            <w:shd w:val="clear" w:color="auto" w:fill="auto"/>
          </w:tcPr>
          <w:p w14:paraId="1D8087B2"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(md not incorp) = misdescribed amendment</w:t>
            </w:r>
          </w:p>
        </w:tc>
        <w:tc>
          <w:tcPr>
            <w:tcW w:w="2321" w:type="pct"/>
            <w:shd w:val="clear" w:color="auto" w:fill="auto"/>
          </w:tcPr>
          <w:p w14:paraId="66E266D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SR = Statutory Rules</w:t>
            </w:r>
          </w:p>
        </w:tc>
      </w:tr>
      <w:tr w:rsidR="00877F89" w:rsidRPr="00D917BD" w14:paraId="14F94F0F" w14:textId="77777777" w:rsidTr="006D0BBC">
        <w:tc>
          <w:tcPr>
            <w:tcW w:w="2679" w:type="pct"/>
            <w:shd w:val="clear" w:color="auto" w:fill="auto"/>
          </w:tcPr>
          <w:p w14:paraId="5CE2AC5F" w14:textId="77777777" w:rsidR="00877F89" w:rsidRPr="00D917BD" w:rsidRDefault="00877F89" w:rsidP="006D0BBC">
            <w:pPr>
              <w:spacing w:after="0" w:line="260" w:lineRule="atLeast"/>
              <w:ind w:left="34" w:firstLine="250"/>
              <w:rPr>
                <w:rFonts w:ascii="Times New Roman" w:eastAsia="Calibri" w:hAnsi="Times New Roman" w:cs="Times New Roman"/>
                <w:sz w:val="20"/>
                <w:szCs w:val="20"/>
              </w:rPr>
            </w:pPr>
            <w:r w:rsidRPr="00D917BD">
              <w:rPr>
                <w:rFonts w:ascii="Times New Roman" w:eastAsia="Calibri" w:hAnsi="Times New Roman" w:cs="Times New Roman"/>
                <w:sz w:val="20"/>
                <w:szCs w:val="20"/>
              </w:rPr>
              <w:t>cannot be given effect</w:t>
            </w:r>
          </w:p>
        </w:tc>
        <w:tc>
          <w:tcPr>
            <w:tcW w:w="2321" w:type="pct"/>
            <w:shd w:val="clear" w:color="auto" w:fill="auto"/>
          </w:tcPr>
          <w:p w14:paraId="7EFB97B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w:t>
            </w:r>
            <w:r w:rsidRPr="00D917BD">
              <w:rPr>
                <w:rFonts w:ascii="Times New Roman" w:eastAsia="Calibri" w:hAnsi="Times New Roman" w:cs="Times New Roman"/>
                <w:sz w:val="20"/>
                <w:szCs w:val="20"/>
              </w:rPr>
              <w:noBreakHyphen/>
              <w:t>Ch = Sub</w:t>
            </w:r>
            <w:r w:rsidRPr="00D917BD">
              <w:rPr>
                <w:rFonts w:ascii="Times New Roman" w:eastAsia="Calibri" w:hAnsi="Times New Roman" w:cs="Times New Roman"/>
                <w:sz w:val="20"/>
                <w:szCs w:val="20"/>
              </w:rPr>
              <w:noBreakHyphen/>
              <w:t>Chapter(s)</w:t>
            </w:r>
          </w:p>
        </w:tc>
      </w:tr>
      <w:tr w:rsidR="00877F89" w:rsidRPr="00D917BD" w14:paraId="25A26686" w14:textId="77777777" w:rsidTr="006D0BBC">
        <w:tc>
          <w:tcPr>
            <w:tcW w:w="2679" w:type="pct"/>
            <w:shd w:val="clear" w:color="auto" w:fill="auto"/>
          </w:tcPr>
          <w:p w14:paraId="3B5AAFD1"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mod = modified/modification</w:t>
            </w:r>
          </w:p>
        </w:tc>
        <w:tc>
          <w:tcPr>
            <w:tcW w:w="2321" w:type="pct"/>
            <w:shd w:val="clear" w:color="auto" w:fill="auto"/>
          </w:tcPr>
          <w:p w14:paraId="2117B5B3"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SubPt = Subpart(s)</w:t>
            </w:r>
          </w:p>
        </w:tc>
      </w:tr>
      <w:tr w:rsidR="00877F89" w:rsidRPr="00D917BD" w14:paraId="2AF21D11" w14:textId="77777777" w:rsidTr="006D0BBC">
        <w:tc>
          <w:tcPr>
            <w:tcW w:w="2679" w:type="pct"/>
            <w:shd w:val="clear" w:color="auto" w:fill="auto"/>
          </w:tcPr>
          <w:p w14:paraId="6243FBFE"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No. = Number(s)</w:t>
            </w:r>
          </w:p>
        </w:tc>
        <w:tc>
          <w:tcPr>
            <w:tcW w:w="2321" w:type="pct"/>
            <w:shd w:val="clear" w:color="auto" w:fill="auto"/>
          </w:tcPr>
          <w:p w14:paraId="65272CE4"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u w:val="single"/>
              </w:rPr>
              <w:t>underlining</w:t>
            </w:r>
            <w:r w:rsidRPr="00D917BD">
              <w:rPr>
                <w:rFonts w:ascii="Times New Roman" w:eastAsia="Calibri" w:hAnsi="Times New Roman" w:cs="Times New Roman"/>
                <w:sz w:val="20"/>
                <w:szCs w:val="20"/>
              </w:rPr>
              <w:t xml:space="preserve"> = whole or part not</w:t>
            </w:r>
          </w:p>
        </w:tc>
      </w:tr>
      <w:tr w:rsidR="00877F89" w:rsidRPr="00D917BD" w14:paraId="305893CA" w14:textId="77777777" w:rsidTr="006D0BBC">
        <w:tc>
          <w:tcPr>
            <w:tcW w:w="2679" w:type="pct"/>
            <w:shd w:val="clear" w:color="auto" w:fill="auto"/>
          </w:tcPr>
          <w:p w14:paraId="2551E0C8"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 = order(s)</w:t>
            </w:r>
          </w:p>
        </w:tc>
        <w:tc>
          <w:tcPr>
            <w:tcW w:w="2321" w:type="pct"/>
            <w:shd w:val="clear" w:color="auto" w:fill="auto"/>
          </w:tcPr>
          <w:p w14:paraId="512916B2" w14:textId="77777777" w:rsidR="00877F89" w:rsidRPr="00D917BD" w:rsidRDefault="00877F89" w:rsidP="006D0BBC">
            <w:pPr>
              <w:spacing w:after="0" w:line="260" w:lineRule="atLeast"/>
              <w:ind w:left="34" w:firstLine="249"/>
              <w:rPr>
                <w:rFonts w:ascii="Times New Roman" w:eastAsia="Calibri" w:hAnsi="Times New Roman" w:cs="Times New Roman"/>
                <w:sz w:val="20"/>
                <w:szCs w:val="20"/>
              </w:rPr>
            </w:pPr>
            <w:r w:rsidRPr="00D917BD">
              <w:rPr>
                <w:rFonts w:ascii="Times New Roman" w:eastAsia="Calibri" w:hAnsi="Times New Roman" w:cs="Times New Roman"/>
                <w:sz w:val="20"/>
                <w:szCs w:val="20"/>
              </w:rPr>
              <w:t>commenced or to be commenced</w:t>
            </w:r>
          </w:p>
        </w:tc>
      </w:tr>
      <w:tr w:rsidR="00877F89" w:rsidRPr="00D917BD" w14:paraId="528F837C" w14:textId="77777777" w:rsidTr="006D0BBC">
        <w:tc>
          <w:tcPr>
            <w:tcW w:w="2679" w:type="pct"/>
            <w:shd w:val="clear" w:color="auto" w:fill="auto"/>
          </w:tcPr>
          <w:p w14:paraId="512A8027" w14:textId="77777777" w:rsidR="00877F89" w:rsidRPr="00D917BD" w:rsidRDefault="00877F89" w:rsidP="006D0BBC">
            <w:pPr>
              <w:spacing w:after="0" w:line="260" w:lineRule="atLeast"/>
              <w:ind w:left="34"/>
              <w:rPr>
                <w:rFonts w:ascii="Times New Roman" w:eastAsia="Calibri" w:hAnsi="Times New Roman" w:cs="Times New Roman"/>
                <w:sz w:val="20"/>
                <w:szCs w:val="20"/>
              </w:rPr>
            </w:pPr>
            <w:r w:rsidRPr="00D917BD">
              <w:rPr>
                <w:rFonts w:ascii="Times New Roman" w:eastAsia="Calibri" w:hAnsi="Times New Roman" w:cs="Times New Roman"/>
                <w:sz w:val="20"/>
                <w:szCs w:val="20"/>
              </w:rPr>
              <w:t>Ord = Ordinance</w:t>
            </w:r>
          </w:p>
        </w:tc>
        <w:tc>
          <w:tcPr>
            <w:tcW w:w="2321" w:type="pct"/>
            <w:shd w:val="clear" w:color="auto" w:fill="auto"/>
          </w:tcPr>
          <w:p w14:paraId="668334DA" w14:textId="77777777" w:rsidR="00877F89" w:rsidRPr="00D917BD" w:rsidRDefault="00877F89" w:rsidP="006D0BBC">
            <w:pPr>
              <w:spacing w:after="0" w:line="260" w:lineRule="atLeast"/>
              <w:ind w:left="34"/>
              <w:rPr>
                <w:rFonts w:ascii="Times New Roman" w:eastAsia="Calibri" w:hAnsi="Times New Roman" w:cs="Times New Roman"/>
                <w:sz w:val="20"/>
                <w:szCs w:val="20"/>
              </w:rPr>
            </w:pPr>
          </w:p>
        </w:tc>
      </w:tr>
    </w:tbl>
    <w:p w14:paraId="0C17C7F5" w14:textId="77777777" w:rsidR="00AB74ED" w:rsidRPr="00C70367" w:rsidRDefault="00AB74ED" w:rsidP="00097890">
      <w:pPr>
        <w:rPr>
          <w:lang w:eastAsia="en-AU"/>
        </w:rPr>
        <w:sectPr w:rsidR="00AB74ED" w:rsidRPr="00C70367" w:rsidSect="00654603">
          <w:headerReference w:type="default" r:id="rId23"/>
          <w:pgSz w:w="11906" w:h="16838"/>
          <w:pgMar w:top="1276" w:right="1440" w:bottom="1440" w:left="1440" w:header="708" w:footer="708" w:gutter="0"/>
          <w:cols w:space="708"/>
          <w:docGrid w:linePitch="360"/>
        </w:sectPr>
      </w:pPr>
    </w:p>
    <w:p w14:paraId="3AA39E75" w14:textId="77777777" w:rsidR="008F4636" w:rsidRPr="00C70367" w:rsidRDefault="008F4636" w:rsidP="00E0410D">
      <w:pPr>
        <w:spacing w:before="280" w:after="120" w:line="240" w:lineRule="atLeast"/>
        <w:rPr>
          <w:rFonts w:ascii="Times New Roman" w:hAnsi="Times New Roman" w:cs="Times New Roman"/>
          <w:b/>
          <w:sz w:val="24"/>
          <w:szCs w:val="28"/>
        </w:rPr>
      </w:pPr>
      <w:r w:rsidRPr="00C70367">
        <w:rPr>
          <w:rFonts w:ascii="Times New Roman" w:hAnsi="Times New Roman" w:cs="Times New Roman"/>
          <w:b/>
          <w:sz w:val="24"/>
          <w:szCs w:val="28"/>
        </w:rPr>
        <w:lastRenderedPageBreak/>
        <w:t>Endnote 3—Legislation history</w:t>
      </w:r>
    </w:p>
    <w:p w14:paraId="3202C246" w14:textId="77777777" w:rsidR="008F4636" w:rsidRPr="00C70367" w:rsidRDefault="008F4636" w:rsidP="00E0410D">
      <w:pPr>
        <w:pStyle w:val="ENotesText"/>
        <w:spacing w:before="60" w:line="240" w:lineRule="atLeast"/>
      </w:pPr>
    </w:p>
    <w:tbl>
      <w:tblPr>
        <w:tblW w:w="4947" w:type="pct"/>
        <w:tblBorders>
          <w:top w:val="single" w:sz="4" w:space="0" w:color="auto"/>
          <w:bottom w:val="single" w:sz="2" w:space="0" w:color="auto"/>
          <w:insideH w:val="single" w:sz="4" w:space="0" w:color="auto"/>
        </w:tblBorders>
        <w:tblLook w:val="0000" w:firstRow="0" w:lastRow="0" w:firstColumn="0" w:lastColumn="0" w:noHBand="0" w:noVBand="0"/>
      </w:tblPr>
      <w:tblGrid>
        <w:gridCol w:w="2978"/>
        <w:gridCol w:w="1984"/>
        <w:gridCol w:w="1986"/>
        <w:gridCol w:w="1982"/>
      </w:tblGrid>
      <w:tr w:rsidR="008F4636" w:rsidRPr="00C70367" w14:paraId="5087C2EC" w14:textId="77777777" w:rsidTr="00AF4F31">
        <w:trPr>
          <w:cantSplit/>
          <w:tblHeader/>
        </w:trPr>
        <w:tc>
          <w:tcPr>
            <w:tcW w:w="1667" w:type="pct"/>
            <w:tcBorders>
              <w:top w:val="single" w:sz="12" w:space="0" w:color="auto"/>
              <w:bottom w:val="single" w:sz="12" w:space="0" w:color="auto"/>
            </w:tcBorders>
            <w:shd w:val="clear" w:color="auto" w:fill="auto"/>
          </w:tcPr>
          <w:p w14:paraId="2EE3D41E" w14:textId="4C5BE82B" w:rsidR="008F4636" w:rsidRPr="00C70367" w:rsidRDefault="008C0552" w:rsidP="00745DF1">
            <w:pPr>
              <w:pStyle w:val="ENoteTableHeading"/>
              <w:rPr>
                <w:rFonts w:cs="Arial"/>
              </w:rPr>
            </w:pPr>
            <w:r w:rsidRPr="00C70367">
              <w:rPr>
                <w:rFonts w:cs="Arial"/>
              </w:rPr>
              <w:t>Name</w:t>
            </w:r>
          </w:p>
        </w:tc>
        <w:tc>
          <w:tcPr>
            <w:tcW w:w="1111" w:type="pct"/>
            <w:tcBorders>
              <w:top w:val="single" w:sz="12" w:space="0" w:color="auto"/>
              <w:bottom w:val="single" w:sz="12" w:space="0" w:color="auto"/>
            </w:tcBorders>
            <w:shd w:val="clear" w:color="auto" w:fill="auto"/>
          </w:tcPr>
          <w:p w14:paraId="754D50D2" w14:textId="77777777" w:rsidR="008F4636" w:rsidRPr="00C70367" w:rsidRDefault="008F4636" w:rsidP="00745DF1">
            <w:pPr>
              <w:pStyle w:val="ENoteTableHeading"/>
              <w:rPr>
                <w:rFonts w:cs="Arial"/>
              </w:rPr>
            </w:pPr>
            <w:r w:rsidRPr="00C70367">
              <w:rPr>
                <w:rFonts w:cs="Arial"/>
              </w:rPr>
              <w:t>Registration</w:t>
            </w:r>
          </w:p>
        </w:tc>
        <w:tc>
          <w:tcPr>
            <w:tcW w:w="1112" w:type="pct"/>
            <w:tcBorders>
              <w:top w:val="single" w:sz="12" w:space="0" w:color="auto"/>
              <w:bottom w:val="single" w:sz="12" w:space="0" w:color="auto"/>
            </w:tcBorders>
            <w:shd w:val="clear" w:color="auto" w:fill="auto"/>
          </w:tcPr>
          <w:p w14:paraId="322284E5" w14:textId="77777777" w:rsidR="008F4636" w:rsidRPr="00C70367" w:rsidRDefault="008F4636" w:rsidP="00745DF1">
            <w:pPr>
              <w:pStyle w:val="ENoteTableHeading"/>
              <w:rPr>
                <w:rFonts w:cs="Arial"/>
              </w:rPr>
            </w:pPr>
            <w:r w:rsidRPr="00C70367">
              <w:rPr>
                <w:rFonts w:cs="Arial"/>
              </w:rPr>
              <w:t>Commencement</w:t>
            </w:r>
          </w:p>
        </w:tc>
        <w:tc>
          <w:tcPr>
            <w:tcW w:w="1110" w:type="pct"/>
            <w:tcBorders>
              <w:top w:val="single" w:sz="12" w:space="0" w:color="auto"/>
              <w:bottom w:val="single" w:sz="12" w:space="0" w:color="auto"/>
            </w:tcBorders>
            <w:shd w:val="clear" w:color="auto" w:fill="auto"/>
          </w:tcPr>
          <w:p w14:paraId="715121BA" w14:textId="77777777" w:rsidR="008F4636" w:rsidRPr="00C70367" w:rsidRDefault="008F4636" w:rsidP="00745DF1">
            <w:pPr>
              <w:pStyle w:val="ENoteTableHeading"/>
              <w:rPr>
                <w:rFonts w:cs="Arial"/>
              </w:rPr>
            </w:pPr>
            <w:r w:rsidRPr="00C70367">
              <w:rPr>
                <w:rFonts w:cs="Arial"/>
              </w:rPr>
              <w:t>Application, saving and transitional provisions</w:t>
            </w:r>
          </w:p>
        </w:tc>
      </w:tr>
      <w:tr w:rsidR="008F4636" w:rsidRPr="00C70367" w14:paraId="579D048A" w14:textId="77777777" w:rsidTr="00AF4F31">
        <w:trPr>
          <w:cantSplit/>
        </w:trPr>
        <w:tc>
          <w:tcPr>
            <w:tcW w:w="1667" w:type="pct"/>
            <w:tcBorders>
              <w:top w:val="single" w:sz="4" w:space="0" w:color="auto"/>
              <w:bottom w:val="single" w:sz="4" w:space="0" w:color="auto"/>
            </w:tcBorders>
            <w:shd w:val="clear" w:color="auto" w:fill="auto"/>
          </w:tcPr>
          <w:p w14:paraId="034DB65F" w14:textId="02828192" w:rsidR="008F4636" w:rsidRPr="0085125B" w:rsidRDefault="009B4F90" w:rsidP="00745DF1">
            <w:pPr>
              <w:pStyle w:val="ENoteTableText"/>
              <w:rPr>
                <w:i/>
                <w:iCs/>
              </w:rPr>
            </w:pPr>
            <w:r w:rsidRPr="0085125B">
              <w:rPr>
                <w:i/>
                <w:iCs/>
              </w:rPr>
              <w:t>Radiocommunications (Spectrum Licence Tax) Determination 2021</w:t>
            </w:r>
          </w:p>
        </w:tc>
        <w:tc>
          <w:tcPr>
            <w:tcW w:w="1111" w:type="pct"/>
            <w:tcBorders>
              <w:top w:val="single" w:sz="4" w:space="0" w:color="auto"/>
              <w:bottom w:val="single" w:sz="4" w:space="0" w:color="auto"/>
            </w:tcBorders>
            <w:shd w:val="clear" w:color="auto" w:fill="auto"/>
          </w:tcPr>
          <w:p w14:paraId="3735F94C" w14:textId="03162996" w:rsidR="008F4636" w:rsidRPr="00C70367" w:rsidRDefault="00D1748B" w:rsidP="001C3C1C">
            <w:pPr>
              <w:pStyle w:val="ENoteTableText"/>
            </w:pPr>
            <w:r>
              <w:t>13 September 2021</w:t>
            </w:r>
            <w:r>
              <w:br/>
              <w:t>(see F2021L01256)</w:t>
            </w:r>
          </w:p>
        </w:tc>
        <w:tc>
          <w:tcPr>
            <w:tcW w:w="1112" w:type="pct"/>
            <w:tcBorders>
              <w:top w:val="single" w:sz="4" w:space="0" w:color="auto"/>
              <w:bottom w:val="single" w:sz="4" w:space="0" w:color="auto"/>
            </w:tcBorders>
            <w:shd w:val="clear" w:color="auto" w:fill="auto"/>
          </w:tcPr>
          <w:p w14:paraId="2CA9AF74" w14:textId="2AED7AEF" w:rsidR="008F4636" w:rsidRPr="00C70367" w:rsidRDefault="00D1748B" w:rsidP="00745DF1">
            <w:pPr>
              <w:pStyle w:val="ENoteTableText"/>
            </w:pPr>
            <w:r>
              <w:t>14 September 2021</w:t>
            </w:r>
          </w:p>
        </w:tc>
        <w:tc>
          <w:tcPr>
            <w:tcW w:w="1110" w:type="pct"/>
            <w:tcBorders>
              <w:top w:val="single" w:sz="4" w:space="0" w:color="auto"/>
              <w:bottom w:val="single" w:sz="4" w:space="0" w:color="auto"/>
            </w:tcBorders>
            <w:shd w:val="clear" w:color="auto" w:fill="auto"/>
          </w:tcPr>
          <w:p w14:paraId="04BCBCA0" w14:textId="153A8AF1" w:rsidR="008F4636" w:rsidRPr="00C70367" w:rsidRDefault="008F4636" w:rsidP="00745DF1">
            <w:pPr>
              <w:pStyle w:val="ENoteTableText"/>
            </w:pPr>
          </w:p>
        </w:tc>
      </w:tr>
      <w:tr w:rsidR="00C72D74" w:rsidRPr="00C70367" w14:paraId="52CB8573" w14:textId="77777777" w:rsidTr="00C70367">
        <w:trPr>
          <w:cantSplit/>
        </w:trPr>
        <w:tc>
          <w:tcPr>
            <w:tcW w:w="1667" w:type="pct"/>
            <w:tcBorders>
              <w:top w:val="single" w:sz="4" w:space="0" w:color="auto"/>
              <w:bottom w:val="single" w:sz="4" w:space="0" w:color="auto"/>
            </w:tcBorders>
            <w:shd w:val="clear" w:color="auto" w:fill="auto"/>
          </w:tcPr>
          <w:p w14:paraId="55C292DD" w14:textId="57DE9EC0" w:rsidR="00C72D74" w:rsidRPr="0085125B" w:rsidRDefault="00200097" w:rsidP="00C72D74">
            <w:pPr>
              <w:pStyle w:val="ENoteTableText"/>
              <w:rPr>
                <w:i/>
                <w:iCs/>
              </w:rPr>
            </w:pPr>
            <w:r w:rsidRPr="0085125B">
              <w:rPr>
                <w:i/>
                <w:iCs/>
              </w:rPr>
              <w:t>Radiocommunications (Spectrum Licence Tax) Amendment Determination 2022 (No.1)</w:t>
            </w:r>
          </w:p>
        </w:tc>
        <w:tc>
          <w:tcPr>
            <w:tcW w:w="1111" w:type="pct"/>
            <w:tcBorders>
              <w:top w:val="single" w:sz="4" w:space="0" w:color="auto"/>
              <w:bottom w:val="single" w:sz="4" w:space="0" w:color="auto"/>
            </w:tcBorders>
            <w:shd w:val="clear" w:color="auto" w:fill="auto"/>
          </w:tcPr>
          <w:p w14:paraId="24890DAA" w14:textId="2CB0F13B" w:rsidR="00C72D74" w:rsidRPr="00C70367" w:rsidRDefault="00C2326C" w:rsidP="00C72D74">
            <w:pPr>
              <w:pStyle w:val="ENoteTableText"/>
            </w:pPr>
            <w:r>
              <w:t>4 October 2022</w:t>
            </w:r>
            <w:r>
              <w:br/>
              <w:t>(see F2022L01318)</w:t>
            </w:r>
          </w:p>
        </w:tc>
        <w:tc>
          <w:tcPr>
            <w:tcW w:w="1112" w:type="pct"/>
            <w:tcBorders>
              <w:top w:val="single" w:sz="4" w:space="0" w:color="auto"/>
              <w:bottom w:val="single" w:sz="4" w:space="0" w:color="auto"/>
            </w:tcBorders>
            <w:shd w:val="clear" w:color="auto" w:fill="auto"/>
          </w:tcPr>
          <w:p w14:paraId="38DE0362" w14:textId="3170B0C6" w:rsidR="00C72D74" w:rsidRPr="00C70367" w:rsidRDefault="00C2326C" w:rsidP="00165F20">
            <w:pPr>
              <w:pStyle w:val="ENoteTableText"/>
            </w:pPr>
            <w:r>
              <w:t>5 October 2022</w:t>
            </w:r>
          </w:p>
        </w:tc>
        <w:tc>
          <w:tcPr>
            <w:tcW w:w="1110" w:type="pct"/>
            <w:tcBorders>
              <w:top w:val="single" w:sz="4" w:space="0" w:color="auto"/>
              <w:bottom w:val="single" w:sz="4" w:space="0" w:color="auto"/>
            </w:tcBorders>
            <w:shd w:val="clear" w:color="auto" w:fill="auto"/>
          </w:tcPr>
          <w:p w14:paraId="38348B29" w14:textId="77777777" w:rsidR="00C72D74" w:rsidRPr="00C70367" w:rsidRDefault="00C72D74" w:rsidP="00C72D74">
            <w:pPr>
              <w:pStyle w:val="ENoteTableText"/>
            </w:pPr>
          </w:p>
        </w:tc>
      </w:tr>
      <w:tr w:rsidR="00C72D74" w:rsidRPr="00C70367" w14:paraId="5AD5714A" w14:textId="77777777" w:rsidTr="00C70367">
        <w:trPr>
          <w:cantSplit/>
        </w:trPr>
        <w:tc>
          <w:tcPr>
            <w:tcW w:w="1667" w:type="pct"/>
            <w:tcBorders>
              <w:top w:val="single" w:sz="4" w:space="0" w:color="auto"/>
              <w:bottom w:val="single" w:sz="4" w:space="0" w:color="auto"/>
            </w:tcBorders>
            <w:shd w:val="clear" w:color="auto" w:fill="auto"/>
          </w:tcPr>
          <w:p w14:paraId="0CD3D53E" w14:textId="2355E8F8" w:rsidR="00C72D74" w:rsidRPr="00654603" w:rsidRDefault="009B4737" w:rsidP="00C72D74">
            <w:pPr>
              <w:pStyle w:val="ENoteTableText"/>
              <w:rPr>
                <w:i/>
                <w:iCs/>
              </w:rPr>
            </w:pPr>
            <w:r>
              <w:rPr>
                <w:i/>
                <w:iCs/>
              </w:rPr>
              <w:t>Radiocommunications (Spectrum Licence Tax) Amendment Determination 2023 (No.1)</w:t>
            </w:r>
          </w:p>
        </w:tc>
        <w:tc>
          <w:tcPr>
            <w:tcW w:w="1111" w:type="pct"/>
            <w:tcBorders>
              <w:top w:val="single" w:sz="4" w:space="0" w:color="auto"/>
              <w:bottom w:val="single" w:sz="4" w:space="0" w:color="auto"/>
            </w:tcBorders>
            <w:shd w:val="clear" w:color="auto" w:fill="auto"/>
          </w:tcPr>
          <w:p w14:paraId="35A85137" w14:textId="08F869F8" w:rsidR="00C72D74" w:rsidRPr="00C70367" w:rsidRDefault="000B406F" w:rsidP="00C72D74">
            <w:pPr>
              <w:pStyle w:val="ENoteTableText"/>
            </w:pPr>
            <w:r>
              <w:t>8 September 2023</w:t>
            </w:r>
            <w:r>
              <w:br/>
              <w:t>(see F2023L01215)</w:t>
            </w:r>
          </w:p>
        </w:tc>
        <w:tc>
          <w:tcPr>
            <w:tcW w:w="1112" w:type="pct"/>
            <w:tcBorders>
              <w:top w:val="single" w:sz="4" w:space="0" w:color="auto"/>
              <w:bottom w:val="single" w:sz="4" w:space="0" w:color="auto"/>
            </w:tcBorders>
            <w:shd w:val="clear" w:color="auto" w:fill="auto"/>
          </w:tcPr>
          <w:p w14:paraId="15406C79" w14:textId="6D5F5451" w:rsidR="00C72D74" w:rsidRPr="00C70367" w:rsidRDefault="000B406F" w:rsidP="00C72D74">
            <w:pPr>
              <w:pStyle w:val="ENoteTableText"/>
            </w:pPr>
            <w:r>
              <w:t>9 September 2023</w:t>
            </w:r>
          </w:p>
        </w:tc>
        <w:tc>
          <w:tcPr>
            <w:tcW w:w="1110" w:type="pct"/>
            <w:tcBorders>
              <w:top w:val="single" w:sz="4" w:space="0" w:color="auto"/>
              <w:bottom w:val="single" w:sz="4" w:space="0" w:color="auto"/>
            </w:tcBorders>
            <w:shd w:val="clear" w:color="auto" w:fill="auto"/>
          </w:tcPr>
          <w:p w14:paraId="638E07FD" w14:textId="1B5D063A" w:rsidR="00C72D74" w:rsidRPr="00C70367" w:rsidRDefault="00C72D74" w:rsidP="00C72D74">
            <w:pPr>
              <w:pStyle w:val="ENoteTableText"/>
            </w:pPr>
          </w:p>
        </w:tc>
      </w:tr>
      <w:tr w:rsidR="00C72D74" w:rsidRPr="00C70367" w14:paraId="180319C7" w14:textId="77777777" w:rsidTr="00C70367">
        <w:trPr>
          <w:cantSplit/>
        </w:trPr>
        <w:tc>
          <w:tcPr>
            <w:tcW w:w="1667" w:type="pct"/>
            <w:shd w:val="clear" w:color="auto" w:fill="auto"/>
          </w:tcPr>
          <w:p w14:paraId="1BBECB6A" w14:textId="1F07AAB8" w:rsidR="00C72D74" w:rsidRPr="006D637F" w:rsidRDefault="007336FF" w:rsidP="00C72D74">
            <w:pPr>
              <w:pStyle w:val="ENoteTableText"/>
              <w:rPr>
                <w:i/>
                <w:iCs/>
              </w:rPr>
            </w:pPr>
            <w:r w:rsidRPr="006D637F">
              <w:rPr>
                <w:i/>
                <w:iCs/>
              </w:rPr>
              <w:t>Radiocommunications (Spectrum Licence Tax) Amendment Determination 2024 (No. 1)</w:t>
            </w:r>
          </w:p>
        </w:tc>
        <w:tc>
          <w:tcPr>
            <w:tcW w:w="1111" w:type="pct"/>
            <w:shd w:val="clear" w:color="auto" w:fill="auto"/>
          </w:tcPr>
          <w:p w14:paraId="018E6A58" w14:textId="0D5373A9" w:rsidR="00C72D74" w:rsidRPr="00C70367" w:rsidRDefault="007336FF" w:rsidP="00C72D74">
            <w:pPr>
              <w:pStyle w:val="ENoteTableText"/>
            </w:pPr>
            <w:r>
              <w:t>12 September 2024</w:t>
            </w:r>
            <w:r>
              <w:br/>
              <w:t>(see F2024L</w:t>
            </w:r>
            <w:r w:rsidR="00D47486">
              <w:t>01146)</w:t>
            </w:r>
          </w:p>
        </w:tc>
        <w:tc>
          <w:tcPr>
            <w:tcW w:w="1112" w:type="pct"/>
            <w:shd w:val="clear" w:color="auto" w:fill="auto"/>
          </w:tcPr>
          <w:p w14:paraId="4F92545C" w14:textId="2EE8FC7A" w:rsidR="00C72D74" w:rsidRPr="00C70367" w:rsidRDefault="00D47486" w:rsidP="00C72D74">
            <w:pPr>
              <w:pStyle w:val="ENoteTableText"/>
            </w:pPr>
            <w:r>
              <w:t>13 September 2024</w:t>
            </w:r>
          </w:p>
        </w:tc>
        <w:tc>
          <w:tcPr>
            <w:tcW w:w="1110" w:type="pct"/>
            <w:shd w:val="clear" w:color="auto" w:fill="auto"/>
          </w:tcPr>
          <w:p w14:paraId="3BBB3593" w14:textId="77777777" w:rsidR="00C72D74" w:rsidRPr="00C70367" w:rsidRDefault="00C72D74" w:rsidP="00C72D74">
            <w:pPr>
              <w:pStyle w:val="ENoteTableText"/>
            </w:pPr>
          </w:p>
        </w:tc>
      </w:tr>
      <w:tr w:rsidR="00C72D74" w:rsidRPr="00C70367" w14:paraId="7468A81F" w14:textId="77777777" w:rsidTr="00C70367">
        <w:trPr>
          <w:cantSplit/>
        </w:trPr>
        <w:tc>
          <w:tcPr>
            <w:tcW w:w="1667" w:type="pct"/>
            <w:tcBorders>
              <w:bottom w:val="single" w:sz="12" w:space="0" w:color="auto"/>
            </w:tcBorders>
            <w:shd w:val="clear" w:color="auto" w:fill="auto"/>
          </w:tcPr>
          <w:p w14:paraId="4A00A4CF" w14:textId="77777777" w:rsidR="00C72D74" w:rsidRPr="00C70367" w:rsidRDefault="00C72D74" w:rsidP="00C72D74">
            <w:pPr>
              <w:pStyle w:val="ENoteTableText"/>
            </w:pPr>
          </w:p>
        </w:tc>
        <w:tc>
          <w:tcPr>
            <w:tcW w:w="1111" w:type="pct"/>
            <w:tcBorders>
              <w:bottom w:val="single" w:sz="12" w:space="0" w:color="auto"/>
            </w:tcBorders>
            <w:shd w:val="clear" w:color="auto" w:fill="auto"/>
          </w:tcPr>
          <w:p w14:paraId="15BF77E9" w14:textId="77777777" w:rsidR="00C72D74" w:rsidRPr="00C70367" w:rsidRDefault="00C72D74" w:rsidP="00C72D74">
            <w:pPr>
              <w:pStyle w:val="ENoteTableText"/>
            </w:pPr>
          </w:p>
        </w:tc>
        <w:tc>
          <w:tcPr>
            <w:tcW w:w="1112" w:type="pct"/>
            <w:tcBorders>
              <w:bottom w:val="single" w:sz="12" w:space="0" w:color="auto"/>
            </w:tcBorders>
            <w:shd w:val="clear" w:color="auto" w:fill="auto"/>
          </w:tcPr>
          <w:p w14:paraId="6D67EFE5" w14:textId="77777777" w:rsidR="00C72D74" w:rsidRPr="00C70367" w:rsidRDefault="00C72D74" w:rsidP="00C72D74">
            <w:pPr>
              <w:pStyle w:val="ENoteTableText"/>
            </w:pPr>
          </w:p>
        </w:tc>
        <w:tc>
          <w:tcPr>
            <w:tcW w:w="1110" w:type="pct"/>
            <w:tcBorders>
              <w:bottom w:val="single" w:sz="12" w:space="0" w:color="auto"/>
            </w:tcBorders>
            <w:shd w:val="clear" w:color="auto" w:fill="auto"/>
          </w:tcPr>
          <w:p w14:paraId="476B249E" w14:textId="77777777" w:rsidR="00C72D74" w:rsidRPr="00C70367" w:rsidRDefault="00C72D74" w:rsidP="00C72D74">
            <w:pPr>
              <w:pStyle w:val="ENoteTableText"/>
            </w:pPr>
          </w:p>
        </w:tc>
      </w:tr>
    </w:tbl>
    <w:p w14:paraId="46EF1ACC" w14:textId="77777777" w:rsidR="008F4636" w:rsidRPr="00C70367" w:rsidRDefault="008F4636" w:rsidP="00C70367">
      <w:pPr>
        <w:pStyle w:val="ENotesHeading2"/>
        <w:spacing w:before="280" w:line="240" w:lineRule="atLeast"/>
        <w:outlineLvl w:val="9"/>
      </w:pPr>
      <w:r w:rsidRPr="00C70367">
        <w:t>Endnote 4—Amendment history</w:t>
      </w:r>
    </w:p>
    <w:p w14:paraId="5DE3D9FA" w14:textId="77777777" w:rsidR="008F4636" w:rsidRPr="00C70367" w:rsidRDefault="008F4636" w:rsidP="008F4636">
      <w:pPr>
        <w:pStyle w:val="Tabletext"/>
      </w:pPr>
    </w:p>
    <w:tbl>
      <w:tblPr>
        <w:tblW w:w="5000" w:type="pct"/>
        <w:tblLook w:val="0000" w:firstRow="0" w:lastRow="0" w:firstColumn="0" w:lastColumn="0" w:noHBand="0" w:noVBand="0"/>
      </w:tblPr>
      <w:tblGrid>
        <w:gridCol w:w="3091"/>
        <w:gridCol w:w="7"/>
        <w:gridCol w:w="5928"/>
      </w:tblGrid>
      <w:tr w:rsidR="008F4636" w:rsidRPr="00C70367" w14:paraId="5582CE99" w14:textId="77777777" w:rsidTr="00745DF1">
        <w:trPr>
          <w:cantSplit/>
          <w:tblHeader/>
        </w:trPr>
        <w:tc>
          <w:tcPr>
            <w:tcW w:w="1712" w:type="pct"/>
            <w:tcBorders>
              <w:top w:val="single" w:sz="12" w:space="0" w:color="auto"/>
              <w:bottom w:val="single" w:sz="12" w:space="0" w:color="auto"/>
            </w:tcBorders>
            <w:shd w:val="clear" w:color="auto" w:fill="auto"/>
          </w:tcPr>
          <w:p w14:paraId="092E2BCF" w14:textId="77777777" w:rsidR="008F4636" w:rsidRPr="00C70367" w:rsidRDefault="008F4636" w:rsidP="00745DF1">
            <w:pPr>
              <w:pStyle w:val="ENoteTableHeading"/>
              <w:rPr>
                <w:rFonts w:cs="Arial"/>
              </w:rPr>
            </w:pPr>
            <w:r w:rsidRPr="00C70367">
              <w:rPr>
                <w:rFonts w:cs="Arial"/>
              </w:rPr>
              <w:t>Provision affected</w:t>
            </w:r>
          </w:p>
        </w:tc>
        <w:tc>
          <w:tcPr>
            <w:tcW w:w="3288" w:type="pct"/>
            <w:gridSpan w:val="2"/>
            <w:tcBorders>
              <w:top w:val="single" w:sz="12" w:space="0" w:color="auto"/>
              <w:bottom w:val="single" w:sz="12" w:space="0" w:color="auto"/>
            </w:tcBorders>
            <w:shd w:val="clear" w:color="auto" w:fill="auto"/>
          </w:tcPr>
          <w:p w14:paraId="4B534B76" w14:textId="77777777" w:rsidR="008F4636" w:rsidRPr="00C70367" w:rsidRDefault="008F4636" w:rsidP="00745DF1">
            <w:pPr>
              <w:pStyle w:val="ENoteTableHeading"/>
              <w:rPr>
                <w:rFonts w:cs="Arial"/>
              </w:rPr>
            </w:pPr>
            <w:r w:rsidRPr="00C70367">
              <w:rPr>
                <w:rFonts w:cs="Arial"/>
              </w:rPr>
              <w:t>How affected</w:t>
            </w:r>
          </w:p>
        </w:tc>
      </w:tr>
      <w:tr w:rsidR="008F4636" w:rsidRPr="00C70367" w14:paraId="28B2B18D" w14:textId="77777777" w:rsidTr="00745DF1">
        <w:tc>
          <w:tcPr>
            <w:tcW w:w="1716" w:type="pct"/>
            <w:gridSpan w:val="2"/>
          </w:tcPr>
          <w:p w14:paraId="78B3F911" w14:textId="3324D408" w:rsidR="008F4636" w:rsidRPr="00C70367" w:rsidRDefault="00656C81" w:rsidP="00745DF1">
            <w:pPr>
              <w:pStyle w:val="ENoteTableText"/>
              <w:tabs>
                <w:tab w:val="center" w:leader="dot" w:pos="2268"/>
              </w:tabs>
            </w:pPr>
            <w:r>
              <w:t>s.</w:t>
            </w:r>
            <w:r w:rsidR="001D5BE8">
              <w:t>2</w:t>
            </w:r>
            <w:r w:rsidR="001D5BE8">
              <w:tab/>
            </w:r>
          </w:p>
        </w:tc>
        <w:tc>
          <w:tcPr>
            <w:tcW w:w="3284" w:type="pct"/>
          </w:tcPr>
          <w:p w14:paraId="2B66FADD" w14:textId="5C286334" w:rsidR="008F4636" w:rsidRPr="00C70367" w:rsidRDefault="001D5BE8" w:rsidP="003C2DB5">
            <w:pPr>
              <w:pStyle w:val="ENoteTableText"/>
            </w:pPr>
            <w:r>
              <w:t>rep. LA s.48D</w:t>
            </w:r>
          </w:p>
        </w:tc>
      </w:tr>
      <w:tr w:rsidR="008F4636" w:rsidRPr="00C70367" w14:paraId="2B300A5E" w14:textId="77777777" w:rsidTr="00745DF1">
        <w:tc>
          <w:tcPr>
            <w:tcW w:w="1716" w:type="pct"/>
            <w:gridSpan w:val="2"/>
          </w:tcPr>
          <w:p w14:paraId="60E51340" w14:textId="78E293EE" w:rsidR="008F4636" w:rsidRPr="00C70367" w:rsidRDefault="001D5BE8" w:rsidP="00745DF1">
            <w:pPr>
              <w:pStyle w:val="ENoteTableText"/>
              <w:tabs>
                <w:tab w:val="center" w:leader="dot" w:pos="2268"/>
              </w:tabs>
              <w:rPr>
                <w:bCs/>
              </w:rPr>
            </w:pPr>
            <w:r>
              <w:rPr>
                <w:bCs/>
              </w:rPr>
              <w:t>s.4</w:t>
            </w:r>
            <w:r>
              <w:rPr>
                <w:bCs/>
              </w:rPr>
              <w:tab/>
            </w:r>
          </w:p>
        </w:tc>
        <w:tc>
          <w:tcPr>
            <w:tcW w:w="3284" w:type="pct"/>
          </w:tcPr>
          <w:p w14:paraId="4F2074DC" w14:textId="6D9F61FD" w:rsidR="008F4636" w:rsidRPr="00C70367" w:rsidRDefault="001D5BE8" w:rsidP="00745DF1">
            <w:pPr>
              <w:pStyle w:val="ENoteTableText"/>
            </w:pPr>
            <w:r>
              <w:t>rep. LA s.48C</w:t>
            </w:r>
          </w:p>
        </w:tc>
      </w:tr>
      <w:tr w:rsidR="00D540B0" w:rsidRPr="00C70367" w14:paraId="4E7D1A2D" w14:textId="77777777" w:rsidTr="00745DF1">
        <w:tc>
          <w:tcPr>
            <w:tcW w:w="1716" w:type="pct"/>
            <w:gridSpan w:val="2"/>
          </w:tcPr>
          <w:p w14:paraId="2C5BAF11" w14:textId="78F1A01E" w:rsidR="00D540B0" w:rsidRPr="00C70367" w:rsidRDefault="00221432" w:rsidP="00D540B0">
            <w:pPr>
              <w:pStyle w:val="ENoteTableText"/>
              <w:tabs>
                <w:tab w:val="center" w:leader="dot" w:pos="2268"/>
              </w:tabs>
              <w:rPr>
                <w:bCs/>
              </w:rPr>
            </w:pPr>
            <w:r>
              <w:rPr>
                <w:bCs/>
              </w:rPr>
              <w:t xml:space="preserve">Schedule </w:t>
            </w:r>
            <w:r w:rsidR="0085125B">
              <w:rPr>
                <w:bCs/>
              </w:rPr>
              <w:t>1, Clause</w:t>
            </w:r>
            <w:r>
              <w:rPr>
                <w:bCs/>
              </w:rPr>
              <w:t xml:space="preserve"> 1</w:t>
            </w:r>
            <w:r>
              <w:rPr>
                <w:bCs/>
              </w:rPr>
              <w:tab/>
            </w:r>
          </w:p>
        </w:tc>
        <w:tc>
          <w:tcPr>
            <w:tcW w:w="3284" w:type="pct"/>
          </w:tcPr>
          <w:p w14:paraId="5457FC76" w14:textId="6BB98E13" w:rsidR="00D540B0" w:rsidRPr="00C70367" w:rsidRDefault="00221432" w:rsidP="00D540B0">
            <w:pPr>
              <w:pStyle w:val="ENoteTableText"/>
            </w:pPr>
            <w:r>
              <w:t>am. F2022L01318</w:t>
            </w:r>
          </w:p>
        </w:tc>
      </w:tr>
      <w:tr w:rsidR="00D540B0" w:rsidRPr="00C42EB4" w14:paraId="6EA29FD6" w14:textId="77777777" w:rsidTr="00745DF1">
        <w:tc>
          <w:tcPr>
            <w:tcW w:w="1716" w:type="pct"/>
            <w:gridSpan w:val="2"/>
          </w:tcPr>
          <w:p w14:paraId="1A9538A9" w14:textId="4EC5623F" w:rsidR="00D540B0" w:rsidRPr="00654603" w:rsidRDefault="00C42EB4" w:rsidP="00D540B0">
            <w:pPr>
              <w:pStyle w:val="ENoteTableText"/>
              <w:tabs>
                <w:tab w:val="center" w:leader="dot" w:pos="2268"/>
              </w:tabs>
            </w:pPr>
            <w:r w:rsidRPr="00654603">
              <w:t xml:space="preserve">Schedule 1, Clause </w:t>
            </w:r>
            <w:r w:rsidR="00554634">
              <w:t>2</w:t>
            </w:r>
            <w:r w:rsidRPr="00654603">
              <w:tab/>
            </w:r>
          </w:p>
        </w:tc>
        <w:tc>
          <w:tcPr>
            <w:tcW w:w="3284" w:type="pct"/>
          </w:tcPr>
          <w:p w14:paraId="69AB6084" w14:textId="04E6578C" w:rsidR="00D540B0" w:rsidRPr="00C42EB4" w:rsidRDefault="00C42EB4" w:rsidP="00D540B0">
            <w:pPr>
              <w:pStyle w:val="ENoteTableText"/>
            </w:pPr>
            <w:r w:rsidRPr="00C42EB4">
              <w:t>am. F2023L01215</w:t>
            </w:r>
          </w:p>
        </w:tc>
      </w:tr>
      <w:tr w:rsidR="00D540B0" w:rsidRPr="00C70367" w14:paraId="64D0882B" w14:textId="77777777" w:rsidTr="00745DF1">
        <w:tc>
          <w:tcPr>
            <w:tcW w:w="1716" w:type="pct"/>
            <w:gridSpan w:val="2"/>
          </w:tcPr>
          <w:p w14:paraId="6D0A87F2" w14:textId="5B2ACF8F" w:rsidR="00D540B0" w:rsidRPr="00C70367" w:rsidRDefault="007B0BFF" w:rsidP="00D540B0">
            <w:pPr>
              <w:pStyle w:val="ENoteTableText"/>
              <w:tabs>
                <w:tab w:val="center" w:leader="dot" w:pos="2268"/>
              </w:tabs>
            </w:pPr>
            <w:r>
              <w:t>Schedule 2, Clause 1</w:t>
            </w:r>
            <w:r>
              <w:tab/>
            </w:r>
          </w:p>
        </w:tc>
        <w:tc>
          <w:tcPr>
            <w:tcW w:w="3284" w:type="pct"/>
          </w:tcPr>
          <w:p w14:paraId="480E39E9" w14:textId="0F3A7FEA" w:rsidR="00D540B0" w:rsidRPr="00C70367" w:rsidRDefault="007B0BFF" w:rsidP="00D540B0">
            <w:pPr>
              <w:pStyle w:val="ENoteTableText"/>
            </w:pPr>
            <w:r>
              <w:t>am. F2023L01215</w:t>
            </w:r>
            <w:r w:rsidR="00D47486">
              <w:t>, am. F2024L01146</w:t>
            </w:r>
          </w:p>
        </w:tc>
      </w:tr>
      <w:tr w:rsidR="00D540B0" w:rsidRPr="00C70367" w14:paraId="24C9E2C4" w14:textId="77777777" w:rsidTr="00745DF1">
        <w:tc>
          <w:tcPr>
            <w:tcW w:w="1716" w:type="pct"/>
            <w:gridSpan w:val="2"/>
          </w:tcPr>
          <w:p w14:paraId="2F04C25F" w14:textId="08EF338E" w:rsidR="00D540B0" w:rsidRPr="00C70367" w:rsidRDefault="007B0BFF" w:rsidP="00D540B0">
            <w:pPr>
              <w:pStyle w:val="ENoteTableText"/>
              <w:tabs>
                <w:tab w:val="center" w:leader="dot" w:pos="2268"/>
              </w:tabs>
            </w:pPr>
            <w:r>
              <w:t>Schedule 2, Clause 2</w:t>
            </w:r>
            <w:r>
              <w:tab/>
            </w:r>
          </w:p>
        </w:tc>
        <w:tc>
          <w:tcPr>
            <w:tcW w:w="3284" w:type="pct"/>
          </w:tcPr>
          <w:p w14:paraId="64A18DCD" w14:textId="7EB4422B" w:rsidR="00D540B0" w:rsidRPr="00C70367" w:rsidRDefault="007B0BFF" w:rsidP="00D540B0">
            <w:pPr>
              <w:pStyle w:val="ENoteTableText"/>
              <w:tabs>
                <w:tab w:val="center" w:leader="dot" w:pos="2268"/>
              </w:tabs>
            </w:pPr>
            <w:r>
              <w:t>am. F2023L01215</w:t>
            </w:r>
          </w:p>
        </w:tc>
      </w:tr>
      <w:tr w:rsidR="00D540B0" w:rsidRPr="00FC70A7" w14:paraId="1032C3C8" w14:textId="77777777" w:rsidTr="00745DF1">
        <w:tc>
          <w:tcPr>
            <w:tcW w:w="1716" w:type="pct"/>
            <w:gridSpan w:val="2"/>
          </w:tcPr>
          <w:p w14:paraId="700D4541" w14:textId="48EF757A" w:rsidR="00D540B0" w:rsidRPr="00C70367" w:rsidRDefault="00D540B0" w:rsidP="00D540B0">
            <w:pPr>
              <w:pStyle w:val="ENoteTableText"/>
              <w:tabs>
                <w:tab w:val="center" w:leader="dot" w:pos="2268"/>
              </w:tabs>
            </w:pPr>
          </w:p>
        </w:tc>
        <w:tc>
          <w:tcPr>
            <w:tcW w:w="3284" w:type="pct"/>
          </w:tcPr>
          <w:p w14:paraId="4826B677" w14:textId="12D322EC" w:rsidR="00D540B0" w:rsidRPr="00C70367" w:rsidRDefault="00D540B0" w:rsidP="00D540B0">
            <w:pPr>
              <w:pStyle w:val="ENoteTableText"/>
              <w:tabs>
                <w:tab w:val="center" w:leader="dot" w:pos="2268"/>
              </w:tabs>
            </w:pPr>
          </w:p>
        </w:tc>
      </w:tr>
      <w:tr w:rsidR="00D540B0" w:rsidRPr="00FC70A7" w14:paraId="0816BC00" w14:textId="77777777" w:rsidTr="00745DF1">
        <w:tc>
          <w:tcPr>
            <w:tcW w:w="1716" w:type="pct"/>
            <w:gridSpan w:val="2"/>
          </w:tcPr>
          <w:p w14:paraId="6AD18B28" w14:textId="77777777" w:rsidR="00D540B0" w:rsidRPr="009A1EB8" w:rsidRDefault="00D540B0" w:rsidP="00D540B0">
            <w:pPr>
              <w:pStyle w:val="ENoteTableText"/>
              <w:tabs>
                <w:tab w:val="center" w:leader="dot" w:pos="2268"/>
              </w:tabs>
            </w:pPr>
          </w:p>
        </w:tc>
        <w:tc>
          <w:tcPr>
            <w:tcW w:w="3284" w:type="pct"/>
          </w:tcPr>
          <w:p w14:paraId="03D47199" w14:textId="77777777" w:rsidR="00D540B0" w:rsidRPr="00FC70A7" w:rsidRDefault="00D540B0" w:rsidP="00D540B0">
            <w:pPr>
              <w:pStyle w:val="ENoteTableText"/>
              <w:tabs>
                <w:tab w:val="center" w:leader="dot" w:pos="2268"/>
              </w:tabs>
            </w:pPr>
          </w:p>
        </w:tc>
      </w:tr>
      <w:tr w:rsidR="00D540B0" w:rsidRPr="00FC70A7" w14:paraId="46699FAF" w14:textId="77777777" w:rsidTr="00745DF1">
        <w:tc>
          <w:tcPr>
            <w:tcW w:w="1716" w:type="pct"/>
            <w:gridSpan w:val="2"/>
          </w:tcPr>
          <w:p w14:paraId="6B36EF10" w14:textId="77777777" w:rsidR="00D540B0" w:rsidRPr="009A1EB8" w:rsidRDefault="00D540B0" w:rsidP="00D540B0">
            <w:pPr>
              <w:pStyle w:val="ENoteTableText"/>
              <w:tabs>
                <w:tab w:val="center" w:leader="dot" w:pos="2268"/>
              </w:tabs>
            </w:pPr>
          </w:p>
        </w:tc>
        <w:tc>
          <w:tcPr>
            <w:tcW w:w="3284" w:type="pct"/>
          </w:tcPr>
          <w:p w14:paraId="357E3951" w14:textId="77777777" w:rsidR="00D540B0" w:rsidRPr="00FC70A7" w:rsidRDefault="00D540B0" w:rsidP="00D540B0">
            <w:pPr>
              <w:pStyle w:val="ENoteTableText"/>
              <w:tabs>
                <w:tab w:val="center" w:leader="dot" w:pos="2268"/>
              </w:tabs>
            </w:pPr>
          </w:p>
        </w:tc>
      </w:tr>
      <w:tr w:rsidR="00D540B0" w:rsidRPr="00FC70A7" w14:paraId="35A124A5" w14:textId="77777777" w:rsidTr="00745DF1">
        <w:tc>
          <w:tcPr>
            <w:tcW w:w="1716" w:type="pct"/>
            <w:gridSpan w:val="2"/>
            <w:tcBorders>
              <w:bottom w:val="single" w:sz="12" w:space="0" w:color="auto"/>
            </w:tcBorders>
          </w:tcPr>
          <w:p w14:paraId="5D1FCC72" w14:textId="77777777" w:rsidR="00D540B0" w:rsidRPr="00FC70A7" w:rsidRDefault="00D540B0" w:rsidP="00D540B0">
            <w:pPr>
              <w:rPr>
                <w:rFonts w:ascii="Arial" w:hAnsi="Arial" w:cs="Arial"/>
              </w:rPr>
            </w:pPr>
          </w:p>
        </w:tc>
        <w:tc>
          <w:tcPr>
            <w:tcW w:w="3284" w:type="pct"/>
            <w:tcBorders>
              <w:bottom w:val="single" w:sz="12" w:space="0" w:color="auto"/>
            </w:tcBorders>
          </w:tcPr>
          <w:p w14:paraId="27F32362" w14:textId="77777777" w:rsidR="00D540B0" w:rsidRPr="00FC70A7" w:rsidRDefault="00D540B0" w:rsidP="00D540B0">
            <w:pPr>
              <w:pStyle w:val="ENoteTableText"/>
            </w:pPr>
          </w:p>
        </w:tc>
      </w:tr>
    </w:tbl>
    <w:p w14:paraId="0E3E76AF" w14:textId="77777777" w:rsidR="00097890" w:rsidRPr="00097890" w:rsidRDefault="00097890" w:rsidP="00097890">
      <w:pPr>
        <w:rPr>
          <w:lang w:eastAsia="en-AU"/>
        </w:rPr>
      </w:pPr>
    </w:p>
    <w:sectPr w:rsidR="00097890" w:rsidRPr="00097890" w:rsidSect="00957210">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89F" w14:textId="77777777" w:rsidR="00FF1AFB" w:rsidRDefault="00FF1AFB" w:rsidP="0017734A">
      <w:pPr>
        <w:spacing w:after="0" w:line="240" w:lineRule="auto"/>
      </w:pPr>
      <w:r>
        <w:separator/>
      </w:r>
    </w:p>
  </w:endnote>
  <w:endnote w:type="continuationSeparator" w:id="0">
    <w:p w14:paraId="4D03152D" w14:textId="77777777" w:rsidR="00FF1AFB" w:rsidRDefault="00FF1AFB"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16CE" w14:textId="4581F8FB" w:rsidR="002F0E3F" w:rsidRDefault="002F0E3F" w:rsidP="00633ED4">
    <w:pPr>
      <w:pStyle w:val="Footer"/>
      <w:pBdr>
        <w:top w:val="single" w:sz="4" w:space="1" w:color="auto"/>
      </w:pBdr>
      <w:jc w:val="right"/>
    </w:pPr>
  </w:p>
  <w:p w14:paraId="4CCA0B2D" w14:textId="77777777" w:rsidR="00633ED4" w:rsidRDefault="00633ED4" w:rsidP="00633ED4">
    <w:pPr>
      <w:pStyle w:val="Footer"/>
      <w:pBdr>
        <w:top w:val="single" w:sz="4" w:space="1" w:color="auto"/>
      </w:pBdr>
      <w:jc w:val="right"/>
    </w:pPr>
  </w:p>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F3E3" w14:textId="77777777" w:rsidR="006F3DB2" w:rsidRPr="006F3DB2" w:rsidRDefault="0080431E" w:rsidP="006F3DB2">
    <w:pPr>
      <w:pStyle w:val="Footer"/>
      <w:pBdr>
        <w:top w:val="single" w:sz="4" w:space="1" w:color="auto"/>
      </w:pBdr>
      <w:jc w:val="center"/>
      <w:rPr>
        <w:rFonts w:ascii="Times New Roman" w:hAnsi="Times New Roman" w:cs="Times New Roman"/>
        <w:i/>
        <w:iCs/>
        <w:sz w:val="20"/>
        <w:szCs w:val="20"/>
        <w:lang w:val="en-US"/>
      </w:rPr>
    </w:pPr>
    <w:r w:rsidRPr="006F3DB2">
      <w:rPr>
        <w:rFonts w:ascii="Times New Roman" w:hAnsi="Times New Roman" w:cs="Times New Roman"/>
        <w:i/>
        <w:iCs/>
        <w:sz w:val="20"/>
        <w:szCs w:val="20"/>
        <w:lang w:val="en-US"/>
      </w:rPr>
      <w:t>Radiocommunications (Spectrum Licence Tax) Determination 2021</w:t>
    </w:r>
  </w:p>
  <w:p w14:paraId="527ECEE5" w14:textId="530CBBF8" w:rsidR="0080431E" w:rsidRPr="006F3DB2" w:rsidRDefault="0080431E" w:rsidP="006F3DB2">
    <w:pPr>
      <w:pStyle w:val="Footer"/>
      <w:pBdr>
        <w:top w:val="single" w:sz="4" w:space="1" w:color="auto"/>
      </w:pBdr>
      <w:jc w:val="center"/>
      <w:rPr>
        <w:rFonts w:ascii="Times New Roman" w:hAnsi="Times New Roman" w:cs="Times New Roman"/>
        <w:sz w:val="20"/>
        <w:szCs w:val="20"/>
        <w:lang w:val="en-US"/>
      </w:rPr>
    </w:pPr>
    <w:r w:rsidRPr="006F3DB2">
      <w:rPr>
        <w:rFonts w:ascii="Times New Roman" w:hAnsi="Times New Roman" w:cs="Times New Roman"/>
        <w:sz w:val="20"/>
        <w:szCs w:val="20"/>
        <w:lang w:val="en-US"/>
      </w:rPr>
      <w:t>Compilation No.</w:t>
    </w:r>
    <w:r w:rsidR="007F3BE4">
      <w:rPr>
        <w:rFonts w:ascii="Times New Roman" w:hAnsi="Times New Roman" w:cs="Times New Roman"/>
        <w:sz w:val="20"/>
        <w:szCs w:val="20"/>
        <w:lang w:val="en-US"/>
      </w:rPr>
      <w:t>3</w:t>
    </w:r>
    <w:r w:rsidRPr="006F3DB2">
      <w:rPr>
        <w:rFonts w:ascii="Times New Roman" w:hAnsi="Times New Roman" w:cs="Times New Roman"/>
        <w:sz w:val="20"/>
        <w:szCs w:val="20"/>
        <w:lang w:val="en-US"/>
      </w:rPr>
      <w:tab/>
    </w:r>
    <w:r w:rsidR="006F3DB2" w:rsidRPr="006F3DB2">
      <w:rPr>
        <w:rFonts w:ascii="Times New Roman" w:hAnsi="Times New Roman" w:cs="Times New Roman"/>
        <w:sz w:val="20"/>
        <w:szCs w:val="20"/>
        <w:lang w:val="en-US"/>
      </w:rPr>
      <w:t xml:space="preserve">Compilation </w:t>
    </w:r>
    <w:r w:rsidR="00061852">
      <w:rPr>
        <w:rFonts w:ascii="Times New Roman" w:hAnsi="Times New Roman" w:cs="Times New Roman"/>
        <w:sz w:val="20"/>
        <w:szCs w:val="20"/>
        <w:lang w:val="en-US"/>
      </w:rPr>
      <w:t xml:space="preserve">date: </w:t>
    </w:r>
    <w:r w:rsidR="007F3BE4">
      <w:rPr>
        <w:rFonts w:ascii="Times New Roman" w:hAnsi="Times New Roman" w:cs="Times New Roman"/>
        <w:sz w:val="20"/>
        <w:szCs w:val="20"/>
        <w:lang w:val="en-US"/>
      </w:rPr>
      <w:t>13</w:t>
    </w:r>
    <w:r w:rsidR="006D637F">
      <w:rPr>
        <w:rFonts w:ascii="Times New Roman" w:hAnsi="Times New Roman" w:cs="Times New Roman"/>
        <w:sz w:val="20"/>
        <w:szCs w:val="20"/>
        <w:lang w:val="en-US"/>
      </w:rPr>
      <w:t xml:space="preserve"> </w:t>
    </w:r>
    <w:r w:rsidR="00061852">
      <w:rPr>
        <w:rFonts w:ascii="Times New Roman" w:hAnsi="Times New Roman" w:cs="Times New Roman"/>
        <w:sz w:val="20"/>
        <w:szCs w:val="20"/>
        <w:lang w:val="en-US"/>
      </w:rPr>
      <w:t>September 202</w:t>
    </w:r>
    <w:r w:rsidR="007F3BE4">
      <w:rPr>
        <w:rFonts w:ascii="Times New Roman" w:hAnsi="Times New Roman" w:cs="Times New Roman"/>
        <w:sz w:val="20"/>
        <w:szCs w:val="20"/>
        <w:lang w:val="en-US"/>
      </w:rPr>
      <w:t>4</w:t>
    </w:r>
    <w:r w:rsidR="006F3DB2" w:rsidRPr="006F3DB2">
      <w:rPr>
        <w:rFonts w:ascii="Times New Roman" w:hAnsi="Times New Roman" w:cs="Times New Roman"/>
        <w:sz w:val="20"/>
        <w:szCs w:val="20"/>
        <w:lang w:val="en-US"/>
      </w:rPr>
      <w:tab/>
    </w:r>
    <w:r w:rsidR="006F3DB2" w:rsidRPr="006F3DB2">
      <w:rPr>
        <w:rFonts w:ascii="Times New Roman" w:hAnsi="Times New Roman" w:cs="Times New Roman"/>
        <w:sz w:val="20"/>
        <w:szCs w:val="20"/>
        <w:lang w:val="en-US"/>
      </w:rPr>
      <w:fldChar w:fldCharType="begin"/>
    </w:r>
    <w:r w:rsidR="006F3DB2" w:rsidRPr="006F3DB2">
      <w:rPr>
        <w:rFonts w:ascii="Times New Roman" w:hAnsi="Times New Roman" w:cs="Times New Roman"/>
        <w:sz w:val="20"/>
        <w:szCs w:val="20"/>
        <w:lang w:val="en-US"/>
      </w:rPr>
      <w:instrText xml:space="preserve"> PAGE   \* MERGEFORMAT </w:instrText>
    </w:r>
    <w:r w:rsidR="006F3DB2" w:rsidRPr="006F3DB2">
      <w:rPr>
        <w:rFonts w:ascii="Times New Roman" w:hAnsi="Times New Roman" w:cs="Times New Roman"/>
        <w:sz w:val="20"/>
        <w:szCs w:val="20"/>
        <w:lang w:val="en-US"/>
      </w:rPr>
      <w:fldChar w:fldCharType="separate"/>
    </w:r>
    <w:r w:rsidR="006F3DB2" w:rsidRPr="006F3DB2">
      <w:rPr>
        <w:rFonts w:ascii="Times New Roman" w:hAnsi="Times New Roman" w:cs="Times New Roman"/>
        <w:noProof/>
        <w:sz w:val="20"/>
        <w:szCs w:val="20"/>
        <w:lang w:val="en-US"/>
      </w:rPr>
      <w:t>1</w:t>
    </w:r>
    <w:r w:rsidR="006F3DB2" w:rsidRPr="006F3DB2">
      <w:rP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E787" w14:textId="77777777" w:rsidR="007B0AC2" w:rsidRPr="006F3DB2" w:rsidRDefault="007B0AC2" w:rsidP="007B0AC2">
    <w:pPr>
      <w:pStyle w:val="Footer"/>
      <w:pBdr>
        <w:top w:val="single" w:sz="4" w:space="1" w:color="auto"/>
      </w:pBdr>
      <w:jc w:val="center"/>
      <w:rPr>
        <w:rFonts w:ascii="Times New Roman" w:hAnsi="Times New Roman" w:cs="Times New Roman"/>
        <w:i/>
        <w:iCs/>
        <w:sz w:val="20"/>
        <w:szCs w:val="20"/>
        <w:lang w:val="en-US"/>
      </w:rPr>
    </w:pPr>
    <w:r w:rsidRPr="006F3DB2">
      <w:rPr>
        <w:rFonts w:ascii="Times New Roman" w:hAnsi="Times New Roman" w:cs="Times New Roman"/>
        <w:i/>
        <w:iCs/>
        <w:sz w:val="20"/>
        <w:szCs w:val="20"/>
        <w:lang w:val="en-US"/>
      </w:rPr>
      <w:t>Radiocommunications (Spectrum Licence Tax) Determination 2021</w:t>
    </w:r>
  </w:p>
  <w:p w14:paraId="4B11B396" w14:textId="2BC8853E" w:rsidR="007B0AC2" w:rsidRPr="007B0AC2" w:rsidRDefault="007B0AC2" w:rsidP="007B0AC2">
    <w:pPr>
      <w:pStyle w:val="Footer"/>
      <w:pBdr>
        <w:top w:val="single" w:sz="4" w:space="1" w:color="auto"/>
      </w:pBdr>
      <w:jc w:val="center"/>
      <w:rPr>
        <w:rFonts w:ascii="Times New Roman" w:hAnsi="Times New Roman" w:cs="Times New Roman"/>
        <w:sz w:val="20"/>
        <w:szCs w:val="20"/>
        <w:lang w:val="en-US"/>
      </w:rPr>
    </w:pPr>
    <w:r w:rsidRPr="006F3DB2">
      <w:rPr>
        <w:rFonts w:ascii="Times New Roman" w:hAnsi="Times New Roman" w:cs="Times New Roman"/>
        <w:sz w:val="20"/>
        <w:szCs w:val="20"/>
        <w:lang w:val="en-US"/>
      </w:rPr>
      <w:t>Compilation No.</w:t>
    </w:r>
    <w:r w:rsidR="00FF62F7">
      <w:rPr>
        <w:rFonts w:ascii="Times New Roman" w:hAnsi="Times New Roman" w:cs="Times New Roman"/>
        <w:sz w:val="20"/>
        <w:szCs w:val="20"/>
        <w:lang w:val="en-US"/>
      </w:rPr>
      <w:t>3</w:t>
    </w:r>
    <w:r w:rsidRPr="006F3DB2">
      <w:rPr>
        <w:rFonts w:ascii="Times New Roman" w:hAnsi="Times New Roman" w:cs="Times New Roman"/>
        <w:sz w:val="20"/>
        <w:szCs w:val="20"/>
        <w:lang w:val="en-US"/>
      </w:rPr>
      <w:tab/>
      <w:t>Compilation</w:t>
    </w:r>
    <w:r w:rsidR="00EF6DDA">
      <w:rPr>
        <w:rFonts w:ascii="Times New Roman" w:hAnsi="Times New Roman" w:cs="Times New Roman"/>
        <w:sz w:val="20"/>
        <w:szCs w:val="20"/>
        <w:lang w:val="en-US"/>
      </w:rPr>
      <w:t xml:space="preserve"> date: </w:t>
    </w:r>
    <w:r w:rsidR="00FF62F7">
      <w:rPr>
        <w:rFonts w:ascii="Times New Roman" w:hAnsi="Times New Roman" w:cs="Times New Roman"/>
        <w:sz w:val="20"/>
        <w:szCs w:val="20"/>
        <w:lang w:val="en-US"/>
      </w:rPr>
      <w:t>13</w:t>
    </w:r>
    <w:r w:rsidR="00EF6DDA">
      <w:rPr>
        <w:rFonts w:ascii="Times New Roman" w:hAnsi="Times New Roman" w:cs="Times New Roman"/>
        <w:sz w:val="20"/>
        <w:szCs w:val="20"/>
        <w:lang w:val="en-US"/>
      </w:rPr>
      <w:t xml:space="preserve"> September 202</w:t>
    </w:r>
    <w:r w:rsidR="00FF62F7">
      <w:rPr>
        <w:rFonts w:ascii="Times New Roman" w:hAnsi="Times New Roman" w:cs="Times New Roman"/>
        <w:sz w:val="20"/>
        <w:szCs w:val="20"/>
        <w:lang w:val="en-US"/>
      </w:rPr>
      <w:t>4</w:t>
    </w:r>
    <w:r w:rsidRPr="006F3DB2">
      <w:rPr>
        <w:rFonts w:ascii="Times New Roman" w:hAnsi="Times New Roman" w:cs="Times New Roman"/>
        <w:sz w:val="20"/>
        <w:szCs w:val="20"/>
        <w:lang w:val="en-US"/>
      </w:rPr>
      <w:tab/>
    </w:r>
    <w:r w:rsidRPr="006F3DB2">
      <w:rPr>
        <w:rFonts w:ascii="Times New Roman" w:hAnsi="Times New Roman" w:cs="Times New Roman"/>
        <w:sz w:val="20"/>
        <w:szCs w:val="20"/>
        <w:lang w:val="en-US"/>
      </w:rPr>
      <w:fldChar w:fldCharType="begin"/>
    </w:r>
    <w:r w:rsidRPr="006F3DB2">
      <w:rPr>
        <w:rFonts w:ascii="Times New Roman" w:hAnsi="Times New Roman" w:cs="Times New Roman"/>
        <w:sz w:val="20"/>
        <w:szCs w:val="20"/>
        <w:lang w:val="en-US"/>
      </w:rPr>
      <w:instrText xml:space="preserve"> PAGE   \* MERGEFORMAT </w:instrText>
    </w:r>
    <w:r w:rsidRPr="006F3DB2">
      <w:rPr>
        <w:rFonts w:ascii="Times New Roman" w:hAnsi="Times New Roman" w:cs="Times New Roman"/>
        <w:sz w:val="20"/>
        <w:szCs w:val="20"/>
        <w:lang w:val="en-US"/>
      </w:rPr>
      <w:fldChar w:fldCharType="separate"/>
    </w:r>
    <w:r>
      <w:rPr>
        <w:rFonts w:ascii="Times New Roman" w:hAnsi="Times New Roman" w:cs="Times New Roman"/>
        <w:sz w:val="20"/>
        <w:szCs w:val="20"/>
        <w:lang w:val="en-US"/>
      </w:rPr>
      <w:t>2</w:t>
    </w:r>
    <w:r w:rsidRPr="006F3DB2">
      <w:rP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7FEC" w14:textId="77777777" w:rsidR="00FF1AFB" w:rsidRDefault="00FF1AFB" w:rsidP="0017734A">
      <w:pPr>
        <w:spacing w:after="0" w:line="240" w:lineRule="auto"/>
      </w:pPr>
      <w:r>
        <w:separator/>
      </w:r>
    </w:p>
  </w:footnote>
  <w:footnote w:type="continuationSeparator" w:id="0">
    <w:p w14:paraId="51342998" w14:textId="77777777" w:rsidR="00FF1AFB" w:rsidRDefault="00FF1AFB"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BD15" w14:textId="77777777" w:rsidR="00B554E1" w:rsidRDefault="007F50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12AC" w14:textId="4172C61C" w:rsidR="00C95873" w:rsidRPr="00C22ACD" w:rsidRDefault="00C95873" w:rsidP="00C22ACD">
    <w:pPr>
      <w:pStyle w:val="Header"/>
      <w:pBdr>
        <w:bottom w:val="single" w:sz="4" w:space="1" w:color="auto"/>
      </w:pBdr>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6F182E">
      <w:rPr>
        <w:rFonts w:ascii="Times New Roman" w:hAnsi="Times New Roman" w:cs="Times New Roman"/>
        <w:noProof/>
      </w:rPr>
      <w:t>6</w:t>
    </w:r>
    <w:r>
      <w:rPr>
        <w:rFonts w:ascii="Times New Roman" w:hAnsi="Times New Roman" w:cs="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08A1" w14:textId="77777777" w:rsidR="00C95873" w:rsidRPr="00C22ACD" w:rsidRDefault="00C95873" w:rsidP="00C22ACD">
    <w:pPr>
      <w:pStyle w:val="Header"/>
      <w:pBdr>
        <w:bottom w:val="single" w:sz="4" w:space="1" w:color="auto"/>
      </w:pBdr>
      <w:rPr>
        <w:rFonts w:ascii="Times New Roman" w:hAnsi="Times New Roman" w:cs="Times New Roman"/>
      </w:rPr>
    </w:pPr>
    <w:r w:rsidRPr="00CF10DA">
      <w:rPr>
        <w:rFonts w:ascii="Times New Roman" w:hAnsi="Times New Roman" w:cs="Times New Roman"/>
        <w:sz w:val="20"/>
        <w:szCs w:val="20"/>
      </w:rPr>
      <w:t>Schedule</w:t>
    </w:r>
    <w:r>
      <w:rPr>
        <w:rFonts w:ascii="Times New Roman" w:hAnsi="Times New Roman" w:cs="Times New Roman"/>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19E" w14:textId="49B9B057" w:rsidR="00CF10DA" w:rsidRPr="00CF10DA" w:rsidRDefault="00CF10DA" w:rsidP="00892659">
    <w:pPr>
      <w:pStyle w:val="Header"/>
      <w:pBdr>
        <w:bottom w:val="single" w:sz="4" w:space="1" w:color="auto"/>
      </w:pBdr>
      <w:rPr>
        <w:rFonts w:ascii="Times New Roman" w:hAnsi="Times New Roman" w:cs="Times New Roman"/>
        <w:sz w:val="20"/>
        <w:szCs w:val="20"/>
      </w:rPr>
    </w:pPr>
    <w:r w:rsidRPr="00CF10DA">
      <w:rPr>
        <w:rFonts w:ascii="Times New Roman" w:hAnsi="Times New Roman" w:cs="Times New Roman"/>
        <w:sz w:val="20"/>
        <w:szCs w:val="20"/>
      </w:rPr>
      <w:t>Schedule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73E77779" w:rsidR="00097890" w:rsidRPr="00CF10DA" w:rsidRDefault="00CF10DA" w:rsidP="00892659">
    <w:pPr>
      <w:pStyle w:val="Header"/>
      <w:pBdr>
        <w:bottom w:val="single" w:sz="4" w:space="1" w:color="auto"/>
      </w:pBdr>
      <w:rPr>
        <w:rFonts w:ascii="Times New Roman" w:hAnsi="Times New Roman" w:cs="Times New Roman"/>
        <w:sz w:val="20"/>
        <w:szCs w:val="20"/>
        <w:lang w:val="en-US"/>
      </w:rPr>
    </w:pPr>
    <w:r w:rsidRPr="00CF10DA">
      <w:rPr>
        <w:rFonts w:ascii="Times New Roman" w:hAnsi="Times New Roman" w:cs="Times New Roman"/>
        <w:sz w:val="20"/>
        <w:szCs w:val="20"/>
        <w:lang w:val="en-US"/>
      </w:rPr>
      <w:t>Endnotes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034" w14:textId="228740B2" w:rsidR="008F4636" w:rsidRPr="00CF10DA" w:rsidRDefault="00CF10DA" w:rsidP="00892659">
    <w:pPr>
      <w:pStyle w:val="Header"/>
      <w:pBdr>
        <w:bottom w:val="single" w:sz="4" w:space="1" w:color="auto"/>
      </w:pBdr>
      <w:rPr>
        <w:rFonts w:ascii="Times New Roman" w:hAnsi="Times New Roman" w:cs="Times New Roman"/>
        <w:sz w:val="20"/>
        <w:szCs w:val="20"/>
        <w:lang w:val="en-US"/>
      </w:rPr>
    </w:pPr>
    <w:r w:rsidRPr="00CF10DA">
      <w:rPr>
        <w:rFonts w:ascii="Times New Roman" w:hAnsi="Times New Roman" w:cs="Times New Roman"/>
        <w:sz w:val="20"/>
        <w:szCs w:val="20"/>
        <w:lang w:val="en-US"/>
      </w:rPr>
      <w:t>Endnotes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0029788">
    <w:abstractNumId w:val="1"/>
  </w:num>
  <w:num w:numId="2" w16cid:durableId="760564784">
    <w:abstractNumId w:val="6"/>
  </w:num>
  <w:num w:numId="3" w16cid:durableId="639310928">
    <w:abstractNumId w:val="3"/>
  </w:num>
  <w:num w:numId="4" w16cid:durableId="2097624961">
    <w:abstractNumId w:val="5"/>
  </w:num>
  <w:num w:numId="5" w16cid:durableId="1779181232">
    <w:abstractNumId w:val="2"/>
  </w:num>
  <w:num w:numId="6" w16cid:durableId="834878680">
    <w:abstractNumId w:val="0"/>
  </w:num>
  <w:num w:numId="7" w16cid:durableId="767044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3387F"/>
    <w:rsid w:val="000340E0"/>
    <w:rsid w:val="00036552"/>
    <w:rsid w:val="00041196"/>
    <w:rsid w:val="00044178"/>
    <w:rsid w:val="000447C6"/>
    <w:rsid w:val="00061852"/>
    <w:rsid w:val="0006420D"/>
    <w:rsid w:val="000675CB"/>
    <w:rsid w:val="00097890"/>
    <w:rsid w:val="000A10BC"/>
    <w:rsid w:val="000A1917"/>
    <w:rsid w:val="000A3F81"/>
    <w:rsid w:val="000B013B"/>
    <w:rsid w:val="000B406F"/>
    <w:rsid w:val="000C1E3C"/>
    <w:rsid w:val="000D426E"/>
    <w:rsid w:val="00107E03"/>
    <w:rsid w:val="0011555B"/>
    <w:rsid w:val="001231AD"/>
    <w:rsid w:val="00161600"/>
    <w:rsid w:val="00165F20"/>
    <w:rsid w:val="0017227B"/>
    <w:rsid w:val="0017734A"/>
    <w:rsid w:val="001C18B9"/>
    <w:rsid w:val="001C212E"/>
    <w:rsid w:val="001C3C1C"/>
    <w:rsid w:val="001D5BE8"/>
    <w:rsid w:val="001D733D"/>
    <w:rsid w:val="00200097"/>
    <w:rsid w:val="00221432"/>
    <w:rsid w:val="002214C1"/>
    <w:rsid w:val="00226D96"/>
    <w:rsid w:val="0025297B"/>
    <w:rsid w:val="00254570"/>
    <w:rsid w:val="0025510A"/>
    <w:rsid w:val="0027217D"/>
    <w:rsid w:val="0028098F"/>
    <w:rsid w:val="00293A83"/>
    <w:rsid w:val="002B0B27"/>
    <w:rsid w:val="002B38E4"/>
    <w:rsid w:val="002B73D8"/>
    <w:rsid w:val="002C45C9"/>
    <w:rsid w:val="002E4569"/>
    <w:rsid w:val="002E7DF4"/>
    <w:rsid w:val="002F0E3F"/>
    <w:rsid w:val="002F27AA"/>
    <w:rsid w:val="002F32B8"/>
    <w:rsid w:val="00307948"/>
    <w:rsid w:val="00363607"/>
    <w:rsid w:val="003829D5"/>
    <w:rsid w:val="003A1507"/>
    <w:rsid w:val="003C2DB5"/>
    <w:rsid w:val="003E55FA"/>
    <w:rsid w:val="003F5C7A"/>
    <w:rsid w:val="00404AD2"/>
    <w:rsid w:val="004361D9"/>
    <w:rsid w:val="00460FD9"/>
    <w:rsid w:val="00466750"/>
    <w:rsid w:val="004B3596"/>
    <w:rsid w:val="004D6B79"/>
    <w:rsid w:val="004E2677"/>
    <w:rsid w:val="00510EC0"/>
    <w:rsid w:val="00546469"/>
    <w:rsid w:val="00553BCD"/>
    <w:rsid w:val="00554634"/>
    <w:rsid w:val="005555CC"/>
    <w:rsid w:val="00572A28"/>
    <w:rsid w:val="00581EF8"/>
    <w:rsid w:val="005957A6"/>
    <w:rsid w:val="00595A27"/>
    <w:rsid w:val="005D3ADF"/>
    <w:rsid w:val="006133DD"/>
    <w:rsid w:val="006156DD"/>
    <w:rsid w:val="0062495E"/>
    <w:rsid w:val="006262C1"/>
    <w:rsid w:val="00633ED4"/>
    <w:rsid w:val="00642BC0"/>
    <w:rsid w:val="00652E03"/>
    <w:rsid w:val="00654603"/>
    <w:rsid w:val="00656C81"/>
    <w:rsid w:val="006878BA"/>
    <w:rsid w:val="00693F99"/>
    <w:rsid w:val="0069529B"/>
    <w:rsid w:val="006A0FAE"/>
    <w:rsid w:val="006C0251"/>
    <w:rsid w:val="006C7332"/>
    <w:rsid w:val="006D4951"/>
    <w:rsid w:val="006D637F"/>
    <w:rsid w:val="006E17A3"/>
    <w:rsid w:val="006F182E"/>
    <w:rsid w:val="006F3DB2"/>
    <w:rsid w:val="006F5CF2"/>
    <w:rsid w:val="006F6397"/>
    <w:rsid w:val="006F7A5F"/>
    <w:rsid w:val="00703828"/>
    <w:rsid w:val="0071302E"/>
    <w:rsid w:val="00721966"/>
    <w:rsid w:val="00726C8B"/>
    <w:rsid w:val="007336FF"/>
    <w:rsid w:val="00733FB0"/>
    <w:rsid w:val="00735492"/>
    <w:rsid w:val="00735869"/>
    <w:rsid w:val="00763691"/>
    <w:rsid w:val="007651C8"/>
    <w:rsid w:val="00772521"/>
    <w:rsid w:val="00795DC9"/>
    <w:rsid w:val="007963F6"/>
    <w:rsid w:val="007B0AC2"/>
    <w:rsid w:val="007B0BFF"/>
    <w:rsid w:val="007B21CF"/>
    <w:rsid w:val="007C37F3"/>
    <w:rsid w:val="007D37DC"/>
    <w:rsid w:val="007E5EB1"/>
    <w:rsid w:val="007F3BE4"/>
    <w:rsid w:val="007F50AD"/>
    <w:rsid w:val="007F7C3E"/>
    <w:rsid w:val="00800926"/>
    <w:rsid w:val="0080431E"/>
    <w:rsid w:val="00814160"/>
    <w:rsid w:val="00845AB9"/>
    <w:rsid w:val="0085125B"/>
    <w:rsid w:val="00877F89"/>
    <w:rsid w:val="0089017D"/>
    <w:rsid w:val="00891F23"/>
    <w:rsid w:val="00892659"/>
    <w:rsid w:val="008954DA"/>
    <w:rsid w:val="00896A23"/>
    <w:rsid w:val="008A3072"/>
    <w:rsid w:val="008C0552"/>
    <w:rsid w:val="008D642E"/>
    <w:rsid w:val="008F4636"/>
    <w:rsid w:val="00910C86"/>
    <w:rsid w:val="00914929"/>
    <w:rsid w:val="0091792E"/>
    <w:rsid w:val="00951B2E"/>
    <w:rsid w:val="009556C3"/>
    <w:rsid w:val="00957210"/>
    <w:rsid w:val="00986D75"/>
    <w:rsid w:val="00987A5F"/>
    <w:rsid w:val="009A6421"/>
    <w:rsid w:val="009B4737"/>
    <w:rsid w:val="009B4F90"/>
    <w:rsid w:val="009D502A"/>
    <w:rsid w:val="00A169B0"/>
    <w:rsid w:val="00A349EF"/>
    <w:rsid w:val="00A437F9"/>
    <w:rsid w:val="00A533E4"/>
    <w:rsid w:val="00A965A3"/>
    <w:rsid w:val="00AB74ED"/>
    <w:rsid w:val="00AD14AA"/>
    <w:rsid w:val="00AD1EEA"/>
    <w:rsid w:val="00AE1E11"/>
    <w:rsid w:val="00AE50D5"/>
    <w:rsid w:val="00AF4F31"/>
    <w:rsid w:val="00B02813"/>
    <w:rsid w:val="00B03F20"/>
    <w:rsid w:val="00B22FA4"/>
    <w:rsid w:val="00B43B2B"/>
    <w:rsid w:val="00B554E1"/>
    <w:rsid w:val="00B569E5"/>
    <w:rsid w:val="00B6143B"/>
    <w:rsid w:val="00B66EE3"/>
    <w:rsid w:val="00B72FCA"/>
    <w:rsid w:val="00B7359B"/>
    <w:rsid w:val="00B8340D"/>
    <w:rsid w:val="00B90F17"/>
    <w:rsid w:val="00B9360E"/>
    <w:rsid w:val="00B97AE1"/>
    <w:rsid w:val="00BA4496"/>
    <w:rsid w:val="00BA7DAD"/>
    <w:rsid w:val="00BD159C"/>
    <w:rsid w:val="00BD77C9"/>
    <w:rsid w:val="00BE3B20"/>
    <w:rsid w:val="00BF336B"/>
    <w:rsid w:val="00C16D76"/>
    <w:rsid w:val="00C2326C"/>
    <w:rsid w:val="00C36DD1"/>
    <w:rsid w:val="00C42EB4"/>
    <w:rsid w:val="00C63811"/>
    <w:rsid w:val="00C70367"/>
    <w:rsid w:val="00C72D74"/>
    <w:rsid w:val="00C849FE"/>
    <w:rsid w:val="00C87BBB"/>
    <w:rsid w:val="00C95873"/>
    <w:rsid w:val="00CC64DD"/>
    <w:rsid w:val="00CE1231"/>
    <w:rsid w:val="00CF10DA"/>
    <w:rsid w:val="00CF42D5"/>
    <w:rsid w:val="00D159CA"/>
    <w:rsid w:val="00D16BE5"/>
    <w:rsid w:val="00D1748B"/>
    <w:rsid w:val="00D30F20"/>
    <w:rsid w:val="00D33952"/>
    <w:rsid w:val="00D35353"/>
    <w:rsid w:val="00D47486"/>
    <w:rsid w:val="00D50B46"/>
    <w:rsid w:val="00D540B0"/>
    <w:rsid w:val="00D95A71"/>
    <w:rsid w:val="00DB4032"/>
    <w:rsid w:val="00DC290A"/>
    <w:rsid w:val="00DD2798"/>
    <w:rsid w:val="00DF44E2"/>
    <w:rsid w:val="00E0410D"/>
    <w:rsid w:val="00E1191F"/>
    <w:rsid w:val="00E318F7"/>
    <w:rsid w:val="00E35D3B"/>
    <w:rsid w:val="00E7332E"/>
    <w:rsid w:val="00E85769"/>
    <w:rsid w:val="00E92553"/>
    <w:rsid w:val="00EA49F2"/>
    <w:rsid w:val="00EB4ECA"/>
    <w:rsid w:val="00EB65BF"/>
    <w:rsid w:val="00EC54C3"/>
    <w:rsid w:val="00EF3D21"/>
    <w:rsid w:val="00EF6DDA"/>
    <w:rsid w:val="00F3064A"/>
    <w:rsid w:val="00F31EC9"/>
    <w:rsid w:val="00F34881"/>
    <w:rsid w:val="00F37B8C"/>
    <w:rsid w:val="00F4431E"/>
    <w:rsid w:val="00F61F76"/>
    <w:rsid w:val="00F77DB5"/>
    <w:rsid w:val="00F856A6"/>
    <w:rsid w:val="00F85ED9"/>
    <w:rsid w:val="00F90642"/>
    <w:rsid w:val="00FB59C1"/>
    <w:rsid w:val="00FE6B62"/>
    <w:rsid w:val="00FF1AFB"/>
    <w:rsid w:val="00FF62F7"/>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TableHeading">
    <w:name w:val="TableHeading"/>
    <w:aliases w:val="th"/>
    <w:basedOn w:val="Normal"/>
    <w:next w:val="Tabletext"/>
    <w:rsid w:val="00C95873"/>
    <w:pPr>
      <w:keepNext/>
      <w:spacing w:before="60" w:after="0" w:line="240" w:lineRule="atLeast"/>
    </w:pPr>
    <w:rPr>
      <w:rFonts w:ascii="Times New Roman" w:eastAsia="Times New Roman" w:hAnsi="Times New Roman" w:cs="Times New Roman"/>
      <w:b/>
      <w:sz w:val="20"/>
      <w:szCs w:val="20"/>
      <w:lang w:eastAsia="en-AU"/>
    </w:rPr>
  </w:style>
  <w:style w:type="character" w:styleId="PlaceholderText">
    <w:name w:val="Placeholder Text"/>
    <w:basedOn w:val="DefaultParagraphFont"/>
    <w:uiPriority w:val="99"/>
    <w:semiHidden/>
    <w:rsid w:val="0062495E"/>
    <w:rPr>
      <w:color w:val="808080"/>
    </w:rPr>
  </w:style>
  <w:style w:type="paragraph" w:styleId="Revision">
    <w:name w:val="Revision"/>
    <w:hidden/>
    <w:uiPriority w:val="99"/>
    <w:semiHidden/>
    <w:rsid w:val="000B013B"/>
    <w:pPr>
      <w:spacing w:after="0" w:line="240" w:lineRule="auto"/>
    </w:pPr>
  </w:style>
  <w:style w:type="character" w:styleId="UnresolvedMention">
    <w:name w:val="Unresolved Mention"/>
    <w:basedOn w:val="DefaultParagraphFont"/>
    <w:uiPriority w:val="99"/>
    <w:semiHidden/>
    <w:unhideWhenUsed/>
    <w:rsid w:val="0054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9252991E47F4BBB80A1A6BA49B26B" ma:contentTypeVersion="8" ma:contentTypeDescription="Create a new document." ma:contentTypeScope="" ma:versionID="cfd8955515388acec1aca4b1fa8e6e17">
  <xsd:schema xmlns:xsd="http://www.w3.org/2001/XMLSchema" xmlns:xs="http://www.w3.org/2001/XMLSchema" xmlns:p="http://schemas.microsoft.com/office/2006/metadata/properties" xmlns:ns2="15facfb0-f078-428d-8c79-7c4acc7fe54f" xmlns:ns3="09b0419b-d431-4754-8c5c-522eb6afa1c7" targetNamespace="http://schemas.microsoft.com/office/2006/metadata/properties" ma:root="true" ma:fieldsID="fcb568b6e07fe16ac5aa50a1c6af7179" ns2:_="" ns3:_="">
    <xsd:import namespace="15facfb0-f078-428d-8c79-7c4acc7fe54f"/>
    <xsd:import namespace="09b0419b-d431-4754-8c5c-522eb6afa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acfb0-f078-428d-8c79-7c4acc7fe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0419b-d431-4754-8c5c-522eb6afa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52CC1-A8F6-4711-B3E4-F0A23FA6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acfb0-f078-428d-8c79-7c4acc7fe54f"/>
    <ds:schemaRef ds:uri="09b0419b-d431-4754-8c5c-522eb6afa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170F9-CAAA-4AF7-8051-63FD9B6DAB7C}">
  <ds:schemaRefs>
    <ds:schemaRef ds:uri="http://schemas.openxmlformats.org/officeDocument/2006/bibliography"/>
  </ds:schemaRefs>
</ds:datastoreItem>
</file>

<file path=customXml/itemProps3.xml><?xml version="1.0" encoding="utf-8"?>
<ds:datastoreItem xmlns:ds="http://schemas.openxmlformats.org/officeDocument/2006/customXml" ds:itemID="{A2328D0E-0D72-4A0A-BFE1-24D115E5E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3EEA8B-E03C-4CBF-97CB-CD0C85AAB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10</cp:revision>
  <cp:lastPrinted>2018-04-06T06:34:00Z</cp:lastPrinted>
  <dcterms:created xsi:type="dcterms:W3CDTF">2024-09-18T02:18:00Z</dcterms:created>
  <dcterms:modified xsi:type="dcterms:W3CDTF">2024-11-12T02:55:00Z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0x01010017E9252991E47F4BBB80A1A6BA49B26B</vt:lpwstr>
  </property>
  <property fmtid="{D5CDD505-2E9C-101B-9397-08002B2CF9AE}" pid="3" name="_dlc_DocIdItemGuid">
    <vt:lpwstr>3aa44ec1-fc5d-401f-b008-ed34178c1423</vt:lpwstr>
  </property>
</Properties>
</file>