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3A685" w14:textId="2A71B3FD" w:rsidR="008C023C" w:rsidRPr="00740385" w:rsidRDefault="009E03BD" w:rsidP="008C023C">
      <w:pPr>
        <w:pStyle w:val="ABABodyText"/>
        <w:jc w:val="center"/>
        <w:rPr>
          <w:b/>
          <w:sz w:val="28"/>
          <w:szCs w:val="28"/>
        </w:rPr>
      </w:pPr>
      <w:r w:rsidRPr="00740385">
        <w:rPr>
          <w:b/>
          <w:sz w:val="28"/>
          <w:szCs w:val="28"/>
        </w:rPr>
        <w:t>EXPLANATORY STATEMENT</w:t>
      </w:r>
    </w:p>
    <w:p w14:paraId="71AEB82A" w14:textId="77777777" w:rsidR="00255EEA" w:rsidRPr="00740385" w:rsidRDefault="00255EEA" w:rsidP="005E673D">
      <w:pPr>
        <w:pStyle w:val="ABABodyText"/>
        <w:jc w:val="center"/>
        <w:rPr>
          <w:sz w:val="22"/>
          <w:szCs w:val="22"/>
        </w:rPr>
      </w:pPr>
      <w:r w:rsidRPr="00740385">
        <w:rPr>
          <w:sz w:val="22"/>
          <w:szCs w:val="22"/>
        </w:rPr>
        <w:t>Approved by the Australian Communications and Media Authority</w:t>
      </w:r>
    </w:p>
    <w:p w14:paraId="6712B1F2" w14:textId="018C2B8A" w:rsidR="009E03BD" w:rsidRPr="00740385" w:rsidRDefault="00255EEA" w:rsidP="005E673D">
      <w:pPr>
        <w:pStyle w:val="ABABodyText"/>
        <w:jc w:val="center"/>
        <w:rPr>
          <w:szCs w:val="28"/>
        </w:rPr>
      </w:pPr>
      <w:r w:rsidRPr="00740385">
        <w:rPr>
          <w:b/>
          <w:i/>
          <w:sz w:val="22"/>
          <w:szCs w:val="22"/>
        </w:rPr>
        <w:t>Broadcasting Services Act 1992</w:t>
      </w:r>
    </w:p>
    <w:p w14:paraId="0BD28010" w14:textId="48F3640F" w:rsidR="003737B6" w:rsidRPr="00740385" w:rsidRDefault="003737B6" w:rsidP="005E673D">
      <w:pPr>
        <w:pStyle w:val="ABAHeading2"/>
        <w:jc w:val="center"/>
        <w:rPr>
          <w:rFonts w:ascii="Times New Roman" w:hAnsi="Times New Roman"/>
          <w:i/>
          <w:sz w:val="22"/>
          <w:szCs w:val="22"/>
        </w:rPr>
      </w:pPr>
      <w:r w:rsidRPr="00740385">
        <w:rPr>
          <w:rFonts w:ascii="Times New Roman" w:hAnsi="Times New Roman"/>
          <w:i/>
          <w:sz w:val="22"/>
          <w:szCs w:val="22"/>
        </w:rPr>
        <w:t>Broadcasting Services (Anti-terrorism Requirements for Television Narrowcasting Services) Standard 20</w:t>
      </w:r>
      <w:r w:rsidR="00A41460" w:rsidRPr="00740385">
        <w:rPr>
          <w:rFonts w:ascii="Times New Roman" w:hAnsi="Times New Roman"/>
          <w:i/>
          <w:sz w:val="22"/>
          <w:szCs w:val="22"/>
        </w:rPr>
        <w:t>2</w:t>
      </w:r>
      <w:r w:rsidRPr="00740385">
        <w:rPr>
          <w:rFonts w:ascii="Times New Roman" w:hAnsi="Times New Roman"/>
          <w:i/>
          <w:sz w:val="22"/>
          <w:szCs w:val="22"/>
        </w:rPr>
        <w:t xml:space="preserve">1 </w:t>
      </w:r>
    </w:p>
    <w:p w14:paraId="1F993502" w14:textId="1294EDAD" w:rsidR="00E369CA" w:rsidRPr="00440CC2" w:rsidRDefault="00E369CA" w:rsidP="00E5777F">
      <w:pPr>
        <w:pStyle w:val="ABABodyText"/>
        <w:spacing w:before="100" w:beforeAutospacing="1" w:after="240" w:line="240" w:lineRule="auto"/>
        <w:rPr>
          <w:szCs w:val="24"/>
        </w:rPr>
      </w:pPr>
      <w:r w:rsidRPr="00740385">
        <w:rPr>
          <w:b/>
          <w:szCs w:val="24"/>
        </w:rPr>
        <w:t>Authority</w:t>
      </w:r>
      <w:r w:rsidR="00E35E22" w:rsidRPr="005E673D">
        <w:rPr>
          <w:b/>
          <w:bCs/>
          <w:szCs w:val="24"/>
        </w:rPr>
        <w:t xml:space="preserve"> </w:t>
      </w:r>
    </w:p>
    <w:p w14:paraId="60AE3F6C" w14:textId="042F563D" w:rsidR="00282CE6" w:rsidRDefault="00BE6515" w:rsidP="00E5777F">
      <w:pPr>
        <w:pStyle w:val="ABABodyText"/>
        <w:spacing w:before="100" w:beforeAutospacing="1" w:after="240" w:line="240" w:lineRule="auto"/>
      </w:pPr>
      <w:r w:rsidRPr="00740385">
        <w:t>T</w:t>
      </w:r>
      <w:r w:rsidR="00282CE6" w:rsidRPr="00740385">
        <w:t>he</w:t>
      </w:r>
      <w:r w:rsidR="00282CE6">
        <w:t xml:space="preserve"> Australian Communication</w:t>
      </w:r>
      <w:r w:rsidR="006B1800">
        <w:t>s</w:t>
      </w:r>
      <w:r w:rsidR="00282CE6">
        <w:t xml:space="preserve"> and Media Authority (</w:t>
      </w:r>
      <w:r w:rsidR="00282CE6" w:rsidRPr="00C95ED4">
        <w:rPr>
          <w:b/>
          <w:bCs/>
        </w:rPr>
        <w:t>ACMA</w:t>
      </w:r>
      <w:r w:rsidR="00282CE6">
        <w:t xml:space="preserve">) </w:t>
      </w:r>
      <w:r>
        <w:t xml:space="preserve">has </w:t>
      </w:r>
      <w:r w:rsidR="00282CE6">
        <w:t xml:space="preserve">determined the </w:t>
      </w:r>
      <w:r w:rsidR="00282CE6">
        <w:rPr>
          <w:i/>
          <w:iCs/>
        </w:rPr>
        <w:t xml:space="preserve">Broadcasting Services (Anti-terrorism Requirements for Television Narrowcasting Services) Standard 2021 </w:t>
      </w:r>
      <w:r w:rsidR="00282CE6">
        <w:t>(</w:t>
      </w:r>
      <w:r w:rsidR="00282CE6" w:rsidRPr="00C95ED4">
        <w:rPr>
          <w:b/>
          <w:bCs/>
        </w:rPr>
        <w:t>the 2021 Standard</w:t>
      </w:r>
      <w:r w:rsidR="00282CE6">
        <w:t xml:space="preserve">) under subsection 125(2) of the </w:t>
      </w:r>
      <w:r w:rsidR="00282CE6">
        <w:rPr>
          <w:i/>
          <w:iCs/>
        </w:rPr>
        <w:t xml:space="preserve">Broadcasting Services Act 1992 </w:t>
      </w:r>
      <w:r w:rsidR="00282CE6">
        <w:t>(</w:t>
      </w:r>
      <w:r w:rsidR="00282CE6" w:rsidRPr="00C95ED4">
        <w:rPr>
          <w:b/>
          <w:bCs/>
        </w:rPr>
        <w:t>the BSA</w:t>
      </w:r>
      <w:r w:rsidR="00282CE6">
        <w:t>).</w:t>
      </w:r>
    </w:p>
    <w:p w14:paraId="17C3EA81" w14:textId="3A09182E" w:rsidR="00282CE6" w:rsidRPr="00282CE6" w:rsidRDefault="00282CE6" w:rsidP="00E5777F">
      <w:pPr>
        <w:pStyle w:val="ABABodyText"/>
        <w:spacing w:before="100" w:beforeAutospacing="1" w:after="240" w:line="240" w:lineRule="auto"/>
      </w:pPr>
      <w:r>
        <w:t xml:space="preserve">The 2021 Standard replaces the </w:t>
      </w:r>
      <w:r w:rsidRPr="00F6338C">
        <w:rPr>
          <w:i/>
        </w:rPr>
        <w:t xml:space="preserve">Broadcasting Services (Anti-terrorism Requirements for </w:t>
      </w:r>
      <w:r>
        <w:rPr>
          <w:i/>
        </w:rPr>
        <w:t>Subscription Television Narrowcasting Services</w:t>
      </w:r>
      <w:r w:rsidRPr="00F6338C">
        <w:rPr>
          <w:i/>
        </w:rPr>
        <w:t>) Standard 20</w:t>
      </w:r>
      <w:r>
        <w:rPr>
          <w:i/>
        </w:rPr>
        <w:t xml:space="preserve">11 </w:t>
      </w:r>
      <w:r>
        <w:rPr>
          <w:iCs/>
        </w:rPr>
        <w:t xml:space="preserve">and the </w:t>
      </w:r>
      <w:r w:rsidRPr="00F6338C">
        <w:rPr>
          <w:i/>
        </w:rPr>
        <w:t xml:space="preserve">Broadcasting Services (Anti-terrorism Requirements for </w:t>
      </w:r>
      <w:r>
        <w:rPr>
          <w:i/>
        </w:rPr>
        <w:t>Open Narrowcasting Television Services</w:t>
      </w:r>
      <w:r w:rsidRPr="00F6338C">
        <w:rPr>
          <w:i/>
        </w:rPr>
        <w:t>)</w:t>
      </w:r>
      <w:r w:rsidR="004C302D">
        <w:rPr>
          <w:i/>
        </w:rPr>
        <w:t xml:space="preserve"> </w:t>
      </w:r>
      <w:r w:rsidR="004C302D" w:rsidRPr="00740385">
        <w:rPr>
          <w:i/>
        </w:rPr>
        <w:t>Standard 2011</w:t>
      </w:r>
      <w:r>
        <w:t xml:space="preserve"> (</w:t>
      </w:r>
      <w:r w:rsidRPr="00C95ED4">
        <w:rPr>
          <w:b/>
          <w:bCs/>
        </w:rPr>
        <w:t>the 2011 Standards</w:t>
      </w:r>
      <w:r>
        <w:t xml:space="preserve">). The main variation to the 2011 Standards is their consolidation into a single </w:t>
      </w:r>
      <w:r w:rsidR="00F23069">
        <w:t>s</w:t>
      </w:r>
      <w:r w:rsidR="00D501DE">
        <w:t>tandard</w:t>
      </w:r>
      <w:r>
        <w:t>.</w:t>
      </w:r>
    </w:p>
    <w:p w14:paraId="19593F17" w14:textId="47585AC5" w:rsidR="003737B6" w:rsidRPr="005E673D" w:rsidRDefault="003737B6" w:rsidP="005E673D">
      <w:pPr>
        <w:pStyle w:val="ABAHeading3"/>
        <w:spacing w:before="240" w:after="120"/>
        <w:rPr>
          <w:rFonts w:ascii="Times New Roman" w:hAnsi="Times New Roman"/>
          <w:szCs w:val="24"/>
        </w:rPr>
      </w:pPr>
      <w:r w:rsidRPr="005E673D">
        <w:rPr>
          <w:rFonts w:ascii="Times New Roman" w:hAnsi="Times New Roman"/>
          <w:szCs w:val="24"/>
        </w:rPr>
        <w:t>Intended impact and effect of the Standard</w:t>
      </w:r>
    </w:p>
    <w:p w14:paraId="0FD61BB7" w14:textId="77828936" w:rsidR="003737B6" w:rsidRDefault="003737B6" w:rsidP="00E5777F">
      <w:pPr>
        <w:spacing w:after="240"/>
        <w:ind w:left="0" w:firstLine="0"/>
      </w:pPr>
      <w:r>
        <w:t>The ACMA intends the 20</w:t>
      </w:r>
      <w:r w:rsidR="00282CE6">
        <w:t>2</w:t>
      </w:r>
      <w:r>
        <w:t xml:space="preserve">1 Standard to </w:t>
      </w:r>
      <w:r w:rsidR="00073D02">
        <w:t xml:space="preserve">maintain </w:t>
      </w:r>
      <w:r>
        <w:t xml:space="preserve">community safeguards by imposing restrictions on the broadcast of </w:t>
      </w:r>
      <w:r w:rsidR="00425C1E">
        <w:t xml:space="preserve">certain </w:t>
      </w:r>
      <w:r>
        <w:t xml:space="preserve">terrorist-related material by providers of </w:t>
      </w:r>
      <w:r w:rsidR="00DE035D">
        <w:t>s</w:t>
      </w:r>
      <w:r>
        <w:t xml:space="preserve">ubscription </w:t>
      </w:r>
      <w:r w:rsidR="00DE035D">
        <w:t>television n</w:t>
      </w:r>
      <w:r>
        <w:t xml:space="preserve">arrowcasting </w:t>
      </w:r>
      <w:r w:rsidR="00DE035D">
        <w:t>s</w:t>
      </w:r>
      <w:r>
        <w:t>ervices</w:t>
      </w:r>
      <w:r w:rsidR="00BE6515">
        <w:t xml:space="preserve"> </w:t>
      </w:r>
      <w:r w:rsidR="00BE6515" w:rsidRPr="00740385">
        <w:t>and open narrowcasting television services</w:t>
      </w:r>
      <w:r>
        <w:t>.</w:t>
      </w:r>
    </w:p>
    <w:p w14:paraId="23F20476" w14:textId="36342000" w:rsidR="003737B6" w:rsidRDefault="003737B6" w:rsidP="00E5777F">
      <w:pPr>
        <w:spacing w:after="240"/>
        <w:ind w:left="0" w:firstLine="0"/>
        <w:contextualSpacing/>
      </w:pPr>
      <w:r>
        <w:t xml:space="preserve">Under the </w:t>
      </w:r>
      <w:r w:rsidR="0089125C">
        <w:t xml:space="preserve">2021 </w:t>
      </w:r>
      <w:r>
        <w:t>Standard, licensees cannot broadcast a program that:</w:t>
      </w:r>
    </w:p>
    <w:p w14:paraId="16A1F990" w14:textId="77777777" w:rsidR="003737B6" w:rsidRDefault="003737B6" w:rsidP="00E5777F">
      <w:pPr>
        <w:numPr>
          <w:ilvl w:val="0"/>
          <w:numId w:val="9"/>
        </w:numPr>
        <w:tabs>
          <w:tab w:val="clear" w:pos="1441"/>
          <w:tab w:val="num" w:pos="900"/>
        </w:tabs>
        <w:spacing w:after="240"/>
        <w:ind w:hanging="902"/>
        <w:contextualSpacing/>
      </w:pPr>
      <w:r>
        <w:t xml:space="preserve">advocates the doing of a terrorist </w:t>
      </w:r>
      <w:proofErr w:type="gramStart"/>
      <w:r>
        <w:t>act</w:t>
      </w:r>
      <w:r w:rsidR="007E540D">
        <w:t>;</w:t>
      </w:r>
      <w:proofErr w:type="gramEnd"/>
    </w:p>
    <w:p w14:paraId="5EEFC2DB" w14:textId="77777777" w:rsidR="003737B6" w:rsidRDefault="003737B6" w:rsidP="00E5777F">
      <w:pPr>
        <w:numPr>
          <w:ilvl w:val="0"/>
          <w:numId w:val="24"/>
        </w:numPr>
        <w:spacing w:after="240"/>
        <w:contextualSpacing/>
      </w:pPr>
      <w:r>
        <w:t xml:space="preserve">would be reasonably understood as </w:t>
      </w:r>
      <w:r w:rsidRPr="00313213">
        <w:t xml:space="preserve">directly recruiting </w:t>
      </w:r>
      <w:r>
        <w:t xml:space="preserve">a </w:t>
      </w:r>
      <w:r w:rsidRPr="00313213">
        <w:t>person t</w:t>
      </w:r>
      <w:r>
        <w:t>o join,</w:t>
      </w:r>
      <w:r w:rsidRPr="00313213">
        <w:t xml:space="preserve"> or part</w:t>
      </w:r>
      <w:r>
        <w:t xml:space="preserve">icipate in the activities of, a listed </w:t>
      </w:r>
      <w:proofErr w:type="gramStart"/>
      <w:r>
        <w:t>terrorist</w:t>
      </w:r>
      <w:r w:rsidR="007E540D">
        <w:t>;</w:t>
      </w:r>
      <w:proofErr w:type="gramEnd"/>
    </w:p>
    <w:p w14:paraId="2F133895" w14:textId="77777777" w:rsidR="003737B6" w:rsidRDefault="003737B6" w:rsidP="00E5777F">
      <w:pPr>
        <w:numPr>
          <w:ilvl w:val="0"/>
          <w:numId w:val="24"/>
        </w:numPr>
        <w:spacing w:after="240"/>
        <w:ind w:hanging="363"/>
      </w:pPr>
      <w:r>
        <w:t xml:space="preserve">would be reasonably understood as </w:t>
      </w:r>
      <w:r w:rsidRPr="00313213">
        <w:t xml:space="preserve">soliciting </w:t>
      </w:r>
      <w:r>
        <w:t xml:space="preserve">funds for a listed </w:t>
      </w:r>
      <w:proofErr w:type="gramStart"/>
      <w:r>
        <w:t>terrorist</w:t>
      </w:r>
      <w:r w:rsidR="007E540D">
        <w:t>,</w:t>
      </w:r>
      <w:r>
        <w:t xml:space="preserve"> </w:t>
      </w:r>
      <w:r w:rsidRPr="00313213">
        <w:t>or</w:t>
      </w:r>
      <w:proofErr w:type="gramEnd"/>
      <w:r w:rsidRPr="00313213">
        <w:t xml:space="preserve"> assisting in the c</w:t>
      </w:r>
      <w:r>
        <w:t xml:space="preserve">ollection or provision of funds for </w:t>
      </w:r>
      <w:r w:rsidRPr="00313213">
        <w:t xml:space="preserve">a </w:t>
      </w:r>
      <w:r>
        <w:t xml:space="preserve">listed terrorist.  </w:t>
      </w:r>
    </w:p>
    <w:p w14:paraId="0F6E6A9F" w14:textId="2E51BFAC" w:rsidR="003737B6" w:rsidRDefault="003737B6" w:rsidP="00E5777F">
      <w:pPr>
        <w:tabs>
          <w:tab w:val="left" w:pos="0"/>
        </w:tabs>
        <w:spacing w:after="240"/>
        <w:ind w:left="0" w:firstLine="0"/>
      </w:pPr>
      <w:r>
        <w:t>The 20</w:t>
      </w:r>
      <w:r w:rsidR="00282CE6">
        <w:t>2</w:t>
      </w:r>
      <w:r>
        <w:t xml:space="preserve">1 Standard </w:t>
      </w:r>
      <w:r w:rsidR="00943F70">
        <w:t xml:space="preserve">(like the 2011 Standards </w:t>
      </w:r>
      <w:r w:rsidR="00465760">
        <w:t xml:space="preserve">which it replaces) </w:t>
      </w:r>
      <w:r>
        <w:t xml:space="preserve">holds a licensee responsible for what they broadcast, even if they claim they were unaware of the content of the program. This is to encourage licensees to set up effective systems for checking programs </w:t>
      </w:r>
      <w:r w:rsidRPr="0028036D">
        <w:t>before they</w:t>
      </w:r>
      <w:r>
        <w:t xml:space="preserve"> are broadcast.</w:t>
      </w:r>
      <w:r w:rsidR="00E928C6">
        <w:t xml:space="preserve">  Licensees are fundamentally accountable for what they broadcast</w:t>
      </w:r>
      <w:r w:rsidR="006F50F7">
        <w:t xml:space="preserve"> and </w:t>
      </w:r>
      <w:r w:rsidR="00D82ABF">
        <w:t>may not evade the prohibition</w:t>
      </w:r>
      <w:r w:rsidR="00537DE9">
        <w:t>s in the Standard</w:t>
      </w:r>
      <w:r w:rsidR="00D82ABF">
        <w:t xml:space="preserve"> by failing to make themselves aware of the material that they broadcast.</w:t>
      </w:r>
    </w:p>
    <w:p w14:paraId="2935E8E7" w14:textId="4F51CB38" w:rsidR="00886CCD" w:rsidRDefault="00060952" w:rsidP="00886CCD">
      <w:pPr>
        <w:tabs>
          <w:tab w:val="left" w:pos="0"/>
        </w:tabs>
        <w:spacing w:after="240"/>
        <w:ind w:left="0" w:firstLine="0"/>
      </w:pPr>
      <w:r>
        <w:t xml:space="preserve">Subsection 139(6) </w:t>
      </w:r>
      <w:r w:rsidR="00886CCD">
        <w:t>of the BSA</w:t>
      </w:r>
      <w:r w:rsidR="00886CCD" w:rsidRPr="00886CCD">
        <w:t>, provides that</w:t>
      </w:r>
      <w:r>
        <w:t xml:space="preserve"> a person commits an offence if in providing a subscription narrowcasting service or an open narrowcasting service, the</w:t>
      </w:r>
      <w:r w:rsidR="00886CCD" w:rsidRPr="00886CCD">
        <w:t xml:space="preserve"> person </w:t>
      </w:r>
      <w:r>
        <w:t>engages</w:t>
      </w:r>
      <w:r w:rsidR="00886CCD" w:rsidRPr="00886CCD">
        <w:t xml:space="preserve"> in conduct </w:t>
      </w:r>
      <w:r>
        <w:t>that breaches a condition set out in subclause 11(1) of Schedule 2 to the BSA. The conditions in subclause 11(1) include complying with program standards applicable to the licence under Part 9</w:t>
      </w:r>
      <w:r w:rsidR="003778E4">
        <w:t xml:space="preserve"> (see paragraph 11(1)(</w:t>
      </w:r>
      <w:r w:rsidR="009174CE">
        <w:t>b</w:t>
      </w:r>
      <w:r w:rsidR="003778E4">
        <w:t>) of Schedule 2)</w:t>
      </w:r>
      <w:r>
        <w:t xml:space="preserve">. </w:t>
      </w:r>
      <w:r w:rsidR="00886CCD" w:rsidRPr="00886CCD">
        <w:t xml:space="preserve"> </w:t>
      </w:r>
    </w:p>
    <w:p w14:paraId="2BA89FC5" w14:textId="3789EC15" w:rsidR="00060952" w:rsidRDefault="00060952" w:rsidP="00886CCD">
      <w:pPr>
        <w:tabs>
          <w:tab w:val="left" w:pos="0"/>
        </w:tabs>
        <w:spacing w:after="240"/>
        <w:ind w:left="0" w:firstLine="0"/>
      </w:pPr>
      <w:r>
        <w:t>Subsection 14</w:t>
      </w:r>
      <w:r w:rsidR="009174CE">
        <w:t>0</w:t>
      </w:r>
      <w:proofErr w:type="gramStart"/>
      <w:r>
        <w:t>A(</w:t>
      </w:r>
      <w:proofErr w:type="gramEnd"/>
      <w:r>
        <w:t xml:space="preserve">6) also provides that a person who provides a subscription narrowcasting service or an open narrowcasting service must not breach a condition </w:t>
      </w:r>
      <w:r>
        <w:lastRenderedPageBreak/>
        <w:t>set out in subclause 11(1) of Schedule 2. Subsection 141</w:t>
      </w:r>
      <w:proofErr w:type="gramStart"/>
      <w:r>
        <w:t>A(</w:t>
      </w:r>
      <w:proofErr w:type="gramEnd"/>
      <w:r>
        <w:t xml:space="preserve">6) is a civil penalty provision. </w:t>
      </w:r>
    </w:p>
    <w:p w14:paraId="53AB6974" w14:textId="71F965B3" w:rsidR="00327F60" w:rsidRDefault="00F31601" w:rsidP="00E5777F">
      <w:pPr>
        <w:spacing w:after="240"/>
        <w:ind w:left="0" w:firstLine="0"/>
      </w:pPr>
      <w:r w:rsidRPr="00F31601">
        <w:t>Parliament has prescribed that the maximum penalty for an offence, and the maximum civil penalty, is in each case 50 penalty units.</w:t>
      </w:r>
    </w:p>
    <w:p w14:paraId="19FD1BF9" w14:textId="51E4DAD1" w:rsidR="003737B6" w:rsidRDefault="003737B6" w:rsidP="00E5777F">
      <w:pPr>
        <w:spacing w:after="240"/>
        <w:ind w:left="0" w:firstLine="0"/>
        <w:rPr>
          <w:i/>
        </w:rPr>
      </w:pPr>
      <w:r>
        <w:t>The 20</w:t>
      </w:r>
      <w:r w:rsidR="00282CE6">
        <w:t>2</w:t>
      </w:r>
      <w:r>
        <w:t xml:space="preserve">1 Standard does not remove the need for licensees to comply with other anti-terrorism laws, such as those contained in the </w:t>
      </w:r>
      <w:r w:rsidRPr="009A0AB8">
        <w:rPr>
          <w:i/>
        </w:rPr>
        <w:t xml:space="preserve">Criminal Code </w:t>
      </w:r>
      <w:r>
        <w:rPr>
          <w:i/>
        </w:rPr>
        <w:t>Act 1995.</w:t>
      </w:r>
    </w:p>
    <w:p w14:paraId="3DE886E3" w14:textId="7DE71047" w:rsidR="0035405A" w:rsidRDefault="0035405A" w:rsidP="00E5777F">
      <w:pPr>
        <w:spacing w:after="240"/>
        <w:ind w:left="0" w:firstLine="0"/>
        <w:rPr>
          <w:iCs/>
        </w:rPr>
      </w:pPr>
      <w:r w:rsidRPr="00740385">
        <w:t xml:space="preserve">A provision-by-provision description of the 2021 Standard is set out in the notes at </w:t>
      </w:r>
      <w:r w:rsidRPr="00740385">
        <w:rPr>
          <w:b/>
        </w:rPr>
        <w:t>Attachment A</w:t>
      </w:r>
      <w:r w:rsidRPr="00740385">
        <w:t>.</w:t>
      </w:r>
    </w:p>
    <w:p w14:paraId="0E0B75BA" w14:textId="693F2775" w:rsidR="00E53D36" w:rsidRPr="00740385" w:rsidRDefault="00E53D36" w:rsidP="00E53D36">
      <w:pPr>
        <w:spacing w:after="240"/>
        <w:ind w:left="0" w:firstLine="0"/>
      </w:pPr>
      <w:r w:rsidRPr="00740385">
        <w:t xml:space="preserve">The </w:t>
      </w:r>
      <w:r w:rsidR="00DA3B0E">
        <w:t xml:space="preserve">2021 Standard </w:t>
      </w:r>
      <w:r w:rsidRPr="00740385">
        <w:t xml:space="preserve">is a </w:t>
      </w:r>
      <w:r w:rsidR="203A7580">
        <w:t xml:space="preserve">disallowable </w:t>
      </w:r>
      <w:r w:rsidRPr="00740385">
        <w:t>legislative instrument for the purposes of the </w:t>
      </w:r>
      <w:r w:rsidRPr="00740385">
        <w:rPr>
          <w:i/>
        </w:rPr>
        <w:t>Legislation Act 2003 </w:t>
      </w:r>
      <w:r w:rsidRPr="00740385">
        <w:t>(</w:t>
      </w:r>
      <w:r w:rsidRPr="00740385">
        <w:rPr>
          <w:b/>
        </w:rPr>
        <w:t>the LA</w:t>
      </w:r>
      <w:r w:rsidRPr="00740385">
        <w:t>).</w:t>
      </w:r>
    </w:p>
    <w:p w14:paraId="68B01D2F" w14:textId="77777777" w:rsidR="00E53D36" w:rsidRPr="00740385" w:rsidRDefault="00E53D36" w:rsidP="00E53D36">
      <w:pPr>
        <w:spacing w:after="240"/>
        <w:ind w:left="0" w:firstLine="0"/>
      </w:pPr>
      <w:r w:rsidRPr="00740385">
        <w:rPr>
          <w:b/>
        </w:rPr>
        <w:t>Documents incorporated by reference</w:t>
      </w:r>
    </w:p>
    <w:p w14:paraId="33C9AA3F" w14:textId="587477CD" w:rsidR="00D774DD" w:rsidRDefault="00D774DD" w:rsidP="00E53D36">
      <w:pPr>
        <w:spacing w:after="240"/>
        <w:ind w:left="0" w:firstLine="0"/>
      </w:pPr>
      <w:r>
        <w:t>The 2021 Standard incorporates by reference the following Acts:</w:t>
      </w:r>
    </w:p>
    <w:p w14:paraId="25E189E9" w14:textId="0B170F73" w:rsidR="00D774DD" w:rsidRPr="006776AB" w:rsidRDefault="00D774DD" w:rsidP="00EA2714">
      <w:pPr>
        <w:pStyle w:val="ListParagraph"/>
        <w:numPr>
          <w:ilvl w:val="0"/>
          <w:numId w:val="32"/>
        </w:numPr>
        <w:spacing w:after="240"/>
        <w:rPr>
          <w:rFonts w:ascii="Times New Roman" w:hAnsi="Times New Roman"/>
          <w:sz w:val="24"/>
          <w:szCs w:val="24"/>
        </w:rPr>
      </w:pPr>
      <w:r w:rsidRPr="006776AB">
        <w:rPr>
          <w:rFonts w:ascii="Times New Roman" w:hAnsi="Times New Roman"/>
          <w:sz w:val="24"/>
          <w:szCs w:val="24"/>
        </w:rPr>
        <w:t xml:space="preserve">the </w:t>
      </w:r>
      <w:proofErr w:type="gramStart"/>
      <w:r w:rsidRPr="006776AB">
        <w:rPr>
          <w:rFonts w:ascii="Times New Roman" w:hAnsi="Times New Roman"/>
          <w:sz w:val="24"/>
          <w:szCs w:val="24"/>
        </w:rPr>
        <w:t>BSA;</w:t>
      </w:r>
      <w:proofErr w:type="gramEnd"/>
    </w:p>
    <w:p w14:paraId="0EB86973" w14:textId="2FAA9B67" w:rsidR="00D774DD" w:rsidRPr="006776AB" w:rsidRDefault="00D774DD" w:rsidP="00EA2714">
      <w:pPr>
        <w:pStyle w:val="ListParagraph"/>
        <w:numPr>
          <w:ilvl w:val="0"/>
          <w:numId w:val="32"/>
        </w:numPr>
        <w:spacing w:after="240"/>
        <w:rPr>
          <w:rFonts w:ascii="Times New Roman" w:hAnsi="Times New Roman"/>
          <w:sz w:val="24"/>
          <w:szCs w:val="24"/>
        </w:rPr>
      </w:pPr>
      <w:r w:rsidRPr="006776AB">
        <w:rPr>
          <w:rFonts w:ascii="Times New Roman" w:hAnsi="Times New Roman"/>
          <w:sz w:val="24"/>
          <w:szCs w:val="24"/>
        </w:rPr>
        <w:t xml:space="preserve">the </w:t>
      </w:r>
      <w:r w:rsidRPr="006776AB">
        <w:rPr>
          <w:rFonts w:ascii="Times New Roman" w:hAnsi="Times New Roman"/>
          <w:i/>
          <w:iCs/>
          <w:sz w:val="24"/>
          <w:szCs w:val="24"/>
        </w:rPr>
        <w:t xml:space="preserve">Criminal Code Act </w:t>
      </w:r>
      <w:proofErr w:type="gramStart"/>
      <w:r w:rsidRPr="006776AB">
        <w:rPr>
          <w:rFonts w:ascii="Times New Roman" w:hAnsi="Times New Roman"/>
          <w:i/>
          <w:iCs/>
          <w:sz w:val="24"/>
          <w:szCs w:val="24"/>
        </w:rPr>
        <w:t>1995</w:t>
      </w:r>
      <w:r w:rsidRPr="006776AB">
        <w:rPr>
          <w:rFonts w:ascii="Times New Roman" w:hAnsi="Times New Roman"/>
          <w:sz w:val="24"/>
          <w:szCs w:val="24"/>
        </w:rPr>
        <w:t>;</w:t>
      </w:r>
      <w:proofErr w:type="gramEnd"/>
    </w:p>
    <w:p w14:paraId="3F189902" w14:textId="4523D5DE" w:rsidR="00D774DD" w:rsidRPr="006776AB" w:rsidRDefault="00D774DD" w:rsidP="00EA2714">
      <w:pPr>
        <w:pStyle w:val="ListParagraph"/>
        <w:numPr>
          <w:ilvl w:val="0"/>
          <w:numId w:val="32"/>
        </w:numPr>
        <w:spacing w:after="240"/>
        <w:rPr>
          <w:rFonts w:ascii="Times New Roman" w:hAnsi="Times New Roman"/>
          <w:sz w:val="24"/>
          <w:szCs w:val="24"/>
        </w:rPr>
      </w:pPr>
      <w:r w:rsidRPr="006776AB">
        <w:rPr>
          <w:rFonts w:ascii="Times New Roman" w:hAnsi="Times New Roman"/>
          <w:sz w:val="24"/>
          <w:szCs w:val="24"/>
        </w:rPr>
        <w:t xml:space="preserve">the </w:t>
      </w:r>
      <w:r w:rsidRPr="006776AB">
        <w:rPr>
          <w:rFonts w:ascii="Times New Roman" w:hAnsi="Times New Roman"/>
          <w:i/>
          <w:iCs/>
          <w:sz w:val="24"/>
          <w:szCs w:val="24"/>
        </w:rPr>
        <w:t>Charter of the United Nations Act 1945</w:t>
      </w:r>
      <w:r w:rsidRPr="006776AB">
        <w:rPr>
          <w:rFonts w:ascii="Times New Roman" w:hAnsi="Times New Roman"/>
          <w:sz w:val="24"/>
          <w:szCs w:val="24"/>
        </w:rPr>
        <w:t>.</w:t>
      </w:r>
    </w:p>
    <w:p w14:paraId="0AD07F1E" w14:textId="559E3112" w:rsidR="00D774DD" w:rsidRPr="006776AB" w:rsidRDefault="00D774DD" w:rsidP="00EA2714">
      <w:pPr>
        <w:spacing w:after="240"/>
      </w:pPr>
      <w:r w:rsidRPr="006776AB">
        <w:t xml:space="preserve">The 2021 Standard incorporates those Acts as in force from time to time. </w:t>
      </w:r>
    </w:p>
    <w:p w14:paraId="102234CA" w14:textId="25790900" w:rsidR="00D774DD" w:rsidRPr="006776AB" w:rsidRDefault="00D774DD" w:rsidP="00D774DD">
      <w:pPr>
        <w:spacing w:after="240"/>
        <w:ind w:left="0" w:firstLine="0"/>
        <w:rPr>
          <w:u w:val="single"/>
        </w:rPr>
      </w:pPr>
      <w:r w:rsidRPr="006776AB">
        <w:t>The Acts listed above can be accessed, free of charge, from the Federal Register of Legislation: </w:t>
      </w:r>
      <w:hyperlink r:id="rId12" w:history="1">
        <w:r w:rsidRPr="006776AB">
          <w:rPr>
            <w:rStyle w:val="Hyperlink"/>
          </w:rPr>
          <w:t>http://www.legislation.gov.au</w:t>
        </w:r>
      </w:hyperlink>
      <w:r w:rsidRPr="006776AB">
        <w:rPr>
          <w:u w:val="single"/>
        </w:rPr>
        <w:t>.</w:t>
      </w:r>
    </w:p>
    <w:p w14:paraId="2F5B1E17" w14:textId="1092F1A1" w:rsidR="00D774DD" w:rsidRPr="006776AB" w:rsidRDefault="00D774DD" w:rsidP="00D774DD">
      <w:pPr>
        <w:spacing w:after="240"/>
        <w:ind w:left="0" w:firstLine="0"/>
      </w:pPr>
      <w:r w:rsidRPr="006776AB">
        <w:t xml:space="preserve">The 2021 Standard incorporates by reference the </w:t>
      </w:r>
      <w:r w:rsidRPr="006776AB">
        <w:rPr>
          <w:i/>
          <w:iCs/>
        </w:rPr>
        <w:t>Gazette</w:t>
      </w:r>
      <w:r w:rsidRPr="006776AB">
        <w:t xml:space="preserve"> which can be accessed, free of charge, from the Federal Register of Legislation: </w:t>
      </w:r>
      <w:hyperlink r:id="rId13" w:history="1">
        <w:r w:rsidRPr="006776AB">
          <w:rPr>
            <w:rStyle w:val="Hyperlink"/>
          </w:rPr>
          <w:t>http://www.legislation.gov.au</w:t>
        </w:r>
      </w:hyperlink>
      <w:r w:rsidRPr="006776AB">
        <w:rPr>
          <w:u w:val="single"/>
        </w:rPr>
        <w:t>.</w:t>
      </w:r>
    </w:p>
    <w:p w14:paraId="1E26DA81" w14:textId="77777777" w:rsidR="003737B6" w:rsidRPr="005E673D" w:rsidRDefault="003737B6" w:rsidP="003737B6">
      <w:pPr>
        <w:spacing w:before="320" w:after="60"/>
        <w:rPr>
          <w:b/>
        </w:rPr>
      </w:pPr>
      <w:r w:rsidRPr="005E673D">
        <w:rPr>
          <w:b/>
        </w:rPr>
        <w:t>Consultation</w:t>
      </w:r>
    </w:p>
    <w:p w14:paraId="671F84D6" w14:textId="36D9A2B3" w:rsidR="0008547D" w:rsidRDefault="0008547D" w:rsidP="00E5777F">
      <w:pPr>
        <w:spacing w:after="240"/>
        <w:ind w:left="0" w:firstLine="0"/>
      </w:pPr>
      <w:r w:rsidRPr="00740385">
        <w:t xml:space="preserve">Before the </w:t>
      </w:r>
      <w:r w:rsidR="008C2DBA">
        <w:t xml:space="preserve">2021 Standard </w:t>
      </w:r>
      <w:r w:rsidRPr="00740385">
        <w:t>was made, the ACMA was satisfied that consultation was undertaken to the extent appropriate and reasonably practicable, in accordance with section 17 of the LA</w:t>
      </w:r>
      <w:r w:rsidR="00E37524">
        <w:t xml:space="preserve"> and section 126 of the BSA</w:t>
      </w:r>
      <w:r>
        <w:t>.</w:t>
      </w:r>
      <w:r w:rsidR="003541A8">
        <w:t xml:space="preserve"> </w:t>
      </w:r>
    </w:p>
    <w:p w14:paraId="53993F6F" w14:textId="750A61CE" w:rsidR="003737B6" w:rsidRDefault="003737B6" w:rsidP="00E5777F">
      <w:pPr>
        <w:spacing w:after="240"/>
        <w:ind w:left="0" w:firstLine="0"/>
      </w:pPr>
      <w:r w:rsidRPr="00313213">
        <w:t xml:space="preserve">On </w:t>
      </w:r>
      <w:r w:rsidRPr="00882E53">
        <w:t>9</w:t>
      </w:r>
      <w:r>
        <w:t xml:space="preserve"> </w:t>
      </w:r>
      <w:r w:rsidR="00282CE6">
        <w:t xml:space="preserve">June </w:t>
      </w:r>
      <w:r>
        <w:t>20</w:t>
      </w:r>
      <w:r w:rsidR="00282CE6">
        <w:t>2</w:t>
      </w:r>
      <w:r>
        <w:t>1, the</w:t>
      </w:r>
      <w:r w:rsidRPr="00313213">
        <w:t xml:space="preserve"> ACMA </w:t>
      </w:r>
      <w:r>
        <w:t>published (on its website) the details of a propos</w:t>
      </w:r>
      <w:r w:rsidR="00EB5EC8">
        <w:t>al</w:t>
      </w:r>
      <w:r>
        <w:t xml:space="preserve"> to </w:t>
      </w:r>
      <w:r w:rsidR="00282CE6">
        <w:t xml:space="preserve">consolidate the 2011 </w:t>
      </w:r>
      <w:r>
        <w:t>Standard</w:t>
      </w:r>
      <w:r w:rsidR="00282CE6">
        <w:t xml:space="preserve">s in a single </w:t>
      </w:r>
      <w:r w:rsidR="00102422">
        <w:t>s</w:t>
      </w:r>
      <w:r w:rsidR="00D501DE">
        <w:t>tandard</w:t>
      </w:r>
      <w:r w:rsidR="00282CE6">
        <w:t xml:space="preserve"> and make minor drafting changes</w:t>
      </w:r>
      <w:r>
        <w:t xml:space="preserve">. </w:t>
      </w:r>
      <w:r w:rsidR="002947DE">
        <w:t xml:space="preserve">The proposal was necessary because the 2011 Standards were </w:t>
      </w:r>
      <w:r w:rsidR="00112CB5">
        <w:t xml:space="preserve">due to “sunset” under the </w:t>
      </w:r>
      <w:r w:rsidR="00901349">
        <w:t xml:space="preserve">relevant </w:t>
      </w:r>
      <w:r w:rsidR="00112CB5">
        <w:t xml:space="preserve">provisions of the LA on 1 October 2021. </w:t>
      </w:r>
      <w:r>
        <w:t>P</w:t>
      </w:r>
      <w:r w:rsidRPr="00313213">
        <w:t xml:space="preserve">ublic comment </w:t>
      </w:r>
      <w:r>
        <w:t>was invited on the proposal, with a closing date of</w:t>
      </w:r>
      <w:r w:rsidRPr="00313213">
        <w:t xml:space="preserve"> </w:t>
      </w:r>
      <w:r w:rsidR="00282CE6">
        <w:t xml:space="preserve">21 July </w:t>
      </w:r>
      <w:r>
        <w:t>20</w:t>
      </w:r>
      <w:r w:rsidR="00282CE6">
        <w:t>2</w:t>
      </w:r>
      <w:r>
        <w:t>1</w:t>
      </w:r>
      <w:r w:rsidRPr="00313213">
        <w:t>.</w:t>
      </w:r>
    </w:p>
    <w:p w14:paraId="3923647C" w14:textId="323AEF9C" w:rsidR="003737B6" w:rsidRDefault="003737B6" w:rsidP="00E5777F">
      <w:pPr>
        <w:spacing w:after="240"/>
        <w:ind w:left="0" w:firstLine="0"/>
      </w:pPr>
      <w:r w:rsidRPr="00D625D6">
        <w:t xml:space="preserve">The ACMA received </w:t>
      </w:r>
      <w:r w:rsidR="00073D02">
        <w:t>one</w:t>
      </w:r>
      <w:r w:rsidR="00073D02" w:rsidRPr="00D625D6">
        <w:t xml:space="preserve"> </w:t>
      </w:r>
      <w:r w:rsidRPr="00D625D6">
        <w:t>submission from the Australian Subscription Television and Radio Association</w:t>
      </w:r>
      <w:r w:rsidR="00073D02">
        <w:t>.</w:t>
      </w:r>
      <w:r w:rsidR="000461EE">
        <w:t xml:space="preserve"> The ACMA also consulted with relevant Commonwealth </w:t>
      </w:r>
      <w:r w:rsidR="00B17399">
        <w:t xml:space="preserve">government agencies on the </w:t>
      </w:r>
      <w:r w:rsidR="001B09B1">
        <w:t xml:space="preserve">proposal. </w:t>
      </w:r>
      <w:r w:rsidR="00DA3B0E">
        <w:t xml:space="preserve">No changes to the draft standard were necessary </w:t>
      </w:r>
      <w:proofErr w:type="gramStart"/>
      <w:r w:rsidR="00DA3B0E">
        <w:t>as a result of</w:t>
      </w:r>
      <w:proofErr w:type="gramEnd"/>
      <w:r w:rsidR="00DA3B0E">
        <w:t xml:space="preserve"> that consultation process.</w:t>
      </w:r>
    </w:p>
    <w:p w14:paraId="1DD2B6C0" w14:textId="77777777" w:rsidR="00073D02" w:rsidRPr="005E673D" w:rsidRDefault="00073D02" w:rsidP="00073D02">
      <w:pPr>
        <w:spacing w:before="320" w:after="60"/>
        <w:rPr>
          <w:b/>
        </w:rPr>
      </w:pPr>
      <w:r w:rsidRPr="005E673D">
        <w:rPr>
          <w:b/>
        </w:rPr>
        <w:t>Regulatory impact assessment</w:t>
      </w:r>
    </w:p>
    <w:p w14:paraId="37B9A517" w14:textId="2B9E8E41" w:rsidR="00073D02" w:rsidRDefault="00073D02" w:rsidP="001D69F4">
      <w:pPr>
        <w:tabs>
          <w:tab w:val="left" w:pos="0"/>
        </w:tabs>
        <w:spacing w:after="240"/>
        <w:ind w:left="0" w:firstLine="0"/>
      </w:pPr>
      <w:r w:rsidRPr="0089125C">
        <w:t>A preliminary assessment of the proposal to make the Standard was conducted by the Office of Best Practice Regulation (</w:t>
      </w:r>
      <w:r w:rsidRPr="00C95ED4">
        <w:rPr>
          <w:b/>
          <w:bCs/>
          <w:color w:val="000000"/>
          <w:sz w:val="22"/>
          <w:szCs w:val="22"/>
        </w:rPr>
        <w:t>OBPR</w:t>
      </w:r>
      <w:r w:rsidRPr="0089125C">
        <w:t xml:space="preserve">), based on information provided by the ACMA, for the purposes of determining whether a Regulation Impact Statement </w:t>
      </w:r>
      <w:r w:rsidRPr="0089125C">
        <w:lastRenderedPageBreak/>
        <w:t>(</w:t>
      </w:r>
      <w:r w:rsidRPr="00C95ED4">
        <w:rPr>
          <w:b/>
          <w:bCs/>
        </w:rPr>
        <w:t>RIS</w:t>
      </w:r>
      <w:r w:rsidRPr="0089125C">
        <w:t xml:space="preserve">) would be required. OBPR advised that the </w:t>
      </w:r>
      <w:r w:rsidR="0020264A" w:rsidRPr="0089125C">
        <w:t xml:space="preserve">preliminary assessment shows the regulation is operating effectively and efficiently and since the </w:t>
      </w:r>
      <w:r w:rsidR="00380143" w:rsidRPr="00740385">
        <w:t>2021</w:t>
      </w:r>
      <w:r w:rsidR="00380143">
        <w:t xml:space="preserve"> </w:t>
      </w:r>
      <w:r w:rsidR="00D501DE">
        <w:t>Standard</w:t>
      </w:r>
      <w:r w:rsidR="0020264A" w:rsidRPr="0089125C">
        <w:t xml:space="preserve"> will be made without significant amendments,</w:t>
      </w:r>
      <w:r w:rsidR="00D501DE">
        <w:t xml:space="preserve"> it </w:t>
      </w:r>
      <w:r w:rsidR="0020264A" w:rsidRPr="0089125C">
        <w:t xml:space="preserve">may be certified without a RIS (OBPR reference number: 44109). </w:t>
      </w:r>
    </w:p>
    <w:p w14:paraId="70B6C369" w14:textId="77777777" w:rsidR="00BD2FFF" w:rsidRPr="00740385" w:rsidRDefault="00BD2FFF" w:rsidP="00BD2FFF">
      <w:pPr>
        <w:tabs>
          <w:tab w:val="left" w:pos="0"/>
        </w:tabs>
        <w:spacing w:after="240"/>
        <w:ind w:left="0" w:firstLine="0"/>
      </w:pPr>
      <w:r w:rsidRPr="00740385">
        <w:rPr>
          <w:b/>
        </w:rPr>
        <w:t>Statement of compatibility with human rights</w:t>
      </w:r>
    </w:p>
    <w:p w14:paraId="2E737740" w14:textId="77777777" w:rsidR="00BD2FFF" w:rsidRPr="00740385" w:rsidRDefault="00BD2FFF" w:rsidP="00BD2FFF">
      <w:pPr>
        <w:tabs>
          <w:tab w:val="left" w:pos="0"/>
        </w:tabs>
        <w:spacing w:after="240"/>
        <w:ind w:left="0" w:firstLine="0"/>
      </w:pPr>
      <w:r w:rsidRPr="00740385">
        <w:t>Subsection 9(1) of the </w:t>
      </w:r>
      <w:r w:rsidRPr="00740385">
        <w:rPr>
          <w:i/>
        </w:rPr>
        <w:t>Human Rights (Parliamentary Scrutiny) Act 2011</w:t>
      </w:r>
      <w:r w:rsidRPr="00740385">
        <w:t> requires the rule-maker in relation to a legislative instrument to which section 42 (disallowance) of the LA applies to cause a statement of compatibility with human rights to be prepared in respect of that legislative instrument. </w:t>
      </w:r>
    </w:p>
    <w:p w14:paraId="626E6DE7" w14:textId="77777777" w:rsidR="006C6207" w:rsidRPr="00740385" w:rsidRDefault="00BD2FFF" w:rsidP="00BD2FFF">
      <w:pPr>
        <w:tabs>
          <w:tab w:val="left" w:pos="0"/>
        </w:tabs>
        <w:spacing w:after="240"/>
        <w:ind w:left="0" w:firstLine="0"/>
        <w:sectPr w:rsidR="006C6207" w:rsidRPr="00740385" w:rsidSect="005E673D">
          <w:headerReference w:type="even" r:id="rId14"/>
          <w:headerReference w:type="default" r:id="rId15"/>
          <w:footerReference w:type="default" r:id="rId16"/>
          <w:headerReference w:type="first" r:id="rId17"/>
          <w:pgSz w:w="11906" w:h="16838"/>
          <w:pgMar w:top="1440" w:right="1800" w:bottom="1258" w:left="1800" w:header="708" w:footer="454" w:gutter="0"/>
          <w:cols w:space="708"/>
          <w:docGrid w:linePitch="360"/>
        </w:sectPr>
      </w:pPr>
      <w:r w:rsidRPr="00740385">
        <w:t>The statement of compatibility set out in </w:t>
      </w:r>
      <w:r w:rsidRPr="00740385">
        <w:rPr>
          <w:b/>
        </w:rPr>
        <w:t>Attachment B</w:t>
      </w:r>
      <w:r w:rsidRPr="00740385">
        <w:t> has been prepared to meet that requirement.</w:t>
      </w:r>
    </w:p>
    <w:p w14:paraId="3482E1A4" w14:textId="2CD36554" w:rsidR="00BD2FFF" w:rsidRPr="00740385" w:rsidRDefault="00B54D6F" w:rsidP="006C6207">
      <w:pPr>
        <w:tabs>
          <w:tab w:val="left" w:pos="0"/>
        </w:tabs>
        <w:spacing w:after="240"/>
        <w:ind w:left="0" w:firstLine="0"/>
        <w:jc w:val="right"/>
        <w:rPr>
          <w:b/>
          <w:sz w:val="28"/>
          <w:szCs w:val="28"/>
        </w:rPr>
      </w:pPr>
      <w:r w:rsidRPr="00740385">
        <w:rPr>
          <w:b/>
          <w:sz w:val="28"/>
          <w:szCs w:val="28"/>
        </w:rPr>
        <w:t>Attachment A</w:t>
      </w:r>
    </w:p>
    <w:p w14:paraId="44E31C1C" w14:textId="401D46E4" w:rsidR="00B54D6F" w:rsidRPr="005E673D" w:rsidRDefault="00B54D6F" w:rsidP="005E673D">
      <w:pPr>
        <w:tabs>
          <w:tab w:val="left" w:pos="0"/>
        </w:tabs>
        <w:spacing w:after="240"/>
        <w:ind w:left="0" w:firstLine="0"/>
        <w:jc w:val="center"/>
        <w:rPr>
          <w:b/>
          <w:bCs/>
          <w:i/>
          <w:iCs/>
          <w:sz w:val="28"/>
          <w:szCs w:val="28"/>
        </w:rPr>
      </w:pPr>
      <w:r w:rsidRPr="00740385">
        <w:rPr>
          <w:b/>
          <w:sz w:val="28"/>
          <w:szCs w:val="28"/>
        </w:rPr>
        <w:t xml:space="preserve">Notes to the </w:t>
      </w:r>
      <w:r w:rsidR="004559E8" w:rsidRPr="00740385">
        <w:rPr>
          <w:b/>
          <w:i/>
          <w:sz w:val="28"/>
          <w:szCs w:val="28"/>
        </w:rPr>
        <w:t>Broadcasting Services (Anti-terrorism Requirements for Television Narrowcasting Services) Standard 2021</w:t>
      </w:r>
    </w:p>
    <w:p w14:paraId="425AA130" w14:textId="77777777" w:rsidR="00073D02" w:rsidRPr="005E673D" w:rsidRDefault="00073D02" w:rsidP="003737B6">
      <w:pPr>
        <w:pStyle w:val="Heading3"/>
        <w:rPr>
          <w:rFonts w:ascii="Times New Roman" w:hAnsi="Times New Roman" w:cs="Times New Roman"/>
          <w:color w:val="000000"/>
          <w:sz w:val="24"/>
          <w:szCs w:val="24"/>
        </w:rPr>
      </w:pPr>
      <w:bookmarkStart w:id="0" w:name="_Hlk79655426"/>
      <w:r w:rsidRPr="005E673D">
        <w:rPr>
          <w:rFonts w:ascii="Times New Roman" w:hAnsi="Times New Roman" w:cs="Times New Roman"/>
          <w:color w:val="000000"/>
          <w:sz w:val="24"/>
          <w:szCs w:val="24"/>
        </w:rPr>
        <w:t xml:space="preserve">Part 1 </w:t>
      </w:r>
      <w:r w:rsidRPr="005E673D">
        <w:rPr>
          <w:rFonts w:ascii="Times New Roman" w:hAnsi="Times New Roman" w:cs="Times New Roman"/>
          <w:color w:val="000000"/>
          <w:sz w:val="24"/>
          <w:szCs w:val="24"/>
        </w:rPr>
        <w:tab/>
        <w:t>Preliminary</w:t>
      </w:r>
    </w:p>
    <w:bookmarkEnd w:id="0"/>
    <w:p w14:paraId="29E6753F" w14:textId="77777777" w:rsidR="003737B6" w:rsidRPr="005E673D" w:rsidRDefault="003737B6" w:rsidP="003737B6">
      <w:pPr>
        <w:pStyle w:val="Heading3"/>
        <w:rPr>
          <w:rFonts w:ascii="Times New Roman" w:hAnsi="Times New Roman" w:cs="Times New Roman"/>
          <w:color w:val="000000"/>
          <w:sz w:val="24"/>
          <w:szCs w:val="24"/>
        </w:rPr>
      </w:pPr>
      <w:r w:rsidRPr="005E673D">
        <w:rPr>
          <w:rFonts w:ascii="Times New Roman" w:hAnsi="Times New Roman" w:cs="Times New Roman"/>
          <w:color w:val="000000"/>
          <w:sz w:val="24"/>
          <w:szCs w:val="24"/>
        </w:rPr>
        <w:t>Section 1</w:t>
      </w:r>
      <w:r w:rsidRPr="005E673D">
        <w:rPr>
          <w:rFonts w:ascii="Times New Roman" w:hAnsi="Times New Roman" w:cs="Times New Roman"/>
          <w:color w:val="000000"/>
          <w:sz w:val="24"/>
          <w:szCs w:val="24"/>
        </w:rPr>
        <w:tab/>
        <w:t xml:space="preserve">Name of </w:t>
      </w:r>
      <w:r w:rsidR="007329BF" w:rsidRPr="005E673D">
        <w:rPr>
          <w:rFonts w:ascii="Times New Roman" w:hAnsi="Times New Roman" w:cs="Times New Roman"/>
          <w:color w:val="000000"/>
          <w:sz w:val="24"/>
          <w:szCs w:val="24"/>
        </w:rPr>
        <w:t>instrument</w:t>
      </w:r>
    </w:p>
    <w:p w14:paraId="092CBE51" w14:textId="6DC67463" w:rsidR="003737B6" w:rsidRPr="005E673D" w:rsidRDefault="007E540D" w:rsidP="005E673D">
      <w:pPr>
        <w:pStyle w:val="Normalspace"/>
        <w:ind w:right="289"/>
        <w:rPr>
          <w:rFonts w:ascii="Times New Roman" w:hAnsi="Times New Roman" w:cs="Times New Roman"/>
          <w:b/>
          <w:color w:val="000000"/>
        </w:rPr>
      </w:pPr>
      <w:r w:rsidRPr="00663A57">
        <w:rPr>
          <w:rFonts w:ascii="Times New Roman" w:hAnsi="Times New Roman" w:cs="Times New Roman"/>
          <w:color w:val="000000"/>
        </w:rPr>
        <w:t xml:space="preserve">Section 1 </w:t>
      </w:r>
      <w:r w:rsidR="00407DA2" w:rsidRPr="00740385">
        <w:rPr>
          <w:rFonts w:ascii="Times New Roman" w:hAnsi="Times New Roman" w:cs="Times New Roman"/>
          <w:color w:val="000000"/>
        </w:rPr>
        <w:t xml:space="preserve">provides </w:t>
      </w:r>
      <w:r w:rsidR="00ED1F40" w:rsidRPr="00740385">
        <w:rPr>
          <w:rFonts w:ascii="Times New Roman" w:hAnsi="Times New Roman" w:cs="Times New Roman"/>
          <w:color w:val="000000"/>
        </w:rPr>
        <w:t xml:space="preserve">that </w:t>
      </w:r>
      <w:r w:rsidR="00407DA2" w:rsidRPr="00740385">
        <w:rPr>
          <w:rFonts w:ascii="Times New Roman" w:hAnsi="Times New Roman" w:cs="Times New Roman"/>
          <w:color w:val="000000"/>
        </w:rPr>
        <w:t xml:space="preserve">the name of the </w:t>
      </w:r>
      <w:r w:rsidR="00F82145" w:rsidRPr="00740385">
        <w:rPr>
          <w:rFonts w:ascii="Times New Roman" w:hAnsi="Times New Roman" w:cs="Times New Roman"/>
          <w:color w:val="000000"/>
        </w:rPr>
        <w:t>i</w:t>
      </w:r>
      <w:r w:rsidR="00407DA2" w:rsidRPr="00740385">
        <w:rPr>
          <w:rFonts w:ascii="Times New Roman" w:hAnsi="Times New Roman" w:cs="Times New Roman"/>
          <w:color w:val="000000"/>
        </w:rPr>
        <w:t>nstrument</w:t>
      </w:r>
      <w:r w:rsidRPr="00740385">
        <w:rPr>
          <w:rFonts w:ascii="Times New Roman" w:hAnsi="Times New Roman" w:cs="Times New Roman"/>
          <w:color w:val="000000"/>
        </w:rPr>
        <w:t xml:space="preserve"> </w:t>
      </w:r>
      <w:r w:rsidR="002E51BF" w:rsidRPr="00740385">
        <w:rPr>
          <w:rFonts w:ascii="Times New Roman" w:hAnsi="Times New Roman" w:cs="Times New Roman"/>
          <w:color w:val="000000"/>
        </w:rPr>
        <w:t>is</w:t>
      </w:r>
      <w:r w:rsidR="003737B6" w:rsidRPr="00663A57">
        <w:rPr>
          <w:rFonts w:ascii="Times New Roman" w:hAnsi="Times New Roman" w:cs="Times New Roman"/>
          <w:color w:val="000000"/>
        </w:rPr>
        <w:t xml:space="preserve"> the </w:t>
      </w:r>
      <w:r w:rsidR="003737B6" w:rsidRPr="007F0172">
        <w:rPr>
          <w:rFonts w:ascii="Times New Roman" w:hAnsi="Times New Roman" w:cs="Times New Roman"/>
          <w:i/>
          <w:color w:val="000000"/>
        </w:rPr>
        <w:t xml:space="preserve">Broadcasting Services (Anti-terrorism Requirements for </w:t>
      </w:r>
      <w:r w:rsidR="003737B6" w:rsidRPr="00663A57">
        <w:rPr>
          <w:rFonts w:ascii="Times New Roman" w:hAnsi="Times New Roman" w:cs="Times New Roman"/>
          <w:i/>
          <w:color w:val="000000"/>
        </w:rPr>
        <w:t>Television Narrowcasting Services) Standard 20</w:t>
      </w:r>
      <w:r w:rsidR="00396022" w:rsidRPr="00663A57">
        <w:rPr>
          <w:rFonts w:ascii="Times New Roman" w:hAnsi="Times New Roman" w:cs="Times New Roman"/>
          <w:i/>
          <w:color w:val="000000"/>
        </w:rPr>
        <w:t>2</w:t>
      </w:r>
      <w:r w:rsidR="003737B6" w:rsidRPr="00663A57">
        <w:rPr>
          <w:rFonts w:ascii="Times New Roman" w:hAnsi="Times New Roman" w:cs="Times New Roman"/>
          <w:i/>
          <w:color w:val="000000"/>
        </w:rPr>
        <w:t>1</w:t>
      </w:r>
      <w:r w:rsidR="003737B6" w:rsidRPr="005E673D">
        <w:rPr>
          <w:rFonts w:ascii="Times New Roman" w:hAnsi="Times New Roman" w:cs="Times New Roman"/>
          <w:color w:val="000000"/>
        </w:rPr>
        <w:t>.</w:t>
      </w:r>
    </w:p>
    <w:p w14:paraId="148DE765" w14:textId="77777777" w:rsidR="003737B6" w:rsidRPr="005E673D" w:rsidRDefault="003737B6" w:rsidP="003737B6">
      <w:pPr>
        <w:pStyle w:val="Heading3"/>
        <w:rPr>
          <w:rFonts w:ascii="Times New Roman" w:hAnsi="Times New Roman" w:cs="Times New Roman"/>
          <w:color w:val="000000"/>
          <w:sz w:val="24"/>
          <w:szCs w:val="24"/>
        </w:rPr>
      </w:pPr>
      <w:r w:rsidRPr="005E673D">
        <w:rPr>
          <w:rFonts w:ascii="Times New Roman" w:hAnsi="Times New Roman" w:cs="Times New Roman"/>
          <w:color w:val="000000"/>
          <w:sz w:val="24"/>
          <w:szCs w:val="24"/>
        </w:rPr>
        <w:t>Section 2</w:t>
      </w:r>
      <w:r w:rsidRPr="005E673D">
        <w:rPr>
          <w:rFonts w:ascii="Times New Roman" w:hAnsi="Times New Roman" w:cs="Times New Roman"/>
          <w:color w:val="000000"/>
          <w:sz w:val="24"/>
          <w:szCs w:val="24"/>
        </w:rPr>
        <w:tab/>
        <w:t>Commencement</w:t>
      </w:r>
    </w:p>
    <w:p w14:paraId="22F2C97C" w14:textId="14649242" w:rsidR="003737B6" w:rsidRPr="00663A57" w:rsidRDefault="003737B6" w:rsidP="003737B6">
      <w:pPr>
        <w:pStyle w:val="Normalspace"/>
        <w:rPr>
          <w:rFonts w:ascii="Times New Roman" w:hAnsi="Times New Roman" w:cs="Times New Roman"/>
          <w:color w:val="000000"/>
        </w:rPr>
      </w:pPr>
      <w:r w:rsidRPr="00740385">
        <w:rPr>
          <w:rFonts w:ascii="Times New Roman" w:hAnsi="Times New Roman" w:cs="Times New Roman"/>
          <w:color w:val="000000"/>
        </w:rPr>
        <w:t xml:space="preserve">Section 2 provides </w:t>
      </w:r>
      <w:r w:rsidR="00994159" w:rsidRPr="00740385">
        <w:rPr>
          <w:rFonts w:ascii="Times New Roman" w:hAnsi="Times New Roman" w:cs="Times New Roman"/>
          <w:color w:val="000000"/>
        </w:rPr>
        <w:t xml:space="preserve">that the Standard will commence on the day after </w:t>
      </w:r>
      <w:r w:rsidR="00C148C2">
        <w:rPr>
          <w:rFonts w:ascii="Times New Roman" w:hAnsi="Times New Roman" w:cs="Times New Roman"/>
          <w:color w:val="000000"/>
        </w:rPr>
        <w:t xml:space="preserve">the day </w:t>
      </w:r>
      <w:r w:rsidR="00994159" w:rsidRPr="00740385">
        <w:rPr>
          <w:rFonts w:ascii="Times New Roman" w:hAnsi="Times New Roman" w:cs="Times New Roman"/>
          <w:color w:val="000000"/>
        </w:rPr>
        <w:t>it is registered.</w:t>
      </w:r>
      <w:r w:rsidR="00994159" w:rsidRPr="00663A57">
        <w:rPr>
          <w:rFonts w:ascii="Times New Roman" w:hAnsi="Times New Roman" w:cs="Times New Roman"/>
          <w:color w:val="000000"/>
        </w:rPr>
        <w:t xml:space="preserve"> </w:t>
      </w:r>
    </w:p>
    <w:p w14:paraId="572871F0" w14:textId="64960127" w:rsidR="003737B6" w:rsidRPr="005E673D" w:rsidRDefault="003737B6" w:rsidP="003737B6">
      <w:pPr>
        <w:pStyle w:val="Heading3"/>
        <w:rPr>
          <w:rFonts w:ascii="Times New Roman" w:hAnsi="Times New Roman" w:cs="Times New Roman"/>
          <w:color w:val="000000"/>
          <w:sz w:val="24"/>
          <w:szCs w:val="24"/>
        </w:rPr>
      </w:pPr>
      <w:r w:rsidRPr="005E673D">
        <w:rPr>
          <w:rFonts w:ascii="Times New Roman" w:hAnsi="Times New Roman" w:cs="Times New Roman"/>
          <w:color w:val="000000"/>
          <w:sz w:val="24"/>
          <w:szCs w:val="24"/>
        </w:rPr>
        <w:t>Section 3</w:t>
      </w:r>
      <w:r w:rsidRPr="005E673D">
        <w:rPr>
          <w:rFonts w:ascii="Times New Roman" w:hAnsi="Times New Roman" w:cs="Times New Roman"/>
          <w:color w:val="000000"/>
          <w:sz w:val="24"/>
          <w:szCs w:val="24"/>
        </w:rPr>
        <w:tab/>
      </w:r>
      <w:r w:rsidR="00073D02" w:rsidRPr="005E673D">
        <w:rPr>
          <w:rFonts w:ascii="Times New Roman" w:hAnsi="Times New Roman" w:cs="Times New Roman"/>
          <w:color w:val="000000"/>
          <w:sz w:val="24"/>
          <w:szCs w:val="24"/>
        </w:rPr>
        <w:t>Authority</w:t>
      </w:r>
    </w:p>
    <w:p w14:paraId="45A7E080" w14:textId="208BDBAE" w:rsidR="003737B6" w:rsidRPr="00663A57" w:rsidRDefault="00A14B00" w:rsidP="00E5777F">
      <w:pPr>
        <w:spacing w:after="240"/>
        <w:ind w:left="0" w:firstLine="0"/>
        <w:rPr>
          <w:color w:val="000000"/>
        </w:rPr>
      </w:pPr>
      <w:r w:rsidRPr="00740385">
        <w:rPr>
          <w:color w:val="000000"/>
        </w:rPr>
        <w:t>This section identifies the provision that authorises the making of the Standard, namely subsection 125(</w:t>
      </w:r>
      <w:r w:rsidR="00E34B5F" w:rsidRPr="00740385">
        <w:rPr>
          <w:color w:val="000000"/>
        </w:rPr>
        <w:t>2</w:t>
      </w:r>
      <w:r w:rsidRPr="00740385">
        <w:rPr>
          <w:color w:val="000000"/>
        </w:rPr>
        <w:t xml:space="preserve">) of the </w:t>
      </w:r>
      <w:r w:rsidR="002F5F8E" w:rsidRPr="00740385">
        <w:rPr>
          <w:i/>
          <w:color w:val="000000"/>
        </w:rPr>
        <w:t>Broadcasting Services Act 1992</w:t>
      </w:r>
      <w:r w:rsidRPr="00740385">
        <w:rPr>
          <w:color w:val="000000"/>
        </w:rPr>
        <w:t xml:space="preserve">. </w:t>
      </w:r>
      <w:r w:rsidR="003737B6" w:rsidRPr="00740385">
        <w:rPr>
          <w:color w:val="000000"/>
        </w:rPr>
        <w:t xml:space="preserve"> </w:t>
      </w:r>
    </w:p>
    <w:p w14:paraId="545C5FF2" w14:textId="77777777" w:rsidR="00073D02" w:rsidRPr="005E673D" w:rsidRDefault="00073D02" w:rsidP="00073D02">
      <w:pPr>
        <w:pStyle w:val="Heading3"/>
        <w:rPr>
          <w:rFonts w:ascii="Times New Roman" w:hAnsi="Times New Roman" w:cs="Times New Roman"/>
          <w:color w:val="000000"/>
          <w:sz w:val="24"/>
          <w:szCs w:val="24"/>
        </w:rPr>
      </w:pPr>
      <w:r w:rsidRPr="005E673D">
        <w:rPr>
          <w:rFonts w:ascii="Times New Roman" w:hAnsi="Times New Roman" w:cs="Times New Roman"/>
          <w:color w:val="000000"/>
          <w:sz w:val="24"/>
          <w:szCs w:val="24"/>
        </w:rPr>
        <w:t>Section 4</w:t>
      </w:r>
      <w:r w:rsidRPr="005E673D">
        <w:rPr>
          <w:rFonts w:ascii="Times New Roman" w:hAnsi="Times New Roman" w:cs="Times New Roman"/>
          <w:color w:val="000000"/>
          <w:sz w:val="24"/>
          <w:szCs w:val="24"/>
        </w:rPr>
        <w:tab/>
        <w:t>Repeals</w:t>
      </w:r>
    </w:p>
    <w:p w14:paraId="76D9B1C2" w14:textId="77777777" w:rsidR="00073D02" w:rsidRPr="00663A57" w:rsidRDefault="00073D02" w:rsidP="00073D02">
      <w:pPr>
        <w:rPr>
          <w:lang w:eastAsia="en-US"/>
        </w:rPr>
      </w:pPr>
    </w:p>
    <w:p w14:paraId="3F3E07F9" w14:textId="3B8C1CDF" w:rsidR="00FB5BD1" w:rsidRPr="005E673D" w:rsidRDefault="00073D02" w:rsidP="005E673D">
      <w:pPr>
        <w:spacing w:after="240"/>
        <w:ind w:left="0" w:right="289" w:firstLine="0"/>
        <w:rPr>
          <w:lang w:eastAsia="en-US"/>
        </w:rPr>
      </w:pPr>
      <w:r w:rsidRPr="00C95ED4">
        <w:rPr>
          <w:bCs/>
          <w:color w:val="000000"/>
          <w:lang w:eastAsia="en-US"/>
        </w:rPr>
        <w:t>Section 4</w:t>
      </w:r>
      <w:r w:rsidRPr="005E673D">
        <w:rPr>
          <w:b/>
          <w:bCs/>
          <w:color w:val="000000"/>
          <w:lang w:eastAsia="en-US"/>
        </w:rPr>
        <w:t xml:space="preserve"> </w:t>
      </w:r>
      <w:r w:rsidR="008C4074" w:rsidRPr="00740385">
        <w:rPr>
          <w:color w:val="000000"/>
          <w:lang w:eastAsia="en-US"/>
        </w:rPr>
        <w:t xml:space="preserve">provides that the </w:t>
      </w:r>
      <w:r w:rsidR="008C4074" w:rsidRPr="00740385">
        <w:rPr>
          <w:i/>
          <w:color w:val="000000"/>
          <w:lang w:eastAsia="en-US"/>
        </w:rPr>
        <w:t xml:space="preserve">Broadcasting Services (Anti-terrorism Requirements for Subscription Television Narrowcasting Services) Standard 2011 </w:t>
      </w:r>
      <w:r w:rsidR="008C4074" w:rsidRPr="00740385">
        <w:rPr>
          <w:color w:val="000000"/>
          <w:lang w:eastAsia="en-US"/>
        </w:rPr>
        <w:t xml:space="preserve">and the </w:t>
      </w:r>
      <w:r w:rsidR="008C4074" w:rsidRPr="00740385">
        <w:rPr>
          <w:i/>
          <w:color w:val="000000"/>
          <w:lang w:eastAsia="en-US"/>
        </w:rPr>
        <w:t xml:space="preserve">Broadcasting Services (Anti-terrorism Requirements for Open Narrowcasting Television Services) </w:t>
      </w:r>
      <w:r w:rsidR="0047300D" w:rsidRPr="00C95ED4">
        <w:rPr>
          <w:i/>
          <w:color w:val="000000"/>
          <w:lang w:eastAsia="en-US"/>
        </w:rPr>
        <w:t>Standard 2011</w:t>
      </w:r>
      <w:r w:rsidR="0047300D" w:rsidRPr="00740385">
        <w:rPr>
          <w:i/>
          <w:color w:val="000000"/>
          <w:sz w:val="26"/>
          <w:szCs w:val="26"/>
          <w:lang w:eastAsia="en-US"/>
        </w:rPr>
        <w:t xml:space="preserve"> </w:t>
      </w:r>
      <w:r w:rsidR="008C4074" w:rsidRPr="00740385">
        <w:rPr>
          <w:color w:val="000000"/>
          <w:lang w:eastAsia="en-US"/>
        </w:rPr>
        <w:t>are repealed</w:t>
      </w:r>
      <w:r w:rsidR="007329BF" w:rsidRPr="00740385">
        <w:rPr>
          <w:color w:val="000000"/>
          <w:lang w:eastAsia="en-US"/>
        </w:rPr>
        <w:t>.</w:t>
      </w:r>
      <w:r w:rsidRPr="005E673D">
        <w:rPr>
          <w:b/>
          <w:bCs/>
          <w:color w:val="000000"/>
          <w:lang w:eastAsia="en-US"/>
        </w:rPr>
        <w:t xml:space="preserve"> </w:t>
      </w:r>
    </w:p>
    <w:p w14:paraId="4FD126AA" w14:textId="77777777" w:rsidR="00073D02" w:rsidRPr="005E673D" w:rsidRDefault="00073D02" w:rsidP="00073D02">
      <w:pPr>
        <w:pStyle w:val="Heading3"/>
        <w:rPr>
          <w:rFonts w:ascii="Times New Roman" w:hAnsi="Times New Roman" w:cs="Times New Roman"/>
          <w:color w:val="000000"/>
          <w:sz w:val="24"/>
          <w:szCs w:val="24"/>
        </w:rPr>
      </w:pPr>
      <w:r w:rsidRPr="005E673D">
        <w:rPr>
          <w:rFonts w:ascii="Times New Roman" w:hAnsi="Times New Roman" w:cs="Times New Roman"/>
          <w:color w:val="000000"/>
          <w:sz w:val="24"/>
          <w:szCs w:val="24"/>
        </w:rPr>
        <w:t>Section 5</w:t>
      </w:r>
      <w:r w:rsidRPr="005E673D">
        <w:rPr>
          <w:rFonts w:ascii="Times New Roman" w:hAnsi="Times New Roman" w:cs="Times New Roman"/>
          <w:color w:val="000000"/>
          <w:sz w:val="24"/>
          <w:szCs w:val="24"/>
        </w:rPr>
        <w:tab/>
        <w:t>Definitions and interpretation</w:t>
      </w:r>
    </w:p>
    <w:p w14:paraId="25C52545" w14:textId="72D46BF6" w:rsidR="00073D02" w:rsidRPr="00663A57" w:rsidRDefault="00073D02" w:rsidP="00073D02">
      <w:pPr>
        <w:tabs>
          <w:tab w:val="left" w:pos="540"/>
          <w:tab w:val="left" w:pos="5730"/>
        </w:tabs>
        <w:spacing w:after="240"/>
        <w:ind w:left="0" w:firstLine="0"/>
        <w:rPr>
          <w:color w:val="000000"/>
        </w:rPr>
      </w:pPr>
      <w:r w:rsidRPr="00663A57">
        <w:rPr>
          <w:color w:val="000000"/>
        </w:rPr>
        <w:t>Section 5 def</w:t>
      </w:r>
      <w:r w:rsidRPr="007F0172">
        <w:rPr>
          <w:color w:val="000000"/>
        </w:rPr>
        <w:t xml:space="preserve">ines </w:t>
      </w:r>
      <w:r w:rsidR="00B53C63">
        <w:rPr>
          <w:color w:val="000000"/>
        </w:rPr>
        <w:t xml:space="preserve">some key </w:t>
      </w:r>
      <w:r w:rsidRPr="007F0172">
        <w:rPr>
          <w:color w:val="000000"/>
        </w:rPr>
        <w:t xml:space="preserve">terms used throughout the </w:t>
      </w:r>
      <w:r w:rsidR="008C4074" w:rsidRPr="00C146B8">
        <w:rPr>
          <w:color w:val="000000"/>
        </w:rPr>
        <w:t>S</w:t>
      </w:r>
      <w:r w:rsidRPr="00663A57">
        <w:rPr>
          <w:color w:val="000000"/>
        </w:rPr>
        <w:t xml:space="preserve">tandard. </w:t>
      </w:r>
    </w:p>
    <w:p w14:paraId="173395EB" w14:textId="77777777" w:rsidR="00073D02" w:rsidRPr="005E673D" w:rsidRDefault="00073D02" w:rsidP="00073D02">
      <w:pPr>
        <w:pStyle w:val="Heading3"/>
        <w:rPr>
          <w:rFonts w:ascii="Times New Roman" w:hAnsi="Times New Roman" w:cs="Times New Roman"/>
          <w:color w:val="000000"/>
          <w:sz w:val="24"/>
          <w:szCs w:val="24"/>
        </w:rPr>
      </w:pPr>
      <w:r w:rsidRPr="005E673D">
        <w:rPr>
          <w:rFonts w:ascii="Times New Roman" w:hAnsi="Times New Roman" w:cs="Times New Roman"/>
          <w:color w:val="000000"/>
          <w:sz w:val="24"/>
          <w:szCs w:val="24"/>
        </w:rPr>
        <w:t>Section 6</w:t>
      </w:r>
      <w:r w:rsidRPr="005E673D">
        <w:rPr>
          <w:rFonts w:ascii="Times New Roman" w:hAnsi="Times New Roman" w:cs="Times New Roman"/>
          <w:color w:val="000000"/>
          <w:sz w:val="24"/>
          <w:szCs w:val="24"/>
        </w:rPr>
        <w:tab/>
        <w:t>References to other instruments</w:t>
      </w:r>
    </w:p>
    <w:p w14:paraId="3C12B444" w14:textId="20655422" w:rsidR="004376BA" w:rsidRPr="005E673D" w:rsidRDefault="004376BA" w:rsidP="004376BA">
      <w:pPr>
        <w:pStyle w:val="Heading3"/>
        <w:rPr>
          <w:rFonts w:ascii="Times New Roman" w:eastAsia="Calibri" w:hAnsi="Times New Roman" w:cs="Times New Roman"/>
          <w:b w:val="0"/>
          <w:bCs w:val="0"/>
          <w:sz w:val="24"/>
          <w:szCs w:val="24"/>
        </w:rPr>
      </w:pPr>
      <w:r w:rsidRPr="005E673D">
        <w:rPr>
          <w:rFonts w:ascii="Times New Roman" w:eastAsia="Calibri" w:hAnsi="Times New Roman" w:cs="Times New Roman"/>
          <w:b w:val="0"/>
          <w:bCs w:val="0"/>
          <w:sz w:val="24"/>
          <w:szCs w:val="24"/>
        </w:rPr>
        <w:t xml:space="preserve">This section provides that in the </w:t>
      </w:r>
      <w:r w:rsidR="005C6413">
        <w:rPr>
          <w:rFonts w:ascii="Times New Roman" w:eastAsia="Calibri" w:hAnsi="Times New Roman" w:cs="Times New Roman"/>
          <w:b w:val="0"/>
          <w:bCs w:val="0"/>
          <w:sz w:val="24"/>
          <w:szCs w:val="24"/>
        </w:rPr>
        <w:t>Standard</w:t>
      </w:r>
      <w:r w:rsidRPr="005E673D">
        <w:rPr>
          <w:rFonts w:ascii="Times New Roman" w:eastAsia="Calibri" w:hAnsi="Times New Roman" w:cs="Times New Roman"/>
          <w:b w:val="0"/>
          <w:bCs w:val="0"/>
          <w:sz w:val="24"/>
          <w:szCs w:val="24"/>
        </w:rPr>
        <w:t>, unless the contrary intention appears:</w:t>
      </w:r>
    </w:p>
    <w:p w14:paraId="349A62B4" w14:textId="5DF2D88A" w:rsidR="004376BA" w:rsidRPr="005E673D" w:rsidRDefault="004376BA" w:rsidP="005E673D">
      <w:pPr>
        <w:pStyle w:val="Heading3"/>
        <w:numPr>
          <w:ilvl w:val="0"/>
          <w:numId w:val="9"/>
        </w:numPr>
        <w:rPr>
          <w:rFonts w:ascii="Times New Roman" w:eastAsia="Calibri" w:hAnsi="Times New Roman" w:cs="Times New Roman"/>
          <w:b w:val="0"/>
          <w:bCs w:val="0"/>
          <w:sz w:val="24"/>
          <w:szCs w:val="24"/>
        </w:rPr>
      </w:pPr>
      <w:r w:rsidRPr="005E673D">
        <w:rPr>
          <w:rFonts w:ascii="Times New Roman" w:eastAsia="Calibri" w:hAnsi="Times New Roman" w:cs="Times New Roman"/>
          <w:b w:val="0"/>
          <w:bCs w:val="0"/>
          <w:sz w:val="24"/>
          <w:szCs w:val="24"/>
        </w:rPr>
        <w:t>a reference to any other legislative instrument is a reference to that other legislative instrument as in force from time to time; and</w:t>
      </w:r>
    </w:p>
    <w:p w14:paraId="21C9709B" w14:textId="716BE8EE" w:rsidR="004376BA" w:rsidRPr="005E673D" w:rsidRDefault="004376BA" w:rsidP="005E673D">
      <w:pPr>
        <w:pStyle w:val="Heading3"/>
        <w:numPr>
          <w:ilvl w:val="0"/>
          <w:numId w:val="9"/>
        </w:numPr>
        <w:rPr>
          <w:rFonts w:ascii="Times New Roman" w:eastAsia="Calibri" w:hAnsi="Times New Roman" w:cs="Times New Roman"/>
          <w:b w:val="0"/>
          <w:bCs w:val="0"/>
          <w:sz w:val="24"/>
          <w:szCs w:val="24"/>
        </w:rPr>
      </w:pPr>
      <w:r w:rsidRPr="005E673D">
        <w:rPr>
          <w:rFonts w:ascii="Times New Roman" w:eastAsia="Calibri" w:hAnsi="Times New Roman" w:cs="Times New Roman"/>
          <w:b w:val="0"/>
          <w:bCs w:val="0"/>
          <w:sz w:val="24"/>
          <w:szCs w:val="24"/>
        </w:rPr>
        <w:t>a reference to any other kind of instrument is a reference to that other instrument as in force at the commencement of th</w:t>
      </w:r>
      <w:r w:rsidR="00B53C63">
        <w:rPr>
          <w:rFonts w:ascii="Times New Roman" w:eastAsia="Calibri" w:hAnsi="Times New Roman" w:cs="Times New Roman"/>
          <w:b w:val="0"/>
          <w:bCs w:val="0"/>
          <w:sz w:val="24"/>
          <w:szCs w:val="24"/>
        </w:rPr>
        <w:t>e Standard</w:t>
      </w:r>
      <w:r w:rsidRPr="005E673D">
        <w:rPr>
          <w:rFonts w:ascii="Times New Roman" w:eastAsia="Calibri" w:hAnsi="Times New Roman" w:cs="Times New Roman"/>
          <w:b w:val="0"/>
          <w:bCs w:val="0"/>
          <w:sz w:val="24"/>
          <w:szCs w:val="24"/>
        </w:rPr>
        <w:t>.</w:t>
      </w:r>
    </w:p>
    <w:p w14:paraId="24193A11" w14:textId="77777777" w:rsidR="00073D02" w:rsidRPr="005E673D" w:rsidRDefault="00073D02" w:rsidP="00073D02">
      <w:pPr>
        <w:pStyle w:val="Heading3"/>
        <w:rPr>
          <w:rFonts w:ascii="Times New Roman" w:hAnsi="Times New Roman" w:cs="Times New Roman"/>
          <w:color w:val="000000"/>
          <w:sz w:val="24"/>
          <w:szCs w:val="24"/>
        </w:rPr>
      </w:pPr>
      <w:r w:rsidRPr="005E673D">
        <w:rPr>
          <w:rFonts w:ascii="Times New Roman" w:hAnsi="Times New Roman" w:cs="Times New Roman"/>
          <w:color w:val="000000"/>
          <w:sz w:val="24"/>
          <w:szCs w:val="24"/>
        </w:rPr>
        <w:t xml:space="preserve">Part 2 </w:t>
      </w:r>
      <w:r w:rsidRPr="005E673D">
        <w:rPr>
          <w:rFonts w:ascii="Times New Roman" w:hAnsi="Times New Roman" w:cs="Times New Roman"/>
          <w:color w:val="000000"/>
          <w:sz w:val="24"/>
          <w:szCs w:val="24"/>
        </w:rPr>
        <w:tab/>
        <w:t>Introduction</w:t>
      </w:r>
    </w:p>
    <w:p w14:paraId="76D567C1" w14:textId="77777777" w:rsidR="00073D02" w:rsidRPr="005E673D" w:rsidRDefault="00073D02" w:rsidP="00073D02">
      <w:pPr>
        <w:pStyle w:val="Heading3"/>
        <w:rPr>
          <w:rFonts w:ascii="Times New Roman" w:hAnsi="Times New Roman" w:cs="Times New Roman"/>
          <w:color w:val="000000"/>
          <w:sz w:val="24"/>
          <w:szCs w:val="24"/>
        </w:rPr>
      </w:pPr>
      <w:r w:rsidRPr="005E673D">
        <w:rPr>
          <w:rFonts w:ascii="Times New Roman" w:hAnsi="Times New Roman" w:cs="Times New Roman"/>
          <w:color w:val="000000"/>
          <w:sz w:val="24"/>
          <w:szCs w:val="24"/>
        </w:rPr>
        <w:t>Section 7</w:t>
      </w:r>
      <w:r w:rsidRPr="005E673D">
        <w:rPr>
          <w:rFonts w:ascii="Times New Roman" w:hAnsi="Times New Roman" w:cs="Times New Roman"/>
          <w:color w:val="000000"/>
          <w:sz w:val="24"/>
          <w:szCs w:val="24"/>
        </w:rPr>
        <w:tab/>
        <w:t>Object of standard</w:t>
      </w:r>
    </w:p>
    <w:p w14:paraId="73FA3F30" w14:textId="6A595E5C" w:rsidR="00073D02" w:rsidRPr="00663A57" w:rsidRDefault="00073D02" w:rsidP="00073D02">
      <w:pPr>
        <w:pStyle w:val="Normalspace"/>
        <w:rPr>
          <w:rFonts w:ascii="Times New Roman" w:hAnsi="Times New Roman" w:cs="Times New Roman"/>
          <w:color w:val="000000"/>
        </w:rPr>
      </w:pPr>
      <w:r w:rsidRPr="00663A57">
        <w:rPr>
          <w:rFonts w:ascii="Times New Roman" w:hAnsi="Times New Roman" w:cs="Times New Roman"/>
          <w:color w:val="000000"/>
        </w:rPr>
        <w:t>Section 7</w:t>
      </w:r>
      <w:r w:rsidRPr="007F0172">
        <w:rPr>
          <w:rFonts w:ascii="Times New Roman" w:hAnsi="Times New Roman" w:cs="Times New Roman"/>
          <w:color w:val="000000"/>
        </w:rPr>
        <w:t xml:space="preserve"> sets out the object of the </w:t>
      </w:r>
      <w:r w:rsidR="004A7A40" w:rsidRPr="00663A57">
        <w:rPr>
          <w:rFonts w:ascii="Times New Roman" w:hAnsi="Times New Roman" w:cs="Times New Roman"/>
          <w:color w:val="000000"/>
        </w:rPr>
        <w:t>S</w:t>
      </w:r>
      <w:r w:rsidRPr="00663A57">
        <w:rPr>
          <w:rFonts w:ascii="Times New Roman" w:hAnsi="Times New Roman" w:cs="Times New Roman"/>
          <w:color w:val="000000"/>
        </w:rPr>
        <w:t xml:space="preserve">tandard, </w:t>
      </w:r>
      <w:proofErr w:type="gramStart"/>
      <w:r w:rsidRPr="00663A57">
        <w:rPr>
          <w:rFonts w:ascii="Times New Roman" w:hAnsi="Times New Roman" w:cs="Times New Roman"/>
          <w:color w:val="000000"/>
        </w:rPr>
        <w:t>namely</w:t>
      </w:r>
      <w:proofErr w:type="gramEnd"/>
      <w:r w:rsidRPr="00663A57">
        <w:rPr>
          <w:rFonts w:ascii="Times New Roman" w:hAnsi="Times New Roman" w:cs="Times New Roman"/>
          <w:color w:val="000000"/>
        </w:rPr>
        <w:t xml:space="preserve"> to prevent the broadcasting of programs that advocate the doing of a terrorist act, or encourage people to join or finance listed terrorists.</w:t>
      </w:r>
    </w:p>
    <w:p w14:paraId="6256F9D0" w14:textId="31D3AB41" w:rsidR="00073D02" w:rsidRPr="00663A57" w:rsidRDefault="00073D02" w:rsidP="00073D02">
      <w:pPr>
        <w:pStyle w:val="ACMANumberedList"/>
        <w:numPr>
          <w:ilvl w:val="0"/>
          <w:numId w:val="0"/>
        </w:numPr>
        <w:spacing w:before="0" w:after="240"/>
      </w:pPr>
      <w:r w:rsidRPr="00663A57">
        <w:t xml:space="preserve">The Standard </w:t>
      </w:r>
      <w:r w:rsidRPr="007F0172">
        <w:t>maintains</w:t>
      </w:r>
      <w:r w:rsidRPr="00C146B8">
        <w:t xml:space="preserve"> community safeguards by prohibiting</w:t>
      </w:r>
      <w:r w:rsidRPr="007C656E">
        <w:t xml:space="preserve"> the broadcast</w:t>
      </w:r>
      <w:r w:rsidRPr="00663A57">
        <w:t xml:space="preserve"> of material that attempts to incite the doing of a terrorist act</w:t>
      </w:r>
      <w:r w:rsidR="00B31227">
        <w:t>.</w:t>
      </w:r>
    </w:p>
    <w:p w14:paraId="3DBA97A0" w14:textId="2CC007DD" w:rsidR="003737B6" w:rsidRPr="005E673D" w:rsidRDefault="003737B6" w:rsidP="003737B6">
      <w:pPr>
        <w:pStyle w:val="Heading3"/>
        <w:rPr>
          <w:rFonts w:ascii="Times New Roman" w:hAnsi="Times New Roman" w:cs="Times New Roman"/>
          <w:color w:val="000000"/>
          <w:sz w:val="24"/>
          <w:szCs w:val="24"/>
        </w:rPr>
      </w:pPr>
      <w:r w:rsidRPr="005E673D">
        <w:rPr>
          <w:rFonts w:ascii="Times New Roman" w:hAnsi="Times New Roman" w:cs="Times New Roman"/>
          <w:color w:val="000000"/>
          <w:sz w:val="24"/>
          <w:szCs w:val="24"/>
        </w:rPr>
        <w:t>Section</w:t>
      </w:r>
      <w:r w:rsidR="00DA3701" w:rsidRPr="005E673D">
        <w:rPr>
          <w:rFonts w:ascii="Times New Roman" w:hAnsi="Times New Roman" w:cs="Times New Roman"/>
          <w:color w:val="000000"/>
          <w:sz w:val="24"/>
          <w:szCs w:val="24"/>
        </w:rPr>
        <w:t xml:space="preserve"> </w:t>
      </w:r>
      <w:r w:rsidR="00CD5D97" w:rsidRPr="005E673D">
        <w:rPr>
          <w:rFonts w:ascii="Times New Roman" w:hAnsi="Times New Roman" w:cs="Times New Roman"/>
          <w:color w:val="000000"/>
          <w:sz w:val="24"/>
          <w:szCs w:val="24"/>
        </w:rPr>
        <w:t>8</w:t>
      </w:r>
      <w:r w:rsidRPr="005E673D">
        <w:rPr>
          <w:rFonts w:ascii="Times New Roman" w:hAnsi="Times New Roman" w:cs="Times New Roman"/>
          <w:color w:val="000000"/>
          <w:sz w:val="24"/>
          <w:szCs w:val="24"/>
        </w:rPr>
        <w:tab/>
        <w:t>Application</w:t>
      </w:r>
    </w:p>
    <w:p w14:paraId="3A57A0A7" w14:textId="4B6CE10C" w:rsidR="003737B6" w:rsidRPr="00663A57" w:rsidRDefault="003737B6" w:rsidP="00E5777F">
      <w:pPr>
        <w:pStyle w:val="Normalspace"/>
        <w:autoSpaceDE/>
        <w:autoSpaceDN/>
        <w:ind w:right="0"/>
        <w:rPr>
          <w:rFonts w:ascii="Times New Roman" w:hAnsi="Times New Roman" w:cs="Times New Roman"/>
          <w:color w:val="000000"/>
        </w:rPr>
      </w:pPr>
      <w:r w:rsidRPr="00663A57">
        <w:rPr>
          <w:rFonts w:ascii="Times New Roman" w:hAnsi="Times New Roman" w:cs="Times New Roman"/>
          <w:color w:val="000000"/>
        </w:rPr>
        <w:t xml:space="preserve">Section </w:t>
      </w:r>
      <w:r w:rsidR="00CD5D97" w:rsidRPr="00663A57">
        <w:rPr>
          <w:rFonts w:ascii="Times New Roman" w:hAnsi="Times New Roman" w:cs="Times New Roman"/>
          <w:color w:val="000000"/>
        </w:rPr>
        <w:t>8</w:t>
      </w:r>
      <w:r w:rsidRPr="00663A57">
        <w:rPr>
          <w:rFonts w:ascii="Times New Roman" w:hAnsi="Times New Roman" w:cs="Times New Roman"/>
          <w:color w:val="000000"/>
        </w:rPr>
        <w:t xml:space="preserve"> specifies that the </w:t>
      </w:r>
      <w:r w:rsidR="00A869E8">
        <w:rPr>
          <w:rFonts w:ascii="Times New Roman" w:hAnsi="Times New Roman" w:cs="Times New Roman"/>
          <w:color w:val="000000"/>
        </w:rPr>
        <w:t>S</w:t>
      </w:r>
      <w:r w:rsidRPr="00663A57">
        <w:rPr>
          <w:rFonts w:ascii="Times New Roman" w:hAnsi="Times New Roman" w:cs="Times New Roman"/>
          <w:color w:val="000000"/>
        </w:rPr>
        <w:t xml:space="preserve">tandard will apply to persons who provide </w:t>
      </w:r>
      <w:r w:rsidR="00CD5D97" w:rsidRPr="00663A57">
        <w:rPr>
          <w:rFonts w:ascii="Times New Roman" w:hAnsi="Times New Roman" w:cs="Times New Roman"/>
          <w:color w:val="000000"/>
        </w:rPr>
        <w:t>a subscription television narrowcasting service</w:t>
      </w:r>
      <w:r w:rsidR="00FF1A72" w:rsidRPr="00663A57">
        <w:rPr>
          <w:rFonts w:ascii="Times New Roman" w:hAnsi="Times New Roman" w:cs="Times New Roman"/>
          <w:color w:val="000000"/>
        </w:rPr>
        <w:t xml:space="preserve"> under a class licence determined under paragraph 117(c) of the </w:t>
      </w:r>
      <w:r w:rsidR="00C93F14" w:rsidRPr="00740385">
        <w:rPr>
          <w:rFonts w:ascii="Times New Roman" w:hAnsi="Times New Roman" w:cs="Times New Roman"/>
          <w:color w:val="000000"/>
        </w:rPr>
        <w:t>BSA</w:t>
      </w:r>
      <w:r w:rsidR="00FF1A72" w:rsidRPr="00663A57">
        <w:rPr>
          <w:rFonts w:ascii="Times New Roman" w:hAnsi="Times New Roman" w:cs="Times New Roman"/>
          <w:color w:val="000000"/>
        </w:rPr>
        <w:t xml:space="preserve"> or an open narrowcasting television service under a class licence determined under paragraph 117(e) of the </w:t>
      </w:r>
      <w:r w:rsidR="00C93F14" w:rsidRPr="00740385">
        <w:rPr>
          <w:rFonts w:ascii="Times New Roman" w:hAnsi="Times New Roman" w:cs="Times New Roman"/>
          <w:color w:val="000000"/>
        </w:rPr>
        <w:t>BSA</w:t>
      </w:r>
      <w:r w:rsidR="00FF1A72" w:rsidRPr="00663A57">
        <w:rPr>
          <w:rFonts w:ascii="Times New Roman" w:hAnsi="Times New Roman" w:cs="Times New Roman"/>
          <w:color w:val="000000"/>
        </w:rPr>
        <w:t>.</w:t>
      </w:r>
    </w:p>
    <w:p w14:paraId="4E39C7B2" w14:textId="77777777" w:rsidR="00FF1A72" w:rsidRPr="005E673D" w:rsidRDefault="00FF1A72" w:rsidP="00FF1A72">
      <w:pPr>
        <w:pStyle w:val="Heading3"/>
        <w:rPr>
          <w:rFonts w:ascii="Times New Roman" w:hAnsi="Times New Roman" w:cs="Times New Roman"/>
          <w:color w:val="000000"/>
          <w:sz w:val="24"/>
          <w:szCs w:val="24"/>
        </w:rPr>
      </w:pPr>
      <w:r w:rsidRPr="005E673D">
        <w:rPr>
          <w:rFonts w:ascii="Times New Roman" w:hAnsi="Times New Roman" w:cs="Times New Roman"/>
          <w:color w:val="000000"/>
          <w:sz w:val="24"/>
          <w:szCs w:val="24"/>
        </w:rPr>
        <w:t xml:space="preserve">Part 3 </w:t>
      </w:r>
      <w:r w:rsidRPr="005E673D">
        <w:rPr>
          <w:rFonts w:ascii="Times New Roman" w:hAnsi="Times New Roman" w:cs="Times New Roman"/>
          <w:color w:val="000000"/>
          <w:sz w:val="24"/>
          <w:szCs w:val="24"/>
        </w:rPr>
        <w:tab/>
        <w:t>Anti-terrorism Requirements</w:t>
      </w:r>
    </w:p>
    <w:p w14:paraId="19AED7F3" w14:textId="6C7510BD" w:rsidR="003737B6" w:rsidRPr="005E673D" w:rsidRDefault="003737B6" w:rsidP="003737B6">
      <w:pPr>
        <w:pStyle w:val="Heading3"/>
        <w:rPr>
          <w:rFonts w:ascii="Times New Roman" w:hAnsi="Times New Roman" w:cs="Times New Roman"/>
          <w:color w:val="000000"/>
          <w:sz w:val="24"/>
          <w:szCs w:val="24"/>
        </w:rPr>
      </w:pPr>
      <w:r w:rsidRPr="005E673D">
        <w:rPr>
          <w:rFonts w:ascii="Times New Roman" w:hAnsi="Times New Roman" w:cs="Times New Roman"/>
          <w:color w:val="000000"/>
          <w:sz w:val="24"/>
          <w:szCs w:val="24"/>
        </w:rPr>
        <w:t xml:space="preserve">Section </w:t>
      </w:r>
      <w:r w:rsidR="00FF1A72" w:rsidRPr="005E673D">
        <w:rPr>
          <w:rFonts w:ascii="Times New Roman" w:hAnsi="Times New Roman" w:cs="Times New Roman"/>
          <w:color w:val="000000"/>
          <w:sz w:val="24"/>
          <w:szCs w:val="24"/>
        </w:rPr>
        <w:t>9</w:t>
      </w:r>
      <w:r w:rsidRPr="005E673D">
        <w:rPr>
          <w:rFonts w:ascii="Times New Roman" w:hAnsi="Times New Roman" w:cs="Times New Roman"/>
          <w:color w:val="000000"/>
          <w:sz w:val="24"/>
          <w:szCs w:val="24"/>
        </w:rPr>
        <w:tab/>
        <w:t>Recruiting for a listed terrorist</w:t>
      </w:r>
    </w:p>
    <w:p w14:paraId="639F4869" w14:textId="1BFFF91C" w:rsidR="003737B6" w:rsidRPr="00663A57" w:rsidRDefault="003737B6" w:rsidP="00E5777F">
      <w:pPr>
        <w:tabs>
          <w:tab w:val="left" w:pos="540"/>
        </w:tabs>
        <w:spacing w:after="240"/>
        <w:ind w:left="0" w:firstLine="0"/>
      </w:pPr>
      <w:r w:rsidRPr="00663A57">
        <w:t xml:space="preserve">Section </w:t>
      </w:r>
      <w:r w:rsidR="00FF1A72" w:rsidRPr="00663A57">
        <w:t>9</w:t>
      </w:r>
      <w:r w:rsidRPr="00663A57">
        <w:t xml:space="preserve"> of the </w:t>
      </w:r>
      <w:r w:rsidR="00622B3F" w:rsidRPr="00663A57">
        <w:t>S</w:t>
      </w:r>
      <w:r w:rsidRPr="00663A57">
        <w:t xml:space="preserve">tandard prohibits a licensee from broadcasting a program which would be reasonably understood as directly recruiting a person to join, or participate in the activities of, a listed terrorist.  </w:t>
      </w:r>
    </w:p>
    <w:p w14:paraId="70A9DAC1" w14:textId="5291ECF6" w:rsidR="003737B6" w:rsidRPr="00663A57" w:rsidRDefault="003737B6" w:rsidP="00E5777F">
      <w:pPr>
        <w:tabs>
          <w:tab w:val="left" w:pos="540"/>
        </w:tabs>
        <w:spacing w:after="240"/>
        <w:ind w:left="0" w:firstLine="0"/>
      </w:pPr>
      <w:r w:rsidRPr="00740385">
        <w:t xml:space="preserve">For the purposes of the </w:t>
      </w:r>
      <w:r w:rsidR="00622B3F" w:rsidRPr="00740385">
        <w:t>S</w:t>
      </w:r>
      <w:r w:rsidRPr="00740385">
        <w:t xml:space="preserve">tandard, the term ‘recruit’ is </w:t>
      </w:r>
      <w:r w:rsidR="005538E4" w:rsidRPr="00740385">
        <w:t>defined in section 5. This definition</w:t>
      </w:r>
      <w:r w:rsidR="00FC1906">
        <w:t xml:space="preserve"> includes </w:t>
      </w:r>
      <w:r w:rsidRPr="00740385">
        <w:t xml:space="preserve">to induce, </w:t>
      </w:r>
      <w:proofErr w:type="gramStart"/>
      <w:r w:rsidRPr="00740385">
        <w:t>incite</w:t>
      </w:r>
      <w:proofErr w:type="gramEnd"/>
      <w:r w:rsidRPr="00740385">
        <w:t xml:space="preserve"> and encourage</w:t>
      </w:r>
      <w:r w:rsidR="002B6272">
        <w:t>.</w:t>
      </w:r>
      <w:r w:rsidRPr="00663A57">
        <w:t xml:space="preserve"> </w:t>
      </w:r>
    </w:p>
    <w:p w14:paraId="3F3A0C8F" w14:textId="7BE95ED9" w:rsidR="003737B6" w:rsidRPr="00663A57" w:rsidRDefault="003737B6" w:rsidP="00E5777F">
      <w:pPr>
        <w:tabs>
          <w:tab w:val="left" w:pos="0"/>
        </w:tabs>
        <w:spacing w:after="240"/>
        <w:ind w:left="0" w:firstLine="0"/>
        <w:contextualSpacing/>
      </w:pPr>
      <w:r w:rsidRPr="007F0172">
        <w:t xml:space="preserve">The emphasis in section </w:t>
      </w:r>
      <w:r w:rsidR="0089125C" w:rsidRPr="00663A57">
        <w:t xml:space="preserve">9 </w:t>
      </w:r>
      <w:r w:rsidRPr="00663A57">
        <w:t xml:space="preserve">is on programs that </w:t>
      </w:r>
      <w:r w:rsidRPr="00663A57">
        <w:rPr>
          <w:i/>
        </w:rPr>
        <w:t xml:space="preserve">directly </w:t>
      </w:r>
      <w:r w:rsidRPr="00663A57">
        <w:t xml:space="preserve">recruit a </w:t>
      </w:r>
      <w:r w:rsidR="00E5777F" w:rsidRPr="00663A57">
        <w:t xml:space="preserve">person to join or participate. </w:t>
      </w:r>
      <w:r w:rsidRPr="00663A57">
        <w:t>In assessing programs prior to their broadcast in Australia, a licensee should have regard to such matters as whether the program:</w:t>
      </w:r>
    </w:p>
    <w:p w14:paraId="310099E6" w14:textId="77777777" w:rsidR="003737B6" w:rsidRPr="00663A57" w:rsidRDefault="003737B6" w:rsidP="00E5777F">
      <w:pPr>
        <w:numPr>
          <w:ilvl w:val="0"/>
          <w:numId w:val="19"/>
        </w:numPr>
        <w:tabs>
          <w:tab w:val="left" w:pos="540"/>
        </w:tabs>
        <w:spacing w:after="240"/>
        <w:ind w:left="896" w:hanging="357"/>
        <w:contextualSpacing/>
      </w:pPr>
      <w:r w:rsidRPr="00663A57">
        <w:t xml:space="preserve">provides contact details of a listed </w:t>
      </w:r>
      <w:proofErr w:type="gramStart"/>
      <w:r w:rsidRPr="00663A57">
        <w:t>terrorist</w:t>
      </w:r>
      <w:r w:rsidR="007E540D" w:rsidRPr="00663A57">
        <w:t>;</w:t>
      </w:r>
      <w:proofErr w:type="gramEnd"/>
    </w:p>
    <w:p w14:paraId="7F1CDF1F" w14:textId="77777777" w:rsidR="003737B6" w:rsidRPr="00663A57" w:rsidRDefault="003737B6" w:rsidP="00E5777F">
      <w:pPr>
        <w:numPr>
          <w:ilvl w:val="0"/>
          <w:numId w:val="19"/>
        </w:numPr>
        <w:tabs>
          <w:tab w:val="left" w:pos="540"/>
        </w:tabs>
        <w:spacing w:after="240"/>
        <w:ind w:left="896" w:hanging="357"/>
        <w:contextualSpacing/>
      </w:pPr>
      <w:r w:rsidRPr="00663A57">
        <w:t xml:space="preserve">informs viewers of meeting times and </w:t>
      </w:r>
      <w:proofErr w:type="gramStart"/>
      <w:r w:rsidRPr="00663A57">
        <w:t>places</w:t>
      </w:r>
      <w:r w:rsidR="007E540D" w:rsidRPr="00663A57">
        <w:t>;</w:t>
      </w:r>
      <w:proofErr w:type="gramEnd"/>
    </w:p>
    <w:p w14:paraId="11A8AEE9" w14:textId="77777777" w:rsidR="003737B6" w:rsidRPr="00663A57" w:rsidRDefault="003737B6" w:rsidP="00E5777F">
      <w:pPr>
        <w:numPr>
          <w:ilvl w:val="0"/>
          <w:numId w:val="19"/>
        </w:numPr>
        <w:tabs>
          <w:tab w:val="left" w:pos="540"/>
        </w:tabs>
        <w:spacing w:after="240"/>
        <w:ind w:left="896" w:hanging="357"/>
      </w:pPr>
      <w:r w:rsidRPr="00663A57">
        <w:t>refers viewers to training material and other information that could be used to prepare for participation in the activities of a listed terrorist.</w:t>
      </w:r>
    </w:p>
    <w:p w14:paraId="0F4AE3DC" w14:textId="77777777" w:rsidR="003737B6" w:rsidRPr="00663A57" w:rsidRDefault="003737B6" w:rsidP="00E5777F">
      <w:pPr>
        <w:tabs>
          <w:tab w:val="left" w:pos="540"/>
        </w:tabs>
        <w:spacing w:before="120" w:after="240"/>
        <w:ind w:left="0" w:firstLine="0"/>
      </w:pPr>
      <w:r w:rsidRPr="00663A57">
        <w:t>A licensee will be in breach of this section regardless of whether it knew the program could be reasonably understood as recruiting for membership or participation in a listed terrorist.</w:t>
      </w:r>
    </w:p>
    <w:p w14:paraId="47141FC6" w14:textId="42E8A650" w:rsidR="003737B6" w:rsidRPr="005E673D" w:rsidRDefault="003737B6" w:rsidP="003737B6">
      <w:pPr>
        <w:pStyle w:val="Heading3"/>
        <w:rPr>
          <w:rFonts w:ascii="Times New Roman" w:hAnsi="Times New Roman" w:cs="Times New Roman"/>
          <w:color w:val="000000"/>
          <w:sz w:val="24"/>
          <w:szCs w:val="24"/>
        </w:rPr>
      </w:pPr>
      <w:r w:rsidRPr="005E673D">
        <w:rPr>
          <w:rFonts w:ascii="Times New Roman" w:hAnsi="Times New Roman" w:cs="Times New Roman"/>
          <w:color w:val="000000"/>
          <w:sz w:val="24"/>
          <w:szCs w:val="24"/>
        </w:rPr>
        <w:t xml:space="preserve">Section </w:t>
      </w:r>
      <w:r w:rsidR="00FF1A72" w:rsidRPr="005E673D">
        <w:rPr>
          <w:rFonts w:ascii="Times New Roman" w:hAnsi="Times New Roman" w:cs="Times New Roman"/>
          <w:color w:val="000000"/>
          <w:sz w:val="24"/>
          <w:szCs w:val="24"/>
        </w:rPr>
        <w:t>10</w:t>
      </w:r>
      <w:r w:rsidRPr="005E673D">
        <w:rPr>
          <w:rFonts w:ascii="Times New Roman" w:hAnsi="Times New Roman" w:cs="Times New Roman"/>
          <w:color w:val="000000"/>
          <w:sz w:val="24"/>
          <w:szCs w:val="24"/>
        </w:rPr>
        <w:tab/>
        <w:t>Financing terrorism</w:t>
      </w:r>
    </w:p>
    <w:p w14:paraId="6A13D940" w14:textId="4A2B6CD4" w:rsidR="003737B6" w:rsidRPr="00663A57" w:rsidRDefault="003737B6" w:rsidP="003737B6">
      <w:pPr>
        <w:ind w:left="0" w:firstLine="0"/>
        <w:rPr>
          <w:color w:val="000000"/>
        </w:rPr>
      </w:pPr>
      <w:r w:rsidRPr="00663A57">
        <w:rPr>
          <w:color w:val="000000"/>
        </w:rPr>
        <w:t xml:space="preserve">Section </w:t>
      </w:r>
      <w:r w:rsidR="00FF1A72" w:rsidRPr="00663A57">
        <w:rPr>
          <w:color w:val="000000"/>
        </w:rPr>
        <w:t>10</w:t>
      </w:r>
      <w:r w:rsidRPr="00663A57">
        <w:rPr>
          <w:color w:val="000000"/>
        </w:rPr>
        <w:t xml:space="preserve"> of the </w:t>
      </w:r>
      <w:r w:rsidR="00A74357" w:rsidRPr="00663A57">
        <w:rPr>
          <w:color w:val="000000"/>
        </w:rPr>
        <w:t>S</w:t>
      </w:r>
      <w:r w:rsidRPr="00663A57">
        <w:rPr>
          <w:color w:val="000000"/>
        </w:rPr>
        <w:t xml:space="preserve">tandard prohibits a licensee from broadcasting a program that would be reasonably understood as soliciting funds for a listed </w:t>
      </w:r>
      <w:proofErr w:type="gramStart"/>
      <w:r w:rsidRPr="00663A57">
        <w:rPr>
          <w:color w:val="000000"/>
        </w:rPr>
        <w:t>terrorist, or</w:t>
      </w:r>
      <w:proofErr w:type="gramEnd"/>
      <w:r w:rsidRPr="00663A57">
        <w:rPr>
          <w:color w:val="000000"/>
        </w:rPr>
        <w:t xml:space="preserve"> assisting in the collection or provision of funds for a listed terrorist.</w:t>
      </w:r>
    </w:p>
    <w:p w14:paraId="168262CA" w14:textId="77777777" w:rsidR="003737B6" w:rsidRPr="00663A57" w:rsidRDefault="003737B6" w:rsidP="003737B6">
      <w:pPr>
        <w:ind w:left="0"/>
        <w:rPr>
          <w:color w:val="000000"/>
        </w:rPr>
      </w:pPr>
    </w:p>
    <w:p w14:paraId="2314A07F" w14:textId="79294F89" w:rsidR="003737B6" w:rsidRPr="00663A57" w:rsidRDefault="003737B6" w:rsidP="003737B6">
      <w:pPr>
        <w:spacing w:after="120"/>
        <w:ind w:left="0" w:firstLine="0"/>
      </w:pPr>
      <w:r w:rsidRPr="00663A57">
        <w:t xml:space="preserve">The </w:t>
      </w:r>
      <w:r w:rsidR="00175F4F" w:rsidRPr="00663A57">
        <w:t>S</w:t>
      </w:r>
      <w:r w:rsidRPr="00663A57">
        <w:t xml:space="preserve">tandard defines ‘listed terrorist’ in section </w:t>
      </w:r>
      <w:r w:rsidR="0089125C" w:rsidRPr="00663A57">
        <w:t xml:space="preserve">5 </w:t>
      </w:r>
      <w:r w:rsidRPr="00663A57">
        <w:t>as:</w:t>
      </w:r>
    </w:p>
    <w:p w14:paraId="695DFC0E" w14:textId="77777777" w:rsidR="003737B6" w:rsidRPr="00663A57" w:rsidRDefault="003737B6" w:rsidP="003737B6">
      <w:pPr>
        <w:ind w:left="357" w:firstLine="0"/>
      </w:pPr>
      <w:r w:rsidRPr="00663A57">
        <w:t xml:space="preserve">(a) a listed terrorist organisation within the meaning of the </w:t>
      </w:r>
      <w:r w:rsidRPr="00663A57">
        <w:rPr>
          <w:i/>
        </w:rPr>
        <w:t>Criminal Code</w:t>
      </w:r>
      <w:r w:rsidRPr="00663A57">
        <w:t>; or</w:t>
      </w:r>
    </w:p>
    <w:p w14:paraId="559B8FB5" w14:textId="77777777" w:rsidR="003737B6" w:rsidRPr="00663A57" w:rsidRDefault="003737B6" w:rsidP="00E5777F">
      <w:pPr>
        <w:spacing w:after="240"/>
        <w:ind w:left="357" w:firstLine="0"/>
      </w:pPr>
      <w:r w:rsidRPr="00663A57">
        <w:t xml:space="preserve">(b) a proscribed person or entity listed in the </w:t>
      </w:r>
      <w:r w:rsidRPr="00663A57">
        <w:rPr>
          <w:i/>
        </w:rPr>
        <w:t>Gazette</w:t>
      </w:r>
      <w:r w:rsidRPr="00663A57">
        <w:t xml:space="preserve"> by the Minister for Foreign Affairs pursuant to section 15 of the </w:t>
      </w:r>
      <w:r w:rsidRPr="00663A57">
        <w:rPr>
          <w:i/>
        </w:rPr>
        <w:t>Charter of the United Nations Act 1945.</w:t>
      </w:r>
      <w:r w:rsidRPr="00663A57">
        <w:t xml:space="preserve">  </w:t>
      </w:r>
    </w:p>
    <w:p w14:paraId="4BE4FECD" w14:textId="669DEFEE" w:rsidR="003737B6" w:rsidRPr="00663A57" w:rsidRDefault="003737B6" w:rsidP="00E5777F">
      <w:pPr>
        <w:spacing w:after="240"/>
        <w:ind w:left="0" w:firstLine="0"/>
      </w:pPr>
      <w:r w:rsidRPr="00663A57">
        <w:t xml:space="preserve">The list of terrorist organisations </w:t>
      </w:r>
      <w:r w:rsidR="00FF1A72" w:rsidRPr="00663A57">
        <w:t xml:space="preserve">under the </w:t>
      </w:r>
      <w:r w:rsidR="00FF1A72" w:rsidRPr="00663A57">
        <w:rPr>
          <w:i/>
          <w:iCs/>
        </w:rPr>
        <w:t>Criminal Code</w:t>
      </w:r>
      <w:r w:rsidRPr="00663A57">
        <w:t xml:space="preserve"> is available online at </w:t>
      </w:r>
      <w:hyperlink r:id="rId18" w:history="1">
        <w:r w:rsidRPr="00663A57">
          <w:rPr>
            <w:rStyle w:val="Hyperlink"/>
          </w:rPr>
          <w:t>www.nationalsecurity.gov.au</w:t>
        </w:r>
      </w:hyperlink>
      <w:r w:rsidRPr="00663A57">
        <w:t>. Information about proscribed persons and entities designated as such by the Minister for Foreign Affairs</w:t>
      </w:r>
      <w:r w:rsidRPr="007F0172" w:rsidDel="00CE28CB">
        <w:t xml:space="preserve"> </w:t>
      </w:r>
      <w:r w:rsidRPr="007F0172">
        <w:t>is available from the DFAT website (</w:t>
      </w:r>
      <w:hyperlink r:id="rId19" w:history="1">
        <w:r w:rsidRPr="00663A57">
          <w:rPr>
            <w:rStyle w:val="Hyperlink"/>
          </w:rPr>
          <w:t>www.dfat.gov.au</w:t>
        </w:r>
      </w:hyperlink>
      <w:r w:rsidRPr="00663A57">
        <w:t xml:space="preserve">). </w:t>
      </w:r>
    </w:p>
    <w:p w14:paraId="2B0FD577" w14:textId="77777777" w:rsidR="003737B6" w:rsidRPr="00663A57" w:rsidRDefault="003737B6" w:rsidP="00E5777F">
      <w:pPr>
        <w:tabs>
          <w:tab w:val="left" w:pos="540"/>
        </w:tabs>
        <w:spacing w:after="240"/>
        <w:ind w:left="0" w:firstLine="0"/>
      </w:pPr>
      <w:r w:rsidRPr="007F0172">
        <w:t xml:space="preserve">A licensee will be in breach of this section regardless of whether it knew the program </w:t>
      </w:r>
      <w:r w:rsidRPr="00C146B8">
        <w:rPr>
          <w:color w:val="000000"/>
        </w:rPr>
        <w:t xml:space="preserve">would be </w:t>
      </w:r>
      <w:r w:rsidRPr="007C656E">
        <w:rPr>
          <w:color w:val="000000"/>
        </w:rPr>
        <w:t>reasonably understood as</w:t>
      </w:r>
      <w:r w:rsidRPr="00663A57">
        <w:rPr>
          <w:color w:val="000000"/>
        </w:rPr>
        <w:t xml:space="preserve"> soliciting funds for a listed </w:t>
      </w:r>
      <w:proofErr w:type="gramStart"/>
      <w:r w:rsidRPr="00663A57">
        <w:rPr>
          <w:color w:val="000000"/>
        </w:rPr>
        <w:t>terrorist, or</w:t>
      </w:r>
      <w:proofErr w:type="gramEnd"/>
      <w:r w:rsidRPr="00663A57">
        <w:rPr>
          <w:color w:val="000000"/>
        </w:rPr>
        <w:t xml:space="preserve"> assisting in the collection or provision of funds for a listed terrorist.</w:t>
      </w:r>
    </w:p>
    <w:p w14:paraId="197D0BA7" w14:textId="36794514" w:rsidR="003737B6" w:rsidRPr="005E673D" w:rsidRDefault="005709DF" w:rsidP="00584635">
      <w:pPr>
        <w:keepNext/>
        <w:spacing w:before="240" w:after="60"/>
        <w:ind w:left="360" w:hanging="360"/>
        <w:rPr>
          <w:b/>
          <w:color w:val="000000"/>
        </w:rPr>
      </w:pPr>
      <w:r w:rsidRPr="005E673D">
        <w:rPr>
          <w:b/>
          <w:color w:val="000000"/>
        </w:rPr>
        <w:t xml:space="preserve">Section </w:t>
      </w:r>
      <w:r w:rsidR="00FF1A72" w:rsidRPr="005E673D">
        <w:rPr>
          <w:b/>
          <w:color w:val="000000"/>
        </w:rPr>
        <w:t>11</w:t>
      </w:r>
      <w:r w:rsidR="00DE035D" w:rsidRPr="005E673D">
        <w:rPr>
          <w:b/>
          <w:color w:val="000000"/>
        </w:rPr>
        <w:tab/>
      </w:r>
      <w:r w:rsidR="003737B6" w:rsidRPr="005E673D">
        <w:rPr>
          <w:b/>
          <w:color w:val="000000"/>
        </w:rPr>
        <w:t>Advocating the doing of a terrorist act</w:t>
      </w:r>
      <w:r w:rsidR="00D8214D">
        <w:rPr>
          <w:b/>
          <w:color w:val="000000"/>
        </w:rPr>
        <w:t xml:space="preserve"> </w:t>
      </w:r>
    </w:p>
    <w:p w14:paraId="6D34BBD7" w14:textId="7C217279" w:rsidR="003737B6" w:rsidRPr="00663A57" w:rsidRDefault="003737B6" w:rsidP="00584635">
      <w:pPr>
        <w:keepNext/>
        <w:spacing w:after="240"/>
        <w:ind w:left="0" w:firstLine="0"/>
        <w:rPr>
          <w:color w:val="000000"/>
        </w:rPr>
      </w:pPr>
      <w:r w:rsidRPr="00663A57">
        <w:rPr>
          <w:color w:val="000000"/>
        </w:rPr>
        <w:t xml:space="preserve">Section </w:t>
      </w:r>
      <w:r w:rsidR="00FF1A72" w:rsidRPr="00663A57">
        <w:rPr>
          <w:color w:val="000000"/>
        </w:rPr>
        <w:t>11</w:t>
      </w:r>
      <w:r w:rsidRPr="00663A57">
        <w:rPr>
          <w:color w:val="000000"/>
        </w:rPr>
        <w:t xml:space="preserve"> of the </w:t>
      </w:r>
      <w:r w:rsidR="00415275" w:rsidRPr="00663A57">
        <w:rPr>
          <w:color w:val="000000"/>
        </w:rPr>
        <w:t>S</w:t>
      </w:r>
      <w:r w:rsidRPr="00663A57">
        <w:rPr>
          <w:color w:val="000000"/>
        </w:rPr>
        <w:t>tandard prohibits a licensee from broadcasting a program that advocates the doing of a terrorist act.</w:t>
      </w:r>
    </w:p>
    <w:p w14:paraId="1B170D76" w14:textId="0E914552" w:rsidR="00FF1A72" w:rsidRPr="00663A57" w:rsidRDefault="003737B6" w:rsidP="00E5777F">
      <w:pPr>
        <w:spacing w:after="240"/>
        <w:ind w:left="0" w:firstLine="0"/>
      </w:pPr>
      <w:r w:rsidRPr="00663A57">
        <w:rPr>
          <w:color w:val="000000"/>
        </w:rPr>
        <w:t xml:space="preserve">Under this section, a program advocates the doing of a terrorist act if it directly or indirectly </w:t>
      </w:r>
      <w:r w:rsidR="00E37524">
        <w:rPr>
          <w:color w:val="000000"/>
        </w:rPr>
        <w:t xml:space="preserve">counsels, promotes, </w:t>
      </w:r>
      <w:proofErr w:type="gramStart"/>
      <w:r w:rsidR="00E37524">
        <w:rPr>
          <w:color w:val="000000"/>
        </w:rPr>
        <w:t>encourages</w:t>
      </w:r>
      <w:proofErr w:type="gramEnd"/>
      <w:r w:rsidR="00E37524">
        <w:rPr>
          <w:color w:val="000000"/>
        </w:rPr>
        <w:t xml:space="preserve"> or </w:t>
      </w:r>
      <w:r w:rsidRPr="00663A57">
        <w:rPr>
          <w:color w:val="000000"/>
        </w:rPr>
        <w:t xml:space="preserve">urges the doing of a terrorist act or provides instruction on the doing of a terrorist act. The provision also prohibits directly praising the doing of a terrorist act in circumstances where there is a substantial risk that the praise might lead a person (regardless of their age or of any mental impairment) to engage in a terrorist act. </w:t>
      </w:r>
      <w:r w:rsidR="00FF1A72" w:rsidRPr="00663A57">
        <w:rPr>
          <w:color w:val="000000"/>
        </w:rPr>
        <w:t>P</w:t>
      </w:r>
      <w:r w:rsidR="00FF1A72" w:rsidRPr="00663A57">
        <w:t>aragraph 11(3)(a) has been expanded to prohibit programs that ‘promote’ or ‘encourage’ the doing of a terrorist act, in alignment with paragraph 102.1(1</w:t>
      </w:r>
      <w:proofErr w:type="gramStart"/>
      <w:r w:rsidR="00FF1A72" w:rsidRPr="00663A57">
        <w:t>A)(</w:t>
      </w:r>
      <w:proofErr w:type="gramEnd"/>
      <w:r w:rsidR="00FF1A72" w:rsidRPr="00663A57">
        <w:t xml:space="preserve">a) of the </w:t>
      </w:r>
      <w:r w:rsidR="00FF1A72" w:rsidRPr="00663A57">
        <w:rPr>
          <w:i/>
          <w:iCs/>
        </w:rPr>
        <w:t>Criminal Code</w:t>
      </w:r>
      <w:r w:rsidR="00FF1A72" w:rsidRPr="00663A57">
        <w:t>.</w:t>
      </w:r>
    </w:p>
    <w:p w14:paraId="5E6C2023" w14:textId="0EBF5E96" w:rsidR="003737B6" w:rsidRPr="00663A57" w:rsidRDefault="003737B6" w:rsidP="00E5777F">
      <w:pPr>
        <w:spacing w:after="240"/>
        <w:ind w:left="0" w:firstLine="0"/>
        <w:rPr>
          <w:color w:val="000000"/>
        </w:rPr>
      </w:pPr>
      <w:r w:rsidRPr="00663A57">
        <w:t xml:space="preserve">Section </w:t>
      </w:r>
      <w:r w:rsidR="0089125C" w:rsidRPr="00663A57">
        <w:t>5</w:t>
      </w:r>
      <w:r w:rsidRPr="00663A57">
        <w:t xml:space="preserve"> of the </w:t>
      </w:r>
      <w:r w:rsidR="0092355D">
        <w:t>S</w:t>
      </w:r>
      <w:r w:rsidRPr="00663A57">
        <w:t xml:space="preserve">tandard defines ‘terrorist act’ to have the meaning given by section 100.1 of the </w:t>
      </w:r>
      <w:r w:rsidRPr="00663A57">
        <w:rPr>
          <w:i/>
        </w:rPr>
        <w:t>Criminal Code</w:t>
      </w:r>
      <w:r w:rsidRPr="00663A57">
        <w:t>. That definition covers actions or threats of action.</w:t>
      </w:r>
    </w:p>
    <w:p w14:paraId="7519C85C" w14:textId="77777777" w:rsidR="003737B6" w:rsidRPr="00663A57" w:rsidRDefault="003737B6" w:rsidP="00E5777F">
      <w:pPr>
        <w:tabs>
          <w:tab w:val="left" w:pos="540"/>
        </w:tabs>
        <w:spacing w:after="240"/>
        <w:ind w:left="0" w:firstLine="0"/>
        <w:rPr>
          <w:color w:val="000000"/>
        </w:rPr>
      </w:pPr>
      <w:r w:rsidRPr="00663A57">
        <w:rPr>
          <w:color w:val="000000"/>
        </w:rPr>
        <w:t>A li</w:t>
      </w:r>
      <w:r w:rsidRPr="00663A57">
        <w:t xml:space="preserve">censee will be in breach of this section regardless of whether it knew the program </w:t>
      </w:r>
      <w:r w:rsidRPr="00663A57">
        <w:rPr>
          <w:color w:val="000000"/>
        </w:rPr>
        <w:t>advocates the doing of a terrorist act.</w:t>
      </w:r>
    </w:p>
    <w:p w14:paraId="792875F8" w14:textId="2E7C20B3" w:rsidR="003737B6" w:rsidRPr="00663A57" w:rsidRDefault="003737B6" w:rsidP="00E5777F">
      <w:pPr>
        <w:tabs>
          <w:tab w:val="left" w:pos="540"/>
        </w:tabs>
        <w:spacing w:after="240"/>
        <w:ind w:left="0" w:firstLine="0"/>
      </w:pPr>
      <w:r w:rsidRPr="00663A57">
        <w:rPr>
          <w:color w:val="000000"/>
        </w:rPr>
        <w:t xml:space="preserve">Subsection </w:t>
      </w:r>
      <w:r w:rsidR="00FF1A72" w:rsidRPr="00663A57">
        <w:rPr>
          <w:color w:val="000000"/>
        </w:rPr>
        <w:t>11</w:t>
      </w:r>
      <w:r w:rsidRPr="00663A57">
        <w:rPr>
          <w:color w:val="000000"/>
        </w:rPr>
        <w:t xml:space="preserve">(4) provides that a depiction or description of a terrorist act will not contravene subsection </w:t>
      </w:r>
      <w:r w:rsidR="00FF1A72" w:rsidRPr="00663A57">
        <w:rPr>
          <w:color w:val="000000"/>
        </w:rPr>
        <w:t>11</w:t>
      </w:r>
      <w:r w:rsidRPr="00663A57">
        <w:rPr>
          <w:color w:val="000000"/>
        </w:rPr>
        <w:t xml:space="preserve">(1) if it could reasonably </w:t>
      </w:r>
      <w:proofErr w:type="gramStart"/>
      <w:r w:rsidRPr="00663A57">
        <w:rPr>
          <w:color w:val="000000"/>
        </w:rPr>
        <w:t>be considered to be</w:t>
      </w:r>
      <w:proofErr w:type="gramEnd"/>
      <w:r w:rsidRPr="00663A57">
        <w:rPr>
          <w:color w:val="000000"/>
        </w:rPr>
        <w:t xml:space="preserve"> done merely as part of public discussion or debate or as entertainment or satire.</w:t>
      </w:r>
    </w:p>
    <w:p w14:paraId="20429160" w14:textId="6AFF30D7" w:rsidR="003737B6" w:rsidRPr="005E673D" w:rsidRDefault="003737B6" w:rsidP="003737B6">
      <w:pPr>
        <w:pStyle w:val="Heading3"/>
        <w:rPr>
          <w:rFonts w:ascii="Times New Roman" w:hAnsi="Times New Roman" w:cs="Times New Roman"/>
          <w:color w:val="000000"/>
          <w:sz w:val="24"/>
          <w:szCs w:val="24"/>
        </w:rPr>
      </w:pPr>
      <w:r w:rsidRPr="005E673D">
        <w:rPr>
          <w:rFonts w:ascii="Times New Roman" w:hAnsi="Times New Roman" w:cs="Times New Roman"/>
          <w:color w:val="000000"/>
          <w:sz w:val="24"/>
          <w:szCs w:val="24"/>
        </w:rPr>
        <w:t xml:space="preserve">Section </w:t>
      </w:r>
      <w:r w:rsidR="005709DF" w:rsidRPr="005E673D">
        <w:rPr>
          <w:rFonts w:ascii="Times New Roman" w:hAnsi="Times New Roman" w:cs="Times New Roman"/>
          <w:color w:val="000000"/>
          <w:sz w:val="24"/>
          <w:szCs w:val="24"/>
        </w:rPr>
        <w:t>1</w:t>
      </w:r>
      <w:r w:rsidR="00FF1A72" w:rsidRPr="005E673D">
        <w:rPr>
          <w:rFonts w:ascii="Times New Roman" w:hAnsi="Times New Roman" w:cs="Times New Roman"/>
          <w:color w:val="000000"/>
          <w:sz w:val="24"/>
          <w:szCs w:val="24"/>
        </w:rPr>
        <w:t>2</w:t>
      </w:r>
      <w:r w:rsidRPr="005E673D">
        <w:rPr>
          <w:rFonts w:ascii="Times New Roman" w:hAnsi="Times New Roman" w:cs="Times New Roman"/>
          <w:color w:val="000000"/>
          <w:sz w:val="24"/>
          <w:szCs w:val="24"/>
        </w:rPr>
        <w:tab/>
        <w:t>Programs of political opinion not affected</w:t>
      </w:r>
    </w:p>
    <w:p w14:paraId="34CFC11B" w14:textId="11B047BD" w:rsidR="003737B6" w:rsidRPr="00663A57" w:rsidRDefault="005709DF" w:rsidP="00E5777F">
      <w:pPr>
        <w:tabs>
          <w:tab w:val="left" w:pos="700"/>
        </w:tabs>
        <w:spacing w:after="240"/>
        <w:ind w:left="0" w:firstLine="0"/>
        <w:outlineLvl w:val="0"/>
      </w:pPr>
      <w:r w:rsidRPr="00663A57">
        <w:t>Section 1</w:t>
      </w:r>
      <w:r w:rsidR="00FF1A72" w:rsidRPr="00663A57">
        <w:t>2</w:t>
      </w:r>
      <w:r w:rsidR="003737B6" w:rsidRPr="00663A57">
        <w:t xml:space="preserve"> provides that the </w:t>
      </w:r>
      <w:r w:rsidR="005A66C4" w:rsidRPr="00663A57">
        <w:t>S</w:t>
      </w:r>
      <w:r w:rsidR="003737B6" w:rsidRPr="00663A57">
        <w:t xml:space="preserve">tandard does not prohibit broadcasts of informative program content (for example, news, current </w:t>
      </w:r>
      <w:proofErr w:type="gramStart"/>
      <w:r w:rsidR="003737B6" w:rsidRPr="00663A57">
        <w:t>affairs</w:t>
      </w:r>
      <w:proofErr w:type="gramEnd"/>
      <w:r w:rsidR="003737B6" w:rsidRPr="00663A57">
        <w:t xml:space="preserve"> and documentary programs) that merely informs viewers about the activities, beliefs or opinions of a listed terrorist</w:t>
      </w:r>
      <w:r w:rsidR="000F4CD6">
        <w:t>.</w:t>
      </w:r>
      <w:r w:rsidR="003737B6" w:rsidRPr="00663A57">
        <w:t xml:space="preserve"> </w:t>
      </w:r>
    </w:p>
    <w:p w14:paraId="212FE940" w14:textId="52B4001A" w:rsidR="003737B6" w:rsidRPr="005E673D" w:rsidRDefault="003737B6" w:rsidP="003737B6">
      <w:pPr>
        <w:pStyle w:val="Heading3"/>
        <w:rPr>
          <w:rFonts w:ascii="Times New Roman" w:hAnsi="Times New Roman" w:cs="Times New Roman"/>
          <w:color w:val="000000"/>
          <w:sz w:val="24"/>
          <w:szCs w:val="24"/>
        </w:rPr>
      </w:pPr>
      <w:r w:rsidRPr="005E673D">
        <w:rPr>
          <w:rFonts w:ascii="Times New Roman" w:hAnsi="Times New Roman" w:cs="Times New Roman"/>
          <w:color w:val="000000"/>
          <w:sz w:val="24"/>
          <w:szCs w:val="24"/>
        </w:rPr>
        <w:t xml:space="preserve">Section </w:t>
      </w:r>
      <w:r w:rsidR="005709DF" w:rsidRPr="005E673D">
        <w:rPr>
          <w:rFonts w:ascii="Times New Roman" w:hAnsi="Times New Roman" w:cs="Times New Roman"/>
          <w:color w:val="000000"/>
          <w:sz w:val="24"/>
          <w:szCs w:val="24"/>
        </w:rPr>
        <w:t>1</w:t>
      </w:r>
      <w:r w:rsidR="00FF1A72" w:rsidRPr="005E673D">
        <w:rPr>
          <w:rFonts w:ascii="Times New Roman" w:hAnsi="Times New Roman" w:cs="Times New Roman"/>
          <w:color w:val="000000"/>
          <w:sz w:val="24"/>
          <w:szCs w:val="24"/>
        </w:rPr>
        <w:t>3</w:t>
      </w:r>
      <w:r w:rsidRPr="005E673D">
        <w:rPr>
          <w:rFonts w:ascii="Times New Roman" w:hAnsi="Times New Roman" w:cs="Times New Roman"/>
          <w:color w:val="000000"/>
          <w:sz w:val="24"/>
          <w:szCs w:val="24"/>
        </w:rPr>
        <w:tab/>
        <w:t>Bona fide reports and comments not affected</w:t>
      </w:r>
    </w:p>
    <w:p w14:paraId="4613F7D1" w14:textId="24EBB3A8" w:rsidR="003737B6" w:rsidRPr="00663A57" w:rsidRDefault="005709DF" w:rsidP="00E5777F">
      <w:pPr>
        <w:tabs>
          <w:tab w:val="left" w:pos="700"/>
        </w:tabs>
        <w:spacing w:after="240"/>
        <w:ind w:left="0" w:firstLine="0"/>
        <w:contextualSpacing/>
        <w:outlineLvl w:val="0"/>
      </w:pPr>
      <w:r w:rsidRPr="00663A57">
        <w:t>Section 1</w:t>
      </w:r>
      <w:r w:rsidR="00FF1A72" w:rsidRPr="00663A57">
        <w:t>3</w:t>
      </w:r>
      <w:r w:rsidR="003737B6" w:rsidRPr="00663A57">
        <w:t xml:space="preserve"> enables a licensee to broadcast an excerpt of a program which would otherwise be prohibited by section </w:t>
      </w:r>
      <w:r w:rsidR="00FF1A72" w:rsidRPr="00663A57">
        <w:t>9</w:t>
      </w:r>
      <w:r w:rsidR="003737B6" w:rsidRPr="00663A57">
        <w:t xml:space="preserve">, </w:t>
      </w:r>
      <w:r w:rsidR="00FF1A72" w:rsidRPr="00663A57">
        <w:t>10</w:t>
      </w:r>
      <w:r w:rsidR="003737B6" w:rsidRPr="00663A57">
        <w:t xml:space="preserve"> or </w:t>
      </w:r>
      <w:r w:rsidR="00FF1A72" w:rsidRPr="00663A57">
        <w:t>11</w:t>
      </w:r>
      <w:r w:rsidR="003737B6" w:rsidRPr="00663A57">
        <w:t xml:space="preserve"> of the </w:t>
      </w:r>
      <w:r w:rsidR="004918C8" w:rsidRPr="00663A57">
        <w:t>S</w:t>
      </w:r>
      <w:r w:rsidR="003737B6" w:rsidRPr="00663A57">
        <w:t>tandard if:</w:t>
      </w:r>
    </w:p>
    <w:p w14:paraId="0716F647" w14:textId="77777777" w:rsidR="003737B6" w:rsidRPr="00663A57" w:rsidRDefault="003737B6" w:rsidP="00E5777F">
      <w:pPr>
        <w:numPr>
          <w:ilvl w:val="0"/>
          <w:numId w:val="23"/>
        </w:numPr>
        <w:spacing w:before="120" w:after="240"/>
        <w:ind w:left="896" w:hanging="357"/>
        <w:contextualSpacing/>
      </w:pPr>
      <w:r w:rsidRPr="00663A57">
        <w:t xml:space="preserve">the excerpt is part of a news report, current affairs program, </w:t>
      </w:r>
      <w:proofErr w:type="gramStart"/>
      <w:r w:rsidRPr="00663A57">
        <w:t>documentary</w:t>
      </w:r>
      <w:proofErr w:type="gramEnd"/>
      <w:r w:rsidRPr="00663A57">
        <w:t xml:space="preserve"> or other program; and</w:t>
      </w:r>
    </w:p>
    <w:p w14:paraId="16F2C41B" w14:textId="77777777" w:rsidR="003737B6" w:rsidRPr="00663A57" w:rsidRDefault="003737B6" w:rsidP="00E5777F">
      <w:pPr>
        <w:numPr>
          <w:ilvl w:val="0"/>
          <w:numId w:val="23"/>
        </w:numPr>
        <w:spacing w:after="240"/>
        <w:ind w:left="896" w:hanging="357"/>
      </w:pPr>
      <w:r w:rsidRPr="00663A57">
        <w:t xml:space="preserve">the excerpt is included as part of a bona fide report or comment on a matter of public interest. </w:t>
      </w:r>
    </w:p>
    <w:p w14:paraId="047C224C" w14:textId="32BCD9E8" w:rsidR="00EB2E0E" w:rsidRPr="00663A57" w:rsidRDefault="003737B6" w:rsidP="00E5777F">
      <w:pPr>
        <w:spacing w:after="240"/>
        <w:ind w:left="0" w:firstLine="0"/>
        <w:sectPr w:rsidR="00EB2E0E" w:rsidRPr="00663A57" w:rsidSect="00AA01B4">
          <w:pgSz w:w="11906" w:h="16838"/>
          <w:pgMar w:top="1440" w:right="1800" w:bottom="1258" w:left="1800" w:header="708" w:footer="708" w:gutter="0"/>
          <w:cols w:space="708"/>
          <w:docGrid w:linePitch="360"/>
        </w:sectPr>
      </w:pPr>
      <w:r w:rsidRPr="00663A57">
        <w:t xml:space="preserve">This section provides a limited exception for the broadcast of material that would otherwise be prohibited by sections </w:t>
      </w:r>
      <w:r w:rsidR="00FF1A72" w:rsidRPr="00663A57">
        <w:t>9</w:t>
      </w:r>
      <w:r w:rsidRPr="00663A57">
        <w:t xml:space="preserve">, </w:t>
      </w:r>
      <w:r w:rsidR="00FF1A72" w:rsidRPr="00663A57">
        <w:t>10</w:t>
      </w:r>
      <w:r w:rsidRPr="00663A57">
        <w:t xml:space="preserve"> </w:t>
      </w:r>
      <w:r w:rsidR="004B350F">
        <w:t>or</w:t>
      </w:r>
      <w:r w:rsidRPr="00663A57">
        <w:t xml:space="preserve"> </w:t>
      </w:r>
      <w:r w:rsidR="00FF1A72" w:rsidRPr="00663A57">
        <w:t>11</w:t>
      </w:r>
      <w:r w:rsidRPr="00663A57">
        <w:t xml:space="preserve">. </w:t>
      </w:r>
    </w:p>
    <w:p w14:paraId="5C2D93C4" w14:textId="1030EE8C" w:rsidR="00D20D6E" w:rsidRPr="005E673D" w:rsidRDefault="00D20D6E" w:rsidP="005E673D">
      <w:pPr>
        <w:pStyle w:val="Heading2"/>
        <w:ind w:left="720"/>
        <w:jc w:val="right"/>
        <w:rPr>
          <w:rFonts w:ascii="Times New Roman" w:hAnsi="Times New Roman" w:cs="Times New Roman"/>
          <w:i w:val="0"/>
          <w:iCs w:val="0"/>
        </w:rPr>
      </w:pPr>
      <w:r w:rsidRPr="005E673D">
        <w:rPr>
          <w:rFonts w:ascii="Times New Roman" w:hAnsi="Times New Roman" w:cs="Times New Roman"/>
          <w:i w:val="0"/>
          <w:iCs w:val="0"/>
        </w:rPr>
        <w:t>Attachment B</w:t>
      </w:r>
    </w:p>
    <w:p w14:paraId="3603FAE2" w14:textId="62DD3B01" w:rsidR="00D20D6E" w:rsidRPr="005E673D" w:rsidRDefault="00D20D6E" w:rsidP="005E673D">
      <w:pPr>
        <w:pStyle w:val="Heading2"/>
        <w:jc w:val="center"/>
        <w:rPr>
          <w:rFonts w:ascii="Times New Roman" w:hAnsi="Times New Roman" w:cs="Times New Roman"/>
          <w:i w:val="0"/>
          <w:iCs w:val="0"/>
        </w:rPr>
      </w:pPr>
      <w:r w:rsidRPr="005E673D">
        <w:rPr>
          <w:rFonts w:ascii="Times New Roman" w:hAnsi="Times New Roman" w:cs="Times New Roman"/>
          <w:i w:val="0"/>
          <w:iCs w:val="0"/>
        </w:rPr>
        <w:t>Statement of Compatibility with Human Rights</w:t>
      </w:r>
    </w:p>
    <w:p w14:paraId="51BC82D2" w14:textId="77777777" w:rsidR="00D20D6E" w:rsidRPr="00663A57" w:rsidRDefault="00D20D6E" w:rsidP="00D20D6E">
      <w:pPr>
        <w:spacing w:before="120" w:after="120"/>
        <w:jc w:val="center"/>
      </w:pPr>
      <w:r w:rsidRPr="00663A57">
        <w:rPr>
          <w:i/>
        </w:rPr>
        <w:t>Prepared in accordance with Part 3 of the Human Rights (Parliamentary Scrutiny) Act 2011</w:t>
      </w:r>
    </w:p>
    <w:p w14:paraId="47F3A082" w14:textId="77777777" w:rsidR="00D20D6E" w:rsidRPr="007F0172" w:rsidRDefault="00D20D6E" w:rsidP="00D20D6E">
      <w:pPr>
        <w:spacing w:before="120" w:after="120"/>
        <w:jc w:val="center"/>
      </w:pPr>
    </w:p>
    <w:p w14:paraId="68617C7B" w14:textId="77777777" w:rsidR="00D20D6E" w:rsidRPr="005E673D" w:rsidRDefault="00D20D6E" w:rsidP="00D20D6E">
      <w:pPr>
        <w:spacing w:before="120" w:after="120"/>
        <w:jc w:val="center"/>
        <w:rPr>
          <w:b/>
          <w:i/>
          <w:iCs/>
        </w:rPr>
      </w:pPr>
      <w:r w:rsidRPr="005E673D">
        <w:rPr>
          <w:b/>
          <w:i/>
          <w:iCs/>
        </w:rPr>
        <w:t>Broadcasting Services (Anti-terrorism Requirements for Television Narrowcasting Services) Standard 2021</w:t>
      </w:r>
    </w:p>
    <w:p w14:paraId="7EF1720A" w14:textId="77777777" w:rsidR="00D20D6E" w:rsidRPr="00663A57" w:rsidRDefault="00D20D6E" w:rsidP="00D20D6E">
      <w:pPr>
        <w:spacing w:before="120" w:after="120"/>
        <w:jc w:val="center"/>
      </w:pPr>
    </w:p>
    <w:p w14:paraId="0FB0F767" w14:textId="7C32CF39" w:rsidR="00D20D6E" w:rsidRPr="00663A57" w:rsidRDefault="00D20D6E" w:rsidP="00D20D6E">
      <w:pPr>
        <w:tabs>
          <w:tab w:val="left" w:pos="4253"/>
        </w:tabs>
        <w:spacing w:before="120" w:after="120"/>
        <w:jc w:val="center"/>
      </w:pPr>
      <w:r w:rsidRPr="007F0172">
        <w:t xml:space="preserve">This </w:t>
      </w:r>
      <w:r w:rsidR="002E4F5F">
        <w:t>d</w:t>
      </w:r>
      <w:r w:rsidRPr="007F0172">
        <w:t xml:space="preserve">isallowable </w:t>
      </w:r>
      <w:r w:rsidR="002E4F5F">
        <w:t>l</w:t>
      </w:r>
      <w:r w:rsidRPr="007F0172">
        <w:t xml:space="preserve">egislative </w:t>
      </w:r>
      <w:r w:rsidR="002E4F5F">
        <w:t>i</w:t>
      </w:r>
      <w:r w:rsidRPr="007F0172">
        <w:t xml:space="preserve">nstrument is compatible with the human rights and freedoms recognised or declared in the international instruments listed in section 3 of the </w:t>
      </w:r>
      <w:r w:rsidRPr="00663A57">
        <w:rPr>
          <w:i/>
        </w:rPr>
        <w:t>Human Rights (Parliamentary Scrutiny) Act 2011</w:t>
      </w:r>
      <w:r w:rsidRPr="00663A57">
        <w:t>.</w:t>
      </w:r>
    </w:p>
    <w:p w14:paraId="60D2021B" w14:textId="4444A692" w:rsidR="00D20D6E" w:rsidRPr="005E673D" w:rsidRDefault="00D20D6E" w:rsidP="00D20D6E">
      <w:pPr>
        <w:pStyle w:val="Heading3"/>
        <w:rPr>
          <w:rFonts w:ascii="Times New Roman" w:hAnsi="Times New Roman" w:cs="Times New Roman"/>
          <w:sz w:val="24"/>
          <w:szCs w:val="24"/>
        </w:rPr>
      </w:pPr>
      <w:r w:rsidRPr="005E673D">
        <w:rPr>
          <w:rFonts w:ascii="Times New Roman" w:hAnsi="Times New Roman" w:cs="Times New Roman"/>
          <w:sz w:val="24"/>
          <w:szCs w:val="24"/>
        </w:rPr>
        <w:t>Overview of the Instrument</w:t>
      </w:r>
    </w:p>
    <w:p w14:paraId="736AA122" w14:textId="18B6FDA4" w:rsidR="005E1D4F" w:rsidRPr="00663A57" w:rsidRDefault="00D20D6E" w:rsidP="004F4DC5">
      <w:pPr>
        <w:spacing w:before="120" w:after="120"/>
        <w:ind w:left="0" w:firstLine="0"/>
        <w:rPr>
          <w:iCs/>
        </w:rPr>
      </w:pPr>
      <w:r w:rsidRPr="00663A57">
        <w:t xml:space="preserve">The </w:t>
      </w:r>
      <w:r w:rsidRPr="005E673D">
        <w:rPr>
          <w:i/>
          <w:iCs/>
        </w:rPr>
        <w:t>Broadcasting Services (Anti-terrorism Requirements for Television Narrowcasting Services) Standard 2021</w:t>
      </w:r>
      <w:r w:rsidRPr="00663A57">
        <w:t xml:space="preserve"> </w:t>
      </w:r>
      <w:r w:rsidR="004F4DC5" w:rsidRPr="00740385">
        <w:t>(</w:t>
      </w:r>
      <w:r w:rsidR="004F4DC5" w:rsidRPr="00C95ED4">
        <w:rPr>
          <w:b/>
          <w:bCs/>
        </w:rPr>
        <w:t>the Standard</w:t>
      </w:r>
      <w:r w:rsidR="004F4DC5" w:rsidRPr="00740385">
        <w:t>)</w:t>
      </w:r>
      <w:r w:rsidR="004F4DC5" w:rsidRPr="00663A57">
        <w:t xml:space="preserve"> </w:t>
      </w:r>
      <w:r w:rsidR="00125316" w:rsidRPr="00740385">
        <w:t>is made under subsection 1</w:t>
      </w:r>
      <w:r w:rsidR="005E1D4F" w:rsidRPr="00740385">
        <w:t xml:space="preserve">25(2) of the </w:t>
      </w:r>
      <w:r w:rsidR="005E1D4F" w:rsidRPr="00740385">
        <w:rPr>
          <w:i/>
        </w:rPr>
        <w:t>Broadcasting Services Act 1992</w:t>
      </w:r>
      <w:r w:rsidR="000F6A86" w:rsidRPr="00740385">
        <w:rPr>
          <w:i/>
        </w:rPr>
        <w:t xml:space="preserve"> </w:t>
      </w:r>
      <w:r w:rsidR="000F6A86" w:rsidRPr="00740385">
        <w:t>(</w:t>
      </w:r>
      <w:r w:rsidR="000F6A86" w:rsidRPr="00C95ED4">
        <w:rPr>
          <w:b/>
          <w:bCs/>
        </w:rPr>
        <w:t>the BSA</w:t>
      </w:r>
      <w:r w:rsidR="000F6A86" w:rsidRPr="00740385">
        <w:t>)</w:t>
      </w:r>
      <w:r w:rsidR="005E1D4F" w:rsidRPr="00740385">
        <w:t>.</w:t>
      </w:r>
      <w:r w:rsidR="005E1D4F" w:rsidRPr="00663A57">
        <w:t xml:space="preserve"> </w:t>
      </w:r>
      <w:r w:rsidR="00377DB5" w:rsidRPr="00740385">
        <w:t xml:space="preserve">The Standard repeals the </w:t>
      </w:r>
      <w:r w:rsidR="00377DB5" w:rsidRPr="00740385">
        <w:rPr>
          <w:i/>
        </w:rPr>
        <w:t xml:space="preserve">Broadcasting Services (Anti-terrorism Requirements for Subscription Television Narrowcasting Services) Standard 2011 </w:t>
      </w:r>
      <w:r w:rsidR="00377DB5" w:rsidRPr="00740385">
        <w:t xml:space="preserve">and the </w:t>
      </w:r>
      <w:r w:rsidR="00377DB5" w:rsidRPr="00740385">
        <w:rPr>
          <w:i/>
        </w:rPr>
        <w:t>Broadcasting Services (Anti-terrorism Requirements for Open Narrowcasting Television Services) Standard 2011</w:t>
      </w:r>
      <w:r w:rsidR="009717C9" w:rsidRPr="00740385">
        <w:t>,</w:t>
      </w:r>
      <w:r w:rsidR="0047300D" w:rsidRPr="00740385">
        <w:t xml:space="preserve"> which </w:t>
      </w:r>
      <w:r w:rsidR="00C7423B">
        <w:t>we</w:t>
      </w:r>
      <w:r w:rsidR="0047300D" w:rsidRPr="00740385">
        <w:t xml:space="preserve">re </w:t>
      </w:r>
      <w:r w:rsidR="00C7423B">
        <w:t xml:space="preserve">both </w:t>
      </w:r>
      <w:r w:rsidR="0047300D" w:rsidRPr="00740385">
        <w:t>due to sunset on 1 October 2021</w:t>
      </w:r>
      <w:r w:rsidR="009717C9" w:rsidRPr="00740385">
        <w:t xml:space="preserve">, and remakes these in a </w:t>
      </w:r>
      <w:r w:rsidR="003F347B" w:rsidRPr="00740385">
        <w:t xml:space="preserve">single </w:t>
      </w:r>
      <w:r w:rsidR="009717C9" w:rsidRPr="00740385">
        <w:t>consolidated standard</w:t>
      </w:r>
      <w:r w:rsidR="0047300D" w:rsidRPr="00740385">
        <w:t>.</w:t>
      </w:r>
    </w:p>
    <w:p w14:paraId="6509C701" w14:textId="7F2EF43A" w:rsidR="00265A93" w:rsidRPr="00663A57" w:rsidRDefault="005E1D4F" w:rsidP="005E673D">
      <w:pPr>
        <w:spacing w:before="120" w:after="120"/>
        <w:ind w:left="0" w:firstLine="0"/>
      </w:pPr>
      <w:r w:rsidRPr="00663A57">
        <w:t>The Standard</w:t>
      </w:r>
      <w:r w:rsidRPr="00663A57">
        <w:rPr>
          <w:i/>
          <w:iCs/>
        </w:rPr>
        <w:t xml:space="preserve"> </w:t>
      </w:r>
      <w:r w:rsidR="00D20D6E" w:rsidRPr="00663A57">
        <w:t xml:space="preserve">aims to prevent the broadcast of terrorist material on open and subscription narrowcast television services. </w:t>
      </w:r>
      <w:r w:rsidR="007C656E" w:rsidRPr="007C656E">
        <w:rPr>
          <w:rFonts w:ascii="Arial" w:hAnsi="Arial" w:cs="Arial"/>
          <w:sz w:val="22"/>
          <w:szCs w:val="22"/>
          <w:lang w:eastAsia="en-US" w:bidi="he-IL"/>
        </w:rPr>
        <w:t xml:space="preserve"> </w:t>
      </w:r>
      <w:r w:rsidR="007C656E" w:rsidRPr="00740385">
        <w:t xml:space="preserve">These services cater to specialised or niche areas of interest and </w:t>
      </w:r>
      <w:r w:rsidR="000B7CF2" w:rsidRPr="00740385">
        <w:t xml:space="preserve">generally </w:t>
      </w:r>
      <w:r w:rsidR="007C656E" w:rsidRPr="00740385">
        <w:t xml:space="preserve">have </w:t>
      </w:r>
      <w:r w:rsidR="00587770" w:rsidRPr="00740385">
        <w:t xml:space="preserve">relatively small </w:t>
      </w:r>
      <w:r w:rsidR="007C656E" w:rsidRPr="00740385">
        <w:t>audiences.</w:t>
      </w:r>
      <w:r w:rsidR="005E673D">
        <w:t xml:space="preserve"> </w:t>
      </w:r>
    </w:p>
    <w:p w14:paraId="03509633" w14:textId="37FFA1A4" w:rsidR="00D20D6E" w:rsidRPr="00C146B8" w:rsidRDefault="00D20D6E" w:rsidP="00D20D6E">
      <w:pPr>
        <w:spacing w:before="120" w:after="120"/>
      </w:pPr>
      <w:r w:rsidRPr="007F0172">
        <w:t>Under the Standard</w:t>
      </w:r>
      <w:r w:rsidR="00782995" w:rsidRPr="007F0172">
        <w:t>,</w:t>
      </w:r>
      <w:r w:rsidRPr="00C146B8">
        <w:t xml:space="preserve"> licensees cannot broadcast a program that:</w:t>
      </w:r>
    </w:p>
    <w:p w14:paraId="459EE630" w14:textId="77777777" w:rsidR="00D20D6E" w:rsidRPr="00663A57" w:rsidRDefault="00D20D6E" w:rsidP="00D20D6E">
      <w:pPr>
        <w:pStyle w:val="ListParagraph"/>
        <w:numPr>
          <w:ilvl w:val="0"/>
          <w:numId w:val="29"/>
        </w:numPr>
        <w:spacing w:before="120" w:after="120" w:line="240" w:lineRule="auto"/>
        <w:rPr>
          <w:rFonts w:ascii="Times New Roman" w:hAnsi="Times New Roman"/>
          <w:sz w:val="24"/>
          <w:szCs w:val="24"/>
        </w:rPr>
      </w:pPr>
      <w:r w:rsidRPr="00663A57">
        <w:rPr>
          <w:rFonts w:ascii="Times New Roman" w:hAnsi="Times New Roman"/>
          <w:sz w:val="24"/>
          <w:szCs w:val="24"/>
        </w:rPr>
        <w:t xml:space="preserve">advocates the doing of a terrorist </w:t>
      </w:r>
      <w:proofErr w:type="gramStart"/>
      <w:r w:rsidRPr="00663A57">
        <w:rPr>
          <w:rFonts w:ascii="Times New Roman" w:hAnsi="Times New Roman"/>
          <w:sz w:val="24"/>
          <w:szCs w:val="24"/>
        </w:rPr>
        <w:t>act;</w:t>
      </w:r>
      <w:proofErr w:type="gramEnd"/>
    </w:p>
    <w:p w14:paraId="7BF19A1A" w14:textId="77777777" w:rsidR="00D20D6E" w:rsidRPr="00663A57" w:rsidRDefault="00D20D6E" w:rsidP="00D20D6E">
      <w:pPr>
        <w:pStyle w:val="ListParagraph"/>
        <w:numPr>
          <w:ilvl w:val="0"/>
          <w:numId w:val="29"/>
        </w:numPr>
        <w:spacing w:before="120" w:after="120" w:line="240" w:lineRule="auto"/>
        <w:rPr>
          <w:rFonts w:ascii="Times New Roman" w:hAnsi="Times New Roman"/>
          <w:sz w:val="24"/>
          <w:szCs w:val="24"/>
        </w:rPr>
      </w:pPr>
      <w:r w:rsidRPr="00663A57">
        <w:rPr>
          <w:rFonts w:ascii="Times New Roman" w:hAnsi="Times New Roman"/>
          <w:sz w:val="24"/>
          <w:szCs w:val="24"/>
        </w:rPr>
        <w:t xml:space="preserve">would be reasonably understood as directly recruiting a person to join, or participate in the activities of, a listed </w:t>
      </w:r>
      <w:proofErr w:type="gramStart"/>
      <w:r w:rsidRPr="00663A57">
        <w:rPr>
          <w:rFonts w:ascii="Times New Roman" w:hAnsi="Times New Roman"/>
          <w:sz w:val="24"/>
          <w:szCs w:val="24"/>
        </w:rPr>
        <w:t>terrorist;</w:t>
      </w:r>
      <w:proofErr w:type="gramEnd"/>
    </w:p>
    <w:p w14:paraId="7EB1C00B" w14:textId="77777777" w:rsidR="00D20D6E" w:rsidRPr="00663A57" w:rsidRDefault="00D20D6E" w:rsidP="00D20D6E">
      <w:pPr>
        <w:pStyle w:val="ListParagraph"/>
        <w:numPr>
          <w:ilvl w:val="0"/>
          <w:numId w:val="29"/>
        </w:numPr>
        <w:spacing w:before="120" w:after="120" w:line="240" w:lineRule="auto"/>
        <w:rPr>
          <w:rFonts w:ascii="Times New Roman" w:hAnsi="Times New Roman"/>
          <w:sz w:val="24"/>
          <w:szCs w:val="24"/>
        </w:rPr>
      </w:pPr>
      <w:r w:rsidRPr="00663A57">
        <w:rPr>
          <w:rFonts w:ascii="Times New Roman" w:hAnsi="Times New Roman"/>
          <w:sz w:val="24"/>
          <w:szCs w:val="24"/>
        </w:rPr>
        <w:t xml:space="preserve">would be reasonably understood as soliciting funds for a listed </w:t>
      </w:r>
      <w:proofErr w:type="gramStart"/>
      <w:r w:rsidRPr="00663A57">
        <w:rPr>
          <w:rFonts w:ascii="Times New Roman" w:hAnsi="Times New Roman"/>
          <w:sz w:val="24"/>
          <w:szCs w:val="24"/>
        </w:rPr>
        <w:t>terrorist, or</w:t>
      </w:r>
      <w:proofErr w:type="gramEnd"/>
      <w:r w:rsidRPr="00663A57">
        <w:rPr>
          <w:rFonts w:ascii="Times New Roman" w:hAnsi="Times New Roman"/>
          <w:sz w:val="24"/>
          <w:szCs w:val="24"/>
        </w:rPr>
        <w:t xml:space="preserve"> assisting in the collection or provision of funds for a listed terrorist.</w:t>
      </w:r>
    </w:p>
    <w:p w14:paraId="042155B8" w14:textId="6BD12024" w:rsidR="00D20D6E" w:rsidRPr="00663A57" w:rsidRDefault="00D20D6E">
      <w:pPr>
        <w:spacing w:before="120" w:after="120"/>
        <w:ind w:left="0" w:firstLine="0"/>
      </w:pPr>
      <w:r w:rsidRPr="00663A57">
        <w:t>The Standard holds a licensee responsible for what they broadcast, even if they claim they were unaware of the content of the program. This is to encourage licensees to set up effective systems for checking programs before they are broadcast.</w:t>
      </w:r>
    </w:p>
    <w:p w14:paraId="50CAEA4E" w14:textId="20C8E9E0" w:rsidR="000F6A86" w:rsidRPr="00663A57" w:rsidRDefault="000F6A86" w:rsidP="005E673D">
      <w:pPr>
        <w:spacing w:before="120" w:after="120"/>
        <w:ind w:left="0" w:firstLine="0"/>
      </w:pPr>
      <w:bookmarkStart w:id="1" w:name="_Hlk81581583"/>
      <w:r w:rsidRPr="00740385">
        <w:t>Under the BSA, compliance with the Standard is a licence condition for subscription and open narrowcasting television services (see Part 7 of Schedule 2 to the BSA).</w:t>
      </w:r>
      <w:r w:rsidRPr="00663A57">
        <w:t xml:space="preserve"> </w:t>
      </w:r>
    </w:p>
    <w:bookmarkEnd w:id="1"/>
    <w:p w14:paraId="0DE220BB" w14:textId="77777777" w:rsidR="00D20D6E" w:rsidRPr="00663A57" w:rsidRDefault="00D20D6E" w:rsidP="005E673D">
      <w:pPr>
        <w:spacing w:before="120" w:after="120"/>
        <w:ind w:left="0" w:firstLine="0"/>
      </w:pPr>
      <w:r w:rsidRPr="007F0172">
        <w:t xml:space="preserve">The Standard does not remove the need for licensees to comply with other anti-terrorism laws, such as those contained in the </w:t>
      </w:r>
      <w:r w:rsidRPr="00663A57">
        <w:rPr>
          <w:i/>
          <w:iCs/>
        </w:rPr>
        <w:t>Criminal Code Act 1995</w:t>
      </w:r>
      <w:r w:rsidRPr="00663A57">
        <w:t>.</w:t>
      </w:r>
    </w:p>
    <w:p w14:paraId="370E51D8" w14:textId="569E31AD" w:rsidR="00D20D6E" w:rsidRPr="00663A57" w:rsidRDefault="00D20D6E" w:rsidP="00D20D6E">
      <w:pPr>
        <w:pStyle w:val="Heading3"/>
        <w:rPr>
          <w:rFonts w:ascii="Times New Roman" w:hAnsi="Times New Roman" w:cs="Times New Roman"/>
          <w:sz w:val="24"/>
          <w:szCs w:val="24"/>
        </w:rPr>
      </w:pPr>
      <w:r w:rsidRPr="005E673D">
        <w:rPr>
          <w:rFonts w:ascii="Times New Roman" w:hAnsi="Times New Roman" w:cs="Times New Roman"/>
          <w:sz w:val="24"/>
          <w:szCs w:val="24"/>
        </w:rPr>
        <w:t>Human rights implications</w:t>
      </w:r>
    </w:p>
    <w:p w14:paraId="0DE4B02A" w14:textId="1946E778" w:rsidR="00B858E6" w:rsidRPr="007F0172" w:rsidRDefault="00B858E6" w:rsidP="00B858E6">
      <w:pPr>
        <w:rPr>
          <w:lang w:eastAsia="en-US"/>
        </w:rPr>
      </w:pPr>
    </w:p>
    <w:p w14:paraId="502AA083" w14:textId="694E1AFA" w:rsidR="00B858E6" w:rsidRPr="00740385" w:rsidRDefault="00E50505" w:rsidP="00B858E6">
      <w:pPr>
        <w:rPr>
          <w:lang w:eastAsia="en-US"/>
        </w:rPr>
      </w:pPr>
      <w:r w:rsidRPr="00740385">
        <w:rPr>
          <w:lang w:eastAsia="en-US"/>
        </w:rPr>
        <w:t>The Standard engages the following rights:</w:t>
      </w:r>
    </w:p>
    <w:p w14:paraId="746DD158" w14:textId="340505B8" w:rsidR="00E50505" w:rsidRPr="00740385" w:rsidRDefault="00E50505" w:rsidP="00B858E6">
      <w:pPr>
        <w:rPr>
          <w:lang w:eastAsia="en-US"/>
        </w:rPr>
      </w:pPr>
    </w:p>
    <w:p w14:paraId="3FB93B49" w14:textId="3F2D44CF" w:rsidR="00E50505" w:rsidRPr="00740385" w:rsidRDefault="00A90730" w:rsidP="005E673D">
      <w:pPr>
        <w:ind w:left="0" w:firstLine="0"/>
      </w:pPr>
      <w:r w:rsidRPr="00740385">
        <w:t xml:space="preserve">Article 19 of the International Covenant on Civil and Political Rights provides that all persons have the right to freedom of expression. </w:t>
      </w:r>
      <w:r w:rsidR="00DA6AFE" w:rsidRPr="00740385">
        <w:t xml:space="preserve">This right includes the freedom to seek, receive and impart information and ideas of all kinds, </w:t>
      </w:r>
      <w:r w:rsidR="0052240A" w:rsidRPr="00740385">
        <w:t xml:space="preserve">through any media of </w:t>
      </w:r>
      <w:r w:rsidR="005D0168" w:rsidRPr="00740385">
        <w:t xml:space="preserve">the person’s </w:t>
      </w:r>
      <w:r w:rsidR="0052240A" w:rsidRPr="00740385">
        <w:t xml:space="preserve">choice. </w:t>
      </w:r>
      <w:r w:rsidR="003646C8" w:rsidRPr="00740385">
        <w:t xml:space="preserve">This Standard engages the right to freedom of expression to the extent </w:t>
      </w:r>
      <w:r w:rsidR="00D529BC" w:rsidRPr="00740385">
        <w:t xml:space="preserve">that television narrowcasting services are not permitted to broadcast </w:t>
      </w:r>
      <w:r w:rsidR="005D3025" w:rsidRPr="00740385">
        <w:t>a program that</w:t>
      </w:r>
      <w:r w:rsidR="002430D2" w:rsidRPr="00740385">
        <w:t>:</w:t>
      </w:r>
      <w:r w:rsidR="005D3025" w:rsidRPr="00740385">
        <w:t xml:space="preserve"> would be reasonably understood as directly recruiting a person to join, or participate in the activities of a listed terrorist</w:t>
      </w:r>
      <w:r w:rsidR="00A6135E" w:rsidRPr="00740385">
        <w:t xml:space="preserve"> (section 9)</w:t>
      </w:r>
      <w:r w:rsidR="005D3025" w:rsidRPr="00740385">
        <w:t xml:space="preserve">; </w:t>
      </w:r>
      <w:r w:rsidR="005D648C">
        <w:t xml:space="preserve">would be </w:t>
      </w:r>
      <w:r w:rsidR="002430D2" w:rsidRPr="00740385">
        <w:t>reasonably understood as soliciting funds or assisting in the collection or provision of funds for a listed terrorist</w:t>
      </w:r>
      <w:r w:rsidR="00A6135E" w:rsidRPr="00740385">
        <w:t xml:space="preserve"> (section 10)</w:t>
      </w:r>
      <w:r w:rsidR="002430D2" w:rsidRPr="00740385">
        <w:t>; or that advocates the doing of a terrorist act</w:t>
      </w:r>
      <w:r w:rsidR="00A6135E" w:rsidRPr="00740385">
        <w:t xml:space="preserve"> (section 11)</w:t>
      </w:r>
      <w:r w:rsidR="002430D2" w:rsidRPr="00740385">
        <w:t xml:space="preserve">. </w:t>
      </w:r>
    </w:p>
    <w:p w14:paraId="15D13F23" w14:textId="77777777" w:rsidR="00D579D7" w:rsidRPr="00740385" w:rsidRDefault="00D579D7" w:rsidP="005E673D">
      <w:pPr>
        <w:ind w:left="0" w:firstLine="0"/>
      </w:pPr>
    </w:p>
    <w:p w14:paraId="1657EF60" w14:textId="3DFB9F88" w:rsidR="000627AF" w:rsidRPr="00740385" w:rsidRDefault="00A71221" w:rsidP="005E673D">
      <w:pPr>
        <w:ind w:left="0" w:firstLine="0"/>
      </w:pPr>
      <w:r w:rsidRPr="00740385">
        <w:t>Article 19(3) provides that the right to freedom of expression may be subject to restrictions for specified purposes provided in the right, including the protection of</w:t>
      </w:r>
      <w:r w:rsidR="00D21201" w:rsidRPr="00740385">
        <w:t xml:space="preserve"> national security and</w:t>
      </w:r>
      <w:r w:rsidR="00C146B8" w:rsidRPr="00740385">
        <w:t xml:space="preserve"> </w:t>
      </w:r>
      <w:r w:rsidRPr="00740385">
        <w:t>public order</w:t>
      </w:r>
      <w:r w:rsidR="008A5672" w:rsidRPr="00740385">
        <w:t>,</w:t>
      </w:r>
      <w:r w:rsidRPr="00740385">
        <w:t xml:space="preserve"> where such restrictions are provided by law (that is, set down in formal legislation or an equivalent unwritten norm of common law) and are necessary for attaining </w:t>
      </w:r>
      <w:r w:rsidR="004140BD" w:rsidRPr="00740385">
        <w:t>this</w:t>
      </w:r>
      <w:r w:rsidRPr="00740385">
        <w:t xml:space="preserve"> purpose.</w:t>
      </w:r>
      <w:r w:rsidR="00F721B7" w:rsidRPr="00740385">
        <w:t xml:space="preserve"> </w:t>
      </w:r>
    </w:p>
    <w:p w14:paraId="464FAB58" w14:textId="77777777" w:rsidR="00D579D7" w:rsidRPr="00740385" w:rsidRDefault="00D579D7" w:rsidP="005E673D">
      <w:pPr>
        <w:ind w:left="0" w:firstLine="0"/>
      </w:pPr>
    </w:p>
    <w:p w14:paraId="15CAC4D8" w14:textId="442FDFA8" w:rsidR="00E4067F" w:rsidRDefault="00D248F1" w:rsidP="005E673D">
      <w:pPr>
        <w:ind w:left="0" w:firstLine="0"/>
      </w:pPr>
      <w:r w:rsidRPr="00740385">
        <w:t xml:space="preserve">To the extent that the requirements in sections </w:t>
      </w:r>
      <w:r w:rsidR="00A6135E" w:rsidRPr="00740385">
        <w:t>9, 10 and 11</w:t>
      </w:r>
      <w:r w:rsidR="007A3CFC" w:rsidRPr="00740385">
        <w:t xml:space="preserve"> of the Standard</w:t>
      </w:r>
      <w:r w:rsidRPr="00740385">
        <w:t xml:space="preserve"> </w:t>
      </w:r>
      <w:proofErr w:type="gramStart"/>
      <w:r w:rsidRPr="00740385">
        <w:t>limit</w:t>
      </w:r>
      <w:proofErr w:type="gramEnd"/>
      <w:r w:rsidRPr="00740385">
        <w:t xml:space="preserve"> the right to freedom of expression, this is a permissible limitation that is necessary </w:t>
      </w:r>
      <w:r w:rsidR="00D21201" w:rsidRPr="00740385">
        <w:t>for the</w:t>
      </w:r>
      <w:r w:rsidRPr="00740385">
        <w:t xml:space="preserve"> protect</w:t>
      </w:r>
      <w:r w:rsidR="00D21201" w:rsidRPr="00740385">
        <w:t>ion of national security and</w:t>
      </w:r>
      <w:r w:rsidRPr="00740385">
        <w:t xml:space="preserve"> public order</w:t>
      </w:r>
      <w:r w:rsidR="006865CE" w:rsidRPr="00740385">
        <w:t>,</w:t>
      </w:r>
      <w:r w:rsidR="00A6135E" w:rsidRPr="00740385">
        <w:t xml:space="preserve"> </w:t>
      </w:r>
      <w:r w:rsidR="001D2DB5" w:rsidRPr="00740385">
        <w:t xml:space="preserve">in that </w:t>
      </w:r>
      <w:r w:rsidR="00606663" w:rsidRPr="00740385">
        <w:t>these provisions maintain community safeguards by imposing restrictions on the broadcast of terrorist-related material by providers of subscription television narrowcasting services and open narrowcasting television services</w:t>
      </w:r>
      <w:r w:rsidR="00050B57" w:rsidRPr="00740385">
        <w:t>. </w:t>
      </w:r>
      <w:r w:rsidR="00F8431A" w:rsidRPr="00740385">
        <w:t>T</w:t>
      </w:r>
      <w:r w:rsidR="00050B57" w:rsidRPr="00740385">
        <w:t>he potential harm to audiences or the broader community that could result from the broadcast of this type of material would indicate</w:t>
      </w:r>
      <w:r w:rsidR="009D68AE" w:rsidRPr="00740385">
        <w:t xml:space="preserve"> </w:t>
      </w:r>
      <w:r w:rsidR="004E1DCE" w:rsidRPr="00740385">
        <w:t xml:space="preserve">that </w:t>
      </w:r>
      <w:r w:rsidR="00050B57" w:rsidRPr="00740385">
        <w:t>regulatory</w:t>
      </w:r>
      <w:r w:rsidR="009D68AE" w:rsidRPr="00740385">
        <w:t xml:space="preserve"> </w:t>
      </w:r>
      <w:r w:rsidR="00050B57" w:rsidRPr="00740385">
        <w:t xml:space="preserve">protections on narrowcast </w:t>
      </w:r>
      <w:r w:rsidR="009B2397">
        <w:t xml:space="preserve">television </w:t>
      </w:r>
      <w:r w:rsidR="00050B57" w:rsidRPr="00740385">
        <w:t>services </w:t>
      </w:r>
      <w:r w:rsidR="008D32FF" w:rsidRPr="00740385">
        <w:t xml:space="preserve">are necessary </w:t>
      </w:r>
      <w:r w:rsidR="00D21201" w:rsidRPr="00740385">
        <w:t xml:space="preserve">for the </w:t>
      </w:r>
      <w:r w:rsidR="008D32FF" w:rsidRPr="00740385">
        <w:t>protect</w:t>
      </w:r>
      <w:r w:rsidR="00D21201" w:rsidRPr="00740385">
        <w:t xml:space="preserve">ion of national security and </w:t>
      </w:r>
      <w:r w:rsidR="008D32FF" w:rsidRPr="00740385">
        <w:t>public order</w:t>
      </w:r>
      <w:r w:rsidR="00050B57" w:rsidRPr="00740385">
        <w:t>. </w:t>
      </w:r>
    </w:p>
    <w:p w14:paraId="359F4ADB" w14:textId="490B39DA" w:rsidR="00E4067F" w:rsidRDefault="00E4067F" w:rsidP="005E673D">
      <w:pPr>
        <w:ind w:left="0" w:firstLine="0"/>
      </w:pPr>
    </w:p>
    <w:p w14:paraId="3DF4C7C7" w14:textId="220D2C42" w:rsidR="00E37524" w:rsidRDefault="006A50D1" w:rsidP="005E673D">
      <w:pPr>
        <w:ind w:left="0" w:firstLine="0"/>
      </w:pPr>
      <w:r>
        <w:t xml:space="preserve">Subsection 11(4), along with sections 12 and 13 of the Standard </w:t>
      </w:r>
      <w:r w:rsidR="003C0EDF">
        <w:t>set out</w:t>
      </w:r>
      <w:r>
        <w:t xml:space="preserve"> </w:t>
      </w:r>
      <w:r w:rsidR="002E4991">
        <w:t xml:space="preserve">when </w:t>
      </w:r>
      <w:r w:rsidR="0028450A">
        <w:t xml:space="preserve">the requirements in sections 9, 10 or 11 may not apply to </w:t>
      </w:r>
      <w:r w:rsidR="003B472F">
        <w:t>a</w:t>
      </w:r>
      <w:r w:rsidR="0028450A">
        <w:t xml:space="preserve"> broadcas</w:t>
      </w:r>
      <w:r w:rsidR="00607856">
        <w:t>t</w:t>
      </w:r>
      <w:r w:rsidR="003B472F">
        <w:t>.</w:t>
      </w:r>
      <w:r w:rsidR="00607856">
        <w:t xml:space="preserve"> </w:t>
      </w:r>
      <w:r w:rsidR="00842658">
        <w:t xml:space="preserve">Subsection 11(4) provides </w:t>
      </w:r>
      <w:r w:rsidR="003B472F">
        <w:t>that a program does not advocate the d</w:t>
      </w:r>
      <w:r w:rsidR="007E5E46">
        <w:t xml:space="preserve">oing </w:t>
      </w:r>
      <w:r w:rsidR="00842658">
        <w:t>of a terrorist act</w:t>
      </w:r>
      <w:r w:rsidR="007E5E46">
        <w:t xml:space="preserve"> where it </w:t>
      </w:r>
      <w:r w:rsidR="0041207C">
        <w:t>depicts or describes a terrorist act, but</w:t>
      </w:r>
      <w:r w:rsidR="00842658">
        <w:t xml:space="preserve"> this is considered to be done merely as part of public discussion or debate or as entertainment or satire. Similarly, section 12 and 13 provide clarification that sections 9, 10 and 11 are not intended to affect programs of political opinion or prevent a licensee from broadcasting excerpts that are bona fide reports and comments.  </w:t>
      </w:r>
    </w:p>
    <w:p w14:paraId="68AA7E5B" w14:textId="77777777" w:rsidR="00D20D6E" w:rsidRPr="00740385" w:rsidRDefault="00D20D6E" w:rsidP="00D20D6E">
      <w:pPr>
        <w:pStyle w:val="Heading3"/>
        <w:rPr>
          <w:rFonts w:ascii="Times New Roman" w:hAnsi="Times New Roman" w:cs="Times New Roman"/>
          <w:sz w:val="24"/>
          <w:szCs w:val="24"/>
        </w:rPr>
      </w:pPr>
      <w:r w:rsidRPr="00740385">
        <w:rPr>
          <w:rFonts w:ascii="Times New Roman" w:hAnsi="Times New Roman" w:cs="Times New Roman"/>
          <w:sz w:val="24"/>
          <w:szCs w:val="24"/>
        </w:rPr>
        <w:t>Conclusion</w:t>
      </w:r>
    </w:p>
    <w:p w14:paraId="11021B4A" w14:textId="5FFD7C68" w:rsidR="00571CEE" w:rsidRPr="00740385" w:rsidRDefault="00571CEE" w:rsidP="00571CEE">
      <w:pPr>
        <w:spacing w:before="120" w:after="120"/>
        <w:ind w:left="0" w:firstLine="0"/>
      </w:pPr>
      <w:r w:rsidRPr="00740385">
        <w:t>The Standard is compatible with human rights because</w:t>
      </w:r>
      <w:r w:rsidR="00923622" w:rsidRPr="00740385">
        <w:t>,</w:t>
      </w:r>
      <w:r w:rsidRPr="00740385">
        <w:t xml:space="preserve"> </w:t>
      </w:r>
      <w:r w:rsidRPr="00740385">
        <w:rPr>
          <w:lang w:val="en-GB"/>
        </w:rPr>
        <w:t xml:space="preserve">to the extent that it may limit human rights, those limitations are reasonable, </w:t>
      </w:r>
      <w:proofErr w:type="gramStart"/>
      <w:r w:rsidRPr="00740385">
        <w:rPr>
          <w:lang w:val="en-GB"/>
        </w:rPr>
        <w:t>necessary</w:t>
      </w:r>
      <w:proofErr w:type="gramEnd"/>
      <w:r w:rsidRPr="00740385">
        <w:rPr>
          <w:lang w:val="en-GB"/>
        </w:rPr>
        <w:t xml:space="preserve"> and </w:t>
      </w:r>
      <w:r w:rsidRPr="00740385">
        <w:t>proportionate.</w:t>
      </w:r>
    </w:p>
    <w:p w14:paraId="7A5A1021" w14:textId="4883D481" w:rsidR="003737B6" w:rsidRPr="005E673D" w:rsidRDefault="003737B6" w:rsidP="00E5777F">
      <w:pPr>
        <w:spacing w:after="240"/>
        <w:ind w:left="0" w:firstLine="0"/>
        <w:rPr>
          <w:b/>
          <w:i/>
          <w:sz w:val="28"/>
          <w:szCs w:val="28"/>
        </w:rPr>
      </w:pPr>
    </w:p>
    <w:sectPr w:rsidR="003737B6" w:rsidRPr="005E673D" w:rsidSect="00C24BF4">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430A1" w14:textId="77777777" w:rsidR="002A3C79" w:rsidRDefault="002A3C79" w:rsidP="00BA20DD">
      <w:r>
        <w:separator/>
      </w:r>
    </w:p>
  </w:endnote>
  <w:endnote w:type="continuationSeparator" w:id="0">
    <w:p w14:paraId="6F45B666" w14:textId="77777777" w:rsidR="002A3C79" w:rsidRDefault="002A3C79" w:rsidP="00BA20DD">
      <w:r>
        <w:continuationSeparator/>
      </w:r>
    </w:p>
  </w:endnote>
  <w:endnote w:type="continuationNotice" w:id="1">
    <w:p w14:paraId="43BADE6A" w14:textId="77777777" w:rsidR="002A3C79" w:rsidRDefault="002A3C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767E2" w14:textId="77777777" w:rsidR="00E83A57" w:rsidRDefault="00E83A57" w:rsidP="00E83A57">
    <w:pPr>
      <w:pStyle w:val="ACMAReportDate"/>
      <w:pBdr>
        <w:top w:val="single" w:sz="4" w:space="1" w:color="auto"/>
      </w:pBdr>
      <w:jc w:val="center"/>
      <w:rPr>
        <w:lang w:val="en-US"/>
      </w:rPr>
    </w:pPr>
  </w:p>
  <w:p w14:paraId="0C422D87" w14:textId="3BE88A88" w:rsidR="007D0087" w:rsidRPr="005E673D" w:rsidRDefault="00121038" w:rsidP="005E673D">
    <w:pPr>
      <w:pStyle w:val="ACMAReportDate"/>
      <w:pBdr>
        <w:top w:val="single" w:sz="4" w:space="1" w:color="auto"/>
      </w:pBdr>
      <w:jc w:val="center"/>
      <w:rPr>
        <w:i/>
        <w:iCs/>
        <w:lang w:val="en-US"/>
      </w:rPr>
    </w:pPr>
    <w:r>
      <w:rPr>
        <w:lang w:val="en-US"/>
      </w:rPr>
      <w:t xml:space="preserve">Explanatory Statement to the </w:t>
    </w:r>
    <w:r>
      <w:rPr>
        <w:i/>
        <w:iCs/>
        <w:lang w:val="en-US"/>
      </w:rPr>
      <w:t>Broadcasting Services (Anti-terrorism Requirements for Television Narrowcasting Services) Standard 2021</w:t>
    </w:r>
  </w:p>
  <w:p w14:paraId="61D93E13" w14:textId="77777777" w:rsidR="007D0087" w:rsidRDefault="007D0087" w:rsidP="00BA20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AF82D" w14:textId="77777777" w:rsidR="00280235" w:rsidRDefault="00E529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9940F" w14:textId="77777777" w:rsidR="00601428" w:rsidRDefault="00601428" w:rsidP="00601428">
    <w:pPr>
      <w:pStyle w:val="Footer"/>
      <w:pBdr>
        <w:top w:val="single" w:sz="4" w:space="1" w:color="auto"/>
      </w:pBdr>
      <w:jc w:val="center"/>
      <w:rPr>
        <w:sz w:val="20"/>
        <w:szCs w:val="20"/>
        <w:lang w:val="en-US"/>
      </w:rPr>
    </w:pPr>
  </w:p>
  <w:p w14:paraId="5B32AFCE" w14:textId="4E1D809E" w:rsidR="00601428" w:rsidRPr="00601428" w:rsidRDefault="00601428" w:rsidP="00601428">
    <w:pPr>
      <w:pStyle w:val="Footer"/>
      <w:pBdr>
        <w:top w:val="single" w:sz="4" w:space="1" w:color="auto"/>
      </w:pBdr>
      <w:jc w:val="center"/>
      <w:rPr>
        <w:i/>
        <w:iCs/>
        <w:sz w:val="20"/>
        <w:szCs w:val="20"/>
        <w:lang w:val="en-US"/>
      </w:rPr>
    </w:pPr>
    <w:r w:rsidRPr="00601428">
      <w:rPr>
        <w:sz w:val="20"/>
        <w:szCs w:val="20"/>
        <w:lang w:val="en-US"/>
      </w:rPr>
      <w:t xml:space="preserve">Explanatory Statement to the </w:t>
    </w:r>
    <w:r w:rsidRPr="00601428">
      <w:rPr>
        <w:i/>
        <w:iCs/>
        <w:sz w:val="20"/>
        <w:szCs w:val="20"/>
        <w:lang w:val="en-US"/>
      </w:rPr>
      <w:t>Broadcasting Services (Anti-terrorism Requirements for Television Narrowcasting</w:t>
    </w:r>
    <w:r>
      <w:rPr>
        <w:i/>
        <w:iCs/>
        <w:sz w:val="20"/>
        <w:szCs w:val="20"/>
        <w:lang w:val="en-US"/>
      </w:rPr>
      <w:t> </w:t>
    </w:r>
    <w:r w:rsidRPr="00601428">
      <w:rPr>
        <w:i/>
        <w:iCs/>
        <w:sz w:val="20"/>
        <w:szCs w:val="20"/>
        <w:lang w:val="en-US"/>
      </w:rPr>
      <w:t>Services) Standard 2021</w:t>
    </w:r>
  </w:p>
  <w:p w14:paraId="55E7E177" w14:textId="77777777" w:rsidR="00280235" w:rsidRDefault="00E529E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E4ED3" w14:textId="77777777" w:rsidR="00280235" w:rsidRDefault="00E529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90D04" w14:textId="77777777" w:rsidR="002A3C79" w:rsidRDefault="002A3C79" w:rsidP="00BA20DD">
      <w:r>
        <w:separator/>
      </w:r>
    </w:p>
  </w:footnote>
  <w:footnote w:type="continuationSeparator" w:id="0">
    <w:p w14:paraId="524BBD27" w14:textId="77777777" w:rsidR="002A3C79" w:rsidRDefault="002A3C79" w:rsidP="00BA20DD">
      <w:r>
        <w:continuationSeparator/>
      </w:r>
    </w:p>
  </w:footnote>
  <w:footnote w:type="continuationNotice" w:id="1">
    <w:p w14:paraId="430A847A" w14:textId="77777777" w:rsidR="002A3C79" w:rsidRDefault="002A3C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7DBE9" w14:textId="6942E2F2" w:rsidR="007D0087" w:rsidRDefault="00BE6515" w:rsidP="00BA20DD">
    <w:pPr>
      <w:pStyle w:val="Header"/>
    </w:pPr>
    <w:r>
      <w:rPr>
        <w:noProof/>
      </w:rPr>
      <mc:AlternateContent>
        <mc:Choice Requires="wps">
          <w:drawing>
            <wp:anchor distT="0" distB="0" distL="114300" distR="114300" simplePos="0" relativeHeight="251658243" behindDoc="1" locked="0" layoutInCell="0" allowOverlap="1" wp14:anchorId="4319E8EC" wp14:editId="14039A4B">
              <wp:simplePos x="0" y="0"/>
              <wp:positionH relativeFrom="margin">
                <wp:align>center</wp:align>
              </wp:positionH>
              <wp:positionV relativeFrom="margin">
                <wp:align>center</wp:align>
              </wp:positionV>
              <wp:extent cx="5311140" cy="2124075"/>
              <wp:effectExtent l="0" t="1352550" r="0" b="1228725"/>
              <wp:wrapNone/>
              <wp:docPr id="2"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11140" cy="21240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39C76B7" w14:textId="77777777" w:rsidR="00BE6515" w:rsidRDefault="00BE6515" w:rsidP="00BE6515">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319E8EC" id="_x0000_t202" coordsize="21600,21600" o:spt="202" path="m,l,21600r21600,l21600,xe">
              <v:stroke joinstyle="miter"/>
              <v:path gradientshapeok="t" o:connecttype="rect"/>
            </v:shapetype>
            <v:shape id="WordArt 4" o:spid="_x0000_s1026" type="#_x0000_t202" style="position:absolute;left:0;text-align:left;margin-left:0;margin-top:0;width:418.2pt;height:167.25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" o:allowincell="f" filled="f" stroked="f">
              <v:stroke joinstyle="round"/>
              <o:lock v:ext="edit" shapetype="t"/>
              <v:textbox style="mso-fit-shape-to-text:t">
                <w:txbxContent>
                  <w:p w14:paraId="439C76B7" w14:textId="77777777" w:rsidR="00BE6515" w:rsidRDefault="00BE6515" w:rsidP="00BE6515">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E529EE">
      <w:rPr>
        <w:noProof/>
      </w:rPr>
      <w:pict w14:anchorId="540980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418.2pt;height:167.25pt;rotation:315;z-index:-251658239;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CFCDA" w14:textId="77777777" w:rsidR="00310967" w:rsidRPr="00310967" w:rsidRDefault="00310967" w:rsidP="00310967">
    <w:pPr>
      <w:pStyle w:val="Header"/>
      <w:jc w:val="right"/>
      <w:rPr>
        <w:rFonts w:ascii="Arial" w:hAnsi="Arial" w:cs="Arial"/>
        <w:b/>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DC714" w14:textId="15A9642F" w:rsidR="007D0087" w:rsidRDefault="00BE6515" w:rsidP="00BA20DD">
    <w:pPr>
      <w:pStyle w:val="Header"/>
    </w:pPr>
    <w:r>
      <w:rPr>
        <w:noProof/>
      </w:rPr>
      <mc:AlternateContent>
        <mc:Choice Requires="wps">
          <w:drawing>
            <wp:anchor distT="0" distB="0" distL="114300" distR="114300" simplePos="0" relativeHeight="251658242" behindDoc="1" locked="0" layoutInCell="0" allowOverlap="1" wp14:anchorId="0B9DFA02" wp14:editId="6969A9F1">
              <wp:simplePos x="0" y="0"/>
              <wp:positionH relativeFrom="margin">
                <wp:align>center</wp:align>
              </wp:positionH>
              <wp:positionV relativeFrom="margin">
                <wp:align>center</wp:align>
              </wp:positionV>
              <wp:extent cx="5311140" cy="2124075"/>
              <wp:effectExtent l="0" t="1352550" r="0" b="1228725"/>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11140" cy="21240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732F27B" w14:textId="77777777" w:rsidR="00BE6515" w:rsidRDefault="00BE6515" w:rsidP="00BE6515">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9DFA02" id="_x0000_t202" coordsize="21600,21600" o:spt="202" path="m,l,21600r21600,l21600,xe">
              <v:stroke joinstyle="miter"/>
              <v:path gradientshapeok="t" o:connecttype="rect"/>
            </v:shapetype>
            <v:shape id="WordArt 3" o:spid="_x0000_s1027" type="#_x0000_t202" style="position:absolute;left:0;text-align:left;margin-left:0;margin-top:0;width:418.2pt;height:167.25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" o:allowincell="f" filled="f" stroked="f">
              <v:stroke joinstyle="round"/>
              <o:lock v:ext="edit" shapetype="t"/>
              <v:textbox style="mso-fit-shape-to-text:t">
                <w:txbxContent>
                  <w:p w14:paraId="7732F27B" w14:textId="77777777" w:rsidR="00BE6515" w:rsidRDefault="00BE6515" w:rsidP="00BE6515">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E529EE">
      <w:rPr>
        <w:noProof/>
      </w:rPr>
      <w:pict w14:anchorId="468CDC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418.2pt;height:167.25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F9426" w14:textId="77777777" w:rsidR="00280235" w:rsidRDefault="00E529E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203B7" w14:textId="77777777" w:rsidR="00280235" w:rsidRDefault="00E529E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A6609" w14:textId="77777777" w:rsidR="00280235" w:rsidRDefault="00E529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66F9"/>
    <w:multiLevelType w:val="hybridMultilevel"/>
    <w:tmpl w:val="693CA6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18B57DC"/>
    <w:multiLevelType w:val="hybridMultilevel"/>
    <w:tmpl w:val="DAE8A15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DA1E9C"/>
    <w:multiLevelType w:val="hybridMultilevel"/>
    <w:tmpl w:val="166C762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24296F"/>
    <w:multiLevelType w:val="hybridMultilevel"/>
    <w:tmpl w:val="656C5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4D47CF"/>
    <w:multiLevelType w:val="hybridMultilevel"/>
    <w:tmpl w:val="2888718E"/>
    <w:lvl w:ilvl="0" w:tplc="68CE2092">
      <w:start w:val="2"/>
      <w:numFmt w:val="bullet"/>
      <w:lvlText w:val="-"/>
      <w:lvlJc w:val="left"/>
      <w:pPr>
        <w:tabs>
          <w:tab w:val="num" w:pos="720"/>
        </w:tabs>
        <w:ind w:left="72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1B673D"/>
    <w:multiLevelType w:val="hybridMultilevel"/>
    <w:tmpl w:val="B6E8793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7B7B67"/>
    <w:multiLevelType w:val="hybridMultilevel"/>
    <w:tmpl w:val="E26AB0EE"/>
    <w:lvl w:ilvl="0" w:tplc="D6F296CE">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9D0C9D"/>
    <w:multiLevelType w:val="hybridMultilevel"/>
    <w:tmpl w:val="1B46D67A"/>
    <w:lvl w:ilvl="0" w:tplc="38FECAA2">
      <w:start w:val="1"/>
      <w:numFmt w:val="bullet"/>
      <w:lvlText w:val=""/>
      <w:lvlJc w:val="left"/>
      <w:pPr>
        <w:tabs>
          <w:tab w:val="num" w:pos="901"/>
        </w:tabs>
        <w:ind w:left="901" w:hanging="360"/>
      </w:pPr>
      <w:rPr>
        <w:rFonts w:ascii="Symbol" w:hAnsi="Symbol" w:hint="default"/>
      </w:rPr>
    </w:lvl>
    <w:lvl w:ilvl="1" w:tplc="0C090003" w:tentative="1">
      <w:start w:val="1"/>
      <w:numFmt w:val="bullet"/>
      <w:lvlText w:val="o"/>
      <w:lvlJc w:val="left"/>
      <w:pPr>
        <w:tabs>
          <w:tab w:val="num" w:pos="901"/>
        </w:tabs>
        <w:ind w:left="901" w:hanging="360"/>
      </w:pPr>
      <w:rPr>
        <w:rFonts w:ascii="Courier New" w:hAnsi="Courier New" w:cs="Courier New" w:hint="default"/>
      </w:rPr>
    </w:lvl>
    <w:lvl w:ilvl="2" w:tplc="0C090005" w:tentative="1">
      <w:start w:val="1"/>
      <w:numFmt w:val="bullet"/>
      <w:lvlText w:val=""/>
      <w:lvlJc w:val="left"/>
      <w:pPr>
        <w:tabs>
          <w:tab w:val="num" w:pos="1621"/>
        </w:tabs>
        <w:ind w:left="1621" w:hanging="360"/>
      </w:pPr>
      <w:rPr>
        <w:rFonts w:ascii="Wingdings" w:hAnsi="Wingdings" w:hint="default"/>
      </w:rPr>
    </w:lvl>
    <w:lvl w:ilvl="3" w:tplc="0C090001" w:tentative="1">
      <w:start w:val="1"/>
      <w:numFmt w:val="bullet"/>
      <w:lvlText w:val=""/>
      <w:lvlJc w:val="left"/>
      <w:pPr>
        <w:tabs>
          <w:tab w:val="num" w:pos="2341"/>
        </w:tabs>
        <w:ind w:left="2341" w:hanging="360"/>
      </w:pPr>
      <w:rPr>
        <w:rFonts w:ascii="Symbol" w:hAnsi="Symbol" w:hint="default"/>
      </w:rPr>
    </w:lvl>
    <w:lvl w:ilvl="4" w:tplc="0C090003" w:tentative="1">
      <w:start w:val="1"/>
      <w:numFmt w:val="bullet"/>
      <w:lvlText w:val="o"/>
      <w:lvlJc w:val="left"/>
      <w:pPr>
        <w:tabs>
          <w:tab w:val="num" w:pos="3061"/>
        </w:tabs>
        <w:ind w:left="3061" w:hanging="360"/>
      </w:pPr>
      <w:rPr>
        <w:rFonts w:ascii="Courier New" w:hAnsi="Courier New" w:cs="Courier New" w:hint="default"/>
      </w:rPr>
    </w:lvl>
    <w:lvl w:ilvl="5" w:tplc="0C090005" w:tentative="1">
      <w:start w:val="1"/>
      <w:numFmt w:val="bullet"/>
      <w:lvlText w:val=""/>
      <w:lvlJc w:val="left"/>
      <w:pPr>
        <w:tabs>
          <w:tab w:val="num" w:pos="3781"/>
        </w:tabs>
        <w:ind w:left="3781" w:hanging="360"/>
      </w:pPr>
      <w:rPr>
        <w:rFonts w:ascii="Wingdings" w:hAnsi="Wingdings" w:hint="default"/>
      </w:rPr>
    </w:lvl>
    <w:lvl w:ilvl="6" w:tplc="0C090001" w:tentative="1">
      <w:start w:val="1"/>
      <w:numFmt w:val="bullet"/>
      <w:lvlText w:val=""/>
      <w:lvlJc w:val="left"/>
      <w:pPr>
        <w:tabs>
          <w:tab w:val="num" w:pos="4501"/>
        </w:tabs>
        <w:ind w:left="4501" w:hanging="360"/>
      </w:pPr>
      <w:rPr>
        <w:rFonts w:ascii="Symbol" w:hAnsi="Symbol" w:hint="default"/>
      </w:rPr>
    </w:lvl>
    <w:lvl w:ilvl="7" w:tplc="0C090003" w:tentative="1">
      <w:start w:val="1"/>
      <w:numFmt w:val="bullet"/>
      <w:lvlText w:val="o"/>
      <w:lvlJc w:val="left"/>
      <w:pPr>
        <w:tabs>
          <w:tab w:val="num" w:pos="5221"/>
        </w:tabs>
        <w:ind w:left="5221" w:hanging="360"/>
      </w:pPr>
      <w:rPr>
        <w:rFonts w:ascii="Courier New" w:hAnsi="Courier New" w:cs="Courier New" w:hint="default"/>
      </w:rPr>
    </w:lvl>
    <w:lvl w:ilvl="8" w:tplc="0C090005" w:tentative="1">
      <w:start w:val="1"/>
      <w:numFmt w:val="bullet"/>
      <w:lvlText w:val=""/>
      <w:lvlJc w:val="left"/>
      <w:pPr>
        <w:tabs>
          <w:tab w:val="num" w:pos="5941"/>
        </w:tabs>
        <w:ind w:left="5941" w:hanging="360"/>
      </w:pPr>
      <w:rPr>
        <w:rFonts w:ascii="Wingdings" w:hAnsi="Wingdings" w:hint="default"/>
      </w:rPr>
    </w:lvl>
  </w:abstractNum>
  <w:abstractNum w:abstractNumId="9" w15:restartNumberingAfterBreak="0">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CB8442A"/>
    <w:multiLevelType w:val="hybridMultilevel"/>
    <w:tmpl w:val="876C9BD6"/>
    <w:lvl w:ilvl="0" w:tplc="CB34FF4A">
      <w:start w:val="2"/>
      <w:numFmt w:val="decimal"/>
      <w:lvlText w:val="%1."/>
      <w:lvlJc w:val="left"/>
      <w:pPr>
        <w:ind w:left="1798" w:hanging="360"/>
      </w:pPr>
      <w:rPr>
        <w:rFonts w:hint="default"/>
      </w:rPr>
    </w:lvl>
    <w:lvl w:ilvl="1" w:tplc="0C090019" w:tentative="1">
      <w:start w:val="1"/>
      <w:numFmt w:val="lowerLetter"/>
      <w:lvlText w:val="%2."/>
      <w:lvlJc w:val="left"/>
      <w:pPr>
        <w:ind w:left="1979" w:hanging="360"/>
      </w:pPr>
    </w:lvl>
    <w:lvl w:ilvl="2" w:tplc="0C09001B" w:tentative="1">
      <w:start w:val="1"/>
      <w:numFmt w:val="lowerRoman"/>
      <w:lvlText w:val="%3."/>
      <w:lvlJc w:val="right"/>
      <w:pPr>
        <w:ind w:left="2699" w:hanging="180"/>
      </w:pPr>
    </w:lvl>
    <w:lvl w:ilvl="3" w:tplc="0C09000F" w:tentative="1">
      <w:start w:val="1"/>
      <w:numFmt w:val="decimal"/>
      <w:lvlText w:val="%4."/>
      <w:lvlJc w:val="left"/>
      <w:pPr>
        <w:ind w:left="3419" w:hanging="360"/>
      </w:pPr>
    </w:lvl>
    <w:lvl w:ilvl="4" w:tplc="0C090019" w:tentative="1">
      <w:start w:val="1"/>
      <w:numFmt w:val="lowerLetter"/>
      <w:lvlText w:val="%5."/>
      <w:lvlJc w:val="left"/>
      <w:pPr>
        <w:ind w:left="4139" w:hanging="360"/>
      </w:pPr>
    </w:lvl>
    <w:lvl w:ilvl="5" w:tplc="0C09001B" w:tentative="1">
      <w:start w:val="1"/>
      <w:numFmt w:val="lowerRoman"/>
      <w:lvlText w:val="%6."/>
      <w:lvlJc w:val="right"/>
      <w:pPr>
        <w:ind w:left="4859" w:hanging="180"/>
      </w:pPr>
    </w:lvl>
    <w:lvl w:ilvl="6" w:tplc="0C09000F" w:tentative="1">
      <w:start w:val="1"/>
      <w:numFmt w:val="decimal"/>
      <w:lvlText w:val="%7."/>
      <w:lvlJc w:val="left"/>
      <w:pPr>
        <w:ind w:left="5579" w:hanging="360"/>
      </w:pPr>
    </w:lvl>
    <w:lvl w:ilvl="7" w:tplc="0C090019" w:tentative="1">
      <w:start w:val="1"/>
      <w:numFmt w:val="lowerLetter"/>
      <w:lvlText w:val="%8."/>
      <w:lvlJc w:val="left"/>
      <w:pPr>
        <w:ind w:left="6299" w:hanging="360"/>
      </w:pPr>
    </w:lvl>
    <w:lvl w:ilvl="8" w:tplc="0C09001B" w:tentative="1">
      <w:start w:val="1"/>
      <w:numFmt w:val="lowerRoman"/>
      <w:lvlText w:val="%9."/>
      <w:lvlJc w:val="right"/>
      <w:pPr>
        <w:ind w:left="7019" w:hanging="180"/>
      </w:pPr>
    </w:lvl>
  </w:abstractNum>
  <w:abstractNum w:abstractNumId="11" w15:restartNumberingAfterBreak="0">
    <w:nsid w:val="30CD5817"/>
    <w:multiLevelType w:val="hybridMultilevel"/>
    <w:tmpl w:val="569881B8"/>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3A57AB5"/>
    <w:multiLevelType w:val="hybridMultilevel"/>
    <w:tmpl w:val="7F901900"/>
    <w:lvl w:ilvl="0" w:tplc="3B161044">
      <w:start w:val="1"/>
      <w:numFmt w:val="bullet"/>
      <w:lvlText w:val=""/>
      <w:lvlJc w:val="left"/>
      <w:pPr>
        <w:tabs>
          <w:tab w:val="num" w:pos="902"/>
        </w:tabs>
        <w:ind w:left="902" w:hanging="362"/>
      </w:pPr>
      <w:rPr>
        <w:rFonts w:ascii="Symbol" w:hAnsi="Symbol" w:hint="default"/>
      </w:rPr>
    </w:lvl>
    <w:lvl w:ilvl="1" w:tplc="0C090003" w:tentative="1">
      <w:start w:val="1"/>
      <w:numFmt w:val="bullet"/>
      <w:lvlText w:val="o"/>
      <w:lvlJc w:val="left"/>
      <w:pPr>
        <w:tabs>
          <w:tab w:val="num" w:pos="2161"/>
        </w:tabs>
        <w:ind w:left="2161" w:hanging="360"/>
      </w:pPr>
      <w:rPr>
        <w:rFonts w:ascii="Courier New" w:hAnsi="Courier New" w:cs="Courier New" w:hint="default"/>
      </w:rPr>
    </w:lvl>
    <w:lvl w:ilvl="2" w:tplc="0C090005" w:tentative="1">
      <w:start w:val="1"/>
      <w:numFmt w:val="bullet"/>
      <w:lvlText w:val=""/>
      <w:lvlJc w:val="left"/>
      <w:pPr>
        <w:tabs>
          <w:tab w:val="num" w:pos="2881"/>
        </w:tabs>
        <w:ind w:left="2881" w:hanging="360"/>
      </w:pPr>
      <w:rPr>
        <w:rFonts w:ascii="Wingdings" w:hAnsi="Wingdings" w:hint="default"/>
      </w:rPr>
    </w:lvl>
    <w:lvl w:ilvl="3" w:tplc="0C090001" w:tentative="1">
      <w:start w:val="1"/>
      <w:numFmt w:val="bullet"/>
      <w:lvlText w:val=""/>
      <w:lvlJc w:val="left"/>
      <w:pPr>
        <w:tabs>
          <w:tab w:val="num" w:pos="3601"/>
        </w:tabs>
        <w:ind w:left="3601" w:hanging="360"/>
      </w:pPr>
      <w:rPr>
        <w:rFonts w:ascii="Symbol" w:hAnsi="Symbol" w:hint="default"/>
      </w:rPr>
    </w:lvl>
    <w:lvl w:ilvl="4" w:tplc="0C090003" w:tentative="1">
      <w:start w:val="1"/>
      <w:numFmt w:val="bullet"/>
      <w:lvlText w:val="o"/>
      <w:lvlJc w:val="left"/>
      <w:pPr>
        <w:tabs>
          <w:tab w:val="num" w:pos="4321"/>
        </w:tabs>
        <w:ind w:left="4321" w:hanging="360"/>
      </w:pPr>
      <w:rPr>
        <w:rFonts w:ascii="Courier New" w:hAnsi="Courier New" w:cs="Courier New" w:hint="default"/>
      </w:rPr>
    </w:lvl>
    <w:lvl w:ilvl="5" w:tplc="0C090005" w:tentative="1">
      <w:start w:val="1"/>
      <w:numFmt w:val="bullet"/>
      <w:lvlText w:val=""/>
      <w:lvlJc w:val="left"/>
      <w:pPr>
        <w:tabs>
          <w:tab w:val="num" w:pos="5041"/>
        </w:tabs>
        <w:ind w:left="5041" w:hanging="360"/>
      </w:pPr>
      <w:rPr>
        <w:rFonts w:ascii="Wingdings" w:hAnsi="Wingdings" w:hint="default"/>
      </w:rPr>
    </w:lvl>
    <w:lvl w:ilvl="6" w:tplc="0C090001" w:tentative="1">
      <w:start w:val="1"/>
      <w:numFmt w:val="bullet"/>
      <w:lvlText w:val=""/>
      <w:lvlJc w:val="left"/>
      <w:pPr>
        <w:tabs>
          <w:tab w:val="num" w:pos="5761"/>
        </w:tabs>
        <w:ind w:left="5761" w:hanging="360"/>
      </w:pPr>
      <w:rPr>
        <w:rFonts w:ascii="Symbol" w:hAnsi="Symbol" w:hint="default"/>
      </w:rPr>
    </w:lvl>
    <w:lvl w:ilvl="7" w:tplc="0C090003" w:tentative="1">
      <w:start w:val="1"/>
      <w:numFmt w:val="bullet"/>
      <w:lvlText w:val="o"/>
      <w:lvlJc w:val="left"/>
      <w:pPr>
        <w:tabs>
          <w:tab w:val="num" w:pos="6481"/>
        </w:tabs>
        <w:ind w:left="6481" w:hanging="360"/>
      </w:pPr>
      <w:rPr>
        <w:rFonts w:ascii="Courier New" w:hAnsi="Courier New" w:cs="Courier New" w:hint="default"/>
      </w:rPr>
    </w:lvl>
    <w:lvl w:ilvl="8" w:tplc="0C090005" w:tentative="1">
      <w:start w:val="1"/>
      <w:numFmt w:val="bullet"/>
      <w:lvlText w:val=""/>
      <w:lvlJc w:val="left"/>
      <w:pPr>
        <w:tabs>
          <w:tab w:val="num" w:pos="7201"/>
        </w:tabs>
        <w:ind w:left="7201" w:hanging="360"/>
      </w:pPr>
      <w:rPr>
        <w:rFonts w:ascii="Wingdings" w:hAnsi="Wingdings" w:hint="default"/>
      </w:rPr>
    </w:lvl>
  </w:abstractNum>
  <w:abstractNum w:abstractNumId="13" w15:restartNumberingAfterBreak="0">
    <w:nsid w:val="344A30AB"/>
    <w:multiLevelType w:val="hybridMultilevel"/>
    <w:tmpl w:val="BF06F5E0"/>
    <w:lvl w:ilvl="0" w:tplc="0C09000F">
      <w:start w:val="1"/>
      <w:numFmt w:val="decimal"/>
      <w:lvlText w:val="%1."/>
      <w:lvlJc w:val="left"/>
      <w:pPr>
        <w:ind w:left="1259" w:hanging="360"/>
      </w:pPr>
    </w:lvl>
    <w:lvl w:ilvl="1" w:tplc="0C090019" w:tentative="1">
      <w:start w:val="1"/>
      <w:numFmt w:val="lowerLetter"/>
      <w:lvlText w:val="%2."/>
      <w:lvlJc w:val="left"/>
      <w:pPr>
        <w:ind w:left="1979" w:hanging="360"/>
      </w:pPr>
    </w:lvl>
    <w:lvl w:ilvl="2" w:tplc="0C09001B" w:tentative="1">
      <w:start w:val="1"/>
      <w:numFmt w:val="lowerRoman"/>
      <w:lvlText w:val="%3."/>
      <w:lvlJc w:val="right"/>
      <w:pPr>
        <w:ind w:left="2699" w:hanging="180"/>
      </w:pPr>
    </w:lvl>
    <w:lvl w:ilvl="3" w:tplc="0C09000F" w:tentative="1">
      <w:start w:val="1"/>
      <w:numFmt w:val="decimal"/>
      <w:lvlText w:val="%4."/>
      <w:lvlJc w:val="left"/>
      <w:pPr>
        <w:ind w:left="3419" w:hanging="360"/>
      </w:pPr>
    </w:lvl>
    <w:lvl w:ilvl="4" w:tplc="0C090019" w:tentative="1">
      <w:start w:val="1"/>
      <w:numFmt w:val="lowerLetter"/>
      <w:lvlText w:val="%5."/>
      <w:lvlJc w:val="left"/>
      <w:pPr>
        <w:ind w:left="4139" w:hanging="360"/>
      </w:pPr>
    </w:lvl>
    <w:lvl w:ilvl="5" w:tplc="0C09001B" w:tentative="1">
      <w:start w:val="1"/>
      <w:numFmt w:val="lowerRoman"/>
      <w:lvlText w:val="%6."/>
      <w:lvlJc w:val="right"/>
      <w:pPr>
        <w:ind w:left="4859" w:hanging="180"/>
      </w:pPr>
    </w:lvl>
    <w:lvl w:ilvl="6" w:tplc="0C09000F" w:tentative="1">
      <w:start w:val="1"/>
      <w:numFmt w:val="decimal"/>
      <w:lvlText w:val="%7."/>
      <w:lvlJc w:val="left"/>
      <w:pPr>
        <w:ind w:left="5579" w:hanging="360"/>
      </w:pPr>
    </w:lvl>
    <w:lvl w:ilvl="7" w:tplc="0C090019" w:tentative="1">
      <w:start w:val="1"/>
      <w:numFmt w:val="lowerLetter"/>
      <w:lvlText w:val="%8."/>
      <w:lvlJc w:val="left"/>
      <w:pPr>
        <w:ind w:left="6299" w:hanging="360"/>
      </w:pPr>
    </w:lvl>
    <w:lvl w:ilvl="8" w:tplc="0C09001B" w:tentative="1">
      <w:start w:val="1"/>
      <w:numFmt w:val="lowerRoman"/>
      <w:lvlText w:val="%9."/>
      <w:lvlJc w:val="right"/>
      <w:pPr>
        <w:ind w:left="7019" w:hanging="180"/>
      </w:pPr>
    </w:lvl>
  </w:abstractNum>
  <w:abstractNum w:abstractNumId="14" w15:restartNumberingAfterBreak="0">
    <w:nsid w:val="35204608"/>
    <w:multiLevelType w:val="hybridMultilevel"/>
    <w:tmpl w:val="EC70437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B45E0A"/>
    <w:multiLevelType w:val="hybridMultilevel"/>
    <w:tmpl w:val="6E8C5038"/>
    <w:lvl w:ilvl="0" w:tplc="FD2647AA">
      <w:start w:val="1"/>
      <w:numFmt w:val="bullet"/>
      <w:lvlText w:val=""/>
      <w:lvlJc w:val="left"/>
      <w:pPr>
        <w:tabs>
          <w:tab w:val="num" w:pos="1441"/>
        </w:tabs>
        <w:ind w:left="1441" w:hanging="901"/>
      </w:pPr>
      <w:rPr>
        <w:rFonts w:ascii="Symbol" w:hAnsi="Symbol" w:hint="default"/>
      </w:rPr>
    </w:lvl>
    <w:lvl w:ilvl="1" w:tplc="2A3227F0">
      <w:numFmt w:val="bullet"/>
      <w:lvlText w:val="·"/>
      <w:lvlJc w:val="left"/>
      <w:pPr>
        <w:ind w:left="2311" w:hanging="510"/>
      </w:pPr>
      <w:rPr>
        <w:rFonts w:ascii="Calibri" w:eastAsia="Calibri" w:hAnsi="Calibri" w:cs="Calibri" w:hint="default"/>
      </w:rPr>
    </w:lvl>
    <w:lvl w:ilvl="2" w:tplc="0C090005" w:tentative="1">
      <w:start w:val="1"/>
      <w:numFmt w:val="bullet"/>
      <w:lvlText w:val=""/>
      <w:lvlJc w:val="left"/>
      <w:pPr>
        <w:tabs>
          <w:tab w:val="num" w:pos="2881"/>
        </w:tabs>
        <w:ind w:left="2881" w:hanging="360"/>
      </w:pPr>
      <w:rPr>
        <w:rFonts w:ascii="Wingdings" w:hAnsi="Wingdings" w:hint="default"/>
      </w:rPr>
    </w:lvl>
    <w:lvl w:ilvl="3" w:tplc="0C090001" w:tentative="1">
      <w:start w:val="1"/>
      <w:numFmt w:val="bullet"/>
      <w:lvlText w:val=""/>
      <w:lvlJc w:val="left"/>
      <w:pPr>
        <w:tabs>
          <w:tab w:val="num" w:pos="3601"/>
        </w:tabs>
        <w:ind w:left="3601" w:hanging="360"/>
      </w:pPr>
      <w:rPr>
        <w:rFonts w:ascii="Symbol" w:hAnsi="Symbol" w:hint="default"/>
      </w:rPr>
    </w:lvl>
    <w:lvl w:ilvl="4" w:tplc="0C090003" w:tentative="1">
      <w:start w:val="1"/>
      <w:numFmt w:val="bullet"/>
      <w:lvlText w:val="o"/>
      <w:lvlJc w:val="left"/>
      <w:pPr>
        <w:tabs>
          <w:tab w:val="num" w:pos="4321"/>
        </w:tabs>
        <w:ind w:left="4321" w:hanging="360"/>
      </w:pPr>
      <w:rPr>
        <w:rFonts w:ascii="Courier New" w:hAnsi="Courier New" w:cs="Courier New" w:hint="default"/>
      </w:rPr>
    </w:lvl>
    <w:lvl w:ilvl="5" w:tplc="0C090005" w:tentative="1">
      <w:start w:val="1"/>
      <w:numFmt w:val="bullet"/>
      <w:lvlText w:val=""/>
      <w:lvlJc w:val="left"/>
      <w:pPr>
        <w:tabs>
          <w:tab w:val="num" w:pos="5041"/>
        </w:tabs>
        <w:ind w:left="5041" w:hanging="360"/>
      </w:pPr>
      <w:rPr>
        <w:rFonts w:ascii="Wingdings" w:hAnsi="Wingdings" w:hint="default"/>
      </w:rPr>
    </w:lvl>
    <w:lvl w:ilvl="6" w:tplc="0C090001" w:tentative="1">
      <w:start w:val="1"/>
      <w:numFmt w:val="bullet"/>
      <w:lvlText w:val=""/>
      <w:lvlJc w:val="left"/>
      <w:pPr>
        <w:tabs>
          <w:tab w:val="num" w:pos="5761"/>
        </w:tabs>
        <w:ind w:left="5761" w:hanging="360"/>
      </w:pPr>
      <w:rPr>
        <w:rFonts w:ascii="Symbol" w:hAnsi="Symbol" w:hint="default"/>
      </w:rPr>
    </w:lvl>
    <w:lvl w:ilvl="7" w:tplc="0C090003" w:tentative="1">
      <w:start w:val="1"/>
      <w:numFmt w:val="bullet"/>
      <w:lvlText w:val="o"/>
      <w:lvlJc w:val="left"/>
      <w:pPr>
        <w:tabs>
          <w:tab w:val="num" w:pos="6481"/>
        </w:tabs>
        <w:ind w:left="6481" w:hanging="360"/>
      </w:pPr>
      <w:rPr>
        <w:rFonts w:ascii="Courier New" w:hAnsi="Courier New" w:cs="Courier New" w:hint="default"/>
      </w:rPr>
    </w:lvl>
    <w:lvl w:ilvl="8" w:tplc="0C090005" w:tentative="1">
      <w:start w:val="1"/>
      <w:numFmt w:val="bullet"/>
      <w:lvlText w:val=""/>
      <w:lvlJc w:val="left"/>
      <w:pPr>
        <w:tabs>
          <w:tab w:val="num" w:pos="7201"/>
        </w:tabs>
        <w:ind w:left="7201" w:hanging="360"/>
      </w:pPr>
      <w:rPr>
        <w:rFonts w:ascii="Wingdings" w:hAnsi="Wingdings" w:hint="default"/>
      </w:rPr>
    </w:lvl>
  </w:abstractNum>
  <w:abstractNum w:abstractNumId="16" w15:restartNumberingAfterBreak="0">
    <w:nsid w:val="37020905"/>
    <w:multiLevelType w:val="hybridMultilevel"/>
    <w:tmpl w:val="439C364A"/>
    <w:lvl w:ilvl="0" w:tplc="FA94A91C">
      <w:start w:val="1"/>
      <w:numFmt w:val="decimal"/>
      <w:lvlText w:val="%1."/>
      <w:lvlJc w:val="left"/>
      <w:pPr>
        <w:ind w:left="360" w:hanging="360"/>
      </w:pPr>
      <w:rPr>
        <w:rFonts w:ascii="Arial" w:hAnsi="Arial" w:cs="Arial"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7B1517C"/>
    <w:multiLevelType w:val="hybridMultilevel"/>
    <w:tmpl w:val="7E12EFAA"/>
    <w:lvl w:ilvl="0" w:tplc="0C090001">
      <w:start w:val="1"/>
      <w:numFmt w:val="bullet"/>
      <w:lvlText w:val=""/>
      <w:lvlJc w:val="left"/>
      <w:pPr>
        <w:tabs>
          <w:tab w:val="num" w:pos="901"/>
        </w:tabs>
        <w:ind w:left="901" w:hanging="360"/>
      </w:pPr>
      <w:rPr>
        <w:rFonts w:ascii="Symbol" w:hAnsi="Symbol" w:hint="default"/>
      </w:rPr>
    </w:lvl>
    <w:lvl w:ilvl="1" w:tplc="0C090003" w:tentative="1">
      <w:start w:val="1"/>
      <w:numFmt w:val="bullet"/>
      <w:lvlText w:val="o"/>
      <w:lvlJc w:val="left"/>
      <w:pPr>
        <w:tabs>
          <w:tab w:val="num" w:pos="1621"/>
        </w:tabs>
        <w:ind w:left="1621" w:hanging="360"/>
      </w:pPr>
      <w:rPr>
        <w:rFonts w:ascii="Courier New" w:hAnsi="Courier New" w:cs="Courier New" w:hint="default"/>
      </w:rPr>
    </w:lvl>
    <w:lvl w:ilvl="2" w:tplc="0C090005" w:tentative="1">
      <w:start w:val="1"/>
      <w:numFmt w:val="bullet"/>
      <w:lvlText w:val=""/>
      <w:lvlJc w:val="left"/>
      <w:pPr>
        <w:tabs>
          <w:tab w:val="num" w:pos="2341"/>
        </w:tabs>
        <w:ind w:left="2341" w:hanging="360"/>
      </w:pPr>
      <w:rPr>
        <w:rFonts w:ascii="Wingdings" w:hAnsi="Wingdings" w:hint="default"/>
      </w:rPr>
    </w:lvl>
    <w:lvl w:ilvl="3" w:tplc="0C090001" w:tentative="1">
      <w:start w:val="1"/>
      <w:numFmt w:val="bullet"/>
      <w:lvlText w:val=""/>
      <w:lvlJc w:val="left"/>
      <w:pPr>
        <w:tabs>
          <w:tab w:val="num" w:pos="3061"/>
        </w:tabs>
        <w:ind w:left="3061" w:hanging="360"/>
      </w:pPr>
      <w:rPr>
        <w:rFonts w:ascii="Symbol" w:hAnsi="Symbol" w:hint="default"/>
      </w:rPr>
    </w:lvl>
    <w:lvl w:ilvl="4" w:tplc="0C090003" w:tentative="1">
      <w:start w:val="1"/>
      <w:numFmt w:val="bullet"/>
      <w:lvlText w:val="o"/>
      <w:lvlJc w:val="left"/>
      <w:pPr>
        <w:tabs>
          <w:tab w:val="num" w:pos="3781"/>
        </w:tabs>
        <w:ind w:left="3781" w:hanging="360"/>
      </w:pPr>
      <w:rPr>
        <w:rFonts w:ascii="Courier New" w:hAnsi="Courier New" w:cs="Courier New" w:hint="default"/>
      </w:rPr>
    </w:lvl>
    <w:lvl w:ilvl="5" w:tplc="0C090005" w:tentative="1">
      <w:start w:val="1"/>
      <w:numFmt w:val="bullet"/>
      <w:lvlText w:val=""/>
      <w:lvlJc w:val="left"/>
      <w:pPr>
        <w:tabs>
          <w:tab w:val="num" w:pos="4501"/>
        </w:tabs>
        <w:ind w:left="4501" w:hanging="360"/>
      </w:pPr>
      <w:rPr>
        <w:rFonts w:ascii="Wingdings" w:hAnsi="Wingdings" w:hint="default"/>
      </w:rPr>
    </w:lvl>
    <w:lvl w:ilvl="6" w:tplc="0C090001" w:tentative="1">
      <w:start w:val="1"/>
      <w:numFmt w:val="bullet"/>
      <w:lvlText w:val=""/>
      <w:lvlJc w:val="left"/>
      <w:pPr>
        <w:tabs>
          <w:tab w:val="num" w:pos="5221"/>
        </w:tabs>
        <w:ind w:left="5221" w:hanging="360"/>
      </w:pPr>
      <w:rPr>
        <w:rFonts w:ascii="Symbol" w:hAnsi="Symbol" w:hint="default"/>
      </w:rPr>
    </w:lvl>
    <w:lvl w:ilvl="7" w:tplc="0C090003" w:tentative="1">
      <w:start w:val="1"/>
      <w:numFmt w:val="bullet"/>
      <w:lvlText w:val="o"/>
      <w:lvlJc w:val="left"/>
      <w:pPr>
        <w:tabs>
          <w:tab w:val="num" w:pos="5941"/>
        </w:tabs>
        <w:ind w:left="5941" w:hanging="360"/>
      </w:pPr>
      <w:rPr>
        <w:rFonts w:ascii="Courier New" w:hAnsi="Courier New" w:cs="Courier New" w:hint="default"/>
      </w:rPr>
    </w:lvl>
    <w:lvl w:ilvl="8" w:tplc="0C090005" w:tentative="1">
      <w:start w:val="1"/>
      <w:numFmt w:val="bullet"/>
      <w:lvlText w:val=""/>
      <w:lvlJc w:val="left"/>
      <w:pPr>
        <w:tabs>
          <w:tab w:val="num" w:pos="6661"/>
        </w:tabs>
        <w:ind w:left="6661" w:hanging="360"/>
      </w:pPr>
      <w:rPr>
        <w:rFonts w:ascii="Wingdings" w:hAnsi="Wingdings" w:hint="default"/>
      </w:rPr>
    </w:lvl>
  </w:abstractNum>
  <w:abstractNum w:abstractNumId="18" w15:restartNumberingAfterBreak="0">
    <w:nsid w:val="383E6C60"/>
    <w:multiLevelType w:val="hybridMultilevel"/>
    <w:tmpl w:val="D37852D2"/>
    <w:lvl w:ilvl="0" w:tplc="D6F296CE">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3D4951A1"/>
    <w:multiLevelType w:val="hybridMultilevel"/>
    <w:tmpl w:val="BC686F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0234893"/>
    <w:multiLevelType w:val="hybridMultilevel"/>
    <w:tmpl w:val="DD5C9F4A"/>
    <w:lvl w:ilvl="0" w:tplc="FD2647AA">
      <w:start w:val="1"/>
      <w:numFmt w:val="bullet"/>
      <w:lvlText w:val=""/>
      <w:lvlJc w:val="left"/>
      <w:pPr>
        <w:tabs>
          <w:tab w:val="num" w:pos="901"/>
        </w:tabs>
        <w:ind w:left="901" w:hanging="901"/>
      </w:pPr>
      <w:rPr>
        <w:rFonts w:ascii="Symbol" w:hAnsi="Symbol" w:hint="default"/>
      </w:rPr>
    </w:lvl>
    <w:lvl w:ilvl="1" w:tplc="0C090003" w:tentative="1">
      <w:start w:val="1"/>
      <w:numFmt w:val="bullet"/>
      <w:lvlText w:val="o"/>
      <w:lvlJc w:val="left"/>
      <w:pPr>
        <w:ind w:left="900" w:hanging="360"/>
      </w:pPr>
      <w:rPr>
        <w:rFonts w:ascii="Courier New" w:hAnsi="Courier New" w:cs="Courier New" w:hint="default"/>
      </w:rPr>
    </w:lvl>
    <w:lvl w:ilvl="2" w:tplc="0C090005" w:tentative="1">
      <w:start w:val="1"/>
      <w:numFmt w:val="bullet"/>
      <w:lvlText w:val=""/>
      <w:lvlJc w:val="left"/>
      <w:pPr>
        <w:ind w:left="1620" w:hanging="360"/>
      </w:pPr>
      <w:rPr>
        <w:rFonts w:ascii="Wingdings" w:hAnsi="Wingdings" w:hint="default"/>
      </w:rPr>
    </w:lvl>
    <w:lvl w:ilvl="3" w:tplc="0C090001" w:tentative="1">
      <w:start w:val="1"/>
      <w:numFmt w:val="bullet"/>
      <w:lvlText w:val=""/>
      <w:lvlJc w:val="left"/>
      <w:pPr>
        <w:ind w:left="2340" w:hanging="360"/>
      </w:pPr>
      <w:rPr>
        <w:rFonts w:ascii="Symbol" w:hAnsi="Symbol" w:hint="default"/>
      </w:rPr>
    </w:lvl>
    <w:lvl w:ilvl="4" w:tplc="0C090003" w:tentative="1">
      <w:start w:val="1"/>
      <w:numFmt w:val="bullet"/>
      <w:lvlText w:val="o"/>
      <w:lvlJc w:val="left"/>
      <w:pPr>
        <w:ind w:left="3060" w:hanging="360"/>
      </w:pPr>
      <w:rPr>
        <w:rFonts w:ascii="Courier New" w:hAnsi="Courier New" w:cs="Courier New" w:hint="default"/>
      </w:rPr>
    </w:lvl>
    <w:lvl w:ilvl="5" w:tplc="0C090005" w:tentative="1">
      <w:start w:val="1"/>
      <w:numFmt w:val="bullet"/>
      <w:lvlText w:val=""/>
      <w:lvlJc w:val="left"/>
      <w:pPr>
        <w:ind w:left="3780" w:hanging="360"/>
      </w:pPr>
      <w:rPr>
        <w:rFonts w:ascii="Wingdings" w:hAnsi="Wingdings" w:hint="default"/>
      </w:rPr>
    </w:lvl>
    <w:lvl w:ilvl="6" w:tplc="0C090001" w:tentative="1">
      <w:start w:val="1"/>
      <w:numFmt w:val="bullet"/>
      <w:lvlText w:val=""/>
      <w:lvlJc w:val="left"/>
      <w:pPr>
        <w:ind w:left="4500" w:hanging="360"/>
      </w:pPr>
      <w:rPr>
        <w:rFonts w:ascii="Symbol" w:hAnsi="Symbol" w:hint="default"/>
      </w:rPr>
    </w:lvl>
    <w:lvl w:ilvl="7" w:tplc="0C090003" w:tentative="1">
      <w:start w:val="1"/>
      <w:numFmt w:val="bullet"/>
      <w:lvlText w:val="o"/>
      <w:lvlJc w:val="left"/>
      <w:pPr>
        <w:ind w:left="5220" w:hanging="360"/>
      </w:pPr>
      <w:rPr>
        <w:rFonts w:ascii="Courier New" w:hAnsi="Courier New" w:cs="Courier New" w:hint="default"/>
      </w:rPr>
    </w:lvl>
    <w:lvl w:ilvl="8" w:tplc="0C090005" w:tentative="1">
      <w:start w:val="1"/>
      <w:numFmt w:val="bullet"/>
      <w:lvlText w:val=""/>
      <w:lvlJc w:val="left"/>
      <w:pPr>
        <w:ind w:left="5940" w:hanging="360"/>
      </w:pPr>
      <w:rPr>
        <w:rFonts w:ascii="Wingdings" w:hAnsi="Wingdings" w:hint="default"/>
      </w:rPr>
    </w:lvl>
  </w:abstractNum>
  <w:abstractNum w:abstractNumId="21" w15:restartNumberingAfterBreak="0">
    <w:nsid w:val="41C6078D"/>
    <w:multiLevelType w:val="hybridMultilevel"/>
    <w:tmpl w:val="0A884550"/>
    <w:lvl w:ilvl="0" w:tplc="CB34FF4A">
      <w:start w:val="2"/>
      <w:numFmt w:val="decimal"/>
      <w:lvlText w:val="%1."/>
      <w:lvlJc w:val="left"/>
      <w:pPr>
        <w:ind w:left="1798" w:hanging="360"/>
      </w:pPr>
      <w:rPr>
        <w:rFonts w:hint="default"/>
      </w:rPr>
    </w:lvl>
    <w:lvl w:ilvl="1" w:tplc="5F5EF748">
      <w:start w:val="1"/>
      <w:numFmt w:val="lowerLetter"/>
      <w:lvlText w:val="(%2)"/>
      <w:lvlJc w:val="left"/>
      <w:pPr>
        <w:ind w:left="1815" w:hanging="735"/>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7221ABA"/>
    <w:multiLevelType w:val="hybridMultilevel"/>
    <w:tmpl w:val="EF401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76D7183"/>
    <w:multiLevelType w:val="hybridMultilevel"/>
    <w:tmpl w:val="168C6B3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C330498"/>
    <w:multiLevelType w:val="hybridMultilevel"/>
    <w:tmpl w:val="EE7CAEB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270CD8"/>
    <w:multiLevelType w:val="hybridMultilevel"/>
    <w:tmpl w:val="0F2AFD12"/>
    <w:lvl w:ilvl="0" w:tplc="D376000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FE822F3"/>
    <w:multiLevelType w:val="hybridMultilevel"/>
    <w:tmpl w:val="EFD8E5EE"/>
    <w:lvl w:ilvl="0" w:tplc="D6F296CE">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6C890A47"/>
    <w:multiLevelType w:val="hybridMultilevel"/>
    <w:tmpl w:val="FC0A9FEC"/>
    <w:lvl w:ilvl="0" w:tplc="30D48B06">
      <w:start w:val="1"/>
      <w:numFmt w:val="bullet"/>
      <w:lvlText w:val=""/>
      <w:lvlJc w:val="left"/>
      <w:pPr>
        <w:tabs>
          <w:tab w:val="num" w:pos="901"/>
        </w:tabs>
        <w:ind w:left="901"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391C84"/>
    <w:multiLevelType w:val="hybridMultilevel"/>
    <w:tmpl w:val="78222E28"/>
    <w:lvl w:ilvl="0" w:tplc="468E1D64">
      <w:start w:val="1"/>
      <w:numFmt w:val="bullet"/>
      <w:lvlText w:val=""/>
      <w:lvlJc w:val="left"/>
      <w:pPr>
        <w:tabs>
          <w:tab w:val="num" w:pos="902"/>
        </w:tabs>
        <w:ind w:left="902" w:hanging="362"/>
      </w:pPr>
      <w:rPr>
        <w:rFonts w:ascii="Symbol" w:hAnsi="Symbol" w:hint="default"/>
      </w:rPr>
    </w:lvl>
    <w:lvl w:ilvl="1" w:tplc="0C090003">
      <w:start w:val="1"/>
      <w:numFmt w:val="bullet"/>
      <w:lvlText w:val="o"/>
      <w:lvlJc w:val="left"/>
      <w:pPr>
        <w:tabs>
          <w:tab w:val="num" w:pos="2161"/>
        </w:tabs>
        <w:ind w:left="2161" w:hanging="360"/>
      </w:pPr>
      <w:rPr>
        <w:rFonts w:ascii="Courier New" w:hAnsi="Courier New" w:cs="Courier New" w:hint="default"/>
      </w:rPr>
    </w:lvl>
    <w:lvl w:ilvl="2" w:tplc="0C090005" w:tentative="1">
      <w:start w:val="1"/>
      <w:numFmt w:val="bullet"/>
      <w:lvlText w:val=""/>
      <w:lvlJc w:val="left"/>
      <w:pPr>
        <w:tabs>
          <w:tab w:val="num" w:pos="2881"/>
        </w:tabs>
        <w:ind w:left="2881" w:hanging="360"/>
      </w:pPr>
      <w:rPr>
        <w:rFonts w:ascii="Wingdings" w:hAnsi="Wingdings" w:hint="default"/>
      </w:rPr>
    </w:lvl>
    <w:lvl w:ilvl="3" w:tplc="0C090001" w:tentative="1">
      <w:start w:val="1"/>
      <w:numFmt w:val="bullet"/>
      <w:lvlText w:val=""/>
      <w:lvlJc w:val="left"/>
      <w:pPr>
        <w:tabs>
          <w:tab w:val="num" w:pos="3601"/>
        </w:tabs>
        <w:ind w:left="3601" w:hanging="360"/>
      </w:pPr>
      <w:rPr>
        <w:rFonts w:ascii="Symbol" w:hAnsi="Symbol" w:hint="default"/>
      </w:rPr>
    </w:lvl>
    <w:lvl w:ilvl="4" w:tplc="0C090003" w:tentative="1">
      <w:start w:val="1"/>
      <w:numFmt w:val="bullet"/>
      <w:lvlText w:val="o"/>
      <w:lvlJc w:val="left"/>
      <w:pPr>
        <w:tabs>
          <w:tab w:val="num" w:pos="4321"/>
        </w:tabs>
        <w:ind w:left="4321" w:hanging="360"/>
      </w:pPr>
      <w:rPr>
        <w:rFonts w:ascii="Courier New" w:hAnsi="Courier New" w:cs="Courier New" w:hint="default"/>
      </w:rPr>
    </w:lvl>
    <w:lvl w:ilvl="5" w:tplc="0C090005" w:tentative="1">
      <w:start w:val="1"/>
      <w:numFmt w:val="bullet"/>
      <w:lvlText w:val=""/>
      <w:lvlJc w:val="left"/>
      <w:pPr>
        <w:tabs>
          <w:tab w:val="num" w:pos="5041"/>
        </w:tabs>
        <w:ind w:left="5041" w:hanging="360"/>
      </w:pPr>
      <w:rPr>
        <w:rFonts w:ascii="Wingdings" w:hAnsi="Wingdings" w:hint="default"/>
      </w:rPr>
    </w:lvl>
    <w:lvl w:ilvl="6" w:tplc="0C090001" w:tentative="1">
      <w:start w:val="1"/>
      <w:numFmt w:val="bullet"/>
      <w:lvlText w:val=""/>
      <w:lvlJc w:val="left"/>
      <w:pPr>
        <w:tabs>
          <w:tab w:val="num" w:pos="5761"/>
        </w:tabs>
        <w:ind w:left="5761" w:hanging="360"/>
      </w:pPr>
      <w:rPr>
        <w:rFonts w:ascii="Symbol" w:hAnsi="Symbol" w:hint="default"/>
      </w:rPr>
    </w:lvl>
    <w:lvl w:ilvl="7" w:tplc="0C090003" w:tentative="1">
      <w:start w:val="1"/>
      <w:numFmt w:val="bullet"/>
      <w:lvlText w:val="o"/>
      <w:lvlJc w:val="left"/>
      <w:pPr>
        <w:tabs>
          <w:tab w:val="num" w:pos="6481"/>
        </w:tabs>
        <w:ind w:left="6481" w:hanging="360"/>
      </w:pPr>
      <w:rPr>
        <w:rFonts w:ascii="Courier New" w:hAnsi="Courier New" w:cs="Courier New" w:hint="default"/>
      </w:rPr>
    </w:lvl>
    <w:lvl w:ilvl="8" w:tplc="0C090005" w:tentative="1">
      <w:start w:val="1"/>
      <w:numFmt w:val="bullet"/>
      <w:lvlText w:val=""/>
      <w:lvlJc w:val="left"/>
      <w:pPr>
        <w:tabs>
          <w:tab w:val="num" w:pos="7201"/>
        </w:tabs>
        <w:ind w:left="7201" w:hanging="360"/>
      </w:pPr>
      <w:rPr>
        <w:rFonts w:ascii="Wingdings" w:hAnsi="Wingdings" w:hint="default"/>
      </w:rPr>
    </w:lvl>
  </w:abstractNum>
  <w:abstractNum w:abstractNumId="29" w15:restartNumberingAfterBreak="0">
    <w:nsid w:val="7C2E523E"/>
    <w:multiLevelType w:val="hybridMultilevel"/>
    <w:tmpl w:val="36D85372"/>
    <w:lvl w:ilvl="0" w:tplc="0C090001">
      <w:start w:val="1"/>
      <w:numFmt w:val="bullet"/>
      <w:lvlText w:val=""/>
      <w:lvlJc w:val="left"/>
      <w:pPr>
        <w:tabs>
          <w:tab w:val="num" w:pos="360"/>
        </w:tabs>
        <w:ind w:left="360" w:hanging="360"/>
      </w:pPr>
      <w:rPr>
        <w:rFonts w:ascii="Symbol" w:hAnsi="Symbol" w:hint="default"/>
      </w:rPr>
    </w:lvl>
    <w:lvl w:ilvl="1" w:tplc="68CE2092">
      <w:start w:val="2"/>
      <w:numFmt w:val="bullet"/>
      <w:lvlText w:val="-"/>
      <w:lvlJc w:val="left"/>
      <w:pPr>
        <w:tabs>
          <w:tab w:val="num" w:pos="1080"/>
        </w:tabs>
        <w:ind w:left="1080" w:hanging="360"/>
      </w:pPr>
      <w:rPr>
        <w:rFonts w:ascii="Times New Roman" w:eastAsia="Times New Roman" w:hAnsi="Times New Roman" w:cs="Times New Roman"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D8B1A03"/>
    <w:multiLevelType w:val="hybridMultilevel"/>
    <w:tmpl w:val="333E2ED8"/>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F6D447E"/>
    <w:multiLevelType w:val="hybridMultilevel"/>
    <w:tmpl w:val="C4B27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23"/>
  </w:num>
  <w:num w:numId="4">
    <w:abstractNumId w:val="29"/>
  </w:num>
  <w:num w:numId="5">
    <w:abstractNumId w:val="4"/>
  </w:num>
  <w:num w:numId="6">
    <w:abstractNumId w:val="1"/>
  </w:num>
  <w:num w:numId="7">
    <w:abstractNumId w:val="2"/>
  </w:num>
  <w:num w:numId="8">
    <w:abstractNumId w:val="11"/>
  </w:num>
  <w:num w:numId="9">
    <w:abstractNumId w:val="15"/>
  </w:num>
  <w:num w:numId="10">
    <w:abstractNumId w:val="30"/>
  </w:num>
  <w:num w:numId="11">
    <w:abstractNumId w:val="24"/>
  </w:num>
  <w:num w:numId="12">
    <w:abstractNumId w:val="9"/>
  </w:num>
  <w:num w:numId="13">
    <w:abstractNumId w:val="13"/>
  </w:num>
  <w:num w:numId="14">
    <w:abstractNumId w:val="10"/>
  </w:num>
  <w:num w:numId="15">
    <w:abstractNumId w:val="6"/>
  </w:num>
  <w:num w:numId="16">
    <w:abstractNumId w:val="18"/>
  </w:num>
  <w:num w:numId="17">
    <w:abstractNumId w:val="26"/>
  </w:num>
  <w:num w:numId="18">
    <w:abstractNumId w:val="21"/>
  </w:num>
  <w:num w:numId="19">
    <w:abstractNumId w:val="17"/>
  </w:num>
  <w:num w:numId="20">
    <w:abstractNumId w:val="31"/>
  </w:num>
  <w:num w:numId="21">
    <w:abstractNumId w:val="8"/>
  </w:num>
  <w:num w:numId="22">
    <w:abstractNumId w:val="12"/>
  </w:num>
  <w:num w:numId="23">
    <w:abstractNumId w:val="27"/>
  </w:num>
  <w:num w:numId="24">
    <w:abstractNumId w:val="28"/>
  </w:num>
  <w:num w:numId="25">
    <w:abstractNumId w:val="25"/>
  </w:num>
  <w:num w:numId="26">
    <w:abstractNumId w:val="7"/>
  </w:num>
  <w:num w:numId="27">
    <w:abstractNumId w:val="22"/>
  </w:num>
  <w:num w:numId="28">
    <w:abstractNumId w:val="0"/>
  </w:num>
  <w:num w:numId="29">
    <w:abstractNumId w:val="19"/>
  </w:num>
  <w:num w:numId="30">
    <w:abstractNumId w:val="20"/>
  </w:num>
  <w:num w:numId="31">
    <w:abstractNumId w:val="16"/>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1B4"/>
    <w:rsid w:val="00003814"/>
    <w:rsid w:val="00003C8A"/>
    <w:rsid w:val="00007156"/>
    <w:rsid w:val="0001497B"/>
    <w:rsid w:val="00020F3A"/>
    <w:rsid w:val="00023F9C"/>
    <w:rsid w:val="00025257"/>
    <w:rsid w:val="00031F26"/>
    <w:rsid w:val="000361E1"/>
    <w:rsid w:val="000369E1"/>
    <w:rsid w:val="00037B97"/>
    <w:rsid w:val="000461EE"/>
    <w:rsid w:val="00050B57"/>
    <w:rsid w:val="000566FD"/>
    <w:rsid w:val="00057C39"/>
    <w:rsid w:val="00057CF5"/>
    <w:rsid w:val="00060952"/>
    <w:rsid w:val="000627AF"/>
    <w:rsid w:val="000637AF"/>
    <w:rsid w:val="0007301B"/>
    <w:rsid w:val="00073D02"/>
    <w:rsid w:val="0008547D"/>
    <w:rsid w:val="000A0133"/>
    <w:rsid w:val="000A150F"/>
    <w:rsid w:val="000A1984"/>
    <w:rsid w:val="000B1DAC"/>
    <w:rsid w:val="000B1FD4"/>
    <w:rsid w:val="000B6252"/>
    <w:rsid w:val="000B7CF2"/>
    <w:rsid w:val="000B7EFF"/>
    <w:rsid w:val="000C19DB"/>
    <w:rsid w:val="000C28A3"/>
    <w:rsid w:val="000C6559"/>
    <w:rsid w:val="000C77AC"/>
    <w:rsid w:val="000D34FF"/>
    <w:rsid w:val="000D778E"/>
    <w:rsid w:val="000E646D"/>
    <w:rsid w:val="000F016C"/>
    <w:rsid w:val="000F2589"/>
    <w:rsid w:val="000F2ABC"/>
    <w:rsid w:val="000F4CD6"/>
    <w:rsid w:val="000F6A86"/>
    <w:rsid w:val="00102422"/>
    <w:rsid w:val="001053CE"/>
    <w:rsid w:val="00112CB5"/>
    <w:rsid w:val="00121038"/>
    <w:rsid w:val="00125316"/>
    <w:rsid w:val="0013122F"/>
    <w:rsid w:val="00142592"/>
    <w:rsid w:val="00145FF4"/>
    <w:rsid w:val="0015444D"/>
    <w:rsid w:val="00154FEE"/>
    <w:rsid w:val="001570DB"/>
    <w:rsid w:val="00165591"/>
    <w:rsid w:val="0016611B"/>
    <w:rsid w:val="00166C08"/>
    <w:rsid w:val="001736F9"/>
    <w:rsid w:val="00174F74"/>
    <w:rsid w:val="00175F4F"/>
    <w:rsid w:val="00186806"/>
    <w:rsid w:val="001A13F1"/>
    <w:rsid w:val="001B09B1"/>
    <w:rsid w:val="001B6B51"/>
    <w:rsid w:val="001B78AE"/>
    <w:rsid w:val="001D2DB5"/>
    <w:rsid w:val="001D69F4"/>
    <w:rsid w:val="001E1D30"/>
    <w:rsid w:val="001F0119"/>
    <w:rsid w:val="001F0B03"/>
    <w:rsid w:val="001F241F"/>
    <w:rsid w:val="001F4745"/>
    <w:rsid w:val="0020264A"/>
    <w:rsid w:val="00205761"/>
    <w:rsid w:val="002165D3"/>
    <w:rsid w:val="00223CF4"/>
    <w:rsid w:val="0023243A"/>
    <w:rsid w:val="002324AC"/>
    <w:rsid w:val="00233916"/>
    <w:rsid w:val="00233A9C"/>
    <w:rsid w:val="002430D2"/>
    <w:rsid w:val="002439A1"/>
    <w:rsid w:val="00244EBB"/>
    <w:rsid w:val="00255EEA"/>
    <w:rsid w:val="00265A93"/>
    <w:rsid w:val="00267D0A"/>
    <w:rsid w:val="00271EF2"/>
    <w:rsid w:val="00282CE6"/>
    <w:rsid w:val="002842AF"/>
    <w:rsid w:val="0028450A"/>
    <w:rsid w:val="00287F94"/>
    <w:rsid w:val="002900F9"/>
    <w:rsid w:val="002947DE"/>
    <w:rsid w:val="002966D1"/>
    <w:rsid w:val="002A2713"/>
    <w:rsid w:val="002A3C79"/>
    <w:rsid w:val="002A7AE4"/>
    <w:rsid w:val="002A7BB5"/>
    <w:rsid w:val="002B271C"/>
    <w:rsid w:val="002B53A0"/>
    <w:rsid w:val="002B6272"/>
    <w:rsid w:val="002C5559"/>
    <w:rsid w:val="002C74F5"/>
    <w:rsid w:val="002D0E32"/>
    <w:rsid w:val="002D306A"/>
    <w:rsid w:val="002E4991"/>
    <w:rsid w:val="002E4F5F"/>
    <w:rsid w:val="002E51BF"/>
    <w:rsid w:val="002F1A5B"/>
    <w:rsid w:val="002F5C5C"/>
    <w:rsid w:val="002F5F8E"/>
    <w:rsid w:val="002F6A4D"/>
    <w:rsid w:val="00310967"/>
    <w:rsid w:val="00310C25"/>
    <w:rsid w:val="00313213"/>
    <w:rsid w:val="00320FB6"/>
    <w:rsid w:val="00322B40"/>
    <w:rsid w:val="00322CA3"/>
    <w:rsid w:val="00323EB0"/>
    <w:rsid w:val="00327F60"/>
    <w:rsid w:val="00336FB7"/>
    <w:rsid w:val="003419BA"/>
    <w:rsid w:val="003420C5"/>
    <w:rsid w:val="00343C0F"/>
    <w:rsid w:val="003539B6"/>
    <w:rsid w:val="0035405A"/>
    <w:rsid w:val="003541A8"/>
    <w:rsid w:val="00357D2F"/>
    <w:rsid w:val="003639A9"/>
    <w:rsid w:val="003646C8"/>
    <w:rsid w:val="00365954"/>
    <w:rsid w:val="0036735C"/>
    <w:rsid w:val="00367A51"/>
    <w:rsid w:val="00371992"/>
    <w:rsid w:val="003737B6"/>
    <w:rsid w:val="0037595D"/>
    <w:rsid w:val="003778E4"/>
    <w:rsid w:val="00377DB5"/>
    <w:rsid w:val="00380143"/>
    <w:rsid w:val="003804F6"/>
    <w:rsid w:val="003928C9"/>
    <w:rsid w:val="00396022"/>
    <w:rsid w:val="003A3F64"/>
    <w:rsid w:val="003A40C5"/>
    <w:rsid w:val="003B35CA"/>
    <w:rsid w:val="003B472F"/>
    <w:rsid w:val="003B6B90"/>
    <w:rsid w:val="003C0EDF"/>
    <w:rsid w:val="003C1D1D"/>
    <w:rsid w:val="003C2520"/>
    <w:rsid w:val="003C7A0A"/>
    <w:rsid w:val="003D60A7"/>
    <w:rsid w:val="003E5F65"/>
    <w:rsid w:val="003F347B"/>
    <w:rsid w:val="003F795B"/>
    <w:rsid w:val="00407DA2"/>
    <w:rsid w:val="00411B73"/>
    <w:rsid w:val="00411DE1"/>
    <w:rsid w:val="0041207C"/>
    <w:rsid w:val="004140BD"/>
    <w:rsid w:val="00415275"/>
    <w:rsid w:val="00417E46"/>
    <w:rsid w:val="00425C1E"/>
    <w:rsid w:val="0042648D"/>
    <w:rsid w:val="004329F2"/>
    <w:rsid w:val="004335A6"/>
    <w:rsid w:val="004376BA"/>
    <w:rsid w:val="00437D5D"/>
    <w:rsid w:val="00440CC2"/>
    <w:rsid w:val="0044154C"/>
    <w:rsid w:val="00442A11"/>
    <w:rsid w:val="004559E8"/>
    <w:rsid w:val="004619B7"/>
    <w:rsid w:val="00465760"/>
    <w:rsid w:val="0047300D"/>
    <w:rsid w:val="004751F9"/>
    <w:rsid w:val="00482A7F"/>
    <w:rsid w:val="00486AA7"/>
    <w:rsid w:val="00490ADA"/>
    <w:rsid w:val="004918C8"/>
    <w:rsid w:val="0049652D"/>
    <w:rsid w:val="004A7A40"/>
    <w:rsid w:val="004B350F"/>
    <w:rsid w:val="004B3937"/>
    <w:rsid w:val="004B3D22"/>
    <w:rsid w:val="004C302D"/>
    <w:rsid w:val="004C4138"/>
    <w:rsid w:val="004D415F"/>
    <w:rsid w:val="004E1DCE"/>
    <w:rsid w:val="004E66BA"/>
    <w:rsid w:val="004F1022"/>
    <w:rsid w:val="004F1276"/>
    <w:rsid w:val="004F4678"/>
    <w:rsid w:val="004F4DC5"/>
    <w:rsid w:val="00502F3C"/>
    <w:rsid w:val="005035D0"/>
    <w:rsid w:val="0050666C"/>
    <w:rsid w:val="005069DC"/>
    <w:rsid w:val="00510B32"/>
    <w:rsid w:val="005112F1"/>
    <w:rsid w:val="00511D0F"/>
    <w:rsid w:val="00517782"/>
    <w:rsid w:val="00517E97"/>
    <w:rsid w:val="00521746"/>
    <w:rsid w:val="0052240A"/>
    <w:rsid w:val="0052522B"/>
    <w:rsid w:val="0052661B"/>
    <w:rsid w:val="00526C84"/>
    <w:rsid w:val="00537DE9"/>
    <w:rsid w:val="0054338D"/>
    <w:rsid w:val="00544FB3"/>
    <w:rsid w:val="00546BAD"/>
    <w:rsid w:val="00551BB8"/>
    <w:rsid w:val="00553620"/>
    <w:rsid w:val="005538E4"/>
    <w:rsid w:val="005567D1"/>
    <w:rsid w:val="00561406"/>
    <w:rsid w:val="00563AD9"/>
    <w:rsid w:val="00565569"/>
    <w:rsid w:val="005662CA"/>
    <w:rsid w:val="005709DF"/>
    <w:rsid w:val="00571CEE"/>
    <w:rsid w:val="00573341"/>
    <w:rsid w:val="005804AF"/>
    <w:rsid w:val="00584635"/>
    <w:rsid w:val="00587770"/>
    <w:rsid w:val="00591815"/>
    <w:rsid w:val="005A5A0B"/>
    <w:rsid w:val="005A66C4"/>
    <w:rsid w:val="005A6C0E"/>
    <w:rsid w:val="005B05AF"/>
    <w:rsid w:val="005B2340"/>
    <w:rsid w:val="005B4198"/>
    <w:rsid w:val="005B62D0"/>
    <w:rsid w:val="005C5605"/>
    <w:rsid w:val="005C6413"/>
    <w:rsid w:val="005C77EC"/>
    <w:rsid w:val="005D0168"/>
    <w:rsid w:val="005D3025"/>
    <w:rsid w:val="005D4417"/>
    <w:rsid w:val="005D648C"/>
    <w:rsid w:val="005D6BAE"/>
    <w:rsid w:val="005E14E3"/>
    <w:rsid w:val="005E1D4F"/>
    <w:rsid w:val="005E673D"/>
    <w:rsid w:val="005F42C9"/>
    <w:rsid w:val="00601428"/>
    <w:rsid w:val="00605ED4"/>
    <w:rsid w:val="00606663"/>
    <w:rsid w:val="00607856"/>
    <w:rsid w:val="00613B4A"/>
    <w:rsid w:val="00615B0E"/>
    <w:rsid w:val="00622B3F"/>
    <w:rsid w:val="00622F9E"/>
    <w:rsid w:val="006248A2"/>
    <w:rsid w:val="00627A3F"/>
    <w:rsid w:val="00630476"/>
    <w:rsid w:val="00631C25"/>
    <w:rsid w:val="00650E48"/>
    <w:rsid w:val="006549AC"/>
    <w:rsid w:val="0066085E"/>
    <w:rsid w:val="00663A57"/>
    <w:rsid w:val="00665EE1"/>
    <w:rsid w:val="006724CA"/>
    <w:rsid w:val="006768BD"/>
    <w:rsid w:val="006776AB"/>
    <w:rsid w:val="006828BA"/>
    <w:rsid w:val="00683F43"/>
    <w:rsid w:val="00685AD8"/>
    <w:rsid w:val="006865CE"/>
    <w:rsid w:val="006A50D1"/>
    <w:rsid w:val="006A5882"/>
    <w:rsid w:val="006A58F2"/>
    <w:rsid w:val="006B1800"/>
    <w:rsid w:val="006B4C82"/>
    <w:rsid w:val="006B6850"/>
    <w:rsid w:val="006C6207"/>
    <w:rsid w:val="006C6490"/>
    <w:rsid w:val="006C6B3A"/>
    <w:rsid w:val="006D3DB8"/>
    <w:rsid w:val="006E184F"/>
    <w:rsid w:val="006E39A3"/>
    <w:rsid w:val="006E5419"/>
    <w:rsid w:val="006E6E03"/>
    <w:rsid w:val="006F4831"/>
    <w:rsid w:val="006F50F7"/>
    <w:rsid w:val="006F5761"/>
    <w:rsid w:val="006F627A"/>
    <w:rsid w:val="00700A37"/>
    <w:rsid w:val="00703D0B"/>
    <w:rsid w:val="0070583B"/>
    <w:rsid w:val="00707F18"/>
    <w:rsid w:val="00710BB9"/>
    <w:rsid w:val="00712A02"/>
    <w:rsid w:val="00713AB9"/>
    <w:rsid w:val="007220B5"/>
    <w:rsid w:val="00725442"/>
    <w:rsid w:val="007329BF"/>
    <w:rsid w:val="00735ECD"/>
    <w:rsid w:val="00736188"/>
    <w:rsid w:val="00736561"/>
    <w:rsid w:val="00740385"/>
    <w:rsid w:val="00751610"/>
    <w:rsid w:val="00753F3A"/>
    <w:rsid w:val="00754208"/>
    <w:rsid w:val="007602DC"/>
    <w:rsid w:val="00764947"/>
    <w:rsid w:val="00767217"/>
    <w:rsid w:val="0077382A"/>
    <w:rsid w:val="00777150"/>
    <w:rsid w:val="00782995"/>
    <w:rsid w:val="00787EEF"/>
    <w:rsid w:val="007A02CB"/>
    <w:rsid w:val="007A3CFC"/>
    <w:rsid w:val="007A77FD"/>
    <w:rsid w:val="007B0062"/>
    <w:rsid w:val="007B076B"/>
    <w:rsid w:val="007B3293"/>
    <w:rsid w:val="007C33D6"/>
    <w:rsid w:val="007C656E"/>
    <w:rsid w:val="007D0087"/>
    <w:rsid w:val="007D0909"/>
    <w:rsid w:val="007D732E"/>
    <w:rsid w:val="007E540D"/>
    <w:rsid w:val="007E5AA8"/>
    <w:rsid w:val="007E5E46"/>
    <w:rsid w:val="007E6AEE"/>
    <w:rsid w:val="007F0172"/>
    <w:rsid w:val="007F183B"/>
    <w:rsid w:val="007F358B"/>
    <w:rsid w:val="007F4A91"/>
    <w:rsid w:val="007F70EC"/>
    <w:rsid w:val="00801D52"/>
    <w:rsid w:val="0080701D"/>
    <w:rsid w:val="00807FF2"/>
    <w:rsid w:val="00810D7D"/>
    <w:rsid w:val="00813F63"/>
    <w:rsid w:val="00814081"/>
    <w:rsid w:val="0081440D"/>
    <w:rsid w:val="008235D4"/>
    <w:rsid w:val="00823AF7"/>
    <w:rsid w:val="008245DC"/>
    <w:rsid w:val="0082554D"/>
    <w:rsid w:val="008306BB"/>
    <w:rsid w:val="0083306E"/>
    <w:rsid w:val="00842658"/>
    <w:rsid w:val="00850340"/>
    <w:rsid w:val="008601E9"/>
    <w:rsid w:val="00864B21"/>
    <w:rsid w:val="00865296"/>
    <w:rsid w:val="0086734E"/>
    <w:rsid w:val="00874331"/>
    <w:rsid w:val="0087524F"/>
    <w:rsid w:val="00875685"/>
    <w:rsid w:val="0087674C"/>
    <w:rsid w:val="00877381"/>
    <w:rsid w:val="00877E13"/>
    <w:rsid w:val="008851CB"/>
    <w:rsid w:val="00886CCD"/>
    <w:rsid w:val="0089125C"/>
    <w:rsid w:val="00892499"/>
    <w:rsid w:val="008A21F5"/>
    <w:rsid w:val="008A4EFE"/>
    <w:rsid w:val="008A5672"/>
    <w:rsid w:val="008B032E"/>
    <w:rsid w:val="008B0CD2"/>
    <w:rsid w:val="008B568F"/>
    <w:rsid w:val="008B73F3"/>
    <w:rsid w:val="008C023C"/>
    <w:rsid w:val="008C2DBA"/>
    <w:rsid w:val="008C4074"/>
    <w:rsid w:val="008C6333"/>
    <w:rsid w:val="008D2CD6"/>
    <w:rsid w:val="008D32FF"/>
    <w:rsid w:val="008D402A"/>
    <w:rsid w:val="008E7B8B"/>
    <w:rsid w:val="008F0F13"/>
    <w:rsid w:val="008F21EF"/>
    <w:rsid w:val="008F509E"/>
    <w:rsid w:val="00900E5C"/>
    <w:rsid w:val="00901349"/>
    <w:rsid w:val="00910F0A"/>
    <w:rsid w:val="009148AD"/>
    <w:rsid w:val="009174CE"/>
    <w:rsid w:val="00922070"/>
    <w:rsid w:val="0092355D"/>
    <w:rsid w:val="00923622"/>
    <w:rsid w:val="00926746"/>
    <w:rsid w:val="00932C0D"/>
    <w:rsid w:val="0094238B"/>
    <w:rsid w:val="00943EBA"/>
    <w:rsid w:val="00943F70"/>
    <w:rsid w:val="0094667F"/>
    <w:rsid w:val="0096358C"/>
    <w:rsid w:val="00964976"/>
    <w:rsid w:val="00967D91"/>
    <w:rsid w:val="009717C9"/>
    <w:rsid w:val="00994159"/>
    <w:rsid w:val="0099530B"/>
    <w:rsid w:val="009A02A4"/>
    <w:rsid w:val="009A5712"/>
    <w:rsid w:val="009A59D7"/>
    <w:rsid w:val="009B2397"/>
    <w:rsid w:val="009B507E"/>
    <w:rsid w:val="009D1389"/>
    <w:rsid w:val="009D68AE"/>
    <w:rsid w:val="009E03BD"/>
    <w:rsid w:val="009E113B"/>
    <w:rsid w:val="009E25E4"/>
    <w:rsid w:val="009F0FD2"/>
    <w:rsid w:val="009F1D20"/>
    <w:rsid w:val="009F7512"/>
    <w:rsid w:val="009F75C0"/>
    <w:rsid w:val="00A079DF"/>
    <w:rsid w:val="00A144D1"/>
    <w:rsid w:val="00A14B00"/>
    <w:rsid w:val="00A164D4"/>
    <w:rsid w:val="00A32A7A"/>
    <w:rsid w:val="00A34DEF"/>
    <w:rsid w:val="00A41460"/>
    <w:rsid w:val="00A56C83"/>
    <w:rsid w:val="00A6135E"/>
    <w:rsid w:val="00A70641"/>
    <w:rsid w:val="00A71221"/>
    <w:rsid w:val="00A726BC"/>
    <w:rsid w:val="00A74357"/>
    <w:rsid w:val="00A85CC0"/>
    <w:rsid w:val="00A869E8"/>
    <w:rsid w:val="00A90730"/>
    <w:rsid w:val="00A948F8"/>
    <w:rsid w:val="00AA01B4"/>
    <w:rsid w:val="00AA3AE8"/>
    <w:rsid w:val="00AB2743"/>
    <w:rsid w:val="00AB334C"/>
    <w:rsid w:val="00AC7BCA"/>
    <w:rsid w:val="00AD5E8D"/>
    <w:rsid w:val="00AE0ACA"/>
    <w:rsid w:val="00B02FDF"/>
    <w:rsid w:val="00B11946"/>
    <w:rsid w:val="00B12583"/>
    <w:rsid w:val="00B17399"/>
    <w:rsid w:val="00B173AD"/>
    <w:rsid w:val="00B2042C"/>
    <w:rsid w:val="00B31227"/>
    <w:rsid w:val="00B3647E"/>
    <w:rsid w:val="00B36701"/>
    <w:rsid w:val="00B37CDE"/>
    <w:rsid w:val="00B41F00"/>
    <w:rsid w:val="00B42753"/>
    <w:rsid w:val="00B451FE"/>
    <w:rsid w:val="00B46634"/>
    <w:rsid w:val="00B474C1"/>
    <w:rsid w:val="00B524B9"/>
    <w:rsid w:val="00B535F1"/>
    <w:rsid w:val="00B53C63"/>
    <w:rsid w:val="00B54D6F"/>
    <w:rsid w:val="00B55043"/>
    <w:rsid w:val="00B61E5F"/>
    <w:rsid w:val="00B63D3D"/>
    <w:rsid w:val="00B65C7E"/>
    <w:rsid w:val="00B662FC"/>
    <w:rsid w:val="00B66BBA"/>
    <w:rsid w:val="00B715B7"/>
    <w:rsid w:val="00B72609"/>
    <w:rsid w:val="00B75733"/>
    <w:rsid w:val="00B836F5"/>
    <w:rsid w:val="00B845FC"/>
    <w:rsid w:val="00B85567"/>
    <w:rsid w:val="00B858E6"/>
    <w:rsid w:val="00B87237"/>
    <w:rsid w:val="00B907BC"/>
    <w:rsid w:val="00B90BE5"/>
    <w:rsid w:val="00B94594"/>
    <w:rsid w:val="00B973F1"/>
    <w:rsid w:val="00BA20DD"/>
    <w:rsid w:val="00BA3016"/>
    <w:rsid w:val="00BA61BB"/>
    <w:rsid w:val="00BA7A9D"/>
    <w:rsid w:val="00BB20AA"/>
    <w:rsid w:val="00BB4B7E"/>
    <w:rsid w:val="00BC282E"/>
    <w:rsid w:val="00BC2D17"/>
    <w:rsid w:val="00BD2FFF"/>
    <w:rsid w:val="00BE6515"/>
    <w:rsid w:val="00BF27A3"/>
    <w:rsid w:val="00C039BC"/>
    <w:rsid w:val="00C03E97"/>
    <w:rsid w:val="00C11C97"/>
    <w:rsid w:val="00C146B8"/>
    <w:rsid w:val="00C148C2"/>
    <w:rsid w:val="00C1592B"/>
    <w:rsid w:val="00C22922"/>
    <w:rsid w:val="00C2517D"/>
    <w:rsid w:val="00C331D9"/>
    <w:rsid w:val="00C37CC4"/>
    <w:rsid w:val="00C450DF"/>
    <w:rsid w:val="00C51FFE"/>
    <w:rsid w:val="00C6154A"/>
    <w:rsid w:val="00C660AE"/>
    <w:rsid w:val="00C67825"/>
    <w:rsid w:val="00C702E6"/>
    <w:rsid w:val="00C707BD"/>
    <w:rsid w:val="00C723C5"/>
    <w:rsid w:val="00C72CFD"/>
    <w:rsid w:val="00C7423B"/>
    <w:rsid w:val="00C75BE2"/>
    <w:rsid w:val="00C87894"/>
    <w:rsid w:val="00C92335"/>
    <w:rsid w:val="00C92449"/>
    <w:rsid w:val="00C93F14"/>
    <w:rsid w:val="00C943BD"/>
    <w:rsid w:val="00C95ED4"/>
    <w:rsid w:val="00C97673"/>
    <w:rsid w:val="00CA52F7"/>
    <w:rsid w:val="00CB4050"/>
    <w:rsid w:val="00CB6971"/>
    <w:rsid w:val="00CC19E4"/>
    <w:rsid w:val="00CC1D85"/>
    <w:rsid w:val="00CC262B"/>
    <w:rsid w:val="00CC3537"/>
    <w:rsid w:val="00CD28D5"/>
    <w:rsid w:val="00CD58BB"/>
    <w:rsid w:val="00CD5D97"/>
    <w:rsid w:val="00CE5AC5"/>
    <w:rsid w:val="00CE5B57"/>
    <w:rsid w:val="00CF0930"/>
    <w:rsid w:val="00CF4FF0"/>
    <w:rsid w:val="00D04658"/>
    <w:rsid w:val="00D05B53"/>
    <w:rsid w:val="00D069A3"/>
    <w:rsid w:val="00D150DC"/>
    <w:rsid w:val="00D20D6E"/>
    <w:rsid w:val="00D21201"/>
    <w:rsid w:val="00D248F1"/>
    <w:rsid w:val="00D25590"/>
    <w:rsid w:val="00D27686"/>
    <w:rsid w:val="00D323D3"/>
    <w:rsid w:val="00D35509"/>
    <w:rsid w:val="00D355C4"/>
    <w:rsid w:val="00D375A0"/>
    <w:rsid w:val="00D402F4"/>
    <w:rsid w:val="00D43B70"/>
    <w:rsid w:val="00D44BB7"/>
    <w:rsid w:val="00D45705"/>
    <w:rsid w:val="00D501DE"/>
    <w:rsid w:val="00D529BC"/>
    <w:rsid w:val="00D579D7"/>
    <w:rsid w:val="00D60C4C"/>
    <w:rsid w:val="00D65496"/>
    <w:rsid w:val="00D74115"/>
    <w:rsid w:val="00D774DD"/>
    <w:rsid w:val="00D8214D"/>
    <w:rsid w:val="00D82ABF"/>
    <w:rsid w:val="00D9341E"/>
    <w:rsid w:val="00D94F94"/>
    <w:rsid w:val="00DA2ACA"/>
    <w:rsid w:val="00DA3701"/>
    <w:rsid w:val="00DA3B0E"/>
    <w:rsid w:val="00DA412C"/>
    <w:rsid w:val="00DA4B3D"/>
    <w:rsid w:val="00DA6AFE"/>
    <w:rsid w:val="00DC60BE"/>
    <w:rsid w:val="00DC7A44"/>
    <w:rsid w:val="00DD4541"/>
    <w:rsid w:val="00DE035D"/>
    <w:rsid w:val="00DF33F7"/>
    <w:rsid w:val="00DF35DD"/>
    <w:rsid w:val="00DF7B99"/>
    <w:rsid w:val="00E0191B"/>
    <w:rsid w:val="00E22845"/>
    <w:rsid w:val="00E34B5F"/>
    <w:rsid w:val="00E35E22"/>
    <w:rsid w:val="00E369CA"/>
    <w:rsid w:val="00E37524"/>
    <w:rsid w:val="00E376CD"/>
    <w:rsid w:val="00E4067F"/>
    <w:rsid w:val="00E47C1E"/>
    <w:rsid w:val="00E50505"/>
    <w:rsid w:val="00E529EE"/>
    <w:rsid w:val="00E53D36"/>
    <w:rsid w:val="00E5777F"/>
    <w:rsid w:val="00E578B3"/>
    <w:rsid w:val="00E57EB6"/>
    <w:rsid w:val="00E608FF"/>
    <w:rsid w:val="00E61EBF"/>
    <w:rsid w:val="00E6462D"/>
    <w:rsid w:val="00E65898"/>
    <w:rsid w:val="00E83A57"/>
    <w:rsid w:val="00E840D2"/>
    <w:rsid w:val="00E90EF2"/>
    <w:rsid w:val="00E91223"/>
    <w:rsid w:val="00E928C6"/>
    <w:rsid w:val="00E9294B"/>
    <w:rsid w:val="00E93828"/>
    <w:rsid w:val="00E938A0"/>
    <w:rsid w:val="00EA2714"/>
    <w:rsid w:val="00EB175E"/>
    <w:rsid w:val="00EB2E0E"/>
    <w:rsid w:val="00EB5EC8"/>
    <w:rsid w:val="00EC6770"/>
    <w:rsid w:val="00EC73F1"/>
    <w:rsid w:val="00ED1F40"/>
    <w:rsid w:val="00ED2F6E"/>
    <w:rsid w:val="00ED3283"/>
    <w:rsid w:val="00EE26F0"/>
    <w:rsid w:val="00EE4577"/>
    <w:rsid w:val="00EF5A86"/>
    <w:rsid w:val="00EF7C1C"/>
    <w:rsid w:val="00F06951"/>
    <w:rsid w:val="00F23069"/>
    <w:rsid w:val="00F24B6A"/>
    <w:rsid w:val="00F31601"/>
    <w:rsid w:val="00F33F23"/>
    <w:rsid w:val="00F3633C"/>
    <w:rsid w:val="00F40869"/>
    <w:rsid w:val="00F4637C"/>
    <w:rsid w:val="00F469B5"/>
    <w:rsid w:val="00F55038"/>
    <w:rsid w:val="00F56447"/>
    <w:rsid w:val="00F607BA"/>
    <w:rsid w:val="00F61608"/>
    <w:rsid w:val="00F6271E"/>
    <w:rsid w:val="00F6680A"/>
    <w:rsid w:val="00F721B7"/>
    <w:rsid w:val="00F82145"/>
    <w:rsid w:val="00F840D4"/>
    <w:rsid w:val="00F8431A"/>
    <w:rsid w:val="00F90A54"/>
    <w:rsid w:val="00F9639A"/>
    <w:rsid w:val="00FA1232"/>
    <w:rsid w:val="00FA129B"/>
    <w:rsid w:val="00FA1CC7"/>
    <w:rsid w:val="00FB5BD1"/>
    <w:rsid w:val="00FC1906"/>
    <w:rsid w:val="00FC4A9F"/>
    <w:rsid w:val="00FC4D5F"/>
    <w:rsid w:val="00FC5A1E"/>
    <w:rsid w:val="00FD5DF8"/>
    <w:rsid w:val="00FE74BB"/>
    <w:rsid w:val="00FF1A72"/>
    <w:rsid w:val="00FF2F01"/>
    <w:rsid w:val="00FF34A1"/>
    <w:rsid w:val="00FF7434"/>
    <w:rsid w:val="18F13329"/>
    <w:rsid w:val="203A7580"/>
    <w:rsid w:val="4F01FD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C5710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0DD"/>
    <w:pPr>
      <w:ind w:left="720" w:hanging="720"/>
    </w:pPr>
    <w:rPr>
      <w:sz w:val="24"/>
      <w:szCs w:val="24"/>
    </w:rPr>
  </w:style>
  <w:style w:type="paragraph" w:styleId="Heading1">
    <w:name w:val="heading 1"/>
    <w:aliases w:val="h1,c"/>
    <w:basedOn w:val="Normal"/>
    <w:next w:val="Normal"/>
    <w:link w:val="Heading1Char"/>
    <w:qFormat/>
    <w:rsid w:val="007F70EC"/>
    <w:pPr>
      <w:autoSpaceDE w:val="0"/>
      <w:autoSpaceDN w:val="0"/>
      <w:spacing w:before="240"/>
      <w:ind w:left="0" w:right="288" w:firstLine="0"/>
      <w:outlineLvl w:val="0"/>
    </w:pPr>
    <w:rPr>
      <w:rFonts w:ascii="Univers (W1)" w:hAnsi="Univers (W1)" w:cs="Univers (W1)"/>
      <w:b/>
      <w:bCs/>
      <w:u w:val="single"/>
      <w:lang w:eastAsia="en-US"/>
    </w:rPr>
  </w:style>
  <w:style w:type="paragraph" w:styleId="Heading2">
    <w:name w:val="heading 2"/>
    <w:basedOn w:val="Normal"/>
    <w:next w:val="Normal"/>
    <w:link w:val="Heading2Char"/>
    <w:qFormat/>
    <w:rsid w:val="007F70EC"/>
    <w:pPr>
      <w:keepNext/>
      <w:spacing w:before="240" w:after="60"/>
      <w:ind w:left="0" w:firstLine="0"/>
      <w:outlineLvl w:val="1"/>
    </w:pPr>
    <w:rPr>
      <w:rFonts w:ascii="Arial" w:hAnsi="Arial" w:cs="Arial"/>
      <w:b/>
      <w:bCs/>
      <w:i/>
      <w:iCs/>
      <w:sz w:val="28"/>
      <w:szCs w:val="28"/>
      <w:lang w:eastAsia="en-US"/>
    </w:rPr>
  </w:style>
  <w:style w:type="paragraph" w:styleId="Heading3">
    <w:name w:val="heading 3"/>
    <w:basedOn w:val="Normal"/>
    <w:next w:val="Normal"/>
    <w:link w:val="Heading3Char"/>
    <w:qFormat/>
    <w:rsid w:val="007F70EC"/>
    <w:pPr>
      <w:keepNext/>
      <w:spacing w:before="240" w:after="60"/>
      <w:ind w:left="0" w:firstLine="0"/>
      <w:outlineLvl w:val="2"/>
    </w:pPr>
    <w:rPr>
      <w:rFonts w:ascii="Arial" w:hAnsi="Arial" w:cs="Arial"/>
      <w:b/>
      <w:bCs/>
      <w:sz w:val="26"/>
      <w:szCs w:val="2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A01B4"/>
    <w:pPr>
      <w:tabs>
        <w:tab w:val="center" w:pos="4153"/>
        <w:tab w:val="right" w:pos="8306"/>
      </w:tabs>
    </w:pPr>
  </w:style>
  <w:style w:type="paragraph" w:styleId="Footer">
    <w:name w:val="footer"/>
    <w:basedOn w:val="Normal"/>
    <w:link w:val="FooterChar"/>
    <w:uiPriority w:val="99"/>
    <w:rsid w:val="00AA01B4"/>
    <w:pPr>
      <w:tabs>
        <w:tab w:val="center" w:pos="4153"/>
        <w:tab w:val="right" w:pos="8306"/>
      </w:tabs>
    </w:pPr>
  </w:style>
  <w:style w:type="paragraph" w:customStyle="1" w:styleId="ACMAReportDate">
    <w:name w:val="ACMA Report Date"/>
    <w:rsid w:val="00AA01B4"/>
    <w:rPr>
      <w:snapToGrid w:val="0"/>
      <w:lang w:eastAsia="en-US"/>
    </w:rPr>
  </w:style>
  <w:style w:type="paragraph" w:styleId="BalloonText">
    <w:name w:val="Balloon Text"/>
    <w:basedOn w:val="Normal"/>
    <w:semiHidden/>
    <w:rsid w:val="007F358B"/>
    <w:rPr>
      <w:rFonts w:ascii="Tahoma" w:hAnsi="Tahoma" w:cs="Tahoma"/>
      <w:sz w:val="16"/>
      <w:szCs w:val="16"/>
    </w:rPr>
  </w:style>
  <w:style w:type="paragraph" w:customStyle="1" w:styleId="ABABodyText">
    <w:name w:val="ABA Body Text"/>
    <w:rsid w:val="007F358B"/>
    <w:pPr>
      <w:suppressAutoHyphens/>
      <w:spacing w:before="80" w:after="120" w:line="280" w:lineRule="atLeast"/>
    </w:pPr>
    <w:rPr>
      <w:snapToGrid w:val="0"/>
      <w:sz w:val="24"/>
      <w:lang w:eastAsia="en-US"/>
    </w:rPr>
  </w:style>
  <w:style w:type="paragraph" w:customStyle="1" w:styleId="ABAHeading2">
    <w:name w:val="ABA Heading 2"/>
    <w:next w:val="ABABodyText"/>
    <w:rsid w:val="007F358B"/>
    <w:pPr>
      <w:keepNext/>
      <w:suppressAutoHyphens/>
      <w:spacing w:before="240"/>
      <w:outlineLvl w:val="2"/>
    </w:pPr>
    <w:rPr>
      <w:rFonts w:ascii="Arial" w:hAnsi="Arial"/>
      <w:b/>
      <w:sz w:val="28"/>
      <w:lang w:eastAsia="en-US"/>
    </w:rPr>
  </w:style>
  <w:style w:type="paragraph" w:customStyle="1" w:styleId="ABAHeading3">
    <w:name w:val="ABA Heading 3"/>
    <w:next w:val="ABABodyText"/>
    <w:link w:val="ABAHeading3Char"/>
    <w:rsid w:val="007F358B"/>
    <w:pPr>
      <w:keepNext/>
      <w:suppressAutoHyphens/>
      <w:spacing w:before="120"/>
    </w:pPr>
    <w:rPr>
      <w:rFonts w:ascii="Arial" w:hAnsi="Arial"/>
      <w:b/>
      <w:sz w:val="24"/>
      <w:lang w:eastAsia="en-US"/>
    </w:rPr>
  </w:style>
  <w:style w:type="character" w:customStyle="1" w:styleId="ABAHeading3Char">
    <w:name w:val="ABA Heading 3 Char"/>
    <w:link w:val="ABAHeading3"/>
    <w:rsid w:val="007F358B"/>
    <w:rPr>
      <w:rFonts w:ascii="Arial" w:hAnsi="Arial"/>
      <w:b/>
      <w:sz w:val="24"/>
      <w:lang w:val="en-AU" w:eastAsia="en-US" w:bidi="ar-SA"/>
    </w:rPr>
  </w:style>
  <w:style w:type="paragraph" w:customStyle="1" w:styleId="Default">
    <w:name w:val="Default"/>
    <w:rsid w:val="00B72609"/>
    <w:pPr>
      <w:autoSpaceDE w:val="0"/>
      <w:autoSpaceDN w:val="0"/>
      <w:adjustRightInd w:val="0"/>
    </w:pPr>
    <w:rPr>
      <w:color w:val="000000"/>
      <w:sz w:val="24"/>
      <w:szCs w:val="24"/>
    </w:rPr>
  </w:style>
  <w:style w:type="paragraph" w:styleId="NormalWeb">
    <w:name w:val="Normal (Web)"/>
    <w:basedOn w:val="Normal"/>
    <w:rsid w:val="00777150"/>
    <w:pPr>
      <w:spacing w:before="100" w:beforeAutospacing="1" w:after="100" w:afterAutospacing="1"/>
    </w:pPr>
  </w:style>
  <w:style w:type="paragraph" w:customStyle="1" w:styleId="ABABulletLevel1">
    <w:name w:val="ABA Bullet Level 1"/>
    <w:rsid w:val="00313213"/>
    <w:pPr>
      <w:tabs>
        <w:tab w:val="num" w:pos="360"/>
      </w:tabs>
      <w:ind w:left="360" w:hanging="360"/>
    </w:pPr>
    <w:rPr>
      <w:sz w:val="24"/>
      <w:lang w:eastAsia="en-US"/>
    </w:rPr>
  </w:style>
  <w:style w:type="paragraph" w:customStyle="1" w:styleId="ABANumberedList">
    <w:name w:val="ABA Numbered List"/>
    <w:rsid w:val="00313213"/>
    <w:pPr>
      <w:spacing w:before="20" w:after="20"/>
      <w:ind w:left="360" w:hanging="360"/>
    </w:pPr>
    <w:rPr>
      <w:sz w:val="24"/>
      <w:lang w:eastAsia="en-US"/>
    </w:rPr>
  </w:style>
  <w:style w:type="character" w:styleId="CommentReference">
    <w:name w:val="annotation reference"/>
    <w:semiHidden/>
    <w:rsid w:val="00C97673"/>
    <w:rPr>
      <w:sz w:val="16"/>
      <w:szCs w:val="16"/>
    </w:rPr>
  </w:style>
  <w:style w:type="paragraph" w:styleId="CommentText">
    <w:name w:val="annotation text"/>
    <w:basedOn w:val="Normal"/>
    <w:link w:val="CommentTextChar"/>
    <w:semiHidden/>
    <w:rsid w:val="00C97673"/>
    <w:rPr>
      <w:sz w:val="20"/>
      <w:szCs w:val="20"/>
    </w:rPr>
  </w:style>
  <w:style w:type="paragraph" w:styleId="CommentSubject">
    <w:name w:val="annotation subject"/>
    <w:basedOn w:val="CommentText"/>
    <w:next w:val="CommentText"/>
    <w:semiHidden/>
    <w:rsid w:val="00C97673"/>
    <w:rPr>
      <w:b/>
      <w:bCs/>
    </w:rPr>
  </w:style>
  <w:style w:type="character" w:styleId="Hyperlink">
    <w:name w:val="Hyperlink"/>
    <w:rsid w:val="00CC19E4"/>
    <w:rPr>
      <w:color w:val="0000FF"/>
      <w:u w:val="single"/>
    </w:rPr>
  </w:style>
  <w:style w:type="paragraph" w:customStyle="1" w:styleId="ACMANumberedList">
    <w:name w:val="ACMA Numbered List"/>
    <w:rsid w:val="00502F3C"/>
    <w:pPr>
      <w:numPr>
        <w:numId w:val="12"/>
      </w:numPr>
      <w:tabs>
        <w:tab w:val="clear" w:pos="720"/>
        <w:tab w:val="num" w:pos="360"/>
      </w:tabs>
      <w:spacing w:before="20" w:after="20"/>
      <w:ind w:left="0" w:firstLine="0"/>
    </w:pPr>
    <w:rPr>
      <w:sz w:val="24"/>
      <w:lang w:eastAsia="en-US"/>
    </w:rPr>
  </w:style>
  <w:style w:type="paragraph" w:customStyle="1" w:styleId="ACMABodyText">
    <w:name w:val="ACMA Body Text"/>
    <w:rsid w:val="00502F3C"/>
    <w:pPr>
      <w:suppressAutoHyphens/>
      <w:spacing w:before="80" w:after="120" w:line="280" w:lineRule="atLeast"/>
    </w:pPr>
    <w:rPr>
      <w:snapToGrid w:val="0"/>
      <w:sz w:val="24"/>
      <w:lang w:eastAsia="en-US"/>
    </w:rPr>
  </w:style>
  <w:style w:type="paragraph" w:customStyle="1" w:styleId="ACMAQuote">
    <w:name w:val="ACMA Quote"/>
    <w:rsid w:val="00502F3C"/>
    <w:pPr>
      <w:spacing w:line="240" w:lineRule="atLeast"/>
      <w:ind w:left="562" w:right="562"/>
    </w:pPr>
    <w:rPr>
      <w:sz w:val="22"/>
      <w:lang w:eastAsia="en-US"/>
    </w:rPr>
  </w:style>
  <w:style w:type="character" w:styleId="FollowedHyperlink">
    <w:name w:val="FollowedHyperlink"/>
    <w:rsid w:val="007F4A91"/>
    <w:rPr>
      <w:color w:val="800080"/>
      <w:u w:val="single"/>
    </w:rPr>
  </w:style>
  <w:style w:type="paragraph" w:customStyle="1" w:styleId="Contactdetails">
    <w:name w:val="Contact details"/>
    <w:basedOn w:val="Normal"/>
    <w:rsid w:val="008A21F5"/>
    <w:pPr>
      <w:tabs>
        <w:tab w:val="left" w:pos="1134"/>
        <w:tab w:val="left" w:pos="4536"/>
        <w:tab w:val="left" w:pos="6237"/>
      </w:tabs>
      <w:ind w:left="0" w:firstLine="0"/>
    </w:pPr>
  </w:style>
  <w:style w:type="character" w:customStyle="1" w:styleId="Heading1Char">
    <w:name w:val="Heading 1 Char"/>
    <w:aliases w:val="h1 Char,c Char"/>
    <w:link w:val="Heading1"/>
    <w:rsid w:val="007F70EC"/>
    <w:rPr>
      <w:rFonts w:ascii="Univers (W1)" w:hAnsi="Univers (W1)" w:cs="Univers (W1)"/>
      <w:b/>
      <w:bCs/>
      <w:sz w:val="24"/>
      <w:szCs w:val="24"/>
      <w:u w:val="single"/>
      <w:lang w:eastAsia="en-US"/>
    </w:rPr>
  </w:style>
  <w:style w:type="character" w:customStyle="1" w:styleId="Heading2Char">
    <w:name w:val="Heading 2 Char"/>
    <w:link w:val="Heading2"/>
    <w:rsid w:val="007F70EC"/>
    <w:rPr>
      <w:rFonts w:ascii="Arial" w:hAnsi="Arial" w:cs="Arial"/>
      <w:b/>
      <w:bCs/>
      <w:i/>
      <w:iCs/>
      <w:sz w:val="28"/>
      <w:szCs w:val="28"/>
      <w:lang w:eastAsia="en-US"/>
    </w:rPr>
  </w:style>
  <w:style w:type="character" w:customStyle="1" w:styleId="Heading3Char">
    <w:name w:val="Heading 3 Char"/>
    <w:link w:val="Heading3"/>
    <w:rsid w:val="007F70EC"/>
    <w:rPr>
      <w:rFonts w:ascii="Arial" w:hAnsi="Arial" w:cs="Arial"/>
      <w:b/>
      <w:bCs/>
      <w:sz w:val="26"/>
      <w:szCs w:val="26"/>
      <w:lang w:eastAsia="en-US"/>
    </w:rPr>
  </w:style>
  <w:style w:type="paragraph" w:customStyle="1" w:styleId="Normalspace">
    <w:name w:val="Normal + space"/>
    <w:basedOn w:val="Normal"/>
    <w:rsid w:val="007F70EC"/>
    <w:pPr>
      <w:autoSpaceDE w:val="0"/>
      <w:autoSpaceDN w:val="0"/>
      <w:spacing w:after="240"/>
      <w:ind w:left="0" w:right="288" w:firstLine="0"/>
    </w:pPr>
    <w:rPr>
      <w:rFonts w:ascii="CG Times (W1)" w:hAnsi="CG Times (W1)" w:cs="CG Times (W1)"/>
      <w:lang w:eastAsia="en-US"/>
    </w:rPr>
  </w:style>
  <w:style w:type="character" w:customStyle="1" w:styleId="CommentTextChar">
    <w:name w:val="Comment Text Char"/>
    <w:basedOn w:val="DefaultParagraphFont"/>
    <w:link w:val="CommentText"/>
    <w:semiHidden/>
    <w:rsid w:val="004751F9"/>
  </w:style>
  <w:style w:type="paragraph" w:styleId="Revision">
    <w:name w:val="Revision"/>
    <w:hidden/>
    <w:uiPriority w:val="99"/>
    <w:semiHidden/>
    <w:rsid w:val="004751F9"/>
    <w:rPr>
      <w:sz w:val="24"/>
      <w:szCs w:val="24"/>
    </w:rPr>
  </w:style>
  <w:style w:type="paragraph" w:styleId="ListParagraph">
    <w:name w:val="List Paragraph"/>
    <w:basedOn w:val="Normal"/>
    <w:uiPriority w:val="34"/>
    <w:qFormat/>
    <w:rsid w:val="0089125C"/>
    <w:pPr>
      <w:spacing w:after="160" w:line="256" w:lineRule="auto"/>
      <w:ind w:firstLine="0"/>
      <w:contextualSpacing/>
    </w:pPr>
    <w:rPr>
      <w:rFonts w:ascii="Calibri" w:eastAsia="Calibri" w:hAnsi="Calibri"/>
      <w:sz w:val="22"/>
      <w:szCs w:val="22"/>
      <w:lang w:eastAsia="en-US"/>
    </w:rPr>
  </w:style>
  <w:style w:type="character" w:customStyle="1" w:styleId="HeaderChar">
    <w:name w:val="Header Char"/>
    <w:basedOn w:val="DefaultParagraphFont"/>
    <w:link w:val="Header"/>
    <w:uiPriority w:val="99"/>
    <w:rsid w:val="00D20D6E"/>
    <w:rPr>
      <w:sz w:val="24"/>
      <w:szCs w:val="24"/>
    </w:rPr>
  </w:style>
  <w:style w:type="character" w:customStyle="1" w:styleId="FooterChar">
    <w:name w:val="Footer Char"/>
    <w:basedOn w:val="DefaultParagraphFont"/>
    <w:link w:val="Footer"/>
    <w:uiPriority w:val="99"/>
    <w:rsid w:val="00D20D6E"/>
    <w:rPr>
      <w:sz w:val="24"/>
      <w:szCs w:val="24"/>
    </w:rPr>
  </w:style>
  <w:style w:type="character" w:customStyle="1" w:styleId="normaltextrun">
    <w:name w:val="normaltextrun"/>
    <w:basedOn w:val="DefaultParagraphFont"/>
    <w:rsid w:val="005E673D"/>
  </w:style>
  <w:style w:type="character" w:customStyle="1" w:styleId="findhit">
    <w:name w:val="findhit"/>
    <w:basedOn w:val="DefaultParagraphFont"/>
    <w:rsid w:val="005E673D"/>
  </w:style>
  <w:style w:type="character" w:styleId="UnresolvedMention">
    <w:name w:val="Unresolved Mention"/>
    <w:basedOn w:val="DefaultParagraphFont"/>
    <w:uiPriority w:val="99"/>
    <w:semiHidden/>
    <w:unhideWhenUsed/>
    <w:rsid w:val="00D774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547737">
      <w:bodyDiv w:val="1"/>
      <w:marLeft w:val="0"/>
      <w:marRight w:val="0"/>
      <w:marTop w:val="0"/>
      <w:marBottom w:val="0"/>
      <w:divBdr>
        <w:top w:val="none" w:sz="0" w:space="0" w:color="auto"/>
        <w:left w:val="none" w:sz="0" w:space="0" w:color="auto"/>
        <w:bottom w:val="none" w:sz="0" w:space="0" w:color="auto"/>
        <w:right w:val="none" w:sz="0" w:space="0" w:color="auto"/>
      </w:divBdr>
    </w:div>
    <w:div w:id="419913432">
      <w:bodyDiv w:val="1"/>
      <w:marLeft w:val="0"/>
      <w:marRight w:val="0"/>
      <w:marTop w:val="0"/>
      <w:marBottom w:val="0"/>
      <w:divBdr>
        <w:top w:val="none" w:sz="0" w:space="0" w:color="auto"/>
        <w:left w:val="none" w:sz="0" w:space="0" w:color="auto"/>
        <w:bottom w:val="none" w:sz="0" w:space="0" w:color="auto"/>
        <w:right w:val="none" w:sz="0" w:space="0" w:color="auto"/>
      </w:divBdr>
      <w:divsChild>
        <w:div w:id="166218784">
          <w:marLeft w:val="0"/>
          <w:marRight w:val="0"/>
          <w:marTop w:val="0"/>
          <w:marBottom w:val="0"/>
          <w:divBdr>
            <w:top w:val="none" w:sz="0" w:space="0" w:color="auto"/>
            <w:left w:val="none" w:sz="0" w:space="0" w:color="auto"/>
            <w:bottom w:val="none" w:sz="0" w:space="0" w:color="auto"/>
            <w:right w:val="none" w:sz="0" w:space="0" w:color="auto"/>
          </w:divBdr>
        </w:div>
      </w:divsChild>
    </w:div>
    <w:div w:id="536747504">
      <w:bodyDiv w:val="1"/>
      <w:marLeft w:val="0"/>
      <w:marRight w:val="0"/>
      <w:marTop w:val="0"/>
      <w:marBottom w:val="0"/>
      <w:divBdr>
        <w:top w:val="none" w:sz="0" w:space="0" w:color="auto"/>
        <w:left w:val="none" w:sz="0" w:space="0" w:color="auto"/>
        <w:bottom w:val="none" w:sz="0" w:space="0" w:color="auto"/>
        <w:right w:val="none" w:sz="0" w:space="0" w:color="auto"/>
      </w:divBdr>
      <w:divsChild>
        <w:div w:id="2040933753">
          <w:marLeft w:val="0"/>
          <w:marRight w:val="0"/>
          <w:marTop w:val="0"/>
          <w:marBottom w:val="0"/>
          <w:divBdr>
            <w:top w:val="none" w:sz="0" w:space="0" w:color="auto"/>
            <w:left w:val="none" w:sz="0" w:space="0" w:color="auto"/>
            <w:bottom w:val="none" w:sz="0" w:space="0" w:color="auto"/>
            <w:right w:val="none" w:sz="0" w:space="0" w:color="auto"/>
          </w:divBdr>
        </w:div>
      </w:divsChild>
    </w:div>
    <w:div w:id="807478494">
      <w:bodyDiv w:val="1"/>
      <w:marLeft w:val="0"/>
      <w:marRight w:val="0"/>
      <w:marTop w:val="0"/>
      <w:marBottom w:val="0"/>
      <w:divBdr>
        <w:top w:val="none" w:sz="0" w:space="0" w:color="auto"/>
        <w:left w:val="none" w:sz="0" w:space="0" w:color="auto"/>
        <w:bottom w:val="none" w:sz="0" w:space="0" w:color="auto"/>
        <w:right w:val="none" w:sz="0" w:space="0" w:color="auto"/>
      </w:divBdr>
      <w:divsChild>
        <w:div w:id="1664622919">
          <w:marLeft w:val="0"/>
          <w:marRight w:val="0"/>
          <w:marTop w:val="0"/>
          <w:marBottom w:val="0"/>
          <w:divBdr>
            <w:top w:val="none" w:sz="0" w:space="0" w:color="auto"/>
            <w:left w:val="none" w:sz="0" w:space="0" w:color="auto"/>
            <w:bottom w:val="none" w:sz="0" w:space="0" w:color="auto"/>
            <w:right w:val="none" w:sz="0" w:space="0" w:color="auto"/>
          </w:divBdr>
        </w:div>
      </w:divsChild>
    </w:div>
    <w:div w:id="971593260">
      <w:bodyDiv w:val="1"/>
      <w:marLeft w:val="0"/>
      <w:marRight w:val="0"/>
      <w:marTop w:val="0"/>
      <w:marBottom w:val="0"/>
      <w:divBdr>
        <w:top w:val="none" w:sz="0" w:space="0" w:color="auto"/>
        <w:left w:val="none" w:sz="0" w:space="0" w:color="auto"/>
        <w:bottom w:val="none" w:sz="0" w:space="0" w:color="auto"/>
        <w:right w:val="none" w:sz="0" w:space="0" w:color="auto"/>
      </w:divBdr>
      <w:divsChild>
        <w:div w:id="1726677867">
          <w:marLeft w:val="0"/>
          <w:marRight w:val="0"/>
          <w:marTop w:val="0"/>
          <w:marBottom w:val="0"/>
          <w:divBdr>
            <w:top w:val="none" w:sz="0" w:space="0" w:color="auto"/>
            <w:left w:val="none" w:sz="0" w:space="0" w:color="auto"/>
            <w:bottom w:val="none" w:sz="0" w:space="0" w:color="auto"/>
            <w:right w:val="none" w:sz="0" w:space="0" w:color="auto"/>
          </w:divBdr>
        </w:div>
      </w:divsChild>
    </w:div>
    <w:div w:id="1139884360">
      <w:bodyDiv w:val="1"/>
      <w:marLeft w:val="0"/>
      <w:marRight w:val="0"/>
      <w:marTop w:val="0"/>
      <w:marBottom w:val="0"/>
      <w:divBdr>
        <w:top w:val="none" w:sz="0" w:space="0" w:color="auto"/>
        <w:left w:val="none" w:sz="0" w:space="0" w:color="auto"/>
        <w:bottom w:val="none" w:sz="0" w:space="0" w:color="auto"/>
        <w:right w:val="none" w:sz="0" w:space="0" w:color="auto"/>
      </w:divBdr>
      <w:divsChild>
        <w:div w:id="198397806">
          <w:marLeft w:val="0"/>
          <w:marRight w:val="0"/>
          <w:marTop w:val="0"/>
          <w:marBottom w:val="0"/>
          <w:divBdr>
            <w:top w:val="none" w:sz="0" w:space="0" w:color="auto"/>
            <w:left w:val="none" w:sz="0" w:space="0" w:color="auto"/>
            <w:bottom w:val="none" w:sz="0" w:space="0" w:color="auto"/>
            <w:right w:val="none" w:sz="0" w:space="0" w:color="auto"/>
          </w:divBdr>
        </w:div>
      </w:divsChild>
    </w:div>
    <w:div w:id="1522429947">
      <w:bodyDiv w:val="1"/>
      <w:marLeft w:val="0"/>
      <w:marRight w:val="0"/>
      <w:marTop w:val="0"/>
      <w:marBottom w:val="0"/>
      <w:divBdr>
        <w:top w:val="none" w:sz="0" w:space="0" w:color="auto"/>
        <w:left w:val="none" w:sz="0" w:space="0" w:color="auto"/>
        <w:bottom w:val="none" w:sz="0" w:space="0" w:color="auto"/>
        <w:right w:val="none" w:sz="0" w:space="0" w:color="auto"/>
      </w:divBdr>
    </w:div>
    <w:div w:id="1565875150">
      <w:bodyDiv w:val="1"/>
      <w:marLeft w:val="0"/>
      <w:marRight w:val="0"/>
      <w:marTop w:val="0"/>
      <w:marBottom w:val="0"/>
      <w:divBdr>
        <w:top w:val="none" w:sz="0" w:space="0" w:color="auto"/>
        <w:left w:val="none" w:sz="0" w:space="0" w:color="auto"/>
        <w:bottom w:val="none" w:sz="0" w:space="0" w:color="auto"/>
        <w:right w:val="none" w:sz="0" w:space="0" w:color="auto"/>
      </w:divBdr>
    </w:div>
    <w:div w:id="1612467097">
      <w:bodyDiv w:val="1"/>
      <w:marLeft w:val="0"/>
      <w:marRight w:val="0"/>
      <w:marTop w:val="0"/>
      <w:marBottom w:val="0"/>
      <w:divBdr>
        <w:top w:val="none" w:sz="0" w:space="0" w:color="auto"/>
        <w:left w:val="none" w:sz="0" w:space="0" w:color="auto"/>
        <w:bottom w:val="none" w:sz="0" w:space="0" w:color="auto"/>
        <w:right w:val="none" w:sz="0" w:space="0" w:color="auto"/>
      </w:divBdr>
    </w:div>
    <w:div w:id="1789009190">
      <w:bodyDiv w:val="1"/>
      <w:marLeft w:val="0"/>
      <w:marRight w:val="0"/>
      <w:marTop w:val="0"/>
      <w:marBottom w:val="0"/>
      <w:divBdr>
        <w:top w:val="none" w:sz="0" w:space="0" w:color="auto"/>
        <w:left w:val="none" w:sz="0" w:space="0" w:color="auto"/>
        <w:bottom w:val="none" w:sz="0" w:space="0" w:color="auto"/>
        <w:right w:val="none" w:sz="0" w:space="0" w:color="auto"/>
      </w:divBdr>
    </w:div>
    <w:div w:id="201433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au/" TargetMode="External"/><Relationship Id="rId18" Type="http://schemas.openxmlformats.org/officeDocument/2006/relationships/hyperlink" Target="http://www.nationalsecurity.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yperlink" Target="http://www.legislation.gov.au/" TargetMode="External"/><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www.dfat.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ategory xmlns="026d8262-4725-4a9c-834e-3f991ab17ffd">(none)</Category>
    <_dlc_DocId xmlns="04b8ec43-391f-4ce4-8841-d6a482add564">UQVA7MFFXVNW-343728570-1645</_dlc_DocId>
    <_dlc_DocIdUrl xmlns="04b8ec43-391f-4ce4-8841-d6a482add564">
      <Url>http://collaboration/organisation/auth/Chair/Auth/_layouts/15/DocIdRedir.aspx?ID=UQVA7MFFXVNW-343728570-1645</Url>
      <Description>UQVA7MFFXVNW-343728570-1645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2EB147E7279724581487018DE8E8B00" ma:contentTypeVersion="2" ma:contentTypeDescription="Create a new document." ma:contentTypeScope="" ma:versionID="280c1a84055fe67a69639ab140b7cd9f">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D2F7CC-7BD6-4E2B-B3BA-F71CF3696651}">
  <ds:schemaRefs>
    <ds:schemaRef ds:uri="http://schemas.openxmlformats.org/officeDocument/2006/bibliography"/>
  </ds:schemaRefs>
</ds:datastoreItem>
</file>

<file path=customXml/itemProps2.xml><?xml version="1.0" encoding="utf-8"?>
<ds:datastoreItem xmlns:ds="http://schemas.openxmlformats.org/officeDocument/2006/customXml" ds:itemID="{D971E307-8703-414B-9EF7-A8396E35F08D}">
  <ds:schemaRefs>
    <ds:schemaRef ds:uri="http://schemas.microsoft.com/sharepoint/events"/>
  </ds:schemaRefs>
</ds:datastoreItem>
</file>

<file path=customXml/itemProps3.xml><?xml version="1.0" encoding="utf-8"?>
<ds:datastoreItem xmlns:ds="http://schemas.openxmlformats.org/officeDocument/2006/customXml" ds:itemID="{FD88506C-6627-4CD1-9BA6-6D96B688CFED}">
  <ds:schemaRefs>
    <ds:schemaRef ds:uri="http://schemas.microsoft.com/office/2006/metadata/properties"/>
    <ds:schemaRef ds:uri="http://schemas.microsoft.com/office/infopath/2007/PartnerControls"/>
    <ds:schemaRef ds:uri="026d8262-4725-4a9c-834e-3f991ab17ffd"/>
    <ds:schemaRef ds:uri="04b8ec43-391f-4ce4-8841-d6a482add564"/>
  </ds:schemaRefs>
</ds:datastoreItem>
</file>

<file path=customXml/itemProps4.xml><?xml version="1.0" encoding="utf-8"?>
<ds:datastoreItem xmlns:ds="http://schemas.openxmlformats.org/officeDocument/2006/customXml" ds:itemID="{DED10477-1993-400E-AFFC-6855CF5B7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026d8262-4725-4a9c-834e-3f991ab17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E584EAC-3F6A-43F5-A54A-7C438EF596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2610</Words>
  <Characters>14707</Characters>
  <Application>Microsoft Office Word</Application>
  <DocSecurity>0</DocSecurity>
  <Lines>122</Lines>
  <Paragraphs>34</Paragraphs>
  <ScaleCrop>false</ScaleCrop>
  <HeadingPairs>
    <vt:vector size="4" baseType="variant">
      <vt:variant>
        <vt:lpstr>Title</vt:lpstr>
      </vt:variant>
      <vt:variant>
        <vt:i4>1</vt:i4>
      </vt:variant>
      <vt:variant>
        <vt:lpstr>Headings</vt:lpstr>
      </vt:variant>
      <vt:variant>
        <vt:i4>26</vt:i4>
      </vt:variant>
    </vt:vector>
  </HeadingPairs>
  <TitlesOfParts>
    <vt:vector size="27" baseType="lpstr">
      <vt:lpstr>LEGISLATIVE INSTRUMENTS ACT 2003</vt:lpstr>
      <vt:lpstr>        Broadcasting Services (Anti-terrorism Requirements for Television Narrowcasting </vt:lpstr>
      <vt:lpstr>        Part 1 	Preliminary</vt:lpstr>
      <vt:lpstr>        Section 1	Name of instrument</vt:lpstr>
      <vt:lpstr>        Section 2	Commencement</vt:lpstr>
      <vt:lpstr>        Section 3	Authority</vt:lpstr>
      <vt:lpstr>        Section 4	Repeals</vt:lpstr>
      <vt:lpstr>        Section 5	Definitions and interpretation</vt:lpstr>
      <vt:lpstr>        Section 6	References to other instruments</vt:lpstr>
      <vt:lpstr>        This section provides that in the Standard, unless the contrary intention appear</vt:lpstr>
      <vt:lpstr>        a reference to any other legislative instrument is a reference to that other leg</vt:lpstr>
      <vt:lpstr>        a reference to any other kind of instrument is a reference to that other instrum</vt:lpstr>
      <vt:lpstr>        Part 2 	Introduction</vt:lpstr>
      <vt:lpstr>        Section 7	Object of standard</vt:lpstr>
      <vt:lpstr>        Section 8	Application</vt:lpstr>
      <vt:lpstr>        Part 3 	Anti-terrorism Requirements</vt:lpstr>
      <vt:lpstr>        Section 9	Recruiting for a listed terrorist</vt:lpstr>
      <vt:lpstr>        Section 10	Financing terrorism</vt:lpstr>
      <vt:lpstr>        Section 12	Programs of political opinion not affected</vt:lpstr>
      <vt:lpstr>Section 12 provides that the Standard does not prohibit broadcasts of informativ</vt:lpstr>
      <vt:lpstr>        Section 13	Bona fide reports and comments not affected</vt:lpstr>
      <vt:lpstr>Section 13 enables a licensee to broadcast an excerpt of a program which would o</vt:lpstr>
      <vt:lpstr>    Attachment B</vt:lpstr>
      <vt:lpstr>    Statement of Compatibility with Human Rights</vt:lpstr>
      <vt:lpstr>        Overview of the  Instrument</vt:lpstr>
      <vt:lpstr>        Human rights implications</vt:lpstr>
      <vt:lpstr>        Conclusion</vt:lpstr>
    </vt:vector>
  </TitlesOfParts>
  <LinksUpToDate>false</LinksUpToDate>
  <CharactersWithSpaces>17283</CharactersWithSpaces>
  <SharedDoc>false</SharedDoc>
  <HLinks>
    <vt:vector size="12" baseType="variant">
      <vt:variant>
        <vt:i4>3407922</vt:i4>
      </vt:variant>
      <vt:variant>
        <vt:i4>3</vt:i4>
      </vt:variant>
      <vt:variant>
        <vt:i4>0</vt:i4>
      </vt:variant>
      <vt:variant>
        <vt:i4>5</vt:i4>
      </vt:variant>
      <vt:variant>
        <vt:lpwstr>http://www.dfat.gov.au/</vt:lpwstr>
      </vt:variant>
      <vt:variant>
        <vt:lpwstr/>
      </vt:variant>
      <vt:variant>
        <vt:i4>3342378</vt:i4>
      </vt:variant>
      <vt:variant>
        <vt:i4>0</vt:i4>
      </vt:variant>
      <vt:variant>
        <vt:i4>0</vt:i4>
      </vt:variant>
      <vt:variant>
        <vt:i4>5</vt:i4>
      </vt:variant>
      <vt:variant>
        <vt:lpwstr>http://www.nationalsecurity.gov.au/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INSTRUMENTS ACT 2003</dc:title>
  <dc:subject/>
  <dc:creator/>
  <cp:keywords/>
  <cp:lastModifiedBy/>
  <cp:revision>1</cp:revision>
  <cp:lastPrinted>2008-11-12T01:04:00Z</cp:lastPrinted>
  <dcterms:created xsi:type="dcterms:W3CDTF">2021-09-07T01:12:00Z</dcterms:created>
  <dcterms:modified xsi:type="dcterms:W3CDTF">2021-09-07T01:44:00Z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32d3dccc-60d6-46bc-80f9-fddd83f07f0b</vt:lpwstr>
  </property>
  <property fmtid="{D5CDD505-2E9C-101B-9397-08002B2CF9AE}" pid="4" name="ContentTypeId">
    <vt:lpwstr>0x010100E2EB147E7279724581487018DE8E8B00</vt:lpwstr>
  </property>
</Properties>
</file>