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BF5E78" w:rsidRDefault="00FA6784" w:rsidP="00FA6784">
      <w:pPr>
        <w:pStyle w:val="H3"/>
        <w:jc w:val="center"/>
        <w:rPr>
          <w:sz w:val="24"/>
          <w:szCs w:val="24"/>
        </w:rPr>
      </w:pPr>
      <w:r w:rsidRPr="00BF5E78">
        <w:rPr>
          <w:sz w:val="24"/>
          <w:szCs w:val="24"/>
        </w:rPr>
        <w:t>EXPLANATORY STATEMENT</w:t>
      </w:r>
    </w:p>
    <w:p w14:paraId="2412D122" w14:textId="18553286" w:rsidR="00FA6784" w:rsidRPr="00BF5E78" w:rsidRDefault="00FA6784" w:rsidP="00945D58">
      <w:pPr>
        <w:rPr>
          <w:i/>
          <w:iCs/>
          <w:sz w:val="20"/>
        </w:rPr>
      </w:pPr>
    </w:p>
    <w:p w14:paraId="2412D123" w14:textId="77777777" w:rsidR="00FA6784" w:rsidRPr="00BF5E78" w:rsidRDefault="00FA6784" w:rsidP="00FA6784">
      <w:pPr>
        <w:jc w:val="center"/>
        <w:rPr>
          <w:i/>
          <w:iCs/>
        </w:rPr>
      </w:pPr>
      <w:r w:rsidRPr="00BF5E78">
        <w:rPr>
          <w:i/>
          <w:iCs/>
        </w:rPr>
        <w:t>Health Insurance Act 1973</w:t>
      </w:r>
    </w:p>
    <w:p w14:paraId="2412D124" w14:textId="77777777" w:rsidR="00A1739A" w:rsidRPr="00BF5E78" w:rsidRDefault="00A1739A" w:rsidP="00A1739A">
      <w:pPr>
        <w:rPr>
          <w:szCs w:val="24"/>
          <w:u w:val="single"/>
        </w:rPr>
      </w:pPr>
    </w:p>
    <w:p w14:paraId="1683493E" w14:textId="4711C99A" w:rsidR="00945D58" w:rsidRPr="00BF5E78" w:rsidRDefault="00657EB5"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bookmarkStart w:id="0" w:name="_Hlk81382126"/>
      <w:r w:rsidRPr="00BF5E78">
        <w:rPr>
          <w:i/>
        </w:rPr>
        <w:t>Health Insurance (Section 3C General Medical – Expansion of GP and Allied Health Chronic Disease Management Services for Care Recipients of a Residential Aged Care Facility) Amendment Determination 2021</w:t>
      </w:r>
    </w:p>
    <w:bookmarkEnd w:id="0"/>
    <w:p w14:paraId="106FE7B3" w14:textId="77777777" w:rsidR="00657EB5" w:rsidRPr="00BF5E78" w:rsidRDefault="00657EB5"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503C8CA5" w:rsidR="00164A69" w:rsidRPr="00BF5E78"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BF5E78">
        <w:rPr>
          <w:color w:val="000000"/>
          <w:shd w:val="clear" w:color="auto" w:fill="FFFFFF"/>
        </w:rPr>
        <w:t xml:space="preserve">Subsection 3C(1) of the </w:t>
      </w:r>
      <w:r w:rsidRPr="00BF5E78">
        <w:rPr>
          <w:i/>
          <w:color w:val="000000"/>
          <w:shd w:val="clear" w:color="auto" w:fill="FFFFFF"/>
        </w:rPr>
        <w:t>Health Insurance Act 1973</w:t>
      </w:r>
      <w:r w:rsidRPr="00BF5E78">
        <w:rPr>
          <w:color w:val="000000"/>
          <w:shd w:val="clear" w:color="auto" w:fill="FFFFFF"/>
        </w:rPr>
        <w:t xml:space="preserve"> (the Act) </w:t>
      </w:r>
      <w:r w:rsidR="00477C74" w:rsidRPr="00BF5E78">
        <w:rPr>
          <w:color w:val="000000"/>
          <w:shd w:val="clear" w:color="auto" w:fill="FFFFFF"/>
        </w:rPr>
        <w:t>provide</w:t>
      </w:r>
      <w:r w:rsidR="002E5708" w:rsidRPr="00BF5E78">
        <w:rPr>
          <w:color w:val="000000"/>
          <w:shd w:val="clear" w:color="auto" w:fill="FFFFFF"/>
        </w:rPr>
        <w:t>s</w:t>
      </w:r>
      <w:r w:rsidR="00477C74" w:rsidRPr="00BF5E78">
        <w:rPr>
          <w:color w:val="000000"/>
          <w:shd w:val="clear" w:color="auto" w:fill="FFFFFF"/>
        </w:rPr>
        <w:t xml:space="preserve"> that</w:t>
      </w:r>
      <w:r w:rsidRPr="00BF5E78">
        <w:rPr>
          <w:color w:val="000000"/>
          <w:shd w:val="clear" w:color="auto" w:fill="FFFFFF"/>
        </w:rPr>
        <w:t xml:space="preserve"> the Minister </w:t>
      </w:r>
      <w:r w:rsidR="00477C74" w:rsidRPr="00BF5E78">
        <w:rPr>
          <w:color w:val="000000"/>
          <w:shd w:val="clear" w:color="auto" w:fill="FFFFFF"/>
        </w:rPr>
        <w:t>may</w:t>
      </w:r>
      <w:r w:rsidRPr="00BF5E78">
        <w:rPr>
          <w:color w:val="000000"/>
          <w:shd w:val="clear" w:color="auto" w:fill="FFFFFF"/>
        </w:rPr>
        <w:t xml:space="preserve">, by legislative instrument, determine that a health service not specified in an item in the </w:t>
      </w:r>
      <w:r w:rsidR="00657EB5" w:rsidRPr="00BF5E78">
        <w:rPr>
          <w:color w:val="000000"/>
          <w:shd w:val="clear" w:color="auto" w:fill="FFFFFF"/>
        </w:rPr>
        <w:t>general medical</w:t>
      </w:r>
      <w:r w:rsidR="00ED751C" w:rsidRPr="00BF5E78">
        <w:rPr>
          <w:color w:val="000000"/>
          <w:shd w:val="clear" w:color="auto" w:fill="FFFFFF"/>
        </w:rPr>
        <w:t xml:space="preserve"> service</w:t>
      </w:r>
      <w:r w:rsidR="009463D8" w:rsidRPr="00BF5E78">
        <w:rPr>
          <w:color w:val="000000"/>
          <w:shd w:val="clear" w:color="auto" w:fill="FFFFFF"/>
        </w:rPr>
        <w:t>s</w:t>
      </w:r>
      <w:r w:rsidRPr="00BF5E78">
        <w:rPr>
          <w:color w:val="000000"/>
          <w:shd w:val="clear" w:color="auto" w:fill="FFFFFF"/>
        </w:rPr>
        <w:t xml:space="preserve"> table </w:t>
      </w:r>
      <w:r w:rsidR="00D01D5A" w:rsidRPr="00BF5E78">
        <w:rPr>
          <w:color w:val="000000"/>
          <w:shd w:val="clear" w:color="auto" w:fill="FFFFFF"/>
        </w:rPr>
        <w:t xml:space="preserve">(the Table) </w:t>
      </w:r>
      <w:r w:rsidRPr="00BF5E78">
        <w:rPr>
          <w:color w:val="000000"/>
          <w:shd w:val="clear" w:color="auto" w:fill="FFFFFF"/>
        </w:rPr>
        <w:t xml:space="preserve">shall, in specified circumstances and for specified statutory provisions, be treated as if it were specified in the </w:t>
      </w:r>
      <w:r w:rsidR="00D01D5A" w:rsidRPr="00BF5E78">
        <w:rPr>
          <w:color w:val="000000"/>
          <w:shd w:val="clear" w:color="auto" w:fill="FFFFFF"/>
        </w:rPr>
        <w:t xml:space="preserve">Table. </w:t>
      </w:r>
      <w:r w:rsidRPr="00BF5E78">
        <w:rPr>
          <w:color w:val="FF0000"/>
          <w:shd w:val="clear" w:color="auto" w:fill="FFFFFF"/>
        </w:rPr>
        <w:t xml:space="preserve">  </w:t>
      </w:r>
    </w:p>
    <w:p w14:paraId="7DB18649" w14:textId="77777777" w:rsidR="00841EDA" w:rsidRPr="00BF5E7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63EE377" w14:textId="37D0D51B" w:rsidR="009463D8" w:rsidRPr="00BF5E78" w:rsidRDefault="009463D8"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szCs w:val="24"/>
          <w:shd w:val="clear" w:color="auto" w:fill="FFFFFF"/>
        </w:rPr>
      </w:pPr>
      <w:r w:rsidRPr="00BF5E78">
        <w:rPr>
          <w:szCs w:val="24"/>
        </w:rPr>
        <w:t xml:space="preserve">The Table is set out in the regulations made under </w:t>
      </w:r>
      <w:r w:rsidR="00657EB5" w:rsidRPr="00BF5E78">
        <w:rPr>
          <w:szCs w:val="24"/>
        </w:rPr>
        <w:t>sub</w:t>
      </w:r>
      <w:r w:rsidRPr="00BF5E78">
        <w:rPr>
          <w:szCs w:val="24"/>
        </w:rPr>
        <w:t>section 4</w:t>
      </w:r>
      <w:r w:rsidR="00657EB5" w:rsidRPr="00BF5E78">
        <w:rPr>
          <w:szCs w:val="24"/>
        </w:rPr>
        <w:t xml:space="preserve">(1) </w:t>
      </w:r>
      <w:r w:rsidRPr="00BF5E78">
        <w:rPr>
          <w:szCs w:val="24"/>
        </w:rPr>
        <w:t xml:space="preserve">of the Act. The most recent version of the regulations is the </w:t>
      </w:r>
      <w:r w:rsidRPr="00BF5E78">
        <w:rPr>
          <w:i/>
          <w:iCs/>
          <w:color w:val="000000"/>
          <w:szCs w:val="24"/>
          <w:shd w:val="clear" w:color="auto" w:fill="FFFFFF"/>
        </w:rPr>
        <w:t>Health Insurance (</w:t>
      </w:r>
      <w:r w:rsidR="00657EB5" w:rsidRPr="00BF5E78">
        <w:rPr>
          <w:i/>
          <w:iCs/>
          <w:color w:val="000000"/>
          <w:szCs w:val="24"/>
          <w:shd w:val="clear" w:color="auto" w:fill="FFFFFF"/>
        </w:rPr>
        <w:t>General Medical Services Table</w:t>
      </w:r>
      <w:r w:rsidRPr="00BF5E78">
        <w:rPr>
          <w:i/>
          <w:iCs/>
          <w:color w:val="000000"/>
          <w:szCs w:val="24"/>
          <w:shd w:val="clear" w:color="auto" w:fill="FFFFFF"/>
        </w:rPr>
        <w:t>) Regulations 202</w:t>
      </w:r>
      <w:r w:rsidR="00657EB5" w:rsidRPr="00BF5E78">
        <w:rPr>
          <w:i/>
          <w:iCs/>
          <w:color w:val="000000"/>
          <w:szCs w:val="24"/>
          <w:shd w:val="clear" w:color="auto" w:fill="FFFFFF"/>
        </w:rPr>
        <w:t>1</w:t>
      </w:r>
      <w:r w:rsidRPr="00BF5E78">
        <w:rPr>
          <w:i/>
          <w:iCs/>
          <w:color w:val="000000"/>
          <w:szCs w:val="24"/>
          <w:shd w:val="clear" w:color="auto" w:fill="FFFFFF"/>
        </w:rPr>
        <w:t>.</w:t>
      </w:r>
    </w:p>
    <w:p w14:paraId="186E4E76" w14:textId="77777777" w:rsidR="009463D8" w:rsidRPr="00BF5E78" w:rsidRDefault="009463D8"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BF5E7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F5E78">
        <w:t xml:space="preserve">This instrument relies on subsection 33(3) of the </w:t>
      </w:r>
      <w:r w:rsidRPr="00BF5E78">
        <w:rPr>
          <w:i/>
        </w:rPr>
        <w:t>Acts Interpretation Act 1901</w:t>
      </w:r>
      <w:r w:rsidRPr="00BF5E78">
        <w:t xml:space="preserve"> (AIA).  Subsection 33(3) of the AIA</w:t>
      </w:r>
      <w:r w:rsidRPr="00BF5E78">
        <w:rPr>
          <w:i/>
        </w:rPr>
        <w:t xml:space="preserve"> </w:t>
      </w:r>
      <w:r w:rsidRPr="00BF5E78">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BF5E78" w:rsidRDefault="008C5F1C" w:rsidP="00D33180">
      <w:pPr>
        <w:autoSpaceDE w:val="0"/>
        <w:autoSpaceDN w:val="0"/>
        <w:adjustRightInd w:val="0"/>
        <w:ind w:right="-483"/>
        <w:rPr>
          <w:szCs w:val="24"/>
        </w:rPr>
      </w:pPr>
    </w:p>
    <w:p w14:paraId="2412D12A" w14:textId="77777777" w:rsidR="00BB00BA" w:rsidRPr="00BF5E78" w:rsidRDefault="00A1739A" w:rsidP="00BB00BA">
      <w:pPr>
        <w:rPr>
          <w:b/>
          <w:szCs w:val="24"/>
          <w:lang w:val="en-US" w:eastAsia="en-US"/>
        </w:rPr>
      </w:pPr>
      <w:r w:rsidRPr="00BF5E78">
        <w:rPr>
          <w:b/>
          <w:szCs w:val="24"/>
          <w:lang w:val="en-US" w:eastAsia="en-US"/>
        </w:rPr>
        <w:t>Purpose</w:t>
      </w:r>
    </w:p>
    <w:p w14:paraId="2E028283" w14:textId="4FCC45C9" w:rsidR="00C83CA1" w:rsidRPr="00BF5E78" w:rsidRDefault="00DC4609"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BF5E78">
        <w:rPr>
          <w:color w:val="000000" w:themeColor="text1"/>
          <w:szCs w:val="24"/>
        </w:rPr>
        <w:t>The purpose of the</w:t>
      </w:r>
      <w:r w:rsidRPr="00BF5E78">
        <w:rPr>
          <w:color w:val="000000" w:themeColor="text1"/>
        </w:rPr>
        <w:t xml:space="preserve"> </w:t>
      </w:r>
      <w:r w:rsidR="00657EB5" w:rsidRPr="00BF5E78">
        <w:rPr>
          <w:i/>
          <w:iCs/>
          <w:color w:val="000000" w:themeColor="text1"/>
        </w:rPr>
        <w:t xml:space="preserve">Health Insurance (Section 3C General Medical – Expansion of GP and Allied Health Chronic Disease Management Services for Care Recipients of a Residential Aged Care Facility) Amendment Determination 2021 </w:t>
      </w:r>
      <w:r w:rsidR="00ED751C" w:rsidRPr="00BF5E78">
        <w:rPr>
          <w:iCs/>
          <w:color w:val="000000" w:themeColor="text1"/>
        </w:rPr>
        <w:t xml:space="preserve">(the Amendment Determination) </w:t>
      </w:r>
      <w:r w:rsidR="00C83CA1" w:rsidRPr="00BF5E78">
        <w:rPr>
          <w:iCs/>
          <w:color w:val="000000" w:themeColor="text1"/>
        </w:rPr>
        <w:t xml:space="preserve">is to </w:t>
      </w:r>
      <w:r w:rsidR="00657EB5" w:rsidRPr="00BF5E78">
        <w:rPr>
          <w:iCs/>
          <w:color w:val="000000" w:themeColor="text1"/>
        </w:rPr>
        <w:t xml:space="preserve">amend six </w:t>
      </w:r>
      <w:r w:rsidR="00917B92" w:rsidRPr="00BF5E78">
        <w:rPr>
          <w:iCs/>
          <w:color w:val="000000" w:themeColor="text1"/>
        </w:rPr>
        <w:t xml:space="preserve">temporary </w:t>
      </w:r>
      <w:r w:rsidR="00657EB5" w:rsidRPr="00BF5E78">
        <w:rPr>
          <w:iCs/>
          <w:color w:val="000000" w:themeColor="text1"/>
        </w:rPr>
        <w:t xml:space="preserve">allied health items </w:t>
      </w:r>
      <w:r w:rsidR="00E67451" w:rsidRPr="00BF5E78">
        <w:rPr>
          <w:iCs/>
          <w:color w:val="000000" w:themeColor="text1"/>
        </w:rPr>
        <w:t xml:space="preserve">(93518, 93519, 93520, 93571, 93572 and 93753) </w:t>
      </w:r>
      <w:r w:rsidR="00657EB5" w:rsidRPr="00BF5E78">
        <w:rPr>
          <w:iCs/>
          <w:color w:val="000000" w:themeColor="text1"/>
        </w:rPr>
        <w:t>that are provided in a residential aged care facility</w:t>
      </w:r>
      <w:r w:rsidR="00043620" w:rsidRPr="00BF5E78">
        <w:rPr>
          <w:iCs/>
          <w:color w:val="000000" w:themeColor="text1"/>
        </w:rPr>
        <w:t xml:space="preserve"> to remove the </w:t>
      </w:r>
      <w:r w:rsidR="00CB4CB4" w:rsidRPr="00BF5E78">
        <w:rPr>
          <w:iCs/>
          <w:color w:val="000000" w:themeColor="text1"/>
        </w:rPr>
        <w:t>restriction</w:t>
      </w:r>
      <w:r w:rsidR="00043620" w:rsidRPr="00BF5E78">
        <w:rPr>
          <w:iCs/>
          <w:color w:val="000000" w:themeColor="text1"/>
        </w:rPr>
        <w:t xml:space="preserve"> that the patient is required to have previously received five allied health services under an item in subgroup 1 or 3 of Group M29 or Group M3 in that calendar year.</w:t>
      </w:r>
      <w:r w:rsidR="00917B92" w:rsidRPr="00BF5E78">
        <w:rPr>
          <w:iCs/>
          <w:color w:val="000000" w:themeColor="text1"/>
        </w:rPr>
        <w:t xml:space="preserve"> </w:t>
      </w:r>
    </w:p>
    <w:p w14:paraId="1802C84B" w14:textId="3DCA9400" w:rsidR="00043620" w:rsidRPr="00BF5E78" w:rsidRDefault="00043620"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139092CE" w14:textId="4E568DA7" w:rsidR="00F85096" w:rsidRPr="00BF5E78" w:rsidRDefault="00E67451"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BF5E78">
        <w:rPr>
          <w:iCs/>
          <w:color w:val="000000" w:themeColor="text1"/>
        </w:rPr>
        <w:t xml:space="preserve">The temporary six allied health items commenced on 10 December 2020 </w:t>
      </w:r>
      <w:r w:rsidR="00F85096" w:rsidRPr="00BF5E78">
        <w:rPr>
          <w:iCs/>
          <w:color w:val="000000" w:themeColor="text1"/>
        </w:rPr>
        <w:t xml:space="preserve">as part of the Government’s response to the Aged Care Royal Commission’s recommendations on COVID-19. These items are </w:t>
      </w:r>
      <w:r w:rsidRPr="00BF5E78">
        <w:rPr>
          <w:iCs/>
          <w:color w:val="000000" w:themeColor="text1"/>
        </w:rPr>
        <w:t xml:space="preserve">listed in the </w:t>
      </w:r>
      <w:r w:rsidRPr="00BF5E78">
        <w:rPr>
          <w:i/>
          <w:color w:val="000000" w:themeColor="text1"/>
        </w:rPr>
        <w:t>Health Insurance (Section 3C General Medical – Expansion of GP and Allied Health Chronic Disease Management Services for Care Recipients of a Residential Aged Care Facility) Determination 2020</w:t>
      </w:r>
      <w:r w:rsidRPr="00BF5E78">
        <w:rPr>
          <w:iCs/>
          <w:color w:val="000000" w:themeColor="text1"/>
        </w:rPr>
        <w:t xml:space="preserve"> (the Principal Determination)</w:t>
      </w:r>
      <w:r w:rsidR="00F85096" w:rsidRPr="00BF5E78">
        <w:rPr>
          <w:iCs/>
          <w:color w:val="000000" w:themeColor="text1"/>
        </w:rPr>
        <w:t xml:space="preserve"> and will cease on 30 June 2022.</w:t>
      </w:r>
    </w:p>
    <w:p w14:paraId="79E523B6" w14:textId="77777777" w:rsidR="00F85096" w:rsidRPr="00BF5E78" w:rsidRDefault="00F85096"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1F9CAB07" w14:textId="0DD7896E" w:rsidR="00043620" w:rsidRPr="00BF5E78" w:rsidRDefault="00E67451"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BF5E78">
        <w:rPr>
          <w:iCs/>
          <w:color w:val="000000" w:themeColor="text1"/>
        </w:rPr>
        <w:t xml:space="preserve">Items 93518, 93519 and 93520 are for a chronic disease management physical therapy service that is provided </w:t>
      </w:r>
      <w:r w:rsidR="00F85096" w:rsidRPr="00BF5E78">
        <w:rPr>
          <w:iCs/>
          <w:color w:val="000000" w:themeColor="text1"/>
        </w:rPr>
        <w:t xml:space="preserve">to care recipients </w:t>
      </w:r>
      <w:r w:rsidRPr="00BF5E78">
        <w:rPr>
          <w:iCs/>
          <w:color w:val="000000" w:themeColor="text1"/>
        </w:rPr>
        <w:t>in residential aged care facilit</w:t>
      </w:r>
      <w:r w:rsidR="00CB4CB4" w:rsidRPr="00BF5E78">
        <w:rPr>
          <w:iCs/>
          <w:color w:val="000000" w:themeColor="text1"/>
        </w:rPr>
        <w:t>ies</w:t>
      </w:r>
      <w:r w:rsidR="00F85096" w:rsidRPr="00BF5E78">
        <w:rPr>
          <w:iCs/>
          <w:color w:val="000000" w:themeColor="text1"/>
        </w:rPr>
        <w:t>. Items 93571, 93572 and 93753 are for a chronic disease management physical therapy service that is provided to care recipients in residential aged care facilities of Aboriginal and Torres Strait Islander descent.</w:t>
      </w:r>
    </w:p>
    <w:p w14:paraId="01E3B901" w14:textId="183D16A2" w:rsidR="00A757D0" w:rsidRPr="00BF5E78" w:rsidRDefault="00A757D0"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7A9A1254" w14:textId="4D351111" w:rsidR="00A757D0" w:rsidRPr="00BF5E78" w:rsidRDefault="00A757D0"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BF5E78">
        <w:rPr>
          <w:iCs/>
          <w:color w:val="000000" w:themeColor="text1"/>
        </w:rPr>
        <w:t>A service under these items is to be at least 20 minutes in duration, and include</w:t>
      </w:r>
      <w:r w:rsidR="00917B92" w:rsidRPr="00BF5E78">
        <w:rPr>
          <w:iCs/>
          <w:color w:val="000000" w:themeColor="text1"/>
        </w:rPr>
        <w:t>s</w:t>
      </w:r>
      <w:r w:rsidRPr="00BF5E78">
        <w:rPr>
          <w:iCs/>
          <w:color w:val="000000" w:themeColor="text1"/>
        </w:rPr>
        <w:t xml:space="preserve"> a number of requirements, including that the patient has previously received five allied </w:t>
      </w:r>
      <w:r w:rsidRPr="00BF5E78">
        <w:rPr>
          <w:iCs/>
          <w:color w:val="000000" w:themeColor="text1"/>
        </w:rPr>
        <w:lastRenderedPageBreak/>
        <w:t>health services under an item in subgroup 1 or 3 of Group M29 or Group M3 in that calendar year.</w:t>
      </w:r>
    </w:p>
    <w:p w14:paraId="13BBB3D9" w14:textId="22EF4CF2" w:rsidR="000E326A" w:rsidRPr="00BF5E78" w:rsidRDefault="000E326A"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5167B3D5" w14:textId="702CAF99" w:rsidR="000E326A" w:rsidRPr="00BF5E78" w:rsidRDefault="000E326A" w:rsidP="0096095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BF5E78">
        <w:rPr>
          <w:iCs/>
          <w:color w:val="000000" w:themeColor="text1"/>
        </w:rPr>
        <w:t xml:space="preserve">The Amendment Determination will remove </w:t>
      </w:r>
      <w:bookmarkStart w:id="1" w:name="_Hlk81386277"/>
      <w:r w:rsidRPr="00BF5E78">
        <w:rPr>
          <w:iCs/>
          <w:color w:val="000000" w:themeColor="text1"/>
        </w:rPr>
        <w:t xml:space="preserve">the </w:t>
      </w:r>
      <w:r w:rsidR="00CB4CB4" w:rsidRPr="00BF5E78">
        <w:rPr>
          <w:iCs/>
          <w:color w:val="000000" w:themeColor="text1"/>
        </w:rPr>
        <w:t>restriction</w:t>
      </w:r>
      <w:r w:rsidRPr="00BF5E78">
        <w:rPr>
          <w:iCs/>
          <w:color w:val="000000" w:themeColor="text1"/>
        </w:rPr>
        <w:t xml:space="preserve"> that </w:t>
      </w:r>
      <w:r w:rsidR="00917B92" w:rsidRPr="00BF5E78">
        <w:rPr>
          <w:iCs/>
          <w:color w:val="000000" w:themeColor="text1"/>
        </w:rPr>
        <w:t>the</w:t>
      </w:r>
      <w:r w:rsidRPr="00BF5E78">
        <w:rPr>
          <w:iCs/>
          <w:color w:val="000000" w:themeColor="text1"/>
        </w:rPr>
        <w:t xml:space="preserve"> patient is required to have </w:t>
      </w:r>
      <w:r w:rsidR="00917B92" w:rsidRPr="00BF5E78">
        <w:rPr>
          <w:iCs/>
          <w:color w:val="000000" w:themeColor="text1"/>
        </w:rPr>
        <w:t xml:space="preserve">previously </w:t>
      </w:r>
      <w:r w:rsidRPr="00BF5E78">
        <w:rPr>
          <w:iCs/>
          <w:color w:val="000000" w:themeColor="text1"/>
        </w:rPr>
        <w:t>received a</w:t>
      </w:r>
      <w:r w:rsidR="001C75E8" w:rsidRPr="00BF5E78">
        <w:rPr>
          <w:iCs/>
          <w:color w:val="000000" w:themeColor="text1"/>
        </w:rPr>
        <w:t>ny</w:t>
      </w:r>
      <w:r w:rsidRPr="00BF5E78">
        <w:rPr>
          <w:iCs/>
          <w:color w:val="000000" w:themeColor="text1"/>
        </w:rPr>
        <w:t xml:space="preserve"> service</w:t>
      </w:r>
      <w:r w:rsidR="001C75E8" w:rsidRPr="00BF5E78">
        <w:rPr>
          <w:iCs/>
          <w:color w:val="000000" w:themeColor="text1"/>
        </w:rPr>
        <w:t>s</w:t>
      </w:r>
      <w:r w:rsidRPr="00BF5E78">
        <w:rPr>
          <w:iCs/>
          <w:color w:val="000000" w:themeColor="text1"/>
        </w:rPr>
        <w:t xml:space="preserve"> under an item in subgroup 1 or 3 of Group M29 or Group M3 in that calendar year</w:t>
      </w:r>
      <w:bookmarkEnd w:id="1"/>
      <w:r w:rsidRPr="00BF5E78">
        <w:rPr>
          <w:iCs/>
          <w:color w:val="000000" w:themeColor="text1"/>
        </w:rPr>
        <w:t xml:space="preserve">. </w:t>
      </w:r>
      <w:r w:rsidR="00E10F64" w:rsidRPr="00BF5E78">
        <w:rPr>
          <w:iCs/>
          <w:color w:val="000000" w:themeColor="text1"/>
        </w:rPr>
        <w:t xml:space="preserve">This restriction provides an unintentional barrier to utilising the additional physical therapy items, as there are a number of different types of allied health professionals who can utilise the first five items in Groups M29 and M3, and these sessions may be distributed throughout the calendar year. </w:t>
      </w:r>
      <w:r w:rsidRPr="00BF5E78">
        <w:rPr>
          <w:iCs/>
          <w:color w:val="000000" w:themeColor="text1"/>
        </w:rPr>
        <w:t xml:space="preserve">This is an administrative change which will reflect the original policy intent of these items. </w:t>
      </w:r>
    </w:p>
    <w:p w14:paraId="77E835B2" w14:textId="1C9FB1EA" w:rsidR="00693A3E" w:rsidRPr="00BF5E78" w:rsidRDefault="00A1739A" w:rsidP="00693A3E">
      <w:pPr>
        <w:shd w:val="clear" w:color="auto" w:fill="FFFFFF"/>
        <w:spacing w:before="100" w:beforeAutospacing="1"/>
        <w:rPr>
          <w:b/>
        </w:rPr>
      </w:pPr>
      <w:r w:rsidRPr="00BF5E78">
        <w:rPr>
          <w:b/>
        </w:rPr>
        <w:t>Consultation</w:t>
      </w:r>
    </w:p>
    <w:p w14:paraId="56729E4B" w14:textId="2F4CE8E9" w:rsidR="000E326A" w:rsidRPr="00BF5E78" w:rsidRDefault="000E326A" w:rsidP="00693A3E">
      <w:pPr>
        <w:shd w:val="clear" w:color="auto" w:fill="FFFFFF"/>
      </w:pPr>
      <w:r w:rsidRPr="00BF5E78">
        <w:t xml:space="preserve">The Royal Commission into Aged Care Quality and Safety recommended the immediate creation of items to facilitate access to additional health support for residents of aged care. </w:t>
      </w:r>
      <w:r w:rsidR="00917B92" w:rsidRPr="00BF5E78">
        <w:t>To inform this policy, the</w:t>
      </w:r>
      <w:r w:rsidRPr="00BF5E78">
        <w:t xml:space="preserve"> Government received stakeholder advice supporting the expansion of health services</w:t>
      </w:r>
      <w:r w:rsidR="00CB4CB4" w:rsidRPr="00BF5E78">
        <w:t>, including for allied health,</w:t>
      </w:r>
      <w:r w:rsidRPr="00BF5E78">
        <w:t xml:space="preserve"> for care recipients in a residential aged care facility.</w:t>
      </w:r>
    </w:p>
    <w:p w14:paraId="6873918D" w14:textId="34A3C86F" w:rsidR="000E326A" w:rsidRPr="00BF5E78" w:rsidRDefault="000E326A" w:rsidP="00693A3E">
      <w:pPr>
        <w:shd w:val="clear" w:color="auto" w:fill="FFFFFF"/>
      </w:pPr>
    </w:p>
    <w:p w14:paraId="0A4D079F" w14:textId="6E44E4EE" w:rsidR="000E326A" w:rsidRPr="00BF5E78" w:rsidRDefault="000E326A" w:rsidP="00693A3E">
      <w:pPr>
        <w:shd w:val="clear" w:color="auto" w:fill="FFFFFF"/>
      </w:pPr>
      <w:r w:rsidRPr="00BF5E78">
        <w:t xml:space="preserve">Consultation on the Amendment Determination was not undertaken as the changes reflect the original policy intent of the allied health items and </w:t>
      </w:r>
      <w:r w:rsidR="007D64DE" w:rsidRPr="00BF5E78">
        <w:t>are</w:t>
      </w:r>
      <w:r w:rsidRPr="00BF5E78">
        <w:t xml:space="preserve"> administrative in nature.</w:t>
      </w:r>
      <w:r w:rsidR="00E10F64" w:rsidRPr="00BF5E78">
        <w:t xml:space="preserve"> The Department of Health received feedback from allied health stakeholders and Primary </w:t>
      </w:r>
      <w:r w:rsidR="00BF5793" w:rsidRPr="00BF5E78">
        <w:t>Health</w:t>
      </w:r>
      <w:r w:rsidR="00E10F64" w:rsidRPr="00BF5E78">
        <w:t xml:space="preserve"> Networks confirming that the restriction was an unintentional barrier to utilising the items.</w:t>
      </w:r>
    </w:p>
    <w:p w14:paraId="256ACAFC" w14:textId="1EA69E78" w:rsidR="00181EBB" w:rsidRPr="00BF5E78" w:rsidRDefault="00181EBB" w:rsidP="00693A3E">
      <w:pPr>
        <w:shd w:val="clear" w:color="auto" w:fill="FFFFFF"/>
      </w:pPr>
    </w:p>
    <w:p w14:paraId="2412D134" w14:textId="6A15222B" w:rsidR="00967E51" w:rsidRPr="00BF5E78" w:rsidRDefault="00A1739A" w:rsidP="000337CB">
      <w:pPr>
        <w:rPr>
          <w:szCs w:val="24"/>
        </w:rPr>
      </w:pPr>
      <w:r w:rsidRPr="00BF5E78">
        <w:rPr>
          <w:szCs w:val="24"/>
        </w:rPr>
        <w:t xml:space="preserve">Details of the </w:t>
      </w:r>
      <w:r w:rsidR="0002752C" w:rsidRPr="00BF5E78">
        <w:rPr>
          <w:szCs w:val="24"/>
        </w:rPr>
        <w:t xml:space="preserve">Amendment </w:t>
      </w:r>
      <w:r w:rsidR="00574E71" w:rsidRPr="00BF5E78">
        <w:rPr>
          <w:szCs w:val="24"/>
        </w:rPr>
        <w:t>Determination</w:t>
      </w:r>
      <w:r w:rsidRPr="00BF5E78">
        <w:rPr>
          <w:szCs w:val="24"/>
        </w:rPr>
        <w:t xml:space="preserve"> are set out in the </w:t>
      </w:r>
      <w:r w:rsidRPr="00BF5E78">
        <w:rPr>
          <w:szCs w:val="24"/>
          <w:u w:val="single"/>
        </w:rPr>
        <w:t>Attachment</w:t>
      </w:r>
      <w:r w:rsidRPr="00BF5E78">
        <w:rPr>
          <w:szCs w:val="24"/>
        </w:rPr>
        <w:t>.</w:t>
      </w:r>
    </w:p>
    <w:p w14:paraId="2412D135" w14:textId="3B4656C1" w:rsidR="006C138D" w:rsidRPr="00BF5E78" w:rsidRDefault="00297AD0" w:rsidP="006C138D">
      <w:pPr>
        <w:tabs>
          <w:tab w:val="left" w:pos="567"/>
        </w:tabs>
        <w:spacing w:before="240"/>
        <w:rPr>
          <w:szCs w:val="24"/>
        </w:rPr>
      </w:pPr>
      <w:r w:rsidRPr="00BF5E78">
        <w:rPr>
          <w:szCs w:val="24"/>
        </w:rPr>
        <w:t xml:space="preserve">The </w:t>
      </w:r>
      <w:r w:rsidR="0002752C" w:rsidRPr="00BF5E78">
        <w:rPr>
          <w:szCs w:val="24"/>
        </w:rPr>
        <w:t xml:space="preserve">Amendment </w:t>
      </w:r>
      <w:r w:rsidR="00967E51" w:rsidRPr="00BF5E78">
        <w:rPr>
          <w:szCs w:val="24"/>
        </w:rPr>
        <w:t>Determination</w:t>
      </w:r>
      <w:r w:rsidRPr="00BF5E78">
        <w:rPr>
          <w:szCs w:val="24"/>
        </w:rPr>
        <w:t xml:space="preserve"> </w:t>
      </w:r>
      <w:r w:rsidR="007524B0" w:rsidRPr="00BF5E78">
        <w:rPr>
          <w:szCs w:val="24"/>
        </w:rPr>
        <w:t xml:space="preserve">commences </w:t>
      </w:r>
      <w:r w:rsidR="00957E17" w:rsidRPr="00BF5E78">
        <w:rPr>
          <w:szCs w:val="24"/>
        </w:rPr>
        <w:t xml:space="preserve">on </w:t>
      </w:r>
      <w:r w:rsidR="00D73B3D" w:rsidRPr="00BF5E78">
        <w:rPr>
          <w:szCs w:val="24"/>
        </w:rPr>
        <w:t>15 September</w:t>
      </w:r>
      <w:r w:rsidR="00957E17" w:rsidRPr="00BF5E78">
        <w:rPr>
          <w:szCs w:val="24"/>
        </w:rPr>
        <w:t xml:space="preserve"> 2021.</w:t>
      </w:r>
    </w:p>
    <w:p w14:paraId="2412D136" w14:textId="77777777" w:rsidR="00236DF2" w:rsidRPr="00BF5E78" w:rsidRDefault="00236DF2" w:rsidP="00574E71">
      <w:pPr>
        <w:rPr>
          <w:szCs w:val="24"/>
        </w:rPr>
      </w:pPr>
    </w:p>
    <w:p w14:paraId="2412D138" w14:textId="47B56DDA" w:rsidR="00574E71" w:rsidRPr="00BF5E78" w:rsidRDefault="0002728B" w:rsidP="00DE07E4">
      <w:pPr>
        <w:spacing w:after="200" w:line="276" w:lineRule="auto"/>
        <w:rPr>
          <w:szCs w:val="24"/>
        </w:rPr>
      </w:pPr>
      <w:r w:rsidRPr="00BF5E78">
        <w:rPr>
          <w:szCs w:val="24"/>
        </w:rPr>
        <w:t>T</w:t>
      </w:r>
      <w:r w:rsidR="00574E71" w:rsidRPr="00BF5E78">
        <w:rPr>
          <w:szCs w:val="24"/>
        </w:rPr>
        <w:t xml:space="preserve">he </w:t>
      </w:r>
      <w:r w:rsidR="0002752C" w:rsidRPr="00BF5E78">
        <w:rPr>
          <w:szCs w:val="24"/>
        </w:rPr>
        <w:t xml:space="preserve">Amendment </w:t>
      </w:r>
      <w:r w:rsidR="00574E71" w:rsidRPr="00BF5E78">
        <w:rPr>
          <w:szCs w:val="24"/>
        </w:rPr>
        <w:t xml:space="preserve">Determination is </w:t>
      </w:r>
      <w:r w:rsidR="004417A2" w:rsidRPr="00BF5E78">
        <w:rPr>
          <w:szCs w:val="24"/>
        </w:rPr>
        <w:t xml:space="preserve">a </w:t>
      </w:r>
      <w:r w:rsidR="00574E71" w:rsidRPr="00BF5E78">
        <w:rPr>
          <w:szCs w:val="24"/>
        </w:rPr>
        <w:t xml:space="preserve">legislative instrument for the purposes of the </w:t>
      </w:r>
      <w:r w:rsidR="00574E71" w:rsidRPr="00BF5E78">
        <w:rPr>
          <w:i/>
        </w:rPr>
        <w:t>Legislation Act 2003</w:t>
      </w:r>
      <w:r w:rsidR="00574E71" w:rsidRPr="00BF5E78">
        <w:rPr>
          <w:szCs w:val="24"/>
        </w:rPr>
        <w:t>.</w:t>
      </w:r>
    </w:p>
    <w:p w14:paraId="2412D139" w14:textId="77777777" w:rsidR="00A1739A" w:rsidRPr="00BF5E78" w:rsidRDefault="00A1739A" w:rsidP="000337CB">
      <w:pPr>
        <w:ind w:left="6663" w:hanging="3119"/>
        <w:rPr>
          <w:szCs w:val="24"/>
        </w:rPr>
      </w:pPr>
      <w:r w:rsidRPr="00BF5E78">
        <w:rPr>
          <w:szCs w:val="24"/>
        </w:rPr>
        <w:t xml:space="preserve">           </w:t>
      </w:r>
    </w:p>
    <w:p w14:paraId="2412D13A" w14:textId="77777777" w:rsidR="00A1739A" w:rsidRPr="00BF5E78" w:rsidRDefault="00A1739A" w:rsidP="000337CB">
      <w:pPr>
        <w:ind w:left="6663" w:hanging="3119"/>
        <w:rPr>
          <w:szCs w:val="24"/>
        </w:rPr>
      </w:pPr>
      <w:r w:rsidRPr="00BF5E78">
        <w:rPr>
          <w:szCs w:val="24"/>
          <w:u w:val="single"/>
        </w:rPr>
        <w:t>Authority</w:t>
      </w:r>
      <w:r w:rsidR="00967E51" w:rsidRPr="00BF5E78">
        <w:rPr>
          <w:szCs w:val="24"/>
        </w:rPr>
        <w:t xml:space="preserve">:     Subsection </w:t>
      </w:r>
      <w:r w:rsidRPr="00BF5E78">
        <w:rPr>
          <w:szCs w:val="24"/>
        </w:rPr>
        <w:t>3</w:t>
      </w:r>
      <w:r w:rsidR="00967E51" w:rsidRPr="00BF5E78">
        <w:rPr>
          <w:szCs w:val="24"/>
        </w:rPr>
        <w:t>C</w:t>
      </w:r>
      <w:r w:rsidRPr="00BF5E78">
        <w:rPr>
          <w:szCs w:val="24"/>
        </w:rPr>
        <w:t xml:space="preserve">(1) of the </w:t>
      </w:r>
    </w:p>
    <w:p w14:paraId="2412D13B" w14:textId="0596CD30" w:rsidR="00A1739A" w:rsidRPr="00BF5E78" w:rsidRDefault="00A1739A" w:rsidP="000337CB">
      <w:pPr>
        <w:tabs>
          <w:tab w:val="left" w:pos="4820"/>
        </w:tabs>
        <w:rPr>
          <w:szCs w:val="24"/>
        </w:rPr>
        <w:sectPr w:rsidR="00A1739A" w:rsidRPr="00BF5E78" w:rsidSect="00235B6C">
          <w:headerReference w:type="default" r:id="rId11"/>
          <w:pgSz w:w="11906" w:h="16838"/>
          <w:pgMar w:top="1440" w:right="1800" w:bottom="1135" w:left="1800" w:header="708" w:footer="708" w:gutter="0"/>
          <w:pgNumType w:start="1"/>
          <w:cols w:space="708"/>
          <w:docGrid w:linePitch="360"/>
        </w:sectPr>
      </w:pPr>
      <w:r w:rsidRPr="00BF5E78">
        <w:rPr>
          <w:i/>
          <w:szCs w:val="24"/>
        </w:rPr>
        <w:tab/>
        <w:t>Health Insurance Act 1973</w:t>
      </w:r>
    </w:p>
    <w:p w14:paraId="2412D13D" w14:textId="77777777" w:rsidR="006D5816" w:rsidRPr="00BF5E78" w:rsidRDefault="006D5816" w:rsidP="000337CB">
      <w:pPr>
        <w:pStyle w:val="BodyText"/>
        <w:jc w:val="right"/>
        <w:rPr>
          <w:szCs w:val="24"/>
        </w:rPr>
      </w:pPr>
      <w:r w:rsidRPr="00BF5E78">
        <w:rPr>
          <w:szCs w:val="24"/>
        </w:rPr>
        <w:lastRenderedPageBreak/>
        <w:t>ATTACHMENT</w:t>
      </w:r>
    </w:p>
    <w:p w14:paraId="2412D13E" w14:textId="77777777" w:rsidR="006D5816" w:rsidRPr="00BF5E78" w:rsidRDefault="006D5816" w:rsidP="000337CB">
      <w:pPr>
        <w:pStyle w:val="BodyText"/>
        <w:rPr>
          <w:szCs w:val="24"/>
          <w:u w:val="single"/>
        </w:rPr>
      </w:pPr>
    </w:p>
    <w:p w14:paraId="7BBEB147" w14:textId="63C86F9F" w:rsidR="00E70355" w:rsidRPr="00BF5E78" w:rsidRDefault="00A41364" w:rsidP="000337CB">
      <w:pPr>
        <w:pStyle w:val="BodyText"/>
        <w:rPr>
          <w:i/>
          <w:iCs/>
          <w:color w:val="000000" w:themeColor="text1"/>
        </w:rPr>
      </w:pPr>
      <w:r w:rsidRPr="00BF5E78">
        <w:rPr>
          <w:color w:val="000000" w:themeColor="text1"/>
          <w:szCs w:val="24"/>
        </w:rPr>
        <w:t xml:space="preserve">Details of the </w:t>
      </w:r>
      <w:r w:rsidR="00625B1A" w:rsidRPr="00BF5E78">
        <w:rPr>
          <w:i/>
          <w:iCs/>
          <w:color w:val="000000" w:themeColor="text1"/>
        </w:rPr>
        <w:t>Health Insurance (Section 3C General Medical – Expansion of GP and Allied Health Chronic Disease Management Services for Care Recipients of a Residential Aged Care Facility) Amendment Determination 2021</w:t>
      </w:r>
    </w:p>
    <w:p w14:paraId="4D7C0240" w14:textId="77777777" w:rsidR="00945D58" w:rsidRPr="00BF5E78" w:rsidRDefault="00945D58" w:rsidP="000337CB">
      <w:pPr>
        <w:pStyle w:val="BodyText"/>
        <w:rPr>
          <w:b w:val="0"/>
          <w:i/>
          <w:szCs w:val="24"/>
        </w:rPr>
      </w:pPr>
    </w:p>
    <w:p w14:paraId="2412D141" w14:textId="7C34D5F4" w:rsidR="00FE02C2" w:rsidRPr="00BF5E78" w:rsidRDefault="001B0111" w:rsidP="000337CB">
      <w:pPr>
        <w:pStyle w:val="BodyText"/>
        <w:rPr>
          <w:b w:val="0"/>
          <w:szCs w:val="24"/>
          <w:u w:val="single"/>
        </w:rPr>
      </w:pPr>
      <w:r w:rsidRPr="00BF5E78">
        <w:rPr>
          <w:b w:val="0"/>
          <w:szCs w:val="24"/>
          <w:u w:val="single"/>
        </w:rPr>
        <w:t>Section 1 – Name</w:t>
      </w:r>
    </w:p>
    <w:p w14:paraId="2412D142" w14:textId="77777777" w:rsidR="00FE02C2" w:rsidRPr="00BF5E78" w:rsidRDefault="00FE02C2" w:rsidP="000337CB">
      <w:pPr>
        <w:pStyle w:val="BodyText"/>
        <w:rPr>
          <w:b w:val="0"/>
          <w:szCs w:val="24"/>
          <w:u w:val="single"/>
        </w:rPr>
      </w:pPr>
    </w:p>
    <w:p w14:paraId="68DAA207" w14:textId="6DE02E27" w:rsidR="00FD602D" w:rsidRPr="00BF5E78" w:rsidRDefault="00BC7397" w:rsidP="00945D58">
      <w:pPr>
        <w:pStyle w:val="BodyText"/>
        <w:rPr>
          <w:b w:val="0"/>
          <w:color w:val="FF0000"/>
          <w:szCs w:val="24"/>
        </w:rPr>
      </w:pPr>
      <w:r w:rsidRPr="00BF5E78">
        <w:rPr>
          <w:b w:val="0"/>
          <w:szCs w:val="24"/>
        </w:rPr>
        <w:t>S</w:t>
      </w:r>
      <w:r w:rsidR="00FE02C2" w:rsidRPr="00BF5E78">
        <w:rPr>
          <w:b w:val="0"/>
          <w:szCs w:val="24"/>
        </w:rPr>
        <w:t xml:space="preserve">ection </w:t>
      </w:r>
      <w:r w:rsidRPr="00BF5E78">
        <w:rPr>
          <w:b w:val="0"/>
          <w:szCs w:val="24"/>
        </w:rPr>
        <w:t xml:space="preserve">1 </w:t>
      </w:r>
      <w:r w:rsidR="00FE02C2" w:rsidRPr="00BF5E78">
        <w:rPr>
          <w:b w:val="0"/>
          <w:szCs w:val="24"/>
        </w:rPr>
        <w:t>provides</w:t>
      </w:r>
      <w:r w:rsidR="008B683E" w:rsidRPr="00BF5E78">
        <w:rPr>
          <w:b w:val="0"/>
          <w:szCs w:val="24"/>
        </w:rPr>
        <w:t xml:space="preserve"> for the </w:t>
      </w:r>
      <w:r w:rsidR="008B2094" w:rsidRPr="00BF5E78">
        <w:rPr>
          <w:b w:val="0"/>
          <w:szCs w:val="24"/>
        </w:rPr>
        <w:t>Determination</w:t>
      </w:r>
      <w:r w:rsidR="00FE02C2" w:rsidRPr="00BF5E78">
        <w:rPr>
          <w:b w:val="0"/>
          <w:szCs w:val="24"/>
        </w:rPr>
        <w:t xml:space="preserve"> to be referred to as the </w:t>
      </w:r>
      <w:r w:rsidR="00625B1A" w:rsidRPr="00BF5E78">
        <w:rPr>
          <w:b w:val="0"/>
          <w:i/>
          <w:color w:val="000000" w:themeColor="text1"/>
          <w:szCs w:val="24"/>
        </w:rPr>
        <w:t>Health Insurance (Section 3C General Medical – Expansion of GP and Allied Health Chronic Disease Management Services for Care Recipients of a Residential Aged Care Facility) Amendment Determination 2021</w:t>
      </w:r>
      <w:r w:rsidR="002F7984" w:rsidRPr="00BF5E78">
        <w:rPr>
          <w:b w:val="0"/>
          <w:i/>
          <w:color w:val="000000" w:themeColor="text1"/>
          <w:szCs w:val="24"/>
        </w:rPr>
        <w:t>.</w:t>
      </w:r>
    </w:p>
    <w:p w14:paraId="2F234107" w14:textId="77777777" w:rsidR="00945D58" w:rsidRPr="00BF5E78" w:rsidRDefault="00945D58" w:rsidP="00945D58">
      <w:pPr>
        <w:pStyle w:val="BodyText"/>
      </w:pPr>
    </w:p>
    <w:p w14:paraId="49D1E050" w14:textId="77777777" w:rsidR="007A4089" w:rsidRPr="00BF5E78" w:rsidRDefault="00FE02C2" w:rsidP="000337CB">
      <w:pPr>
        <w:pStyle w:val="BodyText"/>
        <w:rPr>
          <w:b w:val="0"/>
          <w:szCs w:val="24"/>
          <w:u w:val="single"/>
        </w:rPr>
      </w:pPr>
      <w:r w:rsidRPr="00BF5E78">
        <w:rPr>
          <w:b w:val="0"/>
          <w:szCs w:val="24"/>
          <w:u w:val="single"/>
        </w:rPr>
        <w:t xml:space="preserve">Section 2 – Commencement </w:t>
      </w:r>
    </w:p>
    <w:p w14:paraId="2DCE2ED0" w14:textId="77777777" w:rsidR="007A4089" w:rsidRPr="00BF5E78" w:rsidRDefault="007A4089" w:rsidP="000337CB">
      <w:pPr>
        <w:pStyle w:val="BodyText"/>
        <w:rPr>
          <w:b w:val="0"/>
          <w:szCs w:val="24"/>
          <w:u w:val="single"/>
        </w:rPr>
      </w:pPr>
    </w:p>
    <w:p w14:paraId="2412D148" w14:textId="44720761" w:rsidR="00510A4F" w:rsidRPr="00BF5E78" w:rsidRDefault="00510A4F" w:rsidP="000337CB">
      <w:pPr>
        <w:pStyle w:val="BodyText"/>
        <w:rPr>
          <w:b w:val="0"/>
          <w:color w:val="FF0000"/>
          <w:szCs w:val="24"/>
        </w:rPr>
      </w:pPr>
      <w:r w:rsidRPr="00BF5E78">
        <w:rPr>
          <w:b w:val="0"/>
          <w:szCs w:val="24"/>
        </w:rPr>
        <w:t xml:space="preserve">Section 2 </w:t>
      </w:r>
      <w:r w:rsidR="00404F11" w:rsidRPr="00BF5E78">
        <w:rPr>
          <w:b w:val="0"/>
          <w:szCs w:val="24"/>
        </w:rPr>
        <w:t xml:space="preserve">provides that the </w:t>
      </w:r>
      <w:r w:rsidR="008B2094" w:rsidRPr="00BF5E78">
        <w:rPr>
          <w:b w:val="0"/>
          <w:color w:val="000000" w:themeColor="text1"/>
          <w:szCs w:val="24"/>
        </w:rPr>
        <w:t xml:space="preserve">Determination </w:t>
      </w:r>
      <w:r w:rsidR="00404F11" w:rsidRPr="00BF5E78">
        <w:rPr>
          <w:b w:val="0"/>
          <w:color w:val="000000" w:themeColor="text1"/>
          <w:szCs w:val="24"/>
        </w:rPr>
        <w:t xml:space="preserve">commences </w:t>
      </w:r>
      <w:r w:rsidR="00D73B3D" w:rsidRPr="00BF5E78">
        <w:rPr>
          <w:b w:val="0"/>
          <w:color w:val="000000" w:themeColor="text1"/>
          <w:szCs w:val="24"/>
        </w:rPr>
        <w:t>15 September</w:t>
      </w:r>
      <w:r w:rsidR="00014D24" w:rsidRPr="00BF5E78">
        <w:rPr>
          <w:b w:val="0"/>
          <w:color w:val="000000" w:themeColor="text1"/>
          <w:szCs w:val="24"/>
        </w:rPr>
        <w:t xml:space="preserve"> 2021</w:t>
      </w:r>
      <w:r w:rsidR="00C63FDC" w:rsidRPr="00BF5E78">
        <w:rPr>
          <w:b w:val="0"/>
          <w:color w:val="000000" w:themeColor="text1"/>
          <w:szCs w:val="24"/>
        </w:rPr>
        <w:t xml:space="preserve">. </w:t>
      </w:r>
    </w:p>
    <w:p w14:paraId="16C03200" w14:textId="77777777" w:rsidR="007E0017" w:rsidRPr="00BF5E78" w:rsidRDefault="007E0017" w:rsidP="000337CB">
      <w:pPr>
        <w:pStyle w:val="BodyText"/>
        <w:rPr>
          <w:b w:val="0"/>
          <w:szCs w:val="24"/>
        </w:rPr>
      </w:pPr>
    </w:p>
    <w:p w14:paraId="005D5660" w14:textId="77777777" w:rsidR="007A4089" w:rsidRPr="00BF5E78" w:rsidRDefault="00FE02C2" w:rsidP="000337CB">
      <w:pPr>
        <w:pStyle w:val="BodyText"/>
        <w:rPr>
          <w:b w:val="0"/>
          <w:szCs w:val="24"/>
          <w:u w:val="single"/>
        </w:rPr>
      </w:pPr>
      <w:r w:rsidRPr="00BF5E78">
        <w:rPr>
          <w:b w:val="0"/>
          <w:szCs w:val="24"/>
          <w:u w:val="single"/>
        </w:rPr>
        <w:t xml:space="preserve">Section 3 – </w:t>
      </w:r>
      <w:r w:rsidR="00E5798A" w:rsidRPr="00BF5E78">
        <w:rPr>
          <w:b w:val="0"/>
          <w:szCs w:val="24"/>
          <w:u w:val="single"/>
        </w:rPr>
        <w:t>Authority</w:t>
      </w:r>
    </w:p>
    <w:p w14:paraId="53BFA098" w14:textId="77777777" w:rsidR="007A4089" w:rsidRPr="00BF5E78" w:rsidRDefault="007A4089" w:rsidP="000337CB">
      <w:pPr>
        <w:pStyle w:val="BodyText"/>
        <w:rPr>
          <w:b w:val="0"/>
          <w:szCs w:val="24"/>
          <w:u w:val="single"/>
        </w:rPr>
      </w:pPr>
    </w:p>
    <w:p w14:paraId="2412D14B" w14:textId="60EB4E9C" w:rsidR="00FE02C2" w:rsidRPr="00BF5E78" w:rsidRDefault="00F83B6F" w:rsidP="000337CB">
      <w:pPr>
        <w:pStyle w:val="BodyText"/>
        <w:rPr>
          <w:b w:val="0"/>
        </w:rPr>
      </w:pPr>
      <w:r w:rsidRPr="00BF5E78">
        <w:rPr>
          <w:b w:val="0"/>
        </w:rPr>
        <w:t xml:space="preserve">Section 3 provides that the </w:t>
      </w:r>
      <w:r w:rsidR="008B2094" w:rsidRPr="00BF5E78">
        <w:rPr>
          <w:b w:val="0"/>
          <w:szCs w:val="24"/>
        </w:rPr>
        <w:t xml:space="preserve">Determination </w:t>
      </w:r>
      <w:r w:rsidR="00E5798A" w:rsidRPr="00BF5E78">
        <w:rPr>
          <w:b w:val="0"/>
        </w:rPr>
        <w:t xml:space="preserve">is made under </w:t>
      </w:r>
      <w:r w:rsidR="00367440" w:rsidRPr="00BF5E78">
        <w:rPr>
          <w:b w:val="0"/>
        </w:rPr>
        <w:t xml:space="preserve">subsection </w:t>
      </w:r>
      <w:r w:rsidR="00E5798A" w:rsidRPr="00BF5E78">
        <w:rPr>
          <w:b w:val="0"/>
        </w:rPr>
        <w:t xml:space="preserve">3C(1) of the </w:t>
      </w:r>
      <w:r w:rsidR="00E5798A" w:rsidRPr="00BF5E78">
        <w:rPr>
          <w:b w:val="0"/>
          <w:i/>
        </w:rPr>
        <w:t>Health Insurance Act 1973</w:t>
      </w:r>
      <w:r w:rsidR="00E5798A" w:rsidRPr="00BF5E78">
        <w:rPr>
          <w:b w:val="0"/>
        </w:rPr>
        <w:t>.</w:t>
      </w:r>
    </w:p>
    <w:p w14:paraId="0DBF1241" w14:textId="77777777" w:rsidR="00E70355" w:rsidRPr="00BF5E78" w:rsidRDefault="00E70355" w:rsidP="000337CB">
      <w:pPr>
        <w:pStyle w:val="BodyText"/>
        <w:rPr>
          <w:b w:val="0"/>
        </w:rPr>
      </w:pPr>
    </w:p>
    <w:p w14:paraId="20CBF84A" w14:textId="77777777" w:rsidR="00C63FDC" w:rsidRPr="00BF5E78" w:rsidRDefault="00C63FDC" w:rsidP="00C63FDC">
      <w:pPr>
        <w:pStyle w:val="BodyText"/>
        <w:rPr>
          <w:b w:val="0"/>
          <w:szCs w:val="24"/>
          <w:u w:val="single"/>
        </w:rPr>
      </w:pPr>
      <w:r w:rsidRPr="00BF5E78">
        <w:rPr>
          <w:b w:val="0"/>
          <w:szCs w:val="24"/>
          <w:u w:val="single"/>
        </w:rPr>
        <w:t>Section 4 – Schedules</w:t>
      </w:r>
    </w:p>
    <w:p w14:paraId="4C010161" w14:textId="77777777" w:rsidR="00C63FDC" w:rsidRPr="00BF5E78" w:rsidRDefault="00C63FDC" w:rsidP="00C63FDC">
      <w:pPr>
        <w:pStyle w:val="BodyText"/>
        <w:rPr>
          <w:b w:val="0"/>
          <w:szCs w:val="24"/>
          <w:u w:val="single"/>
        </w:rPr>
      </w:pPr>
    </w:p>
    <w:p w14:paraId="5D9EBF8D" w14:textId="77777777" w:rsidR="00C63FDC" w:rsidRPr="00BF5E78" w:rsidRDefault="00C63FDC" w:rsidP="00C63FDC">
      <w:pPr>
        <w:pStyle w:val="BodyText"/>
        <w:rPr>
          <w:b w:val="0"/>
          <w:szCs w:val="24"/>
        </w:rPr>
      </w:pPr>
      <w:r w:rsidRPr="00BF5E78">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BF5E78" w:rsidRDefault="007E0017" w:rsidP="00404F11">
      <w:pPr>
        <w:pStyle w:val="BodyText"/>
        <w:rPr>
          <w:b w:val="0"/>
          <w:szCs w:val="24"/>
        </w:rPr>
      </w:pPr>
    </w:p>
    <w:p w14:paraId="768D340E" w14:textId="77777777" w:rsidR="00C63FDC" w:rsidRPr="00BF5E78" w:rsidRDefault="00C63FDC" w:rsidP="00C63FDC">
      <w:pPr>
        <w:pStyle w:val="Header"/>
        <w:tabs>
          <w:tab w:val="num" w:pos="1080"/>
        </w:tabs>
        <w:rPr>
          <w:szCs w:val="24"/>
          <w:u w:val="single"/>
        </w:rPr>
      </w:pPr>
      <w:r w:rsidRPr="00BF5E78">
        <w:rPr>
          <w:szCs w:val="24"/>
          <w:u w:val="single"/>
        </w:rPr>
        <w:t>Schedule 1 – Amendments</w:t>
      </w:r>
    </w:p>
    <w:p w14:paraId="2212E577" w14:textId="77777777" w:rsidR="00C63FDC" w:rsidRPr="00BF5E78" w:rsidRDefault="00C63FDC" w:rsidP="00C63FDC">
      <w:pPr>
        <w:pStyle w:val="Header"/>
        <w:tabs>
          <w:tab w:val="num" w:pos="1080"/>
        </w:tabs>
        <w:rPr>
          <w:szCs w:val="24"/>
          <w:u w:val="single"/>
        </w:rPr>
      </w:pPr>
    </w:p>
    <w:p w14:paraId="0C7E649E" w14:textId="6DE030B3" w:rsidR="00C63FDC" w:rsidRPr="00BF5E78" w:rsidRDefault="00625B1A" w:rsidP="00C63FDC">
      <w:pPr>
        <w:pStyle w:val="Header"/>
        <w:tabs>
          <w:tab w:val="num" w:pos="1080"/>
        </w:tabs>
        <w:rPr>
          <w:b/>
          <w:iCs/>
          <w:color w:val="000000" w:themeColor="text1"/>
        </w:rPr>
      </w:pPr>
      <w:r w:rsidRPr="00BF5E78">
        <w:rPr>
          <w:b/>
          <w:i/>
          <w:iCs/>
          <w:color w:val="000000" w:themeColor="text1"/>
        </w:rPr>
        <w:t xml:space="preserve">Health Insurance (Section 3C General Medical – Expansion of GP and Allied Health Chronic Disease Management Services for Care Recipients of a Residential Aged Care Facility) Determination 2020 </w:t>
      </w:r>
      <w:r w:rsidR="002F7984" w:rsidRPr="00BF5E78">
        <w:rPr>
          <w:b/>
          <w:iCs/>
          <w:color w:val="000000" w:themeColor="text1"/>
        </w:rPr>
        <w:t>(the Principal Determination)</w:t>
      </w:r>
    </w:p>
    <w:p w14:paraId="65C7352F" w14:textId="77777777" w:rsidR="00945D58" w:rsidRPr="00BF5E78" w:rsidRDefault="00945D58" w:rsidP="00C63FDC">
      <w:pPr>
        <w:pStyle w:val="Header"/>
        <w:tabs>
          <w:tab w:val="num" w:pos="1080"/>
        </w:tabs>
        <w:rPr>
          <w:i/>
          <w:szCs w:val="24"/>
        </w:rPr>
      </w:pPr>
    </w:p>
    <w:p w14:paraId="31FB91B0" w14:textId="26B815DA" w:rsidR="00625B1A" w:rsidRPr="00BF5E78" w:rsidRDefault="00A25BF9" w:rsidP="00EF3BE7">
      <w:pPr>
        <w:pStyle w:val="Header"/>
        <w:tabs>
          <w:tab w:val="num" w:pos="1080"/>
        </w:tabs>
        <w:rPr>
          <w:szCs w:val="24"/>
        </w:rPr>
      </w:pPr>
      <w:r w:rsidRPr="00BF5E78">
        <w:rPr>
          <w:b/>
          <w:szCs w:val="24"/>
        </w:rPr>
        <w:t>Amendments</w:t>
      </w:r>
      <w:r w:rsidR="002F1003" w:rsidRPr="00BF5E78">
        <w:rPr>
          <w:b/>
          <w:szCs w:val="24"/>
        </w:rPr>
        <w:t xml:space="preserve"> 1</w:t>
      </w:r>
      <w:r w:rsidR="002F1003" w:rsidRPr="00BF5E78">
        <w:rPr>
          <w:szCs w:val="24"/>
        </w:rPr>
        <w:t xml:space="preserve"> </w:t>
      </w:r>
      <w:r w:rsidR="00957E17" w:rsidRPr="00BF5E78">
        <w:rPr>
          <w:b/>
          <w:bCs/>
          <w:szCs w:val="24"/>
        </w:rPr>
        <w:t>to 6</w:t>
      </w:r>
      <w:r w:rsidR="00957E17" w:rsidRPr="00BF5E78">
        <w:rPr>
          <w:szCs w:val="24"/>
        </w:rPr>
        <w:t xml:space="preserve"> </w:t>
      </w:r>
      <w:r w:rsidR="00625B1A" w:rsidRPr="00BF5E78">
        <w:rPr>
          <w:szCs w:val="24"/>
        </w:rPr>
        <w:t xml:space="preserve">amends the item descriptor of items 93518, 93519, 93520, 93571, 93572 and 93753 to remove the </w:t>
      </w:r>
      <w:r w:rsidR="00CB4CB4" w:rsidRPr="00BF5E78">
        <w:rPr>
          <w:szCs w:val="24"/>
        </w:rPr>
        <w:t>restriction</w:t>
      </w:r>
      <w:r w:rsidR="00625B1A" w:rsidRPr="00BF5E78">
        <w:rPr>
          <w:szCs w:val="24"/>
        </w:rPr>
        <w:t xml:space="preserve"> that the patient is required to have previously received a service under an item in subgroup 1 or 3 of Group M29 or Group M3 in that calendar year.</w:t>
      </w:r>
    </w:p>
    <w:p w14:paraId="0C907FB8" w14:textId="77777777" w:rsidR="00A25BF9" w:rsidRPr="00BF5E78" w:rsidRDefault="00A25BF9" w:rsidP="00EF3BE7">
      <w:pPr>
        <w:pStyle w:val="Header"/>
        <w:tabs>
          <w:tab w:val="num" w:pos="1080"/>
        </w:tabs>
        <w:rPr>
          <w:szCs w:val="24"/>
        </w:rPr>
      </w:pPr>
    </w:p>
    <w:p w14:paraId="0F22FA75" w14:textId="1830DB52" w:rsidR="00EF3BE7" w:rsidRPr="00BF5E78" w:rsidRDefault="00EF3BE7" w:rsidP="00EF3BE7">
      <w:pPr>
        <w:pStyle w:val="Header"/>
        <w:tabs>
          <w:tab w:val="num" w:pos="1080"/>
        </w:tabs>
        <w:rPr>
          <w:szCs w:val="24"/>
        </w:rPr>
      </w:pPr>
    </w:p>
    <w:p w14:paraId="2412D14E" w14:textId="0C043741" w:rsidR="00A17F2C" w:rsidRPr="00BF5E78" w:rsidRDefault="00331752" w:rsidP="00F3501E">
      <w:pPr>
        <w:spacing w:after="200" w:line="276" w:lineRule="auto"/>
        <w:jc w:val="center"/>
        <w:rPr>
          <w:b/>
          <w:sz w:val="28"/>
          <w:szCs w:val="28"/>
        </w:rPr>
      </w:pPr>
      <w:r w:rsidRPr="00BF5E78">
        <w:rPr>
          <w:szCs w:val="24"/>
          <w:u w:val="single"/>
        </w:rPr>
        <w:br w:type="page"/>
      </w:r>
      <w:r w:rsidR="00A17F2C" w:rsidRPr="00BF5E78">
        <w:rPr>
          <w:b/>
          <w:sz w:val="28"/>
          <w:szCs w:val="28"/>
        </w:rPr>
        <w:lastRenderedPageBreak/>
        <w:t>Statement of Compatibility with Human Rights</w:t>
      </w:r>
    </w:p>
    <w:p w14:paraId="2412D14F" w14:textId="77777777" w:rsidR="00A17F2C" w:rsidRPr="00BF5E78" w:rsidRDefault="00A17F2C" w:rsidP="000337CB">
      <w:pPr>
        <w:spacing w:before="120" w:after="120"/>
        <w:jc w:val="center"/>
        <w:rPr>
          <w:szCs w:val="24"/>
        </w:rPr>
      </w:pPr>
      <w:r w:rsidRPr="00BF5E78">
        <w:rPr>
          <w:i/>
          <w:szCs w:val="24"/>
        </w:rPr>
        <w:t>Prepared in accordance with Part 3 of the Human Rights (Parliamentary Scrutiny) Act 2011</w:t>
      </w:r>
    </w:p>
    <w:p w14:paraId="3582B777" w14:textId="77777777" w:rsidR="002F7984" w:rsidRPr="00BF5E78" w:rsidRDefault="002F7984" w:rsidP="000337CB">
      <w:pPr>
        <w:tabs>
          <w:tab w:val="left" w:pos="1418"/>
        </w:tabs>
        <w:ind w:left="851"/>
        <w:jc w:val="center"/>
        <w:rPr>
          <w:i/>
          <w:iCs/>
        </w:rPr>
      </w:pPr>
    </w:p>
    <w:p w14:paraId="788F0FBF" w14:textId="198A47EF" w:rsidR="0013004F" w:rsidRPr="00BF5E78" w:rsidRDefault="00625B1A" w:rsidP="000337CB">
      <w:pPr>
        <w:tabs>
          <w:tab w:val="left" w:pos="1418"/>
        </w:tabs>
        <w:ind w:left="851"/>
        <w:jc w:val="center"/>
        <w:rPr>
          <w:i/>
          <w:color w:val="000000" w:themeColor="text1"/>
          <w:szCs w:val="24"/>
        </w:rPr>
      </w:pPr>
      <w:r w:rsidRPr="00BF5E78">
        <w:rPr>
          <w:i/>
          <w:color w:val="000000" w:themeColor="text1"/>
          <w:szCs w:val="24"/>
        </w:rPr>
        <w:t>Health Insurance (Section 3C General Medical – Expansion of GP and Allied Health Chronic Disease Management Services for Care Recipients of a Residential Aged Care Facility) Amendment Determination 2021</w:t>
      </w:r>
    </w:p>
    <w:p w14:paraId="68F64A21" w14:textId="77777777" w:rsidR="00625B1A" w:rsidRPr="00BF5E78" w:rsidRDefault="00625B1A" w:rsidP="000337CB">
      <w:pPr>
        <w:tabs>
          <w:tab w:val="left" w:pos="1418"/>
        </w:tabs>
        <w:ind w:left="851"/>
        <w:jc w:val="center"/>
        <w:rPr>
          <w:b/>
          <w:i/>
          <w:szCs w:val="24"/>
        </w:rPr>
      </w:pPr>
    </w:p>
    <w:p w14:paraId="2412D153" w14:textId="7AFD921D" w:rsidR="00A17F2C" w:rsidRPr="00BF5E78" w:rsidRDefault="00A17F2C" w:rsidP="000337CB">
      <w:pPr>
        <w:jc w:val="center"/>
        <w:rPr>
          <w:szCs w:val="24"/>
        </w:rPr>
      </w:pPr>
      <w:r w:rsidRPr="00BF5E78">
        <w:rPr>
          <w:szCs w:val="24"/>
        </w:rPr>
        <w:t xml:space="preserve">This </w:t>
      </w:r>
      <w:r w:rsidR="0046022A" w:rsidRPr="00BF5E78">
        <w:rPr>
          <w:szCs w:val="24"/>
        </w:rPr>
        <w:t>instrument</w:t>
      </w:r>
      <w:r w:rsidRPr="00BF5E78">
        <w:rPr>
          <w:szCs w:val="24"/>
        </w:rPr>
        <w:t xml:space="preserve"> is compatible with the human rights and freedoms recognised or declared in the international instruments listed in section 3 of the </w:t>
      </w:r>
      <w:r w:rsidRPr="00BF5E78">
        <w:rPr>
          <w:i/>
          <w:szCs w:val="24"/>
        </w:rPr>
        <w:t>Human Rights (Parliamentary Scrutiny) Act 2011</w:t>
      </w:r>
      <w:r w:rsidRPr="00BF5E78">
        <w:rPr>
          <w:szCs w:val="24"/>
        </w:rPr>
        <w:t>.</w:t>
      </w:r>
    </w:p>
    <w:p w14:paraId="7EDA9098" w14:textId="306A78E1" w:rsidR="006E6BBF" w:rsidRPr="00BF5E78" w:rsidRDefault="006E6BBF" w:rsidP="008734F5">
      <w:pPr>
        <w:spacing w:before="120" w:after="120"/>
        <w:rPr>
          <w:b/>
          <w:szCs w:val="24"/>
        </w:rPr>
      </w:pPr>
      <w:r w:rsidRPr="00BF5E78">
        <w:rPr>
          <w:b/>
          <w:szCs w:val="24"/>
        </w:rPr>
        <w:t xml:space="preserve">Overview of the </w:t>
      </w:r>
      <w:r w:rsidR="00B86A9F" w:rsidRPr="00BF5E78">
        <w:rPr>
          <w:b/>
          <w:szCs w:val="24"/>
        </w:rPr>
        <w:t>Determination</w:t>
      </w:r>
    </w:p>
    <w:p w14:paraId="7323405F" w14:textId="77777777" w:rsidR="009D2EBB" w:rsidRPr="00BF5E78" w:rsidRDefault="009D2EBB" w:rsidP="00E10F64">
      <w:pPr>
        <w:spacing w:before="120" w:after="120"/>
        <w:rPr>
          <w:bCs/>
          <w:szCs w:val="24"/>
        </w:rPr>
      </w:pPr>
      <w:r w:rsidRPr="00BF5E78">
        <w:rPr>
          <w:color w:val="000000" w:themeColor="text1"/>
          <w:szCs w:val="24"/>
        </w:rPr>
        <w:t>The purpose of the</w:t>
      </w:r>
      <w:r w:rsidRPr="00BF5E78">
        <w:rPr>
          <w:color w:val="000000" w:themeColor="text1"/>
        </w:rPr>
        <w:t xml:space="preserve"> </w:t>
      </w:r>
      <w:r w:rsidRPr="00BF5E78">
        <w:rPr>
          <w:i/>
          <w:iCs/>
          <w:color w:val="000000" w:themeColor="text1"/>
        </w:rPr>
        <w:t xml:space="preserve">Health Insurance (Section 3C General Medical – Expansion of GP and Allied Health Chronic Disease Management Services for Care Recipients of a Residential Aged Care Facility) Amendment Determination 2021 </w:t>
      </w:r>
      <w:r w:rsidRPr="00BF5E78">
        <w:rPr>
          <w:iCs/>
          <w:color w:val="000000" w:themeColor="text1"/>
        </w:rPr>
        <w:t xml:space="preserve">(the Amendment Determination) is to amend six temporary allied health items (93518, 93519, 93520, 93571, 93572 and 93753) that are provided in a residential aged care facility to remove the restriction that the patient is required to have previously received five allied health services under an item in subgroup 1 or 3 of Group M29 or </w:t>
      </w:r>
      <w:r w:rsidRPr="00BF5E78">
        <w:rPr>
          <w:bCs/>
          <w:szCs w:val="24"/>
        </w:rPr>
        <w:t xml:space="preserve">Group M3 in that calendar year. </w:t>
      </w:r>
    </w:p>
    <w:p w14:paraId="2B38B1C9" w14:textId="0124D809" w:rsidR="009D2EBB" w:rsidRPr="00BF5E78" w:rsidRDefault="009D2EBB" w:rsidP="00E10F64">
      <w:pPr>
        <w:spacing w:before="120" w:after="120"/>
        <w:rPr>
          <w:bCs/>
          <w:szCs w:val="24"/>
        </w:rPr>
      </w:pPr>
      <w:r w:rsidRPr="00BF5E78">
        <w:rPr>
          <w:bCs/>
          <w:szCs w:val="24"/>
        </w:rPr>
        <w:t>The</w:t>
      </w:r>
      <w:r w:rsidRPr="00BF5E78">
        <w:rPr>
          <w:bCs/>
          <w:iCs/>
          <w:color w:val="000000" w:themeColor="text1"/>
        </w:rPr>
        <w:t xml:space="preserve"> temporary six allied health items commenced on 10 December 2020 as part of the Government’s</w:t>
      </w:r>
      <w:r w:rsidRPr="00BF5E78">
        <w:rPr>
          <w:iCs/>
          <w:color w:val="000000" w:themeColor="text1"/>
        </w:rPr>
        <w:t xml:space="preserve"> response to the Aged Care Royal Commission’s recommendations on COVID-19. These items are listed in the </w:t>
      </w:r>
      <w:r w:rsidRPr="00BF5E78">
        <w:rPr>
          <w:i/>
          <w:color w:val="000000" w:themeColor="text1"/>
        </w:rPr>
        <w:t>Health Insurance (Section 3C General Medical – Expansion of GP and Allied Health Chronic Disease Management Services for Care Recipients of a Residential Aged Care Facility) Determination 2020</w:t>
      </w:r>
      <w:r w:rsidRPr="00BF5E78">
        <w:rPr>
          <w:iCs/>
          <w:color w:val="000000" w:themeColor="text1"/>
        </w:rPr>
        <w:t xml:space="preserve"> (the Principal Determination) and will cease on </w:t>
      </w:r>
      <w:r w:rsidR="00E10F64" w:rsidRPr="00BF5E78">
        <w:rPr>
          <w:iCs/>
          <w:color w:val="000000" w:themeColor="text1"/>
        </w:rPr>
        <w:br/>
      </w:r>
      <w:r w:rsidRPr="00BF5E78">
        <w:rPr>
          <w:iCs/>
          <w:color w:val="000000" w:themeColor="text1"/>
        </w:rPr>
        <w:t xml:space="preserve">30 June </w:t>
      </w:r>
      <w:r w:rsidRPr="00BF5E78">
        <w:rPr>
          <w:bCs/>
          <w:szCs w:val="24"/>
        </w:rPr>
        <w:t>2022.</w:t>
      </w:r>
    </w:p>
    <w:p w14:paraId="2FEA2736" w14:textId="77777777" w:rsidR="009D2EBB" w:rsidRPr="00BF5E78" w:rsidRDefault="009D2EBB" w:rsidP="00E10F64">
      <w:pPr>
        <w:spacing w:before="120" w:after="120"/>
        <w:rPr>
          <w:bCs/>
          <w:szCs w:val="24"/>
        </w:rPr>
      </w:pPr>
      <w:r w:rsidRPr="00BF5E78">
        <w:rPr>
          <w:bCs/>
          <w:szCs w:val="24"/>
        </w:rPr>
        <w:t>Items</w:t>
      </w:r>
      <w:r w:rsidRPr="00BF5E78">
        <w:rPr>
          <w:iCs/>
          <w:color w:val="000000" w:themeColor="text1"/>
        </w:rPr>
        <w:t xml:space="preserve"> 93518, 93519 and 93520 are for a chronic disease management physical therapy service that is provided to care recipients in residential aged care facilities. Items 93571, 93572 and 93753 are for a chronic disease management physical therapy service that is provided to care </w:t>
      </w:r>
      <w:r w:rsidRPr="00BF5E78">
        <w:rPr>
          <w:bCs/>
          <w:szCs w:val="24"/>
        </w:rPr>
        <w:t>recipients in residential aged care facilities of Aboriginal and Torres Strait Islander descent.</w:t>
      </w:r>
    </w:p>
    <w:p w14:paraId="246B62F2" w14:textId="77777777" w:rsidR="009D2EBB" w:rsidRPr="00BF5E78" w:rsidRDefault="009D2EBB" w:rsidP="00E10F64">
      <w:pPr>
        <w:spacing w:before="120" w:after="120"/>
        <w:rPr>
          <w:bCs/>
          <w:szCs w:val="24"/>
        </w:rPr>
      </w:pPr>
      <w:r w:rsidRPr="00BF5E78">
        <w:rPr>
          <w:bCs/>
          <w:szCs w:val="24"/>
        </w:rPr>
        <w:t>A</w:t>
      </w:r>
      <w:r w:rsidRPr="00BF5E78">
        <w:rPr>
          <w:iCs/>
          <w:color w:val="000000" w:themeColor="text1"/>
        </w:rPr>
        <w:t xml:space="preserve"> service under these items is to be at least 20 minutes in duration, and includes a number of requirements, including that the patient has previously received five allied health services under </w:t>
      </w:r>
      <w:r w:rsidRPr="00BF5E78">
        <w:rPr>
          <w:bCs/>
          <w:szCs w:val="24"/>
        </w:rPr>
        <w:t>an item in subgroup 1 or 3 of Group M29 or Group M3 in that calendar year.</w:t>
      </w:r>
    </w:p>
    <w:p w14:paraId="0BAFE7FD" w14:textId="77777777" w:rsidR="00E10F64" w:rsidRPr="00BF5E78" w:rsidRDefault="00E10F64" w:rsidP="00E10F64">
      <w:pPr>
        <w:spacing w:before="120" w:after="120"/>
        <w:rPr>
          <w:iCs/>
          <w:color w:val="000000" w:themeColor="text1"/>
        </w:rPr>
      </w:pPr>
      <w:r w:rsidRPr="00BF5E78">
        <w:rPr>
          <w:bCs/>
          <w:szCs w:val="24"/>
        </w:rPr>
        <w:t>The</w:t>
      </w:r>
      <w:r w:rsidRPr="00BF5E78">
        <w:rPr>
          <w:iCs/>
          <w:color w:val="000000" w:themeColor="text1"/>
        </w:rPr>
        <w:t xml:space="preserve"> Amendment Determination will remove the restriction that the patient is required to have previously received any services under an item in subgroup 1 or 3 of Group M29 or Group M3 in that calendar year. This restriction provides an unintentional barrier to utilising the additional physical therapy items, as there are a number of different types of allied health professionals who can utilise the first five items in Groups M29 and M3, and these sessions may be distributed throughout the calendar year. This is an administrative change which will reflect the original policy intent of these items. </w:t>
      </w:r>
    </w:p>
    <w:p w14:paraId="2412D15C" w14:textId="58DE6C40" w:rsidR="00A17F2C" w:rsidRPr="00BF5E78" w:rsidRDefault="006E0CA8" w:rsidP="006E0CA8">
      <w:pPr>
        <w:spacing w:before="120" w:after="120"/>
        <w:rPr>
          <w:b/>
          <w:szCs w:val="24"/>
        </w:rPr>
      </w:pPr>
      <w:r w:rsidRPr="00BF5E78">
        <w:rPr>
          <w:b/>
          <w:szCs w:val="24"/>
        </w:rPr>
        <w:t>H</w:t>
      </w:r>
      <w:r w:rsidR="00A17F2C" w:rsidRPr="00BF5E78">
        <w:rPr>
          <w:b/>
          <w:szCs w:val="24"/>
        </w:rPr>
        <w:t>uman rights implications</w:t>
      </w:r>
    </w:p>
    <w:p w14:paraId="449665F0" w14:textId="2ED3F54B" w:rsidR="00806020" w:rsidRPr="00BF5E78" w:rsidRDefault="00806020" w:rsidP="00806020">
      <w:pPr>
        <w:spacing w:before="120" w:after="120"/>
        <w:rPr>
          <w:szCs w:val="24"/>
        </w:rPr>
      </w:pPr>
      <w:r w:rsidRPr="00BF5E78">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F5E78" w:rsidRDefault="00A17F2C" w:rsidP="00806020">
      <w:pPr>
        <w:spacing w:before="120" w:after="120"/>
        <w:rPr>
          <w:i/>
          <w:szCs w:val="24"/>
        </w:rPr>
      </w:pPr>
      <w:r w:rsidRPr="00BF5E78">
        <w:rPr>
          <w:i/>
          <w:szCs w:val="24"/>
        </w:rPr>
        <w:t>The Right to Health</w:t>
      </w:r>
    </w:p>
    <w:p w14:paraId="2412D15F" w14:textId="77777777" w:rsidR="00A17F2C" w:rsidRPr="00BF5E78" w:rsidRDefault="00A17F2C" w:rsidP="000337CB">
      <w:pPr>
        <w:spacing w:before="120" w:after="120"/>
        <w:rPr>
          <w:szCs w:val="24"/>
        </w:rPr>
      </w:pPr>
      <w:r w:rsidRPr="00BF5E78">
        <w:rPr>
          <w:szCs w:val="24"/>
        </w:rPr>
        <w:t xml:space="preserve">The right to the enjoyment of the highest attainable standard of physical and mental health is contained in Article 12(1) of the ICESCR. The UN Committee on Economic Social and Cultural </w:t>
      </w:r>
      <w:r w:rsidRPr="00BF5E78">
        <w:rPr>
          <w:szCs w:val="24"/>
        </w:rPr>
        <w:lastRenderedPageBreak/>
        <w:t xml:space="preserve">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F5E78" w:rsidRDefault="00A17F2C" w:rsidP="000337CB">
      <w:pPr>
        <w:spacing w:before="120" w:after="120"/>
        <w:rPr>
          <w:szCs w:val="24"/>
        </w:rPr>
      </w:pPr>
      <w:r w:rsidRPr="00BF5E78">
        <w:rPr>
          <w:szCs w:val="24"/>
        </w:rPr>
        <w:t xml:space="preserve">The Committee reports that the </w:t>
      </w:r>
      <w:r w:rsidRPr="00BF5E78">
        <w:rPr>
          <w:i/>
          <w:szCs w:val="24"/>
        </w:rPr>
        <w:t>‘highest attainable standard of health’</w:t>
      </w:r>
      <w:r w:rsidRPr="00BF5E78">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CAADEC8" w:rsidR="00A17F2C" w:rsidRPr="00BF5E78" w:rsidRDefault="00A17F2C" w:rsidP="000337CB">
      <w:pPr>
        <w:spacing w:before="120" w:after="120"/>
        <w:rPr>
          <w:i/>
          <w:szCs w:val="24"/>
        </w:rPr>
      </w:pPr>
      <w:r w:rsidRPr="00BF5E78">
        <w:rPr>
          <w:i/>
          <w:szCs w:val="24"/>
        </w:rPr>
        <w:t xml:space="preserve">The Right to Social Security </w:t>
      </w:r>
    </w:p>
    <w:p w14:paraId="2412D162" w14:textId="77777777" w:rsidR="00A17F2C" w:rsidRPr="00BF5E78" w:rsidRDefault="00A17F2C" w:rsidP="000337CB">
      <w:pPr>
        <w:spacing w:before="120" w:after="120"/>
        <w:rPr>
          <w:szCs w:val="24"/>
        </w:rPr>
      </w:pPr>
      <w:r w:rsidRPr="00BF5E78">
        <w:rPr>
          <w:szCs w:val="24"/>
        </w:rPr>
        <w:t>The right to social security is contained in Article 9 of the ICESCR. It requires that a country must, within its maximum available resources, ensure access to a social security scheme that</w:t>
      </w:r>
      <w:r w:rsidR="00BA69CB" w:rsidRPr="00BF5E78">
        <w:rPr>
          <w:szCs w:val="24"/>
        </w:rPr>
        <w:t xml:space="preserve"> </w:t>
      </w:r>
      <w:r w:rsidRPr="00BF5E78">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FD73B3D" w:rsidR="00735CCC" w:rsidRPr="00BF5E78" w:rsidRDefault="00A17F2C" w:rsidP="000337CB">
      <w:pPr>
        <w:spacing w:before="120" w:after="120"/>
        <w:rPr>
          <w:szCs w:val="24"/>
        </w:rPr>
      </w:pPr>
      <w:r w:rsidRPr="00BF5E78">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BF5E78" w:rsidRDefault="00A17F2C" w:rsidP="000337CB">
      <w:pPr>
        <w:spacing w:before="120" w:after="120"/>
        <w:rPr>
          <w:szCs w:val="24"/>
          <w:u w:val="single"/>
        </w:rPr>
      </w:pPr>
      <w:r w:rsidRPr="00BF5E78">
        <w:rPr>
          <w:szCs w:val="24"/>
          <w:u w:val="single"/>
        </w:rPr>
        <w:t xml:space="preserve">Analysis </w:t>
      </w:r>
    </w:p>
    <w:p w14:paraId="0CC81A0E" w14:textId="7720FC4A" w:rsidR="00FE4AC8" w:rsidRPr="00BF5E78" w:rsidRDefault="002F7984" w:rsidP="00302F5C">
      <w:pPr>
        <w:rPr>
          <w:szCs w:val="24"/>
        </w:rPr>
      </w:pPr>
      <w:r w:rsidRPr="00BF5E78">
        <w:rPr>
          <w:szCs w:val="24"/>
        </w:rPr>
        <w:t xml:space="preserve">This instrument will </w:t>
      </w:r>
      <w:r w:rsidR="00A86813" w:rsidRPr="00BF5E78">
        <w:rPr>
          <w:szCs w:val="24"/>
        </w:rPr>
        <w:t>advance</w:t>
      </w:r>
      <w:r w:rsidRPr="00BF5E78">
        <w:rPr>
          <w:szCs w:val="24"/>
        </w:rPr>
        <w:t xml:space="preserve"> </w:t>
      </w:r>
      <w:r w:rsidR="00A86813" w:rsidRPr="00BF5E78">
        <w:rPr>
          <w:szCs w:val="24"/>
        </w:rPr>
        <w:t xml:space="preserve">the </w:t>
      </w:r>
      <w:r w:rsidRPr="00BF5E78">
        <w:rPr>
          <w:szCs w:val="24"/>
        </w:rPr>
        <w:t>rights to health and social security</w:t>
      </w:r>
      <w:r w:rsidR="00A86813" w:rsidRPr="00BF5E78">
        <w:rPr>
          <w:szCs w:val="24"/>
        </w:rPr>
        <w:t xml:space="preserve"> </w:t>
      </w:r>
      <w:r w:rsidR="00200E87" w:rsidRPr="00BF5E78">
        <w:rPr>
          <w:szCs w:val="24"/>
        </w:rPr>
        <w:t xml:space="preserve">by </w:t>
      </w:r>
      <w:r w:rsidR="00A86813" w:rsidRPr="00BF5E78">
        <w:rPr>
          <w:szCs w:val="24"/>
        </w:rPr>
        <w:t xml:space="preserve">providing greater access to allied health services for patients in residential aged care facilities by removing </w:t>
      </w:r>
      <w:r w:rsidR="002022DF" w:rsidRPr="00BF5E78">
        <w:rPr>
          <w:szCs w:val="24"/>
        </w:rPr>
        <w:t xml:space="preserve">the </w:t>
      </w:r>
      <w:r w:rsidR="002022DF" w:rsidRPr="00BF5E78">
        <w:rPr>
          <w:iCs/>
          <w:color w:val="000000" w:themeColor="text1"/>
        </w:rPr>
        <w:t>restriction that the patient is required to have previously received five allied health services under an item in subgroup 1 or 3 of Group M29 or Group M3 in that calendar year</w:t>
      </w:r>
      <w:r w:rsidR="00FE4AC8" w:rsidRPr="00BF5E78">
        <w:rPr>
          <w:szCs w:val="24"/>
        </w:rPr>
        <w:t>.</w:t>
      </w:r>
    </w:p>
    <w:p w14:paraId="2412D166" w14:textId="54731293" w:rsidR="00A17F2C" w:rsidRPr="00BF5E78" w:rsidRDefault="00A17F2C" w:rsidP="004B7CB9">
      <w:pPr>
        <w:spacing w:before="120" w:after="120" w:line="276" w:lineRule="auto"/>
        <w:rPr>
          <w:rFonts w:eastAsia="Calibri"/>
          <w:b/>
          <w:szCs w:val="24"/>
          <w:lang w:eastAsia="en-US"/>
        </w:rPr>
      </w:pPr>
      <w:r w:rsidRPr="00BF5E78">
        <w:rPr>
          <w:rFonts w:eastAsia="Calibri"/>
          <w:b/>
          <w:szCs w:val="24"/>
          <w:lang w:eastAsia="en-US"/>
        </w:rPr>
        <w:t xml:space="preserve">Conclusion </w:t>
      </w:r>
    </w:p>
    <w:p w14:paraId="2412D167" w14:textId="3771BD86" w:rsidR="00A17F2C" w:rsidRPr="00BF5E78" w:rsidRDefault="006E6BBF" w:rsidP="000337CB">
      <w:pPr>
        <w:rPr>
          <w:color w:val="FF0000"/>
          <w:szCs w:val="24"/>
        </w:rPr>
      </w:pPr>
      <w:r w:rsidRPr="00BF5E78">
        <w:rPr>
          <w:szCs w:val="24"/>
        </w:rPr>
        <w:t xml:space="preserve">This </w:t>
      </w:r>
      <w:r w:rsidR="0046022A" w:rsidRPr="00BF5E78">
        <w:rPr>
          <w:szCs w:val="24"/>
        </w:rPr>
        <w:t>instrument</w:t>
      </w:r>
      <w:r w:rsidRPr="00BF5E78">
        <w:rPr>
          <w:szCs w:val="24"/>
        </w:rPr>
        <w:t xml:space="preserve"> </w:t>
      </w:r>
      <w:r w:rsidR="00F15284" w:rsidRPr="00BF5E78">
        <w:rPr>
          <w:szCs w:val="24"/>
        </w:rPr>
        <w:t xml:space="preserve">is compatible with human rights as it </w:t>
      </w:r>
      <w:r w:rsidR="00AD3DBA" w:rsidRPr="00BF5E78">
        <w:rPr>
          <w:szCs w:val="24"/>
        </w:rPr>
        <w:t xml:space="preserve">advances </w:t>
      </w:r>
      <w:r w:rsidR="007C7403" w:rsidRPr="00BF5E78">
        <w:rPr>
          <w:szCs w:val="24"/>
        </w:rPr>
        <w:t xml:space="preserve">the </w:t>
      </w:r>
      <w:r w:rsidR="00910EF6" w:rsidRPr="00BF5E78">
        <w:rPr>
          <w:szCs w:val="24"/>
        </w:rPr>
        <w:t>right to health</w:t>
      </w:r>
      <w:r w:rsidR="00A86813" w:rsidRPr="00BF5E78">
        <w:rPr>
          <w:szCs w:val="24"/>
        </w:rPr>
        <w:t xml:space="preserve"> and</w:t>
      </w:r>
      <w:r w:rsidR="00910EF6" w:rsidRPr="00BF5E78">
        <w:rPr>
          <w:szCs w:val="24"/>
        </w:rPr>
        <w:t xml:space="preserve"> the right to social security.</w:t>
      </w:r>
      <w:r w:rsidR="001B6095" w:rsidRPr="00BF5E78">
        <w:rPr>
          <w:color w:val="FF0000"/>
          <w:szCs w:val="24"/>
        </w:rPr>
        <w:t xml:space="preserve"> </w:t>
      </w:r>
    </w:p>
    <w:p w14:paraId="2412D168" w14:textId="77777777" w:rsidR="00F15284" w:rsidRPr="00BF5E78" w:rsidRDefault="00F15284" w:rsidP="000337CB">
      <w:pPr>
        <w:rPr>
          <w:rFonts w:eastAsia="Calibri"/>
          <w:szCs w:val="24"/>
          <w:lang w:eastAsia="en-US"/>
        </w:rPr>
      </w:pPr>
    </w:p>
    <w:p w14:paraId="75A46380" w14:textId="77777777" w:rsidR="00C67BC7" w:rsidRPr="00BF5E78" w:rsidRDefault="00C67BC7" w:rsidP="000F2948">
      <w:pPr>
        <w:jc w:val="center"/>
        <w:rPr>
          <w:b/>
          <w:bCs/>
        </w:rPr>
      </w:pPr>
    </w:p>
    <w:p w14:paraId="60A0E5AF" w14:textId="6983E784" w:rsidR="00AC688A" w:rsidRPr="00BF5E78" w:rsidRDefault="00FE4AC8" w:rsidP="00AC688A">
      <w:pPr>
        <w:shd w:val="clear" w:color="auto" w:fill="FFFFFF"/>
        <w:spacing w:line="240" w:lineRule="atLeast"/>
        <w:ind w:right="-23"/>
        <w:jc w:val="center"/>
        <w:rPr>
          <w:b/>
          <w:bCs/>
        </w:rPr>
      </w:pPr>
      <w:r w:rsidRPr="00BF5E78">
        <w:rPr>
          <w:b/>
          <w:bCs/>
        </w:rPr>
        <w:t>Travis Haslam</w:t>
      </w:r>
    </w:p>
    <w:p w14:paraId="179865D6" w14:textId="5D57B145" w:rsidR="00AC688A" w:rsidRPr="00BF5E78" w:rsidRDefault="00FE4AC8" w:rsidP="00AC688A">
      <w:pPr>
        <w:shd w:val="clear" w:color="auto" w:fill="FFFFFF"/>
        <w:spacing w:line="240" w:lineRule="atLeast"/>
        <w:ind w:right="-23"/>
        <w:jc w:val="center"/>
        <w:rPr>
          <w:b/>
          <w:bCs/>
        </w:rPr>
      </w:pPr>
      <w:r w:rsidRPr="00BF5E78">
        <w:rPr>
          <w:b/>
          <w:bCs/>
        </w:rPr>
        <w:t xml:space="preserve">Acting </w:t>
      </w:r>
      <w:r w:rsidR="006E0CA8" w:rsidRPr="00BF5E78">
        <w:rPr>
          <w:b/>
          <w:bCs/>
        </w:rPr>
        <w:t>First</w:t>
      </w:r>
      <w:r w:rsidR="00AC688A" w:rsidRPr="00BF5E78">
        <w:rPr>
          <w:b/>
          <w:bCs/>
        </w:rPr>
        <w:t xml:space="preserve"> Assistant Secretary </w:t>
      </w:r>
    </w:p>
    <w:p w14:paraId="02A70157" w14:textId="77777777" w:rsidR="00AC688A" w:rsidRPr="00BF5E78" w:rsidRDefault="00AC688A" w:rsidP="00AC688A">
      <w:pPr>
        <w:shd w:val="clear" w:color="auto" w:fill="FFFFFF"/>
        <w:spacing w:line="240" w:lineRule="atLeast"/>
        <w:ind w:right="-23"/>
        <w:jc w:val="center"/>
        <w:rPr>
          <w:b/>
          <w:bCs/>
        </w:rPr>
      </w:pPr>
      <w:r w:rsidRPr="00BF5E78">
        <w:rPr>
          <w:b/>
          <w:bCs/>
        </w:rPr>
        <w:t xml:space="preserve">Medical Benefits Division </w:t>
      </w:r>
    </w:p>
    <w:p w14:paraId="5BEB1C1A" w14:textId="6E140021" w:rsidR="00AC688A" w:rsidRPr="00BF5E78" w:rsidRDefault="00AC688A" w:rsidP="00AC688A">
      <w:pPr>
        <w:shd w:val="clear" w:color="auto" w:fill="FFFFFF"/>
        <w:spacing w:line="240" w:lineRule="atLeast"/>
        <w:ind w:right="-23"/>
        <w:jc w:val="center"/>
        <w:rPr>
          <w:b/>
          <w:bCs/>
        </w:rPr>
      </w:pPr>
      <w:r w:rsidRPr="00BF5E78">
        <w:rPr>
          <w:b/>
          <w:bCs/>
        </w:rPr>
        <w:t xml:space="preserve">Health </w:t>
      </w:r>
      <w:r w:rsidR="006E0CA8" w:rsidRPr="00BF5E78">
        <w:rPr>
          <w:b/>
          <w:bCs/>
        </w:rPr>
        <w:t>Resourcing</w:t>
      </w:r>
      <w:r w:rsidRPr="00BF5E78">
        <w:rPr>
          <w:b/>
          <w:bCs/>
        </w:rPr>
        <w:t xml:space="preserve"> Group</w:t>
      </w:r>
    </w:p>
    <w:p w14:paraId="2412D16E" w14:textId="4102FE15" w:rsidR="00636C51" w:rsidRPr="0013004F" w:rsidRDefault="00AC688A" w:rsidP="001B6095">
      <w:pPr>
        <w:jc w:val="center"/>
        <w:rPr>
          <w:b/>
          <w:bCs/>
        </w:rPr>
      </w:pPr>
      <w:r w:rsidRPr="00BF5E78">
        <w:rPr>
          <w:b/>
          <w:bCs/>
        </w:rPr>
        <w:t>Department of Health</w:t>
      </w:r>
    </w:p>
    <w:sectPr w:rsidR="00636C51" w:rsidRPr="0013004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1DE17" w14:textId="77777777" w:rsidR="00BB1B61" w:rsidRDefault="00BB1B61">
      <w:r>
        <w:separator/>
      </w:r>
    </w:p>
  </w:endnote>
  <w:endnote w:type="continuationSeparator" w:id="0">
    <w:p w14:paraId="32F289BA" w14:textId="77777777" w:rsidR="00BB1B61" w:rsidRDefault="00BB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D31F8" w14:textId="77777777" w:rsidR="00BB1B61" w:rsidRDefault="00BB1B61">
      <w:r>
        <w:separator/>
      </w:r>
    </w:p>
  </w:footnote>
  <w:footnote w:type="continuationSeparator" w:id="0">
    <w:p w14:paraId="30F04D66" w14:textId="77777777" w:rsidR="00BB1B61" w:rsidRDefault="00BB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EE9B4F8" w:rsidR="00A1739A" w:rsidRDefault="00A1739A" w:rsidP="00BD6F5F">
    <w:pPr>
      <w:pStyle w:val="Header"/>
      <w:jc w:val="center"/>
    </w:pPr>
    <w:r>
      <w:fldChar w:fldCharType="begin"/>
    </w:r>
    <w:r>
      <w:instrText xml:space="preserve"> PAGE  \* Arabic  \* MERGEFORMAT </w:instrText>
    </w:r>
    <w:r>
      <w:fldChar w:fldCharType="separate"/>
    </w:r>
    <w:r w:rsidR="00F85C73">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14C586C6" w:rsidR="00E23B6B" w:rsidRDefault="00E23B6B">
        <w:pPr>
          <w:pStyle w:val="Header"/>
          <w:jc w:val="center"/>
        </w:pPr>
        <w:r>
          <w:fldChar w:fldCharType="begin"/>
        </w:r>
        <w:r>
          <w:instrText xml:space="preserve"> PAGE   \* MERGEFORMAT </w:instrText>
        </w:r>
        <w:r>
          <w:fldChar w:fldCharType="separate"/>
        </w:r>
        <w:r w:rsidR="00F85C73">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1CE5EDA" w:rsidR="00E23B6B" w:rsidRDefault="00E23B6B">
        <w:pPr>
          <w:pStyle w:val="Header"/>
          <w:jc w:val="center"/>
        </w:pPr>
        <w:r>
          <w:fldChar w:fldCharType="begin"/>
        </w:r>
        <w:r>
          <w:instrText xml:space="preserve"> PAGE   \* MERGEFORMAT </w:instrText>
        </w:r>
        <w:r>
          <w:fldChar w:fldCharType="separate"/>
        </w:r>
        <w:r w:rsidR="00F85C73">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B240D"/>
    <w:multiLevelType w:val="hybridMultilevel"/>
    <w:tmpl w:val="A278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EB18BA"/>
    <w:multiLevelType w:val="hybridMultilevel"/>
    <w:tmpl w:val="84D4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
  </w:num>
  <w:num w:numId="4">
    <w:abstractNumId w:val="13"/>
  </w:num>
  <w:num w:numId="5">
    <w:abstractNumId w:val="19"/>
  </w:num>
  <w:num w:numId="6">
    <w:abstractNumId w:val="11"/>
  </w:num>
  <w:num w:numId="7">
    <w:abstractNumId w:val="31"/>
  </w:num>
  <w:num w:numId="8">
    <w:abstractNumId w:val="7"/>
  </w:num>
  <w:num w:numId="9">
    <w:abstractNumId w:val="6"/>
  </w:num>
  <w:num w:numId="10">
    <w:abstractNumId w:val="33"/>
  </w:num>
  <w:num w:numId="11">
    <w:abstractNumId w:val="30"/>
  </w:num>
  <w:num w:numId="12">
    <w:abstractNumId w:val="14"/>
  </w:num>
  <w:num w:numId="13">
    <w:abstractNumId w:val="16"/>
  </w:num>
  <w:num w:numId="14">
    <w:abstractNumId w:val="28"/>
  </w:num>
  <w:num w:numId="15">
    <w:abstractNumId w:val="8"/>
  </w:num>
  <w:num w:numId="16">
    <w:abstractNumId w:val="21"/>
  </w:num>
  <w:num w:numId="17">
    <w:abstractNumId w:val="24"/>
  </w:num>
  <w:num w:numId="18">
    <w:abstractNumId w:val="22"/>
  </w:num>
  <w:num w:numId="19">
    <w:abstractNumId w:val="4"/>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5"/>
  </w:num>
  <w:num w:numId="27">
    <w:abstractNumId w:val="17"/>
  </w:num>
  <w:num w:numId="28">
    <w:abstractNumId w:val="32"/>
  </w:num>
  <w:num w:numId="29">
    <w:abstractNumId w:val="18"/>
  </w:num>
  <w:num w:numId="30">
    <w:abstractNumId w:val="29"/>
  </w:num>
  <w:num w:numId="31">
    <w:abstractNumId w:val="15"/>
  </w:num>
  <w:num w:numId="32">
    <w:abstractNumId w:val="27"/>
  </w:num>
  <w:num w:numId="33">
    <w:abstractNumId w:val="25"/>
  </w:num>
  <w:num w:numId="34">
    <w:abstractNumId w:val="1"/>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172"/>
    <w:rsid w:val="00012B9E"/>
    <w:rsid w:val="000139CF"/>
    <w:rsid w:val="00014639"/>
    <w:rsid w:val="00014B38"/>
    <w:rsid w:val="00014D24"/>
    <w:rsid w:val="00014E40"/>
    <w:rsid w:val="00015748"/>
    <w:rsid w:val="00016774"/>
    <w:rsid w:val="000203B4"/>
    <w:rsid w:val="00021EFA"/>
    <w:rsid w:val="00024158"/>
    <w:rsid w:val="00024A1D"/>
    <w:rsid w:val="00025F64"/>
    <w:rsid w:val="0002704E"/>
    <w:rsid w:val="0002728B"/>
    <w:rsid w:val="0002752C"/>
    <w:rsid w:val="00027830"/>
    <w:rsid w:val="000319EF"/>
    <w:rsid w:val="00032CA4"/>
    <w:rsid w:val="00033034"/>
    <w:rsid w:val="000337CB"/>
    <w:rsid w:val="0003591F"/>
    <w:rsid w:val="000415ED"/>
    <w:rsid w:val="00041849"/>
    <w:rsid w:val="00043620"/>
    <w:rsid w:val="0004426E"/>
    <w:rsid w:val="00044A2A"/>
    <w:rsid w:val="00045D23"/>
    <w:rsid w:val="00050623"/>
    <w:rsid w:val="000509BA"/>
    <w:rsid w:val="0005224B"/>
    <w:rsid w:val="00054F46"/>
    <w:rsid w:val="0005533C"/>
    <w:rsid w:val="00063242"/>
    <w:rsid w:val="000640CF"/>
    <w:rsid w:val="00064BA4"/>
    <w:rsid w:val="000678F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38FC"/>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371"/>
    <w:rsid w:val="000D3B79"/>
    <w:rsid w:val="000D4E58"/>
    <w:rsid w:val="000D7803"/>
    <w:rsid w:val="000E0C87"/>
    <w:rsid w:val="000E1ACD"/>
    <w:rsid w:val="000E1EB3"/>
    <w:rsid w:val="000E326A"/>
    <w:rsid w:val="000E3444"/>
    <w:rsid w:val="000E4AFA"/>
    <w:rsid w:val="000E534F"/>
    <w:rsid w:val="000E66FA"/>
    <w:rsid w:val="000E7163"/>
    <w:rsid w:val="000F14A0"/>
    <w:rsid w:val="000F1575"/>
    <w:rsid w:val="000F162A"/>
    <w:rsid w:val="000F1714"/>
    <w:rsid w:val="000F249E"/>
    <w:rsid w:val="000F2948"/>
    <w:rsid w:val="000F2AFC"/>
    <w:rsid w:val="000F37A0"/>
    <w:rsid w:val="000F3E27"/>
    <w:rsid w:val="000F548E"/>
    <w:rsid w:val="000F5E76"/>
    <w:rsid w:val="000F6853"/>
    <w:rsid w:val="000F7E00"/>
    <w:rsid w:val="001000CE"/>
    <w:rsid w:val="00104751"/>
    <w:rsid w:val="00105F4C"/>
    <w:rsid w:val="0010617D"/>
    <w:rsid w:val="00106763"/>
    <w:rsid w:val="00107F36"/>
    <w:rsid w:val="0011066E"/>
    <w:rsid w:val="00110D12"/>
    <w:rsid w:val="00113B2E"/>
    <w:rsid w:val="0011618F"/>
    <w:rsid w:val="00120766"/>
    <w:rsid w:val="00121189"/>
    <w:rsid w:val="00121A66"/>
    <w:rsid w:val="00124959"/>
    <w:rsid w:val="0013004F"/>
    <w:rsid w:val="00132087"/>
    <w:rsid w:val="00134B27"/>
    <w:rsid w:val="00135D0D"/>
    <w:rsid w:val="001400C4"/>
    <w:rsid w:val="00141323"/>
    <w:rsid w:val="00141E8C"/>
    <w:rsid w:val="00143685"/>
    <w:rsid w:val="00143943"/>
    <w:rsid w:val="001448F2"/>
    <w:rsid w:val="00145918"/>
    <w:rsid w:val="00145D25"/>
    <w:rsid w:val="00145DED"/>
    <w:rsid w:val="00146AD2"/>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EBB"/>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0"/>
    <w:rsid w:val="001A7EF8"/>
    <w:rsid w:val="001B0111"/>
    <w:rsid w:val="001B3714"/>
    <w:rsid w:val="001B3BDF"/>
    <w:rsid w:val="001B5ED9"/>
    <w:rsid w:val="001B6095"/>
    <w:rsid w:val="001B66AF"/>
    <w:rsid w:val="001B7092"/>
    <w:rsid w:val="001C1B86"/>
    <w:rsid w:val="001C35BC"/>
    <w:rsid w:val="001C51D8"/>
    <w:rsid w:val="001C5700"/>
    <w:rsid w:val="001C5FC1"/>
    <w:rsid w:val="001C6713"/>
    <w:rsid w:val="001C75E8"/>
    <w:rsid w:val="001D0C04"/>
    <w:rsid w:val="001D6B46"/>
    <w:rsid w:val="001D778A"/>
    <w:rsid w:val="001D7D62"/>
    <w:rsid w:val="001E014D"/>
    <w:rsid w:val="001E2D6D"/>
    <w:rsid w:val="001E3B02"/>
    <w:rsid w:val="001E5391"/>
    <w:rsid w:val="001E5787"/>
    <w:rsid w:val="001E57BC"/>
    <w:rsid w:val="001E5DE7"/>
    <w:rsid w:val="001E63F3"/>
    <w:rsid w:val="001E6C5A"/>
    <w:rsid w:val="001E7C25"/>
    <w:rsid w:val="001F004A"/>
    <w:rsid w:val="001F0923"/>
    <w:rsid w:val="001F1F27"/>
    <w:rsid w:val="00200145"/>
    <w:rsid w:val="002003CA"/>
    <w:rsid w:val="002003F7"/>
    <w:rsid w:val="00200971"/>
    <w:rsid w:val="00200E87"/>
    <w:rsid w:val="002022DF"/>
    <w:rsid w:val="0020245D"/>
    <w:rsid w:val="0020312E"/>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83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2D6D"/>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003"/>
    <w:rsid w:val="002F1707"/>
    <w:rsid w:val="002F2F33"/>
    <w:rsid w:val="002F3A26"/>
    <w:rsid w:val="002F449C"/>
    <w:rsid w:val="002F4CD2"/>
    <w:rsid w:val="002F6069"/>
    <w:rsid w:val="002F70B1"/>
    <w:rsid w:val="002F7549"/>
    <w:rsid w:val="002F7984"/>
    <w:rsid w:val="00301D49"/>
    <w:rsid w:val="003025C7"/>
    <w:rsid w:val="00302F5C"/>
    <w:rsid w:val="00304080"/>
    <w:rsid w:val="0031124D"/>
    <w:rsid w:val="00312ED1"/>
    <w:rsid w:val="00313554"/>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0EAD"/>
    <w:rsid w:val="0036105C"/>
    <w:rsid w:val="00361ADE"/>
    <w:rsid w:val="00363306"/>
    <w:rsid w:val="0036495A"/>
    <w:rsid w:val="00366990"/>
    <w:rsid w:val="00366C2C"/>
    <w:rsid w:val="00367440"/>
    <w:rsid w:val="00370BE6"/>
    <w:rsid w:val="00371F67"/>
    <w:rsid w:val="00375E39"/>
    <w:rsid w:val="00376051"/>
    <w:rsid w:val="003760ED"/>
    <w:rsid w:val="003764AE"/>
    <w:rsid w:val="0037659B"/>
    <w:rsid w:val="003775D7"/>
    <w:rsid w:val="00380CBA"/>
    <w:rsid w:val="00381278"/>
    <w:rsid w:val="0038127E"/>
    <w:rsid w:val="00384080"/>
    <w:rsid w:val="003855DF"/>
    <w:rsid w:val="00386C22"/>
    <w:rsid w:val="0038731F"/>
    <w:rsid w:val="003876E6"/>
    <w:rsid w:val="0039170C"/>
    <w:rsid w:val="00391AFA"/>
    <w:rsid w:val="003937EF"/>
    <w:rsid w:val="00393E9B"/>
    <w:rsid w:val="00395072"/>
    <w:rsid w:val="00396F35"/>
    <w:rsid w:val="00397A97"/>
    <w:rsid w:val="003A28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1C43"/>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57A8"/>
    <w:rsid w:val="00437B1B"/>
    <w:rsid w:val="004405B8"/>
    <w:rsid w:val="004417A2"/>
    <w:rsid w:val="00442F9D"/>
    <w:rsid w:val="00444782"/>
    <w:rsid w:val="00444EDF"/>
    <w:rsid w:val="004456A4"/>
    <w:rsid w:val="00445A6D"/>
    <w:rsid w:val="00446A6B"/>
    <w:rsid w:val="004476E2"/>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2A47"/>
    <w:rsid w:val="004A524A"/>
    <w:rsid w:val="004A56D3"/>
    <w:rsid w:val="004A6B0F"/>
    <w:rsid w:val="004B1ECE"/>
    <w:rsid w:val="004B38C8"/>
    <w:rsid w:val="004B5C2E"/>
    <w:rsid w:val="004B749B"/>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3961"/>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99"/>
    <w:rsid w:val="005452CD"/>
    <w:rsid w:val="0054588E"/>
    <w:rsid w:val="005468C0"/>
    <w:rsid w:val="00546DB4"/>
    <w:rsid w:val="005474A5"/>
    <w:rsid w:val="00547D82"/>
    <w:rsid w:val="005504B4"/>
    <w:rsid w:val="00550DAB"/>
    <w:rsid w:val="00551DD9"/>
    <w:rsid w:val="00552105"/>
    <w:rsid w:val="0055354D"/>
    <w:rsid w:val="00554543"/>
    <w:rsid w:val="005555B8"/>
    <w:rsid w:val="005567CF"/>
    <w:rsid w:val="005612C0"/>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462"/>
    <w:rsid w:val="00594EB6"/>
    <w:rsid w:val="0059798F"/>
    <w:rsid w:val="00597EC9"/>
    <w:rsid w:val="005A0300"/>
    <w:rsid w:val="005A163F"/>
    <w:rsid w:val="005A39BB"/>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5B1A"/>
    <w:rsid w:val="00627C91"/>
    <w:rsid w:val="00635031"/>
    <w:rsid w:val="006369D4"/>
    <w:rsid w:val="00636C51"/>
    <w:rsid w:val="006407FA"/>
    <w:rsid w:val="00641182"/>
    <w:rsid w:val="00642537"/>
    <w:rsid w:val="006427B2"/>
    <w:rsid w:val="00642BEB"/>
    <w:rsid w:val="00646CB8"/>
    <w:rsid w:val="00647426"/>
    <w:rsid w:val="00647590"/>
    <w:rsid w:val="006526F5"/>
    <w:rsid w:val="00653119"/>
    <w:rsid w:val="006542E6"/>
    <w:rsid w:val="00656275"/>
    <w:rsid w:val="00657702"/>
    <w:rsid w:val="00657EB5"/>
    <w:rsid w:val="006619F5"/>
    <w:rsid w:val="006629F9"/>
    <w:rsid w:val="00662A1F"/>
    <w:rsid w:val="006639F0"/>
    <w:rsid w:val="0066562D"/>
    <w:rsid w:val="0066727B"/>
    <w:rsid w:val="00667D76"/>
    <w:rsid w:val="00670998"/>
    <w:rsid w:val="00672050"/>
    <w:rsid w:val="00673872"/>
    <w:rsid w:val="00674A34"/>
    <w:rsid w:val="00685515"/>
    <w:rsid w:val="0068642A"/>
    <w:rsid w:val="006906D2"/>
    <w:rsid w:val="00693A3E"/>
    <w:rsid w:val="00694C76"/>
    <w:rsid w:val="00694F4A"/>
    <w:rsid w:val="00697714"/>
    <w:rsid w:val="006A029B"/>
    <w:rsid w:val="006A17A1"/>
    <w:rsid w:val="006A61C5"/>
    <w:rsid w:val="006A6490"/>
    <w:rsid w:val="006B0F31"/>
    <w:rsid w:val="006B13BC"/>
    <w:rsid w:val="006B1DDD"/>
    <w:rsid w:val="006B32FE"/>
    <w:rsid w:val="006B3959"/>
    <w:rsid w:val="006B4B58"/>
    <w:rsid w:val="006B6925"/>
    <w:rsid w:val="006C026A"/>
    <w:rsid w:val="006C138D"/>
    <w:rsid w:val="006C3807"/>
    <w:rsid w:val="006C427E"/>
    <w:rsid w:val="006C42F8"/>
    <w:rsid w:val="006C6821"/>
    <w:rsid w:val="006C7491"/>
    <w:rsid w:val="006C761B"/>
    <w:rsid w:val="006C76B5"/>
    <w:rsid w:val="006D03ED"/>
    <w:rsid w:val="006D2B37"/>
    <w:rsid w:val="006D3D81"/>
    <w:rsid w:val="006D46A1"/>
    <w:rsid w:val="006D4909"/>
    <w:rsid w:val="006D4AA4"/>
    <w:rsid w:val="006D54FB"/>
    <w:rsid w:val="006D5816"/>
    <w:rsid w:val="006D627E"/>
    <w:rsid w:val="006D62D4"/>
    <w:rsid w:val="006E0CA8"/>
    <w:rsid w:val="006E1A62"/>
    <w:rsid w:val="006E320C"/>
    <w:rsid w:val="006E3D84"/>
    <w:rsid w:val="006E527B"/>
    <w:rsid w:val="006E5C6B"/>
    <w:rsid w:val="006E6377"/>
    <w:rsid w:val="006E6640"/>
    <w:rsid w:val="006E6BBF"/>
    <w:rsid w:val="006E7529"/>
    <w:rsid w:val="006F2E4F"/>
    <w:rsid w:val="006F5273"/>
    <w:rsid w:val="006F5CDC"/>
    <w:rsid w:val="006F6106"/>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0D56"/>
    <w:rsid w:val="00733599"/>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E91"/>
    <w:rsid w:val="00782D07"/>
    <w:rsid w:val="00785781"/>
    <w:rsid w:val="007859F8"/>
    <w:rsid w:val="00791384"/>
    <w:rsid w:val="0079191B"/>
    <w:rsid w:val="00791C27"/>
    <w:rsid w:val="0079239C"/>
    <w:rsid w:val="007934F3"/>
    <w:rsid w:val="00795A80"/>
    <w:rsid w:val="00796464"/>
    <w:rsid w:val="00796F15"/>
    <w:rsid w:val="00797640"/>
    <w:rsid w:val="007A0403"/>
    <w:rsid w:val="007A12F5"/>
    <w:rsid w:val="007A3C42"/>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D64DE"/>
    <w:rsid w:val="007D767C"/>
    <w:rsid w:val="007E0017"/>
    <w:rsid w:val="007E0D9D"/>
    <w:rsid w:val="007E3F11"/>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1B07"/>
    <w:rsid w:val="008129B1"/>
    <w:rsid w:val="00817A12"/>
    <w:rsid w:val="0082437E"/>
    <w:rsid w:val="008259FD"/>
    <w:rsid w:val="00825B2C"/>
    <w:rsid w:val="00825D67"/>
    <w:rsid w:val="00826C1C"/>
    <w:rsid w:val="00826C6D"/>
    <w:rsid w:val="008273D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1B51"/>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1CE1"/>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E7637"/>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17B92"/>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3D8"/>
    <w:rsid w:val="009465EF"/>
    <w:rsid w:val="009467A8"/>
    <w:rsid w:val="00951A0B"/>
    <w:rsid w:val="00952F3F"/>
    <w:rsid w:val="00953383"/>
    <w:rsid w:val="009574A8"/>
    <w:rsid w:val="009574C6"/>
    <w:rsid w:val="00957E17"/>
    <w:rsid w:val="00960954"/>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9A0"/>
    <w:rsid w:val="00995A06"/>
    <w:rsid w:val="00996BF2"/>
    <w:rsid w:val="009A222A"/>
    <w:rsid w:val="009A26CA"/>
    <w:rsid w:val="009A4BF7"/>
    <w:rsid w:val="009A6FE7"/>
    <w:rsid w:val="009B1BCA"/>
    <w:rsid w:val="009B1FD2"/>
    <w:rsid w:val="009B3AEB"/>
    <w:rsid w:val="009B7AE2"/>
    <w:rsid w:val="009C3EB5"/>
    <w:rsid w:val="009C42BD"/>
    <w:rsid w:val="009C444B"/>
    <w:rsid w:val="009D2B85"/>
    <w:rsid w:val="009D2EB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2078"/>
    <w:rsid w:val="009F27E8"/>
    <w:rsid w:val="009F2C73"/>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04B3"/>
    <w:rsid w:val="00A232B9"/>
    <w:rsid w:val="00A24F4B"/>
    <w:rsid w:val="00A25BF9"/>
    <w:rsid w:val="00A3185E"/>
    <w:rsid w:val="00A33893"/>
    <w:rsid w:val="00A34C9A"/>
    <w:rsid w:val="00A34D89"/>
    <w:rsid w:val="00A3611E"/>
    <w:rsid w:val="00A40A3B"/>
    <w:rsid w:val="00A41364"/>
    <w:rsid w:val="00A41F72"/>
    <w:rsid w:val="00A4278E"/>
    <w:rsid w:val="00A4292D"/>
    <w:rsid w:val="00A44A25"/>
    <w:rsid w:val="00A5439D"/>
    <w:rsid w:val="00A54891"/>
    <w:rsid w:val="00A54CA1"/>
    <w:rsid w:val="00A56516"/>
    <w:rsid w:val="00A62031"/>
    <w:rsid w:val="00A65D80"/>
    <w:rsid w:val="00A66849"/>
    <w:rsid w:val="00A672A7"/>
    <w:rsid w:val="00A6730E"/>
    <w:rsid w:val="00A714DD"/>
    <w:rsid w:val="00A73044"/>
    <w:rsid w:val="00A7379C"/>
    <w:rsid w:val="00A73CF1"/>
    <w:rsid w:val="00A757D0"/>
    <w:rsid w:val="00A75C9A"/>
    <w:rsid w:val="00A77B9A"/>
    <w:rsid w:val="00A77EB0"/>
    <w:rsid w:val="00A835D4"/>
    <w:rsid w:val="00A853D1"/>
    <w:rsid w:val="00A85AA3"/>
    <w:rsid w:val="00A86302"/>
    <w:rsid w:val="00A86813"/>
    <w:rsid w:val="00A86D69"/>
    <w:rsid w:val="00A90EE0"/>
    <w:rsid w:val="00A9123D"/>
    <w:rsid w:val="00A918D2"/>
    <w:rsid w:val="00A91DC0"/>
    <w:rsid w:val="00A91EEC"/>
    <w:rsid w:val="00A92534"/>
    <w:rsid w:val="00A927C4"/>
    <w:rsid w:val="00A92BCA"/>
    <w:rsid w:val="00A93B9E"/>
    <w:rsid w:val="00A94748"/>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5712"/>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50E59"/>
    <w:rsid w:val="00B53FF2"/>
    <w:rsid w:val="00B54620"/>
    <w:rsid w:val="00B55CDD"/>
    <w:rsid w:val="00B56E4F"/>
    <w:rsid w:val="00B60F70"/>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884"/>
    <w:rsid w:val="00BA7C49"/>
    <w:rsid w:val="00BB00BA"/>
    <w:rsid w:val="00BB112B"/>
    <w:rsid w:val="00BB1B61"/>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793"/>
    <w:rsid w:val="00BF591D"/>
    <w:rsid w:val="00BF5A87"/>
    <w:rsid w:val="00BF5E78"/>
    <w:rsid w:val="00BF6341"/>
    <w:rsid w:val="00C0045E"/>
    <w:rsid w:val="00C00FC7"/>
    <w:rsid w:val="00C00FD8"/>
    <w:rsid w:val="00C05E84"/>
    <w:rsid w:val="00C073E4"/>
    <w:rsid w:val="00C07C34"/>
    <w:rsid w:val="00C13962"/>
    <w:rsid w:val="00C150D5"/>
    <w:rsid w:val="00C154E6"/>
    <w:rsid w:val="00C158B5"/>
    <w:rsid w:val="00C1626C"/>
    <w:rsid w:val="00C16694"/>
    <w:rsid w:val="00C16E23"/>
    <w:rsid w:val="00C17ED8"/>
    <w:rsid w:val="00C2082B"/>
    <w:rsid w:val="00C20DBA"/>
    <w:rsid w:val="00C23920"/>
    <w:rsid w:val="00C27256"/>
    <w:rsid w:val="00C325DD"/>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55F"/>
    <w:rsid w:val="00C63FDC"/>
    <w:rsid w:val="00C67BC7"/>
    <w:rsid w:val="00C724F5"/>
    <w:rsid w:val="00C73066"/>
    <w:rsid w:val="00C743D2"/>
    <w:rsid w:val="00C75EEF"/>
    <w:rsid w:val="00C77A1F"/>
    <w:rsid w:val="00C80647"/>
    <w:rsid w:val="00C80836"/>
    <w:rsid w:val="00C83CA1"/>
    <w:rsid w:val="00C84DDE"/>
    <w:rsid w:val="00C85162"/>
    <w:rsid w:val="00C87864"/>
    <w:rsid w:val="00C90EAC"/>
    <w:rsid w:val="00C917FD"/>
    <w:rsid w:val="00C93D01"/>
    <w:rsid w:val="00C958FA"/>
    <w:rsid w:val="00C96958"/>
    <w:rsid w:val="00C96A6B"/>
    <w:rsid w:val="00CA2750"/>
    <w:rsid w:val="00CA62C0"/>
    <w:rsid w:val="00CA73CB"/>
    <w:rsid w:val="00CA79BB"/>
    <w:rsid w:val="00CB12CF"/>
    <w:rsid w:val="00CB4161"/>
    <w:rsid w:val="00CB43A2"/>
    <w:rsid w:val="00CB4CB4"/>
    <w:rsid w:val="00CB587B"/>
    <w:rsid w:val="00CB6DE1"/>
    <w:rsid w:val="00CB7730"/>
    <w:rsid w:val="00CC12A0"/>
    <w:rsid w:val="00CC26A8"/>
    <w:rsid w:val="00CC389E"/>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0617E"/>
    <w:rsid w:val="00D114E6"/>
    <w:rsid w:val="00D1198D"/>
    <w:rsid w:val="00D11EF8"/>
    <w:rsid w:val="00D15F17"/>
    <w:rsid w:val="00D161BE"/>
    <w:rsid w:val="00D162D9"/>
    <w:rsid w:val="00D17BDD"/>
    <w:rsid w:val="00D24D15"/>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2BE0"/>
    <w:rsid w:val="00D73B3D"/>
    <w:rsid w:val="00D7566A"/>
    <w:rsid w:val="00D75BE2"/>
    <w:rsid w:val="00D85008"/>
    <w:rsid w:val="00D87426"/>
    <w:rsid w:val="00D8754D"/>
    <w:rsid w:val="00D91FAB"/>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519C"/>
    <w:rsid w:val="00E10F64"/>
    <w:rsid w:val="00E13833"/>
    <w:rsid w:val="00E17001"/>
    <w:rsid w:val="00E17406"/>
    <w:rsid w:val="00E20AE5"/>
    <w:rsid w:val="00E20F00"/>
    <w:rsid w:val="00E21297"/>
    <w:rsid w:val="00E23A38"/>
    <w:rsid w:val="00E23B6B"/>
    <w:rsid w:val="00E24721"/>
    <w:rsid w:val="00E25139"/>
    <w:rsid w:val="00E265A0"/>
    <w:rsid w:val="00E266DE"/>
    <w:rsid w:val="00E30B4F"/>
    <w:rsid w:val="00E311F5"/>
    <w:rsid w:val="00E34BF8"/>
    <w:rsid w:val="00E34EAC"/>
    <w:rsid w:val="00E35B1E"/>
    <w:rsid w:val="00E41996"/>
    <w:rsid w:val="00E4250F"/>
    <w:rsid w:val="00E44A7E"/>
    <w:rsid w:val="00E46A7E"/>
    <w:rsid w:val="00E46CE8"/>
    <w:rsid w:val="00E51559"/>
    <w:rsid w:val="00E548DB"/>
    <w:rsid w:val="00E552BD"/>
    <w:rsid w:val="00E55649"/>
    <w:rsid w:val="00E56A50"/>
    <w:rsid w:val="00E5798A"/>
    <w:rsid w:val="00E57A3E"/>
    <w:rsid w:val="00E60F96"/>
    <w:rsid w:val="00E628D9"/>
    <w:rsid w:val="00E62C41"/>
    <w:rsid w:val="00E63ADA"/>
    <w:rsid w:val="00E640E0"/>
    <w:rsid w:val="00E645F6"/>
    <w:rsid w:val="00E64C5F"/>
    <w:rsid w:val="00E664F4"/>
    <w:rsid w:val="00E67451"/>
    <w:rsid w:val="00E70355"/>
    <w:rsid w:val="00E72855"/>
    <w:rsid w:val="00E72E5D"/>
    <w:rsid w:val="00E7377F"/>
    <w:rsid w:val="00E74710"/>
    <w:rsid w:val="00E74C1D"/>
    <w:rsid w:val="00E75ACC"/>
    <w:rsid w:val="00E81B2F"/>
    <w:rsid w:val="00E844ED"/>
    <w:rsid w:val="00E85810"/>
    <w:rsid w:val="00E85B0A"/>
    <w:rsid w:val="00E90558"/>
    <w:rsid w:val="00E905C1"/>
    <w:rsid w:val="00E909CD"/>
    <w:rsid w:val="00E92248"/>
    <w:rsid w:val="00E92BD1"/>
    <w:rsid w:val="00E935A1"/>
    <w:rsid w:val="00E93FB6"/>
    <w:rsid w:val="00E94BB6"/>
    <w:rsid w:val="00E956C6"/>
    <w:rsid w:val="00EA1715"/>
    <w:rsid w:val="00EA2EE8"/>
    <w:rsid w:val="00EA31FD"/>
    <w:rsid w:val="00EA4349"/>
    <w:rsid w:val="00EA4EE4"/>
    <w:rsid w:val="00EA5A32"/>
    <w:rsid w:val="00EB2ABB"/>
    <w:rsid w:val="00EB2F51"/>
    <w:rsid w:val="00EB3BF0"/>
    <w:rsid w:val="00EB4DA6"/>
    <w:rsid w:val="00EB601D"/>
    <w:rsid w:val="00EB6CCD"/>
    <w:rsid w:val="00EC0273"/>
    <w:rsid w:val="00EC25BA"/>
    <w:rsid w:val="00ED0AD5"/>
    <w:rsid w:val="00ED1DE2"/>
    <w:rsid w:val="00ED1F31"/>
    <w:rsid w:val="00ED3630"/>
    <w:rsid w:val="00ED7140"/>
    <w:rsid w:val="00ED751C"/>
    <w:rsid w:val="00ED77E5"/>
    <w:rsid w:val="00EE026E"/>
    <w:rsid w:val="00EE2698"/>
    <w:rsid w:val="00EE3C59"/>
    <w:rsid w:val="00EE51B0"/>
    <w:rsid w:val="00EE5B70"/>
    <w:rsid w:val="00EE66B6"/>
    <w:rsid w:val="00EE7B48"/>
    <w:rsid w:val="00EF0AFA"/>
    <w:rsid w:val="00EF38E5"/>
    <w:rsid w:val="00EF3BE7"/>
    <w:rsid w:val="00EF5C33"/>
    <w:rsid w:val="00EF629C"/>
    <w:rsid w:val="00EF6508"/>
    <w:rsid w:val="00EF6AB8"/>
    <w:rsid w:val="00EF7C6E"/>
    <w:rsid w:val="00F0029C"/>
    <w:rsid w:val="00F012F4"/>
    <w:rsid w:val="00F01632"/>
    <w:rsid w:val="00F0546E"/>
    <w:rsid w:val="00F0625D"/>
    <w:rsid w:val="00F0672D"/>
    <w:rsid w:val="00F072E1"/>
    <w:rsid w:val="00F11185"/>
    <w:rsid w:val="00F1190E"/>
    <w:rsid w:val="00F11DDA"/>
    <w:rsid w:val="00F12E98"/>
    <w:rsid w:val="00F1446A"/>
    <w:rsid w:val="00F14DDA"/>
    <w:rsid w:val="00F15284"/>
    <w:rsid w:val="00F169CB"/>
    <w:rsid w:val="00F207AB"/>
    <w:rsid w:val="00F21405"/>
    <w:rsid w:val="00F2161A"/>
    <w:rsid w:val="00F21724"/>
    <w:rsid w:val="00F2198A"/>
    <w:rsid w:val="00F21A81"/>
    <w:rsid w:val="00F21CC1"/>
    <w:rsid w:val="00F2238C"/>
    <w:rsid w:val="00F22D61"/>
    <w:rsid w:val="00F2324D"/>
    <w:rsid w:val="00F240F2"/>
    <w:rsid w:val="00F2428F"/>
    <w:rsid w:val="00F25075"/>
    <w:rsid w:val="00F27444"/>
    <w:rsid w:val="00F317CA"/>
    <w:rsid w:val="00F319F3"/>
    <w:rsid w:val="00F31BFB"/>
    <w:rsid w:val="00F323E7"/>
    <w:rsid w:val="00F324D2"/>
    <w:rsid w:val="00F32A56"/>
    <w:rsid w:val="00F32BEB"/>
    <w:rsid w:val="00F335E4"/>
    <w:rsid w:val="00F3501E"/>
    <w:rsid w:val="00F35509"/>
    <w:rsid w:val="00F358C3"/>
    <w:rsid w:val="00F409B2"/>
    <w:rsid w:val="00F413D8"/>
    <w:rsid w:val="00F42100"/>
    <w:rsid w:val="00F42A9B"/>
    <w:rsid w:val="00F45470"/>
    <w:rsid w:val="00F464FE"/>
    <w:rsid w:val="00F465F9"/>
    <w:rsid w:val="00F47621"/>
    <w:rsid w:val="00F570AB"/>
    <w:rsid w:val="00F571A5"/>
    <w:rsid w:val="00F57A71"/>
    <w:rsid w:val="00F61C28"/>
    <w:rsid w:val="00F61E69"/>
    <w:rsid w:val="00F633B7"/>
    <w:rsid w:val="00F64434"/>
    <w:rsid w:val="00F645F1"/>
    <w:rsid w:val="00F6591A"/>
    <w:rsid w:val="00F70D35"/>
    <w:rsid w:val="00F72885"/>
    <w:rsid w:val="00F74FCF"/>
    <w:rsid w:val="00F7546C"/>
    <w:rsid w:val="00F77B00"/>
    <w:rsid w:val="00F83B6F"/>
    <w:rsid w:val="00F84470"/>
    <w:rsid w:val="00F85096"/>
    <w:rsid w:val="00F857BC"/>
    <w:rsid w:val="00F85C73"/>
    <w:rsid w:val="00F90273"/>
    <w:rsid w:val="00F90BD0"/>
    <w:rsid w:val="00F91A5F"/>
    <w:rsid w:val="00F93ACB"/>
    <w:rsid w:val="00F93C4F"/>
    <w:rsid w:val="00F954A2"/>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E4AC8"/>
    <w:rsid w:val="00FF26F6"/>
    <w:rsid w:val="00FF35E2"/>
    <w:rsid w:val="00FF729D"/>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3501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501E"/>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91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ADF9411A-A0A8-4562-9A60-DFF7DBC1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15</cp:revision>
  <cp:lastPrinted>2019-09-23T06:46:00Z</cp:lastPrinted>
  <dcterms:created xsi:type="dcterms:W3CDTF">2021-08-31T23:46:00Z</dcterms:created>
  <dcterms:modified xsi:type="dcterms:W3CDTF">2021-09-14T05:22:00Z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