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CA17" w14:textId="77777777" w:rsidR="00FF6E25" w:rsidRPr="002D7A08" w:rsidRDefault="00FF6E25" w:rsidP="00FF6E25">
      <w:pPr>
        <w:jc w:val="center"/>
        <w:rPr>
          <w:rFonts w:asciiTheme="minorHAnsi" w:hAnsiTheme="minorHAnsi" w:cstheme="minorHAnsi"/>
          <w:b/>
          <w:szCs w:val="24"/>
          <w:u w:val="single"/>
        </w:rPr>
      </w:pPr>
      <w:r w:rsidRPr="002D7A08">
        <w:rPr>
          <w:rFonts w:asciiTheme="minorHAnsi" w:hAnsiTheme="minorHAnsi" w:cstheme="minorHAnsi"/>
          <w:b/>
          <w:szCs w:val="24"/>
          <w:u w:val="single"/>
        </w:rPr>
        <w:t>EXPLANATORY STATEMENT</w:t>
      </w:r>
    </w:p>
    <w:p w14:paraId="1276A090" w14:textId="77777777" w:rsidR="0088497A" w:rsidRPr="0088497A" w:rsidRDefault="0088497A" w:rsidP="00FF6E25">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2D7A08">
        <w:rPr>
          <w:rFonts w:asciiTheme="minorHAnsi" w:hAnsiTheme="minorHAnsi" w:cstheme="minorHAnsi"/>
          <w:szCs w:val="24"/>
          <w:u w:val="single"/>
        </w:rPr>
        <w:t xml:space="preserve"> Minister for Education and Youth</w:t>
      </w:r>
    </w:p>
    <w:p w14:paraId="6BFA5D5F" w14:textId="77777777" w:rsidR="00455C2A" w:rsidRPr="002D7A08" w:rsidRDefault="002D7A08" w:rsidP="00FF6E25">
      <w:pPr>
        <w:jc w:val="center"/>
        <w:rPr>
          <w:rFonts w:asciiTheme="minorHAnsi" w:hAnsiTheme="minorHAnsi" w:cstheme="minorHAnsi"/>
          <w:b/>
          <w:i/>
          <w:szCs w:val="24"/>
        </w:rPr>
      </w:pPr>
      <w:r w:rsidRPr="002D7A08">
        <w:rPr>
          <w:rFonts w:asciiTheme="minorHAnsi" w:hAnsiTheme="minorHAnsi" w:cstheme="minorHAnsi"/>
          <w:b/>
          <w:i/>
          <w:szCs w:val="24"/>
        </w:rPr>
        <w:t>Education Services for Overseas Students Act 2000</w:t>
      </w:r>
    </w:p>
    <w:p w14:paraId="7EDCF407" w14:textId="77777777" w:rsidR="00503218" w:rsidRPr="0088497A" w:rsidRDefault="002D7A08" w:rsidP="00DA552F">
      <w:pPr>
        <w:jc w:val="center"/>
        <w:rPr>
          <w:rFonts w:asciiTheme="minorHAnsi" w:hAnsiTheme="minorHAnsi" w:cstheme="minorHAnsi"/>
          <w:b/>
          <w:i/>
          <w:szCs w:val="24"/>
        </w:rPr>
      </w:pPr>
      <w:r w:rsidRPr="002D7A08">
        <w:rPr>
          <w:rFonts w:asciiTheme="minorHAnsi" w:hAnsiTheme="minorHAnsi" w:cstheme="minorHAnsi"/>
          <w:b/>
          <w:i/>
          <w:szCs w:val="24"/>
        </w:rPr>
        <w:t>Education Services for Overseas Students (Foundation Program Standards) Instrument</w:t>
      </w:r>
      <w:r>
        <w:rPr>
          <w:rFonts w:asciiTheme="minorHAnsi" w:hAnsiTheme="minorHAnsi" w:cstheme="minorHAnsi"/>
          <w:b/>
          <w:i/>
          <w:szCs w:val="24"/>
        </w:rPr>
        <w:t> </w:t>
      </w:r>
      <w:r w:rsidRPr="002D7A08">
        <w:rPr>
          <w:rFonts w:asciiTheme="minorHAnsi" w:hAnsiTheme="minorHAnsi" w:cstheme="minorHAnsi"/>
          <w:b/>
          <w:i/>
          <w:szCs w:val="24"/>
        </w:rPr>
        <w:t>2021</w:t>
      </w:r>
    </w:p>
    <w:p w14:paraId="7D8AADBF"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4C38664E" w14:textId="77777777" w:rsidR="00DB6247" w:rsidRPr="002D7A08" w:rsidRDefault="002D7A08" w:rsidP="002D7A08">
      <w:pPr>
        <w:pStyle w:val="Heading2"/>
        <w:spacing w:after="240"/>
        <w:rPr>
          <w:iCs/>
          <w:color w:val="auto"/>
          <w:sz w:val="20"/>
          <w:shd w:val="clear" w:color="auto" w:fill="FFFFFF"/>
        </w:rPr>
      </w:pPr>
      <w:r w:rsidRPr="002D7A08">
        <w:rPr>
          <w:rFonts w:asciiTheme="minorHAnsi" w:hAnsiTheme="minorHAnsi" w:cstheme="minorHAnsi"/>
          <w:b w:val="0"/>
          <w:iCs/>
          <w:color w:val="auto"/>
        </w:rPr>
        <w:t xml:space="preserve">The </w:t>
      </w:r>
      <w:r w:rsidRPr="002D7A08">
        <w:rPr>
          <w:rFonts w:asciiTheme="minorHAnsi" w:hAnsiTheme="minorHAnsi" w:cstheme="minorHAnsi"/>
          <w:b w:val="0"/>
          <w:i/>
          <w:color w:val="auto"/>
        </w:rPr>
        <w:t>Education Services for Overseas Students (Foundation Program Standards) Instrument 2021</w:t>
      </w:r>
      <w:r w:rsidRPr="002D7A08">
        <w:rPr>
          <w:rFonts w:asciiTheme="minorHAnsi" w:hAnsiTheme="minorHAnsi" w:cstheme="minorHAnsi"/>
          <w:b w:val="0"/>
          <w:iCs/>
          <w:color w:val="auto"/>
        </w:rPr>
        <w:t xml:space="preserve"> (the </w:t>
      </w:r>
      <w:r w:rsidR="003F492F">
        <w:rPr>
          <w:rFonts w:asciiTheme="minorHAnsi" w:hAnsiTheme="minorHAnsi" w:cstheme="minorHAnsi"/>
          <w:b w:val="0"/>
          <w:iCs/>
          <w:color w:val="auto"/>
        </w:rPr>
        <w:t>Foundation Program Standards</w:t>
      </w:r>
      <w:r w:rsidRPr="002D7A08">
        <w:rPr>
          <w:rFonts w:asciiTheme="minorHAnsi" w:hAnsiTheme="minorHAnsi" w:cstheme="minorHAnsi"/>
          <w:b w:val="0"/>
          <w:iCs/>
          <w:color w:val="auto"/>
        </w:rPr>
        <w:t xml:space="preserve">) is made by the Minister under subsection 176C(1) of the </w:t>
      </w:r>
      <w:r w:rsidRPr="006540EF">
        <w:rPr>
          <w:rFonts w:asciiTheme="minorHAnsi" w:hAnsiTheme="minorHAnsi" w:cstheme="minorHAnsi"/>
          <w:b w:val="0"/>
          <w:i/>
          <w:color w:val="auto"/>
        </w:rPr>
        <w:t>Education Services for Overseas Students Act 2000</w:t>
      </w:r>
      <w:r w:rsidRPr="002D7A08">
        <w:rPr>
          <w:rFonts w:asciiTheme="minorHAnsi" w:hAnsiTheme="minorHAnsi" w:cstheme="minorHAnsi"/>
          <w:b w:val="0"/>
          <w:iCs/>
          <w:color w:val="auto"/>
        </w:rPr>
        <w:t xml:space="preserve"> (ESOS Act). </w:t>
      </w:r>
    </w:p>
    <w:bookmarkEnd w:id="0"/>
    <w:bookmarkEnd w:id="1"/>
    <w:p w14:paraId="2AB9AA29"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2FC1A8FC" w14:textId="4B23BF40" w:rsidR="008070EB" w:rsidRDefault="008070EB" w:rsidP="00DA552F">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sidR="00C62E16" w:rsidRPr="00AC1539">
        <w:rPr>
          <w:rFonts w:asciiTheme="minorHAnsi" w:hAnsiTheme="minorHAnsi" w:cstheme="minorHAnsi"/>
          <w:iCs/>
          <w:szCs w:val="24"/>
        </w:rPr>
        <w:t>Foundation Program Standards</w:t>
      </w:r>
      <w:r w:rsidR="00C62E16">
        <w:rPr>
          <w:rFonts w:asciiTheme="minorHAnsi" w:hAnsiTheme="minorHAnsi" w:cstheme="minorHAnsi"/>
          <w:iCs/>
          <w:szCs w:val="24"/>
        </w:rPr>
        <w:t xml:space="preserve"> are a part of the legislative framework </w:t>
      </w:r>
      <w:r w:rsidR="00AC1539">
        <w:rPr>
          <w:rFonts w:asciiTheme="minorHAnsi" w:hAnsiTheme="minorHAnsi" w:cstheme="minorHAnsi"/>
          <w:iCs/>
          <w:szCs w:val="24"/>
        </w:rPr>
        <w:t xml:space="preserve">enabled by </w:t>
      </w:r>
      <w:r w:rsidR="00C62E16">
        <w:rPr>
          <w:rFonts w:asciiTheme="minorHAnsi" w:hAnsiTheme="minorHAnsi" w:cstheme="minorHAnsi"/>
          <w:iCs/>
          <w:szCs w:val="24"/>
        </w:rPr>
        <w:t xml:space="preserve">the </w:t>
      </w:r>
      <w:r w:rsidRPr="008070EB">
        <w:rPr>
          <w:rFonts w:asciiTheme="minorHAnsi" w:hAnsiTheme="minorHAnsi" w:cstheme="minorHAnsi"/>
          <w:iCs/>
          <w:szCs w:val="24"/>
        </w:rPr>
        <w:t>ESOS Act</w:t>
      </w:r>
      <w:r w:rsidR="00C62E16">
        <w:rPr>
          <w:rFonts w:asciiTheme="minorHAnsi" w:hAnsiTheme="minorHAnsi" w:cstheme="minorHAnsi"/>
          <w:iCs/>
          <w:szCs w:val="24"/>
        </w:rPr>
        <w:t xml:space="preserve">. </w:t>
      </w:r>
      <w:r w:rsidR="0075604F">
        <w:rPr>
          <w:rFonts w:asciiTheme="minorHAnsi" w:hAnsiTheme="minorHAnsi" w:cstheme="minorHAnsi"/>
          <w:iCs/>
          <w:szCs w:val="24"/>
        </w:rPr>
        <w:t>Providers who offer courses to overseas student must comply with the ESOS Act.</w:t>
      </w:r>
      <w:r w:rsidR="0075604F" w:rsidRPr="008070EB">
        <w:rPr>
          <w:rFonts w:asciiTheme="minorHAnsi" w:hAnsiTheme="minorHAnsi" w:cstheme="minorHAnsi"/>
          <w:iCs/>
          <w:szCs w:val="24"/>
        </w:rPr>
        <w:t xml:space="preserve"> </w:t>
      </w:r>
      <w:r w:rsidR="00C62E16">
        <w:rPr>
          <w:rFonts w:asciiTheme="minorHAnsi" w:hAnsiTheme="minorHAnsi" w:cstheme="minorHAnsi"/>
          <w:iCs/>
          <w:szCs w:val="24"/>
        </w:rPr>
        <w:t xml:space="preserve">The framework </w:t>
      </w:r>
      <w:r w:rsidRPr="008070EB">
        <w:rPr>
          <w:rFonts w:asciiTheme="minorHAnsi" w:hAnsiTheme="minorHAnsi" w:cstheme="minorHAnsi"/>
          <w:iCs/>
          <w:szCs w:val="24"/>
        </w:rPr>
        <w:t>establish</w:t>
      </w:r>
      <w:r w:rsidR="00C62E16">
        <w:rPr>
          <w:rFonts w:asciiTheme="minorHAnsi" w:hAnsiTheme="minorHAnsi" w:cstheme="minorHAnsi"/>
          <w:iCs/>
          <w:szCs w:val="24"/>
        </w:rPr>
        <w:t>es</w:t>
      </w:r>
      <w:r w:rsidRPr="008070EB">
        <w:rPr>
          <w:rFonts w:asciiTheme="minorHAnsi" w:hAnsiTheme="minorHAnsi" w:cstheme="minorHAnsi"/>
          <w:iCs/>
          <w:szCs w:val="24"/>
        </w:rPr>
        <w:t xml:space="preserve"> requirements and standards for quality assurance of education services offered to </w:t>
      </w:r>
      <w:r w:rsidR="00C62E16">
        <w:rPr>
          <w:rFonts w:asciiTheme="minorHAnsi" w:hAnsiTheme="minorHAnsi" w:cstheme="minorHAnsi"/>
          <w:iCs/>
          <w:szCs w:val="24"/>
        </w:rPr>
        <w:t>overseas</w:t>
      </w:r>
      <w:r w:rsidR="00C62E16" w:rsidRPr="008070EB">
        <w:rPr>
          <w:rFonts w:asciiTheme="minorHAnsi" w:hAnsiTheme="minorHAnsi" w:cstheme="minorHAnsi"/>
          <w:iCs/>
          <w:szCs w:val="24"/>
        </w:rPr>
        <w:t xml:space="preserve"> </w:t>
      </w:r>
      <w:r w:rsidRPr="008070EB">
        <w:rPr>
          <w:rFonts w:asciiTheme="minorHAnsi" w:hAnsiTheme="minorHAnsi" w:cstheme="minorHAnsi"/>
          <w:iCs/>
          <w:szCs w:val="24"/>
        </w:rPr>
        <w:t>students</w:t>
      </w:r>
      <w:r w:rsidR="00B74160">
        <w:rPr>
          <w:rStyle w:val="CommentReference"/>
        </w:rPr>
        <w:t>.</w:t>
      </w:r>
      <w:r w:rsidRPr="008070EB">
        <w:rPr>
          <w:rFonts w:asciiTheme="minorHAnsi" w:hAnsiTheme="minorHAnsi" w:cstheme="minorHAnsi"/>
          <w:iCs/>
          <w:szCs w:val="24"/>
        </w:rPr>
        <w:t xml:space="preserve"> The framework</w:t>
      </w:r>
      <w:r w:rsidR="00C62E16">
        <w:rPr>
          <w:rFonts w:asciiTheme="minorHAnsi" w:hAnsiTheme="minorHAnsi" w:cstheme="minorHAnsi"/>
          <w:iCs/>
          <w:szCs w:val="24"/>
        </w:rPr>
        <w:t xml:space="preserve">, including the </w:t>
      </w:r>
      <w:r w:rsidR="00C62E16" w:rsidRPr="00AC1539">
        <w:rPr>
          <w:rFonts w:asciiTheme="minorHAnsi" w:hAnsiTheme="minorHAnsi" w:cstheme="minorHAnsi"/>
          <w:iCs/>
          <w:szCs w:val="24"/>
        </w:rPr>
        <w:t>Foundation Program Standards</w:t>
      </w:r>
      <w:r w:rsidR="00C62E16">
        <w:rPr>
          <w:rFonts w:asciiTheme="minorHAnsi" w:hAnsiTheme="minorHAnsi" w:cstheme="minorHAnsi"/>
          <w:iCs/>
          <w:szCs w:val="24"/>
        </w:rPr>
        <w:t>,</w:t>
      </w:r>
      <w:r w:rsidRPr="008070EB">
        <w:rPr>
          <w:rFonts w:asciiTheme="minorHAnsi" w:hAnsiTheme="minorHAnsi" w:cstheme="minorHAnsi"/>
          <w:iCs/>
          <w:szCs w:val="24"/>
        </w:rPr>
        <w:t xml:space="preserve"> </w:t>
      </w:r>
      <w:r w:rsidR="0095786F">
        <w:rPr>
          <w:rFonts w:asciiTheme="minorHAnsi" w:hAnsiTheme="minorHAnsi" w:cstheme="minorHAnsi"/>
          <w:iCs/>
          <w:szCs w:val="24"/>
        </w:rPr>
        <w:t xml:space="preserve">promotes the quality of Australian education </w:t>
      </w:r>
      <w:r w:rsidR="00D92A38">
        <w:rPr>
          <w:rFonts w:asciiTheme="minorHAnsi" w:hAnsiTheme="minorHAnsi" w:cstheme="minorHAnsi"/>
          <w:iCs/>
          <w:szCs w:val="24"/>
        </w:rPr>
        <w:t xml:space="preserve">offerings, </w:t>
      </w:r>
      <w:r w:rsidRPr="008070EB">
        <w:rPr>
          <w:rFonts w:asciiTheme="minorHAnsi" w:hAnsiTheme="minorHAnsi" w:cstheme="minorHAnsi"/>
          <w:iCs/>
          <w:szCs w:val="24"/>
        </w:rPr>
        <w:t>supports the</w:t>
      </w:r>
      <w:r w:rsidR="00D92A38">
        <w:rPr>
          <w:rFonts w:asciiTheme="minorHAnsi" w:hAnsiTheme="minorHAnsi" w:cstheme="minorHAnsi"/>
          <w:iCs/>
          <w:szCs w:val="24"/>
        </w:rPr>
        <w:t xml:space="preserve"> integrity of the</w:t>
      </w:r>
      <w:r w:rsidRPr="008070EB">
        <w:rPr>
          <w:rFonts w:asciiTheme="minorHAnsi" w:hAnsiTheme="minorHAnsi" w:cstheme="minorHAnsi"/>
          <w:iCs/>
          <w:szCs w:val="24"/>
        </w:rPr>
        <w:t xml:space="preserve"> student visa system and provides tuition fee protection for </w:t>
      </w:r>
      <w:r w:rsidR="00AC1539">
        <w:rPr>
          <w:rFonts w:asciiTheme="minorHAnsi" w:hAnsiTheme="minorHAnsi" w:cstheme="minorHAnsi"/>
          <w:iCs/>
          <w:szCs w:val="24"/>
        </w:rPr>
        <w:t>overseas</w:t>
      </w:r>
      <w:r w:rsidRPr="008070EB">
        <w:rPr>
          <w:rFonts w:asciiTheme="minorHAnsi" w:hAnsiTheme="minorHAnsi" w:cstheme="minorHAnsi"/>
          <w:iCs/>
          <w:szCs w:val="24"/>
        </w:rPr>
        <w:t xml:space="preserve"> students.</w:t>
      </w:r>
    </w:p>
    <w:p w14:paraId="337C86F7" w14:textId="748AAE6C" w:rsidR="00C62E16" w:rsidRDefault="00C62E16" w:rsidP="00C62E16">
      <w:pPr>
        <w:spacing w:before="120" w:after="120"/>
        <w:rPr>
          <w:rFonts w:asciiTheme="minorHAnsi" w:hAnsiTheme="minorHAnsi" w:cstheme="minorHAnsi"/>
          <w:color w:val="000000"/>
          <w:szCs w:val="24"/>
        </w:rPr>
      </w:pPr>
      <w:r>
        <w:rPr>
          <w:rFonts w:asciiTheme="minorHAnsi" w:hAnsiTheme="minorHAnsi" w:cstheme="minorHAnsi"/>
          <w:iCs/>
          <w:szCs w:val="24"/>
        </w:rPr>
        <w:t xml:space="preserve">Foundation Programs </w:t>
      </w:r>
      <w:r w:rsidRPr="0000419A">
        <w:rPr>
          <w:rFonts w:asciiTheme="minorHAnsi" w:hAnsiTheme="minorHAnsi" w:cstheme="minorHAnsi"/>
          <w:iCs/>
          <w:szCs w:val="24"/>
        </w:rPr>
        <w:t xml:space="preserve">are nationally recognised preparatory courses </w:t>
      </w:r>
      <w:r w:rsidR="0031464D">
        <w:rPr>
          <w:rFonts w:asciiTheme="minorHAnsi" w:hAnsiTheme="minorHAnsi" w:cstheme="minorHAnsi"/>
          <w:iCs/>
          <w:szCs w:val="24"/>
        </w:rPr>
        <w:t>that</w:t>
      </w:r>
      <w:r w:rsidR="0031464D" w:rsidRPr="0000419A">
        <w:rPr>
          <w:rFonts w:asciiTheme="minorHAnsi" w:hAnsiTheme="minorHAnsi" w:cstheme="minorHAnsi"/>
          <w:iCs/>
          <w:szCs w:val="24"/>
        </w:rPr>
        <w:t xml:space="preserve"> </w:t>
      </w:r>
      <w:r w:rsidRPr="0000419A">
        <w:rPr>
          <w:rFonts w:asciiTheme="minorHAnsi" w:hAnsiTheme="minorHAnsi" w:cstheme="minorHAnsi"/>
          <w:iCs/>
          <w:szCs w:val="24"/>
        </w:rPr>
        <w:t xml:space="preserve">provide </w:t>
      </w:r>
      <w:r>
        <w:rPr>
          <w:rFonts w:asciiTheme="minorHAnsi" w:hAnsiTheme="minorHAnsi" w:cstheme="minorHAnsi"/>
          <w:iCs/>
          <w:szCs w:val="24"/>
        </w:rPr>
        <w:t>overseas</w:t>
      </w:r>
      <w:r w:rsidRPr="0000419A">
        <w:rPr>
          <w:rFonts w:asciiTheme="minorHAnsi" w:hAnsiTheme="minorHAnsi" w:cstheme="minorHAnsi"/>
          <w:iCs/>
          <w:szCs w:val="24"/>
        </w:rPr>
        <w:t xml:space="preserve"> students with a strong academic foundation for entry into </w:t>
      </w:r>
      <w:r w:rsidR="00925854">
        <w:rPr>
          <w:rFonts w:asciiTheme="minorHAnsi" w:hAnsiTheme="minorHAnsi" w:cstheme="minorHAnsi"/>
          <w:iCs/>
          <w:szCs w:val="24"/>
        </w:rPr>
        <w:t xml:space="preserve">Australian higher education </w:t>
      </w:r>
      <w:r w:rsidR="00925854" w:rsidRPr="00925854">
        <w:rPr>
          <w:rFonts w:asciiTheme="minorHAnsi" w:hAnsiTheme="minorHAnsi" w:cstheme="minorHAnsi"/>
          <w:iCs/>
          <w:szCs w:val="24"/>
        </w:rPr>
        <w:t>undergraduate study</w:t>
      </w:r>
      <w:r>
        <w:rPr>
          <w:rFonts w:asciiTheme="minorHAnsi" w:hAnsiTheme="minorHAnsi" w:cstheme="minorHAnsi"/>
          <w:iCs/>
          <w:szCs w:val="24"/>
        </w:rPr>
        <w:t xml:space="preserve">. </w:t>
      </w:r>
    </w:p>
    <w:p w14:paraId="42B1C111" w14:textId="48C32A28" w:rsidR="0075604F" w:rsidRDefault="008070EB">
      <w:pPr>
        <w:spacing w:before="120" w:after="120"/>
        <w:rPr>
          <w:rFonts w:asciiTheme="minorHAnsi" w:hAnsiTheme="minorHAnsi" w:cstheme="minorHAnsi"/>
          <w:iCs/>
          <w:szCs w:val="24"/>
        </w:rPr>
      </w:pPr>
      <w:r>
        <w:rPr>
          <w:rFonts w:asciiTheme="minorHAnsi" w:hAnsiTheme="minorHAnsi" w:cstheme="minorHAnsi"/>
          <w:iCs/>
          <w:szCs w:val="24"/>
        </w:rPr>
        <w:t xml:space="preserve">The Foundation Program Standards apply to providers </w:t>
      </w:r>
      <w:r w:rsidR="00C62E16">
        <w:rPr>
          <w:rFonts w:asciiTheme="minorHAnsi" w:hAnsiTheme="minorHAnsi" w:cstheme="minorHAnsi"/>
          <w:iCs/>
          <w:szCs w:val="24"/>
        </w:rPr>
        <w:t xml:space="preserve">who </w:t>
      </w:r>
      <w:r>
        <w:rPr>
          <w:rFonts w:asciiTheme="minorHAnsi" w:hAnsiTheme="minorHAnsi" w:cstheme="minorHAnsi"/>
          <w:iCs/>
          <w:szCs w:val="24"/>
        </w:rPr>
        <w:t>deliver</w:t>
      </w:r>
      <w:r w:rsidR="00C62E16">
        <w:rPr>
          <w:rFonts w:asciiTheme="minorHAnsi" w:hAnsiTheme="minorHAnsi" w:cstheme="minorHAnsi"/>
          <w:iCs/>
          <w:szCs w:val="24"/>
        </w:rPr>
        <w:t xml:space="preserve"> </w:t>
      </w:r>
      <w:r w:rsidR="0000419A" w:rsidRPr="0000419A">
        <w:rPr>
          <w:rFonts w:asciiTheme="minorHAnsi" w:hAnsiTheme="minorHAnsi" w:cstheme="minorHAnsi"/>
          <w:iCs/>
          <w:szCs w:val="24"/>
        </w:rPr>
        <w:t xml:space="preserve">Foundation Programs </w:t>
      </w:r>
      <w:r>
        <w:rPr>
          <w:rFonts w:asciiTheme="minorHAnsi" w:hAnsiTheme="minorHAnsi" w:cstheme="minorHAnsi"/>
          <w:iCs/>
          <w:szCs w:val="24"/>
        </w:rPr>
        <w:t xml:space="preserve">to </w:t>
      </w:r>
      <w:r w:rsidR="00C62E16">
        <w:rPr>
          <w:rFonts w:asciiTheme="minorHAnsi" w:hAnsiTheme="minorHAnsi" w:cstheme="minorHAnsi"/>
          <w:iCs/>
          <w:szCs w:val="24"/>
        </w:rPr>
        <w:t xml:space="preserve">overseas </w:t>
      </w:r>
      <w:r>
        <w:rPr>
          <w:rFonts w:asciiTheme="minorHAnsi" w:hAnsiTheme="minorHAnsi" w:cstheme="minorHAnsi"/>
          <w:iCs/>
          <w:szCs w:val="24"/>
        </w:rPr>
        <w:t>students</w:t>
      </w:r>
      <w:r w:rsidR="000E4FB4">
        <w:rPr>
          <w:rFonts w:asciiTheme="minorHAnsi" w:hAnsiTheme="minorHAnsi" w:cstheme="minorHAnsi"/>
          <w:iCs/>
          <w:szCs w:val="24"/>
        </w:rPr>
        <w:t xml:space="preserve">. </w:t>
      </w:r>
      <w:r w:rsidR="0075604F" w:rsidRPr="00110C84">
        <w:rPr>
          <w:rFonts w:asciiTheme="minorHAnsi" w:hAnsiTheme="minorHAnsi" w:cstheme="minorHAnsi"/>
          <w:iCs/>
          <w:szCs w:val="24"/>
        </w:rPr>
        <w:t>Providers must demonstrate compliance with these standards to achieve</w:t>
      </w:r>
      <w:r w:rsidR="0075604F">
        <w:rPr>
          <w:rFonts w:asciiTheme="minorHAnsi" w:hAnsiTheme="minorHAnsi" w:cstheme="minorHAnsi"/>
          <w:iCs/>
          <w:szCs w:val="24"/>
        </w:rPr>
        <w:t xml:space="preserve"> </w:t>
      </w:r>
      <w:r w:rsidR="0075604F" w:rsidRPr="00110C84">
        <w:rPr>
          <w:rFonts w:asciiTheme="minorHAnsi" w:hAnsiTheme="minorHAnsi" w:cstheme="minorHAnsi"/>
          <w:iCs/>
          <w:szCs w:val="24"/>
        </w:rPr>
        <w:t>registration</w:t>
      </w:r>
      <w:r w:rsidR="0075604F">
        <w:rPr>
          <w:rFonts w:asciiTheme="minorHAnsi" w:hAnsiTheme="minorHAnsi" w:cstheme="minorHAnsi"/>
          <w:iCs/>
          <w:szCs w:val="24"/>
        </w:rPr>
        <w:t xml:space="preserve"> and renewal of registration </w:t>
      </w:r>
      <w:r w:rsidR="0075604F" w:rsidRPr="00110C84">
        <w:rPr>
          <w:rFonts w:asciiTheme="minorHAnsi" w:hAnsiTheme="minorHAnsi" w:cstheme="minorHAnsi"/>
          <w:iCs/>
          <w:szCs w:val="24"/>
        </w:rPr>
        <w:t xml:space="preserve">as a Foundation Program on </w:t>
      </w:r>
      <w:r w:rsidR="00E90606">
        <w:rPr>
          <w:rFonts w:asciiTheme="minorHAnsi" w:hAnsiTheme="minorHAnsi" w:cstheme="minorHAnsi"/>
          <w:iCs/>
          <w:szCs w:val="24"/>
        </w:rPr>
        <w:t xml:space="preserve">the </w:t>
      </w:r>
      <w:r w:rsidR="0075604F" w:rsidRPr="00110C84">
        <w:rPr>
          <w:rFonts w:asciiTheme="minorHAnsi" w:hAnsiTheme="minorHAnsi" w:cstheme="minorHAnsi"/>
          <w:iCs/>
          <w:szCs w:val="24"/>
        </w:rPr>
        <w:t>C</w:t>
      </w:r>
      <w:r w:rsidR="0075604F">
        <w:rPr>
          <w:rFonts w:asciiTheme="minorHAnsi" w:hAnsiTheme="minorHAnsi" w:cstheme="minorHAnsi"/>
          <w:iCs/>
          <w:szCs w:val="24"/>
        </w:rPr>
        <w:t>ommonwealth Register of Institutions and Courses for Overseas Students (CRICOS), and to have changes to registration approved</w:t>
      </w:r>
      <w:r w:rsidR="0075604F" w:rsidRPr="00110C84">
        <w:rPr>
          <w:rFonts w:asciiTheme="minorHAnsi" w:hAnsiTheme="minorHAnsi" w:cstheme="minorHAnsi"/>
          <w:iCs/>
          <w:szCs w:val="24"/>
        </w:rPr>
        <w:t>.</w:t>
      </w:r>
    </w:p>
    <w:p w14:paraId="72639C35" w14:textId="68892069" w:rsidR="00822973" w:rsidRPr="00144E95" w:rsidRDefault="000E4FB4">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F31A69">
        <w:rPr>
          <w:rFonts w:asciiTheme="minorHAnsi" w:hAnsiTheme="minorHAnsi" w:cstheme="minorHAnsi"/>
          <w:iCs/>
          <w:szCs w:val="24"/>
        </w:rPr>
        <w:t>S</w:t>
      </w:r>
      <w:r>
        <w:rPr>
          <w:rFonts w:asciiTheme="minorHAnsi" w:hAnsiTheme="minorHAnsi" w:cstheme="minorHAnsi"/>
          <w:iCs/>
          <w:szCs w:val="24"/>
        </w:rPr>
        <w:t xml:space="preserve">tandards </w:t>
      </w:r>
      <w:r w:rsidR="00822973">
        <w:rPr>
          <w:rFonts w:asciiTheme="minorHAnsi" w:hAnsiTheme="minorHAnsi" w:cstheme="minorHAnsi"/>
          <w:iCs/>
          <w:szCs w:val="24"/>
        </w:rPr>
        <w:t>set out requirements for Foundation Program</w:t>
      </w:r>
      <w:r>
        <w:rPr>
          <w:rFonts w:asciiTheme="minorHAnsi" w:hAnsiTheme="minorHAnsi" w:cstheme="minorHAnsi"/>
          <w:iCs/>
          <w:szCs w:val="24"/>
        </w:rPr>
        <w:t>s</w:t>
      </w:r>
      <w:r w:rsidR="00822973">
        <w:rPr>
          <w:rFonts w:asciiTheme="minorHAnsi" w:hAnsiTheme="minorHAnsi" w:cstheme="minorHAnsi"/>
          <w:iCs/>
          <w:szCs w:val="24"/>
        </w:rPr>
        <w:t>, teachers and providers to ensure Foundations Programs fulfil their proper function and are delivered to a high standard</w:t>
      </w:r>
      <w:r>
        <w:rPr>
          <w:rFonts w:asciiTheme="minorHAnsi" w:hAnsiTheme="minorHAnsi" w:cstheme="minorHAnsi"/>
          <w:iCs/>
          <w:szCs w:val="24"/>
        </w:rPr>
        <w:t>. This is achieved</w:t>
      </w:r>
      <w:r w:rsidR="00117FD5">
        <w:rPr>
          <w:rFonts w:asciiTheme="minorHAnsi" w:hAnsiTheme="minorHAnsi" w:cstheme="minorHAnsi"/>
          <w:color w:val="000000"/>
          <w:szCs w:val="24"/>
        </w:rPr>
        <w:t xml:space="preserve"> through </w:t>
      </w:r>
      <w:r w:rsidR="00117FD5">
        <w:rPr>
          <w:rFonts w:asciiTheme="minorHAnsi" w:hAnsiTheme="minorHAnsi" w:cstheme="minorHAnsi"/>
          <w:color w:val="000000"/>
          <w:szCs w:val="24"/>
          <w:shd w:val="clear" w:color="auto" w:fill="FFFFFF"/>
        </w:rPr>
        <w:t>requiring</w:t>
      </w:r>
      <w:r w:rsidR="00117FD5" w:rsidRPr="00144E95">
        <w:rPr>
          <w:rFonts w:asciiTheme="minorHAnsi" w:hAnsiTheme="minorHAnsi" w:cstheme="minorHAnsi"/>
          <w:color w:val="000000"/>
          <w:szCs w:val="24"/>
          <w:shd w:val="clear" w:color="auto" w:fill="FFFFFF"/>
        </w:rPr>
        <w:t xml:space="preserve"> nationally consistent standards and procedures for registered providers and persons who deliver </w:t>
      </w:r>
      <w:r w:rsidR="00117FD5">
        <w:rPr>
          <w:rFonts w:asciiTheme="minorHAnsi" w:hAnsiTheme="minorHAnsi" w:cstheme="minorHAnsi"/>
          <w:color w:val="000000"/>
          <w:szCs w:val="24"/>
          <w:shd w:val="clear" w:color="auto" w:fill="FFFFFF"/>
        </w:rPr>
        <w:t>Foundation Program</w:t>
      </w:r>
      <w:r w:rsidR="00117FD5" w:rsidRPr="00144E95">
        <w:rPr>
          <w:rFonts w:asciiTheme="minorHAnsi" w:hAnsiTheme="minorHAnsi" w:cstheme="minorHAnsi"/>
          <w:color w:val="000000"/>
          <w:szCs w:val="24"/>
          <w:shd w:val="clear" w:color="auto" w:fill="FFFFFF"/>
        </w:rPr>
        <w:t xml:space="preserve"> services on behalf of registered providers</w:t>
      </w:r>
      <w:r w:rsidR="00117FD5">
        <w:rPr>
          <w:rFonts w:asciiTheme="minorHAnsi" w:hAnsiTheme="minorHAnsi" w:cstheme="minorHAnsi"/>
          <w:color w:val="000000"/>
          <w:szCs w:val="24"/>
          <w:shd w:val="clear" w:color="auto" w:fill="FFFFFF"/>
        </w:rPr>
        <w:t>.</w:t>
      </w:r>
      <w:r w:rsidR="00117FD5" w:rsidRPr="00144E95">
        <w:rPr>
          <w:rFonts w:asciiTheme="minorHAnsi" w:hAnsiTheme="minorHAnsi" w:cstheme="minorHAnsi"/>
          <w:color w:val="000000"/>
          <w:szCs w:val="24"/>
        </w:rPr>
        <w:t xml:space="preserve"> </w:t>
      </w:r>
      <w:r w:rsidR="00C62E16" w:rsidRPr="00144E95">
        <w:rPr>
          <w:rFonts w:asciiTheme="minorHAnsi" w:hAnsiTheme="minorHAnsi" w:cstheme="minorHAnsi"/>
          <w:color w:val="000000"/>
          <w:szCs w:val="24"/>
        </w:rPr>
        <w:t xml:space="preserve">The </w:t>
      </w:r>
      <w:r w:rsidR="00C62E16">
        <w:rPr>
          <w:rFonts w:asciiTheme="minorHAnsi" w:hAnsiTheme="minorHAnsi" w:cstheme="minorHAnsi"/>
          <w:color w:val="000000"/>
          <w:szCs w:val="24"/>
        </w:rPr>
        <w:t xml:space="preserve">Foundation Program Standards </w:t>
      </w:r>
      <w:r w:rsidR="00C62E16" w:rsidRPr="00144E95">
        <w:rPr>
          <w:rFonts w:asciiTheme="minorHAnsi" w:hAnsiTheme="minorHAnsi" w:cstheme="minorHAnsi"/>
          <w:color w:val="000000"/>
          <w:szCs w:val="24"/>
        </w:rPr>
        <w:t xml:space="preserve">enhance Australia’s reputation as a quality international education provider </w:t>
      </w:r>
      <w:r w:rsidR="00151CD2">
        <w:rPr>
          <w:rFonts w:asciiTheme="minorHAnsi" w:hAnsiTheme="minorHAnsi" w:cstheme="minorHAnsi"/>
          <w:color w:val="000000"/>
          <w:szCs w:val="24"/>
        </w:rPr>
        <w:t>in</w:t>
      </w:r>
      <w:r w:rsidR="00C62E16" w:rsidRPr="00144E95">
        <w:rPr>
          <w:rFonts w:asciiTheme="minorHAnsi" w:hAnsiTheme="minorHAnsi" w:cstheme="minorHAnsi"/>
          <w:color w:val="000000"/>
          <w:szCs w:val="24"/>
        </w:rPr>
        <w:t xml:space="preserve"> international education markets.</w:t>
      </w:r>
    </w:p>
    <w:p w14:paraId="15B75E49" w14:textId="06F88FE3" w:rsidR="00B74160" w:rsidRPr="00B74160" w:rsidRDefault="00B74160" w:rsidP="00144E95">
      <w:pPr>
        <w:shd w:val="clear" w:color="auto" w:fill="FFFFFF"/>
        <w:rPr>
          <w:rFonts w:asciiTheme="minorHAnsi" w:hAnsiTheme="minorHAnsi" w:cstheme="minorHAnsi"/>
          <w:color w:val="000000"/>
        </w:rPr>
      </w:pPr>
      <w:r>
        <w:rPr>
          <w:rFonts w:asciiTheme="minorHAnsi" w:hAnsiTheme="minorHAnsi" w:cstheme="minorHAnsi"/>
          <w:color w:val="000000"/>
          <w:szCs w:val="24"/>
        </w:rPr>
        <w:t xml:space="preserve">The ESOS agency for a person or entity that delivers a </w:t>
      </w:r>
      <w:r w:rsidRPr="00B74160">
        <w:rPr>
          <w:rFonts w:asciiTheme="minorHAnsi" w:hAnsiTheme="minorHAnsi" w:cstheme="minorHAnsi"/>
          <w:color w:val="000000"/>
          <w:szCs w:val="24"/>
        </w:rPr>
        <w:t xml:space="preserve">Foundation Program is required to assess applications and monitor compliance with the Standards. </w:t>
      </w:r>
      <w:r w:rsidR="00F31A69" w:rsidRPr="004F298F">
        <w:rPr>
          <w:rFonts w:asciiTheme="minorHAnsi" w:hAnsiTheme="minorHAnsi" w:cstheme="minorHAnsi"/>
          <w:color w:val="000000"/>
          <w:szCs w:val="24"/>
        </w:rPr>
        <w:t xml:space="preserve">The ESOS agency for all </w:t>
      </w:r>
      <w:r w:rsidR="00F31A69">
        <w:rPr>
          <w:rFonts w:asciiTheme="minorHAnsi" w:hAnsiTheme="minorHAnsi" w:cstheme="minorHAnsi"/>
          <w:color w:val="000000"/>
          <w:szCs w:val="24"/>
        </w:rPr>
        <w:t xml:space="preserve">current </w:t>
      </w:r>
      <w:r w:rsidR="00F31A69" w:rsidRPr="004F298F">
        <w:rPr>
          <w:rFonts w:asciiTheme="minorHAnsi" w:hAnsiTheme="minorHAnsi" w:cstheme="minorHAnsi"/>
          <w:color w:val="000000"/>
          <w:szCs w:val="24"/>
        </w:rPr>
        <w:t>Foundation Programs is the Tertiary Education Quality and Standards Agency</w:t>
      </w:r>
      <w:r w:rsidR="00F31A69">
        <w:rPr>
          <w:rFonts w:asciiTheme="minorHAnsi" w:hAnsiTheme="minorHAnsi" w:cstheme="minorHAnsi"/>
          <w:color w:val="000000"/>
          <w:szCs w:val="24"/>
        </w:rPr>
        <w:t xml:space="preserve"> (TEQSA)</w:t>
      </w:r>
      <w:r w:rsidR="00F31A69" w:rsidRPr="004F298F">
        <w:rPr>
          <w:rFonts w:asciiTheme="minorHAnsi" w:hAnsiTheme="minorHAnsi" w:cstheme="minorHAnsi"/>
          <w:color w:val="000000"/>
          <w:szCs w:val="24"/>
        </w:rPr>
        <w:t>.</w:t>
      </w:r>
    </w:p>
    <w:p w14:paraId="271E4876" w14:textId="76ACCCA6" w:rsidR="00E55C6E" w:rsidRDefault="00E55C6E" w:rsidP="0075604F">
      <w:pPr>
        <w:shd w:val="clear" w:color="auto" w:fill="FFFFFF"/>
        <w:rPr>
          <w:rFonts w:ascii="Calibri" w:hAnsi="Calibri" w:cs="Calibri"/>
          <w:color w:val="000000"/>
          <w:shd w:val="clear" w:color="auto" w:fill="FFFFFF"/>
        </w:rPr>
      </w:pPr>
      <w:r>
        <w:rPr>
          <w:rFonts w:ascii="Calibri" w:hAnsi="Calibri" w:cs="Calibri"/>
          <w:color w:val="000000"/>
          <w:shd w:val="clear" w:color="auto" w:fill="FFFFFF"/>
        </w:rPr>
        <w:lastRenderedPageBreak/>
        <w:t>Subsection 14(2) of the </w:t>
      </w:r>
      <w:r>
        <w:rPr>
          <w:rFonts w:ascii="Calibri" w:hAnsi="Calibri" w:cs="Calibri"/>
          <w:i/>
          <w:iCs/>
          <w:color w:val="000000"/>
          <w:shd w:val="clear" w:color="auto" w:fill="FFFFFF"/>
        </w:rPr>
        <w:t>Legislation Act 2003</w:t>
      </w:r>
      <w:r>
        <w:rPr>
          <w:rFonts w:ascii="Calibri" w:hAnsi="Calibri" w:cs="Calibri"/>
          <w:color w:val="000000"/>
          <w:shd w:val="clear" w:color="auto" w:fill="FFFFFF"/>
        </w:rPr>
        <w:t xml:space="preserve"> states that, unless the contrary intention appears, a legislative instrument may not make provision in relation to a matter by applying, adopting or incorporating any matter contained in an instrument or other writing as in force or existing from time to time. </w:t>
      </w:r>
      <w:r w:rsidRPr="00144E95">
        <w:rPr>
          <w:rFonts w:asciiTheme="minorHAnsi" w:hAnsiTheme="minorHAnsi" w:cstheme="minorHAnsi"/>
          <w:color w:val="000000"/>
          <w:szCs w:val="24"/>
        </w:rPr>
        <w:t xml:space="preserve">Paragraph 176C(2)(b) of the ESOS Act provides </w:t>
      </w:r>
      <w:r>
        <w:rPr>
          <w:rFonts w:asciiTheme="minorHAnsi" w:hAnsiTheme="minorHAnsi" w:cstheme="minorHAnsi"/>
          <w:color w:val="000000"/>
          <w:szCs w:val="24"/>
        </w:rPr>
        <w:t>authority for the Foundation Program Standards to</w:t>
      </w:r>
      <w:r w:rsidRPr="00144E95">
        <w:rPr>
          <w:rFonts w:asciiTheme="minorHAnsi" w:hAnsiTheme="minorHAnsi" w:cstheme="minorHAnsi"/>
          <w:color w:val="000000"/>
          <w:szCs w:val="24"/>
        </w:rPr>
        <w:t xml:space="preserve"> apply, adopt or incorporate, with or without modification any matter contained in any other instrument or writing, as existing from time to time</w:t>
      </w:r>
      <w:r>
        <w:rPr>
          <w:rFonts w:asciiTheme="minorHAnsi" w:hAnsiTheme="minorHAnsi" w:cstheme="minorHAnsi"/>
          <w:color w:val="000000"/>
          <w:szCs w:val="24"/>
        </w:rPr>
        <w:t>,</w:t>
      </w:r>
      <w:r w:rsidRPr="00144E95">
        <w:rPr>
          <w:rFonts w:asciiTheme="minorHAnsi" w:hAnsiTheme="minorHAnsi" w:cstheme="minorHAnsi"/>
          <w:color w:val="000000"/>
          <w:szCs w:val="24"/>
        </w:rPr>
        <w:t> despite subsection 14(2) of</w:t>
      </w:r>
      <w:r>
        <w:rPr>
          <w:rFonts w:asciiTheme="minorHAnsi" w:hAnsiTheme="minorHAnsi" w:cstheme="minorHAnsi"/>
          <w:color w:val="000000"/>
          <w:szCs w:val="24"/>
        </w:rPr>
        <w:t xml:space="preserve"> </w:t>
      </w:r>
      <w:r w:rsidRPr="00144E95">
        <w:rPr>
          <w:rFonts w:asciiTheme="minorHAnsi" w:hAnsiTheme="minorHAnsi" w:cstheme="minorHAnsi"/>
          <w:color w:val="000000"/>
          <w:szCs w:val="24"/>
        </w:rPr>
        <w:t>the</w:t>
      </w:r>
      <w:r>
        <w:rPr>
          <w:rFonts w:asciiTheme="minorHAnsi" w:hAnsiTheme="minorHAnsi" w:cstheme="minorHAnsi"/>
          <w:color w:val="000000"/>
          <w:szCs w:val="24"/>
        </w:rPr>
        <w:t xml:space="preserve"> </w:t>
      </w:r>
      <w:r w:rsidRPr="00144E95">
        <w:rPr>
          <w:rFonts w:asciiTheme="minorHAnsi" w:hAnsiTheme="minorHAnsi" w:cstheme="minorHAnsi"/>
          <w:i/>
          <w:iCs/>
          <w:color w:val="000000"/>
          <w:szCs w:val="24"/>
        </w:rPr>
        <w:t>Legislati</w:t>
      </w:r>
      <w:r>
        <w:rPr>
          <w:rFonts w:asciiTheme="minorHAnsi" w:hAnsiTheme="minorHAnsi" w:cstheme="minorHAnsi"/>
          <w:i/>
          <w:iCs/>
          <w:color w:val="000000"/>
          <w:szCs w:val="24"/>
        </w:rPr>
        <w:t xml:space="preserve">on </w:t>
      </w:r>
      <w:r w:rsidRPr="00144E95">
        <w:rPr>
          <w:rFonts w:asciiTheme="minorHAnsi" w:hAnsiTheme="minorHAnsi" w:cstheme="minorHAnsi"/>
          <w:i/>
          <w:iCs/>
          <w:color w:val="000000"/>
          <w:szCs w:val="24"/>
        </w:rPr>
        <w:t>Act 2003</w:t>
      </w:r>
      <w:r>
        <w:rPr>
          <w:rFonts w:asciiTheme="minorHAnsi" w:hAnsiTheme="minorHAnsi" w:cstheme="minorHAnsi"/>
          <w:color w:val="000000"/>
          <w:szCs w:val="24"/>
        </w:rPr>
        <w:t>.</w:t>
      </w:r>
    </w:p>
    <w:p w14:paraId="2894AF63" w14:textId="11DB5BC4" w:rsidR="00E55C6E" w:rsidRDefault="00E55C6E" w:rsidP="0075604F">
      <w:pPr>
        <w:shd w:val="clear" w:color="auto" w:fill="FFFFFF"/>
        <w:rPr>
          <w:rFonts w:asciiTheme="minorHAnsi" w:hAnsiTheme="minorHAnsi" w:cstheme="minorHAnsi"/>
          <w:color w:val="000000"/>
          <w:szCs w:val="24"/>
        </w:rPr>
      </w:pPr>
      <w:r>
        <w:rPr>
          <w:rFonts w:asciiTheme="minorHAnsi" w:hAnsiTheme="minorHAnsi" w:cstheme="minorHAnsi"/>
          <w:color w:val="000000"/>
          <w:szCs w:val="24"/>
        </w:rPr>
        <w:t xml:space="preserve">The Australian Qualifications Framework </w:t>
      </w:r>
      <w:r w:rsidR="00D2467C">
        <w:rPr>
          <w:rFonts w:asciiTheme="minorHAnsi" w:hAnsiTheme="minorHAnsi" w:cstheme="minorHAnsi"/>
          <w:color w:val="000000"/>
          <w:szCs w:val="24"/>
        </w:rPr>
        <w:t xml:space="preserve">(AQF) </w:t>
      </w:r>
      <w:r>
        <w:rPr>
          <w:rFonts w:asciiTheme="minorHAnsi" w:hAnsiTheme="minorHAnsi" w:cstheme="minorHAnsi"/>
          <w:color w:val="000000"/>
          <w:szCs w:val="24"/>
        </w:rPr>
        <w:t>has been incorporated in the Foundation Program Standards by reference at paragraph 6(</w:t>
      </w:r>
      <w:r w:rsidR="00C81275">
        <w:rPr>
          <w:rFonts w:asciiTheme="minorHAnsi" w:hAnsiTheme="minorHAnsi" w:cstheme="minorHAnsi"/>
          <w:color w:val="000000"/>
          <w:szCs w:val="24"/>
        </w:rPr>
        <w:t>2</w:t>
      </w:r>
      <w:r>
        <w:rPr>
          <w:rFonts w:asciiTheme="minorHAnsi" w:hAnsiTheme="minorHAnsi" w:cstheme="minorHAnsi"/>
          <w:color w:val="000000"/>
          <w:szCs w:val="24"/>
        </w:rPr>
        <w:t xml:space="preserve">)(c). Paragraph </w:t>
      </w:r>
      <w:r w:rsidR="00D2467C">
        <w:rPr>
          <w:rFonts w:asciiTheme="minorHAnsi" w:hAnsiTheme="minorHAnsi" w:cstheme="minorHAnsi"/>
          <w:color w:val="000000"/>
          <w:szCs w:val="24"/>
        </w:rPr>
        <w:t>6</w:t>
      </w:r>
      <w:r>
        <w:rPr>
          <w:rFonts w:asciiTheme="minorHAnsi" w:hAnsiTheme="minorHAnsi" w:cstheme="minorHAnsi"/>
          <w:color w:val="000000"/>
          <w:szCs w:val="24"/>
        </w:rPr>
        <w:t>(2)</w:t>
      </w:r>
      <w:r w:rsidR="00D2467C">
        <w:rPr>
          <w:rFonts w:asciiTheme="minorHAnsi" w:hAnsiTheme="minorHAnsi" w:cstheme="minorHAnsi"/>
          <w:color w:val="000000"/>
          <w:szCs w:val="24"/>
        </w:rPr>
        <w:t>(c)</w:t>
      </w:r>
      <w:r>
        <w:rPr>
          <w:rFonts w:asciiTheme="minorHAnsi" w:hAnsiTheme="minorHAnsi" w:cstheme="minorHAnsi"/>
          <w:color w:val="000000"/>
          <w:szCs w:val="24"/>
        </w:rPr>
        <w:t xml:space="preserve"> clarifies that the Foundation Program Standards </w:t>
      </w:r>
      <w:r w:rsidR="00D2467C">
        <w:rPr>
          <w:rFonts w:asciiTheme="minorHAnsi" w:hAnsiTheme="minorHAnsi" w:cstheme="minorHAnsi"/>
          <w:color w:val="000000"/>
          <w:szCs w:val="24"/>
        </w:rPr>
        <w:t>do not apply to the provider in the provision of a course which leads to a qualification recognised under the AQF. This is because courses recognised under the AQF must meet other applicable standards and need not also comply with the Foundation Program Standards.</w:t>
      </w:r>
    </w:p>
    <w:p w14:paraId="0089D7D4" w14:textId="1281445D" w:rsidR="00D2467C" w:rsidRDefault="00D2467C" w:rsidP="0075604F">
      <w:pPr>
        <w:shd w:val="clear" w:color="auto" w:fill="FFFFFF"/>
        <w:rPr>
          <w:rFonts w:asciiTheme="minorHAnsi" w:hAnsiTheme="minorHAnsi" w:cstheme="minorHAnsi"/>
          <w:color w:val="000000"/>
          <w:szCs w:val="24"/>
        </w:rPr>
      </w:pPr>
      <w:r>
        <w:rPr>
          <w:rFonts w:ascii="Calibri" w:hAnsi="Calibri" w:cs="Calibri"/>
          <w:color w:val="000000"/>
          <w:shd w:val="clear" w:color="auto" w:fill="FFFFFF"/>
        </w:rPr>
        <w:t>The AQF, as it existed at the time this Instrument was made, can be found at </w:t>
      </w:r>
      <w:hyperlink r:id="rId11" w:history="1">
        <w:r>
          <w:rPr>
            <w:rStyle w:val="Hyperlink"/>
            <w:rFonts w:ascii="Calibri" w:hAnsi="Calibri" w:cs="Calibri"/>
            <w:color w:val="0F569E"/>
            <w:shd w:val="clear" w:color="auto" w:fill="FFFFFF"/>
          </w:rPr>
          <w:t>https://www.aqf.edu.au/aqf-second-edition-january-2013</w:t>
        </w:r>
      </w:hyperlink>
      <w:r>
        <w:rPr>
          <w:rFonts w:ascii="Calibri" w:hAnsi="Calibri" w:cs="Calibri"/>
          <w:color w:val="000000"/>
          <w:shd w:val="clear" w:color="auto" w:fill="FFFFFF"/>
        </w:rPr>
        <w:t>.</w:t>
      </w:r>
      <w:r>
        <w:rPr>
          <w:rFonts w:asciiTheme="minorHAnsi" w:hAnsiTheme="minorHAnsi" w:cstheme="minorHAnsi"/>
          <w:color w:val="000000"/>
          <w:szCs w:val="24"/>
        </w:rPr>
        <w:t xml:space="preserve"> </w:t>
      </w:r>
    </w:p>
    <w:p w14:paraId="7243F4F5" w14:textId="3C79D2B1" w:rsidR="0075604F" w:rsidRDefault="0075604F" w:rsidP="0075604F">
      <w:pPr>
        <w:shd w:val="clear" w:color="auto" w:fill="FFFFFF"/>
        <w:rPr>
          <w:rFonts w:asciiTheme="minorHAnsi" w:hAnsiTheme="minorHAnsi" w:cstheme="minorHAnsi"/>
          <w:color w:val="000000"/>
          <w:szCs w:val="24"/>
          <w:shd w:val="clear" w:color="auto" w:fill="FFFFFF"/>
        </w:rPr>
      </w:pPr>
      <w:r>
        <w:rPr>
          <w:rFonts w:asciiTheme="minorHAnsi" w:hAnsiTheme="minorHAnsi" w:cstheme="minorHAnsi"/>
          <w:color w:val="000000"/>
          <w:szCs w:val="24"/>
        </w:rPr>
        <w:t>T</w:t>
      </w:r>
      <w:r w:rsidRPr="00144E95">
        <w:rPr>
          <w:rFonts w:asciiTheme="minorHAnsi" w:hAnsiTheme="minorHAnsi" w:cstheme="minorHAnsi"/>
          <w:color w:val="000000"/>
          <w:szCs w:val="24"/>
        </w:rPr>
        <w:t>he </w:t>
      </w:r>
      <w:r w:rsidRPr="00144E95">
        <w:rPr>
          <w:rFonts w:asciiTheme="minorHAnsi" w:hAnsiTheme="minorHAnsi" w:cstheme="minorHAnsi"/>
          <w:i/>
          <w:iCs/>
          <w:color w:val="000000"/>
          <w:szCs w:val="24"/>
          <w:shd w:val="clear" w:color="auto" w:fill="FFFFFF"/>
        </w:rPr>
        <w:t>National Code of Practice for Providers of Education and Training to Overseas Students</w:t>
      </w:r>
      <w:r w:rsidRPr="00144E95">
        <w:rPr>
          <w:rFonts w:asciiTheme="minorHAnsi" w:hAnsiTheme="minorHAnsi" w:cstheme="minorHAnsi"/>
          <w:color w:val="000000"/>
          <w:szCs w:val="24"/>
          <w:shd w:val="clear" w:color="auto" w:fill="FFFFFF"/>
        </w:rPr>
        <w:t xml:space="preserve"> (the national code)</w:t>
      </w:r>
      <w:r>
        <w:rPr>
          <w:rFonts w:asciiTheme="minorHAnsi" w:hAnsiTheme="minorHAnsi" w:cstheme="minorHAnsi"/>
          <w:color w:val="000000"/>
          <w:szCs w:val="24"/>
          <w:shd w:val="clear" w:color="auto" w:fill="FFFFFF"/>
        </w:rPr>
        <w:t xml:space="preserve"> also applies to registered Foundation Program providers.</w:t>
      </w:r>
      <w:r w:rsidRPr="00144E95">
        <w:rPr>
          <w:rFonts w:asciiTheme="minorHAnsi" w:hAnsiTheme="minorHAnsi" w:cstheme="minorHAnsi"/>
          <w:color w:val="000000"/>
          <w:szCs w:val="24"/>
        </w:rPr>
        <w:t> </w:t>
      </w:r>
      <w:r w:rsidRPr="00144E95">
        <w:rPr>
          <w:rFonts w:asciiTheme="minorHAnsi" w:hAnsiTheme="minorHAnsi" w:cstheme="minorHAnsi"/>
          <w:color w:val="000000"/>
          <w:szCs w:val="24"/>
          <w:shd w:val="clear" w:color="auto" w:fill="FFFFFF"/>
        </w:rPr>
        <w:t>The purpose of the national code is to provide nationally consistent standards and procedures for registered providers and persons who deliver educational services on behalf of registered providers.</w:t>
      </w:r>
      <w:r>
        <w:rPr>
          <w:rFonts w:asciiTheme="minorHAnsi" w:hAnsiTheme="minorHAnsi" w:cstheme="minorHAnsi"/>
          <w:color w:val="000000"/>
          <w:szCs w:val="24"/>
          <w:shd w:val="clear" w:color="auto" w:fill="FFFFFF"/>
        </w:rPr>
        <w:t xml:space="preserve"> </w:t>
      </w:r>
    </w:p>
    <w:p w14:paraId="34194361" w14:textId="66EA9E02" w:rsidR="0075604F" w:rsidRPr="00144E95" w:rsidRDefault="0075604F" w:rsidP="0075604F">
      <w:pPr>
        <w:shd w:val="clear" w:color="auto" w:fill="FFFFFF"/>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For clarity, the Foundation Program Standards refer to aspects of the national code</w:t>
      </w:r>
      <w:r w:rsidRPr="00144E95">
        <w:rPr>
          <w:rFonts w:asciiTheme="minorHAnsi" w:hAnsiTheme="minorHAnsi" w:cstheme="minorHAnsi"/>
          <w:color w:val="000000"/>
          <w:szCs w:val="24"/>
          <w:shd w:val="clear" w:color="auto" w:fill="FFFFFF"/>
        </w:rPr>
        <w:t xml:space="preserve"> </w:t>
      </w:r>
      <w:r w:rsidRPr="00144E95">
        <w:rPr>
          <w:rFonts w:asciiTheme="minorHAnsi" w:hAnsiTheme="minorHAnsi" w:cstheme="minorHAnsi"/>
          <w:color w:val="000000"/>
          <w:szCs w:val="24"/>
        </w:rPr>
        <w:t>is as it exists from time to time</w:t>
      </w:r>
      <w:r>
        <w:rPr>
          <w:rFonts w:asciiTheme="minorHAnsi" w:hAnsiTheme="minorHAnsi" w:cstheme="minorHAnsi"/>
          <w:color w:val="000000"/>
          <w:szCs w:val="24"/>
        </w:rPr>
        <w:t xml:space="preserve">. </w:t>
      </w:r>
      <w:r w:rsidRPr="00144E95">
        <w:rPr>
          <w:rFonts w:asciiTheme="minorHAnsi" w:hAnsiTheme="minorHAnsi" w:cstheme="minorHAnsi"/>
          <w:color w:val="000000"/>
          <w:szCs w:val="24"/>
        </w:rPr>
        <w:t xml:space="preserve">Paragraph 176C(2)(b) of the ESOS Act provides </w:t>
      </w:r>
      <w:r>
        <w:rPr>
          <w:rFonts w:asciiTheme="minorHAnsi" w:hAnsiTheme="minorHAnsi" w:cstheme="minorHAnsi"/>
          <w:color w:val="000000"/>
          <w:szCs w:val="24"/>
        </w:rPr>
        <w:t>authority for the Foundation Program Standards to</w:t>
      </w:r>
      <w:r w:rsidRPr="00144E95">
        <w:rPr>
          <w:rFonts w:asciiTheme="minorHAnsi" w:hAnsiTheme="minorHAnsi" w:cstheme="minorHAnsi"/>
          <w:color w:val="000000"/>
          <w:szCs w:val="24"/>
        </w:rPr>
        <w:t xml:space="preserve"> apply, adopt or incorporate, with or without modification any matter contained in any other instrument or writing, as existing from time to time</w:t>
      </w:r>
      <w:r>
        <w:rPr>
          <w:rFonts w:asciiTheme="minorHAnsi" w:hAnsiTheme="minorHAnsi" w:cstheme="minorHAnsi"/>
          <w:color w:val="000000"/>
          <w:szCs w:val="24"/>
        </w:rPr>
        <w:t>,</w:t>
      </w:r>
      <w:r w:rsidRPr="00144E95">
        <w:rPr>
          <w:rFonts w:asciiTheme="minorHAnsi" w:hAnsiTheme="minorHAnsi" w:cstheme="minorHAnsi"/>
          <w:color w:val="000000"/>
          <w:szCs w:val="24"/>
        </w:rPr>
        <w:t> despite subsection 14(2) of</w:t>
      </w:r>
      <w:r>
        <w:rPr>
          <w:rFonts w:asciiTheme="minorHAnsi" w:hAnsiTheme="minorHAnsi" w:cstheme="minorHAnsi"/>
          <w:color w:val="000000"/>
          <w:szCs w:val="24"/>
        </w:rPr>
        <w:t xml:space="preserve"> </w:t>
      </w:r>
      <w:r w:rsidRPr="00144E95">
        <w:rPr>
          <w:rFonts w:asciiTheme="minorHAnsi" w:hAnsiTheme="minorHAnsi" w:cstheme="minorHAnsi"/>
          <w:color w:val="000000"/>
          <w:szCs w:val="24"/>
        </w:rPr>
        <w:t>the</w:t>
      </w:r>
      <w:r>
        <w:rPr>
          <w:rFonts w:asciiTheme="minorHAnsi" w:hAnsiTheme="minorHAnsi" w:cstheme="minorHAnsi"/>
          <w:color w:val="000000"/>
          <w:szCs w:val="24"/>
        </w:rPr>
        <w:t xml:space="preserve"> </w:t>
      </w:r>
      <w:r w:rsidRPr="00144E95">
        <w:rPr>
          <w:rFonts w:asciiTheme="minorHAnsi" w:hAnsiTheme="minorHAnsi" w:cstheme="minorHAnsi"/>
          <w:i/>
          <w:iCs/>
          <w:color w:val="000000"/>
          <w:szCs w:val="24"/>
        </w:rPr>
        <w:t>Legislati</w:t>
      </w:r>
      <w:r w:rsidR="006540EF">
        <w:rPr>
          <w:rFonts w:asciiTheme="minorHAnsi" w:hAnsiTheme="minorHAnsi" w:cstheme="minorHAnsi"/>
          <w:i/>
          <w:iCs/>
          <w:color w:val="000000"/>
          <w:szCs w:val="24"/>
        </w:rPr>
        <w:t xml:space="preserve">on </w:t>
      </w:r>
      <w:r w:rsidRPr="00144E95">
        <w:rPr>
          <w:rFonts w:asciiTheme="minorHAnsi" w:hAnsiTheme="minorHAnsi" w:cstheme="minorHAnsi"/>
          <w:i/>
          <w:iCs/>
          <w:color w:val="000000"/>
          <w:szCs w:val="24"/>
        </w:rPr>
        <w:t>Act 2003</w:t>
      </w:r>
      <w:r>
        <w:rPr>
          <w:rFonts w:asciiTheme="minorHAnsi" w:hAnsiTheme="minorHAnsi" w:cstheme="minorHAnsi"/>
          <w:color w:val="000000"/>
          <w:szCs w:val="24"/>
        </w:rPr>
        <w:t>.</w:t>
      </w:r>
      <w:r w:rsidRPr="00144E95">
        <w:rPr>
          <w:rFonts w:asciiTheme="minorHAnsi" w:hAnsiTheme="minorHAnsi" w:cstheme="minorHAnsi"/>
          <w:color w:val="000000"/>
          <w:szCs w:val="24"/>
        </w:rPr>
        <w:t xml:space="preserve"> </w:t>
      </w:r>
    </w:p>
    <w:p w14:paraId="0C0BD1BC" w14:textId="383A6A90" w:rsidR="00E55C6E" w:rsidRDefault="0075604F" w:rsidP="0075604F">
      <w:pPr>
        <w:shd w:val="clear" w:color="auto" w:fill="FFFFFF"/>
        <w:rPr>
          <w:rFonts w:asciiTheme="minorHAnsi" w:hAnsiTheme="minorHAnsi" w:cstheme="minorHAnsi"/>
          <w:color w:val="000000"/>
          <w:szCs w:val="24"/>
        </w:rPr>
      </w:pPr>
      <w:r w:rsidRPr="00144E95">
        <w:rPr>
          <w:rFonts w:asciiTheme="minorHAnsi" w:hAnsiTheme="minorHAnsi" w:cstheme="minorHAnsi"/>
          <w:color w:val="000000"/>
          <w:szCs w:val="24"/>
        </w:rPr>
        <w:t xml:space="preserve">The national code is a legislative instrument made under subsection 33(1) of the ESOS Act and is available on the Federal Register of Legislation at </w:t>
      </w:r>
      <w:hyperlink r:id="rId12" w:history="1">
        <w:r w:rsidRPr="00144E95">
          <w:rPr>
            <w:rStyle w:val="Hyperlink"/>
            <w:rFonts w:asciiTheme="minorHAnsi" w:hAnsiTheme="minorHAnsi" w:cstheme="minorHAnsi"/>
            <w:szCs w:val="24"/>
          </w:rPr>
          <w:t>https://www.legislation.gov.au/Details/F2017L01182</w:t>
        </w:r>
      </w:hyperlink>
      <w:r w:rsidRPr="00144E95">
        <w:rPr>
          <w:rFonts w:asciiTheme="minorHAnsi" w:hAnsiTheme="minorHAnsi" w:cstheme="minorHAnsi"/>
          <w:color w:val="000000"/>
          <w:szCs w:val="24"/>
        </w:rPr>
        <w:t xml:space="preserve">. </w:t>
      </w:r>
    </w:p>
    <w:p w14:paraId="45A397DC"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6722EB18" w14:textId="4CD63129" w:rsidR="000C6B29" w:rsidRDefault="002D7A08" w:rsidP="002D7A08">
      <w:pPr>
        <w:spacing w:before="120" w:after="120"/>
        <w:rPr>
          <w:rFonts w:asciiTheme="minorHAnsi" w:hAnsiTheme="minorHAnsi" w:cstheme="minorHAnsi"/>
          <w:szCs w:val="24"/>
        </w:rPr>
      </w:pPr>
      <w:r>
        <w:rPr>
          <w:rFonts w:asciiTheme="minorHAnsi" w:hAnsiTheme="minorHAnsi" w:cstheme="minorHAnsi"/>
          <w:szCs w:val="24"/>
        </w:rPr>
        <w:t xml:space="preserve">The Office of Best Practice Regulation </w:t>
      </w:r>
      <w:r w:rsidR="00E92CCB">
        <w:rPr>
          <w:rFonts w:asciiTheme="minorHAnsi" w:hAnsiTheme="minorHAnsi" w:cstheme="minorHAnsi"/>
          <w:szCs w:val="24"/>
        </w:rPr>
        <w:t xml:space="preserve">(OBPR) </w:t>
      </w:r>
      <w:r>
        <w:rPr>
          <w:rFonts w:asciiTheme="minorHAnsi" w:hAnsiTheme="minorHAnsi" w:cstheme="minorHAnsi"/>
          <w:szCs w:val="24"/>
        </w:rPr>
        <w:t>advises that a Regulatory Impact Statement</w:t>
      </w:r>
      <w:r w:rsidR="00E92CCB">
        <w:rPr>
          <w:rFonts w:asciiTheme="minorHAnsi" w:hAnsiTheme="minorHAnsi" w:cstheme="minorHAnsi"/>
          <w:szCs w:val="24"/>
        </w:rPr>
        <w:t xml:space="preserve"> (RIS)</w:t>
      </w:r>
      <w:r>
        <w:rPr>
          <w:rFonts w:asciiTheme="minorHAnsi" w:hAnsiTheme="minorHAnsi" w:cstheme="minorHAnsi"/>
          <w:szCs w:val="24"/>
        </w:rPr>
        <w:t xml:space="preserve"> is not required</w:t>
      </w:r>
      <w:r w:rsidR="00E92CCB" w:rsidRPr="00E92CCB">
        <w:rPr>
          <w:rFonts w:asciiTheme="minorHAnsi" w:hAnsiTheme="minorHAnsi" w:cstheme="minorHAnsi"/>
          <w:szCs w:val="24"/>
        </w:rPr>
        <w:t xml:space="preserve"> </w:t>
      </w:r>
      <w:r w:rsidR="00E92CCB">
        <w:rPr>
          <w:rFonts w:asciiTheme="minorHAnsi" w:hAnsiTheme="minorHAnsi" w:cstheme="minorHAnsi"/>
          <w:szCs w:val="24"/>
        </w:rPr>
        <w:t xml:space="preserve">and </w:t>
      </w:r>
      <w:r w:rsidR="00E92CCB" w:rsidRPr="00C7654B">
        <w:rPr>
          <w:rFonts w:asciiTheme="minorHAnsi" w:hAnsiTheme="minorHAnsi" w:cstheme="minorHAnsi"/>
          <w:szCs w:val="24"/>
        </w:rPr>
        <w:t xml:space="preserve">a letter certifying </w:t>
      </w:r>
      <w:r w:rsidR="00E92CCB">
        <w:rPr>
          <w:rFonts w:asciiTheme="minorHAnsi" w:hAnsiTheme="minorHAnsi" w:cstheme="minorHAnsi"/>
          <w:szCs w:val="24"/>
        </w:rPr>
        <w:t>the instrument is operating effectively and efficiently should be sent</w:t>
      </w:r>
      <w:r w:rsidR="00E92CCB" w:rsidRPr="00C7654B">
        <w:rPr>
          <w:rFonts w:asciiTheme="minorHAnsi" w:hAnsiTheme="minorHAnsi" w:cstheme="minorHAnsi"/>
          <w:szCs w:val="24"/>
        </w:rPr>
        <w:t xml:space="preserve"> to the OBPR in lieu of a RIS</w:t>
      </w:r>
      <w:r>
        <w:rPr>
          <w:rFonts w:asciiTheme="minorHAnsi" w:hAnsiTheme="minorHAnsi" w:cstheme="minorHAnsi"/>
          <w:szCs w:val="24"/>
        </w:rPr>
        <w:t>, as</w:t>
      </w:r>
      <w:r w:rsidR="000C6B29">
        <w:rPr>
          <w:rFonts w:asciiTheme="minorHAnsi" w:hAnsiTheme="minorHAnsi" w:cstheme="minorHAnsi"/>
          <w:szCs w:val="24"/>
        </w:rPr>
        <w:t xml:space="preserve"> </w:t>
      </w:r>
      <w:r w:rsidR="00E92CCB">
        <w:rPr>
          <w:rFonts w:asciiTheme="minorHAnsi" w:hAnsiTheme="minorHAnsi" w:cstheme="minorHAnsi"/>
          <w:szCs w:val="24"/>
        </w:rPr>
        <w:t xml:space="preserve">the changes </w:t>
      </w:r>
      <w:r w:rsidR="000C6B29" w:rsidRPr="000C6B29">
        <w:rPr>
          <w:rFonts w:asciiTheme="minorHAnsi" w:hAnsiTheme="minorHAnsi" w:cstheme="minorHAnsi"/>
          <w:szCs w:val="24"/>
        </w:rPr>
        <w:t>are unlikely to have a more than minor regulatory impact</w:t>
      </w:r>
      <w:r w:rsidR="00E92CCB">
        <w:rPr>
          <w:rFonts w:asciiTheme="minorHAnsi" w:hAnsiTheme="minorHAnsi" w:cstheme="minorHAnsi"/>
          <w:szCs w:val="24"/>
        </w:rPr>
        <w:t>.</w:t>
      </w:r>
      <w:r w:rsidR="00906BC6">
        <w:rPr>
          <w:rFonts w:asciiTheme="minorHAnsi" w:hAnsiTheme="minorHAnsi" w:cstheme="minorHAnsi"/>
          <w:szCs w:val="24"/>
        </w:rPr>
        <w:t xml:space="preserve"> </w:t>
      </w:r>
      <w:r w:rsidR="00E92CCB">
        <w:rPr>
          <w:rFonts w:asciiTheme="minorHAnsi" w:hAnsiTheme="minorHAnsi" w:cstheme="minorHAnsi"/>
          <w:szCs w:val="24"/>
        </w:rPr>
        <w:t>This letter has been sent to the OBPR for publication</w:t>
      </w:r>
      <w:r w:rsidR="000E4FB4">
        <w:rPr>
          <w:rFonts w:asciiTheme="minorHAnsi" w:hAnsiTheme="minorHAnsi" w:cstheme="minorHAnsi"/>
          <w:szCs w:val="24"/>
        </w:rPr>
        <w:t xml:space="preserve"> </w:t>
      </w:r>
      <w:r>
        <w:rPr>
          <w:rFonts w:asciiTheme="minorHAnsi" w:hAnsiTheme="minorHAnsi" w:cstheme="minorHAnsi"/>
          <w:szCs w:val="24"/>
        </w:rPr>
        <w:t xml:space="preserve">(OBPR reference number </w:t>
      </w:r>
      <w:r w:rsidR="00E92CCB" w:rsidRPr="000E4FB4">
        <w:rPr>
          <w:rFonts w:ascii="Calibri" w:hAnsi="Calibri" w:cs="Calibri"/>
          <w:b/>
          <w:bCs/>
        </w:rPr>
        <w:t>44321</w:t>
      </w:r>
      <w:r>
        <w:rPr>
          <w:rFonts w:asciiTheme="minorHAnsi" w:hAnsiTheme="minorHAnsi" w:cstheme="minorHAnsi"/>
          <w:szCs w:val="24"/>
        </w:rPr>
        <w:t>).</w:t>
      </w:r>
    </w:p>
    <w:p w14:paraId="41A1D9CD"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lastRenderedPageBreak/>
        <w:t>COMMENC</w:t>
      </w:r>
      <w:r>
        <w:rPr>
          <w:rFonts w:asciiTheme="minorHAnsi" w:hAnsiTheme="minorHAnsi" w:cstheme="minorHAnsi"/>
          <w:color w:val="auto"/>
        </w:rPr>
        <w:t>E</w:t>
      </w:r>
      <w:r w:rsidRPr="0088497A">
        <w:rPr>
          <w:rFonts w:asciiTheme="minorHAnsi" w:hAnsiTheme="minorHAnsi" w:cstheme="minorHAnsi"/>
          <w:color w:val="auto"/>
        </w:rPr>
        <w:t>MENT</w:t>
      </w:r>
    </w:p>
    <w:p w14:paraId="792D5E64" w14:textId="0F024AE8" w:rsidR="002D7A08" w:rsidRPr="00FC4B4B" w:rsidRDefault="002D7A08" w:rsidP="002D7A08">
      <w:pPr>
        <w:spacing w:before="120" w:after="120"/>
        <w:rPr>
          <w:rFonts w:asciiTheme="minorHAnsi" w:hAnsiTheme="minorHAnsi" w:cstheme="minorHAnsi"/>
          <w:iCs/>
          <w:szCs w:val="24"/>
        </w:rPr>
      </w:pPr>
      <w:bookmarkStart w:id="2" w:name="_Toc34293360"/>
      <w:r w:rsidRPr="00442657">
        <w:rPr>
          <w:rFonts w:asciiTheme="minorHAnsi" w:hAnsiTheme="minorHAnsi" w:cstheme="minorHAnsi"/>
          <w:iCs/>
          <w:szCs w:val="24"/>
        </w:rPr>
        <w:t xml:space="preserve">The Instrument commences on </w:t>
      </w:r>
      <w:r w:rsidR="000E4FB4">
        <w:rPr>
          <w:rFonts w:asciiTheme="minorHAnsi" w:hAnsiTheme="minorHAnsi" w:cstheme="minorHAnsi"/>
          <w:iCs/>
          <w:szCs w:val="24"/>
        </w:rPr>
        <w:t>the day after it is registered on the Federal Register of Legislation.</w:t>
      </w:r>
      <w:r>
        <w:rPr>
          <w:rFonts w:asciiTheme="minorHAnsi" w:hAnsiTheme="minorHAnsi" w:cstheme="minorHAnsi"/>
          <w:iCs/>
          <w:szCs w:val="24"/>
        </w:rPr>
        <w:t xml:space="preserve"> </w:t>
      </w:r>
    </w:p>
    <w:p w14:paraId="5C8B291F" w14:textId="77777777" w:rsidR="00696CF0" w:rsidRPr="008134D5" w:rsidRDefault="00144950" w:rsidP="00696CF0">
      <w:pPr>
        <w:pStyle w:val="Heading2"/>
        <w:rPr>
          <w:rFonts w:asciiTheme="minorHAnsi" w:hAnsiTheme="minorHAnsi" w:cstheme="minorHAnsi"/>
          <w:color w:val="auto"/>
        </w:rPr>
      </w:pPr>
      <w:r w:rsidRPr="008134D5">
        <w:rPr>
          <w:rFonts w:asciiTheme="minorHAnsi" w:hAnsiTheme="minorHAnsi" w:cstheme="minorHAnsi"/>
          <w:color w:val="auto"/>
        </w:rPr>
        <w:t>CONSULTATION</w:t>
      </w:r>
      <w:bookmarkEnd w:id="2"/>
    </w:p>
    <w:p w14:paraId="61B581C5" w14:textId="795F0B06" w:rsidR="00F539C1" w:rsidRDefault="00F539C1" w:rsidP="00696CF0">
      <w:pPr>
        <w:spacing w:before="120" w:after="120"/>
        <w:rPr>
          <w:rFonts w:asciiTheme="minorHAnsi" w:hAnsiTheme="minorHAnsi" w:cstheme="minorHAnsi"/>
          <w:iCs/>
        </w:rPr>
      </w:pPr>
      <w:r>
        <w:rPr>
          <w:rFonts w:asciiTheme="minorHAnsi" w:hAnsiTheme="minorHAnsi" w:cstheme="minorHAnsi"/>
          <w:iCs/>
        </w:rPr>
        <w:t>In 2018, English Australia and the International Education Association of Australia (IEAA) conducted a survey with their members on behalf of the Department of Education, Skills and Employment (the department)</w:t>
      </w:r>
      <w:r w:rsidR="00BA12CE">
        <w:rPr>
          <w:rFonts w:asciiTheme="minorHAnsi" w:hAnsiTheme="minorHAnsi" w:cstheme="minorHAnsi"/>
          <w:iCs/>
        </w:rPr>
        <w:t xml:space="preserve"> regarding Foundation Programs. The results of this survey were used by the department </w:t>
      </w:r>
      <w:r w:rsidR="00117FD5">
        <w:rPr>
          <w:rFonts w:asciiTheme="minorHAnsi" w:hAnsiTheme="minorHAnsi" w:cstheme="minorHAnsi"/>
          <w:iCs/>
        </w:rPr>
        <w:t>as</w:t>
      </w:r>
      <w:r w:rsidR="008C572C">
        <w:rPr>
          <w:rFonts w:asciiTheme="minorHAnsi" w:hAnsiTheme="minorHAnsi" w:cstheme="minorHAnsi"/>
          <w:iCs/>
        </w:rPr>
        <w:t xml:space="preserve"> substantial input to</w:t>
      </w:r>
      <w:r w:rsidR="00117FD5">
        <w:rPr>
          <w:rFonts w:asciiTheme="minorHAnsi" w:hAnsiTheme="minorHAnsi" w:cstheme="minorHAnsi"/>
          <w:iCs/>
        </w:rPr>
        <w:t xml:space="preserve"> </w:t>
      </w:r>
      <w:r w:rsidR="00BA12CE">
        <w:rPr>
          <w:rFonts w:asciiTheme="minorHAnsi" w:hAnsiTheme="minorHAnsi" w:cstheme="minorHAnsi"/>
          <w:iCs/>
        </w:rPr>
        <w:t>a consultation paper.</w:t>
      </w:r>
    </w:p>
    <w:p w14:paraId="0B4057E8" w14:textId="4E36E874" w:rsidR="00BA12CE" w:rsidRDefault="00BA12CE" w:rsidP="00696CF0">
      <w:pPr>
        <w:spacing w:before="120" w:after="120"/>
        <w:rPr>
          <w:rFonts w:asciiTheme="minorHAnsi" w:hAnsiTheme="minorHAnsi" w:cstheme="minorHAnsi"/>
          <w:iCs/>
        </w:rPr>
      </w:pPr>
      <w:r>
        <w:rPr>
          <w:rFonts w:asciiTheme="minorHAnsi" w:hAnsiTheme="minorHAnsi" w:cstheme="minorHAnsi"/>
          <w:iCs/>
        </w:rPr>
        <w:t>TEQSA, as the ESOS agency for Foundation Programs</w:t>
      </w:r>
      <w:r w:rsidR="008C572C">
        <w:rPr>
          <w:rFonts w:asciiTheme="minorHAnsi" w:hAnsiTheme="minorHAnsi" w:cstheme="minorHAnsi"/>
          <w:iCs/>
        </w:rPr>
        <w:t>,</w:t>
      </w:r>
      <w:r>
        <w:rPr>
          <w:rFonts w:asciiTheme="minorHAnsi" w:hAnsiTheme="minorHAnsi" w:cstheme="minorHAnsi"/>
          <w:iCs/>
        </w:rPr>
        <w:t xml:space="preserve"> was consulted by the department for advice on the development of both the consultation paper and the </w:t>
      </w:r>
      <w:r w:rsidR="009014F5">
        <w:rPr>
          <w:rFonts w:asciiTheme="minorHAnsi" w:hAnsiTheme="minorHAnsi" w:cstheme="minorHAnsi"/>
          <w:iCs/>
        </w:rPr>
        <w:t xml:space="preserve">Foundation Program </w:t>
      </w:r>
      <w:r>
        <w:rPr>
          <w:rFonts w:asciiTheme="minorHAnsi" w:hAnsiTheme="minorHAnsi" w:cstheme="minorHAnsi"/>
          <w:iCs/>
        </w:rPr>
        <w:t>Standards.</w:t>
      </w:r>
    </w:p>
    <w:p w14:paraId="3E7923FE" w14:textId="3BA13C01" w:rsidR="00BA12CE" w:rsidRDefault="00117FD5" w:rsidP="00696CF0">
      <w:pPr>
        <w:spacing w:before="120" w:after="120"/>
        <w:rPr>
          <w:rFonts w:asciiTheme="minorHAnsi" w:hAnsiTheme="minorHAnsi" w:cstheme="minorHAnsi"/>
          <w:iCs/>
        </w:rPr>
      </w:pPr>
      <w:r>
        <w:rPr>
          <w:rFonts w:asciiTheme="minorHAnsi" w:hAnsiTheme="minorHAnsi" w:cstheme="minorHAnsi"/>
          <w:iCs/>
        </w:rPr>
        <w:t>In July 2021, the consultation paper was used as part of a public consultation undertaken by the department over a two</w:t>
      </w:r>
      <w:r w:rsidR="0048294E">
        <w:rPr>
          <w:rFonts w:asciiTheme="minorHAnsi" w:hAnsiTheme="minorHAnsi" w:cstheme="minorHAnsi"/>
          <w:iCs/>
        </w:rPr>
        <w:noBreakHyphen/>
      </w:r>
      <w:r>
        <w:rPr>
          <w:rFonts w:asciiTheme="minorHAnsi" w:hAnsiTheme="minorHAnsi" w:cstheme="minorHAnsi"/>
          <w:iCs/>
        </w:rPr>
        <w:t xml:space="preserve">week period. </w:t>
      </w:r>
      <w:r w:rsidR="000E4FB4">
        <w:rPr>
          <w:rFonts w:asciiTheme="minorHAnsi" w:hAnsiTheme="minorHAnsi" w:cstheme="minorHAnsi"/>
          <w:iCs/>
        </w:rPr>
        <w:t xml:space="preserve">Thirty-two </w:t>
      </w:r>
      <w:r w:rsidR="00BA12CE">
        <w:rPr>
          <w:rFonts w:asciiTheme="minorHAnsi" w:hAnsiTheme="minorHAnsi" w:cstheme="minorHAnsi"/>
          <w:iCs/>
        </w:rPr>
        <w:t>submissions were received from education providers, peak bodies and government departments. These submissions</w:t>
      </w:r>
      <w:r w:rsidR="000B5489">
        <w:rPr>
          <w:rFonts w:asciiTheme="minorHAnsi" w:hAnsiTheme="minorHAnsi" w:cstheme="minorHAnsi"/>
          <w:iCs/>
        </w:rPr>
        <w:t xml:space="preserve"> were broadly supportive </w:t>
      </w:r>
      <w:r w:rsidR="000C45D7">
        <w:rPr>
          <w:rFonts w:asciiTheme="minorHAnsi" w:hAnsiTheme="minorHAnsi" w:cstheme="minorHAnsi"/>
          <w:iCs/>
        </w:rPr>
        <w:t xml:space="preserve">of the proposed changes to the </w:t>
      </w:r>
      <w:r w:rsidR="009014F5">
        <w:rPr>
          <w:rFonts w:asciiTheme="minorHAnsi" w:hAnsiTheme="minorHAnsi" w:cstheme="minorHAnsi"/>
          <w:iCs/>
        </w:rPr>
        <w:t xml:space="preserve">Foundation Program </w:t>
      </w:r>
      <w:r w:rsidR="000C45D7">
        <w:rPr>
          <w:rFonts w:asciiTheme="minorHAnsi" w:hAnsiTheme="minorHAnsi" w:cstheme="minorHAnsi"/>
          <w:iCs/>
        </w:rPr>
        <w:t xml:space="preserve">Standards </w:t>
      </w:r>
      <w:r>
        <w:rPr>
          <w:rFonts w:asciiTheme="minorHAnsi" w:hAnsiTheme="minorHAnsi" w:cstheme="minorHAnsi"/>
          <w:iCs/>
        </w:rPr>
        <w:t xml:space="preserve">as </w:t>
      </w:r>
      <w:r w:rsidR="000C45D7">
        <w:rPr>
          <w:rFonts w:asciiTheme="minorHAnsi" w:hAnsiTheme="minorHAnsi" w:cstheme="minorHAnsi"/>
          <w:iCs/>
        </w:rPr>
        <w:t>outlined in the paper</w:t>
      </w:r>
      <w:r w:rsidR="00171F2F">
        <w:rPr>
          <w:rFonts w:asciiTheme="minorHAnsi" w:hAnsiTheme="minorHAnsi" w:cstheme="minorHAnsi"/>
          <w:iCs/>
        </w:rPr>
        <w:t>, particularly in the areas of ensuring students’ academic preparedness for higher education</w:t>
      </w:r>
      <w:r w:rsidR="000E4FB4">
        <w:rPr>
          <w:rFonts w:asciiTheme="minorHAnsi" w:hAnsiTheme="minorHAnsi" w:cstheme="minorHAnsi"/>
          <w:iCs/>
        </w:rPr>
        <w:t>,</w:t>
      </w:r>
      <w:r w:rsidR="00171F2F">
        <w:rPr>
          <w:rFonts w:asciiTheme="minorHAnsi" w:hAnsiTheme="minorHAnsi" w:cstheme="minorHAnsi"/>
          <w:iCs/>
        </w:rPr>
        <w:t xml:space="preserve"> quality assurance and student support</w:t>
      </w:r>
      <w:r w:rsidR="000E4FB4">
        <w:rPr>
          <w:rFonts w:asciiTheme="minorHAnsi" w:hAnsiTheme="minorHAnsi" w:cstheme="minorHAnsi"/>
          <w:iCs/>
        </w:rPr>
        <w:t>,</w:t>
      </w:r>
      <w:r w:rsidR="00171F2F">
        <w:rPr>
          <w:rFonts w:asciiTheme="minorHAnsi" w:hAnsiTheme="minorHAnsi" w:cstheme="minorHAnsi"/>
          <w:iCs/>
        </w:rPr>
        <w:t xml:space="preserve"> and consistency within the ESOS legislative framework</w:t>
      </w:r>
      <w:r w:rsidR="000C45D7">
        <w:rPr>
          <w:rFonts w:asciiTheme="minorHAnsi" w:hAnsiTheme="minorHAnsi" w:cstheme="minorHAnsi"/>
          <w:iCs/>
        </w:rPr>
        <w:t>.</w:t>
      </w:r>
    </w:p>
    <w:p w14:paraId="2FE9B68E" w14:textId="34BA7EC7" w:rsidR="00FC18C2" w:rsidRDefault="000C45D7" w:rsidP="00B22F73">
      <w:pPr>
        <w:spacing w:before="120" w:after="120"/>
        <w:rPr>
          <w:rFonts w:asciiTheme="minorHAnsi" w:hAnsiTheme="minorHAnsi" w:cstheme="minorHAnsi"/>
          <w:iCs/>
        </w:rPr>
      </w:pPr>
      <w:r>
        <w:rPr>
          <w:rFonts w:asciiTheme="minorHAnsi" w:hAnsiTheme="minorHAnsi" w:cstheme="minorHAnsi"/>
          <w:iCs/>
        </w:rPr>
        <w:t xml:space="preserve">The </w:t>
      </w:r>
      <w:r w:rsidR="00793BE4">
        <w:rPr>
          <w:rFonts w:asciiTheme="minorHAnsi" w:hAnsiTheme="minorHAnsi" w:cstheme="minorHAnsi"/>
          <w:iCs/>
        </w:rPr>
        <w:t xml:space="preserve">department </w:t>
      </w:r>
      <w:r w:rsidR="00171F2F">
        <w:rPr>
          <w:rFonts w:asciiTheme="minorHAnsi" w:hAnsiTheme="minorHAnsi" w:cstheme="minorHAnsi"/>
          <w:iCs/>
        </w:rPr>
        <w:t>used</w:t>
      </w:r>
      <w:r w:rsidR="00793BE4">
        <w:rPr>
          <w:rFonts w:asciiTheme="minorHAnsi" w:hAnsiTheme="minorHAnsi" w:cstheme="minorHAnsi"/>
          <w:iCs/>
        </w:rPr>
        <w:t xml:space="preserve"> the submissions</w:t>
      </w:r>
      <w:r w:rsidR="00117FD5">
        <w:rPr>
          <w:rFonts w:asciiTheme="minorHAnsi" w:hAnsiTheme="minorHAnsi" w:cstheme="minorHAnsi"/>
          <w:iCs/>
        </w:rPr>
        <w:t xml:space="preserve"> and</w:t>
      </w:r>
      <w:r w:rsidR="00171F2F">
        <w:rPr>
          <w:rFonts w:asciiTheme="minorHAnsi" w:hAnsiTheme="minorHAnsi" w:cstheme="minorHAnsi"/>
          <w:iCs/>
        </w:rPr>
        <w:t xml:space="preserve"> </w:t>
      </w:r>
      <w:r w:rsidR="00117FD5">
        <w:rPr>
          <w:rFonts w:asciiTheme="minorHAnsi" w:hAnsiTheme="minorHAnsi" w:cstheme="minorHAnsi"/>
          <w:iCs/>
        </w:rPr>
        <w:t xml:space="preserve">additional </w:t>
      </w:r>
      <w:r w:rsidR="00171F2F">
        <w:rPr>
          <w:rFonts w:asciiTheme="minorHAnsi" w:hAnsiTheme="minorHAnsi" w:cstheme="minorHAnsi"/>
          <w:iCs/>
        </w:rPr>
        <w:t>TEQSA consultation</w:t>
      </w:r>
      <w:r w:rsidR="00117FD5">
        <w:rPr>
          <w:rFonts w:asciiTheme="minorHAnsi" w:hAnsiTheme="minorHAnsi" w:cstheme="minorHAnsi"/>
          <w:iCs/>
        </w:rPr>
        <w:t xml:space="preserve"> </w:t>
      </w:r>
      <w:r w:rsidR="00793BE4">
        <w:rPr>
          <w:rFonts w:asciiTheme="minorHAnsi" w:hAnsiTheme="minorHAnsi" w:cstheme="minorHAnsi"/>
          <w:iCs/>
        </w:rPr>
        <w:t>to develop the</w:t>
      </w:r>
      <w:r w:rsidR="006540EF">
        <w:rPr>
          <w:rFonts w:asciiTheme="minorHAnsi" w:hAnsiTheme="minorHAnsi" w:cstheme="minorHAnsi"/>
          <w:iCs/>
        </w:rPr>
        <w:t>se</w:t>
      </w:r>
      <w:r w:rsidR="00793BE4">
        <w:rPr>
          <w:rFonts w:asciiTheme="minorHAnsi" w:hAnsiTheme="minorHAnsi" w:cstheme="minorHAnsi"/>
          <w:iCs/>
        </w:rPr>
        <w:t xml:space="preserve"> </w:t>
      </w:r>
      <w:r w:rsidR="009014F5">
        <w:rPr>
          <w:rFonts w:asciiTheme="minorHAnsi" w:hAnsiTheme="minorHAnsi" w:cstheme="minorHAnsi"/>
          <w:iCs/>
        </w:rPr>
        <w:t xml:space="preserve">Foundation Program </w:t>
      </w:r>
      <w:r w:rsidR="00793BE4">
        <w:rPr>
          <w:rFonts w:asciiTheme="minorHAnsi" w:hAnsiTheme="minorHAnsi" w:cstheme="minorHAnsi"/>
          <w:iCs/>
        </w:rPr>
        <w:t>Standards.</w:t>
      </w:r>
    </w:p>
    <w:p w14:paraId="357A2BF3" w14:textId="06922917" w:rsidR="00DA552F" w:rsidRPr="00A72AD9" w:rsidRDefault="00A72AD9" w:rsidP="00A72AD9">
      <w:pPr>
        <w:jc w:val="center"/>
        <w:rPr>
          <w:rFonts w:asciiTheme="minorHAnsi" w:hAnsiTheme="minorHAnsi" w:cstheme="minorHAnsi"/>
          <w:b/>
          <w:szCs w:val="24"/>
        </w:rPr>
      </w:pPr>
      <w:bookmarkStart w:id="3" w:name="_Toc23942241"/>
      <w:bookmarkStart w:id="4" w:name="_Toc34293362"/>
      <w:r>
        <w:rPr>
          <w:rFonts w:asciiTheme="minorHAnsi" w:hAnsiTheme="minorHAnsi" w:cstheme="minorHAnsi"/>
        </w:rPr>
        <w:br w:type="page"/>
      </w:r>
      <w:r w:rsidR="00DA552F" w:rsidRPr="00A72AD9">
        <w:rPr>
          <w:rFonts w:asciiTheme="minorHAnsi" w:hAnsiTheme="minorHAnsi" w:cstheme="minorHAnsi"/>
          <w:b/>
          <w:szCs w:val="24"/>
        </w:rPr>
        <w:lastRenderedPageBreak/>
        <w:t>STATEMENT OF COMPATIBILITY WITH HUMAN RIGHTS</w:t>
      </w:r>
      <w:bookmarkEnd w:id="3"/>
      <w:bookmarkEnd w:id="4"/>
    </w:p>
    <w:p w14:paraId="2AF4E717"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105220B8" w14:textId="77777777" w:rsidR="00DA552F" w:rsidRPr="002D7A08" w:rsidRDefault="002D7A08" w:rsidP="00073E42">
      <w:pPr>
        <w:spacing w:before="120" w:after="120"/>
        <w:rPr>
          <w:rFonts w:asciiTheme="minorHAnsi" w:hAnsiTheme="minorHAnsi" w:cstheme="minorHAnsi"/>
          <w:iCs/>
          <w:szCs w:val="24"/>
          <w:u w:val="single"/>
        </w:rPr>
      </w:pPr>
      <w:r w:rsidRPr="002D7A08">
        <w:rPr>
          <w:rFonts w:asciiTheme="minorHAnsi" w:hAnsiTheme="minorHAnsi" w:cstheme="minorHAnsi"/>
          <w:iCs/>
          <w:u w:val="single"/>
        </w:rPr>
        <w:t>Education Services for Overseas Students (Foundation Program Standards) Instrument 2021</w:t>
      </w:r>
    </w:p>
    <w:p w14:paraId="39BDF1A2" w14:textId="4AF776E8"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2D7A08" w:rsidRPr="002D7A08">
        <w:rPr>
          <w:rFonts w:asciiTheme="minorHAnsi" w:hAnsiTheme="minorHAnsi" w:cstheme="minorHAnsi"/>
          <w:i/>
        </w:rPr>
        <w:t>Education Services for Overseas Students (Foundation Program Standards) Instrument</w:t>
      </w:r>
      <w:r w:rsidR="006540EF">
        <w:rPr>
          <w:rFonts w:asciiTheme="minorHAnsi" w:hAnsiTheme="minorHAnsi" w:cstheme="minorHAnsi"/>
          <w:i/>
        </w:rPr>
        <w:t> </w:t>
      </w:r>
      <w:r w:rsidR="002D7A08" w:rsidRPr="002D7A08">
        <w:rPr>
          <w:rFonts w:asciiTheme="minorHAnsi" w:hAnsiTheme="minorHAnsi" w:cstheme="minorHAnsi"/>
          <w:i/>
        </w:rPr>
        <w:t>2021</w:t>
      </w:r>
      <w:r w:rsidR="001E52EB">
        <w:rPr>
          <w:rFonts w:asciiTheme="minorHAnsi" w:hAnsiTheme="minorHAnsi" w:cstheme="minorHAnsi"/>
          <w:szCs w:val="24"/>
        </w:rPr>
        <w:t xml:space="preserve"> (the </w:t>
      </w:r>
      <w:r w:rsidR="00FD303E">
        <w:rPr>
          <w:rFonts w:asciiTheme="minorHAnsi" w:hAnsiTheme="minorHAnsi" w:cstheme="minorHAnsi"/>
          <w:szCs w:val="24"/>
        </w:rPr>
        <w:t>Foundation Program Standards</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6EBB5EF"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683167DF" w14:textId="77777777" w:rsidR="00C82861" w:rsidRDefault="00C82861" w:rsidP="00C82861">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sidRPr="00AC1539">
        <w:rPr>
          <w:rFonts w:asciiTheme="minorHAnsi" w:hAnsiTheme="minorHAnsi" w:cstheme="minorHAnsi"/>
          <w:iCs/>
          <w:szCs w:val="24"/>
        </w:rPr>
        <w:t>Foundation Program Standards</w:t>
      </w:r>
      <w:r>
        <w:rPr>
          <w:rFonts w:asciiTheme="minorHAnsi" w:hAnsiTheme="minorHAnsi" w:cstheme="minorHAnsi"/>
          <w:iCs/>
          <w:szCs w:val="24"/>
        </w:rPr>
        <w:t xml:space="preserve"> are a part of the legislative framework enabled by the </w:t>
      </w:r>
      <w:r w:rsidRPr="008070EB">
        <w:rPr>
          <w:rFonts w:asciiTheme="minorHAnsi" w:hAnsiTheme="minorHAnsi" w:cstheme="minorHAnsi"/>
          <w:iCs/>
          <w:szCs w:val="24"/>
        </w:rPr>
        <w:t>ESOS Act</w:t>
      </w:r>
      <w:r>
        <w:rPr>
          <w:rFonts w:asciiTheme="minorHAnsi" w:hAnsiTheme="minorHAnsi" w:cstheme="minorHAnsi"/>
          <w:iCs/>
          <w:szCs w:val="24"/>
        </w:rPr>
        <w:t>. Providers who offer courses to overseas student must comply with the ESOS Act.</w:t>
      </w:r>
      <w:r w:rsidRPr="008070EB">
        <w:rPr>
          <w:rFonts w:asciiTheme="minorHAnsi" w:hAnsiTheme="minorHAnsi" w:cstheme="minorHAnsi"/>
          <w:iCs/>
          <w:szCs w:val="24"/>
        </w:rPr>
        <w:t xml:space="preserve"> </w:t>
      </w:r>
      <w:r>
        <w:rPr>
          <w:rFonts w:asciiTheme="minorHAnsi" w:hAnsiTheme="minorHAnsi" w:cstheme="minorHAnsi"/>
          <w:iCs/>
          <w:szCs w:val="24"/>
        </w:rPr>
        <w:t xml:space="preserve">The framework </w:t>
      </w:r>
      <w:r w:rsidRPr="008070EB">
        <w:rPr>
          <w:rFonts w:asciiTheme="minorHAnsi" w:hAnsiTheme="minorHAnsi" w:cstheme="minorHAnsi"/>
          <w:iCs/>
          <w:szCs w:val="24"/>
        </w:rPr>
        <w:t>establish</w:t>
      </w:r>
      <w:r>
        <w:rPr>
          <w:rFonts w:asciiTheme="minorHAnsi" w:hAnsiTheme="minorHAnsi" w:cstheme="minorHAnsi"/>
          <w:iCs/>
          <w:szCs w:val="24"/>
        </w:rPr>
        <w:t>es</w:t>
      </w:r>
      <w:r w:rsidRPr="008070EB">
        <w:rPr>
          <w:rFonts w:asciiTheme="minorHAnsi" w:hAnsiTheme="minorHAnsi" w:cstheme="minorHAnsi"/>
          <w:iCs/>
          <w:szCs w:val="24"/>
        </w:rPr>
        <w:t xml:space="preserve"> requirements and standards for quality assurance of education services offered to </w:t>
      </w:r>
      <w:r>
        <w:rPr>
          <w:rFonts w:asciiTheme="minorHAnsi" w:hAnsiTheme="minorHAnsi" w:cstheme="minorHAnsi"/>
          <w:iCs/>
          <w:szCs w:val="24"/>
        </w:rPr>
        <w:t>overseas</w:t>
      </w:r>
      <w:r w:rsidRPr="008070EB">
        <w:rPr>
          <w:rFonts w:asciiTheme="minorHAnsi" w:hAnsiTheme="minorHAnsi" w:cstheme="minorHAnsi"/>
          <w:iCs/>
          <w:szCs w:val="24"/>
        </w:rPr>
        <w:t xml:space="preserve"> students</w:t>
      </w:r>
      <w:r>
        <w:rPr>
          <w:rStyle w:val="CommentReference"/>
        </w:rPr>
        <w:t>.</w:t>
      </w:r>
      <w:r w:rsidRPr="008070EB">
        <w:rPr>
          <w:rFonts w:asciiTheme="minorHAnsi" w:hAnsiTheme="minorHAnsi" w:cstheme="minorHAnsi"/>
          <w:iCs/>
          <w:szCs w:val="24"/>
        </w:rPr>
        <w:t xml:space="preserve"> The framework</w:t>
      </w:r>
      <w:r>
        <w:rPr>
          <w:rFonts w:asciiTheme="minorHAnsi" w:hAnsiTheme="minorHAnsi" w:cstheme="minorHAnsi"/>
          <w:iCs/>
          <w:szCs w:val="24"/>
        </w:rPr>
        <w:t xml:space="preserve">, including the </w:t>
      </w:r>
      <w:r w:rsidRPr="00AC1539">
        <w:rPr>
          <w:rFonts w:asciiTheme="minorHAnsi" w:hAnsiTheme="minorHAnsi" w:cstheme="minorHAnsi"/>
          <w:iCs/>
          <w:szCs w:val="24"/>
        </w:rPr>
        <w:t>Foundation Program Standards</w:t>
      </w:r>
      <w:r>
        <w:rPr>
          <w:rFonts w:asciiTheme="minorHAnsi" w:hAnsiTheme="minorHAnsi" w:cstheme="minorHAnsi"/>
          <w:iCs/>
          <w:szCs w:val="24"/>
        </w:rPr>
        <w:t>,</w:t>
      </w:r>
      <w:r w:rsidRPr="008070EB">
        <w:rPr>
          <w:rFonts w:asciiTheme="minorHAnsi" w:hAnsiTheme="minorHAnsi" w:cstheme="minorHAnsi"/>
          <w:iCs/>
          <w:szCs w:val="24"/>
        </w:rPr>
        <w:t xml:space="preserve"> </w:t>
      </w:r>
      <w:r>
        <w:rPr>
          <w:rFonts w:asciiTheme="minorHAnsi" w:hAnsiTheme="minorHAnsi" w:cstheme="minorHAnsi"/>
          <w:iCs/>
          <w:szCs w:val="24"/>
        </w:rPr>
        <w:t xml:space="preserve">promotes the quality of Australian education offerings, </w:t>
      </w:r>
      <w:r w:rsidRPr="008070EB">
        <w:rPr>
          <w:rFonts w:asciiTheme="minorHAnsi" w:hAnsiTheme="minorHAnsi" w:cstheme="minorHAnsi"/>
          <w:iCs/>
          <w:szCs w:val="24"/>
        </w:rPr>
        <w:t>supports the</w:t>
      </w:r>
      <w:r>
        <w:rPr>
          <w:rFonts w:asciiTheme="minorHAnsi" w:hAnsiTheme="minorHAnsi" w:cstheme="minorHAnsi"/>
          <w:iCs/>
          <w:szCs w:val="24"/>
        </w:rPr>
        <w:t xml:space="preserve"> integrity of the</w:t>
      </w:r>
      <w:r w:rsidRPr="008070EB">
        <w:rPr>
          <w:rFonts w:asciiTheme="minorHAnsi" w:hAnsiTheme="minorHAnsi" w:cstheme="minorHAnsi"/>
          <w:iCs/>
          <w:szCs w:val="24"/>
        </w:rPr>
        <w:t xml:space="preserve"> student visa system and provides tuition fee protection for </w:t>
      </w:r>
      <w:r>
        <w:rPr>
          <w:rFonts w:asciiTheme="minorHAnsi" w:hAnsiTheme="minorHAnsi" w:cstheme="minorHAnsi"/>
          <w:iCs/>
          <w:szCs w:val="24"/>
        </w:rPr>
        <w:t>overseas</w:t>
      </w:r>
      <w:r w:rsidRPr="008070EB">
        <w:rPr>
          <w:rFonts w:asciiTheme="minorHAnsi" w:hAnsiTheme="minorHAnsi" w:cstheme="minorHAnsi"/>
          <w:iCs/>
          <w:szCs w:val="24"/>
        </w:rPr>
        <w:t xml:space="preserve"> students.</w:t>
      </w:r>
    </w:p>
    <w:p w14:paraId="4A6AB253" w14:textId="7D9D3BC8" w:rsidR="00C82861" w:rsidRDefault="00C82861" w:rsidP="00C82861">
      <w:pPr>
        <w:spacing w:before="120" w:after="120"/>
        <w:rPr>
          <w:rFonts w:asciiTheme="minorHAnsi" w:hAnsiTheme="minorHAnsi" w:cstheme="minorHAnsi"/>
          <w:color w:val="000000"/>
          <w:szCs w:val="24"/>
        </w:rPr>
      </w:pPr>
      <w:r>
        <w:rPr>
          <w:rFonts w:asciiTheme="minorHAnsi" w:hAnsiTheme="minorHAnsi" w:cstheme="minorHAnsi"/>
          <w:iCs/>
          <w:szCs w:val="24"/>
        </w:rPr>
        <w:t xml:space="preserve">Foundation Programs </w:t>
      </w:r>
      <w:r w:rsidRPr="0000419A">
        <w:rPr>
          <w:rFonts w:asciiTheme="minorHAnsi" w:hAnsiTheme="minorHAnsi" w:cstheme="minorHAnsi"/>
          <w:iCs/>
          <w:szCs w:val="24"/>
        </w:rPr>
        <w:t xml:space="preserve">are nationally recognised preparatory courses </w:t>
      </w:r>
      <w:r w:rsidR="0031464D">
        <w:rPr>
          <w:rFonts w:asciiTheme="minorHAnsi" w:hAnsiTheme="minorHAnsi" w:cstheme="minorHAnsi"/>
          <w:iCs/>
          <w:szCs w:val="24"/>
        </w:rPr>
        <w:t>that</w:t>
      </w:r>
      <w:r w:rsidR="0031464D" w:rsidRPr="0000419A">
        <w:rPr>
          <w:rFonts w:asciiTheme="minorHAnsi" w:hAnsiTheme="minorHAnsi" w:cstheme="minorHAnsi"/>
          <w:iCs/>
          <w:szCs w:val="24"/>
        </w:rPr>
        <w:t xml:space="preserve"> </w:t>
      </w:r>
      <w:r w:rsidRPr="0000419A">
        <w:rPr>
          <w:rFonts w:asciiTheme="minorHAnsi" w:hAnsiTheme="minorHAnsi" w:cstheme="minorHAnsi"/>
          <w:iCs/>
          <w:szCs w:val="24"/>
        </w:rPr>
        <w:t xml:space="preserve">provide </w:t>
      </w:r>
      <w:r>
        <w:rPr>
          <w:rFonts w:asciiTheme="minorHAnsi" w:hAnsiTheme="minorHAnsi" w:cstheme="minorHAnsi"/>
          <w:iCs/>
          <w:szCs w:val="24"/>
        </w:rPr>
        <w:t>overseas</w:t>
      </w:r>
      <w:r w:rsidRPr="0000419A">
        <w:rPr>
          <w:rFonts w:asciiTheme="minorHAnsi" w:hAnsiTheme="minorHAnsi" w:cstheme="minorHAnsi"/>
          <w:iCs/>
          <w:szCs w:val="24"/>
        </w:rPr>
        <w:t xml:space="preserve"> students with a strong academic foundation for entry into </w:t>
      </w:r>
      <w:r>
        <w:rPr>
          <w:rFonts w:asciiTheme="minorHAnsi" w:hAnsiTheme="minorHAnsi" w:cstheme="minorHAnsi"/>
          <w:iCs/>
          <w:szCs w:val="24"/>
        </w:rPr>
        <w:t xml:space="preserve">Australian higher education </w:t>
      </w:r>
      <w:r w:rsidRPr="00925854">
        <w:rPr>
          <w:rFonts w:asciiTheme="minorHAnsi" w:hAnsiTheme="minorHAnsi" w:cstheme="minorHAnsi"/>
          <w:iCs/>
          <w:szCs w:val="24"/>
        </w:rPr>
        <w:t>undergraduate study</w:t>
      </w:r>
      <w:r>
        <w:rPr>
          <w:rFonts w:asciiTheme="minorHAnsi" w:hAnsiTheme="minorHAnsi" w:cstheme="minorHAnsi"/>
          <w:iCs/>
          <w:szCs w:val="24"/>
        </w:rPr>
        <w:t xml:space="preserve">. </w:t>
      </w:r>
    </w:p>
    <w:p w14:paraId="7A47EB99" w14:textId="77777777" w:rsidR="00C82861" w:rsidRDefault="00C82861" w:rsidP="00C82861">
      <w:pPr>
        <w:spacing w:before="120" w:after="120"/>
        <w:rPr>
          <w:rFonts w:asciiTheme="minorHAnsi" w:hAnsiTheme="minorHAnsi" w:cstheme="minorHAnsi"/>
          <w:iCs/>
          <w:szCs w:val="24"/>
        </w:rPr>
      </w:pPr>
      <w:r>
        <w:rPr>
          <w:rFonts w:asciiTheme="minorHAnsi" w:hAnsiTheme="minorHAnsi" w:cstheme="minorHAnsi"/>
          <w:iCs/>
          <w:szCs w:val="24"/>
        </w:rPr>
        <w:t xml:space="preserve">The Foundation Program Standards apply to providers who deliver </w:t>
      </w:r>
      <w:r w:rsidRPr="0000419A">
        <w:rPr>
          <w:rFonts w:asciiTheme="minorHAnsi" w:hAnsiTheme="minorHAnsi" w:cstheme="minorHAnsi"/>
          <w:iCs/>
          <w:szCs w:val="24"/>
        </w:rPr>
        <w:t xml:space="preserve">Foundation Programs </w:t>
      </w:r>
      <w:r>
        <w:rPr>
          <w:rFonts w:asciiTheme="minorHAnsi" w:hAnsiTheme="minorHAnsi" w:cstheme="minorHAnsi"/>
          <w:iCs/>
          <w:szCs w:val="24"/>
        </w:rPr>
        <w:t xml:space="preserve">to overseas students. </w:t>
      </w:r>
      <w:r w:rsidRPr="00110C84">
        <w:rPr>
          <w:rFonts w:asciiTheme="minorHAnsi" w:hAnsiTheme="minorHAnsi" w:cstheme="minorHAnsi"/>
          <w:iCs/>
          <w:szCs w:val="24"/>
        </w:rPr>
        <w:t>Providers must demonstrate compliance with these standards to achieve</w:t>
      </w:r>
      <w:r>
        <w:rPr>
          <w:rFonts w:asciiTheme="minorHAnsi" w:hAnsiTheme="minorHAnsi" w:cstheme="minorHAnsi"/>
          <w:iCs/>
          <w:szCs w:val="24"/>
        </w:rPr>
        <w:t xml:space="preserve"> </w:t>
      </w:r>
      <w:r w:rsidRPr="00110C84">
        <w:rPr>
          <w:rFonts w:asciiTheme="minorHAnsi" w:hAnsiTheme="minorHAnsi" w:cstheme="minorHAnsi"/>
          <w:iCs/>
          <w:szCs w:val="24"/>
        </w:rPr>
        <w:t>registration</w:t>
      </w:r>
      <w:r>
        <w:rPr>
          <w:rFonts w:asciiTheme="minorHAnsi" w:hAnsiTheme="minorHAnsi" w:cstheme="minorHAnsi"/>
          <w:iCs/>
          <w:szCs w:val="24"/>
        </w:rPr>
        <w:t xml:space="preserve"> and renewal of registration </w:t>
      </w:r>
      <w:r w:rsidRPr="00110C84">
        <w:rPr>
          <w:rFonts w:asciiTheme="minorHAnsi" w:hAnsiTheme="minorHAnsi" w:cstheme="minorHAnsi"/>
          <w:iCs/>
          <w:szCs w:val="24"/>
        </w:rPr>
        <w:t>as a Foundation Program on C</w:t>
      </w:r>
      <w:r>
        <w:rPr>
          <w:rFonts w:asciiTheme="minorHAnsi" w:hAnsiTheme="minorHAnsi" w:cstheme="minorHAnsi"/>
          <w:iCs/>
          <w:szCs w:val="24"/>
        </w:rPr>
        <w:t>ommonwealth Register of Institutions and Courses for Overseas Students (CRICOS), and to have changes to registration approved</w:t>
      </w:r>
      <w:r w:rsidRPr="00110C84">
        <w:rPr>
          <w:rFonts w:asciiTheme="minorHAnsi" w:hAnsiTheme="minorHAnsi" w:cstheme="minorHAnsi"/>
          <w:iCs/>
          <w:szCs w:val="24"/>
        </w:rPr>
        <w:t>.</w:t>
      </w:r>
    </w:p>
    <w:p w14:paraId="3426376E" w14:textId="77777777" w:rsidR="00C82861" w:rsidRPr="00144E95" w:rsidRDefault="00C82861" w:rsidP="00C82861">
      <w:pPr>
        <w:spacing w:before="120" w:after="120"/>
        <w:rPr>
          <w:rFonts w:asciiTheme="minorHAnsi" w:hAnsiTheme="minorHAnsi" w:cstheme="minorHAnsi"/>
          <w:iCs/>
          <w:szCs w:val="24"/>
        </w:rPr>
      </w:pPr>
      <w:r>
        <w:rPr>
          <w:rFonts w:asciiTheme="minorHAnsi" w:hAnsiTheme="minorHAnsi" w:cstheme="minorHAnsi"/>
          <w:iCs/>
          <w:szCs w:val="24"/>
        </w:rPr>
        <w:t>The Standards set out requirements for Foundation Programs, teachers and providers to ensure Foundations Programs fulfil their proper function and are delivered to a high standard. This is achieved</w:t>
      </w:r>
      <w:r>
        <w:rPr>
          <w:rFonts w:asciiTheme="minorHAnsi" w:hAnsiTheme="minorHAnsi" w:cstheme="minorHAnsi"/>
          <w:color w:val="000000"/>
          <w:szCs w:val="24"/>
        </w:rPr>
        <w:t xml:space="preserve"> through </w:t>
      </w:r>
      <w:r>
        <w:rPr>
          <w:rFonts w:asciiTheme="minorHAnsi" w:hAnsiTheme="minorHAnsi" w:cstheme="minorHAnsi"/>
          <w:color w:val="000000"/>
          <w:szCs w:val="24"/>
          <w:shd w:val="clear" w:color="auto" w:fill="FFFFFF"/>
        </w:rPr>
        <w:t>requiring</w:t>
      </w:r>
      <w:r w:rsidRPr="00144E95">
        <w:rPr>
          <w:rFonts w:asciiTheme="minorHAnsi" w:hAnsiTheme="minorHAnsi" w:cstheme="minorHAnsi"/>
          <w:color w:val="000000"/>
          <w:szCs w:val="24"/>
          <w:shd w:val="clear" w:color="auto" w:fill="FFFFFF"/>
        </w:rPr>
        <w:t xml:space="preserve"> nationally consistent standards and procedures for registered providers and persons who deliver </w:t>
      </w:r>
      <w:r>
        <w:rPr>
          <w:rFonts w:asciiTheme="minorHAnsi" w:hAnsiTheme="minorHAnsi" w:cstheme="minorHAnsi"/>
          <w:color w:val="000000"/>
          <w:szCs w:val="24"/>
          <w:shd w:val="clear" w:color="auto" w:fill="FFFFFF"/>
        </w:rPr>
        <w:t>Foundation Program</w:t>
      </w:r>
      <w:r w:rsidRPr="00144E95">
        <w:rPr>
          <w:rFonts w:asciiTheme="minorHAnsi" w:hAnsiTheme="minorHAnsi" w:cstheme="minorHAnsi"/>
          <w:color w:val="000000"/>
          <w:szCs w:val="24"/>
          <w:shd w:val="clear" w:color="auto" w:fill="FFFFFF"/>
        </w:rPr>
        <w:t xml:space="preserve"> services on behalf of registered providers</w:t>
      </w:r>
      <w:r>
        <w:rPr>
          <w:rFonts w:asciiTheme="minorHAnsi" w:hAnsiTheme="minorHAnsi" w:cstheme="minorHAnsi"/>
          <w:color w:val="000000"/>
          <w:szCs w:val="24"/>
          <w:shd w:val="clear" w:color="auto" w:fill="FFFFFF"/>
        </w:rPr>
        <w:t>.</w:t>
      </w:r>
      <w:r w:rsidRPr="00144E95">
        <w:rPr>
          <w:rFonts w:asciiTheme="minorHAnsi" w:hAnsiTheme="minorHAnsi" w:cstheme="minorHAnsi"/>
          <w:color w:val="000000"/>
          <w:szCs w:val="24"/>
        </w:rPr>
        <w:t xml:space="preserve"> The </w:t>
      </w:r>
      <w:r>
        <w:rPr>
          <w:rFonts w:asciiTheme="minorHAnsi" w:hAnsiTheme="minorHAnsi" w:cstheme="minorHAnsi"/>
          <w:color w:val="000000"/>
          <w:szCs w:val="24"/>
        </w:rPr>
        <w:t xml:space="preserve">Foundation Program Standards </w:t>
      </w:r>
      <w:r w:rsidRPr="00144E95">
        <w:rPr>
          <w:rFonts w:asciiTheme="minorHAnsi" w:hAnsiTheme="minorHAnsi" w:cstheme="minorHAnsi"/>
          <w:color w:val="000000"/>
          <w:szCs w:val="24"/>
        </w:rPr>
        <w:t xml:space="preserve">enhance Australia’s reputation as a quality international education provider </w:t>
      </w:r>
      <w:r>
        <w:rPr>
          <w:rFonts w:asciiTheme="minorHAnsi" w:hAnsiTheme="minorHAnsi" w:cstheme="minorHAnsi"/>
          <w:color w:val="000000"/>
          <w:szCs w:val="24"/>
        </w:rPr>
        <w:t>in</w:t>
      </w:r>
      <w:r w:rsidRPr="00144E95">
        <w:rPr>
          <w:rFonts w:asciiTheme="minorHAnsi" w:hAnsiTheme="minorHAnsi" w:cstheme="minorHAnsi"/>
          <w:color w:val="000000"/>
          <w:szCs w:val="24"/>
        </w:rPr>
        <w:t xml:space="preserve"> international education markets.</w:t>
      </w:r>
    </w:p>
    <w:p w14:paraId="726C19D1" w14:textId="1E5EC69D" w:rsidR="00E8671C" w:rsidRPr="00C82861" w:rsidRDefault="00C82861" w:rsidP="00C82861">
      <w:pPr>
        <w:shd w:val="clear" w:color="auto" w:fill="FFFFFF"/>
        <w:rPr>
          <w:rFonts w:asciiTheme="minorHAnsi" w:hAnsiTheme="minorHAnsi" w:cstheme="minorHAnsi"/>
          <w:color w:val="000000"/>
        </w:rPr>
      </w:pPr>
      <w:r>
        <w:rPr>
          <w:rFonts w:asciiTheme="minorHAnsi" w:hAnsiTheme="minorHAnsi" w:cstheme="minorHAnsi"/>
          <w:color w:val="000000"/>
          <w:szCs w:val="24"/>
        </w:rPr>
        <w:t xml:space="preserve">The ESOS agency for a person or entity that delivers a </w:t>
      </w:r>
      <w:r w:rsidRPr="00B74160">
        <w:rPr>
          <w:rFonts w:asciiTheme="minorHAnsi" w:hAnsiTheme="minorHAnsi" w:cstheme="minorHAnsi"/>
          <w:color w:val="000000"/>
          <w:szCs w:val="24"/>
        </w:rPr>
        <w:t xml:space="preserve">Foundation Program is required to assess applications and monitor compliance with the Standards. </w:t>
      </w:r>
      <w:r w:rsidRPr="004F298F">
        <w:rPr>
          <w:rFonts w:asciiTheme="minorHAnsi" w:hAnsiTheme="minorHAnsi" w:cstheme="minorHAnsi"/>
          <w:color w:val="000000"/>
          <w:szCs w:val="24"/>
        </w:rPr>
        <w:t xml:space="preserve">The ESOS agency for all </w:t>
      </w:r>
      <w:r>
        <w:rPr>
          <w:rFonts w:asciiTheme="minorHAnsi" w:hAnsiTheme="minorHAnsi" w:cstheme="minorHAnsi"/>
          <w:color w:val="000000"/>
          <w:szCs w:val="24"/>
        </w:rPr>
        <w:t xml:space="preserve">current </w:t>
      </w:r>
      <w:r w:rsidRPr="004F298F">
        <w:rPr>
          <w:rFonts w:asciiTheme="minorHAnsi" w:hAnsiTheme="minorHAnsi" w:cstheme="minorHAnsi"/>
          <w:color w:val="000000"/>
          <w:szCs w:val="24"/>
        </w:rPr>
        <w:t>Foundation Programs is the Tertiary Education Quality and Standards Agency</w:t>
      </w:r>
      <w:r>
        <w:rPr>
          <w:rFonts w:asciiTheme="minorHAnsi" w:hAnsiTheme="minorHAnsi" w:cstheme="minorHAnsi"/>
          <w:color w:val="000000"/>
          <w:szCs w:val="24"/>
        </w:rPr>
        <w:t xml:space="preserve"> (TEQSA)</w:t>
      </w:r>
      <w:r w:rsidRPr="004F298F">
        <w:rPr>
          <w:rFonts w:asciiTheme="minorHAnsi" w:hAnsiTheme="minorHAnsi" w:cstheme="minorHAnsi"/>
          <w:color w:val="000000"/>
          <w:szCs w:val="24"/>
        </w:rPr>
        <w:t>.</w:t>
      </w:r>
    </w:p>
    <w:p w14:paraId="38275E5D" w14:textId="77777777" w:rsidR="00F9205E" w:rsidRPr="008134D5" w:rsidRDefault="00F9205E" w:rsidP="00073E42">
      <w:pPr>
        <w:keepNext/>
        <w:spacing w:before="120" w:after="120"/>
        <w:rPr>
          <w:rFonts w:asciiTheme="minorHAnsi" w:hAnsiTheme="minorHAnsi" w:cstheme="minorHAnsi"/>
          <w:szCs w:val="24"/>
        </w:rPr>
      </w:pPr>
      <w:r w:rsidRPr="008134D5">
        <w:rPr>
          <w:rFonts w:asciiTheme="minorHAnsi" w:hAnsiTheme="minorHAnsi" w:cstheme="minorHAnsi"/>
          <w:b/>
          <w:szCs w:val="24"/>
        </w:rPr>
        <w:lastRenderedPageBreak/>
        <w:t>Human rights implications</w:t>
      </w:r>
    </w:p>
    <w:p w14:paraId="595BDDF1" w14:textId="77777777" w:rsidR="00E8671C" w:rsidRPr="006E5E0B" w:rsidRDefault="00F9205E" w:rsidP="00073E42">
      <w:pPr>
        <w:keepNext/>
        <w:spacing w:before="120" w:after="120"/>
        <w:rPr>
          <w:rFonts w:asciiTheme="minorHAnsi" w:hAnsiTheme="minorHAnsi" w:cstheme="minorHAnsi"/>
          <w:szCs w:val="24"/>
        </w:rPr>
      </w:pPr>
      <w:r w:rsidRPr="006E5E0B">
        <w:rPr>
          <w:rFonts w:asciiTheme="minorHAnsi" w:hAnsiTheme="minorHAnsi" w:cstheme="minorHAnsi"/>
          <w:szCs w:val="24"/>
        </w:rPr>
        <w:t xml:space="preserve">The </w:t>
      </w:r>
      <w:r w:rsidR="00FF6E25" w:rsidRPr="006E5E0B">
        <w:rPr>
          <w:rFonts w:asciiTheme="minorHAnsi" w:hAnsiTheme="minorHAnsi" w:cstheme="minorHAnsi"/>
          <w:szCs w:val="24"/>
        </w:rPr>
        <w:t>Instrument</w:t>
      </w:r>
      <w:r w:rsidRPr="006E5E0B">
        <w:rPr>
          <w:rFonts w:asciiTheme="minorHAnsi" w:hAnsiTheme="minorHAnsi" w:cstheme="minorHAnsi"/>
          <w:szCs w:val="24"/>
        </w:rPr>
        <w:t xml:space="preserve"> engages the following rights:</w:t>
      </w:r>
    </w:p>
    <w:p w14:paraId="345E3D52" w14:textId="46EACD7C" w:rsidR="006E5E0B" w:rsidRPr="00B3381B" w:rsidRDefault="006E5E0B" w:rsidP="003F3802">
      <w:pPr>
        <w:pStyle w:val="ListParagraph"/>
        <w:numPr>
          <w:ilvl w:val="0"/>
          <w:numId w:val="2"/>
        </w:numPr>
        <w:shd w:val="clear" w:color="auto" w:fill="FFFFFF"/>
        <w:spacing w:after="240"/>
        <w:rPr>
          <w:rFonts w:eastAsia="Times New Roman" w:cs="Times New Roman"/>
          <w:color w:val="000000"/>
          <w:szCs w:val="24"/>
          <w:lang w:eastAsia="en-AU"/>
        </w:rPr>
      </w:pPr>
      <w:r w:rsidRPr="006E5E0B">
        <w:rPr>
          <w:rFonts w:ascii="Calibri" w:eastAsia="Times New Roman" w:hAnsi="Calibri" w:cs="Calibri"/>
          <w:color w:val="000000"/>
          <w:szCs w:val="24"/>
          <w:lang w:eastAsia="en-AU"/>
        </w:rPr>
        <w:t>the right to education – Article 13 of the </w:t>
      </w:r>
      <w:r w:rsidRPr="006E5E0B">
        <w:rPr>
          <w:rFonts w:ascii="Calibri" w:eastAsia="Times New Roman" w:hAnsi="Calibri" w:cs="Calibri"/>
          <w:i/>
          <w:iCs/>
          <w:color w:val="000000"/>
          <w:szCs w:val="24"/>
          <w:lang w:eastAsia="en-AU"/>
        </w:rPr>
        <w:t>International Covenant on Economic, Social and Cultural Rights </w:t>
      </w:r>
      <w:r w:rsidRPr="006E5E0B">
        <w:rPr>
          <w:rFonts w:ascii="Calibri" w:eastAsia="Times New Roman" w:hAnsi="Calibri" w:cs="Calibri"/>
          <w:color w:val="000000"/>
          <w:szCs w:val="24"/>
          <w:lang w:eastAsia="en-AU"/>
        </w:rPr>
        <w:t>(ICESCR), and Article 28 of the </w:t>
      </w:r>
      <w:r w:rsidRPr="006E5E0B">
        <w:rPr>
          <w:rFonts w:ascii="Calibri" w:eastAsia="Times New Roman" w:hAnsi="Calibri" w:cs="Calibri"/>
          <w:i/>
          <w:iCs/>
          <w:color w:val="000000"/>
          <w:szCs w:val="24"/>
          <w:lang w:eastAsia="en-AU"/>
        </w:rPr>
        <w:t>Convention on the Rights of the Child </w:t>
      </w:r>
      <w:r w:rsidRPr="006E5E0B">
        <w:rPr>
          <w:rFonts w:ascii="Calibri" w:eastAsia="Times New Roman" w:hAnsi="Calibri" w:cs="Calibri"/>
          <w:color w:val="000000"/>
          <w:szCs w:val="24"/>
          <w:lang w:eastAsia="en-AU"/>
        </w:rPr>
        <w:t>(UNCRC)</w:t>
      </w:r>
      <w:r w:rsidR="00B3381B">
        <w:rPr>
          <w:rFonts w:ascii="Calibri" w:eastAsia="Times New Roman" w:hAnsi="Calibri" w:cs="Calibri"/>
          <w:color w:val="000000"/>
          <w:szCs w:val="24"/>
          <w:lang w:eastAsia="en-AU"/>
        </w:rPr>
        <w:t xml:space="preserve">; </w:t>
      </w:r>
    </w:p>
    <w:p w14:paraId="1E63334E" w14:textId="38D9DF1F" w:rsidR="00B3381B" w:rsidRPr="00B74160" w:rsidRDefault="00B3381B" w:rsidP="003F3802">
      <w:pPr>
        <w:pStyle w:val="ListParagraph"/>
        <w:numPr>
          <w:ilvl w:val="0"/>
          <w:numId w:val="2"/>
        </w:numPr>
        <w:shd w:val="clear" w:color="auto" w:fill="FFFFFF"/>
        <w:spacing w:after="240"/>
        <w:rPr>
          <w:rFonts w:eastAsia="Times New Roman" w:cs="Times New Roman"/>
          <w:color w:val="000000"/>
          <w:szCs w:val="24"/>
          <w:lang w:eastAsia="en-AU"/>
        </w:rPr>
      </w:pPr>
      <w:r>
        <w:rPr>
          <w:rFonts w:ascii="Calibri" w:eastAsia="Times New Roman" w:hAnsi="Calibri" w:cs="Calibri"/>
          <w:color w:val="000000"/>
          <w:szCs w:val="24"/>
          <w:lang w:eastAsia="en-AU"/>
        </w:rPr>
        <w:t>the right to work and right to just and favourable condition of work – Articles 6(1) and 7 of the ICESC</w:t>
      </w:r>
      <w:r w:rsidR="00DB4875">
        <w:rPr>
          <w:rFonts w:ascii="Calibri" w:eastAsia="Times New Roman" w:hAnsi="Calibri" w:cs="Calibri"/>
          <w:color w:val="000000"/>
          <w:szCs w:val="24"/>
          <w:lang w:eastAsia="en-AU"/>
        </w:rPr>
        <w:t>R; and</w:t>
      </w:r>
    </w:p>
    <w:p w14:paraId="5EB3F9DF" w14:textId="77777777" w:rsidR="00171F2F" w:rsidRPr="00805863" w:rsidRDefault="00F95C63" w:rsidP="003F3802">
      <w:pPr>
        <w:pStyle w:val="ListParagraph"/>
        <w:numPr>
          <w:ilvl w:val="0"/>
          <w:numId w:val="2"/>
        </w:numPr>
        <w:shd w:val="clear" w:color="auto" w:fill="FFFFFF"/>
        <w:spacing w:after="240"/>
        <w:rPr>
          <w:rFonts w:eastAsia="Times New Roman" w:cs="Times New Roman"/>
          <w:color w:val="000000"/>
          <w:szCs w:val="24"/>
          <w:lang w:eastAsia="en-AU"/>
        </w:rPr>
      </w:pPr>
      <w:r>
        <w:rPr>
          <w:rFonts w:ascii="Calibri" w:eastAsia="Times New Roman" w:hAnsi="Calibri" w:cs="Calibri"/>
          <w:color w:val="000000"/>
          <w:szCs w:val="24"/>
          <w:lang w:eastAsia="en-AU"/>
        </w:rPr>
        <w:t>the</w:t>
      </w:r>
      <w:r w:rsidR="00171F2F">
        <w:rPr>
          <w:rFonts w:ascii="Calibri" w:eastAsia="Times New Roman" w:hAnsi="Calibri" w:cs="Calibri"/>
          <w:color w:val="000000"/>
          <w:szCs w:val="24"/>
          <w:lang w:eastAsia="en-AU"/>
        </w:rPr>
        <w:t xml:space="preserve"> rights of the child – as contained in the </w:t>
      </w:r>
      <w:r w:rsidR="00DB4875" w:rsidRPr="00B74160">
        <w:rPr>
          <w:rFonts w:ascii="Calibri" w:eastAsia="Times New Roman" w:hAnsi="Calibri" w:cs="Calibri"/>
          <w:color w:val="000000"/>
          <w:szCs w:val="24"/>
          <w:lang w:eastAsia="en-AU"/>
        </w:rPr>
        <w:t>UNCRC</w:t>
      </w:r>
      <w:r w:rsidR="00DB4875">
        <w:rPr>
          <w:rFonts w:ascii="Calibri" w:eastAsia="Times New Roman" w:hAnsi="Calibri" w:cs="Calibri"/>
          <w:color w:val="000000"/>
          <w:szCs w:val="24"/>
          <w:lang w:eastAsia="en-AU"/>
        </w:rPr>
        <w:t>.</w:t>
      </w:r>
    </w:p>
    <w:p w14:paraId="3985C53E" w14:textId="77777777" w:rsidR="00E8671C" w:rsidRPr="006E5E0B" w:rsidRDefault="006E5E0B" w:rsidP="006E5E0B">
      <w:pPr>
        <w:shd w:val="clear" w:color="auto" w:fill="FFFFFF"/>
        <w:spacing w:after="240" w:line="276" w:lineRule="atLeast"/>
        <w:rPr>
          <w:rFonts w:eastAsia="Times New Roman" w:cs="Times New Roman"/>
          <w:color w:val="000000"/>
          <w:szCs w:val="24"/>
          <w:u w:val="single"/>
          <w:lang w:eastAsia="en-AU"/>
        </w:rPr>
      </w:pPr>
      <w:r w:rsidRPr="006E5E0B">
        <w:rPr>
          <w:rFonts w:ascii="Calibri" w:eastAsia="Times New Roman" w:hAnsi="Calibri" w:cs="Calibri"/>
          <w:color w:val="000000"/>
          <w:szCs w:val="24"/>
          <w:u w:val="single"/>
          <w:lang w:eastAsia="en-AU"/>
        </w:rPr>
        <w:t>Right to education</w:t>
      </w:r>
    </w:p>
    <w:p w14:paraId="5BEC9E35" w14:textId="77777777" w:rsidR="006E5E0B" w:rsidRPr="006E5E0B" w:rsidRDefault="006E5E0B" w:rsidP="006E5E0B">
      <w:pPr>
        <w:shd w:val="clear" w:color="auto" w:fill="FFFFFF"/>
        <w:spacing w:after="24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Article 13(1) of the ICESCR recognises each person’s right to education, and that education is important to </w:t>
      </w:r>
      <w:r w:rsidRPr="006E5E0B">
        <w:rPr>
          <w:rFonts w:ascii="Calibri" w:eastAsia="Times New Roman" w:hAnsi="Calibri" w:cs="Calibri"/>
          <w:i/>
          <w:iCs/>
          <w:color w:val="000000"/>
          <w:szCs w:val="24"/>
          <w:lang w:eastAsia="en-AU"/>
        </w:rPr>
        <w:t>“the full development of the human personality”</w:t>
      </w:r>
      <w:r w:rsidRPr="006E5E0B">
        <w:rPr>
          <w:rFonts w:ascii="Calibri" w:eastAsia="Times New Roman" w:hAnsi="Calibri" w:cs="Calibri"/>
          <w:color w:val="000000"/>
          <w:szCs w:val="24"/>
          <w:lang w:eastAsia="en-AU"/>
        </w:rPr>
        <w:t>, and enables </w:t>
      </w:r>
      <w:r w:rsidRPr="006E5E0B">
        <w:rPr>
          <w:rFonts w:ascii="Calibri" w:eastAsia="Times New Roman" w:hAnsi="Calibri" w:cs="Calibri"/>
          <w:i/>
          <w:iCs/>
          <w:color w:val="000000"/>
          <w:szCs w:val="24"/>
          <w:lang w:eastAsia="en-AU"/>
        </w:rPr>
        <w:t>“all persons to participate effectively in a free society, promote understanding, tolerance and friendship among all nations and all racial, ethnic or religious groups”</w:t>
      </w:r>
      <w:r w:rsidRPr="006E5E0B">
        <w:rPr>
          <w:rFonts w:ascii="Calibri" w:eastAsia="Times New Roman" w:hAnsi="Calibri" w:cs="Calibri"/>
          <w:color w:val="000000"/>
          <w:szCs w:val="24"/>
          <w:lang w:eastAsia="en-AU"/>
        </w:rPr>
        <w:t>.</w:t>
      </w:r>
    </w:p>
    <w:p w14:paraId="1F7E4A6C" w14:textId="77777777" w:rsidR="006E5E0B" w:rsidRPr="006E5E0B" w:rsidRDefault="006E5E0B" w:rsidP="006E5E0B">
      <w:pPr>
        <w:shd w:val="clear" w:color="auto" w:fill="FFFFFF"/>
        <w:spacing w:after="24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Similarly, Article 28(1) of the UNCRC recognises the </w:t>
      </w:r>
      <w:r w:rsidRPr="006E5E0B">
        <w:rPr>
          <w:rFonts w:ascii="Calibri" w:eastAsia="Times New Roman" w:hAnsi="Calibri" w:cs="Calibri"/>
          <w:i/>
          <w:iCs/>
          <w:color w:val="000000"/>
          <w:szCs w:val="24"/>
          <w:lang w:eastAsia="en-AU"/>
        </w:rPr>
        <w:t>“right of the child to education, and with a view to achieving this right progressively and on the basis of equal opportunity”</w:t>
      </w:r>
      <w:r w:rsidRPr="006E5E0B">
        <w:rPr>
          <w:rFonts w:ascii="Calibri" w:eastAsia="Times New Roman" w:hAnsi="Calibri" w:cs="Calibri"/>
          <w:color w:val="000000"/>
          <w:szCs w:val="24"/>
          <w:lang w:eastAsia="en-AU"/>
        </w:rPr>
        <w:t>.</w:t>
      </w:r>
    </w:p>
    <w:p w14:paraId="4AF9CBAE" w14:textId="43CB82F3" w:rsidR="006E5E0B" w:rsidRDefault="006E5E0B" w:rsidP="006E5E0B">
      <w:pPr>
        <w:shd w:val="clear" w:color="auto" w:fill="FFFFFF"/>
        <w:spacing w:after="24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 xml:space="preserve">The ESOS Act and the Foundation Program Standards </w:t>
      </w:r>
      <w:r w:rsidRPr="006E5E0B">
        <w:rPr>
          <w:rFonts w:ascii="Calibri" w:hAnsi="Calibri" w:cs="Calibri"/>
          <w:iCs/>
          <w:szCs w:val="24"/>
        </w:rPr>
        <w:t xml:space="preserve">apply to providers in the delivery of Foundation Programs to </w:t>
      </w:r>
      <w:r w:rsidR="00906BC6">
        <w:rPr>
          <w:rFonts w:ascii="Calibri" w:hAnsi="Calibri" w:cs="Calibri"/>
          <w:iCs/>
          <w:szCs w:val="24"/>
        </w:rPr>
        <w:t>overseas</w:t>
      </w:r>
      <w:r w:rsidRPr="006E5E0B">
        <w:rPr>
          <w:rFonts w:ascii="Calibri" w:hAnsi="Calibri" w:cs="Calibri"/>
          <w:iCs/>
          <w:szCs w:val="24"/>
        </w:rPr>
        <w:t xml:space="preserve"> students. </w:t>
      </w:r>
      <w:r w:rsidRPr="006E5E0B">
        <w:rPr>
          <w:rFonts w:ascii="Calibri" w:eastAsia="Times New Roman" w:hAnsi="Calibri" w:cs="Calibri"/>
          <w:color w:val="000000"/>
          <w:szCs w:val="24"/>
          <w:lang w:eastAsia="en-AU"/>
        </w:rPr>
        <w:t>The Foundation Program Standards protect the integrity of Australia’s international education sector by ensuring that providers who provide Foundation Programs to overseas students have an appropriate level of Australian Government regulation and oversight.</w:t>
      </w:r>
    </w:p>
    <w:p w14:paraId="6C079FC2" w14:textId="191A9E0D" w:rsidR="00DB4875" w:rsidRPr="006E5E0B" w:rsidRDefault="00DB4875" w:rsidP="006E5E0B">
      <w:pPr>
        <w:shd w:val="clear" w:color="auto" w:fill="FFFFFF"/>
        <w:spacing w:after="240"/>
        <w:rPr>
          <w:rFonts w:ascii="Calibri" w:eastAsia="Times New Roman" w:hAnsi="Calibri" w:cs="Calibri"/>
          <w:color w:val="000000"/>
          <w:szCs w:val="24"/>
          <w:lang w:eastAsia="en-AU"/>
        </w:rPr>
      </w:pPr>
      <w:r>
        <w:rPr>
          <w:rFonts w:ascii="Calibri" w:eastAsia="Times New Roman" w:hAnsi="Calibri" w:cs="Calibri"/>
          <w:color w:val="000000"/>
          <w:szCs w:val="24"/>
          <w:lang w:eastAsia="en-AU"/>
        </w:rPr>
        <w:t>The Foundation Program Standards may limit the right to education by restricting those who are able to be admitted to a Foundation Program. For example, there is a restriction on admission to Foundation Programs according to a student’s English language proficiency or level of academic achievement. This limitation is proportional and protects both the education sector as a whole and individual students</w:t>
      </w:r>
      <w:r w:rsidR="00523900">
        <w:rPr>
          <w:rFonts w:ascii="Calibri" w:eastAsia="Times New Roman" w:hAnsi="Calibri" w:cs="Calibri"/>
          <w:color w:val="000000"/>
          <w:szCs w:val="24"/>
          <w:lang w:eastAsia="en-AU"/>
        </w:rPr>
        <w:t>,</w:t>
      </w:r>
      <w:r>
        <w:rPr>
          <w:rFonts w:ascii="Calibri" w:eastAsia="Times New Roman" w:hAnsi="Calibri" w:cs="Calibri"/>
          <w:color w:val="000000"/>
          <w:szCs w:val="24"/>
          <w:lang w:eastAsia="en-AU"/>
        </w:rPr>
        <w:t xml:space="preserve"> by ensuring students undertaking an educational program have the necessary </w:t>
      </w:r>
      <w:r w:rsidR="00B345A5">
        <w:rPr>
          <w:rFonts w:ascii="Calibri" w:eastAsia="Times New Roman" w:hAnsi="Calibri" w:cs="Calibri"/>
          <w:color w:val="000000"/>
          <w:szCs w:val="24"/>
          <w:lang w:eastAsia="en-AU"/>
        </w:rPr>
        <w:t>capability</w:t>
      </w:r>
      <w:r>
        <w:rPr>
          <w:rFonts w:ascii="Calibri" w:eastAsia="Times New Roman" w:hAnsi="Calibri" w:cs="Calibri"/>
          <w:color w:val="000000"/>
          <w:szCs w:val="24"/>
          <w:lang w:eastAsia="en-AU"/>
        </w:rPr>
        <w:t xml:space="preserve"> to complete the program.</w:t>
      </w:r>
      <w:r w:rsidR="00AF6D8D">
        <w:rPr>
          <w:rFonts w:ascii="Calibri" w:eastAsia="Times New Roman" w:hAnsi="Calibri" w:cs="Calibri"/>
          <w:color w:val="000000"/>
          <w:szCs w:val="24"/>
          <w:lang w:eastAsia="en-AU"/>
        </w:rPr>
        <w:t xml:space="preserve"> This protects students from investing in programs that are unsuitable for their needs and circumstances.</w:t>
      </w:r>
    </w:p>
    <w:p w14:paraId="7B88D59A" w14:textId="77777777" w:rsidR="006E5E0B" w:rsidRPr="00B3381B" w:rsidRDefault="006E5E0B" w:rsidP="006E5E0B">
      <w:pPr>
        <w:spacing w:before="120" w:after="120"/>
        <w:rPr>
          <w:rFonts w:asciiTheme="minorHAnsi" w:hAnsiTheme="minorHAnsi" w:cstheme="minorHAnsi"/>
          <w:szCs w:val="24"/>
          <w:u w:val="single"/>
        </w:rPr>
      </w:pPr>
      <w:r w:rsidRPr="00B3381B">
        <w:rPr>
          <w:rFonts w:asciiTheme="minorHAnsi" w:hAnsiTheme="minorHAnsi" w:cstheme="minorHAnsi"/>
          <w:szCs w:val="24"/>
          <w:u w:val="single"/>
        </w:rPr>
        <w:t>Right to work and right to just and favourable conditions of work</w:t>
      </w:r>
    </w:p>
    <w:p w14:paraId="4B776629" w14:textId="77777777" w:rsidR="006E5E0B" w:rsidRPr="006E5E0B" w:rsidRDefault="006E5E0B" w:rsidP="006E5E0B">
      <w:pPr>
        <w:spacing w:before="120" w:after="120"/>
        <w:rPr>
          <w:rFonts w:asciiTheme="minorHAnsi" w:hAnsiTheme="minorHAnsi" w:cstheme="minorHAnsi"/>
          <w:szCs w:val="24"/>
        </w:rPr>
      </w:pPr>
      <w:r w:rsidRPr="006E5E0B">
        <w:rPr>
          <w:rFonts w:asciiTheme="minorHAnsi" w:hAnsiTheme="minorHAnsi" w:cstheme="minorHAnsi"/>
          <w:szCs w:val="24"/>
        </w:rPr>
        <w:t xml:space="preserve">The </w:t>
      </w:r>
      <w:r>
        <w:rPr>
          <w:rFonts w:asciiTheme="minorHAnsi" w:hAnsiTheme="minorHAnsi" w:cstheme="minorHAnsi"/>
          <w:szCs w:val="24"/>
        </w:rPr>
        <w:t>Foundation Program Standards also</w:t>
      </w:r>
      <w:r w:rsidRPr="006E5E0B">
        <w:rPr>
          <w:rFonts w:asciiTheme="minorHAnsi" w:hAnsiTheme="minorHAnsi" w:cstheme="minorHAnsi"/>
          <w:szCs w:val="24"/>
        </w:rPr>
        <w:t xml:space="preserve"> engage the right to work and rights at work contained in </w:t>
      </w:r>
      <w:r>
        <w:rPr>
          <w:rFonts w:asciiTheme="minorHAnsi" w:hAnsiTheme="minorHAnsi" w:cstheme="minorHAnsi"/>
          <w:szCs w:val="24"/>
        </w:rPr>
        <w:t>A</w:t>
      </w:r>
      <w:r w:rsidRPr="006E5E0B">
        <w:rPr>
          <w:rFonts w:asciiTheme="minorHAnsi" w:hAnsiTheme="minorHAnsi" w:cstheme="minorHAnsi"/>
          <w:szCs w:val="24"/>
        </w:rPr>
        <w:t>rticles 6(1) and 7 of the ICESCR. Article 6(1) recognises the right to work, which includes the right of everyone to the opportunity to gain their living by work which they freely choose or accept</w:t>
      </w:r>
      <w:r w:rsidR="00B3381B">
        <w:rPr>
          <w:rFonts w:asciiTheme="minorHAnsi" w:hAnsiTheme="minorHAnsi" w:cstheme="minorHAnsi"/>
          <w:szCs w:val="24"/>
        </w:rPr>
        <w:t>,</w:t>
      </w:r>
      <w:r w:rsidRPr="006E5E0B">
        <w:rPr>
          <w:rFonts w:asciiTheme="minorHAnsi" w:hAnsiTheme="minorHAnsi" w:cstheme="minorHAnsi"/>
          <w:szCs w:val="24"/>
        </w:rPr>
        <w:t xml:space="preserve"> and </w:t>
      </w:r>
      <w:r w:rsidR="00B3381B">
        <w:rPr>
          <w:rFonts w:asciiTheme="minorHAnsi" w:hAnsiTheme="minorHAnsi" w:cstheme="minorHAnsi"/>
          <w:szCs w:val="24"/>
        </w:rPr>
        <w:t xml:space="preserve">recognises </w:t>
      </w:r>
      <w:r w:rsidRPr="006E5E0B">
        <w:rPr>
          <w:rFonts w:asciiTheme="minorHAnsi" w:hAnsiTheme="minorHAnsi" w:cstheme="minorHAnsi"/>
          <w:szCs w:val="24"/>
        </w:rPr>
        <w:t>that states will take appropriate steps to safeguard this right. Article 7 recognises the right of everyone to the enjoyment of just and favourable conditions of work, including fair wages, safe and healthy working conditions and equal opportunity for advancement.</w:t>
      </w:r>
    </w:p>
    <w:p w14:paraId="3E971E6B" w14:textId="77777777" w:rsidR="006E5E0B" w:rsidRDefault="006E5E0B" w:rsidP="006E5E0B">
      <w:pPr>
        <w:spacing w:before="120" w:after="120"/>
        <w:rPr>
          <w:rFonts w:asciiTheme="minorHAnsi" w:hAnsiTheme="minorHAnsi" w:cstheme="minorHAnsi"/>
          <w:szCs w:val="24"/>
        </w:rPr>
      </w:pPr>
      <w:r w:rsidRPr="006E5E0B">
        <w:rPr>
          <w:rFonts w:asciiTheme="minorHAnsi" w:hAnsiTheme="minorHAnsi" w:cstheme="minorHAnsi"/>
          <w:szCs w:val="24"/>
        </w:rPr>
        <w:lastRenderedPageBreak/>
        <w:t>The</w:t>
      </w:r>
      <w:r w:rsidR="00B3381B">
        <w:rPr>
          <w:rFonts w:asciiTheme="minorHAnsi" w:hAnsiTheme="minorHAnsi" w:cstheme="minorHAnsi"/>
          <w:szCs w:val="24"/>
        </w:rPr>
        <w:t xml:space="preserve"> Foundation Program Standards promote the right to work and rights at work by</w:t>
      </w:r>
      <w:r w:rsidRPr="006E5E0B">
        <w:rPr>
          <w:rFonts w:asciiTheme="minorHAnsi" w:hAnsiTheme="minorHAnsi" w:cstheme="minorHAnsi"/>
          <w:szCs w:val="24"/>
        </w:rPr>
        <w:t xml:space="preserve"> requir</w:t>
      </w:r>
      <w:r w:rsidR="00B3381B">
        <w:rPr>
          <w:rFonts w:asciiTheme="minorHAnsi" w:hAnsiTheme="minorHAnsi" w:cstheme="minorHAnsi"/>
          <w:szCs w:val="24"/>
        </w:rPr>
        <w:t>ing relevant providers</w:t>
      </w:r>
      <w:r w:rsidRPr="006E5E0B">
        <w:rPr>
          <w:rFonts w:asciiTheme="minorHAnsi" w:hAnsiTheme="minorHAnsi" w:cstheme="minorHAnsi"/>
          <w:szCs w:val="24"/>
        </w:rPr>
        <w:t xml:space="preserve"> to offer learning environments that are safe and promote student wellbeing</w:t>
      </w:r>
      <w:r w:rsidR="00B3381B">
        <w:rPr>
          <w:rFonts w:asciiTheme="minorHAnsi" w:hAnsiTheme="minorHAnsi" w:cstheme="minorHAnsi"/>
          <w:szCs w:val="24"/>
        </w:rPr>
        <w:t>. P</w:t>
      </w:r>
      <w:r w:rsidRPr="006E5E0B">
        <w:rPr>
          <w:rFonts w:asciiTheme="minorHAnsi" w:hAnsiTheme="minorHAnsi" w:cstheme="minorHAnsi"/>
          <w:szCs w:val="24"/>
        </w:rPr>
        <w:t xml:space="preserve">roviders </w:t>
      </w:r>
      <w:r w:rsidR="00B3381B">
        <w:rPr>
          <w:rFonts w:asciiTheme="minorHAnsi" w:hAnsiTheme="minorHAnsi" w:cstheme="minorHAnsi"/>
          <w:szCs w:val="24"/>
        </w:rPr>
        <w:t xml:space="preserve">are required </w:t>
      </w:r>
      <w:r w:rsidRPr="006E5E0B">
        <w:rPr>
          <w:rFonts w:asciiTheme="minorHAnsi" w:hAnsiTheme="minorHAnsi" w:cstheme="minorHAnsi"/>
          <w:szCs w:val="24"/>
        </w:rPr>
        <w:t>to have corporate and academic governance structures and policies that ensure the academic and operational integrity of its activities.</w:t>
      </w:r>
    </w:p>
    <w:p w14:paraId="4676BB73" w14:textId="68543579" w:rsidR="00906BC6" w:rsidRPr="006E5E0B" w:rsidRDefault="00906BC6" w:rsidP="006E5E0B">
      <w:pPr>
        <w:spacing w:before="120" w:after="120"/>
        <w:rPr>
          <w:rFonts w:asciiTheme="minorHAnsi" w:hAnsiTheme="minorHAnsi" w:cstheme="minorHAnsi"/>
          <w:szCs w:val="24"/>
        </w:rPr>
      </w:pPr>
      <w:r>
        <w:rPr>
          <w:rFonts w:asciiTheme="minorHAnsi" w:hAnsiTheme="minorHAnsi" w:cstheme="minorHAnsi"/>
          <w:szCs w:val="24"/>
        </w:rPr>
        <w:t xml:space="preserve">The right to work may be limited by requirements on qualifications and teaching experience for teachers of Foundation Programs. These restrictions are limited and proportional and are </w:t>
      </w:r>
      <w:r w:rsidR="00AC1539">
        <w:rPr>
          <w:rFonts w:asciiTheme="minorHAnsi" w:hAnsiTheme="minorHAnsi" w:cstheme="minorHAnsi"/>
          <w:szCs w:val="24"/>
        </w:rPr>
        <w:t xml:space="preserve">essential </w:t>
      </w:r>
      <w:r>
        <w:rPr>
          <w:rFonts w:asciiTheme="minorHAnsi" w:hAnsiTheme="minorHAnsi" w:cstheme="minorHAnsi"/>
          <w:szCs w:val="24"/>
        </w:rPr>
        <w:t xml:space="preserve">to ensure </w:t>
      </w:r>
      <w:r w:rsidR="00AC1539">
        <w:rPr>
          <w:rFonts w:asciiTheme="minorHAnsi" w:hAnsiTheme="minorHAnsi" w:cstheme="minorHAnsi"/>
          <w:szCs w:val="24"/>
        </w:rPr>
        <w:t>consistency across providers and to maintain</w:t>
      </w:r>
      <w:r>
        <w:rPr>
          <w:rFonts w:asciiTheme="minorHAnsi" w:hAnsiTheme="minorHAnsi" w:cstheme="minorHAnsi"/>
          <w:szCs w:val="24"/>
        </w:rPr>
        <w:t xml:space="preserve"> high quality</w:t>
      </w:r>
      <w:r w:rsidR="00AC1539">
        <w:rPr>
          <w:rFonts w:asciiTheme="minorHAnsi" w:hAnsiTheme="minorHAnsi" w:cstheme="minorHAnsi"/>
          <w:szCs w:val="24"/>
        </w:rPr>
        <w:t xml:space="preserve"> educational standards for F</w:t>
      </w:r>
      <w:r>
        <w:rPr>
          <w:rFonts w:asciiTheme="minorHAnsi" w:hAnsiTheme="minorHAnsi" w:cstheme="minorHAnsi"/>
          <w:szCs w:val="24"/>
        </w:rPr>
        <w:t>oundation Programs</w:t>
      </w:r>
      <w:r w:rsidR="00C84198">
        <w:rPr>
          <w:rFonts w:asciiTheme="minorHAnsi" w:hAnsiTheme="minorHAnsi" w:cstheme="minorHAnsi"/>
          <w:szCs w:val="24"/>
        </w:rPr>
        <w:t>, promoting the students’ right to education.</w:t>
      </w:r>
    </w:p>
    <w:p w14:paraId="5401F6AE" w14:textId="77777777" w:rsidR="00E8671C" w:rsidRDefault="00171F2F" w:rsidP="00DA552F">
      <w:pPr>
        <w:spacing w:before="120" w:after="120"/>
        <w:rPr>
          <w:rFonts w:asciiTheme="minorHAnsi" w:hAnsiTheme="minorHAnsi" w:cstheme="minorHAnsi"/>
          <w:szCs w:val="24"/>
          <w:u w:val="single"/>
        </w:rPr>
      </w:pPr>
      <w:r w:rsidRPr="00B3381B">
        <w:rPr>
          <w:rFonts w:asciiTheme="minorHAnsi" w:hAnsiTheme="minorHAnsi" w:cstheme="minorHAnsi"/>
          <w:szCs w:val="24"/>
          <w:u w:val="single"/>
        </w:rPr>
        <w:t>Right</w:t>
      </w:r>
      <w:r>
        <w:rPr>
          <w:rFonts w:asciiTheme="minorHAnsi" w:hAnsiTheme="minorHAnsi" w:cstheme="minorHAnsi"/>
          <w:szCs w:val="24"/>
          <w:u w:val="single"/>
        </w:rPr>
        <w:t>s</w:t>
      </w:r>
      <w:r w:rsidRPr="00B3381B">
        <w:rPr>
          <w:rFonts w:asciiTheme="minorHAnsi" w:hAnsiTheme="minorHAnsi" w:cstheme="minorHAnsi"/>
          <w:szCs w:val="24"/>
          <w:u w:val="single"/>
        </w:rPr>
        <w:t xml:space="preserve"> </w:t>
      </w:r>
      <w:r>
        <w:rPr>
          <w:rFonts w:asciiTheme="minorHAnsi" w:hAnsiTheme="minorHAnsi" w:cstheme="minorHAnsi"/>
          <w:szCs w:val="24"/>
          <w:u w:val="single"/>
        </w:rPr>
        <w:t>of the child</w:t>
      </w:r>
    </w:p>
    <w:p w14:paraId="6A614B1F" w14:textId="0F1CBE0C" w:rsidR="00843D52" w:rsidRDefault="002925A9" w:rsidP="00DA552F">
      <w:pPr>
        <w:spacing w:before="120" w:after="120"/>
        <w:rPr>
          <w:rFonts w:asciiTheme="minorHAnsi" w:hAnsiTheme="minorHAnsi" w:cstheme="minorHAnsi"/>
          <w:szCs w:val="24"/>
        </w:rPr>
      </w:pPr>
      <w:r>
        <w:rPr>
          <w:rFonts w:asciiTheme="minorHAnsi" w:hAnsiTheme="minorHAnsi" w:cstheme="minorHAnsi"/>
          <w:szCs w:val="24"/>
        </w:rPr>
        <w:t xml:space="preserve">The Foundation Program Standards </w:t>
      </w:r>
      <w:r w:rsidR="00843D52">
        <w:rPr>
          <w:rFonts w:asciiTheme="minorHAnsi" w:hAnsiTheme="minorHAnsi" w:cstheme="minorHAnsi"/>
          <w:szCs w:val="24"/>
        </w:rPr>
        <w:t xml:space="preserve">engage the rights of the child contained in the </w:t>
      </w:r>
      <w:r w:rsidR="006540EF">
        <w:rPr>
          <w:rFonts w:asciiTheme="minorHAnsi" w:hAnsiTheme="minorHAnsi" w:cstheme="minorHAnsi"/>
          <w:szCs w:val="24"/>
        </w:rPr>
        <w:t>UNCRC</w:t>
      </w:r>
      <w:r w:rsidR="00843D52">
        <w:rPr>
          <w:rFonts w:asciiTheme="minorHAnsi" w:hAnsiTheme="minorHAnsi" w:cstheme="minorHAnsi"/>
          <w:szCs w:val="24"/>
        </w:rPr>
        <w:t>, since a significant proportion of students undertaking Foundation Programs are under the age of 18.</w:t>
      </w:r>
      <w:r w:rsidR="00DB4875">
        <w:rPr>
          <w:rFonts w:asciiTheme="minorHAnsi" w:hAnsiTheme="minorHAnsi" w:cstheme="minorHAnsi"/>
          <w:szCs w:val="24"/>
        </w:rPr>
        <w:t xml:space="preserve"> The </w:t>
      </w:r>
      <w:r>
        <w:rPr>
          <w:rFonts w:asciiTheme="minorHAnsi" w:hAnsiTheme="minorHAnsi" w:cstheme="minorHAnsi"/>
          <w:szCs w:val="24"/>
        </w:rPr>
        <w:t>Foundation Program Standards</w:t>
      </w:r>
      <w:r w:rsidR="00DB4875">
        <w:rPr>
          <w:rFonts w:asciiTheme="minorHAnsi" w:hAnsiTheme="minorHAnsi" w:cstheme="minorHAnsi"/>
          <w:szCs w:val="24"/>
        </w:rPr>
        <w:t xml:space="preserve"> </w:t>
      </w:r>
      <w:r w:rsidR="00523900">
        <w:rPr>
          <w:rFonts w:asciiTheme="minorHAnsi" w:hAnsiTheme="minorHAnsi" w:cstheme="minorHAnsi"/>
          <w:szCs w:val="24"/>
        </w:rPr>
        <w:t>are</w:t>
      </w:r>
      <w:r w:rsidR="00DB4875">
        <w:rPr>
          <w:rFonts w:asciiTheme="minorHAnsi" w:hAnsiTheme="minorHAnsi" w:cstheme="minorHAnsi"/>
          <w:szCs w:val="24"/>
        </w:rPr>
        <w:t xml:space="preserve"> compatible with the rights of the child.</w:t>
      </w:r>
    </w:p>
    <w:p w14:paraId="318BE344" w14:textId="39836C4C" w:rsidR="00843D52" w:rsidRDefault="00843D52" w:rsidP="00DA552F">
      <w:pPr>
        <w:spacing w:before="120" w:after="120"/>
        <w:rPr>
          <w:rFonts w:asciiTheme="minorHAnsi" w:hAnsiTheme="minorHAnsi" w:cstheme="minorHAnsi"/>
          <w:szCs w:val="24"/>
        </w:rPr>
      </w:pPr>
      <w:r>
        <w:rPr>
          <w:rFonts w:asciiTheme="minorHAnsi" w:hAnsiTheme="minorHAnsi" w:cstheme="minorHAnsi"/>
          <w:szCs w:val="24"/>
        </w:rPr>
        <w:t xml:space="preserve">In particular, the </w:t>
      </w:r>
      <w:r w:rsidR="00AC1539">
        <w:rPr>
          <w:rFonts w:asciiTheme="minorHAnsi" w:hAnsiTheme="minorHAnsi" w:cstheme="minorHAnsi"/>
          <w:szCs w:val="24"/>
        </w:rPr>
        <w:t xml:space="preserve">Foundation Program </w:t>
      </w:r>
      <w:r>
        <w:rPr>
          <w:rFonts w:asciiTheme="minorHAnsi" w:hAnsiTheme="minorHAnsi" w:cstheme="minorHAnsi"/>
          <w:szCs w:val="24"/>
        </w:rPr>
        <w:t>Standards</w:t>
      </w:r>
      <w:r w:rsidR="00F37FE2">
        <w:rPr>
          <w:rFonts w:asciiTheme="minorHAnsi" w:hAnsiTheme="minorHAnsi" w:cstheme="minorHAnsi"/>
          <w:szCs w:val="24"/>
        </w:rPr>
        <w:t xml:space="preserve"> includ</w:t>
      </w:r>
      <w:r w:rsidR="00DB4875">
        <w:rPr>
          <w:rFonts w:asciiTheme="minorHAnsi" w:hAnsiTheme="minorHAnsi" w:cstheme="minorHAnsi"/>
          <w:szCs w:val="24"/>
        </w:rPr>
        <w:t>e</w:t>
      </w:r>
      <w:r w:rsidR="00F37FE2">
        <w:rPr>
          <w:rFonts w:asciiTheme="minorHAnsi" w:hAnsiTheme="minorHAnsi" w:cstheme="minorHAnsi"/>
          <w:szCs w:val="24"/>
        </w:rPr>
        <w:t xml:space="preserve"> additional requirements on providers for students under the age of 18, including requiring providers to adhere to </w:t>
      </w:r>
      <w:r w:rsidR="00AC1539">
        <w:rPr>
          <w:rFonts w:asciiTheme="minorHAnsi" w:hAnsiTheme="minorHAnsi" w:cstheme="minorHAnsi"/>
          <w:szCs w:val="24"/>
        </w:rPr>
        <w:t>applicable</w:t>
      </w:r>
      <w:r w:rsidR="00F37FE2">
        <w:rPr>
          <w:rFonts w:asciiTheme="minorHAnsi" w:hAnsiTheme="minorHAnsi" w:cstheme="minorHAnsi"/>
          <w:szCs w:val="24"/>
        </w:rPr>
        <w:t xml:space="preserve"> child and young person protection legislation in their state or territory jurisdiction, and comply with the Commonwealth </w:t>
      </w:r>
      <w:r w:rsidR="00AC1539" w:rsidRPr="00523900">
        <w:rPr>
          <w:rFonts w:asciiTheme="minorHAnsi" w:hAnsiTheme="minorHAnsi" w:cstheme="minorHAnsi"/>
          <w:szCs w:val="24"/>
        </w:rPr>
        <w:t>child protection legislation and child safety requirements</w:t>
      </w:r>
      <w:r w:rsidR="002925A9" w:rsidRPr="00523900">
        <w:rPr>
          <w:rFonts w:asciiTheme="minorHAnsi" w:hAnsiTheme="minorHAnsi" w:cstheme="minorHAnsi"/>
          <w:szCs w:val="24"/>
        </w:rPr>
        <w:t>.</w:t>
      </w:r>
      <w:r w:rsidR="00AC1539">
        <w:rPr>
          <w:rFonts w:asciiTheme="minorHAnsi" w:hAnsiTheme="minorHAnsi" w:cstheme="minorHAnsi"/>
          <w:szCs w:val="24"/>
        </w:rPr>
        <w:t xml:space="preserve"> </w:t>
      </w:r>
      <w:r w:rsidR="00F37FE2">
        <w:rPr>
          <w:rFonts w:asciiTheme="minorHAnsi" w:hAnsiTheme="minorHAnsi" w:cstheme="minorHAnsi"/>
          <w:szCs w:val="24"/>
        </w:rPr>
        <w:t xml:space="preserve">The </w:t>
      </w:r>
      <w:r w:rsidR="00AC1539">
        <w:rPr>
          <w:rFonts w:asciiTheme="minorHAnsi" w:hAnsiTheme="minorHAnsi" w:cstheme="minorHAnsi"/>
          <w:szCs w:val="24"/>
        </w:rPr>
        <w:t xml:space="preserve">Foundation Program </w:t>
      </w:r>
      <w:r w:rsidR="00F37FE2">
        <w:rPr>
          <w:rFonts w:asciiTheme="minorHAnsi" w:hAnsiTheme="minorHAnsi" w:cstheme="minorHAnsi"/>
          <w:szCs w:val="24"/>
        </w:rPr>
        <w:t xml:space="preserve">Standards require Foundation Programs </w:t>
      </w:r>
      <w:r w:rsidR="00523900">
        <w:rPr>
          <w:rFonts w:asciiTheme="minorHAnsi" w:hAnsiTheme="minorHAnsi" w:cstheme="minorHAnsi"/>
          <w:szCs w:val="24"/>
        </w:rPr>
        <w:t>to be</w:t>
      </w:r>
      <w:r w:rsidR="00F37FE2">
        <w:rPr>
          <w:rFonts w:asciiTheme="minorHAnsi" w:hAnsiTheme="minorHAnsi" w:cstheme="minorHAnsi"/>
          <w:szCs w:val="24"/>
        </w:rPr>
        <w:t xml:space="preserve"> appropriate to the age of the students, where the student is under the age of 18</w:t>
      </w:r>
      <w:r w:rsidR="00DB4875">
        <w:rPr>
          <w:rFonts w:asciiTheme="minorHAnsi" w:hAnsiTheme="minorHAnsi" w:cstheme="minorHAnsi"/>
          <w:szCs w:val="24"/>
        </w:rPr>
        <w:t xml:space="preserve">, for example </w:t>
      </w:r>
      <w:r w:rsidR="00F37FE2">
        <w:rPr>
          <w:rFonts w:asciiTheme="minorHAnsi" w:hAnsiTheme="minorHAnsi" w:cstheme="minorHAnsi"/>
          <w:szCs w:val="24"/>
        </w:rPr>
        <w:t>ensur</w:t>
      </w:r>
      <w:r w:rsidR="00DB4875">
        <w:rPr>
          <w:rFonts w:asciiTheme="minorHAnsi" w:hAnsiTheme="minorHAnsi" w:cstheme="minorHAnsi"/>
          <w:szCs w:val="24"/>
        </w:rPr>
        <w:t>ing</w:t>
      </w:r>
      <w:r w:rsidR="00F37FE2">
        <w:rPr>
          <w:rFonts w:asciiTheme="minorHAnsi" w:hAnsiTheme="minorHAnsi" w:cstheme="minorHAnsi"/>
          <w:szCs w:val="24"/>
        </w:rPr>
        <w:t xml:space="preserve"> facilities, processes and </w:t>
      </w:r>
      <w:r w:rsidR="00DB4875">
        <w:rPr>
          <w:rFonts w:asciiTheme="minorHAnsi" w:hAnsiTheme="minorHAnsi" w:cstheme="minorHAnsi"/>
          <w:szCs w:val="24"/>
        </w:rPr>
        <w:t xml:space="preserve">teaching are appropriate for younger students. </w:t>
      </w:r>
    </w:p>
    <w:p w14:paraId="5E9A7CF8" w14:textId="77777777" w:rsidR="00DB4875" w:rsidRDefault="00DB4875" w:rsidP="00DA552F">
      <w:pPr>
        <w:spacing w:before="120" w:after="120"/>
        <w:rPr>
          <w:rFonts w:asciiTheme="minorHAnsi" w:hAnsiTheme="minorHAnsi" w:cstheme="minorHAnsi"/>
          <w:szCs w:val="24"/>
        </w:rPr>
      </w:pPr>
      <w:r>
        <w:rPr>
          <w:rFonts w:asciiTheme="minorHAnsi" w:hAnsiTheme="minorHAnsi" w:cstheme="minorHAnsi"/>
          <w:szCs w:val="24"/>
        </w:rPr>
        <w:t>This aims to ensure the welfare, safety, and educational experience of students under the age of 18.</w:t>
      </w:r>
    </w:p>
    <w:p w14:paraId="45B5A6AE"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0B1F35E4" w14:textId="7E5A8063" w:rsidR="003E6EB5" w:rsidRPr="008134D5" w:rsidRDefault="003E6EB5" w:rsidP="003E6EB5">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w:t>
      </w:r>
      <w:r w:rsidRPr="00DB4875">
        <w:rPr>
          <w:rFonts w:asciiTheme="minorHAnsi" w:hAnsiTheme="minorHAnsi" w:cstheme="minorHAnsi"/>
          <w:szCs w:val="24"/>
        </w:rPr>
        <w:t>because</w:t>
      </w:r>
      <w:r>
        <w:rPr>
          <w:rFonts w:asciiTheme="minorHAnsi" w:hAnsiTheme="minorHAnsi" w:cstheme="minorHAnsi"/>
          <w:szCs w:val="24"/>
        </w:rPr>
        <w:t xml:space="preserve"> it promotes the right to education by protecting students, including younger students, and the investment they make in their education. It promotes students’ capacity to engage further in their education by increasing their skills. In turn, increased access to </w:t>
      </w:r>
      <w:r w:rsidRPr="003E6EB5">
        <w:rPr>
          <w:rFonts w:asciiTheme="minorHAnsi" w:hAnsiTheme="minorHAnsi" w:cstheme="minorHAnsi"/>
          <w:szCs w:val="24"/>
        </w:rPr>
        <w:t>education promotes the right to work by increasing students’ capacity and ability to engage in employment. To the extent that the Standards may limit human rights, such as excluding unqualified teachers from delivering Foundation courses, those limitations are reasonable, necessary and proportionate.</w:t>
      </w:r>
      <w:r w:rsidRPr="008134D5">
        <w:rPr>
          <w:rFonts w:asciiTheme="minorHAnsi" w:hAnsiTheme="minorHAnsi" w:cstheme="minorHAnsi"/>
          <w:szCs w:val="24"/>
        </w:rPr>
        <w:t xml:space="preserve"> </w:t>
      </w:r>
    </w:p>
    <w:p w14:paraId="00A40566" w14:textId="77777777"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Minister for</w:t>
      </w:r>
      <w:r w:rsidR="006E5E0B">
        <w:rPr>
          <w:rFonts w:asciiTheme="minorHAnsi" w:hAnsiTheme="minorHAnsi" w:cstheme="minorHAnsi"/>
          <w:b/>
          <w:szCs w:val="24"/>
        </w:rPr>
        <w:t xml:space="preserve"> Education and Youth</w:t>
      </w:r>
    </w:p>
    <w:p w14:paraId="2F6FD579"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2C40DCDC" w14:textId="77777777" w:rsidR="00523900" w:rsidRPr="001E52EB" w:rsidRDefault="00523900" w:rsidP="00523900">
      <w:pPr>
        <w:jc w:val="center"/>
        <w:rPr>
          <w:rFonts w:asciiTheme="minorHAnsi" w:hAnsiTheme="minorHAnsi" w:cstheme="minorHAnsi"/>
          <w:b/>
          <w:szCs w:val="24"/>
          <w:highlight w:val="yellow"/>
        </w:rPr>
      </w:pPr>
      <w:r w:rsidRPr="002D7A08">
        <w:rPr>
          <w:rFonts w:asciiTheme="minorHAnsi" w:hAnsiTheme="minorHAnsi" w:cstheme="minorHAnsi"/>
          <w:b/>
          <w:szCs w:val="24"/>
        </w:rPr>
        <w:t>Education Services for Overseas Students (Foundation Program Standards) Instrument</w:t>
      </w:r>
      <w:r>
        <w:rPr>
          <w:rFonts w:asciiTheme="minorHAnsi" w:hAnsiTheme="minorHAnsi" w:cstheme="minorHAnsi"/>
          <w:b/>
          <w:szCs w:val="24"/>
        </w:rPr>
        <w:t> </w:t>
      </w:r>
      <w:r w:rsidRPr="002D7A08">
        <w:rPr>
          <w:rFonts w:asciiTheme="minorHAnsi" w:hAnsiTheme="minorHAnsi" w:cstheme="minorHAnsi"/>
          <w:b/>
          <w:szCs w:val="24"/>
        </w:rPr>
        <w:t>2021</w:t>
      </w:r>
    </w:p>
    <w:p w14:paraId="4F65A4CF" w14:textId="77777777" w:rsidR="00523900" w:rsidRPr="008134D5" w:rsidRDefault="00523900" w:rsidP="00523900">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09707E95" w14:textId="77777777" w:rsidR="00523900" w:rsidRPr="00A207D9" w:rsidRDefault="00523900" w:rsidP="00523900">
      <w:pPr>
        <w:keepNext/>
        <w:rPr>
          <w:rFonts w:asciiTheme="minorHAnsi" w:hAnsiTheme="minorHAnsi" w:cstheme="minorHAnsi"/>
          <w:b/>
        </w:rPr>
      </w:pPr>
      <w:bookmarkStart w:id="5" w:name="_Hlk80613890"/>
      <w:r w:rsidRPr="00A207D9">
        <w:rPr>
          <w:rFonts w:asciiTheme="minorHAnsi" w:hAnsiTheme="minorHAnsi" w:cstheme="minorHAnsi"/>
          <w:b/>
        </w:rPr>
        <w:t>PART 1—PRELIMINARY</w:t>
      </w:r>
    </w:p>
    <w:bookmarkEnd w:id="5"/>
    <w:p w14:paraId="3BB4C464" w14:textId="77777777" w:rsidR="00523900" w:rsidRPr="008134D5" w:rsidRDefault="00523900" w:rsidP="00523900">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20DEF4E4" w14:textId="10EADB28" w:rsidR="00523900" w:rsidRPr="00EF4ACB" w:rsidRDefault="00523900" w:rsidP="003F3802">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6540EF">
        <w:rPr>
          <w:rFonts w:asciiTheme="minorHAnsi" w:hAnsiTheme="minorHAnsi" w:cstheme="minorHAnsi"/>
          <w:szCs w:val="24"/>
        </w:rPr>
        <w:t>section specifies</w:t>
      </w:r>
      <w:r w:rsidRPr="00EF4ACB">
        <w:rPr>
          <w:rFonts w:asciiTheme="minorHAnsi" w:hAnsiTheme="minorHAnsi" w:cstheme="minorHAnsi"/>
          <w:szCs w:val="24"/>
        </w:rPr>
        <w:t xml:space="preserve"> the name of the instrument</w:t>
      </w:r>
      <w:r w:rsidR="00213BF3">
        <w:rPr>
          <w:rFonts w:asciiTheme="minorHAnsi" w:hAnsiTheme="minorHAnsi" w:cstheme="minorHAnsi"/>
          <w:szCs w:val="24"/>
        </w:rPr>
        <w:t xml:space="preserve"> as the </w:t>
      </w:r>
      <w:r w:rsidR="00213BF3">
        <w:rPr>
          <w:rFonts w:asciiTheme="minorHAnsi" w:hAnsiTheme="minorHAnsi" w:cstheme="minorHAnsi"/>
          <w:i/>
          <w:iCs/>
          <w:szCs w:val="24"/>
        </w:rPr>
        <w:t xml:space="preserve">Education Services for Overseas Students (Foundation Program Standards) Instrument 2021 </w:t>
      </w:r>
      <w:r w:rsidR="00213BF3">
        <w:rPr>
          <w:rFonts w:asciiTheme="minorHAnsi" w:hAnsiTheme="minorHAnsi" w:cstheme="minorHAnsi"/>
          <w:szCs w:val="24"/>
        </w:rPr>
        <w:t>(Foundation Program Standards).</w:t>
      </w:r>
    </w:p>
    <w:p w14:paraId="24658A06" w14:textId="77777777" w:rsidR="00523900" w:rsidRPr="008134D5" w:rsidRDefault="00523900" w:rsidP="00523900">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666CCEAF" w14:textId="77777777" w:rsidR="00523900" w:rsidRPr="001A53F9" w:rsidRDefault="00523900" w:rsidP="003F3802">
      <w:pPr>
        <w:pStyle w:val="ListParagraph"/>
        <w:keepNext/>
        <w:numPr>
          <w:ilvl w:val="0"/>
          <w:numId w:val="1"/>
        </w:numPr>
        <w:spacing w:before="360" w:after="120"/>
        <w:rPr>
          <w:rFonts w:asciiTheme="minorHAnsi" w:hAnsiTheme="minorHAnsi" w:cstheme="minorHAnsi"/>
          <w:i/>
        </w:rPr>
      </w:pPr>
      <w:r w:rsidRPr="001A53F9">
        <w:rPr>
          <w:rFonts w:asciiTheme="minorHAnsi" w:hAnsiTheme="minorHAnsi" w:cstheme="minorHAnsi"/>
          <w:iCs/>
        </w:rPr>
        <w:t xml:space="preserve">This section specifies that the </w:t>
      </w:r>
      <w:r>
        <w:rPr>
          <w:rFonts w:asciiTheme="minorHAnsi" w:hAnsiTheme="minorHAnsi" w:cstheme="minorHAnsi"/>
          <w:iCs/>
        </w:rPr>
        <w:t>Foundation Program Standards</w:t>
      </w:r>
      <w:r w:rsidRPr="001A53F9">
        <w:rPr>
          <w:rFonts w:asciiTheme="minorHAnsi" w:hAnsiTheme="minorHAnsi" w:cstheme="minorHAnsi"/>
          <w:iCs/>
        </w:rPr>
        <w:t xml:space="preserve"> commence on the day after </w:t>
      </w:r>
      <w:r>
        <w:rPr>
          <w:rFonts w:asciiTheme="minorHAnsi" w:hAnsiTheme="minorHAnsi" w:cstheme="minorHAnsi"/>
          <w:iCs/>
        </w:rPr>
        <w:t>registration on the Federal Register of Legislation</w:t>
      </w:r>
      <w:r w:rsidRPr="001A53F9">
        <w:rPr>
          <w:rFonts w:asciiTheme="minorHAnsi" w:hAnsiTheme="minorHAnsi" w:cstheme="minorHAnsi"/>
          <w:iCs/>
        </w:rPr>
        <w:t xml:space="preserve">. </w:t>
      </w:r>
    </w:p>
    <w:p w14:paraId="77420CDA" w14:textId="77777777" w:rsidR="00523900" w:rsidRPr="00E631F9" w:rsidRDefault="00523900" w:rsidP="00523900">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3BF3FC02" w14:textId="78E041EE" w:rsidR="00523900" w:rsidRPr="001A53F9" w:rsidRDefault="00523900" w:rsidP="003F3802">
      <w:pPr>
        <w:pStyle w:val="ListParagraph"/>
        <w:keepNext/>
        <w:numPr>
          <w:ilvl w:val="0"/>
          <w:numId w:val="1"/>
        </w:numPr>
        <w:spacing w:before="360" w:after="120"/>
        <w:rPr>
          <w:rFonts w:asciiTheme="minorHAnsi" w:hAnsiTheme="minorHAnsi" w:cstheme="minorHAnsi"/>
          <w:iCs/>
        </w:rPr>
      </w:pPr>
      <w:r w:rsidRPr="001A53F9">
        <w:rPr>
          <w:rFonts w:asciiTheme="minorHAnsi" w:hAnsiTheme="minorHAnsi" w:cstheme="minorHAnsi"/>
          <w:iCs/>
        </w:rPr>
        <w:t xml:space="preserve">The Foundation Program Standards are made by the Minister under section 176C of the </w:t>
      </w:r>
      <w:r w:rsidRPr="006540EF">
        <w:rPr>
          <w:rFonts w:asciiTheme="minorHAnsi" w:hAnsiTheme="minorHAnsi" w:cstheme="minorHAnsi"/>
          <w:i/>
        </w:rPr>
        <w:t>Education Services for Overseas Students Act 2000</w:t>
      </w:r>
      <w:r w:rsidRPr="001A53F9">
        <w:rPr>
          <w:rFonts w:asciiTheme="minorHAnsi" w:hAnsiTheme="minorHAnsi" w:cstheme="minorHAnsi"/>
          <w:iCs/>
        </w:rPr>
        <w:t xml:space="preserve"> (ESOS Act). </w:t>
      </w:r>
    </w:p>
    <w:p w14:paraId="1A17B976" w14:textId="77777777" w:rsidR="00523900" w:rsidRDefault="00523900" w:rsidP="00523900">
      <w:pPr>
        <w:keepNext/>
        <w:spacing w:before="360" w:after="120"/>
        <w:rPr>
          <w:rFonts w:asciiTheme="minorHAnsi" w:hAnsiTheme="minorHAnsi" w:cstheme="minorHAnsi"/>
          <w:b/>
          <w:u w:val="single"/>
        </w:rPr>
      </w:pPr>
      <w:r>
        <w:rPr>
          <w:rFonts w:asciiTheme="minorHAnsi" w:hAnsiTheme="minorHAnsi" w:cstheme="minorHAnsi"/>
          <w:b/>
          <w:u w:val="single"/>
        </w:rPr>
        <w:t>Section 4: Schedules</w:t>
      </w:r>
    </w:p>
    <w:p w14:paraId="1B32AA74" w14:textId="7B647ACD" w:rsidR="00523900" w:rsidRPr="001A53F9" w:rsidRDefault="00523900" w:rsidP="003F380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simply clarifies that the Schedules are effective </w:t>
      </w:r>
      <w:r w:rsidR="006540EF">
        <w:rPr>
          <w:rFonts w:asciiTheme="minorHAnsi" w:hAnsiTheme="minorHAnsi" w:cstheme="minorHAnsi"/>
          <w:iCs/>
          <w:szCs w:val="24"/>
        </w:rPr>
        <w:t>on their terms (that is, to impose savings and transitional provisions and to repeal the old Foundation Program Standards).</w:t>
      </w:r>
      <w:r>
        <w:rPr>
          <w:rFonts w:asciiTheme="minorHAnsi" w:hAnsiTheme="minorHAnsi" w:cstheme="minorHAnsi"/>
          <w:iCs/>
          <w:szCs w:val="24"/>
        </w:rPr>
        <w:t xml:space="preserve"> </w:t>
      </w:r>
    </w:p>
    <w:p w14:paraId="01C1DBAB" w14:textId="77777777" w:rsidR="00523900" w:rsidRDefault="00523900" w:rsidP="00523900">
      <w:pPr>
        <w:keepNext/>
        <w:spacing w:before="360" w:after="120"/>
        <w:rPr>
          <w:rFonts w:asciiTheme="minorHAnsi" w:hAnsiTheme="minorHAnsi" w:cstheme="minorHAnsi"/>
          <w:b/>
          <w:u w:val="single"/>
        </w:rPr>
      </w:pPr>
      <w:r w:rsidRPr="001A53F9">
        <w:rPr>
          <w:rFonts w:asciiTheme="minorHAnsi" w:hAnsiTheme="minorHAnsi" w:cstheme="minorHAnsi"/>
          <w:b/>
          <w:u w:val="single"/>
        </w:rPr>
        <w:t xml:space="preserve">Section 5: </w:t>
      </w:r>
      <w:r>
        <w:rPr>
          <w:rFonts w:asciiTheme="minorHAnsi" w:hAnsiTheme="minorHAnsi" w:cstheme="minorHAnsi"/>
          <w:b/>
          <w:u w:val="single"/>
        </w:rPr>
        <w:t>Outline</w:t>
      </w:r>
    </w:p>
    <w:p w14:paraId="0514D317" w14:textId="77777777" w:rsidR="00523900" w:rsidRPr="001A53F9" w:rsidRDefault="00523900" w:rsidP="003F380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This section makes clear that the standards set out in the instrument are the Foundation Program Standards for the purposes of subsection 176C(1) of the ESOS Act.</w:t>
      </w:r>
    </w:p>
    <w:p w14:paraId="0AF2D408" w14:textId="77777777" w:rsidR="00523900" w:rsidRPr="00E631F9" w:rsidRDefault="00523900" w:rsidP="00523900">
      <w:pPr>
        <w:keepNext/>
        <w:spacing w:before="360" w:after="120"/>
        <w:rPr>
          <w:rFonts w:asciiTheme="minorHAnsi" w:hAnsiTheme="minorHAnsi" w:cstheme="minorHAnsi"/>
        </w:rPr>
      </w:pPr>
      <w:r>
        <w:rPr>
          <w:rFonts w:asciiTheme="minorHAnsi" w:hAnsiTheme="minorHAnsi" w:cstheme="minorHAnsi"/>
          <w:b/>
          <w:u w:val="single"/>
        </w:rPr>
        <w:t>Section 6: Application to providers</w:t>
      </w:r>
    </w:p>
    <w:p w14:paraId="20BCE3A2" w14:textId="35496676" w:rsidR="00523900" w:rsidRDefault="004F5405" w:rsidP="003F380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w:t>
      </w:r>
      <w:r w:rsidR="00523900">
        <w:rPr>
          <w:rFonts w:asciiTheme="minorHAnsi" w:hAnsiTheme="minorHAnsi" w:cstheme="minorHAnsi"/>
          <w:iCs/>
          <w:szCs w:val="24"/>
        </w:rPr>
        <w:t>his section specifies when the Foundation Program Standards apply to a provider.</w:t>
      </w:r>
    </w:p>
    <w:p w14:paraId="097572EF" w14:textId="1A5362BB" w:rsidR="00523900" w:rsidRPr="001A53F9" w:rsidRDefault="00D32803" w:rsidP="003F380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Subsection (1) </w:t>
      </w:r>
      <w:r w:rsidR="006540EF">
        <w:rPr>
          <w:rFonts w:asciiTheme="minorHAnsi" w:hAnsiTheme="minorHAnsi" w:cstheme="minorHAnsi"/>
          <w:iCs/>
          <w:szCs w:val="24"/>
        </w:rPr>
        <w:t>states that the standards apply</w:t>
      </w:r>
      <w:r w:rsidR="00523900">
        <w:rPr>
          <w:rFonts w:asciiTheme="minorHAnsi" w:hAnsiTheme="minorHAnsi" w:cstheme="minorHAnsi"/>
          <w:iCs/>
          <w:szCs w:val="24"/>
        </w:rPr>
        <w:t xml:space="preserve"> to a provider in the delivery of a Foundation Program</w:t>
      </w:r>
      <w:r w:rsidR="007B0A9E">
        <w:rPr>
          <w:rFonts w:asciiTheme="minorHAnsi" w:hAnsiTheme="minorHAnsi" w:cstheme="minorHAnsi"/>
          <w:iCs/>
          <w:szCs w:val="24"/>
        </w:rPr>
        <w:t>,</w:t>
      </w:r>
      <w:r w:rsidR="00523900">
        <w:rPr>
          <w:rFonts w:asciiTheme="minorHAnsi" w:hAnsiTheme="minorHAnsi" w:cstheme="minorHAnsi"/>
          <w:iCs/>
          <w:szCs w:val="24"/>
        </w:rPr>
        <w:t xml:space="preserve"> regardless of whether the program is delivered in Australia or overseas. Where a provider has an arrangement with a third party to deliver any part of a Foundation Program, the standards still apply to the provider in the provision of that part of the program. A provider cannot avoid the application of the standards by entering an arrangement with a party </w:t>
      </w:r>
      <w:r w:rsidR="00046C9B">
        <w:rPr>
          <w:rFonts w:asciiTheme="minorHAnsi" w:hAnsiTheme="minorHAnsi" w:cstheme="minorHAnsi"/>
          <w:iCs/>
          <w:szCs w:val="24"/>
        </w:rPr>
        <w:t>two whom the standards would not directly apply.</w:t>
      </w:r>
    </w:p>
    <w:p w14:paraId="56782238" w14:textId="77777777" w:rsidR="00213BF3" w:rsidRDefault="00523900" w:rsidP="00213BF3">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Subsection (2) </w:t>
      </w:r>
      <w:r w:rsidR="00213BF3">
        <w:rPr>
          <w:rFonts w:asciiTheme="minorHAnsi" w:hAnsiTheme="minorHAnsi" w:cstheme="minorHAnsi"/>
          <w:iCs/>
          <w:szCs w:val="24"/>
        </w:rPr>
        <w:t>provides for certain exemptions to the application of the standards to providers. The standards do not apply to provider if the course or program is a:</w:t>
      </w:r>
    </w:p>
    <w:p w14:paraId="59C596AF" w14:textId="77777777" w:rsidR="00213BF3" w:rsidRDefault="00213BF3" w:rsidP="00213BF3">
      <w:pPr>
        <w:pStyle w:val="ListParagraph"/>
        <w:numPr>
          <w:ilvl w:val="0"/>
          <w:numId w:val="7"/>
        </w:numPr>
        <w:spacing w:before="360" w:after="120"/>
        <w:rPr>
          <w:rFonts w:asciiTheme="minorHAnsi" w:hAnsiTheme="minorHAnsi" w:cstheme="minorHAnsi"/>
          <w:iCs/>
          <w:szCs w:val="24"/>
        </w:rPr>
      </w:pPr>
      <w:r w:rsidRPr="0007502B">
        <w:rPr>
          <w:rFonts w:asciiTheme="minorHAnsi" w:hAnsiTheme="minorHAnsi" w:cstheme="minorHAnsi"/>
          <w:iCs/>
          <w:szCs w:val="24"/>
        </w:rPr>
        <w:t xml:space="preserve">course of education at a level that, under section 15 of the </w:t>
      </w:r>
      <w:r w:rsidRPr="0007502B">
        <w:rPr>
          <w:rFonts w:asciiTheme="minorHAnsi" w:hAnsiTheme="minorHAnsi" w:cstheme="minorHAnsi"/>
          <w:i/>
          <w:szCs w:val="24"/>
        </w:rPr>
        <w:t>Australian Education Act 2013</w:t>
      </w:r>
      <w:r w:rsidRPr="0007502B">
        <w:rPr>
          <w:rFonts w:asciiTheme="minorHAnsi" w:hAnsiTheme="minorHAnsi" w:cstheme="minorHAnsi"/>
          <w:iCs/>
          <w:szCs w:val="24"/>
        </w:rPr>
        <w:t>, constitutes primary education or secondary education</w:t>
      </w:r>
      <w:r>
        <w:rPr>
          <w:rFonts w:asciiTheme="minorHAnsi" w:hAnsiTheme="minorHAnsi" w:cstheme="minorHAnsi"/>
          <w:iCs/>
          <w:szCs w:val="24"/>
        </w:rPr>
        <w:t>;</w:t>
      </w:r>
    </w:p>
    <w:p w14:paraId="0C329756" w14:textId="77777777" w:rsidR="00213BF3" w:rsidRDefault="00213BF3" w:rsidP="00213BF3">
      <w:pPr>
        <w:pStyle w:val="ListParagraph"/>
        <w:numPr>
          <w:ilvl w:val="0"/>
          <w:numId w:val="7"/>
        </w:numPr>
        <w:spacing w:before="360" w:after="120"/>
        <w:rPr>
          <w:rFonts w:asciiTheme="minorHAnsi" w:hAnsiTheme="minorHAnsi" w:cstheme="minorHAnsi"/>
          <w:iCs/>
          <w:szCs w:val="24"/>
        </w:rPr>
      </w:pPr>
      <w:r w:rsidRPr="0007502B">
        <w:rPr>
          <w:rFonts w:asciiTheme="minorHAnsi" w:hAnsiTheme="minorHAnsi" w:cstheme="minorHAnsi"/>
          <w:iCs/>
          <w:szCs w:val="24"/>
        </w:rPr>
        <w:t>an ELICOS</w:t>
      </w:r>
      <w:r>
        <w:rPr>
          <w:rFonts w:asciiTheme="minorHAnsi" w:hAnsiTheme="minorHAnsi" w:cstheme="minorHAnsi"/>
          <w:iCs/>
          <w:szCs w:val="24"/>
        </w:rPr>
        <w:t>;</w:t>
      </w:r>
      <w:r w:rsidRPr="0007502B">
        <w:rPr>
          <w:rFonts w:asciiTheme="minorHAnsi" w:hAnsiTheme="minorHAnsi" w:cstheme="minorHAnsi"/>
          <w:iCs/>
          <w:szCs w:val="24"/>
        </w:rPr>
        <w:t xml:space="preserve"> </w:t>
      </w:r>
    </w:p>
    <w:p w14:paraId="0BE476F7" w14:textId="77777777" w:rsidR="00213BF3" w:rsidRDefault="00213BF3" w:rsidP="00213BF3">
      <w:pPr>
        <w:pStyle w:val="ListParagraph"/>
        <w:numPr>
          <w:ilvl w:val="0"/>
          <w:numId w:val="7"/>
        </w:numPr>
        <w:spacing w:before="360" w:after="120"/>
        <w:rPr>
          <w:rFonts w:asciiTheme="minorHAnsi" w:hAnsiTheme="minorHAnsi" w:cstheme="minorHAnsi"/>
          <w:iCs/>
          <w:szCs w:val="24"/>
        </w:rPr>
      </w:pPr>
      <w:r w:rsidRPr="0007502B">
        <w:rPr>
          <w:rFonts w:asciiTheme="minorHAnsi" w:hAnsiTheme="minorHAnsi" w:cstheme="minorHAnsi"/>
          <w:iCs/>
          <w:szCs w:val="24"/>
        </w:rPr>
        <w:t>a course which leads to a qualification recognised under the Australian Qualifications Framework (AQF)</w:t>
      </w:r>
      <w:r>
        <w:rPr>
          <w:rFonts w:asciiTheme="minorHAnsi" w:hAnsiTheme="minorHAnsi" w:cstheme="minorHAnsi"/>
          <w:iCs/>
          <w:szCs w:val="24"/>
        </w:rPr>
        <w:t>;</w:t>
      </w:r>
      <w:r w:rsidRPr="0007502B">
        <w:rPr>
          <w:rFonts w:asciiTheme="minorHAnsi" w:hAnsiTheme="minorHAnsi" w:cstheme="minorHAnsi"/>
          <w:iCs/>
          <w:szCs w:val="24"/>
        </w:rPr>
        <w:t xml:space="preserve"> or </w:t>
      </w:r>
    </w:p>
    <w:p w14:paraId="79C6E66E" w14:textId="3AFEFEEA" w:rsidR="00523900" w:rsidRPr="00213BF3" w:rsidRDefault="00213BF3" w:rsidP="00213BF3">
      <w:pPr>
        <w:pStyle w:val="ListParagraph"/>
        <w:numPr>
          <w:ilvl w:val="0"/>
          <w:numId w:val="7"/>
        </w:numPr>
        <w:spacing w:before="360" w:after="120"/>
        <w:rPr>
          <w:rFonts w:asciiTheme="minorHAnsi" w:hAnsiTheme="minorHAnsi" w:cstheme="minorHAnsi"/>
          <w:iCs/>
          <w:szCs w:val="24"/>
        </w:rPr>
      </w:pPr>
      <w:r w:rsidRPr="0007502B">
        <w:rPr>
          <w:rFonts w:asciiTheme="minorHAnsi" w:hAnsiTheme="minorHAnsi" w:cstheme="minorHAnsi"/>
          <w:iCs/>
          <w:szCs w:val="24"/>
        </w:rPr>
        <w:t xml:space="preserve">an undergraduate preparatory program delivered exclusively to non-student visa holders. </w:t>
      </w:r>
      <w:r w:rsidR="00835DB2" w:rsidRPr="00213BF3">
        <w:rPr>
          <w:rFonts w:asciiTheme="minorHAnsi" w:hAnsiTheme="minorHAnsi" w:cstheme="minorHAnsi"/>
          <w:iCs/>
          <w:szCs w:val="24"/>
        </w:rPr>
        <w:t xml:space="preserve"> </w:t>
      </w:r>
    </w:p>
    <w:p w14:paraId="5E82FF39" w14:textId="77777777" w:rsidR="00523900" w:rsidRPr="00E631F9" w:rsidRDefault="00523900" w:rsidP="00523900">
      <w:pPr>
        <w:keepNext/>
        <w:spacing w:before="360" w:after="120"/>
        <w:rPr>
          <w:rFonts w:asciiTheme="minorHAnsi" w:hAnsiTheme="minorHAnsi" w:cstheme="minorHAnsi"/>
        </w:rPr>
      </w:pPr>
      <w:r w:rsidRPr="00D52E9D">
        <w:rPr>
          <w:rFonts w:asciiTheme="minorHAnsi" w:hAnsiTheme="minorHAnsi" w:cstheme="minorHAnsi"/>
          <w:b/>
          <w:u w:val="single"/>
        </w:rPr>
        <w:t>Section 7: Definitions</w:t>
      </w:r>
    </w:p>
    <w:p w14:paraId="628611E2" w14:textId="1D1E4C1B" w:rsidR="00523900" w:rsidRDefault="00523900" w:rsidP="003F3802">
      <w:pPr>
        <w:pStyle w:val="ListParagraph"/>
        <w:numPr>
          <w:ilvl w:val="0"/>
          <w:numId w:val="1"/>
        </w:numPr>
        <w:spacing w:before="360" w:after="120"/>
        <w:rPr>
          <w:rFonts w:asciiTheme="minorHAnsi" w:hAnsiTheme="minorHAnsi" w:cstheme="minorHAnsi"/>
          <w:iCs/>
          <w:szCs w:val="24"/>
        </w:rPr>
      </w:pPr>
      <w:r w:rsidRPr="001A53F9">
        <w:rPr>
          <w:rFonts w:asciiTheme="minorHAnsi" w:hAnsiTheme="minorHAnsi" w:cstheme="minorHAnsi"/>
          <w:iCs/>
          <w:szCs w:val="24"/>
        </w:rPr>
        <w:t xml:space="preserve">Section </w:t>
      </w:r>
      <w:r>
        <w:rPr>
          <w:rFonts w:asciiTheme="minorHAnsi" w:hAnsiTheme="minorHAnsi" w:cstheme="minorHAnsi"/>
          <w:iCs/>
          <w:szCs w:val="24"/>
        </w:rPr>
        <w:t>7</w:t>
      </w:r>
      <w:r w:rsidRPr="001A53F9">
        <w:rPr>
          <w:rFonts w:asciiTheme="minorHAnsi" w:hAnsiTheme="minorHAnsi" w:cstheme="minorHAnsi"/>
          <w:iCs/>
          <w:szCs w:val="24"/>
        </w:rPr>
        <w:t xml:space="preserve"> defines terms used in the Foundation Program Standards and specifies which key terms</w:t>
      </w:r>
      <w:r w:rsidR="006540EF">
        <w:rPr>
          <w:rFonts w:asciiTheme="minorHAnsi" w:hAnsiTheme="minorHAnsi" w:cstheme="minorHAnsi"/>
          <w:iCs/>
          <w:szCs w:val="24"/>
        </w:rPr>
        <w:t>, as used in this instrument,</w:t>
      </w:r>
      <w:r w:rsidRPr="001A53F9">
        <w:rPr>
          <w:rFonts w:asciiTheme="minorHAnsi" w:hAnsiTheme="minorHAnsi" w:cstheme="minorHAnsi"/>
          <w:iCs/>
          <w:szCs w:val="24"/>
        </w:rPr>
        <w:t xml:space="preserve"> are defined in the ESOS Act. </w:t>
      </w:r>
    </w:p>
    <w:p w14:paraId="3AB14F25" w14:textId="237CE708" w:rsidR="00470B0B" w:rsidRDefault="00631B74" w:rsidP="003F380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An example of a </w:t>
      </w:r>
      <w:r w:rsidR="006540EF">
        <w:rPr>
          <w:rFonts w:asciiTheme="minorHAnsi" w:hAnsiTheme="minorHAnsi" w:cstheme="minorHAnsi"/>
          <w:iCs/>
          <w:szCs w:val="24"/>
        </w:rPr>
        <w:t>‘</w:t>
      </w:r>
      <w:r w:rsidR="00B932C2">
        <w:rPr>
          <w:rFonts w:asciiTheme="minorHAnsi" w:hAnsiTheme="minorHAnsi" w:cstheme="minorHAnsi"/>
          <w:iCs/>
          <w:szCs w:val="24"/>
        </w:rPr>
        <w:t>stream</w:t>
      </w:r>
      <w:r w:rsidR="006540EF">
        <w:rPr>
          <w:rFonts w:asciiTheme="minorHAnsi" w:hAnsiTheme="minorHAnsi" w:cstheme="minorHAnsi"/>
          <w:iCs/>
          <w:szCs w:val="24"/>
        </w:rPr>
        <w:t xml:space="preserve">ed </w:t>
      </w:r>
      <w:r w:rsidR="00B932C2">
        <w:rPr>
          <w:rFonts w:asciiTheme="minorHAnsi" w:hAnsiTheme="minorHAnsi" w:cstheme="minorHAnsi"/>
          <w:iCs/>
          <w:szCs w:val="24"/>
        </w:rPr>
        <w:t>program</w:t>
      </w:r>
      <w:r w:rsidR="006540EF">
        <w:rPr>
          <w:rFonts w:asciiTheme="minorHAnsi" w:hAnsiTheme="minorHAnsi" w:cstheme="minorHAnsi"/>
          <w:iCs/>
          <w:szCs w:val="24"/>
        </w:rPr>
        <w:t>’</w:t>
      </w:r>
      <w:r w:rsidR="00B932C2">
        <w:rPr>
          <w:rFonts w:asciiTheme="minorHAnsi" w:hAnsiTheme="minorHAnsi" w:cstheme="minorHAnsi"/>
          <w:iCs/>
          <w:szCs w:val="24"/>
        </w:rPr>
        <w:t xml:space="preserve"> is a </w:t>
      </w:r>
      <w:r w:rsidR="00B932C2" w:rsidRPr="00B932C2">
        <w:rPr>
          <w:rFonts w:asciiTheme="minorHAnsi" w:hAnsiTheme="minorHAnsi" w:cstheme="minorHAnsi"/>
          <w:iCs/>
          <w:szCs w:val="24"/>
        </w:rPr>
        <w:t xml:space="preserve">physics </w:t>
      </w:r>
      <w:r w:rsidR="00B932C2">
        <w:rPr>
          <w:rFonts w:asciiTheme="minorHAnsi" w:hAnsiTheme="minorHAnsi" w:cstheme="minorHAnsi"/>
          <w:iCs/>
          <w:szCs w:val="24"/>
        </w:rPr>
        <w:t>F</w:t>
      </w:r>
      <w:r w:rsidR="00B932C2" w:rsidRPr="00B932C2">
        <w:rPr>
          <w:rFonts w:asciiTheme="minorHAnsi" w:hAnsiTheme="minorHAnsi" w:cstheme="minorHAnsi"/>
          <w:iCs/>
          <w:szCs w:val="24"/>
        </w:rPr>
        <w:t xml:space="preserve">oundation </w:t>
      </w:r>
      <w:r w:rsidR="00B932C2">
        <w:rPr>
          <w:rFonts w:asciiTheme="minorHAnsi" w:hAnsiTheme="minorHAnsi" w:cstheme="minorHAnsi"/>
          <w:iCs/>
          <w:szCs w:val="24"/>
        </w:rPr>
        <w:t>P</w:t>
      </w:r>
      <w:r w:rsidR="00B932C2" w:rsidRPr="00B932C2">
        <w:rPr>
          <w:rFonts w:asciiTheme="minorHAnsi" w:hAnsiTheme="minorHAnsi" w:cstheme="minorHAnsi"/>
          <w:iCs/>
          <w:szCs w:val="24"/>
        </w:rPr>
        <w:t>rogram</w:t>
      </w:r>
      <w:r w:rsidR="00B932C2">
        <w:rPr>
          <w:rFonts w:asciiTheme="minorHAnsi" w:hAnsiTheme="minorHAnsi" w:cstheme="minorHAnsi"/>
          <w:iCs/>
          <w:szCs w:val="24"/>
        </w:rPr>
        <w:t xml:space="preserve">. </w:t>
      </w:r>
      <w:r w:rsidR="00487730">
        <w:rPr>
          <w:rFonts w:asciiTheme="minorHAnsi" w:hAnsiTheme="minorHAnsi" w:cstheme="minorHAnsi"/>
          <w:iCs/>
          <w:szCs w:val="24"/>
        </w:rPr>
        <w:t>Such a program would</w:t>
      </w:r>
      <w:r w:rsidR="00B932C2" w:rsidRPr="00B932C2">
        <w:rPr>
          <w:rFonts w:asciiTheme="minorHAnsi" w:hAnsiTheme="minorHAnsi" w:cstheme="minorHAnsi"/>
          <w:iCs/>
          <w:szCs w:val="24"/>
        </w:rPr>
        <w:t xml:space="preserve"> </w:t>
      </w:r>
      <w:r w:rsidR="00301489">
        <w:rPr>
          <w:rFonts w:asciiTheme="minorHAnsi" w:hAnsiTheme="minorHAnsi" w:cstheme="minorHAnsi"/>
          <w:iCs/>
          <w:szCs w:val="24"/>
        </w:rPr>
        <w:t>include</w:t>
      </w:r>
      <w:r w:rsidR="00B932C2" w:rsidRPr="00B932C2">
        <w:rPr>
          <w:rFonts w:asciiTheme="minorHAnsi" w:hAnsiTheme="minorHAnsi" w:cstheme="minorHAnsi"/>
          <w:iCs/>
          <w:szCs w:val="24"/>
        </w:rPr>
        <w:t xml:space="preserve"> physics and associated mathematic subjects to prepare the student to undertake a degree in physics at an Australian university.</w:t>
      </w:r>
    </w:p>
    <w:p w14:paraId="2DD32743" w14:textId="2980FF1C" w:rsidR="00631B74" w:rsidRPr="006875C8" w:rsidRDefault="008736CF" w:rsidP="003F380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four </w:t>
      </w:r>
      <w:r w:rsidR="00D74F57">
        <w:rPr>
          <w:rFonts w:asciiTheme="minorHAnsi" w:hAnsiTheme="minorHAnsi" w:cstheme="minorHAnsi"/>
          <w:iCs/>
          <w:szCs w:val="24"/>
        </w:rPr>
        <w:t>compulsory</w:t>
      </w:r>
      <w:r>
        <w:rPr>
          <w:rFonts w:asciiTheme="minorHAnsi" w:hAnsiTheme="minorHAnsi" w:cstheme="minorHAnsi"/>
          <w:iCs/>
          <w:szCs w:val="24"/>
        </w:rPr>
        <w:t xml:space="preserve"> study areas </w:t>
      </w:r>
      <w:r w:rsidR="004E2C3A">
        <w:rPr>
          <w:rFonts w:asciiTheme="minorHAnsi" w:hAnsiTheme="minorHAnsi" w:cstheme="minorHAnsi"/>
          <w:iCs/>
          <w:szCs w:val="24"/>
        </w:rPr>
        <w:t>for a general</w:t>
      </w:r>
      <w:r w:rsidR="00D74F57">
        <w:rPr>
          <w:rFonts w:asciiTheme="minorHAnsi" w:hAnsiTheme="minorHAnsi" w:cstheme="minorHAnsi"/>
          <w:iCs/>
          <w:szCs w:val="24"/>
        </w:rPr>
        <w:t>ist</w:t>
      </w:r>
      <w:r w:rsidR="004E2C3A">
        <w:rPr>
          <w:rFonts w:asciiTheme="minorHAnsi" w:hAnsiTheme="minorHAnsi" w:cstheme="minorHAnsi"/>
          <w:iCs/>
          <w:szCs w:val="24"/>
        </w:rPr>
        <w:t xml:space="preserve"> program</w:t>
      </w:r>
      <w:r w:rsidR="00D74F57">
        <w:rPr>
          <w:rFonts w:asciiTheme="minorHAnsi" w:hAnsiTheme="minorHAnsi" w:cstheme="minorHAnsi"/>
          <w:iCs/>
          <w:szCs w:val="24"/>
        </w:rPr>
        <w:t xml:space="preserve"> are specified </w:t>
      </w:r>
      <w:r w:rsidR="00D74F57" w:rsidRPr="006875C8">
        <w:rPr>
          <w:rFonts w:asciiTheme="minorHAnsi" w:hAnsiTheme="minorHAnsi" w:cstheme="minorHAnsi"/>
          <w:iCs/>
          <w:szCs w:val="24"/>
        </w:rPr>
        <w:t>in</w:t>
      </w:r>
      <w:r w:rsidR="00C47748" w:rsidRPr="006875C8">
        <w:rPr>
          <w:rFonts w:asciiTheme="minorHAnsi" w:hAnsiTheme="minorHAnsi" w:cstheme="minorHAnsi"/>
          <w:iCs/>
          <w:szCs w:val="24"/>
        </w:rPr>
        <w:t xml:space="preserve"> subsection</w:t>
      </w:r>
      <w:r w:rsidR="006540EF">
        <w:rPr>
          <w:rFonts w:asciiTheme="minorHAnsi" w:hAnsiTheme="minorHAnsi" w:cstheme="minorHAnsi"/>
          <w:iCs/>
          <w:szCs w:val="24"/>
        </w:rPr>
        <w:t> </w:t>
      </w:r>
      <w:r w:rsidR="00C47748" w:rsidRPr="006875C8">
        <w:rPr>
          <w:rFonts w:asciiTheme="minorHAnsi" w:hAnsiTheme="minorHAnsi" w:cstheme="minorHAnsi"/>
          <w:iCs/>
          <w:szCs w:val="24"/>
        </w:rPr>
        <w:t>11(5).</w:t>
      </w:r>
      <w:r w:rsidR="004E2C3A" w:rsidRPr="006875C8">
        <w:rPr>
          <w:rFonts w:asciiTheme="minorHAnsi" w:hAnsiTheme="minorHAnsi" w:cstheme="minorHAnsi"/>
          <w:iCs/>
          <w:szCs w:val="24"/>
        </w:rPr>
        <w:t xml:space="preserve"> </w:t>
      </w:r>
      <w:r w:rsidR="00B932C2" w:rsidRPr="006875C8">
        <w:rPr>
          <w:rFonts w:asciiTheme="minorHAnsi" w:hAnsiTheme="minorHAnsi" w:cstheme="minorHAnsi"/>
          <w:iCs/>
          <w:szCs w:val="24"/>
        </w:rPr>
        <w:t xml:space="preserve"> </w:t>
      </w:r>
    </w:p>
    <w:p w14:paraId="64836ABF" w14:textId="77777777" w:rsidR="0031464D" w:rsidRDefault="0031464D" w:rsidP="00523900">
      <w:pPr>
        <w:spacing w:after="160" w:line="259" w:lineRule="auto"/>
        <w:rPr>
          <w:rFonts w:asciiTheme="minorHAnsi" w:hAnsiTheme="minorHAnsi" w:cstheme="minorHAnsi"/>
          <w:b/>
          <w:bCs/>
        </w:rPr>
      </w:pPr>
    </w:p>
    <w:p w14:paraId="66FDE510" w14:textId="756CA85A" w:rsidR="00523900" w:rsidRDefault="00523900" w:rsidP="00523900">
      <w:pPr>
        <w:spacing w:after="160" w:line="259" w:lineRule="auto"/>
        <w:rPr>
          <w:rFonts w:asciiTheme="minorHAnsi" w:hAnsiTheme="minorHAnsi" w:cstheme="minorHAnsi"/>
          <w:b/>
          <w:bCs/>
        </w:rPr>
      </w:pPr>
      <w:r w:rsidRPr="00A207D9">
        <w:rPr>
          <w:rFonts w:asciiTheme="minorHAnsi" w:hAnsiTheme="minorHAnsi" w:cstheme="minorHAnsi"/>
          <w:b/>
          <w:bCs/>
        </w:rPr>
        <w:t xml:space="preserve">PART </w:t>
      </w:r>
      <w:r>
        <w:rPr>
          <w:rFonts w:asciiTheme="minorHAnsi" w:hAnsiTheme="minorHAnsi" w:cstheme="minorHAnsi"/>
          <w:b/>
          <w:bCs/>
        </w:rPr>
        <w:t>2</w:t>
      </w:r>
      <w:r w:rsidRPr="00A207D9">
        <w:rPr>
          <w:rFonts w:asciiTheme="minorHAnsi" w:hAnsiTheme="minorHAnsi" w:cstheme="minorHAnsi"/>
          <w:b/>
          <w:bCs/>
        </w:rPr>
        <w:t>—</w:t>
      </w:r>
      <w:r>
        <w:rPr>
          <w:rFonts w:asciiTheme="minorHAnsi" w:hAnsiTheme="minorHAnsi" w:cstheme="minorHAnsi"/>
          <w:b/>
          <w:bCs/>
        </w:rPr>
        <w:t>STANDARDS</w:t>
      </w:r>
    </w:p>
    <w:p w14:paraId="35499272" w14:textId="55B2A110" w:rsidR="00523900" w:rsidRDefault="00523900" w:rsidP="00A81256">
      <w:pPr>
        <w:spacing w:before="360" w:after="120"/>
        <w:rPr>
          <w:rFonts w:asciiTheme="minorHAnsi" w:hAnsiTheme="minorHAnsi" w:cstheme="minorHAnsi"/>
          <w:b/>
          <w:u w:val="single"/>
        </w:rPr>
      </w:pPr>
      <w:r>
        <w:rPr>
          <w:rFonts w:asciiTheme="minorHAnsi" w:hAnsiTheme="minorHAnsi" w:cstheme="minorHAnsi"/>
          <w:b/>
          <w:u w:val="single"/>
        </w:rPr>
        <w:t>Section 8: Basic Requirements (Standard 1)</w:t>
      </w:r>
    </w:p>
    <w:p w14:paraId="30C3A6A4" w14:textId="77777777" w:rsidR="00336ACE" w:rsidRDefault="00336ACE"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Section 8</w:t>
      </w:r>
      <w:r w:rsidR="00523900">
        <w:rPr>
          <w:rFonts w:asciiTheme="minorHAnsi" w:hAnsiTheme="minorHAnsi" w:cstheme="minorHAnsi"/>
          <w:bCs/>
        </w:rPr>
        <w:t xml:space="preserve"> outlines the basic </w:t>
      </w:r>
      <w:r>
        <w:rPr>
          <w:rFonts w:asciiTheme="minorHAnsi" w:hAnsiTheme="minorHAnsi" w:cstheme="minorHAnsi"/>
          <w:bCs/>
        </w:rPr>
        <w:t>requirements</w:t>
      </w:r>
      <w:r w:rsidR="00523900">
        <w:rPr>
          <w:rFonts w:asciiTheme="minorHAnsi" w:hAnsiTheme="minorHAnsi" w:cstheme="minorHAnsi"/>
          <w:bCs/>
        </w:rPr>
        <w:t xml:space="preserve"> which apply to</w:t>
      </w:r>
      <w:r>
        <w:rPr>
          <w:rFonts w:asciiTheme="minorHAnsi" w:hAnsiTheme="minorHAnsi" w:cstheme="minorHAnsi"/>
          <w:bCs/>
        </w:rPr>
        <w:t xml:space="preserve"> providers in</w:t>
      </w:r>
      <w:r w:rsidR="00523900">
        <w:rPr>
          <w:rFonts w:asciiTheme="minorHAnsi" w:hAnsiTheme="minorHAnsi" w:cstheme="minorHAnsi"/>
          <w:bCs/>
        </w:rPr>
        <w:t xml:space="preserve"> the provision of a Foundation Program. </w:t>
      </w:r>
    </w:p>
    <w:p w14:paraId="6283EE03" w14:textId="09882921" w:rsidR="00523900" w:rsidRDefault="0059779C"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Paragraphs (a) and (b) state that a</w:t>
      </w:r>
      <w:r w:rsidR="00523900">
        <w:rPr>
          <w:rFonts w:asciiTheme="minorHAnsi" w:hAnsiTheme="minorHAnsi" w:cstheme="minorHAnsi"/>
          <w:bCs/>
        </w:rPr>
        <w:t xml:space="preserve"> Foundation Program must either be a standard or extended program and be delivered by a CRICOS registered provider. </w:t>
      </w:r>
      <w:r w:rsidR="002E5928">
        <w:rPr>
          <w:rFonts w:asciiTheme="minorHAnsi" w:hAnsiTheme="minorHAnsi" w:cstheme="minorHAnsi"/>
          <w:bCs/>
        </w:rPr>
        <w:t>A</w:t>
      </w:r>
      <w:r w:rsidR="00523900">
        <w:rPr>
          <w:rFonts w:asciiTheme="minorHAnsi" w:hAnsiTheme="minorHAnsi" w:cstheme="minorHAnsi"/>
          <w:bCs/>
        </w:rPr>
        <w:t xml:space="preserve"> provider </w:t>
      </w:r>
      <w:r w:rsidR="00B93328">
        <w:rPr>
          <w:rFonts w:asciiTheme="minorHAnsi" w:hAnsiTheme="minorHAnsi" w:cstheme="minorHAnsi"/>
          <w:bCs/>
        </w:rPr>
        <w:t xml:space="preserve">that </w:t>
      </w:r>
      <w:r w:rsidR="00523900">
        <w:rPr>
          <w:rFonts w:asciiTheme="minorHAnsi" w:hAnsiTheme="minorHAnsi" w:cstheme="minorHAnsi"/>
          <w:bCs/>
        </w:rPr>
        <w:t>is not registered and delivers a Foundation Program</w:t>
      </w:r>
      <w:r w:rsidR="00B93328">
        <w:rPr>
          <w:rFonts w:asciiTheme="minorHAnsi" w:hAnsiTheme="minorHAnsi" w:cstheme="minorHAnsi"/>
          <w:bCs/>
        </w:rPr>
        <w:t xml:space="preserve"> would n</w:t>
      </w:r>
      <w:r w:rsidR="00523900">
        <w:rPr>
          <w:rFonts w:asciiTheme="minorHAnsi" w:hAnsiTheme="minorHAnsi" w:cstheme="minorHAnsi"/>
          <w:bCs/>
        </w:rPr>
        <w:t xml:space="preserve">ot </w:t>
      </w:r>
      <w:r w:rsidR="00B93328">
        <w:rPr>
          <w:rFonts w:asciiTheme="minorHAnsi" w:hAnsiTheme="minorHAnsi" w:cstheme="minorHAnsi"/>
          <w:bCs/>
        </w:rPr>
        <w:t>be complying</w:t>
      </w:r>
      <w:r w:rsidR="00523900">
        <w:rPr>
          <w:rFonts w:asciiTheme="minorHAnsi" w:hAnsiTheme="minorHAnsi" w:cstheme="minorHAnsi"/>
          <w:bCs/>
        </w:rPr>
        <w:t xml:space="preserve"> with the standards.</w:t>
      </w:r>
    </w:p>
    <w:p w14:paraId="7A4ED7AE" w14:textId="080E203F" w:rsidR="00523900" w:rsidRDefault="00523900"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Paragraph (c) specifies that a Foundation Program must provide an academic entry pathway to first year undergraduate study. First year undergraduate study is specified in this requirement to clarify that</w:t>
      </w:r>
      <w:r w:rsidR="00DF75DB">
        <w:rPr>
          <w:rFonts w:asciiTheme="minorHAnsi" w:hAnsiTheme="minorHAnsi" w:cstheme="minorHAnsi"/>
          <w:bCs/>
        </w:rPr>
        <w:t>,</w:t>
      </w:r>
      <w:r>
        <w:rPr>
          <w:rFonts w:asciiTheme="minorHAnsi" w:hAnsiTheme="minorHAnsi" w:cstheme="minorHAnsi"/>
          <w:bCs/>
        </w:rPr>
        <w:t xml:space="preserve"> while Foundation Programs are designed to provide a pathway to higher education, they are not designed to provide entry to post-graduate study. </w:t>
      </w:r>
      <w:r w:rsidR="00DF75DB">
        <w:rPr>
          <w:rFonts w:asciiTheme="minorHAnsi" w:hAnsiTheme="minorHAnsi" w:cstheme="minorHAnsi"/>
          <w:bCs/>
        </w:rPr>
        <w:t>Foundation Program</w:t>
      </w:r>
      <w:r w:rsidR="006540EF">
        <w:rPr>
          <w:rFonts w:asciiTheme="minorHAnsi" w:hAnsiTheme="minorHAnsi" w:cstheme="minorHAnsi"/>
          <w:bCs/>
        </w:rPr>
        <w:t>s</w:t>
      </w:r>
      <w:r w:rsidR="00DF75DB">
        <w:rPr>
          <w:rFonts w:asciiTheme="minorHAnsi" w:hAnsiTheme="minorHAnsi" w:cstheme="minorHAnsi"/>
          <w:bCs/>
        </w:rPr>
        <w:t xml:space="preserve"> should only provide a pathway to first year undergraduate study. </w:t>
      </w:r>
      <w:r w:rsidR="006C3EF7">
        <w:rPr>
          <w:rFonts w:asciiTheme="minorHAnsi" w:hAnsiTheme="minorHAnsi" w:cstheme="minorHAnsi"/>
          <w:bCs/>
        </w:rPr>
        <w:t xml:space="preserve">Whether a Foundation Program provides a pathway to first year undergraduate study </w:t>
      </w:r>
      <w:r>
        <w:rPr>
          <w:rFonts w:asciiTheme="minorHAnsi" w:hAnsiTheme="minorHAnsi" w:cstheme="minorHAnsi"/>
          <w:bCs/>
        </w:rPr>
        <w:t>can be evidenced by compliance wit</w:t>
      </w:r>
      <w:r w:rsidRPr="006875C8">
        <w:rPr>
          <w:rFonts w:asciiTheme="minorHAnsi" w:hAnsiTheme="minorHAnsi" w:cstheme="minorHAnsi"/>
          <w:bCs/>
        </w:rPr>
        <w:t>h Standard 5 at section 13.</w:t>
      </w:r>
    </w:p>
    <w:p w14:paraId="75AA95E0" w14:textId="77777777" w:rsidR="00484B49" w:rsidRDefault="0059779C"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Paragraph (d) </w:t>
      </w:r>
      <w:r w:rsidR="00194459">
        <w:rPr>
          <w:rFonts w:asciiTheme="minorHAnsi" w:hAnsiTheme="minorHAnsi" w:cstheme="minorHAnsi"/>
          <w:bCs/>
        </w:rPr>
        <w:t>states</w:t>
      </w:r>
      <w:r>
        <w:rPr>
          <w:rFonts w:asciiTheme="minorHAnsi" w:hAnsiTheme="minorHAnsi" w:cstheme="minorHAnsi"/>
          <w:bCs/>
        </w:rPr>
        <w:t xml:space="preserve"> that a</w:t>
      </w:r>
      <w:r w:rsidR="00523900">
        <w:rPr>
          <w:rFonts w:asciiTheme="minorHAnsi" w:hAnsiTheme="minorHAnsi" w:cstheme="minorHAnsi"/>
          <w:bCs/>
        </w:rPr>
        <w:t xml:space="preserve"> Foundation Program must be delivered in one or more full</w:t>
      </w:r>
      <w:r w:rsidR="00523900">
        <w:rPr>
          <w:rFonts w:asciiTheme="minorHAnsi" w:hAnsiTheme="minorHAnsi" w:cstheme="minorHAnsi"/>
          <w:bCs/>
        </w:rPr>
        <w:noBreakHyphen/>
        <w:t xml:space="preserve">time study periods. This means that all Foundation Programs must have at least 20 hours of scheduled course contact hours per teaching week and each study period </w:t>
      </w:r>
      <w:r w:rsidR="00194459">
        <w:rPr>
          <w:rFonts w:asciiTheme="minorHAnsi" w:hAnsiTheme="minorHAnsi" w:cstheme="minorHAnsi"/>
          <w:bCs/>
        </w:rPr>
        <w:t>must not</w:t>
      </w:r>
      <w:r w:rsidR="00523900">
        <w:rPr>
          <w:rFonts w:asciiTheme="minorHAnsi" w:hAnsiTheme="minorHAnsi" w:cstheme="minorHAnsi"/>
          <w:bCs/>
        </w:rPr>
        <w:t xml:space="preserve"> exceed 6 months. </w:t>
      </w:r>
    </w:p>
    <w:p w14:paraId="3DB5324F" w14:textId="7416E949" w:rsidR="00523900" w:rsidRPr="00D94B20" w:rsidRDefault="00523900"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At a minimum, there must be a holiday break of at least one week between each study period. </w:t>
      </w:r>
      <w:r w:rsidR="00ED1AA6">
        <w:rPr>
          <w:rFonts w:asciiTheme="minorHAnsi" w:hAnsiTheme="minorHAnsi" w:cstheme="minorHAnsi"/>
          <w:bCs/>
        </w:rPr>
        <w:t xml:space="preserve">Additional breaks during </w:t>
      </w:r>
      <w:r w:rsidR="009D3D96">
        <w:rPr>
          <w:rFonts w:asciiTheme="minorHAnsi" w:hAnsiTheme="minorHAnsi" w:cstheme="minorHAnsi"/>
          <w:bCs/>
        </w:rPr>
        <w:t>each study period</w:t>
      </w:r>
      <w:r w:rsidR="00ED1AA6">
        <w:rPr>
          <w:rFonts w:asciiTheme="minorHAnsi" w:hAnsiTheme="minorHAnsi" w:cstheme="minorHAnsi"/>
          <w:bCs/>
        </w:rPr>
        <w:t>, such as</w:t>
      </w:r>
      <w:r>
        <w:rPr>
          <w:rFonts w:asciiTheme="minorHAnsi" w:hAnsiTheme="minorHAnsi" w:cstheme="minorHAnsi"/>
          <w:bCs/>
        </w:rPr>
        <w:t xml:space="preserve"> mid</w:t>
      </w:r>
      <w:r>
        <w:rPr>
          <w:rFonts w:asciiTheme="minorHAnsi" w:hAnsiTheme="minorHAnsi" w:cstheme="minorHAnsi"/>
          <w:bCs/>
        </w:rPr>
        <w:noBreakHyphen/>
        <w:t>term break</w:t>
      </w:r>
      <w:r w:rsidR="00484B49">
        <w:rPr>
          <w:rFonts w:asciiTheme="minorHAnsi" w:hAnsiTheme="minorHAnsi" w:cstheme="minorHAnsi"/>
          <w:bCs/>
        </w:rPr>
        <w:t>s</w:t>
      </w:r>
      <w:r w:rsidR="009D3D96">
        <w:rPr>
          <w:rFonts w:asciiTheme="minorHAnsi" w:hAnsiTheme="minorHAnsi" w:cstheme="minorHAnsi"/>
          <w:bCs/>
        </w:rPr>
        <w:t>,</w:t>
      </w:r>
      <w:r>
        <w:rPr>
          <w:rFonts w:asciiTheme="minorHAnsi" w:hAnsiTheme="minorHAnsi" w:cstheme="minorHAnsi"/>
          <w:bCs/>
        </w:rPr>
        <w:t xml:space="preserve"> </w:t>
      </w:r>
      <w:r w:rsidR="009D3D96">
        <w:rPr>
          <w:rFonts w:asciiTheme="minorHAnsi" w:hAnsiTheme="minorHAnsi" w:cstheme="minorHAnsi"/>
          <w:bCs/>
        </w:rPr>
        <w:t>are not teaching weeks and do</w:t>
      </w:r>
      <w:r>
        <w:rPr>
          <w:rFonts w:asciiTheme="minorHAnsi" w:hAnsiTheme="minorHAnsi" w:cstheme="minorHAnsi"/>
          <w:bCs/>
        </w:rPr>
        <w:t xml:space="preserve"> not need to comply with the 20-hour requirement.</w:t>
      </w:r>
    </w:p>
    <w:p w14:paraId="6B57E387" w14:textId="7F6B9EB4" w:rsidR="00523900" w:rsidRDefault="00523900" w:rsidP="00A81256">
      <w:pPr>
        <w:keepNext/>
        <w:keepLines/>
        <w:spacing w:after="160" w:line="259" w:lineRule="auto"/>
        <w:rPr>
          <w:rFonts w:asciiTheme="minorHAnsi" w:hAnsiTheme="minorHAnsi" w:cstheme="minorHAnsi"/>
          <w:b/>
          <w:u w:val="single"/>
        </w:rPr>
      </w:pPr>
      <w:r>
        <w:rPr>
          <w:rFonts w:asciiTheme="minorHAnsi" w:hAnsiTheme="minorHAnsi" w:cstheme="minorHAnsi"/>
          <w:b/>
          <w:u w:val="single"/>
        </w:rPr>
        <w:t>Section 9: Curriculum and pedagogy (Standard 2)</w:t>
      </w:r>
    </w:p>
    <w:p w14:paraId="25C0A24A" w14:textId="015890AE" w:rsidR="00523900" w:rsidRDefault="00323C61" w:rsidP="00073E42">
      <w:pPr>
        <w:pStyle w:val="ListParagraph"/>
        <w:keepLines/>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w:t>
      </w:r>
      <w:r w:rsidR="00484B49">
        <w:rPr>
          <w:rFonts w:asciiTheme="minorHAnsi" w:hAnsiTheme="minorHAnsi" w:cstheme="minorHAnsi"/>
          <w:bCs/>
        </w:rPr>
        <w:t>ection</w:t>
      </w:r>
      <w:r>
        <w:rPr>
          <w:rFonts w:asciiTheme="minorHAnsi" w:hAnsiTheme="minorHAnsi" w:cstheme="minorHAnsi"/>
          <w:bCs/>
        </w:rPr>
        <w:t xml:space="preserve">s (1) to </w:t>
      </w:r>
      <w:r w:rsidR="00605E9A">
        <w:rPr>
          <w:rFonts w:asciiTheme="minorHAnsi" w:hAnsiTheme="minorHAnsi" w:cstheme="minorHAnsi"/>
          <w:bCs/>
        </w:rPr>
        <w:t>(7) set</w:t>
      </w:r>
      <w:r w:rsidR="00523900">
        <w:rPr>
          <w:rFonts w:asciiTheme="minorHAnsi" w:hAnsiTheme="minorHAnsi" w:cstheme="minorHAnsi"/>
          <w:bCs/>
        </w:rPr>
        <w:t xml:space="preserve"> out the requirements for the substance of a Foundation Program’s curriculum, as well as the process a provider must follow when changes are made to the curriculum.</w:t>
      </w:r>
    </w:p>
    <w:p w14:paraId="5CBCB592" w14:textId="4A40DD1B" w:rsidR="000147C2" w:rsidRDefault="00523900"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Paragraph </w:t>
      </w:r>
      <w:r w:rsidR="00583C04">
        <w:rPr>
          <w:rFonts w:asciiTheme="minorHAnsi" w:hAnsiTheme="minorHAnsi" w:cstheme="minorHAnsi"/>
          <w:bCs/>
        </w:rPr>
        <w:t>(</w:t>
      </w:r>
      <w:r>
        <w:rPr>
          <w:rFonts w:asciiTheme="minorHAnsi" w:hAnsiTheme="minorHAnsi" w:cstheme="minorHAnsi"/>
          <w:bCs/>
        </w:rPr>
        <w:t>6</w:t>
      </w:r>
      <w:r w:rsidR="00583C04">
        <w:rPr>
          <w:rFonts w:asciiTheme="minorHAnsi" w:hAnsiTheme="minorHAnsi" w:cstheme="minorHAnsi"/>
          <w:bCs/>
        </w:rPr>
        <w:t>)</w:t>
      </w:r>
      <w:r>
        <w:rPr>
          <w:rFonts w:asciiTheme="minorHAnsi" w:hAnsiTheme="minorHAnsi" w:cstheme="minorHAnsi"/>
          <w:bCs/>
        </w:rPr>
        <w:t>(a) clarifies that a provider cannot submit multiple small changes to the provider’s Academic Board under subsection (7) to avoid seeking approval from the ESOS agency</w:t>
      </w:r>
      <w:r w:rsidR="00661580">
        <w:rPr>
          <w:rFonts w:asciiTheme="minorHAnsi" w:hAnsiTheme="minorHAnsi" w:cstheme="minorHAnsi"/>
          <w:bCs/>
        </w:rPr>
        <w:t xml:space="preserve"> under subsection (5). </w:t>
      </w:r>
    </w:p>
    <w:p w14:paraId="6A1EA841" w14:textId="0AC82D6F" w:rsidR="00523900" w:rsidRDefault="00523900"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For example, a provider has </w:t>
      </w:r>
      <w:r w:rsidR="0051713D">
        <w:rPr>
          <w:rFonts w:asciiTheme="minorHAnsi" w:hAnsiTheme="minorHAnsi" w:cstheme="minorHAnsi"/>
          <w:bCs/>
        </w:rPr>
        <w:t>made</w:t>
      </w:r>
      <w:r>
        <w:rPr>
          <w:rFonts w:asciiTheme="minorHAnsi" w:hAnsiTheme="minorHAnsi" w:cstheme="minorHAnsi"/>
          <w:bCs/>
        </w:rPr>
        <w:t xml:space="preserve"> a number of </w:t>
      </w:r>
      <w:r w:rsidR="00834182">
        <w:rPr>
          <w:rFonts w:asciiTheme="minorHAnsi" w:hAnsiTheme="minorHAnsi" w:cstheme="minorHAnsi"/>
          <w:bCs/>
        </w:rPr>
        <w:t>minor</w:t>
      </w:r>
      <w:r>
        <w:rPr>
          <w:rFonts w:asciiTheme="minorHAnsi" w:hAnsiTheme="minorHAnsi" w:cstheme="minorHAnsi"/>
          <w:bCs/>
        </w:rPr>
        <w:t xml:space="preserve"> changes </w:t>
      </w:r>
      <w:r w:rsidR="00834182">
        <w:rPr>
          <w:rFonts w:asciiTheme="minorHAnsi" w:hAnsiTheme="minorHAnsi" w:cstheme="minorHAnsi"/>
          <w:bCs/>
        </w:rPr>
        <w:t xml:space="preserve">to the Foundation Program over time and has received </w:t>
      </w:r>
      <w:r w:rsidR="0051713D">
        <w:rPr>
          <w:rFonts w:asciiTheme="minorHAnsi" w:hAnsiTheme="minorHAnsi" w:cstheme="minorHAnsi"/>
          <w:bCs/>
        </w:rPr>
        <w:t xml:space="preserve">approval </w:t>
      </w:r>
      <w:r>
        <w:rPr>
          <w:rFonts w:asciiTheme="minorHAnsi" w:hAnsiTheme="minorHAnsi" w:cstheme="minorHAnsi"/>
          <w:bCs/>
        </w:rPr>
        <w:t>by the Academic Board</w:t>
      </w:r>
      <w:r w:rsidR="00834182">
        <w:rPr>
          <w:rFonts w:asciiTheme="minorHAnsi" w:hAnsiTheme="minorHAnsi" w:cstheme="minorHAnsi"/>
          <w:bCs/>
        </w:rPr>
        <w:t xml:space="preserve"> for each change</w:t>
      </w:r>
      <w:r w:rsidR="0051713D">
        <w:rPr>
          <w:rFonts w:asciiTheme="minorHAnsi" w:hAnsiTheme="minorHAnsi" w:cstheme="minorHAnsi"/>
          <w:bCs/>
        </w:rPr>
        <w:t xml:space="preserve">. </w:t>
      </w:r>
      <w:r w:rsidR="00092395">
        <w:rPr>
          <w:rFonts w:asciiTheme="minorHAnsi" w:hAnsiTheme="minorHAnsi" w:cstheme="minorHAnsi"/>
          <w:bCs/>
        </w:rPr>
        <w:t>T</w:t>
      </w:r>
      <w:r w:rsidR="0051713D">
        <w:rPr>
          <w:rFonts w:asciiTheme="minorHAnsi" w:hAnsiTheme="minorHAnsi" w:cstheme="minorHAnsi"/>
          <w:bCs/>
        </w:rPr>
        <w:t>he provider plans</w:t>
      </w:r>
      <w:r>
        <w:rPr>
          <w:rFonts w:asciiTheme="minorHAnsi" w:hAnsiTheme="minorHAnsi" w:cstheme="minorHAnsi"/>
          <w:bCs/>
        </w:rPr>
        <w:t xml:space="preserve"> to make a further change</w:t>
      </w:r>
      <w:r w:rsidR="00092395">
        <w:rPr>
          <w:rFonts w:asciiTheme="minorHAnsi" w:hAnsiTheme="minorHAnsi" w:cstheme="minorHAnsi"/>
          <w:bCs/>
        </w:rPr>
        <w:t xml:space="preserve"> and that change will</w:t>
      </w:r>
      <w:r>
        <w:rPr>
          <w:rFonts w:asciiTheme="minorHAnsi" w:hAnsiTheme="minorHAnsi" w:cstheme="minorHAnsi"/>
          <w:bCs/>
        </w:rPr>
        <w:t xml:space="preserve"> result in a</w:t>
      </w:r>
      <w:r w:rsidR="001656A8">
        <w:rPr>
          <w:rFonts w:asciiTheme="minorHAnsi" w:hAnsiTheme="minorHAnsi" w:cstheme="minorHAnsi"/>
          <w:bCs/>
        </w:rPr>
        <w:t>n accumulative</w:t>
      </w:r>
      <w:r>
        <w:rPr>
          <w:rFonts w:asciiTheme="minorHAnsi" w:hAnsiTheme="minorHAnsi" w:cstheme="minorHAnsi"/>
          <w:bCs/>
        </w:rPr>
        <w:t xml:space="preserve"> 25% change to the course</w:t>
      </w:r>
      <w:r w:rsidR="006540EF">
        <w:rPr>
          <w:rFonts w:asciiTheme="minorHAnsi" w:hAnsiTheme="minorHAnsi" w:cstheme="minorHAnsi"/>
          <w:bCs/>
        </w:rPr>
        <w:t xml:space="preserve"> units or subjects</w:t>
      </w:r>
      <w:r w:rsidR="00092395">
        <w:rPr>
          <w:rFonts w:asciiTheme="minorHAnsi" w:hAnsiTheme="minorHAnsi" w:cstheme="minorHAnsi"/>
          <w:bCs/>
        </w:rPr>
        <w:t xml:space="preserve"> since the provider last received approval from the ESOS agency. In th</w:t>
      </w:r>
      <w:r w:rsidR="002B1D4A">
        <w:rPr>
          <w:rFonts w:asciiTheme="minorHAnsi" w:hAnsiTheme="minorHAnsi" w:cstheme="minorHAnsi"/>
          <w:bCs/>
        </w:rPr>
        <w:t>is</w:t>
      </w:r>
      <w:r w:rsidR="00092395">
        <w:rPr>
          <w:rFonts w:asciiTheme="minorHAnsi" w:hAnsiTheme="minorHAnsi" w:cstheme="minorHAnsi"/>
          <w:bCs/>
        </w:rPr>
        <w:t xml:space="preserve"> case, t</w:t>
      </w:r>
      <w:r>
        <w:rPr>
          <w:rFonts w:asciiTheme="minorHAnsi" w:hAnsiTheme="minorHAnsi" w:cstheme="minorHAnsi"/>
          <w:bCs/>
        </w:rPr>
        <w:t xml:space="preserve">he provider must submit </w:t>
      </w:r>
      <w:r w:rsidR="001656A8">
        <w:rPr>
          <w:rFonts w:asciiTheme="minorHAnsi" w:hAnsiTheme="minorHAnsi" w:cstheme="minorHAnsi"/>
          <w:bCs/>
        </w:rPr>
        <w:t>the changes approved by the Academic Board</w:t>
      </w:r>
      <w:r w:rsidR="00092395">
        <w:rPr>
          <w:rFonts w:asciiTheme="minorHAnsi" w:hAnsiTheme="minorHAnsi" w:cstheme="minorHAnsi"/>
          <w:bCs/>
        </w:rPr>
        <w:t>,</w:t>
      </w:r>
      <w:r w:rsidR="001656A8">
        <w:rPr>
          <w:rFonts w:asciiTheme="minorHAnsi" w:hAnsiTheme="minorHAnsi" w:cstheme="minorHAnsi"/>
          <w:bCs/>
        </w:rPr>
        <w:t xml:space="preserve"> as well as the</w:t>
      </w:r>
      <w:r w:rsidR="00092395">
        <w:rPr>
          <w:rFonts w:asciiTheme="minorHAnsi" w:hAnsiTheme="minorHAnsi" w:cstheme="minorHAnsi"/>
          <w:bCs/>
        </w:rPr>
        <w:t xml:space="preserve"> </w:t>
      </w:r>
      <w:r w:rsidR="002B1D4A">
        <w:rPr>
          <w:rFonts w:asciiTheme="minorHAnsi" w:hAnsiTheme="minorHAnsi" w:cstheme="minorHAnsi"/>
          <w:bCs/>
        </w:rPr>
        <w:t xml:space="preserve">proposed </w:t>
      </w:r>
      <w:r w:rsidR="001D367B">
        <w:rPr>
          <w:rFonts w:asciiTheme="minorHAnsi" w:hAnsiTheme="minorHAnsi" w:cstheme="minorHAnsi"/>
          <w:bCs/>
        </w:rPr>
        <w:t>further change</w:t>
      </w:r>
      <w:r w:rsidR="00092395">
        <w:rPr>
          <w:rFonts w:asciiTheme="minorHAnsi" w:hAnsiTheme="minorHAnsi" w:cstheme="minorHAnsi"/>
          <w:bCs/>
        </w:rPr>
        <w:t>,</w:t>
      </w:r>
      <w:r>
        <w:rPr>
          <w:rFonts w:asciiTheme="minorHAnsi" w:hAnsiTheme="minorHAnsi" w:cstheme="minorHAnsi"/>
          <w:bCs/>
        </w:rPr>
        <w:t xml:space="preserve"> to the ESOS agency for approval</w:t>
      </w:r>
      <w:r w:rsidR="001D367B">
        <w:rPr>
          <w:rFonts w:asciiTheme="minorHAnsi" w:hAnsiTheme="minorHAnsi" w:cstheme="minorHAnsi"/>
          <w:bCs/>
        </w:rPr>
        <w:t xml:space="preserve">. The provider must not </w:t>
      </w:r>
      <w:r w:rsidR="006B7633">
        <w:rPr>
          <w:rFonts w:asciiTheme="minorHAnsi" w:hAnsiTheme="minorHAnsi" w:cstheme="minorHAnsi"/>
          <w:bCs/>
        </w:rPr>
        <w:t>implement</w:t>
      </w:r>
      <w:r w:rsidR="001D367B">
        <w:rPr>
          <w:rFonts w:asciiTheme="minorHAnsi" w:hAnsiTheme="minorHAnsi" w:cstheme="minorHAnsi"/>
          <w:bCs/>
        </w:rPr>
        <w:t xml:space="preserve"> the further change </w:t>
      </w:r>
      <w:r w:rsidR="006B7633">
        <w:rPr>
          <w:rFonts w:asciiTheme="minorHAnsi" w:hAnsiTheme="minorHAnsi" w:cstheme="minorHAnsi"/>
          <w:bCs/>
        </w:rPr>
        <w:t>without approval from the ESOS agency.</w:t>
      </w:r>
      <w:r>
        <w:rPr>
          <w:rFonts w:asciiTheme="minorHAnsi" w:hAnsiTheme="minorHAnsi" w:cstheme="minorHAnsi"/>
          <w:bCs/>
        </w:rPr>
        <w:t xml:space="preserve"> </w:t>
      </w:r>
    </w:p>
    <w:p w14:paraId="39EEC10B" w14:textId="5A4CEE4A" w:rsidR="00F14F89" w:rsidRDefault="00F14F89"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Subsection</w:t>
      </w:r>
      <w:r w:rsidR="00487CD0">
        <w:rPr>
          <w:rFonts w:asciiTheme="minorHAnsi" w:hAnsiTheme="minorHAnsi" w:cstheme="minorHAnsi"/>
          <w:bCs/>
        </w:rPr>
        <w:t xml:space="preserve"> (8) </w:t>
      </w:r>
      <w:r w:rsidR="00EF71EB">
        <w:rPr>
          <w:rFonts w:asciiTheme="minorHAnsi" w:hAnsiTheme="minorHAnsi" w:cstheme="minorHAnsi"/>
          <w:bCs/>
        </w:rPr>
        <w:t xml:space="preserve">concerns the pedagogy of a Foundation Program and </w:t>
      </w:r>
      <w:r w:rsidR="00487CD0">
        <w:rPr>
          <w:rFonts w:asciiTheme="minorHAnsi" w:hAnsiTheme="minorHAnsi" w:cstheme="minorHAnsi"/>
          <w:bCs/>
        </w:rPr>
        <w:t xml:space="preserve">contains a list of areas that must </w:t>
      </w:r>
      <w:r w:rsidR="00EF71EB">
        <w:rPr>
          <w:rFonts w:asciiTheme="minorHAnsi" w:hAnsiTheme="minorHAnsi" w:cstheme="minorHAnsi"/>
          <w:bCs/>
        </w:rPr>
        <w:t>be explicitly</w:t>
      </w:r>
      <w:r w:rsidR="00D07271">
        <w:rPr>
          <w:rFonts w:asciiTheme="minorHAnsi" w:hAnsiTheme="minorHAnsi" w:cstheme="minorHAnsi"/>
          <w:bCs/>
        </w:rPr>
        <w:t xml:space="preserve"> address</w:t>
      </w:r>
      <w:r w:rsidR="00EF71EB">
        <w:rPr>
          <w:rFonts w:asciiTheme="minorHAnsi" w:hAnsiTheme="minorHAnsi" w:cstheme="minorHAnsi"/>
          <w:bCs/>
        </w:rPr>
        <w:t>ed during the program</w:t>
      </w:r>
      <w:r w:rsidR="00D07271">
        <w:rPr>
          <w:rFonts w:asciiTheme="minorHAnsi" w:hAnsiTheme="minorHAnsi" w:cstheme="minorHAnsi"/>
          <w:bCs/>
        </w:rPr>
        <w:t>.</w:t>
      </w:r>
    </w:p>
    <w:p w14:paraId="3529A85F" w14:textId="5BCB3DD5" w:rsidR="00523900" w:rsidRDefault="00523900"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Practical work relevant to the subject area in paragraph (8)(j) includes laboratory work, field work, music practice and any other practical activity or investigation relevant to the subject area.</w:t>
      </w:r>
    </w:p>
    <w:p w14:paraId="1F100B84" w14:textId="6D1DC573" w:rsidR="00EB2036" w:rsidRDefault="00EB2036"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Subsection (9) sets out a list of resources</w:t>
      </w:r>
      <w:r w:rsidR="000B5282">
        <w:rPr>
          <w:rFonts w:asciiTheme="minorHAnsi" w:hAnsiTheme="minorHAnsi" w:cstheme="minorHAnsi"/>
          <w:bCs/>
        </w:rPr>
        <w:t xml:space="preserve">, support and equipment </w:t>
      </w:r>
      <w:r w:rsidR="009F5739">
        <w:rPr>
          <w:rFonts w:asciiTheme="minorHAnsi" w:hAnsiTheme="minorHAnsi" w:cstheme="minorHAnsi"/>
          <w:bCs/>
        </w:rPr>
        <w:t>that providers must make available to students</w:t>
      </w:r>
      <w:r w:rsidR="00CD56FA">
        <w:rPr>
          <w:rFonts w:asciiTheme="minorHAnsi" w:hAnsiTheme="minorHAnsi" w:cstheme="minorHAnsi"/>
          <w:bCs/>
        </w:rPr>
        <w:t xml:space="preserve"> at no additional cost. Where a student is enrolled online, providers are</w:t>
      </w:r>
      <w:r w:rsidR="00AB5D71">
        <w:rPr>
          <w:rFonts w:asciiTheme="minorHAnsi" w:hAnsiTheme="minorHAnsi" w:cstheme="minorHAnsi"/>
          <w:bCs/>
        </w:rPr>
        <w:t xml:space="preserve"> to provide </w:t>
      </w:r>
      <w:r w:rsidR="00962AB6">
        <w:rPr>
          <w:rFonts w:asciiTheme="minorHAnsi" w:hAnsiTheme="minorHAnsi" w:cstheme="minorHAnsi"/>
          <w:bCs/>
        </w:rPr>
        <w:t xml:space="preserve">all listed resources, support and equipment </w:t>
      </w:r>
      <w:r w:rsidR="006A0097">
        <w:rPr>
          <w:rFonts w:asciiTheme="minorHAnsi" w:hAnsiTheme="minorHAnsi" w:cstheme="minorHAnsi"/>
          <w:bCs/>
        </w:rPr>
        <w:t>as is reasonably practicable.</w:t>
      </w:r>
    </w:p>
    <w:p w14:paraId="1A2D076D" w14:textId="47348DDE" w:rsidR="00523900" w:rsidRPr="00584D78" w:rsidRDefault="00523900" w:rsidP="00073E42">
      <w:pPr>
        <w:keepNext/>
        <w:spacing w:after="16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10</w:t>
      </w:r>
      <w:r w:rsidRPr="00584D78">
        <w:rPr>
          <w:rFonts w:asciiTheme="minorHAnsi" w:hAnsiTheme="minorHAnsi" w:cstheme="minorHAnsi"/>
          <w:b/>
          <w:bCs/>
          <w:u w:val="single"/>
        </w:rPr>
        <w:t xml:space="preserve">: </w:t>
      </w:r>
      <w:r>
        <w:rPr>
          <w:rFonts w:asciiTheme="minorHAnsi" w:hAnsiTheme="minorHAnsi" w:cstheme="minorHAnsi"/>
          <w:b/>
          <w:bCs/>
          <w:u w:val="single"/>
        </w:rPr>
        <w:t>Admission</w:t>
      </w:r>
      <w:r w:rsidRPr="00584D78">
        <w:rPr>
          <w:rFonts w:asciiTheme="minorHAnsi" w:hAnsiTheme="minorHAnsi" w:cstheme="minorHAnsi"/>
          <w:b/>
          <w:bCs/>
          <w:u w:val="single"/>
        </w:rPr>
        <w:t xml:space="preserve"> (Standard </w:t>
      </w:r>
      <w:r>
        <w:rPr>
          <w:rFonts w:asciiTheme="minorHAnsi" w:hAnsiTheme="minorHAnsi" w:cstheme="minorHAnsi"/>
          <w:b/>
          <w:bCs/>
          <w:u w:val="single"/>
        </w:rPr>
        <w:t>3</w:t>
      </w:r>
      <w:r w:rsidRPr="00584D78">
        <w:rPr>
          <w:rFonts w:asciiTheme="minorHAnsi" w:hAnsiTheme="minorHAnsi" w:cstheme="minorHAnsi"/>
          <w:b/>
          <w:bCs/>
          <w:u w:val="single"/>
        </w:rPr>
        <w:t>)</w:t>
      </w:r>
    </w:p>
    <w:p w14:paraId="59E76E50" w14:textId="77777777" w:rsidR="00DD6C91" w:rsidRDefault="00523900" w:rsidP="003F3802">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This section </w:t>
      </w:r>
      <w:r w:rsidR="004A336E">
        <w:rPr>
          <w:rFonts w:asciiTheme="minorHAnsi" w:hAnsiTheme="minorHAnsi" w:cstheme="minorHAnsi"/>
          <w:bCs/>
        </w:rPr>
        <w:t xml:space="preserve">sets out the requirements prospective students must meet to be admitted to a standard or extended Foundation Program and requires providers to communicate and assess </w:t>
      </w:r>
      <w:r w:rsidR="004026BA">
        <w:rPr>
          <w:rFonts w:asciiTheme="minorHAnsi" w:hAnsiTheme="minorHAnsi" w:cstheme="minorHAnsi"/>
          <w:bCs/>
        </w:rPr>
        <w:t xml:space="preserve">admission </w:t>
      </w:r>
      <w:r w:rsidR="004A336E">
        <w:rPr>
          <w:rFonts w:asciiTheme="minorHAnsi" w:hAnsiTheme="minorHAnsi" w:cstheme="minorHAnsi"/>
          <w:bCs/>
        </w:rPr>
        <w:t xml:space="preserve">eligibility in line with a </w:t>
      </w:r>
      <w:r w:rsidR="007F33AF">
        <w:rPr>
          <w:rFonts w:asciiTheme="minorHAnsi" w:hAnsiTheme="minorHAnsi" w:cstheme="minorHAnsi"/>
          <w:bCs/>
        </w:rPr>
        <w:t>documented process</w:t>
      </w:r>
      <w:r w:rsidR="004A336E">
        <w:rPr>
          <w:rFonts w:asciiTheme="minorHAnsi" w:hAnsiTheme="minorHAnsi" w:cstheme="minorHAnsi"/>
          <w:bCs/>
        </w:rPr>
        <w:t xml:space="preserve">. </w:t>
      </w:r>
    </w:p>
    <w:p w14:paraId="4C829BF1" w14:textId="4F17AA27" w:rsidR="00523900" w:rsidRDefault="007F33AF"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Requiring providers to have and implement a documented process provides flexibility to providers in how they assess prospective students, while ensuring such assessment is conducted fairly across applicants to each provider.</w:t>
      </w:r>
    </w:p>
    <w:p w14:paraId="193BB668" w14:textId="2160B0D6" w:rsidR="00D76E15" w:rsidRDefault="00D76E15"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For a provider to enrol a student in a Foundation Program, the student must have completed Australian Year 11 or a comparable education level. Example</w:t>
      </w:r>
      <w:r w:rsidR="003911EF">
        <w:rPr>
          <w:rFonts w:asciiTheme="minorHAnsi" w:hAnsiTheme="minorHAnsi" w:cstheme="minorHAnsi"/>
          <w:bCs/>
        </w:rPr>
        <w:t>s</w:t>
      </w:r>
      <w:r>
        <w:rPr>
          <w:rFonts w:asciiTheme="minorHAnsi" w:hAnsiTheme="minorHAnsi" w:cstheme="minorHAnsi"/>
          <w:bCs/>
        </w:rPr>
        <w:t xml:space="preserve"> of comparable educational levels </w:t>
      </w:r>
      <w:r w:rsidR="00C97776">
        <w:rPr>
          <w:rFonts w:asciiTheme="minorHAnsi" w:hAnsiTheme="minorHAnsi" w:cstheme="minorHAnsi"/>
          <w:bCs/>
        </w:rPr>
        <w:t xml:space="preserve">from other countries </w:t>
      </w:r>
      <w:r>
        <w:rPr>
          <w:rFonts w:asciiTheme="minorHAnsi" w:hAnsiTheme="minorHAnsi" w:cstheme="minorHAnsi"/>
          <w:bCs/>
        </w:rPr>
        <w:t xml:space="preserve">are </w:t>
      </w:r>
      <w:r w:rsidRPr="00D76E15">
        <w:rPr>
          <w:rFonts w:asciiTheme="minorHAnsi" w:hAnsiTheme="minorHAnsi" w:cstheme="minorHAnsi"/>
          <w:bCs/>
        </w:rPr>
        <w:t>Senior Year 2 or Senior</w:t>
      </w:r>
      <w:r w:rsidR="00C97776">
        <w:rPr>
          <w:rFonts w:asciiTheme="minorHAnsi" w:hAnsiTheme="minorHAnsi" w:cstheme="minorHAnsi"/>
          <w:bCs/>
        </w:rPr>
        <w:t xml:space="preserve"> </w:t>
      </w:r>
      <w:r w:rsidRPr="00D76E15">
        <w:rPr>
          <w:rFonts w:asciiTheme="minorHAnsi" w:hAnsiTheme="minorHAnsi" w:cstheme="minorHAnsi"/>
          <w:bCs/>
        </w:rPr>
        <w:t>Year</w:t>
      </w:r>
      <w:r w:rsidR="00C97776">
        <w:rPr>
          <w:rFonts w:asciiTheme="minorHAnsi" w:hAnsiTheme="minorHAnsi" w:cstheme="minorHAnsi"/>
          <w:bCs/>
        </w:rPr>
        <w:t> </w:t>
      </w:r>
      <w:r w:rsidRPr="00D76E15">
        <w:rPr>
          <w:rFonts w:asciiTheme="minorHAnsi" w:hAnsiTheme="minorHAnsi" w:cstheme="minorHAnsi"/>
          <w:bCs/>
        </w:rPr>
        <w:t>3</w:t>
      </w:r>
      <w:r>
        <w:rPr>
          <w:rFonts w:asciiTheme="minorHAnsi" w:hAnsiTheme="minorHAnsi" w:cstheme="minorHAnsi"/>
          <w:bCs/>
        </w:rPr>
        <w:t xml:space="preserve"> in China and completion of the Bachillerato in Mexico.</w:t>
      </w:r>
    </w:p>
    <w:p w14:paraId="78906A66" w14:textId="77777777" w:rsidR="009165B9" w:rsidRPr="009165B9" w:rsidRDefault="00C01F57" w:rsidP="00073E42">
      <w:pPr>
        <w:pStyle w:val="ListParagraph"/>
        <w:numPr>
          <w:ilvl w:val="0"/>
          <w:numId w:val="1"/>
        </w:numPr>
        <w:spacing w:before="360" w:after="120"/>
        <w:ind w:left="714" w:hanging="357"/>
        <w:rPr>
          <w:rFonts w:asciiTheme="minorHAnsi" w:hAnsiTheme="minorHAnsi" w:cstheme="minorHAnsi"/>
          <w:bCs/>
        </w:rPr>
      </w:pPr>
      <w:r>
        <w:rPr>
          <w:rFonts w:ascii="Calibri" w:eastAsia="Times New Roman" w:hAnsi="Calibri" w:cs="Calibri"/>
          <w:color w:val="000000"/>
          <w:szCs w:val="24"/>
          <w:lang w:eastAsia="en-AU"/>
        </w:rPr>
        <w:t xml:space="preserve">Admission </w:t>
      </w:r>
      <w:r w:rsidR="007F33AF">
        <w:rPr>
          <w:rFonts w:ascii="Calibri" w:eastAsia="Times New Roman" w:hAnsi="Calibri" w:cs="Calibri"/>
          <w:color w:val="000000"/>
          <w:szCs w:val="24"/>
          <w:lang w:eastAsia="en-AU"/>
        </w:rPr>
        <w:t xml:space="preserve">to Foundation Programs </w:t>
      </w:r>
      <w:r>
        <w:rPr>
          <w:rFonts w:ascii="Calibri" w:eastAsia="Times New Roman" w:hAnsi="Calibri" w:cs="Calibri"/>
          <w:color w:val="000000"/>
          <w:szCs w:val="24"/>
          <w:lang w:eastAsia="en-AU"/>
        </w:rPr>
        <w:t>is restricted based on</w:t>
      </w:r>
      <w:r w:rsidR="007F33AF">
        <w:rPr>
          <w:rFonts w:ascii="Calibri" w:eastAsia="Times New Roman" w:hAnsi="Calibri" w:cs="Calibri"/>
          <w:color w:val="000000"/>
          <w:szCs w:val="24"/>
          <w:lang w:eastAsia="en-AU"/>
        </w:rPr>
        <w:t xml:space="preserve"> a student’s English language proficiency or level of academic achievement. This limitation aims to protect both the education sector and individual students, by ensuring students undertaking an educational program have the necessary capability to complete the program. </w:t>
      </w:r>
    </w:p>
    <w:p w14:paraId="58997683" w14:textId="7C759B73" w:rsidR="004A336E" w:rsidRPr="002B4448" w:rsidRDefault="007F33AF" w:rsidP="00073E42">
      <w:pPr>
        <w:pStyle w:val="ListParagraph"/>
        <w:numPr>
          <w:ilvl w:val="0"/>
          <w:numId w:val="1"/>
        </w:numPr>
        <w:spacing w:before="360" w:after="120"/>
        <w:ind w:left="714" w:hanging="357"/>
        <w:rPr>
          <w:rFonts w:asciiTheme="minorHAnsi" w:hAnsiTheme="minorHAnsi" w:cstheme="minorHAnsi"/>
          <w:bCs/>
        </w:rPr>
      </w:pPr>
      <w:r>
        <w:rPr>
          <w:rFonts w:ascii="Calibri" w:eastAsia="Times New Roman" w:hAnsi="Calibri" w:cs="Calibri"/>
          <w:color w:val="000000"/>
          <w:szCs w:val="24"/>
          <w:lang w:eastAsia="en-AU"/>
        </w:rPr>
        <w:t>English language proficiency requirements are lower for extended Foundation Programs</w:t>
      </w:r>
      <w:r w:rsidR="009165B9">
        <w:rPr>
          <w:rFonts w:ascii="Calibri" w:eastAsia="Times New Roman" w:hAnsi="Calibri" w:cs="Calibri"/>
          <w:color w:val="000000"/>
          <w:szCs w:val="24"/>
          <w:lang w:eastAsia="en-AU"/>
        </w:rPr>
        <w:t xml:space="preserve"> in subsection (2)</w:t>
      </w:r>
      <w:r>
        <w:rPr>
          <w:rFonts w:ascii="Calibri" w:eastAsia="Times New Roman" w:hAnsi="Calibri" w:cs="Calibri"/>
          <w:color w:val="000000"/>
          <w:szCs w:val="24"/>
          <w:lang w:eastAsia="en-AU"/>
        </w:rPr>
        <w:t xml:space="preserve"> in recognition of the additional English language learning that will be provided in those programs.</w:t>
      </w:r>
    </w:p>
    <w:p w14:paraId="46D97314" w14:textId="264F4DEA" w:rsidR="002B4448" w:rsidRDefault="002B4448"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 (4) </w:t>
      </w:r>
      <w:r w:rsidR="00E153CC">
        <w:rPr>
          <w:rFonts w:asciiTheme="minorHAnsi" w:hAnsiTheme="minorHAnsi" w:cstheme="minorHAnsi"/>
          <w:bCs/>
        </w:rPr>
        <w:t>clarifies that a provider may be granted an exemption to enrol students under the age of 17 in Foundation Programs offered by provider. This exemption does not apply to individual students but applies to a provider more broadly.</w:t>
      </w:r>
    </w:p>
    <w:p w14:paraId="4B6CC846" w14:textId="45E66B35" w:rsidR="00E153CC" w:rsidRDefault="00E153CC"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An exemption is granted </w:t>
      </w:r>
      <w:r w:rsidRPr="00E153CC">
        <w:rPr>
          <w:rFonts w:asciiTheme="minorHAnsi" w:hAnsiTheme="minorHAnsi" w:cstheme="minorHAnsi"/>
          <w:bCs/>
        </w:rPr>
        <w:t xml:space="preserve">for the </w:t>
      </w:r>
      <w:r w:rsidR="00C81275">
        <w:rPr>
          <w:rFonts w:asciiTheme="minorHAnsi" w:hAnsiTheme="minorHAnsi" w:cstheme="minorHAnsi"/>
          <w:bCs/>
        </w:rPr>
        <w:t>period</w:t>
      </w:r>
      <w:r w:rsidRPr="00E153CC">
        <w:rPr>
          <w:rFonts w:asciiTheme="minorHAnsi" w:hAnsiTheme="minorHAnsi" w:cstheme="minorHAnsi"/>
          <w:bCs/>
        </w:rPr>
        <w:t xml:space="preserve"> of the provider’s CRICOS registration</w:t>
      </w:r>
      <w:r w:rsidR="00C81275">
        <w:rPr>
          <w:rFonts w:asciiTheme="minorHAnsi" w:hAnsiTheme="minorHAnsi" w:cstheme="minorHAnsi"/>
          <w:bCs/>
        </w:rPr>
        <w:t xml:space="preserve"> and may be granted part way through that period</w:t>
      </w:r>
      <w:r w:rsidRPr="00E153CC">
        <w:rPr>
          <w:rFonts w:asciiTheme="minorHAnsi" w:hAnsiTheme="minorHAnsi" w:cstheme="minorHAnsi"/>
          <w:bCs/>
        </w:rPr>
        <w:t xml:space="preserve">. This means that </w:t>
      </w:r>
      <w:r>
        <w:rPr>
          <w:rFonts w:asciiTheme="minorHAnsi" w:hAnsiTheme="minorHAnsi" w:cstheme="minorHAnsi"/>
          <w:bCs/>
        </w:rPr>
        <w:t>where</w:t>
      </w:r>
      <w:r w:rsidRPr="00E153CC">
        <w:rPr>
          <w:rFonts w:asciiTheme="minorHAnsi" w:hAnsiTheme="minorHAnsi" w:cstheme="minorHAnsi"/>
          <w:bCs/>
        </w:rPr>
        <w:t xml:space="preserve"> </w:t>
      </w:r>
      <w:r>
        <w:rPr>
          <w:rFonts w:asciiTheme="minorHAnsi" w:hAnsiTheme="minorHAnsi" w:cstheme="minorHAnsi"/>
          <w:bCs/>
        </w:rPr>
        <w:t xml:space="preserve">an exemption is granted </w:t>
      </w:r>
      <w:r w:rsidRPr="00E153CC">
        <w:rPr>
          <w:rFonts w:asciiTheme="minorHAnsi" w:hAnsiTheme="minorHAnsi" w:cstheme="minorHAnsi"/>
          <w:bCs/>
        </w:rPr>
        <w:t xml:space="preserve">after the provider’s CRICOS </w:t>
      </w:r>
      <w:r>
        <w:rPr>
          <w:rFonts w:asciiTheme="minorHAnsi" w:hAnsiTheme="minorHAnsi" w:cstheme="minorHAnsi"/>
          <w:bCs/>
        </w:rPr>
        <w:t>registration has been renewed,</w:t>
      </w:r>
      <w:r w:rsidRPr="00E153CC">
        <w:rPr>
          <w:rFonts w:asciiTheme="minorHAnsi" w:hAnsiTheme="minorHAnsi" w:cstheme="minorHAnsi"/>
          <w:bCs/>
        </w:rPr>
        <w:t xml:space="preserve"> the </w:t>
      </w:r>
      <w:r>
        <w:rPr>
          <w:rFonts w:asciiTheme="minorHAnsi" w:hAnsiTheme="minorHAnsi" w:cstheme="minorHAnsi"/>
          <w:bCs/>
        </w:rPr>
        <w:t xml:space="preserve">exemption will be valid until the end of the </w:t>
      </w:r>
      <w:r w:rsidR="00C81275">
        <w:rPr>
          <w:rFonts w:asciiTheme="minorHAnsi" w:hAnsiTheme="minorHAnsi" w:cstheme="minorHAnsi"/>
          <w:bCs/>
        </w:rPr>
        <w:t xml:space="preserve">period of the </w:t>
      </w:r>
      <w:r>
        <w:rPr>
          <w:rFonts w:asciiTheme="minorHAnsi" w:hAnsiTheme="minorHAnsi" w:cstheme="minorHAnsi"/>
          <w:bCs/>
        </w:rPr>
        <w:t xml:space="preserve">provider’s </w:t>
      </w:r>
      <w:r w:rsidRPr="00E153CC">
        <w:rPr>
          <w:rFonts w:asciiTheme="minorHAnsi" w:hAnsiTheme="minorHAnsi" w:cstheme="minorHAnsi"/>
          <w:bCs/>
        </w:rPr>
        <w:t>CRICOS registration</w:t>
      </w:r>
      <w:r>
        <w:rPr>
          <w:rFonts w:asciiTheme="minorHAnsi" w:hAnsiTheme="minorHAnsi" w:cstheme="minorHAnsi"/>
          <w:bCs/>
        </w:rPr>
        <w:t>. A provider would need to apply for a new exemption when they apply for renewal of their CRICOS registration</w:t>
      </w:r>
      <w:r w:rsidRPr="00E153CC">
        <w:rPr>
          <w:rFonts w:asciiTheme="minorHAnsi" w:hAnsiTheme="minorHAnsi" w:cstheme="minorHAnsi"/>
          <w:bCs/>
        </w:rPr>
        <w:t xml:space="preserve">. </w:t>
      </w:r>
    </w:p>
    <w:p w14:paraId="49A540FF" w14:textId="62FA08D4" w:rsidR="00523900" w:rsidRPr="007F33AF" w:rsidRDefault="007F33AF"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 </w:t>
      </w:r>
      <w:r w:rsidR="00523900" w:rsidRPr="00D94BAF">
        <w:rPr>
          <w:rFonts w:asciiTheme="minorHAnsi" w:hAnsiTheme="minorHAnsi" w:cstheme="minorHAnsi"/>
          <w:bCs/>
        </w:rPr>
        <w:t xml:space="preserve">(6) </w:t>
      </w:r>
      <w:r>
        <w:rPr>
          <w:rFonts w:asciiTheme="minorHAnsi" w:hAnsiTheme="minorHAnsi" w:cstheme="minorHAnsi"/>
          <w:bCs/>
        </w:rPr>
        <w:t>requires providers to base their assessment of whether educational levels or English language proficiency attained in other countries are comparable to Australian Year 11 o</w:t>
      </w:r>
      <w:r w:rsidR="00172AA1">
        <w:rPr>
          <w:rFonts w:asciiTheme="minorHAnsi" w:hAnsiTheme="minorHAnsi" w:cstheme="minorHAnsi"/>
          <w:bCs/>
        </w:rPr>
        <w:t>r</w:t>
      </w:r>
      <w:r>
        <w:rPr>
          <w:rFonts w:asciiTheme="minorHAnsi" w:hAnsiTheme="minorHAnsi" w:cstheme="minorHAnsi"/>
          <w:bCs/>
        </w:rPr>
        <w:t xml:space="preserve"> IELTS on robust advice or research. The purpose of this section is to ensure providers have </w:t>
      </w:r>
      <w:r w:rsidR="00172AA1">
        <w:rPr>
          <w:rFonts w:asciiTheme="minorHAnsi" w:hAnsiTheme="minorHAnsi" w:cstheme="minorHAnsi"/>
          <w:bCs/>
        </w:rPr>
        <w:t xml:space="preserve">carefully </w:t>
      </w:r>
      <w:r>
        <w:rPr>
          <w:rFonts w:asciiTheme="minorHAnsi" w:hAnsiTheme="minorHAnsi" w:cstheme="minorHAnsi"/>
          <w:bCs/>
        </w:rPr>
        <w:t>considered comparability and can provide a reasonable justification for the conclusion</w:t>
      </w:r>
      <w:r w:rsidR="00B26835">
        <w:rPr>
          <w:rFonts w:asciiTheme="minorHAnsi" w:hAnsiTheme="minorHAnsi" w:cstheme="minorHAnsi"/>
          <w:bCs/>
        </w:rPr>
        <w:t xml:space="preserve">, </w:t>
      </w:r>
      <w:r w:rsidR="00674493">
        <w:rPr>
          <w:rFonts w:asciiTheme="minorHAnsi" w:hAnsiTheme="minorHAnsi" w:cstheme="minorHAnsi"/>
          <w:bCs/>
        </w:rPr>
        <w:t>to ensure</w:t>
      </w:r>
      <w:r w:rsidR="00B26835">
        <w:rPr>
          <w:rFonts w:asciiTheme="minorHAnsi" w:hAnsiTheme="minorHAnsi" w:cstheme="minorHAnsi"/>
          <w:bCs/>
        </w:rPr>
        <w:t xml:space="preserve"> that enrolled students have the necessary English language skills to complete the program.</w:t>
      </w:r>
    </w:p>
    <w:p w14:paraId="63BB454F" w14:textId="3A3A4D63" w:rsidR="00523900" w:rsidRPr="00584D78" w:rsidRDefault="00523900" w:rsidP="00A81256">
      <w:pPr>
        <w:spacing w:after="16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11</w:t>
      </w:r>
      <w:r w:rsidRPr="00584D78">
        <w:rPr>
          <w:rFonts w:asciiTheme="minorHAnsi" w:hAnsiTheme="minorHAnsi" w:cstheme="minorHAnsi"/>
          <w:b/>
          <w:bCs/>
          <w:u w:val="single"/>
        </w:rPr>
        <w:t xml:space="preserve">: </w:t>
      </w:r>
      <w:r>
        <w:rPr>
          <w:rFonts w:asciiTheme="minorHAnsi" w:hAnsiTheme="minorHAnsi" w:cstheme="minorHAnsi"/>
          <w:b/>
          <w:bCs/>
          <w:u w:val="single"/>
        </w:rPr>
        <w:t>Subjects</w:t>
      </w:r>
      <w:r w:rsidRPr="00584D78">
        <w:rPr>
          <w:rFonts w:asciiTheme="minorHAnsi" w:hAnsiTheme="minorHAnsi" w:cstheme="minorHAnsi"/>
          <w:b/>
          <w:bCs/>
          <w:u w:val="single"/>
        </w:rPr>
        <w:t xml:space="preserve"> (Standard </w:t>
      </w:r>
      <w:r>
        <w:rPr>
          <w:rFonts w:asciiTheme="minorHAnsi" w:hAnsiTheme="minorHAnsi" w:cstheme="minorHAnsi"/>
          <w:b/>
          <w:bCs/>
          <w:u w:val="single"/>
        </w:rPr>
        <w:t>4</w:t>
      </w:r>
      <w:r w:rsidRPr="00584D78">
        <w:rPr>
          <w:rFonts w:asciiTheme="minorHAnsi" w:hAnsiTheme="minorHAnsi" w:cstheme="minorHAnsi"/>
          <w:b/>
          <w:bCs/>
          <w:u w:val="single"/>
        </w:rPr>
        <w:t>)</w:t>
      </w:r>
    </w:p>
    <w:p w14:paraId="225EDD44" w14:textId="3103211F" w:rsidR="00523900" w:rsidRDefault="00523900"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This section </w:t>
      </w:r>
      <w:r w:rsidR="009A14CF">
        <w:rPr>
          <w:rFonts w:asciiTheme="minorHAnsi" w:hAnsiTheme="minorHAnsi" w:cstheme="minorHAnsi"/>
          <w:bCs/>
        </w:rPr>
        <w:t xml:space="preserve">sets out the requirements for </w:t>
      </w:r>
      <w:r w:rsidR="005E32F3">
        <w:rPr>
          <w:rFonts w:asciiTheme="minorHAnsi" w:hAnsiTheme="minorHAnsi" w:cstheme="minorHAnsi"/>
          <w:bCs/>
        </w:rPr>
        <w:t xml:space="preserve">determining and providing information on </w:t>
      </w:r>
      <w:r w:rsidR="009A14CF">
        <w:rPr>
          <w:rFonts w:asciiTheme="minorHAnsi" w:hAnsiTheme="minorHAnsi" w:cstheme="minorHAnsi"/>
          <w:bCs/>
        </w:rPr>
        <w:t>subjects within a Foundation Program.</w:t>
      </w:r>
    </w:p>
    <w:p w14:paraId="7F3B0E95" w14:textId="0C0A9B72" w:rsidR="009A14CF" w:rsidRPr="00F63BC2" w:rsidRDefault="0078617C"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Subsection (3) provides that t</w:t>
      </w:r>
      <w:r w:rsidR="005E32F3">
        <w:rPr>
          <w:rFonts w:asciiTheme="minorHAnsi" w:hAnsiTheme="minorHAnsi" w:cstheme="minorHAnsi"/>
          <w:bCs/>
        </w:rPr>
        <w:t>here are two types of subjects within a Foundation Program: discipline</w:t>
      </w:r>
      <w:r w:rsidR="005E32F3">
        <w:rPr>
          <w:rFonts w:asciiTheme="minorHAnsi" w:hAnsiTheme="minorHAnsi" w:cstheme="minorHAnsi"/>
          <w:bCs/>
        </w:rPr>
        <w:noBreakHyphen/>
        <w:t>based subjects and English language subjects. An example of discipline</w:t>
      </w:r>
      <w:r w:rsidR="005E32F3">
        <w:rPr>
          <w:rFonts w:asciiTheme="minorHAnsi" w:hAnsiTheme="minorHAnsi" w:cstheme="minorHAnsi"/>
          <w:bCs/>
        </w:rPr>
        <w:noBreakHyphen/>
        <w:t xml:space="preserve">based subjects are Mathematics and Technologies. English language subjects are dealt with in more </w:t>
      </w:r>
      <w:r w:rsidR="005E32F3" w:rsidRPr="00F63BC2">
        <w:rPr>
          <w:rFonts w:asciiTheme="minorHAnsi" w:hAnsiTheme="minorHAnsi" w:cstheme="minorHAnsi"/>
          <w:bCs/>
        </w:rPr>
        <w:t>detail at section 12.</w:t>
      </w:r>
    </w:p>
    <w:p w14:paraId="237356E5" w14:textId="2761731E" w:rsidR="005E32F3" w:rsidRDefault="007C316A"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Subsection (4) requires e</w:t>
      </w:r>
      <w:r w:rsidR="005E32F3">
        <w:rPr>
          <w:rFonts w:asciiTheme="minorHAnsi" w:hAnsiTheme="minorHAnsi" w:cstheme="minorHAnsi"/>
          <w:bCs/>
        </w:rPr>
        <w:t xml:space="preserve">ach study period </w:t>
      </w:r>
      <w:r>
        <w:rPr>
          <w:rFonts w:asciiTheme="minorHAnsi" w:hAnsiTheme="minorHAnsi" w:cstheme="minorHAnsi"/>
          <w:bCs/>
        </w:rPr>
        <w:t>to</w:t>
      </w:r>
      <w:r w:rsidR="005E32F3">
        <w:rPr>
          <w:rFonts w:asciiTheme="minorHAnsi" w:hAnsiTheme="minorHAnsi" w:cstheme="minorHAnsi"/>
          <w:bCs/>
        </w:rPr>
        <w:t xml:space="preserve"> include at least three discipline</w:t>
      </w:r>
      <w:r w:rsidR="005E32F3">
        <w:rPr>
          <w:rFonts w:asciiTheme="minorHAnsi" w:hAnsiTheme="minorHAnsi" w:cstheme="minorHAnsi"/>
          <w:bCs/>
        </w:rPr>
        <w:noBreakHyphen/>
        <w:t>based subjects.</w:t>
      </w:r>
      <w:r w:rsidR="0084768A">
        <w:rPr>
          <w:rFonts w:asciiTheme="minorHAnsi" w:hAnsiTheme="minorHAnsi" w:cstheme="minorHAnsi"/>
          <w:bCs/>
        </w:rPr>
        <w:t xml:space="preserve"> This does not preclude providers from offering additional subjects in a study period. </w:t>
      </w:r>
    </w:p>
    <w:p w14:paraId="7A37F9D3" w14:textId="77777777" w:rsidR="000336FE" w:rsidRDefault="009A14CF"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Subsection (5) clarifies that, for a generalist program, providers must deliver a</w:t>
      </w:r>
      <w:r w:rsidR="00617FC1">
        <w:rPr>
          <w:rFonts w:asciiTheme="minorHAnsi" w:hAnsiTheme="minorHAnsi" w:cstheme="minorHAnsi"/>
          <w:bCs/>
        </w:rPr>
        <w:t>t</w:t>
      </w:r>
      <w:r>
        <w:rPr>
          <w:rFonts w:asciiTheme="minorHAnsi" w:hAnsiTheme="minorHAnsi" w:cstheme="minorHAnsi"/>
          <w:bCs/>
        </w:rPr>
        <w:t xml:space="preserve"> least one subject in Mathematics, one subject in the Arts and one subject in Humanities and Social Sciences. </w:t>
      </w:r>
      <w:r w:rsidR="00617FC1">
        <w:rPr>
          <w:rFonts w:asciiTheme="minorHAnsi" w:hAnsiTheme="minorHAnsi" w:cstheme="minorHAnsi"/>
          <w:bCs/>
        </w:rPr>
        <w:t>P</w:t>
      </w:r>
      <w:r>
        <w:rPr>
          <w:rFonts w:asciiTheme="minorHAnsi" w:hAnsiTheme="minorHAnsi" w:cstheme="minorHAnsi"/>
          <w:bCs/>
        </w:rPr>
        <w:t>rovider</w:t>
      </w:r>
      <w:r w:rsidR="00617FC1">
        <w:rPr>
          <w:rFonts w:asciiTheme="minorHAnsi" w:hAnsiTheme="minorHAnsi" w:cstheme="minorHAnsi"/>
          <w:bCs/>
        </w:rPr>
        <w:t>s</w:t>
      </w:r>
      <w:r>
        <w:rPr>
          <w:rFonts w:asciiTheme="minorHAnsi" w:hAnsiTheme="minorHAnsi" w:cstheme="minorHAnsi"/>
          <w:bCs/>
        </w:rPr>
        <w:t xml:space="preserve"> must also deliver a subject in either Science or Technology.</w:t>
      </w:r>
      <w:r w:rsidR="00862FA0">
        <w:rPr>
          <w:rFonts w:asciiTheme="minorHAnsi" w:hAnsiTheme="minorHAnsi" w:cstheme="minorHAnsi"/>
          <w:bCs/>
        </w:rPr>
        <w:t xml:space="preserve"> This requirement applies to the Foundation Program as a whole, not to individual study periods. </w:t>
      </w:r>
    </w:p>
    <w:p w14:paraId="2C5B2CF5" w14:textId="59F07EA9" w:rsidR="00523900" w:rsidRDefault="00862FA0"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For example, a provider may offer a subject in Mathematics and a subject in Humanities and Social Sciences, plus</w:t>
      </w:r>
      <w:r w:rsidR="005E32F3">
        <w:rPr>
          <w:rFonts w:asciiTheme="minorHAnsi" w:hAnsiTheme="minorHAnsi" w:cstheme="minorHAnsi"/>
          <w:bCs/>
        </w:rPr>
        <w:t xml:space="preserve"> one other discipline</w:t>
      </w:r>
      <w:r w:rsidR="005E32F3">
        <w:rPr>
          <w:rFonts w:asciiTheme="minorHAnsi" w:hAnsiTheme="minorHAnsi" w:cstheme="minorHAnsi"/>
          <w:bCs/>
        </w:rPr>
        <w:noBreakHyphen/>
        <w:t xml:space="preserve">based subject </w:t>
      </w:r>
      <w:r>
        <w:rPr>
          <w:rFonts w:asciiTheme="minorHAnsi" w:hAnsiTheme="minorHAnsi" w:cstheme="minorHAnsi"/>
          <w:bCs/>
        </w:rPr>
        <w:t xml:space="preserve">in the first study period. </w:t>
      </w:r>
      <w:r w:rsidR="005E32F3">
        <w:rPr>
          <w:rFonts w:asciiTheme="minorHAnsi" w:hAnsiTheme="minorHAnsi" w:cstheme="minorHAnsi"/>
          <w:bCs/>
        </w:rPr>
        <w:t>In the second study period, t</w:t>
      </w:r>
      <w:r>
        <w:rPr>
          <w:rFonts w:asciiTheme="minorHAnsi" w:hAnsiTheme="minorHAnsi" w:cstheme="minorHAnsi"/>
          <w:bCs/>
        </w:rPr>
        <w:t xml:space="preserve">he provider may then offer a subject in the Arts and </w:t>
      </w:r>
      <w:r w:rsidR="005E32F3">
        <w:rPr>
          <w:rFonts w:asciiTheme="minorHAnsi" w:hAnsiTheme="minorHAnsi" w:cstheme="minorHAnsi"/>
          <w:bCs/>
        </w:rPr>
        <w:t>a subject</w:t>
      </w:r>
      <w:r>
        <w:rPr>
          <w:rFonts w:asciiTheme="minorHAnsi" w:hAnsiTheme="minorHAnsi" w:cstheme="minorHAnsi"/>
          <w:bCs/>
        </w:rPr>
        <w:t xml:space="preserve"> in Science, </w:t>
      </w:r>
      <w:r w:rsidR="005E32F3">
        <w:rPr>
          <w:rFonts w:asciiTheme="minorHAnsi" w:hAnsiTheme="minorHAnsi" w:cstheme="minorHAnsi"/>
          <w:bCs/>
        </w:rPr>
        <w:t>plus one other discipline</w:t>
      </w:r>
      <w:r w:rsidR="005E32F3">
        <w:rPr>
          <w:rFonts w:asciiTheme="minorHAnsi" w:hAnsiTheme="minorHAnsi" w:cstheme="minorHAnsi"/>
          <w:bCs/>
        </w:rPr>
        <w:noBreakHyphen/>
        <w:t>based subject. This example does not preclude a provider from offering more than three subjects per study period.</w:t>
      </w:r>
    </w:p>
    <w:p w14:paraId="01849AF0" w14:textId="1FFBD031" w:rsidR="005E32F3" w:rsidRPr="00584D78" w:rsidRDefault="00C61865" w:rsidP="00A81256">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Subsection (6) sets out </w:t>
      </w:r>
      <w:r w:rsidR="005567AF">
        <w:rPr>
          <w:rFonts w:asciiTheme="minorHAnsi" w:hAnsiTheme="minorHAnsi" w:cstheme="minorHAnsi"/>
          <w:bCs/>
        </w:rPr>
        <w:t>the requirements for discipline</w:t>
      </w:r>
      <w:r w:rsidR="005567AF">
        <w:rPr>
          <w:rFonts w:asciiTheme="minorHAnsi" w:hAnsiTheme="minorHAnsi" w:cstheme="minorHAnsi"/>
          <w:bCs/>
        </w:rPr>
        <w:noBreakHyphen/>
        <w:t xml:space="preserve">based subjects in </w:t>
      </w:r>
      <w:r w:rsidR="00D64B7D">
        <w:rPr>
          <w:rFonts w:asciiTheme="minorHAnsi" w:hAnsiTheme="minorHAnsi" w:cstheme="minorHAnsi"/>
          <w:bCs/>
        </w:rPr>
        <w:t>streamed program</w:t>
      </w:r>
      <w:r w:rsidR="005567AF">
        <w:rPr>
          <w:rFonts w:asciiTheme="minorHAnsi" w:hAnsiTheme="minorHAnsi" w:cstheme="minorHAnsi"/>
          <w:bCs/>
        </w:rPr>
        <w:t>.</w:t>
      </w:r>
      <w:r w:rsidR="00D64B7D">
        <w:rPr>
          <w:rFonts w:asciiTheme="minorHAnsi" w:hAnsiTheme="minorHAnsi" w:cstheme="minorHAnsi"/>
          <w:bCs/>
        </w:rPr>
        <w:t xml:space="preserve"> </w:t>
      </w:r>
      <w:r w:rsidR="005567AF">
        <w:rPr>
          <w:rFonts w:asciiTheme="minorHAnsi" w:hAnsiTheme="minorHAnsi" w:cstheme="minorHAnsi"/>
          <w:bCs/>
        </w:rPr>
        <w:t>S</w:t>
      </w:r>
      <w:r w:rsidR="00D64B7D">
        <w:rPr>
          <w:rFonts w:asciiTheme="minorHAnsi" w:hAnsiTheme="minorHAnsi" w:cstheme="minorHAnsi"/>
          <w:bCs/>
        </w:rPr>
        <w:t>ubjects offered throughout</w:t>
      </w:r>
      <w:r w:rsidR="005567AF">
        <w:rPr>
          <w:rFonts w:asciiTheme="minorHAnsi" w:hAnsiTheme="minorHAnsi" w:cstheme="minorHAnsi"/>
          <w:bCs/>
        </w:rPr>
        <w:t xml:space="preserve"> a streamed</w:t>
      </w:r>
      <w:r w:rsidR="00D64B7D">
        <w:rPr>
          <w:rFonts w:asciiTheme="minorHAnsi" w:hAnsiTheme="minorHAnsi" w:cstheme="minorHAnsi"/>
          <w:bCs/>
        </w:rPr>
        <w:t xml:space="preserve"> Foundation Program must be relevant to the proposed area of higher education study or be from one or more of the areas listed</w:t>
      </w:r>
      <w:r w:rsidR="00984ADE">
        <w:rPr>
          <w:rFonts w:asciiTheme="minorHAnsi" w:hAnsiTheme="minorHAnsi" w:cstheme="minorHAnsi"/>
          <w:bCs/>
        </w:rPr>
        <w:t xml:space="preserve"> in paragraphs (a) to (e)</w:t>
      </w:r>
      <w:r w:rsidR="00D64B7D">
        <w:rPr>
          <w:rFonts w:asciiTheme="minorHAnsi" w:hAnsiTheme="minorHAnsi" w:cstheme="minorHAnsi"/>
          <w:bCs/>
        </w:rPr>
        <w:t>. For example, a biology subject would be relevant to a streamed Foundation Program aimed at preparing students for a Bachelor of Science.</w:t>
      </w:r>
    </w:p>
    <w:p w14:paraId="40D86FC5" w14:textId="44C99A10" w:rsidR="00523900" w:rsidRPr="00584D78" w:rsidRDefault="00523900" w:rsidP="00A81256">
      <w:pPr>
        <w:keepNext/>
        <w:spacing w:after="16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12</w:t>
      </w:r>
      <w:r w:rsidRPr="00584D78">
        <w:rPr>
          <w:rFonts w:asciiTheme="minorHAnsi" w:hAnsiTheme="minorHAnsi" w:cstheme="minorHAnsi"/>
          <w:b/>
          <w:bCs/>
          <w:u w:val="single"/>
        </w:rPr>
        <w:t xml:space="preserve">: </w:t>
      </w:r>
      <w:r>
        <w:rPr>
          <w:rFonts w:asciiTheme="minorHAnsi" w:hAnsiTheme="minorHAnsi" w:cstheme="minorHAnsi"/>
          <w:b/>
          <w:bCs/>
          <w:u w:val="single"/>
        </w:rPr>
        <w:t xml:space="preserve">English </w:t>
      </w:r>
      <w:r w:rsidR="00FC22B8">
        <w:rPr>
          <w:rFonts w:asciiTheme="minorHAnsi" w:hAnsiTheme="minorHAnsi" w:cstheme="minorHAnsi"/>
          <w:b/>
          <w:bCs/>
          <w:u w:val="single"/>
        </w:rPr>
        <w:t>language subject</w:t>
      </w:r>
      <w:r w:rsidRPr="00584D78">
        <w:rPr>
          <w:rFonts w:asciiTheme="minorHAnsi" w:hAnsiTheme="minorHAnsi" w:cstheme="minorHAnsi"/>
          <w:b/>
          <w:bCs/>
          <w:u w:val="single"/>
        </w:rPr>
        <w:t xml:space="preserve"> (Standard </w:t>
      </w:r>
      <w:r>
        <w:rPr>
          <w:rFonts w:asciiTheme="minorHAnsi" w:hAnsiTheme="minorHAnsi" w:cstheme="minorHAnsi"/>
          <w:b/>
          <w:bCs/>
          <w:u w:val="single"/>
        </w:rPr>
        <w:t>5</w:t>
      </w:r>
      <w:r w:rsidRPr="00584D78">
        <w:rPr>
          <w:rFonts w:asciiTheme="minorHAnsi" w:hAnsiTheme="minorHAnsi" w:cstheme="minorHAnsi"/>
          <w:b/>
          <w:bCs/>
          <w:u w:val="single"/>
        </w:rPr>
        <w:t>)</w:t>
      </w:r>
    </w:p>
    <w:p w14:paraId="4A44BE52" w14:textId="7CD5E296" w:rsidR="00523900" w:rsidRDefault="00523900" w:rsidP="003F3802">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This section provides for the English language learning requirements, which are to be delivered through an English language subject.</w:t>
      </w:r>
    </w:p>
    <w:p w14:paraId="346288DB" w14:textId="5A17986C" w:rsidR="00984ADE" w:rsidRDefault="00984ADE"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The minimum hours of English language learning and formal class contact time </w:t>
      </w:r>
      <w:r w:rsidR="001C7EFD">
        <w:rPr>
          <w:rFonts w:asciiTheme="minorHAnsi" w:hAnsiTheme="minorHAnsi" w:cstheme="minorHAnsi"/>
          <w:bCs/>
        </w:rPr>
        <w:t xml:space="preserve">for </w:t>
      </w:r>
      <w:r>
        <w:rPr>
          <w:rFonts w:asciiTheme="minorHAnsi" w:hAnsiTheme="minorHAnsi" w:cstheme="minorHAnsi"/>
          <w:bCs/>
        </w:rPr>
        <w:t>a standard Foundation Program</w:t>
      </w:r>
      <w:r w:rsidR="001C7EFD">
        <w:rPr>
          <w:rFonts w:asciiTheme="minorHAnsi" w:hAnsiTheme="minorHAnsi" w:cstheme="minorHAnsi"/>
          <w:bCs/>
        </w:rPr>
        <w:t>, as set out at subsection (1),</w:t>
      </w:r>
      <w:r>
        <w:rPr>
          <w:rFonts w:asciiTheme="minorHAnsi" w:hAnsiTheme="minorHAnsi" w:cstheme="minorHAnsi"/>
          <w:bCs/>
        </w:rPr>
        <w:t xml:space="preserve"> remain the same</w:t>
      </w:r>
      <w:r w:rsidR="001C7EFD">
        <w:rPr>
          <w:rFonts w:asciiTheme="minorHAnsi" w:hAnsiTheme="minorHAnsi" w:cstheme="minorHAnsi"/>
          <w:bCs/>
        </w:rPr>
        <w:t xml:space="preserve"> </w:t>
      </w:r>
      <w:r>
        <w:rPr>
          <w:rFonts w:asciiTheme="minorHAnsi" w:hAnsiTheme="minorHAnsi" w:cstheme="minorHAnsi"/>
          <w:bCs/>
        </w:rPr>
        <w:t xml:space="preserve">regardless of the number of scheduled course contact hours in the program. For example, a standard program of 720 has the same minimum requirements as a standard program of 750 hours. </w:t>
      </w:r>
    </w:p>
    <w:p w14:paraId="60604C91" w14:textId="09E7EE8C" w:rsidR="00984ADE" w:rsidRDefault="00984ADE"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The minimum hour requirements </w:t>
      </w:r>
      <w:r w:rsidR="00521A7C">
        <w:rPr>
          <w:rFonts w:asciiTheme="minorHAnsi" w:hAnsiTheme="minorHAnsi" w:cstheme="minorHAnsi"/>
          <w:bCs/>
        </w:rPr>
        <w:t xml:space="preserve">at subsection (2) </w:t>
      </w:r>
      <w:r>
        <w:rPr>
          <w:rFonts w:asciiTheme="minorHAnsi" w:hAnsiTheme="minorHAnsi" w:cstheme="minorHAnsi"/>
          <w:bCs/>
        </w:rPr>
        <w:t>are not fixed for extended Foundation Programs</w:t>
      </w:r>
      <w:r w:rsidR="00052E95">
        <w:rPr>
          <w:rFonts w:asciiTheme="minorHAnsi" w:hAnsiTheme="minorHAnsi" w:cstheme="minorHAnsi"/>
          <w:bCs/>
        </w:rPr>
        <w:t xml:space="preserve">. Rather, minimum English requirements are </w:t>
      </w:r>
      <w:r w:rsidR="001A1123">
        <w:rPr>
          <w:rFonts w:asciiTheme="minorHAnsi" w:hAnsiTheme="minorHAnsi" w:cstheme="minorHAnsi"/>
          <w:bCs/>
        </w:rPr>
        <w:t>28 per cent</w:t>
      </w:r>
      <w:r w:rsidR="00052E95">
        <w:rPr>
          <w:rFonts w:asciiTheme="minorHAnsi" w:hAnsiTheme="minorHAnsi" w:cstheme="minorHAnsi"/>
          <w:bCs/>
        </w:rPr>
        <w:t xml:space="preserve"> of tot</w:t>
      </w:r>
      <w:r w:rsidR="001A1123">
        <w:rPr>
          <w:rFonts w:asciiTheme="minorHAnsi" w:hAnsiTheme="minorHAnsi" w:cstheme="minorHAnsi"/>
          <w:bCs/>
        </w:rPr>
        <w:t xml:space="preserve">al scheduled </w:t>
      </w:r>
      <w:r w:rsidR="00052E95">
        <w:rPr>
          <w:rFonts w:asciiTheme="minorHAnsi" w:hAnsiTheme="minorHAnsi" w:cstheme="minorHAnsi"/>
          <w:bCs/>
        </w:rPr>
        <w:t xml:space="preserve">course contact hours and </w:t>
      </w:r>
      <w:r>
        <w:rPr>
          <w:rFonts w:asciiTheme="minorHAnsi" w:hAnsiTheme="minorHAnsi" w:cstheme="minorHAnsi"/>
          <w:bCs/>
        </w:rPr>
        <w:t>increase as the number of scheduled course contact hours increase.</w:t>
      </w:r>
    </w:p>
    <w:p w14:paraId="21B723AA" w14:textId="0DCEE01F" w:rsidR="0087737F" w:rsidRDefault="003C1E66"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Subsection (2)</w:t>
      </w:r>
      <w:r w:rsidR="008A7931">
        <w:rPr>
          <w:rFonts w:asciiTheme="minorHAnsi" w:hAnsiTheme="minorHAnsi" w:cstheme="minorHAnsi"/>
          <w:bCs/>
        </w:rPr>
        <w:t xml:space="preserve"> increases </w:t>
      </w:r>
      <w:r w:rsidR="00DF05EA">
        <w:rPr>
          <w:rFonts w:asciiTheme="minorHAnsi" w:hAnsiTheme="minorHAnsi" w:cstheme="minorHAnsi"/>
          <w:bCs/>
        </w:rPr>
        <w:t xml:space="preserve">the number of English language learning hours required for an extended Foundation Program by a fraction of a per cent. Under the previous standards, </w:t>
      </w:r>
      <w:r w:rsidR="00CC0676">
        <w:rPr>
          <w:rFonts w:asciiTheme="minorHAnsi" w:hAnsiTheme="minorHAnsi" w:cstheme="minorHAnsi"/>
          <w:bCs/>
        </w:rPr>
        <w:t xml:space="preserve">27.7778 per cent of total scheduled course contact </w:t>
      </w:r>
      <w:r w:rsidR="0099474B">
        <w:rPr>
          <w:rFonts w:asciiTheme="minorHAnsi" w:hAnsiTheme="minorHAnsi" w:cstheme="minorHAnsi"/>
          <w:bCs/>
        </w:rPr>
        <w:t>h</w:t>
      </w:r>
      <w:r w:rsidR="00CC0676">
        <w:rPr>
          <w:rFonts w:asciiTheme="minorHAnsi" w:hAnsiTheme="minorHAnsi" w:cstheme="minorHAnsi"/>
          <w:bCs/>
        </w:rPr>
        <w:t>ours were required to be English language learning.</w:t>
      </w:r>
      <w:r w:rsidR="00DF05EA">
        <w:rPr>
          <w:rFonts w:asciiTheme="minorHAnsi" w:hAnsiTheme="minorHAnsi" w:cstheme="minorHAnsi"/>
          <w:bCs/>
        </w:rPr>
        <w:t xml:space="preserve"> </w:t>
      </w:r>
      <w:r w:rsidR="00DF05EA" w:rsidRPr="00DF05EA">
        <w:rPr>
          <w:rFonts w:asciiTheme="minorHAnsi" w:hAnsiTheme="minorHAnsi" w:cstheme="minorHAnsi"/>
          <w:bCs/>
        </w:rPr>
        <w:t>While 28</w:t>
      </w:r>
      <w:r w:rsidR="0099474B">
        <w:rPr>
          <w:rFonts w:asciiTheme="minorHAnsi" w:hAnsiTheme="minorHAnsi" w:cstheme="minorHAnsi"/>
          <w:bCs/>
        </w:rPr>
        <w:t xml:space="preserve"> per cent</w:t>
      </w:r>
      <w:r w:rsidR="00DF05EA" w:rsidRPr="00DF05EA">
        <w:rPr>
          <w:rFonts w:asciiTheme="minorHAnsi" w:hAnsiTheme="minorHAnsi" w:cstheme="minorHAnsi"/>
          <w:bCs/>
        </w:rPr>
        <w:t xml:space="preserve"> </w:t>
      </w:r>
      <w:r w:rsidR="003B67B0">
        <w:rPr>
          <w:rFonts w:asciiTheme="minorHAnsi" w:hAnsiTheme="minorHAnsi" w:cstheme="minorHAnsi"/>
          <w:bCs/>
        </w:rPr>
        <w:t>is</w:t>
      </w:r>
      <w:r w:rsidR="00DF05EA" w:rsidRPr="00DF05EA">
        <w:rPr>
          <w:rFonts w:asciiTheme="minorHAnsi" w:hAnsiTheme="minorHAnsi" w:cstheme="minorHAnsi"/>
          <w:bCs/>
        </w:rPr>
        <w:t xml:space="preserve"> </w:t>
      </w:r>
      <w:r w:rsidR="0099474B">
        <w:rPr>
          <w:rFonts w:asciiTheme="minorHAnsi" w:hAnsiTheme="minorHAnsi" w:cstheme="minorHAnsi"/>
          <w:bCs/>
        </w:rPr>
        <w:t>a minor</w:t>
      </w:r>
      <w:r w:rsidR="00DF05EA" w:rsidRPr="00DF05EA">
        <w:rPr>
          <w:rFonts w:asciiTheme="minorHAnsi" w:hAnsiTheme="minorHAnsi" w:cstheme="minorHAnsi"/>
          <w:bCs/>
        </w:rPr>
        <w:t xml:space="preserve"> increase in required English </w:t>
      </w:r>
      <w:r w:rsidR="0099474B">
        <w:rPr>
          <w:rFonts w:asciiTheme="minorHAnsi" w:hAnsiTheme="minorHAnsi" w:cstheme="minorHAnsi"/>
          <w:bCs/>
        </w:rPr>
        <w:t xml:space="preserve">language </w:t>
      </w:r>
      <w:r w:rsidR="00DF05EA" w:rsidRPr="00DF05EA">
        <w:rPr>
          <w:rFonts w:asciiTheme="minorHAnsi" w:hAnsiTheme="minorHAnsi" w:cstheme="minorHAnsi"/>
          <w:bCs/>
        </w:rPr>
        <w:t xml:space="preserve">learning hours, </w:t>
      </w:r>
      <w:r w:rsidR="001A26C4">
        <w:rPr>
          <w:rFonts w:asciiTheme="minorHAnsi" w:hAnsiTheme="minorHAnsi" w:cstheme="minorHAnsi"/>
          <w:bCs/>
        </w:rPr>
        <w:t>s</w:t>
      </w:r>
      <w:r w:rsidR="00DF05EA" w:rsidRPr="00DF05EA">
        <w:rPr>
          <w:rFonts w:asciiTheme="minorHAnsi" w:hAnsiTheme="minorHAnsi" w:cstheme="minorHAnsi"/>
          <w:bCs/>
        </w:rPr>
        <w:t>implifying and clarifying th</w:t>
      </w:r>
      <w:r w:rsidR="0099474B">
        <w:rPr>
          <w:rFonts w:asciiTheme="minorHAnsi" w:hAnsiTheme="minorHAnsi" w:cstheme="minorHAnsi"/>
          <w:bCs/>
        </w:rPr>
        <w:t xml:space="preserve">is </w:t>
      </w:r>
      <w:r w:rsidR="00DF05EA" w:rsidRPr="00DF05EA">
        <w:rPr>
          <w:rFonts w:asciiTheme="minorHAnsi" w:hAnsiTheme="minorHAnsi" w:cstheme="minorHAnsi"/>
          <w:bCs/>
        </w:rPr>
        <w:t xml:space="preserve">requirement </w:t>
      </w:r>
      <w:r w:rsidR="0099474B">
        <w:rPr>
          <w:rFonts w:asciiTheme="minorHAnsi" w:hAnsiTheme="minorHAnsi" w:cstheme="minorHAnsi"/>
          <w:bCs/>
        </w:rPr>
        <w:t xml:space="preserve">is designed to </w:t>
      </w:r>
      <w:r w:rsidR="00DF05EA" w:rsidRPr="00DF05EA">
        <w:rPr>
          <w:rFonts w:asciiTheme="minorHAnsi" w:hAnsiTheme="minorHAnsi" w:cstheme="minorHAnsi"/>
          <w:bCs/>
        </w:rPr>
        <w:t xml:space="preserve">provide an overall benefit to providers and </w:t>
      </w:r>
      <w:r w:rsidR="0099474B">
        <w:rPr>
          <w:rFonts w:asciiTheme="minorHAnsi" w:hAnsiTheme="minorHAnsi" w:cstheme="minorHAnsi"/>
          <w:bCs/>
        </w:rPr>
        <w:t>ESOS agencies.</w:t>
      </w:r>
      <w:r w:rsidR="00E815C9">
        <w:rPr>
          <w:rFonts w:asciiTheme="minorHAnsi" w:hAnsiTheme="minorHAnsi" w:cstheme="minorHAnsi"/>
          <w:bCs/>
        </w:rPr>
        <w:t xml:space="preserve"> </w:t>
      </w:r>
    </w:p>
    <w:p w14:paraId="4A461CE4" w14:textId="58EE7E4D" w:rsidR="00523900" w:rsidRPr="00CD58B0" w:rsidRDefault="00523900"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Subsection (3) clarifies that English language learning must not be undertaken in a block of full</w:t>
      </w:r>
      <w:r>
        <w:rPr>
          <w:rFonts w:asciiTheme="minorHAnsi" w:hAnsiTheme="minorHAnsi" w:cstheme="minorHAnsi"/>
          <w:bCs/>
        </w:rPr>
        <w:noBreakHyphen/>
        <w:t xml:space="preserve">time study. </w:t>
      </w:r>
      <w:r w:rsidR="009A14CF">
        <w:rPr>
          <w:rFonts w:asciiTheme="minorHAnsi" w:hAnsiTheme="minorHAnsi" w:cstheme="minorHAnsi"/>
          <w:bCs/>
        </w:rPr>
        <w:t>In practice, E</w:t>
      </w:r>
      <w:r>
        <w:rPr>
          <w:rFonts w:asciiTheme="minorHAnsi" w:hAnsiTheme="minorHAnsi" w:cstheme="minorHAnsi"/>
          <w:bCs/>
        </w:rPr>
        <w:t>nglish language subjects should be delivered in the same format as discipline</w:t>
      </w:r>
      <w:r>
        <w:rPr>
          <w:rFonts w:asciiTheme="minorHAnsi" w:hAnsiTheme="minorHAnsi" w:cstheme="minorHAnsi"/>
          <w:bCs/>
        </w:rPr>
        <w:noBreakHyphen/>
        <w:t>based subjects, which means that they will be delivered alongside other subjects.</w:t>
      </w:r>
      <w:r w:rsidR="00984ADE">
        <w:rPr>
          <w:rFonts w:asciiTheme="minorHAnsi" w:hAnsiTheme="minorHAnsi" w:cstheme="minorHAnsi"/>
          <w:bCs/>
        </w:rPr>
        <w:t xml:space="preserve"> For example, one day</w:t>
      </w:r>
      <w:r w:rsidR="002E45CD">
        <w:rPr>
          <w:rFonts w:asciiTheme="minorHAnsi" w:hAnsiTheme="minorHAnsi" w:cstheme="minorHAnsi"/>
          <w:bCs/>
        </w:rPr>
        <w:t xml:space="preserve"> per week</w:t>
      </w:r>
      <w:r w:rsidR="00984ADE">
        <w:rPr>
          <w:rFonts w:asciiTheme="minorHAnsi" w:hAnsiTheme="minorHAnsi" w:cstheme="minorHAnsi"/>
          <w:bCs/>
        </w:rPr>
        <w:t xml:space="preserve"> of English language subjects would not be considered a full</w:t>
      </w:r>
      <w:r w:rsidR="00984ADE">
        <w:rPr>
          <w:rFonts w:asciiTheme="minorHAnsi" w:hAnsiTheme="minorHAnsi" w:cstheme="minorHAnsi"/>
          <w:bCs/>
        </w:rPr>
        <w:noBreakHyphen/>
        <w:t>time block of study. However, one week or more of scheduled course contact hours dedicated to the English language subject would be a block of full</w:t>
      </w:r>
      <w:r w:rsidR="00984ADE">
        <w:rPr>
          <w:rFonts w:asciiTheme="minorHAnsi" w:hAnsiTheme="minorHAnsi" w:cstheme="minorHAnsi"/>
          <w:bCs/>
        </w:rPr>
        <w:noBreakHyphen/>
        <w:t>time study.</w:t>
      </w:r>
    </w:p>
    <w:p w14:paraId="7ECF2D24" w14:textId="7A1305DA" w:rsidR="00523900" w:rsidRDefault="00984ADE"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For paragraph (4)(a), </w:t>
      </w:r>
      <w:r w:rsidR="0041556E">
        <w:rPr>
          <w:rFonts w:asciiTheme="minorHAnsi" w:hAnsiTheme="minorHAnsi" w:cstheme="minorHAnsi"/>
          <w:bCs/>
        </w:rPr>
        <w:t>e</w:t>
      </w:r>
      <w:r w:rsidR="00523900">
        <w:rPr>
          <w:rFonts w:asciiTheme="minorHAnsi" w:hAnsiTheme="minorHAnsi" w:cstheme="minorHAnsi"/>
          <w:bCs/>
        </w:rPr>
        <w:t>xamples of supervised self</w:t>
      </w:r>
      <w:r w:rsidR="00523900">
        <w:rPr>
          <w:rFonts w:asciiTheme="minorHAnsi" w:hAnsiTheme="minorHAnsi" w:cstheme="minorHAnsi"/>
          <w:bCs/>
        </w:rPr>
        <w:noBreakHyphen/>
        <w:t>directed study of English include language laboratory or self</w:t>
      </w:r>
      <w:r w:rsidR="00523900">
        <w:rPr>
          <w:rFonts w:asciiTheme="minorHAnsi" w:hAnsiTheme="minorHAnsi" w:cstheme="minorHAnsi"/>
          <w:bCs/>
        </w:rPr>
        <w:noBreakHyphen/>
        <w:t>access work and computer</w:t>
      </w:r>
      <w:r w:rsidR="00523900">
        <w:rPr>
          <w:rFonts w:asciiTheme="minorHAnsi" w:hAnsiTheme="minorHAnsi" w:cstheme="minorHAnsi"/>
          <w:bCs/>
        </w:rPr>
        <w:noBreakHyphen/>
        <w:t>based study.</w:t>
      </w:r>
    </w:p>
    <w:p w14:paraId="3FB996BF" w14:textId="440718F4" w:rsidR="00984ADE" w:rsidRPr="00584D78" w:rsidRDefault="00984ADE"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 (6) has been included at the request of TEQSA and requires providers to put </w:t>
      </w:r>
      <w:r w:rsidRPr="00984ADE">
        <w:rPr>
          <w:rFonts w:asciiTheme="minorHAnsi" w:hAnsiTheme="minorHAnsi" w:cstheme="minorHAnsi"/>
          <w:bCs/>
        </w:rPr>
        <w:t xml:space="preserve">formal measures in place to ensure that assessment outcomes are comparable to other criteria used for admission to </w:t>
      </w:r>
      <w:r>
        <w:rPr>
          <w:rFonts w:asciiTheme="minorHAnsi" w:hAnsiTheme="minorHAnsi" w:cstheme="minorHAnsi"/>
          <w:bCs/>
        </w:rPr>
        <w:t>higher education pathway</w:t>
      </w:r>
      <w:r w:rsidR="0041556E">
        <w:rPr>
          <w:rFonts w:asciiTheme="minorHAnsi" w:hAnsiTheme="minorHAnsi" w:cstheme="minorHAnsi"/>
          <w:bCs/>
        </w:rPr>
        <w:t>s available upon completion of the Foundation Program</w:t>
      </w:r>
      <w:r w:rsidRPr="00984ADE">
        <w:rPr>
          <w:rFonts w:asciiTheme="minorHAnsi" w:hAnsiTheme="minorHAnsi" w:cstheme="minorHAnsi"/>
          <w:bCs/>
        </w:rPr>
        <w:t>, or for admission to other similar courses of study.</w:t>
      </w:r>
      <w:r w:rsidR="004E4BFF">
        <w:rPr>
          <w:rFonts w:asciiTheme="minorHAnsi" w:hAnsiTheme="minorHAnsi" w:cstheme="minorHAnsi"/>
          <w:bCs/>
        </w:rPr>
        <w:t xml:space="preserve"> </w:t>
      </w:r>
      <w:r w:rsidR="004E4BFF" w:rsidRPr="00E01CA6">
        <w:rPr>
          <w:rFonts w:asciiTheme="minorHAnsi" w:hAnsiTheme="minorHAnsi" w:cstheme="minorHAnsi"/>
          <w:bCs/>
        </w:rPr>
        <w:t xml:space="preserve">For example, explicit </w:t>
      </w:r>
      <w:r w:rsidR="004E4BFF">
        <w:rPr>
          <w:rFonts w:asciiTheme="minorHAnsi" w:hAnsiTheme="minorHAnsi" w:cstheme="minorHAnsi"/>
          <w:bCs/>
        </w:rPr>
        <w:t xml:space="preserve">external </w:t>
      </w:r>
      <w:r w:rsidR="004E4BFF" w:rsidRPr="004F3E6F">
        <w:rPr>
          <w:rFonts w:asciiTheme="minorHAnsi" w:hAnsiTheme="minorHAnsi" w:cstheme="minorHAnsi"/>
          <w:bCs/>
        </w:rPr>
        <w:t>benchmarking of assessment inputs</w:t>
      </w:r>
      <w:r w:rsidR="004E4BFF">
        <w:rPr>
          <w:rFonts w:asciiTheme="minorHAnsi" w:hAnsiTheme="minorHAnsi" w:cstheme="minorHAnsi"/>
          <w:bCs/>
        </w:rPr>
        <w:t xml:space="preserve"> and outputs, b</w:t>
      </w:r>
      <w:r w:rsidR="004E4BFF" w:rsidRPr="004F3E6F">
        <w:rPr>
          <w:rFonts w:asciiTheme="minorHAnsi" w:hAnsiTheme="minorHAnsi" w:cstheme="minorHAnsi"/>
          <w:bCs/>
        </w:rPr>
        <w:t>enchmarking to validated language proficiency frameworks</w:t>
      </w:r>
      <w:r w:rsidR="004E4BFF">
        <w:rPr>
          <w:rFonts w:asciiTheme="minorHAnsi" w:hAnsiTheme="minorHAnsi" w:cstheme="minorHAnsi"/>
          <w:bCs/>
        </w:rPr>
        <w:t>, t</w:t>
      </w:r>
      <w:r w:rsidR="004E4BFF" w:rsidRPr="004F3E6F">
        <w:rPr>
          <w:rFonts w:asciiTheme="minorHAnsi" w:hAnsiTheme="minorHAnsi" w:cstheme="minorHAnsi"/>
          <w:bCs/>
        </w:rPr>
        <w:t>racer studies of student cohorts</w:t>
      </w:r>
      <w:r w:rsidR="004E4BFF">
        <w:rPr>
          <w:rFonts w:asciiTheme="minorHAnsi" w:hAnsiTheme="minorHAnsi" w:cstheme="minorHAnsi"/>
          <w:bCs/>
        </w:rPr>
        <w:t xml:space="preserve"> or sample cohort external testing.</w:t>
      </w:r>
    </w:p>
    <w:p w14:paraId="6D03C7DE" w14:textId="2AB90891" w:rsidR="00523900" w:rsidRPr="00584D78" w:rsidRDefault="00523900" w:rsidP="00A81256">
      <w:pPr>
        <w:keepNext/>
        <w:spacing w:after="160" w:line="259" w:lineRule="auto"/>
        <w:rPr>
          <w:rFonts w:asciiTheme="minorHAnsi" w:hAnsiTheme="minorHAnsi" w:cstheme="minorHAnsi"/>
          <w:b/>
          <w:bCs/>
          <w:u w:val="single"/>
        </w:rPr>
      </w:pPr>
      <w:r w:rsidRPr="00EA3BC3">
        <w:rPr>
          <w:rFonts w:asciiTheme="minorHAnsi" w:hAnsiTheme="minorHAnsi" w:cstheme="minorHAnsi"/>
          <w:b/>
          <w:bCs/>
          <w:u w:val="single"/>
        </w:rPr>
        <w:t>Section 13: Pathways (Standard 6)</w:t>
      </w:r>
    </w:p>
    <w:p w14:paraId="253C40CC" w14:textId="13A5C471" w:rsidR="009A14CF" w:rsidRDefault="00C50F9C" w:rsidP="003F3802">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Subsections (1) and (2) outline </w:t>
      </w:r>
      <w:r w:rsidR="006A20EE">
        <w:rPr>
          <w:rFonts w:asciiTheme="minorHAnsi" w:hAnsiTheme="minorHAnsi" w:cstheme="minorHAnsi"/>
          <w:bCs/>
        </w:rPr>
        <w:t xml:space="preserve">the standards that providers must meet in </w:t>
      </w:r>
      <w:r w:rsidR="00424705">
        <w:rPr>
          <w:rFonts w:asciiTheme="minorHAnsi" w:hAnsiTheme="minorHAnsi" w:cstheme="minorHAnsi"/>
          <w:bCs/>
        </w:rPr>
        <w:t>identifying</w:t>
      </w:r>
      <w:r w:rsidR="001C49FD">
        <w:rPr>
          <w:rFonts w:asciiTheme="minorHAnsi" w:hAnsiTheme="minorHAnsi" w:cstheme="minorHAnsi"/>
          <w:bCs/>
        </w:rPr>
        <w:t xml:space="preserve"> </w:t>
      </w:r>
      <w:r w:rsidR="003F264A">
        <w:rPr>
          <w:rFonts w:asciiTheme="minorHAnsi" w:hAnsiTheme="minorHAnsi" w:cstheme="minorHAnsi"/>
          <w:bCs/>
        </w:rPr>
        <w:t xml:space="preserve">available </w:t>
      </w:r>
      <w:r w:rsidR="006A20EE">
        <w:rPr>
          <w:rFonts w:asciiTheme="minorHAnsi" w:hAnsiTheme="minorHAnsi" w:cstheme="minorHAnsi"/>
          <w:bCs/>
        </w:rPr>
        <w:t xml:space="preserve">higher education pathways </w:t>
      </w:r>
      <w:r>
        <w:rPr>
          <w:rFonts w:asciiTheme="minorHAnsi" w:hAnsiTheme="minorHAnsi" w:cstheme="minorHAnsi"/>
          <w:bCs/>
        </w:rPr>
        <w:t>for</w:t>
      </w:r>
      <w:r w:rsidR="006A20EE">
        <w:rPr>
          <w:rFonts w:asciiTheme="minorHAnsi" w:hAnsiTheme="minorHAnsi" w:cstheme="minorHAnsi"/>
          <w:bCs/>
        </w:rPr>
        <w:t xml:space="preserve"> students </w:t>
      </w:r>
      <w:r w:rsidR="001222F0">
        <w:rPr>
          <w:rFonts w:asciiTheme="minorHAnsi" w:hAnsiTheme="minorHAnsi" w:cstheme="minorHAnsi"/>
          <w:bCs/>
        </w:rPr>
        <w:t>who successfully complete</w:t>
      </w:r>
      <w:r>
        <w:rPr>
          <w:rFonts w:asciiTheme="minorHAnsi" w:hAnsiTheme="minorHAnsi" w:cstheme="minorHAnsi"/>
          <w:bCs/>
        </w:rPr>
        <w:t xml:space="preserve"> specific</w:t>
      </w:r>
      <w:r w:rsidR="001222F0">
        <w:rPr>
          <w:rFonts w:asciiTheme="minorHAnsi" w:hAnsiTheme="minorHAnsi" w:cstheme="minorHAnsi"/>
          <w:bCs/>
        </w:rPr>
        <w:t xml:space="preserve"> Foundation Programs.</w:t>
      </w:r>
    </w:p>
    <w:p w14:paraId="6D5BA098" w14:textId="1970D901" w:rsidR="00434508" w:rsidRDefault="00237EDA"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Paragraph (1)</w:t>
      </w:r>
      <w:r w:rsidR="004A4EBF">
        <w:rPr>
          <w:rFonts w:asciiTheme="minorHAnsi" w:hAnsiTheme="minorHAnsi" w:cstheme="minorHAnsi"/>
          <w:bCs/>
        </w:rPr>
        <w:t>(a) is a new requirement for providers</w:t>
      </w:r>
      <w:r w:rsidR="00BB4E04">
        <w:rPr>
          <w:rFonts w:asciiTheme="minorHAnsi" w:hAnsiTheme="minorHAnsi" w:cstheme="minorHAnsi"/>
          <w:bCs/>
        </w:rPr>
        <w:t xml:space="preserve"> to give assurance to prospective higher education providers that students who complete Foundation Programs </w:t>
      </w:r>
      <w:r w:rsidR="009B0795">
        <w:rPr>
          <w:rFonts w:asciiTheme="minorHAnsi" w:hAnsiTheme="minorHAnsi" w:cstheme="minorHAnsi"/>
          <w:bCs/>
        </w:rPr>
        <w:t xml:space="preserve">will </w:t>
      </w:r>
      <w:r w:rsidR="00276262">
        <w:rPr>
          <w:rFonts w:asciiTheme="minorHAnsi" w:hAnsiTheme="minorHAnsi" w:cstheme="minorHAnsi"/>
          <w:bCs/>
        </w:rPr>
        <w:t>demonstrate overall readiness</w:t>
      </w:r>
      <w:r w:rsidR="00FB4419">
        <w:rPr>
          <w:rFonts w:asciiTheme="minorHAnsi" w:hAnsiTheme="minorHAnsi" w:cstheme="minorHAnsi"/>
          <w:bCs/>
        </w:rPr>
        <w:t xml:space="preserve"> to enter higher education</w:t>
      </w:r>
      <w:r w:rsidR="004A4EBF">
        <w:rPr>
          <w:rFonts w:asciiTheme="minorHAnsi" w:hAnsiTheme="minorHAnsi" w:cstheme="minorHAnsi"/>
          <w:bCs/>
        </w:rPr>
        <w:t>.</w:t>
      </w:r>
      <w:r w:rsidR="008E2F06">
        <w:rPr>
          <w:rFonts w:asciiTheme="minorHAnsi" w:hAnsiTheme="minorHAnsi" w:cstheme="minorHAnsi"/>
          <w:bCs/>
        </w:rPr>
        <w:t xml:space="preserve"> </w:t>
      </w:r>
    </w:p>
    <w:p w14:paraId="4D9A456F" w14:textId="0D5C8B74" w:rsidR="00237EDA" w:rsidRDefault="008E2F06"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The purpose of </w:t>
      </w:r>
      <w:r w:rsidR="00FB168A">
        <w:rPr>
          <w:rFonts w:asciiTheme="minorHAnsi" w:hAnsiTheme="minorHAnsi" w:cstheme="minorHAnsi"/>
          <w:bCs/>
        </w:rPr>
        <w:t xml:space="preserve">this requirement is to ensure providers </w:t>
      </w:r>
      <w:r w:rsidR="0053335B">
        <w:rPr>
          <w:rFonts w:asciiTheme="minorHAnsi" w:hAnsiTheme="minorHAnsi" w:cstheme="minorHAnsi"/>
          <w:bCs/>
        </w:rPr>
        <w:t>carefully consider</w:t>
      </w:r>
      <w:r w:rsidR="00257772">
        <w:rPr>
          <w:rFonts w:asciiTheme="minorHAnsi" w:hAnsiTheme="minorHAnsi" w:cstheme="minorHAnsi"/>
          <w:bCs/>
        </w:rPr>
        <w:t xml:space="preserve"> </w:t>
      </w:r>
      <w:r w:rsidR="003630E9">
        <w:rPr>
          <w:rFonts w:asciiTheme="minorHAnsi" w:hAnsiTheme="minorHAnsi" w:cstheme="minorHAnsi"/>
          <w:bCs/>
        </w:rPr>
        <w:t>whether</w:t>
      </w:r>
      <w:r w:rsidR="00257772">
        <w:rPr>
          <w:rFonts w:asciiTheme="minorHAnsi" w:hAnsiTheme="minorHAnsi" w:cstheme="minorHAnsi"/>
          <w:bCs/>
        </w:rPr>
        <w:t xml:space="preserve"> a Foundation Program equips students with </w:t>
      </w:r>
      <w:r w:rsidR="003630E9">
        <w:rPr>
          <w:rFonts w:asciiTheme="minorHAnsi" w:hAnsiTheme="minorHAnsi" w:cstheme="minorHAnsi"/>
          <w:bCs/>
        </w:rPr>
        <w:t>the skills and knowledge to successfully commence higher education study</w:t>
      </w:r>
      <w:r w:rsidR="0053335B">
        <w:rPr>
          <w:rFonts w:asciiTheme="minorHAnsi" w:hAnsiTheme="minorHAnsi" w:cstheme="minorHAnsi"/>
          <w:bCs/>
        </w:rPr>
        <w:t xml:space="preserve">. Additionally, </w:t>
      </w:r>
      <w:r w:rsidR="00445F44">
        <w:rPr>
          <w:rFonts w:asciiTheme="minorHAnsi" w:hAnsiTheme="minorHAnsi" w:cstheme="minorHAnsi"/>
          <w:bCs/>
        </w:rPr>
        <w:t xml:space="preserve">providers should carefully monitor </w:t>
      </w:r>
      <w:r w:rsidR="00E50E94">
        <w:rPr>
          <w:rFonts w:asciiTheme="minorHAnsi" w:hAnsiTheme="minorHAnsi" w:cstheme="minorHAnsi"/>
          <w:bCs/>
        </w:rPr>
        <w:t>the progress of individual students and</w:t>
      </w:r>
      <w:r w:rsidR="0064592E">
        <w:rPr>
          <w:rFonts w:asciiTheme="minorHAnsi" w:hAnsiTheme="minorHAnsi" w:cstheme="minorHAnsi"/>
          <w:bCs/>
        </w:rPr>
        <w:t xml:space="preserve">, if the provider considers that the student may not demonstrate overall readiness </w:t>
      </w:r>
      <w:r w:rsidR="00FB4419">
        <w:rPr>
          <w:rFonts w:asciiTheme="minorHAnsi" w:hAnsiTheme="minorHAnsi" w:cstheme="minorHAnsi"/>
          <w:bCs/>
        </w:rPr>
        <w:t xml:space="preserve">to enter higher education </w:t>
      </w:r>
      <w:r w:rsidR="0064592E">
        <w:rPr>
          <w:rFonts w:asciiTheme="minorHAnsi" w:hAnsiTheme="minorHAnsi" w:cstheme="minorHAnsi"/>
          <w:bCs/>
        </w:rPr>
        <w:t>by completion of the program,</w:t>
      </w:r>
      <w:r w:rsidR="00E50E94">
        <w:rPr>
          <w:rFonts w:asciiTheme="minorHAnsi" w:hAnsiTheme="minorHAnsi" w:cstheme="minorHAnsi"/>
          <w:bCs/>
        </w:rPr>
        <w:t xml:space="preserve"> provide additional support </w:t>
      </w:r>
      <w:r w:rsidR="008950A0">
        <w:rPr>
          <w:rFonts w:asciiTheme="minorHAnsi" w:hAnsiTheme="minorHAnsi" w:cstheme="minorHAnsi"/>
          <w:bCs/>
        </w:rPr>
        <w:t xml:space="preserve">or advice on </w:t>
      </w:r>
      <w:r w:rsidR="00E50E94">
        <w:rPr>
          <w:rFonts w:asciiTheme="minorHAnsi" w:hAnsiTheme="minorHAnsi" w:cstheme="minorHAnsi"/>
          <w:bCs/>
        </w:rPr>
        <w:t>alternate pathways</w:t>
      </w:r>
      <w:r w:rsidR="00445F44">
        <w:rPr>
          <w:rFonts w:asciiTheme="minorHAnsi" w:hAnsiTheme="minorHAnsi" w:cstheme="minorHAnsi"/>
          <w:bCs/>
        </w:rPr>
        <w:t>.</w:t>
      </w:r>
    </w:p>
    <w:p w14:paraId="7465BD85" w14:textId="638632CB" w:rsidR="00507A45" w:rsidRDefault="00507A45"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Subsections (3) to (6) outline the standards that providers must meet in communicating </w:t>
      </w:r>
      <w:r w:rsidR="00402144">
        <w:rPr>
          <w:rFonts w:asciiTheme="minorHAnsi" w:hAnsiTheme="minorHAnsi" w:cstheme="minorHAnsi"/>
          <w:bCs/>
        </w:rPr>
        <w:t xml:space="preserve">with prospective students </w:t>
      </w:r>
      <w:r w:rsidR="00EA3BC3">
        <w:rPr>
          <w:rFonts w:asciiTheme="minorHAnsi" w:hAnsiTheme="minorHAnsi" w:cstheme="minorHAnsi"/>
          <w:bCs/>
        </w:rPr>
        <w:t xml:space="preserve">about the </w:t>
      </w:r>
      <w:r w:rsidR="00053E67">
        <w:rPr>
          <w:rFonts w:asciiTheme="minorHAnsi" w:hAnsiTheme="minorHAnsi" w:cstheme="minorHAnsi"/>
          <w:bCs/>
        </w:rPr>
        <w:t xml:space="preserve">higher education pathways </w:t>
      </w:r>
      <w:r w:rsidR="00EA3BC3">
        <w:rPr>
          <w:rFonts w:asciiTheme="minorHAnsi" w:hAnsiTheme="minorHAnsi" w:cstheme="minorHAnsi"/>
          <w:bCs/>
        </w:rPr>
        <w:t>available upon completion of a Foundation Program.</w:t>
      </w:r>
    </w:p>
    <w:p w14:paraId="2E578325" w14:textId="22C8DE09" w:rsidR="00213BF3" w:rsidRDefault="00213BF3"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Subsection (7) provides a definition for ‘stated goal’ for the purposes of subsection (6).</w:t>
      </w:r>
    </w:p>
    <w:p w14:paraId="342FED5B" w14:textId="42C6644D" w:rsidR="00523900" w:rsidRPr="00584D78" w:rsidRDefault="00523900" w:rsidP="00073E42">
      <w:pPr>
        <w:keepNext/>
        <w:spacing w:after="16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14</w:t>
      </w:r>
      <w:r w:rsidRPr="00584D78">
        <w:rPr>
          <w:rFonts w:asciiTheme="minorHAnsi" w:hAnsiTheme="minorHAnsi" w:cstheme="minorHAnsi"/>
          <w:b/>
          <w:bCs/>
          <w:u w:val="single"/>
        </w:rPr>
        <w:t xml:space="preserve">: </w:t>
      </w:r>
      <w:r>
        <w:rPr>
          <w:rFonts w:asciiTheme="minorHAnsi" w:hAnsiTheme="minorHAnsi" w:cstheme="minorHAnsi"/>
          <w:b/>
          <w:bCs/>
          <w:u w:val="single"/>
        </w:rPr>
        <w:t xml:space="preserve">Assessment </w:t>
      </w:r>
      <w:r w:rsidRPr="00584D78">
        <w:rPr>
          <w:rFonts w:asciiTheme="minorHAnsi" w:hAnsiTheme="minorHAnsi" w:cstheme="minorHAnsi"/>
          <w:b/>
          <w:bCs/>
          <w:u w:val="single"/>
        </w:rPr>
        <w:t xml:space="preserve">(Standard </w:t>
      </w:r>
      <w:r>
        <w:rPr>
          <w:rFonts w:asciiTheme="minorHAnsi" w:hAnsiTheme="minorHAnsi" w:cstheme="minorHAnsi"/>
          <w:b/>
          <w:bCs/>
          <w:u w:val="single"/>
        </w:rPr>
        <w:t>7</w:t>
      </w:r>
      <w:r w:rsidRPr="00584D78">
        <w:rPr>
          <w:rFonts w:asciiTheme="minorHAnsi" w:hAnsiTheme="minorHAnsi" w:cstheme="minorHAnsi"/>
          <w:b/>
          <w:bCs/>
          <w:u w:val="single"/>
        </w:rPr>
        <w:t>)</w:t>
      </w:r>
    </w:p>
    <w:p w14:paraId="2DB196B9" w14:textId="4ABB872C" w:rsidR="00523900" w:rsidRDefault="00CA7611" w:rsidP="003F3802">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Subsections (1) to (3) </w:t>
      </w:r>
      <w:r w:rsidR="0041556E">
        <w:rPr>
          <w:rFonts w:asciiTheme="minorHAnsi" w:hAnsiTheme="minorHAnsi" w:cstheme="minorHAnsi"/>
          <w:bCs/>
        </w:rPr>
        <w:t>outline</w:t>
      </w:r>
      <w:r>
        <w:rPr>
          <w:rFonts w:asciiTheme="minorHAnsi" w:hAnsiTheme="minorHAnsi" w:cstheme="minorHAnsi"/>
          <w:bCs/>
        </w:rPr>
        <w:t xml:space="preserve"> the requirements for</w:t>
      </w:r>
      <w:r w:rsidR="0041556E">
        <w:rPr>
          <w:rFonts w:asciiTheme="minorHAnsi" w:hAnsiTheme="minorHAnsi" w:cstheme="minorHAnsi"/>
          <w:bCs/>
        </w:rPr>
        <w:t xml:space="preserve"> assessment methods</w:t>
      </w:r>
      <w:r>
        <w:rPr>
          <w:rFonts w:asciiTheme="minorHAnsi" w:hAnsiTheme="minorHAnsi" w:cstheme="minorHAnsi"/>
          <w:bCs/>
        </w:rPr>
        <w:t xml:space="preserve"> and record keeping.</w:t>
      </w:r>
    </w:p>
    <w:p w14:paraId="4CE6A4AC" w14:textId="4AB4CB9B" w:rsidR="0041556E" w:rsidRPr="009A14CF" w:rsidRDefault="0041556E" w:rsidP="00073E42">
      <w:pPr>
        <w:pStyle w:val="ListParagraph"/>
        <w:numPr>
          <w:ilvl w:val="0"/>
          <w:numId w:val="1"/>
        </w:numPr>
        <w:spacing w:before="360" w:after="120"/>
        <w:ind w:hanging="357"/>
        <w:rPr>
          <w:rFonts w:asciiTheme="minorHAnsi" w:hAnsiTheme="minorHAnsi" w:cstheme="minorHAnsi"/>
          <w:bCs/>
        </w:rPr>
      </w:pPr>
      <w:r>
        <w:rPr>
          <w:rFonts w:asciiTheme="minorHAnsi" w:hAnsiTheme="minorHAnsi" w:cstheme="minorHAnsi"/>
          <w:bCs/>
        </w:rPr>
        <w:t>Paragraph (1)(d) allows providers to adopt a more flexible oversight or moderation policy for assessment. W</w:t>
      </w:r>
      <w:r w:rsidRPr="009A14CF">
        <w:rPr>
          <w:rFonts w:asciiTheme="minorHAnsi" w:hAnsiTheme="minorHAnsi" w:cstheme="minorHAnsi"/>
          <w:bCs/>
        </w:rPr>
        <w:t xml:space="preserve">hat is appropriate, and the necessary level of independence in oversight or moderation, will vary depending on </w:t>
      </w:r>
      <w:r>
        <w:rPr>
          <w:rFonts w:asciiTheme="minorHAnsi" w:hAnsiTheme="minorHAnsi" w:cstheme="minorHAnsi"/>
          <w:bCs/>
        </w:rPr>
        <w:t xml:space="preserve">certain </w:t>
      </w:r>
      <w:r w:rsidRPr="009A14CF">
        <w:rPr>
          <w:rFonts w:asciiTheme="minorHAnsi" w:hAnsiTheme="minorHAnsi" w:cstheme="minorHAnsi"/>
          <w:bCs/>
        </w:rPr>
        <w:t>factors</w:t>
      </w:r>
      <w:r>
        <w:rPr>
          <w:rFonts w:asciiTheme="minorHAnsi" w:hAnsiTheme="minorHAnsi" w:cstheme="minorHAnsi"/>
          <w:bCs/>
        </w:rPr>
        <w:t>,</w:t>
      </w:r>
      <w:r w:rsidRPr="009A14CF">
        <w:rPr>
          <w:rFonts w:asciiTheme="minorHAnsi" w:hAnsiTheme="minorHAnsi" w:cstheme="minorHAnsi"/>
          <w:bCs/>
        </w:rPr>
        <w:t xml:space="preserve"> including:</w:t>
      </w:r>
    </w:p>
    <w:p w14:paraId="474846AE" w14:textId="77777777" w:rsidR="0041556E" w:rsidRPr="009A14CF" w:rsidRDefault="0041556E" w:rsidP="00073E42">
      <w:pPr>
        <w:pStyle w:val="ListParagraph"/>
        <w:numPr>
          <w:ilvl w:val="0"/>
          <w:numId w:val="5"/>
        </w:numPr>
        <w:spacing w:before="360" w:after="120"/>
        <w:ind w:hanging="357"/>
        <w:rPr>
          <w:rFonts w:asciiTheme="minorHAnsi" w:hAnsiTheme="minorHAnsi" w:cstheme="minorHAnsi"/>
          <w:bCs/>
        </w:rPr>
      </w:pPr>
      <w:r w:rsidRPr="009A14CF">
        <w:rPr>
          <w:rFonts w:asciiTheme="minorHAnsi" w:hAnsiTheme="minorHAnsi" w:cstheme="minorHAnsi"/>
          <w:bCs/>
        </w:rPr>
        <w:t>the weighting of each assessment</w:t>
      </w:r>
      <w:r>
        <w:rPr>
          <w:rFonts w:asciiTheme="minorHAnsi" w:hAnsiTheme="minorHAnsi" w:cstheme="minorHAnsi"/>
          <w:bCs/>
        </w:rPr>
        <w:t>;</w:t>
      </w:r>
    </w:p>
    <w:p w14:paraId="3ACC6624" w14:textId="77777777" w:rsidR="0041556E" w:rsidRPr="009A14CF" w:rsidRDefault="0041556E" w:rsidP="00073E42">
      <w:pPr>
        <w:pStyle w:val="ListParagraph"/>
        <w:numPr>
          <w:ilvl w:val="0"/>
          <w:numId w:val="5"/>
        </w:numPr>
        <w:spacing w:before="360" w:after="120"/>
        <w:ind w:hanging="357"/>
        <w:rPr>
          <w:rFonts w:asciiTheme="minorHAnsi" w:hAnsiTheme="minorHAnsi" w:cstheme="minorHAnsi"/>
          <w:bCs/>
        </w:rPr>
      </w:pPr>
      <w:r w:rsidRPr="009A14CF">
        <w:rPr>
          <w:rFonts w:asciiTheme="minorHAnsi" w:hAnsiTheme="minorHAnsi" w:cstheme="minorHAnsi"/>
          <w:bCs/>
        </w:rPr>
        <w:t>whether a subject is being delivered for the first time</w:t>
      </w:r>
      <w:r>
        <w:rPr>
          <w:rFonts w:asciiTheme="minorHAnsi" w:hAnsiTheme="minorHAnsi" w:cstheme="minorHAnsi"/>
          <w:bCs/>
        </w:rPr>
        <w:t>;</w:t>
      </w:r>
    </w:p>
    <w:p w14:paraId="4E774041" w14:textId="77777777" w:rsidR="0041556E" w:rsidRPr="009A14CF" w:rsidRDefault="0041556E" w:rsidP="00073E42">
      <w:pPr>
        <w:pStyle w:val="ListParagraph"/>
        <w:numPr>
          <w:ilvl w:val="0"/>
          <w:numId w:val="5"/>
        </w:numPr>
        <w:spacing w:before="360" w:after="120"/>
        <w:ind w:hanging="357"/>
        <w:rPr>
          <w:rFonts w:asciiTheme="minorHAnsi" w:hAnsiTheme="minorHAnsi" w:cstheme="minorHAnsi"/>
          <w:bCs/>
        </w:rPr>
      </w:pPr>
      <w:r w:rsidRPr="009A14CF">
        <w:rPr>
          <w:rFonts w:asciiTheme="minorHAnsi" w:hAnsiTheme="minorHAnsi" w:cstheme="minorHAnsi"/>
          <w:bCs/>
        </w:rPr>
        <w:t>when a subject or course was last moderated or reviewed</w:t>
      </w:r>
      <w:r>
        <w:rPr>
          <w:rFonts w:asciiTheme="minorHAnsi" w:hAnsiTheme="minorHAnsi" w:cstheme="minorHAnsi"/>
          <w:bCs/>
        </w:rPr>
        <w:t>; and</w:t>
      </w:r>
    </w:p>
    <w:p w14:paraId="4FE8DAE6" w14:textId="77777777" w:rsidR="0041556E" w:rsidRPr="009A14CF" w:rsidRDefault="0041556E" w:rsidP="00073E42">
      <w:pPr>
        <w:pStyle w:val="ListParagraph"/>
        <w:numPr>
          <w:ilvl w:val="0"/>
          <w:numId w:val="5"/>
        </w:numPr>
        <w:spacing w:before="360" w:after="120"/>
        <w:ind w:hanging="357"/>
        <w:rPr>
          <w:rFonts w:asciiTheme="minorHAnsi" w:hAnsiTheme="minorHAnsi" w:cstheme="minorHAnsi"/>
          <w:bCs/>
        </w:rPr>
      </w:pPr>
      <w:r w:rsidRPr="009A14CF">
        <w:rPr>
          <w:rFonts w:asciiTheme="minorHAnsi" w:hAnsiTheme="minorHAnsi" w:cstheme="minorHAnsi"/>
          <w:bCs/>
        </w:rPr>
        <w:t>whether there have been any concerns or complaints raised concerning the delivery or integrity of a subject, teacher or provider</w:t>
      </w:r>
      <w:r>
        <w:rPr>
          <w:rFonts w:asciiTheme="minorHAnsi" w:hAnsiTheme="minorHAnsi" w:cstheme="minorHAnsi"/>
          <w:bCs/>
        </w:rPr>
        <w:t>.</w:t>
      </w:r>
    </w:p>
    <w:p w14:paraId="332288DD" w14:textId="7EEF7F0E" w:rsidR="0041556E" w:rsidRPr="009A14CF" w:rsidRDefault="0041556E" w:rsidP="00073E42">
      <w:pPr>
        <w:pStyle w:val="ListParagraph"/>
        <w:numPr>
          <w:ilvl w:val="0"/>
          <w:numId w:val="1"/>
        </w:numPr>
        <w:spacing w:before="360" w:after="120"/>
        <w:rPr>
          <w:rFonts w:asciiTheme="minorHAnsi" w:hAnsiTheme="minorHAnsi" w:cstheme="minorHAnsi"/>
          <w:bCs/>
        </w:rPr>
      </w:pPr>
      <w:r w:rsidRPr="009A14CF">
        <w:rPr>
          <w:rFonts w:asciiTheme="minorHAnsi" w:hAnsiTheme="minorHAnsi" w:cstheme="minorHAnsi"/>
          <w:bCs/>
        </w:rPr>
        <w:t>For example</w:t>
      </w:r>
      <w:r w:rsidR="00A469F5">
        <w:rPr>
          <w:rFonts w:asciiTheme="minorHAnsi" w:hAnsiTheme="minorHAnsi" w:cstheme="minorHAnsi"/>
          <w:bCs/>
        </w:rPr>
        <w:t>,</w:t>
      </w:r>
      <w:r w:rsidRPr="009A14CF">
        <w:rPr>
          <w:rFonts w:asciiTheme="minorHAnsi" w:hAnsiTheme="minorHAnsi" w:cstheme="minorHAnsi"/>
          <w:bCs/>
        </w:rPr>
        <w:t xml:space="preserve"> where a course has been successfully delivered over a number of years and features multiple assessments, none of which are weighted at over forty percent of the overall grade, periodic review of assessment outcomes by a teacher not delivering the course may constitute an appropriate level of independent oversight or moderation.</w:t>
      </w:r>
    </w:p>
    <w:p w14:paraId="4EE961EC" w14:textId="6E6030AC" w:rsidR="0041556E" w:rsidRPr="009A14CF" w:rsidRDefault="0041556E" w:rsidP="00073E42">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Conversely, w</w:t>
      </w:r>
      <w:r w:rsidRPr="009A14CF">
        <w:rPr>
          <w:rFonts w:asciiTheme="minorHAnsi" w:hAnsiTheme="minorHAnsi" w:cstheme="minorHAnsi"/>
          <w:bCs/>
        </w:rPr>
        <w:t xml:space="preserve">here a provider is delivering a course or subject for the first time, or concerns have been raised around the delivery of a subject, independent moderation from an appropriately experienced individual not </w:t>
      </w:r>
      <w:r w:rsidR="005021A5">
        <w:rPr>
          <w:rFonts w:asciiTheme="minorHAnsi" w:hAnsiTheme="minorHAnsi" w:cstheme="minorHAnsi"/>
          <w:bCs/>
        </w:rPr>
        <w:t xml:space="preserve">usually </w:t>
      </w:r>
      <w:r w:rsidRPr="009A14CF">
        <w:rPr>
          <w:rFonts w:asciiTheme="minorHAnsi" w:hAnsiTheme="minorHAnsi" w:cstheme="minorHAnsi"/>
          <w:bCs/>
        </w:rPr>
        <w:t>employed by the provider may be appropriate.</w:t>
      </w:r>
    </w:p>
    <w:p w14:paraId="66B0A4BA" w14:textId="37CA9886" w:rsidR="0041556E" w:rsidRDefault="0041556E"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 (2) </w:t>
      </w:r>
      <w:r w:rsidR="00D443CE">
        <w:rPr>
          <w:rFonts w:asciiTheme="minorHAnsi" w:hAnsiTheme="minorHAnsi" w:cstheme="minorHAnsi"/>
          <w:bCs/>
        </w:rPr>
        <w:t xml:space="preserve">clarifies that there is a </w:t>
      </w:r>
      <w:r>
        <w:rPr>
          <w:rFonts w:asciiTheme="minorHAnsi" w:hAnsiTheme="minorHAnsi" w:cstheme="minorHAnsi"/>
          <w:bCs/>
        </w:rPr>
        <w:t>requirement on providers to include</w:t>
      </w:r>
      <w:r w:rsidR="00CA7611">
        <w:rPr>
          <w:rFonts w:asciiTheme="minorHAnsi" w:hAnsiTheme="minorHAnsi" w:cstheme="minorHAnsi"/>
          <w:bCs/>
        </w:rPr>
        <w:t xml:space="preserve"> at least</w:t>
      </w:r>
      <w:r>
        <w:rPr>
          <w:rFonts w:asciiTheme="minorHAnsi" w:hAnsiTheme="minorHAnsi" w:cstheme="minorHAnsi"/>
          <w:bCs/>
        </w:rPr>
        <w:t xml:space="preserve"> two assessment </w:t>
      </w:r>
      <w:r w:rsidR="006540EF">
        <w:rPr>
          <w:rFonts w:asciiTheme="minorHAnsi" w:hAnsiTheme="minorHAnsi" w:cstheme="minorHAnsi"/>
          <w:bCs/>
        </w:rPr>
        <w:t xml:space="preserve">processes </w:t>
      </w:r>
      <w:r>
        <w:rPr>
          <w:rFonts w:asciiTheme="minorHAnsi" w:hAnsiTheme="minorHAnsi" w:cstheme="minorHAnsi"/>
          <w:bCs/>
        </w:rPr>
        <w:t xml:space="preserve">per subject. The purpose of this requirement is to ensure </w:t>
      </w:r>
      <w:r w:rsidR="00CA7611">
        <w:rPr>
          <w:rFonts w:asciiTheme="minorHAnsi" w:hAnsiTheme="minorHAnsi" w:cstheme="minorHAnsi"/>
          <w:bCs/>
        </w:rPr>
        <w:t xml:space="preserve">a student’s grade for a subject is not based on a single piece of formally assessed coursework or a single examination. The assessment </w:t>
      </w:r>
      <w:r w:rsidR="006540EF">
        <w:rPr>
          <w:rFonts w:asciiTheme="minorHAnsi" w:hAnsiTheme="minorHAnsi" w:cstheme="minorHAnsi"/>
          <w:bCs/>
        </w:rPr>
        <w:t>processes</w:t>
      </w:r>
      <w:r w:rsidR="00CA7611">
        <w:rPr>
          <w:rFonts w:asciiTheme="minorHAnsi" w:hAnsiTheme="minorHAnsi" w:cstheme="minorHAnsi"/>
          <w:bCs/>
        </w:rPr>
        <w:t xml:space="preserve"> may be all formally assessed coursework, all examinations, or a mixture of both. This subsection </w:t>
      </w:r>
      <w:r w:rsidR="00090B57">
        <w:rPr>
          <w:rFonts w:asciiTheme="minorHAnsi" w:hAnsiTheme="minorHAnsi" w:cstheme="minorHAnsi"/>
          <w:bCs/>
        </w:rPr>
        <w:t>is a l</w:t>
      </w:r>
      <w:r w:rsidR="00896DA0">
        <w:rPr>
          <w:rFonts w:asciiTheme="minorHAnsi" w:hAnsiTheme="minorHAnsi" w:cstheme="minorHAnsi"/>
          <w:bCs/>
        </w:rPr>
        <w:t xml:space="preserve">imitation on the minimum number of assessment </w:t>
      </w:r>
      <w:r w:rsidR="006540EF">
        <w:rPr>
          <w:rFonts w:asciiTheme="minorHAnsi" w:hAnsiTheme="minorHAnsi" w:cstheme="minorHAnsi"/>
          <w:bCs/>
        </w:rPr>
        <w:t>processes</w:t>
      </w:r>
      <w:r w:rsidR="00896DA0">
        <w:rPr>
          <w:rFonts w:asciiTheme="minorHAnsi" w:hAnsiTheme="minorHAnsi" w:cstheme="minorHAnsi"/>
          <w:bCs/>
        </w:rPr>
        <w:t xml:space="preserve"> and </w:t>
      </w:r>
      <w:r w:rsidR="00CA7611">
        <w:rPr>
          <w:rFonts w:asciiTheme="minorHAnsi" w:hAnsiTheme="minorHAnsi" w:cstheme="minorHAnsi"/>
          <w:bCs/>
        </w:rPr>
        <w:t xml:space="preserve">does not preclude a provider from including more than two assessment </w:t>
      </w:r>
      <w:r w:rsidR="006540EF">
        <w:rPr>
          <w:rFonts w:asciiTheme="minorHAnsi" w:hAnsiTheme="minorHAnsi" w:cstheme="minorHAnsi"/>
          <w:bCs/>
        </w:rPr>
        <w:t>processes</w:t>
      </w:r>
      <w:r w:rsidR="00CA7611">
        <w:rPr>
          <w:rFonts w:asciiTheme="minorHAnsi" w:hAnsiTheme="minorHAnsi" w:cstheme="minorHAnsi"/>
          <w:bCs/>
        </w:rPr>
        <w:t xml:space="preserve"> per subject.</w:t>
      </w:r>
    </w:p>
    <w:p w14:paraId="6F023CD6" w14:textId="665601AC" w:rsidR="003F3802" w:rsidRPr="005706CD" w:rsidRDefault="00CA7611"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In addition to subsection (3),</w:t>
      </w:r>
      <w:r w:rsidR="0041556E">
        <w:rPr>
          <w:rFonts w:asciiTheme="minorHAnsi" w:hAnsiTheme="minorHAnsi" w:cstheme="minorHAnsi"/>
          <w:bCs/>
        </w:rPr>
        <w:t xml:space="preserve"> record keeping requirements </w:t>
      </w:r>
      <w:r>
        <w:rPr>
          <w:rFonts w:asciiTheme="minorHAnsi" w:hAnsiTheme="minorHAnsi" w:cstheme="minorHAnsi"/>
          <w:bCs/>
        </w:rPr>
        <w:t xml:space="preserve">applicable to providers </w:t>
      </w:r>
      <w:r w:rsidR="0041556E">
        <w:rPr>
          <w:rFonts w:asciiTheme="minorHAnsi" w:hAnsiTheme="minorHAnsi" w:cstheme="minorHAnsi"/>
          <w:bCs/>
        </w:rPr>
        <w:t>are set out in ESOS Act</w:t>
      </w:r>
      <w:r>
        <w:rPr>
          <w:rFonts w:asciiTheme="minorHAnsi" w:hAnsiTheme="minorHAnsi" w:cstheme="minorHAnsi"/>
          <w:bCs/>
        </w:rPr>
        <w:t>.</w:t>
      </w:r>
    </w:p>
    <w:p w14:paraId="4C2F9609" w14:textId="04402A8B" w:rsidR="005706CD" w:rsidRDefault="003F3802" w:rsidP="00073E42">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Subsections (4) to (12) </w:t>
      </w:r>
      <w:r w:rsidR="00CA7611">
        <w:rPr>
          <w:rFonts w:asciiTheme="minorHAnsi" w:hAnsiTheme="minorHAnsi" w:cstheme="minorHAnsi"/>
          <w:bCs/>
        </w:rPr>
        <w:t xml:space="preserve">closely mirror </w:t>
      </w:r>
      <w:r w:rsidR="006540EF">
        <w:rPr>
          <w:rFonts w:asciiTheme="minorHAnsi" w:hAnsiTheme="minorHAnsi" w:cstheme="minorHAnsi"/>
          <w:bCs/>
        </w:rPr>
        <w:t>former</w:t>
      </w:r>
      <w:r w:rsidR="00CA7611">
        <w:rPr>
          <w:rFonts w:asciiTheme="minorHAnsi" w:hAnsiTheme="minorHAnsi" w:cstheme="minorHAnsi"/>
          <w:bCs/>
        </w:rPr>
        <w:t xml:space="preserve"> Standard 5.4</w:t>
      </w:r>
      <w:r w:rsidR="00424C51">
        <w:rPr>
          <w:rFonts w:asciiTheme="minorHAnsi" w:hAnsiTheme="minorHAnsi" w:cstheme="minorHAnsi"/>
          <w:bCs/>
        </w:rPr>
        <w:t xml:space="preserve"> </w:t>
      </w:r>
      <w:r w:rsidR="006540EF">
        <w:rPr>
          <w:rFonts w:asciiTheme="minorHAnsi" w:hAnsiTheme="minorHAnsi" w:cstheme="minorHAnsi"/>
          <w:bCs/>
        </w:rPr>
        <w:t xml:space="preserve">in the old Standards </w:t>
      </w:r>
      <w:r w:rsidR="00424C51">
        <w:rPr>
          <w:rFonts w:asciiTheme="minorHAnsi" w:hAnsiTheme="minorHAnsi" w:cstheme="minorHAnsi"/>
          <w:bCs/>
        </w:rPr>
        <w:t>and outline the requirements for communicating, reporting and monitoring the assessment process and students’ assessment results.</w:t>
      </w:r>
      <w:r w:rsidR="00CA7611">
        <w:rPr>
          <w:rFonts w:asciiTheme="minorHAnsi" w:hAnsiTheme="minorHAnsi" w:cstheme="minorHAnsi"/>
          <w:bCs/>
        </w:rPr>
        <w:t xml:space="preserve"> </w:t>
      </w:r>
    </w:p>
    <w:p w14:paraId="2DBD2950" w14:textId="4CBA6981" w:rsidR="0041556E" w:rsidRDefault="005706CD" w:rsidP="00073E42">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However, </w:t>
      </w:r>
      <w:r w:rsidR="00761F6E">
        <w:rPr>
          <w:rFonts w:asciiTheme="minorHAnsi" w:hAnsiTheme="minorHAnsi" w:cstheme="minorHAnsi"/>
          <w:bCs/>
        </w:rPr>
        <w:t xml:space="preserve">Subsections (7) and (9) </w:t>
      </w:r>
      <w:r w:rsidR="00FB120A">
        <w:rPr>
          <w:rFonts w:asciiTheme="minorHAnsi" w:hAnsiTheme="minorHAnsi" w:cstheme="minorHAnsi"/>
          <w:bCs/>
        </w:rPr>
        <w:t xml:space="preserve">increase the requirements of </w:t>
      </w:r>
      <w:r w:rsidR="006540EF">
        <w:rPr>
          <w:rFonts w:asciiTheme="minorHAnsi" w:hAnsiTheme="minorHAnsi" w:cstheme="minorHAnsi"/>
          <w:bCs/>
        </w:rPr>
        <w:t>former</w:t>
      </w:r>
      <w:r w:rsidR="00FB120A">
        <w:rPr>
          <w:rFonts w:asciiTheme="minorHAnsi" w:hAnsiTheme="minorHAnsi" w:cstheme="minorHAnsi"/>
          <w:bCs/>
        </w:rPr>
        <w:t xml:space="preserve"> Standard 5.4 by requiring</w:t>
      </w:r>
      <w:r w:rsidR="00CA7611">
        <w:rPr>
          <w:rFonts w:asciiTheme="minorHAnsi" w:hAnsiTheme="minorHAnsi" w:cstheme="minorHAnsi"/>
          <w:bCs/>
        </w:rPr>
        <w:t xml:space="preserve"> providers </w:t>
      </w:r>
      <w:r w:rsidR="00FB120A">
        <w:rPr>
          <w:rFonts w:asciiTheme="minorHAnsi" w:hAnsiTheme="minorHAnsi" w:cstheme="minorHAnsi"/>
          <w:bCs/>
        </w:rPr>
        <w:t>to</w:t>
      </w:r>
      <w:r w:rsidR="00CA7611">
        <w:rPr>
          <w:rFonts w:asciiTheme="minorHAnsi" w:hAnsiTheme="minorHAnsi" w:cstheme="minorHAnsi"/>
          <w:bCs/>
        </w:rPr>
        <w:t xml:space="preserve"> make reports available</w:t>
      </w:r>
      <w:r w:rsidR="00FB120A">
        <w:rPr>
          <w:rFonts w:asciiTheme="minorHAnsi" w:hAnsiTheme="minorHAnsi" w:cstheme="minorHAnsi"/>
          <w:bCs/>
        </w:rPr>
        <w:t xml:space="preserve"> to students</w:t>
      </w:r>
      <w:r w:rsidR="00CA7611">
        <w:rPr>
          <w:rFonts w:asciiTheme="minorHAnsi" w:hAnsiTheme="minorHAnsi" w:cstheme="minorHAnsi"/>
          <w:bCs/>
        </w:rPr>
        <w:t xml:space="preserve"> in an online format. </w:t>
      </w:r>
    </w:p>
    <w:p w14:paraId="4C46460C" w14:textId="06000E8C" w:rsidR="003F3802" w:rsidRPr="002D73C0" w:rsidRDefault="003F3802" w:rsidP="00073E42">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 xml:space="preserve">Subsection (13) states that a provider must also comply with the requirements in the national code to identify, notify and assist an overseas student who is at risk of not achieving adequate assessment results. This is not an additional regulatory burden on providers, as the requirements in the national code already apply to providers </w:t>
      </w:r>
      <w:r w:rsidRPr="002D73C0">
        <w:rPr>
          <w:rFonts w:asciiTheme="minorHAnsi" w:hAnsiTheme="minorHAnsi" w:cstheme="minorHAnsi"/>
          <w:bCs/>
        </w:rPr>
        <w:t>who offer Foundation Programs to international students.</w:t>
      </w:r>
    </w:p>
    <w:p w14:paraId="7991830D" w14:textId="4EBC053C" w:rsidR="00523900" w:rsidRPr="00F96196" w:rsidRDefault="00523900" w:rsidP="00637DB1">
      <w:pPr>
        <w:keepNext/>
        <w:spacing w:after="160" w:line="259" w:lineRule="auto"/>
        <w:rPr>
          <w:rFonts w:asciiTheme="minorHAnsi" w:hAnsiTheme="minorHAnsi" w:cstheme="minorHAnsi"/>
          <w:b/>
          <w:bCs/>
          <w:u w:val="single"/>
        </w:rPr>
      </w:pPr>
      <w:r w:rsidRPr="002D73C0">
        <w:rPr>
          <w:rFonts w:asciiTheme="minorHAnsi" w:hAnsiTheme="minorHAnsi" w:cstheme="minorHAnsi"/>
          <w:b/>
          <w:bCs/>
          <w:u w:val="single"/>
        </w:rPr>
        <w:t>Section 15: Teacher requirements (Standard 8)</w:t>
      </w:r>
    </w:p>
    <w:p w14:paraId="3FCA0AF3" w14:textId="3A03C5C2" w:rsidR="009F1D01" w:rsidRDefault="00637DB1" w:rsidP="00637DB1">
      <w:pPr>
        <w:pStyle w:val="ListParagraph"/>
        <w:keepNext/>
        <w:numPr>
          <w:ilvl w:val="0"/>
          <w:numId w:val="1"/>
        </w:numPr>
        <w:spacing w:before="360" w:after="120"/>
        <w:rPr>
          <w:rFonts w:asciiTheme="minorHAnsi" w:hAnsiTheme="minorHAnsi" w:cstheme="minorHAnsi"/>
          <w:bCs/>
        </w:rPr>
      </w:pPr>
      <w:r w:rsidRPr="00F96196">
        <w:rPr>
          <w:rFonts w:asciiTheme="minorHAnsi" w:hAnsiTheme="minorHAnsi" w:cstheme="minorHAnsi"/>
          <w:bCs/>
        </w:rPr>
        <w:t>Subsections (1) to (3) set out the qualification and experience requirements for Foundation Program teachers.</w:t>
      </w:r>
    </w:p>
    <w:p w14:paraId="5E5D8D25" w14:textId="6163769B" w:rsidR="00523900" w:rsidRDefault="00425AC0"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Examples of ESL/EFL teaching experience for the purposes of paragraph </w:t>
      </w:r>
      <w:r w:rsidR="00523900">
        <w:rPr>
          <w:rFonts w:asciiTheme="minorHAnsi" w:hAnsiTheme="minorHAnsi" w:cstheme="minorHAnsi"/>
          <w:bCs/>
        </w:rPr>
        <w:t>16(2)(c)</w:t>
      </w:r>
      <w:r>
        <w:rPr>
          <w:rFonts w:asciiTheme="minorHAnsi" w:hAnsiTheme="minorHAnsi" w:cstheme="minorHAnsi"/>
          <w:bCs/>
        </w:rPr>
        <w:t xml:space="preserve"> are </w:t>
      </w:r>
      <w:r w:rsidR="00523900" w:rsidRPr="001748C3">
        <w:rPr>
          <w:rFonts w:asciiTheme="minorHAnsi" w:hAnsiTheme="minorHAnsi" w:cstheme="minorHAnsi"/>
          <w:bCs/>
        </w:rPr>
        <w:t xml:space="preserve">senior secondary, vocational education and training college, ELICOS provider </w:t>
      </w:r>
      <w:r>
        <w:rPr>
          <w:rFonts w:asciiTheme="minorHAnsi" w:hAnsiTheme="minorHAnsi" w:cstheme="minorHAnsi"/>
          <w:bCs/>
        </w:rPr>
        <w:t xml:space="preserve">and </w:t>
      </w:r>
      <w:r w:rsidR="00523900" w:rsidRPr="001748C3">
        <w:rPr>
          <w:rFonts w:asciiTheme="minorHAnsi" w:hAnsiTheme="minorHAnsi" w:cstheme="minorHAnsi"/>
          <w:bCs/>
        </w:rPr>
        <w:t>university</w:t>
      </w:r>
      <w:r>
        <w:rPr>
          <w:rFonts w:asciiTheme="minorHAnsi" w:hAnsiTheme="minorHAnsi" w:cstheme="minorHAnsi"/>
          <w:bCs/>
        </w:rPr>
        <w:t xml:space="preserve"> teaching experience.</w:t>
      </w:r>
    </w:p>
    <w:p w14:paraId="53313E24" w14:textId="642436BE" w:rsidR="001A7FED" w:rsidRDefault="001A7FED"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 (4) requires providers to keep </w:t>
      </w:r>
      <w:r w:rsidR="00C42988" w:rsidRPr="00C42988">
        <w:rPr>
          <w:rFonts w:asciiTheme="minorHAnsi" w:hAnsiTheme="minorHAnsi" w:cstheme="minorHAnsi"/>
          <w:bCs/>
        </w:rPr>
        <w:t xml:space="preserve">a copy of </w:t>
      </w:r>
      <w:r w:rsidR="00C42988">
        <w:rPr>
          <w:rFonts w:asciiTheme="minorHAnsi" w:hAnsiTheme="minorHAnsi" w:cstheme="minorHAnsi"/>
          <w:bCs/>
        </w:rPr>
        <w:t>the</w:t>
      </w:r>
      <w:r w:rsidR="00C42988" w:rsidRPr="00C42988">
        <w:rPr>
          <w:rFonts w:asciiTheme="minorHAnsi" w:hAnsiTheme="minorHAnsi" w:cstheme="minorHAnsi"/>
          <w:bCs/>
        </w:rPr>
        <w:t xml:space="preserve"> Curriculum Vitae</w:t>
      </w:r>
      <w:r w:rsidR="00C42988">
        <w:rPr>
          <w:rFonts w:asciiTheme="minorHAnsi" w:hAnsiTheme="minorHAnsi" w:cstheme="minorHAnsi"/>
          <w:bCs/>
        </w:rPr>
        <w:t xml:space="preserve"> and c</w:t>
      </w:r>
      <w:r w:rsidR="00C42988" w:rsidRPr="00C42988">
        <w:rPr>
          <w:rFonts w:asciiTheme="minorHAnsi" w:hAnsiTheme="minorHAnsi" w:cstheme="minorHAnsi"/>
          <w:bCs/>
        </w:rPr>
        <w:t>ertified copies of degrees and qualifications</w:t>
      </w:r>
      <w:r w:rsidR="00C42988">
        <w:rPr>
          <w:rFonts w:asciiTheme="minorHAnsi" w:hAnsiTheme="minorHAnsi" w:cstheme="minorHAnsi"/>
          <w:bCs/>
        </w:rPr>
        <w:t xml:space="preserve"> </w:t>
      </w:r>
      <w:r w:rsidR="00C42988" w:rsidRPr="00C42988">
        <w:rPr>
          <w:rFonts w:asciiTheme="minorHAnsi" w:hAnsiTheme="minorHAnsi" w:cstheme="minorHAnsi"/>
          <w:bCs/>
        </w:rPr>
        <w:t xml:space="preserve">of all teachers currently employed to teach </w:t>
      </w:r>
      <w:r w:rsidR="00823D0A">
        <w:rPr>
          <w:rFonts w:asciiTheme="minorHAnsi" w:hAnsiTheme="minorHAnsi" w:cstheme="minorHAnsi"/>
          <w:bCs/>
        </w:rPr>
        <w:t>o</w:t>
      </w:r>
      <w:r w:rsidR="00C42988" w:rsidRPr="00C42988">
        <w:rPr>
          <w:rFonts w:asciiTheme="minorHAnsi" w:hAnsiTheme="minorHAnsi" w:cstheme="minorHAnsi"/>
          <w:bCs/>
        </w:rPr>
        <w:t xml:space="preserve">n </w:t>
      </w:r>
      <w:r w:rsidR="00823D0A">
        <w:rPr>
          <w:rFonts w:asciiTheme="minorHAnsi" w:hAnsiTheme="minorHAnsi" w:cstheme="minorHAnsi"/>
          <w:bCs/>
        </w:rPr>
        <w:t>a</w:t>
      </w:r>
      <w:r w:rsidR="00C42988" w:rsidRPr="00C42988">
        <w:rPr>
          <w:rFonts w:asciiTheme="minorHAnsi" w:hAnsiTheme="minorHAnsi" w:cstheme="minorHAnsi"/>
          <w:bCs/>
        </w:rPr>
        <w:t xml:space="preserve"> Foundation Program.</w:t>
      </w:r>
    </w:p>
    <w:p w14:paraId="5C55017F" w14:textId="0BC97C3D" w:rsidR="00823D0A" w:rsidRDefault="000E0E4A"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Subsections (5) and (6) set out the standards that a provider must meet in relation to recruitment, </w:t>
      </w:r>
      <w:r w:rsidR="00205A3C">
        <w:rPr>
          <w:rFonts w:asciiTheme="minorHAnsi" w:hAnsiTheme="minorHAnsi" w:cstheme="minorHAnsi"/>
          <w:bCs/>
        </w:rPr>
        <w:t>inductions,</w:t>
      </w:r>
      <w:r>
        <w:rPr>
          <w:rFonts w:asciiTheme="minorHAnsi" w:hAnsiTheme="minorHAnsi" w:cstheme="minorHAnsi"/>
          <w:bCs/>
        </w:rPr>
        <w:t xml:space="preserve"> and ongoing provision development of teachers.</w:t>
      </w:r>
    </w:p>
    <w:p w14:paraId="474BCA34" w14:textId="55DAAC49" w:rsidR="000E0E4A" w:rsidRDefault="000E0E4A" w:rsidP="00073E42">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Subsection (7)</w:t>
      </w:r>
      <w:r w:rsidR="00B06D9F">
        <w:rPr>
          <w:rFonts w:asciiTheme="minorHAnsi" w:hAnsiTheme="minorHAnsi" w:cstheme="minorHAnsi"/>
          <w:bCs/>
        </w:rPr>
        <w:t xml:space="preserve"> makes it a standard for all teachers employed to teach on a Foundation Program to comply with </w:t>
      </w:r>
      <w:r w:rsidR="002D73C0">
        <w:rPr>
          <w:rFonts w:asciiTheme="minorHAnsi" w:hAnsiTheme="minorHAnsi" w:cstheme="minorHAnsi"/>
          <w:bCs/>
        </w:rPr>
        <w:t xml:space="preserve">applicable state, territory </w:t>
      </w:r>
      <w:r w:rsidR="00F23027">
        <w:rPr>
          <w:rFonts w:asciiTheme="minorHAnsi" w:hAnsiTheme="minorHAnsi" w:cstheme="minorHAnsi"/>
          <w:bCs/>
        </w:rPr>
        <w:t>and</w:t>
      </w:r>
      <w:r w:rsidR="002D73C0">
        <w:rPr>
          <w:rFonts w:asciiTheme="minorHAnsi" w:hAnsiTheme="minorHAnsi" w:cstheme="minorHAnsi"/>
          <w:bCs/>
        </w:rPr>
        <w:t xml:space="preserve"> Commonwealth child protection legislation and child safety requirements.</w:t>
      </w:r>
    </w:p>
    <w:p w14:paraId="45FCB55C" w14:textId="02B30351" w:rsidR="00523900" w:rsidRPr="00584D78" w:rsidRDefault="00523900" w:rsidP="00523900">
      <w:pPr>
        <w:spacing w:after="160" w:line="259" w:lineRule="auto"/>
        <w:rPr>
          <w:rFonts w:asciiTheme="minorHAnsi" w:hAnsiTheme="minorHAnsi" w:cstheme="minorHAnsi"/>
          <w:b/>
          <w:bCs/>
          <w:u w:val="single"/>
        </w:rPr>
      </w:pPr>
      <w:r w:rsidRPr="009D62D4">
        <w:rPr>
          <w:rFonts w:asciiTheme="minorHAnsi" w:hAnsiTheme="minorHAnsi" w:cstheme="minorHAnsi"/>
          <w:b/>
          <w:bCs/>
          <w:u w:val="single"/>
        </w:rPr>
        <w:t>Section 16: Marketing of Foundation Programs (Standard 9)</w:t>
      </w:r>
    </w:p>
    <w:p w14:paraId="0AC65A00" w14:textId="1E4648AB" w:rsidR="00523900" w:rsidRDefault="00523900"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This section </w:t>
      </w:r>
      <w:r w:rsidR="00AD6868">
        <w:rPr>
          <w:rFonts w:asciiTheme="minorHAnsi" w:hAnsiTheme="minorHAnsi" w:cstheme="minorHAnsi"/>
          <w:bCs/>
        </w:rPr>
        <w:t xml:space="preserve">sets out the </w:t>
      </w:r>
      <w:r w:rsidR="00690929">
        <w:rPr>
          <w:rFonts w:asciiTheme="minorHAnsi" w:hAnsiTheme="minorHAnsi" w:cstheme="minorHAnsi"/>
          <w:bCs/>
        </w:rPr>
        <w:t>standards and requirements on providers when marketing or advertising Foundation Programs.</w:t>
      </w:r>
    </w:p>
    <w:p w14:paraId="095E85CA" w14:textId="44106A02" w:rsidR="00690929" w:rsidRDefault="00193B41"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 xml:space="preserve">Subsection (1) specifies that only Foundation Program which comply with these standards may use the word ‘Foundation’ in the title of the program. </w:t>
      </w:r>
      <w:r w:rsidR="006B6373">
        <w:rPr>
          <w:rFonts w:asciiTheme="minorHAnsi" w:hAnsiTheme="minorHAnsi" w:cstheme="minorHAnsi"/>
          <w:bCs/>
        </w:rPr>
        <w:t>Subsection (2) then states that Foundation Programs which compl</w:t>
      </w:r>
      <w:r w:rsidR="006540EF">
        <w:rPr>
          <w:rFonts w:asciiTheme="minorHAnsi" w:hAnsiTheme="minorHAnsi" w:cstheme="minorHAnsi"/>
          <w:bCs/>
        </w:rPr>
        <w:t>y</w:t>
      </w:r>
      <w:r w:rsidR="006B6373">
        <w:rPr>
          <w:rFonts w:asciiTheme="minorHAnsi" w:hAnsiTheme="minorHAnsi" w:cstheme="minorHAnsi"/>
          <w:bCs/>
        </w:rPr>
        <w:t xml:space="preserve"> with the standards must use the word ‘Foundation’ in the title of the program.</w:t>
      </w:r>
    </w:p>
    <w:p w14:paraId="550AEEA8" w14:textId="44D7759A" w:rsidR="006B6373" w:rsidRPr="00584D78" w:rsidRDefault="006B6373" w:rsidP="00A81256">
      <w:pPr>
        <w:pStyle w:val="ListParagraph"/>
        <w:numPr>
          <w:ilvl w:val="0"/>
          <w:numId w:val="1"/>
        </w:numPr>
        <w:spacing w:before="360" w:after="120"/>
        <w:ind w:left="714" w:hanging="357"/>
        <w:rPr>
          <w:rFonts w:asciiTheme="minorHAnsi" w:hAnsiTheme="minorHAnsi" w:cstheme="minorHAnsi"/>
          <w:bCs/>
        </w:rPr>
      </w:pPr>
      <w:r>
        <w:rPr>
          <w:rFonts w:asciiTheme="minorHAnsi" w:hAnsiTheme="minorHAnsi" w:cstheme="minorHAnsi"/>
          <w:bCs/>
        </w:rPr>
        <w:t>Subsection (</w:t>
      </w:r>
      <w:r w:rsidR="002B4448">
        <w:rPr>
          <w:rFonts w:asciiTheme="minorHAnsi" w:hAnsiTheme="minorHAnsi" w:cstheme="minorHAnsi"/>
          <w:bCs/>
        </w:rPr>
        <w:t>3</w:t>
      </w:r>
      <w:r>
        <w:rPr>
          <w:rFonts w:asciiTheme="minorHAnsi" w:hAnsiTheme="minorHAnsi" w:cstheme="minorHAnsi"/>
          <w:bCs/>
        </w:rPr>
        <w:t xml:space="preserve">) requires extended Foundation Programs which comply with the standards to also use the word ‘extended’ in the title of the program. For example, a compliant extended Foundation Program </w:t>
      </w:r>
      <w:r w:rsidR="00745786">
        <w:rPr>
          <w:rFonts w:asciiTheme="minorHAnsi" w:hAnsiTheme="minorHAnsi" w:cstheme="minorHAnsi"/>
          <w:bCs/>
        </w:rPr>
        <w:t xml:space="preserve">should </w:t>
      </w:r>
      <w:r w:rsidR="007C3734">
        <w:rPr>
          <w:rFonts w:asciiTheme="minorHAnsi" w:hAnsiTheme="minorHAnsi" w:cstheme="minorHAnsi"/>
          <w:bCs/>
        </w:rPr>
        <w:t>have the words ‘extended’ and ‘Foundation’ in the title of the program.</w:t>
      </w:r>
    </w:p>
    <w:p w14:paraId="767761BA" w14:textId="45980CAC" w:rsidR="00523900" w:rsidRPr="00584D78" w:rsidRDefault="00523900" w:rsidP="00A81256">
      <w:pPr>
        <w:keepNext/>
        <w:spacing w:after="160" w:line="259" w:lineRule="auto"/>
        <w:rPr>
          <w:rFonts w:asciiTheme="minorHAnsi" w:hAnsiTheme="minorHAnsi" w:cstheme="minorHAnsi"/>
          <w:b/>
          <w:bCs/>
          <w:u w:val="single"/>
        </w:rPr>
      </w:pPr>
      <w:r w:rsidRPr="00584D78">
        <w:rPr>
          <w:rFonts w:asciiTheme="minorHAnsi" w:hAnsiTheme="minorHAnsi" w:cstheme="minorHAnsi"/>
          <w:b/>
          <w:bCs/>
          <w:u w:val="single"/>
        </w:rPr>
        <w:t xml:space="preserve">Section </w:t>
      </w:r>
      <w:r>
        <w:rPr>
          <w:rFonts w:asciiTheme="minorHAnsi" w:hAnsiTheme="minorHAnsi" w:cstheme="minorHAnsi"/>
          <w:b/>
          <w:bCs/>
          <w:u w:val="single"/>
        </w:rPr>
        <w:t>1</w:t>
      </w:r>
      <w:r w:rsidR="004A336E">
        <w:rPr>
          <w:rFonts w:asciiTheme="minorHAnsi" w:hAnsiTheme="minorHAnsi" w:cstheme="minorHAnsi"/>
          <w:b/>
          <w:bCs/>
          <w:u w:val="single"/>
        </w:rPr>
        <w:t>7</w:t>
      </w:r>
      <w:r w:rsidRPr="00584D78">
        <w:rPr>
          <w:rFonts w:asciiTheme="minorHAnsi" w:hAnsiTheme="minorHAnsi" w:cstheme="minorHAnsi"/>
          <w:b/>
          <w:bCs/>
          <w:u w:val="single"/>
        </w:rPr>
        <w:t xml:space="preserve">: </w:t>
      </w:r>
      <w:r>
        <w:rPr>
          <w:rFonts w:asciiTheme="minorHAnsi" w:hAnsiTheme="minorHAnsi" w:cstheme="minorHAnsi"/>
          <w:b/>
          <w:bCs/>
          <w:u w:val="single"/>
        </w:rPr>
        <w:t>Younger students</w:t>
      </w:r>
      <w:r w:rsidRPr="00584D78">
        <w:rPr>
          <w:rFonts w:asciiTheme="minorHAnsi" w:hAnsiTheme="minorHAnsi" w:cstheme="minorHAnsi"/>
          <w:b/>
          <w:bCs/>
          <w:u w:val="single"/>
        </w:rPr>
        <w:t xml:space="preserve"> (Standard 1</w:t>
      </w:r>
      <w:r>
        <w:rPr>
          <w:rFonts w:asciiTheme="minorHAnsi" w:hAnsiTheme="minorHAnsi" w:cstheme="minorHAnsi"/>
          <w:b/>
          <w:bCs/>
          <w:u w:val="single"/>
        </w:rPr>
        <w:t>0</w:t>
      </w:r>
      <w:r w:rsidRPr="00584D78">
        <w:rPr>
          <w:rFonts w:asciiTheme="minorHAnsi" w:hAnsiTheme="minorHAnsi" w:cstheme="minorHAnsi"/>
          <w:b/>
          <w:bCs/>
          <w:u w:val="single"/>
        </w:rPr>
        <w:t>)</w:t>
      </w:r>
    </w:p>
    <w:p w14:paraId="5CED1175" w14:textId="7A642D59" w:rsidR="00523900" w:rsidRDefault="00523900" w:rsidP="003F3802">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This section requires the operations of a provider, where they enrol students under the age of 18, to be appropriate for those student’s </w:t>
      </w:r>
      <w:r w:rsidRPr="00145C45">
        <w:rPr>
          <w:rFonts w:asciiTheme="minorHAnsi" w:hAnsiTheme="minorHAnsi" w:cstheme="minorHAnsi"/>
          <w:bCs/>
        </w:rPr>
        <w:t xml:space="preserve">needs </w:t>
      </w:r>
      <w:r>
        <w:rPr>
          <w:rFonts w:asciiTheme="minorHAnsi" w:hAnsiTheme="minorHAnsi" w:cstheme="minorHAnsi"/>
          <w:bCs/>
        </w:rPr>
        <w:t>and</w:t>
      </w:r>
      <w:r w:rsidRPr="00145C45">
        <w:rPr>
          <w:rFonts w:asciiTheme="minorHAnsi" w:hAnsiTheme="minorHAnsi" w:cstheme="minorHAnsi"/>
          <w:bCs/>
        </w:rPr>
        <w:t xml:space="preserve"> includ</w:t>
      </w:r>
      <w:r>
        <w:rPr>
          <w:rFonts w:asciiTheme="minorHAnsi" w:hAnsiTheme="minorHAnsi" w:cstheme="minorHAnsi"/>
          <w:bCs/>
        </w:rPr>
        <w:t>es a</w:t>
      </w:r>
      <w:r w:rsidRPr="00145C45">
        <w:rPr>
          <w:rFonts w:asciiTheme="minorHAnsi" w:hAnsiTheme="minorHAnsi" w:cstheme="minorHAnsi"/>
          <w:bCs/>
        </w:rPr>
        <w:t xml:space="preserve"> direct reference to the obligations imposed by the </w:t>
      </w:r>
      <w:r w:rsidR="00D36B78">
        <w:rPr>
          <w:rFonts w:asciiTheme="minorHAnsi" w:hAnsiTheme="minorHAnsi" w:cstheme="minorHAnsi"/>
          <w:bCs/>
        </w:rPr>
        <w:t>n</w:t>
      </w:r>
      <w:r w:rsidRPr="00145C45">
        <w:rPr>
          <w:rFonts w:asciiTheme="minorHAnsi" w:hAnsiTheme="minorHAnsi" w:cstheme="minorHAnsi"/>
          <w:bCs/>
        </w:rPr>
        <w:t xml:space="preserve">ational </w:t>
      </w:r>
      <w:r w:rsidR="00D36B78">
        <w:rPr>
          <w:rFonts w:asciiTheme="minorHAnsi" w:hAnsiTheme="minorHAnsi" w:cstheme="minorHAnsi"/>
          <w:bCs/>
        </w:rPr>
        <w:t>c</w:t>
      </w:r>
      <w:r w:rsidRPr="00145C45">
        <w:rPr>
          <w:rFonts w:asciiTheme="minorHAnsi" w:hAnsiTheme="minorHAnsi" w:cstheme="minorHAnsi"/>
          <w:bCs/>
        </w:rPr>
        <w:t>ode.</w:t>
      </w:r>
    </w:p>
    <w:p w14:paraId="5D386C06" w14:textId="45567071" w:rsidR="00C82861" w:rsidRDefault="00523900" w:rsidP="003F3802">
      <w:pPr>
        <w:pStyle w:val="ListParagraph"/>
        <w:keepNext/>
        <w:numPr>
          <w:ilvl w:val="0"/>
          <w:numId w:val="1"/>
        </w:numPr>
        <w:spacing w:before="360" w:after="120"/>
        <w:rPr>
          <w:rFonts w:asciiTheme="minorHAnsi" w:hAnsiTheme="minorHAnsi" w:cstheme="minorHAnsi"/>
          <w:bCs/>
        </w:rPr>
      </w:pPr>
      <w:r w:rsidRPr="00145C45">
        <w:rPr>
          <w:rFonts w:asciiTheme="minorHAnsi" w:hAnsiTheme="minorHAnsi" w:cstheme="minorHAnsi"/>
          <w:bCs/>
        </w:rPr>
        <w:t xml:space="preserve">The requirements for facilities and operations for students under the age of 18 </w:t>
      </w:r>
      <w:r>
        <w:rPr>
          <w:rFonts w:asciiTheme="minorHAnsi" w:hAnsiTheme="minorHAnsi" w:cstheme="minorHAnsi"/>
          <w:bCs/>
        </w:rPr>
        <w:t>are</w:t>
      </w:r>
      <w:r w:rsidRPr="00145C45">
        <w:rPr>
          <w:rFonts w:asciiTheme="minorHAnsi" w:hAnsiTheme="minorHAnsi" w:cstheme="minorHAnsi"/>
          <w:bCs/>
        </w:rPr>
        <w:t xml:space="preserve"> that providers structure courses appropriately for students of different levels of age, maturity and English language proficiency. This ensures that the requirements for facilities and operations for under 18 students are appropriate for students’ individual circumstances and aims to maximise the overall educational experience for all students.</w:t>
      </w:r>
    </w:p>
    <w:p w14:paraId="202469D5" w14:textId="3600AD03" w:rsidR="00C82861" w:rsidRPr="00C82861" w:rsidRDefault="00C82861" w:rsidP="00C82861">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Subsection (2) sets out a non-exhaustive list of operations of a provider that would be appropriate for the age, maturity and English language proficiency of the students.</w:t>
      </w:r>
    </w:p>
    <w:p w14:paraId="7084E251" w14:textId="3770FCCB" w:rsidR="00D94015" w:rsidRDefault="00213BF3" w:rsidP="003F3802">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Subsection (3) provides that, t</w:t>
      </w:r>
      <w:r w:rsidR="00523900">
        <w:rPr>
          <w:rFonts w:asciiTheme="minorHAnsi" w:hAnsiTheme="minorHAnsi" w:cstheme="minorHAnsi"/>
          <w:bCs/>
        </w:rPr>
        <w:t xml:space="preserve">o comply with the Foundation Program Standards, a provider must also comply with any other child protection and safety laws of a state, territory </w:t>
      </w:r>
      <w:r w:rsidR="00F2341E">
        <w:rPr>
          <w:rFonts w:asciiTheme="minorHAnsi" w:hAnsiTheme="minorHAnsi" w:cstheme="minorHAnsi"/>
          <w:bCs/>
        </w:rPr>
        <w:t>and</w:t>
      </w:r>
      <w:r w:rsidR="00523900">
        <w:rPr>
          <w:rFonts w:asciiTheme="minorHAnsi" w:hAnsiTheme="minorHAnsi" w:cstheme="minorHAnsi"/>
          <w:bCs/>
        </w:rPr>
        <w:t xml:space="preserve"> the Commonwealth that apply to the provider.</w:t>
      </w:r>
    </w:p>
    <w:p w14:paraId="72782CD9" w14:textId="77777777" w:rsidR="00523900" w:rsidRPr="00145C45" w:rsidRDefault="00523900" w:rsidP="00523900">
      <w:pPr>
        <w:pStyle w:val="ListParagraph"/>
        <w:keepNext/>
        <w:spacing w:before="360" w:after="120"/>
        <w:rPr>
          <w:rFonts w:asciiTheme="minorHAnsi" w:hAnsiTheme="minorHAnsi" w:cstheme="minorHAnsi"/>
          <w:bCs/>
        </w:rPr>
      </w:pPr>
    </w:p>
    <w:p w14:paraId="075D6DA2" w14:textId="77777777" w:rsidR="00523900" w:rsidRPr="00584D78" w:rsidRDefault="00523900" w:rsidP="00523900">
      <w:pPr>
        <w:keepNext/>
        <w:rPr>
          <w:rFonts w:asciiTheme="minorHAnsi" w:hAnsiTheme="minorHAnsi" w:cstheme="minorHAnsi"/>
          <w:b/>
        </w:rPr>
      </w:pPr>
      <w:r>
        <w:rPr>
          <w:rFonts w:asciiTheme="minorHAnsi" w:hAnsiTheme="minorHAnsi" w:cstheme="minorHAnsi"/>
          <w:b/>
        </w:rPr>
        <w:t>SCHEDULE</w:t>
      </w:r>
      <w:r w:rsidRPr="00584D78">
        <w:rPr>
          <w:rFonts w:asciiTheme="minorHAnsi" w:hAnsiTheme="minorHAnsi" w:cstheme="minorHAnsi"/>
          <w:b/>
        </w:rPr>
        <w:t xml:space="preserve"> 1—</w:t>
      </w:r>
      <w:r>
        <w:rPr>
          <w:rFonts w:asciiTheme="minorHAnsi" w:hAnsiTheme="minorHAnsi" w:cstheme="minorHAnsi"/>
          <w:b/>
        </w:rPr>
        <w:t>SAVING AND TRANSITIONAL</w:t>
      </w:r>
    </w:p>
    <w:p w14:paraId="26438970" w14:textId="77777777" w:rsidR="00523900" w:rsidRPr="00584D78" w:rsidRDefault="00523900" w:rsidP="00991769">
      <w:pPr>
        <w:spacing w:after="160" w:line="259" w:lineRule="auto"/>
        <w:rPr>
          <w:rFonts w:asciiTheme="minorHAnsi" w:hAnsiTheme="minorHAnsi" w:cstheme="minorHAnsi"/>
          <w:b/>
          <w:bCs/>
          <w:u w:val="single"/>
        </w:rPr>
      </w:pPr>
      <w:r w:rsidRPr="00FA2330">
        <w:rPr>
          <w:rFonts w:asciiTheme="minorHAnsi" w:hAnsiTheme="minorHAnsi" w:cstheme="minorHAnsi"/>
          <w:b/>
          <w:bCs/>
          <w:u w:val="single"/>
        </w:rPr>
        <w:t>Item 1: Saving and Transitional</w:t>
      </w:r>
    </w:p>
    <w:p w14:paraId="74DFB0D8" w14:textId="1AD99DC4" w:rsidR="00821638" w:rsidRDefault="00523900" w:rsidP="00991769">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This item</w:t>
      </w:r>
      <w:r w:rsidR="00580708" w:rsidRPr="00580708">
        <w:rPr>
          <w:rFonts w:asciiTheme="minorHAnsi" w:hAnsiTheme="minorHAnsi" w:cstheme="minorHAnsi"/>
          <w:bCs/>
        </w:rPr>
        <w:t xml:space="preserve"> provides </w:t>
      </w:r>
      <w:r w:rsidR="004E48AA" w:rsidRPr="004E48AA">
        <w:rPr>
          <w:rFonts w:asciiTheme="minorHAnsi" w:hAnsiTheme="minorHAnsi" w:cstheme="minorHAnsi"/>
          <w:bCs/>
        </w:rPr>
        <w:t xml:space="preserve">transitional and savings provisions consequential to the repeal and replacement of the </w:t>
      </w:r>
      <w:r w:rsidR="004E48AA" w:rsidRPr="004E48AA">
        <w:rPr>
          <w:rFonts w:asciiTheme="minorHAnsi" w:hAnsiTheme="minorHAnsi" w:cstheme="minorHAnsi"/>
          <w:bCs/>
          <w:i/>
          <w:iCs/>
        </w:rPr>
        <w:t>Foundation Program Standards (19/06/2011)</w:t>
      </w:r>
      <w:r w:rsidR="00213BF3">
        <w:rPr>
          <w:rFonts w:asciiTheme="minorHAnsi" w:hAnsiTheme="minorHAnsi" w:cstheme="minorHAnsi"/>
          <w:bCs/>
          <w:i/>
          <w:iCs/>
        </w:rPr>
        <w:t xml:space="preserve"> </w:t>
      </w:r>
      <w:r w:rsidR="00213BF3">
        <w:rPr>
          <w:rFonts w:asciiTheme="minorHAnsi" w:hAnsiTheme="minorHAnsi" w:cstheme="minorHAnsi"/>
          <w:bCs/>
        </w:rPr>
        <w:t>(</w:t>
      </w:r>
      <w:r w:rsidR="00213BF3" w:rsidRPr="00B1423F">
        <w:rPr>
          <w:rFonts w:asciiTheme="minorHAnsi" w:hAnsiTheme="minorHAnsi" w:cstheme="minorHAnsi"/>
          <w:bCs/>
        </w:rPr>
        <w:t>F2011L01247</w:t>
      </w:r>
      <w:r w:rsidR="00213BF3">
        <w:rPr>
          <w:rFonts w:asciiTheme="minorHAnsi" w:hAnsiTheme="minorHAnsi" w:cstheme="minorHAnsi"/>
          <w:bCs/>
        </w:rPr>
        <w:t>)</w:t>
      </w:r>
      <w:r w:rsidR="00821638">
        <w:rPr>
          <w:rFonts w:asciiTheme="minorHAnsi" w:hAnsiTheme="minorHAnsi" w:cstheme="minorHAnsi"/>
          <w:bCs/>
        </w:rPr>
        <w:t>.</w:t>
      </w:r>
    </w:p>
    <w:p w14:paraId="0D41C0E8" w14:textId="2A77DC11" w:rsidR="00C051FF" w:rsidRDefault="00821638" w:rsidP="00991769">
      <w:pPr>
        <w:pStyle w:val="ListParagraph"/>
        <w:numPr>
          <w:ilvl w:val="0"/>
          <w:numId w:val="1"/>
        </w:numPr>
        <w:spacing w:before="360" w:after="120"/>
        <w:rPr>
          <w:rFonts w:asciiTheme="minorHAnsi" w:hAnsiTheme="minorHAnsi" w:cstheme="minorHAnsi"/>
          <w:bCs/>
        </w:rPr>
      </w:pPr>
      <w:r>
        <w:rPr>
          <w:rFonts w:asciiTheme="minorHAnsi" w:hAnsiTheme="minorHAnsi" w:cstheme="minorHAnsi"/>
          <w:bCs/>
        </w:rPr>
        <w:t>These provisions</w:t>
      </w:r>
      <w:r w:rsidR="00AC0BFE">
        <w:rPr>
          <w:rFonts w:asciiTheme="minorHAnsi" w:hAnsiTheme="minorHAnsi" w:cstheme="minorHAnsi"/>
          <w:bCs/>
        </w:rPr>
        <w:t xml:space="preserve"> ensure</w:t>
      </w:r>
      <w:r w:rsidR="009C50FE">
        <w:rPr>
          <w:rFonts w:asciiTheme="minorHAnsi" w:hAnsiTheme="minorHAnsi" w:cstheme="minorHAnsi"/>
          <w:bCs/>
        </w:rPr>
        <w:t xml:space="preserve"> the</w:t>
      </w:r>
      <w:r w:rsidR="00AC0BFE">
        <w:rPr>
          <w:rFonts w:asciiTheme="minorHAnsi" w:hAnsiTheme="minorHAnsi" w:cstheme="minorHAnsi"/>
          <w:bCs/>
        </w:rPr>
        <w:t xml:space="preserve"> continuity of</w:t>
      </w:r>
      <w:r w:rsidR="00580708">
        <w:rPr>
          <w:rFonts w:asciiTheme="minorHAnsi" w:hAnsiTheme="minorHAnsi" w:cstheme="minorHAnsi"/>
          <w:bCs/>
        </w:rPr>
        <w:t xml:space="preserve"> the following </w:t>
      </w:r>
      <w:r w:rsidR="00E473DE">
        <w:rPr>
          <w:rFonts w:asciiTheme="minorHAnsi" w:hAnsiTheme="minorHAnsi" w:cstheme="minorHAnsi"/>
          <w:bCs/>
        </w:rPr>
        <w:t xml:space="preserve">actions initiated </w:t>
      </w:r>
      <w:r w:rsidR="00C856AC">
        <w:rPr>
          <w:rFonts w:asciiTheme="minorHAnsi" w:hAnsiTheme="minorHAnsi" w:cstheme="minorHAnsi"/>
          <w:bCs/>
        </w:rPr>
        <w:t>or lodged under the terms of the previous</w:t>
      </w:r>
      <w:r>
        <w:rPr>
          <w:rFonts w:asciiTheme="minorHAnsi" w:hAnsiTheme="minorHAnsi" w:cstheme="minorHAnsi"/>
          <w:bCs/>
        </w:rPr>
        <w:t xml:space="preserve"> Foundation Program Standards</w:t>
      </w:r>
      <w:r w:rsidR="00C051FF">
        <w:rPr>
          <w:rFonts w:asciiTheme="minorHAnsi" w:hAnsiTheme="minorHAnsi" w:cstheme="minorHAnsi"/>
          <w:bCs/>
        </w:rPr>
        <w:t>:</w:t>
      </w:r>
      <w:r w:rsidR="004E48AA" w:rsidRPr="004E48AA">
        <w:rPr>
          <w:rFonts w:asciiTheme="minorHAnsi" w:hAnsiTheme="minorHAnsi" w:cstheme="minorHAnsi"/>
          <w:bCs/>
        </w:rPr>
        <w:t xml:space="preserve"> </w:t>
      </w:r>
    </w:p>
    <w:p w14:paraId="7B8B4963" w14:textId="0BCBFDFD" w:rsidR="00C051FF" w:rsidRDefault="004E48AA" w:rsidP="00991769">
      <w:pPr>
        <w:pStyle w:val="ListParagraph"/>
        <w:numPr>
          <w:ilvl w:val="0"/>
          <w:numId w:val="5"/>
        </w:numPr>
        <w:spacing w:before="360" w:after="120"/>
        <w:rPr>
          <w:rFonts w:asciiTheme="minorHAnsi" w:hAnsiTheme="minorHAnsi" w:cstheme="minorHAnsi"/>
          <w:bCs/>
        </w:rPr>
      </w:pPr>
      <w:r w:rsidRPr="00C051FF">
        <w:rPr>
          <w:rFonts w:asciiTheme="minorHAnsi" w:hAnsiTheme="minorHAnsi" w:cstheme="minorHAnsi"/>
          <w:bCs/>
        </w:rPr>
        <w:t xml:space="preserve">existing applications for registration, </w:t>
      </w:r>
      <w:r w:rsidR="00D62C14" w:rsidRPr="00C051FF">
        <w:rPr>
          <w:rFonts w:asciiTheme="minorHAnsi" w:hAnsiTheme="minorHAnsi" w:cstheme="minorHAnsi"/>
          <w:bCs/>
        </w:rPr>
        <w:t>renewal or changes to registration</w:t>
      </w:r>
      <w:r w:rsidR="00AC0BFE">
        <w:rPr>
          <w:rFonts w:asciiTheme="minorHAnsi" w:hAnsiTheme="minorHAnsi" w:cstheme="minorHAnsi"/>
          <w:bCs/>
        </w:rPr>
        <w:t>;</w:t>
      </w:r>
    </w:p>
    <w:p w14:paraId="617E5A60" w14:textId="74F514D7" w:rsidR="00ED7659" w:rsidRDefault="004E48AA" w:rsidP="00991769">
      <w:pPr>
        <w:pStyle w:val="ListParagraph"/>
        <w:numPr>
          <w:ilvl w:val="0"/>
          <w:numId w:val="5"/>
        </w:numPr>
        <w:spacing w:before="360" w:after="120"/>
        <w:rPr>
          <w:rFonts w:asciiTheme="minorHAnsi" w:hAnsiTheme="minorHAnsi" w:cstheme="minorHAnsi"/>
          <w:bCs/>
        </w:rPr>
      </w:pPr>
      <w:r w:rsidRPr="00C051FF">
        <w:rPr>
          <w:rFonts w:asciiTheme="minorHAnsi" w:hAnsiTheme="minorHAnsi" w:cstheme="minorHAnsi"/>
          <w:bCs/>
        </w:rPr>
        <w:t>enforcement actions initiated by</w:t>
      </w:r>
      <w:r w:rsidR="00ED7659">
        <w:rPr>
          <w:rFonts w:asciiTheme="minorHAnsi" w:hAnsiTheme="minorHAnsi" w:cstheme="minorHAnsi"/>
          <w:bCs/>
        </w:rPr>
        <w:t xml:space="preserve"> an</w:t>
      </w:r>
      <w:r w:rsidRPr="00C051FF">
        <w:rPr>
          <w:rFonts w:asciiTheme="minorHAnsi" w:hAnsiTheme="minorHAnsi" w:cstheme="minorHAnsi"/>
          <w:bCs/>
        </w:rPr>
        <w:t xml:space="preserve"> ESOS agenc</w:t>
      </w:r>
      <w:r w:rsidR="00ED7659">
        <w:rPr>
          <w:rFonts w:asciiTheme="minorHAnsi" w:hAnsiTheme="minorHAnsi" w:cstheme="minorHAnsi"/>
          <w:bCs/>
        </w:rPr>
        <w:t xml:space="preserve">y before commencement of this instrument which have not </w:t>
      </w:r>
      <w:r w:rsidR="00D1121E">
        <w:rPr>
          <w:rFonts w:asciiTheme="minorHAnsi" w:hAnsiTheme="minorHAnsi" w:cstheme="minorHAnsi"/>
          <w:bCs/>
        </w:rPr>
        <w:t xml:space="preserve">yet </w:t>
      </w:r>
      <w:r w:rsidR="00ED7659">
        <w:rPr>
          <w:rFonts w:asciiTheme="minorHAnsi" w:hAnsiTheme="minorHAnsi" w:cstheme="minorHAnsi"/>
          <w:bCs/>
        </w:rPr>
        <w:t>come to completion;</w:t>
      </w:r>
      <w:r w:rsidR="00D1121E">
        <w:rPr>
          <w:rFonts w:asciiTheme="minorHAnsi" w:hAnsiTheme="minorHAnsi" w:cstheme="minorHAnsi"/>
          <w:bCs/>
        </w:rPr>
        <w:t xml:space="preserve"> and</w:t>
      </w:r>
    </w:p>
    <w:p w14:paraId="07FC6043" w14:textId="1671A85A" w:rsidR="00523900" w:rsidRPr="00C051FF" w:rsidRDefault="00D1121E" w:rsidP="00991769">
      <w:pPr>
        <w:pStyle w:val="ListParagraph"/>
        <w:numPr>
          <w:ilvl w:val="0"/>
          <w:numId w:val="5"/>
        </w:numPr>
        <w:spacing w:before="360" w:after="120"/>
        <w:rPr>
          <w:rFonts w:asciiTheme="minorHAnsi" w:hAnsiTheme="minorHAnsi" w:cstheme="minorHAnsi"/>
          <w:bCs/>
        </w:rPr>
      </w:pPr>
      <w:r>
        <w:rPr>
          <w:rFonts w:asciiTheme="minorHAnsi" w:hAnsiTheme="minorHAnsi" w:cstheme="minorHAnsi"/>
          <w:bCs/>
        </w:rPr>
        <w:t xml:space="preserve">monitoring and searching actions commenced by an ESOS agency before commencement </w:t>
      </w:r>
      <w:r w:rsidR="009C50FE">
        <w:rPr>
          <w:rFonts w:asciiTheme="minorHAnsi" w:hAnsiTheme="minorHAnsi" w:cstheme="minorHAnsi"/>
          <w:bCs/>
        </w:rPr>
        <w:t xml:space="preserve">of this instrument which have not yet come to completion. </w:t>
      </w:r>
    </w:p>
    <w:p w14:paraId="7805A442" w14:textId="77777777" w:rsidR="00523900" w:rsidRPr="00584D78" w:rsidRDefault="00523900" w:rsidP="00991769">
      <w:pPr>
        <w:keepNext/>
        <w:rPr>
          <w:rFonts w:asciiTheme="minorHAnsi" w:hAnsiTheme="minorHAnsi" w:cstheme="minorHAnsi"/>
          <w:b/>
        </w:rPr>
      </w:pPr>
      <w:r w:rsidRPr="00584D78">
        <w:rPr>
          <w:rFonts w:asciiTheme="minorHAnsi" w:hAnsiTheme="minorHAnsi" w:cstheme="minorHAnsi"/>
          <w:b/>
        </w:rPr>
        <w:t xml:space="preserve">SCHEDULE </w:t>
      </w:r>
      <w:r>
        <w:rPr>
          <w:rFonts w:asciiTheme="minorHAnsi" w:hAnsiTheme="minorHAnsi" w:cstheme="minorHAnsi"/>
          <w:b/>
        </w:rPr>
        <w:t>2</w:t>
      </w:r>
      <w:r w:rsidRPr="00584D78">
        <w:rPr>
          <w:rFonts w:asciiTheme="minorHAnsi" w:hAnsiTheme="minorHAnsi" w:cstheme="minorHAnsi"/>
          <w:b/>
        </w:rPr>
        <w:t>—</w:t>
      </w:r>
      <w:r>
        <w:rPr>
          <w:rFonts w:asciiTheme="minorHAnsi" w:hAnsiTheme="minorHAnsi" w:cstheme="minorHAnsi"/>
          <w:b/>
        </w:rPr>
        <w:t>REPEALS</w:t>
      </w:r>
    </w:p>
    <w:p w14:paraId="0B7B617B" w14:textId="77777777" w:rsidR="00523900" w:rsidRPr="00584D78" w:rsidRDefault="00523900" w:rsidP="00991769">
      <w:pPr>
        <w:keepNext/>
        <w:spacing w:after="160" w:line="259" w:lineRule="auto"/>
        <w:rPr>
          <w:rFonts w:asciiTheme="minorHAnsi" w:hAnsiTheme="minorHAnsi" w:cstheme="minorHAnsi"/>
          <w:b/>
          <w:bCs/>
          <w:u w:val="single"/>
        </w:rPr>
      </w:pPr>
      <w:r>
        <w:rPr>
          <w:rFonts w:asciiTheme="minorHAnsi" w:hAnsiTheme="minorHAnsi" w:cstheme="minorHAnsi"/>
          <w:b/>
          <w:bCs/>
          <w:u w:val="single"/>
        </w:rPr>
        <w:t>Item</w:t>
      </w:r>
      <w:r w:rsidRPr="00584D78">
        <w:rPr>
          <w:rFonts w:asciiTheme="minorHAnsi" w:hAnsiTheme="minorHAnsi" w:cstheme="minorHAnsi"/>
          <w:b/>
          <w:bCs/>
          <w:u w:val="single"/>
        </w:rPr>
        <w:t xml:space="preserve"> </w:t>
      </w:r>
      <w:r>
        <w:rPr>
          <w:rFonts w:asciiTheme="minorHAnsi" w:hAnsiTheme="minorHAnsi" w:cstheme="minorHAnsi"/>
          <w:b/>
          <w:bCs/>
          <w:u w:val="single"/>
        </w:rPr>
        <w:t>1</w:t>
      </w:r>
      <w:r w:rsidRPr="00584D78">
        <w:rPr>
          <w:rFonts w:asciiTheme="minorHAnsi" w:hAnsiTheme="minorHAnsi" w:cstheme="minorHAnsi"/>
          <w:b/>
          <w:bCs/>
          <w:u w:val="single"/>
        </w:rPr>
        <w:t xml:space="preserve">: </w:t>
      </w:r>
      <w:r>
        <w:rPr>
          <w:rFonts w:asciiTheme="minorHAnsi" w:hAnsiTheme="minorHAnsi" w:cstheme="minorHAnsi"/>
          <w:b/>
          <w:bCs/>
          <w:u w:val="single"/>
        </w:rPr>
        <w:t>The whole of the instrument</w:t>
      </w:r>
    </w:p>
    <w:p w14:paraId="17575592" w14:textId="6C10361A" w:rsidR="00523900" w:rsidRDefault="00523900" w:rsidP="00991769">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This item repeals the </w:t>
      </w:r>
      <w:r w:rsidRPr="00584D78">
        <w:rPr>
          <w:rFonts w:asciiTheme="minorHAnsi" w:hAnsiTheme="minorHAnsi" w:cstheme="minorHAnsi"/>
          <w:bCs/>
          <w:i/>
          <w:iCs/>
        </w:rPr>
        <w:t>Foundation Program Standards (19/06/2011)</w:t>
      </w:r>
      <w:r w:rsidRPr="00584D78">
        <w:rPr>
          <w:rFonts w:asciiTheme="minorHAnsi" w:hAnsiTheme="minorHAnsi" w:cstheme="minorHAnsi"/>
          <w:bCs/>
        </w:rPr>
        <w:t>,</w:t>
      </w:r>
      <w:r>
        <w:rPr>
          <w:rFonts w:asciiTheme="minorHAnsi" w:hAnsiTheme="minorHAnsi" w:cstheme="minorHAnsi"/>
          <w:bCs/>
          <w:i/>
          <w:iCs/>
        </w:rPr>
        <w:t xml:space="preserve"> </w:t>
      </w:r>
      <w:r>
        <w:rPr>
          <w:rFonts w:asciiTheme="minorHAnsi" w:hAnsiTheme="minorHAnsi" w:cstheme="minorHAnsi"/>
          <w:bCs/>
        </w:rPr>
        <w:t>which is the legislative instrument that previously gave effect to the</w:t>
      </w:r>
      <w:r w:rsidR="002B4448">
        <w:rPr>
          <w:rFonts w:asciiTheme="minorHAnsi" w:hAnsiTheme="minorHAnsi" w:cstheme="minorHAnsi"/>
          <w:bCs/>
        </w:rPr>
        <w:t xml:space="preserve"> old</w:t>
      </w:r>
      <w:r>
        <w:rPr>
          <w:rFonts w:asciiTheme="minorHAnsi" w:hAnsiTheme="minorHAnsi" w:cstheme="minorHAnsi"/>
          <w:bCs/>
        </w:rPr>
        <w:t xml:space="preserve"> Foundation Program Standards.</w:t>
      </w:r>
    </w:p>
    <w:p w14:paraId="0C7A8A20" w14:textId="77777777" w:rsidR="00523900" w:rsidRPr="00584D78" w:rsidRDefault="00523900" w:rsidP="00991769">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The </w:t>
      </w:r>
      <w:r w:rsidRPr="00584D78">
        <w:rPr>
          <w:rFonts w:asciiTheme="minorHAnsi" w:hAnsiTheme="minorHAnsi" w:cstheme="minorHAnsi"/>
          <w:bCs/>
          <w:i/>
          <w:iCs/>
        </w:rPr>
        <w:t>Foundation Program Standards (19/06/2011)</w:t>
      </w:r>
      <w:r>
        <w:rPr>
          <w:rFonts w:asciiTheme="minorHAnsi" w:hAnsiTheme="minorHAnsi" w:cstheme="minorHAnsi"/>
          <w:bCs/>
          <w:i/>
          <w:iCs/>
        </w:rPr>
        <w:t xml:space="preserve"> </w:t>
      </w:r>
      <w:r>
        <w:rPr>
          <w:rFonts w:asciiTheme="minorHAnsi" w:hAnsiTheme="minorHAnsi" w:cstheme="minorHAnsi"/>
          <w:bCs/>
        </w:rPr>
        <w:t>is repealed and replaced with this instrument so that standards remain in place for the provision of Foundation Programs.</w:t>
      </w:r>
    </w:p>
    <w:p w14:paraId="35EEB127" w14:textId="77777777" w:rsidR="00756D99" w:rsidRDefault="00756D99">
      <w:pPr>
        <w:spacing w:after="160" w:line="259" w:lineRule="auto"/>
        <w:rPr>
          <w:rFonts w:asciiTheme="minorHAnsi" w:hAnsiTheme="minorHAnsi" w:cstheme="minorHAnsi"/>
          <w:u w:val="single"/>
        </w:rPr>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E625" w14:textId="77777777" w:rsidR="003B3052" w:rsidRDefault="003B3052" w:rsidP="00783FAB">
      <w:pPr>
        <w:spacing w:after="0" w:line="240" w:lineRule="auto"/>
      </w:pPr>
      <w:r>
        <w:separator/>
      </w:r>
    </w:p>
  </w:endnote>
  <w:endnote w:type="continuationSeparator" w:id="0">
    <w:p w14:paraId="27721195" w14:textId="77777777" w:rsidR="003B3052" w:rsidRDefault="003B3052" w:rsidP="00783FAB">
      <w:pPr>
        <w:spacing w:after="0" w:line="240" w:lineRule="auto"/>
      </w:pPr>
      <w:r>
        <w:continuationSeparator/>
      </w:r>
    </w:p>
  </w:endnote>
  <w:endnote w:type="continuationNotice" w:id="1">
    <w:p w14:paraId="0D5F20AF" w14:textId="77777777" w:rsidR="003B3052" w:rsidRDefault="003B3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1E04" w14:textId="77777777" w:rsidR="004D1250" w:rsidRDefault="004D1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rFonts w:asciiTheme="minorHAnsi" w:hAnsiTheme="minorHAnsi" w:cstheme="minorHAnsi"/>
        <w:noProof/>
      </w:rPr>
    </w:sdtEndPr>
    <w:sdtContent>
      <w:p w14:paraId="32969EF8" w14:textId="7EAA209F" w:rsidR="008134D5" w:rsidRDefault="008134D5">
        <w:pPr>
          <w:pStyle w:val="Footer"/>
          <w:jc w:val="center"/>
        </w:pPr>
        <w:r w:rsidRPr="004D1250">
          <w:rPr>
            <w:rFonts w:asciiTheme="minorHAnsi" w:hAnsiTheme="minorHAnsi" w:cstheme="minorHAnsi"/>
          </w:rPr>
          <w:fldChar w:fldCharType="begin"/>
        </w:r>
        <w:r w:rsidRPr="004D1250">
          <w:rPr>
            <w:rFonts w:asciiTheme="minorHAnsi" w:hAnsiTheme="minorHAnsi" w:cstheme="minorHAnsi"/>
          </w:rPr>
          <w:instrText xml:space="preserve"> PAGE   \* MERGEFORMAT </w:instrText>
        </w:r>
        <w:r w:rsidRPr="004D1250">
          <w:rPr>
            <w:rFonts w:asciiTheme="minorHAnsi" w:hAnsiTheme="minorHAnsi" w:cstheme="minorHAnsi"/>
          </w:rPr>
          <w:fldChar w:fldCharType="separate"/>
        </w:r>
        <w:r w:rsidR="00B74160" w:rsidRPr="00C65E2D">
          <w:rPr>
            <w:rFonts w:asciiTheme="minorHAnsi" w:hAnsiTheme="minorHAnsi" w:cstheme="minorHAnsi"/>
            <w:noProof/>
          </w:rPr>
          <w:t>1</w:t>
        </w:r>
        <w:r w:rsidRPr="004D1250">
          <w:rPr>
            <w:rFonts w:asciiTheme="minorHAnsi" w:hAnsiTheme="minorHAnsi" w:cstheme="minorHAnsi"/>
            <w:noProof/>
          </w:rPr>
          <w:fldChar w:fldCharType="end"/>
        </w:r>
      </w:p>
    </w:sdtContent>
  </w:sdt>
  <w:p w14:paraId="575D5E8B"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E258" w14:textId="77777777" w:rsidR="004D1250" w:rsidRDefault="004D1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3E973" w14:textId="77777777" w:rsidR="003B3052" w:rsidRDefault="003B3052" w:rsidP="00783FAB">
      <w:pPr>
        <w:spacing w:after="0" w:line="240" w:lineRule="auto"/>
      </w:pPr>
      <w:r>
        <w:separator/>
      </w:r>
    </w:p>
  </w:footnote>
  <w:footnote w:type="continuationSeparator" w:id="0">
    <w:p w14:paraId="17E9A467" w14:textId="77777777" w:rsidR="003B3052" w:rsidRDefault="003B3052" w:rsidP="00783FAB">
      <w:pPr>
        <w:spacing w:after="0" w:line="240" w:lineRule="auto"/>
      </w:pPr>
      <w:r>
        <w:continuationSeparator/>
      </w:r>
    </w:p>
  </w:footnote>
  <w:footnote w:type="continuationNotice" w:id="1">
    <w:p w14:paraId="41FC20BC" w14:textId="77777777" w:rsidR="003B3052" w:rsidRDefault="003B3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86F4" w14:textId="77777777" w:rsidR="004D1250" w:rsidRDefault="004D1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01F" w14:textId="77777777" w:rsidR="004D1250" w:rsidRDefault="004D1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ECA7" w14:textId="77777777" w:rsidR="004D1250" w:rsidRDefault="004D1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54F1E"/>
    <w:multiLevelType w:val="hybridMultilevel"/>
    <w:tmpl w:val="0AB03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670DC8"/>
    <w:multiLevelType w:val="hybridMultilevel"/>
    <w:tmpl w:val="4A2CD6AC"/>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CB6B82"/>
    <w:multiLevelType w:val="hybridMultilevel"/>
    <w:tmpl w:val="36E68E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B104FCE"/>
    <w:multiLevelType w:val="hybridMultilevel"/>
    <w:tmpl w:val="8E2CA6EA"/>
    <w:lvl w:ilvl="0" w:tplc="468A8BC6">
      <w:start w:val="1"/>
      <w:numFmt w:val="decimal"/>
      <w:pStyle w:val="MBPoint"/>
      <w:lvlText w:val="%1."/>
      <w:lvlJc w:val="left"/>
      <w:pPr>
        <w:ind w:left="-207" w:hanging="360"/>
      </w:pPr>
      <w:rPr>
        <w:rFonts w:hint="default"/>
      </w:rPr>
    </w:lvl>
    <w:lvl w:ilvl="1" w:tplc="C688D224">
      <w:start w:val="1"/>
      <w:numFmt w:val="lowerLetter"/>
      <w:pStyle w:val="MBPointSub"/>
      <w:lvlText w:val="%2."/>
      <w:lvlJc w:val="left"/>
      <w:pPr>
        <w:ind w:left="513" w:hanging="360"/>
      </w:pPr>
    </w:lvl>
    <w:lvl w:ilvl="2" w:tplc="0C090003">
      <w:start w:val="1"/>
      <w:numFmt w:val="bullet"/>
      <w:lvlText w:val="o"/>
      <w:lvlJc w:val="left"/>
      <w:pPr>
        <w:ind w:left="1233" w:hanging="180"/>
      </w:pPr>
      <w:rPr>
        <w:rFonts w:ascii="Courier New" w:hAnsi="Courier New" w:cs="Courier New" w:hint="default"/>
      </w:rPr>
    </w:lvl>
    <w:lvl w:ilvl="3" w:tplc="1D468B6A" w:tentative="1">
      <w:start w:val="1"/>
      <w:numFmt w:val="decimal"/>
      <w:lvlText w:val="%4."/>
      <w:lvlJc w:val="left"/>
      <w:pPr>
        <w:ind w:left="1953" w:hanging="360"/>
      </w:pPr>
    </w:lvl>
    <w:lvl w:ilvl="4" w:tplc="094E4C76" w:tentative="1">
      <w:start w:val="1"/>
      <w:numFmt w:val="lowerLetter"/>
      <w:lvlText w:val="%5."/>
      <w:lvlJc w:val="left"/>
      <w:pPr>
        <w:ind w:left="2673" w:hanging="360"/>
      </w:pPr>
    </w:lvl>
    <w:lvl w:ilvl="5" w:tplc="C108CA3E" w:tentative="1">
      <w:start w:val="1"/>
      <w:numFmt w:val="lowerRoman"/>
      <w:lvlText w:val="%6."/>
      <w:lvlJc w:val="right"/>
      <w:pPr>
        <w:ind w:left="3393" w:hanging="180"/>
      </w:pPr>
    </w:lvl>
    <w:lvl w:ilvl="6" w:tplc="3282EC68" w:tentative="1">
      <w:start w:val="1"/>
      <w:numFmt w:val="decimal"/>
      <w:lvlText w:val="%7."/>
      <w:lvlJc w:val="left"/>
      <w:pPr>
        <w:ind w:left="4113" w:hanging="360"/>
      </w:pPr>
    </w:lvl>
    <w:lvl w:ilvl="7" w:tplc="121630C6" w:tentative="1">
      <w:start w:val="1"/>
      <w:numFmt w:val="lowerLetter"/>
      <w:lvlText w:val="%8."/>
      <w:lvlJc w:val="left"/>
      <w:pPr>
        <w:ind w:left="4833" w:hanging="360"/>
      </w:pPr>
    </w:lvl>
    <w:lvl w:ilvl="8" w:tplc="7CB21D2E" w:tentative="1">
      <w:start w:val="1"/>
      <w:numFmt w:val="lowerRoman"/>
      <w:lvlText w:val="%9."/>
      <w:lvlJc w:val="right"/>
      <w:pPr>
        <w:ind w:left="5553" w:hanging="180"/>
      </w:pPr>
    </w:lvl>
  </w:abstractNum>
  <w:abstractNum w:abstractNumId="5" w15:restartNumberingAfterBreak="0">
    <w:nsid w:val="6EEF210E"/>
    <w:multiLevelType w:val="hybridMultilevel"/>
    <w:tmpl w:val="B80A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19A"/>
    <w:rsid w:val="00011E4D"/>
    <w:rsid w:val="000138CF"/>
    <w:rsid w:val="000140D5"/>
    <w:rsid w:val="000146FA"/>
    <w:rsid w:val="000147C2"/>
    <w:rsid w:val="0001554B"/>
    <w:rsid w:val="00016AFF"/>
    <w:rsid w:val="00017F54"/>
    <w:rsid w:val="000305EA"/>
    <w:rsid w:val="00031E3C"/>
    <w:rsid w:val="00032CB3"/>
    <w:rsid w:val="000336FE"/>
    <w:rsid w:val="00036FAE"/>
    <w:rsid w:val="00044508"/>
    <w:rsid w:val="00046C9B"/>
    <w:rsid w:val="00047668"/>
    <w:rsid w:val="00047A2A"/>
    <w:rsid w:val="0005020B"/>
    <w:rsid w:val="00052E95"/>
    <w:rsid w:val="00053E67"/>
    <w:rsid w:val="00057815"/>
    <w:rsid w:val="00057A1E"/>
    <w:rsid w:val="000614A1"/>
    <w:rsid w:val="00061B39"/>
    <w:rsid w:val="00062794"/>
    <w:rsid w:val="0006484E"/>
    <w:rsid w:val="000668B0"/>
    <w:rsid w:val="00073E42"/>
    <w:rsid w:val="000743B9"/>
    <w:rsid w:val="00076D31"/>
    <w:rsid w:val="00076E76"/>
    <w:rsid w:val="00083F41"/>
    <w:rsid w:val="000846B7"/>
    <w:rsid w:val="00090B57"/>
    <w:rsid w:val="00092395"/>
    <w:rsid w:val="000A2A28"/>
    <w:rsid w:val="000A2D3A"/>
    <w:rsid w:val="000A3124"/>
    <w:rsid w:val="000A35D6"/>
    <w:rsid w:val="000B1BE1"/>
    <w:rsid w:val="000B3914"/>
    <w:rsid w:val="000B5282"/>
    <w:rsid w:val="000B5489"/>
    <w:rsid w:val="000B6430"/>
    <w:rsid w:val="000C224C"/>
    <w:rsid w:val="000C34FD"/>
    <w:rsid w:val="000C41EA"/>
    <w:rsid w:val="000C45D7"/>
    <w:rsid w:val="000C4D6B"/>
    <w:rsid w:val="000C6B29"/>
    <w:rsid w:val="000D0BB2"/>
    <w:rsid w:val="000D1472"/>
    <w:rsid w:val="000D5E6D"/>
    <w:rsid w:val="000E0E4A"/>
    <w:rsid w:val="000E3516"/>
    <w:rsid w:val="000E4FB4"/>
    <w:rsid w:val="000E57DB"/>
    <w:rsid w:val="000E6FD6"/>
    <w:rsid w:val="000E774D"/>
    <w:rsid w:val="000F1811"/>
    <w:rsid w:val="000F3681"/>
    <w:rsid w:val="000F7A8C"/>
    <w:rsid w:val="00101951"/>
    <w:rsid w:val="00103015"/>
    <w:rsid w:val="00103253"/>
    <w:rsid w:val="001042BA"/>
    <w:rsid w:val="00106B3A"/>
    <w:rsid w:val="00117FD5"/>
    <w:rsid w:val="00120A34"/>
    <w:rsid w:val="001222F0"/>
    <w:rsid w:val="00124260"/>
    <w:rsid w:val="00125A8E"/>
    <w:rsid w:val="001279DF"/>
    <w:rsid w:val="00127CD8"/>
    <w:rsid w:val="001301AD"/>
    <w:rsid w:val="001334D9"/>
    <w:rsid w:val="00135027"/>
    <w:rsid w:val="001377D9"/>
    <w:rsid w:val="00137ACD"/>
    <w:rsid w:val="00140DAD"/>
    <w:rsid w:val="00140E3D"/>
    <w:rsid w:val="001421FE"/>
    <w:rsid w:val="001437EA"/>
    <w:rsid w:val="00144950"/>
    <w:rsid w:val="00144E95"/>
    <w:rsid w:val="00145BE1"/>
    <w:rsid w:val="00151CD2"/>
    <w:rsid w:val="0015276C"/>
    <w:rsid w:val="00152947"/>
    <w:rsid w:val="0015508C"/>
    <w:rsid w:val="00156D9E"/>
    <w:rsid w:val="00160153"/>
    <w:rsid w:val="00161A1F"/>
    <w:rsid w:val="00163189"/>
    <w:rsid w:val="001656A8"/>
    <w:rsid w:val="0017006A"/>
    <w:rsid w:val="00171F2F"/>
    <w:rsid w:val="00172AA1"/>
    <w:rsid w:val="00173A64"/>
    <w:rsid w:val="00173E0C"/>
    <w:rsid w:val="00176E29"/>
    <w:rsid w:val="00185491"/>
    <w:rsid w:val="00193B41"/>
    <w:rsid w:val="00194459"/>
    <w:rsid w:val="00195030"/>
    <w:rsid w:val="00197C3F"/>
    <w:rsid w:val="001A1123"/>
    <w:rsid w:val="001A26C4"/>
    <w:rsid w:val="001A2FE9"/>
    <w:rsid w:val="001A4389"/>
    <w:rsid w:val="001A7FED"/>
    <w:rsid w:val="001B3C7A"/>
    <w:rsid w:val="001B5731"/>
    <w:rsid w:val="001C49FD"/>
    <w:rsid w:val="001C7EFD"/>
    <w:rsid w:val="001D00E3"/>
    <w:rsid w:val="001D0AF3"/>
    <w:rsid w:val="001D1D8A"/>
    <w:rsid w:val="001D367B"/>
    <w:rsid w:val="001D36EE"/>
    <w:rsid w:val="001E07CE"/>
    <w:rsid w:val="001E52EB"/>
    <w:rsid w:val="001E5A0B"/>
    <w:rsid w:val="001F127D"/>
    <w:rsid w:val="001F3626"/>
    <w:rsid w:val="001F7336"/>
    <w:rsid w:val="00200358"/>
    <w:rsid w:val="002005CD"/>
    <w:rsid w:val="00201F75"/>
    <w:rsid w:val="00202EC1"/>
    <w:rsid w:val="00204283"/>
    <w:rsid w:val="00204EEF"/>
    <w:rsid w:val="00205A3C"/>
    <w:rsid w:val="00205DBD"/>
    <w:rsid w:val="00207297"/>
    <w:rsid w:val="0021337D"/>
    <w:rsid w:val="00213BF3"/>
    <w:rsid w:val="00216A1C"/>
    <w:rsid w:val="002178EA"/>
    <w:rsid w:val="00223F82"/>
    <w:rsid w:val="00224C52"/>
    <w:rsid w:val="00232304"/>
    <w:rsid w:val="002378EE"/>
    <w:rsid w:val="00237EDA"/>
    <w:rsid w:val="002445E3"/>
    <w:rsid w:val="00247EBF"/>
    <w:rsid w:val="00257772"/>
    <w:rsid w:val="00261499"/>
    <w:rsid w:val="002672A4"/>
    <w:rsid w:val="002722A1"/>
    <w:rsid w:val="002747E8"/>
    <w:rsid w:val="00274EEA"/>
    <w:rsid w:val="00276262"/>
    <w:rsid w:val="0027686D"/>
    <w:rsid w:val="002808A9"/>
    <w:rsid w:val="00284C9D"/>
    <w:rsid w:val="002925A9"/>
    <w:rsid w:val="00292863"/>
    <w:rsid w:val="00294430"/>
    <w:rsid w:val="00296CA7"/>
    <w:rsid w:val="00296FAF"/>
    <w:rsid w:val="00297EAB"/>
    <w:rsid w:val="002A15F1"/>
    <w:rsid w:val="002A4961"/>
    <w:rsid w:val="002A7BBD"/>
    <w:rsid w:val="002B1D4A"/>
    <w:rsid w:val="002B313C"/>
    <w:rsid w:val="002B4448"/>
    <w:rsid w:val="002B5C28"/>
    <w:rsid w:val="002C1F84"/>
    <w:rsid w:val="002C40FB"/>
    <w:rsid w:val="002D1504"/>
    <w:rsid w:val="002D1875"/>
    <w:rsid w:val="002D564A"/>
    <w:rsid w:val="002D73C0"/>
    <w:rsid w:val="002D7A08"/>
    <w:rsid w:val="002E12E6"/>
    <w:rsid w:val="002E45CD"/>
    <w:rsid w:val="002E5928"/>
    <w:rsid w:val="002F76C6"/>
    <w:rsid w:val="00301489"/>
    <w:rsid w:val="00304A88"/>
    <w:rsid w:val="00304E64"/>
    <w:rsid w:val="00305E84"/>
    <w:rsid w:val="00307358"/>
    <w:rsid w:val="0031070C"/>
    <w:rsid w:val="00313612"/>
    <w:rsid w:val="0031464D"/>
    <w:rsid w:val="00316053"/>
    <w:rsid w:val="00316D9C"/>
    <w:rsid w:val="003170AC"/>
    <w:rsid w:val="00323C61"/>
    <w:rsid w:val="00326C24"/>
    <w:rsid w:val="0033070E"/>
    <w:rsid w:val="00336ACE"/>
    <w:rsid w:val="003440C7"/>
    <w:rsid w:val="0034483E"/>
    <w:rsid w:val="00350779"/>
    <w:rsid w:val="00353D81"/>
    <w:rsid w:val="00354743"/>
    <w:rsid w:val="003630E9"/>
    <w:rsid w:val="00365D2C"/>
    <w:rsid w:val="00367C2D"/>
    <w:rsid w:val="0037028F"/>
    <w:rsid w:val="003719BF"/>
    <w:rsid w:val="003748D4"/>
    <w:rsid w:val="00375010"/>
    <w:rsid w:val="0037728A"/>
    <w:rsid w:val="00377427"/>
    <w:rsid w:val="00386B68"/>
    <w:rsid w:val="00386E17"/>
    <w:rsid w:val="0038758C"/>
    <w:rsid w:val="003911EF"/>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3052"/>
    <w:rsid w:val="003B67B0"/>
    <w:rsid w:val="003B6C2D"/>
    <w:rsid w:val="003C0D20"/>
    <w:rsid w:val="003C16A9"/>
    <w:rsid w:val="003C1E66"/>
    <w:rsid w:val="003C202D"/>
    <w:rsid w:val="003D47C4"/>
    <w:rsid w:val="003D7CE2"/>
    <w:rsid w:val="003E001E"/>
    <w:rsid w:val="003E1283"/>
    <w:rsid w:val="003E4413"/>
    <w:rsid w:val="003E5B26"/>
    <w:rsid w:val="003E6EB5"/>
    <w:rsid w:val="003F09F7"/>
    <w:rsid w:val="003F1AA1"/>
    <w:rsid w:val="003F24BC"/>
    <w:rsid w:val="003F264A"/>
    <w:rsid w:val="003F3802"/>
    <w:rsid w:val="003F492F"/>
    <w:rsid w:val="00402144"/>
    <w:rsid w:val="004026BA"/>
    <w:rsid w:val="00402CC7"/>
    <w:rsid w:val="00402D70"/>
    <w:rsid w:val="00403CE4"/>
    <w:rsid w:val="004075A3"/>
    <w:rsid w:val="00410A3F"/>
    <w:rsid w:val="0041144F"/>
    <w:rsid w:val="004143B1"/>
    <w:rsid w:val="0041556E"/>
    <w:rsid w:val="00415A55"/>
    <w:rsid w:val="00424705"/>
    <w:rsid w:val="00424C51"/>
    <w:rsid w:val="00425A1E"/>
    <w:rsid w:val="00425AC0"/>
    <w:rsid w:val="00425FCB"/>
    <w:rsid w:val="004263FD"/>
    <w:rsid w:val="00430F1B"/>
    <w:rsid w:val="004327E1"/>
    <w:rsid w:val="00434240"/>
    <w:rsid w:val="00434508"/>
    <w:rsid w:val="00434641"/>
    <w:rsid w:val="00434CDD"/>
    <w:rsid w:val="004355D0"/>
    <w:rsid w:val="004355E8"/>
    <w:rsid w:val="00436435"/>
    <w:rsid w:val="00445460"/>
    <w:rsid w:val="00445F44"/>
    <w:rsid w:val="00446B03"/>
    <w:rsid w:val="0044797F"/>
    <w:rsid w:val="00455C2A"/>
    <w:rsid w:val="00470B0B"/>
    <w:rsid w:val="00472F61"/>
    <w:rsid w:val="00475FA7"/>
    <w:rsid w:val="00481DE1"/>
    <w:rsid w:val="0048294E"/>
    <w:rsid w:val="00484B49"/>
    <w:rsid w:val="00484DBC"/>
    <w:rsid w:val="00487730"/>
    <w:rsid w:val="00487CD0"/>
    <w:rsid w:val="00490BA0"/>
    <w:rsid w:val="00494834"/>
    <w:rsid w:val="0049486C"/>
    <w:rsid w:val="004A2F70"/>
    <w:rsid w:val="004A336E"/>
    <w:rsid w:val="004A409F"/>
    <w:rsid w:val="004A48D9"/>
    <w:rsid w:val="004A4EBF"/>
    <w:rsid w:val="004A6B2D"/>
    <w:rsid w:val="004B2C3F"/>
    <w:rsid w:val="004D1250"/>
    <w:rsid w:val="004D5695"/>
    <w:rsid w:val="004D665B"/>
    <w:rsid w:val="004D7B86"/>
    <w:rsid w:val="004E2C3A"/>
    <w:rsid w:val="004E48AA"/>
    <w:rsid w:val="004E4BFF"/>
    <w:rsid w:val="004F53E6"/>
    <w:rsid w:val="004F5405"/>
    <w:rsid w:val="004F54FF"/>
    <w:rsid w:val="005021A5"/>
    <w:rsid w:val="00503218"/>
    <w:rsid w:val="00505873"/>
    <w:rsid w:val="00506CF9"/>
    <w:rsid w:val="00506F28"/>
    <w:rsid w:val="00507A45"/>
    <w:rsid w:val="00513BFD"/>
    <w:rsid w:val="005146EC"/>
    <w:rsid w:val="00515BBE"/>
    <w:rsid w:val="005169CB"/>
    <w:rsid w:val="0051713D"/>
    <w:rsid w:val="00517337"/>
    <w:rsid w:val="005173FC"/>
    <w:rsid w:val="00521A7C"/>
    <w:rsid w:val="00523900"/>
    <w:rsid w:val="00524226"/>
    <w:rsid w:val="00527330"/>
    <w:rsid w:val="0053335B"/>
    <w:rsid w:val="00533663"/>
    <w:rsid w:val="00536596"/>
    <w:rsid w:val="005366FF"/>
    <w:rsid w:val="00537A32"/>
    <w:rsid w:val="0054602B"/>
    <w:rsid w:val="00546375"/>
    <w:rsid w:val="005567AF"/>
    <w:rsid w:val="005620CA"/>
    <w:rsid w:val="005706CD"/>
    <w:rsid w:val="00572401"/>
    <w:rsid w:val="005732E6"/>
    <w:rsid w:val="00577C30"/>
    <w:rsid w:val="00580708"/>
    <w:rsid w:val="005812FF"/>
    <w:rsid w:val="005819C8"/>
    <w:rsid w:val="00583C04"/>
    <w:rsid w:val="0058422E"/>
    <w:rsid w:val="00584B84"/>
    <w:rsid w:val="005905A0"/>
    <w:rsid w:val="00591EC0"/>
    <w:rsid w:val="00597535"/>
    <w:rsid w:val="0059779C"/>
    <w:rsid w:val="005A54B4"/>
    <w:rsid w:val="005A7050"/>
    <w:rsid w:val="005B3CBC"/>
    <w:rsid w:val="005B510A"/>
    <w:rsid w:val="005C0740"/>
    <w:rsid w:val="005C18D0"/>
    <w:rsid w:val="005E2026"/>
    <w:rsid w:val="005E32F3"/>
    <w:rsid w:val="005F4914"/>
    <w:rsid w:val="005F5DF6"/>
    <w:rsid w:val="005F5FA1"/>
    <w:rsid w:val="005F7D42"/>
    <w:rsid w:val="0060088C"/>
    <w:rsid w:val="00604F05"/>
    <w:rsid w:val="00605E9A"/>
    <w:rsid w:val="00611D31"/>
    <w:rsid w:val="00617FC1"/>
    <w:rsid w:val="006202A1"/>
    <w:rsid w:val="0062319E"/>
    <w:rsid w:val="00625432"/>
    <w:rsid w:val="00626E42"/>
    <w:rsid w:val="00627EDA"/>
    <w:rsid w:val="00631B74"/>
    <w:rsid w:val="00636200"/>
    <w:rsid w:val="00637DB1"/>
    <w:rsid w:val="0064592E"/>
    <w:rsid w:val="00645DC7"/>
    <w:rsid w:val="0064724F"/>
    <w:rsid w:val="006507CB"/>
    <w:rsid w:val="00651D68"/>
    <w:rsid w:val="00652D30"/>
    <w:rsid w:val="006540EF"/>
    <w:rsid w:val="00656314"/>
    <w:rsid w:val="00661580"/>
    <w:rsid w:val="00661BE8"/>
    <w:rsid w:val="00667B6F"/>
    <w:rsid w:val="00667F82"/>
    <w:rsid w:val="006700AA"/>
    <w:rsid w:val="00672BD2"/>
    <w:rsid w:val="00674493"/>
    <w:rsid w:val="00677A0D"/>
    <w:rsid w:val="00683087"/>
    <w:rsid w:val="00685653"/>
    <w:rsid w:val="006875C8"/>
    <w:rsid w:val="00690929"/>
    <w:rsid w:val="006930D1"/>
    <w:rsid w:val="006931AD"/>
    <w:rsid w:val="006940BB"/>
    <w:rsid w:val="00696CF0"/>
    <w:rsid w:val="00697001"/>
    <w:rsid w:val="006A0097"/>
    <w:rsid w:val="006A1788"/>
    <w:rsid w:val="006A20EE"/>
    <w:rsid w:val="006A666D"/>
    <w:rsid w:val="006B2D99"/>
    <w:rsid w:val="006B6373"/>
    <w:rsid w:val="006B6E38"/>
    <w:rsid w:val="006B7633"/>
    <w:rsid w:val="006C3EF7"/>
    <w:rsid w:val="006D58E2"/>
    <w:rsid w:val="006D7B6B"/>
    <w:rsid w:val="006E3838"/>
    <w:rsid w:val="006E3C40"/>
    <w:rsid w:val="006E5E0B"/>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786"/>
    <w:rsid w:val="00745FCA"/>
    <w:rsid w:val="00747943"/>
    <w:rsid w:val="00752BD5"/>
    <w:rsid w:val="00753090"/>
    <w:rsid w:val="0075573F"/>
    <w:rsid w:val="0075604F"/>
    <w:rsid w:val="00756861"/>
    <w:rsid w:val="00756D99"/>
    <w:rsid w:val="00756F20"/>
    <w:rsid w:val="00760772"/>
    <w:rsid w:val="00760DDE"/>
    <w:rsid w:val="00761F6E"/>
    <w:rsid w:val="007620AE"/>
    <w:rsid w:val="00772715"/>
    <w:rsid w:val="0077536C"/>
    <w:rsid w:val="00782538"/>
    <w:rsid w:val="007828DD"/>
    <w:rsid w:val="00783FAB"/>
    <w:rsid w:val="00785B13"/>
    <w:rsid w:val="0078617C"/>
    <w:rsid w:val="00791AAC"/>
    <w:rsid w:val="00793BE4"/>
    <w:rsid w:val="00795969"/>
    <w:rsid w:val="007A6AF0"/>
    <w:rsid w:val="007B0A9E"/>
    <w:rsid w:val="007B44CD"/>
    <w:rsid w:val="007B4836"/>
    <w:rsid w:val="007C316A"/>
    <w:rsid w:val="007C3734"/>
    <w:rsid w:val="007C5020"/>
    <w:rsid w:val="007D12B2"/>
    <w:rsid w:val="007D1F16"/>
    <w:rsid w:val="007D4E08"/>
    <w:rsid w:val="007E00A8"/>
    <w:rsid w:val="007E16D6"/>
    <w:rsid w:val="007E2197"/>
    <w:rsid w:val="007E3446"/>
    <w:rsid w:val="007E3447"/>
    <w:rsid w:val="007E36E5"/>
    <w:rsid w:val="007E6EC6"/>
    <w:rsid w:val="007F33AF"/>
    <w:rsid w:val="007F563E"/>
    <w:rsid w:val="00803447"/>
    <w:rsid w:val="008035CF"/>
    <w:rsid w:val="0080584E"/>
    <w:rsid w:val="00805863"/>
    <w:rsid w:val="00805FEB"/>
    <w:rsid w:val="008070EB"/>
    <w:rsid w:val="00811E34"/>
    <w:rsid w:val="00812C37"/>
    <w:rsid w:val="008134D5"/>
    <w:rsid w:val="00813A38"/>
    <w:rsid w:val="00821638"/>
    <w:rsid w:val="00822973"/>
    <w:rsid w:val="00823B66"/>
    <w:rsid w:val="00823D0A"/>
    <w:rsid w:val="00824A98"/>
    <w:rsid w:val="008310AA"/>
    <w:rsid w:val="00834114"/>
    <w:rsid w:val="00834182"/>
    <w:rsid w:val="00835DB2"/>
    <w:rsid w:val="00843D52"/>
    <w:rsid w:val="00844D23"/>
    <w:rsid w:val="0084768A"/>
    <w:rsid w:val="008517D8"/>
    <w:rsid w:val="00855239"/>
    <w:rsid w:val="00856BC4"/>
    <w:rsid w:val="00862FA0"/>
    <w:rsid w:val="00867101"/>
    <w:rsid w:val="008736CF"/>
    <w:rsid w:val="008755D8"/>
    <w:rsid w:val="0087737F"/>
    <w:rsid w:val="0088497A"/>
    <w:rsid w:val="008950A0"/>
    <w:rsid w:val="00896DA0"/>
    <w:rsid w:val="008A1F97"/>
    <w:rsid w:val="008A6224"/>
    <w:rsid w:val="008A69B5"/>
    <w:rsid w:val="008A7931"/>
    <w:rsid w:val="008B478B"/>
    <w:rsid w:val="008B51C6"/>
    <w:rsid w:val="008B61B7"/>
    <w:rsid w:val="008C48EF"/>
    <w:rsid w:val="008C497B"/>
    <w:rsid w:val="008C572C"/>
    <w:rsid w:val="008C76FD"/>
    <w:rsid w:val="008D72EA"/>
    <w:rsid w:val="008D7625"/>
    <w:rsid w:val="008E2F06"/>
    <w:rsid w:val="008E30D6"/>
    <w:rsid w:val="008E30D9"/>
    <w:rsid w:val="008E68D3"/>
    <w:rsid w:val="008E79DF"/>
    <w:rsid w:val="008F002D"/>
    <w:rsid w:val="008F43E8"/>
    <w:rsid w:val="009014F5"/>
    <w:rsid w:val="00902A26"/>
    <w:rsid w:val="00903257"/>
    <w:rsid w:val="009048A2"/>
    <w:rsid w:val="00905C61"/>
    <w:rsid w:val="00906BC6"/>
    <w:rsid w:val="00907D61"/>
    <w:rsid w:val="00910064"/>
    <w:rsid w:val="009114DC"/>
    <w:rsid w:val="00911D92"/>
    <w:rsid w:val="009121D3"/>
    <w:rsid w:val="009165B9"/>
    <w:rsid w:val="009176F5"/>
    <w:rsid w:val="009240A9"/>
    <w:rsid w:val="00925854"/>
    <w:rsid w:val="00933AD6"/>
    <w:rsid w:val="009421AA"/>
    <w:rsid w:val="0094476A"/>
    <w:rsid w:val="0094774B"/>
    <w:rsid w:val="009554C5"/>
    <w:rsid w:val="0095786F"/>
    <w:rsid w:val="00962AB6"/>
    <w:rsid w:val="00964375"/>
    <w:rsid w:val="00970AAB"/>
    <w:rsid w:val="00974504"/>
    <w:rsid w:val="00975A4A"/>
    <w:rsid w:val="00976413"/>
    <w:rsid w:val="009767B4"/>
    <w:rsid w:val="00977D37"/>
    <w:rsid w:val="009807AE"/>
    <w:rsid w:val="00984ADE"/>
    <w:rsid w:val="00990334"/>
    <w:rsid w:val="00991158"/>
    <w:rsid w:val="00991769"/>
    <w:rsid w:val="0099199E"/>
    <w:rsid w:val="0099474B"/>
    <w:rsid w:val="00995C44"/>
    <w:rsid w:val="009A04A5"/>
    <w:rsid w:val="009A14CF"/>
    <w:rsid w:val="009A35A0"/>
    <w:rsid w:val="009A7CFA"/>
    <w:rsid w:val="009B0795"/>
    <w:rsid w:val="009B0C51"/>
    <w:rsid w:val="009B2183"/>
    <w:rsid w:val="009B29AC"/>
    <w:rsid w:val="009B4B7F"/>
    <w:rsid w:val="009C0F35"/>
    <w:rsid w:val="009C10C1"/>
    <w:rsid w:val="009C4F55"/>
    <w:rsid w:val="009C50FE"/>
    <w:rsid w:val="009C5E5D"/>
    <w:rsid w:val="009D23FB"/>
    <w:rsid w:val="009D3D96"/>
    <w:rsid w:val="009D62D4"/>
    <w:rsid w:val="009D7562"/>
    <w:rsid w:val="009E0803"/>
    <w:rsid w:val="009E7C1C"/>
    <w:rsid w:val="009F13BF"/>
    <w:rsid w:val="009F1D01"/>
    <w:rsid w:val="009F1D34"/>
    <w:rsid w:val="009F4C47"/>
    <w:rsid w:val="009F528F"/>
    <w:rsid w:val="009F5739"/>
    <w:rsid w:val="009F6AC9"/>
    <w:rsid w:val="00A105DA"/>
    <w:rsid w:val="00A20031"/>
    <w:rsid w:val="00A202D5"/>
    <w:rsid w:val="00A23CDC"/>
    <w:rsid w:val="00A24596"/>
    <w:rsid w:val="00A24B24"/>
    <w:rsid w:val="00A25E6C"/>
    <w:rsid w:val="00A40E3D"/>
    <w:rsid w:val="00A40EA6"/>
    <w:rsid w:val="00A469F5"/>
    <w:rsid w:val="00A46FA7"/>
    <w:rsid w:val="00A47C4E"/>
    <w:rsid w:val="00A52753"/>
    <w:rsid w:val="00A550E8"/>
    <w:rsid w:val="00A556D1"/>
    <w:rsid w:val="00A56E8B"/>
    <w:rsid w:val="00A71133"/>
    <w:rsid w:val="00A7209C"/>
    <w:rsid w:val="00A72AD9"/>
    <w:rsid w:val="00A761C7"/>
    <w:rsid w:val="00A77D42"/>
    <w:rsid w:val="00A81256"/>
    <w:rsid w:val="00A82E17"/>
    <w:rsid w:val="00A85075"/>
    <w:rsid w:val="00A90245"/>
    <w:rsid w:val="00A93F1F"/>
    <w:rsid w:val="00AA12F7"/>
    <w:rsid w:val="00AA3173"/>
    <w:rsid w:val="00AA3A3E"/>
    <w:rsid w:val="00AB19B6"/>
    <w:rsid w:val="00AB5D71"/>
    <w:rsid w:val="00AC0BFE"/>
    <w:rsid w:val="00AC1539"/>
    <w:rsid w:val="00AC6ABA"/>
    <w:rsid w:val="00AC7F4A"/>
    <w:rsid w:val="00AD1C80"/>
    <w:rsid w:val="00AD2E24"/>
    <w:rsid w:val="00AD5627"/>
    <w:rsid w:val="00AD65C9"/>
    <w:rsid w:val="00AD6639"/>
    <w:rsid w:val="00AD6868"/>
    <w:rsid w:val="00AE4A25"/>
    <w:rsid w:val="00AE5CCB"/>
    <w:rsid w:val="00AE7179"/>
    <w:rsid w:val="00AF58D0"/>
    <w:rsid w:val="00AF6215"/>
    <w:rsid w:val="00AF6D8D"/>
    <w:rsid w:val="00AF6F6E"/>
    <w:rsid w:val="00B00A18"/>
    <w:rsid w:val="00B067CD"/>
    <w:rsid w:val="00B06D9F"/>
    <w:rsid w:val="00B11323"/>
    <w:rsid w:val="00B13A2F"/>
    <w:rsid w:val="00B145D2"/>
    <w:rsid w:val="00B178D3"/>
    <w:rsid w:val="00B22F73"/>
    <w:rsid w:val="00B26835"/>
    <w:rsid w:val="00B3381B"/>
    <w:rsid w:val="00B339F8"/>
    <w:rsid w:val="00B345A5"/>
    <w:rsid w:val="00B35BE1"/>
    <w:rsid w:val="00B4065C"/>
    <w:rsid w:val="00B43512"/>
    <w:rsid w:val="00B52CD8"/>
    <w:rsid w:val="00B604EB"/>
    <w:rsid w:val="00B6108C"/>
    <w:rsid w:val="00B67F7B"/>
    <w:rsid w:val="00B739E2"/>
    <w:rsid w:val="00B74160"/>
    <w:rsid w:val="00B8151D"/>
    <w:rsid w:val="00B819AA"/>
    <w:rsid w:val="00B932C2"/>
    <w:rsid w:val="00B93328"/>
    <w:rsid w:val="00BA12CE"/>
    <w:rsid w:val="00BA54AA"/>
    <w:rsid w:val="00BB2109"/>
    <w:rsid w:val="00BB2C6B"/>
    <w:rsid w:val="00BB38D4"/>
    <w:rsid w:val="00BB4D85"/>
    <w:rsid w:val="00BB4E04"/>
    <w:rsid w:val="00BB61E4"/>
    <w:rsid w:val="00BB631E"/>
    <w:rsid w:val="00BB71A8"/>
    <w:rsid w:val="00BC4BD5"/>
    <w:rsid w:val="00BC50A3"/>
    <w:rsid w:val="00BD41D4"/>
    <w:rsid w:val="00BD465A"/>
    <w:rsid w:val="00BD47A9"/>
    <w:rsid w:val="00BD5316"/>
    <w:rsid w:val="00BD5A86"/>
    <w:rsid w:val="00BD6AC2"/>
    <w:rsid w:val="00BE214C"/>
    <w:rsid w:val="00BE68F9"/>
    <w:rsid w:val="00BE7C16"/>
    <w:rsid w:val="00BF2A9B"/>
    <w:rsid w:val="00BF3DAE"/>
    <w:rsid w:val="00BF7D82"/>
    <w:rsid w:val="00C01F57"/>
    <w:rsid w:val="00C02595"/>
    <w:rsid w:val="00C051FF"/>
    <w:rsid w:val="00C12197"/>
    <w:rsid w:val="00C1330A"/>
    <w:rsid w:val="00C145EB"/>
    <w:rsid w:val="00C2416A"/>
    <w:rsid w:val="00C30E45"/>
    <w:rsid w:val="00C325A5"/>
    <w:rsid w:val="00C32C7F"/>
    <w:rsid w:val="00C36A15"/>
    <w:rsid w:val="00C3701B"/>
    <w:rsid w:val="00C37043"/>
    <w:rsid w:val="00C42988"/>
    <w:rsid w:val="00C4300F"/>
    <w:rsid w:val="00C45661"/>
    <w:rsid w:val="00C47748"/>
    <w:rsid w:val="00C5010C"/>
    <w:rsid w:val="00C50F9C"/>
    <w:rsid w:val="00C61865"/>
    <w:rsid w:val="00C62BC1"/>
    <w:rsid w:val="00C62E16"/>
    <w:rsid w:val="00C64879"/>
    <w:rsid w:val="00C65E2D"/>
    <w:rsid w:val="00C66953"/>
    <w:rsid w:val="00C73133"/>
    <w:rsid w:val="00C731FA"/>
    <w:rsid w:val="00C7617C"/>
    <w:rsid w:val="00C81275"/>
    <w:rsid w:val="00C82861"/>
    <w:rsid w:val="00C82C91"/>
    <w:rsid w:val="00C84198"/>
    <w:rsid w:val="00C846A2"/>
    <w:rsid w:val="00C856AC"/>
    <w:rsid w:val="00C8705B"/>
    <w:rsid w:val="00C90EFC"/>
    <w:rsid w:val="00C90FC4"/>
    <w:rsid w:val="00C954B7"/>
    <w:rsid w:val="00C9591A"/>
    <w:rsid w:val="00C97776"/>
    <w:rsid w:val="00CA46AC"/>
    <w:rsid w:val="00CA4F71"/>
    <w:rsid w:val="00CA7611"/>
    <w:rsid w:val="00CB056E"/>
    <w:rsid w:val="00CB337B"/>
    <w:rsid w:val="00CB45D5"/>
    <w:rsid w:val="00CB7A83"/>
    <w:rsid w:val="00CC0676"/>
    <w:rsid w:val="00CC3AE0"/>
    <w:rsid w:val="00CC3C0B"/>
    <w:rsid w:val="00CC3CD3"/>
    <w:rsid w:val="00CC4C6D"/>
    <w:rsid w:val="00CD20F8"/>
    <w:rsid w:val="00CD3705"/>
    <w:rsid w:val="00CD56FA"/>
    <w:rsid w:val="00CD66C5"/>
    <w:rsid w:val="00CD6E72"/>
    <w:rsid w:val="00CE0246"/>
    <w:rsid w:val="00CE3EA5"/>
    <w:rsid w:val="00CF1C96"/>
    <w:rsid w:val="00CF5A8C"/>
    <w:rsid w:val="00D010D3"/>
    <w:rsid w:val="00D05A8C"/>
    <w:rsid w:val="00D07271"/>
    <w:rsid w:val="00D1121E"/>
    <w:rsid w:val="00D119DD"/>
    <w:rsid w:val="00D14A9D"/>
    <w:rsid w:val="00D17A67"/>
    <w:rsid w:val="00D17FC6"/>
    <w:rsid w:val="00D217D1"/>
    <w:rsid w:val="00D2467C"/>
    <w:rsid w:val="00D2517F"/>
    <w:rsid w:val="00D32803"/>
    <w:rsid w:val="00D36B78"/>
    <w:rsid w:val="00D3758C"/>
    <w:rsid w:val="00D443CE"/>
    <w:rsid w:val="00D46134"/>
    <w:rsid w:val="00D468A9"/>
    <w:rsid w:val="00D50946"/>
    <w:rsid w:val="00D52E9D"/>
    <w:rsid w:val="00D5387E"/>
    <w:rsid w:val="00D56A3B"/>
    <w:rsid w:val="00D61A73"/>
    <w:rsid w:val="00D62C14"/>
    <w:rsid w:val="00D63270"/>
    <w:rsid w:val="00D63CDD"/>
    <w:rsid w:val="00D64B7D"/>
    <w:rsid w:val="00D66B65"/>
    <w:rsid w:val="00D70EAE"/>
    <w:rsid w:val="00D73415"/>
    <w:rsid w:val="00D74B9B"/>
    <w:rsid w:val="00D74F57"/>
    <w:rsid w:val="00D76E15"/>
    <w:rsid w:val="00D773CB"/>
    <w:rsid w:val="00D8103E"/>
    <w:rsid w:val="00D818BA"/>
    <w:rsid w:val="00D842A2"/>
    <w:rsid w:val="00D84946"/>
    <w:rsid w:val="00D92A38"/>
    <w:rsid w:val="00D93741"/>
    <w:rsid w:val="00D94015"/>
    <w:rsid w:val="00DA250F"/>
    <w:rsid w:val="00DA552F"/>
    <w:rsid w:val="00DB1C9E"/>
    <w:rsid w:val="00DB2434"/>
    <w:rsid w:val="00DB461B"/>
    <w:rsid w:val="00DB4875"/>
    <w:rsid w:val="00DB4D35"/>
    <w:rsid w:val="00DB6247"/>
    <w:rsid w:val="00DC3E8C"/>
    <w:rsid w:val="00DC4B5E"/>
    <w:rsid w:val="00DD1234"/>
    <w:rsid w:val="00DD408F"/>
    <w:rsid w:val="00DD5F43"/>
    <w:rsid w:val="00DD651A"/>
    <w:rsid w:val="00DD6C91"/>
    <w:rsid w:val="00DD7496"/>
    <w:rsid w:val="00DD7B03"/>
    <w:rsid w:val="00DE02BB"/>
    <w:rsid w:val="00DE5F92"/>
    <w:rsid w:val="00DE715E"/>
    <w:rsid w:val="00DE7C37"/>
    <w:rsid w:val="00DF05EA"/>
    <w:rsid w:val="00DF13F3"/>
    <w:rsid w:val="00DF3683"/>
    <w:rsid w:val="00DF46B2"/>
    <w:rsid w:val="00DF57B8"/>
    <w:rsid w:val="00DF61B7"/>
    <w:rsid w:val="00DF75DB"/>
    <w:rsid w:val="00E01C32"/>
    <w:rsid w:val="00E01F85"/>
    <w:rsid w:val="00E1257E"/>
    <w:rsid w:val="00E153CC"/>
    <w:rsid w:val="00E24E50"/>
    <w:rsid w:val="00E251EE"/>
    <w:rsid w:val="00E302D5"/>
    <w:rsid w:val="00E33927"/>
    <w:rsid w:val="00E33FED"/>
    <w:rsid w:val="00E43542"/>
    <w:rsid w:val="00E44999"/>
    <w:rsid w:val="00E473DE"/>
    <w:rsid w:val="00E50E94"/>
    <w:rsid w:val="00E5541C"/>
    <w:rsid w:val="00E55C6E"/>
    <w:rsid w:val="00E55D04"/>
    <w:rsid w:val="00E60A2A"/>
    <w:rsid w:val="00E62C51"/>
    <w:rsid w:val="00E631F9"/>
    <w:rsid w:val="00E662FD"/>
    <w:rsid w:val="00E70B07"/>
    <w:rsid w:val="00E72FD0"/>
    <w:rsid w:val="00E757D0"/>
    <w:rsid w:val="00E767BE"/>
    <w:rsid w:val="00E815C9"/>
    <w:rsid w:val="00E8671C"/>
    <w:rsid w:val="00E90298"/>
    <w:rsid w:val="00E90606"/>
    <w:rsid w:val="00E916A2"/>
    <w:rsid w:val="00E91930"/>
    <w:rsid w:val="00E92CCB"/>
    <w:rsid w:val="00EA1E96"/>
    <w:rsid w:val="00EA3BC3"/>
    <w:rsid w:val="00EA6D4F"/>
    <w:rsid w:val="00EA716A"/>
    <w:rsid w:val="00EA7EA8"/>
    <w:rsid w:val="00EB2036"/>
    <w:rsid w:val="00EC0A15"/>
    <w:rsid w:val="00ED1AA6"/>
    <w:rsid w:val="00ED7659"/>
    <w:rsid w:val="00EE412B"/>
    <w:rsid w:val="00EF4ACB"/>
    <w:rsid w:val="00EF71EB"/>
    <w:rsid w:val="00F00674"/>
    <w:rsid w:val="00F03635"/>
    <w:rsid w:val="00F0455E"/>
    <w:rsid w:val="00F0609A"/>
    <w:rsid w:val="00F1230D"/>
    <w:rsid w:val="00F14BCE"/>
    <w:rsid w:val="00F14F89"/>
    <w:rsid w:val="00F21042"/>
    <w:rsid w:val="00F21FAC"/>
    <w:rsid w:val="00F23027"/>
    <w:rsid w:val="00F2341E"/>
    <w:rsid w:val="00F31A69"/>
    <w:rsid w:val="00F3264E"/>
    <w:rsid w:val="00F36014"/>
    <w:rsid w:val="00F36E18"/>
    <w:rsid w:val="00F37BC2"/>
    <w:rsid w:val="00F37FE2"/>
    <w:rsid w:val="00F43DAD"/>
    <w:rsid w:val="00F45857"/>
    <w:rsid w:val="00F513EB"/>
    <w:rsid w:val="00F5236B"/>
    <w:rsid w:val="00F5252A"/>
    <w:rsid w:val="00F539C1"/>
    <w:rsid w:val="00F54266"/>
    <w:rsid w:val="00F552D2"/>
    <w:rsid w:val="00F5679F"/>
    <w:rsid w:val="00F60D6A"/>
    <w:rsid w:val="00F60F15"/>
    <w:rsid w:val="00F62708"/>
    <w:rsid w:val="00F63BC2"/>
    <w:rsid w:val="00F6460E"/>
    <w:rsid w:val="00F64CB4"/>
    <w:rsid w:val="00F65889"/>
    <w:rsid w:val="00F71466"/>
    <w:rsid w:val="00F72398"/>
    <w:rsid w:val="00F74CC9"/>
    <w:rsid w:val="00F77106"/>
    <w:rsid w:val="00F85B48"/>
    <w:rsid w:val="00F861AE"/>
    <w:rsid w:val="00F871D7"/>
    <w:rsid w:val="00F87FB6"/>
    <w:rsid w:val="00F90098"/>
    <w:rsid w:val="00F9205E"/>
    <w:rsid w:val="00F92FA5"/>
    <w:rsid w:val="00F935BD"/>
    <w:rsid w:val="00F95C63"/>
    <w:rsid w:val="00F96196"/>
    <w:rsid w:val="00F96889"/>
    <w:rsid w:val="00FA2330"/>
    <w:rsid w:val="00FA6309"/>
    <w:rsid w:val="00FA6319"/>
    <w:rsid w:val="00FB0BD0"/>
    <w:rsid w:val="00FB120A"/>
    <w:rsid w:val="00FB14CA"/>
    <w:rsid w:val="00FB168A"/>
    <w:rsid w:val="00FB4419"/>
    <w:rsid w:val="00FB46DD"/>
    <w:rsid w:val="00FB656A"/>
    <w:rsid w:val="00FB7019"/>
    <w:rsid w:val="00FC18C2"/>
    <w:rsid w:val="00FC22B8"/>
    <w:rsid w:val="00FC522B"/>
    <w:rsid w:val="00FC6429"/>
    <w:rsid w:val="00FD0A30"/>
    <w:rsid w:val="00FD1A80"/>
    <w:rsid w:val="00FD303E"/>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9B41FC"/>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subsection">
    <w:name w:val="subsection"/>
    <w:basedOn w:val="Normal"/>
    <w:rsid w:val="008070EB"/>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070EB"/>
    <w:pPr>
      <w:spacing w:before="100" w:beforeAutospacing="1" w:after="100" w:afterAutospacing="1" w:line="240" w:lineRule="auto"/>
    </w:pPr>
    <w:rPr>
      <w:rFonts w:eastAsia="Times New Roman" w:cs="Times New Roman"/>
      <w:szCs w:val="24"/>
      <w:lang w:eastAsia="en-AU"/>
    </w:rPr>
  </w:style>
  <w:style w:type="character" w:customStyle="1" w:styleId="UnresolvedMention1">
    <w:name w:val="Unresolved Mention1"/>
    <w:basedOn w:val="DefaultParagraphFont"/>
    <w:uiPriority w:val="99"/>
    <w:semiHidden/>
    <w:unhideWhenUsed/>
    <w:rsid w:val="003F492F"/>
    <w:rPr>
      <w:color w:val="605E5C"/>
      <w:shd w:val="clear" w:color="auto" w:fill="E1DFDD"/>
    </w:rPr>
  </w:style>
  <w:style w:type="paragraph" w:customStyle="1" w:styleId="MBPoint">
    <w:name w:val="MB Point"/>
    <w:basedOn w:val="ListParagraph"/>
    <w:link w:val="MBPointChar"/>
    <w:qFormat/>
    <w:rsid w:val="000743B9"/>
    <w:pPr>
      <w:numPr>
        <w:numId w:val="4"/>
      </w:numPr>
      <w:spacing w:after="60" w:line="240" w:lineRule="auto"/>
      <w:ind w:left="425" w:hanging="357"/>
      <w:contextualSpacing w:val="0"/>
    </w:pPr>
    <w:rPr>
      <w:rFonts w:cs="Times New Roman"/>
      <w:szCs w:val="24"/>
    </w:rPr>
  </w:style>
  <w:style w:type="paragraph" w:customStyle="1" w:styleId="MBPointSub">
    <w:name w:val="MB Point Sub"/>
    <w:basedOn w:val="ListParagraph"/>
    <w:qFormat/>
    <w:rsid w:val="000743B9"/>
    <w:pPr>
      <w:numPr>
        <w:ilvl w:val="1"/>
        <w:numId w:val="4"/>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0743B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196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50230551">
      <w:bodyDiv w:val="1"/>
      <w:marLeft w:val="0"/>
      <w:marRight w:val="0"/>
      <w:marTop w:val="0"/>
      <w:marBottom w:val="0"/>
      <w:divBdr>
        <w:top w:val="none" w:sz="0" w:space="0" w:color="auto"/>
        <w:left w:val="none" w:sz="0" w:space="0" w:color="auto"/>
        <w:bottom w:val="none" w:sz="0" w:space="0" w:color="auto"/>
        <w:right w:val="none" w:sz="0" w:space="0" w:color="auto"/>
      </w:divBdr>
    </w:div>
    <w:div w:id="525605112">
      <w:bodyDiv w:val="1"/>
      <w:marLeft w:val="0"/>
      <w:marRight w:val="0"/>
      <w:marTop w:val="0"/>
      <w:marBottom w:val="0"/>
      <w:divBdr>
        <w:top w:val="none" w:sz="0" w:space="0" w:color="auto"/>
        <w:left w:val="none" w:sz="0" w:space="0" w:color="auto"/>
        <w:bottom w:val="none" w:sz="0" w:space="0" w:color="auto"/>
        <w:right w:val="none" w:sz="0" w:space="0" w:color="auto"/>
      </w:divBdr>
    </w:div>
    <w:div w:id="590545243">
      <w:bodyDiv w:val="1"/>
      <w:marLeft w:val="0"/>
      <w:marRight w:val="0"/>
      <w:marTop w:val="0"/>
      <w:marBottom w:val="0"/>
      <w:divBdr>
        <w:top w:val="none" w:sz="0" w:space="0" w:color="auto"/>
        <w:left w:val="none" w:sz="0" w:space="0" w:color="auto"/>
        <w:bottom w:val="none" w:sz="0" w:space="0" w:color="auto"/>
        <w:right w:val="none" w:sz="0" w:space="0" w:color="auto"/>
      </w:divBdr>
    </w:div>
    <w:div w:id="781073732">
      <w:bodyDiv w:val="1"/>
      <w:marLeft w:val="0"/>
      <w:marRight w:val="0"/>
      <w:marTop w:val="0"/>
      <w:marBottom w:val="0"/>
      <w:divBdr>
        <w:top w:val="none" w:sz="0" w:space="0" w:color="auto"/>
        <w:left w:val="none" w:sz="0" w:space="0" w:color="auto"/>
        <w:bottom w:val="none" w:sz="0" w:space="0" w:color="auto"/>
        <w:right w:val="none" w:sz="0" w:space="0" w:color="auto"/>
      </w:divBdr>
    </w:div>
    <w:div w:id="1268149593">
      <w:bodyDiv w:val="1"/>
      <w:marLeft w:val="0"/>
      <w:marRight w:val="0"/>
      <w:marTop w:val="0"/>
      <w:marBottom w:val="0"/>
      <w:divBdr>
        <w:top w:val="none" w:sz="0" w:space="0" w:color="auto"/>
        <w:left w:val="none" w:sz="0" w:space="0" w:color="auto"/>
        <w:bottom w:val="none" w:sz="0" w:space="0" w:color="auto"/>
        <w:right w:val="none" w:sz="0" w:space="0" w:color="auto"/>
      </w:divBdr>
    </w:div>
    <w:div w:id="1547913616">
      <w:bodyDiv w:val="1"/>
      <w:marLeft w:val="0"/>
      <w:marRight w:val="0"/>
      <w:marTop w:val="0"/>
      <w:marBottom w:val="0"/>
      <w:divBdr>
        <w:top w:val="none" w:sz="0" w:space="0" w:color="auto"/>
        <w:left w:val="none" w:sz="0" w:space="0" w:color="auto"/>
        <w:bottom w:val="none" w:sz="0" w:space="0" w:color="auto"/>
        <w:right w:val="none" w:sz="0" w:space="0" w:color="auto"/>
      </w:divBdr>
      <w:divsChild>
        <w:div w:id="1427770811">
          <w:marLeft w:val="0"/>
          <w:marRight w:val="0"/>
          <w:marTop w:val="0"/>
          <w:marBottom w:val="0"/>
          <w:divBdr>
            <w:top w:val="none" w:sz="0" w:space="0" w:color="auto"/>
            <w:left w:val="none" w:sz="0" w:space="0" w:color="auto"/>
            <w:bottom w:val="none" w:sz="0" w:space="0" w:color="auto"/>
            <w:right w:val="none" w:sz="0" w:space="0" w:color="auto"/>
          </w:divBdr>
        </w:div>
      </w:divsChild>
    </w:div>
    <w:div w:id="1594780066">
      <w:bodyDiv w:val="1"/>
      <w:marLeft w:val="0"/>
      <w:marRight w:val="0"/>
      <w:marTop w:val="0"/>
      <w:marBottom w:val="0"/>
      <w:divBdr>
        <w:top w:val="none" w:sz="0" w:space="0" w:color="auto"/>
        <w:left w:val="none" w:sz="0" w:space="0" w:color="auto"/>
        <w:bottom w:val="none" w:sz="0" w:space="0" w:color="auto"/>
        <w:right w:val="none" w:sz="0" w:space="0" w:color="auto"/>
      </w:divBdr>
    </w:div>
    <w:div w:id="1995601486">
      <w:bodyDiv w:val="1"/>
      <w:marLeft w:val="0"/>
      <w:marRight w:val="0"/>
      <w:marTop w:val="0"/>
      <w:marBottom w:val="0"/>
      <w:divBdr>
        <w:top w:val="none" w:sz="0" w:space="0" w:color="auto"/>
        <w:left w:val="none" w:sz="0" w:space="0" w:color="auto"/>
        <w:bottom w:val="none" w:sz="0" w:space="0" w:color="auto"/>
        <w:right w:val="none" w:sz="0" w:space="0" w:color="auto"/>
      </w:divBdr>
      <w:divsChild>
        <w:div w:id="97885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7L0118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qf.edu.au/aqf-second-edition-january-20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7788576-9ED6-451B-B892-F5C5D41F0D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171A0C70854E4393BE661F16B451C5" ma:contentTypeVersion="" ma:contentTypeDescription="PDMS Document Site Content Type" ma:contentTypeScope="" ma:versionID="1426b8d084309b9ad7654149caf1ba03">
  <xsd:schema xmlns:xsd="http://www.w3.org/2001/XMLSchema" xmlns:xs="http://www.w3.org/2001/XMLSchema" xmlns:p="http://schemas.microsoft.com/office/2006/metadata/properties" xmlns:ns2="57788576-9ED6-451B-B892-F5C5D41F0DFF" targetNamespace="http://schemas.microsoft.com/office/2006/metadata/properties" ma:root="true" ma:fieldsID="70eb5557cb3bae64d41e5b36470eec37" ns2:_="">
    <xsd:import namespace="57788576-9ED6-451B-B892-F5C5D41F0D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88576-9ED6-451B-B892-F5C5D41F0D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57788576-9ED6-451B-B892-F5C5D41F0DFF"/>
    <ds:schemaRef ds:uri="http://purl.org/dc/dcmitype/"/>
    <ds:schemaRef ds:uri="http://purl.org/dc/terms/"/>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C14B282D-E5A5-472E-8FA3-AF2ECB5E1B19}">
  <ds:schemaRefs>
    <ds:schemaRef ds:uri="http://schemas.openxmlformats.org/officeDocument/2006/bibliography"/>
  </ds:schemaRefs>
</ds:datastoreItem>
</file>

<file path=customXml/itemProps4.xml><?xml version="1.0" encoding="utf-8"?>
<ds:datastoreItem xmlns:ds="http://schemas.openxmlformats.org/officeDocument/2006/customXml" ds:itemID="{178DEE88-8114-490E-AB4F-98FE7646D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88576-9ED6-451B-B892-F5C5D41F0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5128</Words>
  <Characters>29233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2</cp:revision>
  <cp:lastPrinted>2019-11-17T23:12:00Z</cp:lastPrinted>
  <dcterms:created xsi:type="dcterms:W3CDTF">2021-09-14T23:37:00Z</dcterms:created>
  <dcterms:modified xsi:type="dcterms:W3CDTF">2021-09-14T23:37:00Z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0x010100266966F133664895A6EE3632470D45F50044171A0C70854E4393BE661F16B451C5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