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43D87" w14:textId="6A017046" w:rsidR="002436BD" w:rsidRPr="00613F01" w:rsidRDefault="00E62E09" w:rsidP="001A2234">
      <w:pPr>
        <w:pStyle w:val="Heading"/>
        <w:spacing w:after="240"/>
        <w:jc w:val="center"/>
        <w:rPr>
          <w:rFonts w:ascii="Times New Roman" w:hAnsi="Times New Roman"/>
          <w:sz w:val="24"/>
          <w:szCs w:val="24"/>
        </w:rPr>
      </w:pPr>
      <w:bookmarkStart w:id="0" w:name="_Hlk105508178"/>
      <w:r w:rsidRPr="00613F01">
        <w:rPr>
          <w:rFonts w:ascii="Times New Roman" w:hAnsi="Times New Roman"/>
          <w:sz w:val="24"/>
          <w:szCs w:val="24"/>
        </w:rPr>
        <w:t>Financial Sector (Collection of Data) (reporting standard)</w:t>
      </w:r>
      <w:r w:rsidR="001A2ADB" w:rsidRPr="00613F01">
        <w:rPr>
          <w:rFonts w:ascii="Times New Roman" w:hAnsi="Times New Roman"/>
          <w:sz w:val="24"/>
          <w:szCs w:val="24"/>
        </w:rPr>
        <w:t xml:space="preserve"> </w:t>
      </w:r>
      <w:r w:rsidR="002436BD" w:rsidRPr="00613F01">
        <w:rPr>
          <w:rFonts w:ascii="Times New Roman" w:hAnsi="Times New Roman"/>
          <w:sz w:val="24"/>
          <w:szCs w:val="24"/>
        </w:rPr>
        <w:t>determination</w:t>
      </w:r>
      <w:r w:rsidR="00D074F0">
        <w:rPr>
          <w:rFonts w:ascii="Times New Roman" w:hAnsi="Times New Roman"/>
          <w:sz w:val="24"/>
          <w:szCs w:val="24"/>
        </w:rPr>
        <w:t>s</w:t>
      </w:r>
      <w:r w:rsidR="002436BD" w:rsidRPr="00613F01">
        <w:rPr>
          <w:rFonts w:ascii="Times New Roman" w:hAnsi="Times New Roman"/>
          <w:sz w:val="24"/>
          <w:szCs w:val="24"/>
        </w:rPr>
        <w:t xml:space="preserve"> No. </w:t>
      </w:r>
      <w:r w:rsidR="002A1097">
        <w:rPr>
          <w:rFonts w:ascii="Times New Roman" w:hAnsi="Times New Roman"/>
          <w:sz w:val="24"/>
          <w:szCs w:val="24"/>
        </w:rPr>
        <w:t>13</w:t>
      </w:r>
      <w:r w:rsidR="00C53F84">
        <w:rPr>
          <w:rFonts w:ascii="Times New Roman" w:hAnsi="Times New Roman"/>
          <w:sz w:val="24"/>
          <w:szCs w:val="24"/>
        </w:rPr>
        <w:t xml:space="preserve"> to</w:t>
      </w:r>
      <w:r w:rsidR="00D074F0">
        <w:rPr>
          <w:rFonts w:ascii="Times New Roman" w:hAnsi="Times New Roman"/>
          <w:sz w:val="24"/>
          <w:szCs w:val="24"/>
        </w:rPr>
        <w:t xml:space="preserve"> </w:t>
      </w:r>
      <w:r w:rsidR="002A1097">
        <w:rPr>
          <w:rFonts w:ascii="Times New Roman" w:hAnsi="Times New Roman"/>
          <w:sz w:val="24"/>
          <w:szCs w:val="24"/>
        </w:rPr>
        <w:t>22</w:t>
      </w:r>
      <w:r w:rsidR="00C02366" w:rsidRPr="00613F01">
        <w:rPr>
          <w:rFonts w:ascii="Times New Roman" w:hAnsi="Times New Roman"/>
          <w:sz w:val="24"/>
          <w:szCs w:val="24"/>
        </w:rPr>
        <w:t xml:space="preserve"> of 202</w:t>
      </w:r>
      <w:r w:rsidR="00FE5F57" w:rsidRPr="00613F01">
        <w:rPr>
          <w:rFonts w:ascii="Times New Roman" w:hAnsi="Times New Roman"/>
          <w:sz w:val="24"/>
          <w:szCs w:val="24"/>
        </w:rPr>
        <w:t>1</w:t>
      </w:r>
    </w:p>
    <w:p w14:paraId="44E951BD" w14:textId="77777777" w:rsidR="002436BD" w:rsidRPr="002C6D26" w:rsidRDefault="002436BD" w:rsidP="001A2234">
      <w:pPr>
        <w:pStyle w:val="Heading"/>
        <w:tabs>
          <w:tab w:val="left" w:pos="360"/>
        </w:tabs>
        <w:spacing w:after="240"/>
        <w:jc w:val="center"/>
        <w:rPr>
          <w:rFonts w:ascii="Times New Roman" w:hAnsi="Times New Roman"/>
          <w:sz w:val="24"/>
          <w:szCs w:val="24"/>
          <w:u w:val="single"/>
        </w:rPr>
      </w:pPr>
      <w:bookmarkStart w:id="1" w:name="bkInstrumentSubTitle"/>
      <w:bookmarkEnd w:id="1"/>
      <w:bookmarkEnd w:id="0"/>
      <w:r w:rsidRPr="002C6D26">
        <w:rPr>
          <w:rFonts w:ascii="Times New Roman" w:hAnsi="Times New Roman"/>
          <w:sz w:val="24"/>
          <w:szCs w:val="24"/>
          <w:u w:val="single"/>
        </w:rPr>
        <w:t>EXPLANATORY STATEMENT</w:t>
      </w:r>
    </w:p>
    <w:p w14:paraId="45F19681" w14:textId="77777777" w:rsidR="002436BD" w:rsidRPr="002C6D26" w:rsidRDefault="002436BD" w:rsidP="001A2234">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60279A58" w14:textId="77777777" w:rsidR="001A2ADB" w:rsidRDefault="001A2ADB" w:rsidP="001A2234">
      <w:pPr>
        <w:pStyle w:val="heading0"/>
        <w:spacing w:before="0" w:beforeAutospacing="0" w:after="240" w:afterAutospacing="0"/>
        <w:jc w:val="center"/>
      </w:pPr>
      <w:r>
        <w:rPr>
          <w:i/>
          <w:iCs/>
        </w:rPr>
        <w:t>Financial Sector (Collection of Data) Act 2001</w:t>
      </w:r>
      <w:r>
        <w:t>, sections 13 and 15</w:t>
      </w:r>
    </w:p>
    <w:p w14:paraId="7464B2FD" w14:textId="4B37CEB8" w:rsidR="002436BD" w:rsidRDefault="002436BD" w:rsidP="001A2234">
      <w:pPr>
        <w:widowControl w:val="0"/>
        <w:spacing w:after="240"/>
        <w:jc w:val="both"/>
        <w:rPr>
          <w:rFonts w:ascii="Times New Roman" w:hAnsi="Times New Roman"/>
          <w:sz w:val="24"/>
          <w:szCs w:val="24"/>
        </w:rPr>
      </w:pPr>
      <w:bookmarkStart w:id="2" w:name="bkAct"/>
      <w:bookmarkStart w:id="3" w:name="bkExplanatory"/>
      <w:bookmarkEnd w:id="2"/>
      <w:bookmarkEnd w:id="3"/>
      <w:r w:rsidRPr="002C6D26">
        <w:rPr>
          <w:rFonts w:ascii="Times New Roman" w:hAnsi="Times New Roman"/>
          <w:sz w:val="24"/>
          <w:szCs w:val="24"/>
        </w:rPr>
        <w:t xml:space="preserve">Under subsection </w:t>
      </w:r>
      <w:r w:rsidR="001A2ADB">
        <w:rPr>
          <w:rFonts w:ascii="Times New Roman" w:hAnsi="Times New Roman"/>
          <w:sz w:val="24"/>
          <w:szCs w:val="24"/>
        </w:rPr>
        <w:t>13</w:t>
      </w:r>
      <w:r w:rsidRPr="002C6D26">
        <w:rPr>
          <w:rFonts w:ascii="Times New Roman" w:hAnsi="Times New Roman"/>
          <w:sz w:val="24"/>
          <w:szCs w:val="24"/>
        </w:rPr>
        <w:t xml:space="preserve">(1) of the </w:t>
      </w:r>
      <w:r w:rsidR="001A2ADB"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001A2ADB" w:rsidRPr="001A2ADB">
        <w:rPr>
          <w:rFonts w:ascii="Times New Roman" w:hAnsi="Times New Roman"/>
          <w:sz w:val="24"/>
          <w:szCs w:val="24"/>
        </w:rPr>
        <w:t>has the power to determine reporting standards, in writing, with which financia</w:t>
      </w:r>
      <w:r w:rsidR="00C02366">
        <w:rPr>
          <w:rFonts w:ascii="Times New Roman" w:hAnsi="Times New Roman"/>
          <w:sz w:val="24"/>
          <w:szCs w:val="24"/>
        </w:rPr>
        <w:t xml:space="preserve">l sector entities must comply. </w:t>
      </w:r>
      <w:r w:rsidR="001A2ADB" w:rsidRPr="001A2ADB">
        <w:rPr>
          <w:rFonts w:ascii="Times New Roman" w:hAnsi="Times New Roman"/>
          <w:sz w:val="24"/>
          <w:szCs w:val="24"/>
        </w:rPr>
        <w:t>Such standards relate to reporting financial or accounting data and other information regarding the business or activities of the entities.</w:t>
      </w:r>
      <w:r w:rsidR="00BD6360">
        <w:rPr>
          <w:rFonts w:ascii="Times New Roman" w:hAnsi="Times New Roman"/>
          <w:sz w:val="24"/>
          <w:szCs w:val="24"/>
        </w:rPr>
        <w:t xml:space="preserve"> </w:t>
      </w:r>
    </w:p>
    <w:p w14:paraId="4D4EFDF6" w14:textId="06CC89FF" w:rsidR="00957D06" w:rsidRPr="002C6D26" w:rsidRDefault="00957D06" w:rsidP="001A2234">
      <w:pPr>
        <w:widowControl w:val="0"/>
        <w:spacing w:after="240"/>
        <w:jc w:val="both"/>
        <w:rPr>
          <w:rFonts w:ascii="Times New Roman" w:hAnsi="Times New Roman"/>
          <w:sz w:val="24"/>
          <w:szCs w:val="24"/>
        </w:rPr>
      </w:pPr>
      <w:bookmarkStart w:id="4" w:name="_Hlk67156972"/>
      <w:r>
        <w:rPr>
          <w:rFonts w:ascii="Times New Roman" w:hAnsi="Times New Roman"/>
          <w:sz w:val="24"/>
          <w:szCs w:val="24"/>
        </w:rPr>
        <w:t xml:space="preserve">Subsection 15(1) of the Act provides that APRA may declare a day on and after which the reporting standards are to apply. </w:t>
      </w:r>
      <w:bookmarkEnd w:id="4"/>
    </w:p>
    <w:p w14:paraId="647F3F2B" w14:textId="13E53587" w:rsidR="00AC7A56" w:rsidRDefault="00246723" w:rsidP="00FE5F57">
      <w:pPr>
        <w:spacing w:after="240"/>
        <w:jc w:val="both"/>
        <w:rPr>
          <w:rFonts w:ascii="Times New Roman" w:hAnsi="Times New Roman"/>
          <w:sz w:val="24"/>
          <w:szCs w:val="24"/>
        </w:rPr>
      </w:pPr>
      <w:r w:rsidRPr="00CB493B">
        <w:rPr>
          <w:rFonts w:ascii="Times New Roman" w:hAnsi="Times New Roman"/>
          <w:sz w:val="24"/>
          <w:szCs w:val="24"/>
        </w:rPr>
        <w:t xml:space="preserve">On </w:t>
      </w:r>
      <w:r w:rsidR="002A1097" w:rsidRPr="00CB493B">
        <w:rPr>
          <w:rFonts w:ascii="Times New Roman" w:hAnsi="Times New Roman"/>
          <w:sz w:val="24"/>
          <w:szCs w:val="24"/>
        </w:rPr>
        <w:t>1</w:t>
      </w:r>
      <w:r w:rsidR="001A2340" w:rsidRPr="00CB493B">
        <w:rPr>
          <w:rFonts w:ascii="Times New Roman" w:hAnsi="Times New Roman"/>
          <w:sz w:val="24"/>
          <w:szCs w:val="24"/>
        </w:rPr>
        <w:t>5</w:t>
      </w:r>
      <w:r w:rsidR="002A1097">
        <w:rPr>
          <w:rFonts w:ascii="Times New Roman" w:hAnsi="Times New Roman"/>
          <w:sz w:val="24"/>
          <w:szCs w:val="24"/>
        </w:rPr>
        <w:t xml:space="preserve"> September</w:t>
      </w:r>
      <w:r w:rsidR="00C02366" w:rsidRPr="00134D2D">
        <w:rPr>
          <w:rFonts w:ascii="Times New Roman" w:hAnsi="Times New Roman"/>
          <w:sz w:val="24"/>
          <w:szCs w:val="24"/>
        </w:rPr>
        <w:t xml:space="preserve"> 202</w:t>
      </w:r>
      <w:r w:rsidR="00FE5F57">
        <w:rPr>
          <w:rFonts w:ascii="Times New Roman" w:hAnsi="Times New Roman"/>
          <w:sz w:val="24"/>
          <w:szCs w:val="24"/>
        </w:rPr>
        <w:t>1</w:t>
      </w:r>
      <w:r w:rsidRPr="00134D2D">
        <w:rPr>
          <w:rFonts w:ascii="Times New Roman" w:hAnsi="Times New Roman"/>
          <w:sz w:val="24"/>
          <w:szCs w:val="24"/>
        </w:rPr>
        <w:t>,</w:t>
      </w:r>
      <w:r w:rsidRPr="00246723">
        <w:rPr>
          <w:rFonts w:ascii="Times New Roman" w:hAnsi="Times New Roman"/>
          <w:sz w:val="24"/>
          <w:szCs w:val="24"/>
        </w:rPr>
        <w:t xml:space="preserve"> APRA ma</w:t>
      </w:r>
      <w:r w:rsidR="00183388">
        <w:rPr>
          <w:rFonts w:ascii="Times New Roman" w:hAnsi="Times New Roman"/>
          <w:sz w:val="24"/>
          <w:szCs w:val="24"/>
        </w:rPr>
        <w:t>de the following determinations (the instruments):</w:t>
      </w:r>
    </w:p>
    <w:p w14:paraId="18611BF2" w14:textId="543D14C1" w:rsidR="00183388"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13</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101.0</w:t>
      </w:r>
      <w:r w:rsidR="00F6497B">
        <w:rPr>
          <w:rFonts w:ascii="Times New Roman" w:hAnsi="Times New Roman"/>
          <w:sz w:val="24"/>
          <w:szCs w:val="24"/>
        </w:rPr>
        <w:t xml:space="preserve"> </w:t>
      </w:r>
      <w:r w:rsidR="00F6497B" w:rsidRPr="00D074F0">
        <w:rPr>
          <w:rFonts w:ascii="Times New Roman" w:hAnsi="Times New Roman"/>
          <w:i/>
          <w:sz w:val="24"/>
          <w:szCs w:val="24"/>
        </w:rPr>
        <w:t>Definitions for Superannuation Data Collections</w:t>
      </w:r>
      <w:r w:rsidR="00034215">
        <w:rPr>
          <w:rFonts w:ascii="Times New Roman" w:hAnsi="Times New Roman"/>
          <w:i/>
          <w:sz w:val="24"/>
          <w:szCs w:val="24"/>
        </w:rPr>
        <w:t xml:space="preserve"> </w:t>
      </w:r>
      <w:r w:rsidR="00034215" w:rsidRPr="00034215">
        <w:rPr>
          <w:rFonts w:ascii="Times New Roman" w:hAnsi="Times New Roman"/>
          <w:sz w:val="24"/>
          <w:szCs w:val="24"/>
        </w:rPr>
        <w:t>(SRS 101.0</w:t>
      </w:r>
      <w:proofErr w:type="gramStart"/>
      <w:r w:rsidR="009769FE">
        <w:rPr>
          <w:rFonts w:ascii="Times New Roman" w:hAnsi="Times New Roman"/>
          <w:sz w:val="24"/>
          <w:szCs w:val="24"/>
        </w:rPr>
        <w:t>)</w:t>
      </w:r>
      <w:r w:rsidR="00F6497B">
        <w:rPr>
          <w:rFonts w:ascii="Times New Roman" w:hAnsi="Times New Roman"/>
          <w:sz w:val="24"/>
          <w:szCs w:val="24"/>
        </w:rPr>
        <w:t>;</w:t>
      </w:r>
      <w:proofErr w:type="gramEnd"/>
    </w:p>
    <w:p w14:paraId="61229DF9" w14:textId="1D00DD00" w:rsidR="00183388"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14</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251.0</w:t>
      </w:r>
      <w:r w:rsidR="00F6497B" w:rsidRPr="00D074F0">
        <w:rPr>
          <w:rFonts w:ascii="Times New Roman" w:hAnsi="Times New Roman"/>
          <w:i/>
          <w:sz w:val="24"/>
          <w:szCs w:val="24"/>
        </w:rPr>
        <w:t xml:space="preserve"> Insurance</w:t>
      </w:r>
      <w:r w:rsidR="00034215">
        <w:rPr>
          <w:rFonts w:ascii="Times New Roman" w:hAnsi="Times New Roman"/>
          <w:i/>
          <w:sz w:val="24"/>
          <w:szCs w:val="24"/>
        </w:rPr>
        <w:t xml:space="preserve"> </w:t>
      </w:r>
      <w:r w:rsidR="00034215" w:rsidRPr="00034215">
        <w:rPr>
          <w:rFonts w:ascii="Times New Roman" w:hAnsi="Times New Roman"/>
          <w:sz w:val="24"/>
          <w:szCs w:val="24"/>
        </w:rPr>
        <w:t>(SRS 251.0</w:t>
      </w:r>
      <w:proofErr w:type="gramStart"/>
      <w:r w:rsidR="00034215" w:rsidRPr="006203E0">
        <w:rPr>
          <w:rFonts w:ascii="Times New Roman" w:hAnsi="Times New Roman"/>
          <w:sz w:val="24"/>
          <w:szCs w:val="24"/>
        </w:rPr>
        <w:t>)</w:t>
      </w:r>
      <w:r w:rsidR="00F6497B" w:rsidRPr="006203E0">
        <w:rPr>
          <w:rFonts w:ascii="Times New Roman" w:hAnsi="Times New Roman"/>
          <w:sz w:val="24"/>
          <w:szCs w:val="24"/>
        </w:rPr>
        <w:t>;</w:t>
      </w:r>
      <w:proofErr w:type="gramEnd"/>
    </w:p>
    <w:p w14:paraId="0470FEED" w14:textId="5D208365"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15</w:t>
      </w:r>
      <w:r>
        <w:rPr>
          <w:rFonts w:ascii="Times New Roman" w:hAnsi="Times New Roman"/>
          <w:sz w:val="24"/>
          <w:szCs w:val="24"/>
        </w:rPr>
        <w:t xml:space="preserve"> of 2021 which</w:t>
      </w:r>
      <w:r w:rsidR="00F6497B">
        <w:rPr>
          <w:rFonts w:ascii="Times New Roman" w:hAnsi="Times New Roman"/>
          <w:sz w:val="24"/>
          <w:szCs w:val="24"/>
        </w:rPr>
        <w:t xml:space="preserve"> determines</w:t>
      </w:r>
      <w:r w:rsidR="00F6497B" w:rsidRPr="00F6497B">
        <w:rPr>
          <w:rFonts w:ascii="Times New Roman" w:hAnsi="Times New Roman"/>
          <w:sz w:val="24"/>
          <w:szCs w:val="24"/>
        </w:rPr>
        <w:t xml:space="preserve"> </w:t>
      </w:r>
      <w:r w:rsidR="00F6497B" w:rsidRPr="00016EF4">
        <w:rPr>
          <w:rFonts w:ascii="Times New Roman" w:hAnsi="Times New Roman"/>
          <w:i/>
          <w:sz w:val="24"/>
          <w:szCs w:val="24"/>
        </w:rPr>
        <w:t>Reporting Standard SRS 332.0</w:t>
      </w:r>
      <w:r w:rsidR="00F6497B">
        <w:rPr>
          <w:rFonts w:ascii="Times New Roman" w:hAnsi="Times New Roman"/>
          <w:sz w:val="24"/>
          <w:szCs w:val="24"/>
        </w:rPr>
        <w:t xml:space="preserve"> </w:t>
      </w:r>
      <w:r w:rsidR="00F6497B" w:rsidRPr="00D074F0">
        <w:rPr>
          <w:rFonts w:ascii="Times New Roman" w:hAnsi="Times New Roman"/>
          <w:i/>
          <w:sz w:val="24"/>
          <w:szCs w:val="24"/>
        </w:rPr>
        <w:t>Expenses</w:t>
      </w:r>
      <w:r w:rsidR="006203E0">
        <w:rPr>
          <w:rFonts w:ascii="Times New Roman" w:hAnsi="Times New Roman"/>
          <w:i/>
          <w:sz w:val="24"/>
          <w:szCs w:val="24"/>
        </w:rPr>
        <w:t xml:space="preserve"> </w:t>
      </w:r>
      <w:r w:rsidR="006203E0" w:rsidRPr="006203E0">
        <w:rPr>
          <w:rFonts w:ascii="Times New Roman" w:hAnsi="Times New Roman"/>
          <w:sz w:val="24"/>
          <w:szCs w:val="24"/>
        </w:rPr>
        <w:t>(SRS 332.0</w:t>
      </w:r>
      <w:proofErr w:type="gramStart"/>
      <w:r w:rsidR="006203E0" w:rsidRPr="006203E0">
        <w:rPr>
          <w:rFonts w:ascii="Times New Roman" w:hAnsi="Times New Roman"/>
          <w:sz w:val="24"/>
          <w:szCs w:val="24"/>
        </w:rPr>
        <w:t>)</w:t>
      </w:r>
      <w:r w:rsidR="00F6497B" w:rsidRPr="006203E0">
        <w:rPr>
          <w:rFonts w:ascii="Times New Roman" w:hAnsi="Times New Roman"/>
          <w:sz w:val="24"/>
          <w:szCs w:val="24"/>
        </w:rPr>
        <w:t>;</w:t>
      </w:r>
      <w:proofErr w:type="gramEnd"/>
    </w:p>
    <w:p w14:paraId="00FF4CD6" w14:textId="7A80C149"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5A76F1">
        <w:rPr>
          <w:rFonts w:ascii="Times New Roman" w:hAnsi="Times New Roman"/>
          <w:sz w:val="24"/>
          <w:szCs w:val="24"/>
        </w:rPr>
        <w:t>16</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550.0</w:t>
      </w:r>
      <w:r w:rsidR="00F6497B">
        <w:rPr>
          <w:rFonts w:ascii="Times New Roman" w:hAnsi="Times New Roman"/>
          <w:sz w:val="24"/>
          <w:szCs w:val="24"/>
        </w:rPr>
        <w:t xml:space="preserve"> </w:t>
      </w:r>
      <w:r w:rsidR="00F6497B" w:rsidRPr="00F6497B">
        <w:rPr>
          <w:rFonts w:ascii="Times New Roman" w:hAnsi="Times New Roman"/>
          <w:i/>
          <w:sz w:val="24"/>
          <w:szCs w:val="24"/>
        </w:rPr>
        <w:t xml:space="preserve">Asset </w:t>
      </w:r>
      <w:r w:rsidR="00F6497B" w:rsidRPr="00495E5D">
        <w:rPr>
          <w:rFonts w:ascii="Times New Roman" w:hAnsi="Times New Roman"/>
          <w:i/>
          <w:sz w:val="24"/>
          <w:szCs w:val="24"/>
        </w:rPr>
        <w:t>Allocation</w:t>
      </w:r>
      <w:r w:rsidR="006203E0" w:rsidRPr="006203E0">
        <w:rPr>
          <w:rFonts w:ascii="Times New Roman" w:hAnsi="Times New Roman"/>
          <w:sz w:val="24"/>
          <w:szCs w:val="24"/>
        </w:rPr>
        <w:t xml:space="preserve"> (SRS 550.0</w:t>
      </w:r>
      <w:proofErr w:type="gramStart"/>
      <w:r w:rsidR="006203E0" w:rsidRPr="006203E0">
        <w:rPr>
          <w:rFonts w:ascii="Times New Roman" w:hAnsi="Times New Roman"/>
          <w:sz w:val="24"/>
          <w:szCs w:val="24"/>
        </w:rPr>
        <w:t>)</w:t>
      </w:r>
      <w:r w:rsidR="006203E0">
        <w:rPr>
          <w:rFonts w:ascii="Times New Roman" w:hAnsi="Times New Roman"/>
          <w:sz w:val="24"/>
          <w:szCs w:val="24"/>
        </w:rPr>
        <w:t>;</w:t>
      </w:r>
      <w:proofErr w:type="gramEnd"/>
    </w:p>
    <w:p w14:paraId="02341B75" w14:textId="02E91F6D" w:rsidR="00546B73" w:rsidRPr="006203E0" w:rsidRDefault="00183388" w:rsidP="00F6497B">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17</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605.0</w:t>
      </w:r>
      <w:r w:rsidR="00F6497B">
        <w:rPr>
          <w:rFonts w:ascii="Times New Roman" w:hAnsi="Times New Roman"/>
          <w:sz w:val="24"/>
          <w:szCs w:val="24"/>
        </w:rPr>
        <w:t xml:space="preserve"> </w:t>
      </w:r>
      <w:r w:rsidR="00F6497B" w:rsidRPr="00F6497B">
        <w:rPr>
          <w:rFonts w:ascii="Times New Roman" w:hAnsi="Times New Roman"/>
          <w:i/>
          <w:sz w:val="24"/>
          <w:szCs w:val="24"/>
        </w:rPr>
        <w:t>RSE Structure</w:t>
      </w:r>
      <w:r w:rsidR="006203E0">
        <w:rPr>
          <w:rFonts w:ascii="Times New Roman" w:hAnsi="Times New Roman"/>
          <w:i/>
          <w:sz w:val="24"/>
          <w:szCs w:val="24"/>
        </w:rPr>
        <w:t xml:space="preserve"> </w:t>
      </w:r>
      <w:r w:rsidR="006203E0" w:rsidRPr="006203E0">
        <w:rPr>
          <w:rFonts w:ascii="Times New Roman" w:hAnsi="Times New Roman"/>
          <w:sz w:val="24"/>
          <w:szCs w:val="24"/>
        </w:rPr>
        <w:t>(SRS 605.0</w:t>
      </w:r>
      <w:proofErr w:type="gramStart"/>
      <w:r w:rsidR="006203E0" w:rsidRPr="006203E0">
        <w:rPr>
          <w:rFonts w:ascii="Times New Roman" w:hAnsi="Times New Roman"/>
          <w:sz w:val="24"/>
          <w:szCs w:val="24"/>
        </w:rPr>
        <w:t>)</w:t>
      </w:r>
      <w:r w:rsidR="00F6497B" w:rsidRPr="006203E0">
        <w:rPr>
          <w:rFonts w:ascii="Times New Roman" w:hAnsi="Times New Roman"/>
          <w:sz w:val="24"/>
          <w:szCs w:val="24"/>
        </w:rPr>
        <w:t>;</w:t>
      </w:r>
      <w:proofErr w:type="gramEnd"/>
    </w:p>
    <w:p w14:paraId="34F6B7BE" w14:textId="06F2E250"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18</w:t>
      </w:r>
      <w:r>
        <w:rPr>
          <w:rFonts w:ascii="Times New Roman" w:hAnsi="Times New Roman"/>
          <w:sz w:val="24"/>
          <w:szCs w:val="24"/>
        </w:rPr>
        <w:t xml:space="preserve"> of 2021 which</w:t>
      </w:r>
      <w:r w:rsidR="00F6497B">
        <w:rPr>
          <w:rFonts w:ascii="Times New Roman" w:hAnsi="Times New Roman"/>
          <w:sz w:val="24"/>
          <w:szCs w:val="24"/>
        </w:rPr>
        <w:t xml:space="preserve"> determines </w:t>
      </w:r>
      <w:r w:rsidR="00F6497B" w:rsidRPr="00016EF4">
        <w:rPr>
          <w:rFonts w:ascii="Times New Roman" w:hAnsi="Times New Roman"/>
          <w:i/>
          <w:sz w:val="24"/>
          <w:szCs w:val="24"/>
        </w:rPr>
        <w:t>Reporting Standard SRS 606.0</w:t>
      </w:r>
      <w:r w:rsidR="00F6497B">
        <w:rPr>
          <w:rFonts w:ascii="Times New Roman" w:hAnsi="Times New Roman"/>
          <w:sz w:val="24"/>
          <w:szCs w:val="24"/>
        </w:rPr>
        <w:t xml:space="preserve"> </w:t>
      </w:r>
      <w:r w:rsidR="00F6497B" w:rsidRPr="00763651">
        <w:rPr>
          <w:rFonts w:ascii="Times New Roman" w:hAnsi="Times New Roman"/>
          <w:i/>
          <w:sz w:val="24"/>
          <w:szCs w:val="24"/>
        </w:rPr>
        <w:t>RSE</w:t>
      </w:r>
      <w:r w:rsidR="00F6497B" w:rsidRPr="00495E5D">
        <w:rPr>
          <w:rFonts w:ascii="Times New Roman" w:hAnsi="Times New Roman"/>
          <w:i/>
          <w:sz w:val="24"/>
          <w:szCs w:val="24"/>
        </w:rPr>
        <w:t xml:space="preserve"> Profile</w:t>
      </w:r>
      <w:r w:rsidR="006203E0" w:rsidRPr="006203E0">
        <w:rPr>
          <w:rFonts w:ascii="Times New Roman" w:hAnsi="Times New Roman"/>
          <w:sz w:val="24"/>
          <w:szCs w:val="24"/>
        </w:rPr>
        <w:t xml:space="preserve"> (SRS 606.0</w:t>
      </w:r>
      <w:proofErr w:type="gramStart"/>
      <w:r w:rsidR="006203E0" w:rsidRPr="006203E0">
        <w:rPr>
          <w:rFonts w:ascii="Times New Roman" w:hAnsi="Times New Roman"/>
          <w:sz w:val="24"/>
          <w:szCs w:val="24"/>
        </w:rPr>
        <w:t>)</w:t>
      </w:r>
      <w:r w:rsidR="00F6497B" w:rsidRPr="006203E0">
        <w:rPr>
          <w:rFonts w:ascii="Times New Roman" w:hAnsi="Times New Roman"/>
          <w:sz w:val="24"/>
          <w:szCs w:val="24"/>
        </w:rPr>
        <w:t>;</w:t>
      </w:r>
      <w:proofErr w:type="gramEnd"/>
    </w:p>
    <w:p w14:paraId="4AB32D6C" w14:textId="08198200"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19</w:t>
      </w:r>
      <w:r>
        <w:rPr>
          <w:rFonts w:ascii="Times New Roman" w:hAnsi="Times New Roman"/>
          <w:sz w:val="24"/>
          <w:szCs w:val="24"/>
        </w:rPr>
        <w:t xml:space="preserve"> of 2021 which</w:t>
      </w:r>
      <w:r w:rsidR="006203E0">
        <w:rPr>
          <w:rFonts w:ascii="Times New Roman" w:hAnsi="Times New Roman"/>
          <w:sz w:val="24"/>
          <w:szCs w:val="24"/>
        </w:rPr>
        <w:t xml:space="preserve"> determines </w:t>
      </w:r>
      <w:r w:rsidR="006203E0" w:rsidRPr="00016EF4">
        <w:rPr>
          <w:rFonts w:ascii="Times New Roman" w:hAnsi="Times New Roman"/>
          <w:i/>
          <w:sz w:val="24"/>
          <w:szCs w:val="24"/>
        </w:rPr>
        <w:t>Reporting Standard SRS 611.0</w:t>
      </w:r>
      <w:r w:rsidR="006203E0">
        <w:rPr>
          <w:rFonts w:ascii="Times New Roman" w:hAnsi="Times New Roman"/>
          <w:sz w:val="24"/>
          <w:szCs w:val="24"/>
        </w:rPr>
        <w:t xml:space="preserve"> </w:t>
      </w:r>
      <w:r w:rsidR="006203E0" w:rsidRPr="00763651">
        <w:rPr>
          <w:rFonts w:ascii="Times New Roman" w:hAnsi="Times New Roman"/>
          <w:i/>
          <w:sz w:val="24"/>
          <w:szCs w:val="24"/>
        </w:rPr>
        <w:t>Member Accounts</w:t>
      </w:r>
      <w:r w:rsidR="006203E0">
        <w:rPr>
          <w:rFonts w:ascii="Times New Roman" w:hAnsi="Times New Roman"/>
          <w:i/>
          <w:sz w:val="24"/>
          <w:szCs w:val="24"/>
        </w:rPr>
        <w:t xml:space="preserve"> </w:t>
      </w:r>
      <w:r w:rsidR="006203E0" w:rsidRPr="006203E0">
        <w:rPr>
          <w:rFonts w:ascii="Times New Roman" w:hAnsi="Times New Roman"/>
          <w:sz w:val="24"/>
          <w:szCs w:val="24"/>
        </w:rPr>
        <w:t>(SRS 611.0</w:t>
      </w:r>
      <w:proofErr w:type="gramStart"/>
      <w:r w:rsidR="006203E0" w:rsidRPr="006203E0">
        <w:rPr>
          <w:rFonts w:ascii="Times New Roman" w:hAnsi="Times New Roman"/>
          <w:sz w:val="24"/>
          <w:szCs w:val="24"/>
        </w:rPr>
        <w:t>);</w:t>
      </w:r>
      <w:proofErr w:type="gramEnd"/>
    </w:p>
    <w:p w14:paraId="5EF91854" w14:textId="47C88ABA" w:rsidR="00183388" w:rsidRPr="006203E0" w:rsidRDefault="00183388" w:rsidP="00183388">
      <w:pPr>
        <w:pStyle w:val="ListParagraph"/>
        <w:numPr>
          <w:ilvl w:val="0"/>
          <w:numId w:val="15"/>
        </w:numPr>
        <w:spacing w:after="240"/>
        <w:jc w:val="both"/>
        <w:rPr>
          <w:rFonts w:ascii="Times New Roman" w:hAnsi="Times New Roman"/>
          <w:sz w:val="24"/>
          <w:szCs w:val="24"/>
        </w:rPr>
      </w:pPr>
      <w:r>
        <w:rPr>
          <w:rFonts w:ascii="Times New Roman" w:hAnsi="Times New Roman"/>
          <w:sz w:val="24"/>
          <w:szCs w:val="24"/>
        </w:rPr>
        <w:t xml:space="preserve">Financial Sector (Collection of Data) (reporting standard) determination No. </w:t>
      </w:r>
      <w:r w:rsidR="00140F4B">
        <w:rPr>
          <w:rFonts w:ascii="Times New Roman" w:hAnsi="Times New Roman"/>
          <w:sz w:val="24"/>
          <w:szCs w:val="24"/>
        </w:rPr>
        <w:t>20</w:t>
      </w:r>
      <w:r>
        <w:rPr>
          <w:rFonts w:ascii="Times New Roman" w:hAnsi="Times New Roman"/>
          <w:sz w:val="24"/>
          <w:szCs w:val="24"/>
        </w:rPr>
        <w:t xml:space="preserve"> of 2021 which</w:t>
      </w:r>
      <w:r w:rsidR="006203E0">
        <w:rPr>
          <w:rFonts w:ascii="Times New Roman" w:hAnsi="Times New Roman"/>
          <w:sz w:val="24"/>
          <w:szCs w:val="24"/>
        </w:rPr>
        <w:t xml:space="preserve"> determines </w:t>
      </w:r>
      <w:r w:rsidR="006203E0" w:rsidRPr="00016EF4">
        <w:rPr>
          <w:rFonts w:ascii="Times New Roman" w:hAnsi="Times New Roman"/>
          <w:i/>
          <w:sz w:val="24"/>
          <w:szCs w:val="24"/>
        </w:rPr>
        <w:t xml:space="preserve">Reporting Standard SRS 705.0 </w:t>
      </w:r>
      <w:r w:rsidR="006203E0" w:rsidRPr="00763651">
        <w:rPr>
          <w:rFonts w:ascii="Times New Roman" w:hAnsi="Times New Roman"/>
          <w:i/>
          <w:sz w:val="24"/>
          <w:szCs w:val="24"/>
        </w:rPr>
        <w:t>Components of net return</w:t>
      </w:r>
      <w:r w:rsidR="006203E0">
        <w:rPr>
          <w:rFonts w:ascii="Times New Roman" w:hAnsi="Times New Roman"/>
          <w:i/>
          <w:sz w:val="24"/>
          <w:szCs w:val="24"/>
        </w:rPr>
        <w:t xml:space="preserve"> </w:t>
      </w:r>
      <w:r w:rsidR="006203E0" w:rsidRPr="006203E0">
        <w:rPr>
          <w:rFonts w:ascii="Times New Roman" w:hAnsi="Times New Roman"/>
          <w:sz w:val="24"/>
          <w:szCs w:val="24"/>
        </w:rPr>
        <w:t>(SRS 705.0</w:t>
      </w:r>
      <w:proofErr w:type="gramStart"/>
      <w:r w:rsidR="006203E0" w:rsidRPr="006203E0">
        <w:rPr>
          <w:rFonts w:ascii="Times New Roman" w:hAnsi="Times New Roman"/>
          <w:sz w:val="24"/>
          <w:szCs w:val="24"/>
        </w:rPr>
        <w:t>);</w:t>
      </w:r>
      <w:proofErr w:type="gramEnd"/>
    </w:p>
    <w:p w14:paraId="18C68BFB" w14:textId="77777777" w:rsidR="00495E5D" w:rsidRDefault="00183388" w:rsidP="005B4E19">
      <w:pPr>
        <w:pStyle w:val="ListParagraph"/>
        <w:numPr>
          <w:ilvl w:val="0"/>
          <w:numId w:val="15"/>
        </w:numPr>
        <w:spacing w:after="240"/>
        <w:jc w:val="both"/>
        <w:rPr>
          <w:rFonts w:ascii="Times New Roman" w:hAnsi="Times New Roman"/>
          <w:sz w:val="24"/>
          <w:szCs w:val="24"/>
        </w:rPr>
      </w:pPr>
      <w:r w:rsidRPr="00495E5D">
        <w:rPr>
          <w:rFonts w:ascii="Times New Roman" w:hAnsi="Times New Roman"/>
          <w:sz w:val="24"/>
          <w:szCs w:val="24"/>
        </w:rPr>
        <w:lastRenderedPageBreak/>
        <w:t xml:space="preserve">Financial Sector (Collection of Data) (reporting standard) determination No. </w:t>
      </w:r>
      <w:r w:rsidR="00140F4B" w:rsidRPr="00495E5D">
        <w:rPr>
          <w:rFonts w:ascii="Times New Roman" w:hAnsi="Times New Roman"/>
          <w:sz w:val="24"/>
          <w:szCs w:val="24"/>
        </w:rPr>
        <w:t>21</w:t>
      </w:r>
      <w:r w:rsidRPr="00495E5D">
        <w:rPr>
          <w:rFonts w:ascii="Times New Roman" w:hAnsi="Times New Roman"/>
          <w:sz w:val="24"/>
          <w:szCs w:val="24"/>
        </w:rPr>
        <w:t xml:space="preserve"> of 2021 which</w:t>
      </w:r>
      <w:r w:rsidR="00034215" w:rsidRPr="00495E5D">
        <w:rPr>
          <w:rFonts w:ascii="Times New Roman" w:hAnsi="Times New Roman"/>
          <w:sz w:val="24"/>
          <w:szCs w:val="24"/>
        </w:rPr>
        <w:t xml:space="preserve"> determines </w:t>
      </w:r>
      <w:r w:rsidR="00034215" w:rsidRPr="00016EF4">
        <w:rPr>
          <w:rFonts w:ascii="Times New Roman" w:hAnsi="Times New Roman"/>
          <w:i/>
          <w:sz w:val="24"/>
          <w:szCs w:val="24"/>
        </w:rPr>
        <w:t>Reporting Standard SRS 705.1</w:t>
      </w:r>
      <w:r w:rsidR="00034215" w:rsidRPr="00495E5D">
        <w:rPr>
          <w:rFonts w:ascii="Times New Roman" w:hAnsi="Times New Roman"/>
          <w:sz w:val="24"/>
          <w:szCs w:val="24"/>
        </w:rPr>
        <w:t xml:space="preserve"> </w:t>
      </w:r>
      <w:r w:rsidR="00034215" w:rsidRPr="00495E5D">
        <w:rPr>
          <w:rFonts w:ascii="Times New Roman" w:hAnsi="Times New Roman"/>
          <w:i/>
          <w:sz w:val="24"/>
          <w:szCs w:val="24"/>
        </w:rPr>
        <w:t xml:space="preserve">Investment Performance and Objectives </w:t>
      </w:r>
      <w:r w:rsidR="00034215" w:rsidRPr="00495E5D">
        <w:rPr>
          <w:rFonts w:ascii="Times New Roman" w:hAnsi="Times New Roman"/>
          <w:sz w:val="24"/>
          <w:szCs w:val="24"/>
        </w:rPr>
        <w:t>(SRS 705.1</w:t>
      </w:r>
      <w:proofErr w:type="gramStart"/>
      <w:r w:rsidR="00034215" w:rsidRPr="00495E5D">
        <w:rPr>
          <w:rFonts w:ascii="Times New Roman" w:hAnsi="Times New Roman"/>
          <w:sz w:val="24"/>
          <w:szCs w:val="24"/>
        </w:rPr>
        <w:t>);</w:t>
      </w:r>
      <w:proofErr w:type="gramEnd"/>
    </w:p>
    <w:p w14:paraId="2AA0D189" w14:textId="5121CD1C" w:rsidR="00183388" w:rsidRPr="00495E5D" w:rsidRDefault="00183388" w:rsidP="00714138">
      <w:pPr>
        <w:pStyle w:val="ListParagraph"/>
        <w:numPr>
          <w:ilvl w:val="0"/>
          <w:numId w:val="15"/>
        </w:numPr>
        <w:spacing w:after="240"/>
        <w:ind w:left="643"/>
        <w:jc w:val="both"/>
        <w:rPr>
          <w:rFonts w:ascii="Times New Roman" w:hAnsi="Times New Roman"/>
          <w:sz w:val="24"/>
          <w:szCs w:val="24"/>
        </w:rPr>
      </w:pPr>
      <w:r w:rsidRPr="00495E5D">
        <w:rPr>
          <w:rFonts w:ascii="Times New Roman" w:hAnsi="Times New Roman"/>
          <w:sz w:val="24"/>
          <w:szCs w:val="24"/>
        </w:rPr>
        <w:t xml:space="preserve">Financial Sector (Collection of Data) (reporting standard) determination No. </w:t>
      </w:r>
      <w:r w:rsidR="00140F4B" w:rsidRPr="00495E5D">
        <w:rPr>
          <w:rFonts w:ascii="Times New Roman" w:hAnsi="Times New Roman"/>
          <w:sz w:val="24"/>
          <w:szCs w:val="24"/>
        </w:rPr>
        <w:t>22</w:t>
      </w:r>
      <w:r w:rsidRPr="00495E5D">
        <w:rPr>
          <w:rFonts w:ascii="Times New Roman" w:hAnsi="Times New Roman"/>
          <w:sz w:val="24"/>
          <w:szCs w:val="24"/>
        </w:rPr>
        <w:t xml:space="preserve"> of 2021 which</w:t>
      </w:r>
      <w:r w:rsidR="00034215" w:rsidRPr="00495E5D">
        <w:rPr>
          <w:rFonts w:ascii="Times New Roman" w:hAnsi="Times New Roman"/>
          <w:sz w:val="24"/>
          <w:szCs w:val="24"/>
        </w:rPr>
        <w:t xml:space="preserve"> determines </w:t>
      </w:r>
      <w:r w:rsidR="00034215" w:rsidRPr="00016EF4">
        <w:rPr>
          <w:rFonts w:ascii="Times New Roman" w:hAnsi="Times New Roman"/>
          <w:i/>
          <w:sz w:val="24"/>
          <w:szCs w:val="24"/>
        </w:rPr>
        <w:t>Reporting Standard SRS 706.0</w:t>
      </w:r>
      <w:r w:rsidR="00034215" w:rsidRPr="00495E5D">
        <w:rPr>
          <w:rFonts w:ascii="Times New Roman" w:hAnsi="Times New Roman"/>
          <w:sz w:val="24"/>
          <w:szCs w:val="24"/>
        </w:rPr>
        <w:t xml:space="preserve"> </w:t>
      </w:r>
      <w:r w:rsidR="00034215" w:rsidRPr="00495E5D">
        <w:rPr>
          <w:rFonts w:ascii="Times New Roman" w:hAnsi="Times New Roman"/>
          <w:i/>
          <w:sz w:val="24"/>
          <w:szCs w:val="24"/>
        </w:rPr>
        <w:t xml:space="preserve">Fees and Cost </w:t>
      </w:r>
      <w:r w:rsidR="00034215" w:rsidRPr="00495E5D">
        <w:rPr>
          <w:rFonts w:ascii="Times New Roman" w:hAnsi="Times New Roman"/>
          <w:sz w:val="24"/>
          <w:szCs w:val="24"/>
        </w:rPr>
        <w:t>(SRS 706.0).</w:t>
      </w:r>
    </w:p>
    <w:p w14:paraId="4DC7E9F7" w14:textId="786B2797" w:rsidR="00B11DE6" w:rsidRDefault="00AC7A56" w:rsidP="001A2234">
      <w:pPr>
        <w:widowControl w:val="0"/>
        <w:spacing w:after="240"/>
        <w:jc w:val="both"/>
        <w:rPr>
          <w:rFonts w:ascii="Times New Roman" w:hAnsi="Times New Roman"/>
          <w:sz w:val="24"/>
          <w:szCs w:val="24"/>
        </w:rPr>
      </w:pPr>
      <w:r>
        <w:rPr>
          <w:rFonts w:ascii="Times New Roman" w:hAnsi="Times New Roman"/>
          <w:sz w:val="24"/>
          <w:szCs w:val="24"/>
        </w:rPr>
        <w:t>T</w:t>
      </w:r>
      <w:r w:rsidR="00FE5F57">
        <w:rPr>
          <w:rFonts w:ascii="Times New Roman" w:hAnsi="Times New Roman"/>
          <w:sz w:val="24"/>
          <w:szCs w:val="24"/>
        </w:rPr>
        <w:t>he instrument</w:t>
      </w:r>
      <w:r w:rsidR="004E1FC5">
        <w:rPr>
          <w:rFonts w:ascii="Times New Roman" w:hAnsi="Times New Roman"/>
          <w:sz w:val="24"/>
          <w:szCs w:val="24"/>
        </w:rPr>
        <w:t>s</w:t>
      </w:r>
      <w:r>
        <w:rPr>
          <w:rFonts w:ascii="Times New Roman" w:hAnsi="Times New Roman"/>
          <w:sz w:val="24"/>
          <w:szCs w:val="24"/>
        </w:rPr>
        <w:t xml:space="preserve"> </w:t>
      </w:r>
      <w:r w:rsidRPr="00580FC3">
        <w:rPr>
          <w:rFonts w:ascii="Times New Roman" w:hAnsi="Times New Roman"/>
          <w:sz w:val="24"/>
          <w:szCs w:val="24"/>
        </w:rPr>
        <w:t xml:space="preserve">commence </w:t>
      </w:r>
      <w:r w:rsidR="004B4101" w:rsidRPr="004B4101">
        <w:rPr>
          <w:rFonts w:ascii="Times New Roman" w:hAnsi="Times New Roman"/>
          <w:sz w:val="24"/>
          <w:szCs w:val="24"/>
        </w:rPr>
        <w:t>upon registration on the Federal Register of Legislation</w:t>
      </w:r>
      <w:r w:rsidR="00D50699">
        <w:rPr>
          <w:rFonts w:ascii="Times New Roman" w:hAnsi="Times New Roman"/>
          <w:sz w:val="24"/>
          <w:szCs w:val="24"/>
        </w:rPr>
        <w:t>.</w:t>
      </w:r>
    </w:p>
    <w:p w14:paraId="2A2C8557" w14:textId="77777777"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782F7894" w14:textId="29C20967" w:rsidR="00540311" w:rsidRDefault="00614388" w:rsidP="00614388">
      <w:pPr>
        <w:spacing w:after="240"/>
        <w:ind w:right="113"/>
        <w:jc w:val="both"/>
        <w:rPr>
          <w:rFonts w:ascii="Times New Roman" w:hAnsi="Times New Roman"/>
          <w:sz w:val="24"/>
          <w:szCs w:val="24"/>
        </w:rPr>
      </w:pPr>
      <w:bookmarkStart w:id="5" w:name="bkBackground"/>
      <w:bookmarkEnd w:id="5"/>
      <w:r w:rsidRPr="00614388">
        <w:rPr>
          <w:rFonts w:ascii="Times New Roman" w:hAnsi="Times New Roman"/>
          <w:sz w:val="24"/>
          <w:szCs w:val="24"/>
        </w:rPr>
        <w:t>APRA</w:t>
      </w:r>
      <w:r w:rsidR="00540311">
        <w:rPr>
          <w:rFonts w:ascii="Times New Roman" w:hAnsi="Times New Roman"/>
          <w:sz w:val="24"/>
          <w:szCs w:val="24"/>
        </w:rPr>
        <w:t xml:space="preserve"> is empowered to make reporting standards under the Act, which require regulated institutions, including RSE licensees, to submit </w:t>
      </w:r>
      <w:r w:rsidR="00152B4D">
        <w:rPr>
          <w:rFonts w:ascii="Times New Roman" w:hAnsi="Times New Roman"/>
          <w:sz w:val="24"/>
          <w:szCs w:val="24"/>
        </w:rPr>
        <w:t xml:space="preserve">specified data through various reporting forms. Data from these forms is used by APRA to assist with APRA’s supervisory functions, </w:t>
      </w:r>
      <w:proofErr w:type="gramStart"/>
      <w:r w:rsidR="00152B4D">
        <w:rPr>
          <w:rFonts w:ascii="Times New Roman" w:hAnsi="Times New Roman"/>
          <w:sz w:val="24"/>
          <w:szCs w:val="24"/>
        </w:rPr>
        <w:t>and also</w:t>
      </w:r>
      <w:proofErr w:type="gramEnd"/>
      <w:r w:rsidR="00152B4D">
        <w:rPr>
          <w:rFonts w:ascii="Times New Roman" w:hAnsi="Times New Roman"/>
          <w:sz w:val="24"/>
          <w:szCs w:val="24"/>
        </w:rPr>
        <w:t xml:space="preserve"> by Government and other agencies such as the Australian Bureau of Statistics and the Australian Securities and Investments Commission.</w:t>
      </w:r>
    </w:p>
    <w:p w14:paraId="1C5F4902" w14:textId="571AA75E" w:rsidR="00C81132" w:rsidRDefault="00BB0F56" w:rsidP="00614388">
      <w:pPr>
        <w:spacing w:after="240"/>
        <w:ind w:right="113"/>
        <w:jc w:val="both"/>
        <w:rPr>
          <w:rFonts w:ascii="Times New Roman" w:hAnsi="Times New Roman"/>
          <w:sz w:val="24"/>
          <w:szCs w:val="24"/>
        </w:rPr>
      </w:pPr>
      <w:r w:rsidRPr="0091055E">
        <w:rPr>
          <w:rFonts w:ascii="Times New Roman" w:hAnsi="Times New Roman"/>
          <w:sz w:val="24"/>
          <w:szCs w:val="24"/>
        </w:rPr>
        <w:t xml:space="preserve">It is crucial that </w:t>
      </w:r>
      <w:bookmarkStart w:id="6" w:name="_Hlk71127327"/>
      <w:r w:rsidRPr="0091055E">
        <w:rPr>
          <w:rFonts w:ascii="Times New Roman" w:hAnsi="Times New Roman"/>
          <w:sz w:val="24"/>
          <w:szCs w:val="24"/>
        </w:rPr>
        <w:t>RSE licensees</w:t>
      </w:r>
      <w:bookmarkEnd w:id="6"/>
      <w:r w:rsidRPr="0091055E">
        <w:rPr>
          <w:rFonts w:ascii="Times New Roman" w:hAnsi="Times New Roman"/>
          <w:sz w:val="24"/>
          <w:szCs w:val="24"/>
        </w:rPr>
        <w:t>, government, regulatory agencies, superannuation members and other interested stakeholders have access to high quality and consistent data to assess industry performance and the outcomes delivered for superannuation members</w:t>
      </w:r>
      <w:r>
        <w:rPr>
          <w:rFonts w:ascii="Times New Roman" w:hAnsi="Times New Roman"/>
          <w:sz w:val="24"/>
          <w:szCs w:val="24"/>
        </w:rPr>
        <w:t xml:space="preserve">. </w:t>
      </w:r>
      <w:r w:rsidR="003E68B4" w:rsidRPr="003E68B4">
        <w:rPr>
          <w:rFonts w:ascii="Times New Roman" w:hAnsi="Times New Roman"/>
          <w:sz w:val="24"/>
          <w:szCs w:val="24"/>
        </w:rPr>
        <w:t>APRA identified the need to address</w:t>
      </w:r>
      <w:r w:rsidR="003C2C17">
        <w:rPr>
          <w:rFonts w:ascii="Times New Roman" w:hAnsi="Times New Roman"/>
          <w:sz w:val="24"/>
          <w:szCs w:val="24"/>
        </w:rPr>
        <w:t xml:space="preserve"> </w:t>
      </w:r>
      <w:r w:rsidR="003E68B4" w:rsidRPr="003E68B4">
        <w:rPr>
          <w:rFonts w:ascii="Times New Roman" w:hAnsi="Times New Roman"/>
          <w:sz w:val="24"/>
          <w:szCs w:val="24"/>
        </w:rPr>
        <w:t xml:space="preserve">gaps in the coverage and quality of the superannuation data collection and commenced the Superannuation Data Transformation (SDT) project in </w:t>
      </w:r>
      <w:r w:rsidR="003E68B4">
        <w:rPr>
          <w:rFonts w:ascii="Times New Roman" w:hAnsi="Times New Roman"/>
          <w:sz w:val="24"/>
          <w:szCs w:val="24"/>
        </w:rPr>
        <w:t>2019.</w:t>
      </w:r>
      <w:r w:rsidR="00C81132" w:rsidRPr="00C81132">
        <w:rPr>
          <w:rFonts w:ascii="Times New Roman" w:hAnsi="Times New Roman"/>
          <w:sz w:val="24"/>
          <w:szCs w:val="24"/>
        </w:rPr>
        <w:t xml:space="preserve"> </w:t>
      </w:r>
      <w:r w:rsidR="002429F9" w:rsidRPr="002429F9">
        <w:rPr>
          <w:rFonts w:ascii="Times New Roman" w:hAnsi="Times New Roman"/>
          <w:sz w:val="24"/>
          <w:szCs w:val="24"/>
        </w:rPr>
        <w:t>The new super</w:t>
      </w:r>
      <w:r w:rsidR="002429F9">
        <w:rPr>
          <w:rFonts w:ascii="Times New Roman" w:hAnsi="Times New Roman"/>
          <w:sz w:val="24"/>
          <w:szCs w:val="24"/>
        </w:rPr>
        <w:t>annuation reporting standards</w:t>
      </w:r>
      <w:r w:rsidR="002429F9" w:rsidRPr="002429F9">
        <w:rPr>
          <w:rFonts w:ascii="Times New Roman" w:hAnsi="Times New Roman"/>
          <w:sz w:val="24"/>
          <w:szCs w:val="24"/>
        </w:rPr>
        <w:t xml:space="preserve"> address critical data gaps in the current reporting framework and the highest priority areas impacting member outcomes including: the expansion of the data collection to include all products and investment options; and improved data in relation to performance, fees and costs, insurance arrangements, expenses, member demographics and asset allocation classifications.</w:t>
      </w:r>
    </w:p>
    <w:p w14:paraId="29E1686C" w14:textId="4D39489A" w:rsidR="00A505BE" w:rsidRPr="00A505BE" w:rsidRDefault="00C81132">
      <w:pPr>
        <w:spacing w:after="240"/>
        <w:ind w:right="113"/>
        <w:jc w:val="both"/>
        <w:rPr>
          <w:rFonts w:ascii="Times New Roman" w:hAnsi="Times New Roman"/>
          <w:sz w:val="24"/>
          <w:szCs w:val="24"/>
        </w:rPr>
      </w:pPr>
      <w:r w:rsidRPr="00C81132">
        <w:rPr>
          <w:rFonts w:ascii="Times New Roman" w:hAnsi="Times New Roman"/>
          <w:sz w:val="24"/>
          <w:szCs w:val="24"/>
        </w:rPr>
        <w:t xml:space="preserve">The </w:t>
      </w:r>
      <w:r w:rsidR="00D0253E">
        <w:rPr>
          <w:rFonts w:ascii="Times New Roman" w:hAnsi="Times New Roman"/>
          <w:sz w:val="24"/>
          <w:szCs w:val="24"/>
        </w:rPr>
        <w:t xml:space="preserve">new </w:t>
      </w:r>
      <w:r w:rsidRPr="00C81132">
        <w:rPr>
          <w:rFonts w:ascii="Times New Roman" w:hAnsi="Times New Roman"/>
          <w:sz w:val="24"/>
          <w:szCs w:val="24"/>
        </w:rPr>
        <w:t>reporting standards will enable APRA to meet its new legislative obligations</w:t>
      </w:r>
      <w:r>
        <w:rPr>
          <w:rFonts w:ascii="Times New Roman" w:hAnsi="Times New Roman"/>
          <w:sz w:val="24"/>
          <w:szCs w:val="24"/>
        </w:rPr>
        <w:t xml:space="preserve"> </w:t>
      </w:r>
      <w:r w:rsidR="0042051B">
        <w:rPr>
          <w:rFonts w:ascii="Times New Roman" w:hAnsi="Times New Roman"/>
          <w:sz w:val="24"/>
          <w:szCs w:val="24"/>
        </w:rPr>
        <w:t xml:space="preserve">set out in </w:t>
      </w:r>
      <w:r w:rsidR="0042051B" w:rsidRPr="00C81132">
        <w:rPr>
          <w:rFonts w:ascii="Times New Roman" w:hAnsi="Times New Roman"/>
          <w:sz w:val="24"/>
          <w:szCs w:val="24"/>
        </w:rPr>
        <w:t>the</w:t>
      </w:r>
      <w:r w:rsidR="0042051B">
        <w:rPr>
          <w:rFonts w:ascii="Times New Roman" w:hAnsi="Times New Roman"/>
          <w:sz w:val="24"/>
          <w:szCs w:val="24"/>
        </w:rPr>
        <w:t xml:space="preserve"> </w:t>
      </w:r>
      <w:r w:rsidR="0042051B" w:rsidRPr="00A074D1">
        <w:rPr>
          <w:rFonts w:ascii="Times New Roman" w:hAnsi="Times New Roman"/>
          <w:i/>
          <w:sz w:val="24"/>
          <w:szCs w:val="24"/>
        </w:rPr>
        <w:t>Superannuation Industry (Supervision) Act 1993</w:t>
      </w:r>
      <w:r w:rsidR="0042051B" w:rsidRPr="00C81132">
        <w:rPr>
          <w:rFonts w:ascii="Times New Roman" w:hAnsi="Times New Roman"/>
          <w:sz w:val="24"/>
          <w:szCs w:val="24"/>
        </w:rPr>
        <w:t xml:space="preserve"> </w:t>
      </w:r>
      <w:r w:rsidR="0042051B">
        <w:rPr>
          <w:rFonts w:ascii="Times New Roman" w:hAnsi="Times New Roman"/>
          <w:sz w:val="24"/>
          <w:szCs w:val="24"/>
        </w:rPr>
        <w:t>(</w:t>
      </w:r>
      <w:r w:rsidR="0042051B" w:rsidRPr="00C81132">
        <w:rPr>
          <w:rFonts w:ascii="Times New Roman" w:hAnsi="Times New Roman"/>
          <w:sz w:val="24"/>
          <w:szCs w:val="24"/>
        </w:rPr>
        <w:t>SIS Act</w:t>
      </w:r>
      <w:r w:rsidR="0042051B">
        <w:rPr>
          <w:rFonts w:ascii="Times New Roman" w:hAnsi="Times New Roman"/>
          <w:sz w:val="24"/>
          <w:szCs w:val="24"/>
        </w:rPr>
        <w:t>)</w:t>
      </w:r>
      <w:r>
        <w:rPr>
          <w:rFonts w:ascii="Times New Roman" w:hAnsi="Times New Roman"/>
          <w:sz w:val="24"/>
          <w:szCs w:val="24"/>
        </w:rPr>
        <w:t xml:space="preserve"> (including </w:t>
      </w:r>
      <w:r w:rsidR="002429F9">
        <w:rPr>
          <w:rFonts w:ascii="Times New Roman" w:hAnsi="Times New Roman"/>
          <w:sz w:val="24"/>
          <w:szCs w:val="24"/>
        </w:rPr>
        <w:t xml:space="preserve">administering </w:t>
      </w:r>
      <w:r>
        <w:rPr>
          <w:rFonts w:ascii="Times New Roman" w:hAnsi="Times New Roman"/>
          <w:sz w:val="24"/>
          <w:szCs w:val="24"/>
        </w:rPr>
        <w:t xml:space="preserve">the performance test </w:t>
      </w:r>
      <w:r w:rsidR="002429F9" w:rsidRPr="00714138">
        <w:rPr>
          <w:rFonts w:ascii="Times New Roman" w:hAnsi="Times New Roman"/>
          <w:sz w:val="24"/>
          <w:szCs w:val="24"/>
        </w:rPr>
        <w:t xml:space="preserve">under </w:t>
      </w:r>
      <w:r w:rsidR="00CC311B">
        <w:rPr>
          <w:rFonts w:ascii="Times New Roman" w:hAnsi="Times New Roman"/>
          <w:sz w:val="24"/>
          <w:szCs w:val="24"/>
        </w:rPr>
        <w:t>paragraph 60C</w:t>
      </w:r>
      <w:r w:rsidR="00F1182B">
        <w:rPr>
          <w:rFonts w:ascii="Times New Roman" w:hAnsi="Times New Roman"/>
          <w:sz w:val="24"/>
          <w:szCs w:val="24"/>
        </w:rPr>
        <w:t xml:space="preserve"> </w:t>
      </w:r>
      <w:r w:rsidR="002429F9" w:rsidRPr="00714138">
        <w:rPr>
          <w:rFonts w:ascii="Times New Roman" w:hAnsi="Times New Roman"/>
          <w:sz w:val="24"/>
          <w:szCs w:val="24"/>
        </w:rPr>
        <w:t xml:space="preserve">of </w:t>
      </w:r>
      <w:r w:rsidR="00F1182B">
        <w:rPr>
          <w:rFonts w:ascii="Times New Roman" w:hAnsi="Times New Roman"/>
          <w:sz w:val="24"/>
          <w:szCs w:val="24"/>
        </w:rPr>
        <w:t>the</w:t>
      </w:r>
      <w:r w:rsidR="002429F9" w:rsidRPr="00714138">
        <w:rPr>
          <w:rFonts w:ascii="Times New Roman" w:hAnsi="Times New Roman"/>
          <w:sz w:val="24"/>
          <w:szCs w:val="24"/>
        </w:rPr>
        <w:t xml:space="preserve"> SIS </w:t>
      </w:r>
      <w:r w:rsidR="00F1182B">
        <w:rPr>
          <w:rFonts w:ascii="Times New Roman" w:hAnsi="Times New Roman"/>
          <w:sz w:val="24"/>
          <w:szCs w:val="24"/>
        </w:rPr>
        <w:t>Act</w:t>
      </w:r>
      <w:r w:rsidR="002429F9" w:rsidRPr="00714138">
        <w:rPr>
          <w:rFonts w:ascii="Times New Roman" w:hAnsi="Times New Roman"/>
          <w:sz w:val="24"/>
          <w:szCs w:val="24"/>
        </w:rPr>
        <w:t xml:space="preserve"> </w:t>
      </w:r>
      <w:r w:rsidRPr="00714138">
        <w:rPr>
          <w:rFonts w:ascii="Times New Roman" w:hAnsi="Times New Roman"/>
          <w:sz w:val="24"/>
          <w:szCs w:val="24"/>
        </w:rPr>
        <w:t>for</w:t>
      </w:r>
      <w:r>
        <w:rPr>
          <w:rFonts w:ascii="Times New Roman" w:hAnsi="Times New Roman"/>
          <w:sz w:val="24"/>
          <w:szCs w:val="24"/>
        </w:rPr>
        <w:t xml:space="preserve"> trustee directed products)</w:t>
      </w:r>
      <w:r w:rsidRPr="00C81132">
        <w:rPr>
          <w:rFonts w:ascii="Times New Roman" w:hAnsi="Times New Roman"/>
          <w:sz w:val="24"/>
          <w:szCs w:val="24"/>
        </w:rPr>
        <w:t xml:space="preserve"> and to strengthen its prudential oversight of the superannuation industry. The </w:t>
      </w:r>
      <w:r w:rsidR="000D4320">
        <w:rPr>
          <w:rFonts w:ascii="Times New Roman" w:hAnsi="Times New Roman"/>
          <w:sz w:val="24"/>
          <w:szCs w:val="24"/>
        </w:rPr>
        <w:t>data</w:t>
      </w:r>
      <w:r w:rsidRPr="00C81132">
        <w:rPr>
          <w:rFonts w:ascii="Times New Roman" w:hAnsi="Times New Roman"/>
          <w:sz w:val="24"/>
          <w:szCs w:val="24"/>
        </w:rPr>
        <w:t xml:space="preserve"> </w:t>
      </w:r>
      <w:r w:rsidR="000D4320" w:rsidRPr="00A3593E">
        <w:rPr>
          <w:rFonts w:ascii="Times New Roman" w:hAnsi="Times New Roman"/>
          <w:sz w:val="24"/>
          <w:szCs w:val="24"/>
        </w:rPr>
        <w:t xml:space="preserve">will support APRA’s ongoing supervision activities that seek to ensure adequate focus by RSE licensees on improving member </w:t>
      </w:r>
      <w:proofErr w:type="gramStart"/>
      <w:r w:rsidR="000D4320" w:rsidRPr="00A3593E">
        <w:rPr>
          <w:rFonts w:ascii="Times New Roman" w:hAnsi="Times New Roman"/>
          <w:sz w:val="24"/>
          <w:szCs w:val="24"/>
        </w:rPr>
        <w:t>outcomes</w:t>
      </w:r>
      <w:r w:rsidR="000D4320">
        <w:rPr>
          <w:rFonts w:ascii="Times New Roman" w:hAnsi="Times New Roman"/>
          <w:sz w:val="24"/>
          <w:szCs w:val="24"/>
        </w:rPr>
        <w:t>, and</w:t>
      </w:r>
      <w:proofErr w:type="gramEnd"/>
      <w:r w:rsidR="000D4320">
        <w:rPr>
          <w:rFonts w:ascii="Times New Roman" w:hAnsi="Times New Roman"/>
          <w:sz w:val="24"/>
          <w:szCs w:val="24"/>
        </w:rPr>
        <w:t xml:space="preserve"> will</w:t>
      </w:r>
      <w:r w:rsidR="000D4320" w:rsidRPr="00C81132">
        <w:rPr>
          <w:rFonts w:ascii="Times New Roman" w:hAnsi="Times New Roman"/>
          <w:sz w:val="24"/>
          <w:szCs w:val="24"/>
        </w:rPr>
        <w:t xml:space="preserve"> </w:t>
      </w:r>
      <w:r w:rsidRPr="00C81132">
        <w:rPr>
          <w:rFonts w:ascii="Times New Roman" w:hAnsi="Times New Roman"/>
          <w:sz w:val="24"/>
          <w:szCs w:val="24"/>
        </w:rPr>
        <w:t xml:space="preserve">also assist APRA </w:t>
      </w:r>
      <w:r w:rsidR="000D4320">
        <w:rPr>
          <w:rFonts w:ascii="Times New Roman" w:hAnsi="Times New Roman"/>
          <w:sz w:val="24"/>
          <w:szCs w:val="24"/>
        </w:rPr>
        <w:t xml:space="preserve">in </w:t>
      </w:r>
      <w:r w:rsidRPr="00C81132">
        <w:rPr>
          <w:rFonts w:ascii="Times New Roman" w:hAnsi="Times New Roman"/>
          <w:sz w:val="24"/>
          <w:szCs w:val="24"/>
        </w:rPr>
        <w:t>promot</w:t>
      </w:r>
      <w:r w:rsidR="000D4320">
        <w:rPr>
          <w:rFonts w:ascii="Times New Roman" w:hAnsi="Times New Roman"/>
          <w:sz w:val="24"/>
          <w:szCs w:val="24"/>
        </w:rPr>
        <w:t>ing</w:t>
      </w:r>
      <w:r w:rsidRPr="00C81132">
        <w:rPr>
          <w:rFonts w:ascii="Times New Roman" w:hAnsi="Times New Roman"/>
          <w:sz w:val="24"/>
          <w:szCs w:val="24"/>
        </w:rPr>
        <w:t xml:space="preserve"> transparency and comparability within the superannuation industry.</w:t>
      </w:r>
    </w:p>
    <w:p w14:paraId="7FA50A5F" w14:textId="0ED3F8A8" w:rsidR="002436BD" w:rsidRDefault="002436BD" w:rsidP="001A2234">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0EF1730B" w14:textId="441E4EDA" w:rsidR="00DD7060" w:rsidRDefault="003F7007" w:rsidP="00E1742D">
      <w:pPr>
        <w:spacing w:after="240"/>
        <w:ind w:right="113"/>
        <w:jc w:val="both"/>
        <w:rPr>
          <w:rFonts w:ascii="Times New Roman" w:hAnsi="Times New Roman"/>
          <w:sz w:val="24"/>
          <w:szCs w:val="24"/>
        </w:rPr>
      </w:pPr>
      <w:bookmarkStart w:id="7" w:name="bkPurpose"/>
      <w:bookmarkEnd w:id="7"/>
      <w:r>
        <w:rPr>
          <w:rFonts w:ascii="Times New Roman" w:hAnsi="Times New Roman"/>
          <w:sz w:val="24"/>
          <w:szCs w:val="24"/>
        </w:rPr>
        <w:t>The purpose of t</w:t>
      </w:r>
      <w:r w:rsidR="009226AE">
        <w:rPr>
          <w:rFonts w:ascii="Times New Roman" w:hAnsi="Times New Roman"/>
          <w:sz w:val="24"/>
          <w:szCs w:val="24"/>
        </w:rPr>
        <w:t>he</w:t>
      </w:r>
      <w:r w:rsidR="00152B4D">
        <w:rPr>
          <w:rFonts w:ascii="Times New Roman" w:hAnsi="Times New Roman"/>
          <w:sz w:val="24"/>
          <w:szCs w:val="24"/>
        </w:rPr>
        <w:t>se</w:t>
      </w:r>
      <w:r w:rsidR="009226AE">
        <w:rPr>
          <w:rFonts w:ascii="Times New Roman" w:hAnsi="Times New Roman"/>
          <w:sz w:val="24"/>
          <w:szCs w:val="24"/>
        </w:rPr>
        <w:t xml:space="preserve"> instrument</w:t>
      </w:r>
      <w:r w:rsidR="00152B4D">
        <w:rPr>
          <w:rFonts w:ascii="Times New Roman" w:hAnsi="Times New Roman"/>
          <w:sz w:val="24"/>
          <w:szCs w:val="24"/>
        </w:rPr>
        <w:t>s</w:t>
      </w:r>
      <w:r w:rsidR="009226AE">
        <w:rPr>
          <w:rFonts w:ascii="Times New Roman" w:hAnsi="Times New Roman"/>
          <w:sz w:val="24"/>
          <w:szCs w:val="24"/>
        </w:rPr>
        <w:t xml:space="preserve"> is to</w:t>
      </w:r>
      <w:r w:rsidR="00152B4D">
        <w:rPr>
          <w:rFonts w:ascii="Times New Roman" w:hAnsi="Times New Roman"/>
          <w:sz w:val="24"/>
          <w:szCs w:val="24"/>
        </w:rPr>
        <w:t xml:space="preserve"> </w:t>
      </w:r>
      <w:r w:rsidR="00312A47">
        <w:rPr>
          <w:rFonts w:ascii="Times New Roman" w:hAnsi="Times New Roman"/>
          <w:sz w:val="24"/>
          <w:szCs w:val="24"/>
        </w:rPr>
        <w:t xml:space="preserve">determine </w:t>
      </w:r>
      <w:r w:rsidR="00152B4D">
        <w:rPr>
          <w:rFonts w:ascii="Times New Roman" w:hAnsi="Times New Roman"/>
          <w:sz w:val="24"/>
          <w:szCs w:val="24"/>
        </w:rPr>
        <w:t>ten new reporting standards</w:t>
      </w:r>
      <w:r w:rsidR="00C51ED7">
        <w:rPr>
          <w:rFonts w:ascii="Times New Roman" w:hAnsi="Times New Roman"/>
          <w:sz w:val="24"/>
          <w:szCs w:val="24"/>
        </w:rPr>
        <w:t xml:space="preserve"> </w:t>
      </w:r>
      <w:r w:rsidR="0069697E">
        <w:rPr>
          <w:rFonts w:ascii="Times New Roman" w:hAnsi="Times New Roman"/>
          <w:sz w:val="24"/>
          <w:szCs w:val="24"/>
        </w:rPr>
        <w:t xml:space="preserve">that </w:t>
      </w:r>
      <w:r w:rsidR="0069697E" w:rsidRPr="0069697E">
        <w:rPr>
          <w:rFonts w:ascii="Times New Roman" w:hAnsi="Times New Roman"/>
          <w:sz w:val="24"/>
          <w:szCs w:val="24"/>
        </w:rPr>
        <w:t xml:space="preserve">require </w:t>
      </w:r>
      <w:r w:rsidR="0069697E">
        <w:rPr>
          <w:rFonts w:ascii="Times New Roman" w:hAnsi="Times New Roman"/>
          <w:sz w:val="24"/>
          <w:szCs w:val="24"/>
        </w:rPr>
        <w:t>RSE licensees</w:t>
      </w:r>
      <w:r w:rsidR="0069697E" w:rsidRPr="0069697E">
        <w:rPr>
          <w:rFonts w:ascii="Times New Roman" w:hAnsi="Times New Roman"/>
          <w:sz w:val="24"/>
          <w:szCs w:val="24"/>
        </w:rPr>
        <w:t xml:space="preserve"> to provide information to APRA about their businesses and activities</w:t>
      </w:r>
      <w:r w:rsidR="00C7217E">
        <w:rPr>
          <w:rFonts w:ascii="Times New Roman" w:hAnsi="Times New Roman"/>
          <w:sz w:val="24"/>
          <w:szCs w:val="24"/>
        </w:rPr>
        <w:t>. This data</w:t>
      </w:r>
      <w:r w:rsidR="0069697E">
        <w:rPr>
          <w:rFonts w:ascii="Times New Roman" w:hAnsi="Times New Roman"/>
          <w:sz w:val="24"/>
          <w:szCs w:val="24"/>
        </w:rPr>
        <w:t xml:space="preserve"> </w:t>
      </w:r>
      <w:r w:rsidR="00C7217E">
        <w:rPr>
          <w:rFonts w:ascii="Times New Roman" w:hAnsi="Times New Roman"/>
          <w:sz w:val="24"/>
          <w:szCs w:val="24"/>
        </w:rPr>
        <w:t xml:space="preserve">is needed </w:t>
      </w:r>
      <w:r w:rsidR="00C51ED7">
        <w:rPr>
          <w:rFonts w:ascii="Times New Roman" w:hAnsi="Times New Roman"/>
          <w:sz w:val="24"/>
          <w:szCs w:val="24"/>
        </w:rPr>
        <w:t xml:space="preserve">to </w:t>
      </w:r>
      <w:r w:rsidR="00DD7060" w:rsidRPr="00DD7060">
        <w:rPr>
          <w:rFonts w:ascii="Times New Roman" w:hAnsi="Times New Roman"/>
          <w:sz w:val="24"/>
          <w:szCs w:val="24"/>
        </w:rPr>
        <w:t>strengthen supervision of the superannuation industry and promote transparency and comparability within the superannuation industry.</w:t>
      </w:r>
      <w:r>
        <w:rPr>
          <w:rFonts w:ascii="Times New Roman" w:hAnsi="Times New Roman"/>
          <w:sz w:val="24"/>
          <w:szCs w:val="24"/>
        </w:rPr>
        <w:t xml:space="preserve"> </w:t>
      </w:r>
    </w:p>
    <w:p w14:paraId="51FA2017" w14:textId="29A30C1F" w:rsidR="00756E47" w:rsidRDefault="00DD7060" w:rsidP="00DD7060">
      <w:pPr>
        <w:spacing w:after="240"/>
        <w:ind w:right="113"/>
        <w:jc w:val="both"/>
        <w:rPr>
          <w:rFonts w:ascii="Times New Roman" w:hAnsi="Times New Roman"/>
          <w:sz w:val="24"/>
          <w:szCs w:val="24"/>
        </w:rPr>
      </w:pPr>
      <w:r w:rsidRPr="00DD7060">
        <w:rPr>
          <w:rFonts w:ascii="Times New Roman" w:hAnsi="Times New Roman"/>
          <w:sz w:val="24"/>
          <w:szCs w:val="24"/>
        </w:rPr>
        <w:t>The new reporting standards and associated reporting forms are issued under the Act. The collection of data under the new superannuation reporting requirements is staggered over the period from 30 September 20</w:t>
      </w:r>
      <w:r>
        <w:rPr>
          <w:rFonts w:ascii="Times New Roman" w:hAnsi="Times New Roman"/>
          <w:sz w:val="24"/>
          <w:szCs w:val="24"/>
        </w:rPr>
        <w:t>21</w:t>
      </w:r>
      <w:r w:rsidRPr="00DD7060">
        <w:rPr>
          <w:rFonts w:ascii="Times New Roman" w:hAnsi="Times New Roman"/>
          <w:sz w:val="24"/>
          <w:szCs w:val="24"/>
        </w:rPr>
        <w:t xml:space="preserve"> to 3</w:t>
      </w:r>
      <w:r w:rsidR="00D377AD">
        <w:rPr>
          <w:rFonts w:ascii="Times New Roman" w:hAnsi="Times New Roman"/>
          <w:sz w:val="24"/>
          <w:szCs w:val="24"/>
        </w:rPr>
        <w:t>0</w:t>
      </w:r>
      <w:r w:rsidRPr="00DD7060">
        <w:rPr>
          <w:rFonts w:ascii="Times New Roman" w:hAnsi="Times New Roman"/>
          <w:sz w:val="24"/>
          <w:szCs w:val="24"/>
        </w:rPr>
        <w:t xml:space="preserve"> </w:t>
      </w:r>
      <w:r w:rsidR="00D377AD">
        <w:rPr>
          <w:rFonts w:ascii="Times New Roman" w:hAnsi="Times New Roman"/>
          <w:sz w:val="24"/>
          <w:szCs w:val="24"/>
        </w:rPr>
        <w:t>June</w:t>
      </w:r>
      <w:r w:rsidRPr="00DD7060">
        <w:rPr>
          <w:rFonts w:ascii="Times New Roman" w:hAnsi="Times New Roman"/>
          <w:sz w:val="24"/>
          <w:szCs w:val="24"/>
        </w:rPr>
        <w:t xml:space="preserve"> 20</w:t>
      </w:r>
      <w:r w:rsidR="00D377AD">
        <w:rPr>
          <w:rFonts w:ascii="Times New Roman" w:hAnsi="Times New Roman"/>
          <w:sz w:val="24"/>
          <w:szCs w:val="24"/>
        </w:rPr>
        <w:t>2</w:t>
      </w:r>
      <w:r w:rsidR="001311B2">
        <w:rPr>
          <w:rFonts w:ascii="Times New Roman" w:hAnsi="Times New Roman"/>
          <w:sz w:val="24"/>
          <w:szCs w:val="24"/>
        </w:rPr>
        <w:t>2</w:t>
      </w:r>
      <w:r w:rsidRPr="00DD7060">
        <w:rPr>
          <w:rFonts w:ascii="Times New Roman" w:hAnsi="Times New Roman"/>
          <w:sz w:val="24"/>
          <w:szCs w:val="24"/>
        </w:rPr>
        <w:t>.</w:t>
      </w:r>
      <w:r w:rsidR="004B4101">
        <w:rPr>
          <w:rFonts w:ascii="Times New Roman" w:hAnsi="Times New Roman"/>
          <w:sz w:val="24"/>
          <w:szCs w:val="24"/>
        </w:rPr>
        <w:t xml:space="preserve"> </w:t>
      </w:r>
    </w:p>
    <w:p w14:paraId="4C460739" w14:textId="6F14C25F" w:rsidR="00DD7060" w:rsidRPr="00DD7060" w:rsidRDefault="004B4101" w:rsidP="00DD7060">
      <w:pPr>
        <w:spacing w:after="240"/>
        <w:ind w:right="113"/>
        <w:jc w:val="both"/>
        <w:rPr>
          <w:rFonts w:ascii="Times New Roman" w:hAnsi="Times New Roman"/>
          <w:sz w:val="24"/>
          <w:szCs w:val="24"/>
        </w:rPr>
      </w:pPr>
      <w:r w:rsidRPr="00DD7060">
        <w:rPr>
          <w:rFonts w:ascii="Times New Roman" w:hAnsi="Times New Roman"/>
          <w:sz w:val="24"/>
          <w:szCs w:val="24"/>
        </w:rPr>
        <w:lastRenderedPageBreak/>
        <w:t xml:space="preserve">The new reporting standards </w:t>
      </w:r>
      <w:r w:rsidRPr="004B4101">
        <w:rPr>
          <w:rFonts w:ascii="Times New Roman" w:hAnsi="Times New Roman"/>
          <w:sz w:val="24"/>
          <w:szCs w:val="24"/>
        </w:rPr>
        <w:t xml:space="preserve">require reporting </w:t>
      </w:r>
      <w:r w:rsidR="00DB6F00">
        <w:rPr>
          <w:rFonts w:ascii="Times New Roman" w:hAnsi="Times New Roman"/>
          <w:sz w:val="24"/>
          <w:szCs w:val="24"/>
        </w:rPr>
        <w:t>of historical information</w:t>
      </w:r>
      <w:r w:rsidRPr="004B4101">
        <w:rPr>
          <w:rFonts w:ascii="Times New Roman" w:hAnsi="Times New Roman"/>
          <w:sz w:val="24"/>
          <w:szCs w:val="24"/>
        </w:rPr>
        <w:t xml:space="preserve"> for reporting periods that occurred prior to the commencement of the reporting standard. </w:t>
      </w:r>
      <w:r w:rsidRPr="00DD7060">
        <w:rPr>
          <w:rFonts w:ascii="Times New Roman" w:hAnsi="Times New Roman"/>
          <w:sz w:val="24"/>
          <w:szCs w:val="24"/>
        </w:rPr>
        <w:t xml:space="preserve">The new reporting standards </w:t>
      </w:r>
      <w:r>
        <w:rPr>
          <w:rFonts w:ascii="Times New Roman" w:hAnsi="Times New Roman"/>
          <w:sz w:val="24"/>
          <w:szCs w:val="24"/>
        </w:rPr>
        <w:t>are</w:t>
      </w:r>
      <w:r w:rsidRPr="004B4101">
        <w:rPr>
          <w:rFonts w:ascii="Times New Roman" w:hAnsi="Times New Roman"/>
          <w:sz w:val="24"/>
          <w:szCs w:val="24"/>
        </w:rPr>
        <w:t xml:space="preserve"> not retrospective in operation as the obligation to report on the </w:t>
      </w:r>
      <w:r w:rsidR="00410FEB">
        <w:rPr>
          <w:rFonts w:ascii="Times New Roman" w:hAnsi="Times New Roman"/>
          <w:sz w:val="24"/>
          <w:szCs w:val="24"/>
        </w:rPr>
        <w:t>historical</w:t>
      </w:r>
      <w:r w:rsidRPr="004B4101">
        <w:rPr>
          <w:rFonts w:ascii="Times New Roman" w:hAnsi="Times New Roman"/>
          <w:sz w:val="24"/>
          <w:szCs w:val="24"/>
        </w:rPr>
        <w:t xml:space="preserve"> reporting periods commences from, and not prior to, the commencement of the reporting standard.</w:t>
      </w:r>
    </w:p>
    <w:p w14:paraId="654715EC" w14:textId="0A71B0CC" w:rsidR="008D587D" w:rsidRDefault="008D587D" w:rsidP="008D587D">
      <w:pPr>
        <w:spacing w:after="240"/>
        <w:ind w:right="113"/>
        <w:jc w:val="both"/>
        <w:rPr>
          <w:rFonts w:ascii="Times New Roman" w:hAnsi="Times New Roman"/>
          <w:sz w:val="24"/>
          <w:szCs w:val="24"/>
        </w:rPr>
      </w:pPr>
      <w:r w:rsidRPr="00002415">
        <w:rPr>
          <w:rFonts w:ascii="Times New Roman" w:hAnsi="Times New Roman"/>
          <w:sz w:val="24"/>
          <w:szCs w:val="24"/>
        </w:rPr>
        <w:t>Centralisation of data definitions will provide consistency in definitions across all current and future reporting standards</w:t>
      </w:r>
      <w:r w:rsidR="00444FA8">
        <w:rPr>
          <w:rFonts w:ascii="Times New Roman" w:hAnsi="Times New Roman"/>
          <w:sz w:val="24"/>
          <w:szCs w:val="24"/>
        </w:rPr>
        <w:t>,</w:t>
      </w:r>
      <w:r w:rsidRPr="00002415">
        <w:rPr>
          <w:rFonts w:ascii="Times New Roman" w:hAnsi="Times New Roman"/>
          <w:sz w:val="24"/>
          <w:szCs w:val="24"/>
        </w:rPr>
        <w:t xml:space="preserve"> as well as reduc</w:t>
      </w:r>
      <w:r w:rsidR="00444FA8">
        <w:rPr>
          <w:rFonts w:ascii="Times New Roman" w:hAnsi="Times New Roman"/>
          <w:sz w:val="24"/>
          <w:szCs w:val="24"/>
        </w:rPr>
        <w:t>e</w:t>
      </w:r>
      <w:r w:rsidRPr="00002415">
        <w:rPr>
          <w:rFonts w:ascii="Times New Roman" w:hAnsi="Times New Roman"/>
          <w:sz w:val="24"/>
          <w:szCs w:val="24"/>
        </w:rPr>
        <w:t xml:space="preserve"> administrative burden associated with any future changes to data items.</w:t>
      </w:r>
      <w:r w:rsidRPr="00A02E92">
        <w:rPr>
          <w:rFonts w:ascii="Times New Roman" w:hAnsi="Times New Roman"/>
          <w:sz w:val="24"/>
          <w:szCs w:val="24"/>
        </w:rPr>
        <w:tab/>
      </w:r>
    </w:p>
    <w:p w14:paraId="2A441BB5" w14:textId="77777777" w:rsidR="008D587D" w:rsidRDefault="008D587D" w:rsidP="00786F9A">
      <w:pPr>
        <w:spacing w:after="240"/>
        <w:ind w:right="113"/>
        <w:jc w:val="both"/>
        <w:rPr>
          <w:rFonts w:ascii="Times New Roman" w:hAnsi="Times New Roman"/>
          <w:sz w:val="24"/>
          <w:szCs w:val="24"/>
        </w:rPr>
      </w:pPr>
      <w:r w:rsidRPr="00A02E92">
        <w:rPr>
          <w:rFonts w:ascii="Times New Roman" w:hAnsi="Times New Roman"/>
          <w:sz w:val="24"/>
          <w:szCs w:val="24"/>
        </w:rPr>
        <w:t>SRS 101.0 outlines the definitions</w:t>
      </w:r>
      <w:r>
        <w:rPr>
          <w:rFonts w:ascii="Times New Roman" w:hAnsi="Times New Roman"/>
          <w:sz w:val="24"/>
          <w:szCs w:val="24"/>
        </w:rPr>
        <w:t xml:space="preserve"> of data to be reported</w:t>
      </w:r>
      <w:r w:rsidRPr="00A02E92">
        <w:rPr>
          <w:rFonts w:ascii="Times New Roman" w:hAnsi="Times New Roman"/>
          <w:sz w:val="24"/>
          <w:szCs w:val="24"/>
        </w:rPr>
        <w:t xml:space="preserve"> across the </w:t>
      </w:r>
      <w:r w:rsidRPr="0082548A">
        <w:rPr>
          <w:rFonts w:ascii="Times New Roman" w:hAnsi="Times New Roman"/>
          <w:sz w:val="24"/>
          <w:szCs w:val="24"/>
        </w:rPr>
        <w:t xml:space="preserve">superannuation </w:t>
      </w:r>
      <w:r w:rsidRPr="00A02E92">
        <w:rPr>
          <w:rFonts w:ascii="Times New Roman" w:hAnsi="Times New Roman"/>
          <w:sz w:val="24"/>
          <w:szCs w:val="24"/>
        </w:rPr>
        <w:t xml:space="preserve">data collection. </w:t>
      </w:r>
    </w:p>
    <w:p w14:paraId="6A00659D" w14:textId="353B3059" w:rsidR="008D587D" w:rsidRPr="00E0301B" w:rsidRDefault="008D587D" w:rsidP="008D587D">
      <w:pPr>
        <w:spacing w:after="240"/>
        <w:ind w:right="113"/>
        <w:jc w:val="both"/>
        <w:rPr>
          <w:rFonts w:ascii="Times New Roman" w:hAnsi="Times New Roman"/>
          <w:sz w:val="24"/>
          <w:szCs w:val="24"/>
        </w:rPr>
      </w:pPr>
      <w:r w:rsidRPr="00E0301B">
        <w:rPr>
          <w:rFonts w:ascii="Times New Roman" w:hAnsi="Times New Roman"/>
          <w:sz w:val="24"/>
          <w:szCs w:val="24"/>
        </w:rPr>
        <w:t>The importance of insurance through superannuation</w:t>
      </w:r>
      <w:r w:rsidR="007C642F">
        <w:rPr>
          <w:rFonts w:ascii="Times New Roman" w:hAnsi="Times New Roman"/>
          <w:sz w:val="24"/>
          <w:szCs w:val="24"/>
        </w:rPr>
        <w:t>,</w:t>
      </w:r>
      <w:r w:rsidRPr="00E0301B">
        <w:rPr>
          <w:rFonts w:ascii="Times New Roman" w:hAnsi="Times New Roman"/>
          <w:sz w:val="24"/>
          <w:szCs w:val="24"/>
        </w:rPr>
        <w:t xml:space="preserve"> and its impact on member outcomes</w:t>
      </w:r>
      <w:r w:rsidR="007C642F">
        <w:rPr>
          <w:rFonts w:ascii="Times New Roman" w:hAnsi="Times New Roman"/>
          <w:sz w:val="24"/>
          <w:szCs w:val="24"/>
        </w:rPr>
        <w:t>,</w:t>
      </w:r>
      <w:r w:rsidRPr="00E0301B">
        <w:rPr>
          <w:rFonts w:ascii="Times New Roman" w:hAnsi="Times New Roman"/>
          <w:sz w:val="24"/>
          <w:szCs w:val="24"/>
        </w:rPr>
        <w:t xml:space="preserve"> highlights the need for enhanced data to facilitate an improved understanding of the nature and value of these arrangements. Improved transparency of this data will also assist RSE licensees in considering appropriate outcomes for their members when </w:t>
      </w:r>
      <w:proofErr w:type="gramStart"/>
      <w:r w:rsidRPr="00E0301B">
        <w:rPr>
          <w:rFonts w:ascii="Times New Roman" w:hAnsi="Times New Roman"/>
          <w:sz w:val="24"/>
          <w:szCs w:val="24"/>
        </w:rPr>
        <w:t>entering into</w:t>
      </w:r>
      <w:proofErr w:type="gramEnd"/>
      <w:r w:rsidRPr="00E0301B">
        <w:rPr>
          <w:rFonts w:ascii="Times New Roman" w:hAnsi="Times New Roman"/>
          <w:sz w:val="24"/>
          <w:szCs w:val="24"/>
        </w:rPr>
        <w:t xml:space="preserve"> an insurance arrangement.</w:t>
      </w:r>
    </w:p>
    <w:p w14:paraId="030B750C" w14:textId="77777777" w:rsidR="008D587D" w:rsidRDefault="008D587D" w:rsidP="008D587D">
      <w:pPr>
        <w:spacing w:after="240"/>
        <w:ind w:right="113"/>
        <w:jc w:val="both"/>
        <w:rPr>
          <w:rFonts w:ascii="Times New Roman" w:hAnsi="Times New Roman"/>
          <w:sz w:val="24"/>
          <w:szCs w:val="24"/>
        </w:rPr>
      </w:pPr>
      <w:r w:rsidRPr="006070A5">
        <w:rPr>
          <w:rFonts w:ascii="Times New Roman" w:hAnsi="Times New Roman"/>
          <w:sz w:val="24"/>
          <w:szCs w:val="24"/>
        </w:rPr>
        <w:t>SRS 251.0 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on insurance arrangements</w:t>
      </w:r>
      <w:r>
        <w:rPr>
          <w:rFonts w:ascii="Times New Roman" w:hAnsi="Times New Roman"/>
          <w:sz w:val="24"/>
          <w:szCs w:val="24"/>
        </w:rPr>
        <w:t>, including:</w:t>
      </w:r>
    </w:p>
    <w:p w14:paraId="699611D7" w14:textId="4698465E" w:rsidR="008D587D" w:rsidRPr="00261DFE" w:rsidRDefault="008D587D" w:rsidP="008D587D">
      <w:pPr>
        <w:pStyle w:val="ListParagraph"/>
        <w:numPr>
          <w:ilvl w:val="0"/>
          <w:numId w:val="28"/>
        </w:numPr>
        <w:spacing w:after="240"/>
        <w:ind w:right="113"/>
        <w:jc w:val="both"/>
        <w:rPr>
          <w:rFonts w:ascii="Times New Roman" w:hAnsi="Times New Roman"/>
          <w:sz w:val="24"/>
          <w:szCs w:val="24"/>
        </w:rPr>
      </w:pPr>
      <w:r w:rsidRPr="00261DFE">
        <w:rPr>
          <w:rFonts w:ascii="Times New Roman" w:hAnsi="Times New Roman"/>
          <w:sz w:val="24"/>
          <w:szCs w:val="24"/>
        </w:rPr>
        <w:t>enhanced data on insurance policies and their linkages to superannuation products, including claims experience and the choices members make in relation to insurance</w:t>
      </w:r>
      <w:r w:rsidR="00B30316">
        <w:rPr>
          <w:rFonts w:ascii="Times New Roman" w:hAnsi="Times New Roman"/>
          <w:sz w:val="24"/>
          <w:szCs w:val="24"/>
        </w:rPr>
        <w:t>; and</w:t>
      </w:r>
    </w:p>
    <w:p w14:paraId="3D37660F" w14:textId="77777777" w:rsidR="008D587D" w:rsidRPr="00261DFE" w:rsidRDefault="008D587D" w:rsidP="008D587D">
      <w:pPr>
        <w:pStyle w:val="ListParagraph"/>
        <w:numPr>
          <w:ilvl w:val="0"/>
          <w:numId w:val="28"/>
        </w:numPr>
        <w:spacing w:after="240"/>
        <w:ind w:right="113"/>
        <w:jc w:val="both"/>
        <w:rPr>
          <w:rFonts w:ascii="Times New Roman" w:hAnsi="Times New Roman"/>
          <w:sz w:val="24"/>
          <w:szCs w:val="24"/>
        </w:rPr>
      </w:pPr>
      <w:r w:rsidRPr="00261DFE">
        <w:rPr>
          <w:rFonts w:ascii="Times New Roman" w:hAnsi="Times New Roman"/>
          <w:sz w:val="24"/>
          <w:szCs w:val="24"/>
        </w:rPr>
        <w:t xml:space="preserve">enhanced and more granular data on default insurance arrangements </w:t>
      </w:r>
      <w:proofErr w:type="gramStart"/>
      <w:r w:rsidRPr="00261DFE">
        <w:rPr>
          <w:rFonts w:ascii="Times New Roman" w:hAnsi="Times New Roman"/>
          <w:sz w:val="24"/>
          <w:szCs w:val="24"/>
        </w:rPr>
        <w:t>in order to</w:t>
      </w:r>
      <w:proofErr w:type="gramEnd"/>
      <w:r w:rsidRPr="00261DFE">
        <w:rPr>
          <w:rFonts w:ascii="Times New Roman" w:hAnsi="Times New Roman"/>
          <w:sz w:val="24"/>
          <w:szCs w:val="24"/>
        </w:rPr>
        <w:t xml:space="preserve"> better understand the member experience across a range of circumstances.</w:t>
      </w:r>
    </w:p>
    <w:p w14:paraId="5CD5EA78" w14:textId="2A3CF4CF" w:rsidR="008D587D" w:rsidRDefault="008D587D" w:rsidP="008D587D">
      <w:pPr>
        <w:spacing w:after="240"/>
        <w:ind w:right="113"/>
        <w:jc w:val="both"/>
        <w:rPr>
          <w:rFonts w:ascii="Times New Roman" w:hAnsi="Times New Roman"/>
          <w:sz w:val="24"/>
          <w:szCs w:val="24"/>
        </w:rPr>
      </w:pPr>
      <w:r w:rsidRPr="00531D8C">
        <w:rPr>
          <w:rFonts w:ascii="Times New Roman" w:hAnsi="Times New Roman"/>
          <w:sz w:val="24"/>
          <w:szCs w:val="24"/>
        </w:rPr>
        <w:t>As the superannuation industry matures, expectations for the robustness of the industry’s governance and transparency in relation to expenditure have lifted and has underlined the need for enhanced reporting of data on expenses. RSE licensees should be held to the high standards of accountability and transparency on how they spend members’ retirement savings</w:t>
      </w:r>
      <w:r w:rsidR="00B30316">
        <w:rPr>
          <w:rFonts w:ascii="Times New Roman" w:hAnsi="Times New Roman"/>
          <w:sz w:val="24"/>
          <w:szCs w:val="24"/>
        </w:rPr>
        <w:t>,</w:t>
      </w:r>
      <w:r w:rsidRPr="00531D8C">
        <w:rPr>
          <w:rFonts w:ascii="Times New Roman" w:hAnsi="Times New Roman"/>
          <w:sz w:val="24"/>
          <w:szCs w:val="24"/>
        </w:rPr>
        <w:t xml:space="preserve"> as this expenditure directly impacts members’ retirement outcomes. </w:t>
      </w:r>
    </w:p>
    <w:p w14:paraId="01CB999B" w14:textId="77777777" w:rsidR="008D587D" w:rsidRPr="00E46190" w:rsidRDefault="008D587D" w:rsidP="008D587D">
      <w:pPr>
        <w:spacing w:after="240"/>
        <w:ind w:right="113"/>
        <w:jc w:val="both"/>
        <w:rPr>
          <w:rFonts w:ascii="Times New Roman" w:hAnsi="Times New Roman"/>
          <w:sz w:val="24"/>
          <w:szCs w:val="24"/>
        </w:rPr>
      </w:pPr>
      <w:r w:rsidRPr="00AE1871">
        <w:rPr>
          <w:rFonts w:ascii="Times New Roman" w:hAnsi="Times New Roman"/>
          <w:sz w:val="24"/>
          <w:szCs w:val="24"/>
        </w:rPr>
        <w:t xml:space="preserve">SRS 332.0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Pr>
          <w:rFonts w:ascii="Times New Roman" w:hAnsi="Times New Roman"/>
          <w:sz w:val="24"/>
          <w:szCs w:val="24"/>
        </w:rPr>
        <w:t xml:space="preserve">on </w:t>
      </w:r>
      <w:r w:rsidRPr="00AE1871">
        <w:rPr>
          <w:rFonts w:ascii="Times New Roman" w:hAnsi="Times New Roman"/>
          <w:sz w:val="24"/>
          <w:szCs w:val="24"/>
        </w:rPr>
        <w:t>expenses</w:t>
      </w:r>
      <w:r>
        <w:rPr>
          <w:rFonts w:ascii="Times New Roman" w:hAnsi="Times New Roman"/>
          <w:sz w:val="24"/>
          <w:szCs w:val="24"/>
        </w:rPr>
        <w:t xml:space="preserve">, including </w:t>
      </w:r>
      <w:r w:rsidRPr="00E46190">
        <w:rPr>
          <w:rFonts w:ascii="Times New Roman" w:hAnsi="Times New Roman"/>
          <w:sz w:val="24"/>
          <w:szCs w:val="24"/>
        </w:rPr>
        <w:t xml:space="preserve">more expansive and granular data on expenditure with consistent and informative </w:t>
      </w:r>
      <w:r>
        <w:rPr>
          <w:rFonts w:ascii="Times New Roman" w:hAnsi="Times New Roman"/>
          <w:sz w:val="24"/>
          <w:szCs w:val="24"/>
        </w:rPr>
        <w:t>classifications</w:t>
      </w:r>
      <w:r w:rsidRPr="00E46190">
        <w:rPr>
          <w:rFonts w:ascii="Times New Roman" w:hAnsi="Times New Roman"/>
          <w:sz w:val="24"/>
          <w:szCs w:val="24"/>
        </w:rPr>
        <w:t xml:space="preserve">. </w:t>
      </w:r>
      <w:r>
        <w:rPr>
          <w:rFonts w:ascii="Times New Roman" w:hAnsi="Times New Roman"/>
          <w:sz w:val="24"/>
          <w:szCs w:val="24"/>
        </w:rPr>
        <w:t xml:space="preserve">The data </w:t>
      </w:r>
      <w:r w:rsidRPr="00E46190">
        <w:rPr>
          <w:rFonts w:ascii="Times New Roman" w:hAnsi="Times New Roman"/>
          <w:sz w:val="24"/>
          <w:szCs w:val="24"/>
        </w:rPr>
        <w:t>will also support focused supervisory intensity on areas of RSE expenditure that may be identified as potentially not in members’ best interests.</w:t>
      </w:r>
    </w:p>
    <w:p w14:paraId="0DC180B2" w14:textId="06CD46CB" w:rsidR="008D587D" w:rsidRPr="00734DC6" w:rsidRDefault="008D587D" w:rsidP="008D587D">
      <w:pPr>
        <w:spacing w:after="240"/>
        <w:ind w:right="113"/>
        <w:jc w:val="both"/>
        <w:rPr>
          <w:rFonts w:ascii="Times New Roman" w:hAnsi="Times New Roman"/>
          <w:sz w:val="24"/>
          <w:szCs w:val="24"/>
        </w:rPr>
      </w:pPr>
      <w:r w:rsidRPr="00734DC6">
        <w:rPr>
          <w:rFonts w:ascii="Times New Roman" w:hAnsi="Times New Roman"/>
          <w:sz w:val="24"/>
          <w:szCs w:val="24"/>
        </w:rPr>
        <w:t xml:space="preserve">To facilitate the assessment of investment performance and understanding of investment strategy and exposures to various asset classes, it is necessary to collect consistent and comparable asset allocation data for all investment options, and enhanced data on key investment exposures. Consistent and accurate data on strategic asset allocation is of increasing importance in undertaking performance benchmarking for various purposes. </w:t>
      </w:r>
    </w:p>
    <w:p w14:paraId="54455EF2" w14:textId="7AE80B17" w:rsidR="008D587D" w:rsidRDefault="008D587D" w:rsidP="008D587D">
      <w:pPr>
        <w:spacing w:after="240"/>
        <w:ind w:right="113"/>
        <w:jc w:val="both"/>
        <w:rPr>
          <w:rFonts w:ascii="Times New Roman" w:hAnsi="Times New Roman"/>
          <w:sz w:val="24"/>
          <w:szCs w:val="24"/>
        </w:rPr>
      </w:pPr>
      <w:r w:rsidRPr="009C5AC4">
        <w:rPr>
          <w:rFonts w:ascii="Times New Roman" w:hAnsi="Times New Roman"/>
          <w:sz w:val="24"/>
          <w:szCs w:val="24"/>
        </w:rPr>
        <w:t xml:space="preserve">SRS 550.0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sidRPr="009C5AC4">
        <w:rPr>
          <w:rFonts w:ascii="Times New Roman" w:hAnsi="Times New Roman"/>
          <w:sz w:val="24"/>
          <w:szCs w:val="24"/>
        </w:rPr>
        <w:t xml:space="preserve">on investment </w:t>
      </w:r>
      <w:r>
        <w:rPr>
          <w:rFonts w:ascii="Times New Roman" w:hAnsi="Times New Roman"/>
          <w:sz w:val="24"/>
          <w:szCs w:val="24"/>
        </w:rPr>
        <w:t>asset allocation and exposures</w:t>
      </w:r>
      <w:r w:rsidR="00B30316">
        <w:rPr>
          <w:rFonts w:ascii="Times New Roman" w:hAnsi="Times New Roman"/>
          <w:sz w:val="24"/>
          <w:szCs w:val="24"/>
        </w:rPr>
        <w:t>,</w:t>
      </w:r>
      <w:r>
        <w:rPr>
          <w:rFonts w:ascii="Times New Roman" w:hAnsi="Times New Roman"/>
          <w:sz w:val="24"/>
          <w:szCs w:val="24"/>
        </w:rPr>
        <w:t xml:space="preserve"> including:</w:t>
      </w:r>
      <w:r w:rsidRPr="000342C4">
        <w:rPr>
          <w:rFonts w:ascii="Times New Roman" w:hAnsi="Times New Roman"/>
          <w:sz w:val="24"/>
          <w:szCs w:val="24"/>
        </w:rPr>
        <w:t xml:space="preserve"> </w:t>
      </w:r>
    </w:p>
    <w:p w14:paraId="04583DD6" w14:textId="5D5E04B9" w:rsidR="008D587D" w:rsidRPr="000342C4" w:rsidRDefault="008D587D" w:rsidP="008D587D">
      <w:pPr>
        <w:pStyle w:val="ListParagraph"/>
        <w:numPr>
          <w:ilvl w:val="0"/>
          <w:numId w:val="29"/>
        </w:numPr>
        <w:spacing w:after="240"/>
        <w:ind w:right="113"/>
        <w:jc w:val="both"/>
        <w:rPr>
          <w:rFonts w:ascii="Times New Roman" w:hAnsi="Times New Roman"/>
          <w:sz w:val="24"/>
          <w:szCs w:val="24"/>
        </w:rPr>
      </w:pPr>
      <w:r w:rsidRPr="000342C4">
        <w:rPr>
          <w:rFonts w:ascii="Times New Roman" w:hAnsi="Times New Roman"/>
          <w:sz w:val="24"/>
          <w:szCs w:val="24"/>
        </w:rPr>
        <w:lastRenderedPageBreak/>
        <w:t>enhanced and expanded coverage of the existing collection of asset allocation data to capture all investment options</w:t>
      </w:r>
      <w:r w:rsidR="00B30316">
        <w:rPr>
          <w:rFonts w:ascii="Times New Roman" w:hAnsi="Times New Roman"/>
          <w:sz w:val="24"/>
          <w:szCs w:val="24"/>
        </w:rPr>
        <w:t>; and</w:t>
      </w:r>
    </w:p>
    <w:p w14:paraId="4848FF00" w14:textId="77777777" w:rsidR="008D587D" w:rsidRPr="000342C4" w:rsidRDefault="008D587D" w:rsidP="008D587D">
      <w:pPr>
        <w:pStyle w:val="ListParagraph"/>
        <w:numPr>
          <w:ilvl w:val="0"/>
          <w:numId w:val="29"/>
        </w:numPr>
        <w:spacing w:after="240"/>
        <w:ind w:right="113"/>
        <w:jc w:val="both"/>
        <w:rPr>
          <w:rFonts w:ascii="Times New Roman" w:hAnsi="Times New Roman"/>
          <w:sz w:val="24"/>
          <w:szCs w:val="24"/>
        </w:rPr>
      </w:pPr>
      <w:r w:rsidRPr="000342C4">
        <w:rPr>
          <w:rFonts w:ascii="Times New Roman" w:hAnsi="Times New Roman"/>
          <w:sz w:val="24"/>
          <w:szCs w:val="24"/>
        </w:rPr>
        <w:t>enhanced the data on key investment exposures of the RSE including derivatives.</w:t>
      </w:r>
    </w:p>
    <w:p w14:paraId="7ACEC193" w14:textId="04A6C4FC" w:rsidR="008D587D" w:rsidRPr="00A96850" w:rsidRDefault="008D587D" w:rsidP="008D587D">
      <w:pPr>
        <w:spacing w:after="240"/>
        <w:ind w:right="113"/>
        <w:jc w:val="both"/>
        <w:rPr>
          <w:rFonts w:ascii="Times New Roman" w:hAnsi="Times New Roman"/>
          <w:sz w:val="24"/>
          <w:szCs w:val="24"/>
        </w:rPr>
      </w:pPr>
      <w:r>
        <w:rPr>
          <w:rFonts w:ascii="Times New Roman" w:hAnsi="Times New Roman"/>
          <w:sz w:val="24"/>
          <w:szCs w:val="24"/>
        </w:rPr>
        <w:t>A</w:t>
      </w:r>
      <w:r w:rsidRPr="00A96850">
        <w:rPr>
          <w:rFonts w:ascii="Times New Roman" w:hAnsi="Times New Roman"/>
          <w:sz w:val="24"/>
          <w:szCs w:val="24"/>
        </w:rPr>
        <w:t xml:space="preserve"> foundational framework capturing the structure of each RSE, </w:t>
      </w:r>
      <w:r w:rsidRPr="00A96850" w:rsidDel="00B30316">
        <w:rPr>
          <w:rFonts w:ascii="Times New Roman" w:hAnsi="Times New Roman"/>
          <w:sz w:val="24"/>
          <w:szCs w:val="24"/>
        </w:rPr>
        <w:t xml:space="preserve">and </w:t>
      </w:r>
      <w:r w:rsidRPr="00A96850">
        <w:rPr>
          <w:rFonts w:ascii="Times New Roman" w:hAnsi="Times New Roman"/>
          <w:sz w:val="24"/>
          <w:szCs w:val="24"/>
        </w:rPr>
        <w:t>the products and investment options they offer</w:t>
      </w:r>
      <w:r w:rsidRPr="00496F10">
        <w:rPr>
          <w:rFonts w:ascii="Times New Roman" w:hAnsi="Times New Roman"/>
          <w:sz w:val="24"/>
          <w:szCs w:val="24"/>
        </w:rPr>
        <w:t xml:space="preserve"> </w:t>
      </w:r>
      <w:r>
        <w:rPr>
          <w:rFonts w:ascii="Times New Roman" w:hAnsi="Times New Roman"/>
          <w:sz w:val="24"/>
          <w:szCs w:val="24"/>
        </w:rPr>
        <w:t xml:space="preserve">is needed to </w:t>
      </w:r>
      <w:r w:rsidRPr="00C32F74">
        <w:rPr>
          <w:rFonts w:ascii="Times New Roman" w:hAnsi="Times New Roman"/>
          <w:sz w:val="24"/>
          <w:szCs w:val="24"/>
        </w:rPr>
        <w:t xml:space="preserve">support the collection </w:t>
      </w:r>
      <w:r>
        <w:rPr>
          <w:rFonts w:ascii="Times New Roman" w:hAnsi="Times New Roman"/>
          <w:sz w:val="24"/>
          <w:szCs w:val="24"/>
        </w:rPr>
        <w:t xml:space="preserve">and interpretation </w:t>
      </w:r>
      <w:r w:rsidRPr="00C32F74">
        <w:rPr>
          <w:rFonts w:ascii="Times New Roman" w:hAnsi="Times New Roman"/>
          <w:sz w:val="24"/>
          <w:szCs w:val="24"/>
        </w:rPr>
        <w:t>of more granular and meaningful data</w:t>
      </w:r>
      <w:r>
        <w:rPr>
          <w:rFonts w:ascii="Times New Roman" w:hAnsi="Times New Roman"/>
          <w:sz w:val="24"/>
          <w:szCs w:val="24"/>
        </w:rPr>
        <w:t xml:space="preserve"> for all investment options</w:t>
      </w:r>
      <w:r w:rsidRPr="00A96850">
        <w:rPr>
          <w:rFonts w:ascii="Times New Roman" w:hAnsi="Times New Roman"/>
          <w:sz w:val="24"/>
          <w:szCs w:val="24"/>
        </w:rPr>
        <w:t>.</w:t>
      </w:r>
    </w:p>
    <w:p w14:paraId="778B76E2" w14:textId="366BA4F3" w:rsidR="008D587D" w:rsidRPr="0064120F" w:rsidRDefault="008D587D" w:rsidP="008D587D">
      <w:pPr>
        <w:spacing w:after="240"/>
        <w:ind w:right="113"/>
        <w:jc w:val="both"/>
        <w:rPr>
          <w:rFonts w:ascii="Times New Roman" w:hAnsi="Times New Roman"/>
          <w:sz w:val="24"/>
          <w:szCs w:val="24"/>
        </w:rPr>
      </w:pPr>
      <w:r w:rsidRPr="0064120F">
        <w:rPr>
          <w:rFonts w:ascii="Times New Roman" w:hAnsi="Times New Roman"/>
          <w:sz w:val="24"/>
          <w:szCs w:val="24"/>
        </w:rPr>
        <w:t xml:space="preserve">SRS 605.0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Pr>
          <w:rFonts w:ascii="Times New Roman" w:hAnsi="Times New Roman"/>
          <w:sz w:val="24"/>
          <w:szCs w:val="24"/>
        </w:rPr>
        <w:t xml:space="preserve">on </w:t>
      </w:r>
      <w:r w:rsidRPr="0064120F">
        <w:rPr>
          <w:rFonts w:ascii="Times New Roman" w:hAnsi="Times New Roman"/>
          <w:sz w:val="24"/>
          <w:szCs w:val="24"/>
        </w:rPr>
        <w:t xml:space="preserve">the </w:t>
      </w:r>
      <w:r w:rsidR="001311B2">
        <w:rPr>
          <w:rFonts w:ascii="Times New Roman" w:hAnsi="Times New Roman"/>
          <w:sz w:val="24"/>
          <w:szCs w:val="24"/>
        </w:rPr>
        <w:t>RSE’s</w:t>
      </w:r>
      <w:r w:rsidRPr="0064120F">
        <w:rPr>
          <w:rFonts w:ascii="Times New Roman" w:hAnsi="Times New Roman"/>
          <w:sz w:val="24"/>
          <w:szCs w:val="24"/>
        </w:rPr>
        <w:t xml:space="preserve"> superannuation products, investment menus</w:t>
      </w:r>
      <w:r w:rsidR="00B30316">
        <w:rPr>
          <w:rFonts w:ascii="Times New Roman" w:hAnsi="Times New Roman"/>
          <w:sz w:val="24"/>
          <w:szCs w:val="24"/>
        </w:rPr>
        <w:t>,</w:t>
      </w:r>
      <w:r w:rsidRPr="0064120F">
        <w:rPr>
          <w:rFonts w:ascii="Times New Roman" w:hAnsi="Times New Roman"/>
          <w:sz w:val="24"/>
          <w:szCs w:val="24"/>
        </w:rPr>
        <w:t xml:space="preserve"> </w:t>
      </w:r>
      <w:r>
        <w:rPr>
          <w:rFonts w:ascii="Times New Roman" w:hAnsi="Times New Roman"/>
          <w:sz w:val="24"/>
          <w:szCs w:val="24"/>
        </w:rPr>
        <w:t xml:space="preserve">investment options, fee arrangements </w:t>
      </w:r>
      <w:r w:rsidRPr="0064120F">
        <w:rPr>
          <w:rFonts w:ascii="Times New Roman" w:hAnsi="Times New Roman"/>
          <w:sz w:val="24"/>
          <w:szCs w:val="24"/>
        </w:rPr>
        <w:t xml:space="preserve">and their characteristics. </w:t>
      </w:r>
    </w:p>
    <w:p w14:paraId="3C5CB6C2" w14:textId="64044764" w:rsidR="008D587D" w:rsidRPr="0064120F" w:rsidRDefault="008D587D" w:rsidP="008D587D">
      <w:pPr>
        <w:spacing w:after="240"/>
        <w:ind w:right="113"/>
        <w:jc w:val="both"/>
        <w:rPr>
          <w:rFonts w:ascii="Times New Roman" w:hAnsi="Times New Roman"/>
          <w:sz w:val="24"/>
          <w:szCs w:val="24"/>
        </w:rPr>
      </w:pPr>
      <w:r w:rsidRPr="0064120F">
        <w:rPr>
          <w:rFonts w:ascii="Times New Roman" w:hAnsi="Times New Roman"/>
          <w:sz w:val="24"/>
          <w:szCs w:val="24"/>
        </w:rPr>
        <w:t xml:space="preserve">SRS 606.0 </w:t>
      </w:r>
      <w:r w:rsidRPr="006070A5">
        <w:rPr>
          <w:rFonts w:ascii="Times New Roman" w:hAnsi="Times New Roman"/>
          <w:sz w:val="24"/>
          <w:szCs w:val="24"/>
        </w:rPr>
        <w:t>outlines the</w:t>
      </w:r>
      <w:r>
        <w:rPr>
          <w:rFonts w:ascii="Times New Roman" w:hAnsi="Times New Roman"/>
          <w:sz w:val="24"/>
          <w:szCs w:val="24"/>
        </w:rPr>
        <w:t xml:space="preserve"> requirements for the </w:t>
      </w:r>
      <w:r w:rsidRPr="006070A5">
        <w:rPr>
          <w:rFonts w:ascii="Times New Roman" w:hAnsi="Times New Roman"/>
          <w:sz w:val="24"/>
          <w:szCs w:val="24"/>
        </w:rPr>
        <w:t>provision</w:t>
      </w:r>
      <w:r>
        <w:rPr>
          <w:rFonts w:ascii="Times New Roman" w:hAnsi="Times New Roman"/>
          <w:sz w:val="24"/>
          <w:szCs w:val="24"/>
        </w:rPr>
        <w:t xml:space="preserve"> of data to APRA</w:t>
      </w:r>
      <w:r w:rsidRPr="006070A5">
        <w:rPr>
          <w:rFonts w:ascii="Times New Roman" w:hAnsi="Times New Roman"/>
          <w:sz w:val="24"/>
          <w:szCs w:val="24"/>
        </w:rPr>
        <w:t xml:space="preserve"> </w:t>
      </w:r>
      <w:r w:rsidRPr="0064120F">
        <w:rPr>
          <w:rFonts w:ascii="Times New Roman" w:hAnsi="Times New Roman"/>
          <w:sz w:val="24"/>
          <w:szCs w:val="24"/>
        </w:rPr>
        <w:t>on the relationships between these superannuation products, investment menus and investment options</w:t>
      </w:r>
      <w:r w:rsidR="00B30316">
        <w:rPr>
          <w:rFonts w:ascii="Times New Roman" w:hAnsi="Times New Roman"/>
          <w:sz w:val="24"/>
          <w:szCs w:val="24"/>
        </w:rPr>
        <w:t>,</w:t>
      </w:r>
      <w:r w:rsidRPr="0064120F">
        <w:rPr>
          <w:rFonts w:ascii="Times New Roman" w:hAnsi="Times New Roman"/>
          <w:sz w:val="24"/>
          <w:szCs w:val="24"/>
        </w:rPr>
        <w:t xml:space="preserve"> including the number of members and member assets. </w:t>
      </w:r>
    </w:p>
    <w:p w14:paraId="38379564" w14:textId="6DA02622" w:rsidR="00B928A3" w:rsidRPr="004E1F17" w:rsidRDefault="00433DB7" w:rsidP="004E1F17">
      <w:pPr>
        <w:spacing w:after="240"/>
        <w:ind w:right="113"/>
        <w:jc w:val="both"/>
        <w:rPr>
          <w:rFonts w:ascii="Times New Roman" w:hAnsi="Times New Roman"/>
          <w:sz w:val="24"/>
          <w:szCs w:val="24"/>
        </w:rPr>
      </w:pPr>
      <w:r>
        <w:rPr>
          <w:rFonts w:ascii="Times New Roman" w:hAnsi="Times New Roman"/>
          <w:sz w:val="24"/>
          <w:szCs w:val="24"/>
        </w:rPr>
        <w:t>T</w:t>
      </w:r>
      <w:r w:rsidR="00B928A3" w:rsidRPr="004E1F17">
        <w:rPr>
          <w:rFonts w:ascii="Times New Roman" w:hAnsi="Times New Roman"/>
          <w:sz w:val="24"/>
          <w:szCs w:val="24"/>
        </w:rPr>
        <w:t>o ensure that RSE licensees are meeting their fiduciary obligations under the legislated member outcomes assessment</w:t>
      </w:r>
      <w:r w:rsidR="001B18C6">
        <w:rPr>
          <w:rFonts w:ascii="Times New Roman" w:hAnsi="Times New Roman"/>
          <w:sz w:val="24"/>
          <w:szCs w:val="24"/>
        </w:rPr>
        <w:t>,</w:t>
      </w:r>
      <w:r w:rsidR="00B928A3" w:rsidRPr="004E1F17">
        <w:rPr>
          <w:rFonts w:ascii="Times New Roman" w:hAnsi="Times New Roman"/>
          <w:sz w:val="24"/>
          <w:szCs w:val="24"/>
        </w:rPr>
        <w:t xml:space="preserve"> and in meeting the requirements of Superannuation </w:t>
      </w:r>
      <w:r w:rsidR="00B928A3" w:rsidRPr="00016EF4">
        <w:rPr>
          <w:rFonts w:ascii="Times New Roman" w:hAnsi="Times New Roman"/>
          <w:i/>
          <w:sz w:val="24"/>
          <w:szCs w:val="24"/>
        </w:rPr>
        <w:t>Prudential Standard 515</w:t>
      </w:r>
      <w:r w:rsidR="009769FE" w:rsidRPr="00016EF4">
        <w:rPr>
          <w:rFonts w:ascii="Times New Roman" w:hAnsi="Times New Roman"/>
          <w:i/>
          <w:sz w:val="24"/>
          <w:szCs w:val="24"/>
        </w:rPr>
        <w:t xml:space="preserve"> Strategic Planning and Member Outcomes (SPS 515)</w:t>
      </w:r>
      <w:r w:rsidR="00B928A3" w:rsidRPr="004E1F17">
        <w:rPr>
          <w:rFonts w:ascii="Times New Roman" w:hAnsi="Times New Roman"/>
          <w:sz w:val="24"/>
          <w:szCs w:val="24"/>
        </w:rPr>
        <w:t>, a sufficiently detailed understanding of membership composition is essential.</w:t>
      </w:r>
    </w:p>
    <w:p w14:paraId="7689AD7F" w14:textId="46E3F432" w:rsidR="001D5619" w:rsidRPr="004E1F17" w:rsidRDefault="00433DB7" w:rsidP="004E1F17">
      <w:pPr>
        <w:spacing w:after="240"/>
        <w:ind w:right="113"/>
        <w:jc w:val="both"/>
        <w:rPr>
          <w:rFonts w:ascii="Times New Roman" w:hAnsi="Times New Roman"/>
          <w:sz w:val="24"/>
          <w:szCs w:val="24"/>
        </w:rPr>
      </w:pPr>
      <w:r w:rsidRPr="00CB1581">
        <w:rPr>
          <w:rFonts w:ascii="Times New Roman" w:hAnsi="Times New Roman"/>
          <w:sz w:val="24"/>
          <w:szCs w:val="24"/>
        </w:rPr>
        <w:t xml:space="preserve">SRS 611.0 </w:t>
      </w:r>
      <w:r w:rsidR="00876DC2" w:rsidRPr="006070A5">
        <w:rPr>
          <w:rFonts w:ascii="Times New Roman" w:hAnsi="Times New Roman"/>
          <w:sz w:val="24"/>
          <w:szCs w:val="24"/>
        </w:rPr>
        <w:t>outlines the</w:t>
      </w:r>
      <w:r w:rsidR="00876DC2">
        <w:rPr>
          <w:rFonts w:ascii="Times New Roman" w:hAnsi="Times New Roman"/>
          <w:sz w:val="24"/>
          <w:szCs w:val="24"/>
        </w:rPr>
        <w:t xml:space="preserve"> requirements for the </w:t>
      </w:r>
      <w:r w:rsidR="00876DC2" w:rsidRPr="006070A5">
        <w:rPr>
          <w:rFonts w:ascii="Times New Roman" w:hAnsi="Times New Roman"/>
          <w:sz w:val="24"/>
          <w:szCs w:val="24"/>
        </w:rPr>
        <w:t>provision</w:t>
      </w:r>
      <w:r w:rsidR="00876DC2">
        <w:rPr>
          <w:rFonts w:ascii="Times New Roman" w:hAnsi="Times New Roman"/>
          <w:sz w:val="24"/>
          <w:szCs w:val="24"/>
        </w:rPr>
        <w:t xml:space="preserve"> of data to APRA</w:t>
      </w:r>
      <w:r w:rsidR="00876DC2" w:rsidRPr="006070A5">
        <w:rPr>
          <w:rFonts w:ascii="Times New Roman" w:hAnsi="Times New Roman"/>
          <w:sz w:val="24"/>
          <w:szCs w:val="24"/>
        </w:rPr>
        <w:t xml:space="preserve"> </w:t>
      </w:r>
      <w:r w:rsidRPr="00CB1581">
        <w:rPr>
          <w:rFonts w:ascii="Times New Roman" w:hAnsi="Times New Roman"/>
          <w:sz w:val="24"/>
          <w:szCs w:val="24"/>
        </w:rPr>
        <w:t>on member demographics</w:t>
      </w:r>
      <w:r w:rsidR="00042309">
        <w:rPr>
          <w:rFonts w:ascii="Times New Roman" w:hAnsi="Times New Roman"/>
          <w:sz w:val="24"/>
          <w:szCs w:val="24"/>
        </w:rPr>
        <w:t>,</w:t>
      </w:r>
      <w:r w:rsidRPr="00CB1581">
        <w:rPr>
          <w:rFonts w:ascii="Times New Roman" w:hAnsi="Times New Roman"/>
          <w:sz w:val="24"/>
          <w:szCs w:val="24"/>
        </w:rPr>
        <w:t xml:space="preserve"> </w:t>
      </w:r>
      <w:r>
        <w:rPr>
          <w:rFonts w:ascii="Times New Roman" w:hAnsi="Times New Roman"/>
          <w:sz w:val="24"/>
          <w:szCs w:val="24"/>
        </w:rPr>
        <w:t>including</w:t>
      </w:r>
      <w:r w:rsidR="00B928A3" w:rsidRPr="004E1F17">
        <w:rPr>
          <w:rFonts w:ascii="Times New Roman" w:hAnsi="Times New Roman"/>
          <w:sz w:val="24"/>
          <w:szCs w:val="24"/>
        </w:rPr>
        <w:t xml:space="preserve"> enhanc</w:t>
      </w:r>
      <w:r>
        <w:rPr>
          <w:rFonts w:ascii="Times New Roman" w:hAnsi="Times New Roman"/>
          <w:sz w:val="24"/>
          <w:szCs w:val="24"/>
        </w:rPr>
        <w:t>ed</w:t>
      </w:r>
      <w:r w:rsidR="00B928A3" w:rsidRPr="004E1F17">
        <w:rPr>
          <w:rFonts w:ascii="Times New Roman" w:hAnsi="Times New Roman"/>
          <w:sz w:val="24"/>
          <w:szCs w:val="24"/>
        </w:rPr>
        <w:t xml:space="preserve"> granularity and frequency of </w:t>
      </w:r>
      <w:r>
        <w:rPr>
          <w:rFonts w:ascii="Times New Roman" w:hAnsi="Times New Roman"/>
          <w:sz w:val="24"/>
          <w:szCs w:val="24"/>
        </w:rPr>
        <w:t xml:space="preserve">reporting on </w:t>
      </w:r>
      <w:r w:rsidR="00B928A3" w:rsidRPr="004E1F17">
        <w:rPr>
          <w:rFonts w:ascii="Times New Roman" w:hAnsi="Times New Roman"/>
          <w:sz w:val="24"/>
          <w:szCs w:val="24"/>
        </w:rPr>
        <w:t xml:space="preserve">member segmentation data at the RSE level and </w:t>
      </w:r>
      <w:proofErr w:type="spellStart"/>
      <w:r w:rsidR="00B928A3" w:rsidRPr="004E1F17">
        <w:rPr>
          <w:rFonts w:ascii="Times New Roman" w:hAnsi="Times New Roman"/>
          <w:sz w:val="24"/>
          <w:szCs w:val="24"/>
        </w:rPr>
        <w:t>MySuper</w:t>
      </w:r>
      <w:proofErr w:type="spellEnd"/>
      <w:r w:rsidR="00B928A3" w:rsidRPr="004E1F17">
        <w:rPr>
          <w:rFonts w:ascii="Times New Roman" w:hAnsi="Times New Roman"/>
          <w:sz w:val="24"/>
          <w:szCs w:val="24"/>
        </w:rPr>
        <w:t xml:space="preserve"> product level</w:t>
      </w:r>
      <w:r w:rsidR="001D5619" w:rsidRPr="004E1F17">
        <w:rPr>
          <w:rFonts w:ascii="Times New Roman" w:hAnsi="Times New Roman"/>
          <w:sz w:val="24"/>
          <w:szCs w:val="24"/>
        </w:rPr>
        <w:t>.</w:t>
      </w:r>
    </w:p>
    <w:p w14:paraId="6A44D351" w14:textId="5B0E43EA" w:rsidR="00433DB7" w:rsidRDefault="00433DB7" w:rsidP="00976B40">
      <w:pPr>
        <w:spacing w:after="240"/>
        <w:ind w:right="113"/>
        <w:jc w:val="both"/>
        <w:rPr>
          <w:rFonts w:ascii="Times New Roman" w:hAnsi="Times New Roman"/>
          <w:sz w:val="24"/>
          <w:szCs w:val="24"/>
        </w:rPr>
      </w:pPr>
      <w:r w:rsidRPr="00D4664F">
        <w:rPr>
          <w:rFonts w:ascii="Times New Roman" w:hAnsi="Times New Roman"/>
          <w:sz w:val="24"/>
          <w:szCs w:val="24"/>
        </w:rPr>
        <w:t>Recent prudential and legislative changes governing the superannuation industry</w:t>
      </w:r>
      <w:r w:rsidR="001B18C6">
        <w:rPr>
          <w:rFonts w:ascii="Times New Roman" w:hAnsi="Times New Roman"/>
          <w:sz w:val="24"/>
          <w:szCs w:val="24"/>
        </w:rPr>
        <w:t>,</w:t>
      </w:r>
      <w:r w:rsidRPr="00D4664F">
        <w:rPr>
          <w:rFonts w:ascii="Times New Roman" w:hAnsi="Times New Roman"/>
          <w:sz w:val="24"/>
          <w:szCs w:val="24"/>
        </w:rPr>
        <w:t xml:space="preserve"> such as </w:t>
      </w:r>
      <w:r w:rsidRPr="00016EF4">
        <w:rPr>
          <w:rFonts w:ascii="Times New Roman" w:hAnsi="Times New Roman"/>
          <w:i/>
          <w:sz w:val="24"/>
          <w:szCs w:val="24"/>
        </w:rPr>
        <w:t>Prudential Standard SPS 515 Strategic Planning and Member Outcomes</w:t>
      </w:r>
      <w:r w:rsidRPr="00D4664F">
        <w:rPr>
          <w:rFonts w:ascii="Times New Roman" w:hAnsi="Times New Roman"/>
          <w:sz w:val="24"/>
          <w:szCs w:val="24"/>
        </w:rPr>
        <w:t xml:space="preserve"> (SPS 515) and the </w:t>
      </w:r>
      <w:r w:rsidR="001B18C6" w:rsidRPr="00016EF4">
        <w:rPr>
          <w:rFonts w:ascii="Times New Roman" w:hAnsi="Times New Roman"/>
          <w:i/>
          <w:sz w:val="24"/>
          <w:szCs w:val="24"/>
        </w:rPr>
        <w:t>Treasury Laws Amendment (</w:t>
      </w:r>
      <w:r w:rsidRPr="00016EF4">
        <w:rPr>
          <w:rFonts w:ascii="Times New Roman" w:hAnsi="Times New Roman"/>
          <w:i/>
          <w:sz w:val="24"/>
          <w:szCs w:val="24"/>
        </w:rPr>
        <w:t>Your Future</w:t>
      </w:r>
      <w:r w:rsidR="001B18C6" w:rsidRPr="00016EF4">
        <w:rPr>
          <w:rFonts w:ascii="Times New Roman" w:hAnsi="Times New Roman"/>
          <w:i/>
          <w:sz w:val="24"/>
          <w:szCs w:val="24"/>
        </w:rPr>
        <w:t>,</w:t>
      </w:r>
      <w:r w:rsidRPr="00016EF4">
        <w:rPr>
          <w:rFonts w:ascii="Times New Roman" w:hAnsi="Times New Roman"/>
          <w:i/>
          <w:sz w:val="24"/>
          <w:szCs w:val="24"/>
        </w:rPr>
        <w:t xml:space="preserve"> Your Super</w:t>
      </w:r>
      <w:r w:rsidR="001B18C6" w:rsidRPr="00016EF4">
        <w:rPr>
          <w:rFonts w:ascii="Times New Roman" w:hAnsi="Times New Roman"/>
          <w:i/>
          <w:sz w:val="24"/>
          <w:szCs w:val="24"/>
        </w:rPr>
        <w:t>)</w:t>
      </w:r>
      <w:r w:rsidRPr="00016EF4">
        <w:rPr>
          <w:rFonts w:ascii="Times New Roman" w:hAnsi="Times New Roman"/>
          <w:i/>
          <w:sz w:val="24"/>
          <w:szCs w:val="24"/>
        </w:rPr>
        <w:t xml:space="preserve"> Act 2021</w:t>
      </w:r>
      <w:r w:rsidR="001B18C6">
        <w:rPr>
          <w:rFonts w:ascii="Times New Roman" w:hAnsi="Times New Roman"/>
          <w:sz w:val="24"/>
          <w:szCs w:val="24"/>
        </w:rPr>
        <w:t>,</w:t>
      </w:r>
      <w:r w:rsidRPr="00D4664F">
        <w:rPr>
          <w:rFonts w:ascii="Times New Roman" w:hAnsi="Times New Roman"/>
          <w:sz w:val="24"/>
          <w:szCs w:val="24"/>
        </w:rPr>
        <w:t xml:space="preserve"> have underlined the importance of having sufficiently granular, </w:t>
      </w:r>
      <w:proofErr w:type="gramStart"/>
      <w:r w:rsidRPr="00D4664F">
        <w:rPr>
          <w:rFonts w:ascii="Times New Roman" w:hAnsi="Times New Roman"/>
          <w:sz w:val="24"/>
          <w:szCs w:val="24"/>
        </w:rPr>
        <w:t>comparable</w:t>
      </w:r>
      <w:proofErr w:type="gramEnd"/>
      <w:r w:rsidRPr="00D4664F">
        <w:rPr>
          <w:rFonts w:ascii="Times New Roman" w:hAnsi="Times New Roman"/>
          <w:sz w:val="24"/>
          <w:szCs w:val="24"/>
        </w:rPr>
        <w:t xml:space="preserve"> and consistent data on outcomes provided to members and the elements that drive those outcomes. </w:t>
      </w:r>
    </w:p>
    <w:p w14:paraId="1AD1E10B" w14:textId="1BAD2B7D" w:rsidR="001D5619" w:rsidRPr="00976B40" w:rsidRDefault="001D5619" w:rsidP="004E1F17">
      <w:pPr>
        <w:spacing w:after="240"/>
        <w:ind w:right="113"/>
        <w:jc w:val="both"/>
        <w:rPr>
          <w:rFonts w:ascii="Times New Roman" w:hAnsi="Times New Roman"/>
          <w:sz w:val="24"/>
          <w:szCs w:val="24"/>
        </w:rPr>
      </w:pPr>
      <w:r w:rsidRPr="004E1F17">
        <w:rPr>
          <w:rFonts w:ascii="Times New Roman" w:hAnsi="Times New Roman"/>
          <w:sz w:val="24"/>
          <w:szCs w:val="24"/>
        </w:rPr>
        <w:t xml:space="preserve">SRS 705.0 </w:t>
      </w:r>
      <w:r w:rsidR="00876DC2" w:rsidRPr="006070A5">
        <w:rPr>
          <w:rFonts w:ascii="Times New Roman" w:hAnsi="Times New Roman"/>
          <w:sz w:val="24"/>
          <w:szCs w:val="24"/>
        </w:rPr>
        <w:t>outlines the</w:t>
      </w:r>
      <w:r w:rsidR="00876DC2">
        <w:rPr>
          <w:rFonts w:ascii="Times New Roman" w:hAnsi="Times New Roman"/>
          <w:sz w:val="24"/>
          <w:szCs w:val="24"/>
        </w:rPr>
        <w:t xml:space="preserve"> requirements for the </w:t>
      </w:r>
      <w:r w:rsidR="00876DC2" w:rsidRPr="006070A5">
        <w:rPr>
          <w:rFonts w:ascii="Times New Roman" w:hAnsi="Times New Roman"/>
          <w:sz w:val="24"/>
          <w:szCs w:val="24"/>
        </w:rPr>
        <w:t>provision</w:t>
      </w:r>
      <w:r w:rsidR="00876DC2">
        <w:rPr>
          <w:rFonts w:ascii="Times New Roman" w:hAnsi="Times New Roman"/>
          <w:sz w:val="24"/>
          <w:szCs w:val="24"/>
        </w:rPr>
        <w:t xml:space="preserve"> of data to APRA</w:t>
      </w:r>
      <w:r w:rsidR="00876DC2" w:rsidRPr="006070A5">
        <w:rPr>
          <w:rFonts w:ascii="Times New Roman" w:hAnsi="Times New Roman"/>
          <w:sz w:val="24"/>
          <w:szCs w:val="24"/>
        </w:rPr>
        <w:t xml:space="preserve"> </w:t>
      </w:r>
      <w:r w:rsidR="00746BE2">
        <w:rPr>
          <w:rFonts w:ascii="Times New Roman" w:hAnsi="Times New Roman"/>
          <w:sz w:val="24"/>
          <w:szCs w:val="24"/>
        </w:rPr>
        <w:t xml:space="preserve">regarding the </w:t>
      </w:r>
      <w:r w:rsidRPr="00976B40">
        <w:rPr>
          <w:rFonts w:ascii="Times New Roman" w:hAnsi="Times New Roman"/>
          <w:sz w:val="24"/>
          <w:szCs w:val="24"/>
        </w:rPr>
        <w:t xml:space="preserve">performance </w:t>
      </w:r>
      <w:r w:rsidR="00746BE2">
        <w:rPr>
          <w:rFonts w:ascii="Times New Roman" w:hAnsi="Times New Roman"/>
          <w:sz w:val="24"/>
          <w:szCs w:val="24"/>
        </w:rPr>
        <w:t>of</w:t>
      </w:r>
      <w:r w:rsidR="00746BE2" w:rsidRPr="00976B40">
        <w:rPr>
          <w:rFonts w:ascii="Times New Roman" w:hAnsi="Times New Roman"/>
          <w:sz w:val="24"/>
          <w:szCs w:val="24"/>
        </w:rPr>
        <w:t xml:space="preserve"> </w:t>
      </w:r>
      <w:r w:rsidRPr="00976B40">
        <w:rPr>
          <w:rFonts w:ascii="Times New Roman" w:hAnsi="Times New Roman"/>
          <w:sz w:val="24"/>
          <w:szCs w:val="24"/>
        </w:rPr>
        <w:t>all superannuation products, investment menus and investment options.</w:t>
      </w:r>
    </w:p>
    <w:p w14:paraId="00B318E0" w14:textId="17F8CED6" w:rsidR="001D5619" w:rsidRPr="004E1F17" w:rsidRDefault="001D5619" w:rsidP="004E1F17">
      <w:pPr>
        <w:spacing w:after="240"/>
        <w:ind w:right="113"/>
        <w:jc w:val="both"/>
        <w:rPr>
          <w:rFonts w:ascii="Times New Roman" w:hAnsi="Times New Roman"/>
          <w:sz w:val="24"/>
          <w:szCs w:val="24"/>
        </w:rPr>
      </w:pPr>
      <w:r w:rsidRPr="00976B40">
        <w:rPr>
          <w:rFonts w:ascii="Times New Roman" w:hAnsi="Times New Roman"/>
          <w:sz w:val="24"/>
          <w:szCs w:val="24"/>
        </w:rPr>
        <w:t xml:space="preserve">SRS 705.1 </w:t>
      </w:r>
      <w:r w:rsidR="00876DC2" w:rsidRPr="006070A5">
        <w:rPr>
          <w:rFonts w:ascii="Times New Roman" w:hAnsi="Times New Roman"/>
          <w:sz w:val="24"/>
          <w:szCs w:val="24"/>
        </w:rPr>
        <w:t>outlines the</w:t>
      </w:r>
      <w:r w:rsidR="00876DC2">
        <w:rPr>
          <w:rFonts w:ascii="Times New Roman" w:hAnsi="Times New Roman"/>
          <w:sz w:val="24"/>
          <w:szCs w:val="24"/>
        </w:rPr>
        <w:t xml:space="preserve"> requirements for the </w:t>
      </w:r>
      <w:r w:rsidR="00876DC2" w:rsidRPr="006070A5">
        <w:rPr>
          <w:rFonts w:ascii="Times New Roman" w:hAnsi="Times New Roman"/>
          <w:sz w:val="24"/>
          <w:szCs w:val="24"/>
        </w:rPr>
        <w:t>provision</w:t>
      </w:r>
      <w:r w:rsidR="00876DC2">
        <w:rPr>
          <w:rFonts w:ascii="Times New Roman" w:hAnsi="Times New Roman"/>
          <w:sz w:val="24"/>
          <w:szCs w:val="24"/>
        </w:rPr>
        <w:t xml:space="preserve"> of data to APRA</w:t>
      </w:r>
      <w:r w:rsidR="00876DC2" w:rsidRPr="006070A5">
        <w:rPr>
          <w:rFonts w:ascii="Times New Roman" w:hAnsi="Times New Roman"/>
          <w:sz w:val="24"/>
          <w:szCs w:val="24"/>
        </w:rPr>
        <w:t xml:space="preserve"> </w:t>
      </w:r>
      <w:r w:rsidR="00746BE2">
        <w:rPr>
          <w:rFonts w:ascii="Times New Roman" w:hAnsi="Times New Roman"/>
          <w:sz w:val="24"/>
          <w:szCs w:val="24"/>
        </w:rPr>
        <w:t xml:space="preserve">regarding </w:t>
      </w:r>
      <w:r w:rsidRPr="00976B40">
        <w:rPr>
          <w:rFonts w:ascii="Times New Roman" w:hAnsi="Times New Roman"/>
          <w:sz w:val="24"/>
          <w:szCs w:val="24"/>
        </w:rPr>
        <w:t>performance</w:t>
      </w:r>
      <w:r w:rsidR="00433DB7">
        <w:rPr>
          <w:rFonts w:ascii="Times New Roman" w:hAnsi="Times New Roman"/>
          <w:sz w:val="24"/>
          <w:szCs w:val="24"/>
        </w:rPr>
        <w:t>, investment objectives and volatility measures</w:t>
      </w:r>
      <w:r w:rsidRPr="00976B40">
        <w:rPr>
          <w:rFonts w:ascii="Times New Roman" w:hAnsi="Times New Roman"/>
          <w:sz w:val="24"/>
          <w:szCs w:val="24"/>
        </w:rPr>
        <w:t xml:space="preserve"> for all investment options.</w:t>
      </w:r>
    </w:p>
    <w:p w14:paraId="48D72B5C" w14:textId="1344155D" w:rsidR="00433DB7" w:rsidRPr="00230F57" w:rsidRDefault="00433DB7" w:rsidP="00433DB7">
      <w:pPr>
        <w:spacing w:after="240"/>
        <w:ind w:right="113"/>
        <w:jc w:val="both"/>
        <w:rPr>
          <w:rFonts w:ascii="Times New Roman" w:hAnsi="Times New Roman"/>
          <w:sz w:val="24"/>
          <w:szCs w:val="24"/>
        </w:rPr>
      </w:pPr>
      <w:r w:rsidRPr="00230F57">
        <w:rPr>
          <w:rFonts w:ascii="Times New Roman" w:hAnsi="Times New Roman"/>
          <w:sz w:val="24"/>
          <w:szCs w:val="24"/>
        </w:rPr>
        <w:t xml:space="preserve">Fees and costs have a significant impact on the retirement outcomes provided to members. As such, it is important that fees are appropriate and in line with costs incurred by RSE licensees. APRA’s </w:t>
      </w:r>
      <w:proofErr w:type="spellStart"/>
      <w:r w:rsidRPr="00230F57">
        <w:rPr>
          <w:rFonts w:ascii="Times New Roman" w:hAnsi="Times New Roman"/>
          <w:sz w:val="24"/>
          <w:szCs w:val="24"/>
        </w:rPr>
        <w:t>MySuper</w:t>
      </w:r>
      <w:proofErr w:type="spellEnd"/>
      <w:r w:rsidRPr="00230F57">
        <w:rPr>
          <w:rFonts w:ascii="Times New Roman" w:hAnsi="Times New Roman"/>
          <w:sz w:val="24"/>
          <w:szCs w:val="24"/>
        </w:rPr>
        <w:t xml:space="preserve"> Heatmap and other analysis indicates that there is scope for fees and costs to be reduced in some areas. More granular fees and costs data will enable RSE licensees and APRA to focus in on where change is most needed. </w:t>
      </w:r>
    </w:p>
    <w:p w14:paraId="041CC362" w14:textId="0084FC07" w:rsidR="001D5619" w:rsidRPr="004E1F17" w:rsidRDefault="001D5619" w:rsidP="004E1F17">
      <w:pPr>
        <w:spacing w:after="240"/>
        <w:ind w:right="113"/>
        <w:jc w:val="both"/>
        <w:rPr>
          <w:rFonts w:ascii="Times New Roman" w:hAnsi="Times New Roman"/>
          <w:sz w:val="24"/>
          <w:szCs w:val="24"/>
        </w:rPr>
      </w:pPr>
      <w:r w:rsidRPr="004E1F17">
        <w:rPr>
          <w:rFonts w:ascii="Times New Roman" w:hAnsi="Times New Roman"/>
          <w:sz w:val="24"/>
          <w:szCs w:val="24"/>
        </w:rPr>
        <w:t xml:space="preserve">SRS 706.0 </w:t>
      </w:r>
      <w:r w:rsidR="00024657" w:rsidRPr="00976B40">
        <w:rPr>
          <w:rFonts w:ascii="Times New Roman" w:hAnsi="Times New Roman"/>
          <w:sz w:val="24"/>
          <w:szCs w:val="24"/>
        </w:rPr>
        <w:t>outlines the</w:t>
      </w:r>
      <w:r w:rsidR="00876DC2">
        <w:rPr>
          <w:rFonts w:ascii="Times New Roman" w:hAnsi="Times New Roman"/>
          <w:sz w:val="24"/>
          <w:szCs w:val="24"/>
        </w:rPr>
        <w:t xml:space="preserve"> requirements for the </w:t>
      </w:r>
      <w:r w:rsidR="00024657" w:rsidRPr="00976B40">
        <w:rPr>
          <w:rFonts w:ascii="Times New Roman" w:hAnsi="Times New Roman"/>
          <w:sz w:val="24"/>
          <w:szCs w:val="24"/>
        </w:rPr>
        <w:t>provision</w:t>
      </w:r>
      <w:r w:rsidR="00876DC2">
        <w:rPr>
          <w:rFonts w:ascii="Times New Roman" w:hAnsi="Times New Roman"/>
          <w:sz w:val="24"/>
          <w:szCs w:val="24"/>
        </w:rPr>
        <w:t xml:space="preserve"> of data to APRA</w:t>
      </w:r>
      <w:r w:rsidRPr="00976B40">
        <w:rPr>
          <w:rFonts w:ascii="Times New Roman" w:hAnsi="Times New Roman"/>
          <w:sz w:val="24"/>
          <w:szCs w:val="24"/>
        </w:rPr>
        <w:t xml:space="preserve"> on the disclosed fees and costs for members for all products, investment menus and options.</w:t>
      </w:r>
    </w:p>
    <w:p w14:paraId="2305AC9F" w14:textId="77777777"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lastRenderedPageBreak/>
        <w:t>Where the instruments refer to an Act, Regulation, Prudential Standard, Reporting Standard, Australian Accounting Standard or Auditing Standard, this is a reference to the document as it exists from time to time, and which is available on the Federal Register of Legislation at www.legislation.gov.au.</w:t>
      </w:r>
    </w:p>
    <w:p w14:paraId="6C16504E" w14:textId="3BCCC435"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There are a number of powers that may be exercised by APRA in reporting standards that involve an element of </w:t>
      </w:r>
      <w:proofErr w:type="gramStart"/>
      <w:r w:rsidRPr="008D587D">
        <w:rPr>
          <w:rFonts w:ascii="Times New Roman" w:hAnsi="Times New Roman"/>
          <w:sz w:val="24"/>
          <w:szCs w:val="24"/>
        </w:rPr>
        <w:t>discretion</w:t>
      </w:r>
      <w:proofErr w:type="gramEnd"/>
      <w:r w:rsidRPr="008D587D">
        <w:rPr>
          <w:rFonts w:ascii="Times New Roman" w:hAnsi="Times New Roman"/>
          <w:sz w:val="24"/>
          <w:szCs w:val="24"/>
        </w:rPr>
        <w:t xml:space="preserve"> and which may impact the interests of the financial sector entity to which the reporting standard applies. These decisions include APRA refusing to change a reporting period or due date for an </w:t>
      </w:r>
      <w:r>
        <w:rPr>
          <w:rFonts w:ascii="Times New Roman" w:hAnsi="Times New Roman"/>
          <w:sz w:val="24"/>
          <w:szCs w:val="24"/>
        </w:rPr>
        <w:t>RSE licensee</w:t>
      </w:r>
      <w:r w:rsidRPr="008D587D">
        <w:rPr>
          <w:rFonts w:ascii="Times New Roman" w:hAnsi="Times New Roman"/>
          <w:sz w:val="24"/>
          <w:szCs w:val="24"/>
        </w:rPr>
        <w:t xml:space="preserve"> to provide information required by </w:t>
      </w:r>
      <w:r>
        <w:rPr>
          <w:rFonts w:ascii="Times New Roman" w:hAnsi="Times New Roman"/>
          <w:sz w:val="24"/>
          <w:szCs w:val="24"/>
        </w:rPr>
        <w:t>these reporting standards</w:t>
      </w:r>
      <w:r w:rsidRPr="008D587D">
        <w:rPr>
          <w:rFonts w:ascii="Times New Roman" w:hAnsi="Times New Roman"/>
          <w:sz w:val="24"/>
          <w:szCs w:val="24"/>
        </w:rPr>
        <w:t>. Decisions made by APRA exercising those powers are not subject to merits review.</w:t>
      </w:r>
    </w:p>
    <w:p w14:paraId="222A92C3" w14:textId="4A867969"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APRA considers </w:t>
      </w:r>
      <w:r w:rsidR="00042309">
        <w:rPr>
          <w:rFonts w:ascii="Times New Roman" w:hAnsi="Times New Roman"/>
          <w:sz w:val="24"/>
          <w:szCs w:val="24"/>
        </w:rPr>
        <w:t xml:space="preserve">that </w:t>
      </w:r>
      <w:r w:rsidRPr="008D587D">
        <w:rPr>
          <w:rFonts w:ascii="Times New Roman" w:hAnsi="Times New Roman"/>
          <w:sz w:val="24"/>
          <w:szCs w:val="24"/>
        </w:rPr>
        <w:t>decisions made exercising discretions under its reporting standards should not be subject to merits review</w:t>
      </w:r>
      <w:r w:rsidR="00042309">
        <w:rPr>
          <w:rFonts w:ascii="Times New Roman" w:hAnsi="Times New Roman"/>
          <w:sz w:val="24"/>
          <w:szCs w:val="24"/>
        </w:rPr>
        <w:t>,</w:t>
      </w:r>
      <w:r w:rsidRPr="008D587D">
        <w:rPr>
          <w:rFonts w:ascii="Times New Roman" w:hAnsi="Times New Roman"/>
          <w:sz w:val="24"/>
          <w:szCs w:val="24"/>
        </w:rPr>
        <w:t xml:space="preserve"> as they are financial decisions with a significant public interest element.</w:t>
      </w:r>
    </w:p>
    <w:p w14:paraId="667A7A95" w14:textId="4593728E"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APRA’s reporting standards collect financial data from regulated entities. This data contains critical indicators of a regulated entity’s financial wellbeing, including data on an entity’s assets, liquidity, </w:t>
      </w:r>
      <w:proofErr w:type="gramStart"/>
      <w:r w:rsidRPr="008D587D">
        <w:rPr>
          <w:rFonts w:ascii="Times New Roman" w:hAnsi="Times New Roman"/>
          <w:sz w:val="24"/>
          <w:szCs w:val="24"/>
        </w:rPr>
        <w:t>expenses</w:t>
      </w:r>
      <w:proofErr w:type="gramEnd"/>
      <w:r w:rsidRPr="008D587D">
        <w:rPr>
          <w:rFonts w:ascii="Times New Roman" w:hAnsi="Times New Roman"/>
          <w:sz w:val="24"/>
          <w:szCs w:val="24"/>
        </w:rPr>
        <w:t xml:space="preserve"> and risk exposures. APRA relies heavily on this financial data to inform its supervisory actions towards its regulated entities. Without timely and complete data, APRA may miss indicators that an </w:t>
      </w:r>
      <w:r w:rsidR="006417BC">
        <w:rPr>
          <w:rFonts w:ascii="Times New Roman" w:hAnsi="Times New Roman"/>
          <w:sz w:val="24"/>
          <w:szCs w:val="24"/>
        </w:rPr>
        <w:t>RSE licensee</w:t>
      </w:r>
      <w:r w:rsidRPr="008D587D">
        <w:rPr>
          <w:rFonts w:ascii="Times New Roman" w:hAnsi="Times New Roman"/>
          <w:sz w:val="24"/>
          <w:szCs w:val="24"/>
        </w:rPr>
        <w:t xml:space="preserve"> is taking on imprudent risk. APRA’s supervisory decisions may be jeopardised if its receipt of data is unreliable due to entities seeking merits review under its reporting standards.</w:t>
      </w:r>
    </w:p>
    <w:p w14:paraId="18253BCB" w14:textId="0FDCAB5A" w:rsidR="008D587D" w:rsidRPr="008D587D" w:rsidRDefault="008D587D" w:rsidP="008D587D">
      <w:pPr>
        <w:spacing w:after="240"/>
        <w:ind w:right="113"/>
        <w:jc w:val="both"/>
        <w:rPr>
          <w:rFonts w:ascii="Times New Roman" w:hAnsi="Times New Roman"/>
          <w:sz w:val="24"/>
          <w:szCs w:val="24"/>
        </w:rPr>
      </w:pPr>
      <w:r w:rsidRPr="008D587D">
        <w:rPr>
          <w:rFonts w:ascii="Times New Roman" w:hAnsi="Times New Roman"/>
          <w:sz w:val="24"/>
          <w:szCs w:val="24"/>
        </w:rPr>
        <w:t xml:space="preserve">The data collected by APRA’s reporting standards is also often used to compile and publish </w:t>
      </w:r>
      <w:r w:rsidR="008F5F23">
        <w:rPr>
          <w:rFonts w:ascii="Times New Roman" w:hAnsi="Times New Roman"/>
          <w:sz w:val="24"/>
          <w:szCs w:val="24"/>
        </w:rPr>
        <w:t xml:space="preserve">statistical publications, </w:t>
      </w:r>
      <w:proofErr w:type="gramStart"/>
      <w:r w:rsidR="008F5F23">
        <w:rPr>
          <w:rFonts w:ascii="Times New Roman" w:hAnsi="Times New Roman"/>
          <w:sz w:val="24"/>
          <w:szCs w:val="24"/>
        </w:rPr>
        <w:t>analysis</w:t>
      </w:r>
      <w:proofErr w:type="gramEnd"/>
      <w:r w:rsidR="008F5F23">
        <w:rPr>
          <w:rFonts w:ascii="Times New Roman" w:hAnsi="Times New Roman"/>
          <w:sz w:val="24"/>
          <w:szCs w:val="24"/>
        </w:rPr>
        <w:t xml:space="preserve"> and benchmarking such as heatmaps</w:t>
      </w:r>
      <w:r w:rsidRPr="008D587D">
        <w:rPr>
          <w:rFonts w:ascii="Times New Roman" w:hAnsi="Times New Roman"/>
          <w:sz w:val="24"/>
          <w:szCs w:val="24"/>
        </w:rPr>
        <w:t xml:space="preserve">. </w:t>
      </w:r>
    </w:p>
    <w:p w14:paraId="60019895" w14:textId="08CD3F85" w:rsidR="00237F91" w:rsidRPr="004E1F17" w:rsidRDefault="008D587D" w:rsidP="004E1F17">
      <w:pPr>
        <w:spacing w:after="240"/>
        <w:ind w:right="113"/>
        <w:jc w:val="both"/>
        <w:rPr>
          <w:rFonts w:ascii="Times New Roman" w:hAnsi="Times New Roman"/>
          <w:sz w:val="24"/>
          <w:szCs w:val="24"/>
        </w:rPr>
      </w:pPr>
      <w:r w:rsidRPr="008D587D">
        <w:rPr>
          <w:rFonts w:ascii="Times New Roman" w:hAnsi="Times New Roman"/>
          <w:sz w:val="24"/>
          <w:szCs w:val="24"/>
        </w:rPr>
        <w:t>Delays caused by an entity seeking merits review of APRA’s decisions under one or more reporting standards could significantly compromise these publications. As the publications are done at an aggregate level, any lack of data from one entity caused by a merits review claim prevents the release of the entire publication.</w:t>
      </w:r>
    </w:p>
    <w:p w14:paraId="620C833F" w14:textId="04C4F6BC" w:rsidR="002436BD" w:rsidRDefault="002436BD" w:rsidP="0017314E">
      <w:pPr>
        <w:pStyle w:val="Heading"/>
        <w:numPr>
          <w:ilvl w:val="0"/>
          <w:numId w:val="2"/>
        </w:numPr>
        <w:spacing w:before="240" w:after="240"/>
        <w:rPr>
          <w:rFonts w:ascii="Times New Roman" w:hAnsi="Times New Roman"/>
          <w:sz w:val="24"/>
          <w:szCs w:val="24"/>
        </w:rPr>
      </w:pPr>
      <w:bookmarkStart w:id="8" w:name="bkoperation"/>
      <w:bookmarkStart w:id="9" w:name="bkConsultationNo"/>
      <w:bookmarkEnd w:id="8"/>
      <w:bookmarkEnd w:id="9"/>
      <w:r w:rsidRPr="002C6D26">
        <w:rPr>
          <w:rFonts w:ascii="Times New Roman" w:hAnsi="Times New Roman"/>
          <w:sz w:val="24"/>
          <w:szCs w:val="24"/>
        </w:rPr>
        <w:t>Consultation</w:t>
      </w:r>
    </w:p>
    <w:p w14:paraId="75663048" w14:textId="44467B19" w:rsidR="00CB7CA6" w:rsidRDefault="00CB7CA6" w:rsidP="00D045A8">
      <w:pPr>
        <w:pStyle w:val="Heading"/>
        <w:tabs>
          <w:tab w:val="left" w:pos="360"/>
        </w:tabs>
        <w:spacing w:after="240"/>
        <w:rPr>
          <w:rFonts w:ascii="Times New Roman" w:hAnsi="Times New Roman"/>
          <w:b w:val="0"/>
          <w:sz w:val="24"/>
          <w:szCs w:val="24"/>
        </w:rPr>
      </w:pPr>
      <w:r w:rsidRPr="00CB7CA6">
        <w:rPr>
          <w:rFonts w:ascii="Times New Roman" w:hAnsi="Times New Roman"/>
          <w:b w:val="0"/>
          <w:sz w:val="24"/>
          <w:szCs w:val="24"/>
        </w:rPr>
        <w:t>APRA has consulted extensively on the proposed reporting standards since 201</w:t>
      </w:r>
      <w:r w:rsidR="001311B2">
        <w:rPr>
          <w:rFonts w:ascii="Times New Roman" w:hAnsi="Times New Roman"/>
          <w:b w:val="0"/>
          <w:sz w:val="24"/>
          <w:szCs w:val="24"/>
        </w:rPr>
        <w:t>9</w:t>
      </w:r>
      <w:r w:rsidRPr="00CB7CA6">
        <w:rPr>
          <w:rFonts w:ascii="Times New Roman" w:hAnsi="Times New Roman"/>
          <w:b w:val="0"/>
          <w:sz w:val="24"/>
          <w:szCs w:val="24"/>
        </w:rPr>
        <w:t>, including:</w:t>
      </w:r>
    </w:p>
    <w:p w14:paraId="2F961A35" w14:textId="6C618CDF" w:rsidR="00D045A8" w:rsidRPr="00D045A8" w:rsidRDefault="00963012" w:rsidP="004E1F17">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 xml:space="preserve">APRA </w:t>
      </w:r>
      <w:r w:rsidR="007C537E">
        <w:rPr>
          <w:rFonts w:ascii="Times New Roman" w:hAnsi="Times New Roman"/>
          <w:b w:val="0"/>
          <w:sz w:val="24"/>
          <w:szCs w:val="24"/>
        </w:rPr>
        <w:t xml:space="preserve">engaged in </w:t>
      </w:r>
      <w:r>
        <w:rPr>
          <w:rFonts w:ascii="Times New Roman" w:hAnsi="Times New Roman"/>
          <w:b w:val="0"/>
          <w:sz w:val="24"/>
          <w:szCs w:val="24"/>
        </w:rPr>
        <w:t>public</w:t>
      </w:r>
      <w:r w:rsidR="007C537E">
        <w:rPr>
          <w:rFonts w:ascii="Times New Roman" w:hAnsi="Times New Roman"/>
          <w:b w:val="0"/>
          <w:sz w:val="24"/>
          <w:szCs w:val="24"/>
        </w:rPr>
        <w:t xml:space="preserve"> cons</w:t>
      </w:r>
      <w:r>
        <w:rPr>
          <w:rFonts w:ascii="Times New Roman" w:hAnsi="Times New Roman"/>
          <w:b w:val="0"/>
          <w:sz w:val="24"/>
          <w:szCs w:val="24"/>
        </w:rPr>
        <w:t>ult</w:t>
      </w:r>
      <w:r w:rsidR="007C537E">
        <w:rPr>
          <w:rFonts w:ascii="Times New Roman" w:hAnsi="Times New Roman"/>
          <w:b w:val="0"/>
          <w:sz w:val="24"/>
          <w:szCs w:val="24"/>
        </w:rPr>
        <w:t>ation on these instruments</w:t>
      </w:r>
      <w:r w:rsidR="00653A80">
        <w:rPr>
          <w:rStyle w:val="FootnoteReference"/>
          <w:rFonts w:ascii="Times New Roman" w:hAnsi="Times New Roman"/>
          <w:b w:val="0"/>
          <w:sz w:val="24"/>
          <w:szCs w:val="24"/>
        </w:rPr>
        <w:footnoteReference w:id="2"/>
      </w:r>
      <w:r w:rsidR="007C537E">
        <w:rPr>
          <w:rFonts w:ascii="Times New Roman" w:hAnsi="Times New Roman"/>
          <w:b w:val="0"/>
          <w:sz w:val="24"/>
          <w:szCs w:val="24"/>
        </w:rPr>
        <w:t>.</w:t>
      </w:r>
      <w:r w:rsidR="004C6B5B">
        <w:rPr>
          <w:rFonts w:ascii="Times New Roman" w:hAnsi="Times New Roman"/>
          <w:b w:val="0"/>
          <w:sz w:val="24"/>
          <w:szCs w:val="24"/>
        </w:rPr>
        <w:t xml:space="preserve"> </w:t>
      </w:r>
      <w:r w:rsidR="00D045A8">
        <w:rPr>
          <w:rFonts w:ascii="Times New Roman" w:hAnsi="Times New Roman"/>
          <w:b w:val="0"/>
          <w:sz w:val="24"/>
          <w:szCs w:val="24"/>
        </w:rPr>
        <w:t xml:space="preserve">In </w:t>
      </w:r>
      <w:r w:rsidR="00D045A8" w:rsidRPr="00D045A8">
        <w:rPr>
          <w:rFonts w:ascii="Times New Roman" w:hAnsi="Times New Roman"/>
          <w:b w:val="0"/>
          <w:sz w:val="24"/>
          <w:szCs w:val="24"/>
        </w:rPr>
        <w:t>November 2019, APRA released the first consultation package on reporting requirements for the first phase of the SDT project. This covered the topics of RSE structure and profile.</w:t>
      </w:r>
    </w:p>
    <w:p w14:paraId="2C783A79" w14:textId="1F13992C" w:rsidR="00D045A8" w:rsidRPr="00D045A8" w:rsidRDefault="00D045A8" w:rsidP="004E1F17">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In</w:t>
      </w:r>
      <w:r w:rsidRPr="00D045A8">
        <w:rPr>
          <w:rFonts w:ascii="Times New Roman" w:hAnsi="Times New Roman"/>
          <w:b w:val="0"/>
          <w:sz w:val="24"/>
          <w:szCs w:val="24"/>
        </w:rPr>
        <w:t xml:space="preserve"> December 2019, APRA released a second consultation package on reporting requirements for the first phase of the SDT project. This covered the topics of performance and member accounts. </w:t>
      </w:r>
    </w:p>
    <w:p w14:paraId="13D7B3B5" w14:textId="11FB27FF" w:rsidR="00D045A8" w:rsidRDefault="00D045A8" w:rsidP="00CB7CA6">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lastRenderedPageBreak/>
        <w:t>In</w:t>
      </w:r>
      <w:r w:rsidRPr="00D045A8">
        <w:rPr>
          <w:rFonts w:ascii="Times New Roman" w:hAnsi="Times New Roman"/>
          <w:b w:val="0"/>
          <w:sz w:val="24"/>
          <w:szCs w:val="24"/>
        </w:rPr>
        <w:t xml:space="preserve"> August 2020, APRA published the final consultation package on reporting requirements for the first phase of the SDT project. This covered the topics of asset allocation, insurance arrangements, fees and costs and expenses.</w:t>
      </w:r>
    </w:p>
    <w:p w14:paraId="6B3A2DE9" w14:textId="6671B1EE" w:rsidR="000A6548" w:rsidRPr="002647F1" w:rsidRDefault="000A6548" w:rsidP="000A6548">
      <w:pPr>
        <w:pStyle w:val="Heading"/>
        <w:numPr>
          <w:ilvl w:val="0"/>
          <w:numId w:val="21"/>
        </w:numPr>
        <w:tabs>
          <w:tab w:val="left" w:pos="360"/>
        </w:tabs>
        <w:spacing w:after="240"/>
        <w:rPr>
          <w:rFonts w:ascii="Times New Roman" w:hAnsi="Times New Roman"/>
          <w:b w:val="0"/>
          <w:sz w:val="24"/>
          <w:szCs w:val="24"/>
        </w:rPr>
      </w:pPr>
      <w:r w:rsidRPr="000A6548">
        <w:rPr>
          <w:rFonts w:ascii="Times New Roman" w:hAnsi="Times New Roman"/>
          <w:b w:val="0"/>
          <w:sz w:val="24"/>
          <w:szCs w:val="24"/>
        </w:rPr>
        <w:t xml:space="preserve">APRA held </w:t>
      </w:r>
      <w:proofErr w:type="gramStart"/>
      <w:r w:rsidRPr="000A6548">
        <w:rPr>
          <w:rFonts w:ascii="Times New Roman" w:hAnsi="Times New Roman"/>
          <w:b w:val="0"/>
          <w:sz w:val="24"/>
          <w:szCs w:val="24"/>
        </w:rPr>
        <w:t>a number of</w:t>
      </w:r>
      <w:proofErr w:type="gramEnd"/>
      <w:r w:rsidRPr="000A6548">
        <w:rPr>
          <w:rFonts w:ascii="Times New Roman" w:hAnsi="Times New Roman"/>
          <w:b w:val="0"/>
          <w:sz w:val="24"/>
          <w:szCs w:val="24"/>
        </w:rPr>
        <w:t xml:space="preserve"> roundtable consultation sessions and working group meetings with industry, and informal meetings with RSE licensees, and released frequently asked questions (FAQs) and worked examples to address and provide clarification on issues raised by industry </w:t>
      </w:r>
      <w:r w:rsidRPr="002647F1">
        <w:rPr>
          <w:rFonts w:ascii="Times New Roman" w:hAnsi="Times New Roman"/>
          <w:b w:val="0"/>
          <w:sz w:val="24"/>
          <w:szCs w:val="24"/>
        </w:rPr>
        <w:t>stakeholders.</w:t>
      </w:r>
    </w:p>
    <w:p w14:paraId="6DBED007" w14:textId="134844E3" w:rsidR="004E1FC5" w:rsidRDefault="004015E8" w:rsidP="000A6548">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APRA received 35 submissions in response to the consultation packages</w:t>
      </w:r>
      <w:r w:rsidRPr="004015E8">
        <w:t xml:space="preserve"> </w:t>
      </w:r>
      <w:r w:rsidRPr="004015E8">
        <w:rPr>
          <w:rFonts w:ascii="Times New Roman" w:hAnsi="Times New Roman"/>
          <w:b w:val="0"/>
          <w:sz w:val="24"/>
          <w:szCs w:val="24"/>
        </w:rPr>
        <w:t>and over 300 submissions of pilot data. These</w:t>
      </w:r>
      <w:r>
        <w:rPr>
          <w:rFonts w:ascii="Times New Roman" w:hAnsi="Times New Roman"/>
          <w:b w:val="0"/>
          <w:sz w:val="24"/>
          <w:szCs w:val="24"/>
        </w:rPr>
        <w:t xml:space="preserve"> were</w:t>
      </w:r>
      <w:r w:rsidRPr="004015E8">
        <w:rPr>
          <w:rFonts w:ascii="Times New Roman" w:hAnsi="Times New Roman"/>
          <w:b w:val="0"/>
          <w:sz w:val="24"/>
          <w:szCs w:val="24"/>
        </w:rPr>
        <w:t xml:space="preserve"> valuable in assessing whether the data w</w:t>
      </w:r>
      <w:r w:rsidR="00432E57">
        <w:rPr>
          <w:rFonts w:ascii="Times New Roman" w:hAnsi="Times New Roman"/>
          <w:b w:val="0"/>
          <w:sz w:val="24"/>
          <w:szCs w:val="24"/>
        </w:rPr>
        <w:t>ould</w:t>
      </w:r>
      <w:r w:rsidRPr="004015E8">
        <w:rPr>
          <w:rFonts w:ascii="Times New Roman" w:hAnsi="Times New Roman"/>
          <w:b w:val="0"/>
          <w:sz w:val="24"/>
          <w:szCs w:val="24"/>
        </w:rPr>
        <w:t xml:space="preserve"> meet the objectives of the SDT project, highlighting the practical issues that RSE licensees may experience in reporting and where additional guidance or improvements to definitions were required.</w:t>
      </w:r>
    </w:p>
    <w:p w14:paraId="60FDD1ED" w14:textId="5FCCA457" w:rsidR="00D045A8" w:rsidRDefault="00D045A8" w:rsidP="000A6548">
      <w:pPr>
        <w:pStyle w:val="Heading"/>
        <w:numPr>
          <w:ilvl w:val="0"/>
          <w:numId w:val="21"/>
        </w:numPr>
        <w:tabs>
          <w:tab w:val="left" w:pos="360"/>
        </w:tabs>
        <w:spacing w:after="240"/>
        <w:rPr>
          <w:rFonts w:ascii="Times New Roman" w:hAnsi="Times New Roman"/>
          <w:b w:val="0"/>
          <w:sz w:val="24"/>
          <w:szCs w:val="24"/>
        </w:rPr>
      </w:pPr>
      <w:r>
        <w:rPr>
          <w:rFonts w:ascii="Times New Roman" w:hAnsi="Times New Roman"/>
          <w:b w:val="0"/>
          <w:sz w:val="24"/>
          <w:szCs w:val="24"/>
        </w:rPr>
        <w:t xml:space="preserve">In March 2021, APRA released a response </w:t>
      </w:r>
      <w:r w:rsidR="00F61821">
        <w:rPr>
          <w:rFonts w:ascii="Times New Roman" w:hAnsi="Times New Roman"/>
          <w:b w:val="0"/>
          <w:sz w:val="24"/>
          <w:szCs w:val="24"/>
        </w:rPr>
        <w:t>to consultation</w:t>
      </w:r>
      <w:r w:rsidR="0054691F" w:rsidRPr="0054691F">
        <w:rPr>
          <w:rFonts w:ascii="Times New Roman" w:hAnsi="Times New Roman"/>
          <w:b w:val="0"/>
          <w:sz w:val="24"/>
          <w:szCs w:val="24"/>
        </w:rPr>
        <w:t>, including revisions to the proposed reporting standards to address concerns</w:t>
      </w:r>
      <w:r w:rsidR="0054691F">
        <w:rPr>
          <w:rFonts w:ascii="Times New Roman" w:hAnsi="Times New Roman"/>
          <w:b w:val="0"/>
          <w:sz w:val="24"/>
          <w:szCs w:val="24"/>
        </w:rPr>
        <w:t xml:space="preserve"> raised in consultation</w:t>
      </w:r>
      <w:r>
        <w:rPr>
          <w:rFonts w:ascii="Times New Roman" w:hAnsi="Times New Roman"/>
          <w:b w:val="0"/>
          <w:sz w:val="24"/>
          <w:szCs w:val="24"/>
        </w:rPr>
        <w:t>.</w:t>
      </w:r>
    </w:p>
    <w:p w14:paraId="487D6958" w14:textId="31045C9B" w:rsidR="0054691F" w:rsidRDefault="0054691F" w:rsidP="000A6548">
      <w:pPr>
        <w:pStyle w:val="Heading"/>
        <w:numPr>
          <w:ilvl w:val="0"/>
          <w:numId w:val="21"/>
        </w:numPr>
        <w:tabs>
          <w:tab w:val="left" w:pos="360"/>
        </w:tabs>
        <w:spacing w:after="240"/>
        <w:rPr>
          <w:rFonts w:ascii="Times New Roman" w:hAnsi="Times New Roman"/>
          <w:b w:val="0"/>
          <w:sz w:val="24"/>
          <w:szCs w:val="24"/>
        </w:rPr>
      </w:pPr>
      <w:r w:rsidRPr="0054691F">
        <w:rPr>
          <w:rFonts w:ascii="Times New Roman" w:hAnsi="Times New Roman"/>
          <w:b w:val="0"/>
          <w:sz w:val="24"/>
          <w:szCs w:val="24"/>
        </w:rPr>
        <w:t>APRA continued to work closely with industry from March 2021 – September 2021 through workshops and supporting test submissions of data in the reporting system (APRA Connect) external test environment. Where RSE licensees identified specific challenges through this process, APRA released clarifications, further adjusted the staged implementation approach</w:t>
      </w:r>
      <w:r w:rsidR="00F61821">
        <w:rPr>
          <w:rFonts w:ascii="Times New Roman" w:hAnsi="Times New Roman"/>
          <w:b w:val="0"/>
          <w:sz w:val="24"/>
          <w:szCs w:val="24"/>
        </w:rPr>
        <w:t>, and incorporated these updates</w:t>
      </w:r>
      <w:r w:rsidRPr="0054691F">
        <w:rPr>
          <w:rFonts w:ascii="Times New Roman" w:hAnsi="Times New Roman"/>
          <w:b w:val="0"/>
          <w:sz w:val="24"/>
          <w:szCs w:val="24"/>
        </w:rPr>
        <w:t xml:space="preserve"> </w:t>
      </w:r>
      <w:r w:rsidR="00F61821">
        <w:rPr>
          <w:rFonts w:ascii="Times New Roman" w:hAnsi="Times New Roman"/>
          <w:b w:val="0"/>
          <w:sz w:val="24"/>
          <w:szCs w:val="24"/>
        </w:rPr>
        <w:t>into the</w:t>
      </w:r>
      <w:r w:rsidR="00F61821" w:rsidRPr="0054691F">
        <w:rPr>
          <w:rFonts w:ascii="Times New Roman" w:hAnsi="Times New Roman"/>
          <w:b w:val="0"/>
          <w:sz w:val="24"/>
          <w:szCs w:val="24"/>
        </w:rPr>
        <w:t xml:space="preserve"> reporting standards </w:t>
      </w:r>
      <w:r w:rsidRPr="0054691F">
        <w:rPr>
          <w:rFonts w:ascii="Times New Roman" w:hAnsi="Times New Roman"/>
          <w:b w:val="0"/>
          <w:sz w:val="24"/>
          <w:szCs w:val="24"/>
        </w:rPr>
        <w:t>to address these concerns</w:t>
      </w:r>
      <w:r w:rsidR="00F61821">
        <w:rPr>
          <w:rFonts w:ascii="Times New Roman" w:hAnsi="Times New Roman"/>
          <w:b w:val="0"/>
          <w:sz w:val="24"/>
          <w:szCs w:val="24"/>
        </w:rPr>
        <w:t>.</w:t>
      </w:r>
    </w:p>
    <w:p w14:paraId="53D8EB30" w14:textId="77777777" w:rsidR="002436BD" w:rsidRDefault="00DF524E" w:rsidP="001A2234">
      <w:pPr>
        <w:pStyle w:val="Heading"/>
        <w:tabs>
          <w:tab w:val="left" w:pos="360"/>
        </w:tabs>
        <w:spacing w:after="240"/>
        <w:rPr>
          <w:rFonts w:ascii="Times New Roman" w:hAnsi="Times New Roman"/>
          <w:sz w:val="24"/>
          <w:szCs w:val="24"/>
        </w:rPr>
      </w:pPr>
      <w:bookmarkStart w:id="10" w:name="bkConsultation"/>
      <w:bookmarkStart w:id="11" w:name="bkRISNO"/>
      <w:bookmarkStart w:id="12" w:name="bkRIS"/>
      <w:bookmarkEnd w:id="10"/>
      <w:bookmarkEnd w:id="11"/>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p w14:paraId="43C369FA" w14:textId="330AFE05" w:rsidR="002436BD" w:rsidRDefault="0054691F" w:rsidP="001A2234">
      <w:pPr>
        <w:pStyle w:val="Heading"/>
        <w:spacing w:after="240"/>
        <w:rPr>
          <w:rFonts w:ascii="Times New Roman" w:hAnsi="Times New Roman"/>
          <w:b w:val="0"/>
          <w:sz w:val="24"/>
          <w:szCs w:val="24"/>
        </w:rPr>
      </w:pPr>
      <w:bookmarkStart w:id="13" w:name="_Hlk82068993"/>
      <w:r w:rsidRPr="0054691F">
        <w:rPr>
          <w:rFonts w:ascii="Times New Roman" w:hAnsi="Times New Roman"/>
          <w:b w:val="0"/>
          <w:sz w:val="24"/>
          <w:szCs w:val="24"/>
        </w:rPr>
        <w:t>APRA prepared a Regulation Impact Statement which has been lodged as supporting material</w:t>
      </w:r>
      <w:r w:rsidR="00A279AF">
        <w:rPr>
          <w:rFonts w:ascii="Times New Roman" w:hAnsi="Times New Roman"/>
          <w:b w:val="0"/>
          <w:sz w:val="24"/>
          <w:szCs w:val="24"/>
        </w:rPr>
        <w:t>.</w:t>
      </w:r>
      <w:bookmarkEnd w:id="12"/>
    </w:p>
    <w:bookmarkEnd w:id="13"/>
    <w:p w14:paraId="3359862D" w14:textId="77777777" w:rsidR="002436BD" w:rsidRPr="00B3165F" w:rsidRDefault="00DF524E" w:rsidP="001A2234">
      <w:pPr>
        <w:pStyle w:val="Heading"/>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575541">
        <w:rPr>
          <w:rFonts w:ascii="Times New Roman" w:hAnsi="Times New Roman"/>
          <w:i/>
          <w:sz w:val="24"/>
          <w:szCs w:val="24"/>
        </w:rPr>
        <w:t>Human Rights (Parliamentary Scrutiny) Act 2011</w:t>
      </w:r>
    </w:p>
    <w:p w14:paraId="73679DCC" w14:textId="4181306E" w:rsidR="00864003" w:rsidRDefault="0030506B" w:rsidP="001A2234">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42BCECB" w14:textId="0671672B" w:rsidR="00003CBC" w:rsidRPr="00BF447A" w:rsidRDefault="00003CBC" w:rsidP="001A2234">
      <w:pPr>
        <w:pStyle w:val="Heading"/>
        <w:spacing w:after="240"/>
        <w:rPr>
          <w:rFonts w:ascii="Times New Roman" w:hAnsi="Times New Roman"/>
          <w:sz w:val="24"/>
          <w:szCs w:val="24"/>
        </w:rPr>
      </w:pPr>
      <w:bookmarkStart w:id="14" w:name="_Hlk103855599"/>
      <w:r w:rsidRPr="00BF447A">
        <w:rPr>
          <w:rFonts w:ascii="Times New Roman" w:hAnsi="Times New Roman"/>
          <w:sz w:val="24"/>
          <w:szCs w:val="24"/>
        </w:rPr>
        <w:t xml:space="preserve">6. </w:t>
      </w:r>
      <w:r w:rsidR="00B11DE6" w:rsidRPr="00BF447A">
        <w:rPr>
          <w:rFonts w:ascii="Times New Roman" w:hAnsi="Times New Roman"/>
          <w:sz w:val="24"/>
          <w:szCs w:val="24"/>
        </w:rPr>
        <w:t>Legislative instruments</w:t>
      </w:r>
      <w:r w:rsidR="00B56D20">
        <w:rPr>
          <w:rFonts w:ascii="Times New Roman" w:hAnsi="Times New Roman"/>
          <w:sz w:val="24"/>
          <w:szCs w:val="24"/>
        </w:rPr>
        <w:t xml:space="preserve"> – disallowance </w:t>
      </w:r>
      <w:r w:rsidR="007901F4">
        <w:rPr>
          <w:rFonts w:ascii="Times New Roman" w:hAnsi="Times New Roman"/>
          <w:sz w:val="24"/>
          <w:szCs w:val="24"/>
        </w:rPr>
        <w:t>and sunsetting</w:t>
      </w:r>
    </w:p>
    <w:p w14:paraId="0D1351AC" w14:textId="77777777" w:rsidR="00347E5A" w:rsidRDefault="00347E5A" w:rsidP="001A2234">
      <w:pPr>
        <w:pStyle w:val="Heading"/>
        <w:spacing w:after="240"/>
        <w:rPr>
          <w:rFonts w:ascii="Times New Roman" w:hAnsi="Times New Roman"/>
          <w:b w:val="0"/>
          <w:sz w:val="24"/>
          <w:szCs w:val="24"/>
        </w:rPr>
      </w:pPr>
      <w:r w:rsidRPr="00347E5A">
        <w:rPr>
          <w:rFonts w:ascii="Times New Roman" w:hAnsi="Times New Roman"/>
          <w:b w:val="0"/>
          <w:sz w:val="24"/>
          <w:szCs w:val="24"/>
        </w:rPr>
        <w:t xml:space="preserve">The instruments are legislative instruments for the purposes of the </w:t>
      </w:r>
      <w:r w:rsidRPr="00BF447A">
        <w:rPr>
          <w:rFonts w:ascii="Times New Roman" w:hAnsi="Times New Roman"/>
          <w:b w:val="0"/>
          <w:i/>
          <w:sz w:val="24"/>
          <w:szCs w:val="24"/>
        </w:rPr>
        <w:t>Legislation Act 2003</w:t>
      </w:r>
      <w:r w:rsidRPr="00347E5A">
        <w:rPr>
          <w:rFonts w:ascii="Times New Roman" w:hAnsi="Times New Roman"/>
          <w:b w:val="0"/>
          <w:sz w:val="24"/>
          <w:szCs w:val="24"/>
        </w:rPr>
        <w:t xml:space="preserve"> (</w:t>
      </w:r>
      <w:r w:rsidRPr="00BF447A">
        <w:rPr>
          <w:rFonts w:ascii="Times New Roman" w:hAnsi="Times New Roman"/>
          <w:sz w:val="24"/>
          <w:szCs w:val="24"/>
        </w:rPr>
        <w:t>Legislation Act</w:t>
      </w:r>
      <w:r w:rsidRPr="00347E5A">
        <w:rPr>
          <w:rFonts w:ascii="Times New Roman" w:hAnsi="Times New Roman"/>
          <w:b w:val="0"/>
          <w:sz w:val="24"/>
          <w:szCs w:val="24"/>
        </w:rPr>
        <w:t xml:space="preserve">). In accordance with section 44 of the Legislation Act and item 3 in paragraphs 9 and item 6 in paragraph 11 of the </w:t>
      </w:r>
      <w:bookmarkStart w:id="15" w:name="_Hlk103856226"/>
      <w:r w:rsidRPr="00BF447A">
        <w:rPr>
          <w:rFonts w:ascii="Times New Roman" w:hAnsi="Times New Roman"/>
          <w:b w:val="0"/>
          <w:i/>
          <w:sz w:val="24"/>
          <w:szCs w:val="24"/>
        </w:rPr>
        <w:t>Legislation (Exemptions and Other Matters) Regulation 2015</w:t>
      </w:r>
      <w:r w:rsidRPr="00347E5A">
        <w:rPr>
          <w:rFonts w:ascii="Times New Roman" w:hAnsi="Times New Roman"/>
          <w:b w:val="0"/>
          <w:sz w:val="24"/>
          <w:szCs w:val="24"/>
        </w:rPr>
        <w:t xml:space="preserve"> </w:t>
      </w:r>
      <w:bookmarkEnd w:id="15"/>
      <w:r w:rsidRPr="00347E5A">
        <w:rPr>
          <w:rFonts w:ascii="Times New Roman" w:hAnsi="Times New Roman"/>
          <w:b w:val="0"/>
          <w:sz w:val="24"/>
          <w:szCs w:val="24"/>
        </w:rPr>
        <w:t>(</w:t>
      </w:r>
      <w:r w:rsidRPr="00BF447A">
        <w:rPr>
          <w:rFonts w:ascii="Times New Roman" w:hAnsi="Times New Roman"/>
          <w:sz w:val="24"/>
          <w:szCs w:val="24"/>
        </w:rPr>
        <w:t>Legislation Regulation</w:t>
      </w:r>
      <w:r w:rsidRPr="00347E5A">
        <w:rPr>
          <w:rFonts w:ascii="Times New Roman" w:hAnsi="Times New Roman"/>
          <w:b w:val="0"/>
          <w:sz w:val="24"/>
          <w:szCs w:val="24"/>
        </w:rPr>
        <w:t>), the instruments are not subject to disallowance or sunsetting under the Legislation Act on the grounds that the instruments relate to superannuation. The instruments are reporting standards, which require registrable superannuation entity (RSE) licensees to provide information to APRA about their superannuation businesses and activities. The Explanatory Statement to the Legislation Regulation states</w:t>
      </w:r>
      <w:r>
        <w:rPr>
          <w:rFonts w:ascii="Times New Roman" w:hAnsi="Times New Roman"/>
          <w:b w:val="0"/>
          <w:sz w:val="24"/>
          <w:szCs w:val="24"/>
        </w:rPr>
        <w:t>:</w:t>
      </w:r>
    </w:p>
    <w:p w14:paraId="341AB23E" w14:textId="3DDE040B" w:rsidR="00347E5A" w:rsidRDefault="00347E5A">
      <w:pPr>
        <w:pStyle w:val="Heading"/>
        <w:spacing w:after="240"/>
        <w:ind w:left="720"/>
        <w:rPr>
          <w:rFonts w:ascii="Times New Roman" w:hAnsi="Times New Roman"/>
          <w:b w:val="0"/>
          <w:sz w:val="24"/>
          <w:szCs w:val="24"/>
        </w:rPr>
      </w:pPr>
      <w:r w:rsidRPr="00347E5A">
        <w:rPr>
          <w:rFonts w:ascii="Times New Roman" w:hAnsi="Times New Roman"/>
          <w:b w:val="0"/>
          <w:sz w:val="24"/>
          <w:szCs w:val="24"/>
        </w:rPr>
        <w:lastRenderedPageBreak/>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r>
        <w:rPr>
          <w:rFonts w:ascii="Times New Roman" w:hAnsi="Times New Roman"/>
          <w:b w:val="0"/>
          <w:sz w:val="24"/>
          <w:szCs w:val="24"/>
        </w:rPr>
        <w:t>”</w:t>
      </w:r>
      <w:r w:rsidRPr="00347E5A">
        <w:rPr>
          <w:rFonts w:ascii="Times New Roman" w:hAnsi="Times New Roman"/>
          <w:b w:val="0"/>
          <w:sz w:val="24"/>
          <w:szCs w:val="24"/>
        </w:rPr>
        <w:t xml:space="preserve"> </w:t>
      </w:r>
    </w:p>
    <w:p w14:paraId="2251EB46" w14:textId="5C6E1C38" w:rsidR="00B72231" w:rsidRDefault="00B72231" w:rsidP="00BF447A">
      <w:pPr>
        <w:pStyle w:val="Heading"/>
        <w:spacing w:after="240"/>
        <w:ind w:left="720"/>
        <w:rPr>
          <w:rFonts w:ascii="Times New Roman" w:hAnsi="Times New Roman"/>
          <w:b w:val="0"/>
          <w:sz w:val="24"/>
          <w:szCs w:val="24"/>
        </w:rPr>
      </w:pPr>
      <w:r w:rsidRPr="00B72231">
        <w:rPr>
          <w:rFonts w:ascii="Times New Roman" w:hAnsi="Times New Roman"/>
          <w:b w:val="0"/>
          <w:sz w:val="24"/>
          <w:szCs w:val="24"/>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7074F84F" w14:textId="2C66C375" w:rsidR="00347E5A" w:rsidRDefault="00347E5A" w:rsidP="001A2234">
      <w:pPr>
        <w:pStyle w:val="Heading"/>
        <w:spacing w:after="240"/>
        <w:rPr>
          <w:rFonts w:ascii="Times New Roman" w:hAnsi="Times New Roman"/>
          <w:b w:val="0"/>
          <w:sz w:val="24"/>
          <w:szCs w:val="24"/>
        </w:rPr>
      </w:pPr>
      <w:r w:rsidRPr="00347E5A">
        <w:rPr>
          <w:rFonts w:ascii="Times New Roman" w:hAnsi="Times New Roman"/>
          <w:b w:val="0"/>
          <w:sz w:val="24"/>
          <w:szCs w:val="24"/>
        </w:rPr>
        <w:t xml:space="preserve">As detailed above, extensive consultation with industry stakeholders occurred prior to the finalisation of the instruments. APRA conducts regular reviews on its reporting standards, which range from post-implementation reviews to targeted reviews of specific standards or aspects of standards.  </w:t>
      </w:r>
    </w:p>
    <w:bookmarkEnd w:id="14"/>
    <w:p w14:paraId="65C0D3F3" w14:textId="77777777" w:rsidR="00347E5A" w:rsidRPr="00C02366" w:rsidRDefault="00347E5A" w:rsidP="001A2234">
      <w:pPr>
        <w:pStyle w:val="Heading"/>
        <w:spacing w:after="240"/>
        <w:rPr>
          <w:rFonts w:ascii="Times New Roman" w:hAnsi="Times New Roman"/>
          <w:b w:val="0"/>
          <w:sz w:val="24"/>
          <w:szCs w:val="24"/>
        </w:rPr>
      </w:pPr>
    </w:p>
    <w:p w14:paraId="778F8B34" w14:textId="77777777" w:rsidR="00864003" w:rsidRDefault="00864003">
      <w:pPr>
        <w:rPr>
          <w:b/>
          <w:sz w:val="26"/>
          <w:szCs w:val="22"/>
        </w:rPr>
      </w:pPr>
      <w:r>
        <w:br w:type="page"/>
      </w:r>
    </w:p>
    <w:p w14:paraId="6913D193" w14:textId="77777777" w:rsidR="00864003" w:rsidRPr="00F510E0" w:rsidRDefault="00864003" w:rsidP="00864003">
      <w:pPr>
        <w:spacing w:after="360"/>
        <w:outlineLvl w:val="0"/>
        <w:rPr>
          <w:rFonts w:ascii="Times New Roman" w:hAnsi="Times New Roman"/>
          <w:sz w:val="24"/>
          <w:szCs w:val="24"/>
          <w:u w:val="single"/>
        </w:rPr>
      </w:pPr>
      <w:r w:rsidRPr="00F510E0">
        <w:rPr>
          <w:rFonts w:ascii="Times New Roman" w:hAnsi="Times New Roman"/>
          <w:sz w:val="24"/>
          <w:szCs w:val="24"/>
          <w:u w:val="single"/>
        </w:rPr>
        <w:lastRenderedPageBreak/>
        <w:t>ATTACHMENT A</w:t>
      </w:r>
    </w:p>
    <w:p w14:paraId="20951FB5"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Statement of Compatibility with Human Rights</w:t>
      </w:r>
    </w:p>
    <w:p w14:paraId="13EE363A" w14:textId="77777777"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sz w:val="24"/>
          <w:szCs w:val="24"/>
        </w:rPr>
        <w:t xml:space="preserve">Prepared in accordance with Part 3 of the </w:t>
      </w:r>
      <w:r w:rsidRPr="007D54B9">
        <w:rPr>
          <w:rFonts w:ascii="Times New Roman" w:hAnsi="Times New Roman"/>
          <w:i/>
          <w:iCs/>
          <w:sz w:val="24"/>
          <w:szCs w:val="24"/>
        </w:rPr>
        <w:t>Human Rights (Parliamentary Scrutiny) Act 2011</w:t>
      </w:r>
    </w:p>
    <w:p w14:paraId="34A30FE2" w14:textId="07C04322" w:rsidR="007D54B9" w:rsidRPr="007D54B9" w:rsidRDefault="007D54B9" w:rsidP="007D54B9">
      <w:pPr>
        <w:shd w:val="clear" w:color="auto" w:fill="FFFFFF"/>
        <w:spacing w:before="100" w:beforeAutospacing="1" w:after="240"/>
        <w:jc w:val="center"/>
        <w:rPr>
          <w:rFonts w:ascii="Times New Roman" w:hAnsi="Times New Roman"/>
          <w:sz w:val="24"/>
          <w:szCs w:val="24"/>
          <w:lang w:val="en-US"/>
        </w:rPr>
      </w:pPr>
      <w:r w:rsidRPr="007D54B9">
        <w:rPr>
          <w:rFonts w:ascii="Times New Roman" w:hAnsi="Times New Roman"/>
          <w:b/>
          <w:bCs/>
          <w:sz w:val="24"/>
          <w:szCs w:val="24"/>
        </w:rPr>
        <w:t xml:space="preserve">Financial Sector (Collection of Data) (reporting standard) determination No. </w:t>
      </w:r>
      <w:r w:rsidR="00495E5D">
        <w:rPr>
          <w:rFonts w:ascii="Times New Roman" w:hAnsi="Times New Roman"/>
          <w:b/>
          <w:bCs/>
          <w:sz w:val="24"/>
          <w:szCs w:val="24"/>
        </w:rPr>
        <w:t>13</w:t>
      </w:r>
      <w:r w:rsidR="00D9504F">
        <w:rPr>
          <w:rFonts w:ascii="Times New Roman" w:hAnsi="Times New Roman"/>
          <w:b/>
          <w:bCs/>
          <w:sz w:val="24"/>
          <w:szCs w:val="24"/>
        </w:rPr>
        <w:t xml:space="preserve"> </w:t>
      </w:r>
      <w:r w:rsidR="00BA012A">
        <w:rPr>
          <w:rFonts w:ascii="Times New Roman" w:hAnsi="Times New Roman"/>
          <w:b/>
          <w:bCs/>
          <w:sz w:val="24"/>
          <w:szCs w:val="24"/>
        </w:rPr>
        <w:t>to</w:t>
      </w:r>
      <w:r w:rsidR="00D9504F">
        <w:rPr>
          <w:rFonts w:ascii="Times New Roman" w:hAnsi="Times New Roman"/>
          <w:b/>
          <w:bCs/>
          <w:sz w:val="24"/>
          <w:szCs w:val="24"/>
        </w:rPr>
        <w:t xml:space="preserve"> 22</w:t>
      </w:r>
      <w:r w:rsidRPr="007D54B9">
        <w:rPr>
          <w:rFonts w:ascii="Times New Roman" w:hAnsi="Times New Roman"/>
          <w:b/>
          <w:bCs/>
          <w:sz w:val="24"/>
          <w:szCs w:val="24"/>
        </w:rPr>
        <w:t xml:space="preserve"> </w:t>
      </w:r>
      <w:r>
        <w:rPr>
          <w:rFonts w:ascii="Times New Roman" w:hAnsi="Times New Roman"/>
          <w:b/>
          <w:bCs/>
          <w:sz w:val="24"/>
          <w:szCs w:val="24"/>
        </w:rPr>
        <w:t>of 2021</w:t>
      </w:r>
    </w:p>
    <w:p w14:paraId="6EA52F82"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7D54B9">
        <w:rPr>
          <w:rFonts w:ascii="Times New Roman" w:hAnsi="Times New Roman"/>
          <w:i/>
          <w:iCs/>
          <w:sz w:val="24"/>
          <w:szCs w:val="24"/>
        </w:rPr>
        <w:t>Human Rights (Parliamentary Scrutiny) Act 2011</w:t>
      </w:r>
      <w:r w:rsidRPr="007D54B9">
        <w:rPr>
          <w:rFonts w:ascii="Times New Roman" w:hAnsi="Times New Roman"/>
          <w:sz w:val="24"/>
          <w:szCs w:val="24"/>
        </w:rPr>
        <w:t xml:space="preserve"> (HRPS Act).</w:t>
      </w:r>
    </w:p>
    <w:p w14:paraId="521C8955"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Overview of the Legislative Instrument</w:t>
      </w:r>
    </w:p>
    <w:p w14:paraId="65FEB899" w14:textId="1B49FE11" w:rsidR="00DE73C3" w:rsidRDefault="007D54B9" w:rsidP="007D54B9">
      <w:pPr>
        <w:spacing w:after="240"/>
        <w:jc w:val="both"/>
        <w:rPr>
          <w:rFonts w:ascii="Times New Roman" w:hAnsi="Times New Roman"/>
          <w:sz w:val="24"/>
          <w:szCs w:val="24"/>
        </w:rPr>
      </w:pPr>
      <w:r w:rsidRPr="007D54B9">
        <w:rPr>
          <w:rFonts w:ascii="Times New Roman" w:hAnsi="Times New Roman"/>
          <w:sz w:val="24"/>
          <w:szCs w:val="24"/>
        </w:rPr>
        <w:t>The purpose of the instrument</w:t>
      </w:r>
      <w:r w:rsidR="00DE73C3">
        <w:rPr>
          <w:rFonts w:ascii="Times New Roman" w:hAnsi="Times New Roman"/>
          <w:sz w:val="24"/>
          <w:szCs w:val="24"/>
        </w:rPr>
        <w:t>s</w:t>
      </w:r>
      <w:r w:rsidRPr="007D54B9">
        <w:rPr>
          <w:rFonts w:ascii="Times New Roman" w:hAnsi="Times New Roman"/>
          <w:sz w:val="24"/>
          <w:szCs w:val="24"/>
        </w:rPr>
        <w:t xml:space="preserve"> is to </w:t>
      </w:r>
      <w:r w:rsidR="00DE73C3">
        <w:rPr>
          <w:rFonts w:ascii="Times New Roman" w:hAnsi="Times New Roman"/>
          <w:sz w:val="24"/>
          <w:szCs w:val="24"/>
        </w:rPr>
        <w:t>determine:</w:t>
      </w:r>
    </w:p>
    <w:p w14:paraId="48182C88" w14:textId="6B0A2367" w:rsidR="00DE73C3" w:rsidRDefault="007D54B9"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sidR="00DE73C3">
        <w:rPr>
          <w:rFonts w:ascii="Times New Roman" w:hAnsi="Times New Roman"/>
          <w:i/>
          <w:sz w:val="24"/>
          <w:szCs w:val="24"/>
        </w:rPr>
        <w:t>S</w:t>
      </w:r>
      <w:r w:rsidRPr="00DE73C3">
        <w:rPr>
          <w:rFonts w:ascii="Times New Roman" w:hAnsi="Times New Roman"/>
          <w:i/>
          <w:sz w:val="24"/>
          <w:szCs w:val="24"/>
        </w:rPr>
        <w:t>RS 1</w:t>
      </w:r>
      <w:r w:rsidR="00DE73C3">
        <w:rPr>
          <w:rFonts w:ascii="Times New Roman" w:hAnsi="Times New Roman"/>
          <w:i/>
          <w:sz w:val="24"/>
          <w:szCs w:val="24"/>
        </w:rPr>
        <w:t>0</w:t>
      </w:r>
      <w:r w:rsidRPr="00DE73C3">
        <w:rPr>
          <w:rFonts w:ascii="Times New Roman" w:hAnsi="Times New Roman"/>
          <w:i/>
          <w:sz w:val="24"/>
          <w:szCs w:val="24"/>
        </w:rPr>
        <w:t xml:space="preserve">1.0 </w:t>
      </w:r>
      <w:r w:rsidR="00EF3B98">
        <w:rPr>
          <w:rFonts w:ascii="Times New Roman" w:hAnsi="Times New Roman"/>
          <w:i/>
          <w:sz w:val="24"/>
          <w:szCs w:val="24"/>
        </w:rPr>
        <w:t xml:space="preserve">Definitions for Superannuation Data </w:t>
      </w:r>
      <w:proofErr w:type="gramStart"/>
      <w:r w:rsidR="00EF3B98">
        <w:rPr>
          <w:rFonts w:ascii="Times New Roman" w:hAnsi="Times New Roman"/>
          <w:i/>
          <w:sz w:val="24"/>
          <w:szCs w:val="24"/>
        </w:rPr>
        <w:t>Collections</w:t>
      </w:r>
      <w:r w:rsidR="00BA012A">
        <w:rPr>
          <w:rFonts w:ascii="Times New Roman" w:hAnsi="Times New Roman"/>
          <w:sz w:val="24"/>
          <w:szCs w:val="24"/>
        </w:rPr>
        <w:t>;</w:t>
      </w:r>
      <w:proofErr w:type="gramEnd"/>
    </w:p>
    <w:p w14:paraId="0D6281A6" w14:textId="1E7A05A5"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251</w:t>
      </w:r>
      <w:r w:rsidRPr="00DE73C3">
        <w:rPr>
          <w:rFonts w:ascii="Times New Roman" w:hAnsi="Times New Roman"/>
          <w:i/>
          <w:sz w:val="24"/>
          <w:szCs w:val="24"/>
        </w:rPr>
        <w:t xml:space="preserve">.0 </w:t>
      </w:r>
      <w:proofErr w:type="gramStart"/>
      <w:r>
        <w:rPr>
          <w:rFonts w:ascii="Times New Roman" w:hAnsi="Times New Roman"/>
          <w:i/>
          <w:sz w:val="24"/>
          <w:szCs w:val="24"/>
        </w:rPr>
        <w:t>Insurance</w:t>
      </w:r>
      <w:r w:rsidR="00BA012A">
        <w:rPr>
          <w:rFonts w:ascii="Times New Roman" w:hAnsi="Times New Roman"/>
          <w:sz w:val="24"/>
          <w:szCs w:val="24"/>
        </w:rPr>
        <w:t>;</w:t>
      </w:r>
      <w:proofErr w:type="gramEnd"/>
    </w:p>
    <w:p w14:paraId="17146B63" w14:textId="7FD2EDF5"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332</w:t>
      </w:r>
      <w:r w:rsidRPr="00DE73C3">
        <w:rPr>
          <w:rFonts w:ascii="Times New Roman" w:hAnsi="Times New Roman"/>
          <w:i/>
          <w:sz w:val="24"/>
          <w:szCs w:val="24"/>
        </w:rPr>
        <w:t xml:space="preserve">.0 </w:t>
      </w:r>
      <w:proofErr w:type="gramStart"/>
      <w:r>
        <w:rPr>
          <w:rFonts w:ascii="Times New Roman" w:hAnsi="Times New Roman"/>
          <w:i/>
          <w:sz w:val="24"/>
          <w:szCs w:val="24"/>
        </w:rPr>
        <w:t>Expenses</w:t>
      </w:r>
      <w:r w:rsidR="00BA012A">
        <w:rPr>
          <w:rFonts w:ascii="Times New Roman" w:hAnsi="Times New Roman"/>
          <w:sz w:val="24"/>
          <w:szCs w:val="24"/>
        </w:rPr>
        <w:t>;</w:t>
      </w:r>
      <w:proofErr w:type="gramEnd"/>
    </w:p>
    <w:p w14:paraId="056883A5" w14:textId="2BB261F5"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550</w:t>
      </w:r>
      <w:r w:rsidRPr="00DE73C3">
        <w:rPr>
          <w:rFonts w:ascii="Times New Roman" w:hAnsi="Times New Roman"/>
          <w:i/>
          <w:sz w:val="24"/>
          <w:szCs w:val="24"/>
        </w:rPr>
        <w:t xml:space="preserve">.0 </w:t>
      </w:r>
      <w:r>
        <w:rPr>
          <w:rFonts w:ascii="Times New Roman" w:hAnsi="Times New Roman"/>
          <w:i/>
          <w:sz w:val="24"/>
          <w:szCs w:val="24"/>
        </w:rPr>
        <w:t xml:space="preserve">Asset </w:t>
      </w:r>
      <w:proofErr w:type="gramStart"/>
      <w:r>
        <w:rPr>
          <w:rFonts w:ascii="Times New Roman" w:hAnsi="Times New Roman"/>
          <w:i/>
          <w:sz w:val="24"/>
          <w:szCs w:val="24"/>
        </w:rPr>
        <w:t>Allocation</w:t>
      </w:r>
      <w:r w:rsidR="00BA012A">
        <w:rPr>
          <w:rFonts w:ascii="Times New Roman" w:hAnsi="Times New Roman"/>
          <w:sz w:val="24"/>
          <w:szCs w:val="24"/>
        </w:rPr>
        <w:t>;</w:t>
      </w:r>
      <w:proofErr w:type="gramEnd"/>
    </w:p>
    <w:p w14:paraId="158EF9C8" w14:textId="5BEBA93B"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605</w:t>
      </w:r>
      <w:r w:rsidRPr="00DE73C3">
        <w:rPr>
          <w:rFonts w:ascii="Times New Roman" w:hAnsi="Times New Roman"/>
          <w:i/>
          <w:sz w:val="24"/>
          <w:szCs w:val="24"/>
        </w:rPr>
        <w:t xml:space="preserve">.0 </w:t>
      </w:r>
      <w:r>
        <w:rPr>
          <w:rFonts w:ascii="Times New Roman" w:hAnsi="Times New Roman"/>
          <w:i/>
          <w:sz w:val="24"/>
          <w:szCs w:val="24"/>
        </w:rPr>
        <w:t xml:space="preserve">RSE </w:t>
      </w:r>
      <w:proofErr w:type="gramStart"/>
      <w:r>
        <w:rPr>
          <w:rFonts w:ascii="Times New Roman" w:hAnsi="Times New Roman"/>
          <w:i/>
          <w:sz w:val="24"/>
          <w:szCs w:val="24"/>
        </w:rPr>
        <w:t>Structure</w:t>
      </w:r>
      <w:r w:rsidR="00BA012A">
        <w:rPr>
          <w:rFonts w:ascii="Times New Roman" w:hAnsi="Times New Roman"/>
          <w:sz w:val="24"/>
          <w:szCs w:val="24"/>
        </w:rPr>
        <w:t>;</w:t>
      </w:r>
      <w:proofErr w:type="gramEnd"/>
    </w:p>
    <w:p w14:paraId="291120E9" w14:textId="21B5EA42"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606</w:t>
      </w:r>
      <w:r w:rsidRPr="00DE73C3">
        <w:rPr>
          <w:rFonts w:ascii="Times New Roman" w:hAnsi="Times New Roman"/>
          <w:i/>
          <w:sz w:val="24"/>
          <w:szCs w:val="24"/>
        </w:rPr>
        <w:t xml:space="preserve">.0 </w:t>
      </w:r>
      <w:r>
        <w:rPr>
          <w:rFonts w:ascii="Times New Roman" w:hAnsi="Times New Roman"/>
          <w:i/>
          <w:sz w:val="24"/>
          <w:szCs w:val="24"/>
        </w:rPr>
        <w:t xml:space="preserve">RSE </w:t>
      </w:r>
      <w:proofErr w:type="gramStart"/>
      <w:r>
        <w:rPr>
          <w:rFonts w:ascii="Times New Roman" w:hAnsi="Times New Roman"/>
          <w:i/>
          <w:sz w:val="24"/>
          <w:szCs w:val="24"/>
        </w:rPr>
        <w:t>Profile</w:t>
      </w:r>
      <w:r w:rsidR="00BA012A">
        <w:rPr>
          <w:rFonts w:ascii="Times New Roman" w:hAnsi="Times New Roman"/>
          <w:sz w:val="24"/>
          <w:szCs w:val="24"/>
        </w:rPr>
        <w:t>;</w:t>
      </w:r>
      <w:proofErr w:type="gramEnd"/>
    </w:p>
    <w:p w14:paraId="0DBA11FE" w14:textId="40386F87"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611</w:t>
      </w:r>
      <w:r w:rsidRPr="00DE73C3">
        <w:rPr>
          <w:rFonts w:ascii="Times New Roman" w:hAnsi="Times New Roman"/>
          <w:i/>
          <w:sz w:val="24"/>
          <w:szCs w:val="24"/>
        </w:rPr>
        <w:t xml:space="preserve">.0 </w:t>
      </w:r>
      <w:r>
        <w:rPr>
          <w:rFonts w:ascii="Times New Roman" w:hAnsi="Times New Roman"/>
          <w:i/>
          <w:sz w:val="24"/>
          <w:szCs w:val="24"/>
        </w:rPr>
        <w:t xml:space="preserve">Member </w:t>
      </w:r>
      <w:proofErr w:type="gramStart"/>
      <w:r>
        <w:rPr>
          <w:rFonts w:ascii="Times New Roman" w:hAnsi="Times New Roman"/>
          <w:i/>
          <w:sz w:val="24"/>
          <w:szCs w:val="24"/>
        </w:rPr>
        <w:t>Accounts</w:t>
      </w:r>
      <w:r w:rsidR="00BA012A">
        <w:rPr>
          <w:rFonts w:ascii="Times New Roman" w:hAnsi="Times New Roman"/>
          <w:sz w:val="24"/>
          <w:szCs w:val="24"/>
        </w:rPr>
        <w:t>;</w:t>
      </w:r>
      <w:proofErr w:type="gramEnd"/>
    </w:p>
    <w:p w14:paraId="1128476A" w14:textId="4DFAB44C"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705</w:t>
      </w:r>
      <w:r w:rsidRPr="00DE73C3">
        <w:rPr>
          <w:rFonts w:ascii="Times New Roman" w:hAnsi="Times New Roman"/>
          <w:i/>
          <w:sz w:val="24"/>
          <w:szCs w:val="24"/>
        </w:rPr>
        <w:t xml:space="preserve">.0 </w:t>
      </w:r>
      <w:r w:rsidR="00EF3B98">
        <w:rPr>
          <w:rFonts w:ascii="Times New Roman" w:hAnsi="Times New Roman"/>
          <w:i/>
          <w:sz w:val="24"/>
          <w:szCs w:val="24"/>
        </w:rPr>
        <w:t xml:space="preserve">Components of net </w:t>
      </w:r>
      <w:proofErr w:type="gramStart"/>
      <w:r w:rsidR="00EF3B98">
        <w:rPr>
          <w:rFonts w:ascii="Times New Roman" w:hAnsi="Times New Roman"/>
          <w:i/>
          <w:sz w:val="24"/>
          <w:szCs w:val="24"/>
        </w:rPr>
        <w:t>return</w:t>
      </w:r>
      <w:r w:rsidR="00BA012A">
        <w:rPr>
          <w:rFonts w:ascii="Times New Roman" w:hAnsi="Times New Roman"/>
          <w:sz w:val="24"/>
          <w:szCs w:val="24"/>
        </w:rPr>
        <w:t>;</w:t>
      </w:r>
      <w:proofErr w:type="gramEnd"/>
    </w:p>
    <w:p w14:paraId="51486CE5" w14:textId="6F9E1A56" w:rsidR="00DE73C3" w:rsidRDefault="00DE73C3" w:rsidP="00DE73C3">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 xml:space="preserve">Reporting Standard </w:t>
      </w:r>
      <w:r>
        <w:rPr>
          <w:rFonts w:ascii="Times New Roman" w:hAnsi="Times New Roman"/>
          <w:i/>
          <w:sz w:val="24"/>
          <w:szCs w:val="24"/>
        </w:rPr>
        <w:t>S</w:t>
      </w:r>
      <w:r w:rsidRPr="00DE73C3">
        <w:rPr>
          <w:rFonts w:ascii="Times New Roman" w:hAnsi="Times New Roman"/>
          <w:i/>
          <w:sz w:val="24"/>
          <w:szCs w:val="24"/>
        </w:rPr>
        <w:t>RS </w:t>
      </w:r>
      <w:r>
        <w:rPr>
          <w:rFonts w:ascii="Times New Roman" w:hAnsi="Times New Roman"/>
          <w:i/>
          <w:sz w:val="24"/>
          <w:szCs w:val="24"/>
        </w:rPr>
        <w:t>705.1</w:t>
      </w:r>
      <w:r w:rsidRPr="00DE73C3">
        <w:rPr>
          <w:rFonts w:ascii="Times New Roman" w:hAnsi="Times New Roman"/>
          <w:i/>
          <w:sz w:val="24"/>
          <w:szCs w:val="24"/>
        </w:rPr>
        <w:t xml:space="preserve"> </w:t>
      </w:r>
      <w:r w:rsidR="00EF3B98">
        <w:rPr>
          <w:rFonts w:ascii="Times New Roman" w:hAnsi="Times New Roman"/>
          <w:i/>
          <w:sz w:val="24"/>
          <w:szCs w:val="24"/>
        </w:rPr>
        <w:t>Investment Performance and Objectives</w:t>
      </w:r>
      <w:r w:rsidR="00EF3B98">
        <w:rPr>
          <w:rFonts w:ascii="Times New Roman" w:hAnsi="Times New Roman"/>
          <w:sz w:val="24"/>
          <w:szCs w:val="24"/>
        </w:rPr>
        <w:t>; and</w:t>
      </w:r>
    </w:p>
    <w:p w14:paraId="5D028359" w14:textId="0E538F37" w:rsidR="00DE73C3" w:rsidRPr="00DE73C3" w:rsidRDefault="00DE73C3" w:rsidP="005B4E19">
      <w:pPr>
        <w:pStyle w:val="ListParagraph"/>
        <w:numPr>
          <w:ilvl w:val="0"/>
          <w:numId w:val="13"/>
        </w:numPr>
        <w:spacing w:after="240"/>
        <w:jc w:val="both"/>
        <w:rPr>
          <w:rFonts w:ascii="Times New Roman" w:hAnsi="Times New Roman"/>
          <w:sz w:val="24"/>
          <w:szCs w:val="24"/>
        </w:rPr>
      </w:pPr>
      <w:r w:rsidRPr="00DE73C3">
        <w:rPr>
          <w:rFonts w:ascii="Times New Roman" w:hAnsi="Times New Roman"/>
          <w:i/>
          <w:sz w:val="24"/>
          <w:szCs w:val="24"/>
        </w:rPr>
        <w:t>Reporting Standard SRS </w:t>
      </w:r>
      <w:r w:rsidR="00EF3B98">
        <w:rPr>
          <w:rFonts w:ascii="Times New Roman" w:hAnsi="Times New Roman"/>
          <w:i/>
          <w:sz w:val="24"/>
          <w:szCs w:val="24"/>
        </w:rPr>
        <w:t>706</w:t>
      </w:r>
      <w:r w:rsidRPr="00DE73C3">
        <w:rPr>
          <w:rFonts w:ascii="Times New Roman" w:hAnsi="Times New Roman"/>
          <w:i/>
          <w:sz w:val="24"/>
          <w:szCs w:val="24"/>
        </w:rPr>
        <w:t xml:space="preserve">.0 </w:t>
      </w:r>
      <w:r w:rsidR="00EF3B98">
        <w:rPr>
          <w:rFonts w:ascii="Times New Roman" w:hAnsi="Times New Roman"/>
          <w:i/>
          <w:sz w:val="24"/>
          <w:szCs w:val="24"/>
        </w:rPr>
        <w:t>Fees and Costs</w:t>
      </w:r>
      <w:r w:rsidR="00EF3B98">
        <w:rPr>
          <w:rFonts w:ascii="Times New Roman" w:hAnsi="Times New Roman"/>
          <w:sz w:val="24"/>
          <w:szCs w:val="24"/>
        </w:rPr>
        <w:t>.</w:t>
      </w:r>
    </w:p>
    <w:p w14:paraId="02C8568D" w14:textId="0781A12E" w:rsidR="007D54B9" w:rsidRPr="007D54B9" w:rsidRDefault="009437EF" w:rsidP="007D54B9">
      <w:pPr>
        <w:spacing w:after="240"/>
        <w:jc w:val="both"/>
        <w:rPr>
          <w:rFonts w:ascii="Times New Roman" w:hAnsi="Times New Roman"/>
          <w:sz w:val="24"/>
          <w:szCs w:val="24"/>
        </w:rPr>
      </w:pPr>
      <w:r>
        <w:rPr>
          <w:rFonts w:ascii="Times New Roman" w:hAnsi="Times New Roman"/>
          <w:sz w:val="24"/>
          <w:szCs w:val="24"/>
        </w:rPr>
        <w:t>These reporting standards</w:t>
      </w:r>
      <w:r w:rsidR="007D54B9" w:rsidRPr="007D54B9">
        <w:rPr>
          <w:rFonts w:ascii="Times New Roman" w:hAnsi="Times New Roman"/>
          <w:sz w:val="24"/>
          <w:szCs w:val="24"/>
        </w:rPr>
        <w:t xml:space="preserve"> </w:t>
      </w:r>
      <w:r w:rsidR="007D54B9" w:rsidRPr="00614388">
        <w:rPr>
          <w:rFonts w:ascii="Times New Roman" w:hAnsi="Times New Roman"/>
          <w:sz w:val="24"/>
          <w:szCs w:val="24"/>
        </w:rPr>
        <w:t xml:space="preserve">outlines the requirements for the provision of information to APRA relating to </w:t>
      </w:r>
      <w:r w:rsidR="00385F12">
        <w:rPr>
          <w:rFonts w:ascii="Times New Roman" w:hAnsi="Times New Roman"/>
          <w:sz w:val="24"/>
          <w:szCs w:val="24"/>
        </w:rPr>
        <w:t>the</w:t>
      </w:r>
      <w:r w:rsidR="007D54B9" w:rsidRPr="00614388">
        <w:rPr>
          <w:rFonts w:ascii="Times New Roman" w:hAnsi="Times New Roman"/>
          <w:sz w:val="24"/>
          <w:szCs w:val="24"/>
        </w:rPr>
        <w:t xml:space="preserve"> </w:t>
      </w:r>
      <w:r w:rsidR="00C47AC0">
        <w:rPr>
          <w:rFonts w:ascii="Times New Roman" w:hAnsi="Times New Roman"/>
          <w:sz w:val="24"/>
          <w:szCs w:val="24"/>
        </w:rPr>
        <w:t xml:space="preserve">superannuation products and business of </w:t>
      </w:r>
      <w:r>
        <w:rPr>
          <w:rFonts w:ascii="Times New Roman" w:hAnsi="Times New Roman"/>
          <w:sz w:val="24"/>
          <w:szCs w:val="24"/>
        </w:rPr>
        <w:t>RSE license</w:t>
      </w:r>
      <w:r w:rsidR="00C47AC0">
        <w:rPr>
          <w:rFonts w:ascii="Times New Roman" w:hAnsi="Times New Roman"/>
          <w:sz w:val="24"/>
          <w:szCs w:val="24"/>
        </w:rPr>
        <w:t>e</w:t>
      </w:r>
      <w:r>
        <w:rPr>
          <w:rFonts w:ascii="Times New Roman" w:hAnsi="Times New Roman"/>
          <w:sz w:val="24"/>
          <w:szCs w:val="24"/>
        </w:rPr>
        <w:t>s</w:t>
      </w:r>
      <w:r w:rsidR="007D54B9" w:rsidRPr="007D54B9">
        <w:rPr>
          <w:rFonts w:ascii="Times New Roman" w:hAnsi="Times New Roman"/>
          <w:sz w:val="24"/>
          <w:szCs w:val="24"/>
        </w:rPr>
        <w:t>.</w:t>
      </w:r>
    </w:p>
    <w:p w14:paraId="3C45F39E" w14:textId="77777777" w:rsidR="007D54B9" w:rsidRPr="007D54B9" w:rsidRDefault="007D54B9" w:rsidP="007D54B9">
      <w:pPr>
        <w:spacing w:after="240"/>
        <w:jc w:val="both"/>
        <w:rPr>
          <w:rFonts w:ascii="Times New Roman" w:hAnsi="Times New Roman"/>
          <w:sz w:val="24"/>
          <w:szCs w:val="24"/>
          <w:lang w:val="en-US"/>
        </w:rPr>
      </w:pPr>
      <w:r w:rsidRPr="007D54B9">
        <w:rPr>
          <w:rFonts w:ascii="Times New Roman" w:hAnsi="Times New Roman"/>
          <w:b/>
          <w:bCs/>
          <w:sz w:val="24"/>
          <w:szCs w:val="24"/>
        </w:rPr>
        <w:t>Human rights implications</w:t>
      </w:r>
    </w:p>
    <w:p w14:paraId="629FC193" w14:textId="77777777" w:rsidR="007D54B9" w:rsidRPr="007D54B9" w:rsidRDefault="007D54B9" w:rsidP="007D54B9">
      <w:pPr>
        <w:keepNext/>
        <w:shd w:val="clear" w:color="auto" w:fill="FFFFFF"/>
        <w:spacing w:before="100" w:beforeAutospacing="1" w:after="240"/>
        <w:jc w:val="both"/>
        <w:rPr>
          <w:rFonts w:ascii="Times New Roman" w:hAnsi="Times New Roman"/>
          <w:sz w:val="24"/>
          <w:szCs w:val="24"/>
        </w:rPr>
      </w:pPr>
      <w:r w:rsidRPr="007D54B9">
        <w:rPr>
          <w:rFonts w:ascii="Times New Roman" w:hAnsi="Times New Roman"/>
          <w:sz w:val="24"/>
          <w:szCs w:val="24"/>
        </w:rPr>
        <w:t>APRA has assessed the instrument and is of the view that it does not engage any of the applicable rights or freedoms recognised or declared in the international instruments listed in section 3 of the HRPS Act. Accordingly, in APRA’s assessment, the instrument is compatible with human rights.</w:t>
      </w:r>
    </w:p>
    <w:p w14:paraId="25D201B1" w14:textId="77777777" w:rsidR="007D54B9" w:rsidRPr="007D54B9" w:rsidRDefault="007D54B9" w:rsidP="007D54B9">
      <w:pPr>
        <w:shd w:val="clear" w:color="auto" w:fill="FFFFFF"/>
        <w:spacing w:before="100" w:beforeAutospacing="1" w:after="240"/>
        <w:jc w:val="both"/>
        <w:rPr>
          <w:rFonts w:ascii="Times New Roman" w:hAnsi="Times New Roman"/>
          <w:sz w:val="24"/>
          <w:szCs w:val="24"/>
          <w:lang w:val="en-US"/>
        </w:rPr>
      </w:pPr>
      <w:r w:rsidRPr="007D54B9">
        <w:rPr>
          <w:rFonts w:ascii="Times New Roman" w:hAnsi="Times New Roman"/>
          <w:b/>
          <w:bCs/>
          <w:sz w:val="24"/>
          <w:szCs w:val="24"/>
        </w:rPr>
        <w:t>Conclusion</w:t>
      </w:r>
    </w:p>
    <w:p w14:paraId="04979C40" w14:textId="77777777" w:rsidR="007D54B9" w:rsidRPr="007D54B9" w:rsidRDefault="007D54B9" w:rsidP="007D54B9">
      <w:pPr>
        <w:shd w:val="clear" w:color="auto" w:fill="FFFFFF"/>
        <w:spacing w:before="100" w:beforeAutospacing="1" w:after="240"/>
        <w:rPr>
          <w:rFonts w:ascii="Times New Roman" w:hAnsi="Times New Roman"/>
          <w:sz w:val="24"/>
          <w:szCs w:val="24"/>
          <w:lang w:val="en-US"/>
        </w:rPr>
      </w:pPr>
      <w:r w:rsidRPr="007D54B9">
        <w:rPr>
          <w:rFonts w:ascii="Times New Roman" w:hAnsi="Times New Roman"/>
          <w:sz w:val="24"/>
          <w:szCs w:val="24"/>
        </w:rPr>
        <w:lastRenderedPageBreak/>
        <w:t>The legislative instrument is compatible with human rights as it does not raise any human rights issues.</w:t>
      </w:r>
    </w:p>
    <w:p w14:paraId="6E05734B" w14:textId="1DC819DE" w:rsidR="00864003" w:rsidRPr="00F510E0" w:rsidRDefault="00864003" w:rsidP="007D54B9">
      <w:pPr>
        <w:shd w:val="clear" w:color="auto" w:fill="FFFFFF"/>
        <w:spacing w:before="100" w:beforeAutospacing="1" w:after="240"/>
        <w:jc w:val="center"/>
        <w:rPr>
          <w:rFonts w:ascii="Times New Roman" w:hAnsi="Times New Roman"/>
          <w:sz w:val="24"/>
          <w:szCs w:val="24"/>
        </w:rPr>
      </w:pPr>
    </w:p>
    <w:sectPr w:rsidR="00864003" w:rsidRPr="00F510E0" w:rsidSect="003D5032">
      <w:footerReference w:type="default" r:id="rId13"/>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8F5E0" w14:textId="77777777" w:rsidR="002B055D" w:rsidRDefault="002B055D" w:rsidP="001A2234">
      <w:r>
        <w:separator/>
      </w:r>
    </w:p>
  </w:endnote>
  <w:endnote w:type="continuationSeparator" w:id="0">
    <w:p w14:paraId="552D3B19" w14:textId="77777777" w:rsidR="002B055D" w:rsidRDefault="002B055D" w:rsidP="001A2234">
      <w:r>
        <w:continuationSeparator/>
      </w:r>
    </w:p>
  </w:endnote>
  <w:endnote w:type="continuationNotice" w:id="1">
    <w:p w14:paraId="32386AA1" w14:textId="77777777" w:rsidR="002B055D" w:rsidRDefault="002B05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IN OT Light">
    <w:panose1 w:val="020B0504020201010104"/>
    <w:charset w:val="00"/>
    <w:family w:val="swiss"/>
    <w:pitch w:val="variable"/>
    <w:sig w:usb0="800000EF" w:usb1="4000A47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4F8C0C99" w14:textId="77777777" w:rsidR="002B055D" w:rsidRPr="001A2234" w:rsidRDefault="002B055D" w:rsidP="001A2234">
        <w:pPr>
          <w:pStyle w:val="Footer"/>
          <w:jc w:val="center"/>
          <w:rPr>
            <w:rFonts w:ascii="Times New Roman" w:hAnsi="Times New Roman"/>
            <w:sz w:val="24"/>
            <w:szCs w:val="24"/>
          </w:rPr>
        </w:pPr>
        <w:r w:rsidRPr="001A2234">
          <w:rPr>
            <w:rFonts w:ascii="Times New Roman" w:hAnsi="Times New Roman"/>
            <w:bCs/>
            <w:sz w:val="24"/>
            <w:szCs w:val="24"/>
          </w:rPr>
          <w:fldChar w:fldCharType="begin"/>
        </w:r>
        <w:r w:rsidRPr="001A2234">
          <w:rPr>
            <w:rFonts w:ascii="Times New Roman" w:hAnsi="Times New Roman"/>
            <w:bCs/>
            <w:sz w:val="24"/>
            <w:szCs w:val="24"/>
          </w:rPr>
          <w:instrText xml:space="preserve"> PAGE </w:instrText>
        </w:r>
        <w:r w:rsidRPr="001A2234">
          <w:rPr>
            <w:rFonts w:ascii="Times New Roman" w:hAnsi="Times New Roman"/>
            <w:bCs/>
            <w:sz w:val="24"/>
            <w:szCs w:val="24"/>
          </w:rPr>
          <w:fldChar w:fldCharType="separate"/>
        </w:r>
        <w:r>
          <w:rPr>
            <w:rFonts w:ascii="Times New Roman" w:hAnsi="Times New Roman"/>
            <w:bCs/>
            <w:noProof/>
            <w:sz w:val="24"/>
            <w:szCs w:val="24"/>
          </w:rPr>
          <w:t>3</w:t>
        </w:r>
        <w:r w:rsidRPr="001A2234">
          <w:rPr>
            <w:rFonts w:ascii="Times New Roman" w:hAnsi="Times New Roman"/>
            <w:bCs/>
            <w:sz w:val="24"/>
            <w:szCs w:val="24"/>
          </w:rPr>
          <w:fldChar w:fldCharType="end"/>
        </w:r>
      </w:p>
    </w:sdtContent>
  </w:sdt>
  <w:p w14:paraId="4ACC2704" w14:textId="77777777" w:rsidR="002B055D" w:rsidRDefault="002B0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4AB7" w14:textId="77777777" w:rsidR="002B055D" w:rsidRDefault="002B055D" w:rsidP="001A2234">
      <w:r>
        <w:separator/>
      </w:r>
    </w:p>
  </w:footnote>
  <w:footnote w:type="continuationSeparator" w:id="0">
    <w:p w14:paraId="631DC06E" w14:textId="77777777" w:rsidR="002B055D" w:rsidRDefault="002B055D" w:rsidP="001A2234">
      <w:r>
        <w:continuationSeparator/>
      </w:r>
    </w:p>
  </w:footnote>
  <w:footnote w:type="continuationNotice" w:id="1">
    <w:p w14:paraId="58D7E7C8" w14:textId="77777777" w:rsidR="002B055D" w:rsidRDefault="002B055D"/>
  </w:footnote>
  <w:footnote w:id="2">
    <w:p w14:paraId="119D71C7" w14:textId="36A9DC97" w:rsidR="002B055D" w:rsidRDefault="002B055D">
      <w:pPr>
        <w:pStyle w:val="FootnoteText"/>
      </w:pPr>
      <w:r>
        <w:rPr>
          <w:rStyle w:val="FootnoteReference"/>
        </w:rPr>
        <w:footnoteRef/>
      </w:r>
      <w:r>
        <w:t xml:space="preserve"> </w:t>
      </w:r>
      <w:r w:rsidRPr="00653A80">
        <w:rPr>
          <w:rFonts w:ascii="Times New Roman" w:hAnsi="Times New Roman"/>
          <w:sz w:val="18"/>
          <w:szCs w:val="18"/>
        </w:rPr>
        <w:t>The discussion paper, topic paper</w:t>
      </w:r>
      <w:r>
        <w:rPr>
          <w:rFonts w:ascii="Times New Roman" w:hAnsi="Times New Roman"/>
          <w:sz w:val="18"/>
          <w:szCs w:val="18"/>
        </w:rPr>
        <w:t>s</w:t>
      </w:r>
      <w:r w:rsidRPr="00653A80">
        <w:rPr>
          <w:rFonts w:ascii="Times New Roman" w:hAnsi="Times New Roman"/>
          <w:sz w:val="18"/>
          <w:szCs w:val="18"/>
        </w:rPr>
        <w:t xml:space="preserve"> and </w:t>
      </w:r>
      <w:r>
        <w:rPr>
          <w:rFonts w:ascii="Times New Roman" w:hAnsi="Times New Roman"/>
          <w:sz w:val="18"/>
          <w:szCs w:val="18"/>
        </w:rPr>
        <w:t>response to consultation</w:t>
      </w:r>
      <w:r w:rsidRPr="00653A80">
        <w:rPr>
          <w:rFonts w:ascii="Times New Roman" w:hAnsi="Times New Roman"/>
          <w:sz w:val="18"/>
          <w:szCs w:val="18"/>
        </w:rPr>
        <w:t xml:space="preserve"> </w:t>
      </w:r>
      <w:r>
        <w:rPr>
          <w:rFonts w:ascii="Times New Roman" w:hAnsi="Times New Roman"/>
          <w:sz w:val="18"/>
          <w:szCs w:val="18"/>
        </w:rPr>
        <w:t xml:space="preserve">together with proposed </w:t>
      </w:r>
      <w:r w:rsidRPr="00653A80">
        <w:rPr>
          <w:rFonts w:ascii="Times New Roman" w:hAnsi="Times New Roman"/>
          <w:sz w:val="18"/>
          <w:szCs w:val="18"/>
        </w:rPr>
        <w:t xml:space="preserve">reporting standards are available on APRA’s website at </w:t>
      </w:r>
      <w:hyperlink r:id="rId1" w:history="1">
        <w:r w:rsidRPr="00653A80">
          <w:rPr>
            <w:rStyle w:val="Hyperlink"/>
            <w:rFonts w:ascii="Times New Roman" w:hAnsi="Times New Roman"/>
            <w:sz w:val="18"/>
            <w:szCs w:val="18"/>
          </w:rPr>
          <w:t>Consultation on APRAs Superannuation Data Transformation</w:t>
        </w:r>
      </w:hyperlink>
      <w:r>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75B"/>
    <w:multiLevelType w:val="hybridMultilevel"/>
    <w:tmpl w:val="B0AAF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175AE3"/>
    <w:multiLevelType w:val="hybridMultilevel"/>
    <w:tmpl w:val="0F00DC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26308"/>
    <w:multiLevelType w:val="hybridMultilevel"/>
    <w:tmpl w:val="06E28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5C7EE0"/>
    <w:multiLevelType w:val="hybridMultilevel"/>
    <w:tmpl w:val="50CAE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6502760"/>
    <w:multiLevelType w:val="hybridMultilevel"/>
    <w:tmpl w:val="FE44102A"/>
    <w:lvl w:ilvl="0" w:tplc="DF5EDD5E">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1DF87BC0"/>
    <w:multiLevelType w:val="hybridMultilevel"/>
    <w:tmpl w:val="EFECDC84"/>
    <w:lvl w:ilvl="0" w:tplc="6F8CE888">
      <w:start w:val="1"/>
      <w:numFmt w:val="decimal"/>
      <w:lvlText w:val="(%1)"/>
      <w:lvlJc w:val="left"/>
      <w:pPr>
        <w:ind w:left="1080" w:hanging="360"/>
      </w:pPr>
      <w:rPr>
        <w:rFonts w:hint="default"/>
      </w:rPr>
    </w:lvl>
    <w:lvl w:ilvl="1" w:tplc="4D424FDA">
      <w:start w:val="1"/>
      <w:numFmt w:val="lowerRoman"/>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1F4A1EC4"/>
    <w:multiLevelType w:val="hybridMultilevel"/>
    <w:tmpl w:val="6968260C"/>
    <w:lvl w:ilvl="0" w:tplc="4F94535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934033"/>
    <w:multiLevelType w:val="hybridMultilevel"/>
    <w:tmpl w:val="72047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1874D2"/>
    <w:multiLevelType w:val="hybridMultilevel"/>
    <w:tmpl w:val="00E481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C7418AD"/>
    <w:multiLevelType w:val="hybridMultilevel"/>
    <w:tmpl w:val="9586C0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413538"/>
    <w:multiLevelType w:val="hybridMultilevel"/>
    <w:tmpl w:val="3184E936"/>
    <w:lvl w:ilvl="0" w:tplc="B916154A">
      <w:start w:val="1"/>
      <w:numFmt w:val="lowerRoman"/>
      <w:lvlText w:val="(%1)"/>
      <w:lvlJc w:val="left"/>
      <w:pPr>
        <w:ind w:left="1489" w:hanging="720"/>
      </w:pPr>
      <w:rPr>
        <w:rFonts w:hint="default"/>
      </w:rPr>
    </w:lvl>
    <w:lvl w:ilvl="1" w:tplc="0C090019" w:tentative="1">
      <w:start w:val="1"/>
      <w:numFmt w:val="lowerLetter"/>
      <w:lvlText w:val="%2."/>
      <w:lvlJc w:val="left"/>
      <w:pPr>
        <w:ind w:left="1849" w:hanging="360"/>
      </w:pPr>
    </w:lvl>
    <w:lvl w:ilvl="2" w:tplc="0C09001B" w:tentative="1">
      <w:start w:val="1"/>
      <w:numFmt w:val="lowerRoman"/>
      <w:lvlText w:val="%3."/>
      <w:lvlJc w:val="right"/>
      <w:pPr>
        <w:ind w:left="2569" w:hanging="180"/>
      </w:pPr>
    </w:lvl>
    <w:lvl w:ilvl="3" w:tplc="0C09000F" w:tentative="1">
      <w:start w:val="1"/>
      <w:numFmt w:val="decimal"/>
      <w:lvlText w:val="%4."/>
      <w:lvlJc w:val="left"/>
      <w:pPr>
        <w:ind w:left="3289" w:hanging="360"/>
      </w:pPr>
    </w:lvl>
    <w:lvl w:ilvl="4" w:tplc="0C090019" w:tentative="1">
      <w:start w:val="1"/>
      <w:numFmt w:val="lowerLetter"/>
      <w:lvlText w:val="%5."/>
      <w:lvlJc w:val="left"/>
      <w:pPr>
        <w:ind w:left="4009" w:hanging="360"/>
      </w:pPr>
    </w:lvl>
    <w:lvl w:ilvl="5" w:tplc="0C09001B" w:tentative="1">
      <w:start w:val="1"/>
      <w:numFmt w:val="lowerRoman"/>
      <w:lvlText w:val="%6."/>
      <w:lvlJc w:val="right"/>
      <w:pPr>
        <w:ind w:left="4729" w:hanging="180"/>
      </w:pPr>
    </w:lvl>
    <w:lvl w:ilvl="6" w:tplc="0C09000F" w:tentative="1">
      <w:start w:val="1"/>
      <w:numFmt w:val="decimal"/>
      <w:lvlText w:val="%7."/>
      <w:lvlJc w:val="left"/>
      <w:pPr>
        <w:ind w:left="5449" w:hanging="360"/>
      </w:pPr>
    </w:lvl>
    <w:lvl w:ilvl="7" w:tplc="0C090019" w:tentative="1">
      <w:start w:val="1"/>
      <w:numFmt w:val="lowerLetter"/>
      <w:lvlText w:val="%8."/>
      <w:lvlJc w:val="left"/>
      <w:pPr>
        <w:ind w:left="6169" w:hanging="360"/>
      </w:pPr>
    </w:lvl>
    <w:lvl w:ilvl="8" w:tplc="0C09001B" w:tentative="1">
      <w:start w:val="1"/>
      <w:numFmt w:val="lowerRoman"/>
      <w:lvlText w:val="%9."/>
      <w:lvlJc w:val="right"/>
      <w:pPr>
        <w:ind w:left="6889" w:hanging="180"/>
      </w:pPr>
    </w:lvl>
  </w:abstractNum>
  <w:abstractNum w:abstractNumId="12" w15:restartNumberingAfterBreak="0">
    <w:nsid w:val="335F78A9"/>
    <w:multiLevelType w:val="hybridMultilevel"/>
    <w:tmpl w:val="558C6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DF369A"/>
    <w:multiLevelType w:val="hybridMultilevel"/>
    <w:tmpl w:val="D62C1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D15727"/>
    <w:multiLevelType w:val="hybridMultilevel"/>
    <w:tmpl w:val="5A4EC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AB5EDB"/>
    <w:multiLevelType w:val="multilevel"/>
    <w:tmpl w:val="5BCC1FC6"/>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Wingdings"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Wingdings"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FBB20C9"/>
    <w:multiLevelType w:val="multilevel"/>
    <w:tmpl w:val="5BCC1F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D207F31"/>
    <w:multiLevelType w:val="hybridMultilevel"/>
    <w:tmpl w:val="7A2A04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F831C3F"/>
    <w:multiLevelType w:val="multilevel"/>
    <w:tmpl w:val="BB9E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476557"/>
    <w:multiLevelType w:val="hybridMultilevel"/>
    <w:tmpl w:val="10587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0793D96"/>
    <w:multiLevelType w:val="hybridMultilevel"/>
    <w:tmpl w:val="1B1EA214"/>
    <w:lvl w:ilvl="0" w:tplc="8E62EB3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1DA3D61"/>
    <w:multiLevelType w:val="hybridMultilevel"/>
    <w:tmpl w:val="1590B1A6"/>
    <w:lvl w:ilvl="0" w:tplc="02245D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9B17A3F"/>
    <w:multiLevelType w:val="multilevel"/>
    <w:tmpl w:val="4218048E"/>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6D5A6C8F"/>
    <w:multiLevelType w:val="hybridMultilevel"/>
    <w:tmpl w:val="FF723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2F330A"/>
    <w:multiLevelType w:val="hybridMultilevel"/>
    <w:tmpl w:val="A112B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FB2223"/>
    <w:multiLevelType w:val="hybridMultilevel"/>
    <w:tmpl w:val="A210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226749F"/>
    <w:multiLevelType w:val="hybridMultilevel"/>
    <w:tmpl w:val="306E5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3F66B9"/>
    <w:multiLevelType w:val="hybridMultilevel"/>
    <w:tmpl w:val="3DCE9A3C"/>
    <w:lvl w:ilvl="0" w:tplc="6F8CE888">
      <w:start w:val="1"/>
      <w:numFmt w:val="decimal"/>
      <w:lvlText w:val="(%1)"/>
      <w:lvlJc w:val="left"/>
      <w:pPr>
        <w:ind w:left="1080" w:hanging="360"/>
      </w:pPr>
      <w:rPr>
        <w:rFonts w:hint="default"/>
      </w:rPr>
    </w:lvl>
    <w:lvl w:ilvl="1" w:tplc="C332E7C6">
      <w:start w:val="1"/>
      <w:numFmt w:val="lowerLetter"/>
      <w:lvlText w:val="(%2)"/>
      <w:lvlJc w:val="left"/>
      <w:pPr>
        <w:tabs>
          <w:tab w:val="num" w:pos="1134"/>
        </w:tabs>
        <w:ind w:left="1134" w:hanging="567"/>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7"/>
  </w:num>
  <w:num w:numId="2">
    <w:abstractNumId w:val="4"/>
  </w:num>
  <w:num w:numId="3">
    <w:abstractNumId w:val="22"/>
  </w:num>
  <w:num w:numId="4">
    <w:abstractNumId w:val="6"/>
  </w:num>
  <w:num w:numId="5">
    <w:abstractNumId w:val="11"/>
  </w:num>
  <w:num w:numId="6">
    <w:abstractNumId w:val="5"/>
  </w:num>
  <w:num w:numId="7">
    <w:abstractNumId w:val="14"/>
  </w:num>
  <w:num w:numId="8">
    <w:abstractNumId w:val="13"/>
  </w:num>
  <w:num w:numId="9">
    <w:abstractNumId w:val="18"/>
  </w:num>
  <w:num w:numId="10">
    <w:abstractNumId w:val="23"/>
  </w:num>
  <w:num w:numId="11">
    <w:abstractNumId w:val="28"/>
  </w:num>
  <w:num w:numId="12">
    <w:abstractNumId w:val="2"/>
  </w:num>
  <w:num w:numId="13">
    <w:abstractNumId w:val="12"/>
  </w:num>
  <w:num w:numId="14">
    <w:abstractNumId w:val="21"/>
  </w:num>
  <w:num w:numId="15">
    <w:abstractNumId w:val="7"/>
  </w:num>
  <w:num w:numId="16">
    <w:abstractNumId w:val="19"/>
  </w:num>
  <w:num w:numId="17">
    <w:abstractNumId w:val="10"/>
  </w:num>
  <w:num w:numId="18">
    <w:abstractNumId w:val="1"/>
  </w:num>
  <w:num w:numId="19">
    <w:abstractNumId w:val="16"/>
  </w:num>
  <w:num w:numId="20">
    <w:abstractNumId w:val="15"/>
  </w:num>
  <w:num w:numId="21">
    <w:abstractNumId w:val="20"/>
  </w:num>
  <w:num w:numId="22">
    <w:abstractNumId w:val="27"/>
  </w:num>
  <w:num w:numId="23">
    <w:abstractNumId w:val="24"/>
  </w:num>
  <w:num w:numId="24">
    <w:abstractNumId w:val="0"/>
  </w:num>
  <w:num w:numId="25">
    <w:abstractNumId w:val="25"/>
  </w:num>
  <w:num w:numId="26">
    <w:abstractNumId w:val="26"/>
  </w:num>
  <w:num w:numId="27">
    <w:abstractNumId w:val="9"/>
  </w:num>
  <w:num w:numId="28">
    <w:abstractNumId w:val="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F73"/>
    <w:rsid w:val="00003CBC"/>
    <w:rsid w:val="00005017"/>
    <w:rsid w:val="00010A0B"/>
    <w:rsid w:val="00013128"/>
    <w:rsid w:val="00016EF4"/>
    <w:rsid w:val="00022BE7"/>
    <w:rsid w:val="00024657"/>
    <w:rsid w:val="000255A8"/>
    <w:rsid w:val="00034215"/>
    <w:rsid w:val="000401FC"/>
    <w:rsid w:val="00041635"/>
    <w:rsid w:val="00042309"/>
    <w:rsid w:val="000454E5"/>
    <w:rsid w:val="0005393A"/>
    <w:rsid w:val="00063DD4"/>
    <w:rsid w:val="00074CEB"/>
    <w:rsid w:val="00074DC8"/>
    <w:rsid w:val="00076618"/>
    <w:rsid w:val="00076EA2"/>
    <w:rsid w:val="00083727"/>
    <w:rsid w:val="00084CA6"/>
    <w:rsid w:val="0008681E"/>
    <w:rsid w:val="000A5AA9"/>
    <w:rsid w:val="000A6548"/>
    <w:rsid w:val="000A73B7"/>
    <w:rsid w:val="000B14BD"/>
    <w:rsid w:val="000B2EC3"/>
    <w:rsid w:val="000B5BB6"/>
    <w:rsid w:val="000C0DE7"/>
    <w:rsid w:val="000D28AD"/>
    <w:rsid w:val="000D3451"/>
    <w:rsid w:val="000D4320"/>
    <w:rsid w:val="000D76DC"/>
    <w:rsid w:val="000E0FF5"/>
    <w:rsid w:val="000E15E6"/>
    <w:rsid w:val="000E20F6"/>
    <w:rsid w:val="000E369C"/>
    <w:rsid w:val="000E3A02"/>
    <w:rsid w:val="000F11DF"/>
    <w:rsid w:val="000F68A5"/>
    <w:rsid w:val="00104405"/>
    <w:rsid w:val="001062E7"/>
    <w:rsid w:val="00113307"/>
    <w:rsid w:val="0011393A"/>
    <w:rsid w:val="00117D61"/>
    <w:rsid w:val="0012172F"/>
    <w:rsid w:val="00122C95"/>
    <w:rsid w:val="00126870"/>
    <w:rsid w:val="00130E21"/>
    <w:rsid w:val="001311B2"/>
    <w:rsid w:val="00132748"/>
    <w:rsid w:val="00134D2D"/>
    <w:rsid w:val="0013602B"/>
    <w:rsid w:val="00136799"/>
    <w:rsid w:val="00137F0E"/>
    <w:rsid w:val="00140F4B"/>
    <w:rsid w:val="00142358"/>
    <w:rsid w:val="00143FBB"/>
    <w:rsid w:val="00150334"/>
    <w:rsid w:val="00152B4D"/>
    <w:rsid w:val="00156332"/>
    <w:rsid w:val="00157FF6"/>
    <w:rsid w:val="00162333"/>
    <w:rsid w:val="0016436B"/>
    <w:rsid w:val="0016652D"/>
    <w:rsid w:val="0017314E"/>
    <w:rsid w:val="0018173C"/>
    <w:rsid w:val="00182FA1"/>
    <w:rsid w:val="00183388"/>
    <w:rsid w:val="0018346E"/>
    <w:rsid w:val="001841AA"/>
    <w:rsid w:val="00186609"/>
    <w:rsid w:val="00187486"/>
    <w:rsid w:val="00191481"/>
    <w:rsid w:val="00192DBB"/>
    <w:rsid w:val="001933DF"/>
    <w:rsid w:val="00194899"/>
    <w:rsid w:val="00197B6E"/>
    <w:rsid w:val="001A075E"/>
    <w:rsid w:val="001A2234"/>
    <w:rsid w:val="001A2340"/>
    <w:rsid w:val="001A2ADB"/>
    <w:rsid w:val="001B1768"/>
    <w:rsid w:val="001B18C6"/>
    <w:rsid w:val="001B2471"/>
    <w:rsid w:val="001B2A41"/>
    <w:rsid w:val="001C2D20"/>
    <w:rsid w:val="001C310E"/>
    <w:rsid w:val="001C463B"/>
    <w:rsid w:val="001D5619"/>
    <w:rsid w:val="001E0023"/>
    <w:rsid w:val="001E16B3"/>
    <w:rsid w:val="001E3223"/>
    <w:rsid w:val="001E4FD3"/>
    <w:rsid w:val="001E5253"/>
    <w:rsid w:val="001E7C5A"/>
    <w:rsid w:val="001F6192"/>
    <w:rsid w:val="0020051C"/>
    <w:rsid w:val="0021596D"/>
    <w:rsid w:val="00220080"/>
    <w:rsid w:val="00225D0F"/>
    <w:rsid w:val="0023255A"/>
    <w:rsid w:val="00237F91"/>
    <w:rsid w:val="002429F9"/>
    <w:rsid w:val="002436BD"/>
    <w:rsid w:val="00245634"/>
    <w:rsid w:val="00246723"/>
    <w:rsid w:val="002528EA"/>
    <w:rsid w:val="00261971"/>
    <w:rsid w:val="002647F1"/>
    <w:rsid w:val="00264A03"/>
    <w:rsid w:val="00264B90"/>
    <w:rsid w:val="00267087"/>
    <w:rsid w:val="0027344F"/>
    <w:rsid w:val="00275936"/>
    <w:rsid w:val="0027714F"/>
    <w:rsid w:val="00281F8F"/>
    <w:rsid w:val="00283087"/>
    <w:rsid w:val="00285923"/>
    <w:rsid w:val="00291EEA"/>
    <w:rsid w:val="002A0F07"/>
    <w:rsid w:val="002A1097"/>
    <w:rsid w:val="002A45E8"/>
    <w:rsid w:val="002A5F5F"/>
    <w:rsid w:val="002A73BD"/>
    <w:rsid w:val="002B055D"/>
    <w:rsid w:val="002B526C"/>
    <w:rsid w:val="002B5971"/>
    <w:rsid w:val="002C0701"/>
    <w:rsid w:val="002C2322"/>
    <w:rsid w:val="002C2806"/>
    <w:rsid w:val="002C7225"/>
    <w:rsid w:val="002D2E75"/>
    <w:rsid w:val="002D4BAF"/>
    <w:rsid w:val="002D7C33"/>
    <w:rsid w:val="002F123D"/>
    <w:rsid w:val="002F70A2"/>
    <w:rsid w:val="00300EEF"/>
    <w:rsid w:val="003015DA"/>
    <w:rsid w:val="0030506B"/>
    <w:rsid w:val="00305648"/>
    <w:rsid w:val="00305A9C"/>
    <w:rsid w:val="00305E5F"/>
    <w:rsid w:val="003103F9"/>
    <w:rsid w:val="00310CF8"/>
    <w:rsid w:val="003120F9"/>
    <w:rsid w:val="00312A47"/>
    <w:rsid w:val="00321F78"/>
    <w:rsid w:val="0032371B"/>
    <w:rsid w:val="00331ED2"/>
    <w:rsid w:val="00333AAB"/>
    <w:rsid w:val="00341B48"/>
    <w:rsid w:val="00343074"/>
    <w:rsid w:val="00343D8A"/>
    <w:rsid w:val="003448D8"/>
    <w:rsid w:val="00347E5A"/>
    <w:rsid w:val="003509F8"/>
    <w:rsid w:val="00351AA8"/>
    <w:rsid w:val="00354CB8"/>
    <w:rsid w:val="00361F8E"/>
    <w:rsid w:val="00374D0B"/>
    <w:rsid w:val="00380068"/>
    <w:rsid w:val="00382846"/>
    <w:rsid w:val="003843DB"/>
    <w:rsid w:val="00384D39"/>
    <w:rsid w:val="00385F12"/>
    <w:rsid w:val="003866AD"/>
    <w:rsid w:val="003977AE"/>
    <w:rsid w:val="003A52A5"/>
    <w:rsid w:val="003B07B2"/>
    <w:rsid w:val="003B1BE0"/>
    <w:rsid w:val="003B5047"/>
    <w:rsid w:val="003B6294"/>
    <w:rsid w:val="003C18BE"/>
    <w:rsid w:val="003C2C17"/>
    <w:rsid w:val="003D3708"/>
    <w:rsid w:val="003D5032"/>
    <w:rsid w:val="003E1EE1"/>
    <w:rsid w:val="003E4F75"/>
    <w:rsid w:val="003E68B4"/>
    <w:rsid w:val="003E74CF"/>
    <w:rsid w:val="003F54B3"/>
    <w:rsid w:val="003F7007"/>
    <w:rsid w:val="003F712D"/>
    <w:rsid w:val="004015E8"/>
    <w:rsid w:val="0040175E"/>
    <w:rsid w:val="00404BBB"/>
    <w:rsid w:val="00407710"/>
    <w:rsid w:val="00410FEB"/>
    <w:rsid w:val="004139D9"/>
    <w:rsid w:val="00415D24"/>
    <w:rsid w:val="0042051B"/>
    <w:rsid w:val="00420DB0"/>
    <w:rsid w:val="00422164"/>
    <w:rsid w:val="00425D5C"/>
    <w:rsid w:val="004275FF"/>
    <w:rsid w:val="00427A88"/>
    <w:rsid w:val="00432E57"/>
    <w:rsid w:val="00433DB7"/>
    <w:rsid w:val="00434568"/>
    <w:rsid w:val="00435131"/>
    <w:rsid w:val="004358D0"/>
    <w:rsid w:val="0043679F"/>
    <w:rsid w:val="00443A02"/>
    <w:rsid w:val="00444FA8"/>
    <w:rsid w:val="004455DC"/>
    <w:rsid w:val="0044570C"/>
    <w:rsid w:val="00453D19"/>
    <w:rsid w:val="00453D3C"/>
    <w:rsid w:val="00454EB8"/>
    <w:rsid w:val="00456409"/>
    <w:rsid w:val="00456BE0"/>
    <w:rsid w:val="00464570"/>
    <w:rsid w:val="004706AC"/>
    <w:rsid w:val="00473A51"/>
    <w:rsid w:val="004776F6"/>
    <w:rsid w:val="00481AC4"/>
    <w:rsid w:val="00482857"/>
    <w:rsid w:val="004829D5"/>
    <w:rsid w:val="00482F85"/>
    <w:rsid w:val="00484C8D"/>
    <w:rsid w:val="00491310"/>
    <w:rsid w:val="00495E5D"/>
    <w:rsid w:val="00496F10"/>
    <w:rsid w:val="004979E4"/>
    <w:rsid w:val="004A0545"/>
    <w:rsid w:val="004A14E0"/>
    <w:rsid w:val="004A5B28"/>
    <w:rsid w:val="004A707E"/>
    <w:rsid w:val="004A79F9"/>
    <w:rsid w:val="004B4101"/>
    <w:rsid w:val="004C2BF6"/>
    <w:rsid w:val="004C3D07"/>
    <w:rsid w:val="004C6B5B"/>
    <w:rsid w:val="004D6193"/>
    <w:rsid w:val="004E0BC3"/>
    <w:rsid w:val="004E1F17"/>
    <w:rsid w:val="004E1FC5"/>
    <w:rsid w:val="004E2008"/>
    <w:rsid w:val="004E48D2"/>
    <w:rsid w:val="004E5201"/>
    <w:rsid w:val="004E6D9E"/>
    <w:rsid w:val="004F2722"/>
    <w:rsid w:val="004F2954"/>
    <w:rsid w:val="004F3323"/>
    <w:rsid w:val="004F70BE"/>
    <w:rsid w:val="005002DD"/>
    <w:rsid w:val="00500CB3"/>
    <w:rsid w:val="00503CB0"/>
    <w:rsid w:val="005056CC"/>
    <w:rsid w:val="00511825"/>
    <w:rsid w:val="00514AE1"/>
    <w:rsid w:val="005152C0"/>
    <w:rsid w:val="0051575B"/>
    <w:rsid w:val="005373BC"/>
    <w:rsid w:val="00540092"/>
    <w:rsid w:val="00540311"/>
    <w:rsid w:val="00541A8B"/>
    <w:rsid w:val="00545F91"/>
    <w:rsid w:val="0054691F"/>
    <w:rsid w:val="00546B73"/>
    <w:rsid w:val="00546DC7"/>
    <w:rsid w:val="005470F2"/>
    <w:rsid w:val="005502D1"/>
    <w:rsid w:val="00552287"/>
    <w:rsid w:val="005568DD"/>
    <w:rsid w:val="00556D12"/>
    <w:rsid w:val="0056141D"/>
    <w:rsid w:val="00561601"/>
    <w:rsid w:val="0056429F"/>
    <w:rsid w:val="005666AB"/>
    <w:rsid w:val="00566B0B"/>
    <w:rsid w:val="005711FF"/>
    <w:rsid w:val="00575541"/>
    <w:rsid w:val="00580FC3"/>
    <w:rsid w:val="00583F21"/>
    <w:rsid w:val="00585BF8"/>
    <w:rsid w:val="005860A8"/>
    <w:rsid w:val="00590F40"/>
    <w:rsid w:val="005953C6"/>
    <w:rsid w:val="005A32C7"/>
    <w:rsid w:val="005A51DD"/>
    <w:rsid w:val="005A56C4"/>
    <w:rsid w:val="005A76F1"/>
    <w:rsid w:val="005B23F8"/>
    <w:rsid w:val="005B382F"/>
    <w:rsid w:val="005B4E19"/>
    <w:rsid w:val="005C33BD"/>
    <w:rsid w:val="005C719E"/>
    <w:rsid w:val="005D4287"/>
    <w:rsid w:val="005D6B8C"/>
    <w:rsid w:val="005E32A0"/>
    <w:rsid w:val="005E5910"/>
    <w:rsid w:val="005F297E"/>
    <w:rsid w:val="005F7DAA"/>
    <w:rsid w:val="006048A6"/>
    <w:rsid w:val="00607829"/>
    <w:rsid w:val="00607A2D"/>
    <w:rsid w:val="006105FE"/>
    <w:rsid w:val="00610CFB"/>
    <w:rsid w:val="00613F01"/>
    <w:rsid w:val="006142AE"/>
    <w:rsid w:val="00614388"/>
    <w:rsid w:val="00616B20"/>
    <w:rsid w:val="006202A3"/>
    <w:rsid w:val="006203E0"/>
    <w:rsid w:val="00622480"/>
    <w:rsid w:val="00625256"/>
    <w:rsid w:val="00631116"/>
    <w:rsid w:val="00635169"/>
    <w:rsid w:val="006417BC"/>
    <w:rsid w:val="006432C1"/>
    <w:rsid w:val="00644CBA"/>
    <w:rsid w:val="0064541B"/>
    <w:rsid w:val="00647D58"/>
    <w:rsid w:val="00652745"/>
    <w:rsid w:val="00653A80"/>
    <w:rsid w:val="006544E1"/>
    <w:rsid w:val="00657678"/>
    <w:rsid w:val="00666614"/>
    <w:rsid w:val="00682865"/>
    <w:rsid w:val="00684900"/>
    <w:rsid w:val="00684F73"/>
    <w:rsid w:val="00686217"/>
    <w:rsid w:val="00692C2F"/>
    <w:rsid w:val="00694694"/>
    <w:rsid w:val="0069697E"/>
    <w:rsid w:val="006A43F1"/>
    <w:rsid w:val="006B093F"/>
    <w:rsid w:val="006B0B74"/>
    <w:rsid w:val="006B4575"/>
    <w:rsid w:val="006B4B39"/>
    <w:rsid w:val="006C591F"/>
    <w:rsid w:val="006C59B9"/>
    <w:rsid w:val="006C6747"/>
    <w:rsid w:val="006C7241"/>
    <w:rsid w:val="006C77B1"/>
    <w:rsid w:val="006D5269"/>
    <w:rsid w:val="006D6CB4"/>
    <w:rsid w:val="006D7FC6"/>
    <w:rsid w:val="006E7887"/>
    <w:rsid w:val="006F1C44"/>
    <w:rsid w:val="00701CC8"/>
    <w:rsid w:val="007031F4"/>
    <w:rsid w:val="007049CF"/>
    <w:rsid w:val="00707277"/>
    <w:rsid w:val="00714138"/>
    <w:rsid w:val="00724F0B"/>
    <w:rsid w:val="007257DC"/>
    <w:rsid w:val="00727500"/>
    <w:rsid w:val="00727948"/>
    <w:rsid w:val="00730E49"/>
    <w:rsid w:val="00732365"/>
    <w:rsid w:val="00732B2B"/>
    <w:rsid w:val="007368AD"/>
    <w:rsid w:val="00736D41"/>
    <w:rsid w:val="00736D9A"/>
    <w:rsid w:val="007428D4"/>
    <w:rsid w:val="007430E5"/>
    <w:rsid w:val="00745C6F"/>
    <w:rsid w:val="00746BE2"/>
    <w:rsid w:val="00747AFF"/>
    <w:rsid w:val="00750523"/>
    <w:rsid w:val="00756284"/>
    <w:rsid w:val="00756E47"/>
    <w:rsid w:val="00763651"/>
    <w:rsid w:val="00766B3D"/>
    <w:rsid w:val="0077264F"/>
    <w:rsid w:val="0077361A"/>
    <w:rsid w:val="00774796"/>
    <w:rsid w:val="007762DA"/>
    <w:rsid w:val="00781232"/>
    <w:rsid w:val="00781AE3"/>
    <w:rsid w:val="00782722"/>
    <w:rsid w:val="0078519B"/>
    <w:rsid w:val="00785A49"/>
    <w:rsid w:val="00785CDC"/>
    <w:rsid w:val="00786F9A"/>
    <w:rsid w:val="007901F4"/>
    <w:rsid w:val="0079175F"/>
    <w:rsid w:val="00792DAE"/>
    <w:rsid w:val="00795201"/>
    <w:rsid w:val="00796D9A"/>
    <w:rsid w:val="007A1CC7"/>
    <w:rsid w:val="007A4F89"/>
    <w:rsid w:val="007A58E8"/>
    <w:rsid w:val="007A7582"/>
    <w:rsid w:val="007A7591"/>
    <w:rsid w:val="007C1197"/>
    <w:rsid w:val="007C2298"/>
    <w:rsid w:val="007C3839"/>
    <w:rsid w:val="007C537E"/>
    <w:rsid w:val="007C642F"/>
    <w:rsid w:val="007D0BEE"/>
    <w:rsid w:val="007D39FD"/>
    <w:rsid w:val="007D3E28"/>
    <w:rsid w:val="007D54B9"/>
    <w:rsid w:val="007E4B2A"/>
    <w:rsid w:val="007E7660"/>
    <w:rsid w:val="007F3897"/>
    <w:rsid w:val="007F59E2"/>
    <w:rsid w:val="007F7D4A"/>
    <w:rsid w:val="0080080F"/>
    <w:rsid w:val="0080158E"/>
    <w:rsid w:val="00802197"/>
    <w:rsid w:val="008076A9"/>
    <w:rsid w:val="008134E4"/>
    <w:rsid w:val="0082518E"/>
    <w:rsid w:val="00830F66"/>
    <w:rsid w:val="008317DE"/>
    <w:rsid w:val="00832289"/>
    <w:rsid w:val="0083316F"/>
    <w:rsid w:val="00834123"/>
    <w:rsid w:val="00834676"/>
    <w:rsid w:val="00835BD9"/>
    <w:rsid w:val="00836975"/>
    <w:rsid w:val="00840442"/>
    <w:rsid w:val="00852EAD"/>
    <w:rsid w:val="008558B1"/>
    <w:rsid w:val="00862488"/>
    <w:rsid w:val="00864003"/>
    <w:rsid w:val="00871E54"/>
    <w:rsid w:val="008743AE"/>
    <w:rsid w:val="00874919"/>
    <w:rsid w:val="00875AAB"/>
    <w:rsid w:val="00876DC2"/>
    <w:rsid w:val="008804FA"/>
    <w:rsid w:val="0088398A"/>
    <w:rsid w:val="00886CA5"/>
    <w:rsid w:val="00890C79"/>
    <w:rsid w:val="00892D63"/>
    <w:rsid w:val="0089439B"/>
    <w:rsid w:val="00895DAC"/>
    <w:rsid w:val="008A33CD"/>
    <w:rsid w:val="008A78EE"/>
    <w:rsid w:val="008B659C"/>
    <w:rsid w:val="008D587D"/>
    <w:rsid w:val="008E00D9"/>
    <w:rsid w:val="008E143B"/>
    <w:rsid w:val="008E2E3D"/>
    <w:rsid w:val="008E3AED"/>
    <w:rsid w:val="008E5808"/>
    <w:rsid w:val="008F2233"/>
    <w:rsid w:val="008F275E"/>
    <w:rsid w:val="008F5F23"/>
    <w:rsid w:val="00901D3C"/>
    <w:rsid w:val="00902344"/>
    <w:rsid w:val="009110B6"/>
    <w:rsid w:val="00913D6D"/>
    <w:rsid w:val="009145DF"/>
    <w:rsid w:val="009226AE"/>
    <w:rsid w:val="00922FBC"/>
    <w:rsid w:val="00923688"/>
    <w:rsid w:val="009320C4"/>
    <w:rsid w:val="00932EFA"/>
    <w:rsid w:val="009356BF"/>
    <w:rsid w:val="009373B3"/>
    <w:rsid w:val="009437EF"/>
    <w:rsid w:val="009439CF"/>
    <w:rsid w:val="00946CF6"/>
    <w:rsid w:val="009501E9"/>
    <w:rsid w:val="00957D06"/>
    <w:rsid w:val="009626AB"/>
    <w:rsid w:val="00963012"/>
    <w:rsid w:val="009660F6"/>
    <w:rsid w:val="00967D16"/>
    <w:rsid w:val="00973452"/>
    <w:rsid w:val="009769FE"/>
    <w:rsid w:val="00976A34"/>
    <w:rsid w:val="00976B40"/>
    <w:rsid w:val="009817EA"/>
    <w:rsid w:val="00981D3A"/>
    <w:rsid w:val="00987321"/>
    <w:rsid w:val="009A5F1A"/>
    <w:rsid w:val="009B02DA"/>
    <w:rsid w:val="009B0F2E"/>
    <w:rsid w:val="009B17A9"/>
    <w:rsid w:val="009B67A8"/>
    <w:rsid w:val="009C0141"/>
    <w:rsid w:val="009C2760"/>
    <w:rsid w:val="009C3963"/>
    <w:rsid w:val="009C5368"/>
    <w:rsid w:val="009D29E6"/>
    <w:rsid w:val="009D340B"/>
    <w:rsid w:val="009D53FE"/>
    <w:rsid w:val="009D708F"/>
    <w:rsid w:val="009E06CA"/>
    <w:rsid w:val="009E3856"/>
    <w:rsid w:val="009E5BD7"/>
    <w:rsid w:val="009F2C94"/>
    <w:rsid w:val="009F75DC"/>
    <w:rsid w:val="00A03FD1"/>
    <w:rsid w:val="00A10208"/>
    <w:rsid w:val="00A146D2"/>
    <w:rsid w:val="00A25642"/>
    <w:rsid w:val="00A279AF"/>
    <w:rsid w:val="00A31F71"/>
    <w:rsid w:val="00A342FA"/>
    <w:rsid w:val="00A3593E"/>
    <w:rsid w:val="00A36726"/>
    <w:rsid w:val="00A373BE"/>
    <w:rsid w:val="00A37C12"/>
    <w:rsid w:val="00A4133B"/>
    <w:rsid w:val="00A41FC1"/>
    <w:rsid w:val="00A42365"/>
    <w:rsid w:val="00A505BE"/>
    <w:rsid w:val="00A63A2B"/>
    <w:rsid w:val="00A642D7"/>
    <w:rsid w:val="00A66D48"/>
    <w:rsid w:val="00A672CD"/>
    <w:rsid w:val="00A70688"/>
    <w:rsid w:val="00A8208F"/>
    <w:rsid w:val="00A84D83"/>
    <w:rsid w:val="00A870EE"/>
    <w:rsid w:val="00A87248"/>
    <w:rsid w:val="00A92C72"/>
    <w:rsid w:val="00A93727"/>
    <w:rsid w:val="00A94DE9"/>
    <w:rsid w:val="00AA5522"/>
    <w:rsid w:val="00AA68AF"/>
    <w:rsid w:val="00AB2A5E"/>
    <w:rsid w:val="00AB2CA3"/>
    <w:rsid w:val="00AB48C2"/>
    <w:rsid w:val="00AB5039"/>
    <w:rsid w:val="00AB5457"/>
    <w:rsid w:val="00AC0092"/>
    <w:rsid w:val="00AC2517"/>
    <w:rsid w:val="00AC3D87"/>
    <w:rsid w:val="00AC3FF0"/>
    <w:rsid w:val="00AC7A56"/>
    <w:rsid w:val="00AD1E70"/>
    <w:rsid w:val="00AD6628"/>
    <w:rsid w:val="00AE1CB1"/>
    <w:rsid w:val="00AE2CDD"/>
    <w:rsid w:val="00B02803"/>
    <w:rsid w:val="00B02D82"/>
    <w:rsid w:val="00B04B20"/>
    <w:rsid w:val="00B0589C"/>
    <w:rsid w:val="00B059A1"/>
    <w:rsid w:val="00B11DE6"/>
    <w:rsid w:val="00B124FA"/>
    <w:rsid w:val="00B15CC8"/>
    <w:rsid w:val="00B16668"/>
    <w:rsid w:val="00B173AE"/>
    <w:rsid w:val="00B30316"/>
    <w:rsid w:val="00B44CFC"/>
    <w:rsid w:val="00B46DC7"/>
    <w:rsid w:val="00B4787D"/>
    <w:rsid w:val="00B50C89"/>
    <w:rsid w:val="00B52DDA"/>
    <w:rsid w:val="00B56D20"/>
    <w:rsid w:val="00B60798"/>
    <w:rsid w:val="00B64B2E"/>
    <w:rsid w:val="00B71A9E"/>
    <w:rsid w:val="00B71EB5"/>
    <w:rsid w:val="00B72231"/>
    <w:rsid w:val="00B731B6"/>
    <w:rsid w:val="00B754DC"/>
    <w:rsid w:val="00B81500"/>
    <w:rsid w:val="00B82028"/>
    <w:rsid w:val="00B82913"/>
    <w:rsid w:val="00B84219"/>
    <w:rsid w:val="00B85B6E"/>
    <w:rsid w:val="00B91992"/>
    <w:rsid w:val="00B928A3"/>
    <w:rsid w:val="00B93BFF"/>
    <w:rsid w:val="00B963BE"/>
    <w:rsid w:val="00BA012A"/>
    <w:rsid w:val="00BA4F61"/>
    <w:rsid w:val="00BA5EB2"/>
    <w:rsid w:val="00BA7DA6"/>
    <w:rsid w:val="00BB0F56"/>
    <w:rsid w:val="00BB1678"/>
    <w:rsid w:val="00BB4757"/>
    <w:rsid w:val="00BB71BD"/>
    <w:rsid w:val="00BB7224"/>
    <w:rsid w:val="00BC1783"/>
    <w:rsid w:val="00BC2EEA"/>
    <w:rsid w:val="00BC3E7D"/>
    <w:rsid w:val="00BC609E"/>
    <w:rsid w:val="00BC6E15"/>
    <w:rsid w:val="00BD3D55"/>
    <w:rsid w:val="00BD6360"/>
    <w:rsid w:val="00BD66B1"/>
    <w:rsid w:val="00BE578F"/>
    <w:rsid w:val="00BF2953"/>
    <w:rsid w:val="00BF3059"/>
    <w:rsid w:val="00BF36BC"/>
    <w:rsid w:val="00BF447A"/>
    <w:rsid w:val="00C02366"/>
    <w:rsid w:val="00C0368E"/>
    <w:rsid w:val="00C166F0"/>
    <w:rsid w:val="00C1702B"/>
    <w:rsid w:val="00C17B91"/>
    <w:rsid w:val="00C24691"/>
    <w:rsid w:val="00C26A22"/>
    <w:rsid w:val="00C302FA"/>
    <w:rsid w:val="00C3072D"/>
    <w:rsid w:val="00C31645"/>
    <w:rsid w:val="00C3178E"/>
    <w:rsid w:val="00C3292D"/>
    <w:rsid w:val="00C33045"/>
    <w:rsid w:val="00C41639"/>
    <w:rsid w:val="00C4681D"/>
    <w:rsid w:val="00C47AC0"/>
    <w:rsid w:val="00C51ED7"/>
    <w:rsid w:val="00C53EF6"/>
    <w:rsid w:val="00C53F84"/>
    <w:rsid w:val="00C575A3"/>
    <w:rsid w:val="00C615B4"/>
    <w:rsid w:val="00C638A5"/>
    <w:rsid w:val="00C66C00"/>
    <w:rsid w:val="00C71468"/>
    <w:rsid w:val="00C7217E"/>
    <w:rsid w:val="00C755BD"/>
    <w:rsid w:val="00C809F6"/>
    <w:rsid w:val="00C80B16"/>
    <w:rsid w:val="00C81132"/>
    <w:rsid w:val="00C83956"/>
    <w:rsid w:val="00C948AA"/>
    <w:rsid w:val="00CA33DC"/>
    <w:rsid w:val="00CA5887"/>
    <w:rsid w:val="00CA6CB3"/>
    <w:rsid w:val="00CB0977"/>
    <w:rsid w:val="00CB0F92"/>
    <w:rsid w:val="00CB2DA7"/>
    <w:rsid w:val="00CB384A"/>
    <w:rsid w:val="00CB493B"/>
    <w:rsid w:val="00CB4C18"/>
    <w:rsid w:val="00CB6262"/>
    <w:rsid w:val="00CB7CA6"/>
    <w:rsid w:val="00CC0F76"/>
    <w:rsid w:val="00CC311B"/>
    <w:rsid w:val="00CC37BF"/>
    <w:rsid w:val="00CD154F"/>
    <w:rsid w:val="00CD156A"/>
    <w:rsid w:val="00CD1947"/>
    <w:rsid w:val="00CD2AC4"/>
    <w:rsid w:val="00CD54E6"/>
    <w:rsid w:val="00CE3EF2"/>
    <w:rsid w:val="00CE464A"/>
    <w:rsid w:val="00CF2034"/>
    <w:rsid w:val="00CF33D2"/>
    <w:rsid w:val="00CF39F6"/>
    <w:rsid w:val="00D0253E"/>
    <w:rsid w:val="00D03FA1"/>
    <w:rsid w:val="00D040B5"/>
    <w:rsid w:val="00D045A8"/>
    <w:rsid w:val="00D053F0"/>
    <w:rsid w:val="00D074F0"/>
    <w:rsid w:val="00D0754B"/>
    <w:rsid w:val="00D119F5"/>
    <w:rsid w:val="00D228AE"/>
    <w:rsid w:val="00D23DB2"/>
    <w:rsid w:val="00D23DC9"/>
    <w:rsid w:val="00D34368"/>
    <w:rsid w:val="00D3484E"/>
    <w:rsid w:val="00D36C7E"/>
    <w:rsid w:val="00D36F73"/>
    <w:rsid w:val="00D3747A"/>
    <w:rsid w:val="00D377AD"/>
    <w:rsid w:val="00D46939"/>
    <w:rsid w:val="00D46E2B"/>
    <w:rsid w:val="00D50699"/>
    <w:rsid w:val="00D51C9B"/>
    <w:rsid w:val="00D53555"/>
    <w:rsid w:val="00D605BC"/>
    <w:rsid w:val="00D61C83"/>
    <w:rsid w:val="00D64906"/>
    <w:rsid w:val="00D67AAA"/>
    <w:rsid w:val="00D70C8A"/>
    <w:rsid w:val="00D74DC3"/>
    <w:rsid w:val="00D8024E"/>
    <w:rsid w:val="00D81A80"/>
    <w:rsid w:val="00D82577"/>
    <w:rsid w:val="00D83531"/>
    <w:rsid w:val="00D868DD"/>
    <w:rsid w:val="00D87E36"/>
    <w:rsid w:val="00D9039E"/>
    <w:rsid w:val="00D912B0"/>
    <w:rsid w:val="00D937D6"/>
    <w:rsid w:val="00D9504F"/>
    <w:rsid w:val="00DA3D1A"/>
    <w:rsid w:val="00DA6D66"/>
    <w:rsid w:val="00DA75D4"/>
    <w:rsid w:val="00DB0979"/>
    <w:rsid w:val="00DB2009"/>
    <w:rsid w:val="00DB2B8C"/>
    <w:rsid w:val="00DB3811"/>
    <w:rsid w:val="00DB6F00"/>
    <w:rsid w:val="00DC198B"/>
    <w:rsid w:val="00DC275E"/>
    <w:rsid w:val="00DC72B6"/>
    <w:rsid w:val="00DD0D3B"/>
    <w:rsid w:val="00DD2E63"/>
    <w:rsid w:val="00DD3580"/>
    <w:rsid w:val="00DD7060"/>
    <w:rsid w:val="00DE0DE0"/>
    <w:rsid w:val="00DE183E"/>
    <w:rsid w:val="00DE686A"/>
    <w:rsid w:val="00DE73C3"/>
    <w:rsid w:val="00DF3D38"/>
    <w:rsid w:val="00DF524E"/>
    <w:rsid w:val="00DF6ADB"/>
    <w:rsid w:val="00E013A9"/>
    <w:rsid w:val="00E04A23"/>
    <w:rsid w:val="00E14C55"/>
    <w:rsid w:val="00E15497"/>
    <w:rsid w:val="00E154A3"/>
    <w:rsid w:val="00E158B2"/>
    <w:rsid w:val="00E16789"/>
    <w:rsid w:val="00E1742D"/>
    <w:rsid w:val="00E201A8"/>
    <w:rsid w:val="00E241B7"/>
    <w:rsid w:val="00E27C58"/>
    <w:rsid w:val="00E3334F"/>
    <w:rsid w:val="00E3435D"/>
    <w:rsid w:val="00E4750A"/>
    <w:rsid w:val="00E52DFE"/>
    <w:rsid w:val="00E53788"/>
    <w:rsid w:val="00E56C5E"/>
    <w:rsid w:val="00E5706E"/>
    <w:rsid w:val="00E615E5"/>
    <w:rsid w:val="00E61B19"/>
    <w:rsid w:val="00E62E09"/>
    <w:rsid w:val="00E652A5"/>
    <w:rsid w:val="00E66223"/>
    <w:rsid w:val="00E71180"/>
    <w:rsid w:val="00E72515"/>
    <w:rsid w:val="00E73BA6"/>
    <w:rsid w:val="00E86DE1"/>
    <w:rsid w:val="00E90C89"/>
    <w:rsid w:val="00E91BF6"/>
    <w:rsid w:val="00E97236"/>
    <w:rsid w:val="00EA68BB"/>
    <w:rsid w:val="00EB3130"/>
    <w:rsid w:val="00EB42E3"/>
    <w:rsid w:val="00EC0EF0"/>
    <w:rsid w:val="00EC0FDD"/>
    <w:rsid w:val="00EC5653"/>
    <w:rsid w:val="00EC5FA9"/>
    <w:rsid w:val="00EC6664"/>
    <w:rsid w:val="00EC6B9A"/>
    <w:rsid w:val="00EE01F2"/>
    <w:rsid w:val="00EE3647"/>
    <w:rsid w:val="00EE55B8"/>
    <w:rsid w:val="00EF02F5"/>
    <w:rsid w:val="00EF204F"/>
    <w:rsid w:val="00EF3B98"/>
    <w:rsid w:val="00EF41AB"/>
    <w:rsid w:val="00F1182B"/>
    <w:rsid w:val="00F1353F"/>
    <w:rsid w:val="00F372EB"/>
    <w:rsid w:val="00F436BC"/>
    <w:rsid w:val="00F456FD"/>
    <w:rsid w:val="00F51001"/>
    <w:rsid w:val="00F510E0"/>
    <w:rsid w:val="00F52F57"/>
    <w:rsid w:val="00F57F16"/>
    <w:rsid w:val="00F61821"/>
    <w:rsid w:val="00F6497B"/>
    <w:rsid w:val="00F709D1"/>
    <w:rsid w:val="00F70B8C"/>
    <w:rsid w:val="00F714E0"/>
    <w:rsid w:val="00F71CD3"/>
    <w:rsid w:val="00F7706D"/>
    <w:rsid w:val="00F828B8"/>
    <w:rsid w:val="00F93BD5"/>
    <w:rsid w:val="00F93F35"/>
    <w:rsid w:val="00F950EB"/>
    <w:rsid w:val="00FA5345"/>
    <w:rsid w:val="00FB07B1"/>
    <w:rsid w:val="00FB2629"/>
    <w:rsid w:val="00FC3FC5"/>
    <w:rsid w:val="00FC587F"/>
    <w:rsid w:val="00FC6BE4"/>
    <w:rsid w:val="00FD346B"/>
    <w:rsid w:val="00FE44FC"/>
    <w:rsid w:val="00FE5F57"/>
    <w:rsid w:val="00FE6037"/>
    <w:rsid w:val="00FE61D2"/>
    <w:rsid w:val="00FE6CF8"/>
    <w:rsid w:val="00FF21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44AE173B"/>
  <w15:docId w15:val="{7BFA3E2D-D120-4196-A912-ABFDEF270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semiHidden="1" w:uiPriority="6" w:unhideWhenUsed="1" w:qFormat="1"/>
    <w:lsdException w:name="heading 3" w:semiHidden="1" w:uiPriority="7" w:unhideWhenUsed="1" w:qFormat="1"/>
    <w:lsdException w:name="heading 4" w:semiHidden="1" w:uiPriority="3" w:unhideWhenUsed="1" w:qFormat="1"/>
    <w:lsdException w:name="heading 5" w:semiHidden="1" w:uiPriority="4" w:unhideWhenUsed="1" w:qFormat="1"/>
    <w:lsdException w:name="heading 6" w:semiHidden="1" w:uiPriority="8"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customStyle="1" w:styleId="heading0">
    <w:name w:val="heading"/>
    <w:basedOn w:val="Normal"/>
    <w:rsid w:val="001A2ADB"/>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1A2234"/>
    <w:pPr>
      <w:tabs>
        <w:tab w:val="center" w:pos="4513"/>
        <w:tab w:val="right" w:pos="9026"/>
      </w:tabs>
    </w:pPr>
  </w:style>
  <w:style w:type="character" w:customStyle="1" w:styleId="HeaderChar">
    <w:name w:val="Header Char"/>
    <w:basedOn w:val="DefaultParagraphFont"/>
    <w:link w:val="Header"/>
    <w:uiPriority w:val="99"/>
    <w:rsid w:val="001A2234"/>
    <w:rPr>
      <w:rFonts w:ascii="Trebuchet MS" w:eastAsia="Times New Roman" w:hAnsi="Trebuchet MS"/>
      <w:sz w:val="22"/>
    </w:rPr>
  </w:style>
  <w:style w:type="paragraph" w:styleId="Footer">
    <w:name w:val="footer"/>
    <w:basedOn w:val="Normal"/>
    <w:link w:val="FooterChar"/>
    <w:uiPriority w:val="99"/>
    <w:unhideWhenUsed/>
    <w:rsid w:val="001A2234"/>
    <w:pPr>
      <w:tabs>
        <w:tab w:val="center" w:pos="4513"/>
        <w:tab w:val="right" w:pos="9026"/>
      </w:tabs>
    </w:pPr>
  </w:style>
  <w:style w:type="character" w:customStyle="1" w:styleId="FooterChar">
    <w:name w:val="Footer Char"/>
    <w:basedOn w:val="DefaultParagraphFont"/>
    <w:link w:val="Footer"/>
    <w:uiPriority w:val="99"/>
    <w:rsid w:val="001A2234"/>
    <w:rPr>
      <w:rFonts w:ascii="Trebuchet MS" w:eastAsia="Times New Roman" w:hAnsi="Trebuchet MS"/>
      <w:sz w:val="22"/>
    </w:rPr>
  </w:style>
  <w:style w:type="paragraph" w:styleId="FootnoteText">
    <w:name w:val="footnote text"/>
    <w:basedOn w:val="Normal"/>
    <w:link w:val="FootnoteTextChar"/>
    <w:uiPriority w:val="99"/>
    <w:semiHidden/>
    <w:unhideWhenUsed/>
    <w:rsid w:val="00DA3D1A"/>
    <w:rPr>
      <w:sz w:val="20"/>
    </w:rPr>
  </w:style>
  <w:style w:type="character" w:customStyle="1" w:styleId="FootnoteTextChar">
    <w:name w:val="Footnote Text Char"/>
    <w:basedOn w:val="DefaultParagraphFont"/>
    <w:link w:val="FootnoteText"/>
    <w:uiPriority w:val="99"/>
    <w:semiHidden/>
    <w:rsid w:val="00DA3D1A"/>
    <w:rPr>
      <w:rFonts w:ascii="Trebuchet MS" w:eastAsia="Times New Roman" w:hAnsi="Trebuchet MS"/>
    </w:rPr>
  </w:style>
  <w:style w:type="character" w:styleId="FootnoteReference">
    <w:name w:val="footnote reference"/>
    <w:basedOn w:val="DefaultParagraphFont"/>
    <w:uiPriority w:val="99"/>
    <w:semiHidden/>
    <w:unhideWhenUsed/>
    <w:rsid w:val="00DA3D1A"/>
    <w:rPr>
      <w:vertAlign w:val="superscript"/>
    </w:rPr>
  </w:style>
  <w:style w:type="paragraph" w:customStyle="1" w:styleId="APRANORMAL">
    <w:name w:val="APRA NORMAL"/>
    <w:basedOn w:val="Normal"/>
    <w:link w:val="APRANORMALChar"/>
    <w:qFormat/>
    <w:rsid w:val="00275936"/>
    <w:pPr>
      <w:spacing w:after="240"/>
    </w:pPr>
    <w:rPr>
      <w:rFonts w:ascii="DIN OT Light" w:eastAsiaTheme="minorHAnsi" w:hAnsi="DIN OT Light"/>
      <w:szCs w:val="22"/>
      <w:lang w:val="en-GB" w:eastAsia="en-US"/>
    </w:rPr>
  </w:style>
  <w:style w:type="character" w:customStyle="1" w:styleId="APRANORMALChar">
    <w:name w:val="APRA NORMAL Char"/>
    <w:basedOn w:val="DefaultParagraphFont"/>
    <w:link w:val="APRANORMAL"/>
    <w:rsid w:val="00275936"/>
    <w:rPr>
      <w:rFonts w:ascii="DIN OT Light" w:eastAsiaTheme="minorHAnsi" w:hAnsi="DIN OT Light"/>
      <w:sz w:val="22"/>
      <w:szCs w:val="22"/>
      <w:lang w:val="en-GB" w:eastAsia="en-US"/>
    </w:rPr>
  </w:style>
  <w:style w:type="paragraph" w:styleId="List">
    <w:name w:val="List"/>
    <w:basedOn w:val="Normal"/>
    <w:uiPriority w:val="17"/>
    <w:qFormat/>
    <w:rsid w:val="004A14E0"/>
    <w:pPr>
      <w:tabs>
        <w:tab w:val="num" w:pos="425"/>
      </w:tabs>
      <w:spacing w:after="240"/>
      <w:ind w:left="425" w:hanging="425"/>
    </w:pPr>
    <w:rPr>
      <w:rFonts w:ascii="DIN OT Light" w:eastAsiaTheme="minorHAnsi" w:hAnsi="DIN OT Light" w:cstheme="minorBidi"/>
      <w:color w:val="000000"/>
      <w:szCs w:val="22"/>
      <w:lang w:eastAsia="en-US"/>
    </w:rPr>
  </w:style>
  <w:style w:type="paragraph" w:styleId="List2">
    <w:name w:val="List 2"/>
    <w:basedOn w:val="Normal"/>
    <w:uiPriority w:val="17"/>
    <w:qFormat/>
    <w:rsid w:val="004A14E0"/>
    <w:pPr>
      <w:tabs>
        <w:tab w:val="num" w:pos="851"/>
      </w:tabs>
      <w:spacing w:after="240"/>
      <w:ind w:left="851" w:hanging="426"/>
    </w:pPr>
    <w:rPr>
      <w:rFonts w:ascii="DIN OT Light" w:eastAsiaTheme="minorHAnsi" w:hAnsi="DIN OT Light" w:cstheme="minorBidi"/>
      <w:color w:val="000000"/>
      <w:szCs w:val="22"/>
      <w:lang w:eastAsia="en-US"/>
    </w:rPr>
  </w:style>
  <w:style w:type="paragraph" w:styleId="List3">
    <w:name w:val="List 3"/>
    <w:basedOn w:val="Normal"/>
    <w:uiPriority w:val="17"/>
    <w:qFormat/>
    <w:rsid w:val="004A14E0"/>
    <w:pPr>
      <w:tabs>
        <w:tab w:val="num" w:pos="1276"/>
      </w:tabs>
      <w:spacing w:after="240"/>
      <w:ind w:left="1276" w:hanging="425"/>
    </w:pPr>
    <w:rPr>
      <w:rFonts w:ascii="DIN OT Light" w:eastAsiaTheme="minorHAnsi" w:hAnsi="DIN OT Light" w:cstheme="minorBidi"/>
      <w:color w:val="000000"/>
      <w:szCs w:val="22"/>
      <w:lang w:eastAsia="en-US"/>
    </w:rPr>
  </w:style>
  <w:style w:type="character" w:styleId="FollowedHyperlink">
    <w:name w:val="FollowedHyperlink"/>
    <w:basedOn w:val="DefaultParagraphFont"/>
    <w:uiPriority w:val="99"/>
    <w:semiHidden/>
    <w:unhideWhenUsed/>
    <w:rsid w:val="00684900"/>
    <w:rPr>
      <w:color w:val="800080" w:themeColor="followedHyperlink"/>
      <w:u w:val="single"/>
    </w:rPr>
  </w:style>
  <w:style w:type="paragraph" w:styleId="Revision">
    <w:name w:val="Revision"/>
    <w:hidden/>
    <w:uiPriority w:val="99"/>
    <w:semiHidden/>
    <w:rsid w:val="002C2322"/>
    <w:rPr>
      <w:rFonts w:ascii="Trebuchet MS" w:eastAsia="Times New Roman" w:hAnsi="Trebuchet MS"/>
      <w:sz w:val="22"/>
    </w:rPr>
  </w:style>
  <w:style w:type="character" w:styleId="UnresolvedMention">
    <w:name w:val="Unresolved Mention"/>
    <w:basedOn w:val="DefaultParagraphFont"/>
    <w:uiPriority w:val="99"/>
    <w:semiHidden/>
    <w:unhideWhenUsed/>
    <w:rsid w:val="00DB3811"/>
    <w:rPr>
      <w:color w:val="605E5C"/>
      <w:shd w:val="clear" w:color="auto" w:fill="E1DFDD"/>
    </w:rPr>
  </w:style>
  <w:style w:type="paragraph" w:customStyle="1" w:styleId="apraheading2">
    <w:name w:val="apraheading2"/>
    <w:basedOn w:val="Normal"/>
    <w:rsid w:val="007A4F89"/>
    <w:pPr>
      <w:spacing w:before="100" w:beforeAutospacing="1" w:after="100" w:afterAutospacing="1"/>
    </w:pPr>
    <w:rPr>
      <w:rFonts w:ascii="Times New Roman" w:hAnsi="Times New Roman"/>
      <w:sz w:val="24"/>
      <w:szCs w:val="24"/>
    </w:rPr>
  </w:style>
  <w:style w:type="paragraph" w:customStyle="1" w:styleId="acthead5">
    <w:name w:val="acthead5"/>
    <w:basedOn w:val="Normal"/>
    <w:rsid w:val="0027344F"/>
    <w:pPr>
      <w:spacing w:before="100" w:beforeAutospacing="1" w:after="100" w:afterAutospacing="1"/>
    </w:pPr>
    <w:rPr>
      <w:rFonts w:ascii="Times New Roman" w:hAnsi="Times New Roman"/>
      <w:sz w:val="24"/>
      <w:szCs w:val="24"/>
    </w:rPr>
  </w:style>
  <w:style w:type="character" w:customStyle="1" w:styleId="charsectno">
    <w:name w:val="charsectno"/>
    <w:basedOn w:val="DefaultParagraphFont"/>
    <w:rsid w:val="0027344F"/>
  </w:style>
  <w:style w:type="paragraph" w:customStyle="1" w:styleId="subsection">
    <w:name w:val="subsection"/>
    <w:basedOn w:val="Normal"/>
    <w:rsid w:val="0027344F"/>
    <w:pPr>
      <w:spacing w:before="100" w:beforeAutospacing="1" w:after="100" w:afterAutospacing="1"/>
    </w:pPr>
    <w:rPr>
      <w:rFonts w:ascii="Times New Roman" w:hAnsi="Times New Roman"/>
      <w:sz w:val="24"/>
      <w:szCs w:val="24"/>
    </w:rPr>
  </w:style>
  <w:style w:type="paragraph" w:customStyle="1" w:styleId="paragraph">
    <w:name w:val="paragraph"/>
    <w:basedOn w:val="Normal"/>
    <w:rsid w:val="0027344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0976">
      <w:bodyDiv w:val="1"/>
      <w:marLeft w:val="0"/>
      <w:marRight w:val="0"/>
      <w:marTop w:val="0"/>
      <w:marBottom w:val="0"/>
      <w:divBdr>
        <w:top w:val="none" w:sz="0" w:space="0" w:color="auto"/>
        <w:left w:val="none" w:sz="0" w:space="0" w:color="auto"/>
        <w:bottom w:val="none" w:sz="0" w:space="0" w:color="auto"/>
        <w:right w:val="none" w:sz="0" w:space="0" w:color="auto"/>
      </w:divBdr>
    </w:div>
    <w:div w:id="295575515">
      <w:bodyDiv w:val="1"/>
      <w:marLeft w:val="0"/>
      <w:marRight w:val="0"/>
      <w:marTop w:val="0"/>
      <w:marBottom w:val="0"/>
      <w:divBdr>
        <w:top w:val="none" w:sz="0" w:space="0" w:color="auto"/>
        <w:left w:val="none" w:sz="0" w:space="0" w:color="auto"/>
        <w:bottom w:val="none" w:sz="0" w:space="0" w:color="auto"/>
        <w:right w:val="none" w:sz="0" w:space="0" w:color="auto"/>
      </w:divBdr>
    </w:div>
    <w:div w:id="490753126">
      <w:bodyDiv w:val="1"/>
      <w:marLeft w:val="0"/>
      <w:marRight w:val="0"/>
      <w:marTop w:val="0"/>
      <w:marBottom w:val="0"/>
      <w:divBdr>
        <w:top w:val="none" w:sz="0" w:space="0" w:color="auto"/>
        <w:left w:val="none" w:sz="0" w:space="0" w:color="auto"/>
        <w:bottom w:val="none" w:sz="0" w:space="0" w:color="auto"/>
        <w:right w:val="none" w:sz="0" w:space="0" w:color="auto"/>
      </w:divBdr>
    </w:div>
    <w:div w:id="876551041">
      <w:bodyDiv w:val="1"/>
      <w:marLeft w:val="0"/>
      <w:marRight w:val="0"/>
      <w:marTop w:val="0"/>
      <w:marBottom w:val="0"/>
      <w:divBdr>
        <w:top w:val="none" w:sz="0" w:space="0" w:color="auto"/>
        <w:left w:val="none" w:sz="0" w:space="0" w:color="auto"/>
        <w:bottom w:val="none" w:sz="0" w:space="0" w:color="auto"/>
        <w:right w:val="none" w:sz="0" w:space="0" w:color="auto"/>
      </w:divBdr>
    </w:div>
    <w:div w:id="1053894344">
      <w:bodyDiv w:val="1"/>
      <w:marLeft w:val="0"/>
      <w:marRight w:val="0"/>
      <w:marTop w:val="0"/>
      <w:marBottom w:val="0"/>
      <w:divBdr>
        <w:top w:val="none" w:sz="0" w:space="0" w:color="auto"/>
        <w:left w:val="none" w:sz="0" w:space="0" w:color="auto"/>
        <w:bottom w:val="none" w:sz="0" w:space="0" w:color="auto"/>
        <w:right w:val="none" w:sz="0" w:space="0" w:color="auto"/>
      </w:divBdr>
    </w:div>
    <w:div w:id="1085883020">
      <w:bodyDiv w:val="1"/>
      <w:marLeft w:val="0"/>
      <w:marRight w:val="0"/>
      <w:marTop w:val="0"/>
      <w:marBottom w:val="0"/>
      <w:divBdr>
        <w:top w:val="none" w:sz="0" w:space="0" w:color="auto"/>
        <w:left w:val="none" w:sz="0" w:space="0" w:color="auto"/>
        <w:bottom w:val="none" w:sz="0" w:space="0" w:color="auto"/>
        <w:right w:val="none" w:sz="0" w:space="0" w:color="auto"/>
      </w:divBdr>
    </w:div>
    <w:div w:id="1411850290">
      <w:bodyDiv w:val="1"/>
      <w:marLeft w:val="0"/>
      <w:marRight w:val="0"/>
      <w:marTop w:val="0"/>
      <w:marBottom w:val="0"/>
      <w:divBdr>
        <w:top w:val="none" w:sz="0" w:space="0" w:color="auto"/>
        <w:left w:val="none" w:sz="0" w:space="0" w:color="auto"/>
        <w:bottom w:val="none" w:sz="0" w:space="0" w:color="auto"/>
        <w:right w:val="none" w:sz="0" w:space="0" w:color="auto"/>
      </w:divBdr>
    </w:div>
    <w:div w:id="1457605760">
      <w:bodyDiv w:val="1"/>
      <w:marLeft w:val="0"/>
      <w:marRight w:val="0"/>
      <w:marTop w:val="0"/>
      <w:marBottom w:val="0"/>
      <w:divBdr>
        <w:top w:val="none" w:sz="0" w:space="0" w:color="auto"/>
        <w:left w:val="none" w:sz="0" w:space="0" w:color="auto"/>
        <w:bottom w:val="none" w:sz="0" w:space="0" w:color="auto"/>
        <w:right w:val="none" w:sz="0" w:space="0" w:color="auto"/>
      </w:divBdr>
    </w:div>
    <w:div w:id="1553693740">
      <w:bodyDiv w:val="1"/>
      <w:marLeft w:val="0"/>
      <w:marRight w:val="0"/>
      <w:marTop w:val="0"/>
      <w:marBottom w:val="0"/>
      <w:divBdr>
        <w:top w:val="none" w:sz="0" w:space="0" w:color="auto"/>
        <w:left w:val="none" w:sz="0" w:space="0" w:color="auto"/>
        <w:bottom w:val="none" w:sz="0" w:space="0" w:color="auto"/>
        <w:right w:val="none" w:sz="0" w:space="0" w:color="auto"/>
      </w:divBdr>
      <w:divsChild>
        <w:div w:id="573199765">
          <w:marLeft w:val="0"/>
          <w:marRight w:val="0"/>
          <w:marTop w:val="0"/>
          <w:marBottom w:val="0"/>
          <w:divBdr>
            <w:top w:val="none" w:sz="0" w:space="0" w:color="auto"/>
            <w:left w:val="none" w:sz="0" w:space="0" w:color="auto"/>
            <w:bottom w:val="none" w:sz="0" w:space="0" w:color="auto"/>
            <w:right w:val="none" w:sz="0" w:space="0" w:color="auto"/>
          </w:divBdr>
          <w:divsChild>
            <w:div w:id="1756517109">
              <w:marLeft w:val="0"/>
              <w:marRight w:val="0"/>
              <w:marTop w:val="0"/>
              <w:marBottom w:val="0"/>
              <w:divBdr>
                <w:top w:val="none" w:sz="0" w:space="0" w:color="auto"/>
                <w:left w:val="none" w:sz="0" w:space="0" w:color="auto"/>
                <w:bottom w:val="none" w:sz="0" w:space="0" w:color="auto"/>
                <w:right w:val="none" w:sz="0" w:space="0" w:color="auto"/>
              </w:divBdr>
              <w:divsChild>
                <w:div w:id="726145315">
                  <w:marLeft w:val="0"/>
                  <w:marRight w:val="0"/>
                  <w:marTop w:val="0"/>
                  <w:marBottom w:val="0"/>
                  <w:divBdr>
                    <w:top w:val="none" w:sz="0" w:space="0" w:color="auto"/>
                    <w:left w:val="none" w:sz="0" w:space="0" w:color="auto"/>
                    <w:bottom w:val="none" w:sz="0" w:space="0" w:color="auto"/>
                    <w:right w:val="none" w:sz="0" w:space="0" w:color="auto"/>
                  </w:divBdr>
                  <w:divsChild>
                    <w:div w:id="1193955011">
                      <w:marLeft w:val="0"/>
                      <w:marRight w:val="0"/>
                      <w:marTop w:val="0"/>
                      <w:marBottom w:val="0"/>
                      <w:divBdr>
                        <w:top w:val="none" w:sz="0" w:space="0" w:color="auto"/>
                        <w:left w:val="none" w:sz="0" w:space="0" w:color="auto"/>
                        <w:bottom w:val="none" w:sz="0" w:space="0" w:color="auto"/>
                        <w:right w:val="none" w:sz="0" w:space="0" w:color="auto"/>
                      </w:divBdr>
                      <w:divsChild>
                        <w:div w:id="742290262">
                          <w:marLeft w:val="0"/>
                          <w:marRight w:val="0"/>
                          <w:marTop w:val="0"/>
                          <w:marBottom w:val="0"/>
                          <w:divBdr>
                            <w:top w:val="single" w:sz="6" w:space="0" w:color="828282"/>
                            <w:left w:val="single" w:sz="6" w:space="0" w:color="828282"/>
                            <w:bottom w:val="single" w:sz="6" w:space="0" w:color="828282"/>
                            <w:right w:val="single" w:sz="6" w:space="0" w:color="828282"/>
                          </w:divBdr>
                          <w:divsChild>
                            <w:div w:id="1622147667">
                              <w:marLeft w:val="0"/>
                              <w:marRight w:val="0"/>
                              <w:marTop w:val="0"/>
                              <w:marBottom w:val="0"/>
                              <w:divBdr>
                                <w:top w:val="none" w:sz="0" w:space="0" w:color="auto"/>
                                <w:left w:val="none" w:sz="0" w:space="0" w:color="auto"/>
                                <w:bottom w:val="none" w:sz="0" w:space="0" w:color="auto"/>
                                <w:right w:val="none" w:sz="0" w:space="0" w:color="auto"/>
                              </w:divBdr>
                              <w:divsChild>
                                <w:div w:id="108164630">
                                  <w:marLeft w:val="0"/>
                                  <w:marRight w:val="0"/>
                                  <w:marTop w:val="0"/>
                                  <w:marBottom w:val="0"/>
                                  <w:divBdr>
                                    <w:top w:val="none" w:sz="0" w:space="0" w:color="auto"/>
                                    <w:left w:val="none" w:sz="0" w:space="0" w:color="auto"/>
                                    <w:bottom w:val="none" w:sz="0" w:space="0" w:color="auto"/>
                                    <w:right w:val="none" w:sz="0" w:space="0" w:color="auto"/>
                                  </w:divBdr>
                                  <w:divsChild>
                                    <w:div w:id="477498711">
                                      <w:marLeft w:val="0"/>
                                      <w:marRight w:val="0"/>
                                      <w:marTop w:val="0"/>
                                      <w:marBottom w:val="0"/>
                                      <w:divBdr>
                                        <w:top w:val="none" w:sz="0" w:space="0" w:color="auto"/>
                                        <w:left w:val="none" w:sz="0" w:space="0" w:color="auto"/>
                                        <w:bottom w:val="none" w:sz="0" w:space="0" w:color="auto"/>
                                        <w:right w:val="none" w:sz="0" w:space="0" w:color="auto"/>
                                      </w:divBdr>
                                      <w:divsChild>
                                        <w:div w:id="78527543">
                                          <w:marLeft w:val="0"/>
                                          <w:marRight w:val="0"/>
                                          <w:marTop w:val="0"/>
                                          <w:marBottom w:val="0"/>
                                          <w:divBdr>
                                            <w:top w:val="none" w:sz="0" w:space="0" w:color="auto"/>
                                            <w:left w:val="none" w:sz="0" w:space="0" w:color="auto"/>
                                            <w:bottom w:val="none" w:sz="0" w:space="0" w:color="auto"/>
                                            <w:right w:val="none" w:sz="0" w:space="0" w:color="auto"/>
                                          </w:divBdr>
                                          <w:divsChild>
                                            <w:div w:id="108356869">
                                              <w:marLeft w:val="0"/>
                                              <w:marRight w:val="0"/>
                                              <w:marTop w:val="0"/>
                                              <w:marBottom w:val="0"/>
                                              <w:divBdr>
                                                <w:top w:val="none" w:sz="0" w:space="0" w:color="auto"/>
                                                <w:left w:val="none" w:sz="0" w:space="0" w:color="auto"/>
                                                <w:bottom w:val="none" w:sz="0" w:space="0" w:color="auto"/>
                                                <w:right w:val="none" w:sz="0" w:space="0" w:color="auto"/>
                                              </w:divBdr>
                                              <w:divsChild>
                                                <w:div w:id="10274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consultation-on-apras-superannuation-data-trans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d726035f-8ad9-4a90-be0c-8b54d1f23eca</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reporting standard; example;</APRAKeywords>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134</Value>
      <Value>83</Value>
      <Value>234</Value>
      <Value>265</Value>
      <Value>26</Value>
      <Value>93</Value>
      <Value>24</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Financial Sector (Collection of Data) (reporting standard) determinations No. 13-22 of 2021</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5JENXJJSCC7A-445999044-11757</_dlc_DocId>
    <_dlc_DocIdUrl xmlns="814d62cb-2db6-4c25-ab62-b9075facbc11">
      <Url>https://im/teams/LEGAL/_layouts/15/DocIdRedir.aspx?ID=5JENXJJSCC7A-445999044-11757</Url>
      <Description>5JENXJJSCC7A-445999044-11757</Description>
    </_dlc_DocIdUrl>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18D38C-D932-412C-95A6-68E40AD167C8}">
  <ds:schemaRefs>
    <ds:schemaRef ds:uri="http://schemas.microsoft.com/sharepoint/v3/contenttype/forms"/>
  </ds:schemaRefs>
</ds:datastoreItem>
</file>

<file path=customXml/itemProps2.xml><?xml version="1.0" encoding="utf-8"?>
<ds:datastoreItem xmlns:ds="http://schemas.openxmlformats.org/officeDocument/2006/customXml" ds:itemID="{DB3F3930-8F30-4340-BB0D-55086A2676BA}">
  <ds:schemaRefs>
    <ds:schemaRef ds:uri="http://schemas.openxmlformats.org/officeDocument/2006/bibliography"/>
  </ds:schemaRefs>
</ds:datastoreItem>
</file>

<file path=customXml/itemProps3.xml><?xml version="1.0" encoding="utf-8"?>
<ds:datastoreItem xmlns:ds="http://schemas.openxmlformats.org/officeDocument/2006/customXml" ds:itemID="{3B74E0B5-57C2-4781-900D-667EC70EB54A}">
  <ds:schemaRefs>
    <ds:schemaRef ds:uri="http://schemas.microsoft.com/office/infopath/2007/PartnerControls"/>
    <ds:schemaRef ds:uri="http://schemas.microsoft.com/office/2006/documentManagement/types"/>
    <ds:schemaRef ds:uri="814d62cb-2db6-4c25-ab62-b9075facbc11"/>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s>
</ds:datastoreItem>
</file>

<file path=customXml/itemProps4.xml><?xml version="1.0" encoding="utf-8"?>
<ds:datastoreItem xmlns:ds="http://schemas.openxmlformats.org/officeDocument/2006/customXml" ds:itemID="{85E297C6-CF98-4C4A-BCE7-8A821FCDEB33}">
  <ds:schemaRefs>
    <ds:schemaRef ds:uri="Microsoft.SharePoint.Taxonomy.ContentTypeSync"/>
  </ds:schemaRefs>
</ds:datastoreItem>
</file>

<file path=customXml/itemProps5.xml><?xml version="1.0" encoding="utf-8"?>
<ds:datastoreItem xmlns:ds="http://schemas.openxmlformats.org/officeDocument/2006/customXml" ds:itemID="{71E27640-2520-4D76-AA1E-5D1C4824C1DA}">
  <ds:schemaRefs>
    <ds:schemaRef ds:uri="http://schemas.microsoft.com/sharepoint/events"/>
  </ds:schemaRefs>
</ds:datastoreItem>
</file>

<file path=customXml/itemProps6.xml><?xml version="1.0" encoding="utf-8"?>
<ds:datastoreItem xmlns:ds="http://schemas.openxmlformats.org/officeDocument/2006/customXml" ds:itemID="{388BB7BE-C4A4-4C44-90FC-07BE53F09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2710</Words>
  <Characters>16048</Characters>
  <Application>Microsoft Office Word</Application>
  <DocSecurity>0</DocSecurity>
  <Lines>286</Lines>
  <Paragraphs>109</Paragraphs>
  <ScaleCrop>false</ScaleCrop>
  <HeadingPairs>
    <vt:vector size="2" baseType="variant">
      <vt:variant>
        <vt:lpstr>Title</vt:lpstr>
      </vt:variant>
      <vt:variant>
        <vt:i4>1</vt:i4>
      </vt:variant>
    </vt:vector>
  </HeadingPairs>
  <TitlesOfParts>
    <vt:vector size="1" baseType="lpstr">
      <vt:lpstr>ES - FS(COD)(RS) determination No 13-22 of 2021</vt:lpstr>
    </vt:vector>
  </TitlesOfParts>
  <Company>APRA</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FS(COD)(RS) determination No 13-22 of 2021</dc:title>
  <dc:creator>Sullivan, David</dc:creator>
  <cp:keywords>[SEC=OFFICIAL]</cp:keywords>
  <cp:lastModifiedBy>Toni Michalis</cp:lastModifiedBy>
  <cp:revision>2</cp:revision>
  <cp:lastPrinted>2019-11-29T01:09:00Z</cp:lastPrinted>
  <dcterms:created xsi:type="dcterms:W3CDTF">2022-06-08T01:20:00Z</dcterms:created>
  <dcterms:modified xsi:type="dcterms:W3CDTF">2022-06-08T01:20:00Z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Hash_SHA1">
    <vt:lpwstr>736AAECD40479C19FE9CC226E329F9D3CE378FBD</vt:lpwstr>
  </property>
  <property fmtid="{D5CDD505-2E9C-101B-9397-08002B2CF9AE}" pid="8" name="PM_ProtectiveMarkingImage_Header">
    <vt:lpwstr>C:\Program Files\Common Files\janusNET Shared\janusSEAL\Images\DocumentSlashBlue.png</vt:lpwstr>
  </property>
  <property fmtid="{D5CDD505-2E9C-101B-9397-08002B2CF9AE}" pid="9" name="PM_InsertionValue">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Originating_FileId">
    <vt:lpwstr>3B0CCB2A9D064597B35F04C89ED4A370</vt:lpwstr>
  </property>
  <property fmtid="{D5CDD505-2E9C-101B-9397-08002B2CF9AE}" pid="15" name="PM_OriginationTimeStamp">
    <vt:lpwstr>2022-06-08T01:19:48Z</vt:lpwstr>
  </property>
  <property fmtid="{D5CDD505-2E9C-101B-9397-08002B2CF9AE}" pid="16" name="PM_Hash_Version">
    <vt:lpwstr>2018.0</vt:lpwstr>
  </property>
  <property fmtid="{D5CDD505-2E9C-101B-9397-08002B2CF9AE}" pid="17" name="PM_Hash_Salt_Prev">
    <vt:lpwstr>03956224E0E25C3B31F92797A7233E32</vt:lpwstr>
  </property>
  <property fmtid="{D5CDD505-2E9C-101B-9397-08002B2CF9AE}" pid="18" name="PM_Hash_Salt">
    <vt:lpwstr>F618DC34F38B0BD2EBA30D09DDF2124C</vt:lpwstr>
  </property>
  <property fmtid="{D5CDD505-2E9C-101B-9397-08002B2CF9AE}" pid="19" name="PM_MinimumSecurityClassification">
    <vt:lpwstr/>
  </property>
  <property fmtid="{D5CDD505-2E9C-101B-9397-08002B2CF9AE}" pid="20" name="ContentTypeId">
    <vt:lpwstr>0x0101008CA7A4F8331B45C7B0D3158B4994D0CA0200577EC0F5A1FBFC498F9A8436B963F8A6</vt:lpwstr>
  </property>
  <property fmtid="{D5CDD505-2E9C-101B-9397-08002B2CF9AE}" pid="21" name="APRAPeriod">
    <vt:lpwstr/>
  </property>
  <property fmtid="{D5CDD505-2E9C-101B-9397-08002B2CF9AE}" pid="22"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3" name="APRAYear">
    <vt:lpwstr>230;#2021|0e1e43df-81ea-47af-89d8-970d5d5956ff</vt:lpwstr>
  </property>
  <property fmtid="{D5CDD505-2E9C-101B-9397-08002B2CF9AE}" pid="24" name="APRAIndustry">
    <vt:lpwstr/>
  </property>
  <property fmtid="{D5CDD505-2E9C-101B-9397-08002B2CF9AE}" pid="25" name="APRAPRSG">
    <vt:lpwstr/>
  </property>
  <property fmtid="{D5CDD505-2E9C-101B-9397-08002B2CF9AE}" pid="26" name="_dlc_DocIdItemGuid">
    <vt:lpwstr>d992d0d7-ce03-438b-baae-a5b4a760d60e</vt:lpwstr>
  </property>
  <property fmtid="{D5CDD505-2E9C-101B-9397-08002B2CF9AE}" pid="27" name="IsLocked">
    <vt:lpwstr>Yes</vt:lpwstr>
  </property>
  <property fmtid="{D5CDD505-2E9C-101B-9397-08002B2CF9AE}" pid="28" name="IT system type">
    <vt:lpwstr/>
  </property>
  <property fmtid="{D5CDD505-2E9C-101B-9397-08002B2CF9AE}" pid="29" name="APRACategory">
    <vt:lpwstr/>
  </property>
  <property fmtid="{D5CDD505-2E9C-101B-9397-08002B2CF9AE}" pid="30" name="APRADocumentType">
    <vt:lpwstr>234;#Explanatory statement|b22f2e2f-3f73-411b-9a7c-34264d26fa25</vt:lpwstr>
  </property>
  <property fmtid="{D5CDD505-2E9C-101B-9397-08002B2CF9AE}" pid="31" name="APRAStatus">
    <vt:lpwstr>19;#Final|84d6b2d0-8498-4d62-bf46-bab38babbe9e</vt:lpwstr>
  </property>
  <property fmtid="{D5CDD505-2E9C-101B-9397-08002B2CF9AE}" pid="32" name="APRAActivity">
    <vt:lpwstr>265;#Reporting|d726035f-8ad9-4a90-be0c-8b54d1f23eca</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WebId">
    <vt:lpwstr>{75a71c27-8d66-4282-ae60-1bfc22a83be1}</vt:lpwstr>
  </property>
  <property fmtid="{D5CDD505-2E9C-101B-9397-08002B2CF9AE}" pid="39" name="RecordPoint_ActiveItemSiteId">
    <vt:lpwstr>{88691c01-5bbb-4215-adc0-66cb7065b0af}</vt:lpwstr>
  </property>
  <property fmtid="{D5CDD505-2E9C-101B-9397-08002B2CF9AE}" pid="40" name="RecordPoint_ActiveItemListId">
    <vt:lpwstr>{0e59e171-09d8-4401-800a-327154450cb3}</vt:lpwstr>
  </property>
  <property fmtid="{D5CDD505-2E9C-101B-9397-08002B2CF9AE}" pid="41" name="RecordPoint_ActiveItemUniqueId">
    <vt:lpwstr>{d992d0d7-ce03-438b-baae-a5b4a760d60e}</vt:lpwstr>
  </property>
  <property fmtid="{D5CDD505-2E9C-101B-9397-08002B2CF9AE}" pid="42" name="RecordPoint_RecordNumberSubmitted">
    <vt:lpwstr>R0001597106</vt:lpwstr>
  </property>
  <property fmtid="{D5CDD505-2E9C-101B-9397-08002B2CF9AE}" pid="43" name="RecordPoint_SubmissionDate">
    <vt:lpwstr/>
  </property>
  <property fmtid="{D5CDD505-2E9C-101B-9397-08002B2CF9AE}" pid="44" name="RecordPoint_ActiveItemMoved">
    <vt:lpwstr/>
  </property>
  <property fmtid="{D5CDD505-2E9C-101B-9397-08002B2CF9AE}" pid="45" name="RecordPoint_RecordFormat">
    <vt:lpwstr/>
  </property>
  <property fmtid="{D5CDD505-2E9C-101B-9397-08002B2CF9AE}" pid="46" name="RecordPoint_SubmissionCompleted">
    <vt:lpwstr>2022-06-08T11:30:44.9861992+10:00</vt:lpwstr>
  </property>
  <property fmtid="{D5CDD505-2E9C-101B-9397-08002B2CF9AE}" pid="47" name="PM_SecurityClassification_Prev">
    <vt:lpwstr>OFFICIAL</vt:lpwstr>
  </property>
  <property fmtid="{D5CDD505-2E9C-101B-9397-08002B2CF9AE}" pid="48" name="PM_Qualifier_Prev">
    <vt:lpwstr/>
  </property>
  <property fmtid="{D5CDD505-2E9C-101B-9397-08002B2CF9AE}" pid="49" name="PM_Note">
    <vt:lpwstr/>
  </property>
  <property fmtid="{D5CDD505-2E9C-101B-9397-08002B2CF9AE}" pid="50" name="PM_Markers">
    <vt:lpwstr/>
  </property>
  <property fmtid="{D5CDD505-2E9C-101B-9397-08002B2CF9AE}" pid="51" name="_docset_NoMedatataSyncRequired">
    <vt:lpwstr>False</vt:lpwstr>
  </property>
  <property fmtid="{D5CDD505-2E9C-101B-9397-08002B2CF9AE}" pid="52" name="PM_Originator_Hash_SHA1">
    <vt:lpwstr>C3AD57350F36D8E1BD75F8F67CB06D435C9C43CA</vt:lpwstr>
  </property>
  <property fmtid="{D5CDD505-2E9C-101B-9397-08002B2CF9AE}" pid="53" name="PM_Display">
    <vt:lpwstr>OFFICIAL</vt:lpwstr>
  </property>
  <property fmtid="{D5CDD505-2E9C-101B-9397-08002B2CF9AE}" pid="54" name="PM_OriginatorUserAccountName_SHA256">
    <vt:lpwstr>6E3018F28A186D2E5FF5207C041E7A82E907C3008E071057026A53705873B72E</vt:lpwstr>
  </property>
  <property fmtid="{D5CDD505-2E9C-101B-9397-08002B2CF9AE}" pid="55" name="PM_OriginatorDomainName_SHA256">
    <vt:lpwstr>ECBDE2B44A971754412B3FB70606937A119CC0D4B6C1B658A40FBD41C30BE3EC</vt:lpwstr>
  </property>
  <property fmtid="{D5CDD505-2E9C-101B-9397-08002B2CF9AE}" pid="56" name="PMUuid">
    <vt:lpwstr>2A74E7A6-2821-5142-8C4A-BF7684DF216B</vt:lpwstr>
  </property>
  <property fmtid="{D5CDD505-2E9C-101B-9397-08002B2CF9AE}" pid="57" name="PMUuidVer">
    <vt:lpwstr>2022.1</vt:lpwstr>
  </property>
</Properties>
</file>