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3D511" w14:textId="77777777" w:rsidR="00955175" w:rsidRDefault="00955175" w:rsidP="00E2168B">
      <w:pPr>
        <w:spacing w:before="280" w:after="240"/>
        <w:rPr>
          <w:b/>
          <w:sz w:val="32"/>
          <w:szCs w:val="32"/>
        </w:rPr>
      </w:pPr>
    </w:p>
    <w:p w14:paraId="1641A886" w14:textId="43DD0BD7" w:rsidR="00955175" w:rsidRPr="0055371C" w:rsidRDefault="00444571" w:rsidP="00E2168B">
      <w:pPr>
        <w:spacing w:before="280" w:after="240"/>
        <w:rPr>
          <w:b/>
          <w:sz w:val="32"/>
          <w:szCs w:val="32"/>
        </w:rPr>
      </w:pPr>
      <w:r w:rsidRPr="0055371C">
        <w:rPr>
          <w:noProof/>
        </w:rPr>
        <w:drawing>
          <wp:anchor distT="0" distB="0" distL="114300" distR="114300" simplePos="0" relativeHeight="251658240" behindDoc="0" locked="0" layoutInCell="1" allowOverlap="1" wp14:anchorId="33B5448A" wp14:editId="21A7F7E0">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FEAE1C3" w14:textId="77777777" w:rsidR="00955175" w:rsidRPr="0055371C" w:rsidRDefault="00955175" w:rsidP="00955175">
      <w:pPr>
        <w:pStyle w:val="LI-Title"/>
        <w:pBdr>
          <w:top w:val="none" w:sz="0" w:space="0" w:color="auto"/>
        </w:pBdr>
        <w:jc w:val="center"/>
      </w:pPr>
    </w:p>
    <w:p w14:paraId="20E3E1D0" w14:textId="77777777" w:rsidR="00955175" w:rsidRPr="0055371C" w:rsidRDefault="00955175" w:rsidP="00955175">
      <w:pPr>
        <w:pStyle w:val="LI-Title"/>
        <w:pBdr>
          <w:top w:val="none" w:sz="0" w:space="0" w:color="auto"/>
        </w:pBdr>
        <w:jc w:val="center"/>
      </w:pPr>
      <w:r w:rsidRPr="0055371C">
        <w:t>Explanatory Statement</w:t>
      </w:r>
    </w:p>
    <w:p w14:paraId="615AB8A9" w14:textId="77777777" w:rsidR="00955175" w:rsidRPr="0055371C" w:rsidRDefault="00955175" w:rsidP="00955175">
      <w:pPr>
        <w:rPr>
          <w:lang w:eastAsia="en-AU"/>
        </w:rPr>
      </w:pPr>
    </w:p>
    <w:p w14:paraId="706B0BE6" w14:textId="5476306A" w:rsidR="00A314FB" w:rsidRPr="0055371C" w:rsidRDefault="00571DD4" w:rsidP="00A314FB">
      <w:pPr>
        <w:jc w:val="center"/>
        <w:rPr>
          <w:b/>
          <w:i/>
          <w:sz w:val="24"/>
          <w:szCs w:val="24"/>
          <w:lang w:eastAsia="en-AU"/>
        </w:rPr>
      </w:pPr>
      <w:r w:rsidRPr="0055371C">
        <w:rPr>
          <w:b/>
          <w:i/>
          <w:sz w:val="24"/>
          <w:szCs w:val="24"/>
          <w:lang w:eastAsia="en-AU"/>
        </w:rPr>
        <w:t>ASIC Corporations (Amendment and Repeal) Instrument 2021/</w:t>
      </w:r>
      <w:r w:rsidR="00EA48B6" w:rsidRPr="0055371C">
        <w:rPr>
          <w:b/>
          <w:i/>
          <w:sz w:val="24"/>
          <w:szCs w:val="24"/>
          <w:lang w:eastAsia="en-AU"/>
        </w:rPr>
        <w:t>799</w:t>
      </w:r>
    </w:p>
    <w:p w14:paraId="55B474F5" w14:textId="77777777" w:rsidR="00C4170B" w:rsidRPr="0055371C" w:rsidRDefault="00C4170B" w:rsidP="00C4170B">
      <w:pPr>
        <w:jc w:val="center"/>
        <w:rPr>
          <w:b/>
          <w:i/>
          <w:sz w:val="28"/>
          <w:szCs w:val="28"/>
          <w:lang w:eastAsia="en-AU"/>
        </w:rPr>
      </w:pPr>
    </w:p>
    <w:p w14:paraId="06F7C555" w14:textId="1A6F4768" w:rsidR="00863657" w:rsidRPr="0055371C" w:rsidRDefault="00F800C9" w:rsidP="00F800C9">
      <w:pPr>
        <w:pStyle w:val="LI-BodyTextParaa"/>
        <w:ind w:left="0" w:firstLine="0"/>
      </w:pPr>
      <w:bookmarkStart w:id="0" w:name="BK_S3P1L1C1"/>
      <w:bookmarkEnd w:id="0"/>
      <w:r w:rsidRPr="0055371C">
        <w:t>This is the Explanatory Statement for</w:t>
      </w:r>
      <w:r w:rsidR="00A314FB" w:rsidRPr="0055371C">
        <w:t xml:space="preserve"> </w:t>
      </w:r>
      <w:r w:rsidR="00571DD4" w:rsidRPr="0055371C">
        <w:rPr>
          <w:b/>
          <w:bCs/>
          <w:i/>
          <w:iCs/>
        </w:rPr>
        <w:t>ASIC Corporations (Amendment and Repeal) Instrument 2021</w:t>
      </w:r>
      <w:r w:rsidR="00EA48B6" w:rsidRPr="0055371C">
        <w:rPr>
          <w:b/>
          <w:bCs/>
          <w:i/>
          <w:iCs/>
        </w:rPr>
        <w:t>/799</w:t>
      </w:r>
      <w:r w:rsidR="00133FE6" w:rsidRPr="0055371C">
        <w:rPr>
          <w:b/>
          <w:bCs/>
        </w:rPr>
        <w:t xml:space="preserve"> </w:t>
      </w:r>
      <w:r w:rsidR="00113D7D" w:rsidRPr="0055371C">
        <w:t>(the</w:t>
      </w:r>
      <w:r w:rsidR="007F370C" w:rsidRPr="0055371C">
        <w:t xml:space="preserve"> </w:t>
      </w:r>
      <w:r w:rsidR="00133FE6" w:rsidRPr="0055371C">
        <w:rPr>
          <w:b/>
          <w:bCs/>
          <w:i/>
          <w:iCs/>
        </w:rPr>
        <w:t xml:space="preserve">Hawking Amendment </w:t>
      </w:r>
      <w:r w:rsidR="004C4221" w:rsidRPr="0055371C">
        <w:rPr>
          <w:b/>
          <w:bCs/>
          <w:i/>
          <w:iCs/>
        </w:rPr>
        <w:t>I</w:t>
      </w:r>
      <w:r w:rsidR="00113D7D" w:rsidRPr="0055371C">
        <w:rPr>
          <w:b/>
          <w:bCs/>
          <w:i/>
          <w:iCs/>
        </w:rPr>
        <w:t>nstrument</w:t>
      </w:r>
      <w:r w:rsidR="00113D7D" w:rsidRPr="0055371C">
        <w:t>)</w:t>
      </w:r>
      <w:r w:rsidRPr="0055371C">
        <w:t>.</w:t>
      </w:r>
    </w:p>
    <w:p w14:paraId="6A59F7B0" w14:textId="77777777" w:rsidR="00F800C9" w:rsidRPr="00C4170B" w:rsidRDefault="00863657" w:rsidP="00F800C9">
      <w:pPr>
        <w:pStyle w:val="LI-BodyTextParaa"/>
        <w:ind w:left="0" w:firstLine="0"/>
      </w:pPr>
      <w:r w:rsidRPr="0055371C">
        <w:t>Th</w:t>
      </w:r>
      <w:r w:rsidR="00F800C9" w:rsidRPr="0055371C">
        <w:t>e</w:t>
      </w:r>
      <w:r w:rsidRPr="0055371C">
        <w:t xml:space="preserve"> </w:t>
      </w:r>
      <w:r w:rsidR="00F800C9" w:rsidRPr="0055371C">
        <w:t>Explanatory Statement is approved by the Australian Securities and Investments Commission (</w:t>
      </w:r>
      <w:r w:rsidR="00F800C9" w:rsidRPr="0055371C">
        <w:rPr>
          <w:b/>
          <w:i/>
        </w:rPr>
        <w:t>ASIC</w:t>
      </w:r>
      <w:r w:rsidR="00F800C9" w:rsidRPr="0055371C">
        <w:t>).</w:t>
      </w:r>
    </w:p>
    <w:p w14:paraId="1880026B" w14:textId="77777777" w:rsidR="00113D7D" w:rsidRDefault="00113D7D" w:rsidP="00F800C9">
      <w:pPr>
        <w:pStyle w:val="LI-BodyTextNumbered"/>
        <w:ind w:left="0" w:firstLine="0"/>
        <w:rPr>
          <w:b/>
        </w:rPr>
      </w:pPr>
      <w:r>
        <w:rPr>
          <w:b/>
        </w:rPr>
        <w:t>Glossary</w:t>
      </w:r>
    </w:p>
    <w:p w14:paraId="01E9706E" w14:textId="57C9B8E4" w:rsidR="00113D7D" w:rsidRDefault="00113D7D" w:rsidP="00113D7D">
      <w:pPr>
        <w:pStyle w:val="LI-BodyTextParaa"/>
        <w:ind w:left="0" w:firstLine="0"/>
      </w:pPr>
      <w:r>
        <w:t xml:space="preserve">The following definitions are used:  </w:t>
      </w:r>
    </w:p>
    <w:p w14:paraId="342E8065" w14:textId="5A2ED721" w:rsidR="00113D7D" w:rsidRPr="00EA48B6" w:rsidRDefault="00113D7D" w:rsidP="00113D7D">
      <w:pPr>
        <w:pStyle w:val="LI-BodyTextUnnumbered"/>
        <w:ind w:left="142"/>
        <w:rPr>
          <w:szCs w:val="24"/>
        </w:rPr>
      </w:pPr>
      <w:r w:rsidRPr="00EA48B6">
        <w:rPr>
          <w:b/>
          <w:i/>
          <w:szCs w:val="24"/>
        </w:rPr>
        <w:t>Corporations Act</w:t>
      </w:r>
      <w:r w:rsidRPr="00EA48B6">
        <w:rPr>
          <w:szCs w:val="24"/>
        </w:rPr>
        <w:t xml:space="preserve"> means the </w:t>
      </w:r>
      <w:r w:rsidRPr="00EA48B6">
        <w:rPr>
          <w:i/>
          <w:szCs w:val="24"/>
        </w:rPr>
        <w:t>Corporations Act 2001</w:t>
      </w:r>
      <w:r w:rsidRPr="00EA48B6">
        <w:rPr>
          <w:szCs w:val="24"/>
        </w:rPr>
        <w:t>.</w:t>
      </w:r>
    </w:p>
    <w:p w14:paraId="16D5709A" w14:textId="2E778F95" w:rsidR="00183CBF" w:rsidRPr="00320FC5" w:rsidRDefault="0044574B" w:rsidP="00320FC5">
      <w:pPr>
        <w:pStyle w:val="LI-BodyTextUnnumbered"/>
        <w:ind w:left="142"/>
        <w:rPr>
          <w:sz w:val="22"/>
          <w:szCs w:val="22"/>
        </w:rPr>
      </w:pPr>
      <w:r>
        <w:rPr>
          <w:b/>
          <w:bCs/>
          <w:i/>
          <w:iCs/>
        </w:rPr>
        <w:t xml:space="preserve">FSRC Reform Act </w:t>
      </w:r>
      <w:r>
        <w:t xml:space="preserve">means the </w:t>
      </w:r>
      <w:r>
        <w:rPr>
          <w:i/>
          <w:iCs/>
        </w:rPr>
        <w:t>Financial Sector Reform (Hayne Royal Commission Response) Act 2020</w:t>
      </w:r>
    </w:p>
    <w:p w14:paraId="4AC91A95" w14:textId="77777777" w:rsidR="00F800C9" w:rsidRPr="0018659E" w:rsidRDefault="00FE2E05" w:rsidP="00F800C9">
      <w:pPr>
        <w:pStyle w:val="LI-BodyTextNumbered"/>
        <w:ind w:left="0" w:firstLine="0"/>
        <w:rPr>
          <w:b/>
        </w:rPr>
      </w:pPr>
      <w:r>
        <w:rPr>
          <w:b/>
        </w:rPr>
        <w:t>Background</w:t>
      </w:r>
    </w:p>
    <w:p w14:paraId="4F75EF77" w14:textId="6DCBEB04" w:rsidR="00C04C9C" w:rsidRDefault="007F370C" w:rsidP="00CB2A99">
      <w:pPr>
        <w:pStyle w:val="LI-BodyTextParaa"/>
        <w:numPr>
          <w:ilvl w:val="0"/>
          <w:numId w:val="16"/>
        </w:numPr>
        <w:ind w:left="709" w:hanging="425"/>
      </w:pPr>
      <w:bookmarkStart w:id="1" w:name="_Hlk78970277"/>
      <w:r>
        <w:t xml:space="preserve">On </w:t>
      </w:r>
      <w:r w:rsidR="00AE2351">
        <w:t>1</w:t>
      </w:r>
      <w:r w:rsidR="0031223A">
        <w:t>0</w:t>
      </w:r>
      <w:r w:rsidR="00AE2351">
        <w:t xml:space="preserve"> December 2020</w:t>
      </w:r>
      <w:r>
        <w:t xml:space="preserve">, the </w:t>
      </w:r>
      <w:r>
        <w:rPr>
          <w:i/>
          <w:iCs/>
        </w:rPr>
        <w:t>Financial S</w:t>
      </w:r>
      <w:r w:rsidR="009F4FDA">
        <w:rPr>
          <w:i/>
          <w:iCs/>
        </w:rPr>
        <w:t>ector</w:t>
      </w:r>
      <w:r>
        <w:rPr>
          <w:i/>
          <w:iCs/>
        </w:rPr>
        <w:t xml:space="preserve"> Reform (Hayne Royal Commission Response) Act 2020</w:t>
      </w:r>
      <w:r>
        <w:t xml:space="preserve"> (the </w:t>
      </w:r>
      <w:r w:rsidRPr="007F370C">
        <w:rPr>
          <w:i/>
          <w:iCs/>
        </w:rPr>
        <w:t xml:space="preserve">FSRC </w:t>
      </w:r>
      <w:r w:rsidR="00FE2E05">
        <w:rPr>
          <w:i/>
          <w:iCs/>
        </w:rPr>
        <w:t xml:space="preserve">Reform </w:t>
      </w:r>
      <w:r w:rsidRPr="007F370C">
        <w:rPr>
          <w:i/>
          <w:iCs/>
        </w:rPr>
        <w:t>Act</w:t>
      </w:r>
      <w:r>
        <w:t xml:space="preserve">) was passed, which </w:t>
      </w:r>
      <w:r w:rsidR="00133FE6">
        <w:t xml:space="preserve">consolidated </w:t>
      </w:r>
      <w:r>
        <w:t xml:space="preserve">the </w:t>
      </w:r>
      <w:r w:rsidR="00133FE6">
        <w:t>hawking prohibitions set out in s</w:t>
      </w:r>
      <w:r w:rsidR="004C4221">
        <w:t xml:space="preserve">ections </w:t>
      </w:r>
      <w:r w:rsidR="00133FE6">
        <w:t>736, 992A and 992AA of the Corporations Act into a single prohibition in s</w:t>
      </w:r>
      <w:r w:rsidR="00437868">
        <w:t xml:space="preserve">ection </w:t>
      </w:r>
      <w:r w:rsidR="00133FE6">
        <w:t>992A, with a consumer remedy provision in</w:t>
      </w:r>
      <w:r w:rsidR="00473684">
        <w:t xml:space="preserve"> </w:t>
      </w:r>
      <w:r w:rsidR="00133FE6">
        <w:t>s</w:t>
      </w:r>
      <w:r w:rsidR="001C73F0">
        <w:t xml:space="preserve">ection </w:t>
      </w:r>
      <w:r w:rsidR="00133FE6">
        <w:t>992</w:t>
      </w:r>
      <w:r w:rsidR="00473684">
        <w:t>A</w:t>
      </w:r>
      <w:r w:rsidR="00133FE6">
        <w:t>A. This prohibition now applies to all financial products (within the meaning of s</w:t>
      </w:r>
      <w:r w:rsidR="00183CBF">
        <w:t xml:space="preserve">ection </w:t>
      </w:r>
      <w:r w:rsidR="00133FE6">
        <w:t>76</w:t>
      </w:r>
      <w:r w:rsidR="004C4221">
        <w:t>1</w:t>
      </w:r>
      <w:r w:rsidR="00133FE6">
        <w:t>A of the Corporations Act).</w:t>
      </w:r>
      <w:r w:rsidR="001D0254">
        <w:t xml:space="preserve"> </w:t>
      </w:r>
    </w:p>
    <w:p w14:paraId="4CC9F537" w14:textId="77777777" w:rsidR="005D1FEA" w:rsidRDefault="005D1FEA" w:rsidP="005D1FEA">
      <w:pPr>
        <w:pStyle w:val="LI-BodyTextNumbered"/>
        <w:ind w:hanging="1134"/>
        <w:rPr>
          <w:b/>
        </w:rPr>
      </w:pPr>
      <w:r>
        <w:rPr>
          <w:b/>
        </w:rPr>
        <w:t>Purpose of the instrument</w:t>
      </w:r>
    </w:p>
    <w:p w14:paraId="2E89821C" w14:textId="2A2D5462" w:rsidR="00133FE6" w:rsidRDefault="00FE2E05" w:rsidP="00CB2A99">
      <w:pPr>
        <w:pStyle w:val="LI-BodyTextParaa"/>
        <w:numPr>
          <w:ilvl w:val="0"/>
          <w:numId w:val="16"/>
        </w:numPr>
        <w:ind w:left="709" w:hanging="567"/>
      </w:pPr>
      <w:r>
        <w:t xml:space="preserve">The </w:t>
      </w:r>
      <w:r w:rsidR="00133FE6">
        <w:t xml:space="preserve">Hawking Amendment </w:t>
      </w:r>
      <w:r>
        <w:t>Instrument is intended to</w:t>
      </w:r>
      <w:r w:rsidR="00FC5FF6">
        <w:t xml:space="preserve"> </w:t>
      </w:r>
      <w:r w:rsidR="00133FE6">
        <w:t xml:space="preserve">provide consequential amendments to a number of existing ASIC legislative instruments by updating statutory references to the prohibition on the hawking of financial products. </w:t>
      </w:r>
      <w:r w:rsidR="00E218F3">
        <w:t xml:space="preserve">The </w:t>
      </w:r>
      <w:r w:rsidR="00183CBF">
        <w:t xml:space="preserve">Hawking </w:t>
      </w:r>
      <w:r w:rsidR="0044574B">
        <w:t>Amendment</w:t>
      </w:r>
      <w:r w:rsidR="00183CBF">
        <w:t xml:space="preserve"> Instrument </w:t>
      </w:r>
      <w:r w:rsidR="00E218F3">
        <w:t xml:space="preserve">will also repeal two ASIC legislative instruments </w:t>
      </w:r>
      <w:r w:rsidR="0044574B">
        <w:t xml:space="preserve">the function of which are made redundant by the new amendments made by the FSRC Reform Act and amendments made to the </w:t>
      </w:r>
      <w:r w:rsidR="0044574B" w:rsidRPr="0044574B">
        <w:rPr>
          <w:i/>
          <w:iCs/>
        </w:rPr>
        <w:t>Corporations Regulations 2001</w:t>
      </w:r>
      <w:r w:rsidR="0044574B">
        <w:t xml:space="preserve"> .</w:t>
      </w:r>
    </w:p>
    <w:p w14:paraId="7AD1166B" w14:textId="5CF6627F" w:rsidR="0004082C" w:rsidRDefault="00133FE6" w:rsidP="00CB2A99">
      <w:pPr>
        <w:pStyle w:val="LI-BodyTextParaa"/>
        <w:numPr>
          <w:ilvl w:val="0"/>
          <w:numId w:val="16"/>
        </w:numPr>
        <w:ind w:left="709" w:hanging="567"/>
      </w:pPr>
      <w:r>
        <w:t>The Hawking Amendment Instrument does not affect the duration of the instruments to b</w:t>
      </w:r>
      <w:r w:rsidR="004C4221">
        <w:t>e</w:t>
      </w:r>
      <w:r>
        <w:t xml:space="preserve"> amended, nor does it make an</w:t>
      </w:r>
      <w:r w:rsidR="004C4221">
        <w:t>y</w:t>
      </w:r>
      <w:r>
        <w:t xml:space="preserve"> substantive change to the policy settings of each of those instruments. </w:t>
      </w:r>
    </w:p>
    <w:p w14:paraId="6F8D4B07" w14:textId="77777777" w:rsidR="009A3F74" w:rsidRDefault="009A3F74" w:rsidP="004232D9">
      <w:pPr>
        <w:pStyle w:val="LI-BodyTextNumbered"/>
        <w:keepNext/>
        <w:ind w:hanging="1134"/>
        <w:rPr>
          <w:b/>
        </w:rPr>
      </w:pPr>
      <w:bookmarkStart w:id="2" w:name="_Hlk534291624"/>
      <w:bookmarkEnd w:id="1"/>
      <w:r>
        <w:rPr>
          <w:b/>
        </w:rPr>
        <w:lastRenderedPageBreak/>
        <w:t>Consultation</w:t>
      </w:r>
    </w:p>
    <w:p w14:paraId="24664D83" w14:textId="0D135A23" w:rsidR="0023738E" w:rsidRDefault="0023738E" w:rsidP="00CB2A99">
      <w:pPr>
        <w:pStyle w:val="LI-BodyTextParaa"/>
        <w:numPr>
          <w:ilvl w:val="0"/>
          <w:numId w:val="16"/>
        </w:numPr>
        <w:ind w:left="709"/>
      </w:pPr>
      <w:r w:rsidRPr="004C4221">
        <w:t>ASIC had previously also conducted a 4-week public consultation about updates to its guidance reflecting the new obligations imposed by the FSRC</w:t>
      </w:r>
      <w:r>
        <w:t> </w:t>
      </w:r>
      <w:r w:rsidRPr="004C4221">
        <w:t>Act in respect of the hawking of financial products between July and Aug</w:t>
      </w:r>
      <w:r>
        <w:t>u</w:t>
      </w:r>
      <w:r w:rsidRPr="004C4221">
        <w:t>st 2021.</w:t>
      </w:r>
    </w:p>
    <w:p w14:paraId="1A843D96" w14:textId="61C6D856" w:rsidR="009A3F74" w:rsidRDefault="00133FE6" w:rsidP="00CB2A99">
      <w:pPr>
        <w:pStyle w:val="LI-BodyTextParaa"/>
        <w:numPr>
          <w:ilvl w:val="0"/>
          <w:numId w:val="16"/>
        </w:numPr>
        <w:ind w:left="709"/>
      </w:pPr>
      <w:r>
        <w:t xml:space="preserve">Given that the </w:t>
      </w:r>
      <w:r w:rsidR="004C4221">
        <w:t xml:space="preserve">Hawking Amendment Instrument </w:t>
      </w:r>
      <w:r w:rsidR="00C514C1">
        <w:t xml:space="preserve">neither </w:t>
      </w:r>
      <w:r>
        <w:t>impact</w:t>
      </w:r>
      <w:r w:rsidR="00C514C1">
        <w:t>s</w:t>
      </w:r>
      <w:r>
        <w:t xml:space="preserve"> upon policy settings of the instruments</w:t>
      </w:r>
      <w:r w:rsidR="00C514C1">
        <w:t xml:space="preserve"> to be amended, nor changes their duration, ASIC </w:t>
      </w:r>
      <w:r w:rsidR="004C4221">
        <w:t xml:space="preserve">did </w:t>
      </w:r>
      <w:r w:rsidR="00C514C1">
        <w:t xml:space="preserve">not consider it necessary to engage in </w:t>
      </w:r>
      <w:r w:rsidR="004C4221">
        <w:t xml:space="preserve">further </w:t>
      </w:r>
      <w:r w:rsidR="005F203F">
        <w:t xml:space="preserve">consultation </w:t>
      </w:r>
      <w:r w:rsidR="0083339A">
        <w:t xml:space="preserve">before making the </w:t>
      </w:r>
      <w:r w:rsidR="00C514C1">
        <w:t xml:space="preserve">Hawking Amendment </w:t>
      </w:r>
      <w:r w:rsidR="005F203F">
        <w:t>Instrument</w:t>
      </w:r>
      <w:r w:rsidR="0083339A">
        <w:t xml:space="preserve">. </w:t>
      </w:r>
    </w:p>
    <w:p w14:paraId="62099E4C" w14:textId="77777777" w:rsidR="005F203F" w:rsidRPr="00CB2A99" w:rsidRDefault="005D1FEA" w:rsidP="00CB2A99">
      <w:pPr>
        <w:pStyle w:val="LI-BodyTextNumbered"/>
        <w:keepNext/>
        <w:ind w:hanging="1134"/>
        <w:rPr>
          <w:b/>
        </w:rPr>
      </w:pPr>
      <w:r>
        <w:rPr>
          <w:b/>
        </w:rPr>
        <w:t>Operation of the instrument</w:t>
      </w:r>
    </w:p>
    <w:p w14:paraId="11BF7F0D" w14:textId="43C99F9F" w:rsidR="004C4221" w:rsidRDefault="004C4221" w:rsidP="00462668">
      <w:pPr>
        <w:pStyle w:val="LI-BodyTextParaa"/>
        <w:numPr>
          <w:ilvl w:val="0"/>
          <w:numId w:val="16"/>
        </w:numPr>
        <w:ind w:left="709"/>
      </w:pPr>
      <w:r>
        <w:t xml:space="preserve">Section 2 of the Hawking Amendment Instrument provides that the instrument commences on the later of 5 October 2021 </w:t>
      </w:r>
      <w:r w:rsidR="007B022F">
        <w:t xml:space="preserve">(the date the changes to the hawking provisions made by the FSRC Reform Act commence) </w:t>
      </w:r>
      <w:r>
        <w:t>and the day after it is registered on the Federal Register of Legislation.</w:t>
      </w:r>
    </w:p>
    <w:p w14:paraId="4990CAD9" w14:textId="157509FB" w:rsidR="004C4221" w:rsidRDefault="00CB2A99" w:rsidP="00462668">
      <w:pPr>
        <w:pStyle w:val="LI-BodyTextParaa"/>
        <w:numPr>
          <w:ilvl w:val="0"/>
          <w:numId w:val="16"/>
        </w:numPr>
        <w:ind w:left="709"/>
      </w:pPr>
      <w:r w:rsidRPr="00122E50">
        <w:t xml:space="preserve">The </w:t>
      </w:r>
      <w:r w:rsidR="004C4221">
        <w:t xml:space="preserve">following </w:t>
      </w:r>
      <w:r w:rsidR="00C514C1">
        <w:t>legislative instruments set out in Schedule 1 to</w:t>
      </w:r>
      <w:r w:rsidR="00462668">
        <w:t xml:space="preserve"> </w:t>
      </w:r>
      <w:r w:rsidR="004C4221">
        <w:t xml:space="preserve">the </w:t>
      </w:r>
      <w:r w:rsidR="00C514C1">
        <w:t>Hawking Amendment Instrument</w:t>
      </w:r>
      <w:r w:rsidR="004C4221">
        <w:t xml:space="preserve"> are amended as set out </w:t>
      </w:r>
      <w:r w:rsidR="001C73F0">
        <w:t>that schedule</w:t>
      </w:r>
      <w:r w:rsidR="004C4221">
        <w:t>:</w:t>
      </w:r>
    </w:p>
    <w:p w14:paraId="5F5146DE" w14:textId="77777777" w:rsidR="002F71A4" w:rsidRPr="002F71A4" w:rsidRDefault="002F71A4" w:rsidP="0044574B">
      <w:pPr>
        <w:pStyle w:val="LI-BodyTextParaa"/>
        <w:numPr>
          <w:ilvl w:val="1"/>
          <w:numId w:val="16"/>
        </w:numPr>
        <w:rPr>
          <w:i/>
          <w:iCs/>
        </w:rPr>
      </w:pPr>
      <w:r w:rsidRPr="002F71A4">
        <w:rPr>
          <w:i/>
          <w:iCs/>
        </w:rPr>
        <w:t xml:space="preserve">ASIC Class Order [CO 13/763] </w:t>
      </w:r>
    </w:p>
    <w:p w14:paraId="216FA853" w14:textId="77777777" w:rsidR="002F71A4" w:rsidRPr="002F71A4" w:rsidRDefault="002F71A4" w:rsidP="0044574B">
      <w:pPr>
        <w:pStyle w:val="LI-BodyTextParaa"/>
        <w:numPr>
          <w:ilvl w:val="1"/>
          <w:numId w:val="16"/>
        </w:numPr>
        <w:rPr>
          <w:i/>
          <w:iCs/>
        </w:rPr>
      </w:pPr>
      <w:r w:rsidRPr="002F71A4">
        <w:rPr>
          <w:i/>
          <w:iCs/>
        </w:rPr>
        <w:t xml:space="preserve">ASIC Class Order [CO 14/1000] </w:t>
      </w:r>
    </w:p>
    <w:p w14:paraId="6CD82110" w14:textId="77777777" w:rsidR="002F71A4" w:rsidRPr="002F71A4" w:rsidRDefault="002F71A4" w:rsidP="0044574B">
      <w:pPr>
        <w:pStyle w:val="LI-BodyTextParaa"/>
        <w:numPr>
          <w:ilvl w:val="1"/>
          <w:numId w:val="16"/>
        </w:numPr>
        <w:rPr>
          <w:i/>
          <w:iCs/>
        </w:rPr>
      </w:pPr>
      <w:r w:rsidRPr="002F71A4">
        <w:rPr>
          <w:i/>
          <w:iCs/>
        </w:rPr>
        <w:t xml:space="preserve">ASIC Class Order [CO 14/1001] </w:t>
      </w:r>
    </w:p>
    <w:p w14:paraId="1FF9520B" w14:textId="77777777" w:rsidR="002F71A4" w:rsidRPr="002F71A4" w:rsidRDefault="002F71A4" w:rsidP="0044574B">
      <w:pPr>
        <w:pStyle w:val="LI-BodyTextParaa"/>
        <w:numPr>
          <w:ilvl w:val="1"/>
          <w:numId w:val="16"/>
        </w:numPr>
        <w:rPr>
          <w:i/>
          <w:iCs/>
        </w:rPr>
      </w:pPr>
      <w:r w:rsidRPr="002F71A4">
        <w:rPr>
          <w:i/>
          <w:iCs/>
        </w:rPr>
        <w:t>ASIC Corporations (Avia Syndicate) Instrument 2015/825</w:t>
      </w:r>
    </w:p>
    <w:p w14:paraId="131BC708" w14:textId="283930CC" w:rsidR="004C4221" w:rsidRPr="002F71A4" w:rsidRDefault="002F71A4" w:rsidP="0044574B">
      <w:pPr>
        <w:pStyle w:val="LI-BodyTextParaa"/>
        <w:numPr>
          <w:ilvl w:val="1"/>
          <w:numId w:val="16"/>
        </w:numPr>
        <w:rPr>
          <w:i/>
          <w:iCs/>
        </w:rPr>
      </w:pPr>
      <w:r w:rsidRPr="002F71A4">
        <w:rPr>
          <w:i/>
          <w:iCs/>
        </w:rPr>
        <w:t xml:space="preserve">ASIC Corporations (Employee redundancy funds relief) Instrument 2015/1150 </w:t>
      </w:r>
    </w:p>
    <w:p w14:paraId="3511C672" w14:textId="1453DF8D" w:rsidR="002F71A4" w:rsidRPr="002F71A4" w:rsidRDefault="002F71A4" w:rsidP="0044574B">
      <w:pPr>
        <w:pStyle w:val="LI-BodyTextParaa"/>
        <w:numPr>
          <w:ilvl w:val="1"/>
          <w:numId w:val="16"/>
        </w:numPr>
        <w:rPr>
          <w:i/>
          <w:iCs/>
        </w:rPr>
      </w:pPr>
      <w:r w:rsidRPr="002F71A4">
        <w:rPr>
          <w:i/>
          <w:iCs/>
        </w:rPr>
        <w:t>ASIC Corporations (Horse Schemes) Instrument 2016/790</w:t>
      </w:r>
    </w:p>
    <w:p w14:paraId="70B3F345" w14:textId="09DF2F4E" w:rsidR="002F71A4" w:rsidRPr="002F71A4" w:rsidRDefault="002F71A4" w:rsidP="0044574B">
      <w:pPr>
        <w:pStyle w:val="LI-BodyTextParaa"/>
        <w:numPr>
          <w:ilvl w:val="1"/>
          <w:numId w:val="16"/>
        </w:numPr>
        <w:rPr>
          <w:i/>
          <w:iCs/>
        </w:rPr>
      </w:pPr>
      <w:r w:rsidRPr="002F71A4">
        <w:rPr>
          <w:i/>
          <w:iCs/>
        </w:rPr>
        <w:t>ASIC Corporations (School Enrolment Deposits) Instrument 2016/812</w:t>
      </w:r>
    </w:p>
    <w:p w14:paraId="52268BDE" w14:textId="5556B56A" w:rsidR="002F71A4" w:rsidRPr="002F71A4" w:rsidRDefault="002F71A4" w:rsidP="0044574B">
      <w:pPr>
        <w:pStyle w:val="LI-BodyTextParaa"/>
        <w:numPr>
          <w:ilvl w:val="1"/>
          <w:numId w:val="16"/>
        </w:numPr>
        <w:rPr>
          <w:i/>
          <w:iCs/>
        </w:rPr>
      </w:pPr>
      <w:r w:rsidRPr="002F71A4">
        <w:rPr>
          <w:i/>
          <w:iCs/>
        </w:rPr>
        <w:t>ASIC Corporations (Charitable Investment Fundraising) Instrument 2016/813</w:t>
      </w:r>
    </w:p>
    <w:p w14:paraId="7A7A7434" w14:textId="49A941F4" w:rsidR="002F71A4" w:rsidRPr="002F71A4" w:rsidRDefault="002F71A4" w:rsidP="0044574B">
      <w:pPr>
        <w:pStyle w:val="LI-BodyTextParaa"/>
        <w:numPr>
          <w:ilvl w:val="1"/>
          <w:numId w:val="16"/>
        </w:numPr>
        <w:rPr>
          <w:i/>
          <w:iCs/>
        </w:rPr>
      </w:pPr>
      <w:r w:rsidRPr="002F71A4">
        <w:rPr>
          <w:i/>
          <w:iCs/>
        </w:rPr>
        <w:t>ASIC Corporations (Serviced Apartment and Like Schemes) Instrument 2016/869</w:t>
      </w:r>
    </w:p>
    <w:p w14:paraId="7D541C4E" w14:textId="36F370B1" w:rsidR="002F71A4" w:rsidRPr="002F71A4" w:rsidRDefault="002F71A4" w:rsidP="0044574B">
      <w:pPr>
        <w:pStyle w:val="LI-BodyTextParaa"/>
        <w:numPr>
          <w:ilvl w:val="1"/>
          <w:numId w:val="16"/>
        </w:numPr>
        <w:rPr>
          <w:i/>
          <w:iCs/>
        </w:rPr>
      </w:pPr>
      <w:r w:rsidRPr="002F71A4">
        <w:rPr>
          <w:i/>
          <w:iCs/>
        </w:rPr>
        <w:t>ASIC Corporations (Property Rental Schemes) Instrument 2016/870</w:t>
      </w:r>
    </w:p>
    <w:p w14:paraId="34370ECB" w14:textId="6D6CC311" w:rsidR="002F71A4" w:rsidRPr="002F71A4" w:rsidRDefault="002F71A4" w:rsidP="0044574B">
      <w:pPr>
        <w:pStyle w:val="LI-BodyTextParaa"/>
        <w:numPr>
          <w:ilvl w:val="1"/>
          <w:numId w:val="16"/>
        </w:numPr>
        <w:rPr>
          <w:i/>
          <w:iCs/>
        </w:rPr>
      </w:pPr>
      <w:r w:rsidRPr="002F71A4">
        <w:rPr>
          <w:i/>
          <w:iCs/>
        </w:rPr>
        <w:t>ASIC Corporations (Managed Discretionary Account Services) Instrument 2016/968</w:t>
      </w:r>
    </w:p>
    <w:p w14:paraId="00844DBA" w14:textId="69360CDE" w:rsidR="002F71A4" w:rsidRPr="002F71A4" w:rsidRDefault="002F71A4" w:rsidP="0044574B">
      <w:pPr>
        <w:pStyle w:val="LI-BodyTextParaa"/>
        <w:numPr>
          <w:ilvl w:val="1"/>
          <w:numId w:val="16"/>
        </w:numPr>
        <w:rPr>
          <w:i/>
          <w:iCs/>
        </w:rPr>
      </w:pPr>
      <w:r w:rsidRPr="002F71A4">
        <w:rPr>
          <w:i/>
          <w:iCs/>
        </w:rPr>
        <w:t>ASIC Corporations (Managed Investment Schemes: Interests Not For Money) Instrument 2016/1107</w:t>
      </w:r>
    </w:p>
    <w:p w14:paraId="59989F5A" w14:textId="4B2E42CA" w:rsidR="002F71A4" w:rsidRPr="002F71A4" w:rsidRDefault="002F71A4" w:rsidP="0044574B">
      <w:pPr>
        <w:pStyle w:val="LI-BodyTextParaa"/>
        <w:numPr>
          <w:ilvl w:val="1"/>
          <w:numId w:val="16"/>
        </w:numPr>
        <w:rPr>
          <w:i/>
          <w:iCs/>
        </w:rPr>
      </w:pPr>
      <w:r w:rsidRPr="002F71A4">
        <w:rPr>
          <w:i/>
          <w:iCs/>
        </w:rPr>
        <w:lastRenderedPageBreak/>
        <w:t>ASIC Corporations (Nominee and Custody Services) Instrument 2016/1156</w:t>
      </w:r>
    </w:p>
    <w:p w14:paraId="48C5280F" w14:textId="0BAA0C42" w:rsidR="002F71A4" w:rsidRPr="002F71A4" w:rsidRDefault="002F71A4" w:rsidP="0044574B">
      <w:pPr>
        <w:pStyle w:val="LI-BodyTextParaa"/>
        <w:numPr>
          <w:ilvl w:val="1"/>
          <w:numId w:val="16"/>
        </w:numPr>
        <w:rPr>
          <w:i/>
          <w:iCs/>
        </w:rPr>
      </w:pPr>
      <w:bookmarkStart w:id="3" w:name="_Toc81211921"/>
      <w:r w:rsidRPr="002F71A4">
        <w:rPr>
          <w:i/>
          <w:iCs/>
        </w:rPr>
        <w:t>ASIC Corporations (Mortgage Investment Schemes) Instrument 2017/857</w:t>
      </w:r>
      <w:bookmarkEnd w:id="3"/>
    </w:p>
    <w:p w14:paraId="0DC00832" w14:textId="397E93AD" w:rsidR="002F71A4" w:rsidRPr="002F71A4" w:rsidRDefault="002F71A4" w:rsidP="0044574B">
      <w:pPr>
        <w:pStyle w:val="LI-BodyTextParaa"/>
        <w:numPr>
          <w:ilvl w:val="1"/>
          <w:numId w:val="16"/>
        </w:numPr>
        <w:rPr>
          <w:i/>
          <w:iCs/>
        </w:rPr>
      </w:pPr>
      <w:bookmarkStart w:id="4" w:name="_Toc81211922"/>
      <w:r w:rsidRPr="002F71A4">
        <w:rPr>
          <w:i/>
          <w:iCs/>
        </w:rPr>
        <w:t>ASIC Corporations (Share and Interest Purchase Plans) Instrument 2019/547</w:t>
      </w:r>
      <w:bookmarkEnd w:id="4"/>
    </w:p>
    <w:p w14:paraId="47F437E0" w14:textId="29BEE569" w:rsidR="002F71A4" w:rsidRPr="002F71A4" w:rsidRDefault="002F71A4" w:rsidP="0044574B">
      <w:pPr>
        <w:pStyle w:val="LI-BodyTextParaa"/>
        <w:numPr>
          <w:ilvl w:val="1"/>
          <w:numId w:val="16"/>
        </w:numPr>
        <w:rPr>
          <w:i/>
          <w:iCs/>
        </w:rPr>
      </w:pPr>
      <w:r w:rsidRPr="002F71A4">
        <w:rPr>
          <w:i/>
          <w:iCs/>
        </w:rPr>
        <w:t>ASIC Corporations (Conditional Costs Schemes) Instrument 2020/38</w:t>
      </w:r>
    </w:p>
    <w:p w14:paraId="0DC3041B" w14:textId="30A1DA6D" w:rsidR="00BD5D9A" w:rsidRDefault="00462668" w:rsidP="00462668">
      <w:pPr>
        <w:pStyle w:val="LI-BodyTextParaa"/>
        <w:numPr>
          <w:ilvl w:val="0"/>
          <w:numId w:val="16"/>
        </w:numPr>
        <w:ind w:left="709"/>
      </w:pPr>
      <w:r>
        <w:t xml:space="preserve">The </w:t>
      </w:r>
      <w:r w:rsidR="00BD5D9A">
        <w:t xml:space="preserve">amendments to those instruments are minor and technical changes to reflect </w:t>
      </w:r>
      <w:r w:rsidR="007B022F">
        <w:t xml:space="preserve">changes to the hawking provisions made by the </w:t>
      </w:r>
      <w:r w:rsidR="007B022F" w:rsidRPr="0044574B">
        <w:t>FSRC Reform Act</w:t>
      </w:r>
      <w:r w:rsidR="007B022F">
        <w:t xml:space="preserve">. In particular, the amendments to those instruments include </w:t>
      </w:r>
      <w:r w:rsidR="00BD5D9A">
        <w:t xml:space="preserve">the </w:t>
      </w:r>
      <w:r w:rsidR="004C4221">
        <w:t>following</w:t>
      </w:r>
      <w:r w:rsidR="007B022F">
        <w:t>:</w:t>
      </w:r>
      <w:r>
        <w:t xml:space="preserve"> </w:t>
      </w:r>
    </w:p>
    <w:p w14:paraId="0D4A809F" w14:textId="4DF590E7" w:rsidR="007B022F" w:rsidRDefault="007B022F" w:rsidP="007B022F">
      <w:pPr>
        <w:pStyle w:val="LI-BodyTextParaa"/>
        <w:numPr>
          <w:ilvl w:val="1"/>
          <w:numId w:val="16"/>
        </w:numPr>
      </w:pPr>
      <w:r>
        <w:t>amendments to reflect the fact that following the changes made by the FSRC Reform Act, the hawking prohibition will be contained in section 992A of the Corporations Act rather than there being separate hawking prohibitions in sections 736, 992A and 992AA of the Corporations Act;</w:t>
      </w:r>
    </w:p>
    <w:p w14:paraId="60C4B9F8" w14:textId="66A0E0C0" w:rsidR="007B022F" w:rsidRDefault="007B022F" w:rsidP="0044574B">
      <w:pPr>
        <w:pStyle w:val="LI-BodyTextParaa"/>
        <w:numPr>
          <w:ilvl w:val="1"/>
          <w:numId w:val="16"/>
        </w:numPr>
      </w:pPr>
      <w:r>
        <w:t xml:space="preserve">amendments to reflect changes </w:t>
      </w:r>
      <w:r w:rsidR="00F828DB">
        <w:t xml:space="preserve">made by the FSRC Reform Act </w:t>
      </w:r>
      <w:r>
        <w:t xml:space="preserve">to the wording of the </w:t>
      </w:r>
      <w:r w:rsidR="00F828DB">
        <w:t xml:space="preserve">statutory </w:t>
      </w:r>
      <w:r>
        <w:t>hawking</w:t>
      </w:r>
      <w:r w:rsidR="00473684">
        <w:t xml:space="preserve"> prohibition.</w:t>
      </w:r>
      <w:r>
        <w:t xml:space="preserve">   </w:t>
      </w:r>
    </w:p>
    <w:p w14:paraId="515EF613" w14:textId="776D8C3E" w:rsidR="00AC6B8C" w:rsidRDefault="00571DD4" w:rsidP="00462668">
      <w:pPr>
        <w:pStyle w:val="LI-BodyTextParaa"/>
        <w:numPr>
          <w:ilvl w:val="0"/>
          <w:numId w:val="16"/>
        </w:numPr>
        <w:ind w:left="709"/>
      </w:pPr>
      <w:r>
        <w:t xml:space="preserve">None of these changes </w:t>
      </w:r>
      <w:r w:rsidRPr="005332F7">
        <w:t>affect</w:t>
      </w:r>
      <w:r w:rsidR="00BD5D9A" w:rsidRPr="005332F7">
        <w:t>s</w:t>
      </w:r>
      <w:r w:rsidRPr="005332F7">
        <w:t xml:space="preserve"> </w:t>
      </w:r>
      <w:r w:rsidR="005332F7" w:rsidRPr="005332F7">
        <w:t>the policy settings or the duration of any of the above legislative instruments. As such, each of these instruments will be subject to a separate review process prior to their relevant sunsetting dates</w:t>
      </w:r>
      <w:r w:rsidRPr="005332F7">
        <w:t>.</w:t>
      </w:r>
    </w:p>
    <w:p w14:paraId="790255E8" w14:textId="37BB951A" w:rsidR="00AC6B8C" w:rsidRDefault="002D43CA" w:rsidP="00462668">
      <w:pPr>
        <w:pStyle w:val="LI-BodyTextParaa"/>
        <w:numPr>
          <w:ilvl w:val="0"/>
          <w:numId w:val="16"/>
        </w:numPr>
        <w:ind w:left="709"/>
      </w:pPr>
      <w:r>
        <w:t xml:space="preserve">Schedule 2 of the Hawking Amending Instrument repeals two </w:t>
      </w:r>
      <w:r w:rsidR="00034756">
        <w:t xml:space="preserve">legislative </w:t>
      </w:r>
      <w:r>
        <w:t>instruments:</w:t>
      </w:r>
    </w:p>
    <w:p w14:paraId="7A33C148" w14:textId="121577C7" w:rsidR="002D43CA" w:rsidRDefault="00571DD4" w:rsidP="002D43CA">
      <w:pPr>
        <w:pStyle w:val="LI-BodyTextParaa"/>
        <w:numPr>
          <w:ilvl w:val="1"/>
          <w:numId w:val="16"/>
        </w:numPr>
      </w:pPr>
      <w:r w:rsidRPr="00571DD4">
        <w:rPr>
          <w:i/>
          <w:iCs/>
        </w:rPr>
        <w:t>ASIC Corporations (Securities and Managed Investment Scheme Hawking Relief) Instrument 2017/184</w:t>
      </w:r>
      <w:r w:rsidR="002D43CA">
        <w:t>; and</w:t>
      </w:r>
    </w:p>
    <w:p w14:paraId="5990FDFB" w14:textId="3643AC3C" w:rsidR="002D43CA" w:rsidRPr="00571DD4" w:rsidRDefault="00571DD4" w:rsidP="002D43CA">
      <w:pPr>
        <w:pStyle w:val="LI-BodyTextParaa"/>
        <w:numPr>
          <w:ilvl w:val="1"/>
          <w:numId w:val="16"/>
        </w:numPr>
        <w:rPr>
          <w:i/>
          <w:iCs/>
        </w:rPr>
      </w:pPr>
      <w:r w:rsidRPr="00571DD4">
        <w:rPr>
          <w:i/>
          <w:iCs/>
        </w:rPr>
        <w:t>ASIC Corporations (Life Risk Insurance and Consumer Credit Insurance) Instrument 2019/839</w:t>
      </w:r>
      <w:r>
        <w:t>.</w:t>
      </w:r>
    </w:p>
    <w:p w14:paraId="29B1CDD8" w14:textId="4A1F03C1" w:rsidR="00462668" w:rsidRDefault="00571DD4" w:rsidP="00462668">
      <w:pPr>
        <w:pStyle w:val="LI-BodyTextParaa"/>
        <w:ind w:left="709" w:firstLine="0"/>
      </w:pPr>
      <w:r>
        <w:t xml:space="preserve">These repeals are consequential as their purpose or function is now achieved by the revised hawking prohibition imposed by the FSRC Reform Act and amendments made to the </w:t>
      </w:r>
      <w:r w:rsidRPr="00571DD4">
        <w:rPr>
          <w:i/>
          <w:iCs/>
        </w:rPr>
        <w:t>Corporations Regulations 2001</w:t>
      </w:r>
      <w:r>
        <w:t xml:space="preserve"> by the </w:t>
      </w:r>
      <w:r w:rsidR="0044574B" w:rsidRPr="0044574B">
        <w:rPr>
          <w:i/>
          <w:iCs/>
        </w:rPr>
        <w:t>Financial Sector Reform (Hayne Royal Commission Response) (Hawking of Financial Products) Regulations 2021</w:t>
      </w:r>
      <w:r w:rsidR="0044574B">
        <w:t>.</w:t>
      </w:r>
    </w:p>
    <w:p w14:paraId="2BBB582E" w14:textId="77777777" w:rsidR="00CB2A99" w:rsidRDefault="00CB2A99" w:rsidP="008D191F">
      <w:pPr>
        <w:pStyle w:val="LI-BodyTextParaa"/>
        <w:keepNext/>
        <w:keepLines/>
        <w:ind w:left="0" w:firstLine="0"/>
      </w:pPr>
      <w:r>
        <w:rPr>
          <w:b/>
        </w:rPr>
        <w:lastRenderedPageBreak/>
        <w:t>Legislative authority</w:t>
      </w:r>
    </w:p>
    <w:p w14:paraId="32D5FC34" w14:textId="3B3882C5" w:rsidR="0044574B" w:rsidRDefault="00CB2A99" w:rsidP="008D191F">
      <w:pPr>
        <w:pStyle w:val="LI-BodyTextParaa"/>
        <w:keepNext/>
        <w:keepLines/>
        <w:numPr>
          <w:ilvl w:val="0"/>
          <w:numId w:val="16"/>
        </w:numPr>
        <w:ind w:left="709" w:hanging="567"/>
      </w:pPr>
      <w:r w:rsidRPr="00122E50">
        <w:t>The source</w:t>
      </w:r>
      <w:r>
        <w:t xml:space="preserve"> </w:t>
      </w:r>
      <w:r w:rsidRPr="00122E50">
        <w:t xml:space="preserve">of the power to make the </w:t>
      </w:r>
      <w:r w:rsidR="00C514C1">
        <w:t xml:space="preserve">Hawking Amendment </w:t>
      </w:r>
      <w:r>
        <w:t>I</w:t>
      </w:r>
      <w:r w:rsidRPr="00122E50">
        <w:t>nstrument</w:t>
      </w:r>
      <w:r>
        <w:t xml:space="preserve"> is </w:t>
      </w:r>
      <w:r w:rsidR="004C6DCA">
        <w:t>sub</w:t>
      </w:r>
      <w:r>
        <w:t>section</w:t>
      </w:r>
      <w:r w:rsidR="001D61AF">
        <w:t>s 741</w:t>
      </w:r>
      <w:r w:rsidR="001D61AF" w:rsidRPr="001D61AF">
        <w:t>(1)</w:t>
      </w:r>
      <w:r w:rsidR="001D61AF">
        <w:t xml:space="preserve"> and</w:t>
      </w:r>
      <w:r>
        <w:t xml:space="preserve"> </w:t>
      </w:r>
      <w:r w:rsidR="001C73F0">
        <w:t>992B</w:t>
      </w:r>
      <w:r w:rsidR="001D61AF">
        <w:t>(1)</w:t>
      </w:r>
      <w:r>
        <w:t xml:space="preserve"> of the Corporations Act</w:t>
      </w:r>
      <w:r w:rsidR="00C514C1">
        <w:t>.</w:t>
      </w:r>
    </w:p>
    <w:p w14:paraId="3347D101" w14:textId="5A817D6B" w:rsidR="0044574B" w:rsidRDefault="0044574B" w:rsidP="008D191F">
      <w:pPr>
        <w:pStyle w:val="LI-BodyTextParaa"/>
        <w:keepLines/>
        <w:numPr>
          <w:ilvl w:val="0"/>
          <w:numId w:val="16"/>
        </w:numPr>
        <w:ind w:left="709" w:hanging="567"/>
      </w:pPr>
      <w:r>
        <w:rPr>
          <w:color w:val="000000"/>
        </w:rPr>
        <w:t>Under subsection 33(3) of the </w:t>
      </w:r>
      <w:r>
        <w:rPr>
          <w:i/>
          <w:iCs/>
          <w:color w:val="000000"/>
        </w:rPr>
        <w:t>Acts Interpretation Act 1901</w:t>
      </w:r>
      <w:r>
        <w:rPr>
          <w:color w:val="000000"/>
        </w:rPr>
        <w:t> (as in force as at 1 January 2005 and as applicable to the relevant powers because of section 5C of the Corporations Act), where an Act confers a power to make any instrument, the power is to be construed as including a power exercisable in the like manner and subject to the like conditions (if any) to amend any such instrument.</w:t>
      </w:r>
    </w:p>
    <w:p w14:paraId="2D6412F7" w14:textId="71E4A25A" w:rsidR="00CB2A99" w:rsidRDefault="00CB2A99" w:rsidP="00EA48B6">
      <w:pPr>
        <w:pStyle w:val="LI-BodyTextParaa"/>
        <w:numPr>
          <w:ilvl w:val="0"/>
          <w:numId w:val="16"/>
        </w:numPr>
        <w:ind w:left="709" w:hanging="567"/>
      </w:pPr>
      <w:r w:rsidRPr="00122E50">
        <w:t>The amending instrument is a disallowable legislative instrument.</w:t>
      </w:r>
    </w:p>
    <w:p w14:paraId="73385C54" w14:textId="77777777" w:rsidR="00CB2A99" w:rsidRPr="00EA17A6" w:rsidRDefault="00CB2A99" w:rsidP="00CB2A99">
      <w:pPr>
        <w:pStyle w:val="LI-BodyTextParaa"/>
        <w:ind w:left="567"/>
        <w:rPr>
          <w:b/>
        </w:rPr>
      </w:pPr>
      <w:r w:rsidRPr="00EA17A6">
        <w:rPr>
          <w:b/>
        </w:rPr>
        <w:t xml:space="preserve">Statement of Compatibility with Human Rights  </w:t>
      </w:r>
    </w:p>
    <w:p w14:paraId="543AF11C" w14:textId="77777777" w:rsidR="00CB2A99" w:rsidRDefault="00CB2A99" w:rsidP="00CB2A99">
      <w:pPr>
        <w:pStyle w:val="LI-BodyTextParaa"/>
        <w:numPr>
          <w:ilvl w:val="0"/>
          <w:numId w:val="16"/>
        </w:numPr>
        <w:ind w:left="709"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w:t>
      </w:r>
    </w:p>
    <w:bookmarkEnd w:id="2"/>
    <w:p w14:paraId="74409CE8" w14:textId="77777777" w:rsidR="00223DCF" w:rsidRPr="00EA17A6" w:rsidRDefault="00223DCF" w:rsidP="00435EEF">
      <w:pPr>
        <w:pStyle w:val="LI-BodyTextParaa"/>
        <w:ind w:left="567"/>
      </w:pPr>
      <w:r w:rsidRPr="00EA17A6">
        <w:t xml:space="preserve"> </w:t>
      </w:r>
    </w:p>
    <w:p w14:paraId="6DD05309" w14:textId="52448FEB"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6C0E69B1"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7FF99B04" w14:textId="77777777" w:rsidR="00AE787B" w:rsidRPr="00EA17A6" w:rsidRDefault="00AE787B" w:rsidP="00223DCF">
      <w:pPr>
        <w:pStyle w:val="LI-BodyTextNumbered"/>
        <w:ind w:left="0" w:firstLine="0"/>
        <w:rPr>
          <w:iCs/>
        </w:rPr>
      </w:pPr>
      <w:bookmarkStart w:id="5" w:name="_Hlk534286677"/>
    </w:p>
    <w:p w14:paraId="25BCE210"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6" w:name="_Hlk4054932"/>
      <w:r w:rsidRPr="00EA17A6">
        <w:rPr>
          <w:iCs/>
        </w:rPr>
        <w:t xml:space="preserve">the </w:t>
      </w:r>
      <w:r w:rsidRPr="00EA17A6">
        <w:rPr>
          <w:i/>
          <w:iCs/>
        </w:rPr>
        <w:t>Human Rights (Parliamentary Scrutiny) Act 2011</w:t>
      </w:r>
      <w:bookmarkEnd w:id="6"/>
      <w:r w:rsidRPr="00EA17A6">
        <w:rPr>
          <w:iCs/>
        </w:rPr>
        <w:t>.</w:t>
      </w:r>
    </w:p>
    <w:p w14:paraId="5A395228" w14:textId="78D2A2BC" w:rsidR="00AF2ECE" w:rsidRPr="002852CD" w:rsidRDefault="00571DD4" w:rsidP="002852CD">
      <w:pPr>
        <w:pStyle w:val="LI-BodyTextNumbered"/>
        <w:ind w:left="0" w:firstLine="0"/>
        <w:rPr>
          <w:u w:val="single"/>
        </w:rPr>
      </w:pPr>
      <w:r w:rsidRPr="00571DD4">
        <w:rPr>
          <w:b/>
          <w:i/>
        </w:rPr>
        <w:t>ASIC Corporations (Amendment and Repeal) Instrument 2021</w:t>
      </w:r>
      <w:r>
        <w:rPr>
          <w:b/>
          <w:i/>
        </w:rPr>
        <w:t>/</w:t>
      </w:r>
      <w:r w:rsidR="00EA48B6">
        <w:rPr>
          <w:b/>
          <w:i/>
        </w:rPr>
        <w:t>799</w:t>
      </w:r>
    </w:p>
    <w:p w14:paraId="6411BA45" w14:textId="77777777" w:rsidR="00223DCF" w:rsidRPr="00EA17A6" w:rsidRDefault="00223DCF" w:rsidP="001872DC">
      <w:pPr>
        <w:pStyle w:val="LI-BodyTextNumbered"/>
        <w:ind w:left="567"/>
        <w:rPr>
          <w:u w:val="single"/>
        </w:rPr>
      </w:pPr>
      <w:r w:rsidRPr="00EA17A6">
        <w:rPr>
          <w:u w:val="single"/>
        </w:rPr>
        <w:t>Overview</w:t>
      </w:r>
    </w:p>
    <w:p w14:paraId="1723DEEE" w14:textId="201CEFAD" w:rsidR="00CB2D96" w:rsidRPr="002F71A4" w:rsidRDefault="00CB2D96" w:rsidP="00FC54C7">
      <w:pPr>
        <w:spacing w:before="240" w:line="240" w:lineRule="auto"/>
        <w:ind w:left="567" w:hanging="567"/>
        <w:rPr>
          <w:sz w:val="24"/>
          <w:szCs w:val="24"/>
        </w:rPr>
      </w:pPr>
      <w:r w:rsidRPr="00EA17A6">
        <w:rPr>
          <w:rFonts w:eastAsia="Times New Roman"/>
          <w:sz w:val="24"/>
          <w:szCs w:val="24"/>
          <w:lang w:eastAsia="en-AU"/>
        </w:rPr>
        <w:t>1.</w:t>
      </w:r>
      <w:r w:rsidRPr="00EA17A6">
        <w:rPr>
          <w:rFonts w:eastAsia="Times New Roman"/>
          <w:sz w:val="24"/>
          <w:szCs w:val="24"/>
          <w:lang w:eastAsia="en-AU"/>
        </w:rPr>
        <w:tab/>
      </w:r>
      <w:r w:rsidR="002852CD">
        <w:rPr>
          <w:sz w:val="24"/>
          <w:szCs w:val="24"/>
        </w:rPr>
        <w:t xml:space="preserve">This </w:t>
      </w:r>
      <w:r w:rsidR="00AF2ECE" w:rsidRPr="00AF2ECE">
        <w:rPr>
          <w:sz w:val="24"/>
          <w:szCs w:val="24"/>
        </w:rPr>
        <w:t xml:space="preserve">instrument </w:t>
      </w:r>
      <w:r w:rsidR="0094624C">
        <w:rPr>
          <w:sz w:val="24"/>
          <w:szCs w:val="24"/>
        </w:rPr>
        <w:t>repeals two ASIC legislative instruments and</w:t>
      </w:r>
      <w:r w:rsidR="00AF2ECE" w:rsidRPr="00AF2ECE">
        <w:rPr>
          <w:sz w:val="24"/>
          <w:szCs w:val="24"/>
        </w:rPr>
        <w:t xml:space="preserve"> </w:t>
      </w:r>
      <w:r w:rsidR="00C514C1">
        <w:rPr>
          <w:sz w:val="24"/>
          <w:szCs w:val="24"/>
        </w:rPr>
        <w:t>makes consequential amendments to a number of ASIC legislative instruments to preserve their operation in light of amendments made to the</w:t>
      </w:r>
      <w:r w:rsidR="00034756">
        <w:rPr>
          <w:sz w:val="24"/>
          <w:szCs w:val="24"/>
        </w:rPr>
        <w:t xml:space="preserve"> hawking provisions contained in the</w:t>
      </w:r>
      <w:r w:rsidR="00C514C1">
        <w:rPr>
          <w:sz w:val="24"/>
          <w:szCs w:val="24"/>
        </w:rPr>
        <w:t xml:space="preserve"> </w:t>
      </w:r>
      <w:r w:rsidR="00C514C1" w:rsidRPr="0044574B">
        <w:rPr>
          <w:i/>
          <w:iCs/>
          <w:sz w:val="24"/>
          <w:szCs w:val="24"/>
        </w:rPr>
        <w:t>Corporations Act</w:t>
      </w:r>
      <w:r w:rsidR="00034756" w:rsidRPr="0044574B">
        <w:rPr>
          <w:i/>
          <w:iCs/>
          <w:sz w:val="24"/>
          <w:szCs w:val="24"/>
        </w:rPr>
        <w:t xml:space="preserve"> 2001</w:t>
      </w:r>
      <w:r w:rsidR="00C514C1">
        <w:rPr>
          <w:sz w:val="24"/>
          <w:szCs w:val="24"/>
        </w:rPr>
        <w:t xml:space="preserve"> by </w:t>
      </w:r>
      <w:r w:rsidR="00C514C1" w:rsidRPr="002F71A4">
        <w:rPr>
          <w:sz w:val="24"/>
          <w:szCs w:val="24"/>
        </w:rPr>
        <w:t xml:space="preserve">Schedule 5 </w:t>
      </w:r>
      <w:r w:rsidR="00034756" w:rsidRPr="002F71A4">
        <w:rPr>
          <w:sz w:val="24"/>
          <w:szCs w:val="24"/>
        </w:rPr>
        <w:t xml:space="preserve">to </w:t>
      </w:r>
      <w:r w:rsidR="00C514C1" w:rsidRPr="002F71A4">
        <w:rPr>
          <w:sz w:val="24"/>
          <w:szCs w:val="24"/>
        </w:rPr>
        <w:t xml:space="preserve">the </w:t>
      </w:r>
      <w:r w:rsidR="00034756" w:rsidRPr="002F71A4">
        <w:rPr>
          <w:i/>
          <w:iCs/>
          <w:sz w:val="24"/>
          <w:szCs w:val="24"/>
        </w:rPr>
        <w:t>Financial Sector Reform (Hayne Royal Commission Response) Act 2020</w:t>
      </w:r>
      <w:r w:rsidR="00C514C1" w:rsidRPr="002F71A4">
        <w:rPr>
          <w:sz w:val="24"/>
          <w:szCs w:val="24"/>
        </w:rPr>
        <w:t xml:space="preserve">. </w:t>
      </w:r>
    </w:p>
    <w:p w14:paraId="562C1F96" w14:textId="77777777" w:rsidR="001872DC" w:rsidRPr="00EA17A6" w:rsidRDefault="001872DC" w:rsidP="001872DC">
      <w:pPr>
        <w:pStyle w:val="LI-BodyTextNumbered"/>
        <w:ind w:left="567"/>
        <w:rPr>
          <w:u w:val="single"/>
        </w:rPr>
      </w:pPr>
      <w:bookmarkStart w:id="7" w:name="_Hlk534286807"/>
      <w:bookmarkEnd w:id="5"/>
      <w:r w:rsidRPr="00EA17A6">
        <w:rPr>
          <w:u w:val="single"/>
        </w:rPr>
        <w:t>Assessment of human rights implications</w:t>
      </w:r>
    </w:p>
    <w:p w14:paraId="75C49023" w14:textId="77777777" w:rsidR="0078324E" w:rsidRDefault="001A50EB" w:rsidP="00D306F8">
      <w:pPr>
        <w:pStyle w:val="LI-BodyTextNumbered"/>
        <w:ind w:left="567"/>
      </w:pPr>
      <w:r>
        <w:t>3</w:t>
      </w:r>
      <w:r w:rsidR="001872DC" w:rsidRPr="00EA17A6">
        <w:t>.</w:t>
      </w:r>
      <w:r w:rsidR="001872DC" w:rsidRPr="00EA17A6">
        <w:tab/>
      </w:r>
      <w:bookmarkEnd w:id="7"/>
      <w:r w:rsidR="001872DC" w:rsidRPr="00EA17A6">
        <w:t xml:space="preserve">This instrument </w:t>
      </w:r>
      <w:r w:rsidR="00D306F8" w:rsidRPr="00EA17A6">
        <w:t>does not engage any of the applicable rights or freedoms</w:t>
      </w:r>
      <w:r w:rsidR="0078324E">
        <w:t>.</w:t>
      </w:r>
    </w:p>
    <w:p w14:paraId="10DA75F8" w14:textId="77777777" w:rsidR="00CB2D96" w:rsidRPr="0078324E" w:rsidRDefault="00CB2D96" w:rsidP="00D306F8">
      <w:pPr>
        <w:pStyle w:val="LI-BodyTextNumbered"/>
        <w:ind w:left="567"/>
      </w:pPr>
      <w:r w:rsidRPr="00EA17A6">
        <w:rPr>
          <w:u w:val="single"/>
        </w:rPr>
        <w:t>Conclusion</w:t>
      </w:r>
    </w:p>
    <w:p w14:paraId="27EC6A43" w14:textId="1F568A58" w:rsidR="00571DD4" w:rsidRDefault="001A50EB" w:rsidP="00D306F8">
      <w:pPr>
        <w:pStyle w:val="LI-BodyTextNumbered"/>
        <w:ind w:left="567"/>
      </w:pPr>
      <w:r>
        <w:t>4</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p>
    <w:sectPr w:rsidR="00571DD4" w:rsidSect="00863657">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A5450" w14:textId="77777777" w:rsidR="00EA48B6" w:rsidRDefault="00EA48B6" w:rsidP="00715914">
      <w:pPr>
        <w:spacing w:line="240" w:lineRule="auto"/>
      </w:pPr>
      <w:r>
        <w:separator/>
      </w:r>
    </w:p>
  </w:endnote>
  <w:endnote w:type="continuationSeparator" w:id="0">
    <w:p w14:paraId="6E9AEDBE" w14:textId="77777777" w:rsidR="00EA48B6" w:rsidRDefault="00EA48B6" w:rsidP="00715914">
      <w:pPr>
        <w:spacing w:line="240" w:lineRule="auto"/>
      </w:pPr>
      <w:r>
        <w:continuationSeparator/>
      </w:r>
    </w:p>
  </w:endnote>
  <w:endnote w:type="continuationNotice" w:id="1">
    <w:p w14:paraId="2D380721" w14:textId="77777777" w:rsidR="00EA48B6" w:rsidRDefault="00EA48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0B75" w14:textId="49291590" w:rsidR="00EA48B6" w:rsidRDefault="00EA48B6">
    <w:pPr>
      <w:pStyle w:val="Footer"/>
      <w:jc w:val="center"/>
    </w:pPr>
    <w:r>
      <w:fldChar w:fldCharType="begin"/>
    </w:r>
    <w:r>
      <w:instrText xml:space="preserve"> PAGE   \* MERGEFORMAT </w:instrText>
    </w:r>
    <w:r>
      <w:fldChar w:fldCharType="separate"/>
    </w:r>
    <w:r>
      <w:rPr>
        <w:noProof/>
      </w:rPr>
      <w:t>2</w:t>
    </w:r>
    <w:r>
      <w:rPr>
        <w:noProof/>
      </w:rPr>
      <w:fldChar w:fldCharType="end"/>
    </w:r>
  </w:p>
  <w:p w14:paraId="53AF804A" w14:textId="77777777" w:rsidR="00EA48B6" w:rsidRDefault="00EA4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503D5" w14:textId="77777777" w:rsidR="00EA48B6" w:rsidRDefault="00EA48B6" w:rsidP="00715914">
      <w:pPr>
        <w:spacing w:line="240" w:lineRule="auto"/>
      </w:pPr>
      <w:r>
        <w:separator/>
      </w:r>
    </w:p>
  </w:footnote>
  <w:footnote w:type="continuationSeparator" w:id="0">
    <w:p w14:paraId="1FCF4985" w14:textId="77777777" w:rsidR="00EA48B6" w:rsidRDefault="00EA48B6" w:rsidP="00715914">
      <w:pPr>
        <w:spacing w:line="240" w:lineRule="auto"/>
      </w:pPr>
      <w:r>
        <w:continuationSeparator/>
      </w:r>
    </w:p>
  </w:footnote>
  <w:footnote w:type="continuationNotice" w:id="1">
    <w:p w14:paraId="4BEF391C" w14:textId="77777777" w:rsidR="00EA48B6" w:rsidRDefault="00EA48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3F93" w14:textId="77777777" w:rsidR="00EA48B6" w:rsidRPr="00243EC0" w:rsidRDefault="00EA48B6"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EA48B6" w:rsidRPr="00E40FF8" w14:paraId="619551E1" w14:textId="77777777" w:rsidTr="001E77ED">
      <w:tc>
        <w:tcPr>
          <w:tcW w:w="4253" w:type="dxa"/>
          <w:shd w:val="clear" w:color="auto" w:fill="auto"/>
        </w:tcPr>
        <w:p w14:paraId="3452F0E6" w14:textId="623B1760" w:rsidR="00EA48B6" w:rsidRDefault="00EA48B6" w:rsidP="00D1469C">
          <w:pPr>
            <w:pStyle w:val="LI-Header"/>
            <w:pBdr>
              <w:bottom w:val="none" w:sz="0" w:space="0" w:color="auto"/>
            </w:pBdr>
            <w:tabs>
              <w:tab w:val="clear" w:pos="8313"/>
              <w:tab w:val="left" w:pos="3562"/>
            </w:tabs>
            <w:jc w:val="left"/>
          </w:pPr>
          <w:r>
            <w:tab/>
          </w:r>
        </w:p>
      </w:tc>
      <w:tc>
        <w:tcPr>
          <w:tcW w:w="4060" w:type="dxa"/>
          <w:shd w:val="clear" w:color="auto" w:fill="auto"/>
        </w:tcPr>
        <w:p w14:paraId="6CF08117" w14:textId="77777777" w:rsidR="00EA48B6" w:rsidRDefault="00EA48B6" w:rsidP="00F03BB5">
          <w:pPr>
            <w:pStyle w:val="LI-BodyTextNumbered"/>
          </w:pPr>
        </w:p>
      </w:tc>
    </w:tr>
  </w:tbl>
  <w:p w14:paraId="38730EC3" w14:textId="339A85CE" w:rsidR="00EA48B6" w:rsidRPr="00F4215A" w:rsidRDefault="00EA48B6" w:rsidP="003E553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3B544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243.5pt;visibility:visible;mso-wrap-style:square" o:bullet="t">
        <v:imagedata r:id="rId1" o:title=""/>
      </v:shape>
    </w:pict>
  </w:numPicBullet>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A5149E"/>
    <w:multiLevelType w:val="hybridMultilevel"/>
    <w:tmpl w:val="71122300"/>
    <w:lvl w:ilvl="0" w:tplc="F22E9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791853"/>
    <w:multiLevelType w:val="hybridMultilevel"/>
    <w:tmpl w:val="0A96680C"/>
    <w:lvl w:ilvl="0" w:tplc="FFEA5464">
      <w:start w:val="1"/>
      <w:numFmt w:val="lowerLetter"/>
      <w:lvlText w:val="(%1)"/>
      <w:lvlJc w:val="left"/>
      <w:pPr>
        <w:ind w:left="2070" w:hanging="36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abstractNum w:abstractNumId="14" w15:restartNumberingAfterBreak="0">
    <w:nsid w:val="2EFB0249"/>
    <w:multiLevelType w:val="hybridMultilevel"/>
    <w:tmpl w:val="CA641378"/>
    <w:lvl w:ilvl="0" w:tplc="1062E05A">
      <w:start w:val="1"/>
      <w:numFmt w:val="lowerLetter"/>
      <w:lvlText w:val="(%1)"/>
      <w:lvlJc w:val="left"/>
      <w:pPr>
        <w:ind w:left="2444" w:hanging="360"/>
      </w:pPr>
      <w:rPr>
        <w:rFonts w:hint="default"/>
      </w:rPr>
    </w:lvl>
    <w:lvl w:ilvl="1" w:tplc="0C090019" w:tentative="1">
      <w:start w:val="1"/>
      <w:numFmt w:val="lowerLetter"/>
      <w:lvlText w:val="%2."/>
      <w:lvlJc w:val="left"/>
      <w:pPr>
        <w:ind w:left="3164" w:hanging="360"/>
      </w:pPr>
    </w:lvl>
    <w:lvl w:ilvl="2" w:tplc="0C09001B" w:tentative="1">
      <w:start w:val="1"/>
      <w:numFmt w:val="lowerRoman"/>
      <w:lvlText w:val="%3."/>
      <w:lvlJc w:val="right"/>
      <w:pPr>
        <w:ind w:left="3884" w:hanging="180"/>
      </w:pPr>
    </w:lvl>
    <w:lvl w:ilvl="3" w:tplc="0C09000F" w:tentative="1">
      <w:start w:val="1"/>
      <w:numFmt w:val="decimal"/>
      <w:lvlText w:val="%4."/>
      <w:lvlJc w:val="left"/>
      <w:pPr>
        <w:ind w:left="4604" w:hanging="360"/>
      </w:pPr>
    </w:lvl>
    <w:lvl w:ilvl="4" w:tplc="0C090019" w:tentative="1">
      <w:start w:val="1"/>
      <w:numFmt w:val="lowerLetter"/>
      <w:lvlText w:val="%5."/>
      <w:lvlJc w:val="left"/>
      <w:pPr>
        <w:ind w:left="5324" w:hanging="360"/>
      </w:pPr>
    </w:lvl>
    <w:lvl w:ilvl="5" w:tplc="0C09001B" w:tentative="1">
      <w:start w:val="1"/>
      <w:numFmt w:val="lowerRoman"/>
      <w:lvlText w:val="%6."/>
      <w:lvlJc w:val="right"/>
      <w:pPr>
        <w:ind w:left="6044" w:hanging="180"/>
      </w:pPr>
    </w:lvl>
    <w:lvl w:ilvl="6" w:tplc="0C09000F" w:tentative="1">
      <w:start w:val="1"/>
      <w:numFmt w:val="decimal"/>
      <w:lvlText w:val="%7."/>
      <w:lvlJc w:val="left"/>
      <w:pPr>
        <w:ind w:left="6764" w:hanging="360"/>
      </w:pPr>
    </w:lvl>
    <w:lvl w:ilvl="7" w:tplc="0C090019" w:tentative="1">
      <w:start w:val="1"/>
      <w:numFmt w:val="lowerLetter"/>
      <w:lvlText w:val="%8."/>
      <w:lvlJc w:val="left"/>
      <w:pPr>
        <w:ind w:left="7484" w:hanging="360"/>
      </w:pPr>
    </w:lvl>
    <w:lvl w:ilvl="8" w:tplc="0C09001B" w:tentative="1">
      <w:start w:val="1"/>
      <w:numFmt w:val="lowerRoman"/>
      <w:lvlText w:val="%9."/>
      <w:lvlJc w:val="right"/>
      <w:pPr>
        <w:ind w:left="8204" w:hanging="180"/>
      </w:pPr>
    </w:lvl>
  </w:abstractNum>
  <w:abstractNum w:abstractNumId="15" w15:restartNumberingAfterBreak="0">
    <w:nsid w:val="30862F94"/>
    <w:multiLevelType w:val="hybridMultilevel"/>
    <w:tmpl w:val="CC741376"/>
    <w:lvl w:ilvl="0" w:tplc="D2ACC30C">
      <w:start w:val="1"/>
      <w:numFmt w:val="decimal"/>
      <w:lvlText w:val="%1."/>
      <w:lvlJc w:val="left"/>
      <w:pPr>
        <w:ind w:left="924" w:hanging="564"/>
      </w:pPr>
      <w:rPr>
        <w:rFonts w:hint="default"/>
        <w:color w:val="auto"/>
      </w:rPr>
    </w:lvl>
    <w:lvl w:ilvl="1" w:tplc="156AD8A6">
      <w:start w:val="1"/>
      <w:numFmt w:val="lowerLetter"/>
      <w:lvlText w:val="%2."/>
      <w:lvlJc w:val="left"/>
      <w:pPr>
        <w:ind w:left="1440" w:hanging="360"/>
      </w:pPr>
      <w:rPr>
        <w:b w:val="0"/>
        <w:bCs w:val="0"/>
        <w:i w:val="0"/>
        <w:i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95A72"/>
    <w:multiLevelType w:val="hybridMultilevel"/>
    <w:tmpl w:val="06789816"/>
    <w:lvl w:ilvl="0" w:tplc="01CAF8AA">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D85880"/>
    <w:multiLevelType w:val="hybridMultilevel"/>
    <w:tmpl w:val="0E0AF0EC"/>
    <w:lvl w:ilvl="0" w:tplc="01CAF8AA">
      <w:start w:val="1"/>
      <w:numFmt w:val="decimal"/>
      <w:lvlText w:val="%1."/>
      <w:lvlJc w:val="left"/>
      <w:pPr>
        <w:ind w:left="924" w:hanging="56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31722B"/>
    <w:multiLevelType w:val="hybridMultilevel"/>
    <w:tmpl w:val="3F74AD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5FA2266"/>
    <w:multiLevelType w:val="hybridMultilevel"/>
    <w:tmpl w:val="DA7081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536BB9"/>
    <w:multiLevelType w:val="hybridMultilevel"/>
    <w:tmpl w:val="BF08482A"/>
    <w:lvl w:ilvl="0" w:tplc="01CAF8AA">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4C6201"/>
    <w:multiLevelType w:val="hybridMultilevel"/>
    <w:tmpl w:val="27E86E30"/>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4" w15:restartNumberingAfterBreak="0">
    <w:nsid w:val="67A43C0B"/>
    <w:multiLevelType w:val="multilevel"/>
    <w:tmpl w:val="4DDC7FD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53212D"/>
    <w:multiLevelType w:val="hybridMultilevel"/>
    <w:tmpl w:val="C1BA744A"/>
    <w:lvl w:ilvl="0" w:tplc="0C090001">
      <w:start w:val="1"/>
      <w:numFmt w:val="bullet"/>
      <w:lvlText w:val=""/>
      <w:lvlJc w:val="left"/>
      <w:pPr>
        <w:ind w:left="924" w:hanging="564"/>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1F0918"/>
    <w:multiLevelType w:val="hybridMultilevel"/>
    <w:tmpl w:val="CB32EA14"/>
    <w:lvl w:ilvl="0" w:tplc="01CAF8AA">
      <w:start w:val="1"/>
      <w:numFmt w:val="decimal"/>
      <w:lvlText w:val="%1."/>
      <w:lvlJc w:val="left"/>
      <w:pPr>
        <w:ind w:left="924" w:hanging="56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171868"/>
    <w:multiLevelType w:val="hybridMultilevel"/>
    <w:tmpl w:val="7AE668BA"/>
    <w:lvl w:ilvl="0" w:tplc="B7860DE6">
      <w:start w:val="1"/>
      <w:numFmt w:val="lowerLetter"/>
      <w:lvlText w:val="(%1)"/>
      <w:lvlJc w:val="left"/>
      <w:pPr>
        <w:ind w:left="2070" w:hanging="360"/>
      </w:pPr>
      <w:rPr>
        <w:rFonts w:hint="default"/>
      </w:rPr>
    </w:lvl>
    <w:lvl w:ilvl="1" w:tplc="0C090019" w:tentative="1">
      <w:start w:val="1"/>
      <w:numFmt w:val="lowerLetter"/>
      <w:lvlText w:val="%2."/>
      <w:lvlJc w:val="left"/>
      <w:pPr>
        <w:ind w:left="2790" w:hanging="360"/>
      </w:pPr>
    </w:lvl>
    <w:lvl w:ilvl="2" w:tplc="0C09001B" w:tentative="1">
      <w:start w:val="1"/>
      <w:numFmt w:val="lowerRoman"/>
      <w:lvlText w:val="%3."/>
      <w:lvlJc w:val="right"/>
      <w:pPr>
        <w:ind w:left="3510" w:hanging="180"/>
      </w:pPr>
    </w:lvl>
    <w:lvl w:ilvl="3" w:tplc="0C09000F" w:tentative="1">
      <w:start w:val="1"/>
      <w:numFmt w:val="decimal"/>
      <w:lvlText w:val="%4."/>
      <w:lvlJc w:val="left"/>
      <w:pPr>
        <w:ind w:left="4230" w:hanging="360"/>
      </w:pPr>
    </w:lvl>
    <w:lvl w:ilvl="4" w:tplc="0C090019" w:tentative="1">
      <w:start w:val="1"/>
      <w:numFmt w:val="lowerLetter"/>
      <w:lvlText w:val="%5."/>
      <w:lvlJc w:val="left"/>
      <w:pPr>
        <w:ind w:left="4950" w:hanging="360"/>
      </w:pPr>
    </w:lvl>
    <w:lvl w:ilvl="5" w:tplc="0C09001B" w:tentative="1">
      <w:start w:val="1"/>
      <w:numFmt w:val="lowerRoman"/>
      <w:lvlText w:val="%6."/>
      <w:lvlJc w:val="right"/>
      <w:pPr>
        <w:ind w:left="5670" w:hanging="180"/>
      </w:pPr>
    </w:lvl>
    <w:lvl w:ilvl="6" w:tplc="0C09000F" w:tentative="1">
      <w:start w:val="1"/>
      <w:numFmt w:val="decimal"/>
      <w:lvlText w:val="%7."/>
      <w:lvlJc w:val="left"/>
      <w:pPr>
        <w:ind w:left="6390" w:hanging="360"/>
      </w:pPr>
    </w:lvl>
    <w:lvl w:ilvl="7" w:tplc="0C090019" w:tentative="1">
      <w:start w:val="1"/>
      <w:numFmt w:val="lowerLetter"/>
      <w:lvlText w:val="%8."/>
      <w:lvlJc w:val="left"/>
      <w:pPr>
        <w:ind w:left="7110" w:hanging="360"/>
      </w:pPr>
    </w:lvl>
    <w:lvl w:ilvl="8" w:tplc="0C09001B" w:tentative="1">
      <w:start w:val="1"/>
      <w:numFmt w:val="lowerRoman"/>
      <w:lvlText w:val="%9."/>
      <w:lvlJc w:val="right"/>
      <w:pPr>
        <w:ind w:left="78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1"/>
  </w:num>
  <w:num w:numId="14">
    <w:abstractNumId w:val="19"/>
  </w:num>
  <w:num w:numId="15">
    <w:abstractNumId w:val="21"/>
  </w:num>
  <w:num w:numId="16">
    <w:abstractNumId w:val="15"/>
  </w:num>
  <w:num w:numId="17">
    <w:abstractNumId w:val="16"/>
  </w:num>
  <w:num w:numId="18">
    <w:abstractNumId w:val="22"/>
  </w:num>
  <w:num w:numId="19">
    <w:abstractNumId w:val="26"/>
  </w:num>
  <w:num w:numId="20">
    <w:abstractNumId w:val="24"/>
  </w:num>
  <w:num w:numId="21">
    <w:abstractNumId w:val="18"/>
  </w:num>
  <w:num w:numId="22">
    <w:abstractNumId w:val="25"/>
  </w:num>
  <w:num w:numId="23">
    <w:abstractNumId w:val="23"/>
  </w:num>
  <w:num w:numId="24">
    <w:abstractNumId w:val="14"/>
  </w:num>
  <w:num w:numId="25">
    <w:abstractNumId w:val="20"/>
  </w:num>
  <w:num w:numId="26">
    <w:abstractNumId w:val="12"/>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07FB7"/>
    <w:rsid w:val="000136AF"/>
    <w:rsid w:val="00013B8D"/>
    <w:rsid w:val="00015719"/>
    <w:rsid w:val="00023D53"/>
    <w:rsid w:val="00034756"/>
    <w:rsid w:val="0004082C"/>
    <w:rsid w:val="000437C1"/>
    <w:rsid w:val="00044D7A"/>
    <w:rsid w:val="0005312B"/>
    <w:rsid w:val="0005365D"/>
    <w:rsid w:val="00057299"/>
    <w:rsid w:val="000614BF"/>
    <w:rsid w:val="0006159B"/>
    <w:rsid w:val="000622FD"/>
    <w:rsid w:val="0006250C"/>
    <w:rsid w:val="00081794"/>
    <w:rsid w:val="00084FF4"/>
    <w:rsid w:val="000A142F"/>
    <w:rsid w:val="000A6C39"/>
    <w:rsid w:val="000A700B"/>
    <w:rsid w:val="000A7796"/>
    <w:rsid w:val="000B58FA"/>
    <w:rsid w:val="000C55A0"/>
    <w:rsid w:val="000D041F"/>
    <w:rsid w:val="000D05EF"/>
    <w:rsid w:val="000D7EF4"/>
    <w:rsid w:val="000E0BA0"/>
    <w:rsid w:val="000E2261"/>
    <w:rsid w:val="000E3C2E"/>
    <w:rsid w:val="000F21C1"/>
    <w:rsid w:val="00102CA6"/>
    <w:rsid w:val="00104DF4"/>
    <w:rsid w:val="0010745C"/>
    <w:rsid w:val="00113D7D"/>
    <w:rsid w:val="00121DFE"/>
    <w:rsid w:val="00122E50"/>
    <w:rsid w:val="00125141"/>
    <w:rsid w:val="00132CEB"/>
    <w:rsid w:val="00133FE6"/>
    <w:rsid w:val="00142B62"/>
    <w:rsid w:val="00153B32"/>
    <w:rsid w:val="00157B8B"/>
    <w:rsid w:val="001624E1"/>
    <w:rsid w:val="00166C2F"/>
    <w:rsid w:val="00171A6E"/>
    <w:rsid w:val="001809D7"/>
    <w:rsid w:val="00181E57"/>
    <w:rsid w:val="00183CBF"/>
    <w:rsid w:val="0018659E"/>
    <w:rsid w:val="001872DC"/>
    <w:rsid w:val="001939E1"/>
    <w:rsid w:val="00194C3E"/>
    <w:rsid w:val="00195382"/>
    <w:rsid w:val="00195BD4"/>
    <w:rsid w:val="001A50EB"/>
    <w:rsid w:val="001C61C5"/>
    <w:rsid w:val="001C69C4"/>
    <w:rsid w:val="001C73F0"/>
    <w:rsid w:val="001D0254"/>
    <w:rsid w:val="001D37EF"/>
    <w:rsid w:val="001D61AF"/>
    <w:rsid w:val="001E3590"/>
    <w:rsid w:val="001E5254"/>
    <w:rsid w:val="001E7407"/>
    <w:rsid w:val="001E77ED"/>
    <w:rsid w:val="001E7E2B"/>
    <w:rsid w:val="001F02B1"/>
    <w:rsid w:val="001F1FA0"/>
    <w:rsid w:val="001F3A38"/>
    <w:rsid w:val="001F5D5E"/>
    <w:rsid w:val="001F6219"/>
    <w:rsid w:val="001F6CD4"/>
    <w:rsid w:val="00206C4D"/>
    <w:rsid w:val="0021053C"/>
    <w:rsid w:val="00215200"/>
    <w:rsid w:val="00215AF1"/>
    <w:rsid w:val="002173A9"/>
    <w:rsid w:val="00220A36"/>
    <w:rsid w:val="00223DCF"/>
    <w:rsid w:val="002321E8"/>
    <w:rsid w:val="00236EEC"/>
    <w:rsid w:val="0023738E"/>
    <w:rsid w:val="0024010F"/>
    <w:rsid w:val="00240749"/>
    <w:rsid w:val="00243018"/>
    <w:rsid w:val="00243EC0"/>
    <w:rsid w:val="00244742"/>
    <w:rsid w:val="002564A4"/>
    <w:rsid w:val="00260D53"/>
    <w:rsid w:val="0026736C"/>
    <w:rsid w:val="00281308"/>
    <w:rsid w:val="00281813"/>
    <w:rsid w:val="00284719"/>
    <w:rsid w:val="002852CD"/>
    <w:rsid w:val="00297D13"/>
    <w:rsid w:val="00297ECB"/>
    <w:rsid w:val="002A2230"/>
    <w:rsid w:val="002A7328"/>
    <w:rsid w:val="002A7BCF"/>
    <w:rsid w:val="002B19F3"/>
    <w:rsid w:val="002B4A0D"/>
    <w:rsid w:val="002C3B94"/>
    <w:rsid w:val="002C4613"/>
    <w:rsid w:val="002C7B6F"/>
    <w:rsid w:val="002D043A"/>
    <w:rsid w:val="002D43CA"/>
    <w:rsid w:val="002D6224"/>
    <w:rsid w:val="002E3F4B"/>
    <w:rsid w:val="002F28B9"/>
    <w:rsid w:val="002F71A4"/>
    <w:rsid w:val="0030018D"/>
    <w:rsid w:val="0030208E"/>
    <w:rsid w:val="00304F8B"/>
    <w:rsid w:val="003061EC"/>
    <w:rsid w:val="00311F41"/>
    <w:rsid w:val="0031223A"/>
    <w:rsid w:val="00320FC5"/>
    <w:rsid w:val="00321375"/>
    <w:rsid w:val="00327DDF"/>
    <w:rsid w:val="003354D2"/>
    <w:rsid w:val="00335BC6"/>
    <w:rsid w:val="003415D3"/>
    <w:rsid w:val="003426DE"/>
    <w:rsid w:val="00344701"/>
    <w:rsid w:val="003528DA"/>
    <w:rsid w:val="00352B0F"/>
    <w:rsid w:val="00355410"/>
    <w:rsid w:val="00356690"/>
    <w:rsid w:val="003574D9"/>
    <w:rsid w:val="00357DD0"/>
    <w:rsid w:val="00360459"/>
    <w:rsid w:val="003616C2"/>
    <w:rsid w:val="00365497"/>
    <w:rsid w:val="00387A96"/>
    <w:rsid w:val="00390531"/>
    <w:rsid w:val="00393385"/>
    <w:rsid w:val="003A2A48"/>
    <w:rsid w:val="003B28C3"/>
    <w:rsid w:val="003B732F"/>
    <w:rsid w:val="003C6231"/>
    <w:rsid w:val="003D0BFE"/>
    <w:rsid w:val="003D5700"/>
    <w:rsid w:val="003E0570"/>
    <w:rsid w:val="003E0F99"/>
    <w:rsid w:val="003E341B"/>
    <w:rsid w:val="003E5537"/>
    <w:rsid w:val="003F3EFD"/>
    <w:rsid w:val="0040053F"/>
    <w:rsid w:val="004116CD"/>
    <w:rsid w:val="004144EC"/>
    <w:rsid w:val="00417EB9"/>
    <w:rsid w:val="004232D9"/>
    <w:rsid w:val="00424CA9"/>
    <w:rsid w:val="00431E9B"/>
    <w:rsid w:val="00435EEF"/>
    <w:rsid w:val="00437868"/>
    <w:rsid w:val="004379E3"/>
    <w:rsid w:val="0044015E"/>
    <w:rsid w:val="0044291A"/>
    <w:rsid w:val="00444571"/>
    <w:rsid w:val="00444ABD"/>
    <w:rsid w:val="0044574B"/>
    <w:rsid w:val="00445C5E"/>
    <w:rsid w:val="00447DB4"/>
    <w:rsid w:val="00460F1D"/>
    <w:rsid w:val="00462668"/>
    <w:rsid w:val="00465DC1"/>
    <w:rsid w:val="00467661"/>
    <w:rsid w:val="004705B7"/>
    <w:rsid w:val="00472DBE"/>
    <w:rsid w:val="00473684"/>
    <w:rsid w:val="00474A19"/>
    <w:rsid w:val="00474B52"/>
    <w:rsid w:val="00481C24"/>
    <w:rsid w:val="004823C0"/>
    <w:rsid w:val="0048276B"/>
    <w:rsid w:val="00496B5F"/>
    <w:rsid w:val="00496F97"/>
    <w:rsid w:val="004A0956"/>
    <w:rsid w:val="004A44FC"/>
    <w:rsid w:val="004B1A4E"/>
    <w:rsid w:val="004B5B44"/>
    <w:rsid w:val="004B7BDC"/>
    <w:rsid w:val="004C1473"/>
    <w:rsid w:val="004C1CB1"/>
    <w:rsid w:val="004C4221"/>
    <w:rsid w:val="004C6DCA"/>
    <w:rsid w:val="004D7E7F"/>
    <w:rsid w:val="004E063A"/>
    <w:rsid w:val="004E7BEC"/>
    <w:rsid w:val="004F137F"/>
    <w:rsid w:val="004F19AD"/>
    <w:rsid w:val="004F2749"/>
    <w:rsid w:val="0050044F"/>
    <w:rsid w:val="005012A0"/>
    <w:rsid w:val="0050367D"/>
    <w:rsid w:val="00505D3D"/>
    <w:rsid w:val="00506AF6"/>
    <w:rsid w:val="00507335"/>
    <w:rsid w:val="00514E7A"/>
    <w:rsid w:val="00516B8D"/>
    <w:rsid w:val="00517E56"/>
    <w:rsid w:val="0052767A"/>
    <w:rsid w:val="00532049"/>
    <w:rsid w:val="005332F7"/>
    <w:rsid w:val="005356A7"/>
    <w:rsid w:val="00536184"/>
    <w:rsid w:val="00537FBC"/>
    <w:rsid w:val="00542A90"/>
    <w:rsid w:val="00543D3E"/>
    <w:rsid w:val="0055371C"/>
    <w:rsid w:val="00556D55"/>
    <w:rsid w:val="005574D1"/>
    <w:rsid w:val="00561ABB"/>
    <w:rsid w:val="005657FE"/>
    <w:rsid w:val="00571DD4"/>
    <w:rsid w:val="00572BB1"/>
    <w:rsid w:val="00574C30"/>
    <w:rsid w:val="0057670F"/>
    <w:rsid w:val="00584811"/>
    <w:rsid w:val="00585784"/>
    <w:rsid w:val="00593AA6"/>
    <w:rsid w:val="00594161"/>
    <w:rsid w:val="00594314"/>
    <w:rsid w:val="00594749"/>
    <w:rsid w:val="005B4067"/>
    <w:rsid w:val="005B65F4"/>
    <w:rsid w:val="005B780C"/>
    <w:rsid w:val="005C3F41"/>
    <w:rsid w:val="005D0489"/>
    <w:rsid w:val="005D1FEA"/>
    <w:rsid w:val="005D2D09"/>
    <w:rsid w:val="005D3D41"/>
    <w:rsid w:val="005E4810"/>
    <w:rsid w:val="005F203F"/>
    <w:rsid w:val="005F4140"/>
    <w:rsid w:val="005F65CD"/>
    <w:rsid w:val="00600219"/>
    <w:rsid w:val="00603DC4"/>
    <w:rsid w:val="00607A71"/>
    <w:rsid w:val="00610709"/>
    <w:rsid w:val="006117CB"/>
    <w:rsid w:val="00614164"/>
    <w:rsid w:val="00620076"/>
    <w:rsid w:val="00634044"/>
    <w:rsid w:val="00640161"/>
    <w:rsid w:val="00652769"/>
    <w:rsid w:val="0065542F"/>
    <w:rsid w:val="006554FF"/>
    <w:rsid w:val="00664DF2"/>
    <w:rsid w:val="00670EA1"/>
    <w:rsid w:val="00677CC2"/>
    <w:rsid w:val="006905DE"/>
    <w:rsid w:val="0069207B"/>
    <w:rsid w:val="00693F29"/>
    <w:rsid w:val="006A01C7"/>
    <w:rsid w:val="006A2F39"/>
    <w:rsid w:val="006B5789"/>
    <w:rsid w:val="006C30C5"/>
    <w:rsid w:val="006C48FA"/>
    <w:rsid w:val="006C7F8C"/>
    <w:rsid w:val="006E0046"/>
    <w:rsid w:val="006E5320"/>
    <w:rsid w:val="006E6246"/>
    <w:rsid w:val="006F318F"/>
    <w:rsid w:val="006F4226"/>
    <w:rsid w:val="0070017E"/>
    <w:rsid w:val="00700B2C"/>
    <w:rsid w:val="00702EFD"/>
    <w:rsid w:val="00704D8F"/>
    <w:rsid w:val="007050A2"/>
    <w:rsid w:val="00713084"/>
    <w:rsid w:val="0071399B"/>
    <w:rsid w:val="00714F20"/>
    <w:rsid w:val="0071590F"/>
    <w:rsid w:val="00715914"/>
    <w:rsid w:val="0072322C"/>
    <w:rsid w:val="007260AD"/>
    <w:rsid w:val="007265E0"/>
    <w:rsid w:val="00731E00"/>
    <w:rsid w:val="00740D4E"/>
    <w:rsid w:val="00741EE8"/>
    <w:rsid w:val="007440B7"/>
    <w:rsid w:val="007500C8"/>
    <w:rsid w:val="007535DC"/>
    <w:rsid w:val="00756272"/>
    <w:rsid w:val="007662B5"/>
    <w:rsid w:val="0076681A"/>
    <w:rsid w:val="007715C9"/>
    <w:rsid w:val="00771613"/>
    <w:rsid w:val="007737C0"/>
    <w:rsid w:val="00774EDD"/>
    <w:rsid w:val="0077506D"/>
    <w:rsid w:val="007757EC"/>
    <w:rsid w:val="0078324E"/>
    <w:rsid w:val="00783E89"/>
    <w:rsid w:val="007842CE"/>
    <w:rsid w:val="00785A9E"/>
    <w:rsid w:val="00793915"/>
    <w:rsid w:val="007B022F"/>
    <w:rsid w:val="007B4C4F"/>
    <w:rsid w:val="007C2253"/>
    <w:rsid w:val="007D110A"/>
    <w:rsid w:val="007D230B"/>
    <w:rsid w:val="007D2430"/>
    <w:rsid w:val="007E163D"/>
    <w:rsid w:val="007E667A"/>
    <w:rsid w:val="007F28C9"/>
    <w:rsid w:val="007F370C"/>
    <w:rsid w:val="00800391"/>
    <w:rsid w:val="0080312D"/>
    <w:rsid w:val="00803587"/>
    <w:rsid w:val="008117E9"/>
    <w:rsid w:val="00824498"/>
    <w:rsid w:val="008318C3"/>
    <w:rsid w:val="0083339A"/>
    <w:rsid w:val="00835179"/>
    <w:rsid w:val="00840442"/>
    <w:rsid w:val="00850707"/>
    <w:rsid w:val="008527C0"/>
    <w:rsid w:val="00856A31"/>
    <w:rsid w:val="00860B58"/>
    <w:rsid w:val="008622E4"/>
    <w:rsid w:val="00863657"/>
    <w:rsid w:val="00867B37"/>
    <w:rsid w:val="008718DD"/>
    <w:rsid w:val="008754D0"/>
    <w:rsid w:val="008855C9"/>
    <w:rsid w:val="00886456"/>
    <w:rsid w:val="008870DB"/>
    <w:rsid w:val="008945E0"/>
    <w:rsid w:val="0089527F"/>
    <w:rsid w:val="008A362B"/>
    <w:rsid w:val="008A46E1"/>
    <w:rsid w:val="008A4F43"/>
    <w:rsid w:val="008B2706"/>
    <w:rsid w:val="008B388F"/>
    <w:rsid w:val="008C0035"/>
    <w:rsid w:val="008C0F29"/>
    <w:rsid w:val="008D0EE0"/>
    <w:rsid w:val="008D191F"/>
    <w:rsid w:val="008D3422"/>
    <w:rsid w:val="008D672A"/>
    <w:rsid w:val="008E0E23"/>
    <w:rsid w:val="008E6067"/>
    <w:rsid w:val="008F54E7"/>
    <w:rsid w:val="009016BE"/>
    <w:rsid w:val="00903422"/>
    <w:rsid w:val="00912A58"/>
    <w:rsid w:val="00914A70"/>
    <w:rsid w:val="009157B9"/>
    <w:rsid w:val="00915DF9"/>
    <w:rsid w:val="009166CD"/>
    <w:rsid w:val="009254C3"/>
    <w:rsid w:val="00926940"/>
    <w:rsid w:val="00930A0A"/>
    <w:rsid w:val="00932377"/>
    <w:rsid w:val="009372F0"/>
    <w:rsid w:val="009460DC"/>
    <w:rsid w:val="0094624C"/>
    <w:rsid w:val="00946759"/>
    <w:rsid w:val="00947D5A"/>
    <w:rsid w:val="009532A5"/>
    <w:rsid w:val="00955175"/>
    <w:rsid w:val="0095528E"/>
    <w:rsid w:val="00964A88"/>
    <w:rsid w:val="0096753E"/>
    <w:rsid w:val="00974E0E"/>
    <w:rsid w:val="00982242"/>
    <w:rsid w:val="009868E9"/>
    <w:rsid w:val="009944E6"/>
    <w:rsid w:val="009946F9"/>
    <w:rsid w:val="009A0570"/>
    <w:rsid w:val="009A3A6F"/>
    <w:rsid w:val="009A3F74"/>
    <w:rsid w:val="009A49C9"/>
    <w:rsid w:val="009B62CA"/>
    <w:rsid w:val="009C70EE"/>
    <w:rsid w:val="009D1818"/>
    <w:rsid w:val="009D195A"/>
    <w:rsid w:val="009D23BF"/>
    <w:rsid w:val="009D7993"/>
    <w:rsid w:val="009E5CFC"/>
    <w:rsid w:val="009E75A7"/>
    <w:rsid w:val="009F2CE0"/>
    <w:rsid w:val="009F4FDA"/>
    <w:rsid w:val="00A03947"/>
    <w:rsid w:val="00A03AF1"/>
    <w:rsid w:val="00A079CB"/>
    <w:rsid w:val="00A12128"/>
    <w:rsid w:val="00A12F48"/>
    <w:rsid w:val="00A14F6A"/>
    <w:rsid w:val="00A15512"/>
    <w:rsid w:val="00A22C98"/>
    <w:rsid w:val="00A231E2"/>
    <w:rsid w:val="00A314FB"/>
    <w:rsid w:val="00A32C91"/>
    <w:rsid w:val="00A33D55"/>
    <w:rsid w:val="00A34412"/>
    <w:rsid w:val="00A40424"/>
    <w:rsid w:val="00A44C99"/>
    <w:rsid w:val="00A501A9"/>
    <w:rsid w:val="00A52B0F"/>
    <w:rsid w:val="00A5632E"/>
    <w:rsid w:val="00A64912"/>
    <w:rsid w:val="00A65AA1"/>
    <w:rsid w:val="00A70A74"/>
    <w:rsid w:val="00A91966"/>
    <w:rsid w:val="00A92F67"/>
    <w:rsid w:val="00AA43C4"/>
    <w:rsid w:val="00AA66AC"/>
    <w:rsid w:val="00AB1576"/>
    <w:rsid w:val="00AB1DE8"/>
    <w:rsid w:val="00AB515E"/>
    <w:rsid w:val="00AB69D9"/>
    <w:rsid w:val="00AC0886"/>
    <w:rsid w:val="00AC6270"/>
    <w:rsid w:val="00AC6B8C"/>
    <w:rsid w:val="00AD02B8"/>
    <w:rsid w:val="00AD1F73"/>
    <w:rsid w:val="00AD5315"/>
    <w:rsid w:val="00AD5641"/>
    <w:rsid w:val="00AD7889"/>
    <w:rsid w:val="00AE2351"/>
    <w:rsid w:val="00AE787B"/>
    <w:rsid w:val="00AF021B"/>
    <w:rsid w:val="00AF06CF"/>
    <w:rsid w:val="00AF1C5C"/>
    <w:rsid w:val="00AF2ECE"/>
    <w:rsid w:val="00B04305"/>
    <w:rsid w:val="00B07CDB"/>
    <w:rsid w:val="00B16A31"/>
    <w:rsid w:val="00B17DFD"/>
    <w:rsid w:val="00B2799D"/>
    <w:rsid w:val="00B308FE"/>
    <w:rsid w:val="00B33709"/>
    <w:rsid w:val="00B33B3C"/>
    <w:rsid w:val="00B33BD1"/>
    <w:rsid w:val="00B436E2"/>
    <w:rsid w:val="00B50ADC"/>
    <w:rsid w:val="00B566B1"/>
    <w:rsid w:val="00B577C8"/>
    <w:rsid w:val="00B63834"/>
    <w:rsid w:val="00B72734"/>
    <w:rsid w:val="00B80199"/>
    <w:rsid w:val="00B82D81"/>
    <w:rsid w:val="00B83204"/>
    <w:rsid w:val="00B9126E"/>
    <w:rsid w:val="00B94113"/>
    <w:rsid w:val="00BA220B"/>
    <w:rsid w:val="00BA3A57"/>
    <w:rsid w:val="00BB3180"/>
    <w:rsid w:val="00BB4E1A"/>
    <w:rsid w:val="00BB5C17"/>
    <w:rsid w:val="00BC015E"/>
    <w:rsid w:val="00BC7183"/>
    <w:rsid w:val="00BC76AC"/>
    <w:rsid w:val="00BD0ECB"/>
    <w:rsid w:val="00BD0F91"/>
    <w:rsid w:val="00BD5D9A"/>
    <w:rsid w:val="00BE2155"/>
    <w:rsid w:val="00BE2213"/>
    <w:rsid w:val="00BE6EF9"/>
    <w:rsid w:val="00BE719A"/>
    <w:rsid w:val="00BE720A"/>
    <w:rsid w:val="00BF0D73"/>
    <w:rsid w:val="00BF2465"/>
    <w:rsid w:val="00BF5AF1"/>
    <w:rsid w:val="00BF6F77"/>
    <w:rsid w:val="00BF75C9"/>
    <w:rsid w:val="00C04C9C"/>
    <w:rsid w:val="00C0544A"/>
    <w:rsid w:val="00C071EC"/>
    <w:rsid w:val="00C1049D"/>
    <w:rsid w:val="00C11452"/>
    <w:rsid w:val="00C17457"/>
    <w:rsid w:val="00C25E7F"/>
    <w:rsid w:val="00C2746F"/>
    <w:rsid w:val="00C324A0"/>
    <w:rsid w:val="00C3300F"/>
    <w:rsid w:val="00C34E77"/>
    <w:rsid w:val="00C35875"/>
    <w:rsid w:val="00C35DAF"/>
    <w:rsid w:val="00C40772"/>
    <w:rsid w:val="00C40A24"/>
    <w:rsid w:val="00C4170B"/>
    <w:rsid w:val="00C42BF8"/>
    <w:rsid w:val="00C45171"/>
    <w:rsid w:val="00C4678A"/>
    <w:rsid w:val="00C50043"/>
    <w:rsid w:val="00C50B97"/>
    <w:rsid w:val="00C514C1"/>
    <w:rsid w:val="00C52E7C"/>
    <w:rsid w:val="00C6272C"/>
    <w:rsid w:val="00C6434E"/>
    <w:rsid w:val="00C70CA8"/>
    <w:rsid w:val="00C7573B"/>
    <w:rsid w:val="00C76D03"/>
    <w:rsid w:val="00C7761F"/>
    <w:rsid w:val="00C86B32"/>
    <w:rsid w:val="00C920E8"/>
    <w:rsid w:val="00C93C03"/>
    <w:rsid w:val="00CA66DC"/>
    <w:rsid w:val="00CB2A99"/>
    <w:rsid w:val="00CB2C8E"/>
    <w:rsid w:val="00CB2D96"/>
    <w:rsid w:val="00CB602E"/>
    <w:rsid w:val="00CB6449"/>
    <w:rsid w:val="00CD2E90"/>
    <w:rsid w:val="00CD5242"/>
    <w:rsid w:val="00CE0149"/>
    <w:rsid w:val="00CE051D"/>
    <w:rsid w:val="00CE1335"/>
    <w:rsid w:val="00CE3D2A"/>
    <w:rsid w:val="00CE493D"/>
    <w:rsid w:val="00CE541A"/>
    <w:rsid w:val="00CE6D42"/>
    <w:rsid w:val="00CF07FA"/>
    <w:rsid w:val="00CF0BB2"/>
    <w:rsid w:val="00CF2ED7"/>
    <w:rsid w:val="00CF3EE8"/>
    <w:rsid w:val="00CF5313"/>
    <w:rsid w:val="00D037A9"/>
    <w:rsid w:val="00D050E6"/>
    <w:rsid w:val="00D13441"/>
    <w:rsid w:val="00D1469C"/>
    <w:rsid w:val="00D150E7"/>
    <w:rsid w:val="00D20A4B"/>
    <w:rsid w:val="00D231F3"/>
    <w:rsid w:val="00D25762"/>
    <w:rsid w:val="00D306F8"/>
    <w:rsid w:val="00D32F65"/>
    <w:rsid w:val="00D341C4"/>
    <w:rsid w:val="00D35507"/>
    <w:rsid w:val="00D52DC2"/>
    <w:rsid w:val="00D53BCC"/>
    <w:rsid w:val="00D6085C"/>
    <w:rsid w:val="00D648BB"/>
    <w:rsid w:val="00D702DE"/>
    <w:rsid w:val="00D70DFB"/>
    <w:rsid w:val="00D732EC"/>
    <w:rsid w:val="00D73C22"/>
    <w:rsid w:val="00D766DF"/>
    <w:rsid w:val="00D778C0"/>
    <w:rsid w:val="00D84FB7"/>
    <w:rsid w:val="00DA186E"/>
    <w:rsid w:val="00DA4116"/>
    <w:rsid w:val="00DA578B"/>
    <w:rsid w:val="00DB251C"/>
    <w:rsid w:val="00DB38AD"/>
    <w:rsid w:val="00DB4630"/>
    <w:rsid w:val="00DC4445"/>
    <w:rsid w:val="00DC4F88"/>
    <w:rsid w:val="00DD14E7"/>
    <w:rsid w:val="00DE0A85"/>
    <w:rsid w:val="00DE79F9"/>
    <w:rsid w:val="00DF1927"/>
    <w:rsid w:val="00DF748E"/>
    <w:rsid w:val="00E03009"/>
    <w:rsid w:val="00E05704"/>
    <w:rsid w:val="00E06CC3"/>
    <w:rsid w:val="00E11E44"/>
    <w:rsid w:val="00E13AFA"/>
    <w:rsid w:val="00E17A3E"/>
    <w:rsid w:val="00E2168B"/>
    <w:rsid w:val="00E218F3"/>
    <w:rsid w:val="00E21F03"/>
    <w:rsid w:val="00E338EF"/>
    <w:rsid w:val="00E40FF8"/>
    <w:rsid w:val="00E544BB"/>
    <w:rsid w:val="00E578EC"/>
    <w:rsid w:val="00E60423"/>
    <w:rsid w:val="00E649D7"/>
    <w:rsid w:val="00E662CB"/>
    <w:rsid w:val="00E74DC7"/>
    <w:rsid w:val="00E76434"/>
    <w:rsid w:val="00E8075A"/>
    <w:rsid w:val="00E818A6"/>
    <w:rsid w:val="00E85A91"/>
    <w:rsid w:val="00E87718"/>
    <w:rsid w:val="00E94D5E"/>
    <w:rsid w:val="00EA0BF6"/>
    <w:rsid w:val="00EA17A6"/>
    <w:rsid w:val="00EA48B6"/>
    <w:rsid w:val="00EA7100"/>
    <w:rsid w:val="00EA7F9F"/>
    <w:rsid w:val="00EB0E70"/>
    <w:rsid w:val="00EB1274"/>
    <w:rsid w:val="00EB24C3"/>
    <w:rsid w:val="00EC4757"/>
    <w:rsid w:val="00EC4CCC"/>
    <w:rsid w:val="00EC7EDB"/>
    <w:rsid w:val="00ED14FB"/>
    <w:rsid w:val="00ED2BB6"/>
    <w:rsid w:val="00ED34E1"/>
    <w:rsid w:val="00ED3B8D"/>
    <w:rsid w:val="00ED73C6"/>
    <w:rsid w:val="00ED796D"/>
    <w:rsid w:val="00EE1D0C"/>
    <w:rsid w:val="00EE3187"/>
    <w:rsid w:val="00EF15D3"/>
    <w:rsid w:val="00EF2E3A"/>
    <w:rsid w:val="00F02EF9"/>
    <w:rsid w:val="00F03BB5"/>
    <w:rsid w:val="00F047D8"/>
    <w:rsid w:val="00F072A7"/>
    <w:rsid w:val="00F078DC"/>
    <w:rsid w:val="00F14593"/>
    <w:rsid w:val="00F171A1"/>
    <w:rsid w:val="00F32BA8"/>
    <w:rsid w:val="00F349F1"/>
    <w:rsid w:val="00F3627D"/>
    <w:rsid w:val="00F4215A"/>
    <w:rsid w:val="00F4350D"/>
    <w:rsid w:val="00F50532"/>
    <w:rsid w:val="00F567F7"/>
    <w:rsid w:val="00F61B09"/>
    <w:rsid w:val="00F62036"/>
    <w:rsid w:val="00F65B52"/>
    <w:rsid w:val="00F67BCA"/>
    <w:rsid w:val="00F73BD6"/>
    <w:rsid w:val="00F800C9"/>
    <w:rsid w:val="00F8111D"/>
    <w:rsid w:val="00F828DB"/>
    <w:rsid w:val="00F83989"/>
    <w:rsid w:val="00F85099"/>
    <w:rsid w:val="00F9379C"/>
    <w:rsid w:val="00F94E84"/>
    <w:rsid w:val="00F9632C"/>
    <w:rsid w:val="00FA1E52"/>
    <w:rsid w:val="00FA31DE"/>
    <w:rsid w:val="00FA7D17"/>
    <w:rsid w:val="00FB60D8"/>
    <w:rsid w:val="00FB71B0"/>
    <w:rsid w:val="00FC3EB8"/>
    <w:rsid w:val="00FC54C7"/>
    <w:rsid w:val="00FC5FF6"/>
    <w:rsid w:val="00FC7D25"/>
    <w:rsid w:val="00FD13CC"/>
    <w:rsid w:val="00FD78E8"/>
    <w:rsid w:val="00FE2E05"/>
    <w:rsid w:val="00FE2FB8"/>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A2F0"/>
  <w15:chartTrackingRefBased/>
  <w15:docId w15:val="{C8E6C944-A51D-4B03-B897-59E62D9A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paragraph" w:customStyle="1" w:styleId="Bullet">
    <w:name w:val="Bullet"/>
    <w:aliases w:val="b,b + line,b1,Body,level 1,Bullet + line"/>
    <w:basedOn w:val="Normal"/>
    <w:link w:val="BulletChar"/>
    <w:qFormat/>
    <w:rsid w:val="003616C2"/>
    <w:pPr>
      <w:numPr>
        <w:numId w:val="20"/>
      </w:numPr>
      <w:spacing w:before="240" w:after="120" w:line="240" w:lineRule="auto"/>
    </w:pPr>
    <w:rPr>
      <w:rFonts w:eastAsia="Times New Roman"/>
      <w:sz w:val="24"/>
      <w:szCs w:val="23"/>
      <w:lang w:eastAsia="en-AU"/>
    </w:rPr>
  </w:style>
  <w:style w:type="character" w:customStyle="1" w:styleId="LI-SectionsubsubparaAChar">
    <w:name w:val="LI - Section subsubpara (A) Char"/>
    <w:link w:val="LI-SectionsubsubparaA"/>
    <w:rsid w:val="006554FF"/>
    <w:rPr>
      <w:rFonts w:eastAsia="Times New Roman"/>
      <w:sz w:val="24"/>
      <w:szCs w:val="24"/>
    </w:rPr>
  </w:style>
  <w:style w:type="character" w:customStyle="1" w:styleId="BulletChar">
    <w:name w:val="Bullet Char"/>
    <w:aliases w:val="b + line Char Char,b Char,b Char Char"/>
    <w:link w:val="Bullet"/>
    <w:rsid w:val="003616C2"/>
    <w:rPr>
      <w:rFonts w:eastAsia="Times New Roman"/>
      <w:sz w:val="24"/>
      <w:szCs w:val="23"/>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customStyle="1" w:styleId="Dash">
    <w:name w:val="Dash"/>
    <w:basedOn w:val="Normal"/>
    <w:qFormat/>
    <w:rsid w:val="003616C2"/>
    <w:pPr>
      <w:numPr>
        <w:ilvl w:val="1"/>
        <w:numId w:val="20"/>
      </w:numPr>
      <w:spacing w:before="240" w:after="120" w:line="240" w:lineRule="auto"/>
    </w:pPr>
    <w:rPr>
      <w:rFonts w:eastAsia="Times New Roman"/>
      <w:sz w:val="24"/>
      <w:szCs w:val="23"/>
      <w:lang w:eastAsia="en-AU"/>
    </w:rPr>
  </w:style>
  <w:style w:type="character" w:customStyle="1" w:styleId="LI-SubtitleChar">
    <w:name w:val="LI - Subtitle Char"/>
    <w:link w:val="LI-Subtitle"/>
    <w:rsid w:val="00243EC0"/>
    <w:rPr>
      <w:b/>
      <w:sz w:val="28"/>
      <w:szCs w:val="28"/>
    </w:rPr>
  </w:style>
  <w:style w:type="paragraph" w:customStyle="1" w:styleId="DoubleDot">
    <w:name w:val="Double Dot"/>
    <w:basedOn w:val="Normal"/>
    <w:qFormat/>
    <w:rsid w:val="003616C2"/>
    <w:pPr>
      <w:numPr>
        <w:ilvl w:val="2"/>
        <w:numId w:val="20"/>
      </w:numPr>
      <w:spacing w:before="240" w:after="120" w:line="240" w:lineRule="auto"/>
    </w:pPr>
    <w:rPr>
      <w:rFonts w:eastAsia="Times New Roman"/>
      <w:sz w:val="24"/>
      <w:szCs w:val="23"/>
      <w:lang w:eastAsia="en-AU"/>
    </w:rPr>
  </w:style>
  <w:style w:type="paragraph" w:styleId="Quote">
    <w:name w:val="Quote"/>
    <w:basedOn w:val="Normal"/>
    <w:next w:val="Normal"/>
    <w:link w:val="QuoteChar"/>
    <w:uiPriority w:val="29"/>
    <w:qFormat/>
    <w:rsid w:val="00543D3E"/>
    <w:pPr>
      <w:spacing w:before="200" w:after="160"/>
      <w:ind w:left="864" w:right="864"/>
      <w:jc w:val="center"/>
    </w:pPr>
    <w:rPr>
      <w:i/>
      <w:iCs/>
      <w:color w:val="404040"/>
    </w:rPr>
  </w:style>
  <w:style w:type="character" w:customStyle="1" w:styleId="QuoteChar">
    <w:name w:val="Quote Char"/>
    <w:link w:val="Quote"/>
    <w:uiPriority w:val="29"/>
    <w:rsid w:val="00543D3E"/>
    <w:rPr>
      <w:i/>
      <w:iCs/>
      <w:color w:val="404040"/>
      <w:sz w:val="22"/>
      <w:lang w:eastAsia="en-US"/>
    </w:rPr>
  </w:style>
  <w:style w:type="character" w:customStyle="1" w:styleId="ListParagraphChar">
    <w:name w:val="List Paragraph Char"/>
    <w:link w:val="ListParagraph"/>
    <w:uiPriority w:val="50"/>
    <w:locked/>
    <w:rsid w:val="00BB3180"/>
    <w:rPr>
      <w:rFonts w:ascii="Calibri" w:hAnsi="Calibri" w:cs="Calibri"/>
      <w:lang w:eastAsia="en-US"/>
    </w:rPr>
  </w:style>
  <w:style w:type="paragraph" w:styleId="ListParagraph">
    <w:name w:val="List Paragraph"/>
    <w:basedOn w:val="Normal"/>
    <w:link w:val="ListParagraphChar"/>
    <w:uiPriority w:val="50"/>
    <w:qFormat/>
    <w:rsid w:val="00BB3180"/>
    <w:pPr>
      <w:spacing w:line="240" w:lineRule="auto"/>
      <w:ind w:left="720"/>
    </w:pPr>
    <w:rPr>
      <w:rFonts w:ascii="Calibri" w:hAnsi="Calibri" w:cs="Calibri"/>
      <w:sz w:val="20"/>
    </w:rPr>
  </w:style>
  <w:style w:type="paragraph" w:styleId="Revision">
    <w:name w:val="Revision"/>
    <w:hidden/>
    <w:uiPriority w:val="99"/>
    <w:semiHidden/>
    <w:rsid w:val="006E0046"/>
    <w:rPr>
      <w:sz w:val="22"/>
      <w:lang w:eastAsia="en-US"/>
    </w:rPr>
  </w:style>
  <w:style w:type="character" w:styleId="FollowedHyperlink">
    <w:name w:val="FollowedHyperlink"/>
    <w:basedOn w:val="DefaultParagraphFont"/>
    <w:uiPriority w:val="99"/>
    <w:semiHidden/>
    <w:unhideWhenUsed/>
    <w:rsid w:val="0044574B"/>
    <w:rPr>
      <w:color w:val="954F72" w:themeColor="followedHyperlink"/>
      <w:u w:val="single"/>
    </w:rPr>
  </w:style>
  <w:style w:type="paragraph" w:customStyle="1" w:styleId="li-bodytextparaa0">
    <w:name w:val="li-bodytextparaa"/>
    <w:basedOn w:val="Normal"/>
    <w:rsid w:val="0044574B"/>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15316501">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14867634">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33526859">
      <w:bodyDiv w:val="1"/>
      <w:marLeft w:val="0"/>
      <w:marRight w:val="0"/>
      <w:marTop w:val="0"/>
      <w:marBottom w:val="0"/>
      <w:divBdr>
        <w:top w:val="none" w:sz="0" w:space="0" w:color="auto"/>
        <w:left w:val="none" w:sz="0" w:space="0" w:color="auto"/>
        <w:bottom w:val="none" w:sz="0" w:space="0" w:color="auto"/>
        <w:right w:val="none" w:sz="0" w:space="0" w:color="auto"/>
      </w:divBdr>
    </w:div>
    <w:div w:id="1787656689">
      <w:bodyDiv w:val="1"/>
      <w:marLeft w:val="0"/>
      <w:marRight w:val="0"/>
      <w:marTop w:val="0"/>
      <w:marBottom w:val="0"/>
      <w:divBdr>
        <w:top w:val="none" w:sz="0" w:space="0" w:color="auto"/>
        <w:left w:val="none" w:sz="0" w:space="0" w:color="auto"/>
        <w:bottom w:val="none" w:sz="0" w:space="0" w:color="auto"/>
        <w:right w:val="none" w:sz="0" w:space="0" w:color="auto"/>
      </w:divBdr>
    </w:div>
    <w:div w:id="1829588774">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D96288D0C9516240A384CA7BDCAA7070" ma:contentTypeVersion="26" ma:contentTypeDescription="" ma:contentTypeScope="" ma:versionID="c75316d57e327ba4b7ad3be9c13a8775">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e1acea644be69cbcb69f0dd9328b7906"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OFFICIAL - Sensitive|6eccc17f-024b-41b0-b6b1-faf98d2aff85"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R20210000667546</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D49A326-B730-4BFA-8FA1-F93648620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a6fd680d-2161-48eb-a9ee-9070ec61f910"/>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D61FE-531E-466C-8D8B-CFD66D9FE778}">
  <ds:schemaRefs>
    <ds:schemaRef ds:uri="http://schemas.microsoft.com/sharepoint/events"/>
  </ds:schemaRefs>
</ds:datastoreItem>
</file>

<file path=customXml/itemProps3.xml><?xml version="1.0" encoding="utf-8"?>
<ds:datastoreItem xmlns:ds="http://schemas.openxmlformats.org/officeDocument/2006/customXml" ds:itemID="{FA02478E-40A7-4E1A-9332-348540ED92F6}">
  <ds:schemaRefs>
    <ds:schemaRef ds:uri="http://schemas.openxmlformats.org/package/2006/metadata/core-properties"/>
    <ds:schemaRef ds:uri="http://schemas.microsoft.com/office/2006/documentManagement/types"/>
    <ds:schemaRef ds:uri="a6fd680d-2161-48eb-a9ee-9070ec61f910"/>
    <ds:schemaRef ds:uri="http://purl.org/dc/elements/1.1/"/>
    <ds:schemaRef ds:uri="http://schemas.microsoft.com/office/2006/metadata/properties"/>
    <ds:schemaRef ds:uri="http://schemas.microsoft.com/office/infopath/2007/PartnerControls"/>
    <ds:schemaRef ds:uri="17f478ab-373e-4295-9ff0-9b833ad01319"/>
    <ds:schemaRef ds:uri="http://purl.org/dc/terms/"/>
    <ds:schemaRef ds:uri="da7a9ac0-bc47-4684-84e6-3a8e9ac80c12"/>
    <ds:schemaRef ds:uri="http://www.w3.org/XML/1998/namespace"/>
    <ds:schemaRef ds:uri="http://purl.org/dc/dcmitype/"/>
  </ds:schemaRefs>
</ds:datastoreItem>
</file>

<file path=customXml/itemProps4.xml><?xml version="1.0" encoding="utf-8"?>
<ds:datastoreItem xmlns:ds="http://schemas.openxmlformats.org/officeDocument/2006/customXml" ds:itemID="{6972F574-D222-46F2-8DBD-89298F8F9BF7}">
  <ds:schemaRefs>
    <ds:schemaRef ds:uri="http://schemas.microsoft.com/sharepoint/v3/contenttype/forms"/>
  </ds:schemaRefs>
</ds:datastoreItem>
</file>

<file path=customXml/itemProps5.xml><?xml version="1.0" encoding="utf-8"?>
<ds:datastoreItem xmlns:ds="http://schemas.openxmlformats.org/officeDocument/2006/customXml" ds:itemID="{D5C3C372-1840-440F-8BA3-AA87151C66F4}">
  <ds:schemaRefs>
    <ds:schemaRef ds:uri="http://schemas.openxmlformats.org/officeDocument/2006/bibliography"/>
  </ds:schemaRefs>
</ds:datastoreItem>
</file>

<file path=customXml/itemProps6.xml><?xml version="1.0" encoding="utf-8"?>
<ds:datastoreItem xmlns:ds="http://schemas.openxmlformats.org/officeDocument/2006/customXml" ds:itemID="{A5C0C242-8520-4ED4-8D9A-C501C8B7719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Pages>
  <Words>1029</Words>
  <Characters>5870</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6886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3</cp:revision>
  <cp:lastPrinted>2019-01-03T02:56:00Z</cp:lastPrinted>
  <dcterms:created xsi:type="dcterms:W3CDTF">2021-09-21T01:21:00Z</dcterms:created>
  <dcterms:modified xsi:type="dcterms:W3CDTF">2021-09-21T01:21:00Z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{3e50770f-3e10-45f6-ae8f-e7aff96f3084}</vt:lpwstr>
  </property>
  <property fmtid="{D5CDD505-2E9C-101B-9397-08002B2CF9AE}" pid="41" name="RecordPoint_ActiveItemListId">
    <vt:lpwstr>{8fd98d8d-d3ab-4d5b-8950-65fb6b8c7bff}</vt:lpwstr>
  </property>
  <property fmtid="{D5CDD505-2E9C-101B-9397-08002B2CF9AE}" pid="42" name="RecordPoint_ActiveItemUniqueId">
    <vt:lpwstr>{0123ee58-cf1e-4cf6-bddd-c0a6b926d149}</vt:lpwstr>
  </property>
  <property fmtid="{D5CDD505-2E9C-101B-9397-08002B2CF9AE}" pid="43" name="RecordPoint_ActiveItemWebId">
    <vt:lpwstr>{a6fd680d-2161-48eb-a9ee-9070ec61f910}</vt:lpwstr>
  </property>
  <property fmtid="{D5CDD505-2E9C-101B-9397-08002B2CF9AE}" pid="44" name="IconOverlay">
    <vt:lpwstr/>
  </property>
  <property fmtid="{D5CDD505-2E9C-101B-9397-08002B2CF9AE}" pid="45" name="RecordPoint_RecordNumberSubmitted">
    <vt:lpwstr>R20210000667546</vt:lpwstr>
  </property>
  <property fmtid="{D5CDD505-2E9C-101B-9397-08002B2CF9AE}" pid="46" name="SecurityClassification">
    <vt:lpwstr>1;#Sensitive|19fd2cb8-3e97-4464-ae71-8c2c2095d028</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0x010100B5F685A1365F544391EF8C813B164F3A00D96288D0C9516240A384CA7BDCAA7070</vt:lpwstr>
  </property>
  <property fmtid="{D5CDD505-2E9C-101B-9397-08002B2CF9AE}" pid="51" name="f947e1037e3e49619e55f8843e0f11fe">
    <vt:lpwstr>Sensitive|19fd2cb8-3e97-4464-ae71-8c2c2095d028</vt:lpwstr>
  </property>
  <property fmtid="{D5CDD505-2E9C-101B-9397-08002B2CF9AE}" pid="52" name="_DocHome">
    <vt:i4>753908010</vt:i4>
  </property>
  <property fmtid="{D5CDD505-2E9C-101B-9397-08002B2CF9AE}" pid="53" name="hbe12d52d4d34160aedef9a950587c48">
    <vt:lpwstr>Sensitive|19fd2cb8-3e97-4464-ae71-8c2c2095d028</vt:lpwstr>
  </property>
  <property fmtid="{D5CDD505-2E9C-101B-9397-08002B2CF9AE}" pid="54" name="RecordPoint_SubmissionCompleted">
    <vt:lpwstr>2021-09-21T11:20:33.3253284+10:00</vt:lpwstr>
  </property>
</Properties>
</file>