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3AA16" w14:textId="77777777" w:rsidR="00EF7E39" w:rsidRPr="00641906" w:rsidRDefault="00EF7E39" w:rsidP="00EF7E39">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4F60F82A" w14:textId="77777777" w:rsidR="00EF7E39" w:rsidRDefault="00324A72" w:rsidP="00EF7E39">
      <w:pPr>
        <w:jc w:val="center"/>
        <w:rPr>
          <w:rFonts w:ascii="Times New Roman" w:hAnsi="Times New Roman" w:cs="Times New Roman"/>
        </w:rPr>
      </w:pPr>
      <w:r>
        <w:rPr>
          <w:rFonts w:ascii="Times New Roman" w:hAnsi="Times New Roman" w:cs="Times New Roman"/>
        </w:rPr>
        <w:t>Issued by the authority of the Presiding Officers</w:t>
      </w:r>
    </w:p>
    <w:p w14:paraId="561D4BDB" w14:textId="77777777" w:rsidR="00EF7E39" w:rsidRDefault="00EF7E39" w:rsidP="00EF7E39">
      <w:pPr>
        <w:jc w:val="center"/>
        <w:rPr>
          <w:rFonts w:ascii="Times New Roman" w:hAnsi="Times New Roman" w:cs="Times New Roman"/>
          <w:i/>
        </w:rPr>
      </w:pPr>
      <w:r>
        <w:rPr>
          <w:rFonts w:ascii="Times New Roman" w:hAnsi="Times New Roman" w:cs="Times New Roman"/>
          <w:i/>
        </w:rPr>
        <w:t>Parliamentary Service Act 1999</w:t>
      </w:r>
    </w:p>
    <w:p w14:paraId="3CF40047" w14:textId="77777777" w:rsidR="00EF7E39" w:rsidRDefault="00EF7E39" w:rsidP="00EF7E39">
      <w:pPr>
        <w:jc w:val="center"/>
        <w:rPr>
          <w:rFonts w:ascii="Times New Roman" w:hAnsi="Times New Roman" w:cs="Times New Roman"/>
          <w:b/>
          <w:i/>
        </w:rPr>
      </w:pPr>
      <w:r>
        <w:rPr>
          <w:rFonts w:ascii="Times New Roman" w:hAnsi="Times New Roman" w:cs="Times New Roman"/>
          <w:b/>
          <w:i/>
        </w:rPr>
        <w:t xml:space="preserve">Parliamentary Service Amendment (Independent </w:t>
      </w:r>
      <w:r w:rsidR="00960B30">
        <w:rPr>
          <w:rFonts w:ascii="Times New Roman" w:hAnsi="Times New Roman" w:cs="Times New Roman"/>
          <w:b/>
          <w:i/>
        </w:rPr>
        <w:t xml:space="preserve">Parliamentary Workplace </w:t>
      </w:r>
      <w:r>
        <w:rPr>
          <w:rFonts w:ascii="Times New Roman" w:hAnsi="Times New Roman" w:cs="Times New Roman"/>
          <w:b/>
          <w:i/>
        </w:rPr>
        <w:t>Complaints Mechanism) Determination 2021</w:t>
      </w:r>
    </w:p>
    <w:p w14:paraId="77BB76F6" w14:textId="77777777" w:rsidR="00EF7E39" w:rsidRDefault="00EF7E39" w:rsidP="00EF7E39">
      <w:pPr>
        <w:spacing w:before="280"/>
        <w:rPr>
          <w:rFonts w:ascii="Times New Roman" w:hAnsi="Times New Roman" w:cs="Times New Roman"/>
          <w:b/>
        </w:rPr>
      </w:pPr>
      <w:r w:rsidRPr="004D2843">
        <w:rPr>
          <w:rFonts w:ascii="Times New Roman" w:hAnsi="Times New Roman" w:cs="Times New Roman"/>
          <w:b/>
        </w:rPr>
        <w:t>Authority</w:t>
      </w:r>
    </w:p>
    <w:p w14:paraId="6DCFAD08" w14:textId="77777777" w:rsidR="00324A72" w:rsidRDefault="00324A72" w:rsidP="00EF7E39">
      <w:pPr>
        <w:spacing w:before="280"/>
        <w:rPr>
          <w:rFonts w:ascii="Times New Roman" w:hAnsi="Times New Roman" w:cs="Times New Roman"/>
        </w:rPr>
      </w:pPr>
      <w:r>
        <w:rPr>
          <w:rFonts w:ascii="Times New Roman" w:hAnsi="Times New Roman" w:cs="Times New Roman"/>
        </w:rPr>
        <w:t xml:space="preserve">The Presiding Officers of the House of Representatives and the Senate make the </w:t>
      </w:r>
      <w:r>
        <w:rPr>
          <w:rFonts w:ascii="Times New Roman" w:hAnsi="Times New Roman" w:cs="Times New Roman"/>
          <w:i/>
        </w:rPr>
        <w:t xml:space="preserve">Parliamentary Service Amendment (Independent </w:t>
      </w:r>
      <w:r w:rsidR="00960B30">
        <w:rPr>
          <w:rFonts w:ascii="Times New Roman" w:hAnsi="Times New Roman" w:cs="Times New Roman"/>
          <w:i/>
        </w:rPr>
        <w:t xml:space="preserve">Parliamentary Workplace </w:t>
      </w:r>
      <w:r>
        <w:rPr>
          <w:rFonts w:ascii="Times New Roman" w:hAnsi="Times New Roman" w:cs="Times New Roman"/>
          <w:i/>
        </w:rPr>
        <w:t>Complaints Mechanism) Determination 2021</w:t>
      </w:r>
      <w:r>
        <w:rPr>
          <w:rFonts w:ascii="Times New Roman" w:hAnsi="Times New Roman" w:cs="Times New Roman"/>
        </w:rPr>
        <w:t xml:space="preserve"> (the </w:t>
      </w:r>
      <w:r w:rsidR="00B47E52">
        <w:rPr>
          <w:rFonts w:ascii="Times New Roman" w:hAnsi="Times New Roman" w:cs="Times New Roman"/>
          <w:b/>
        </w:rPr>
        <w:t xml:space="preserve">Amendment </w:t>
      </w:r>
      <w:r w:rsidRPr="00324A72">
        <w:rPr>
          <w:rFonts w:ascii="Times New Roman" w:hAnsi="Times New Roman" w:cs="Times New Roman"/>
          <w:b/>
        </w:rPr>
        <w:t>Determination</w:t>
      </w:r>
      <w:r>
        <w:rPr>
          <w:rFonts w:ascii="Times New Roman" w:hAnsi="Times New Roman" w:cs="Times New Roman"/>
        </w:rPr>
        <w:t xml:space="preserve">) under subsection 71(1) of the </w:t>
      </w:r>
      <w:r>
        <w:rPr>
          <w:rFonts w:ascii="Times New Roman" w:hAnsi="Times New Roman" w:cs="Times New Roman"/>
          <w:i/>
        </w:rPr>
        <w:t>Parliamentary Service Act</w:t>
      </w:r>
      <w:r>
        <w:rPr>
          <w:rFonts w:ascii="Times New Roman" w:hAnsi="Times New Roman" w:cs="Times New Roman"/>
        </w:rPr>
        <w:t xml:space="preserve"> (the </w:t>
      </w:r>
      <w:r w:rsidRPr="00324A72">
        <w:rPr>
          <w:rFonts w:ascii="Times New Roman" w:hAnsi="Times New Roman" w:cs="Times New Roman"/>
          <w:b/>
        </w:rPr>
        <w:t>Act</w:t>
      </w:r>
      <w:r>
        <w:rPr>
          <w:rFonts w:ascii="Times New Roman" w:hAnsi="Times New Roman" w:cs="Times New Roman"/>
        </w:rPr>
        <w:t>).</w:t>
      </w:r>
    </w:p>
    <w:p w14:paraId="532DFAE0" w14:textId="77777777" w:rsidR="00324A72" w:rsidRPr="00324A72" w:rsidRDefault="00324A72" w:rsidP="00EF7E39">
      <w:pPr>
        <w:spacing w:before="280"/>
        <w:rPr>
          <w:rFonts w:ascii="Times New Roman" w:hAnsi="Times New Roman" w:cs="Times New Roman"/>
        </w:rPr>
      </w:pPr>
      <w:r w:rsidRPr="00324A72">
        <w:rPr>
          <w:rFonts w:ascii="Times New Roman" w:hAnsi="Times New Roman" w:cs="Times New Roman"/>
          <w:color w:val="000000"/>
          <w:shd w:val="clear" w:color="auto" w:fill="FFFFFF"/>
        </w:rPr>
        <w:t>The </w:t>
      </w:r>
      <w:r w:rsidRPr="00324A72">
        <w:rPr>
          <w:rFonts w:ascii="Times New Roman" w:hAnsi="Times New Roman" w:cs="Times New Roman"/>
        </w:rPr>
        <w:t>Act establishes</w:t>
      </w:r>
      <w:r w:rsidRPr="00324A72">
        <w:rPr>
          <w:rFonts w:ascii="Times New Roman" w:hAnsi="Times New Roman" w:cs="Times New Roman"/>
          <w:color w:val="000000"/>
          <w:shd w:val="clear" w:color="auto" w:fill="FFFFFF"/>
        </w:rPr>
        <w:t xml:space="preserve"> the Parliamentary Service. </w:t>
      </w:r>
      <w:r w:rsidRPr="00324A72">
        <w:rPr>
          <w:rFonts w:ascii="Times New Roman" w:hAnsi="Times New Roman" w:cs="Times New Roman"/>
        </w:rPr>
        <w:t xml:space="preserve">Subsection 71(1) of the Act provides that the Presiding Officers </w:t>
      </w:r>
      <w:r w:rsidRPr="00324A72">
        <w:rPr>
          <w:rFonts w:ascii="Times New Roman" w:hAnsi="Times New Roman" w:cs="Times New Roman"/>
          <w:color w:val="000000"/>
          <w:shd w:val="clear" w:color="auto" w:fill="FFFFFF"/>
        </w:rPr>
        <w:t>may make determinations prescribing matters required or permitted by the Act to be prescribed, or necessary or convenient to be prescribed, for carrying out or giving effect to the Act.</w:t>
      </w:r>
      <w:r w:rsidRPr="00324A72">
        <w:rPr>
          <w:rFonts w:ascii="Times New Roman" w:hAnsi="Times New Roman" w:cs="Times New Roman"/>
        </w:rPr>
        <w:t xml:space="preserve"> </w:t>
      </w:r>
      <w:r w:rsidRPr="00324A72">
        <w:rPr>
          <w:rFonts w:ascii="Times New Roman" w:hAnsi="Times New Roman" w:cs="Times New Roman"/>
          <w:color w:val="000000"/>
          <w:shd w:val="clear" w:color="auto" w:fill="FFFFFF"/>
        </w:rPr>
        <w:t>Subsection 71(1) of the Act specifies that the Presiding Officers may make determinations after consulting the Parliamentary Service Commissioner (the </w:t>
      </w:r>
      <w:r w:rsidRPr="00324A72">
        <w:rPr>
          <w:rFonts w:ascii="Times New Roman" w:hAnsi="Times New Roman" w:cs="Times New Roman"/>
          <w:b/>
          <w:bCs/>
          <w:color w:val="000000"/>
          <w:shd w:val="clear" w:color="auto" w:fill="FFFFFF"/>
        </w:rPr>
        <w:t>Commissioner</w:t>
      </w:r>
      <w:r w:rsidRPr="00324A72">
        <w:rPr>
          <w:rFonts w:ascii="Times New Roman" w:hAnsi="Times New Roman" w:cs="Times New Roman"/>
          <w:color w:val="000000"/>
          <w:shd w:val="clear" w:color="auto" w:fill="FFFFFF"/>
        </w:rPr>
        <w:t>).</w:t>
      </w:r>
    </w:p>
    <w:p w14:paraId="25FE3DAA" w14:textId="77777777" w:rsidR="00EF7E39" w:rsidRDefault="00CD0490" w:rsidP="00EF7E39">
      <w:pPr>
        <w:rPr>
          <w:rFonts w:ascii="Times New Roman" w:hAnsi="Times New Roman" w:cs="Times New Roman"/>
          <w:b/>
        </w:rPr>
      </w:pPr>
      <w:r>
        <w:rPr>
          <w:rFonts w:ascii="Times New Roman" w:hAnsi="Times New Roman" w:cs="Times New Roman"/>
          <w:b/>
        </w:rPr>
        <w:t>Overview of the amendments</w:t>
      </w:r>
    </w:p>
    <w:p w14:paraId="259077E1" w14:textId="77777777" w:rsidR="00B47E52" w:rsidRDefault="00B47E52" w:rsidP="00B47E52">
      <w:pPr>
        <w:spacing w:before="280"/>
        <w:rPr>
          <w:rFonts w:ascii="Times New Roman" w:hAnsi="Times New Roman" w:cs="Times New Roman"/>
          <w:i/>
        </w:rPr>
      </w:pPr>
      <w:r>
        <w:rPr>
          <w:rFonts w:ascii="Times New Roman" w:hAnsi="Times New Roman" w:cs="Times New Roman"/>
        </w:rPr>
        <w:t xml:space="preserve">The main purpose of the Amendment Determination is to amend the </w:t>
      </w:r>
      <w:r>
        <w:rPr>
          <w:rFonts w:ascii="Times New Roman" w:hAnsi="Times New Roman" w:cs="Times New Roman"/>
          <w:i/>
        </w:rPr>
        <w:t>Parliamentary Service Determination 2013</w:t>
      </w:r>
      <w:r>
        <w:rPr>
          <w:rFonts w:ascii="Times New Roman" w:hAnsi="Times New Roman" w:cs="Times New Roman"/>
        </w:rPr>
        <w:t xml:space="preserve"> (the </w:t>
      </w:r>
      <w:r>
        <w:rPr>
          <w:rFonts w:ascii="Times New Roman" w:hAnsi="Times New Roman" w:cs="Times New Roman"/>
          <w:b/>
        </w:rPr>
        <w:t>Determination</w:t>
      </w:r>
      <w:r>
        <w:rPr>
          <w:rFonts w:ascii="Times New Roman" w:hAnsi="Times New Roman" w:cs="Times New Roman"/>
        </w:rPr>
        <w:t>) to confer additional functions on the Commissioner for the purposes of 40(1</w:t>
      </w:r>
      <w:proofErr w:type="gramStart"/>
      <w:r>
        <w:rPr>
          <w:rFonts w:ascii="Times New Roman" w:hAnsi="Times New Roman" w:cs="Times New Roman"/>
        </w:rPr>
        <w:t>)(</w:t>
      </w:r>
      <w:proofErr w:type="gramEnd"/>
      <w:r>
        <w:rPr>
          <w:rFonts w:ascii="Times New Roman" w:hAnsi="Times New Roman" w:cs="Times New Roman"/>
        </w:rPr>
        <w:t>d) of the Act.</w:t>
      </w:r>
      <w:r w:rsidRPr="00B47E52">
        <w:rPr>
          <w:rFonts w:ascii="Times New Roman" w:hAnsi="Times New Roman" w:cs="Times New Roman"/>
        </w:rPr>
        <w:t xml:space="preserve"> </w:t>
      </w:r>
      <w:r>
        <w:rPr>
          <w:rFonts w:ascii="Times New Roman" w:hAnsi="Times New Roman" w:cs="Times New Roman"/>
        </w:rPr>
        <w:t>Subsection 40(1</w:t>
      </w:r>
      <w:proofErr w:type="gramStart"/>
      <w:r>
        <w:rPr>
          <w:rFonts w:ascii="Times New Roman" w:hAnsi="Times New Roman" w:cs="Times New Roman"/>
        </w:rPr>
        <w:t>)(</w:t>
      </w:r>
      <w:proofErr w:type="gramEnd"/>
      <w:r>
        <w:rPr>
          <w:rFonts w:ascii="Times New Roman" w:hAnsi="Times New Roman" w:cs="Times New Roman"/>
        </w:rPr>
        <w:t xml:space="preserve">d) of the Act provides that the Commissioner’s functions include such other functions as are conferred on the Commissioner by the Act, the determination or any other law. </w:t>
      </w:r>
    </w:p>
    <w:p w14:paraId="3253B367" w14:textId="77777777" w:rsidR="00BC6D1B" w:rsidRDefault="002A5ABF" w:rsidP="00324A72">
      <w:pPr>
        <w:spacing w:before="280"/>
        <w:rPr>
          <w:rFonts w:ascii="Times New Roman" w:hAnsi="Times New Roman" w:cs="Times New Roman"/>
        </w:rPr>
      </w:pPr>
      <w:r>
        <w:rPr>
          <w:rFonts w:ascii="Times New Roman" w:hAnsi="Times New Roman" w:cs="Times New Roman"/>
        </w:rPr>
        <w:t xml:space="preserve">The </w:t>
      </w:r>
      <w:r w:rsidR="00CA6CEB">
        <w:rPr>
          <w:rFonts w:ascii="Times New Roman" w:hAnsi="Times New Roman" w:cs="Times New Roman"/>
        </w:rPr>
        <w:t>Amendment D</w:t>
      </w:r>
      <w:r>
        <w:rPr>
          <w:rFonts w:ascii="Times New Roman" w:hAnsi="Times New Roman" w:cs="Times New Roman"/>
        </w:rPr>
        <w:t xml:space="preserve">etermination </w:t>
      </w:r>
      <w:r w:rsidR="00565D97">
        <w:rPr>
          <w:rFonts w:ascii="Times New Roman" w:hAnsi="Times New Roman" w:cs="Times New Roman"/>
        </w:rPr>
        <w:t xml:space="preserve">describes the functions conferred on the Commissioner to give effect to an independent </w:t>
      </w:r>
      <w:r w:rsidR="00960B30">
        <w:rPr>
          <w:rFonts w:ascii="Times New Roman" w:hAnsi="Times New Roman" w:cs="Times New Roman"/>
        </w:rPr>
        <w:t xml:space="preserve">parliamentary workplace </w:t>
      </w:r>
      <w:r w:rsidR="00565D97">
        <w:rPr>
          <w:rFonts w:ascii="Times New Roman" w:hAnsi="Times New Roman" w:cs="Times New Roman"/>
        </w:rPr>
        <w:t>complaints mechanism</w:t>
      </w:r>
      <w:r w:rsidR="00226B7F">
        <w:rPr>
          <w:rFonts w:ascii="Times New Roman" w:hAnsi="Times New Roman" w:cs="Times New Roman"/>
        </w:rPr>
        <w:t xml:space="preserve"> (the </w:t>
      </w:r>
      <w:r w:rsidR="00226B7F">
        <w:rPr>
          <w:rFonts w:ascii="Times New Roman" w:hAnsi="Times New Roman" w:cs="Times New Roman"/>
          <w:b/>
        </w:rPr>
        <w:t>mechanism</w:t>
      </w:r>
      <w:r w:rsidR="00226B7F">
        <w:rPr>
          <w:rFonts w:ascii="Times New Roman" w:hAnsi="Times New Roman" w:cs="Times New Roman"/>
        </w:rPr>
        <w:t>)</w:t>
      </w:r>
      <w:r w:rsidR="00565D97">
        <w:rPr>
          <w:rFonts w:ascii="Times New Roman" w:hAnsi="Times New Roman" w:cs="Times New Roman"/>
        </w:rPr>
        <w:t xml:space="preserve"> for staff employed under the </w:t>
      </w:r>
      <w:r>
        <w:rPr>
          <w:rFonts w:ascii="Times New Roman" w:hAnsi="Times New Roman" w:cs="Times New Roman"/>
          <w:i/>
        </w:rPr>
        <w:t xml:space="preserve">Members of Parliament (Staff) </w:t>
      </w:r>
      <w:r w:rsidR="00D30A7F">
        <w:rPr>
          <w:rFonts w:ascii="Times New Roman" w:hAnsi="Times New Roman" w:cs="Times New Roman"/>
        </w:rPr>
        <w:t>(</w:t>
      </w:r>
      <w:r w:rsidR="00B642F9">
        <w:rPr>
          <w:rFonts w:ascii="Times New Roman" w:hAnsi="Times New Roman" w:cs="Times New Roman"/>
        </w:rPr>
        <w:t>MOP</w:t>
      </w:r>
      <w:r w:rsidR="00D30A7F">
        <w:rPr>
          <w:rFonts w:ascii="Times New Roman" w:hAnsi="Times New Roman" w:cs="Times New Roman"/>
        </w:rPr>
        <w:t>(</w:t>
      </w:r>
      <w:r>
        <w:rPr>
          <w:rFonts w:ascii="Times New Roman" w:hAnsi="Times New Roman" w:cs="Times New Roman"/>
        </w:rPr>
        <w:t>S</w:t>
      </w:r>
      <w:r w:rsidR="00D30A7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Act 1984</w:t>
      </w:r>
      <w:r w:rsidR="00565D97">
        <w:rPr>
          <w:rFonts w:ascii="Times New Roman" w:hAnsi="Times New Roman" w:cs="Times New Roman"/>
        </w:rPr>
        <w:t xml:space="preserve"> (</w:t>
      </w:r>
      <w:r w:rsidR="00B642F9">
        <w:rPr>
          <w:rFonts w:ascii="Times New Roman" w:hAnsi="Times New Roman" w:cs="Times New Roman"/>
          <w:b/>
        </w:rPr>
        <w:t>MOP(S)</w:t>
      </w:r>
      <w:r w:rsidR="00565D97">
        <w:rPr>
          <w:rFonts w:ascii="Times New Roman" w:hAnsi="Times New Roman" w:cs="Times New Roman"/>
          <w:b/>
        </w:rPr>
        <w:t xml:space="preserve"> </w:t>
      </w:r>
      <w:r w:rsidR="00F56130">
        <w:rPr>
          <w:rFonts w:ascii="Times New Roman" w:hAnsi="Times New Roman" w:cs="Times New Roman"/>
          <w:b/>
        </w:rPr>
        <w:t xml:space="preserve">Act </w:t>
      </w:r>
      <w:r w:rsidR="0037462D">
        <w:rPr>
          <w:rFonts w:ascii="Times New Roman" w:hAnsi="Times New Roman" w:cs="Times New Roman"/>
          <w:b/>
        </w:rPr>
        <w:t>employees</w:t>
      </w:r>
      <w:r w:rsidR="00565D97">
        <w:rPr>
          <w:rFonts w:ascii="Times New Roman" w:hAnsi="Times New Roman" w:cs="Times New Roman"/>
        </w:rPr>
        <w:t xml:space="preserve">) and parliamentarians. </w:t>
      </w:r>
      <w:r w:rsidR="00BC6D1B">
        <w:rPr>
          <w:rFonts w:ascii="Times New Roman" w:hAnsi="Times New Roman" w:cs="Times New Roman"/>
        </w:rPr>
        <w:t>These are to:</w:t>
      </w:r>
    </w:p>
    <w:p w14:paraId="501646E4" w14:textId="77777777" w:rsidR="00B674D6" w:rsidRDefault="00BC6D1B" w:rsidP="00BC6D1B">
      <w:pPr>
        <w:pStyle w:val="ListParagraph"/>
        <w:numPr>
          <w:ilvl w:val="0"/>
          <w:numId w:val="2"/>
        </w:numPr>
        <w:spacing w:before="280"/>
        <w:rPr>
          <w:rFonts w:ascii="Times New Roman" w:hAnsi="Times New Roman" w:cs="Times New Roman"/>
        </w:rPr>
      </w:pPr>
      <w:r>
        <w:rPr>
          <w:rFonts w:ascii="Times New Roman" w:hAnsi="Times New Roman" w:cs="Times New Roman"/>
        </w:rPr>
        <w:t>e</w:t>
      </w:r>
      <w:r w:rsidRPr="00BC6D1B">
        <w:rPr>
          <w:rFonts w:ascii="Times New Roman" w:hAnsi="Times New Roman" w:cs="Times New Roman"/>
        </w:rPr>
        <w:t xml:space="preserve">stablish and maintain a mechanism able to </w:t>
      </w:r>
      <w:r w:rsidR="00317A3E">
        <w:rPr>
          <w:rFonts w:ascii="Times New Roman" w:hAnsi="Times New Roman" w:cs="Times New Roman"/>
        </w:rPr>
        <w:t>review</w:t>
      </w:r>
      <w:r w:rsidR="00317A3E" w:rsidRPr="00BC6D1B">
        <w:rPr>
          <w:rFonts w:ascii="Times New Roman" w:hAnsi="Times New Roman" w:cs="Times New Roman"/>
        </w:rPr>
        <w:t xml:space="preserve"> </w:t>
      </w:r>
      <w:r w:rsidRPr="00BC6D1B">
        <w:rPr>
          <w:rFonts w:ascii="Times New Roman" w:hAnsi="Times New Roman" w:cs="Times New Roman"/>
        </w:rPr>
        <w:t>and make recommendations</w:t>
      </w:r>
      <w:r>
        <w:rPr>
          <w:rFonts w:ascii="Times New Roman" w:hAnsi="Times New Roman" w:cs="Times New Roman"/>
        </w:rPr>
        <w:t xml:space="preserve"> in relation to complaints about serious incidents involving </w:t>
      </w:r>
      <w:r w:rsidR="00B642F9">
        <w:rPr>
          <w:rFonts w:ascii="Times New Roman" w:hAnsi="Times New Roman" w:cs="Times New Roman"/>
        </w:rPr>
        <w:t>MOP(S)</w:t>
      </w:r>
      <w:r>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employees</w:t>
      </w:r>
      <w:r>
        <w:rPr>
          <w:rFonts w:ascii="Times New Roman" w:hAnsi="Times New Roman" w:cs="Times New Roman"/>
        </w:rPr>
        <w:t xml:space="preserve"> and parliamentarians in the course of their work;</w:t>
      </w:r>
    </w:p>
    <w:p w14:paraId="01AA75D1" w14:textId="77777777" w:rsidR="00BC6D1B" w:rsidRDefault="00BC6D1B" w:rsidP="00BC6D1B">
      <w:pPr>
        <w:pStyle w:val="ListParagraph"/>
        <w:numPr>
          <w:ilvl w:val="0"/>
          <w:numId w:val="2"/>
        </w:numPr>
        <w:spacing w:before="280"/>
        <w:rPr>
          <w:rFonts w:ascii="Times New Roman" w:hAnsi="Times New Roman" w:cs="Times New Roman"/>
        </w:rPr>
      </w:pPr>
      <w:r>
        <w:rPr>
          <w:rFonts w:ascii="Times New Roman" w:hAnsi="Times New Roman" w:cs="Times New Roman"/>
        </w:rPr>
        <w:t xml:space="preserve">provide support to </w:t>
      </w:r>
      <w:r w:rsidR="00B642F9">
        <w:rPr>
          <w:rFonts w:ascii="Times New Roman" w:hAnsi="Times New Roman" w:cs="Times New Roman"/>
        </w:rPr>
        <w:t>MOP(S)</w:t>
      </w:r>
      <w:r>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employees</w:t>
      </w:r>
      <w:r>
        <w:rPr>
          <w:rFonts w:ascii="Times New Roman" w:hAnsi="Times New Roman" w:cs="Times New Roman"/>
        </w:rPr>
        <w:t xml:space="preserve"> and parliamentarians in relation to serious incidents and other work health and safety-related matters</w:t>
      </w:r>
      <w:r w:rsidR="00960B30">
        <w:rPr>
          <w:rFonts w:ascii="Times New Roman" w:hAnsi="Times New Roman" w:cs="Times New Roman"/>
        </w:rPr>
        <w:t xml:space="preserve"> that occur in the course of them performing their duties as MOPS Act employees or parliamentarians</w:t>
      </w:r>
      <w:r>
        <w:rPr>
          <w:rFonts w:ascii="Times New Roman" w:hAnsi="Times New Roman" w:cs="Times New Roman"/>
        </w:rPr>
        <w:t>;</w:t>
      </w:r>
    </w:p>
    <w:p w14:paraId="0376965E" w14:textId="77777777" w:rsidR="00BC6D1B" w:rsidRDefault="00BC6D1B" w:rsidP="00BC6D1B">
      <w:pPr>
        <w:pStyle w:val="ListParagraph"/>
        <w:numPr>
          <w:ilvl w:val="0"/>
          <w:numId w:val="2"/>
        </w:numPr>
        <w:spacing w:before="280"/>
        <w:rPr>
          <w:rFonts w:ascii="Times New Roman" w:hAnsi="Times New Roman" w:cs="Times New Roman"/>
        </w:rPr>
      </w:pPr>
      <w:proofErr w:type="gramStart"/>
      <w:r>
        <w:rPr>
          <w:rFonts w:ascii="Times New Roman" w:hAnsi="Times New Roman" w:cs="Times New Roman"/>
        </w:rPr>
        <w:t>provide</w:t>
      </w:r>
      <w:proofErr w:type="gramEnd"/>
      <w:r>
        <w:rPr>
          <w:rFonts w:ascii="Times New Roman" w:hAnsi="Times New Roman" w:cs="Times New Roman"/>
        </w:rPr>
        <w:t xml:space="preserve"> education</w:t>
      </w:r>
      <w:r w:rsidR="00317A3E">
        <w:rPr>
          <w:rFonts w:ascii="Times New Roman" w:hAnsi="Times New Roman" w:cs="Times New Roman"/>
        </w:rPr>
        <w:t xml:space="preserve"> and information</w:t>
      </w:r>
      <w:r>
        <w:rPr>
          <w:rFonts w:ascii="Times New Roman" w:hAnsi="Times New Roman" w:cs="Times New Roman"/>
        </w:rPr>
        <w:t xml:space="preserve"> in relation to the mechanism, serious incidents and other work health and safety-related matters.</w:t>
      </w:r>
    </w:p>
    <w:p w14:paraId="7773338B" w14:textId="77777777" w:rsidR="001D51B6" w:rsidRDefault="00BC6D1B" w:rsidP="00BC6D1B">
      <w:pPr>
        <w:spacing w:before="280"/>
        <w:rPr>
          <w:rFonts w:ascii="Times New Roman" w:hAnsi="Times New Roman" w:cs="Times New Roman"/>
        </w:rPr>
      </w:pPr>
      <w:r>
        <w:rPr>
          <w:rFonts w:ascii="Times New Roman" w:hAnsi="Times New Roman" w:cs="Times New Roman"/>
        </w:rPr>
        <w:t xml:space="preserve">The </w:t>
      </w:r>
      <w:r w:rsidR="00CA6CEB">
        <w:rPr>
          <w:rFonts w:ascii="Times New Roman" w:hAnsi="Times New Roman" w:cs="Times New Roman"/>
        </w:rPr>
        <w:t>Amendment Determination</w:t>
      </w:r>
      <w:r>
        <w:rPr>
          <w:rFonts w:ascii="Times New Roman" w:hAnsi="Times New Roman" w:cs="Times New Roman"/>
        </w:rPr>
        <w:t xml:space="preserve"> provides that the mechanism can </w:t>
      </w:r>
      <w:r w:rsidR="00317A3E">
        <w:rPr>
          <w:rFonts w:ascii="Times New Roman" w:hAnsi="Times New Roman" w:cs="Times New Roman"/>
        </w:rPr>
        <w:t xml:space="preserve">review </w:t>
      </w:r>
      <w:r>
        <w:rPr>
          <w:rFonts w:ascii="Times New Roman" w:hAnsi="Times New Roman" w:cs="Times New Roman"/>
        </w:rPr>
        <w:t xml:space="preserve">complaints about serious incidents that occurred after 18 May 2019, where the parties remain in </w:t>
      </w:r>
      <w:r w:rsidR="00B642F9">
        <w:rPr>
          <w:rFonts w:ascii="Times New Roman" w:hAnsi="Times New Roman" w:cs="Times New Roman"/>
        </w:rPr>
        <w:t>MOP(S)</w:t>
      </w:r>
      <w:r>
        <w:rPr>
          <w:rFonts w:ascii="Times New Roman" w:hAnsi="Times New Roman" w:cs="Times New Roman"/>
        </w:rPr>
        <w:t xml:space="preserve"> Act employment or in parliament. </w:t>
      </w:r>
      <w:r w:rsidR="00B20268" w:rsidRPr="00C342A9">
        <w:rPr>
          <w:rFonts w:ascii="Times New Roman" w:hAnsi="Times New Roman" w:cs="Times New Roman"/>
        </w:rPr>
        <w:t xml:space="preserve">Complaints can also be made by </w:t>
      </w:r>
      <w:r w:rsidR="0037462D">
        <w:rPr>
          <w:rFonts w:ascii="Times New Roman" w:hAnsi="Times New Roman" w:cs="Times New Roman"/>
        </w:rPr>
        <w:t>employees</w:t>
      </w:r>
      <w:r w:rsidR="00B20268" w:rsidRPr="00C342A9">
        <w:rPr>
          <w:rFonts w:ascii="Times New Roman" w:hAnsi="Times New Roman" w:cs="Times New Roman"/>
        </w:rPr>
        <w:t xml:space="preserve"> after they cease </w:t>
      </w:r>
      <w:r w:rsidR="00B642F9">
        <w:rPr>
          <w:rFonts w:ascii="Times New Roman" w:hAnsi="Times New Roman" w:cs="Times New Roman"/>
        </w:rPr>
        <w:t>MOP(S)</w:t>
      </w:r>
      <w:r w:rsidR="00B20268" w:rsidRPr="00C342A9">
        <w:rPr>
          <w:rFonts w:ascii="Times New Roman" w:hAnsi="Times New Roman" w:cs="Times New Roman"/>
        </w:rPr>
        <w:t xml:space="preserve"> Act employment, so long as the subject of the complaint remains in parliament or in parliamentary employment.</w:t>
      </w:r>
    </w:p>
    <w:p w14:paraId="198D5074" w14:textId="77777777" w:rsidR="00960B30" w:rsidRDefault="00960B30" w:rsidP="00BC6D1B">
      <w:pPr>
        <w:spacing w:before="280"/>
        <w:rPr>
          <w:rFonts w:ascii="Times New Roman" w:hAnsi="Times New Roman" w:cs="Times New Roman"/>
        </w:rPr>
      </w:pPr>
      <w:r>
        <w:rPr>
          <w:rFonts w:ascii="Times New Roman" w:hAnsi="Times New Roman" w:cs="Times New Roman"/>
        </w:rPr>
        <w:t xml:space="preserve">The Amendment Determination provides that support </w:t>
      </w:r>
      <w:r w:rsidR="00BC6D1B">
        <w:rPr>
          <w:rFonts w:ascii="Times New Roman" w:hAnsi="Times New Roman" w:cs="Times New Roman"/>
        </w:rPr>
        <w:t xml:space="preserve">and </w:t>
      </w:r>
      <w:r>
        <w:rPr>
          <w:rFonts w:ascii="Times New Roman" w:hAnsi="Times New Roman" w:cs="Times New Roman"/>
        </w:rPr>
        <w:t>informat</w:t>
      </w:r>
      <w:r w:rsidR="001D51B6">
        <w:rPr>
          <w:rFonts w:ascii="Times New Roman" w:hAnsi="Times New Roman" w:cs="Times New Roman"/>
        </w:rPr>
        <w:t>i</w:t>
      </w:r>
      <w:r>
        <w:rPr>
          <w:rFonts w:ascii="Times New Roman" w:hAnsi="Times New Roman" w:cs="Times New Roman"/>
        </w:rPr>
        <w:t xml:space="preserve">on </w:t>
      </w:r>
      <w:r w:rsidR="00BC6D1B">
        <w:rPr>
          <w:rFonts w:ascii="Times New Roman" w:hAnsi="Times New Roman" w:cs="Times New Roman"/>
        </w:rPr>
        <w:t xml:space="preserve">may be provided at any time and irrespective of whether a person has ceased to be a </w:t>
      </w:r>
      <w:r w:rsidR="00B642F9">
        <w:rPr>
          <w:rFonts w:ascii="Times New Roman" w:hAnsi="Times New Roman" w:cs="Times New Roman"/>
        </w:rPr>
        <w:t>MOP(S)</w:t>
      </w:r>
      <w:r w:rsidR="00BC6D1B">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w:t>
      </w:r>
      <w:r w:rsidR="00BC6D1B">
        <w:rPr>
          <w:rFonts w:ascii="Times New Roman" w:hAnsi="Times New Roman" w:cs="Times New Roman"/>
        </w:rPr>
        <w:t xml:space="preserve"> or parliamentarian.</w:t>
      </w:r>
      <w:r>
        <w:rPr>
          <w:rFonts w:ascii="Times New Roman" w:hAnsi="Times New Roman" w:cs="Times New Roman"/>
        </w:rPr>
        <w:t xml:space="preserve"> </w:t>
      </w:r>
    </w:p>
    <w:p w14:paraId="5D542B29" w14:textId="77777777" w:rsidR="00BC6D1B" w:rsidRPr="00BC6D1B" w:rsidRDefault="00960B30" w:rsidP="00BC6D1B">
      <w:pPr>
        <w:spacing w:before="280"/>
        <w:rPr>
          <w:rFonts w:ascii="Times New Roman" w:hAnsi="Times New Roman" w:cs="Times New Roman"/>
        </w:rPr>
      </w:pPr>
      <w:r>
        <w:rPr>
          <w:rFonts w:ascii="Times New Roman" w:hAnsi="Times New Roman" w:cs="Times New Roman"/>
        </w:rPr>
        <w:lastRenderedPageBreak/>
        <w:t>The Amendment Determination also provides that education may be provided to current MOPS Act employees and parliamentarians.</w:t>
      </w:r>
    </w:p>
    <w:p w14:paraId="0108A681" w14:textId="77777777" w:rsidR="00BC6D1B" w:rsidRDefault="00BC6D1B" w:rsidP="00324A72">
      <w:pPr>
        <w:spacing w:before="280"/>
        <w:rPr>
          <w:rFonts w:ascii="Times New Roman" w:hAnsi="Times New Roman" w:cs="Times New Roman"/>
        </w:rPr>
      </w:pPr>
      <w:r>
        <w:rPr>
          <w:rFonts w:ascii="Times New Roman" w:hAnsi="Times New Roman" w:cs="Times New Roman"/>
        </w:rPr>
        <w:t xml:space="preserve">Further detail about the Amendment Determination is provided at </w:t>
      </w:r>
      <w:r>
        <w:rPr>
          <w:rFonts w:ascii="Times New Roman" w:hAnsi="Times New Roman" w:cs="Times New Roman"/>
          <w:u w:val="single"/>
        </w:rPr>
        <w:t>Attachment A</w:t>
      </w:r>
      <w:r>
        <w:rPr>
          <w:rFonts w:ascii="Times New Roman" w:hAnsi="Times New Roman" w:cs="Times New Roman"/>
        </w:rPr>
        <w:t xml:space="preserve"> to this explanatory statement.</w:t>
      </w:r>
    </w:p>
    <w:p w14:paraId="43E857D6" w14:textId="77777777" w:rsidR="00CD0490" w:rsidRDefault="00CD0490" w:rsidP="002D4434">
      <w:pPr>
        <w:keepNext/>
        <w:keepLines/>
        <w:rPr>
          <w:rFonts w:ascii="Times New Roman" w:hAnsi="Times New Roman" w:cs="Times New Roman"/>
          <w:b/>
        </w:rPr>
      </w:pPr>
      <w:r>
        <w:rPr>
          <w:rFonts w:ascii="Times New Roman" w:hAnsi="Times New Roman" w:cs="Times New Roman"/>
          <w:b/>
        </w:rPr>
        <w:t>Reasons</w:t>
      </w:r>
    </w:p>
    <w:p w14:paraId="437E96B1" w14:textId="77777777" w:rsidR="00B47E52" w:rsidRPr="00B47E52" w:rsidRDefault="00B47E52" w:rsidP="002D4434">
      <w:pPr>
        <w:keepNext/>
        <w:keepLines/>
        <w:spacing w:before="280"/>
        <w:rPr>
          <w:rFonts w:ascii="Times New Roman" w:hAnsi="Times New Roman" w:cs="Times New Roman"/>
        </w:rPr>
      </w:pPr>
      <w:r>
        <w:rPr>
          <w:rFonts w:ascii="Times New Roman" w:hAnsi="Times New Roman" w:cs="Times New Roman"/>
        </w:rPr>
        <w:t xml:space="preserve">The </w:t>
      </w:r>
      <w:r w:rsidR="00CA6CEB">
        <w:rPr>
          <w:rFonts w:ascii="Times New Roman" w:hAnsi="Times New Roman" w:cs="Times New Roman"/>
        </w:rPr>
        <w:t>Amendment Determination</w:t>
      </w:r>
      <w:r>
        <w:rPr>
          <w:rFonts w:ascii="Times New Roman" w:hAnsi="Times New Roman" w:cs="Times New Roman"/>
        </w:rPr>
        <w:t xml:space="preserve"> partly implements the </w:t>
      </w:r>
      <w:r w:rsidRPr="002A5ABF">
        <w:rPr>
          <w:rFonts w:ascii="Times New Roman" w:hAnsi="Times New Roman" w:cs="Times New Roman"/>
          <w:i/>
        </w:rPr>
        <w:t>Review of the Parliamentary Workplace: Responding to Serious Incidents</w:t>
      </w:r>
      <w:r>
        <w:rPr>
          <w:rFonts w:ascii="Times New Roman" w:hAnsi="Times New Roman" w:cs="Times New Roman"/>
          <w:i/>
        </w:rPr>
        <w:t xml:space="preserve"> </w:t>
      </w:r>
      <w:r>
        <w:rPr>
          <w:rFonts w:ascii="Times New Roman" w:hAnsi="Times New Roman" w:cs="Times New Roman"/>
        </w:rPr>
        <w:t xml:space="preserve">(the </w:t>
      </w:r>
      <w:r>
        <w:rPr>
          <w:rFonts w:ascii="Times New Roman" w:hAnsi="Times New Roman" w:cs="Times New Roman"/>
          <w:b/>
        </w:rPr>
        <w:t>Review</w:t>
      </w:r>
      <w:r>
        <w:rPr>
          <w:rFonts w:ascii="Times New Roman" w:hAnsi="Times New Roman" w:cs="Times New Roman"/>
        </w:rPr>
        <w:t>) undertaken by Deputy Secretary Stephanie Foster PSM of the Department of the Prime Minister and Cabinet.</w:t>
      </w:r>
    </w:p>
    <w:p w14:paraId="6A67E375" w14:textId="77777777" w:rsidR="00D30A7F" w:rsidRDefault="00D30A7F" w:rsidP="008760E9">
      <w:pPr>
        <w:rPr>
          <w:rFonts w:ascii="Times New Roman" w:hAnsi="Times New Roman" w:cs="Times New Roman"/>
        </w:rPr>
      </w:pPr>
      <w:r>
        <w:rPr>
          <w:rFonts w:ascii="Times New Roman" w:hAnsi="Times New Roman" w:cs="Times New Roman"/>
        </w:rPr>
        <w:t>Deputy Secretary Foster’s Review was tasked with providing rec</w:t>
      </w:r>
      <w:r w:rsidR="00B674D6">
        <w:rPr>
          <w:rFonts w:ascii="Times New Roman" w:hAnsi="Times New Roman" w:cs="Times New Roman"/>
        </w:rPr>
        <w:t xml:space="preserve">ommendations on an independent </w:t>
      </w:r>
      <w:r>
        <w:rPr>
          <w:rFonts w:ascii="Times New Roman" w:hAnsi="Times New Roman" w:cs="Times New Roman"/>
        </w:rPr>
        <w:t xml:space="preserve">complaints mechanism for </w:t>
      </w:r>
      <w:r w:rsidR="00B642F9">
        <w:rPr>
          <w:rFonts w:ascii="Times New Roman" w:hAnsi="Times New Roman" w:cs="Times New Roman"/>
        </w:rPr>
        <w:t>MOP(S)</w:t>
      </w:r>
      <w:r w:rsidR="00BC6D1B">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employees</w:t>
      </w:r>
      <w:r>
        <w:rPr>
          <w:rFonts w:ascii="Times New Roman" w:hAnsi="Times New Roman" w:cs="Times New Roman"/>
        </w:rPr>
        <w:t xml:space="preserve"> in advance of the Sex Discrimination Commissioner Kate Jenkins reporting the findings of her independent review into the workplaces of parliamentarians and their staff.</w:t>
      </w:r>
    </w:p>
    <w:p w14:paraId="2E8DF392" w14:textId="77777777" w:rsidR="00687516" w:rsidRDefault="00BC6D1B" w:rsidP="00145097">
      <w:pPr>
        <w:rPr>
          <w:rFonts w:ascii="Times New Roman" w:hAnsi="Times New Roman" w:cs="Times New Roman"/>
        </w:rPr>
      </w:pPr>
      <w:r>
        <w:rPr>
          <w:rFonts w:ascii="Times New Roman" w:hAnsi="Times New Roman" w:cs="Times New Roman"/>
        </w:rPr>
        <w:t>The Review found that</w:t>
      </w:r>
      <w:r w:rsidR="00145097">
        <w:rPr>
          <w:rFonts w:ascii="Times New Roman" w:hAnsi="Times New Roman" w:cs="Times New Roman"/>
        </w:rPr>
        <w:t xml:space="preserve"> current procedures and processes are not designed or able to respond appropriately to serious incidents in the parliamentary workplace. Recommendation 4 of the Review outlines a proposed independent complaints mechanism</w:t>
      </w:r>
      <w:r w:rsidR="00CA6CEB">
        <w:rPr>
          <w:rFonts w:ascii="Times New Roman" w:hAnsi="Times New Roman" w:cs="Times New Roman"/>
        </w:rPr>
        <w:t xml:space="preserve"> to be established as a function of the Commissioner</w:t>
      </w:r>
      <w:r w:rsidR="00145097">
        <w:rPr>
          <w:rFonts w:ascii="Times New Roman" w:hAnsi="Times New Roman" w:cs="Times New Roman"/>
        </w:rPr>
        <w:t>. The mechanism</w:t>
      </w:r>
      <w:r w:rsidR="00317A3E">
        <w:rPr>
          <w:rFonts w:ascii="Times New Roman" w:hAnsi="Times New Roman" w:cs="Times New Roman"/>
        </w:rPr>
        <w:t xml:space="preserve">, </w:t>
      </w:r>
      <w:r w:rsidR="00317A3E" w:rsidRPr="00B765DD">
        <w:rPr>
          <w:rFonts w:ascii="Times New Roman" w:hAnsi="Times New Roman" w:cs="Times New Roman"/>
        </w:rPr>
        <w:t>known as the Parliamentary Workplace Support Service (</w:t>
      </w:r>
      <w:r w:rsidR="00317A3E" w:rsidRPr="00C342A9">
        <w:rPr>
          <w:rFonts w:ascii="Times New Roman" w:hAnsi="Times New Roman" w:cs="Times New Roman"/>
          <w:b/>
        </w:rPr>
        <w:t>PWSS</w:t>
      </w:r>
      <w:r w:rsidR="00317A3E" w:rsidRPr="00B765DD">
        <w:rPr>
          <w:rFonts w:ascii="Times New Roman" w:hAnsi="Times New Roman" w:cs="Times New Roman"/>
        </w:rPr>
        <w:t>)</w:t>
      </w:r>
      <w:r w:rsidR="00317A3E">
        <w:rPr>
          <w:rFonts w:ascii="Times New Roman" w:hAnsi="Times New Roman" w:cs="Times New Roman"/>
        </w:rPr>
        <w:t>,</w:t>
      </w:r>
      <w:r w:rsidR="00145097">
        <w:rPr>
          <w:rFonts w:ascii="Times New Roman" w:hAnsi="Times New Roman" w:cs="Times New Roman"/>
        </w:rPr>
        <w:t xml:space="preserve"> will provide support, advice and case co-ordination to parties affected by a serious incident in the course of their parliamentary employment, and a workplace review </w:t>
      </w:r>
      <w:r w:rsidR="00893167">
        <w:rPr>
          <w:rFonts w:ascii="Times New Roman" w:hAnsi="Times New Roman" w:cs="Times New Roman"/>
        </w:rPr>
        <w:t xml:space="preserve">function, comprised </w:t>
      </w:r>
      <w:r w:rsidR="00145097">
        <w:rPr>
          <w:rFonts w:ascii="Times New Roman" w:hAnsi="Times New Roman" w:cs="Times New Roman"/>
        </w:rPr>
        <w:t xml:space="preserve">of independent </w:t>
      </w:r>
      <w:r w:rsidR="00317A3E">
        <w:rPr>
          <w:rFonts w:ascii="Times New Roman" w:hAnsi="Times New Roman" w:cs="Times New Roman"/>
        </w:rPr>
        <w:t xml:space="preserve">reviewers </w:t>
      </w:r>
      <w:r w:rsidR="00145097">
        <w:rPr>
          <w:rFonts w:ascii="Times New Roman" w:hAnsi="Times New Roman" w:cs="Times New Roman"/>
        </w:rPr>
        <w:t>able to review complaints and provide recommendations for action where a complaint is substantiated.</w:t>
      </w:r>
      <w:r w:rsidR="00CA6CEB">
        <w:rPr>
          <w:rFonts w:ascii="Times New Roman" w:hAnsi="Times New Roman" w:cs="Times New Roman"/>
        </w:rPr>
        <w:t xml:space="preserve"> </w:t>
      </w:r>
    </w:p>
    <w:p w14:paraId="16C5E961" w14:textId="77777777" w:rsidR="00687516" w:rsidRDefault="00687516" w:rsidP="00145097">
      <w:pPr>
        <w:rPr>
          <w:rFonts w:ascii="Times New Roman" w:hAnsi="Times New Roman" w:cs="Times New Roman"/>
        </w:rPr>
      </w:pPr>
      <w:r>
        <w:rPr>
          <w:rFonts w:ascii="Times New Roman" w:hAnsi="Times New Roman" w:cs="Times New Roman"/>
        </w:rPr>
        <w:t xml:space="preserve">The Amendment Determination articulates the position and role of the Commissioner in relation to process of the Independent Parliamentary Complaints Mechanism. The operation of the mechanism will be consistent with the recommendations provided in the Review. </w:t>
      </w:r>
      <w:r w:rsidR="0006184B">
        <w:rPr>
          <w:rFonts w:ascii="Times New Roman" w:hAnsi="Times New Roman" w:cs="Times New Roman"/>
        </w:rPr>
        <w:t>For example, i</w:t>
      </w:r>
      <w:r w:rsidRPr="00687516">
        <w:rPr>
          <w:rFonts w:ascii="Times New Roman" w:hAnsi="Times New Roman" w:cs="Times New Roman"/>
        </w:rPr>
        <w:t>n circumstances where a workplace review is conducted into the behaviour of a staff member, the complainant, the person subject of the allegation and the employing parliamentarian will be provided with a report upon completion of the review.</w:t>
      </w:r>
      <w:r w:rsidR="00315DFE">
        <w:rPr>
          <w:rFonts w:ascii="Times New Roman" w:hAnsi="Times New Roman" w:cs="Times New Roman"/>
        </w:rPr>
        <w:t xml:space="preserve"> </w:t>
      </w:r>
      <w:r w:rsidR="00315DFE" w:rsidRPr="00315DFE">
        <w:rPr>
          <w:rFonts w:ascii="Times New Roman" w:hAnsi="Times New Roman" w:cs="Times New Roman"/>
        </w:rPr>
        <w:t>Where a workplace review concerns the</w:t>
      </w:r>
      <w:r w:rsidR="0006184B">
        <w:rPr>
          <w:rFonts w:ascii="Times New Roman" w:hAnsi="Times New Roman" w:cs="Times New Roman"/>
        </w:rPr>
        <w:t xml:space="preserve"> behaviour</w:t>
      </w:r>
      <w:r w:rsidR="002C6B07">
        <w:rPr>
          <w:rFonts w:ascii="Times New Roman" w:hAnsi="Times New Roman" w:cs="Times New Roman"/>
        </w:rPr>
        <w:t xml:space="preserve"> of a parliamentarian, a</w:t>
      </w:r>
      <w:r w:rsidR="00315DFE" w:rsidRPr="00315DFE">
        <w:rPr>
          <w:rFonts w:ascii="Times New Roman" w:hAnsi="Times New Roman" w:cs="Times New Roman"/>
        </w:rPr>
        <w:t xml:space="preserve"> report would be provided to the</w:t>
      </w:r>
      <w:r w:rsidR="002C6B07" w:rsidRPr="00315DFE">
        <w:rPr>
          <w:rFonts w:ascii="Times New Roman" w:hAnsi="Times New Roman" w:cs="Times New Roman"/>
        </w:rPr>
        <w:t xml:space="preserve"> complainant</w:t>
      </w:r>
      <w:r w:rsidR="00315DFE" w:rsidRPr="00315DFE">
        <w:rPr>
          <w:rFonts w:ascii="Times New Roman" w:hAnsi="Times New Roman" w:cs="Times New Roman"/>
        </w:rPr>
        <w:t xml:space="preserve"> </w:t>
      </w:r>
      <w:r w:rsidR="002C6B07">
        <w:rPr>
          <w:rFonts w:ascii="Times New Roman" w:hAnsi="Times New Roman" w:cs="Times New Roman"/>
        </w:rPr>
        <w:t xml:space="preserve">and the </w:t>
      </w:r>
      <w:r w:rsidR="00315DFE" w:rsidRPr="00315DFE">
        <w:rPr>
          <w:rFonts w:ascii="Times New Roman" w:hAnsi="Times New Roman" w:cs="Times New Roman"/>
        </w:rPr>
        <w:t xml:space="preserve">parliamentarian that </w:t>
      </w:r>
      <w:r w:rsidR="00315DFE">
        <w:rPr>
          <w:rFonts w:ascii="Times New Roman" w:hAnsi="Times New Roman" w:cs="Times New Roman"/>
        </w:rPr>
        <w:t xml:space="preserve">is </w:t>
      </w:r>
      <w:r w:rsidR="002C6B07">
        <w:rPr>
          <w:rFonts w:ascii="Times New Roman" w:hAnsi="Times New Roman" w:cs="Times New Roman"/>
        </w:rPr>
        <w:t>the subject of the complaint</w:t>
      </w:r>
      <w:r w:rsidR="00315DFE">
        <w:rPr>
          <w:rFonts w:ascii="Times New Roman" w:hAnsi="Times New Roman" w:cs="Times New Roman"/>
        </w:rPr>
        <w:t>.</w:t>
      </w:r>
      <w:r w:rsidR="0006184B">
        <w:rPr>
          <w:rFonts w:ascii="Times New Roman" w:hAnsi="Times New Roman" w:cs="Times New Roman"/>
        </w:rPr>
        <w:t xml:space="preserve"> </w:t>
      </w:r>
    </w:p>
    <w:p w14:paraId="4196F0B3" w14:textId="77777777" w:rsidR="00145097" w:rsidRDefault="00CA6CEB" w:rsidP="00145097">
      <w:pPr>
        <w:rPr>
          <w:rFonts w:ascii="Times New Roman" w:hAnsi="Times New Roman" w:cs="Times New Roman"/>
        </w:rPr>
      </w:pPr>
      <w:r>
        <w:rPr>
          <w:rFonts w:ascii="Times New Roman" w:hAnsi="Times New Roman" w:cs="Times New Roman"/>
        </w:rPr>
        <w:t xml:space="preserve">The Amendment Determination reflects the intention that the Commissioner not engage closely in the </w:t>
      </w:r>
      <w:r w:rsidR="00317A3E">
        <w:rPr>
          <w:rFonts w:ascii="Times New Roman" w:hAnsi="Times New Roman" w:cs="Times New Roman"/>
        </w:rPr>
        <w:t xml:space="preserve">PWSS’s </w:t>
      </w:r>
      <w:r>
        <w:rPr>
          <w:rFonts w:ascii="Times New Roman" w:hAnsi="Times New Roman" w:cs="Times New Roman"/>
        </w:rPr>
        <w:t>operations but provide oversight and quality assurance over its organisational processes</w:t>
      </w:r>
      <w:r w:rsidR="00090140">
        <w:rPr>
          <w:rFonts w:ascii="Times New Roman" w:hAnsi="Times New Roman" w:cs="Times New Roman"/>
        </w:rPr>
        <w:t>. The Amendment Determination also outlines the processes for escalation of matters by the Commissioner to the Presiding Officers.</w:t>
      </w:r>
    </w:p>
    <w:p w14:paraId="569CE149" w14:textId="77777777" w:rsidR="00145097" w:rsidRDefault="00145097" w:rsidP="00145097">
      <w:pPr>
        <w:rPr>
          <w:rFonts w:ascii="Times New Roman" w:hAnsi="Times New Roman" w:cs="Times New Roman"/>
        </w:rPr>
      </w:pPr>
      <w:r>
        <w:rPr>
          <w:rFonts w:ascii="Times New Roman" w:hAnsi="Times New Roman" w:cs="Times New Roman"/>
        </w:rPr>
        <w:t xml:space="preserve">The conferral of the function as described on the Commissioner represents an administrative solution to the need for a complaints mechanism for parliamentarians and </w:t>
      </w:r>
      <w:r w:rsidR="00B642F9">
        <w:rPr>
          <w:rFonts w:ascii="Times New Roman" w:hAnsi="Times New Roman" w:cs="Times New Roman"/>
        </w:rPr>
        <w:t>MOP(S)</w:t>
      </w:r>
      <w:r w:rsidR="00F56130">
        <w:rPr>
          <w:rFonts w:ascii="Times New Roman" w:hAnsi="Times New Roman" w:cs="Times New Roman"/>
        </w:rPr>
        <w:t xml:space="preserve"> Act</w:t>
      </w:r>
      <w:r>
        <w:rPr>
          <w:rFonts w:ascii="Times New Roman" w:hAnsi="Times New Roman" w:cs="Times New Roman"/>
        </w:rPr>
        <w:t xml:space="preserve"> </w:t>
      </w:r>
      <w:r w:rsidR="0037462D">
        <w:rPr>
          <w:rFonts w:ascii="Times New Roman" w:hAnsi="Times New Roman" w:cs="Times New Roman"/>
        </w:rPr>
        <w:t>employees</w:t>
      </w:r>
      <w:r>
        <w:rPr>
          <w:rFonts w:ascii="Times New Roman" w:hAnsi="Times New Roman" w:cs="Times New Roman"/>
        </w:rPr>
        <w:t>, and guarantees two key elements lacking in present arrangements for responding to serious incidents in the parliamentary workplace: independence and accountability.</w:t>
      </w:r>
    </w:p>
    <w:p w14:paraId="5B7B9AB0" w14:textId="489E62C5" w:rsidR="00E26416" w:rsidRDefault="0002033C" w:rsidP="00145097">
      <w:pPr>
        <w:rPr>
          <w:rFonts w:ascii="Times New Roman" w:hAnsi="Times New Roman" w:cs="Times New Roman"/>
        </w:rPr>
      </w:pPr>
      <w:r>
        <w:rPr>
          <w:rFonts w:ascii="Times New Roman" w:hAnsi="Times New Roman" w:cs="Times New Roman"/>
        </w:rPr>
        <w:t xml:space="preserve">Establishing the </w:t>
      </w:r>
      <w:r w:rsidR="00317A3E">
        <w:rPr>
          <w:rFonts w:ascii="Times New Roman" w:hAnsi="Times New Roman" w:cs="Times New Roman"/>
        </w:rPr>
        <w:t xml:space="preserve">PWSS </w:t>
      </w:r>
      <w:r>
        <w:rPr>
          <w:rFonts w:ascii="Times New Roman" w:hAnsi="Times New Roman" w:cs="Times New Roman"/>
        </w:rPr>
        <w:t xml:space="preserve">and the workplace review </w:t>
      </w:r>
      <w:r w:rsidR="00960B30">
        <w:rPr>
          <w:rFonts w:ascii="Times New Roman" w:hAnsi="Times New Roman" w:cs="Times New Roman"/>
        </w:rPr>
        <w:t xml:space="preserve">service </w:t>
      </w:r>
      <w:r>
        <w:rPr>
          <w:rFonts w:ascii="Times New Roman" w:hAnsi="Times New Roman" w:cs="Times New Roman"/>
        </w:rPr>
        <w:t xml:space="preserve">as a function of the Commissioner ensures the mechanism is independent of parliamentarians as the employers of </w:t>
      </w:r>
      <w:r w:rsidR="00B642F9">
        <w:rPr>
          <w:rFonts w:ascii="Times New Roman" w:hAnsi="Times New Roman" w:cs="Times New Roman"/>
        </w:rPr>
        <w:t>MOP(S)</w:t>
      </w:r>
      <w:r>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employees</w:t>
      </w:r>
      <w:r>
        <w:rPr>
          <w:rFonts w:ascii="Times New Roman" w:hAnsi="Times New Roman" w:cs="Times New Roman"/>
        </w:rPr>
        <w:t xml:space="preserve">, political parties and government. </w:t>
      </w:r>
      <w:r w:rsidRPr="008B21EF">
        <w:rPr>
          <w:rFonts w:ascii="Times New Roman" w:hAnsi="Times New Roman" w:cs="Times New Roman"/>
        </w:rPr>
        <w:t xml:space="preserve">The reviewability of conduct arises from the </w:t>
      </w:r>
      <w:r w:rsidR="00F978BE">
        <w:rPr>
          <w:rFonts w:ascii="Times New Roman" w:hAnsi="Times New Roman" w:cs="Times New Roman"/>
        </w:rPr>
        <w:t xml:space="preserve">outline of </w:t>
      </w:r>
      <w:r w:rsidR="00F978BE" w:rsidRPr="00F978BE">
        <w:rPr>
          <w:rFonts w:ascii="Times New Roman" w:hAnsi="Times New Roman" w:cs="Times New Roman"/>
        </w:rPr>
        <w:t>the current duties and responsibilities of parliamentarians and their staff employed under the Members of Parliament (Staff) Act 1984 (MOP(S) Act)</w:t>
      </w:r>
      <w:r w:rsidRPr="008B21EF">
        <w:rPr>
          <w:rFonts w:ascii="Times New Roman" w:hAnsi="Times New Roman" w:cs="Times New Roman"/>
        </w:rPr>
        <w:t xml:space="preserve"> set out by the Minister</w:t>
      </w:r>
      <w:r w:rsidR="00960B30">
        <w:rPr>
          <w:rFonts w:ascii="Times New Roman" w:hAnsi="Times New Roman" w:cs="Times New Roman"/>
        </w:rPr>
        <w:t xml:space="preserve"> for Finance</w:t>
      </w:r>
      <w:r w:rsidRPr="008B21EF">
        <w:rPr>
          <w:rFonts w:ascii="Times New Roman" w:hAnsi="Times New Roman" w:cs="Times New Roman"/>
        </w:rPr>
        <w:t xml:space="preserve"> and communicated to </w:t>
      </w:r>
      <w:r w:rsidR="00B642F9">
        <w:rPr>
          <w:rFonts w:ascii="Times New Roman" w:hAnsi="Times New Roman" w:cs="Times New Roman"/>
        </w:rPr>
        <w:t>MOP(S)</w:t>
      </w:r>
      <w:r w:rsidRPr="008B21EF">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employees</w:t>
      </w:r>
      <w:r w:rsidRPr="008B21EF">
        <w:rPr>
          <w:rFonts w:ascii="Times New Roman" w:hAnsi="Times New Roman" w:cs="Times New Roman"/>
        </w:rPr>
        <w:t xml:space="preserve"> and parliamentarians. Where a workplace review substantiates a breach of the </w:t>
      </w:r>
      <w:r w:rsidR="00F978BE">
        <w:rPr>
          <w:rFonts w:ascii="Times New Roman" w:hAnsi="Times New Roman" w:cs="Times New Roman"/>
        </w:rPr>
        <w:t>duties and responsibilities</w:t>
      </w:r>
      <w:r w:rsidR="00F978BE" w:rsidRPr="008B21EF">
        <w:rPr>
          <w:rFonts w:ascii="Times New Roman" w:hAnsi="Times New Roman" w:cs="Times New Roman"/>
        </w:rPr>
        <w:t xml:space="preserve"> </w:t>
      </w:r>
      <w:r w:rsidR="00710ED3">
        <w:rPr>
          <w:rFonts w:ascii="Times New Roman" w:hAnsi="Times New Roman" w:cs="Times New Roman"/>
        </w:rPr>
        <w:t xml:space="preserve">in relation to a serious incident </w:t>
      </w:r>
      <w:r w:rsidRPr="008B21EF">
        <w:rPr>
          <w:rFonts w:ascii="Times New Roman" w:hAnsi="Times New Roman" w:cs="Times New Roman"/>
        </w:rPr>
        <w:t xml:space="preserve">and recommends proportionate </w:t>
      </w:r>
      <w:r w:rsidR="00DB74FD" w:rsidRPr="008B21EF">
        <w:rPr>
          <w:rFonts w:ascii="Times New Roman" w:hAnsi="Times New Roman" w:cs="Times New Roman"/>
        </w:rPr>
        <w:t>action, it is expected that the employing parliamentarian (or parliamentarian, if they are the subject of the complaint)</w:t>
      </w:r>
      <w:r w:rsidRPr="008B21EF">
        <w:rPr>
          <w:rFonts w:ascii="Times New Roman" w:hAnsi="Times New Roman" w:cs="Times New Roman"/>
        </w:rPr>
        <w:t xml:space="preserve"> </w:t>
      </w:r>
      <w:r w:rsidR="00DB74FD" w:rsidRPr="008B21EF">
        <w:rPr>
          <w:rFonts w:ascii="Times New Roman" w:hAnsi="Times New Roman" w:cs="Times New Roman"/>
        </w:rPr>
        <w:t>acts on the recommendation.</w:t>
      </w:r>
      <w:r w:rsidR="00DB74FD">
        <w:rPr>
          <w:rFonts w:ascii="Times New Roman" w:hAnsi="Times New Roman" w:cs="Times New Roman"/>
        </w:rPr>
        <w:t xml:space="preserve"> </w:t>
      </w:r>
    </w:p>
    <w:p w14:paraId="2FEA44BB" w14:textId="77777777" w:rsidR="0002033C" w:rsidRDefault="00723B9B" w:rsidP="00145097">
      <w:pPr>
        <w:rPr>
          <w:rFonts w:ascii="Times New Roman" w:hAnsi="Times New Roman" w:cs="Times New Roman"/>
        </w:rPr>
      </w:pPr>
      <w:r w:rsidRPr="00723B9B">
        <w:rPr>
          <w:rFonts w:ascii="Times New Roman" w:hAnsi="Times New Roman" w:cs="Times New Roman"/>
        </w:rPr>
        <w:lastRenderedPageBreak/>
        <w:t>The Amendment Determination prescribes a pathway for appropriate parliamentary action, facilitated by the Commissioner, where a parliamentarian fails to do so. The Commissioner will have no power to compel or sanction parliamentarians. The design of the Commissioner’s function in this way balances the need for accountability with respect for the parliament. Independence and certainty that there will be consequences for unacceptable behaviour in the workplace are critical to a mechanism that is trusted and an environment in which people feel safe to report serious incidents.</w:t>
      </w:r>
    </w:p>
    <w:p w14:paraId="495B77E6" w14:textId="77777777" w:rsidR="00960B30" w:rsidRDefault="00906A92" w:rsidP="008760E9">
      <w:pPr>
        <w:rPr>
          <w:rFonts w:ascii="Times New Roman" w:hAnsi="Times New Roman" w:cs="Times New Roman"/>
        </w:rPr>
      </w:pPr>
      <w:r>
        <w:rPr>
          <w:rFonts w:ascii="Times New Roman" w:hAnsi="Times New Roman" w:cs="Times New Roman"/>
        </w:rPr>
        <w:t xml:space="preserve">‘Serious incident’ has been defined to include sexual assault, assault, sexual harassment, harassment, a person being bullied at work (within the meaning of the </w:t>
      </w:r>
      <w:r>
        <w:rPr>
          <w:rFonts w:ascii="Times New Roman" w:hAnsi="Times New Roman" w:cs="Times New Roman"/>
          <w:i/>
        </w:rPr>
        <w:t>Fair Work Act 2009</w:t>
      </w:r>
      <w:r>
        <w:rPr>
          <w:rFonts w:ascii="Times New Roman" w:hAnsi="Times New Roman" w:cs="Times New Roman"/>
        </w:rPr>
        <w:t>) or an incident of a person behaving unreasonably towards another person in a way that creates a risk to</w:t>
      </w:r>
      <w:r w:rsidR="00317A3E">
        <w:rPr>
          <w:rFonts w:ascii="Times New Roman" w:hAnsi="Times New Roman" w:cs="Times New Roman"/>
        </w:rPr>
        <w:t xml:space="preserve"> work</w:t>
      </w:r>
      <w:r>
        <w:rPr>
          <w:rFonts w:ascii="Times New Roman" w:hAnsi="Times New Roman" w:cs="Times New Roman"/>
        </w:rPr>
        <w:t xml:space="preserve"> health or safety.</w:t>
      </w:r>
      <w:r w:rsidR="00226B7F">
        <w:rPr>
          <w:rFonts w:ascii="Times New Roman" w:hAnsi="Times New Roman" w:cs="Times New Roman"/>
        </w:rPr>
        <w:t xml:space="preserve"> </w:t>
      </w:r>
    </w:p>
    <w:p w14:paraId="551394B6" w14:textId="77777777" w:rsidR="00960B30" w:rsidRDefault="00226B7F" w:rsidP="008760E9">
      <w:pPr>
        <w:rPr>
          <w:rFonts w:ascii="Times New Roman" w:hAnsi="Times New Roman" w:cs="Times New Roman"/>
        </w:rPr>
      </w:pPr>
      <w:r>
        <w:rPr>
          <w:rFonts w:ascii="Times New Roman" w:hAnsi="Times New Roman" w:cs="Times New Roman"/>
        </w:rPr>
        <w:t>The definition recognises applicable federal and state legislation and extends to categories of behaviour that are likely to cause serious harm to a person.</w:t>
      </w:r>
      <w:r w:rsidR="008A1E61">
        <w:rPr>
          <w:rFonts w:ascii="Times New Roman" w:hAnsi="Times New Roman" w:cs="Times New Roman"/>
        </w:rPr>
        <w:t xml:space="preserve"> It recognises that a serious incident may </w:t>
      </w:r>
      <w:r w:rsidR="008A1E61" w:rsidRPr="008B21EF">
        <w:rPr>
          <w:rFonts w:ascii="Times New Roman" w:hAnsi="Times New Roman" w:cs="Times New Roman"/>
        </w:rPr>
        <w:t xml:space="preserve">relate to either a pattern of behaviour or a single incident </w:t>
      </w:r>
      <w:r w:rsidR="00404AE2" w:rsidRPr="008B21EF">
        <w:rPr>
          <w:rFonts w:ascii="Times New Roman" w:hAnsi="Times New Roman" w:cs="Times New Roman"/>
        </w:rPr>
        <w:t>that is so unreasonable as to cause</w:t>
      </w:r>
      <w:r w:rsidR="008A1E61" w:rsidRPr="008B21EF">
        <w:rPr>
          <w:rFonts w:ascii="Times New Roman" w:hAnsi="Times New Roman" w:cs="Times New Roman"/>
        </w:rPr>
        <w:t xml:space="preserve"> serious harm.</w:t>
      </w:r>
      <w:r w:rsidRPr="008B21EF">
        <w:rPr>
          <w:rFonts w:ascii="Times New Roman" w:hAnsi="Times New Roman" w:cs="Times New Roman"/>
        </w:rPr>
        <w:t xml:space="preserve"> </w:t>
      </w:r>
    </w:p>
    <w:p w14:paraId="6B3CE201" w14:textId="77777777" w:rsidR="00AD4D7B" w:rsidRDefault="00226B7F" w:rsidP="008760E9">
      <w:pPr>
        <w:rPr>
          <w:rFonts w:ascii="Times New Roman" w:hAnsi="Times New Roman" w:cs="Times New Roman"/>
        </w:rPr>
      </w:pPr>
      <w:r w:rsidRPr="008B21EF">
        <w:rPr>
          <w:rFonts w:ascii="Times New Roman" w:hAnsi="Times New Roman" w:cs="Times New Roman"/>
        </w:rPr>
        <w:t xml:space="preserve">The mechanism will have appropriate </w:t>
      </w:r>
      <w:r w:rsidR="00710ED3">
        <w:rPr>
          <w:rFonts w:ascii="Times New Roman" w:hAnsi="Times New Roman" w:cs="Times New Roman"/>
        </w:rPr>
        <w:t xml:space="preserve">support and referral </w:t>
      </w:r>
      <w:r w:rsidRPr="008B21EF">
        <w:rPr>
          <w:rFonts w:ascii="Times New Roman" w:hAnsi="Times New Roman" w:cs="Times New Roman"/>
        </w:rPr>
        <w:t>procedures in place where the conduct alleged is criminal (i.e. sexual assault and assault).</w:t>
      </w:r>
      <w:r w:rsidR="00AD4D7B">
        <w:rPr>
          <w:rFonts w:ascii="Times New Roman" w:hAnsi="Times New Roman" w:cs="Times New Roman"/>
        </w:rPr>
        <w:t xml:space="preserve"> </w:t>
      </w:r>
      <w:r w:rsidR="00AD4D7B" w:rsidRPr="002D4434">
        <w:rPr>
          <w:rFonts w:ascii="Times New Roman" w:hAnsi="Times New Roman" w:cs="Times New Roman"/>
        </w:rPr>
        <w:t xml:space="preserve">The mechanism should not review criminal allegations; where a workplace review has commenced but it becomes clear that the allegation is criminal in nature, the workplace review into that activity </w:t>
      </w:r>
      <w:r w:rsidR="00E33E43" w:rsidRPr="002D4434">
        <w:rPr>
          <w:rFonts w:ascii="Times New Roman" w:hAnsi="Times New Roman" w:cs="Times New Roman"/>
        </w:rPr>
        <w:t>should</w:t>
      </w:r>
      <w:r w:rsidR="00AD4D7B" w:rsidRPr="002D4434">
        <w:rPr>
          <w:rFonts w:ascii="Times New Roman" w:hAnsi="Times New Roman" w:cs="Times New Roman"/>
        </w:rPr>
        <w:t xml:space="preserve"> cease. </w:t>
      </w:r>
      <w:r w:rsidR="00710ED3">
        <w:rPr>
          <w:rFonts w:ascii="Times New Roman" w:hAnsi="Times New Roman" w:cs="Times New Roman"/>
        </w:rPr>
        <w:t>Where</w:t>
      </w:r>
      <w:r w:rsidR="00AD4D7B" w:rsidRPr="002D4434">
        <w:rPr>
          <w:rFonts w:ascii="Times New Roman" w:hAnsi="Times New Roman" w:cs="Times New Roman"/>
        </w:rPr>
        <w:t xml:space="preserve"> it may be appropriate to consider a workplace review where the conduct is clearly a workplace matter, with strong connections to employment, such a review would not be an investigation into the criminal allegation, it would consider whether the person has breached a workplace policy or the </w:t>
      </w:r>
      <w:r w:rsidR="00F978BE">
        <w:rPr>
          <w:rFonts w:ascii="Times New Roman" w:hAnsi="Times New Roman" w:cs="Times New Roman"/>
        </w:rPr>
        <w:t xml:space="preserve">outline of </w:t>
      </w:r>
      <w:r w:rsidR="00F978BE" w:rsidRPr="00F978BE">
        <w:rPr>
          <w:rFonts w:ascii="Times New Roman" w:hAnsi="Times New Roman" w:cs="Times New Roman"/>
        </w:rPr>
        <w:t>the current duties and responsibilities of parliamentarians and their staff employed under the Members of Parliament (Staff) Act 1984 (MOP(S) Act)</w:t>
      </w:r>
      <w:r w:rsidR="00F978BE" w:rsidRPr="008B21EF">
        <w:rPr>
          <w:rFonts w:ascii="Times New Roman" w:hAnsi="Times New Roman" w:cs="Times New Roman"/>
        </w:rPr>
        <w:t xml:space="preserve"> set out by the Minister</w:t>
      </w:r>
      <w:r w:rsidR="00F978BE">
        <w:rPr>
          <w:rFonts w:ascii="Times New Roman" w:hAnsi="Times New Roman" w:cs="Times New Roman"/>
        </w:rPr>
        <w:t xml:space="preserve"> for Finance</w:t>
      </w:r>
      <w:r w:rsidR="00F978BE" w:rsidRPr="008B21EF">
        <w:rPr>
          <w:rFonts w:ascii="Times New Roman" w:hAnsi="Times New Roman" w:cs="Times New Roman"/>
        </w:rPr>
        <w:t xml:space="preserve"> and communicated to </w:t>
      </w:r>
      <w:r w:rsidR="00F978BE">
        <w:rPr>
          <w:rFonts w:ascii="Times New Roman" w:hAnsi="Times New Roman" w:cs="Times New Roman"/>
        </w:rPr>
        <w:t>MOP(S)</w:t>
      </w:r>
      <w:r w:rsidR="00F978BE" w:rsidRPr="008B21EF">
        <w:rPr>
          <w:rFonts w:ascii="Times New Roman" w:hAnsi="Times New Roman" w:cs="Times New Roman"/>
        </w:rPr>
        <w:t xml:space="preserve"> </w:t>
      </w:r>
      <w:r w:rsidR="00F978BE">
        <w:rPr>
          <w:rFonts w:ascii="Times New Roman" w:hAnsi="Times New Roman" w:cs="Times New Roman"/>
        </w:rPr>
        <w:t>Act employees</w:t>
      </w:r>
      <w:r w:rsidR="00F978BE" w:rsidRPr="008B21EF">
        <w:rPr>
          <w:rFonts w:ascii="Times New Roman" w:hAnsi="Times New Roman" w:cs="Times New Roman"/>
        </w:rPr>
        <w:t xml:space="preserve"> and parliamentarians</w:t>
      </w:r>
      <w:r w:rsidR="00AD4D7B" w:rsidRPr="002D4434">
        <w:rPr>
          <w:rFonts w:ascii="Times New Roman" w:hAnsi="Times New Roman" w:cs="Times New Roman"/>
        </w:rPr>
        <w:t xml:space="preserve">, and what action is necessary to protect the safety of other </w:t>
      </w:r>
      <w:r w:rsidR="0037462D">
        <w:rPr>
          <w:rFonts w:ascii="Times New Roman" w:hAnsi="Times New Roman" w:cs="Times New Roman"/>
        </w:rPr>
        <w:t>employees</w:t>
      </w:r>
      <w:r w:rsidR="00AD4D7B" w:rsidRPr="002D4434">
        <w:rPr>
          <w:rFonts w:ascii="Times New Roman" w:hAnsi="Times New Roman" w:cs="Times New Roman"/>
        </w:rPr>
        <w:t>.</w:t>
      </w:r>
      <w:r w:rsidR="00AD4D7B">
        <w:rPr>
          <w:rFonts w:ascii="Times New Roman" w:hAnsi="Times New Roman" w:cs="Times New Roman"/>
        </w:rPr>
        <w:t xml:space="preserve"> </w:t>
      </w:r>
      <w:r w:rsidR="008A1E61" w:rsidRPr="008B21EF">
        <w:rPr>
          <w:rFonts w:ascii="Times New Roman" w:hAnsi="Times New Roman" w:cs="Times New Roman"/>
        </w:rPr>
        <w:t xml:space="preserve"> </w:t>
      </w:r>
    </w:p>
    <w:p w14:paraId="19B7430A" w14:textId="77777777" w:rsidR="00226B7F" w:rsidRDefault="008A1E61" w:rsidP="008760E9">
      <w:pPr>
        <w:rPr>
          <w:rFonts w:ascii="Times New Roman" w:hAnsi="Times New Roman" w:cs="Times New Roman"/>
        </w:rPr>
      </w:pPr>
      <w:r w:rsidRPr="008B21EF">
        <w:rPr>
          <w:rFonts w:ascii="Times New Roman" w:hAnsi="Times New Roman" w:cs="Times New Roman"/>
        </w:rPr>
        <w:t>The mechanism may receive reports and provide support in relation to non-serious incidents, but will not be able to review them</w:t>
      </w:r>
      <w:r w:rsidR="008D4A8E" w:rsidRPr="008B21EF">
        <w:rPr>
          <w:rFonts w:ascii="Times New Roman" w:hAnsi="Times New Roman" w:cs="Times New Roman"/>
        </w:rPr>
        <w:t>, these matters may be referred to the Department of Finance as appropriate.</w:t>
      </w:r>
    </w:p>
    <w:p w14:paraId="2693A815" w14:textId="77777777" w:rsidR="00391DF7" w:rsidRDefault="00490472" w:rsidP="00490472">
      <w:pPr>
        <w:rPr>
          <w:rFonts w:ascii="Times New Roman" w:hAnsi="Times New Roman" w:cs="Times New Roman"/>
        </w:rPr>
      </w:pPr>
      <w:r>
        <w:rPr>
          <w:rFonts w:ascii="Times New Roman" w:hAnsi="Times New Roman" w:cs="Times New Roman"/>
        </w:rPr>
        <w:t xml:space="preserve">The </w:t>
      </w:r>
      <w:r w:rsidR="007A149F">
        <w:rPr>
          <w:rFonts w:ascii="Times New Roman" w:hAnsi="Times New Roman" w:cs="Times New Roman"/>
        </w:rPr>
        <w:t>Amendment Determination</w:t>
      </w:r>
      <w:r>
        <w:rPr>
          <w:rFonts w:ascii="Times New Roman" w:hAnsi="Times New Roman" w:cs="Times New Roman"/>
        </w:rPr>
        <w:t xml:space="preserve"> provides that the mechanism can </w:t>
      </w:r>
      <w:r w:rsidR="00D13C2C">
        <w:rPr>
          <w:rFonts w:ascii="Times New Roman" w:hAnsi="Times New Roman" w:cs="Times New Roman"/>
        </w:rPr>
        <w:t xml:space="preserve">review </w:t>
      </w:r>
      <w:r>
        <w:rPr>
          <w:rFonts w:ascii="Times New Roman" w:hAnsi="Times New Roman" w:cs="Times New Roman"/>
        </w:rPr>
        <w:t>complaints about serious incidents that occurred after 18 May 2019</w:t>
      </w:r>
      <w:r w:rsidRPr="00317A3E">
        <w:rPr>
          <w:rFonts w:ascii="Times New Roman" w:hAnsi="Times New Roman" w:cs="Times New Roman"/>
        </w:rPr>
        <w:t xml:space="preserve">, </w:t>
      </w:r>
      <w:r w:rsidR="00F3405D" w:rsidRPr="002D4434">
        <w:rPr>
          <w:rFonts w:ascii="Times New Roman" w:hAnsi="Times New Roman" w:cs="Times New Roman"/>
        </w:rPr>
        <w:t>where both parties are either</w:t>
      </w:r>
      <w:r w:rsidR="00B642F9">
        <w:rPr>
          <w:rFonts w:ascii="Times New Roman" w:hAnsi="Times New Roman" w:cs="Times New Roman"/>
        </w:rPr>
        <w:t xml:space="preserve"> a</w:t>
      </w:r>
      <w:r w:rsidR="00F3405D" w:rsidRPr="002D4434">
        <w:rPr>
          <w:rFonts w:ascii="Times New Roman" w:hAnsi="Times New Roman" w:cs="Times New Roman"/>
        </w:rPr>
        <w:t xml:space="preserve"> </w:t>
      </w:r>
      <w:r w:rsidR="00B642F9">
        <w:rPr>
          <w:rFonts w:ascii="Times New Roman" w:hAnsi="Times New Roman" w:cs="Times New Roman"/>
        </w:rPr>
        <w:t>MOP(S)</w:t>
      </w:r>
      <w:r w:rsidR="00F3405D" w:rsidRPr="002D4434">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w:t>
      </w:r>
      <w:r w:rsidR="00F3405D" w:rsidRPr="002D4434">
        <w:rPr>
          <w:rFonts w:ascii="Times New Roman" w:hAnsi="Times New Roman" w:cs="Times New Roman"/>
        </w:rPr>
        <w:t xml:space="preserve"> or a parliamentarian. It also provides that a former </w:t>
      </w:r>
      <w:r w:rsidR="00B642F9">
        <w:rPr>
          <w:rFonts w:ascii="Times New Roman" w:hAnsi="Times New Roman" w:cs="Times New Roman"/>
        </w:rPr>
        <w:t>MOP(S)</w:t>
      </w:r>
      <w:r w:rsidR="00F3405D" w:rsidRPr="002D4434">
        <w:rPr>
          <w:rFonts w:ascii="Times New Roman" w:hAnsi="Times New Roman" w:cs="Times New Roman"/>
        </w:rPr>
        <w:t xml:space="preserve"> </w:t>
      </w:r>
      <w:r w:rsidR="00F56130" w:rsidRPr="002D4434">
        <w:rPr>
          <w:rFonts w:ascii="Times New Roman" w:hAnsi="Times New Roman" w:cs="Times New Roman"/>
        </w:rPr>
        <w:t xml:space="preserve">Act </w:t>
      </w:r>
      <w:r w:rsidR="00B642F9">
        <w:rPr>
          <w:rFonts w:ascii="Times New Roman" w:hAnsi="Times New Roman" w:cs="Times New Roman"/>
        </w:rPr>
        <w:t>employee</w:t>
      </w:r>
      <w:r w:rsidR="00F3405D" w:rsidRPr="002D4434">
        <w:rPr>
          <w:rFonts w:ascii="Times New Roman" w:hAnsi="Times New Roman" w:cs="Times New Roman"/>
        </w:rPr>
        <w:t xml:space="preserve"> may make a complaint and it can be </w:t>
      </w:r>
      <w:r w:rsidR="00D13C2C">
        <w:rPr>
          <w:rFonts w:ascii="Times New Roman" w:hAnsi="Times New Roman" w:cs="Times New Roman"/>
        </w:rPr>
        <w:t>reviewed</w:t>
      </w:r>
      <w:r w:rsidR="00D13C2C" w:rsidRPr="002D4434">
        <w:rPr>
          <w:rFonts w:ascii="Times New Roman" w:hAnsi="Times New Roman" w:cs="Times New Roman"/>
        </w:rPr>
        <w:t xml:space="preserve"> </w:t>
      </w:r>
      <w:r w:rsidR="00F3405D" w:rsidRPr="002D4434">
        <w:rPr>
          <w:rFonts w:ascii="Times New Roman" w:hAnsi="Times New Roman" w:cs="Times New Roman"/>
        </w:rPr>
        <w:t xml:space="preserve">where the subject of the complaint is still either a </w:t>
      </w:r>
      <w:r w:rsidR="00B642F9">
        <w:rPr>
          <w:rFonts w:ascii="Times New Roman" w:hAnsi="Times New Roman" w:cs="Times New Roman"/>
        </w:rPr>
        <w:t>MOP(S)</w:t>
      </w:r>
      <w:r w:rsidR="00F3405D" w:rsidRPr="002D4434">
        <w:rPr>
          <w:rFonts w:ascii="Times New Roman" w:hAnsi="Times New Roman" w:cs="Times New Roman"/>
        </w:rPr>
        <w:t xml:space="preserve"> </w:t>
      </w:r>
      <w:r w:rsidR="00F56130" w:rsidRPr="002D4434">
        <w:rPr>
          <w:rFonts w:ascii="Times New Roman" w:hAnsi="Times New Roman" w:cs="Times New Roman"/>
        </w:rPr>
        <w:t xml:space="preserve">Act </w:t>
      </w:r>
      <w:r w:rsidR="00B642F9">
        <w:rPr>
          <w:rFonts w:ascii="Times New Roman" w:hAnsi="Times New Roman" w:cs="Times New Roman"/>
        </w:rPr>
        <w:t>employee</w:t>
      </w:r>
      <w:r w:rsidR="00F3405D" w:rsidRPr="002D4434">
        <w:rPr>
          <w:rFonts w:ascii="Times New Roman" w:hAnsi="Times New Roman" w:cs="Times New Roman"/>
        </w:rPr>
        <w:t xml:space="preserve"> or a parliamentarian. </w:t>
      </w:r>
      <w:r w:rsidR="00391DF7" w:rsidRPr="00B765DD">
        <w:rPr>
          <w:rFonts w:ascii="Times New Roman" w:hAnsi="Times New Roman" w:cs="Times New Roman"/>
        </w:rPr>
        <w:t xml:space="preserve">If the review of a complaint commences and the subject of the complaint ceases to be a </w:t>
      </w:r>
      <w:r w:rsidR="00391DF7">
        <w:rPr>
          <w:rFonts w:ascii="Times New Roman" w:hAnsi="Times New Roman" w:cs="Times New Roman"/>
        </w:rPr>
        <w:t>MOP(S) Act</w:t>
      </w:r>
      <w:r w:rsidR="00391DF7" w:rsidRPr="00B765DD">
        <w:rPr>
          <w:rFonts w:ascii="Times New Roman" w:hAnsi="Times New Roman" w:cs="Times New Roman"/>
        </w:rPr>
        <w:t xml:space="preserve"> </w:t>
      </w:r>
      <w:r w:rsidR="00391DF7">
        <w:rPr>
          <w:rFonts w:ascii="Times New Roman" w:hAnsi="Times New Roman" w:cs="Times New Roman"/>
        </w:rPr>
        <w:t>employee</w:t>
      </w:r>
      <w:r w:rsidR="00391DF7" w:rsidRPr="00B765DD">
        <w:rPr>
          <w:rFonts w:ascii="Times New Roman" w:hAnsi="Times New Roman" w:cs="Times New Roman"/>
        </w:rPr>
        <w:t xml:space="preserve"> during the course of the review, the review </w:t>
      </w:r>
      <w:r w:rsidR="00391DF7" w:rsidRPr="002D4434">
        <w:rPr>
          <w:rFonts w:ascii="Times New Roman" w:hAnsi="Times New Roman" w:cs="Times New Roman"/>
        </w:rPr>
        <w:t>may</w:t>
      </w:r>
      <w:r w:rsidR="00391DF7" w:rsidRPr="00B765DD">
        <w:rPr>
          <w:rFonts w:ascii="Times New Roman" w:hAnsi="Times New Roman" w:cs="Times New Roman"/>
        </w:rPr>
        <w:t xml:space="preserve"> continue to finalisation.</w:t>
      </w:r>
      <w:r w:rsidR="00391DF7">
        <w:rPr>
          <w:rFonts w:ascii="Times New Roman" w:hAnsi="Times New Roman" w:cs="Times New Roman"/>
        </w:rPr>
        <w:t xml:space="preserve"> </w:t>
      </w:r>
    </w:p>
    <w:p w14:paraId="09A3F21E" w14:textId="77777777" w:rsidR="00441E30" w:rsidRDefault="00391DF7" w:rsidP="00490472">
      <w:pPr>
        <w:rPr>
          <w:rFonts w:ascii="Times New Roman" w:hAnsi="Times New Roman" w:cs="Times New Roman"/>
        </w:rPr>
      </w:pPr>
      <w:r>
        <w:rPr>
          <w:rFonts w:ascii="Times New Roman" w:hAnsi="Times New Roman" w:cs="Times New Roman"/>
        </w:rPr>
        <w:t>The Amendment Determination</w:t>
      </w:r>
      <w:r w:rsidRPr="002D4434">
        <w:rPr>
          <w:rFonts w:ascii="Times New Roman" w:hAnsi="Times New Roman" w:cs="Times New Roman"/>
        </w:rPr>
        <w:t xml:space="preserve"> </w:t>
      </w:r>
      <w:r w:rsidR="00F3405D" w:rsidRPr="002D4434">
        <w:rPr>
          <w:rFonts w:ascii="Times New Roman" w:hAnsi="Times New Roman" w:cs="Times New Roman"/>
        </w:rPr>
        <w:t xml:space="preserve">also provides that a former parliamentarian may not have a complaint </w:t>
      </w:r>
      <w:r w:rsidR="00D13C2C">
        <w:rPr>
          <w:rFonts w:ascii="Times New Roman" w:hAnsi="Times New Roman" w:cs="Times New Roman"/>
        </w:rPr>
        <w:t>reviewed</w:t>
      </w:r>
      <w:r w:rsidR="00D13C2C" w:rsidRPr="002D4434">
        <w:rPr>
          <w:rFonts w:ascii="Times New Roman" w:hAnsi="Times New Roman" w:cs="Times New Roman"/>
        </w:rPr>
        <w:t xml:space="preserve"> </w:t>
      </w:r>
      <w:r w:rsidR="00F3405D" w:rsidRPr="002D4434">
        <w:rPr>
          <w:rFonts w:ascii="Times New Roman" w:hAnsi="Times New Roman" w:cs="Times New Roman"/>
        </w:rPr>
        <w:t>after they leave the parliament.</w:t>
      </w:r>
      <w:r w:rsidR="00F3405D" w:rsidRPr="00317A3E">
        <w:rPr>
          <w:rFonts w:ascii="Times New Roman" w:hAnsi="Times New Roman" w:cs="Times New Roman"/>
        </w:rPr>
        <w:t xml:space="preserve"> </w:t>
      </w:r>
      <w:r w:rsidR="00441E30" w:rsidRPr="00317A3E">
        <w:rPr>
          <w:rFonts w:ascii="Times New Roman" w:hAnsi="Times New Roman" w:cs="Times New Roman"/>
        </w:rPr>
        <w:t>The scope of the mechanism</w:t>
      </w:r>
      <w:r w:rsidR="00441E30">
        <w:rPr>
          <w:rFonts w:ascii="Times New Roman" w:hAnsi="Times New Roman" w:cs="Times New Roman"/>
        </w:rPr>
        <w:t xml:space="preserve"> has been designed this way to address issues in current offices rather than having to manage the complexity associated with </w:t>
      </w:r>
      <w:r w:rsidR="00D13C2C">
        <w:rPr>
          <w:rFonts w:ascii="Times New Roman" w:hAnsi="Times New Roman" w:cs="Times New Roman"/>
        </w:rPr>
        <w:t xml:space="preserve">reviewing </w:t>
      </w:r>
      <w:r w:rsidR="00441E30">
        <w:rPr>
          <w:rFonts w:ascii="Times New Roman" w:hAnsi="Times New Roman" w:cs="Times New Roman"/>
        </w:rPr>
        <w:t>historical reports, particularly where they relate to offices that no longer exist.</w:t>
      </w:r>
    </w:p>
    <w:p w14:paraId="718C1D1F" w14:textId="77777777" w:rsidR="00490472" w:rsidRDefault="00490472" w:rsidP="008760E9">
      <w:pPr>
        <w:rPr>
          <w:rFonts w:ascii="Times New Roman" w:hAnsi="Times New Roman" w:cs="Times New Roman"/>
        </w:rPr>
      </w:pPr>
      <w:r>
        <w:rPr>
          <w:rFonts w:ascii="Times New Roman" w:hAnsi="Times New Roman" w:cs="Times New Roman"/>
        </w:rPr>
        <w:t xml:space="preserve">However, support and </w:t>
      </w:r>
      <w:r w:rsidR="00960B30">
        <w:rPr>
          <w:rFonts w:ascii="Times New Roman" w:hAnsi="Times New Roman" w:cs="Times New Roman"/>
        </w:rPr>
        <w:t xml:space="preserve">information </w:t>
      </w:r>
      <w:r>
        <w:rPr>
          <w:rFonts w:ascii="Times New Roman" w:hAnsi="Times New Roman" w:cs="Times New Roman"/>
        </w:rPr>
        <w:t>in respect of serious incidents</w:t>
      </w:r>
      <w:r w:rsidR="00470F1E">
        <w:rPr>
          <w:rFonts w:ascii="Times New Roman" w:hAnsi="Times New Roman" w:cs="Times New Roman"/>
        </w:rPr>
        <w:t xml:space="preserve"> and other work health and safety-related matters </w:t>
      </w:r>
      <w:r w:rsidR="00960B30">
        <w:rPr>
          <w:rFonts w:ascii="Times New Roman" w:hAnsi="Times New Roman" w:cs="Times New Roman"/>
        </w:rPr>
        <w:t xml:space="preserve">relating to the performance of duties as a MOPS Act employee or Parliamentarian, </w:t>
      </w:r>
      <w:r>
        <w:rPr>
          <w:rFonts w:ascii="Times New Roman" w:hAnsi="Times New Roman" w:cs="Times New Roman"/>
        </w:rPr>
        <w:t xml:space="preserve">may be provided at any time and irrespective of whether a person has ceased to be a </w:t>
      </w:r>
      <w:r w:rsidR="00B642F9">
        <w:rPr>
          <w:rFonts w:ascii="Times New Roman" w:hAnsi="Times New Roman" w:cs="Times New Roman"/>
        </w:rPr>
        <w:t>MOP(S)</w:t>
      </w:r>
      <w:r w:rsidRPr="00E33E43">
        <w:rPr>
          <w:rFonts w:ascii="Times New Roman" w:hAnsi="Times New Roman" w:cs="Times New Roman"/>
        </w:rPr>
        <w:t xml:space="preserve"> </w:t>
      </w:r>
      <w:r w:rsidR="00F56130" w:rsidRPr="002D4434">
        <w:rPr>
          <w:rFonts w:ascii="Times New Roman" w:hAnsi="Times New Roman" w:cs="Times New Roman"/>
        </w:rPr>
        <w:t xml:space="preserve">Act </w:t>
      </w:r>
      <w:r w:rsidR="0037462D">
        <w:rPr>
          <w:rFonts w:ascii="Times New Roman" w:hAnsi="Times New Roman" w:cs="Times New Roman"/>
        </w:rPr>
        <w:t>employee</w:t>
      </w:r>
      <w:r>
        <w:rPr>
          <w:rFonts w:ascii="Times New Roman" w:hAnsi="Times New Roman" w:cs="Times New Roman"/>
        </w:rPr>
        <w:t xml:space="preserve"> or parliamentarian.</w:t>
      </w:r>
      <w:r w:rsidR="00470F1E">
        <w:rPr>
          <w:rFonts w:ascii="Times New Roman" w:hAnsi="Times New Roman" w:cs="Times New Roman"/>
        </w:rPr>
        <w:t xml:space="preserve"> This recognises that the function of the mechanism is not only to review and remedy individual incidents but to provide individuals with support, direct them to appropriate avenues for redress where they may be available, and actively promote a safe and respectful parliamentary workplace, particularly where a known risk to work health and safety exist</w:t>
      </w:r>
      <w:r w:rsidR="007A149F">
        <w:rPr>
          <w:rFonts w:ascii="Times New Roman" w:hAnsi="Times New Roman" w:cs="Times New Roman"/>
        </w:rPr>
        <w:t>s</w:t>
      </w:r>
      <w:r w:rsidR="00470F1E">
        <w:rPr>
          <w:rFonts w:ascii="Times New Roman" w:hAnsi="Times New Roman" w:cs="Times New Roman"/>
        </w:rPr>
        <w:t>.</w:t>
      </w:r>
    </w:p>
    <w:p w14:paraId="27461F41" w14:textId="77777777" w:rsidR="00A50485" w:rsidRDefault="00A50485" w:rsidP="008760E9">
      <w:pPr>
        <w:rPr>
          <w:rFonts w:ascii="Times New Roman" w:hAnsi="Times New Roman" w:cs="Times New Roman"/>
        </w:rPr>
      </w:pPr>
      <w:r>
        <w:rPr>
          <w:rFonts w:ascii="Times New Roman" w:hAnsi="Times New Roman" w:cs="Times New Roman"/>
        </w:rPr>
        <w:lastRenderedPageBreak/>
        <w:t>While ongoing training for parliamentarians and their staff will remain the responsibility of the Department of Finance, the mechanism will have a role in providing education where there is a connection with the operation of the independent complaints mechanism.</w:t>
      </w:r>
      <w:r w:rsidR="00960B30">
        <w:rPr>
          <w:rFonts w:ascii="Times New Roman" w:hAnsi="Times New Roman" w:cs="Times New Roman"/>
        </w:rPr>
        <w:t xml:space="preserve"> Recognising this, the Amendment Determination provides for the education of people who are current MOP</w:t>
      </w:r>
      <w:r w:rsidR="00FF30FA">
        <w:rPr>
          <w:rFonts w:ascii="Times New Roman" w:hAnsi="Times New Roman" w:cs="Times New Roman"/>
        </w:rPr>
        <w:t>(</w:t>
      </w:r>
      <w:r w:rsidR="00960B30">
        <w:rPr>
          <w:rFonts w:ascii="Times New Roman" w:hAnsi="Times New Roman" w:cs="Times New Roman"/>
        </w:rPr>
        <w:t>S</w:t>
      </w:r>
      <w:r w:rsidR="00FF30FA">
        <w:rPr>
          <w:rFonts w:ascii="Times New Roman" w:hAnsi="Times New Roman" w:cs="Times New Roman"/>
        </w:rPr>
        <w:t>)</w:t>
      </w:r>
      <w:r w:rsidR="00960B30">
        <w:rPr>
          <w:rFonts w:ascii="Times New Roman" w:hAnsi="Times New Roman" w:cs="Times New Roman"/>
        </w:rPr>
        <w:t xml:space="preserve"> Act employees and Parliamentarians, in relation to the mechanism, serious incidents</w:t>
      </w:r>
      <w:r w:rsidR="00EA6AD0">
        <w:rPr>
          <w:rFonts w:ascii="Times New Roman" w:hAnsi="Times New Roman" w:cs="Times New Roman"/>
        </w:rPr>
        <w:t xml:space="preserve"> and other matters relating to work, health and safety that arise </w:t>
      </w:r>
      <w:r w:rsidR="00EA6AD0" w:rsidRPr="00FF30FA">
        <w:rPr>
          <w:rFonts w:ascii="Times New Roman" w:hAnsi="Times New Roman" w:cs="Times New Roman"/>
        </w:rPr>
        <w:t>in the course of performing duties as a MOP(S) Act employee or parliamentarian</w:t>
      </w:r>
      <w:r w:rsidR="00EA6AD0">
        <w:rPr>
          <w:rFonts w:ascii="Times New Roman" w:hAnsi="Times New Roman" w:cs="Times New Roman"/>
        </w:rPr>
        <w:t xml:space="preserve">. </w:t>
      </w:r>
    </w:p>
    <w:p w14:paraId="4829D728" w14:textId="77777777" w:rsidR="008760E9" w:rsidRDefault="008760E9" w:rsidP="008760E9">
      <w:pPr>
        <w:rPr>
          <w:rFonts w:ascii="Times New Roman" w:hAnsi="Times New Roman" w:cs="Times New Roman"/>
          <w:b/>
        </w:rPr>
      </w:pPr>
      <w:r w:rsidRPr="00AE4587">
        <w:rPr>
          <w:rFonts w:ascii="Times New Roman" w:hAnsi="Times New Roman" w:cs="Times New Roman"/>
          <w:b/>
        </w:rPr>
        <w:t>Regulatory impact assessment</w:t>
      </w:r>
    </w:p>
    <w:p w14:paraId="082FEB82" w14:textId="77777777" w:rsidR="008760E9" w:rsidRPr="008760E9" w:rsidRDefault="00145097" w:rsidP="008760E9">
      <w:pPr>
        <w:rPr>
          <w:rFonts w:ascii="Times New Roman" w:hAnsi="Times New Roman" w:cs="Times New Roman"/>
        </w:rPr>
      </w:pPr>
      <w:r>
        <w:rPr>
          <w:rFonts w:ascii="Times New Roman" w:hAnsi="Times New Roman" w:cs="Times New Roman"/>
        </w:rPr>
        <w:t>No regulation impact statement is required for the measures contained in the Amendment Determination.</w:t>
      </w:r>
      <w:r w:rsidR="00441E30">
        <w:rPr>
          <w:rFonts w:ascii="Times New Roman" w:hAnsi="Times New Roman" w:cs="Times New Roman"/>
        </w:rPr>
        <w:t xml:space="preserve"> RIS reference ID: 44193.</w:t>
      </w:r>
    </w:p>
    <w:p w14:paraId="316A82C4" w14:textId="77777777" w:rsidR="008760E9" w:rsidRDefault="008760E9" w:rsidP="00FF30FA">
      <w:pPr>
        <w:keepNext/>
        <w:keepLines/>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5E2756F1" w14:textId="77777777" w:rsidR="008760E9" w:rsidRDefault="008760E9" w:rsidP="00FF30FA">
      <w:pPr>
        <w:keepNext/>
        <w:keepLines/>
        <w:rPr>
          <w:rFonts w:ascii="Times New Roman" w:hAnsi="Times New Roman" w:cs="Times New Roman"/>
        </w:rPr>
      </w:pPr>
      <w:r>
        <w:rPr>
          <w:rFonts w:ascii="Times New Roman" w:hAnsi="Times New Roman" w:cs="Times New Roman"/>
        </w:rPr>
        <w:t>S</w:t>
      </w:r>
      <w:r w:rsidRPr="00FB4437">
        <w:rPr>
          <w:rFonts w:ascii="Times New Roman" w:hAnsi="Times New Roman" w:cs="Times New Roman"/>
        </w:rPr>
        <w:t xml:space="preserve">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w:t>
      </w:r>
      <w:r>
        <w:rPr>
          <w:rFonts w:ascii="Times New Roman" w:hAnsi="Times New Roman" w:cs="Times New Roman"/>
        </w:rPr>
        <w:t xml:space="preserve">requires the rule-maker in relation to a legislative instrument to which section 42 (disallowance) of the </w:t>
      </w:r>
      <w:r>
        <w:rPr>
          <w:rFonts w:ascii="Times New Roman" w:hAnsi="Times New Roman" w:cs="Times New Roman"/>
          <w:i/>
        </w:rPr>
        <w:t>Legislation Act 2003</w:t>
      </w:r>
      <w:r>
        <w:rPr>
          <w:rFonts w:ascii="Times New Roman" w:hAnsi="Times New Roman" w:cs="Times New Roman"/>
        </w:rPr>
        <w:t xml:space="preserve"> applies to cause a statement of compatibility with human rights to be prepared in respect of that legislative instrument. </w:t>
      </w:r>
    </w:p>
    <w:p w14:paraId="263F4F2B" w14:textId="77777777" w:rsidR="008760E9" w:rsidRDefault="008760E9" w:rsidP="008760E9">
      <w:pPr>
        <w:rPr>
          <w:rFonts w:ascii="Times New Roman" w:hAnsi="Times New Roman" w:cs="Times New Roman"/>
        </w:rPr>
      </w:pPr>
      <w:r>
        <w:rPr>
          <w:rFonts w:ascii="Times New Roman" w:hAnsi="Times New Roman" w:cs="Times New Roman"/>
        </w:rPr>
        <w:t xml:space="preserve">The statement of </w:t>
      </w:r>
      <w:r w:rsidRPr="009D2A4E">
        <w:rPr>
          <w:rFonts w:ascii="Times New Roman" w:hAnsi="Times New Roman" w:cs="Times New Roman"/>
          <w:color w:val="000000" w:themeColor="text1"/>
        </w:rPr>
        <w:t xml:space="preserve">compatibility set out </w:t>
      </w:r>
      <w:r w:rsidR="00867453" w:rsidRPr="009D2A4E">
        <w:rPr>
          <w:rFonts w:ascii="Times New Roman" w:hAnsi="Times New Roman" w:cs="Times New Roman"/>
          <w:color w:val="000000" w:themeColor="text1"/>
        </w:rPr>
        <w:t xml:space="preserve">at </w:t>
      </w:r>
      <w:r w:rsidR="00867453" w:rsidRPr="009D2A4E">
        <w:rPr>
          <w:rFonts w:ascii="Times New Roman" w:hAnsi="Times New Roman" w:cs="Times New Roman"/>
          <w:color w:val="000000" w:themeColor="text1"/>
          <w:u w:val="single"/>
        </w:rPr>
        <w:t>Attachment B</w:t>
      </w:r>
      <w:r w:rsidRPr="009D2A4E">
        <w:rPr>
          <w:rFonts w:ascii="Times New Roman" w:hAnsi="Times New Roman" w:cs="Times New Roman"/>
          <w:color w:val="000000" w:themeColor="text1"/>
        </w:rPr>
        <w:t xml:space="preserve"> has been prepared </w:t>
      </w:r>
      <w:r>
        <w:rPr>
          <w:rFonts w:ascii="Times New Roman" w:hAnsi="Times New Roman" w:cs="Times New Roman"/>
        </w:rPr>
        <w:t>to meet that requirement.</w:t>
      </w:r>
    </w:p>
    <w:p w14:paraId="65CCE283" w14:textId="77777777" w:rsidR="00B765DD" w:rsidRDefault="00B765DD">
      <w:pPr>
        <w:rPr>
          <w:rFonts w:ascii="Times New Roman" w:hAnsi="Times New Roman" w:cs="Times New Roman"/>
          <w:b/>
        </w:rPr>
      </w:pPr>
      <w:r>
        <w:rPr>
          <w:rFonts w:ascii="Times New Roman" w:hAnsi="Times New Roman" w:cs="Times New Roman"/>
          <w:b/>
        </w:rPr>
        <w:br w:type="page"/>
      </w:r>
    </w:p>
    <w:p w14:paraId="001A96C8" w14:textId="77777777" w:rsidR="00C05635" w:rsidRDefault="00C05635" w:rsidP="00B47E52">
      <w:pPr>
        <w:jc w:val="right"/>
        <w:rPr>
          <w:rFonts w:ascii="Times New Roman" w:hAnsi="Times New Roman" w:cs="Times New Roman"/>
          <w:b/>
        </w:rPr>
      </w:pPr>
      <w:r w:rsidRPr="00B47E52">
        <w:rPr>
          <w:rFonts w:ascii="Times New Roman" w:hAnsi="Times New Roman" w:cs="Times New Roman"/>
          <w:b/>
        </w:rPr>
        <w:lastRenderedPageBreak/>
        <w:t>ATTACHMENT A</w:t>
      </w:r>
    </w:p>
    <w:p w14:paraId="17172C4F" w14:textId="77777777" w:rsidR="008A1E61" w:rsidRPr="00496354" w:rsidRDefault="008A1E61" w:rsidP="008A1E61">
      <w:pPr>
        <w:rPr>
          <w:rFonts w:ascii="Times New Roman" w:hAnsi="Times New Roman" w:cs="Times New Roman"/>
          <w:b/>
          <w:sz w:val="26"/>
          <w:szCs w:val="26"/>
        </w:rPr>
      </w:pPr>
      <w:r w:rsidRPr="00496354">
        <w:rPr>
          <w:rFonts w:ascii="Times New Roman" w:hAnsi="Times New Roman" w:cs="Times New Roman"/>
          <w:b/>
          <w:sz w:val="26"/>
          <w:szCs w:val="26"/>
        </w:rPr>
        <w:t>Notes on clauses</w:t>
      </w:r>
    </w:p>
    <w:p w14:paraId="6F0B8846" w14:textId="77777777" w:rsidR="008A1E61" w:rsidRDefault="008A1E61" w:rsidP="008A1E61">
      <w:pPr>
        <w:rPr>
          <w:rFonts w:ascii="Times New Roman" w:hAnsi="Times New Roman" w:cs="Times New Roman"/>
          <w:b/>
        </w:rPr>
      </w:pPr>
      <w:r>
        <w:rPr>
          <w:rFonts w:ascii="Times New Roman" w:hAnsi="Times New Roman" w:cs="Times New Roman"/>
          <w:b/>
        </w:rPr>
        <w:t>Operative clauses</w:t>
      </w:r>
    </w:p>
    <w:p w14:paraId="2877C8C5" w14:textId="77777777" w:rsidR="00ED4917" w:rsidRDefault="00ED4917" w:rsidP="008A1E61">
      <w:pPr>
        <w:rPr>
          <w:rFonts w:ascii="Times New Roman" w:hAnsi="Times New Roman" w:cs="Times New Roman"/>
        </w:rPr>
      </w:pPr>
      <w:r>
        <w:rPr>
          <w:rFonts w:ascii="Times New Roman" w:hAnsi="Times New Roman" w:cs="Times New Roman"/>
          <w:b/>
        </w:rPr>
        <w:t>Clause 1</w:t>
      </w:r>
      <w:r>
        <w:rPr>
          <w:rFonts w:ascii="Times New Roman" w:hAnsi="Times New Roman" w:cs="Times New Roman"/>
        </w:rPr>
        <w:t xml:space="preserve"> sets out the name of the Amendment Determination.</w:t>
      </w:r>
    </w:p>
    <w:p w14:paraId="165DE371" w14:textId="77777777" w:rsidR="00ED4917" w:rsidRDefault="00ED4917" w:rsidP="008A1E61">
      <w:pPr>
        <w:rPr>
          <w:rFonts w:ascii="Times New Roman" w:hAnsi="Times New Roman" w:cs="Times New Roman"/>
        </w:rPr>
      </w:pPr>
      <w:r>
        <w:rPr>
          <w:rFonts w:ascii="Times New Roman" w:hAnsi="Times New Roman" w:cs="Times New Roman"/>
          <w:b/>
        </w:rPr>
        <w:t>Clause 2</w:t>
      </w:r>
      <w:r>
        <w:rPr>
          <w:rFonts w:ascii="Times New Roman" w:hAnsi="Times New Roman" w:cs="Times New Roman"/>
        </w:rPr>
        <w:t xml:space="preserve"> provides that the Amendment Determination commences on the day after registration.</w:t>
      </w:r>
    </w:p>
    <w:p w14:paraId="2AEB3088" w14:textId="77777777" w:rsidR="00ED4917" w:rsidRDefault="00ED4917" w:rsidP="008A1E61">
      <w:pPr>
        <w:rPr>
          <w:rFonts w:ascii="Times New Roman" w:hAnsi="Times New Roman" w:cs="Times New Roman"/>
        </w:rPr>
      </w:pPr>
      <w:r>
        <w:rPr>
          <w:rFonts w:ascii="Times New Roman" w:hAnsi="Times New Roman" w:cs="Times New Roman"/>
          <w:b/>
        </w:rPr>
        <w:t>Clause 3</w:t>
      </w:r>
      <w:r>
        <w:rPr>
          <w:rFonts w:ascii="Times New Roman" w:hAnsi="Times New Roman" w:cs="Times New Roman"/>
        </w:rPr>
        <w:t xml:space="preserve"> specifies the authority for making the Amendment Determination.</w:t>
      </w:r>
    </w:p>
    <w:p w14:paraId="1BB19A04" w14:textId="77777777" w:rsidR="00ED4917" w:rsidRDefault="00ED4917" w:rsidP="008A1E61">
      <w:pPr>
        <w:rPr>
          <w:rFonts w:ascii="Times New Roman" w:hAnsi="Times New Roman" w:cs="Times New Roman"/>
        </w:rPr>
      </w:pPr>
      <w:r>
        <w:rPr>
          <w:rFonts w:ascii="Times New Roman" w:hAnsi="Times New Roman" w:cs="Times New Roman"/>
          <w:b/>
        </w:rPr>
        <w:t>Clause 4</w:t>
      </w:r>
      <w:r>
        <w:rPr>
          <w:rFonts w:ascii="Times New Roman" w:hAnsi="Times New Roman" w:cs="Times New Roman"/>
        </w:rPr>
        <w:t xml:space="preserve"> provides that Schedules 1 and 2 amend the Determination.</w:t>
      </w:r>
    </w:p>
    <w:p w14:paraId="076E3F4F" w14:textId="77777777" w:rsidR="00ED4917" w:rsidRPr="00ED4917" w:rsidRDefault="00ED4917" w:rsidP="008A1E61">
      <w:pPr>
        <w:rPr>
          <w:rFonts w:ascii="Times New Roman" w:hAnsi="Times New Roman" w:cs="Times New Roman"/>
          <w:b/>
        </w:rPr>
      </w:pPr>
      <w:r>
        <w:rPr>
          <w:rFonts w:ascii="Times New Roman" w:hAnsi="Times New Roman" w:cs="Times New Roman"/>
          <w:b/>
        </w:rPr>
        <w:t>Schedule 1</w:t>
      </w:r>
    </w:p>
    <w:p w14:paraId="2B7F617D" w14:textId="77777777" w:rsidR="00ED4917" w:rsidRDefault="00ED4917" w:rsidP="008A1E61">
      <w:pPr>
        <w:rPr>
          <w:rFonts w:ascii="Times New Roman" w:hAnsi="Times New Roman" w:cs="Times New Roman"/>
        </w:rPr>
      </w:pPr>
      <w:r>
        <w:rPr>
          <w:rFonts w:ascii="Times New Roman" w:hAnsi="Times New Roman" w:cs="Times New Roman"/>
          <w:b/>
        </w:rPr>
        <w:t xml:space="preserve">Item 1 of Schedule 1 </w:t>
      </w:r>
      <w:r>
        <w:rPr>
          <w:rFonts w:ascii="Times New Roman" w:hAnsi="Times New Roman" w:cs="Times New Roman"/>
        </w:rPr>
        <w:t>inserts a new clause 112B. Clause 112B describes new functions conferred on the Commissioner for the purposes of giving effect to the i</w:t>
      </w:r>
      <w:r w:rsidR="00E3774D">
        <w:rPr>
          <w:rFonts w:ascii="Times New Roman" w:hAnsi="Times New Roman" w:cs="Times New Roman"/>
        </w:rPr>
        <w:t xml:space="preserve">ndependent </w:t>
      </w:r>
      <w:r w:rsidR="00EA6AD0">
        <w:rPr>
          <w:rFonts w:ascii="Times New Roman" w:hAnsi="Times New Roman" w:cs="Times New Roman"/>
        </w:rPr>
        <w:t xml:space="preserve">parliamentary workplace </w:t>
      </w:r>
      <w:r w:rsidR="00E3774D">
        <w:rPr>
          <w:rFonts w:ascii="Times New Roman" w:hAnsi="Times New Roman" w:cs="Times New Roman"/>
        </w:rPr>
        <w:t xml:space="preserve">complaints mechanism (the </w:t>
      </w:r>
      <w:r w:rsidR="00E3774D">
        <w:rPr>
          <w:rFonts w:ascii="Times New Roman" w:hAnsi="Times New Roman" w:cs="Times New Roman"/>
          <w:b/>
        </w:rPr>
        <w:t>mechanism</w:t>
      </w:r>
      <w:r w:rsidR="00E3774D">
        <w:rPr>
          <w:rFonts w:ascii="Times New Roman" w:hAnsi="Times New Roman" w:cs="Times New Roman"/>
        </w:rPr>
        <w:t xml:space="preserve">); provides for the scope of the mechanism, and; defines </w:t>
      </w:r>
      <w:r w:rsidR="00FD4003">
        <w:rPr>
          <w:rFonts w:ascii="Times New Roman" w:hAnsi="Times New Roman" w:cs="Times New Roman"/>
        </w:rPr>
        <w:t>MOP(S)</w:t>
      </w:r>
      <w:r w:rsidR="00E3774D">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w:t>
      </w:r>
      <w:r w:rsidR="00E3774D">
        <w:rPr>
          <w:rFonts w:ascii="Times New Roman" w:hAnsi="Times New Roman" w:cs="Times New Roman"/>
        </w:rPr>
        <w:t>, parliamentarian and serious incident.</w:t>
      </w:r>
    </w:p>
    <w:p w14:paraId="50CBBD32" w14:textId="77777777" w:rsidR="00873733" w:rsidRDefault="007E3564" w:rsidP="008A1E61">
      <w:pPr>
        <w:rPr>
          <w:rFonts w:ascii="Times New Roman" w:hAnsi="Times New Roman" w:cs="Times New Roman"/>
        </w:rPr>
      </w:pPr>
      <w:r>
        <w:rPr>
          <w:rFonts w:ascii="Times New Roman" w:hAnsi="Times New Roman" w:cs="Times New Roman"/>
        </w:rPr>
        <w:t>Subc</w:t>
      </w:r>
      <w:r w:rsidR="00873733">
        <w:rPr>
          <w:rFonts w:ascii="Times New Roman" w:hAnsi="Times New Roman" w:cs="Times New Roman"/>
        </w:rPr>
        <w:t xml:space="preserve">lause </w:t>
      </w:r>
      <w:proofErr w:type="gramStart"/>
      <w:r w:rsidR="00873733">
        <w:rPr>
          <w:rFonts w:ascii="Times New Roman" w:hAnsi="Times New Roman" w:cs="Times New Roman"/>
        </w:rPr>
        <w:t>1</w:t>
      </w:r>
      <w:r w:rsidR="0094436C">
        <w:rPr>
          <w:rFonts w:ascii="Times New Roman" w:hAnsi="Times New Roman" w:cs="Times New Roman"/>
        </w:rPr>
        <w:t>1</w:t>
      </w:r>
      <w:r w:rsidR="00873733">
        <w:rPr>
          <w:rFonts w:ascii="Times New Roman" w:hAnsi="Times New Roman" w:cs="Times New Roman"/>
        </w:rPr>
        <w:t>2B</w:t>
      </w:r>
      <w:r>
        <w:rPr>
          <w:rFonts w:ascii="Times New Roman" w:hAnsi="Times New Roman" w:cs="Times New Roman"/>
        </w:rPr>
        <w:t>(</w:t>
      </w:r>
      <w:proofErr w:type="gramEnd"/>
      <w:r>
        <w:rPr>
          <w:rFonts w:ascii="Times New Roman" w:hAnsi="Times New Roman" w:cs="Times New Roman"/>
        </w:rPr>
        <w:t>1) confers functions on the Parliamentary Service Commissioner under paragraph 40(1)(d) of the Act.</w:t>
      </w:r>
    </w:p>
    <w:p w14:paraId="3325F743" w14:textId="77777777" w:rsidR="002118E0" w:rsidRDefault="00EB1DF3" w:rsidP="008A1E61">
      <w:pPr>
        <w:rPr>
          <w:rFonts w:ascii="Times New Roman" w:hAnsi="Times New Roman" w:cs="Times New Roman"/>
        </w:rPr>
      </w:pPr>
      <w:r>
        <w:rPr>
          <w:rFonts w:ascii="Times New Roman" w:hAnsi="Times New Roman" w:cs="Times New Roman"/>
        </w:rPr>
        <w:t xml:space="preserve">Subclause </w:t>
      </w:r>
      <w:proofErr w:type="gramStart"/>
      <w:r>
        <w:rPr>
          <w:rFonts w:ascii="Times New Roman" w:hAnsi="Times New Roman" w:cs="Times New Roman"/>
        </w:rPr>
        <w:t>112B(</w:t>
      </w:r>
      <w:proofErr w:type="gramEnd"/>
      <w:r>
        <w:rPr>
          <w:rFonts w:ascii="Times New Roman" w:hAnsi="Times New Roman" w:cs="Times New Roman"/>
        </w:rPr>
        <w:t xml:space="preserve">1)(a) </w:t>
      </w:r>
      <w:r w:rsidR="00CC3569">
        <w:rPr>
          <w:rFonts w:ascii="Times New Roman" w:hAnsi="Times New Roman" w:cs="Times New Roman"/>
        </w:rPr>
        <w:t>confers</w:t>
      </w:r>
      <w:r>
        <w:rPr>
          <w:rFonts w:ascii="Times New Roman" w:hAnsi="Times New Roman" w:cs="Times New Roman"/>
        </w:rPr>
        <w:t xml:space="preserve"> a function </w:t>
      </w:r>
      <w:r w:rsidR="002118E0">
        <w:rPr>
          <w:rFonts w:ascii="Times New Roman" w:hAnsi="Times New Roman" w:cs="Times New Roman"/>
        </w:rPr>
        <w:t>on</w:t>
      </w:r>
      <w:r>
        <w:rPr>
          <w:rFonts w:ascii="Times New Roman" w:hAnsi="Times New Roman" w:cs="Times New Roman"/>
        </w:rPr>
        <w:t xml:space="preserve"> the Parliamentary Service Commissioner to establish and maintain a </w:t>
      </w:r>
      <w:r w:rsidR="002118E0">
        <w:rPr>
          <w:rFonts w:ascii="Times New Roman" w:hAnsi="Times New Roman" w:cs="Times New Roman"/>
        </w:rPr>
        <w:t xml:space="preserve">complaints </w:t>
      </w:r>
      <w:r>
        <w:rPr>
          <w:rFonts w:ascii="Times New Roman" w:hAnsi="Times New Roman" w:cs="Times New Roman"/>
        </w:rPr>
        <w:t>mechanism</w:t>
      </w:r>
      <w:r w:rsidR="002118E0">
        <w:rPr>
          <w:rFonts w:ascii="Times New Roman" w:hAnsi="Times New Roman" w:cs="Times New Roman"/>
        </w:rPr>
        <w:t>. The mechanism will:</w:t>
      </w:r>
    </w:p>
    <w:p w14:paraId="528BA5D9" w14:textId="77777777" w:rsidR="002F475D" w:rsidRDefault="002F475D" w:rsidP="008D4A8E">
      <w:pPr>
        <w:pStyle w:val="ListParagraph"/>
        <w:numPr>
          <w:ilvl w:val="0"/>
          <w:numId w:val="4"/>
        </w:numPr>
        <w:rPr>
          <w:rFonts w:ascii="Times New Roman" w:hAnsi="Times New Roman" w:cs="Times New Roman"/>
        </w:rPr>
      </w:pPr>
      <w:r>
        <w:rPr>
          <w:rFonts w:ascii="Times New Roman" w:hAnsi="Times New Roman" w:cs="Times New Roman"/>
        </w:rPr>
        <w:t>review</w:t>
      </w:r>
      <w:r w:rsidRPr="008D4A8E">
        <w:rPr>
          <w:rFonts w:ascii="Times New Roman" w:hAnsi="Times New Roman" w:cs="Times New Roman"/>
        </w:rPr>
        <w:t xml:space="preserve"> and mak</w:t>
      </w:r>
      <w:r>
        <w:rPr>
          <w:rFonts w:ascii="Times New Roman" w:hAnsi="Times New Roman" w:cs="Times New Roman"/>
        </w:rPr>
        <w:t>e</w:t>
      </w:r>
      <w:r w:rsidRPr="008D4A8E">
        <w:rPr>
          <w:rFonts w:ascii="Times New Roman" w:hAnsi="Times New Roman" w:cs="Times New Roman"/>
        </w:rPr>
        <w:t xml:space="preserve"> recommendations in relation to complaints about serious incidents involving </w:t>
      </w:r>
      <w:r>
        <w:rPr>
          <w:rFonts w:ascii="Times New Roman" w:hAnsi="Times New Roman" w:cs="Times New Roman"/>
        </w:rPr>
        <w:t>MOP(S)</w:t>
      </w:r>
      <w:r w:rsidRPr="008D4A8E">
        <w:rPr>
          <w:rFonts w:ascii="Times New Roman" w:hAnsi="Times New Roman" w:cs="Times New Roman"/>
        </w:rPr>
        <w:t xml:space="preserve"> </w:t>
      </w:r>
      <w:r>
        <w:rPr>
          <w:rFonts w:ascii="Times New Roman" w:hAnsi="Times New Roman" w:cs="Times New Roman"/>
        </w:rPr>
        <w:t>Act employees</w:t>
      </w:r>
      <w:r w:rsidRPr="008D4A8E">
        <w:rPr>
          <w:rFonts w:ascii="Times New Roman" w:hAnsi="Times New Roman" w:cs="Times New Roman"/>
        </w:rPr>
        <w:t>, parliamentarians, or both</w:t>
      </w:r>
      <w:r>
        <w:rPr>
          <w:rFonts w:ascii="Times New Roman" w:hAnsi="Times New Roman" w:cs="Times New Roman"/>
        </w:rPr>
        <w:t>; and</w:t>
      </w:r>
    </w:p>
    <w:p w14:paraId="52664DDF" w14:textId="77777777" w:rsidR="002118E0" w:rsidRDefault="002118E0" w:rsidP="008D4A8E">
      <w:pPr>
        <w:pStyle w:val="ListParagraph"/>
        <w:numPr>
          <w:ilvl w:val="0"/>
          <w:numId w:val="4"/>
        </w:numPr>
        <w:rPr>
          <w:rFonts w:ascii="Times New Roman" w:hAnsi="Times New Roman" w:cs="Times New Roman"/>
        </w:rPr>
      </w:pPr>
      <w:r>
        <w:rPr>
          <w:rFonts w:ascii="Times New Roman" w:hAnsi="Times New Roman" w:cs="Times New Roman"/>
        </w:rPr>
        <w:t>provide</w:t>
      </w:r>
      <w:r w:rsidRPr="000F3246">
        <w:rPr>
          <w:rFonts w:ascii="Times New Roman" w:hAnsi="Times New Roman" w:cs="Times New Roman"/>
        </w:rPr>
        <w:t xml:space="preserve"> support to </w:t>
      </w:r>
      <w:r w:rsidR="00FD4003">
        <w:rPr>
          <w:rFonts w:ascii="Times New Roman" w:hAnsi="Times New Roman" w:cs="Times New Roman"/>
        </w:rPr>
        <w:t>MOP(S)</w:t>
      </w:r>
      <w:r w:rsidRPr="000F3246">
        <w:rPr>
          <w:rFonts w:ascii="Times New Roman" w:hAnsi="Times New Roman" w:cs="Times New Roman"/>
        </w:rPr>
        <w:t xml:space="preserve"> </w:t>
      </w:r>
      <w:r w:rsidR="00F56130">
        <w:rPr>
          <w:rFonts w:ascii="Times New Roman" w:hAnsi="Times New Roman" w:cs="Times New Roman"/>
        </w:rPr>
        <w:t xml:space="preserve">Act </w:t>
      </w:r>
      <w:r w:rsidR="0037462D">
        <w:rPr>
          <w:rFonts w:ascii="Times New Roman" w:hAnsi="Times New Roman" w:cs="Times New Roman"/>
        </w:rPr>
        <w:t>employees</w:t>
      </w:r>
      <w:r w:rsidRPr="000F3246">
        <w:rPr>
          <w:rFonts w:ascii="Times New Roman" w:hAnsi="Times New Roman" w:cs="Times New Roman"/>
        </w:rPr>
        <w:t xml:space="preserve"> and parliamentarians in relation to serious incidents</w:t>
      </w:r>
      <w:r>
        <w:rPr>
          <w:rFonts w:ascii="Times New Roman" w:hAnsi="Times New Roman" w:cs="Times New Roman"/>
        </w:rPr>
        <w:t xml:space="preserve"> that occur </w:t>
      </w:r>
      <w:r w:rsidR="003D5838">
        <w:rPr>
          <w:rFonts w:ascii="Times New Roman" w:hAnsi="Times New Roman" w:cs="Times New Roman"/>
        </w:rPr>
        <w:t>in the course of their</w:t>
      </w:r>
      <w:r>
        <w:rPr>
          <w:rFonts w:ascii="Times New Roman" w:hAnsi="Times New Roman" w:cs="Times New Roman"/>
        </w:rPr>
        <w:t xml:space="preserve"> work</w:t>
      </w:r>
      <w:r w:rsidR="002F475D">
        <w:rPr>
          <w:rFonts w:ascii="Times New Roman" w:hAnsi="Times New Roman" w:cs="Times New Roman"/>
        </w:rPr>
        <w:t xml:space="preserve"> and other matters relating to work health and safety in the course of performing duties as a MOP(S) Act employee or parliamentarian</w:t>
      </w:r>
      <w:r w:rsidR="003D5838">
        <w:rPr>
          <w:rFonts w:ascii="Times New Roman" w:hAnsi="Times New Roman" w:cs="Times New Roman"/>
        </w:rPr>
        <w:t>;</w:t>
      </w:r>
    </w:p>
    <w:p w14:paraId="39C64E43" w14:textId="77777777" w:rsidR="00EB1DF3" w:rsidRDefault="00EB1DF3" w:rsidP="008A1E61">
      <w:pPr>
        <w:rPr>
          <w:rFonts w:ascii="Times New Roman" w:hAnsi="Times New Roman" w:cs="Times New Roman"/>
        </w:rPr>
      </w:pPr>
      <w:r>
        <w:rPr>
          <w:rFonts w:ascii="Times New Roman" w:hAnsi="Times New Roman" w:cs="Times New Roman"/>
        </w:rPr>
        <w:t>Subclause 112B(1)(b)</w:t>
      </w:r>
      <w:r w:rsidR="0032244B">
        <w:rPr>
          <w:rFonts w:ascii="Times New Roman" w:hAnsi="Times New Roman" w:cs="Times New Roman"/>
        </w:rPr>
        <w:t xml:space="preserve"> </w:t>
      </w:r>
      <w:r w:rsidR="00CC3569">
        <w:rPr>
          <w:rFonts w:ascii="Times New Roman" w:hAnsi="Times New Roman" w:cs="Times New Roman"/>
        </w:rPr>
        <w:t>confers</w:t>
      </w:r>
      <w:r w:rsidR="0032244B">
        <w:rPr>
          <w:rFonts w:ascii="Times New Roman" w:hAnsi="Times New Roman" w:cs="Times New Roman"/>
        </w:rPr>
        <w:t xml:space="preserve"> a function </w:t>
      </w:r>
      <w:r w:rsidR="002118E0">
        <w:rPr>
          <w:rFonts w:ascii="Times New Roman" w:hAnsi="Times New Roman" w:cs="Times New Roman"/>
        </w:rPr>
        <w:t>on</w:t>
      </w:r>
      <w:r w:rsidR="0032244B">
        <w:rPr>
          <w:rFonts w:ascii="Times New Roman" w:hAnsi="Times New Roman" w:cs="Times New Roman"/>
        </w:rPr>
        <w:t xml:space="preserve"> the Parliamentary Service Commissioner to provide  education</w:t>
      </w:r>
      <w:r w:rsidR="003D5838">
        <w:rPr>
          <w:rFonts w:ascii="Times New Roman" w:hAnsi="Times New Roman" w:cs="Times New Roman"/>
        </w:rPr>
        <w:t xml:space="preserve"> and information</w:t>
      </w:r>
      <w:r w:rsidR="0032244B">
        <w:rPr>
          <w:rFonts w:ascii="Times New Roman" w:hAnsi="Times New Roman" w:cs="Times New Roman"/>
        </w:rPr>
        <w:t xml:space="preserve"> in relation to the</w:t>
      </w:r>
      <w:r w:rsidR="002118E0">
        <w:rPr>
          <w:rFonts w:ascii="Times New Roman" w:hAnsi="Times New Roman" w:cs="Times New Roman"/>
        </w:rPr>
        <w:t xml:space="preserve"> complaints</w:t>
      </w:r>
      <w:r w:rsidR="0032244B">
        <w:rPr>
          <w:rFonts w:ascii="Times New Roman" w:hAnsi="Times New Roman" w:cs="Times New Roman"/>
        </w:rPr>
        <w:t xml:space="preserve"> mechanism; and serious incidents and other matters relating to work health and safety.</w:t>
      </w:r>
    </w:p>
    <w:p w14:paraId="07B5298C" w14:textId="77777777" w:rsidR="0032244B" w:rsidRDefault="0032244B" w:rsidP="008A1E61">
      <w:pPr>
        <w:rPr>
          <w:rFonts w:ascii="Times New Roman" w:hAnsi="Times New Roman" w:cs="Times New Roman"/>
        </w:rPr>
      </w:pPr>
      <w:r>
        <w:rPr>
          <w:rFonts w:ascii="Times New Roman" w:hAnsi="Times New Roman" w:cs="Times New Roman"/>
        </w:rPr>
        <w:t xml:space="preserve">Subclause </w:t>
      </w:r>
      <w:proofErr w:type="gramStart"/>
      <w:r>
        <w:rPr>
          <w:rFonts w:ascii="Times New Roman" w:hAnsi="Times New Roman" w:cs="Times New Roman"/>
        </w:rPr>
        <w:t>112B(</w:t>
      </w:r>
      <w:proofErr w:type="gramEnd"/>
      <w:r>
        <w:rPr>
          <w:rFonts w:ascii="Times New Roman" w:hAnsi="Times New Roman" w:cs="Times New Roman"/>
        </w:rPr>
        <w:t xml:space="preserve">1)(c) confers a function </w:t>
      </w:r>
      <w:r w:rsidR="0042092A">
        <w:rPr>
          <w:rFonts w:ascii="Times New Roman" w:hAnsi="Times New Roman" w:cs="Times New Roman"/>
        </w:rPr>
        <w:t>on</w:t>
      </w:r>
      <w:r>
        <w:rPr>
          <w:rFonts w:ascii="Times New Roman" w:hAnsi="Times New Roman" w:cs="Times New Roman"/>
        </w:rPr>
        <w:t xml:space="preserve"> the Parliamentary Service Commissioner </w:t>
      </w:r>
      <w:r w:rsidR="0042092A">
        <w:rPr>
          <w:rFonts w:ascii="Times New Roman" w:hAnsi="Times New Roman" w:cs="Times New Roman"/>
        </w:rPr>
        <w:t xml:space="preserve">ensure </w:t>
      </w:r>
      <w:r>
        <w:rPr>
          <w:rFonts w:ascii="Times New Roman" w:hAnsi="Times New Roman" w:cs="Times New Roman"/>
        </w:rPr>
        <w:t xml:space="preserve">the independence and quality of the </w:t>
      </w:r>
      <w:r w:rsidR="0042092A">
        <w:rPr>
          <w:rFonts w:ascii="Times New Roman" w:hAnsi="Times New Roman" w:cs="Times New Roman"/>
        </w:rPr>
        <w:t xml:space="preserve">complaints </w:t>
      </w:r>
      <w:r>
        <w:rPr>
          <w:rFonts w:ascii="Times New Roman" w:hAnsi="Times New Roman" w:cs="Times New Roman"/>
        </w:rPr>
        <w:t>mechanism.</w:t>
      </w:r>
    </w:p>
    <w:p w14:paraId="4C07A518" w14:textId="7F3FEDDD" w:rsidR="00CC3569" w:rsidRDefault="0032244B" w:rsidP="008D4A8E">
      <w:pPr>
        <w:rPr>
          <w:rFonts w:ascii="Times New Roman" w:hAnsi="Times New Roman" w:cs="Times New Roman"/>
        </w:rPr>
      </w:pPr>
      <w:r>
        <w:rPr>
          <w:rFonts w:ascii="Times New Roman" w:hAnsi="Times New Roman" w:cs="Times New Roman"/>
        </w:rPr>
        <w:t>Subclause 112B(1)(d)</w:t>
      </w:r>
      <w:r w:rsidR="006545EE">
        <w:rPr>
          <w:rFonts w:ascii="Times New Roman" w:hAnsi="Times New Roman" w:cs="Times New Roman"/>
        </w:rPr>
        <w:t xml:space="preserve"> </w:t>
      </w:r>
      <w:r w:rsidR="00CC3569">
        <w:rPr>
          <w:rFonts w:ascii="Times New Roman" w:hAnsi="Times New Roman" w:cs="Times New Roman"/>
        </w:rPr>
        <w:t>confers</w:t>
      </w:r>
      <w:r w:rsidR="006545EE">
        <w:rPr>
          <w:rFonts w:ascii="Times New Roman" w:hAnsi="Times New Roman" w:cs="Times New Roman"/>
        </w:rPr>
        <w:t xml:space="preserve"> a function for the Parliamentary Service Commissioner</w:t>
      </w:r>
      <w:r w:rsidR="00CC3569">
        <w:rPr>
          <w:rFonts w:ascii="Times New Roman" w:hAnsi="Times New Roman" w:cs="Times New Roman"/>
        </w:rPr>
        <w:t>,</w:t>
      </w:r>
      <w:r w:rsidR="00627CAB">
        <w:rPr>
          <w:rFonts w:ascii="Times New Roman" w:hAnsi="Times New Roman" w:cs="Times New Roman"/>
        </w:rPr>
        <w:t xml:space="preserve"> that where</w:t>
      </w:r>
      <w:r w:rsidR="00CC3569">
        <w:rPr>
          <w:rFonts w:ascii="Times New Roman" w:hAnsi="Times New Roman" w:cs="Times New Roman"/>
        </w:rPr>
        <w:t xml:space="preserve"> a complaint is upheld following </w:t>
      </w:r>
      <w:r w:rsidR="003D5838">
        <w:rPr>
          <w:rFonts w:ascii="Times New Roman" w:hAnsi="Times New Roman" w:cs="Times New Roman"/>
        </w:rPr>
        <w:t>review</w:t>
      </w:r>
      <w:r w:rsidR="00CC3569">
        <w:rPr>
          <w:rFonts w:ascii="Times New Roman" w:hAnsi="Times New Roman" w:cs="Times New Roman"/>
        </w:rPr>
        <w:t>,</w:t>
      </w:r>
      <w:r w:rsidR="006545EE">
        <w:rPr>
          <w:rFonts w:ascii="Times New Roman" w:hAnsi="Times New Roman" w:cs="Times New Roman"/>
        </w:rPr>
        <w:t xml:space="preserve"> </w:t>
      </w:r>
      <w:r w:rsidR="002F475D">
        <w:rPr>
          <w:rFonts w:ascii="Times New Roman" w:hAnsi="Times New Roman" w:cs="Times New Roman"/>
        </w:rPr>
        <w:t>to</w:t>
      </w:r>
      <w:r w:rsidR="00627CAB">
        <w:rPr>
          <w:rFonts w:ascii="Times New Roman" w:hAnsi="Times New Roman" w:cs="Times New Roman"/>
        </w:rPr>
        <w:t xml:space="preserve"> </w:t>
      </w:r>
      <w:r w:rsidR="006545EE">
        <w:rPr>
          <w:rFonts w:ascii="Times New Roman" w:hAnsi="Times New Roman" w:cs="Times New Roman"/>
        </w:rPr>
        <w:t>receive a re</w:t>
      </w:r>
      <w:r w:rsidR="00CC3569">
        <w:rPr>
          <w:rFonts w:ascii="Times New Roman" w:hAnsi="Times New Roman" w:cs="Times New Roman"/>
        </w:rPr>
        <w:t xml:space="preserve">port of the </w:t>
      </w:r>
      <w:r w:rsidR="003D5838">
        <w:rPr>
          <w:rFonts w:ascii="Times New Roman" w:hAnsi="Times New Roman" w:cs="Times New Roman"/>
        </w:rPr>
        <w:t xml:space="preserve">review </w:t>
      </w:r>
      <w:r w:rsidR="00627CAB">
        <w:rPr>
          <w:rFonts w:ascii="Times New Roman" w:hAnsi="Times New Roman" w:cs="Times New Roman"/>
        </w:rPr>
        <w:t>and where the report makes recommendations in relation to parliamentarian, subclause 112B(1)(e) confers a function for the Commissioner to engage with a parliamentarian in relation to implementing any recommendations.</w:t>
      </w:r>
      <w:r w:rsidR="00085731" w:rsidDel="00627CAB">
        <w:rPr>
          <w:rFonts w:ascii="Times New Roman" w:hAnsi="Times New Roman" w:cs="Times New Roman"/>
        </w:rPr>
        <w:t xml:space="preserve"> </w:t>
      </w:r>
    </w:p>
    <w:p w14:paraId="5C555D43" w14:textId="77777777" w:rsidR="002118E0" w:rsidRDefault="00CC3569" w:rsidP="008A1E61">
      <w:pPr>
        <w:rPr>
          <w:rFonts w:ascii="Times New Roman" w:hAnsi="Times New Roman" w:cs="Times New Roman"/>
        </w:rPr>
      </w:pPr>
      <w:r>
        <w:rPr>
          <w:rFonts w:ascii="Times New Roman" w:hAnsi="Times New Roman" w:cs="Times New Roman"/>
        </w:rPr>
        <w:t xml:space="preserve">Subclause 112B(1)(f) confers a function </w:t>
      </w:r>
      <w:r w:rsidR="00E106CB">
        <w:rPr>
          <w:rFonts w:ascii="Times New Roman" w:hAnsi="Times New Roman" w:cs="Times New Roman"/>
        </w:rPr>
        <w:t>on</w:t>
      </w:r>
      <w:r>
        <w:rPr>
          <w:rFonts w:ascii="Times New Roman" w:hAnsi="Times New Roman" w:cs="Times New Roman"/>
        </w:rPr>
        <w:t xml:space="preserve"> the Parliamentary Service Commissioner</w:t>
      </w:r>
      <w:r w:rsidR="00E106CB">
        <w:rPr>
          <w:rFonts w:ascii="Times New Roman" w:hAnsi="Times New Roman" w:cs="Times New Roman"/>
        </w:rPr>
        <w:t xml:space="preserve"> that where </w:t>
      </w:r>
      <w:r>
        <w:rPr>
          <w:rFonts w:ascii="Times New Roman" w:hAnsi="Times New Roman" w:cs="Times New Roman"/>
        </w:rPr>
        <w:t>recommendations made</w:t>
      </w:r>
      <w:r w:rsidR="00E106CB">
        <w:rPr>
          <w:rFonts w:ascii="Times New Roman" w:hAnsi="Times New Roman" w:cs="Times New Roman"/>
        </w:rPr>
        <w:t xml:space="preserve"> </w:t>
      </w:r>
      <w:r>
        <w:rPr>
          <w:rFonts w:ascii="Times New Roman" w:hAnsi="Times New Roman" w:cs="Times New Roman"/>
        </w:rPr>
        <w:t>to a parliamentarian are not implemented</w:t>
      </w:r>
      <w:r w:rsidR="002F475D">
        <w:rPr>
          <w:rFonts w:ascii="Times New Roman" w:hAnsi="Times New Roman" w:cs="Times New Roman"/>
        </w:rPr>
        <w:t>,</w:t>
      </w:r>
      <w:r w:rsidR="00E106CB">
        <w:rPr>
          <w:rFonts w:ascii="Times New Roman" w:hAnsi="Times New Roman" w:cs="Times New Roman"/>
        </w:rPr>
        <w:t xml:space="preserve"> the Commissioner will </w:t>
      </w:r>
      <w:r>
        <w:rPr>
          <w:rFonts w:ascii="Times New Roman" w:hAnsi="Times New Roman" w:cs="Times New Roman"/>
        </w:rPr>
        <w:t>refer the report to the relevant Presiding Officer in accordance with any procedure</w:t>
      </w:r>
      <w:r w:rsidR="002F475D">
        <w:rPr>
          <w:rFonts w:ascii="Times New Roman" w:hAnsi="Times New Roman" w:cs="Times New Roman"/>
        </w:rPr>
        <w:t xml:space="preserve"> that applies under the mechanism</w:t>
      </w:r>
      <w:r>
        <w:rPr>
          <w:rFonts w:ascii="Times New Roman" w:hAnsi="Times New Roman" w:cs="Times New Roman"/>
        </w:rPr>
        <w:t>.</w:t>
      </w:r>
    </w:p>
    <w:p w14:paraId="51E7C17C" w14:textId="77777777" w:rsidR="00B20268" w:rsidRPr="002D4434" w:rsidRDefault="00B20268" w:rsidP="008A1E61">
      <w:pPr>
        <w:rPr>
          <w:rFonts w:ascii="Times New Roman" w:hAnsi="Times New Roman" w:cs="Times New Roman"/>
        </w:rPr>
      </w:pPr>
      <w:r w:rsidRPr="002D4434">
        <w:rPr>
          <w:rFonts w:ascii="Times New Roman" w:hAnsi="Times New Roman" w:cs="Times New Roman"/>
        </w:rPr>
        <w:t xml:space="preserve">Subclause </w:t>
      </w:r>
      <w:proofErr w:type="gramStart"/>
      <w:r w:rsidRPr="002D4434">
        <w:rPr>
          <w:rFonts w:ascii="Times New Roman" w:hAnsi="Times New Roman" w:cs="Times New Roman"/>
        </w:rPr>
        <w:t>122B(</w:t>
      </w:r>
      <w:proofErr w:type="gramEnd"/>
      <w:r w:rsidRPr="002D4434">
        <w:rPr>
          <w:rFonts w:ascii="Times New Roman" w:hAnsi="Times New Roman" w:cs="Times New Roman"/>
        </w:rPr>
        <w:t>2)</w:t>
      </w:r>
      <w:r w:rsidR="00391DF7">
        <w:rPr>
          <w:rFonts w:ascii="Times New Roman" w:hAnsi="Times New Roman" w:cs="Times New Roman"/>
        </w:rPr>
        <w:t>(a)</w:t>
      </w:r>
      <w:r w:rsidRPr="002D4434">
        <w:rPr>
          <w:rFonts w:ascii="Times New Roman" w:hAnsi="Times New Roman" w:cs="Times New Roman"/>
        </w:rPr>
        <w:t xml:space="preserve"> provides that the mechanism will </w:t>
      </w:r>
      <w:r w:rsidR="0076069D">
        <w:rPr>
          <w:rFonts w:ascii="Times New Roman" w:hAnsi="Times New Roman" w:cs="Times New Roman"/>
        </w:rPr>
        <w:t>not</w:t>
      </w:r>
      <w:r w:rsidRPr="002D4434">
        <w:rPr>
          <w:rFonts w:ascii="Times New Roman" w:hAnsi="Times New Roman" w:cs="Times New Roman"/>
        </w:rPr>
        <w:t xml:space="preserve"> </w:t>
      </w:r>
      <w:r w:rsidR="003D5838" w:rsidRPr="002D4434">
        <w:rPr>
          <w:rFonts w:ascii="Times New Roman" w:hAnsi="Times New Roman" w:cs="Times New Roman"/>
        </w:rPr>
        <w:t xml:space="preserve">review </w:t>
      </w:r>
      <w:r w:rsidR="003935E4">
        <w:rPr>
          <w:rFonts w:ascii="Times New Roman" w:hAnsi="Times New Roman" w:cs="Times New Roman"/>
        </w:rPr>
        <w:t>complaints</w:t>
      </w:r>
      <w:r w:rsidR="003935E4" w:rsidRPr="002D4434">
        <w:rPr>
          <w:rFonts w:ascii="Times New Roman" w:hAnsi="Times New Roman" w:cs="Times New Roman"/>
        </w:rPr>
        <w:t xml:space="preserve"> </w:t>
      </w:r>
      <w:r w:rsidRPr="002D4434">
        <w:rPr>
          <w:rFonts w:ascii="Times New Roman" w:hAnsi="Times New Roman" w:cs="Times New Roman"/>
        </w:rPr>
        <w:t xml:space="preserve">that have occurred </w:t>
      </w:r>
      <w:r w:rsidR="00893167">
        <w:rPr>
          <w:rFonts w:ascii="Times New Roman" w:hAnsi="Times New Roman" w:cs="Times New Roman"/>
        </w:rPr>
        <w:t>before</w:t>
      </w:r>
      <w:r w:rsidR="00893167" w:rsidRPr="002D4434">
        <w:rPr>
          <w:rFonts w:ascii="Times New Roman" w:hAnsi="Times New Roman" w:cs="Times New Roman"/>
        </w:rPr>
        <w:t xml:space="preserve"> </w:t>
      </w:r>
      <w:r w:rsidRPr="002D4434">
        <w:rPr>
          <w:rFonts w:ascii="Times New Roman" w:hAnsi="Times New Roman" w:cs="Times New Roman"/>
        </w:rPr>
        <w:t>18 Ma</w:t>
      </w:r>
      <w:r w:rsidR="00B70B0F" w:rsidRPr="002D4434">
        <w:rPr>
          <w:rFonts w:ascii="Times New Roman" w:hAnsi="Times New Roman" w:cs="Times New Roman"/>
        </w:rPr>
        <w:t>y 2019</w:t>
      </w:r>
      <w:r w:rsidR="00391DF7">
        <w:rPr>
          <w:rFonts w:ascii="Times New Roman" w:hAnsi="Times New Roman" w:cs="Times New Roman"/>
        </w:rPr>
        <w:t>. Subclause 122B(2)(b) provides that the mechanism will not review</w:t>
      </w:r>
      <w:r w:rsidR="00893167">
        <w:rPr>
          <w:rFonts w:ascii="Times New Roman" w:hAnsi="Times New Roman" w:cs="Times New Roman"/>
        </w:rPr>
        <w:t xml:space="preserve"> </w:t>
      </w:r>
      <w:r w:rsidR="00486598">
        <w:rPr>
          <w:rFonts w:ascii="Times New Roman" w:hAnsi="Times New Roman" w:cs="Times New Roman"/>
        </w:rPr>
        <w:t>complaints</w:t>
      </w:r>
      <w:r w:rsidR="00893167">
        <w:rPr>
          <w:rFonts w:ascii="Times New Roman" w:hAnsi="Times New Roman" w:cs="Times New Roman"/>
        </w:rPr>
        <w:t xml:space="preserve"> made after the person who is the subject of the complaint has ceased to be a MOP(S) Act employee or parliamentarian</w:t>
      </w:r>
      <w:r w:rsidR="00391DF7">
        <w:rPr>
          <w:rFonts w:ascii="Times New Roman" w:hAnsi="Times New Roman" w:cs="Times New Roman"/>
        </w:rPr>
        <w:t>. Subclause</w:t>
      </w:r>
      <w:r w:rsidR="002F475D">
        <w:rPr>
          <w:rFonts w:ascii="Times New Roman" w:hAnsi="Times New Roman" w:cs="Times New Roman"/>
        </w:rPr>
        <w:t xml:space="preserve"> 112B</w:t>
      </w:r>
      <w:r w:rsidR="00391DF7">
        <w:rPr>
          <w:rFonts w:ascii="Times New Roman" w:hAnsi="Times New Roman" w:cs="Times New Roman"/>
        </w:rPr>
        <w:t>(2)(</w:t>
      </w:r>
      <w:r w:rsidR="003935E4">
        <w:rPr>
          <w:rFonts w:ascii="Times New Roman" w:hAnsi="Times New Roman" w:cs="Times New Roman"/>
        </w:rPr>
        <w:t>c</w:t>
      </w:r>
      <w:r w:rsidR="00391DF7">
        <w:rPr>
          <w:rFonts w:ascii="Times New Roman" w:hAnsi="Times New Roman" w:cs="Times New Roman"/>
        </w:rPr>
        <w:t>) provides that the mechanism will not review</w:t>
      </w:r>
      <w:r w:rsidR="00893167">
        <w:rPr>
          <w:rFonts w:ascii="Times New Roman" w:hAnsi="Times New Roman" w:cs="Times New Roman"/>
        </w:rPr>
        <w:t xml:space="preserve"> </w:t>
      </w:r>
      <w:r w:rsidR="00486598">
        <w:rPr>
          <w:rFonts w:ascii="Times New Roman" w:hAnsi="Times New Roman" w:cs="Times New Roman"/>
        </w:rPr>
        <w:t>complaints</w:t>
      </w:r>
      <w:r w:rsidR="00893167">
        <w:rPr>
          <w:rFonts w:ascii="Times New Roman" w:hAnsi="Times New Roman" w:cs="Times New Roman"/>
        </w:rPr>
        <w:t xml:space="preserve"> made by a person about a serious incident that occurred while the person was a parliamentarian, if the person has ceased to be a parliamentarian</w:t>
      </w:r>
      <w:r w:rsidR="002F475D">
        <w:rPr>
          <w:rFonts w:ascii="Times New Roman" w:hAnsi="Times New Roman" w:cs="Times New Roman"/>
        </w:rPr>
        <w:t xml:space="preserve"> since the incident occurred</w:t>
      </w:r>
      <w:r w:rsidR="00893167">
        <w:rPr>
          <w:rFonts w:ascii="Times New Roman" w:hAnsi="Times New Roman" w:cs="Times New Roman"/>
        </w:rPr>
        <w:t xml:space="preserve">. </w:t>
      </w:r>
    </w:p>
    <w:p w14:paraId="42F68C56" w14:textId="77777777" w:rsidR="008B21EF" w:rsidRPr="002D4434" w:rsidRDefault="008B21EF" w:rsidP="008A1E61">
      <w:pPr>
        <w:rPr>
          <w:rFonts w:ascii="Times New Roman" w:hAnsi="Times New Roman" w:cs="Times New Roman"/>
        </w:rPr>
      </w:pPr>
      <w:r w:rsidRPr="002D4434">
        <w:rPr>
          <w:rFonts w:ascii="Times New Roman" w:hAnsi="Times New Roman" w:cs="Times New Roman"/>
        </w:rPr>
        <w:lastRenderedPageBreak/>
        <w:t xml:space="preserve">Subclause 112B (3) </w:t>
      </w:r>
      <w:r w:rsidR="00391DF7">
        <w:rPr>
          <w:rFonts w:ascii="Times New Roman" w:hAnsi="Times New Roman" w:cs="Times New Roman"/>
        </w:rPr>
        <w:t xml:space="preserve">clarifies the operation of subclause </w:t>
      </w:r>
      <w:proofErr w:type="gramStart"/>
      <w:r w:rsidR="00391DF7">
        <w:rPr>
          <w:rFonts w:ascii="Times New Roman" w:hAnsi="Times New Roman" w:cs="Times New Roman"/>
        </w:rPr>
        <w:t>112B(</w:t>
      </w:r>
      <w:proofErr w:type="gramEnd"/>
      <w:r w:rsidR="00391DF7">
        <w:rPr>
          <w:rFonts w:ascii="Times New Roman" w:hAnsi="Times New Roman" w:cs="Times New Roman"/>
        </w:rPr>
        <w:t>2)(c) by providing that subclause 112B(2)(c)</w:t>
      </w:r>
      <w:r w:rsidR="003935E4">
        <w:rPr>
          <w:rFonts w:ascii="Times New Roman" w:hAnsi="Times New Roman" w:cs="Times New Roman"/>
        </w:rPr>
        <w:t xml:space="preserve"> </w:t>
      </w:r>
      <w:r w:rsidR="00391DF7">
        <w:rPr>
          <w:rFonts w:ascii="Times New Roman" w:hAnsi="Times New Roman" w:cs="Times New Roman"/>
        </w:rPr>
        <w:t>applies regardless of whether the person is</w:t>
      </w:r>
      <w:r w:rsidRPr="002D4434">
        <w:rPr>
          <w:rFonts w:ascii="Times New Roman" w:hAnsi="Times New Roman" w:cs="Times New Roman"/>
        </w:rPr>
        <w:t xml:space="preserve"> subsequently re-elected or enter</w:t>
      </w:r>
      <w:r w:rsidR="00486598">
        <w:rPr>
          <w:rFonts w:ascii="Times New Roman" w:hAnsi="Times New Roman" w:cs="Times New Roman"/>
        </w:rPr>
        <w:t>s</w:t>
      </w:r>
      <w:r w:rsidRPr="002D4434">
        <w:rPr>
          <w:rFonts w:ascii="Times New Roman" w:hAnsi="Times New Roman" w:cs="Times New Roman"/>
        </w:rPr>
        <w:t xml:space="preserve"> into </w:t>
      </w:r>
      <w:r w:rsidR="00FD4003">
        <w:rPr>
          <w:rFonts w:ascii="Times New Roman" w:hAnsi="Times New Roman" w:cs="Times New Roman"/>
        </w:rPr>
        <w:t>MOP(S)</w:t>
      </w:r>
      <w:r w:rsidRPr="002D4434">
        <w:rPr>
          <w:rFonts w:ascii="Times New Roman" w:hAnsi="Times New Roman" w:cs="Times New Roman"/>
        </w:rPr>
        <w:t xml:space="preserve"> </w:t>
      </w:r>
      <w:r w:rsidR="00F56130">
        <w:rPr>
          <w:rFonts w:ascii="Times New Roman" w:hAnsi="Times New Roman" w:cs="Times New Roman"/>
        </w:rPr>
        <w:t xml:space="preserve">Act </w:t>
      </w:r>
      <w:r w:rsidRPr="002D4434">
        <w:rPr>
          <w:rFonts w:ascii="Times New Roman" w:hAnsi="Times New Roman" w:cs="Times New Roman"/>
        </w:rPr>
        <w:t>employment</w:t>
      </w:r>
      <w:r w:rsidR="00391DF7">
        <w:rPr>
          <w:rFonts w:ascii="Times New Roman" w:hAnsi="Times New Roman" w:cs="Times New Roman"/>
        </w:rPr>
        <w:t>. In this circumstance the person</w:t>
      </w:r>
      <w:r w:rsidRPr="002D4434">
        <w:rPr>
          <w:rFonts w:ascii="Times New Roman" w:hAnsi="Times New Roman" w:cs="Times New Roman"/>
        </w:rPr>
        <w:t xml:space="preserve"> will not be able to have a complaint related to a previous term </w:t>
      </w:r>
      <w:r w:rsidR="00D13C2C">
        <w:rPr>
          <w:rFonts w:ascii="Times New Roman" w:hAnsi="Times New Roman" w:cs="Times New Roman"/>
        </w:rPr>
        <w:t>reviewed</w:t>
      </w:r>
      <w:r w:rsidRPr="002D4434">
        <w:rPr>
          <w:rFonts w:ascii="Times New Roman" w:hAnsi="Times New Roman" w:cs="Times New Roman"/>
        </w:rPr>
        <w:t>.</w:t>
      </w:r>
    </w:p>
    <w:p w14:paraId="51B27473" w14:textId="5F8A9606" w:rsidR="00B20268" w:rsidRPr="002D4434" w:rsidRDefault="008B21EF" w:rsidP="008A1E61">
      <w:pPr>
        <w:rPr>
          <w:rFonts w:ascii="Times New Roman" w:hAnsi="Times New Roman" w:cs="Times New Roman"/>
        </w:rPr>
      </w:pPr>
      <w:r w:rsidRPr="002D4434">
        <w:rPr>
          <w:rFonts w:ascii="Times New Roman" w:hAnsi="Times New Roman" w:cs="Times New Roman"/>
        </w:rPr>
        <w:t xml:space="preserve">Subclause </w:t>
      </w:r>
      <w:proofErr w:type="gramStart"/>
      <w:r w:rsidRPr="002D4434">
        <w:rPr>
          <w:rFonts w:ascii="Times New Roman" w:hAnsi="Times New Roman" w:cs="Times New Roman"/>
        </w:rPr>
        <w:t>112B(</w:t>
      </w:r>
      <w:proofErr w:type="gramEnd"/>
      <w:r w:rsidR="006C32CB">
        <w:rPr>
          <w:rFonts w:ascii="Times New Roman" w:hAnsi="Times New Roman" w:cs="Times New Roman"/>
        </w:rPr>
        <w:t>4</w:t>
      </w:r>
      <w:r w:rsidR="00B20268" w:rsidRPr="002D4434">
        <w:rPr>
          <w:rFonts w:ascii="Times New Roman" w:hAnsi="Times New Roman" w:cs="Times New Roman"/>
        </w:rPr>
        <w:t>) defines:</w:t>
      </w:r>
    </w:p>
    <w:p w14:paraId="462A3040" w14:textId="77777777" w:rsidR="00B20268" w:rsidRPr="002D4434" w:rsidRDefault="00FD4003" w:rsidP="00B20268">
      <w:pPr>
        <w:pStyle w:val="ListParagraph"/>
        <w:numPr>
          <w:ilvl w:val="0"/>
          <w:numId w:val="5"/>
        </w:numPr>
        <w:rPr>
          <w:rFonts w:ascii="Times New Roman" w:hAnsi="Times New Roman" w:cs="Times New Roman"/>
        </w:rPr>
      </w:pPr>
      <w:r>
        <w:rPr>
          <w:rFonts w:ascii="Times New Roman" w:hAnsi="Times New Roman" w:cs="Times New Roman"/>
        </w:rPr>
        <w:t>MOP(S)</w:t>
      </w:r>
      <w:r w:rsidR="00F56130">
        <w:rPr>
          <w:rFonts w:ascii="Times New Roman" w:hAnsi="Times New Roman" w:cs="Times New Roman"/>
        </w:rPr>
        <w:t xml:space="preserve"> Act</w:t>
      </w:r>
      <w:r w:rsidR="00B20268" w:rsidRPr="002D4434">
        <w:rPr>
          <w:rFonts w:ascii="Times New Roman" w:hAnsi="Times New Roman" w:cs="Times New Roman"/>
        </w:rPr>
        <w:t xml:space="preserve"> </w:t>
      </w:r>
      <w:r>
        <w:rPr>
          <w:rFonts w:ascii="Times New Roman" w:hAnsi="Times New Roman" w:cs="Times New Roman"/>
        </w:rPr>
        <w:t>employee</w:t>
      </w:r>
      <w:r w:rsidR="00B20268" w:rsidRPr="002D4434">
        <w:rPr>
          <w:rFonts w:ascii="Times New Roman" w:hAnsi="Times New Roman" w:cs="Times New Roman"/>
        </w:rPr>
        <w:t xml:space="preserve"> as a person</w:t>
      </w:r>
      <w:r w:rsidR="00F56130">
        <w:rPr>
          <w:rFonts w:ascii="Times New Roman" w:hAnsi="Times New Roman" w:cs="Times New Roman"/>
        </w:rPr>
        <w:t xml:space="preserve"> </w:t>
      </w:r>
      <w:r w:rsidR="00B20268" w:rsidRPr="002D4434">
        <w:rPr>
          <w:rFonts w:ascii="Times New Roman" w:hAnsi="Times New Roman" w:cs="Times New Roman"/>
        </w:rPr>
        <w:t xml:space="preserve">employed under Part III or Part IV of the </w:t>
      </w:r>
      <w:r w:rsidR="00B20268" w:rsidRPr="002D4434">
        <w:rPr>
          <w:rFonts w:ascii="Times New Roman" w:hAnsi="Times New Roman" w:cs="Times New Roman"/>
          <w:i/>
        </w:rPr>
        <w:t>Members of Parliament (Staff) Act 1984</w:t>
      </w:r>
      <w:r w:rsidR="00B20268" w:rsidRPr="002D4434">
        <w:rPr>
          <w:rFonts w:ascii="Times New Roman" w:hAnsi="Times New Roman" w:cs="Times New Roman"/>
        </w:rPr>
        <w:t>;</w:t>
      </w:r>
    </w:p>
    <w:p w14:paraId="5B89E43C" w14:textId="77777777" w:rsidR="00B20268" w:rsidRPr="002D4434" w:rsidRDefault="00B20268" w:rsidP="00B20268">
      <w:pPr>
        <w:pStyle w:val="ListParagraph"/>
        <w:numPr>
          <w:ilvl w:val="0"/>
          <w:numId w:val="5"/>
        </w:numPr>
        <w:rPr>
          <w:rFonts w:ascii="Times New Roman" w:hAnsi="Times New Roman" w:cs="Times New Roman"/>
        </w:rPr>
      </w:pPr>
      <w:r w:rsidRPr="002D4434">
        <w:rPr>
          <w:rFonts w:ascii="Times New Roman" w:hAnsi="Times New Roman" w:cs="Times New Roman"/>
        </w:rPr>
        <w:t>a parliamentarian as a Senator or Member of the House of Representatives; and</w:t>
      </w:r>
    </w:p>
    <w:p w14:paraId="5405BB98" w14:textId="77777777" w:rsidR="00B20268" w:rsidRPr="002D4434" w:rsidRDefault="00B20268" w:rsidP="00B20268">
      <w:pPr>
        <w:pStyle w:val="ListParagraph"/>
        <w:numPr>
          <w:ilvl w:val="0"/>
          <w:numId w:val="5"/>
        </w:numPr>
        <w:rPr>
          <w:rFonts w:ascii="Times New Roman" w:hAnsi="Times New Roman" w:cs="Times New Roman"/>
        </w:rPr>
      </w:pPr>
      <w:r w:rsidRPr="002D4434">
        <w:rPr>
          <w:rFonts w:ascii="Times New Roman" w:hAnsi="Times New Roman" w:cs="Times New Roman"/>
        </w:rPr>
        <w:t xml:space="preserve">a serious </w:t>
      </w:r>
      <w:r w:rsidR="00C767DD" w:rsidRPr="002D4434">
        <w:rPr>
          <w:rFonts w:ascii="Times New Roman" w:hAnsi="Times New Roman" w:cs="Times New Roman"/>
        </w:rPr>
        <w:t>incident</w:t>
      </w:r>
      <w:r w:rsidRPr="002D4434">
        <w:rPr>
          <w:rFonts w:ascii="Times New Roman" w:hAnsi="Times New Roman" w:cs="Times New Roman"/>
        </w:rPr>
        <w:t xml:space="preserve"> </w:t>
      </w:r>
      <w:r w:rsidR="00C767DD" w:rsidRPr="002D4434">
        <w:rPr>
          <w:rFonts w:ascii="Times New Roman" w:hAnsi="Times New Roman" w:cs="Times New Roman"/>
        </w:rPr>
        <w:t xml:space="preserve">as sexual assault, assault, sexual harassment, harassment, a person being bullied at work (within the meaning of the </w:t>
      </w:r>
      <w:r w:rsidR="00C767DD" w:rsidRPr="002D4434">
        <w:rPr>
          <w:rFonts w:ascii="Times New Roman" w:hAnsi="Times New Roman" w:cs="Times New Roman"/>
          <w:i/>
        </w:rPr>
        <w:t>Fair Work Act 2009</w:t>
      </w:r>
      <w:r w:rsidR="00C767DD" w:rsidRPr="002D4434">
        <w:rPr>
          <w:rFonts w:ascii="Times New Roman" w:hAnsi="Times New Roman" w:cs="Times New Roman"/>
        </w:rPr>
        <w:t xml:space="preserve">), or an incident of a person behaving unreasonably towards another person in a way that creates a risk to </w:t>
      </w:r>
      <w:r w:rsidR="003D5838">
        <w:rPr>
          <w:rFonts w:ascii="Times New Roman" w:hAnsi="Times New Roman" w:cs="Times New Roman"/>
        </w:rPr>
        <w:t xml:space="preserve">work </w:t>
      </w:r>
      <w:r w:rsidR="00C767DD" w:rsidRPr="002D4434">
        <w:rPr>
          <w:rFonts w:ascii="Times New Roman" w:hAnsi="Times New Roman" w:cs="Times New Roman"/>
        </w:rPr>
        <w:t>health and safety</w:t>
      </w:r>
    </w:p>
    <w:p w14:paraId="7AFAA256" w14:textId="77777777" w:rsidR="00E3774D" w:rsidRDefault="00E3774D" w:rsidP="008A1E61">
      <w:pPr>
        <w:rPr>
          <w:rFonts w:ascii="Times New Roman" w:hAnsi="Times New Roman" w:cs="Times New Roman"/>
        </w:rPr>
      </w:pPr>
      <w:r>
        <w:rPr>
          <w:rFonts w:ascii="Times New Roman" w:hAnsi="Times New Roman" w:cs="Times New Roman"/>
          <w:b/>
        </w:rPr>
        <w:t>Item 2 of Schedule 1</w:t>
      </w:r>
      <w:r>
        <w:rPr>
          <w:rFonts w:ascii="Times New Roman" w:hAnsi="Times New Roman" w:cs="Times New Roman"/>
        </w:rPr>
        <w:t xml:space="preserve"> </w:t>
      </w:r>
      <w:r w:rsidR="00465336">
        <w:rPr>
          <w:rFonts w:ascii="Times New Roman" w:hAnsi="Times New Roman" w:cs="Times New Roman"/>
        </w:rPr>
        <w:t xml:space="preserve">amends Schedule 1 by inserting a </w:t>
      </w:r>
      <w:r w:rsidR="00B20268">
        <w:rPr>
          <w:rFonts w:ascii="Times New Roman" w:hAnsi="Times New Roman" w:cs="Times New Roman"/>
        </w:rPr>
        <w:t xml:space="preserve">cross reference to the </w:t>
      </w:r>
      <w:r w:rsidR="00465336">
        <w:rPr>
          <w:rFonts w:ascii="Times New Roman" w:hAnsi="Times New Roman" w:cs="Times New Roman"/>
        </w:rPr>
        <w:t xml:space="preserve">definition of </w:t>
      </w:r>
      <w:r w:rsidR="00FD4003">
        <w:rPr>
          <w:rFonts w:ascii="Times New Roman" w:hAnsi="Times New Roman" w:cs="Times New Roman"/>
        </w:rPr>
        <w:t>MOP(S)</w:t>
      </w:r>
      <w:r w:rsidR="00465336">
        <w:rPr>
          <w:rFonts w:ascii="Times New Roman" w:hAnsi="Times New Roman" w:cs="Times New Roman"/>
        </w:rPr>
        <w:t xml:space="preserve"> </w:t>
      </w:r>
      <w:r w:rsidR="00E33E43">
        <w:rPr>
          <w:rFonts w:ascii="Times New Roman" w:hAnsi="Times New Roman" w:cs="Times New Roman"/>
        </w:rPr>
        <w:t xml:space="preserve">Act </w:t>
      </w:r>
      <w:r w:rsidR="0037462D">
        <w:rPr>
          <w:rFonts w:ascii="Times New Roman" w:hAnsi="Times New Roman" w:cs="Times New Roman"/>
        </w:rPr>
        <w:t>employee</w:t>
      </w:r>
      <w:r w:rsidR="00465336">
        <w:rPr>
          <w:rFonts w:ascii="Times New Roman" w:hAnsi="Times New Roman" w:cs="Times New Roman"/>
        </w:rPr>
        <w:t>, parliamentarian and ser</w:t>
      </w:r>
      <w:r w:rsidR="00B20268">
        <w:rPr>
          <w:rFonts w:ascii="Times New Roman" w:hAnsi="Times New Roman" w:cs="Times New Roman"/>
        </w:rPr>
        <w:t>ious incident into the determination.</w:t>
      </w:r>
    </w:p>
    <w:p w14:paraId="7C32C190" w14:textId="77777777" w:rsidR="00ED4917" w:rsidRPr="00B47E52" w:rsidRDefault="00ED4917" w:rsidP="008A1E61">
      <w:pPr>
        <w:rPr>
          <w:rFonts w:ascii="Times New Roman" w:hAnsi="Times New Roman" w:cs="Times New Roman"/>
          <w:b/>
        </w:rPr>
      </w:pPr>
    </w:p>
    <w:p w14:paraId="4238A91F" w14:textId="77777777" w:rsidR="00290EF0" w:rsidRDefault="00290EF0">
      <w:pPr>
        <w:rPr>
          <w:rFonts w:ascii="Times New Roman" w:hAnsi="Times New Roman" w:cs="Times New Roman"/>
        </w:rPr>
      </w:pPr>
      <w:r>
        <w:rPr>
          <w:rFonts w:ascii="Times New Roman" w:hAnsi="Times New Roman" w:cs="Times New Roman"/>
        </w:rPr>
        <w:br w:type="page"/>
      </w:r>
    </w:p>
    <w:p w14:paraId="12BCF530" w14:textId="77777777" w:rsidR="00C05635" w:rsidRDefault="00C05635" w:rsidP="008760E9">
      <w:pPr>
        <w:rPr>
          <w:rFonts w:ascii="Times New Roman" w:hAnsi="Times New Roman" w:cs="Times New Roman"/>
        </w:rPr>
      </w:pPr>
    </w:p>
    <w:p w14:paraId="7616EDA1" w14:textId="77777777" w:rsidR="00C05635" w:rsidRDefault="00C05635" w:rsidP="00B47E52">
      <w:pPr>
        <w:jc w:val="right"/>
        <w:rPr>
          <w:rFonts w:ascii="Times New Roman" w:hAnsi="Times New Roman" w:cs="Times New Roman"/>
          <w:b/>
        </w:rPr>
      </w:pPr>
      <w:r w:rsidRPr="00B47E52">
        <w:rPr>
          <w:rFonts w:ascii="Times New Roman" w:hAnsi="Times New Roman" w:cs="Times New Roman"/>
          <w:b/>
        </w:rPr>
        <w:t>ATTACHMENT B</w:t>
      </w:r>
    </w:p>
    <w:p w14:paraId="68A7265B" w14:textId="77777777" w:rsidR="00B47E52" w:rsidRDefault="00B47E52" w:rsidP="00B47E52">
      <w:pPr>
        <w:jc w:val="center"/>
        <w:rPr>
          <w:rFonts w:ascii="Times New Roman" w:hAnsi="Times New Roman" w:cs="Times New Roman"/>
          <w:b/>
        </w:rPr>
      </w:pPr>
      <w:r>
        <w:rPr>
          <w:rFonts w:ascii="Times New Roman" w:hAnsi="Times New Roman" w:cs="Times New Roman"/>
          <w:b/>
        </w:rPr>
        <w:t>Statement of Compatibility with Human Rights</w:t>
      </w:r>
    </w:p>
    <w:p w14:paraId="6F776E69" w14:textId="77777777" w:rsidR="00B47E52" w:rsidRDefault="00B47E52" w:rsidP="00B47E52">
      <w:pPr>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14:paraId="53D3ADED" w14:textId="77777777" w:rsidR="00B47E52" w:rsidRDefault="00B47E52" w:rsidP="00B47E52">
      <w:pPr>
        <w:jc w:val="center"/>
        <w:rPr>
          <w:rFonts w:ascii="Times New Roman" w:hAnsi="Times New Roman" w:cs="Times New Roman"/>
          <w:i/>
        </w:rPr>
      </w:pPr>
      <w:r>
        <w:rPr>
          <w:rFonts w:ascii="Times New Roman" w:hAnsi="Times New Roman" w:cs="Times New Roman"/>
          <w:i/>
        </w:rPr>
        <w:t xml:space="preserve">Parliamentary Service Amendment (Independent </w:t>
      </w:r>
      <w:r w:rsidR="001D51B6">
        <w:rPr>
          <w:rFonts w:ascii="Times New Roman" w:hAnsi="Times New Roman" w:cs="Times New Roman"/>
          <w:i/>
        </w:rPr>
        <w:t xml:space="preserve">Parliamentary Workplace </w:t>
      </w:r>
      <w:r>
        <w:rPr>
          <w:rFonts w:ascii="Times New Roman" w:hAnsi="Times New Roman" w:cs="Times New Roman"/>
          <w:i/>
        </w:rPr>
        <w:t>Complaints Mechanism) Determination 2021</w:t>
      </w:r>
    </w:p>
    <w:p w14:paraId="7AC439A1" w14:textId="77777777" w:rsidR="00D41E75" w:rsidRPr="00D41E75" w:rsidRDefault="00D41E75" w:rsidP="00B47E52">
      <w:pPr>
        <w:rPr>
          <w:rFonts w:ascii="Times New Roman" w:hAnsi="Times New Roman" w:cs="Times New Roman"/>
          <w:b/>
        </w:rPr>
      </w:pPr>
      <w:r>
        <w:rPr>
          <w:rFonts w:ascii="Times New Roman" w:hAnsi="Times New Roman" w:cs="Times New Roman"/>
          <w:b/>
        </w:rPr>
        <w:t>Overview of the Legislative Instrument</w:t>
      </w:r>
    </w:p>
    <w:p w14:paraId="54E3E234" w14:textId="1843AD8D" w:rsidR="00DE3809" w:rsidRDefault="00DE3809" w:rsidP="00DE3809">
      <w:pPr>
        <w:spacing w:before="280"/>
        <w:rPr>
          <w:rFonts w:ascii="Times New Roman" w:hAnsi="Times New Roman" w:cs="Times New Roman"/>
          <w:i/>
        </w:rPr>
      </w:pPr>
      <w:r>
        <w:rPr>
          <w:rFonts w:ascii="Times New Roman" w:hAnsi="Times New Roman" w:cs="Times New Roman"/>
        </w:rPr>
        <w:t xml:space="preserve">The main purpose of the </w:t>
      </w:r>
      <w:r w:rsidR="00050629">
        <w:rPr>
          <w:rFonts w:ascii="Times New Roman" w:hAnsi="Times New Roman" w:cs="Times New Roman"/>
          <w:i/>
        </w:rPr>
        <w:t xml:space="preserve">Parliamentary Service Amendment (Independent </w:t>
      </w:r>
      <w:r w:rsidR="001D51B6">
        <w:rPr>
          <w:rFonts w:ascii="Times New Roman" w:hAnsi="Times New Roman" w:cs="Times New Roman"/>
          <w:i/>
        </w:rPr>
        <w:t xml:space="preserve">Parliamentary Workplace </w:t>
      </w:r>
      <w:r w:rsidR="00050629">
        <w:rPr>
          <w:rFonts w:ascii="Times New Roman" w:hAnsi="Times New Roman" w:cs="Times New Roman"/>
          <w:i/>
        </w:rPr>
        <w:t xml:space="preserve">Complaints Mechanism) Determination 2021 </w:t>
      </w:r>
      <w:r w:rsidR="00050629">
        <w:rPr>
          <w:rFonts w:ascii="Times New Roman" w:hAnsi="Times New Roman" w:cs="Times New Roman"/>
        </w:rPr>
        <w:t xml:space="preserve">(the </w:t>
      </w:r>
      <w:r w:rsidRPr="00050629">
        <w:rPr>
          <w:rFonts w:ascii="Times New Roman" w:hAnsi="Times New Roman" w:cs="Times New Roman"/>
          <w:b/>
        </w:rPr>
        <w:t>Amendment Determination</w:t>
      </w:r>
      <w:r w:rsidR="00050629">
        <w:rPr>
          <w:rFonts w:ascii="Times New Roman" w:hAnsi="Times New Roman" w:cs="Times New Roman"/>
        </w:rPr>
        <w:t>)</w:t>
      </w:r>
      <w:r>
        <w:rPr>
          <w:rFonts w:ascii="Times New Roman" w:hAnsi="Times New Roman" w:cs="Times New Roman"/>
        </w:rPr>
        <w:t xml:space="preserve"> is to amend the </w:t>
      </w:r>
      <w:r>
        <w:rPr>
          <w:rFonts w:ascii="Times New Roman" w:hAnsi="Times New Roman" w:cs="Times New Roman"/>
          <w:i/>
        </w:rPr>
        <w:t>Parliamentary Service Determination 2013</w:t>
      </w:r>
      <w:r>
        <w:rPr>
          <w:rFonts w:ascii="Times New Roman" w:hAnsi="Times New Roman" w:cs="Times New Roman"/>
        </w:rPr>
        <w:t xml:space="preserve"> (the </w:t>
      </w:r>
      <w:r>
        <w:rPr>
          <w:rFonts w:ascii="Times New Roman" w:hAnsi="Times New Roman" w:cs="Times New Roman"/>
          <w:b/>
        </w:rPr>
        <w:t>Determination</w:t>
      </w:r>
      <w:r>
        <w:rPr>
          <w:rFonts w:ascii="Times New Roman" w:hAnsi="Times New Roman" w:cs="Times New Roman"/>
        </w:rPr>
        <w:t xml:space="preserve">) to confer additional functions on the Commissioner for the purposes of </w:t>
      </w:r>
      <w:r w:rsidR="003B51B1">
        <w:rPr>
          <w:rFonts w:ascii="Times New Roman" w:hAnsi="Times New Roman" w:cs="Times New Roman"/>
        </w:rPr>
        <w:t xml:space="preserve">subsection </w:t>
      </w:r>
      <w:r>
        <w:rPr>
          <w:rFonts w:ascii="Times New Roman" w:hAnsi="Times New Roman" w:cs="Times New Roman"/>
        </w:rPr>
        <w:t>40(1</w:t>
      </w:r>
      <w:proofErr w:type="gramStart"/>
      <w:r>
        <w:rPr>
          <w:rFonts w:ascii="Times New Roman" w:hAnsi="Times New Roman" w:cs="Times New Roman"/>
        </w:rPr>
        <w:t>)(</w:t>
      </w:r>
      <w:proofErr w:type="gramEnd"/>
      <w:r>
        <w:rPr>
          <w:rFonts w:ascii="Times New Roman" w:hAnsi="Times New Roman" w:cs="Times New Roman"/>
        </w:rPr>
        <w:t>d) of the Act.</w:t>
      </w:r>
      <w:r w:rsidRPr="00B47E52">
        <w:rPr>
          <w:rFonts w:ascii="Times New Roman" w:hAnsi="Times New Roman" w:cs="Times New Roman"/>
        </w:rPr>
        <w:t xml:space="preserve"> </w:t>
      </w:r>
      <w:r>
        <w:rPr>
          <w:rFonts w:ascii="Times New Roman" w:hAnsi="Times New Roman" w:cs="Times New Roman"/>
        </w:rPr>
        <w:t>Subsection 40(1</w:t>
      </w:r>
      <w:proofErr w:type="gramStart"/>
      <w:r>
        <w:rPr>
          <w:rFonts w:ascii="Times New Roman" w:hAnsi="Times New Roman" w:cs="Times New Roman"/>
        </w:rPr>
        <w:t>)(</w:t>
      </w:r>
      <w:proofErr w:type="gramEnd"/>
      <w:r>
        <w:rPr>
          <w:rFonts w:ascii="Times New Roman" w:hAnsi="Times New Roman" w:cs="Times New Roman"/>
        </w:rPr>
        <w:t xml:space="preserve">d) of the Act provides that the Commissioner’s functions include such other functions as are conferred on the Commissioner by the Act, the determination or any other law. </w:t>
      </w:r>
    </w:p>
    <w:p w14:paraId="4569C386" w14:textId="77777777" w:rsidR="00DE3809" w:rsidRDefault="00DE3809" w:rsidP="00DE3809">
      <w:pPr>
        <w:spacing w:before="280"/>
        <w:rPr>
          <w:rFonts w:ascii="Times New Roman" w:hAnsi="Times New Roman" w:cs="Times New Roman"/>
        </w:rPr>
      </w:pPr>
      <w:r>
        <w:rPr>
          <w:rFonts w:ascii="Times New Roman" w:hAnsi="Times New Roman" w:cs="Times New Roman"/>
        </w:rPr>
        <w:t xml:space="preserve">The determination describes the functions conferred on the Commissioner to give effect to an independent </w:t>
      </w:r>
      <w:r w:rsidR="001D51B6">
        <w:rPr>
          <w:rFonts w:ascii="Times New Roman" w:hAnsi="Times New Roman" w:cs="Times New Roman"/>
        </w:rPr>
        <w:t xml:space="preserve">parliamentary workplace </w:t>
      </w:r>
      <w:r>
        <w:rPr>
          <w:rFonts w:ascii="Times New Roman" w:hAnsi="Times New Roman" w:cs="Times New Roman"/>
        </w:rPr>
        <w:t xml:space="preserve">complaints mechanism (the </w:t>
      </w:r>
      <w:r>
        <w:rPr>
          <w:rFonts w:ascii="Times New Roman" w:hAnsi="Times New Roman" w:cs="Times New Roman"/>
          <w:b/>
        </w:rPr>
        <w:t>mechanism</w:t>
      </w:r>
      <w:r>
        <w:rPr>
          <w:rFonts w:ascii="Times New Roman" w:hAnsi="Times New Roman" w:cs="Times New Roman"/>
        </w:rPr>
        <w:t xml:space="preserve">) for staff employed under the </w:t>
      </w:r>
      <w:r>
        <w:rPr>
          <w:rFonts w:ascii="Times New Roman" w:hAnsi="Times New Roman" w:cs="Times New Roman"/>
          <w:i/>
        </w:rPr>
        <w:t xml:space="preserve">Members of Parliament (Staff) </w:t>
      </w:r>
      <w:r>
        <w:rPr>
          <w:rFonts w:ascii="Times New Roman" w:hAnsi="Times New Roman" w:cs="Times New Roman"/>
        </w:rPr>
        <w:t>(M</w:t>
      </w:r>
      <w:r w:rsidR="00FD4003">
        <w:rPr>
          <w:rFonts w:ascii="Times New Roman" w:hAnsi="Times New Roman" w:cs="Times New Roman"/>
        </w:rPr>
        <w:t>O</w:t>
      </w:r>
      <w:r>
        <w:rPr>
          <w:rFonts w:ascii="Times New Roman" w:hAnsi="Times New Roman" w:cs="Times New Roman"/>
        </w:rPr>
        <w:t xml:space="preserve">P(S)) </w:t>
      </w:r>
      <w:r>
        <w:rPr>
          <w:rFonts w:ascii="Times New Roman" w:hAnsi="Times New Roman" w:cs="Times New Roman"/>
          <w:i/>
        </w:rPr>
        <w:t>Act 1984</w:t>
      </w:r>
      <w:r>
        <w:rPr>
          <w:rFonts w:ascii="Times New Roman" w:hAnsi="Times New Roman" w:cs="Times New Roman"/>
        </w:rPr>
        <w:t xml:space="preserve"> (</w:t>
      </w:r>
      <w:r w:rsidR="00FD4003">
        <w:rPr>
          <w:rFonts w:ascii="Times New Roman" w:hAnsi="Times New Roman" w:cs="Times New Roman"/>
          <w:b/>
        </w:rPr>
        <w:t>MOP(S)</w:t>
      </w:r>
      <w:r>
        <w:rPr>
          <w:rFonts w:ascii="Times New Roman" w:hAnsi="Times New Roman" w:cs="Times New Roman"/>
          <w:b/>
        </w:rPr>
        <w:t xml:space="preserve"> </w:t>
      </w:r>
      <w:r w:rsidR="00E33E43">
        <w:rPr>
          <w:rFonts w:ascii="Times New Roman" w:hAnsi="Times New Roman" w:cs="Times New Roman"/>
          <w:b/>
        </w:rPr>
        <w:t xml:space="preserve">Act </w:t>
      </w:r>
      <w:r w:rsidR="006B1689">
        <w:rPr>
          <w:rFonts w:ascii="Times New Roman" w:hAnsi="Times New Roman" w:cs="Times New Roman"/>
          <w:b/>
        </w:rPr>
        <w:t>employees</w:t>
      </w:r>
      <w:r>
        <w:rPr>
          <w:rFonts w:ascii="Times New Roman" w:hAnsi="Times New Roman" w:cs="Times New Roman"/>
        </w:rPr>
        <w:t>) and parliamentarians. These are to:</w:t>
      </w:r>
    </w:p>
    <w:p w14:paraId="057ED555" w14:textId="77777777" w:rsidR="00DE3809" w:rsidRDefault="00DE3809" w:rsidP="00DE3809">
      <w:pPr>
        <w:pStyle w:val="ListParagraph"/>
        <w:numPr>
          <w:ilvl w:val="0"/>
          <w:numId w:val="2"/>
        </w:numPr>
        <w:spacing w:before="280"/>
        <w:rPr>
          <w:rFonts w:ascii="Times New Roman" w:hAnsi="Times New Roman" w:cs="Times New Roman"/>
        </w:rPr>
      </w:pPr>
      <w:r>
        <w:rPr>
          <w:rFonts w:ascii="Times New Roman" w:hAnsi="Times New Roman" w:cs="Times New Roman"/>
        </w:rPr>
        <w:t>e</w:t>
      </w:r>
      <w:r w:rsidRPr="00BC6D1B">
        <w:rPr>
          <w:rFonts w:ascii="Times New Roman" w:hAnsi="Times New Roman" w:cs="Times New Roman"/>
        </w:rPr>
        <w:t xml:space="preserve">stablish and maintain a mechanism able to </w:t>
      </w:r>
      <w:r w:rsidR="00D13C2C">
        <w:rPr>
          <w:rFonts w:ascii="Times New Roman" w:hAnsi="Times New Roman" w:cs="Times New Roman"/>
        </w:rPr>
        <w:t>review</w:t>
      </w:r>
      <w:r w:rsidR="00D13C2C" w:rsidRPr="00BC6D1B">
        <w:rPr>
          <w:rFonts w:ascii="Times New Roman" w:hAnsi="Times New Roman" w:cs="Times New Roman"/>
        </w:rPr>
        <w:t xml:space="preserve"> </w:t>
      </w:r>
      <w:r w:rsidRPr="00BC6D1B">
        <w:rPr>
          <w:rFonts w:ascii="Times New Roman" w:hAnsi="Times New Roman" w:cs="Times New Roman"/>
        </w:rPr>
        <w:t>and make recommendations</w:t>
      </w:r>
      <w:r>
        <w:rPr>
          <w:rFonts w:ascii="Times New Roman" w:hAnsi="Times New Roman" w:cs="Times New Roman"/>
        </w:rPr>
        <w:t xml:space="preserve"> in relation to complaints about serious incidents involving </w:t>
      </w:r>
      <w:r w:rsidR="00FD4003">
        <w:rPr>
          <w:rFonts w:ascii="Times New Roman" w:hAnsi="Times New Roman" w:cs="Times New Roman"/>
        </w:rPr>
        <w:t>MOP(S)</w:t>
      </w:r>
      <w:r>
        <w:rPr>
          <w:rFonts w:ascii="Times New Roman" w:hAnsi="Times New Roman" w:cs="Times New Roman"/>
        </w:rPr>
        <w:t xml:space="preserve"> </w:t>
      </w:r>
      <w:r w:rsidR="00E33E43">
        <w:rPr>
          <w:rFonts w:ascii="Times New Roman" w:hAnsi="Times New Roman" w:cs="Times New Roman"/>
        </w:rPr>
        <w:t xml:space="preserve">Act </w:t>
      </w:r>
      <w:r w:rsidR="006B1689">
        <w:rPr>
          <w:rFonts w:ascii="Times New Roman" w:hAnsi="Times New Roman" w:cs="Times New Roman"/>
        </w:rPr>
        <w:t>employees</w:t>
      </w:r>
      <w:r>
        <w:rPr>
          <w:rFonts w:ascii="Times New Roman" w:hAnsi="Times New Roman" w:cs="Times New Roman"/>
        </w:rPr>
        <w:t xml:space="preserve"> and parliamentarians in the course of their work;</w:t>
      </w:r>
    </w:p>
    <w:p w14:paraId="6DCAD5B3" w14:textId="77777777" w:rsidR="00DE3809" w:rsidRDefault="00DE3809" w:rsidP="00DE3809">
      <w:pPr>
        <w:pStyle w:val="ListParagraph"/>
        <w:numPr>
          <w:ilvl w:val="0"/>
          <w:numId w:val="2"/>
        </w:numPr>
        <w:spacing w:before="280"/>
        <w:rPr>
          <w:rFonts w:ascii="Times New Roman" w:hAnsi="Times New Roman" w:cs="Times New Roman"/>
        </w:rPr>
      </w:pPr>
      <w:r>
        <w:rPr>
          <w:rFonts w:ascii="Times New Roman" w:hAnsi="Times New Roman" w:cs="Times New Roman"/>
        </w:rPr>
        <w:t xml:space="preserve">provide support to </w:t>
      </w:r>
      <w:r w:rsidR="00FD4003">
        <w:rPr>
          <w:rFonts w:ascii="Times New Roman" w:hAnsi="Times New Roman" w:cs="Times New Roman"/>
        </w:rPr>
        <w:t>MOP(S)</w:t>
      </w:r>
      <w:r>
        <w:rPr>
          <w:rFonts w:ascii="Times New Roman" w:hAnsi="Times New Roman" w:cs="Times New Roman"/>
        </w:rPr>
        <w:t xml:space="preserve"> </w:t>
      </w:r>
      <w:r w:rsidR="00E33E43">
        <w:rPr>
          <w:rFonts w:ascii="Times New Roman" w:hAnsi="Times New Roman" w:cs="Times New Roman"/>
        </w:rPr>
        <w:t xml:space="preserve">Act </w:t>
      </w:r>
      <w:r w:rsidR="006B1689">
        <w:rPr>
          <w:rFonts w:ascii="Times New Roman" w:hAnsi="Times New Roman" w:cs="Times New Roman"/>
        </w:rPr>
        <w:t>employees</w:t>
      </w:r>
      <w:r>
        <w:rPr>
          <w:rFonts w:ascii="Times New Roman" w:hAnsi="Times New Roman" w:cs="Times New Roman"/>
        </w:rPr>
        <w:t xml:space="preserve"> and parliamentarians in relation to serious incidents and other work health and safety-related matters;</w:t>
      </w:r>
    </w:p>
    <w:p w14:paraId="19751A3B" w14:textId="77777777" w:rsidR="00DE3809" w:rsidRDefault="00DE3809" w:rsidP="00DE3809">
      <w:pPr>
        <w:pStyle w:val="ListParagraph"/>
        <w:numPr>
          <w:ilvl w:val="0"/>
          <w:numId w:val="2"/>
        </w:numPr>
        <w:spacing w:before="280"/>
        <w:rPr>
          <w:rFonts w:ascii="Times New Roman" w:hAnsi="Times New Roman" w:cs="Times New Roman"/>
        </w:rPr>
      </w:pPr>
      <w:proofErr w:type="gramStart"/>
      <w:r>
        <w:rPr>
          <w:rFonts w:ascii="Times New Roman" w:hAnsi="Times New Roman" w:cs="Times New Roman"/>
        </w:rPr>
        <w:t>provide</w:t>
      </w:r>
      <w:proofErr w:type="gramEnd"/>
      <w:r>
        <w:rPr>
          <w:rFonts w:ascii="Times New Roman" w:hAnsi="Times New Roman" w:cs="Times New Roman"/>
        </w:rPr>
        <w:t xml:space="preserve"> education </w:t>
      </w:r>
      <w:r w:rsidR="00E33E43">
        <w:rPr>
          <w:rFonts w:ascii="Times New Roman" w:hAnsi="Times New Roman" w:cs="Times New Roman"/>
        </w:rPr>
        <w:t xml:space="preserve">and information </w:t>
      </w:r>
      <w:r>
        <w:rPr>
          <w:rFonts w:ascii="Times New Roman" w:hAnsi="Times New Roman" w:cs="Times New Roman"/>
        </w:rPr>
        <w:t>in relation to the mechanism, serious incidents and other work health and safety-related matters.</w:t>
      </w:r>
    </w:p>
    <w:p w14:paraId="3C7C19FB" w14:textId="77777777" w:rsidR="00B47E52" w:rsidRPr="00DE3809" w:rsidRDefault="00DE3809" w:rsidP="00B47E52">
      <w:pPr>
        <w:rPr>
          <w:rFonts w:ascii="Times New Roman" w:hAnsi="Times New Roman" w:cs="Times New Roman"/>
        </w:rPr>
      </w:pPr>
      <w:r>
        <w:rPr>
          <w:rFonts w:ascii="Times New Roman" w:hAnsi="Times New Roman" w:cs="Times New Roman"/>
          <w:b/>
        </w:rPr>
        <w:t>Human rights implications</w:t>
      </w:r>
    </w:p>
    <w:p w14:paraId="7FFD9622" w14:textId="77777777" w:rsidR="00DB6307" w:rsidRPr="00D41E75" w:rsidRDefault="00B11CF7" w:rsidP="00DB6307">
      <w:pPr>
        <w:spacing w:before="100" w:beforeAutospacing="1" w:after="100" w:afterAutospacing="1" w:line="240" w:lineRule="auto"/>
        <w:rPr>
          <w:rFonts w:ascii="Times New Roman" w:hAnsi="Times New Roman" w:cs="Times New Roman"/>
          <w:color w:val="000000" w:themeColor="text1"/>
        </w:rPr>
      </w:pPr>
      <w:r w:rsidRPr="00D41E75">
        <w:rPr>
          <w:rFonts w:ascii="Times New Roman" w:hAnsi="Times New Roman" w:cs="Times New Roman"/>
          <w:color w:val="000000" w:themeColor="text1"/>
        </w:rPr>
        <w:t xml:space="preserve">The </w:t>
      </w:r>
      <w:r w:rsidR="00D41E75" w:rsidRPr="00D41E75">
        <w:rPr>
          <w:rFonts w:ascii="Times New Roman" w:hAnsi="Times New Roman" w:cs="Times New Roman"/>
          <w:color w:val="000000" w:themeColor="text1"/>
        </w:rPr>
        <w:t>determination does not introduce or abrogate any existing rights.</w:t>
      </w:r>
      <w:r w:rsidR="00D41E75">
        <w:rPr>
          <w:rFonts w:ascii="Times New Roman" w:hAnsi="Times New Roman" w:cs="Times New Roman"/>
          <w:color w:val="000000" w:themeColor="text1"/>
        </w:rPr>
        <w:t xml:space="preserve"> Rather, by giving effect to the mechanism, it introduces a new process whereby </w:t>
      </w:r>
      <w:r w:rsidR="00FD4003">
        <w:rPr>
          <w:rFonts w:ascii="Times New Roman" w:hAnsi="Times New Roman" w:cs="Times New Roman"/>
          <w:color w:val="000000" w:themeColor="text1"/>
        </w:rPr>
        <w:t>MOP(S)</w:t>
      </w:r>
      <w:r w:rsidR="00D41E75">
        <w:rPr>
          <w:rFonts w:ascii="Times New Roman" w:hAnsi="Times New Roman" w:cs="Times New Roman"/>
          <w:color w:val="000000" w:themeColor="text1"/>
        </w:rPr>
        <w:t xml:space="preserve"> </w:t>
      </w:r>
      <w:r w:rsidR="00E33E43">
        <w:rPr>
          <w:rFonts w:ascii="Times New Roman" w:hAnsi="Times New Roman" w:cs="Times New Roman"/>
          <w:color w:val="000000" w:themeColor="text1"/>
        </w:rPr>
        <w:t xml:space="preserve">Act </w:t>
      </w:r>
      <w:r w:rsidR="006B1689">
        <w:rPr>
          <w:rFonts w:ascii="Times New Roman" w:hAnsi="Times New Roman" w:cs="Times New Roman"/>
          <w:color w:val="000000" w:themeColor="text1"/>
        </w:rPr>
        <w:t>employees</w:t>
      </w:r>
      <w:r w:rsidR="00D41E75">
        <w:rPr>
          <w:rFonts w:ascii="Times New Roman" w:hAnsi="Times New Roman" w:cs="Times New Roman"/>
          <w:color w:val="000000" w:themeColor="text1"/>
        </w:rPr>
        <w:t xml:space="preserve"> and parliamentarians can seek support for and review of serious incidents in the </w:t>
      </w:r>
      <w:r w:rsidR="00D13C2C">
        <w:rPr>
          <w:rFonts w:ascii="Times New Roman" w:hAnsi="Times New Roman" w:cs="Times New Roman"/>
          <w:color w:val="000000" w:themeColor="text1"/>
        </w:rPr>
        <w:t>course of their work</w:t>
      </w:r>
      <w:r w:rsidR="00D41E75">
        <w:rPr>
          <w:rFonts w:ascii="Times New Roman" w:hAnsi="Times New Roman" w:cs="Times New Roman"/>
          <w:color w:val="000000" w:themeColor="text1"/>
        </w:rPr>
        <w:t xml:space="preserve">. It may therefore be seen to </w:t>
      </w:r>
      <w:r w:rsidR="00490472">
        <w:rPr>
          <w:rFonts w:ascii="Times New Roman" w:hAnsi="Times New Roman" w:cs="Times New Roman"/>
          <w:color w:val="000000" w:themeColor="text1"/>
        </w:rPr>
        <w:t xml:space="preserve">advance the enjoyment of </w:t>
      </w:r>
      <w:r w:rsidR="00463479">
        <w:rPr>
          <w:rFonts w:ascii="Times New Roman" w:hAnsi="Times New Roman" w:cs="Times New Roman"/>
          <w:color w:val="000000" w:themeColor="text1"/>
        </w:rPr>
        <w:t>certain</w:t>
      </w:r>
      <w:r w:rsidR="00490472">
        <w:rPr>
          <w:rFonts w:ascii="Times New Roman" w:hAnsi="Times New Roman" w:cs="Times New Roman"/>
          <w:color w:val="000000" w:themeColor="text1"/>
        </w:rPr>
        <w:t xml:space="preserve"> rights</w:t>
      </w:r>
      <w:r w:rsidR="00B842A5">
        <w:rPr>
          <w:rFonts w:ascii="Times New Roman" w:hAnsi="Times New Roman" w:cs="Times New Roman"/>
          <w:color w:val="000000" w:themeColor="text1"/>
        </w:rPr>
        <w:t>, discussed below</w:t>
      </w:r>
      <w:r w:rsidR="00490472">
        <w:rPr>
          <w:rFonts w:ascii="Times New Roman" w:hAnsi="Times New Roman" w:cs="Times New Roman"/>
          <w:color w:val="000000" w:themeColor="text1"/>
        </w:rPr>
        <w:t>.</w:t>
      </w:r>
    </w:p>
    <w:p w14:paraId="3E75A265" w14:textId="77777777" w:rsidR="00D41E75" w:rsidRDefault="00D41E75" w:rsidP="00DB6307">
      <w:pPr>
        <w:spacing w:before="100" w:beforeAutospacing="1" w:after="100" w:afterAutospacing="1" w:line="240" w:lineRule="auto"/>
        <w:rPr>
          <w:rFonts w:ascii="Times New Roman" w:hAnsi="Times New Roman" w:cs="Times New Roman"/>
          <w:b/>
          <w:i/>
          <w:color w:val="000000" w:themeColor="text1"/>
        </w:rPr>
      </w:pPr>
      <w:r>
        <w:rPr>
          <w:rFonts w:ascii="Times New Roman" w:hAnsi="Times New Roman" w:cs="Times New Roman"/>
          <w:b/>
          <w:i/>
          <w:color w:val="000000" w:themeColor="text1"/>
        </w:rPr>
        <w:t>Rights to equality and non-discrimination</w:t>
      </w:r>
    </w:p>
    <w:p w14:paraId="41E3C2E6" w14:textId="77777777" w:rsidR="00D41E75" w:rsidRDefault="00DC49E7"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mechanism will provide support and review for serious incidents, which are </w:t>
      </w:r>
      <w:r w:rsidR="00D41E75">
        <w:rPr>
          <w:rFonts w:ascii="Times New Roman" w:hAnsi="Times New Roman" w:cs="Times New Roman"/>
          <w:color w:val="000000" w:themeColor="text1"/>
        </w:rPr>
        <w:t>defined to include harassment. Harassment as defined in federal and state and territory discrimination laws generally means treating a person less favourably on the basis of a particular protected attribute, such as a person’s sex, race, disability, marital status, sexual orientation, pregnancy or political opinion.</w:t>
      </w:r>
      <w:r>
        <w:rPr>
          <w:rFonts w:ascii="Times New Roman" w:hAnsi="Times New Roman" w:cs="Times New Roman"/>
          <w:color w:val="000000" w:themeColor="text1"/>
        </w:rPr>
        <w:t xml:space="preserve"> A number of the core treaties create rights that</w:t>
      </w:r>
      <w:r w:rsidR="00C600E8">
        <w:rPr>
          <w:rFonts w:ascii="Times New Roman" w:hAnsi="Times New Roman" w:cs="Times New Roman"/>
          <w:color w:val="000000" w:themeColor="text1"/>
        </w:rPr>
        <w:t xml:space="preserve"> explicitly or implicitly</w:t>
      </w:r>
      <w:r>
        <w:rPr>
          <w:rFonts w:ascii="Times New Roman" w:hAnsi="Times New Roman" w:cs="Times New Roman"/>
          <w:color w:val="000000" w:themeColor="text1"/>
        </w:rPr>
        <w:t xml:space="preserve"> guarantee freedom from harassment on the basis of a protected attribute</w:t>
      </w:r>
      <w:r w:rsidR="00D13C2C">
        <w:rPr>
          <w:rFonts w:ascii="Times New Roman" w:hAnsi="Times New Roman" w:cs="Times New Roman"/>
          <w:color w:val="000000" w:themeColor="text1"/>
        </w:rPr>
        <w:t>.</w:t>
      </w:r>
    </w:p>
    <w:p w14:paraId="59B8D2F6" w14:textId="77777777" w:rsidR="00DC49E7" w:rsidRDefault="00DC49E7"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Article 1 of the International Covenant on Civil and Political Rights (ICCPR) provides that all people have the right to freely pursue their economic, social and cultural development. Article 2 obliges State Parties to respect all people and guarantee them the rights contained in the Covenant irrespective of distinctions similar to those contained in legislative definitions of harassment. Article 3 obliges State Parties to guarantee men and women’s equal access to the rights contained in the Covenant. The </w:t>
      </w:r>
      <w:r>
        <w:rPr>
          <w:rFonts w:ascii="Times New Roman" w:hAnsi="Times New Roman" w:cs="Times New Roman"/>
          <w:color w:val="000000" w:themeColor="text1"/>
        </w:rPr>
        <w:lastRenderedPageBreak/>
        <w:t xml:space="preserve">International Covenant on Economic, Social and Cultural Rights </w:t>
      </w:r>
      <w:r w:rsidR="00C600E8">
        <w:rPr>
          <w:rFonts w:ascii="Times New Roman" w:hAnsi="Times New Roman" w:cs="Times New Roman"/>
          <w:color w:val="000000" w:themeColor="text1"/>
        </w:rPr>
        <w:t xml:space="preserve">(ICESCR) </w:t>
      </w:r>
      <w:r>
        <w:rPr>
          <w:rFonts w:ascii="Times New Roman" w:hAnsi="Times New Roman" w:cs="Times New Roman"/>
          <w:color w:val="000000" w:themeColor="text1"/>
        </w:rPr>
        <w:t>similarly provides that all people should be able to pursue their economic, social and cultural self-determination irrespective of distinctions</w:t>
      </w:r>
      <w:r w:rsidR="00C600E8">
        <w:rPr>
          <w:rFonts w:ascii="Times New Roman" w:hAnsi="Times New Roman" w:cs="Times New Roman"/>
          <w:color w:val="000000" w:themeColor="text1"/>
        </w:rPr>
        <w:t>.</w:t>
      </w:r>
    </w:p>
    <w:p w14:paraId="2282064E" w14:textId="77777777" w:rsidR="00C600E8" w:rsidRDefault="00C600E8"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The International Covenant on the Elimination of all Forms of Racial Discrimination (ICERD), the Convention on the Elimination of all Forms of Discrimination against Women (CEDAW) and the Convention on the Rights of Persons with Disabilities (CRPD) each create rights that, by necessity, guarantee freedom from harassment on the basis of race, gender and disability respectively.</w:t>
      </w:r>
    </w:p>
    <w:p w14:paraId="71389721" w14:textId="77777777" w:rsidR="000A5FBE" w:rsidRPr="00D41E75" w:rsidRDefault="000A5FBE"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By providing support and an avenue for review of incidents of harassment in the workplace, the mechanism assists in ensuring that the rights discussed above are upheld.</w:t>
      </w:r>
    </w:p>
    <w:p w14:paraId="230AC10E" w14:textId="77777777" w:rsidR="00D41E75" w:rsidRDefault="00D41E75" w:rsidP="00DB6307">
      <w:pPr>
        <w:spacing w:before="100" w:beforeAutospacing="1" w:after="100" w:afterAutospacing="1" w:line="240" w:lineRule="auto"/>
        <w:rPr>
          <w:rFonts w:ascii="Times New Roman" w:hAnsi="Times New Roman" w:cs="Times New Roman"/>
          <w:b/>
          <w:i/>
          <w:color w:val="000000" w:themeColor="text1"/>
        </w:rPr>
      </w:pPr>
      <w:r>
        <w:rPr>
          <w:rFonts w:ascii="Times New Roman" w:hAnsi="Times New Roman" w:cs="Times New Roman"/>
          <w:b/>
          <w:i/>
          <w:color w:val="000000" w:themeColor="text1"/>
        </w:rPr>
        <w:t>The rig</w:t>
      </w:r>
      <w:r w:rsidR="003B617F">
        <w:rPr>
          <w:rFonts w:ascii="Times New Roman" w:hAnsi="Times New Roman" w:cs="Times New Roman"/>
          <w:b/>
          <w:i/>
          <w:color w:val="000000" w:themeColor="text1"/>
        </w:rPr>
        <w:t>ht to wor</w:t>
      </w:r>
      <w:r>
        <w:rPr>
          <w:rFonts w:ascii="Times New Roman" w:hAnsi="Times New Roman" w:cs="Times New Roman"/>
          <w:b/>
          <w:i/>
          <w:color w:val="000000" w:themeColor="text1"/>
        </w:rPr>
        <w:t>k</w:t>
      </w:r>
    </w:p>
    <w:p w14:paraId="6E9CF77F" w14:textId="77777777" w:rsidR="00DC49E7" w:rsidRDefault="00DC49E7"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Article 6</w:t>
      </w:r>
      <w:r w:rsidR="00C600E8">
        <w:rPr>
          <w:rFonts w:ascii="Times New Roman" w:hAnsi="Times New Roman" w:cs="Times New Roman"/>
          <w:color w:val="000000" w:themeColor="text1"/>
        </w:rPr>
        <w:t xml:space="preserve"> of the ICESCR recognises the right to work and the obligation of State Parties to implement measures that allow for full and productive employment under conditions that safeguard fundamental political and economic freedom to the individual. Article 7 of the ICESCR recognises the right of all people to just and favourable conditions of work, including ensuring in particular safe and healthy working conditions.</w:t>
      </w:r>
    </w:p>
    <w:p w14:paraId="16CFB2EF" w14:textId="77777777" w:rsidR="00C600E8" w:rsidRDefault="00C600E8"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Article 5 of the CERD </w:t>
      </w:r>
      <w:r w:rsidR="009740AB">
        <w:rPr>
          <w:rFonts w:ascii="Times New Roman" w:hAnsi="Times New Roman" w:cs="Times New Roman"/>
          <w:color w:val="000000" w:themeColor="text1"/>
        </w:rPr>
        <w:t xml:space="preserve">recognises the right of all people, irrespective of race, to work and to just and favourable conditions of employment. Article 11 of the CEDAW </w:t>
      </w:r>
      <w:r w:rsidR="004924FE">
        <w:rPr>
          <w:rFonts w:ascii="Times New Roman" w:hAnsi="Times New Roman" w:cs="Times New Roman"/>
          <w:color w:val="000000" w:themeColor="text1"/>
        </w:rPr>
        <w:t>provides that State Parties take all appropriate measures to eliminate discrimination against women in the field of employment in order to ensure equality in respect of rights, in particular the right to protection of health and safety in working conditions. Article 27 of the CRPD recognises the right of people with disabilities to work on an equal basis with others, including the right to work in an environment that is open, inclusive and accessible to persons with disabilities, and the obligation of State Parties to protect the rights of people with disabilities to just and favourable conditi</w:t>
      </w:r>
      <w:r w:rsidR="00E84079">
        <w:rPr>
          <w:rFonts w:ascii="Times New Roman" w:hAnsi="Times New Roman" w:cs="Times New Roman"/>
          <w:color w:val="000000" w:themeColor="text1"/>
        </w:rPr>
        <w:t xml:space="preserve">ons of work, including safe and </w:t>
      </w:r>
      <w:r w:rsidR="004924FE">
        <w:rPr>
          <w:rFonts w:ascii="Times New Roman" w:hAnsi="Times New Roman" w:cs="Times New Roman"/>
          <w:color w:val="000000" w:themeColor="text1"/>
        </w:rPr>
        <w:t>healthy working conditions.</w:t>
      </w:r>
    </w:p>
    <w:p w14:paraId="39102E9A" w14:textId="77777777" w:rsidR="00234475" w:rsidRDefault="00234475"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By providing support and an avenue for review of serious incidents, including harassment, in the </w:t>
      </w:r>
      <w:r w:rsidR="00D13C2C">
        <w:rPr>
          <w:rFonts w:ascii="Times New Roman" w:hAnsi="Times New Roman" w:cs="Times New Roman"/>
          <w:color w:val="000000" w:themeColor="text1"/>
        </w:rPr>
        <w:t>course of employment</w:t>
      </w:r>
      <w:r>
        <w:rPr>
          <w:rFonts w:ascii="Times New Roman" w:hAnsi="Times New Roman" w:cs="Times New Roman"/>
          <w:color w:val="000000" w:themeColor="text1"/>
        </w:rPr>
        <w:t xml:space="preserve">, and ensuring more broadly that work health and safety obligations are met, the mechanism will advance the enjoyment of full and productive employment under just and favourable conditions. </w:t>
      </w:r>
    </w:p>
    <w:p w14:paraId="3CD89121" w14:textId="77777777" w:rsidR="009740AB" w:rsidRDefault="009740AB" w:rsidP="00DB6307">
      <w:pPr>
        <w:spacing w:before="100" w:beforeAutospacing="1" w:after="100" w:afterAutospacing="1" w:line="240" w:lineRule="auto"/>
        <w:rPr>
          <w:rFonts w:ascii="Times New Roman" w:hAnsi="Times New Roman" w:cs="Times New Roman"/>
          <w:b/>
          <w:i/>
          <w:color w:val="000000" w:themeColor="text1"/>
        </w:rPr>
      </w:pPr>
      <w:r>
        <w:rPr>
          <w:rFonts w:ascii="Times New Roman" w:hAnsi="Times New Roman" w:cs="Times New Roman"/>
          <w:b/>
          <w:i/>
          <w:color w:val="000000" w:themeColor="text1"/>
        </w:rPr>
        <w:t>Participation in public life</w:t>
      </w:r>
    </w:p>
    <w:p w14:paraId="5B4467E4" w14:textId="77777777" w:rsidR="009740AB" w:rsidRDefault="009740AB"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Article 7 of the CEDAW obliges State Parties to eliminate discrimination against women in the political and public life of the country and in particular to ensure women are equally able to participate in the formulation and implementation of government policy</w:t>
      </w:r>
      <w:r w:rsidR="004924FE">
        <w:rPr>
          <w:rFonts w:ascii="Times New Roman" w:hAnsi="Times New Roman" w:cs="Times New Roman"/>
          <w:color w:val="000000" w:themeColor="text1"/>
        </w:rPr>
        <w:t xml:space="preserve">. Article 29 of the CRPD </w:t>
      </w:r>
      <w:r w:rsidR="00973726">
        <w:rPr>
          <w:rFonts w:ascii="Times New Roman" w:hAnsi="Times New Roman" w:cs="Times New Roman"/>
          <w:color w:val="000000" w:themeColor="text1"/>
        </w:rPr>
        <w:t>obliges State Parties to ensure that people with disabilities can effectively and fully participate in political and public life on an equal basis with others</w:t>
      </w:r>
    </w:p>
    <w:p w14:paraId="6A528BEA" w14:textId="77777777" w:rsidR="00973726" w:rsidRDefault="00973726"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Working as a </w:t>
      </w:r>
      <w:r w:rsidR="00B642F9">
        <w:rPr>
          <w:rFonts w:ascii="Times New Roman" w:hAnsi="Times New Roman" w:cs="Times New Roman"/>
          <w:color w:val="000000" w:themeColor="text1"/>
        </w:rPr>
        <w:t>MOP(S)</w:t>
      </w:r>
      <w:r>
        <w:rPr>
          <w:rFonts w:ascii="Times New Roman" w:hAnsi="Times New Roman" w:cs="Times New Roman"/>
          <w:color w:val="000000" w:themeColor="text1"/>
        </w:rPr>
        <w:t xml:space="preserve"> </w:t>
      </w:r>
      <w:r w:rsidR="00E33E43">
        <w:rPr>
          <w:rFonts w:ascii="Times New Roman" w:hAnsi="Times New Roman" w:cs="Times New Roman"/>
          <w:color w:val="000000" w:themeColor="text1"/>
        </w:rPr>
        <w:t xml:space="preserve">Act </w:t>
      </w:r>
      <w:r w:rsidR="00B642F9">
        <w:rPr>
          <w:rFonts w:ascii="Times New Roman" w:hAnsi="Times New Roman" w:cs="Times New Roman"/>
          <w:color w:val="000000" w:themeColor="text1"/>
        </w:rPr>
        <w:t>employee</w:t>
      </w:r>
      <w:r>
        <w:rPr>
          <w:rFonts w:ascii="Times New Roman" w:hAnsi="Times New Roman" w:cs="Times New Roman"/>
          <w:color w:val="000000" w:themeColor="text1"/>
        </w:rPr>
        <w:t xml:space="preserve"> or parliamentarian represents significant participation in the political and public life of the country and close involvement in policy-making. By promoting a safe and respectful workplace free of harassment, the mechanism will ensure that all people are able to participate in the political and public life of the country on an equal basis and to the best of their abilities.</w:t>
      </w:r>
    </w:p>
    <w:p w14:paraId="7BCE7409" w14:textId="77777777" w:rsidR="009740AB" w:rsidRPr="009740AB" w:rsidRDefault="009740AB" w:rsidP="00DB6307">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b/>
          <w:color w:val="000000" w:themeColor="text1"/>
        </w:rPr>
        <w:t>Conclusion</w:t>
      </w:r>
    </w:p>
    <w:p w14:paraId="3A4669EB" w14:textId="77777777" w:rsidR="00EF7E39" w:rsidRPr="00EF7E39" w:rsidRDefault="009740AB">
      <w:pPr>
        <w:rPr>
          <w:b/>
        </w:rPr>
      </w:pPr>
      <w:r>
        <w:rPr>
          <w:rFonts w:ascii="Times New Roman" w:hAnsi="Times New Roman" w:cs="Times New Roman"/>
          <w:color w:val="000000" w:themeColor="text1"/>
        </w:rPr>
        <w:t xml:space="preserve">The creation of a safe and respectful workplace free from harassment advances the enjoyment of the rights discussed above. The Amendment Determination is therefore compatible with human rights </w:t>
      </w:r>
      <w:r>
        <w:rPr>
          <w:rFonts w:ascii="Times New Roman" w:hAnsi="Times New Roman" w:cs="Times New Roman"/>
          <w:color w:val="000000" w:themeColor="text1"/>
        </w:rPr>
        <w:lastRenderedPageBreak/>
        <w:t>because it advances the protection of human rights. The Amendment Determination does not limit human rights any further than previously limited.</w:t>
      </w:r>
    </w:p>
    <w:sectPr w:rsidR="00EF7E39" w:rsidRPr="00EF7E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D83E" w16cex:dateUtc="2021-09-22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AC2BF0" w16cid:durableId="24F5D8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64E2" w14:textId="77777777" w:rsidR="00D07E5B" w:rsidRDefault="00D07E5B" w:rsidP="00EF7E39">
      <w:pPr>
        <w:spacing w:after="0" w:line="240" w:lineRule="auto"/>
      </w:pPr>
      <w:r>
        <w:separator/>
      </w:r>
    </w:p>
  </w:endnote>
  <w:endnote w:type="continuationSeparator" w:id="0">
    <w:p w14:paraId="05A1815E" w14:textId="77777777" w:rsidR="00D07E5B" w:rsidRDefault="00D07E5B" w:rsidP="00EF7E39">
      <w:pPr>
        <w:spacing w:after="0" w:line="240" w:lineRule="auto"/>
      </w:pPr>
      <w:r>
        <w:continuationSeparator/>
      </w:r>
    </w:p>
  </w:endnote>
  <w:endnote w:type="continuationNotice" w:id="1">
    <w:p w14:paraId="541A614C" w14:textId="77777777" w:rsidR="00D07E5B" w:rsidRDefault="00D07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240A" w14:textId="77777777" w:rsidR="00205B81" w:rsidRDefault="0020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3476" w14:textId="77777777" w:rsidR="00205B81" w:rsidRDefault="0020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AAD8" w14:textId="77777777" w:rsidR="00205B81" w:rsidRDefault="0020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E401A" w14:textId="77777777" w:rsidR="00D07E5B" w:rsidRDefault="00D07E5B" w:rsidP="00EF7E39">
      <w:pPr>
        <w:spacing w:after="0" w:line="240" w:lineRule="auto"/>
      </w:pPr>
      <w:r>
        <w:separator/>
      </w:r>
    </w:p>
  </w:footnote>
  <w:footnote w:type="continuationSeparator" w:id="0">
    <w:p w14:paraId="2731DB5D" w14:textId="77777777" w:rsidR="00D07E5B" w:rsidRDefault="00D07E5B" w:rsidP="00EF7E39">
      <w:pPr>
        <w:spacing w:after="0" w:line="240" w:lineRule="auto"/>
      </w:pPr>
      <w:r>
        <w:continuationSeparator/>
      </w:r>
    </w:p>
  </w:footnote>
  <w:footnote w:type="continuationNotice" w:id="1">
    <w:p w14:paraId="668CCF2D" w14:textId="77777777" w:rsidR="00D07E5B" w:rsidRDefault="00D07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3477" w14:textId="77777777" w:rsidR="00205B81" w:rsidRDefault="0020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9F30" w14:textId="276F3AA9" w:rsidR="00AD4D7B" w:rsidRPr="00EF7E39" w:rsidRDefault="00AD4D7B" w:rsidP="00EF7E39">
    <w:pPr>
      <w:pStyle w:val="Header"/>
      <w:jc w:val="center"/>
      <w:rPr>
        <w:color w:val="FF000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6884" w14:textId="77777777" w:rsidR="00205B81" w:rsidRDefault="0020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525F"/>
    <w:multiLevelType w:val="hybridMultilevel"/>
    <w:tmpl w:val="79D43A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FBC704F"/>
    <w:multiLevelType w:val="hybridMultilevel"/>
    <w:tmpl w:val="CD061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736F17"/>
    <w:multiLevelType w:val="hybridMultilevel"/>
    <w:tmpl w:val="166E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D31D35"/>
    <w:multiLevelType w:val="hybridMultilevel"/>
    <w:tmpl w:val="6CAEE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CE2351"/>
    <w:multiLevelType w:val="hybridMultilevel"/>
    <w:tmpl w:val="4AC85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39"/>
    <w:rsid w:val="0002033C"/>
    <w:rsid w:val="00050629"/>
    <w:rsid w:val="0006184B"/>
    <w:rsid w:val="00085731"/>
    <w:rsid w:val="00090140"/>
    <w:rsid w:val="00094926"/>
    <w:rsid w:val="000A5FBE"/>
    <w:rsid w:val="001274D0"/>
    <w:rsid w:val="00145097"/>
    <w:rsid w:val="001475BC"/>
    <w:rsid w:val="00185EFF"/>
    <w:rsid w:val="001C4C67"/>
    <w:rsid w:val="001C7C86"/>
    <w:rsid w:val="001D2500"/>
    <w:rsid w:val="001D51B6"/>
    <w:rsid w:val="001F7E45"/>
    <w:rsid w:val="00205B81"/>
    <w:rsid w:val="002118E0"/>
    <w:rsid w:val="00226B7F"/>
    <w:rsid w:val="00234475"/>
    <w:rsid w:val="002431F7"/>
    <w:rsid w:val="00250EF0"/>
    <w:rsid w:val="00290EF0"/>
    <w:rsid w:val="00294311"/>
    <w:rsid w:val="002A5ABF"/>
    <w:rsid w:val="002C6B07"/>
    <w:rsid w:val="002D4434"/>
    <w:rsid w:val="002F475D"/>
    <w:rsid w:val="002F482B"/>
    <w:rsid w:val="00315DFE"/>
    <w:rsid w:val="00317A3E"/>
    <w:rsid w:val="0032244B"/>
    <w:rsid w:val="00323868"/>
    <w:rsid w:val="00324A72"/>
    <w:rsid w:val="00372D04"/>
    <w:rsid w:val="0037462D"/>
    <w:rsid w:val="00391DF7"/>
    <w:rsid w:val="003935E4"/>
    <w:rsid w:val="003A4324"/>
    <w:rsid w:val="003B51B1"/>
    <w:rsid w:val="003B617F"/>
    <w:rsid w:val="003C2E39"/>
    <w:rsid w:val="003D5838"/>
    <w:rsid w:val="00404AE2"/>
    <w:rsid w:val="00414819"/>
    <w:rsid w:val="0042092A"/>
    <w:rsid w:val="00441E30"/>
    <w:rsid w:val="00463479"/>
    <w:rsid w:val="00465336"/>
    <w:rsid w:val="00470F1E"/>
    <w:rsid w:val="004811F3"/>
    <w:rsid w:val="00486598"/>
    <w:rsid w:val="00490472"/>
    <w:rsid w:val="004924FE"/>
    <w:rsid w:val="00496354"/>
    <w:rsid w:val="004C587D"/>
    <w:rsid w:val="005066DE"/>
    <w:rsid w:val="00550762"/>
    <w:rsid w:val="00565D97"/>
    <w:rsid w:val="00627CAB"/>
    <w:rsid w:val="006537DB"/>
    <w:rsid w:val="006545EE"/>
    <w:rsid w:val="0067646C"/>
    <w:rsid w:val="00687516"/>
    <w:rsid w:val="006B1689"/>
    <w:rsid w:val="006C32CB"/>
    <w:rsid w:val="00710ED3"/>
    <w:rsid w:val="00723B9B"/>
    <w:rsid w:val="0076069D"/>
    <w:rsid w:val="007A149F"/>
    <w:rsid w:val="007E3564"/>
    <w:rsid w:val="00841FC4"/>
    <w:rsid w:val="008427F1"/>
    <w:rsid w:val="00843190"/>
    <w:rsid w:val="0086383B"/>
    <w:rsid w:val="00867453"/>
    <w:rsid w:val="00873733"/>
    <w:rsid w:val="008760E9"/>
    <w:rsid w:val="008847CB"/>
    <w:rsid w:val="00893167"/>
    <w:rsid w:val="008A1E61"/>
    <w:rsid w:val="008B21EF"/>
    <w:rsid w:val="008D47A7"/>
    <w:rsid w:val="008D4A8E"/>
    <w:rsid w:val="008E6FBB"/>
    <w:rsid w:val="00906A92"/>
    <w:rsid w:val="0094436C"/>
    <w:rsid w:val="00946D27"/>
    <w:rsid w:val="00960B30"/>
    <w:rsid w:val="00973726"/>
    <w:rsid w:val="009740AB"/>
    <w:rsid w:val="009A212B"/>
    <w:rsid w:val="009D2A4E"/>
    <w:rsid w:val="00A43039"/>
    <w:rsid w:val="00A50485"/>
    <w:rsid w:val="00A76F24"/>
    <w:rsid w:val="00AD4D7B"/>
    <w:rsid w:val="00AF1520"/>
    <w:rsid w:val="00B11CF7"/>
    <w:rsid w:val="00B12A09"/>
    <w:rsid w:val="00B139B9"/>
    <w:rsid w:val="00B20268"/>
    <w:rsid w:val="00B309E9"/>
    <w:rsid w:val="00B47CB4"/>
    <w:rsid w:val="00B47E52"/>
    <w:rsid w:val="00B61935"/>
    <w:rsid w:val="00B642F9"/>
    <w:rsid w:val="00B674D6"/>
    <w:rsid w:val="00B70B0F"/>
    <w:rsid w:val="00B765DD"/>
    <w:rsid w:val="00B842A5"/>
    <w:rsid w:val="00BC4348"/>
    <w:rsid w:val="00BC6D1B"/>
    <w:rsid w:val="00C05635"/>
    <w:rsid w:val="00C342A9"/>
    <w:rsid w:val="00C41C6A"/>
    <w:rsid w:val="00C600E8"/>
    <w:rsid w:val="00C767DD"/>
    <w:rsid w:val="00CA6CEB"/>
    <w:rsid w:val="00CB694A"/>
    <w:rsid w:val="00CC3569"/>
    <w:rsid w:val="00CD0490"/>
    <w:rsid w:val="00D07E5B"/>
    <w:rsid w:val="00D13C2C"/>
    <w:rsid w:val="00D30A7F"/>
    <w:rsid w:val="00D41E75"/>
    <w:rsid w:val="00D5482F"/>
    <w:rsid w:val="00D60EB2"/>
    <w:rsid w:val="00D76031"/>
    <w:rsid w:val="00D8735A"/>
    <w:rsid w:val="00DB6307"/>
    <w:rsid w:val="00DB74FD"/>
    <w:rsid w:val="00DC49E7"/>
    <w:rsid w:val="00DE3809"/>
    <w:rsid w:val="00DE3F81"/>
    <w:rsid w:val="00DF3A30"/>
    <w:rsid w:val="00E106CB"/>
    <w:rsid w:val="00E26416"/>
    <w:rsid w:val="00E2686B"/>
    <w:rsid w:val="00E33E43"/>
    <w:rsid w:val="00E36006"/>
    <w:rsid w:val="00E3774D"/>
    <w:rsid w:val="00E84079"/>
    <w:rsid w:val="00EA6AD0"/>
    <w:rsid w:val="00EB1DF3"/>
    <w:rsid w:val="00EB6BB7"/>
    <w:rsid w:val="00ED4917"/>
    <w:rsid w:val="00EE7FD3"/>
    <w:rsid w:val="00EF7E39"/>
    <w:rsid w:val="00F3405D"/>
    <w:rsid w:val="00F56130"/>
    <w:rsid w:val="00F710E0"/>
    <w:rsid w:val="00F76298"/>
    <w:rsid w:val="00F95359"/>
    <w:rsid w:val="00F978BE"/>
    <w:rsid w:val="00FD4003"/>
    <w:rsid w:val="00FF15F1"/>
    <w:rsid w:val="00FF3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9E56"/>
  <w15:chartTrackingRefBased/>
  <w15:docId w15:val="{B3EA4DE7-91CB-483F-8850-CF66BB30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E39"/>
  </w:style>
  <w:style w:type="paragraph" w:styleId="Footer">
    <w:name w:val="footer"/>
    <w:basedOn w:val="Normal"/>
    <w:link w:val="FooterChar"/>
    <w:uiPriority w:val="99"/>
    <w:unhideWhenUsed/>
    <w:rsid w:val="00EF7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E39"/>
  </w:style>
  <w:style w:type="paragraph" w:customStyle="1" w:styleId="acthead5">
    <w:name w:val="acthead5"/>
    <w:basedOn w:val="Normal"/>
    <w:rsid w:val="00324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324A72"/>
  </w:style>
  <w:style w:type="paragraph" w:customStyle="1" w:styleId="subsection">
    <w:name w:val="subsection"/>
    <w:basedOn w:val="Normal"/>
    <w:rsid w:val="00324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24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324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A5ABF"/>
    <w:rPr>
      <w:color w:val="0000FF"/>
      <w:u w:val="single"/>
    </w:rPr>
  </w:style>
  <w:style w:type="paragraph" w:styleId="ListParagraph">
    <w:name w:val="List Paragraph"/>
    <w:basedOn w:val="Normal"/>
    <w:uiPriority w:val="34"/>
    <w:qFormat/>
    <w:rsid w:val="002A5ABF"/>
    <w:pPr>
      <w:ind w:left="720"/>
      <w:contextualSpacing/>
    </w:pPr>
  </w:style>
  <w:style w:type="paragraph" w:styleId="NormalWeb">
    <w:name w:val="Normal (Web)"/>
    <w:basedOn w:val="Normal"/>
    <w:uiPriority w:val="99"/>
    <w:semiHidden/>
    <w:unhideWhenUsed/>
    <w:rsid w:val="008674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5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62"/>
    <w:rPr>
      <w:rFonts w:ascii="Segoe UI" w:hAnsi="Segoe UI" w:cs="Segoe UI"/>
      <w:sz w:val="18"/>
      <w:szCs w:val="18"/>
    </w:rPr>
  </w:style>
  <w:style w:type="character" w:styleId="CommentReference">
    <w:name w:val="annotation reference"/>
    <w:basedOn w:val="DefaultParagraphFont"/>
    <w:uiPriority w:val="99"/>
    <w:semiHidden/>
    <w:unhideWhenUsed/>
    <w:rsid w:val="00E26416"/>
    <w:rPr>
      <w:sz w:val="16"/>
      <w:szCs w:val="16"/>
    </w:rPr>
  </w:style>
  <w:style w:type="paragraph" w:styleId="CommentText">
    <w:name w:val="annotation text"/>
    <w:basedOn w:val="Normal"/>
    <w:link w:val="CommentTextChar"/>
    <w:uiPriority w:val="99"/>
    <w:semiHidden/>
    <w:unhideWhenUsed/>
    <w:rsid w:val="00E26416"/>
    <w:pPr>
      <w:spacing w:line="240" w:lineRule="auto"/>
    </w:pPr>
    <w:rPr>
      <w:sz w:val="20"/>
      <w:szCs w:val="20"/>
    </w:rPr>
  </w:style>
  <w:style w:type="character" w:customStyle="1" w:styleId="CommentTextChar">
    <w:name w:val="Comment Text Char"/>
    <w:basedOn w:val="DefaultParagraphFont"/>
    <w:link w:val="CommentText"/>
    <w:uiPriority w:val="99"/>
    <w:semiHidden/>
    <w:rsid w:val="00E26416"/>
    <w:rPr>
      <w:sz w:val="20"/>
      <w:szCs w:val="20"/>
    </w:rPr>
  </w:style>
  <w:style w:type="paragraph" w:styleId="CommentSubject">
    <w:name w:val="annotation subject"/>
    <w:basedOn w:val="CommentText"/>
    <w:next w:val="CommentText"/>
    <w:link w:val="CommentSubjectChar"/>
    <w:uiPriority w:val="99"/>
    <w:semiHidden/>
    <w:unhideWhenUsed/>
    <w:rsid w:val="00E26416"/>
    <w:rPr>
      <w:b/>
      <w:bCs/>
    </w:rPr>
  </w:style>
  <w:style w:type="character" w:customStyle="1" w:styleId="CommentSubjectChar">
    <w:name w:val="Comment Subject Char"/>
    <w:basedOn w:val="CommentTextChar"/>
    <w:link w:val="CommentSubject"/>
    <w:uiPriority w:val="99"/>
    <w:semiHidden/>
    <w:rsid w:val="00E26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367">
      <w:bodyDiv w:val="1"/>
      <w:marLeft w:val="0"/>
      <w:marRight w:val="0"/>
      <w:marTop w:val="0"/>
      <w:marBottom w:val="0"/>
      <w:divBdr>
        <w:top w:val="none" w:sz="0" w:space="0" w:color="auto"/>
        <w:left w:val="none" w:sz="0" w:space="0" w:color="auto"/>
        <w:bottom w:val="none" w:sz="0" w:space="0" w:color="auto"/>
        <w:right w:val="none" w:sz="0" w:space="0" w:color="auto"/>
      </w:divBdr>
    </w:div>
    <w:div w:id="50353292">
      <w:bodyDiv w:val="1"/>
      <w:marLeft w:val="0"/>
      <w:marRight w:val="0"/>
      <w:marTop w:val="0"/>
      <w:marBottom w:val="0"/>
      <w:divBdr>
        <w:top w:val="none" w:sz="0" w:space="0" w:color="auto"/>
        <w:left w:val="none" w:sz="0" w:space="0" w:color="auto"/>
        <w:bottom w:val="none" w:sz="0" w:space="0" w:color="auto"/>
        <w:right w:val="none" w:sz="0" w:space="0" w:color="auto"/>
      </w:divBdr>
    </w:div>
    <w:div w:id="96368393">
      <w:bodyDiv w:val="1"/>
      <w:marLeft w:val="0"/>
      <w:marRight w:val="0"/>
      <w:marTop w:val="0"/>
      <w:marBottom w:val="0"/>
      <w:divBdr>
        <w:top w:val="none" w:sz="0" w:space="0" w:color="auto"/>
        <w:left w:val="none" w:sz="0" w:space="0" w:color="auto"/>
        <w:bottom w:val="none" w:sz="0" w:space="0" w:color="auto"/>
        <w:right w:val="none" w:sz="0" w:space="0" w:color="auto"/>
      </w:divBdr>
    </w:div>
    <w:div w:id="590090752">
      <w:bodyDiv w:val="1"/>
      <w:marLeft w:val="0"/>
      <w:marRight w:val="0"/>
      <w:marTop w:val="0"/>
      <w:marBottom w:val="0"/>
      <w:divBdr>
        <w:top w:val="none" w:sz="0" w:space="0" w:color="auto"/>
        <w:left w:val="none" w:sz="0" w:space="0" w:color="auto"/>
        <w:bottom w:val="none" w:sz="0" w:space="0" w:color="auto"/>
        <w:right w:val="none" w:sz="0" w:space="0" w:color="auto"/>
      </w:divBdr>
    </w:div>
    <w:div w:id="738555915">
      <w:bodyDiv w:val="1"/>
      <w:marLeft w:val="0"/>
      <w:marRight w:val="0"/>
      <w:marTop w:val="0"/>
      <w:marBottom w:val="0"/>
      <w:divBdr>
        <w:top w:val="none" w:sz="0" w:space="0" w:color="auto"/>
        <w:left w:val="none" w:sz="0" w:space="0" w:color="auto"/>
        <w:bottom w:val="none" w:sz="0" w:space="0" w:color="auto"/>
        <w:right w:val="none" w:sz="0" w:space="0" w:color="auto"/>
      </w:divBdr>
    </w:div>
    <w:div w:id="841429011">
      <w:bodyDiv w:val="1"/>
      <w:marLeft w:val="0"/>
      <w:marRight w:val="0"/>
      <w:marTop w:val="0"/>
      <w:marBottom w:val="0"/>
      <w:divBdr>
        <w:top w:val="none" w:sz="0" w:space="0" w:color="auto"/>
        <w:left w:val="none" w:sz="0" w:space="0" w:color="auto"/>
        <w:bottom w:val="none" w:sz="0" w:space="0" w:color="auto"/>
        <w:right w:val="none" w:sz="0" w:space="0" w:color="auto"/>
      </w:divBdr>
    </w:div>
    <w:div w:id="866793789">
      <w:bodyDiv w:val="1"/>
      <w:marLeft w:val="0"/>
      <w:marRight w:val="0"/>
      <w:marTop w:val="0"/>
      <w:marBottom w:val="0"/>
      <w:divBdr>
        <w:top w:val="none" w:sz="0" w:space="0" w:color="auto"/>
        <w:left w:val="none" w:sz="0" w:space="0" w:color="auto"/>
        <w:bottom w:val="none" w:sz="0" w:space="0" w:color="auto"/>
        <w:right w:val="none" w:sz="0" w:space="0" w:color="auto"/>
      </w:divBdr>
    </w:div>
    <w:div w:id="879130291">
      <w:bodyDiv w:val="1"/>
      <w:marLeft w:val="0"/>
      <w:marRight w:val="0"/>
      <w:marTop w:val="0"/>
      <w:marBottom w:val="0"/>
      <w:divBdr>
        <w:top w:val="none" w:sz="0" w:space="0" w:color="auto"/>
        <w:left w:val="none" w:sz="0" w:space="0" w:color="auto"/>
        <w:bottom w:val="none" w:sz="0" w:space="0" w:color="auto"/>
        <w:right w:val="none" w:sz="0" w:space="0" w:color="auto"/>
      </w:divBdr>
    </w:div>
    <w:div w:id="1232502594">
      <w:bodyDiv w:val="1"/>
      <w:marLeft w:val="0"/>
      <w:marRight w:val="0"/>
      <w:marTop w:val="0"/>
      <w:marBottom w:val="0"/>
      <w:divBdr>
        <w:top w:val="none" w:sz="0" w:space="0" w:color="auto"/>
        <w:left w:val="none" w:sz="0" w:space="0" w:color="auto"/>
        <w:bottom w:val="none" w:sz="0" w:space="0" w:color="auto"/>
        <w:right w:val="none" w:sz="0" w:space="0" w:color="auto"/>
      </w:divBdr>
    </w:div>
    <w:div w:id="1432362196">
      <w:bodyDiv w:val="1"/>
      <w:marLeft w:val="0"/>
      <w:marRight w:val="0"/>
      <w:marTop w:val="0"/>
      <w:marBottom w:val="0"/>
      <w:divBdr>
        <w:top w:val="none" w:sz="0" w:space="0" w:color="auto"/>
        <w:left w:val="none" w:sz="0" w:space="0" w:color="auto"/>
        <w:bottom w:val="none" w:sz="0" w:space="0" w:color="auto"/>
        <w:right w:val="none" w:sz="0" w:space="0" w:color="auto"/>
      </w:divBdr>
    </w:div>
    <w:div w:id="1436945536">
      <w:bodyDiv w:val="1"/>
      <w:marLeft w:val="0"/>
      <w:marRight w:val="0"/>
      <w:marTop w:val="0"/>
      <w:marBottom w:val="0"/>
      <w:divBdr>
        <w:top w:val="none" w:sz="0" w:space="0" w:color="auto"/>
        <w:left w:val="none" w:sz="0" w:space="0" w:color="auto"/>
        <w:bottom w:val="none" w:sz="0" w:space="0" w:color="auto"/>
        <w:right w:val="none" w:sz="0" w:space="0" w:color="auto"/>
      </w:divBdr>
    </w:div>
    <w:div w:id="1918241638">
      <w:bodyDiv w:val="1"/>
      <w:marLeft w:val="0"/>
      <w:marRight w:val="0"/>
      <w:marTop w:val="0"/>
      <w:marBottom w:val="0"/>
      <w:divBdr>
        <w:top w:val="none" w:sz="0" w:space="0" w:color="auto"/>
        <w:left w:val="none" w:sz="0" w:space="0" w:color="auto"/>
        <w:bottom w:val="none" w:sz="0" w:space="0" w:color="auto"/>
        <w:right w:val="none" w:sz="0" w:space="0" w:color="auto"/>
      </w:divBdr>
    </w:div>
    <w:div w:id="1949390945">
      <w:bodyDiv w:val="1"/>
      <w:marLeft w:val="0"/>
      <w:marRight w:val="0"/>
      <w:marTop w:val="0"/>
      <w:marBottom w:val="0"/>
      <w:divBdr>
        <w:top w:val="none" w:sz="0" w:space="0" w:color="auto"/>
        <w:left w:val="none" w:sz="0" w:space="0" w:color="auto"/>
        <w:bottom w:val="none" w:sz="0" w:space="0" w:color="auto"/>
        <w:right w:val="none" w:sz="0" w:space="0" w:color="auto"/>
      </w:divBdr>
    </w:div>
    <w:div w:id="1963612102">
      <w:bodyDiv w:val="1"/>
      <w:marLeft w:val="0"/>
      <w:marRight w:val="0"/>
      <w:marTop w:val="0"/>
      <w:marBottom w:val="0"/>
      <w:divBdr>
        <w:top w:val="none" w:sz="0" w:space="0" w:color="auto"/>
        <w:left w:val="none" w:sz="0" w:space="0" w:color="auto"/>
        <w:bottom w:val="none" w:sz="0" w:space="0" w:color="auto"/>
        <w:right w:val="none" w:sz="0" w:space="0" w:color="auto"/>
      </w:divBdr>
    </w:div>
    <w:div w:id="20768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e7dbc670-aca9-4bd7-b41c-fdec393ef73b" xsi:nil="true"/>
    <ShareHubID xmlns="e7dbc670-aca9-4bd7-b41c-fdec393ef73b">DOC21-238842</ShareHubID>
    <of7aea3fc196472b8f307c95feae90f1 xmlns="e7dbc670-aca9-4bd7-b41c-fdec393ef73b">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9d1e6530-271a-4fdf-bc88-184a8d43835a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of7aea3fc196472b8f307c95feae90f1>
    <TaxCatchAll xmlns="e7dbc670-aca9-4bd7-b41c-fdec393ef73b">
      <Value>23</Value>
      <Value>30</Value>
      <Value>14</Value>
    </TaxCatchAll>
    <NonRecordJustification xmlns="685f9fda-bd71-4433-b331-92feb9553089">None</NonRecordJustification>
    <mc5611b894cf49d8aeeb8ebf39dc09bc xmlns="e7dbc670-aca9-4bd7-b41c-fdec393ef73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e7dbc670-aca9-4bd7-b41c-fdec393ef73b">
      <Terms xmlns="http://schemas.microsoft.com/office/infopath/2007/PartnerControls"/>
    </jd1c641577414dfdab1686c9d5d0dbd0>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482632990461843B4E82E0B5DCA6D46" ma:contentTypeVersion="12" ma:contentTypeDescription="ShareHub Document" ma:contentTypeScope="" ma:versionID="e63de0c3799f96514872abf3eb8ab101">
  <xsd:schema xmlns:xsd="http://www.w3.org/2001/XMLSchema" xmlns:xs="http://www.w3.org/2001/XMLSchema" xmlns:p="http://schemas.microsoft.com/office/2006/metadata/properties" xmlns:ns1="e7dbc670-aca9-4bd7-b41c-fdec393ef73b" xmlns:ns3="685f9fda-bd71-4433-b331-92feb9553089" targetNamespace="http://schemas.microsoft.com/office/2006/metadata/properties" ma:root="true" ma:fieldsID="80e1a2ae2324825edeed754d917536f8" ns1:_="" ns3:_="">
    <xsd:import namespace="e7dbc670-aca9-4bd7-b41c-fdec393ef73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of7aea3fc196472b8f307c95feae90f1"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bc670-aca9-4bd7-b41c-fdec393ef73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8fda11-4470-4429-9f30-2d277126488d}" ma:internalName="TaxCatchAll" ma:showField="CatchAllData" ma:web="e7dbc670-aca9-4bd7-b41c-fdec393ef7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8fda11-4470-4429-9f30-2d277126488d}" ma:internalName="TaxCatchAllLabel" ma:readOnly="true" ma:showField="CatchAllDataLabel" ma:web="e7dbc670-aca9-4bd7-b41c-fdec393ef73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of7aea3fc196472b8f307c95feae90f1" ma:index="17" nillable="true" ma:taxonomy="true" ma:internalName="of7aea3fc196472b8f307c95feae90f1" ma:taxonomyFieldName="ESearchTags" ma:displayName="Tags" ma:fieldId="{8f7aea3f-c196-472b-8f30-7c95feae90f1}"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5807-9AC5-4820-AADF-295606F694BF}">
  <ds:schemaRefs>
    <ds:schemaRef ds:uri="http://schemas.microsoft.com/office/2006/metadata/properties"/>
    <ds:schemaRef ds:uri="http://schemas.microsoft.com/office/infopath/2007/PartnerControls"/>
    <ds:schemaRef ds:uri="e7dbc670-aca9-4bd7-b41c-fdec393ef73b"/>
    <ds:schemaRef ds:uri="685f9fda-bd71-4433-b331-92feb9553089"/>
  </ds:schemaRefs>
</ds:datastoreItem>
</file>

<file path=customXml/itemProps2.xml><?xml version="1.0" encoding="utf-8"?>
<ds:datastoreItem xmlns:ds="http://schemas.openxmlformats.org/officeDocument/2006/customXml" ds:itemID="{AB2DE77A-A1CB-4922-B072-F07D57AE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bc670-aca9-4bd7-b41c-fdec393ef73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A3F8C-7CA6-44DC-821D-0094973615E3}">
  <ds:schemaRefs>
    <ds:schemaRef ds:uri="http://schemas.microsoft.com/sharepoint/v3/contenttype/forms"/>
  </ds:schemaRefs>
</ds:datastoreItem>
</file>

<file path=customXml/itemProps4.xml><?xml version="1.0" encoding="utf-8"?>
<ds:datastoreItem xmlns:ds="http://schemas.openxmlformats.org/officeDocument/2006/customXml" ds:itemID="{C0214EDC-E600-4204-83CF-E18E460F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3330</Words>
  <Characters>19116</Characters>
  <Application>Microsoft Office Word</Application>
  <DocSecurity>0</DocSecurity>
  <Lines>289</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Nechama Basserabie</dc:creator>
  <cp:keywords/>
  <dc:description/>
  <cp:lastModifiedBy>Sharp, Clare</cp:lastModifiedBy>
  <cp:revision>4</cp:revision>
  <cp:lastPrinted>2021-07-02T01:05:00Z</cp:lastPrinted>
  <dcterms:created xsi:type="dcterms:W3CDTF">2021-09-22T07:58:00Z</dcterms:created>
  <dcterms:modified xsi:type="dcterms:W3CDTF">2021-09-22T07:59:00Z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0x0101002825A64A6E1845A99A9D8EE8A5686ECB003482632990461843B4E82E0B5DCA6D46</vt:lpwstr>
  </property>
  <property fmtid="{D5CDD505-2E9C-101B-9397-08002B2CF9AE}" pid="3" name="ESearchTags">
    <vt:lpwstr>14;#Protected|9d1e6530-271a-4fdf-bc88-184a8d43835a;#23;#Cabinet|84cba657-17c1-4642-9e59-a0df180c2be5</vt:lpwstr>
  </property>
  <property fmtid="{D5CDD505-2E9C-101B-9397-08002B2CF9AE}" pid="4" name="HPRMSecurityLevel">
    <vt:lpwstr>33;#PROTECTED, Cabinet|de61dca5-51c8-451e-ae71-33459b73d72a</vt:lpwstr>
  </property>
  <property fmtid="{D5CDD505-2E9C-101B-9397-08002B2CF9AE}" pid="5" name="HPRMSecurityCaveat">
    <vt:lpwstr/>
  </property>
  <property fmtid="{D5CDD505-2E9C-101B-9397-08002B2CF9AE}" pid="6" name="PMC.ESearch.TagGeneratedTime">
    <vt:lpwstr>2021-08-19T16:32:38</vt:lpwstr>
  </property>
</Properties>
</file>