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D03AE86" w14:textId="1E7C54DC" w:rsidR="00DF3C0A" w:rsidRPr="0042527A" w:rsidRDefault="00862DFF" w:rsidP="008A3DD3">
      <w:pPr>
        <w:jc w:val="center"/>
        <w:rPr>
          <w:rFonts w:ascii="Times New Roman" w:hAnsi="Times New Roman" w:cs="Times New Roman"/>
          <w:i/>
        </w:rPr>
      </w:pPr>
      <w:r w:rsidRPr="0042527A">
        <w:rPr>
          <w:rFonts w:ascii="Times New Roman" w:hAnsi="Times New Roman" w:cs="Times New Roman"/>
          <w:i/>
        </w:rPr>
        <w:t>Do Not Call Register Act 2006</w:t>
      </w:r>
    </w:p>
    <w:p w14:paraId="4572E1FC" w14:textId="759BD63E" w:rsidR="00DF3C0A" w:rsidRPr="005D6354" w:rsidRDefault="00DF3C0A" w:rsidP="008A3DD3">
      <w:pPr>
        <w:jc w:val="center"/>
        <w:rPr>
          <w:rFonts w:ascii="Times New Roman" w:hAnsi="Times New Roman" w:cs="Times New Roman"/>
          <w:b/>
          <w:i/>
        </w:rPr>
      </w:pPr>
      <w:r w:rsidRPr="005D6354">
        <w:rPr>
          <w:rFonts w:ascii="Times New Roman" w:hAnsi="Times New Roman" w:cs="Times New Roman"/>
          <w:b/>
          <w:i/>
        </w:rPr>
        <w:t xml:space="preserve">Do Not Call Register (Access Fees) </w:t>
      </w:r>
      <w:r w:rsidR="00024E49" w:rsidRPr="005D6354">
        <w:rPr>
          <w:rFonts w:ascii="Times New Roman" w:hAnsi="Times New Roman" w:cs="Times New Roman"/>
          <w:b/>
          <w:i/>
        </w:rPr>
        <w:t xml:space="preserve">Amendment </w:t>
      </w:r>
      <w:r w:rsidRPr="005D6354">
        <w:rPr>
          <w:rFonts w:ascii="Times New Roman" w:hAnsi="Times New Roman" w:cs="Times New Roman"/>
          <w:b/>
          <w:i/>
        </w:rPr>
        <w:t>Determination 20</w:t>
      </w:r>
      <w:r w:rsidR="00024E49" w:rsidRPr="005D6354">
        <w:rPr>
          <w:rFonts w:ascii="Times New Roman" w:hAnsi="Times New Roman" w:cs="Times New Roman"/>
          <w:b/>
          <w:i/>
        </w:rPr>
        <w:t>21</w:t>
      </w:r>
      <w:r w:rsidR="00E12A9E">
        <w:rPr>
          <w:rFonts w:ascii="Times New Roman" w:hAnsi="Times New Roman" w:cs="Times New Roman"/>
          <w:b/>
          <w:i/>
        </w:rPr>
        <w:t xml:space="preserve"> (No. 1)</w:t>
      </w:r>
    </w:p>
    <w:p w14:paraId="0EFEBE09" w14:textId="63544FAB" w:rsidR="004D2843" w:rsidRPr="005D6354" w:rsidRDefault="004D2843" w:rsidP="0042527A">
      <w:pPr>
        <w:spacing w:after="120" w:line="240" w:lineRule="auto"/>
        <w:rPr>
          <w:rFonts w:ascii="Times New Roman" w:hAnsi="Times New Roman" w:cs="Times New Roman"/>
          <w:b/>
        </w:rPr>
      </w:pPr>
      <w:r w:rsidRPr="005D6354">
        <w:rPr>
          <w:rFonts w:ascii="Times New Roman" w:hAnsi="Times New Roman" w:cs="Times New Roman"/>
          <w:b/>
        </w:rPr>
        <w:t>Authority</w:t>
      </w:r>
    </w:p>
    <w:p w14:paraId="4101AA73" w14:textId="6FE256C6" w:rsidR="0062661D" w:rsidRDefault="00B727F3" w:rsidP="001A51D1">
      <w:pPr>
        <w:spacing w:after="120" w:line="240" w:lineRule="auto"/>
        <w:rPr>
          <w:rFonts w:ascii="Times New Roman" w:hAnsi="Times New Roman" w:cs="Times New Roman"/>
        </w:rPr>
      </w:pPr>
      <w:r w:rsidRPr="005D6354">
        <w:rPr>
          <w:rFonts w:ascii="Times New Roman" w:hAnsi="Times New Roman" w:cs="Times New Roman"/>
        </w:rPr>
        <w:t>T</w:t>
      </w:r>
      <w:r w:rsidR="000B4B6C" w:rsidRPr="005D6354">
        <w:rPr>
          <w:rFonts w:ascii="Times New Roman" w:hAnsi="Times New Roman" w:cs="Times New Roman"/>
        </w:rPr>
        <w:t>he</w:t>
      </w:r>
      <w:r w:rsidR="0091080B" w:rsidRPr="005D6354">
        <w:rPr>
          <w:rFonts w:ascii="Times New Roman" w:hAnsi="Times New Roman" w:cs="Times New Roman"/>
        </w:rPr>
        <w:t xml:space="preserve"> Australian Communications and Media Authority (</w:t>
      </w:r>
      <w:r w:rsidR="0091080B" w:rsidRPr="005D6354">
        <w:rPr>
          <w:rFonts w:ascii="Times New Roman" w:hAnsi="Times New Roman" w:cs="Times New Roman"/>
          <w:b/>
        </w:rPr>
        <w:t>the ACMA</w:t>
      </w:r>
      <w:r w:rsidR="0091080B" w:rsidRPr="005D6354">
        <w:rPr>
          <w:rFonts w:ascii="Times New Roman" w:hAnsi="Times New Roman" w:cs="Times New Roman"/>
        </w:rPr>
        <w:t xml:space="preserve">) </w:t>
      </w:r>
      <w:r w:rsidR="0062661D" w:rsidRPr="005D6354">
        <w:rPr>
          <w:rFonts w:ascii="Times New Roman" w:hAnsi="Times New Roman" w:cs="Times New Roman"/>
        </w:rPr>
        <w:t xml:space="preserve">has made </w:t>
      </w:r>
      <w:r w:rsidR="0091080B" w:rsidRPr="005D6354">
        <w:rPr>
          <w:rFonts w:ascii="Times New Roman" w:hAnsi="Times New Roman" w:cs="Times New Roman"/>
        </w:rPr>
        <w:t xml:space="preserve">the </w:t>
      </w:r>
      <w:r w:rsidR="00DF3C0A" w:rsidRPr="005D6354">
        <w:rPr>
          <w:rFonts w:ascii="Times New Roman" w:hAnsi="Times New Roman" w:cs="Times New Roman"/>
          <w:i/>
        </w:rPr>
        <w:t xml:space="preserve">Do Not Call Register (Access Fees) </w:t>
      </w:r>
      <w:r w:rsidR="00024E49" w:rsidRPr="005D6354">
        <w:rPr>
          <w:rFonts w:ascii="Times New Roman" w:hAnsi="Times New Roman" w:cs="Times New Roman"/>
          <w:i/>
        </w:rPr>
        <w:t xml:space="preserve">Amendment </w:t>
      </w:r>
      <w:r w:rsidR="00DF3C0A" w:rsidRPr="005D6354">
        <w:rPr>
          <w:rFonts w:ascii="Times New Roman" w:hAnsi="Times New Roman" w:cs="Times New Roman"/>
          <w:i/>
        </w:rPr>
        <w:t>Determination 20</w:t>
      </w:r>
      <w:r w:rsidR="00024E49" w:rsidRPr="005D6354">
        <w:rPr>
          <w:rFonts w:ascii="Times New Roman" w:hAnsi="Times New Roman" w:cs="Times New Roman"/>
          <w:i/>
        </w:rPr>
        <w:t>21</w:t>
      </w:r>
      <w:r w:rsidR="00E12A9E">
        <w:rPr>
          <w:rFonts w:ascii="Times New Roman" w:hAnsi="Times New Roman" w:cs="Times New Roman"/>
          <w:i/>
        </w:rPr>
        <w:t xml:space="preserve"> (No. 1)</w:t>
      </w:r>
      <w:r w:rsidR="00DF3C0A" w:rsidRPr="005D6354">
        <w:rPr>
          <w:rFonts w:ascii="Times New Roman" w:hAnsi="Times New Roman" w:cs="Times New Roman"/>
        </w:rPr>
        <w:t xml:space="preserve"> </w:t>
      </w:r>
      <w:r w:rsidR="0091080B" w:rsidRPr="005D6354">
        <w:rPr>
          <w:rFonts w:ascii="Times New Roman" w:hAnsi="Times New Roman" w:cs="Times New Roman"/>
        </w:rPr>
        <w:t>(</w:t>
      </w:r>
      <w:r w:rsidR="0091080B" w:rsidRPr="005D6354">
        <w:rPr>
          <w:rFonts w:ascii="Times New Roman" w:hAnsi="Times New Roman" w:cs="Times New Roman"/>
          <w:b/>
        </w:rPr>
        <w:t xml:space="preserve">the </w:t>
      </w:r>
      <w:r w:rsidR="00024E49" w:rsidRPr="005D6354">
        <w:rPr>
          <w:rFonts w:ascii="Times New Roman" w:hAnsi="Times New Roman" w:cs="Times New Roman"/>
          <w:b/>
        </w:rPr>
        <w:t>Amending</w:t>
      </w:r>
      <w:r w:rsidR="00024E49">
        <w:rPr>
          <w:rFonts w:ascii="Times New Roman" w:hAnsi="Times New Roman" w:cs="Times New Roman"/>
          <w:b/>
        </w:rPr>
        <w:t xml:space="preserve"> </w:t>
      </w:r>
      <w:r w:rsidR="00D62018">
        <w:rPr>
          <w:rFonts w:ascii="Times New Roman" w:hAnsi="Times New Roman" w:cs="Times New Roman"/>
          <w:b/>
        </w:rPr>
        <w:t>Determination</w:t>
      </w:r>
      <w:r w:rsidR="0091080B" w:rsidRPr="00C57E29">
        <w:rPr>
          <w:rFonts w:ascii="Times New Roman" w:hAnsi="Times New Roman" w:cs="Times New Roman"/>
        </w:rPr>
        <w:t>)</w:t>
      </w:r>
      <w:r w:rsidR="0091080B">
        <w:rPr>
          <w:rFonts w:ascii="Times New Roman" w:hAnsi="Times New Roman" w:cs="Times New Roman"/>
        </w:rPr>
        <w:t xml:space="preserve"> </w:t>
      </w:r>
      <w:r w:rsidR="00F85D90" w:rsidRPr="00F85D90">
        <w:rPr>
          <w:rFonts w:ascii="Times New Roman" w:hAnsi="Times New Roman" w:cs="Times New Roman"/>
        </w:rPr>
        <w:t xml:space="preserve">under subsection 21(1) of the </w:t>
      </w:r>
      <w:r w:rsidR="00F85D90" w:rsidRPr="00F85D90">
        <w:rPr>
          <w:rFonts w:ascii="Times New Roman" w:hAnsi="Times New Roman" w:cs="Times New Roman"/>
          <w:i/>
        </w:rPr>
        <w:t>Do Not Call Register Act 2006</w:t>
      </w:r>
      <w:r w:rsidR="00A6446C">
        <w:rPr>
          <w:rFonts w:ascii="Times New Roman" w:hAnsi="Times New Roman" w:cs="Times New Roman"/>
          <w:i/>
        </w:rPr>
        <w:t xml:space="preserve"> </w:t>
      </w:r>
      <w:r w:rsidR="00A6446C" w:rsidRPr="00A6446C">
        <w:rPr>
          <w:rFonts w:ascii="Times New Roman" w:hAnsi="Times New Roman" w:cs="Times New Roman"/>
        </w:rPr>
        <w:t>(</w:t>
      </w:r>
      <w:r w:rsidR="00A6446C" w:rsidRPr="00A6446C">
        <w:rPr>
          <w:rFonts w:ascii="Times New Roman" w:hAnsi="Times New Roman" w:cs="Times New Roman"/>
          <w:b/>
        </w:rPr>
        <w:t>the Act</w:t>
      </w:r>
      <w:r w:rsidR="00A6446C" w:rsidRPr="00A6446C">
        <w:rPr>
          <w:rFonts w:ascii="Times New Roman" w:hAnsi="Times New Roman" w:cs="Times New Roman"/>
        </w:rPr>
        <w:t>)</w:t>
      </w:r>
      <w:r w:rsidR="003049C1">
        <w:rPr>
          <w:rFonts w:ascii="Times New Roman" w:hAnsi="Times New Roman" w:cs="Times New Roman"/>
        </w:rPr>
        <w:t xml:space="preserve"> and subsection 33(3) of the </w:t>
      </w:r>
      <w:r w:rsidR="003049C1" w:rsidRPr="0081757B">
        <w:rPr>
          <w:rFonts w:ascii="Times New Roman" w:hAnsi="Times New Roman" w:cs="Times New Roman"/>
          <w:i/>
        </w:rPr>
        <w:t>Acts Interpretation Act 1901</w:t>
      </w:r>
      <w:r w:rsidR="003049C1">
        <w:rPr>
          <w:rFonts w:ascii="Times New Roman" w:hAnsi="Times New Roman" w:cs="Times New Roman"/>
        </w:rPr>
        <w:t xml:space="preserve"> (</w:t>
      </w:r>
      <w:r w:rsidR="003049C1" w:rsidRPr="0081757B">
        <w:rPr>
          <w:rFonts w:ascii="Times New Roman" w:hAnsi="Times New Roman" w:cs="Times New Roman"/>
          <w:b/>
        </w:rPr>
        <w:t>the AIA</w:t>
      </w:r>
      <w:r w:rsidR="003049C1">
        <w:rPr>
          <w:rFonts w:ascii="Times New Roman" w:hAnsi="Times New Roman" w:cs="Times New Roman"/>
        </w:rPr>
        <w:t>)</w:t>
      </w:r>
      <w:r w:rsidR="0091080B" w:rsidRPr="0091080B">
        <w:rPr>
          <w:rFonts w:ascii="Times New Roman" w:hAnsi="Times New Roman" w:cs="Times New Roman"/>
        </w:rPr>
        <w:t>.</w:t>
      </w:r>
      <w:r w:rsidR="008109CC">
        <w:rPr>
          <w:rFonts w:ascii="Times New Roman" w:hAnsi="Times New Roman" w:cs="Times New Roman"/>
        </w:rPr>
        <w:t xml:space="preserve"> </w:t>
      </w:r>
    </w:p>
    <w:p w14:paraId="329F9F28" w14:textId="04E28C65" w:rsidR="00C57E29" w:rsidRDefault="00C57E29" w:rsidP="0042527A">
      <w:pPr>
        <w:spacing w:before="240" w:after="120" w:line="240" w:lineRule="auto"/>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90949B0" w14:textId="15070EF9" w:rsidR="00D133BD" w:rsidRDefault="00D133BD" w:rsidP="0042527A">
      <w:pPr>
        <w:autoSpaceDE w:val="0"/>
        <w:autoSpaceDN w:val="0"/>
        <w:adjustRightInd w:val="0"/>
        <w:spacing w:after="120" w:line="240" w:lineRule="auto"/>
        <w:rPr>
          <w:rFonts w:ascii="Times New Roman" w:hAnsi="Times New Roman" w:cs="Times New Roman"/>
        </w:rPr>
      </w:pPr>
      <w:r w:rsidRPr="00D133BD">
        <w:rPr>
          <w:rFonts w:ascii="Times New Roman" w:hAnsi="Times New Roman" w:cs="Times New Roman"/>
        </w:rPr>
        <w:t xml:space="preserve">Under subsection 21(1) of the Act, the ACMA may make a determination about the fees payable </w:t>
      </w:r>
      <w:r>
        <w:rPr>
          <w:rFonts w:ascii="Times New Roman" w:hAnsi="Times New Roman" w:cs="Times New Roman"/>
        </w:rPr>
        <w:t xml:space="preserve">by ‘access seekers’ </w:t>
      </w:r>
      <w:r w:rsidRPr="00D133BD">
        <w:rPr>
          <w:rFonts w:ascii="Times New Roman" w:hAnsi="Times New Roman" w:cs="Times New Roman"/>
        </w:rPr>
        <w:t xml:space="preserve">for the provision of </w:t>
      </w:r>
      <w:r>
        <w:rPr>
          <w:rFonts w:ascii="Times New Roman" w:hAnsi="Times New Roman" w:cs="Times New Roman"/>
        </w:rPr>
        <w:t>‘list washing’</w:t>
      </w:r>
      <w:r>
        <w:rPr>
          <w:rStyle w:val="FootnoteReference"/>
          <w:rFonts w:ascii="Times New Roman" w:hAnsi="Times New Roman" w:cs="Times New Roman"/>
        </w:rPr>
        <w:footnoteReference w:id="1"/>
      </w:r>
      <w:r>
        <w:rPr>
          <w:rFonts w:ascii="Times New Roman" w:hAnsi="Times New Roman" w:cs="Times New Roman"/>
        </w:rPr>
        <w:t xml:space="preserve"> services </w:t>
      </w:r>
      <w:r w:rsidRPr="00D133BD">
        <w:rPr>
          <w:rFonts w:ascii="Times New Roman" w:hAnsi="Times New Roman" w:cs="Times New Roman"/>
        </w:rPr>
        <w:t>or the refunds of fees for those services. Under subsection 21(2) of the Act, the ACMA may make a determination that also makes provision for any exemptions from fees payable. The fees must not amount to taxation and are payable to the ACMA on behalf of the Commonwealth.</w:t>
      </w:r>
    </w:p>
    <w:p w14:paraId="47862D27" w14:textId="7EAE4821" w:rsidR="00D133BD" w:rsidRDefault="00D133BD" w:rsidP="0042527A">
      <w:pPr>
        <w:autoSpaceDE w:val="0"/>
        <w:autoSpaceDN w:val="0"/>
        <w:adjustRightInd w:val="0"/>
        <w:spacing w:after="120" w:line="240" w:lineRule="auto"/>
        <w:rPr>
          <w:rFonts w:ascii="Times New Roman" w:hAnsi="Times New Roman" w:cs="Times New Roman"/>
        </w:rPr>
      </w:pPr>
      <w:r w:rsidRPr="00D133BD">
        <w:rPr>
          <w:rFonts w:ascii="Times New Roman" w:hAnsi="Times New Roman" w:cs="Times New Roman"/>
        </w:rPr>
        <w:t>The Do Not Call Register (Access Fees) Determination 2017 (</w:t>
      </w:r>
      <w:r w:rsidRPr="006B6A0D">
        <w:rPr>
          <w:rFonts w:ascii="Times New Roman" w:hAnsi="Times New Roman" w:cs="Times New Roman"/>
          <w:b/>
          <w:bCs/>
        </w:rPr>
        <w:t>the Determination</w:t>
      </w:r>
      <w:r w:rsidRPr="00D133BD">
        <w:rPr>
          <w:rFonts w:ascii="Times New Roman" w:hAnsi="Times New Roman" w:cs="Times New Roman"/>
        </w:rPr>
        <w:t>) was made under subsection 21(1) of the Act. The purpose of the Amending Determination is to amend the Determination to set out the new fees payable for services provided under subsection 19(2) of the Act.</w:t>
      </w:r>
    </w:p>
    <w:p w14:paraId="7F121085" w14:textId="3DCB6962" w:rsidR="00D133BD" w:rsidRDefault="00D133BD" w:rsidP="0042527A">
      <w:pPr>
        <w:autoSpaceDE w:val="0"/>
        <w:autoSpaceDN w:val="0"/>
        <w:adjustRightInd w:val="0"/>
        <w:spacing w:after="120" w:line="240" w:lineRule="auto"/>
        <w:rPr>
          <w:rFonts w:ascii="Times New Roman" w:hAnsi="Times New Roman" w:cs="Times New Roman"/>
        </w:rPr>
      </w:pPr>
      <w:r w:rsidRPr="00D133BD">
        <w:rPr>
          <w:rFonts w:ascii="Times New Roman" w:hAnsi="Times New Roman" w:cs="Times New Roman"/>
        </w:rPr>
        <w:t xml:space="preserve">Subsection 33(3) of the AIA relevantly provides that where an Act confers a power to make a legislative instrument, </w:t>
      </w:r>
      <w:r>
        <w:rPr>
          <w:rFonts w:ascii="Times New Roman" w:hAnsi="Times New Roman" w:cs="Times New Roman"/>
        </w:rPr>
        <w:t xml:space="preserve">such as subsection 21(1) of the Act, </w:t>
      </w:r>
      <w:r w:rsidRPr="00D133BD">
        <w:rPr>
          <w:rFonts w:ascii="Times New Roman" w:hAnsi="Times New Roman" w:cs="Times New Roman"/>
        </w:rPr>
        <w:t>the power shall be construed as including a power exercisable in the like manner and subject to the like conditions (if any) to repeal, rescind, revoke, amend, or vary any such instrument.</w:t>
      </w:r>
    </w:p>
    <w:p w14:paraId="65A5BF76" w14:textId="542921FA" w:rsidR="00192CDC" w:rsidRPr="00DF3C0A"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 xml:space="preserve">Under subsection 13(1) of the Act, </w:t>
      </w:r>
      <w:r w:rsidR="00A07E11">
        <w:rPr>
          <w:rFonts w:ascii="Times New Roman" w:hAnsi="Times New Roman" w:cs="Times New Roman"/>
        </w:rPr>
        <w:t xml:space="preserve">the </w:t>
      </w:r>
      <w:r w:rsidRPr="00DF3C0A">
        <w:rPr>
          <w:rFonts w:ascii="Times New Roman" w:hAnsi="Times New Roman" w:cs="Times New Roman"/>
        </w:rPr>
        <w:t xml:space="preserve">ACMA must keep or arrange for another person (the contracted service provider) to keep on behalf of </w:t>
      </w:r>
      <w:r w:rsidR="0013280F">
        <w:rPr>
          <w:rFonts w:ascii="Times New Roman" w:hAnsi="Times New Roman" w:cs="Times New Roman"/>
        </w:rPr>
        <w:t xml:space="preserve">the </w:t>
      </w:r>
      <w:r w:rsidRPr="00DF3C0A">
        <w:rPr>
          <w:rFonts w:ascii="Times New Roman" w:hAnsi="Times New Roman" w:cs="Times New Roman"/>
        </w:rPr>
        <w:t xml:space="preserve">ACMA a register of telephone numbers for the purposes of the Act. The register is known as the Do Not Call Register.  </w:t>
      </w:r>
    </w:p>
    <w:p w14:paraId="22AF09FB" w14:textId="6EAFFB03" w:rsidR="00192CDC" w:rsidRPr="00DF3C0A"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The Do Not Call Register allow</w:t>
      </w:r>
      <w:r w:rsidR="00B60E2B">
        <w:rPr>
          <w:rFonts w:ascii="Times New Roman" w:hAnsi="Times New Roman" w:cs="Times New Roman"/>
        </w:rPr>
        <w:t xml:space="preserve">s </w:t>
      </w:r>
      <w:r w:rsidRPr="00DF3C0A">
        <w:rPr>
          <w:rFonts w:ascii="Times New Roman" w:hAnsi="Times New Roman" w:cs="Times New Roman"/>
        </w:rPr>
        <w:t>individuals to ‘opt out’ of receiving certain unsolicited telemarketing calls by registering their home or mobile telephone numbers that are primarily used for private or domestic purposes.</w:t>
      </w:r>
      <w:r w:rsidR="00C40E13">
        <w:rPr>
          <w:rFonts w:ascii="Times New Roman" w:hAnsi="Times New Roman" w:cs="Times New Roman"/>
        </w:rPr>
        <w:t xml:space="preserve"> </w:t>
      </w:r>
      <w:r w:rsidR="001E274E">
        <w:rPr>
          <w:rFonts w:ascii="Times New Roman" w:hAnsi="Times New Roman" w:cs="Times New Roman"/>
        </w:rPr>
        <w:t xml:space="preserve">Emergency service numbers, and numbers exclusively used by government bodies or to transmit faxes are also eligible for inclusion on the Do Not Call Register. </w:t>
      </w:r>
    </w:p>
    <w:p w14:paraId="77ECD877" w14:textId="703E27AC" w:rsidR="00B60541"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 xml:space="preserve">It may be </w:t>
      </w:r>
      <w:r w:rsidR="00D133BD">
        <w:rPr>
          <w:rFonts w:ascii="Times New Roman" w:hAnsi="Times New Roman" w:cs="Times New Roman"/>
        </w:rPr>
        <w:t>unlawful</w:t>
      </w:r>
      <w:r w:rsidRPr="00DF3C0A">
        <w:rPr>
          <w:rFonts w:ascii="Times New Roman" w:hAnsi="Times New Roman" w:cs="Times New Roman"/>
        </w:rPr>
        <w:t xml:space="preserve"> under section 11 of the Act to make, or to cause to be made, telemarketing calls to telephone numbers registered on the Do Not Call Register. </w:t>
      </w:r>
      <w:r w:rsidR="00620D95">
        <w:rPr>
          <w:rFonts w:ascii="Times New Roman" w:hAnsi="Times New Roman" w:cs="Times New Roman"/>
        </w:rPr>
        <w:t xml:space="preserve">Further, it may be </w:t>
      </w:r>
      <w:r w:rsidR="00D133BD">
        <w:rPr>
          <w:rFonts w:ascii="Times New Roman" w:hAnsi="Times New Roman" w:cs="Times New Roman"/>
        </w:rPr>
        <w:t>unlawful</w:t>
      </w:r>
      <w:r w:rsidR="001E274E">
        <w:rPr>
          <w:rFonts w:ascii="Times New Roman" w:hAnsi="Times New Roman" w:cs="Times New Roman"/>
        </w:rPr>
        <w:t xml:space="preserve"> under section 12B </w:t>
      </w:r>
      <w:r w:rsidR="003049C1">
        <w:rPr>
          <w:rFonts w:ascii="Times New Roman" w:hAnsi="Times New Roman" w:cs="Times New Roman"/>
        </w:rPr>
        <w:t xml:space="preserve">of the Act </w:t>
      </w:r>
      <w:r w:rsidR="001E274E">
        <w:rPr>
          <w:rFonts w:ascii="Times New Roman" w:hAnsi="Times New Roman" w:cs="Times New Roman"/>
        </w:rPr>
        <w:t>to send a marketing fax to a number on the Do Not Call</w:t>
      </w:r>
      <w:r w:rsidR="000C56C3">
        <w:rPr>
          <w:rFonts w:ascii="Times New Roman" w:hAnsi="Times New Roman" w:cs="Times New Roman"/>
        </w:rPr>
        <w:t xml:space="preserve"> R</w:t>
      </w:r>
      <w:r w:rsidR="00C40E13">
        <w:rPr>
          <w:rFonts w:ascii="Times New Roman" w:hAnsi="Times New Roman" w:cs="Times New Roman"/>
        </w:rPr>
        <w:t>egister.</w:t>
      </w:r>
      <w:r w:rsidR="00D133BD">
        <w:rPr>
          <w:rFonts w:ascii="Times New Roman" w:hAnsi="Times New Roman" w:cs="Times New Roman"/>
        </w:rPr>
        <w:t xml:space="preserve"> </w:t>
      </w:r>
      <w:r w:rsidR="00D133BD" w:rsidRPr="00D133BD">
        <w:rPr>
          <w:rFonts w:ascii="Times New Roman" w:hAnsi="Times New Roman" w:cs="Times New Roman"/>
        </w:rPr>
        <w:t>Among other things, the ACMA may seek civil penalties regarding contraventions of subsections 11(3) and</w:t>
      </w:r>
      <w:r w:rsidR="00455F75">
        <w:rPr>
          <w:rFonts w:ascii="Times New Roman" w:hAnsi="Times New Roman" w:cs="Times New Roman"/>
        </w:rPr>
        <w:t xml:space="preserve"> </w:t>
      </w:r>
      <w:r w:rsidR="00D133BD" w:rsidRPr="00D133BD">
        <w:rPr>
          <w:rFonts w:ascii="Times New Roman" w:hAnsi="Times New Roman" w:cs="Times New Roman"/>
        </w:rPr>
        <w:t>12B(3) of the Act.</w:t>
      </w:r>
    </w:p>
    <w:p w14:paraId="6BFF800D" w14:textId="5607E0F5" w:rsidR="00B60541" w:rsidRDefault="00B60541" w:rsidP="0042527A">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To assist telemarketers or fax marketers </w:t>
      </w:r>
      <w:r w:rsidRPr="00DF3C0A">
        <w:rPr>
          <w:rFonts w:ascii="Times New Roman" w:hAnsi="Times New Roman" w:cs="Times New Roman"/>
        </w:rPr>
        <w:t xml:space="preserve">to avoid </w:t>
      </w:r>
      <w:r w:rsidR="00455F75">
        <w:rPr>
          <w:rFonts w:ascii="Times New Roman" w:hAnsi="Times New Roman" w:cs="Times New Roman"/>
        </w:rPr>
        <w:t>contravening</w:t>
      </w:r>
      <w:r w:rsidR="00455F75" w:rsidRPr="00DF3C0A">
        <w:rPr>
          <w:rFonts w:ascii="Times New Roman" w:hAnsi="Times New Roman" w:cs="Times New Roman"/>
        </w:rPr>
        <w:t xml:space="preserve"> </w:t>
      </w:r>
      <w:r w:rsidR="00455F75">
        <w:rPr>
          <w:rFonts w:ascii="Times New Roman" w:hAnsi="Times New Roman" w:cs="Times New Roman"/>
        </w:rPr>
        <w:t>s</w:t>
      </w:r>
      <w:r w:rsidRPr="00DF3C0A">
        <w:rPr>
          <w:rFonts w:ascii="Times New Roman" w:hAnsi="Times New Roman" w:cs="Times New Roman"/>
        </w:rPr>
        <w:t>ubsection</w:t>
      </w:r>
      <w:r>
        <w:rPr>
          <w:rFonts w:ascii="Times New Roman" w:hAnsi="Times New Roman" w:cs="Times New Roman"/>
        </w:rPr>
        <w:t>s</w:t>
      </w:r>
      <w:r w:rsidRPr="00DF3C0A">
        <w:rPr>
          <w:rFonts w:ascii="Times New Roman" w:hAnsi="Times New Roman" w:cs="Times New Roman"/>
        </w:rPr>
        <w:t xml:space="preserve"> 11(3) </w:t>
      </w:r>
      <w:r>
        <w:rPr>
          <w:rFonts w:ascii="Times New Roman" w:hAnsi="Times New Roman" w:cs="Times New Roman"/>
        </w:rPr>
        <w:t xml:space="preserve">and 12B(3) </w:t>
      </w:r>
      <w:r w:rsidRPr="00DF3C0A">
        <w:rPr>
          <w:rFonts w:ascii="Times New Roman" w:hAnsi="Times New Roman" w:cs="Times New Roman"/>
        </w:rPr>
        <w:t>of the Act)</w:t>
      </w:r>
      <w:r>
        <w:rPr>
          <w:rFonts w:ascii="Times New Roman" w:hAnsi="Times New Roman" w:cs="Times New Roman"/>
        </w:rPr>
        <w:t>,</w:t>
      </w:r>
      <w:r w:rsidR="00192CDC" w:rsidRPr="00DF3C0A">
        <w:rPr>
          <w:rFonts w:ascii="Times New Roman" w:hAnsi="Times New Roman" w:cs="Times New Roman"/>
        </w:rPr>
        <w:t xml:space="preserve"> </w:t>
      </w:r>
      <w:r w:rsidR="00455F75">
        <w:rPr>
          <w:rFonts w:ascii="Times New Roman" w:hAnsi="Times New Roman" w:cs="Times New Roman"/>
        </w:rPr>
        <w:t xml:space="preserve">section 19 of </w:t>
      </w:r>
      <w:r w:rsidR="00192CDC" w:rsidRPr="00DF3C0A">
        <w:rPr>
          <w:rFonts w:ascii="Times New Roman" w:hAnsi="Times New Roman" w:cs="Times New Roman"/>
        </w:rPr>
        <w:t>the Act allows</w:t>
      </w:r>
      <w:r w:rsidR="00455F75">
        <w:rPr>
          <w:rFonts w:ascii="Times New Roman" w:hAnsi="Times New Roman" w:cs="Times New Roman"/>
        </w:rPr>
        <w:t xml:space="preserve"> for</w:t>
      </w:r>
      <w:r w:rsidR="00192CDC" w:rsidRPr="00DF3C0A">
        <w:rPr>
          <w:rFonts w:ascii="Times New Roman" w:hAnsi="Times New Roman" w:cs="Times New Roman"/>
        </w:rPr>
        <w:t xml:space="preserve"> ‘access-seekers’ to submit lists of telephone numbers to </w:t>
      </w:r>
      <w:r w:rsidR="0013280F">
        <w:rPr>
          <w:rFonts w:ascii="Times New Roman" w:hAnsi="Times New Roman" w:cs="Times New Roman"/>
        </w:rPr>
        <w:t xml:space="preserve">the </w:t>
      </w:r>
      <w:r w:rsidR="00192CDC" w:rsidRPr="00DF3C0A">
        <w:rPr>
          <w:rFonts w:ascii="Times New Roman" w:hAnsi="Times New Roman" w:cs="Times New Roman"/>
        </w:rPr>
        <w:t>ACMA or the contracted service provider for checking against the Do Not Call Register (section 19 of the Act). </w:t>
      </w:r>
      <w:r w:rsidR="0013280F">
        <w:rPr>
          <w:rFonts w:ascii="Times New Roman" w:hAnsi="Times New Roman" w:cs="Times New Roman"/>
        </w:rPr>
        <w:t xml:space="preserve">The </w:t>
      </w:r>
      <w:r w:rsidR="00192CDC" w:rsidRPr="00DF3C0A">
        <w:rPr>
          <w:rFonts w:ascii="Times New Roman" w:hAnsi="Times New Roman" w:cs="Times New Roman"/>
        </w:rPr>
        <w:t xml:space="preserve">ACMA or the contracted service provider must then inform the access-seeker which numbers (if any) on the access-seekers’ list </w:t>
      </w:r>
      <w:proofErr w:type="gramStart"/>
      <w:r w:rsidR="00192CDC" w:rsidRPr="00DF3C0A">
        <w:rPr>
          <w:rFonts w:ascii="Times New Roman" w:hAnsi="Times New Roman" w:cs="Times New Roman"/>
        </w:rPr>
        <w:t>are</w:t>
      </w:r>
      <w:proofErr w:type="gramEnd"/>
      <w:r w:rsidR="00192CDC" w:rsidRPr="00DF3C0A">
        <w:rPr>
          <w:rFonts w:ascii="Times New Roman" w:hAnsi="Times New Roman" w:cs="Times New Roman"/>
        </w:rPr>
        <w:t xml:space="preserve"> (or are not) registered on the Do Not Call Register. </w:t>
      </w:r>
    </w:p>
    <w:p w14:paraId="39C82D1A" w14:textId="5522F45F" w:rsidR="008164DA" w:rsidRDefault="00B60541" w:rsidP="0042527A">
      <w:pPr>
        <w:autoSpaceDE w:val="0"/>
        <w:autoSpaceDN w:val="0"/>
        <w:adjustRightInd w:val="0"/>
        <w:spacing w:after="120" w:line="240" w:lineRule="auto"/>
        <w:rPr>
          <w:rFonts w:ascii="Times New Roman" w:hAnsi="Times New Roman" w:cs="Times New Roman"/>
          <w:szCs w:val="21"/>
        </w:rPr>
      </w:pPr>
      <w:r w:rsidRPr="009B481C">
        <w:rPr>
          <w:rFonts w:ascii="Times New Roman" w:hAnsi="Times New Roman" w:cs="Times New Roman"/>
        </w:rPr>
        <w:t xml:space="preserve">Section 21 of the Act </w:t>
      </w:r>
      <w:r w:rsidR="00455F75">
        <w:rPr>
          <w:rFonts w:ascii="Times New Roman" w:hAnsi="Times New Roman" w:cs="Times New Roman"/>
        </w:rPr>
        <w:t>empowers</w:t>
      </w:r>
      <w:r w:rsidR="00455F75" w:rsidRPr="009B481C">
        <w:rPr>
          <w:rFonts w:ascii="Times New Roman" w:hAnsi="Times New Roman" w:cs="Times New Roman"/>
        </w:rPr>
        <w:t xml:space="preserve"> </w:t>
      </w:r>
      <w:r w:rsidRPr="009B481C">
        <w:rPr>
          <w:rFonts w:ascii="Times New Roman" w:hAnsi="Times New Roman" w:cs="Times New Roman"/>
        </w:rPr>
        <w:t xml:space="preserve">the ACMA to determine subscription fees for </w:t>
      </w:r>
      <w:r w:rsidR="00391D2A">
        <w:rPr>
          <w:rFonts w:ascii="Times New Roman" w:hAnsi="Times New Roman" w:cs="Times New Roman"/>
        </w:rPr>
        <w:t>‘</w:t>
      </w:r>
      <w:r w:rsidRPr="009B481C">
        <w:rPr>
          <w:rFonts w:ascii="Times New Roman" w:hAnsi="Times New Roman" w:cs="Times New Roman"/>
        </w:rPr>
        <w:t>washing</w:t>
      </w:r>
      <w:r w:rsidR="00391D2A">
        <w:rPr>
          <w:rFonts w:ascii="Times New Roman" w:hAnsi="Times New Roman" w:cs="Times New Roman"/>
        </w:rPr>
        <w:t>’</w:t>
      </w:r>
      <w:r w:rsidRPr="009B481C">
        <w:rPr>
          <w:rFonts w:ascii="Times New Roman" w:hAnsi="Times New Roman" w:cs="Times New Roman"/>
        </w:rPr>
        <w:t xml:space="preserve"> services </w:t>
      </w:r>
      <w:r w:rsidR="00455F75">
        <w:rPr>
          <w:rFonts w:ascii="Times New Roman" w:hAnsi="Times New Roman" w:cs="Times New Roman"/>
        </w:rPr>
        <w:t>provided to</w:t>
      </w:r>
      <w:r w:rsidRPr="009B481C">
        <w:rPr>
          <w:rFonts w:ascii="Times New Roman" w:hAnsi="Times New Roman" w:cs="Times New Roman"/>
        </w:rPr>
        <w:t xml:space="preserve"> access</w:t>
      </w:r>
      <w:r w:rsidR="00EB0B9C">
        <w:rPr>
          <w:rFonts w:ascii="Times New Roman" w:hAnsi="Times New Roman" w:cs="Times New Roman"/>
        </w:rPr>
        <w:t>-</w:t>
      </w:r>
      <w:r w:rsidRPr="009B481C">
        <w:rPr>
          <w:rFonts w:ascii="Times New Roman" w:hAnsi="Times New Roman" w:cs="Times New Roman"/>
        </w:rPr>
        <w:t>seekers.</w:t>
      </w:r>
      <w:r w:rsidR="00797304" w:rsidRPr="009B481C">
        <w:rPr>
          <w:rFonts w:ascii="Times New Roman" w:hAnsi="Times New Roman" w:cs="Times New Roman"/>
        </w:rPr>
        <w:t xml:space="preserve"> As a non-corporate Commonwealth entity</w:t>
      </w:r>
      <w:r w:rsidR="00EB117F">
        <w:rPr>
          <w:rFonts w:ascii="Times New Roman" w:hAnsi="Times New Roman" w:cs="Times New Roman"/>
        </w:rPr>
        <w:t xml:space="preserve"> (as defined </w:t>
      </w:r>
      <w:r w:rsidR="00EB117F" w:rsidRPr="00EB117F">
        <w:rPr>
          <w:rFonts w:ascii="Times New Roman" w:hAnsi="Times New Roman" w:cs="Times New Roman"/>
        </w:rPr>
        <w:t xml:space="preserve">under the </w:t>
      </w:r>
      <w:r w:rsidR="00EB117F" w:rsidRPr="0017272D">
        <w:rPr>
          <w:rFonts w:ascii="Times New Roman" w:hAnsi="Times New Roman" w:cs="Times New Roman"/>
          <w:i/>
          <w:iCs/>
        </w:rPr>
        <w:t>Public Governance, Performance and Accountability Act 2013</w:t>
      </w:r>
      <w:r w:rsidR="00EB117F">
        <w:rPr>
          <w:rFonts w:ascii="Times New Roman" w:hAnsi="Times New Roman" w:cs="Times New Roman"/>
        </w:rPr>
        <w:t>)</w:t>
      </w:r>
      <w:r w:rsidR="00797304" w:rsidRPr="009B481C">
        <w:rPr>
          <w:rFonts w:ascii="Times New Roman" w:hAnsi="Times New Roman" w:cs="Times New Roman"/>
        </w:rPr>
        <w:t>, the ACMA is bound by</w:t>
      </w:r>
      <w:r w:rsidR="00B82B82">
        <w:rPr>
          <w:rFonts w:ascii="Times New Roman" w:hAnsi="Times New Roman" w:cs="Times New Roman"/>
        </w:rPr>
        <w:t xml:space="preserve"> the</w:t>
      </w:r>
      <w:r w:rsidR="00797304" w:rsidRPr="009B481C">
        <w:rPr>
          <w:rFonts w:ascii="Times New Roman" w:hAnsi="Times New Roman" w:cs="Times New Roman"/>
        </w:rPr>
        <w:t xml:space="preserve"> </w:t>
      </w:r>
      <w:hyperlink r:id="rId12" w:history="1">
        <w:r w:rsidR="00797304" w:rsidRPr="009B481C">
          <w:rPr>
            <w:rStyle w:val="Hyperlink"/>
            <w:rFonts w:ascii="Times New Roman" w:hAnsi="Times New Roman" w:cs="Times New Roman"/>
            <w:szCs w:val="21"/>
          </w:rPr>
          <w:t>Australian Government Charging Framework</w:t>
        </w:r>
      </w:hyperlink>
      <w:r w:rsidR="00797304" w:rsidRPr="009B481C">
        <w:rPr>
          <w:rFonts w:ascii="Times New Roman" w:hAnsi="Times New Roman" w:cs="Times New Roman"/>
          <w:szCs w:val="21"/>
        </w:rPr>
        <w:t xml:space="preserve">, which requires the ACMA to apply the </w:t>
      </w:r>
      <w:hyperlink r:id="rId13" w:history="1">
        <w:r w:rsidR="00797304" w:rsidRPr="009B481C">
          <w:rPr>
            <w:rStyle w:val="Hyperlink"/>
            <w:rFonts w:ascii="Times New Roman" w:hAnsi="Times New Roman" w:cs="Times New Roman"/>
            <w:szCs w:val="21"/>
          </w:rPr>
          <w:t>Australian Government Cost Recovery Guidelines</w:t>
        </w:r>
      </w:hyperlink>
      <w:r w:rsidR="00797304" w:rsidRPr="009B481C">
        <w:rPr>
          <w:rFonts w:ascii="Times New Roman" w:hAnsi="Times New Roman" w:cs="Times New Roman"/>
          <w:szCs w:val="21"/>
        </w:rPr>
        <w:t xml:space="preserve"> (</w:t>
      </w:r>
      <w:r w:rsidR="00797304" w:rsidRPr="00720148">
        <w:rPr>
          <w:rFonts w:ascii="Times New Roman" w:hAnsi="Times New Roman" w:cs="Times New Roman"/>
          <w:szCs w:val="21"/>
        </w:rPr>
        <w:t>the</w:t>
      </w:r>
      <w:r w:rsidR="009B481C" w:rsidRPr="009B481C">
        <w:rPr>
          <w:rFonts w:ascii="Times New Roman" w:hAnsi="Times New Roman" w:cs="Times New Roman"/>
          <w:b/>
          <w:bCs/>
          <w:szCs w:val="21"/>
        </w:rPr>
        <w:t xml:space="preserve"> CRGs</w:t>
      </w:r>
      <w:r w:rsidR="00797304" w:rsidRPr="009B481C">
        <w:rPr>
          <w:rFonts w:ascii="Times New Roman" w:hAnsi="Times New Roman" w:cs="Times New Roman"/>
          <w:szCs w:val="21"/>
        </w:rPr>
        <w:t>) to regulatory charging activities</w:t>
      </w:r>
      <w:r w:rsidR="009B481C" w:rsidRPr="009B481C">
        <w:rPr>
          <w:rFonts w:ascii="Times New Roman" w:hAnsi="Times New Roman" w:cs="Times New Roman"/>
          <w:szCs w:val="21"/>
        </w:rPr>
        <w:t>.</w:t>
      </w:r>
    </w:p>
    <w:p w14:paraId="5B2393FD" w14:textId="217158DC" w:rsidR="0013280F" w:rsidRDefault="008164DA" w:rsidP="001A51D1">
      <w:pPr>
        <w:autoSpaceDE w:val="0"/>
        <w:autoSpaceDN w:val="0"/>
        <w:adjustRightInd w:val="0"/>
        <w:spacing w:after="120" w:line="240" w:lineRule="auto"/>
        <w:rPr>
          <w:rFonts w:ascii="Times New Roman" w:hAnsi="Times New Roman" w:cs="Times New Roman"/>
        </w:rPr>
      </w:pPr>
      <w:r>
        <w:rPr>
          <w:rFonts w:ascii="Times New Roman" w:hAnsi="Times New Roman" w:cs="Times New Roman"/>
          <w:szCs w:val="21"/>
        </w:rPr>
        <w:lastRenderedPageBreak/>
        <w:t>Consistent with the</w:t>
      </w:r>
      <w:r w:rsidR="00E229FE">
        <w:rPr>
          <w:rFonts w:ascii="Times New Roman" w:hAnsi="Times New Roman" w:cs="Times New Roman"/>
          <w:szCs w:val="21"/>
        </w:rPr>
        <w:t xml:space="preserve"> cost recovery principles and requirements set out in the</w:t>
      </w:r>
      <w:r>
        <w:rPr>
          <w:rFonts w:ascii="Times New Roman" w:hAnsi="Times New Roman" w:cs="Times New Roman"/>
          <w:szCs w:val="21"/>
        </w:rPr>
        <w:t xml:space="preserve"> CRGs</w:t>
      </w:r>
      <w:r w:rsidR="00E229FE">
        <w:rPr>
          <w:rFonts w:ascii="Times New Roman" w:hAnsi="Times New Roman" w:cs="Times New Roman"/>
          <w:szCs w:val="21"/>
        </w:rPr>
        <w:t>, the Amending Determination</w:t>
      </w:r>
      <w:r w:rsidR="00696A1F">
        <w:rPr>
          <w:rFonts w:ascii="Times New Roman" w:hAnsi="Times New Roman" w:cs="Times New Roman"/>
          <w:szCs w:val="21"/>
        </w:rPr>
        <w:t xml:space="preserve"> increases the fees </w:t>
      </w:r>
      <w:r w:rsidR="00455F75">
        <w:rPr>
          <w:rFonts w:ascii="Times New Roman" w:hAnsi="Times New Roman" w:cs="Times New Roman"/>
          <w:szCs w:val="21"/>
        </w:rPr>
        <w:t xml:space="preserve">set out in </w:t>
      </w:r>
      <w:r w:rsidR="003E05B3">
        <w:rPr>
          <w:rFonts w:ascii="Times New Roman" w:hAnsi="Times New Roman" w:cs="Times New Roman"/>
          <w:szCs w:val="21"/>
        </w:rPr>
        <w:t>Part 2 of</w:t>
      </w:r>
      <w:r w:rsidR="00696A1F">
        <w:rPr>
          <w:rFonts w:ascii="Times New Roman" w:hAnsi="Times New Roman" w:cs="Times New Roman"/>
          <w:szCs w:val="21"/>
        </w:rPr>
        <w:t xml:space="preserve"> the </w:t>
      </w:r>
      <w:r w:rsidR="00696A1F" w:rsidRPr="00E93234">
        <w:rPr>
          <w:rFonts w:ascii="Times New Roman" w:hAnsi="Times New Roman" w:cs="Times New Roman"/>
          <w:i/>
          <w:iCs/>
          <w:szCs w:val="21"/>
        </w:rPr>
        <w:t xml:space="preserve">Do Not Call Register (Access Fees) Determination 2017 </w:t>
      </w:r>
      <w:r w:rsidR="00696A1F">
        <w:rPr>
          <w:rFonts w:ascii="Times New Roman" w:hAnsi="Times New Roman" w:cs="Times New Roman"/>
          <w:szCs w:val="21"/>
        </w:rPr>
        <w:t>(</w:t>
      </w:r>
      <w:r w:rsidR="00696A1F" w:rsidRPr="00E93234">
        <w:rPr>
          <w:rFonts w:ascii="Times New Roman" w:hAnsi="Times New Roman" w:cs="Times New Roman"/>
          <w:b/>
          <w:bCs/>
          <w:szCs w:val="21"/>
        </w:rPr>
        <w:t>the Determination</w:t>
      </w:r>
      <w:r w:rsidR="00696A1F">
        <w:rPr>
          <w:rFonts w:ascii="Times New Roman" w:hAnsi="Times New Roman" w:cs="Times New Roman"/>
          <w:szCs w:val="21"/>
        </w:rPr>
        <w:t xml:space="preserve">) </w:t>
      </w:r>
      <w:r w:rsidR="006F4357">
        <w:rPr>
          <w:rFonts w:ascii="Times New Roman" w:hAnsi="Times New Roman" w:cs="Times New Roman"/>
          <w:szCs w:val="21"/>
        </w:rPr>
        <w:t xml:space="preserve">to </w:t>
      </w:r>
      <w:r w:rsidR="00CD0753">
        <w:rPr>
          <w:rFonts w:ascii="Times New Roman" w:hAnsi="Times New Roman" w:cs="Times New Roman"/>
          <w:szCs w:val="21"/>
        </w:rPr>
        <w:t xml:space="preserve">avoid </w:t>
      </w:r>
      <w:r w:rsidR="00E93234">
        <w:rPr>
          <w:rFonts w:ascii="Times New Roman" w:hAnsi="Times New Roman" w:cs="Times New Roman"/>
          <w:szCs w:val="21"/>
        </w:rPr>
        <w:t xml:space="preserve">a </w:t>
      </w:r>
      <w:r w:rsidR="00455F75">
        <w:rPr>
          <w:rFonts w:ascii="Times New Roman" w:hAnsi="Times New Roman" w:cs="Times New Roman"/>
          <w:szCs w:val="21"/>
        </w:rPr>
        <w:t>shortfall in costs recovered by the</w:t>
      </w:r>
      <w:r w:rsidR="00E93234">
        <w:rPr>
          <w:rFonts w:ascii="Times New Roman" w:hAnsi="Times New Roman" w:cs="Times New Roman"/>
          <w:szCs w:val="21"/>
        </w:rPr>
        <w:t xml:space="preserve"> Australian Government for the operation of the Do Not Call Register.</w:t>
      </w:r>
      <w:r w:rsidR="00CD0753">
        <w:rPr>
          <w:rFonts w:ascii="Times New Roman" w:hAnsi="Times New Roman" w:cs="Times New Roman"/>
          <w:szCs w:val="21"/>
        </w:rPr>
        <w:t xml:space="preserve"> </w:t>
      </w:r>
      <w:r w:rsidR="00085AC4" w:rsidRPr="0033685D">
        <w:rPr>
          <w:rFonts w:ascii="Times New Roman" w:hAnsi="Times New Roman" w:cs="Times New Roman"/>
        </w:rPr>
        <w:t>These access fees were last increased in 2017.</w:t>
      </w:r>
      <w:r w:rsidR="00085AC4">
        <w:rPr>
          <w:rFonts w:ascii="Times New Roman" w:hAnsi="Times New Roman" w:cs="Times New Roman"/>
        </w:rPr>
        <w:t xml:space="preserve"> </w:t>
      </w:r>
      <w:r w:rsidR="00025ACE">
        <w:rPr>
          <w:rFonts w:ascii="Times New Roman" w:hAnsi="Times New Roman" w:cs="Times New Roman"/>
        </w:rPr>
        <w:t xml:space="preserve">A </w:t>
      </w:r>
      <w:r w:rsidR="00805358">
        <w:rPr>
          <w:rFonts w:ascii="Times New Roman" w:hAnsi="Times New Roman" w:cs="Times New Roman"/>
        </w:rPr>
        <w:t>description</w:t>
      </w:r>
      <w:r w:rsidR="00025ACE">
        <w:rPr>
          <w:rFonts w:ascii="Times New Roman" w:hAnsi="Times New Roman" w:cs="Times New Roman"/>
        </w:rPr>
        <w:t xml:space="preserve"> of</w:t>
      </w:r>
      <w:r w:rsidR="0013280F">
        <w:rPr>
          <w:rFonts w:ascii="Times New Roman" w:hAnsi="Times New Roman" w:cs="Times New Roman"/>
        </w:rPr>
        <w:t xml:space="preserve"> each provision of</w:t>
      </w:r>
      <w:r w:rsidR="00025ACE">
        <w:rPr>
          <w:rFonts w:ascii="Times New Roman" w:hAnsi="Times New Roman" w:cs="Times New Roman"/>
        </w:rPr>
        <w:t xml:space="preserve"> the </w:t>
      </w:r>
      <w:r w:rsidR="00CB6E2B">
        <w:rPr>
          <w:rFonts w:ascii="Times New Roman" w:hAnsi="Times New Roman" w:cs="Times New Roman"/>
        </w:rPr>
        <w:t>Amending Determination</w:t>
      </w:r>
      <w:r w:rsidR="0013280F">
        <w:rPr>
          <w:rFonts w:ascii="Times New Roman" w:hAnsi="Times New Roman" w:cs="Times New Roman"/>
        </w:rPr>
        <w:t xml:space="preserve"> </w:t>
      </w:r>
      <w:r w:rsidR="00025ACE">
        <w:rPr>
          <w:rFonts w:ascii="Times New Roman" w:hAnsi="Times New Roman" w:cs="Times New Roman"/>
        </w:rPr>
        <w:t xml:space="preserve">is </w:t>
      </w:r>
      <w:r w:rsidR="00AD3414">
        <w:rPr>
          <w:rFonts w:ascii="Times New Roman" w:hAnsi="Times New Roman" w:cs="Times New Roman"/>
        </w:rPr>
        <w:t>set out</w:t>
      </w:r>
      <w:r w:rsidR="001C4BF8">
        <w:rPr>
          <w:rFonts w:ascii="Times New Roman" w:hAnsi="Times New Roman" w:cs="Times New Roman"/>
        </w:rPr>
        <w:t xml:space="preserve"> in </w:t>
      </w:r>
      <w:r w:rsidR="0041080C">
        <w:rPr>
          <w:rFonts w:ascii="Times New Roman" w:hAnsi="Times New Roman" w:cs="Times New Roman"/>
        </w:rPr>
        <w:t xml:space="preserve">the </w:t>
      </w:r>
      <w:r w:rsidR="001C4BF8">
        <w:rPr>
          <w:rFonts w:ascii="Times New Roman" w:hAnsi="Times New Roman" w:cs="Times New Roman"/>
        </w:rPr>
        <w:t>n</w:t>
      </w:r>
      <w:r w:rsidR="00025ACE">
        <w:rPr>
          <w:rFonts w:ascii="Times New Roman" w:hAnsi="Times New Roman" w:cs="Times New Roman"/>
        </w:rPr>
        <w:t>otes</w:t>
      </w:r>
      <w:r w:rsidR="001C4BF8">
        <w:rPr>
          <w:rFonts w:ascii="Times New Roman" w:hAnsi="Times New Roman" w:cs="Times New Roman"/>
        </w:rPr>
        <w:t xml:space="preserve"> </w:t>
      </w:r>
      <w:r w:rsidR="00025ACE">
        <w:rPr>
          <w:rFonts w:ascii="Times New Roman" w:hAnsi="Times New Roman" w:cs="Times New Roman"/>
        </w:rPr>
        <w:t xml:space="preserve">at </w:t>
      </w:r>
      <w:r w:rsidR="00025ACE" w:rsidRPr="00025ACE">
        <w:rPr>
          <w:rFonts w:ascii="Times New Roman" w:hAnsi="Times New Roman" w:cs="Times New Roman"/>
          <w:b/>
        </w:rPr>
        <w:t>Attachment A</w:t>
      </w:r>
      <w:r w:rsidR="00025ACE">
        <w:rPr>
          <w:rFonts w:ascii="Times New Roman" w:hAnsi="Times New Roman" w:cs="Times New Roman"/>
        </w:rPr>
        <w:t>.</w:t>
      </w:r>
    </w:p>
    <w:p w14:paraId="6D026E2B" w14:textId="1E02579B" w:rsidR="00025ACE" w:rsidRDefault="00805358" w:rsidP="001A51D1">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The </w:t>
      </w:r>
      <w:r w:rsidR="00CB6E2B">
        <w:rPr>
          <w:rFonts w:ascii="Times New Roman" w:hAnsi="Times New Roman" w:cs="Times New Roman"/>
        </w:rPr>
        <w:t>Amending Determination</w:t>
      </w:r>
      <w:r w:rsidR="0013280F">
        <w:rPr>
          <w:rFonts w:ascii="Times New Roman" w:hAnsi="Times New Roman" w:cs="Times New Roman"/>
        </w:rPr>
        <w:t xml:space="preserve"> </w:t>
      </w:r>
      <w:r>
        <w:rPr>
          <w:rFonts w:ascii="Times New Roman" w:hAnsi="Times New Roman" w:cs="Times New Roman"/>
        </w:rPr>
        <w:t>is a</w:t>
      </w:r>
      <w:r w:rsidR="00EE188D">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sidRPr="00450F48">
        <w:rPr>
          <w:rFonts w:ascii="Times New Roman" w:hAnsi="Times New Roman" w:cs="Times New Roman"/>
          <w:i/>
        </w:rPr>
        <w:t>Legislation Act 2003</w:t>
      </w:r>
      <w:r>
        <w:rPr>
          <w:rFonts w:ascii="Times New Roman" w:hAnsi="Times New Roman" w:cs="Times New Roman"/>
        </w:rPr>
        <w:t>.</w:t>
      </w:r>
    </w:p>
    <w:p w14:paraId="6D32372C" w14:textId="77777777" w:rsidR="00696338" w:rsidRDefault="00696338" w:rsidP="001A51D1">
      <w:pPr>
        <w:spacing w:before="240" w:after="120" w:line="240" w:lineRule="auto"/>
        <w:rPr>
          <w:rFonts w:ascii="Times New Roman" w:hAnsi="Times New Roman" w:cs="Times New Roman"/>
          <w:b/>
        </w:rPr>
      </w:pPr>
      <w:r>
        <w:rPr>
          <w:rFonts w:ascii="Times New Roman" w:hAnsi="Times New Roman" w:cs="Times New Roman"/>
          <w:b/>
        </w:rPr>
        <w:t>Documents incorporated by reference</w:t>
      </w:r>
    </w:p>
    <w:p w14:paraId="69333983" w14:textId="7AD6AB68" w:rsidR="00696338" w:rsidRPr="000B4B6C" w:rsidRDefault="006C42BA" w:rsidP="001A51D1">
      <w:pPr>
        <w:spacing w:after="120" w:line="240" w:lineRule="auto"/>
        <w:rPr>
          <w:rFonts w:ascii="Times New Roman" w:hAnsi="Times New Roman" w:cs="Times New Roman"/>
        </w:rPr>
      </w:pPr>
      <w:r>
        <w:rPr>
          <w:rFonts w:ascii="Times New Roman" w:hAnsi="Times New Roman" w:cs="Times New Roman"/>
        </w:rPr>
        <w:t xml:space="preserve">The </w:t>
      </w:r>
      <w:r w:rsidR="00CB6E2B">
        <w:rPr>
          <w:rFonts w:ascii="Times New Roman" w:hAnsi="Times New Roman" w:cs="Times New Roman"/>
        </w:rPr>
        <w:t>Amending Determination</w:t>
      </w:r>
      <w:r w:rsidR="009A5F50">
        <w:rPr>
          <w:rFonts w:ascii="Times New Roman" w:hAnsi="Times New Roman" w:cs="Times New Roman"/>
        </w:rPr>
        <w:t xml:space="preserve"> </w:t>
      </w:r>
      <w:r w:rsidR="00696338">
        <w:rPr>
          <w:rFonts w:ascii="Times New Roman" w:hAnsi="Times New Roman" w:cs="Times New Roman"/>
        </w:rPr>
        <w:t>does not incorporate any document by reference.</w:t>
      </w:r>
    </w:p>
    <w:p w14:paraId="28832377" w14:textId="77777777" w:rsidR="00BB076E" w:rsidRPr="00BB076E" w:rsidRDefault="00BB076E" w:rsidP="001A51D1">
      <w:pPr>
        <w:spacing w:before="240" w:after="120" w:line="240" w:lineRule="auto"/>
        <w:rPr>
          <w:rFonts w:ascii="Times New Roman" w:hAnsi="Times New Roman" w:cs="Times New Roman"/>
          <w:b/>
        </w:rPr>
      </w:pPr>
      <w:r w:rsidRPr="00BB076E">
        <w:rPr>
          <w:rFonts w:ascii="Times New Roman" w:hAnsi="Times New Roman" w:cs="Times New Roman"/>
          <w:b/>
        </w:rPr>
        <w:t>Consultation</w:t>
      </w:r>
    </w:p>
    <w:p w14:paraId="1EB4A0D6" w14:textId="3E52E19C" w:rsidR="00681986" w:rsidRPr="00CA176B" w:rsidRDefault="00152D4C" w:rsidP="001A51D1">
      <w:pPr>
        <w:spacing w:after="120" w:line="240" w:lineRule="auto"/>
        <w:rPr>
          <w:rFonts w:ascii="Times New Roman" w:hAnsi="Times New Roman" w:cs="Times New Roman"/>
        </w:rPr>
      </w:pPr>
      <w:r>
        <w:rPr>
          <w:rFonts w:ascii="Times New Roman" w:hAnsi="Times New Roman" w:cs="Times New Roman"/>
        </w:rPr>
        <w:t xml:space="preserve">Before the </w:t>
      </w:r>
      <w:r w:rsidR="00705AA8" w:rsidRPr="00705AA8">
        <w:rPr>
          <w:rFonts w:ascii="Times New Roman" w:hAnsi="Times New Roman" w:cs="Times New Roman"/>
        </w:rPr>
        <w:t>Amending Determination</w:t>
      </w:r>
      <w:r w:rsidR="00A92CAA">
        <w:rPr>
          <w:rFonts w:ascii="Times New Roman" w:hAnsi="Times New Roman" w:cs="Times New Roman"/>
        </w:rPr>
        <w:t xml:space="preserve"> was made,</w:t>
      </w:r>
      <w:r w:rsidR="00681986" w:rsidRPr="00CA176B">
        <w:rPr>
          <w:rFonts w:ascii="Times New Roman" w:hAnsi="Times New Roman" w:cs="Times New Roman"/>
        </w:rPr>
        <w:t xml:space="preserve"> ACMA </w:t>
      </w:r>
      <w:r w:rsidR="009A5F50">
        <w:rPr>
          <w:rFonts w:ascii="Times New Roman" w:hAnsi="Times New Roman" w:cs="Times New Roman"/>
        </w:rPr>
        <w:t>undertook</w:t>
      </w:r>
      <w:r w:rsidR="00681986" w:rsidRPr="00CA176B">
        <w:rPr>
          <w:rFonts w:ascii="Times New Roman" w:hAnsi="Times New Roman" w:cs="Times New Roman"/>
        </w:rPr>
        <w:t xml:space="preserve"> consultation</w:t>
      </w:r>
      <w:r w:rsidR="00894EBF">
        <w:rPr>
          <w:rFonts w:ascii="Times New Roman" w:hAnsi="Times New Roman" w:cs="Times New Roman"/>
        </w:rPr>
        <w:t xml:space="preserve"> </w:t>
      </w:r>
      <w:r w:rsidR="009A5F50">
        <w:rPr>
          <w:rFonts w:ascii="Times New Roman" w:hAnsi="Times New Roman" w:cs="Times New Roman"/>
        </w:rPr>
        <w:t>i</w:t>
      </w:r>
      <w:r w:rsidR="009A5F50" w:rsidRPr="00CA176B">
        <w:rPr>
          <w:rFonts w:ascii="Times New Roman" w:hAnsi="Times New Roman" w:cs="Times New Roman"/>
        </w:rPr>
        <w:t xml:space="preserve">n accordance with section 17 of the </w:t>
      </w:r>
      <w:r w:rsidR="009A5F50" w:rsidRPr="00450F48">
        <w:rPr>
          <w:rFonts w:ascii="Times New Roman" w:hAnsi="Times New Roman" w:cs="Times New Roman"/>
          <w:i/>
        </w:rPr>
        <w:t>Legislation Act 2003</w:t>
      </w:r>
      <w:r w:rsidR="00681986" w:rsidRPr="00CA176B">
        <w:rPr>
          <w:rFonts w:ascii="Times New Roman" w:hAnsi="Times New Roman" w:cs="Times New Roman"/>
        </w:rPr>
        <w:t>.</w:t>
      </w:r>
    </w:p>
    <w:p w14:paraId="29EE4B08" w14:textId="36B75B65" w:rsidR="00997F50" w:rsidRPr="00F25F41" w:rsidRDefault="00C96538" w:rsidP="00455F75">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ACMA undertook </w:t>
      </w:r>
      <w:r w:rsidR="00B50C9C">
        <w:rPr>
          <w:rFonts w:ascii="Times New Roman" w:eastAsia="Times New Roman" w:hAnsi="Times New Roman" w:cs="Times New Roman"/>
          <w:color w:val="000000"/>
          <w:lang w:eastAsia="en-AU"/>
        </w:rPr>
        <w:t xml:space="preserve">a public consultation process from </w:t>
      </w:r>
      <w:r w:rsidR="00997F50">
        <w:rPr>
          <w:rFonts w:ascii="Times New Roman" w:eastAsia="Times New Roman" w:hAnsi="Times New Roman" w:cs="Times New Roman"/>
          <w:color w:val="000000"/>
          <w:lang w:eastAsia="en-AU"/>
        </w:rPr>
        <w:t xml:space="preserve">30 July </w:t>
      </w:r>
      <w:r w:rsidR="00B50C9C">
        <w:rPr>
          <w:rFonts w:ascii="Times New Roman" w:eastAsia="Times New Roman" w:hAnsi="Times New Roman" w:cs="Times New Roman"/>
          <w:color w:val="000000"/>
          <w:lang w:eastAsia="en-AU"/>
        </w:rPr>
        <w:t>until</w:t>
      </w:r>
      <w:r w:rsidR="00997F50">
        <w:rPr>
          <w:rFonts w:ascii="Times New Roman" w:eastAsia="Times New Roman" w:hAnsi="Times New Roman" w:cs="Times New Roman"/>
          <w:color w:val="000000"/>
          <w:lang w:eastAsia="en-AU"/>
        </w:rPr>
        <w:t xml:space="preserve"> 20 August 2021</w:t>
      </w:r>
      <w:r w:rsidR="00997F50" w:rsidRPr="00997F50">
        <w:rPr>
          <w:rFonts w:ascii="Times New Roman" w:eastAsia="Times New Roman" w:hAnsi="Times New Roman" w:cs="Times New Roman"/>
          <w:color w:val="000000"/>
          <w:lang w:eastAsia="en-AU"/>
        </w:rPr>
        <w:t xml:space="preserve">, </w:t>
      </w:r>
      <w:r w:rsidR="00997F50">
        <w:rPr>
          <w:rFonts w:ascii="Times New Roman" w:eastAsia="Times New Roman" w:hAnsi="Times New Roman" w:cs="Times New Roman"/>
          <w:color w:val="000000"/>
          <w:lang w:eastAsia="en-AU"/>
        </w:rPr>
        <w:t xml:space="preserve">publishing </w:t>
      </w:r>
      <w:r w:rsidR="00997F50" w:rsidRPr="00997F50">
        <w:rPr>
          <w:rFonts w:ascii="Times New Roman" w:eastAsia="Times New Roman" w:hAnsi="Times New Roman" w:cs="Times New Roman"/>
          <w:color w:val="000000"/>
          <w:lang w:eastAsia="en-AU"/>
        </w:rPr>
        <w:t xml:space="preserve">a draft of the </w:t>
      </w:r>
      <w:r w:rsidR="00997F50">
        <w:rPr>
          <w:rFonts w:ascii="Times New Roman" w:eastAsia="Times New Roman" w:hAnsi="Times New Roman" w:cs="Times New Roman"/>
          <w:color w:val="000000"/>
          <w:lang w:eastAsia="en-AU"/>
        </w:rPr>
        <w:t xml:space="preserve">Amending Determination </w:t>
      </w:r>
      <w:r w:rsidR="00141060">
        <w:rPr>
          <w:rFonts w:ascii="Times New Roman" w:eastAsia="Times New Roman" w:hAnsi="Times New Roman" w:cs="Times New Roman"/>
          <w:color w:val="000000"/>
          <w:lang w:eastAsia="en-AU"/>
        </w:rPr>
        <w:t xml:space="preserve">and </w:t>
      </w:r>
      <w:r w:rsidR="00141060" w:rsidRPr="00141060">
        <w:rPr>
          <w:rFonts w:ascii="Times New Roman" w:eastAsia="Times New Roman" w:hAnsi="Times New Roman" w:cs="Times New Roman"/>
          <w:color w:val="000000"/>
          <w:lang w:eastAsia="en-AU"/>
        </w:rPr>
        <w:t>the draft Cost Recovery Implementation Statement</w:t>
      </w:r>
      <w:r w:rsidR="00B67CAE">
        <w:rPr>
          <w:rFonts w:ascii="Times New Roman" w:eastAsia="Times New Roman" w:hAnsi="Times New Roman" w:cs="Times New Roman"/>
          <w:color w:val="000000"/>
          <w:lang w:eastAsia="en-AU"/>
        </w:rPr>
        <w:t xml:space="preserve"> for the Do Not Call Register </w:t>
      </w:r>
      <w:r w:rsidR="00997F50">
        <w:rPr>
          <w:rFonts w:ascii="Times New Roman" w:eastAsia="Times New Roman" w:hAnsi="Times New Roman" w:cs="Times New Roman"/>
          <w:color w:val="000000"/>
          <w:lang w:eastAsia="en-AU"/>
        </w:rPr>
        <w:t>on the ACMA’s</w:t>
      </w:r>
      <w:r w:rsidR="00997F50" w:rsidRPr="00997F50">
        <w:rPr>
          <w:rFonts w:ascii="Times New Roman" w:eastAsia="Times New Roman" w:hAnsi="Times New Roman" w:cs="Times New Roman"/>
          <w:color w:val="000000"/>
          <w:lang w:eastAsia="en-AU"/>
        </w:rPr>
        <w:t xml:space="preserve"> website</w:t>
      </w:r>
      <w:bookmarkStart w:id="0" w:name="_Hlk33451712"/>
      <w:bookmarkEnd w:id="0"/>
      <w:r w:rsidR="00455F75">
        <w:rPr>
          <w:rFonts w:ascii="Times New Roman" w:eastAsia="Times New Roman" w:hAnsi="Times New Roman" w:cs="Times New Roman"/>
          <w:color w:val="000000"/>
          <w:lang w:eastAsia="en-AU"/>
        </w:rPr>
        <w:t>.</w:t>
      </w:r>
    </w:p>
    <w:p w14:paraId="35812BEC" w14:textId="07AD98F7" w:rsidR="00E004A3" w:rsidRDefault="009A13F9" w:rsidP="00997F50">
      <w:pPr>
        <w:shd w:val="clear" w:color="auto" w:fill="FFFFFF"/>
        <w:spacing w:line="233" w:lineRule="atLeast"/>
        <w:rPr>
          <w:rFonts w:ascii="Times New Roman" w:eastAsia="Times New Roman" w:hAnsi="Times New Roman" w:cs="Times New Roman"/>
          <w:color w:val="000000"/>
          <w:lang w:eastAsia="en-AU"/>
        </w:rPr>
      </w:pPr>
      <w:r w:rsidRPr="009A13F9">
        <w:rPr>
          <w:rFonts w:ascii="Times New Roman" w:eastAsia="Times New Roman" w:hAnsi="Times New Roman" w:cs="Times New Roman"/>
          <w:color w:val="000000"/>
          <w:lang w:eastAsia="en-AU"/>
        </w:rPr>
        <w:t xml:space="preserve">The ACMA also contacted the Association for Data-driven Marketing and Advertising, 662 active users of the Do Not Call Register and 1,063 other telemarketing stakeholders to invite comment on the draft Amending Determination and the draft Cost Recovery Implementation Statement. </w:t>
      </w:r>
    </w:p>
    <w:p w14:paraId="576DDCDD" w14:textId="3A32904B" w:rsidR="00E004A3" w:rsidRDefault="00997F50" w:rsidP="00997F50">
      <w:pPr>
        <w:shd w:val="clear" w:color="auto" w:fill="FFFFFF"/>
        <w:spacing w:line="233" w:lineRule="atLeast"/>
        <w:rPr>
          <w:rFonts w:ascii="Times New Roman" w:eastAsia="Times New Roman" w:hAnsi="Times New Roman" w:cs="Times New Roman"/>
          <w:color w:val="000000"/>
          <w:lang w:eastAsia="en-AU"/>
        </w:rPr>
      </w:pPr>
      <w:r w:rsidRPr="00997F50">
        <w:rPr>
          <w:rFonts w:ascii="Times New Roman" w:eastAsia="Times New Roman" w:hAnsi="Times New Roman" w:cs="Times New Roman"/>
          <w:color w:val="000000"/>
          <w:lang w:eastAsia="en-AU"/>
        </w:rPr>
        <w:t xml:space="preserve">The ACMA received two submissions </w:t>
      </w:r>
      <w:r w:rsidR="00E004A3">
        <w:rPr>
          <w:rFonts w:ascii="Times New Roman" w:eastAsia="Times New Roman" w:hAnsi="Times New Roman" w:cs="Times New Roman"/>
          <w:color w:val="000000"/>
          <w:lang w:eastAsia="en-AU"/>
        </w:rPr>
        <w:t xml:space="preserve">to the consultation. </w:t>
      </w:r>
    </w:p>
    <w:p w14:paraId="3F10AF38" w14:textId="146AA127" w:rsidR="00CD36A7" w:rsidRPr="00CD36A7" w:rsidRDefault="002B27E6" w:rsidP="00CD36A7">
      <w:pPr>
        <w:shd w:val="clear" w:color="auto" w:fill="FFFFFF"/>
        <w:spacing w:line="233" w:lineRule="atLeast"/>
        <w:rPr>
          <w:rFonts w:ascii="Times New Roman" w:eastAsia="Times New Roman" w:hAnsi="Times New Roman" w:cs="Times New Roman"/>
          <w:color w:val="000000"/>
          <w:lang w:eastAsia="en-AU"/>
        </w:rPr>
      </w:pPr>
      <w:r w:rsidRPr="002B27E6">
        <w:rPr>
          <w:rFonts w:ascii="Times New Roman" w:eastAsia="Times New Roman" w:hAnsi="Times New Roman" w:cs="Times New Roman"/>
          <w:color w:val="000000"/>
          <w:lang w:eastAsia="en-AU"/>
        </w:rPr>
        <w:t xml:space="preserve">Neither submission supported the </w:t>
      </w:r>
      <w:r w:rsidR="0038035F">
        <w:rPr>
          <w:rFonts w:ascii="Times New Roman" w:eastAsia="Times New Roman" w:hAnsi="Times New Roman" w:cs="Times New Roman"/>
          <w:color w:val="000000"/>
          <w:lang w:eastAsia="en-AU"/>
        </w:rPr>
        <w:t xml:space="preserve">proposed </w:t>
      </w:r>
      <w:r w:rsidR="008B09DF">
        <w:rPr>
          <w:rFonts w:ascii="Times New Roman" w:eastAsia="Times New Roman" w:hAnsi="Times New Roman" w:cs="Times New Roman"/>
          <w:color w:val="000000"/>
          <w:lang w:eastAsia="en-AU"/>
        </w:rPr>
        <w:t xml:space="preserve">fee </w:t>
      </w:r>
      <w:r w:rsidRPr="002B27E6">
        <w:rPr>
          <w:rFonts w:ascii="Times New Roman" w:eastAsia="Times New Roman" w:hAnsi="Times New Roman" w:cs="Times New Roman"/>
          <w:color w:val="000000"/>
          <w:lang w:eastAsia="en-AU"/>
        </w:rPr>
        <w:t>increase</w:t>
      </w:r>
      <w:r w:rsidR="008B09DF">
        <w:rPr>
          <w:rFonts w:ascii="Times New Roman" w:eastAsia="Times New Roman" w:hAnsi="Times New Roman" w:cs="Times New Roman"/>
          <w:color w:val="000000"/>
          <w:lang w:eastAsia="en-AU"/>
        </w:rPr>
        <w:t xml:space="preserve"> or it</w:t>
      </w:r>
      <w:r w:rsidR="00E54AB2">
        <w:rPr>
          <w:rFonts w:ascii="Times New Roman" w:eastAsia="Times New Roman" w:hAnsi="Times New Roman" w:cs="Times New Roman"/>
          <w:color w:val="000000"/>
          <w:lang w:eastAsia="en-AU"/>
        </w:rPr>
        <w:t xml:space="preserve">s proposed implementation </w:t>
      </w:r>
      <w:r w:rsidR="008B09DF">
        <w:rPr>
          <w:rFonts w:ascii="Times New Roman" w:eastAsia="Times New Roman" w:hAnsi="Times New Roman" w:cs="Times New Roman"/>
          <w:color w:val="000000"/>
          <w:lang w:eastAsia="en-AU"/>
        </w:rPr>
        <w:t>on 1 October 2021</w:t>
      </w:r>
      <w:r w:rsidRPr="002B27E6">
        <w:rPr>
          <w:rFonts w:ascii="Times New Roman" w:eastAsia="Times New Roman" w:hAnsi="Times New Roman" w:cs="Times New Roman"/>
          <w:color w:val="000000"/>
          <w:lang w:eastAsia="en-AU"/>
        </w:rPr>
        <w:t xml:space="preserve">, however the cost recovery methodology </w:t>
      </w:r>
      <w:r w:rsidR="00431180">
        <w:rPr>
          <w:rFonts w:ascii="Times New Roman" w:eastAsia="Times New Roman" w:hAnsi="Times New Roman" w:cs="Times New Roman"/>
          <w:color w:val="000000"/>
          <w:lang w:eastAsia="en-AU"/>
        </w:rPr>
        <w:t xml:space="preserve">used to </w:t>
      </w:r>
      <w:r w:rsidR="00B71ABE">
        <w:rPr>
          <w:rFonts w:ascii="Times New Roman" w:eastAsia="Times New Roman" w:hAnsi="Times New Roman" w:cs="Times New Roman"/>
          <w:color w:val="000000"/>
          <w:lang w:eastAsia="en-AU"/>
        </w:rPr>
        <w:t>establish</w:t>
      </w:r>
      <w:r w:rsidR="00431180">
        <w:rPr>
          <w:rFonts w:ascii="Times New Roman" w:eastAsia="Times New Roman" w:hAnsi="Times New Roman" w:cs="Times New Roman"/>
          <w:color w:val="000000"/>
          <w:lang w:eastAsia="en-AU"/>
        </w:rPr>
        <w:t xml:space="preserve"> the </w:t>
      </w:r>
      <w:r w:rsidR="001A6335">
        <w:rPr>
          <w:rFonts w:ascii="Times New Roman" w:eastAsia="Times New Roman" w:hAnsi="Times New Roman" w:cs="Times New Roman"/>
          <w:color w:val="000000"/>
          <w:lang w:eastAsia="en-AU"/>
        </w:rPr>
        <w:t xml:space="preserve">11% </w:t>
      </w:r>
      <w:r w:rsidR="00431180">
        <w:rPr>
          <w:rFonts w:ascii="Times New Roman" w:eastAsia="Times New Roman" w:hAnsi="Times New Roman" w:cs="Times New Roman"/>
          <w:color w:val="000000"/>
          <w:lang w:eastAsia="en-AU"/>
        </w:rPr>
        <w:t xml:space="preserve">increase </w:t>
      </w:r>
      <w:r w:rsidRPr="002B27E6">
        <w:rPr>
          <w:rFonts w:ascii="Times New Roman" w:eastAsia="Times New Roman" w:hAnsi="Times New Roman" w:cs="Times New Roman"/>
          <w:color w:val="000000"/>
          <w:lang w:eastAsia="en-AU"/>
        </w:rPr>
        <w:t>was not contested.</w:t>
      </w:r>
      <w:r w:rsidR="00C5376A" w:rsidRPr="00C5376A">
        <w:t xml:space="preserve"> </w:t>
      </w:r>
      <w:r w:rsidR="00C5376A" w:rsidRPr="00C5376A">
        <w:rPr>
          <w:rFonts w:ascii="Times New Roman" w:eastAsia="Times New Roman" w:hAnsi="Times New Roman" w:cs="Times New Roman"/>
          <w:color w:val="000000"/>
          <w:lang w:eastAsia="en-AU"/>
        </w:rPr>
        <w:t>The ACMA considered all relevant issues raised by the two submissions when finalising the instrument</w:t>
      </w:r>
      <w:r w:rsidR="00567F0E">
        <w:rPr>
          <w:rFonts w:ascii="Times New Roman" w:eastAsia="Times New Roman" w:hAnsi="Times New Roman" w:cs="Times New Roman"/>
          <w:color w:val="000000"/>
          <w:lang w:eastAsia="en-AU"/>
        </w:rPr>
        <w:t>.</w:t>
      </w:r>
    </w:p>
    <w:p w14:paraId="3DBDAC14" w14:textId="006BFECA" w:rsidR="0091080B" w:rsidRDefault="00FB4437" w:rsidP="005A22E3">
      <w:pPr>
        <w:rPr>
          <w:rFonts w:ascii="Times New Roman" w:hAnsi="Times New Roman" w:cs="Times New Roman"/>
          <w:b/>
        </w:rPr>
      </w:pPr>
      <w:r>
        <w:rPr>
          <w:rFonts w:ascii="Times New Roman" w:hAnsi="Times New Roman" w:cs="Times New Roman"/>
          <w:b/>
        </w:rPr>
        <w:t>Regulatory impact assessment</w:t>
      </w:r>
    </w:p>
    <w:p w14:paraId="2B06E4AF" w14:textId="3C35405B" w:rsidR="00DF3C0A" w:rsidRPr="00115048" w:rsidRDefault="00DF3C0A" w:rsidP="0062661D">
      <w:pPr>
        <w:spacing w:after="120" w:line="240" w:lineRule="auto"/>
        <w:rPr>
          <w:rFonts w:ascii="Times New Roman" w:hAnsi="Times New Roman" w:cs="Times New Roman"/>
        </w:rPr>
      </w:pPr>
      <w:r w:rsidRPr="00115048">
        <w:rPr>
          <w:rFonts w:ascii="Times New Roman" w:hAnsi="Times New Roman" w:cs="Times New Roman"/>
        </w:rPr>
        <w:t xml:space="preserve">The Office of Best Practice Regulation has determined that the regulatory change effected by the </w:t>
      </w:r>
      <w:r w:rsidR="00CB6E2B">
        <w:rPr>
          <w:rFonts w:ascii="Times New Roman" w:hAnsi="Times New Roman" w:cs="Times New Roman"/>
        </w:rPr>
        <w:t>Amending Determination</w:t>
      </w:r>
      <w:r w:rsidRPr="00115048">
        <w:rPr>
          <w:rFonts w:ascii="Times New Roman" w:hAnsi="Times New Roman" w:cs="Times New Roman"/>
        </w:rPr>
        <w:t xml:space="preserve"> is minor or machinery in nature and has therefore verified that a Regulatory Impact Statement is not required (</w:t>
      </w:r>
      <w:r w:rsidRPr="00A6446C">
        <w:rPr>
          <w:rFonts w:ascii="Times New Roman" w:hAnsi="Times New Roman" w:cs="Times New Roman"/>
        </w:rPr>
        <w:t xml:space="preserve">Exemption reference ID: </w:t>
      </w:r>
      <w:r w:rsidR="00024E49" w:rsidRPr="006B6A0D">
        <w:rPr>
          <w:rFonts w:ascii="Times New Roman" w:hAnsi="Times New Roman" w:cs="Times New Roman"/>
        </w:rPr>
        <w:t>44234</w:t>
      </w:r>
      <w:r w:rsidRPr="00115048">
        <w:rPr>
          <w:rFonts w:ascii="Times New Roman" w:hAnsi="Times New Roman" w:cs="Times New Roman"/>
        </w:rPr>
        <w:t>).</w:t>
      </w:r>
    </w:p>
    <w:p w14:paraId="307F40E0" w14:textId="26261325" w:rsidR="004D2843" w:rsidRDefault="00FB4437" w:rsidP="001A51D1">
      <w:pPr>
        <w:spacing w:before="240" w:after="120" w:line="240" w:lineRule="auto"/>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25A87522" w:rsidR="00134705" w:rsidRDefault="00FB4437" w:rsidP="001A51D1">
      <w:pPr>
        <w:spacing w:after="120" w:line="240" w:lineRule="auto"/>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w:t>
      </w:r>
      <w:r w:rsidR="0013280F" w:rsidRPr="00450F48">
        <w:rPr>
          <w:rFonts w:ascii="Times New Roman" w:hAnsi="Times New Roman" w:cs="Times New Roman"/>
          <w:i/>
        </w:rPr>
        <w:t>Legislation Act 2003</w:t>
      </w:r>
      <w:r w:rsidR="0013280F">
        <w:rPr>
          <w:rFonts w:ascii="Times New Roman" w:hAnsi="Times New Roman" w:cs="Times New Roman"/>
          <w:i/>
        </w:rPr>
        <w:t xml:space="preserve"> </w:t>
      </w:r>
      <w:r w:rsidRPr="00FB4437">
        <w:rPr>
          <w:rFonts w:ascii="Times New Roman" w:hAnsi="Times New Roman" w:cs="Times New Roman"/>
        </w:rPr>
        <w:t xml:space="preserve">applies to cause a statement of compatibility </w:t>
      </w:r>
      <w:r w:rsidR="0018573E">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sidR="005F5BE6">
        <w:rPr>
          <w:rFonts w:ascii="Times New Roman" w:hAnsi="Times New Roman" w:cs="Times New Roman"/>
        </w:rPr>
        <w:t xml:space="preserve">  </w:t>
      </w:r>
    </w:p>
    <w:p w14:paraId="245A3CAD" w14:textId="7B312B7B" w:rsidR="00134705" w:rsidRDefault="00134705" w:rsidP="001A51D1">
      <w:pPr>
        <w:spacing w:after="120" w:line="240"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Pr="0062661D" w:rsidRDefault="00134705" w:rsidP="001A51D1">
      <w:pPr>
        <w:spacing w:before="240" w:after="120" w:line="240" w:lineRule="auto"/>
        <w:rPr>
          <w:rFonts w:ascii="Times New Roman" w:hAnsi="Times New Roman" w:cs="Times New Roman"/>
          <w:b/>
          <w:i/>
        </w:rPr>
      </w:pPr>
      <w:r w:rsidRPr="0062661D">
        <w:rPr>
          <w:rFonts w:ascii="Times New Roman" w:hAnsi="Times New Roman" w:cs="Times New Roman"/>
          <w:b/>
          <w:i/>
        </w:rPr>
        <w:t>Overview of the instrument</w:t>
      </w:r>
    </w:p>
    <w:p w14:paraId="160D0775" w14:textId="130ABD3E" w:rsidR="00DF3C0A" w:rsidRPr="00C9751D" w:rsidRDefault="00DF3C0A" w:rsidP="001A51D1">
      <w:pPr>
        <w:spacing w:after="120" w:line="240" w:lineRule="auto"/>
        <w:rPr>
          <w:rFonts w:ascii="Times New Roman" w:hAnsi="Times New Roman" w:cs="Times New Roman"/>
        </w:rPr>
      </w:pPr>
      <w:r w:rsidRPr="00C9751D">
        <w:rPr>
          <w:rFonts w:ascii="Times New Roman" w:hAnsi="Times New Roman" w:cs="Times New Roman"/>
        </w:rPr>
        <w:t xml:space="preserve">The </w:t>
      </w:r>
      <w:r w:rsidR="00024E49">
        <w:rPr>
          <w:rFonts w:ascii="Times New Roman" w:hAnsi="Times New Roman" w:cs="Times New Roman"/>
        </w:rPr>
        <w:t xml:space="preserve">Amending </w:t>
      </w:r>
      <w:r w:rsidR="00B60E2B" w:rsidRPr="001A51D1">
        <w:rPr>
          <w:rFonts w:ascii="Times New Roman" w:hAnsi="Times New Roman" w:cs="Times New Roman"/>
        </w:rPr>
        <w:t>Determination</w:t>
      </w:r>
      <w:r w:rsidRPr="00B60E2B">
        <w:rPr>
          <w:rFonts w:ascii="Times New Roman" w:hAnsi="Times New Roman" w:cs="Times New Roman"/>
        </w:rPr>
        <w:t xml:space="preserve"> </w:t>
      </w:r>
      <w:r w:rsidRPr="00C9751D">
        <w:rPr>
          <w:rFonts w:ascii="Times New Roman" w:hAnsi="Times New Roman" w:cs="Times New Roman"/>
        </w:rPr>
        <w:t xml:space="preserve">has been made by the ACMA to </w:t>
      </w:r>
      <w:r w:rsidR="002C313B">
        <w:rPr>
          <w:rFonts w:ascii="Times New Roman" w:hAnsi="Times New Roman" w:cs="Times New Roman"/>
        </w:rPr>
        <w:t>increase</w:t>
      </w:r>
      <w:r w:rsidRPr="00C9751D">
        <w:rPr>
          <w:rFonts w:ascii="Times New Roman" w:hAnsi="Times New Roman" w:cs="Times New Roman"/>
        </w:rPr>
        <w:t xml:space="preserve"> the </w:t>
      </w:r>
      <w:r w:rsidR="00F85D90" w:rsidRPr="00C9751D">
        <w:rPr>
          <w:rFonts w:ascii="Times New Roman" w:hAnsi="Times New Roman" w:cs="Times New Roman"/>
        </w:rPr>
        <w:t xml:space="preserve">amount charged to check </w:t>
      </w:r>
      <w:r w:rsidR="00B60E2B">
        <w:rPr>
          <w:rFonts w:ascii="Times New Roman" w:hAnsi="Times New Roman" w:cs="Times New Roman"/>
        </w:rPr>
        <w:t xml:space="preserve">(or ‘wash’) </w:t>
      </w:r>
      <w:r w:rsidR="00F85D90" w:rsidRPr="00C9751D">
        <w:rPr>
          <w:rFonts w:ascii="Times New Roman" w:hAnsi="Times New Roman" w:cs="Times New Roman"/>
        </w:rPr>
        <w:t xml:space="preserve">lists of telephone </w:t>
      </w:r>
      <w:r w:rsidR="00620D95">
        <w:rPr>
          <w:rFonts w:ascii="Times New Roman" w:hAnsi="Times New Roman" w:cs="Times New Roman"/>
        </w:rPr>
        <w:t>and fax</w:t>
      </w:r>
      <w:r w:rsidR="001E274E">
        <w:rPr>
          <w:rFonts w:ascii="Times New Roman" w:hAnsi="Times New Roman" w:cs="Times New Roman"/>
        </w:rPr>
        <w:t xml:space="preserve"> </w:t>
      </w:r>
      <w:r w:rsidR="00F85D90" w:rsidRPr="00C9751D">
        <w:rPr>
          <w:rFonts w:ascii="Times New Roman" w:hAnsi="Times New Roman" w:cs="Times New Roman"/>
        </w:rPr>
        <w:t xml:space="preserve">numbers against the Do Not Call Register under the </w:t>
      </w:r>
      <w:r w:rsidR="00B60E2B">
        <w:rPr>
          <w:rFonts w:ascii="Times New Roman" w:hAnsi="Times New Roman" w:cs="Times New Roman"/>
        </w:rPr>
        <w:t>Act</w:t>
      </w:r>
      <w:r w:rsidR="00F85D90" w:rsidRPr="00C9751D">
        <w:rPr>
          <w:rFonts w:ascii="Times New Roman" w:hAnsi="Times New Roman" w:cs="Times New Roman"/>
        </w:rPr>
        <w:t>.</w:t>
      </w:r>
    </w:p>
    <w:p w14:paraId="06CB69C3" w14:textId="5E562293" w:rsidR="00134705" w:rsidRDefault="00134705" w:rsidP="0042527A">
      <w:pPr>
        <w:spacing w:before="240" w:after="120" w:line="240" w:lineRule="auto"/>
        <w:rPr>
          <w:rFonts w:ascii="Times New Roman" w:hAnsi="Times New Roman" w:cs="Times New Roman"/>
          <w:b/>
          <w:i/>
        </w:rPr>
      </w:pPr>
      <w:r w:rsidRPr="0062661D">
        <w:rPr>
          <w:rFonts w:ascii="Times New Roman" w:hAnsi="Times New Roman" w:cs="Times New Roman"/>
          <w:b/>
          <w:i/>
        </w:rPr>
        <w:t>Human rights implications</w:t>
      </w:r>
    </w:p>
    <w:p w14:paraId="2979516C" w14:textId="2E3564EB" w:rsidR="00D02B82" w:rsidRPr="006B6A0D" w:rsidRDefault="00D02B82" w:rsidP="006B6A0D">
      <w:pPr>
        <w:rPr>
          <w:rFonts w:ascii="Times New Roman" w:hAnsi="Times New Roman" w:cs="Times New Roman"/>
        </w:rPr>
      </w:pPr>
    </w:p>
    <w:p w14:paraId="516D4630" w14:textId="682A8FD4" w:rsidR="00D02B82" w:rsidRPr="006B6A0D" w:rsidRDefault="00D02B82" w:rsidP="006B6A0D">
      <w:pPr>
        <w:tabs>
          <w:tab w:val="left" w:pos="2335"/>
        </w:tabs>
        <w:rPr>
          <w:rFonts w:ascii="Times New Roman" w:hAnsi="Times New Roman" w:cs="Times New Roman"/>
        </w:rPr>
      </w:pPr>
      <w:r>
        <w:rPr>
          <w:rFonts w:ascii="Times New Roman" w:hAnsi="Times New Roman" w:cs="Times New Roman"/>
        </w:rPr>
        <w:tab/>
      </w:r>
    </w:p>
    <w:p w14:paraId="44A4FF08" w14:textId="35D8B129" w:rsidR="00134705" w:rsidRDefault="00134705" w:rsidP="0042527A">
      <w:pPr>
        <w:spacing w:after="120" w:line="240" w:lineRule="auto"/>
        <w:rPr>
          <w:rFonts w:ascii="Times New Roman" w:hAnsi="Times New Roman" w:cs="Times New Roman"/>
        </w:rPr>
      </w:pPr>
      <w:r>
        <w:rPr>
          <w:rFonts w:ascii="Times New Roman" w:hAnsi="Times New Roman" w:cs="Times New Roman"/>
        </w:rPr>
        <w:lastRenderedPageBreak/>
        <w:t xml:space="preserve">The ACMA has assessed whether </w:t>
      </w:r>
      <w:r w:rsidRPr="00977705">
        <w:rPr>
          <w:rFonts w:ascii="Times New Roman" w:hAnsi="Times New Roman" w:cs="Times New Roman"/>
        </w:rPr>
        <w:t xml:space="preserve">the </w:t>
      </w:r>
      <w:r w:rsidR="00CB6E2B">
        <w:rPr>
          <w:rFonts w:ascii="Times New Roman" w:hAnsi="Times New Roman" w:cs="Times New Roman"/>
        </w:rPr>
        <w:t>Amending Determination</w:t>
      </w:r>
      <w:r w:rsidR="00B60E2B">
        <w:rPr>
          <w:rFonts w:ascii="Times New Roman" w:hAnsi="Times New Roman" w:cs="Times New Roman"/>
        </w:rPr>
        <w:t xml:space="preserve"> </w:t>
      </w:r>
      <w:r>
        <w:rPr>
          <w:rFonts w:ascii="Times New Roman" w:hAnsi="Times New Roman" w:cs="Times New Roman"/>
        </w:rPr>
        <w:t>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1E0AB683" w:rsidR="00134705" w:rsidRDefault="00134705" w:rsidP="0042527A">
      <w:pPr>
        <w:spacing w:after="120" w:line="240" w:lineRule="auto"/>
        <w:rPr>
          <w:rFonts w:ascii="Times New Roman" w:hAnsi="Times New Roman" w:cs="Times New Roman"/>
        </w:rPr>
      </w:pPr>
      <w:r>
        <w:rPr>
          <w:rFonts w:ascii="Times New Roman" w:hAnsi="Times New Roman" w:cs="Times New Roman"/>
        </w:rPr>
        <w:t xml:space="preserve">Having considered the likely impact of the </w:t>
      </w:r>
      <w:r w:rsidR="00CB6E2B">
        <w:rPr>
          <w:rFonts w:ascii="Times New Roman" w:hAnsi="Times New Roman" w:cs="Times New Roman"/>
        </w:rPr>
        <w:t>Amending Determination</w:t>
      </w:r>
      <w:r w:rsidR="00B60E2B">
        <w:rPr>
          <w:rFonts w:ascii="Times New Roman" w:hAnsi="Times New Roman" w:cs="Times New Roman"/>
        </w:rPr>
        <w:t xml:space="preserve"> </w:t>
      </w:r>
      <w:r>
        <w:rPr>
          <w:rFonts w:ascii="Times New Roman" w:hAnsi="Times New Roman" w:cs="Times New Roman"/>
        </w:rPr>
        <w:t xml:space="preserve">and the nature of the applicable rights and freedoms, the ACMA has formed the view that the </w:t>
      </w:r>
      <w:r w:rsidR="000D0D91">
        <w:rPr>
          <w:rFonts w:ascii="Times New Roman" w:hAnsi="Times New Roman" w:cs="Times New Roman"/>
        </w:rPr>
        <w:t>Amending Determination</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2661D" w:rsidRDefault="00134705" w:rsidP="0042527A">
      <w:pPr>
        <w:spacing w:before="240" w:after="120" w:line="240" w:lineRule="auto"/>
        <w:rPr>
          <w:rFonts w:ascii="Times New Roman" w:hAnsi="Times New Roman" w:cs="Times New Roman"/>
          <w:b/>
          <w:i/>
        </w:rPr>
      </w:pPr>
      <w:r w:rsidRPr="0062661D">
        <w:rPr>
          <w:rFonts w:ascii="Times New Roman" w:hAnsi="Times New Roman" w:cs="Times New Roman"/>
          <w:b/>
          <w:i/>
        </w:rPr>
        <w:t>Conclusion</w:t>
      </w:r>
    </w:p>
    <w:p w14:paraId="6A914998" w14:textId="77777777" w:rsidR="00DA395C" w:rsidRDefault="00134705" w:rsidP="00985CA4">
      <w:pPr>
        <w:spacing w:after="120" w:line="240" w:lineRule="auto"/>
        <w:rPr>
          <w:rFonts w:ascii="Times New Roman" w:hAnsi="Times New Roman" w:cs="Times New Roman"/>
        </w:rPr>
      </w:pPr>
      <w:r>
        <w:rPr>
          <w:rFonts w:ascii="Times New Roman" w:hAnsi="Times New Roman" w:cs="Times New Roman"/>
        </w:rPr>
        <w:t xml:space="preserve">The </w:t>
      </w:r>
      <w:r w:rsidR="00CB6E2B">
        <w:rPr>
          <w:rFonts w:ascii="Times New Roman" w:hAnsi="Times New Roman" w:cs="Times New Roman"/>
        </w:rPr>
        <w:t>Amending Determination</w:t>
      </w:r>
      <w:r w:rsidR="00B60E2B">
        <w:rPr>
          <w:rFonts w:ascii="Times New Roman" w:hAnsi="Times New Roman" w:cs="Times New Roman"/>
        </w:rPr>
        <w:t xml:space="preserve"> </w:t>
      </w:r>
      <w:r>
        <w:rPr>
          <w:rFonts w:ascii="Times New Roman" w:hAnsi="Times New Roman" w:cs="Times New Roman"/>
        </w:rPr>
        <w:t>is compatible with human rights as it does not raise any human rights issues.</w:t>
      </w:r>
    </w:p>
    <w:p w14:paraId="2BB1E783" w14:textId="77777777" w:rsidR="00DA395C" w:rsidRDefault="00DA395C" w:rsidP="00985CA4">
      <w:pPr>
        <w:spacing w:after="120" w:line="240" w:lineRule="auto"/>
        <w:rPr>
          <w:rFonts w:ascii="Times New Roman" w:hAnsi="Times New Roman" w:cs="Times New Roman"/>
        </w:rPr>
      </w:pPr>
    </w:p>
    <w:p w14:paraId="7DBF78BA" w14:textId="7357C581" w:rsidR="00641906" w:rsidRDefault="00641906" w:rsidP="00985CA4">
      <w:pPr>
        <w:spacing w:after="120" w:line="240" w:lineRule="auto"/>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3BFF670F" w:rsidR="00641906" w:rsidRPr="00DE4F13"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DF3C0A" w:rsidRPr="00DE4F13">
        <w:rPr>
          <w:rFonts w:ascii="Times New Roman" w:hAnsi="Times New Roman" w:cs="Times New Roman"/>
          <w:b/>
          <w:i/>
          <w:sz w:val="28"/>
          <w:szCs w:val="28"/>
        </w:rPr>
        <w:t xml:space="preserve">Do Not Call Register (Access Fees) </w:t>
      </w:r>
      <w:r w:rsidR="00AA53AD" w:rsidRPr="00DE4F13">
        <w:rPr>
          <w:rFonts w:ascii="Times New Roman" w:hAnsi="Times New Roman" w:cs="Times New Roman"/>
          <w:b/>
          <w:i/>
          <w:sz w:val="28"/>
          <w:szCs w:val="28"/>
        </w:rPr>
        <w:t xml:space="preserve">Amendment </w:t>
      </w:r>
      <w:r w:rsidR="00DF3C0A" w:rsidRPr="00DE4F13">
        <w:rPr>
          <w:rFonts w:ascii="Times New Roman" w:hAnsi="Times New Roman" w:cs="Times New Roman"/>
          <w:b/>
          <w:i/>
          <w:sz w:val="28"/>
          <w:szCs w:val="28"/>
        </w:rPr>
        <w:t>Determination 20</w:t>
      </w:r>
      <w:r w:rsidR="00AA53AD" w:rsidRPr="00DE4F13">
        <w:rPr>
          <w:rFonts w:ascii="Times New Roman" w:hAnsi="Times New Roman" w:cs="Times New Roman"/>
          <w:b/>
          <w:i/>
          <w:sz w:val="28"/>
          <w:szCs w:val="28"/>
        </w:rPr>
        <w:t>21</w:t>
      </w:r>
      <w:r w:rsidR="006F3409">
        <w:rPr>
          <w:rFonts w:ascii="Times New Roman" w:hAnsi="Times New Roman" w:cs="Times New Roman"/>
          <w:b/>
          <w:i/>
          <w:sz w:val="28"/>
          <w:szCs w:val="28"/>
        </w:rPr>
        <w:t xml:space="preserve"> (No.1)</w:t>
      </w:r>
    </w:p>
    <w:p w14:paraId="4DD57917" w14:textId="0E8F5893" w:rsidR="006940DB" w:rsidRPr="00DE4F13" w:rsidRDefault="006940DB" w:rsidP="0042527A">
      <w:pPr>
        <w:spacing w:before="240" w:after="120"/>
        <w:rPr>
          <w:rFonts w:ascii="Times New Roman" w:hAnsi="Times New Roman" w:cs="Times New Roman"/>
          <w:b/>
        </w:rPr>
      </w:pPr>
      <w:r w:rsidRPr="00DE4F13">
        <w:rPr>
          <w:rFonts w:ascii="Times New Roman" w:hAnsi="Times New Roman" w:cs="Times New Roman"/>
          <w:b/>
        </w:rPr>
        <w:t>Section 1</w:t>
      </w:r>
      <w:r w:rsidRPr="00DE4F13">
        <w:rPr>
          <w:rFonts w:ascii="Times New Roman" w:hAnsi="Times New Roman" w:cs="Times New Roman"/>
          <w:b/>
        </w:rPr>
        <w:tab/>
        <w:t>Name</w:t>
      </w:r>
    </w:p>
    <w:p w14:paraId="2BDE4E85" w14:textId="333A0F21" w:rsidR="00025ACE" w:rsidRPr="006940DB" w:rsidRDefault="006940DB" w:rsidP="001A51D1">
      <w:pPr>
        <w:spacing w:after="120"/>
        <w:rPr>
          <w:rFonts w:ascii="Times New Roman" w:hAnsi="Times New Roman" w:cs="Times New Roman"/>
        </w:rPr>
      </w:pPr>
      <w:r w:rsidRPr="00DE4F13">
        <w:rPr>
          <w:rFonts w:ascii="Times New Roman" w:hAnsi="Times New Roman" w:cs="Times New Roman"/>
        </w:rPr>
        <w:t>This section provides for the instrument to be cited as</w:t>
      </w:r>
      <w:r w:rsidR="00D32E4E" w:rsidRPr="00DE4F13">
        <w:rPr>
          <w:rFonts w:ascii="Times New Roman" w:hAnsi="Times New Roman" w:cs="Times New Roman"/>
        </w:rPr>
        <w:t xml:space="preserve"> the</w:t>
      </w:r>
      <w:r w:rsidRPr="00DE4F13">
        <w:rPr>
          <w:rFonts w:ascii="Times New Roman" w:hAnsi="Times New Roman" w:cs="Times New Roman"/>
        </w:rPr>
        <w:t xml:space="preserve"> </w:t>
      </w:r>
      <w:r w:rsidR="00DF3C0A" w:rsidRPr="00DE4F13">
        <w:rPr>
          <w:rFonts w:ascii="Times New Roman" w:hAnsi="Times New Roman" w:cs="Times New Roman"/>
          <w:i/>
        </w:rPr>
        <w:t xml:space="preserve">Do Not Call Register (Access Fees) </w:t>
      </w:r>
      <w:r w:rsidR="00024E49" w:rsidRPr="00DE4F13">
        <w:rPr>
          <w:rFonts w:ascii="Times New Roman" w:hAnsi="Times New Roman" w:cs="Times New Roman"/>
          <w:i/>
        </w:rPr>
        <w:t xml:space="preserve">Amendment </w:t>
      </w:r>
      <w:r w:rsidR="00DF3C0A" w:rsidRPr="00DE4F13">
        <w:rPr>
          <w:rFonts w:ascii="Times New Roman" w:hAnsi="Times New Roman" w:cs="Times New Roman"/>
          <w:i/>
        </w:rPr>
        <w:t xml:space="preserve">Determination </w:t>
      </w:r>
      <w:r w:rsidR="00DF3C0A" w:rsidRPr="00B83252">
        <w:rPr>
          <w:rFonts w:ascii="Times New Roman" w:hAnsi="Times New Roman" w:cs="Times New Roman"/>
          <w:i/>
        </w:rPr>
        <w:t>20</w:t>
      </w:r>
      <w:r w:rsidR="00024E49" w:rsidRPr="00B83252">
        <w:rPr>
          <w:rFonts w:ascii="Times New Roman" w:hAnsi="Times New Roman" w:cs="Times New Roman"/>
          <w:i/>
        </w:rPr>
        <w:t>21</w:t>
      </w:r>
      <w:r w:rsidR="00455F75" w:rsidRPr="00670A96">
        <w:rPr>
          <w:rFonts w:ascii="Times New Roman" w:hAnsi="Times New Roman" w:cs="Times New Roman"/>
          <w:i/>
        </w:rPr>
        <w:t xml:space="preserve"> (No.1)</w:t>
      </w:r>
      <w:r w:rsidR="00455F75">
        <w:rPr>
          <w:rFonts w:ascii="Times New Roman" w:hAnsi="Times New Roman" w:cs="Times New Roman"/>
          <w:i/>
        </w:rPr>
        <w:t>.</w:t>
      </w:r>
    </w:p>
    <w:p w14:paraId="39A5B6EA" w14:textId="64C1B526" w:rsidR="006940DB" w:rsidRDefault="006940DB" w:rsidP="001A51D1">
      <w:pPr>
        <w:spacing w:before="240" w:after="120"/>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19379FC4" w:rsidR="006940DB" w:rsidRDefault="006940DB" w:rsidP="001A51D1">
      <w:pPr>
        <w:spacing w:after="120"/>
        <w:rPr>
          <w:rFonts w:ascii="Times New Roman" w:hAnsi="Times New Roman" w:cs="Times New Roman"/>
        </w:rPr>
      </w:pPr>
      <w:r>
        <w:rPr>
          <w:rFonts w:ascii="Times New Roman" w:hAnsi="Times New Roman" w:cs="Times New Roman"/>
        </w:rPr>
        <w:t xml:space="preserve">This section provides for the instrument to commence </w:t>
      </w:r>
      <w:r w:rsidR="00024E49">
        <w:rPr>
          <w:rFonts w:ascii="Times New Roman" w:hAnsi="Times New Roman" w:cs="Times New Roman"/>
        </w:rPr>
        <w:t>on 1 October 2021</w:t>
      </w:r>
      <w:r w:rsidR="00E5104F">
        <w:rPr>
          <w:rFonts w:ascii="Times New Roman" w:hAnsi="Times New Roman" w:cs="Times New Roman"/>
        </w:rPr>
        <w:t>.</w:t>
      </w:r>
    </w:p>
    <w:p w14:paraId="536A04AA" w14:textId="11C39B94" w:rsidR="006940DB" w:rsidRDefault="00407B5B" w:rsidP="00407B5B">
      <w:pPr>
        <w:spacing w:after="120"/>
        <w:rPr>
          <w:rFonts w:ascii="Times New Roman" w:hAnsi="Times New Roman" w:cs="Times New Roman"/>
          <w:b/>
        </w:rPr>
      </w:pPr>
      <w:r>
        <w:rPr>
          <w:rFonts w:ascii="Times New Roman" w:hAnsi="Times New Roman" w:cs="Times New Roman"/>
          <w:b/>
        </w:rPr>
        <w:t>Sect</w:t>
      </w:r>
      <w:r w:rsidR="006940DB">
        <w:rPr>
          <w:rFonts w:ascii="Times New Roman" w:hAnsi="Times New Roman" w:cs="Times New Roman"/>
          <w:b/>
        </w:rPr>
        <w:t>ion 3</w:t>
      </w:r>
      <w:r w:rsidR="006940DB">
        <w:rPr>
          <w:rFonts w:ascii="Times New Roman" w:hAnsi="Times New Roman" w:cs="Times New Roman"/>
          <w:b/>
        </w:rPr>
        <w:tab/>
        <w:t>Authority</w:t>
      </w:r>
    </w:p>
    <w:p w14:paraId="0A770E93" w14:textId="76E1457A" w:rsidR="00025ACE" w:rsidRPr="00DE4F13" w:rsidRDefault="006940DB" w:rsidP="001A51D1">
      <w:pPr>
        <w:spacing w:after="120"/>
        <w:rPr>
          <w:rFonts w:ascii="Times New Roman" w:hAnsi="Times New Roman" w:cs="Times New Roman"/>
          <w:iCs/>
        </w:rPr>
      </w:pPr>
      <w:r>
        <w:rPr>
          <w:rFonts w:ascii="Times New Roman" w:hAnsi="Times New Roman" w:cs="Times New Roman"/>
        </w:rPr>
        <w:t xml:space="preserve">This section identifies the </w:t>
      </w:r>
      <w:r w:rsidR="006B7DFC">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6B7DFC" w:rsidRPr="006B7DFC">
        <w:rPr>
          <w:rFonts w:ascii="Times New Roman" w:hAnsi="Times New Roman" w:cs="Times New Roman"/>
        </w:rPr>
        <w:t xml:space="preserve">subsection 21(1) </w:t>
      </w:r>
      <w:r w:rsidR="006B7DFC">
        <w:rPr>
          <w:rFonts w:ascii="Times New Roman" w:hAnsi="Times New Roman" w:cs="Times New Roman"/>
        </w:rPr>
        <w:t xml:space="preserve">of </w:t>
      </w:r>
      <w:r>
        <w:rPr>
          <w:rFonts w:ascii="Times New Roman" w:hAnsi="Times New Roman" w:cs="Times New Roman"/>
        </w:rPr>
        <w:t xml:space="preserve">the </w:t>
      </w:r>
      <w:r w:rsidR="00DE4F13" w:rsidRPr="00DE4F13">
        <w:rPr>
          <w:rFonts w:ascii="Times New Roman" w:hAnsi="Times New Roman" w:cs="Times New Roman"/>
          <w:iCs/>
        </w:rPr>
        <w:t>Act</w:t>
      </w:r>
      <w:r w:rsidR="00DE4F13">
        <w:rPr>
          <w:rFonts w:ascii="Times New Roman" w:hAnsi="Times New Roman" w:cs="Times New Roman"/>
          <w:i/>
        </w:rPr>
        <w:t>.</w:t>
      </w:r>
    </w:p>
    <w:p w14:paraId="7B50D725" w14:textId="1304C5C1" w:rsidR="005958D6" w:rsidRDefault="0084470A" w:rsidP="001A51D1">
      <w:pPr>
        <w:spacing w:before="240" w:after="12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CB6E2B">
        <w:rPr>
          <w:rFonts w:ascii="Times New Roman" w:hAnsi="Times New Roman" w:cs="Times New Roman"/>
          <w:b/>
        </w:rPr>
        <w:t>Amendment</w:t>
      </w:r>
      <w:r w:rsidR="0091051F">
        <w:rPr>
          <w:rFonts w:ascii="Times New Roman" w:hAnsi="Times New Roman" w:cs="Times New Roman"/>
          <w:b/>
        </w:rPr>
        <w:t>s</w:t>
      </w:r>
    </w:p>
    <w:p w14:paraId="3D510BEE" w14:textId="2EA16F8B" w:rsidR="00066C73" w:rsidRDefault="0084470A" w:rsidP="001A51D1">
      <w:pPr>
        <w:spacing w:after="120"/>
        <w:rPr>
          <w:rFonts w:ascii="Times New Roman" w:hAnsi="Times New Roman" w:cs="Times New Roman"/>
        </w:rPr>
      </w:pPr>
      <w:r>
        <w:rPr>
          <w:rFonts w:ascii="Times New Roman" w:hAnsi="Times New Roman" w:cs="Times New Roman"/>
        </w:rPr>
        <w:t xml:space="preserve">This section provides that </w:t>
      </w:r>
      <w:r w:rsidR="00066C73">
        <w:rPr>
          <w:rFonts w:ascii="Times New Roman" w:hAnsi="Times New Roman" w:cs="Times New Roman"/>
        </w:rPr>
        <w:t xml:space="preserve">the instrument specified in Schedule 1, namely the </w:t>
      </w:r>
      <w:r w:rsidR="00455F75" w:rsidRPr="00670A96">
        <w:rPr>
          <w:rFonts w:ascii="Times New Roman" w:hAnsi="Times New Roman" w:cs="Times New Roman"/>
          <w:i/>
          <w:iCs/>
        </w:rPr>
        <w:t xml:space="preserve">Do Not Call Register (Access Fees) </w:t>
      </w:r>
      <w:r w:rsidR="00066C73" w:rsidRPr="00670A96">
        <w:rPr>
          <w:rFonts w:ascii="Times New Roman" w:hAnsi="Times New Roman"/>
          <w:i/>
          <w:iCs/>
        </w:rPr>
        <w:t>Determinatio</w:t>
      </w:r>
      <w:r w:rsidR="0037126D" w:rsidRPr="00670A96">
        <w:rPr>
          <w:rFonts w:ascii="Times New Roman" w:hAnsi="Times New Roman"/>
          <w:i/>
          <w:iCs/>
        </w:rPr>
        <w:t>n</w:t>
      </w:r>
      <w:r w:rsidR="00455F75" w:rsidRPr="00670A96">
        <w:rPr>
          <w:rFonts w:ascii="Times New Roman" w:hAnsi="Times New Roman"/>
          <w:i/>
          <w:iCs/>
        </w:rPr>
        <w:t xml:space="preserve"> 2017</w:t>
      </w:r>
      <w:r w:rsidR="00455F75">
        <w:rPr>
          <w:rFonts w:ascii="Times New Roman" w:hAnsi="Times New Roman"/>
          <w:iCs/>
        </w:rPr>
        <w:t xml:space="preserve"> (</w:t>
      </w:r>
      <w:r w:rsidR="00455F75" w:rsidRPr="006B6A0D">
        <w:rPr>
          <w:rFonts w:ascii="Times New Roman" w:hAnsi="Times New Roman"/>
          <w:b/>
          <w:bCs/>
          <w:iCs/>
        </w:rPr>
        <w:t>the Determination</w:t>
      </w:r>
      <w:r w:rsidR="00455F75">
        <w:rPr>
          <w:rFonts w:ascii="Times New Roman" w:hAnsi="Times New Roman"/>
          <w:iCs/>
        </w:rPr>
        <w:t>)</w:t>
      </w:r>
      <w:r w:rsidR="0054218D">
        <w:rPr>
          <w:rFonts w:ascii="Times New Roman" w:hAnsi="Times New Roman"/>
        </w:rPr>
        <w:t>,</w:t>
      </w:r>
      <w:r w:rsidR="004E3127">
        <w:rPr>
          <w:rFonts w:ascii="Times New Roman" w:hAnsi="Times New Roman"/>
        </w:rPr>
        <w:t xml:space="preserve"> is amended</w:t>
      </w:r>
      <w:r w:rsidR="00AD6D4E">
        <w:rPr>
          <w:rFonts w:ascii="Times New Roman" w:hAnsi="Times New Roman"/>
        </w:rPr>
        <w:t xml:space="preserve"> as set out in that Schedule</w:t>
      </w:r>
      <w:r w:rsidR="004E3127">
        <w:rPr>
          <w:rFonts w:ascii="Times New Roman" w:hAnsi="Times New Roman"/>
        </w:rPr>
        <w:t>.</w:t>
      </w:r>
    </w:p>
    <w:p w14:paraId="4931A8AA" w14:textId="750A376D" w:rsidR="005958D6" w:rsidRPr="008A3DD3" w:rsidRDefault="00A16EEE" w:rsidP="001A51D1">
      <w:pPr>
        <w:spacing w:before="240" w:after="120"/>
        <w:rPr>
          <w:rFonts w:ascii="Times New Roman" w:hAnsi="Times New Roman" w:cs="Times New Roman"/>
          <w:b/>
        </w:rPr>
      </w:pPr>
      <w:r>
        <w:rPr>
          <w:rFonts w:ascii="Times New Roman" w:hAnsi="Times New Roman" w:cs="Times New Roman"/>
          <w:b/>
        </w:rPr>
        <w:t>Schedule 1 – Amendments</w:t>
      </w:r>
    </w:p>
    <w:p w14:paraId="27F07411" w14:textId="311076BE" w:rsidR="00455F75" w:rsidRPr="00670A96" w:rsidRDefault="00455F75" w:rsidP="002F685E">
      <w:pPr>
        <w:rPr>
          <w:rFonts w:ascii="Times New Roman" w:hAnsi="Times New Roman" w:cs="Times New Roman"/>
          <w:b/>
        </w:rPr>
      </w:pPr>
      <w:r w:rsidRPr="00670A96">
        <w:rPr>
          <w:rFonts w:ascii="Times New Roman" w:hAnsi="Times New Roman" w:cs="Times New Roman"/>
          <w:b/>
        </w:rPr>
        <w:t>Item 1</w:t>
      </w:r>
    </w:p>
    <w:p w14:paraId="35E69143" w14:textId="5896DD68" w:rsidR="00685463" w:rsidRDefault="009E2798" w:rsidP="002F685E">
      <w:pPr>
        <w:rPr>
          <w:rFonts w:ascii="Times New Roman" w:eastAsia="Times New Roman" w:hAnsi="Times New Roman" w:cs="Times New Roman"/>
          <w:color w:val="000000"/>
          <w:lang w:eastAsia="en-AU"/>
        </w:rPr>
      </w:pPr>
      <w:r>
        <w:rPr>
          <w:rFonts w:ascii="Times New Roman" w:hAnsi="Times New Roman" w:cs="Times New Roman"/>
          <w:bCs/>
        </w:rPr>
        <w:t>Item 1 of t</w:t>
      </w:r>
      <w:r w:rsidRPr="00A16EEE">
        <w:rPr>
          <w:rFonts w:ascii="Times New Roman" w:hAnsi="Times New Roman" w:cs="Times New Roman"/>
          <w:bCs/>
        </w:rPr>
        <w:t xml:space="preserve">his </w:t>
      </w:r>
      <w:r w:rsidR="00A16EEE" w:rsidRPr="00A16EEE">
        <w:rPr>
          <w:rFonts w:ascii="Times New Roman" w:hAnsi="Times New Roman" w:cs="Times New Roman"/>
          <w:bCs/>
        </w:rPr>
        <w:t xml:space="preserve">schedule </w:t>
      </w:r>
      <w:r w:rsidR="0037126D">
        <w:rPr>
          <w:rFonts w:ascii="Times New Roman" w:hAnsi="Times New Roman" w:cs="Times New Roman"/>
          <w:bCs/>
        </w:rPr>
        <w:t xml:space="preserve">repeals </w:t>
      </w:r>
      <w:r w:rsidR="00EE7FE1">
        <w:rPr>
          <w:rFonts w:ascii="Times New Roman" w:hAnsi="Times New Roman" w:cs="Times New Roman"/>
          <w:bCs/>
        </w:rPr>
        <w:t xml:space="preserve">the table at </w:t>
      </w:r>
      <w:r w:rsidR="0037126D">
        <w:rPr>
          <w:rFonts w:ascii="Times New Roman" w:hAnsi="Times New Roman" w:cs="Times New Roman"/>
          <w:bCs/>
        </w:rPr>
        <w:t xml:space="preserve">subsection 7(1) </w:t>
      </w:r>
      <w:r>
        <w:rPr>
          <w:rFonts w:ascii="Times New Roman" w:hAnsi="Times New Roman" w:cs="Times New Roman"/>
          <w:bCs/>
        </w:rPr>
        <w:t xml:space="preserve">of the Determination </w:t>
      </w:r>
      <w:r w:rsidR="00EE7FE1">
        <w:rPr>
          <w:rFonts w:ascii="Times New Roman" w:hAnsi="Times New Roman" w:cs="Times New Roman"/>
          <w:bCs/>
        </w:rPr>
        <w:t xml:space="preserve">and substitutes it with a new </w:t>
      </w:r>
      <w:r w:rsidR="00EE7FE1" w:rsidRPr="00870E46">
        <w:rPr>
          <w:rFonts w:ascii="Times New Roman" w:eastAsia="Times New Roman" w:hAnsi="Times New Roman" w:cs="Times New Roman"/>
          <w:color w:val="000000"/>
          <w:lang w:eastAsia="en-AU"/>
        </w:rPr>
        <w:t xml:space="preserve">table of the fees for the provision of </w:t>
      </w:r>
      <w:r>
        <w:rPr>
          <w:rFonts w:ascii="Times New Roman" w:eastAsia="Times New Roman" w:hAnsi="Times New Roman" w:cs="Times New Roman"/>
          <w:color w:val="000000"/>
          <w:lang w:eastAsia="en-AU"/>
        </w:rPr>
        <w:t>‘list washing’ services.</w:t>
      </w:r>
      <w:r w:rsidR="00907E5A">
        <w:rPr>
          <w:rFonts w:ascii="Times New Roman" w:eastAsia="Times New Roman" w:hAnsi="Times New Roman" w:cs="Times New Roman"/>
          <w:color w:val="000000"/>
          <w:lang w:eastAsia="en-AU"/>
        </w:rPr>
        <w:t xml:space="preserve"> </w:t>
      </w:r>
    </w:p>
    <w:p w14:paraId="786FA573" w14:textId="7513D742" w:rsidR="00EC39D6" w:rsidRDefault="002F685E" w:rsidP="002F685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subsection </w:t>
      </w:r>
      <w:r w:rsidR="00EC39D6" w:rsidRPr="00870E46">
        <w:rPr>
          <w:rFonts w:ascii="Times New Roman" w:eastAsia="Times New Roman" w:hAnsi="Times New Roman" w:cs="Times New Roman"/>
          <w:color w:val="000000"/>
          <w:lang w:eastAsia="en-AU"/>
        </w:rPr>
        <w:t xml:space="preserve">provides for </w:t>
      </w:r>
      <w:r w:rsidR="009E2798">
        <w:rPr>
          <w:rFonts w:ascii="Times New Roman" w:eastAsia="Times New Roman" w:hAnsi="Times New Roman" w:cs="Times New Roman"/>
          <w:color w:val="000000"/>
          <w:lang w:eastAsia="en-AU"/>
        </w:rPr>
        <w:t>8</w:t>
      </w:r>
      <w:r w:rsidR="009E2798" w:rsidRPr="00870E46">
        <w:rPr>
          <w:rFonts w:ascii="Times New Roman" w:eastAsia="Times New Roman" w:hAnsi="Times New Roman" w:cs="Times New Roman"/>
          <w:color w:val="000000"/>
          <w:lang w:eastAsia="en-AU"/>
        </w:rPr>
        <w:t xml:space="preserve"> </w:t>
      </w:r>
      <w:r w:rsidR="00EC39D6" w:rsidRPr="00870E46">
        <w:rPr>
          <w:rFonts w:ascii="Times New Roman" w:eastAsia="Times New Roman" w:hAnsi="Times New Roman" w:cs="Times New Roman"/>
          <w:color w:val="000000"/>
          <w:lang w:eastAsia="en-AU"/>
        </w:rPr>
        <w:t xml:space="preserve">subscription types (A to H) with fees varying according to the maximum </w:t>
      </w:r>
      <w:r w:rsidR="00D702AC">
        <w:rPr>
          <w:rFonts w:ascii="Times New Roman" w:eastAsia="Times New Roman" w:hAnsi="Times New Roman" w:cs="Times New Roman"/>
          <w:color w:val="000000"/>
          <w:lang w:eastAsia="en-AU"/>
        </w:rPr>
        <w:t>quantity</w:t>
      </w:r>
      <w:r w:rsidR="00EC39D6" w:rsidRPr="00870E46">
        <w:rPr>
          <w:rFonts w:ascii="Times New Roman" w:eastAsia="Times New Roman" w:hAnsi="Times New Roman" w:cs="Times New Roman"/>
          <w:color w:val="000000"/>
          <w:lang w:eastAsia="en-AU"/>
        </w:rPr>
        <w:t xml:space="preserve"> of numbers that can be submitted for ‘washing’ against the Do Not Call Register. The model allows for incremental quantity discounts; that is, as the quantity per </w:t>
      </w:r>
      <w:r w:rsidR="009E2798">
        <w:rPr>
          <w:rFonts w:ascii="Times New Roman" w:eastAsia="Times New Roman" w:hAnsi="Times New Roman" w:cs="Times New Roman"/>
          <w:color w:val="000000"/>
          <w:lang w:eastAsia="en-AU"/>
        </w:rPr>
        <w:t>subscription type</w:t>
      </w:r>
      <w:r w:rsidR="009E2798" w:rsidRPr="00870E46">
        <w:rPr>
          <w:rFonts w:ascii="Times New Roman" w:eastAsia="Times New Roman" w:hAnsi="Times New Roman" w:cs="Times New Roman"/>
          <w:color w:val="000000"/>
          <w:lang w:eastAsia="en-AU"/>
        </w:rPr>
        <w:t xml:space="preserve"> </w:t>
      </w:r>
      <w:r w:rsidR="00EC39D6" w:rsidRPr="00870E46">
        <w:rPr>
          <w:rFonts w:ascii="Times New Roman" w:eastAsia="Times New Roman" w:hAnsi="Times New Roman" w:cs="Times New Roman"/>
          <w:color w:val="000000"/>
          <w:lang w:eastAsia="en-AU"/>
        </w:rPr>
        <w:t>increases, the unit purchasing cost declines incrementally.</w:t>
      </w:r>
      <w:r w:rsidR="005B7CB2">
        <w:rPr>
          <w:rFonts w:ascii="Times New Roman" w:eastAsia="Times New Roman" w:hAnsi="Times New Roman" w:cs="Times New Roman"/>
          <w:color w:val="000000"/>
          <w:lang w:eastAsia="en-AU"/>
        </w:rPr>
        <w:t xml:space="preserve"> Columns 1 and 2 retain the same </w:t>
      </w:r>
      <w:r w:rsidR="00C90828">
        <w:rPr>
          <w:rFonts w:ascii="Times New Roman" w:eastAsia="Times New Roman" w:hAnsi="Times New Roman" w:cs="Times New Roman"/>
          <w:color w:val="000000"/>
          <w:lang w:eastAsia="en-AU"/>
        </w:rPr>
        <w:t xml:space="preserve">subscription structure as </w:t>
      </w:r>
      <w:r w:rsidR="0078139F">
        <w:rPr>
          <w:rFonts w:ascii="Times New Roman" w:eastAsia="Times New Roman" w:hAnsi="Times New Roman" w:cs="Times New Roman"/>
          <w:color w:val="000000"/>
          <w:lang w:eastAsia="en-AU"/>
        </w:rPr>
        <w:t xml:space="preserve">previously applied under </w:t>
      </w:r>
      <w:r w:rsidR="00C90828">
        <w:rPr>
          <w:rFonts w:ascii="Times New Roman" w:eastAsia="Times New Roman" w:hAnsi="Times New Roman" w:cs="Times New Roman"/>
          <w:color w:val="000000"/>
          <w:lang w:eastAsia="en-AU"/>
        </w:rPr>
        <w:t xml:space="preserve">the Determination. </w:t>
      </w:r>
      <w:r w:rsidR="001C3D15">
        <w:rPr>
          <w:rFonts w:ascii="Times New Roman" w:eastAsia="Times New Roman" w:hAnsi="Times New Roman" w:cs="Times New Roman"/>
          <w:color w:val="000000"/>
          <w:lang w:eastAsia="en-AU"/>
        </w:rPr>
        <w:t>The fees set out at Column 3 represent a</w:t>
      </w:r>
      <w:r w:rsidR="0095566F">
        <w:rPr>
          <w:rFonts w:ascii="Times New Roman" w:eastAsia="Times New Roman" w:hAnsi="Times New Roman" w:cs="Times New Roman"/>
          <w:color w:val="000000"/>
          <w:lang w:eastAsia="en-AU"/>
        </w:rPr>
        <w:t>n</w:t>
      </w:r>
      <w:r w:rsidR="001C3D15">
        <w:rPr>
          <w:rFonts w:ascii="Times New Roman" w:eastAsia="Times New Roman" w:hAnsi="Times New Roman" w:cs="Times New Roman"/>
          <w:color w:val="000000"/>
          <w:lang w:eastAsia="en-AU"/>
        </w:rPr>
        <w:t xml:space="preserve"> 1</w:t>
      </w:r>
      <w:r w:rsidR="0095566F">
        <w:rPr>
          <w:rFonts w:ascii="Times New Roman" w:eastAsia="Times New Roman" w:hAnsi="Times New Roman" w:cs="Times New Roman"/>
          <w:color w:val="000000"/>
          <w:lang w:eastAsia="en-AU"/>
        </w:rPr>
        <w:t>1</w:t>
      </w:r>
      <w:r w:rsidR="001C3D15">
        <w:rPr>
          <w:rFonts w:ascii="Times New Roman" w:eastAsia="Times New Roman" w:hAnsi="Times New Roman" w:cs="Times New Roman"/>
          <w:color w:val="000000"/>
          <w:lang w:eastAsia="en-AU"/>
        </w:rPr>
        <w:t xml:space="preserve">% increase from the fees </w:t>
      </w:r>
      <w:r w:rsidR="00732C1A">
        <w:rPr>
          <w:rFonts w:ascii="Times New Roman" w:eastAsia="Times New Roman" w:hAnsi="Times New Roman" w:cs="Times New Roman"/>
          <w:color w:val="000000"/>
          <w:lang w:eastAsia="en-AU"/>
        </w:rPr>
        <w:t xml:space="preserve">previously stipulated </w:t>
      </w:r>
      <w:r w:rsidR="001C3D15">
        <w:rPr>
          <w:rFonts w:ascii="Times New Roman" w:eastAsia="Times New Roman" w:hAnsi="Times New Roman" w:cs="Times New Roman"/>
          <w:color w:val="000000"/>
          <w:lang w:eastAsia="en-AU"/>
        </w:rPr>
        <w:t>in the Determination.</w:t>
      </w:r>
    </w:p>
    <w:p w14:paraId="0A5D13DD" w14:textId="1911D572" w:rsidR="009E2798" w:rsidRPr="00670A96" w:rsidRDefault="009E2798" w:rsidP="002F685E">
      <w:pPr>
        <w:rPr>
          <w:rFonts w:ascii="Calibri" w:eastAsia="Times New Roman" w:hAnsi="Calibri" w:cs="Calibri"/>
          <w:b/>
          <w:bCs/>
          <w:color w:val="000000"/>
          <w:lang w:eastAsia="en-AU"/>
        </w:rPr>
      </w:pPr>
      <w:r w:rsidRPr="00670A96">
        <w:rPr>
          <w:rFonts w:ascii="Times New Roman" w:eastAsia="Times New Roman" w:hAnsi="Times New Roman" w:cs="Times New Roman"/>
          <w:b/>
          <w:bCs/>
          <w:color w:val="000000"/>
          <w:lang w:eastAsia="en-AU"/>
        </w:rPr>
        <w:t>Item 2</w:t>
      </w:r>
    </w:p>
    <w:p w14:paraId="62F0FCA4" w14:textId="2C227707" w:rsidR="00EC39D6" w:rsidRPr="00870E46" w:rsidRDefault="009E2798" w:rsidP="005D136C">
      <w:pPr>
        <w:shd w:val="clear" w:color="auto" w:fill="FFFFFF"/>
        <w:spacing w:after="120" w:line="240" w:lineRule="auto"/>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Item 2 of this </w:t>
      </w:r>
      <w:r w:rsidR="005D136C">
        <w:rPr>
          <w:rFonts w:ascii="Times New Roman" w:eastAsia="Times New Roman" w:hAnsi="Times New Roman" w:cs="Times New Roman"/>
          <w:color w:val="000000"/>
          <w:lang w:eastAsia="en-AU"/>
        </w:rPr>
        <w:t xml:space="preserve">schedule </w:t>
      </w:r>
      <w:r w:rsidR="00F00D13">
        <w:rPr>
          <w:rFonts w:ascii="Times New Roman" w:eastAsia="Times New Roman" w:hAnsi="Times New Roman" w:cs="Times New Roman"/>
          <w:color w:val="000000"/>
          <w:lang w:eastAsia="en-AU"/>
        </w:rPr>
        <w:t>re</w:t>
      </w:r>
      <w:r w:rsidR="007771C2">
        <w:rPr>
          <w:rFonts w:ascii="Times New Roman" w:eastAsia="Times New Roman" w:hAnsi="Times New Roman" w:cs="Times New Roman"/>
          <w:color w:val="000000"/>
          <w:lang w:eastAsia="en-AU"/>
        </w:rPr>
        <w:t xml:space="preserve">peals </w:t>
      </w:r>
      <w:r w:rsidR="003A69CD">
        <w:rPr>
          <w:rFonts w:ascii="Times New Roman" w:eastAsia="Times New Roman" w:hAnsi="Times New Roman" w:cs="Times New Roman"/>
          <w:color w:val="000000"/>
          <w:lang w:eastAsia="en-AU"/>
        </w:rPr>
        <w:t>the two examples at subsection 7(3</w:t>
      </w:r>
      <w:r>
        <w:rPr>
          <w:rFonts w:ascii="Times New Roman" w:eastAsia="Times New Roman" w:hAnsi="Times New Roman" w:cs="Times New Roman"/>
          <w:color w:val="000000"/>
          <w:lang w:eastAsia="en-AU"/>
        </w:rPr>
        <w:t xml:space="preserve">) of the Determination </w:t>
      </w:r>
      <w:r w:rsidR="00C42E3B">
        <w:rPr>
          <w:rFonts w:ascii="Times New Roman" w:eastAsia="Times New Roman" w:hAnsi="Times New Roman" w:cs="Times New Roman"/>
          <w:color w:val="000000"/>
          <w:lang w:eastAsia="en-AU"/>
        </w:rPr>
        <w:t xml:space="preserve">and </w:t>
      </w:r>
      <w:r w:rsidR="00DE432D">
        <w:rPr>
          <w:rFonts w:ascii="Times New Roman" w:eastAsia="Times New Roman" w:hAnsi="Times New Roman" w:cs="Times New Roman"/>
          <w:color w:val="000000"/>
          <w:lang w:eastAsia="en-AU"/>
        </w:rPr>
        <w:t>substitut</w:t>
      </w:r>
      <w:r w:rsidR="00C42E3B">
        <w:rPr>
          <w:rFonts w:ascii="Times New Roman" w:eastAsia="Times New Roman" w:hAnsi="Times New Roman" w:cs="Times New Roman"/>
          <w:color w:val="000000"/>
          <w:lang w:eastAsia="en-AU"/>
        </w:rPr>
        <w:t>es</w:t>
      </w:r>
      <w:r w:rsidR="00DE432D">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two new </w:t>
      </w:r>
      <w:r w:rsidR="00EE188D">
        <w:rPr>
          <w:rFonts w:ascii="Times New Roman" w:eastAsia="Times New Roman" w:hAnsi="Times New Roman" w:cs="Times New Roman"/>
          <w:color w:val="000000"/>
          <w:lang w:eastAsia="en-AU"/>
        </w:rPr>
        <w:t>examples</w:t>
      </w:r>
      <w:r>
        <w:rPr>
          <w:rFonts w:ascii="Times New Roman" w:eastAsia="Times New Roman" w:hAnsi="Times New Roman" w:cs="Times New Roman"/>
          <w:color w:val="000000"/>
          <w:lang w:eastAsia="en-AU"/>
        </w:rPr>
        <w:t xml:space="preserve"> which refer to</w:t>
      </w:r>
      <w:r w:rsidR="00EE188D">
        <w:rPr>
          <w:rFonts w:ascii="Times New Roman" w:eastAsia="Times New Roman" w:hAnsi="Times New Roman" w:cs="Times New Roman"/>
          <w:color w:val="000000"/>
          <w:lang w:eastAsia="en-AU"/>
        </w:rPr>
        <w:t xml:space="preserve"> </w:t>
      </w:r>
      <w:r w:rsidR="00DE432D">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 xml:space="preserve">new </w:t>
      </w:r>
      <w:r w:rsidR="00DE432D">
        <w:rPr>
          <w:rFonts w:ascii="Times New Roman" w:eastAsia="Times New Roman" w:hAnsi="Times New Roman" w:cs="Times New Roman"/>
          <w:color w:val="000000"/>
          <w:lang w:eastAsia="en-AU"/>
        </w:rPr>
        <w:t xml:space="preserve">fee amounts for subscription types </w:t>
      </w:r>
      <w:r w:rsidR="00C11B61">
        <w:rPr>
          <w:rFonts w:ascii="Times New Roman" w:eastAsia="Times New Roman" w:hAnsi="Times New Roman" w:cs="Times New Roman"/>
          <w:color w:val="000000"/>
          <w:lang w:eastAsia="en-AU"/>
        </w:rPr>
        <w:t>C and D</w:t>
      </w:r>
      <w:r w:rsidR="00592B17">
        <w:rPr>
          <w:rFonts w:ascii="Times New Roman" w:eastAsia="Times New Roman" w:hAnsi="Times New Roman" w:cs="Times New Roman"/>
          <w:color w:val="000000"/>
          <w:lang w:eastAsia="en-AU"/>
        </w:rPr>
        <w:t xml:space="preserve"> </w:t>
      </w:r>
      <w:r w:rsidR="00552D36">
        <w:rPr>
          <w:rFonts w:ascii="Times New Roman" w:eastAsia="Times New Roman" w:hAnsi="Times New Roman" w:cs="Times New Roman"/>
          <w:color w:val="000000"/>
          <w:lang w:eastAsia="en-AU"/>
        </w:rPr>
        <w:t xml:space="preserve">which </w:t>
      </w:r>
      <w:r w:rsidR="00113A9A">
        <w:rPr>
          <w:rFonts w:ascii="Times New Roman" w:eastAsia="Times New Roman" w:hAnsi="Times New Roman" w:cs="Times New Roman"/>
          <w:color w:val="000000"/>
          <w:lang w:eastAsia="en-AU"/>
        </w:rPr>
        <w:t xml:space="preserve">have been </w:t>
      </w:r>
      <w:r w:rsidR="00552D36">
        <w:rPr>
          <w:rFonts w:ascii="Times New Roman" w:eastAsia="Times New Roman" w:hAnsi="Times New Roman" w:cs="Times New Roman"/>
          <w:color w:val="000000"/>
          <w:lang w:eastAsia="en-AU"/>
        </w:rPr>
        <w:t xml:space="preserve">introduced by </w:t>
      </w:r>
      <w:r w:rsidR="00592B17">
        <w:rPr>
          <w:rFonts w:ascii="Times New Roman" w:hAnsi="Times New Roman" w:cs="Times New Roman"/>
          <w:bCs/>
        </w:rPr>
        <w:t>the Amending Determination.</w:t>
      </w:r>
    </w:p>
    <w:sectPr w:rsidR="00EC39D6" w:rsidRPr="00870E46" w:rsidSect="00981E5A">
      <w:headerReference w:type="default" r:id="rId14"/>
      <w:footerReference w:type="default" r:id="rId15"/>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FE66" w14:textId="77777777" w:rsidR="007579A0" w:rsidRDefault="007579A0" w:rsidP="00025ACE">
      <w:pPr>
        <w:spacing w:after="0" w:line="240" w:lineRule="auto"/>
      </w:pPr>
      <w:r>
        <w:separator/>
      </w:r>
    </w:p>
  </w:endnote>
  <w:endnote w:type="continuationSeparator" w:id="0">
    <w:p w14:paraId="13185185" w14:textId="77777777" w:rsidR="007579A0" w:rsidRDefault="007579A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4E36910F" w14:textId="2059B438" w:rsidR="00025ACE" w:rsidRPr="00AD3414" w:rsidRDefault="0033685D" w:rsidP="001420CB">
        <w:pPr>
          <w:pStyle w:val="Footer"/>
          <w:jc w:val="center"/>
          <w:rPr>
            <w:i/>
          </w:rPr>
        </w:pPr>
        <w:r>
          <w:rPr>
            <w:rFonts w:ascii="Times New Roman" w:hAnsi="Times New Roman" w:cs="Times New Roman"/>
            <w:i/>
            <w:sz w:val="20"/>
            <w:szCs w:val="20"/>
          </w:rPr>
          <w:t xml:space="preserve">Explanatory Statement </w:t>
        </w:r>
        <w:r w:rsidR="00D02B82">
          <w:rPr>
            <w:rFonts w:ascii="Times New Roman" w:hAnsi="Times New Roman" w:cs="Times New Roman"/>
            <w:i/>
            <w:sz w:val="20"/>
            <w:szCs w:val="20"/>
          </w:rPr>
          <w:t>for the</w:t>
        </w:r>
        <w:r>
          <w:rPr>
            <w:rFonts w:ascii="Times New Roman" w:hAnsi="Times New Roman" w:cs="Times New Roman"/>
            <w:i/>
            <w:sz w:val="20"/>
            <w:szCs w:val="20"/>
          </w:rPr>
          <w:t xml:space="preserve"> </w:t>
        </w:r>
        <w:r w:rsidR="001420CB" w:rsidRPr="001420CB">
          <w:rPr>
            <w:rFonts w:ascii="Times New Roman" w:hAnsi="Times New Roman" w:cs="Times New Roman"/>
            <w:i/>
            <w:sz w:val="20"/>
            <w:szCs w:val="20"/>
          </w:rPr>
          <w:t>Do Not Call Register (Access Fees) Amendment Determination 2021 (No. 1)</w:t>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3C2E" w14:textId="77777777" w:rsidR="007579A0" w:rsidRDefault="007579A0" w:rsidP="00025ACE">
      <w:pPr>
        <w:spacing w:after="0" w:line="240" w:lineRule="auto"/>
      </w:pPr>
      <w:r>
        <w:separator/>
      </w:r>
    </w:p>
  </w:footnote>
  <w:footnote w:type="continuationSeparator" w:id="0">
    <w:p w14:paraId="55A82572" w14:textId="77777777" w:rsidR="007579A0" w:rsidRDefault="007579A0" w:rsidP="00025ACE">
      <w:pPr>
        <w:spacing w:after="0" w:line="240" w:lineRule="auto"/>
      </w:pPr>
      <w:r>
        <w:continuationSeparator/>
      </w:r>
    </w:p>
  </w:footnote>
  <w:footnote w:id="1">
    <w:p w14:paraId="523903B7" w14:textId="0A8B13CC" w:rsidR="00D133BD" w:rsidRDefault="00D133BD">
      <w:pPr>
        <w:pStyle w:val="FootnoteText"/>
      </w:pPr>
      <w:r>
        <w:rPr>
          <w:rStyle w:val="FootnoteReference"/>
        </w:rPr>
        <w:footnoteRef/>
      </w:r>
      <w:r>
        <w:t xml:space="preserve"> </w:t>
      </w:r>
      <w:r w:rsidRPr="00D133BD">
        <w:t>Washing is a term used to describe the process under subsection 19(2) of the Act by which industry ‘access-seekers’ submit lists of Australian numbers to the ACMA or the contracted service provider to check if they are registered on the Do Not Call Register (and therefore should be excluded from telemarketing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C4D81"/>
    <w:multiLevelType w:val="hybridMultilevel"/>
    <w:tmpl w:val="36D0556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A09E9"/>
    <w:multiLevelType w:val="hybridMultilevel"/>
    <w:tmpl w:val="DC96254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46183D"/>
    <w:multiLevelType w:val="hybridMultilevel"/>
    <w:tmpl w:val="46128598"/>
    <w:lvl w:ilvl="0" w:tplc="A8C62C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4"/>
  </w:num>
  <w:num w:numId="6">
    <w:abstractNumId w:val="0"/>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1E5A"/>
    <w:rsid w:val="000124F9"/>
    <w:rsid w:val="00013079"/>
    <w:rsid w:val="00024E49"/>
    <w:rsid w:val="00025ACE"/>
    <w:rsid w:val="00026D31"/>
    <w:rsid w:val="00033598"/>
    <w:rsid w:val="00037DD9"/>
    <w:rsid w:val="00037F0E"/>
    <w:rsid w:val="000555C0"/>
    <w:rsid w:val="000574CD"/>
    <w:rsid w:val="00066C73"/>
    <w:rsid w:val="00070D91"/>
    <w:rsid w:val="000726C7"/>
    <w:rsid w:val="00074A8D"/>
    <w:rsid w:val="00082354"/>
    <w:rsid w:val="00082B6F"/>
    <w:rsid w:val="00085AC4"/>
    <w:rsid w:val="00095AB3"/>
    <w:rsid w:val="000A3A94"/>
    <w:rsid w:val="000B0BA7"/>
    <w:rsid w:val="000B182C"/>
    <w:rsid w:val="000B33B6"/>
    <w:rsid w:val="000B4B6C"/>
    <w:rsid w:val="000C56C3"/>
    <w:rsid w:val="000C6436"/>
    <w:rsid w:val="000D0D91"/>
    <w:rsid w:val="000D4ECE"/>
    <w:rsid w:val="000E1815"/>
    <w:rsid w:val="000E38C9"/>
    <w:rsid w:val="000E3A5B"/>
    <w:rsid w:val="000F1E00"/>
    <w:rsid w:val="000F223E"/>
    <w:rsid w:val="000F6255"/>
    <w:rsid w:val="001010E4"/>
    <w:rsid w:val="0010140F"/>
    <w:rsid w:val="00104130"/>
    <w:rsid w:val="001069FF"/>
    <w:rsid w:val="00112987"/>
    <w:rsid w:val="00113A9A"/>
    <w:rsid w:val="00114856"/>
    <w:rsid w:val="00116718"/>
    <w:rsid w:val="00117351"/>
    <w:rsid w:val="001204A7"/>
    <w:rsid w:val="00121B9E"/>
    <w:rsid w:val="00122072"/>
    <w:rsid w:val="0012590D"/>
    <w:rsid w:val="00131653"/>
    <w:rsid w:val="0013280F"/>
    <w:rsid w:val="0013313F"/>
    <w:rsid w:val="00134705"/>
    <w:rsid w:val="00137534"/>
    <w:rsid w:val="00141060"/>
    <w:rsid w:val="001420CB"/>
    <w:rsid w:val="00142C28"/>
    <w:rsid w:val="00146A0C"/>
    <w:rsid w:val="00151671"/>
    <w:rsid w:val="00152C8F"/>
    <w:rsid w:val="00152D4C"/>
    <w:rsid w:val="00161C73"/>
    <w:rsid w:val="0016664E"/>
    <w:rsid w:val="0017272D"/>
    <w:rsid w:val="00176461"/>
    <w:rsid w:val="0018573E"/>
    <w:rsid w:val="00185BDC"/>
    <w:rsid w:val="0018640B"/>
    <w:rsid w:val="00192CDC"/>
    <w:rsid w:val="00192EE6"/>
    <w:rsid w:val="001A51D1"/>
    <w:rsid w:val="001A5573"/>
    <w:rsid w:val="001A6335"/>
    <w:rsid w:val="001B6E4E"/>
    <w:rsid w:val="001C3D15"/>
    <w:rsid w:val="001C4BD8"/>
    <w:rsid w:val="001C4BF8"/>
    <w:rsid w:val="001C5421"/>
    <w:rsid w:val="001D00E7"/>
    <w:rsid w:val="001D06BA"/>
    <w:rsid w:val="001D5C25"/>
    <w:rsid w:val="001E274E"/>
    <w:rsid w:val="001E2FFB"/>
    <w:rsid w:val="001F0AF8"/>
    <w:rsid w:val="001F5D02"/>
    <w:rsid w:val="00212847"/>
    <w:rsid w:val="00221BD0"/>
    <w:rsid w:val="002508F7"/>
    <w:rsid w:val="00290AA0"/>
    <w:rsid w:val="002964FD"/>
    <w:rsid w:val="002B27E6"/>
    <w:rsid w:val="002B6431"/>
    <w:rsid w:val="002B6699"/>
    <w:rsid w:val="002C11C0"/>
    <w:rsid w:val="002C2256"/>
    <w:rsid w:val="002C313B"/>
    <w:rsid w:val="002D2C28"/>
    <w:rsid w:val="002E0BC5"/>
    <w:rsid w:val="002E3B2A"/>
    <w:rsid w:val="002E6583"/>
    <w:rsid w:val="002E7CEF"/>
    <w:rsid w:val="002F24CF"/>
    <w:rsid w:val="002F36E0"/>
    <w:rsid w:val="002F685E"/>
    <w:rsid w:val="003049C1"/>
    <w:rsid w:val="00307B37"/>
    <w:rsid w:val="003332EC"/>
    <w:rsid w:val="0033685D"/>
    <w:rsid w:val="003434D4"/>
    <w:rsid w:val="0035477C"/>
    <w:rsid w:val="0036752E"/>
    <w:rsid w:val="003679FE"/>
    <w:rsid w:val="00370620"/>
    <w:rsid w:val="00370679"/>
    <w:rsid w:val="0037126D"/>
    <w:rsid w:val="00373DE3"/>
    <w:rsid w:val="00375FA7"/>
    <w:rsid w:val="0038035F"/>
    <w:rsid w:val="00383181"/>
    <w:rsid w:val="00385EF1"/>
    <w:rsid w:val="00391D2A"/>
    <w:rsid w:val="003A0947"/>
    <w:rsid w:val="003A0F69"/>
    <w:rsid w:val="003A3635"/>
    <w:rsid w:val="003A4B8F"/>
    <w:rsid w:val="003A69CD"/>
    <w:rsid w:val="003A7407"/>
    <w:rsid w:val="003A79A6"/>
    <w:rsid w:val="003B354A"/>
    <w:rsid w:val="003B3D92"/>
    <w:rsid w:val="003C2F82"/>
    <w:rsid w:val="003C44B4"/>
    <w:rsid w:val="003D2FDC"/>
    <w:rsid w:val="003D535B"/>
    <w:rsid w:val="003D74BE"/>
    <w:rsid w:val="003E05B3"/>
    <w:rsid w:val="003E2228"/>
    <w:rsid w:val="00407B5B"/>
    <w:rsid w:val="0041003E"/>
    <w:rsid w:val="0041080C"/>
    <w:rsid w:val="00417BD9"/>
    <w:rsid w:val="00420D98"/>
    <w:rsid w:val="0042527A"/>
    <w:rsid w:val="00426BA2"/>
    <w:rsid w:val="00431180"/>
    <w:rsid w:val="0043156C"/>
    <w:rsid w:val="004332DA"/>
    <w:rsid w:val="00434D1F"/>
    <w:rsid w:val="004362E3"/>
    <w:rsid w:val="004406F0"/>
    <w:rsid w:val="00445DE3"/>
    <w:rsid w:val="00450F48"/>
    <w:rsid w:val="00452738"/>
    <w:rsid w:val="0045489F"/>
    <w:rsid w:val="00454B2F"/>
    <w:rsid w:val="00455F75"/>
    <w:rsid w:val="00457E92"/>
    <w:rsid w:val="00474322"/>
    <w:rsid w:val="00474889"/>
    <w:rsid w:val="004826DD"/>
    <w:rsid w:val="004971D6"/>
    <w:rsid w:val="004A1064"/>
    <w:rsid w:val="004A55D8"/>
    <w:rsid w:val="004B03D9"/>
    <w:rsid w:val="004B270C"/>
    <w:rsid w:val="004D1EEA"/>
    <w:rsid w:val="004D2843"/>
    <w:rsid w:val="004E13AA"/>
    <w:rsid w:val="004E3127"/>
    <w:rsid w:val="004E51F9"/>
    <w:rsid w:val="004E790E"/>
    <w:rsid w:val="00500EF2"/>
    <w:rsid w:val="0050389F"/>
    <w:rsid w:val="00503F70"/>
    <w:rsid w:val="005176C3"/>
    <w:rsid w:val="00523676"/>
    <w:rsid w:val="0052687A"/>
    <w:rsid w:val="00540199"/>
    <w:rsid w:val="005402A4"/>
    <w:rsid w:val="0054218D"/>
    <w:rsid w:val="0054341A"/>
    <w:rsid w:val="00552369"/>
    <w:rsid w:val="00552D36"/>
    <w:rsid w:val="00560805"/>
    <w:rsid w:val="00561800"/>
    <w:rsid w:val="00564682"/>
    <w:rsid w:val="00567102"/>
    <w:rsid w:val="00567F0E"/>
    <w:rsid w:val="00570974"/>
    <w:rsid w:val="00571244"/>
    <w:rsid w:val="00592B17"/>
    <w:rsid w:val="005958D6"/>
    <w:rsid w:val="00595CC8"/>
    <w:rsid w:val="005964CF"/>
    <w:rsid w:val="005A22E3"/>
    <w:rsid w:val="005A3EC8"/>
    <w:rsid w:val="005A6351"/>
    <w:rsid w:val="005B37C3"/>
    <w:rsid w:val="005B7CB2"/>
    <w:rsid w:val="005C5D37"/>
    <w:rsid w:val="005C65EB"/>
    <w:rsid w:val="005D1094"/>
    <w:rsid w:val="005D136C"/>
    <w:rsid w:val="005D6354"/>
    <w:rsid w:val="005E65B9"/>
    <w:rsid w:val="005F3E7E"/>
    <w:rsid w:val="005F55D7"/>
    <w:rsid w:val="005F5BE6"/>
    <w:rsid w:val="00603115"/>
    <w:rsid w:val="00603B3F"/>
    <w:rsid w:val="006060D9"/>
    <w:rsid w:val="00607E59"/>
    <w:rsid w:val="006154F5"/>
    <w:rsid w:val="00615845"/>
    <w:rsid w:val="00620D95"/>
    <w:rsid w:val="00626289"/>
    <w:rsid w:val="0062661D"/>
    <w:rsid w:val="00641906"/>
    <w:rsid w:val="006462EF"/>
    <w:rsid w:val="00653BE1"/>
    <w:rsid w:val="00655AAA"/>
    <w:rsid w:val="00663AF2"/>
    <w:rsid w:val="00670716"/>
    <w:rsid w:val="00670A96"/>
    <w:rsid w:val="00671216"/>
    <w:rsid w:val="006739E0"/>
    <w:rsid w:val="006751C5"/>
    <w:rsid w:val="00681986"/>
    <w:rsid w:val="00685463"/>
    <w:rsid w:val="00686F06"/>
    <w:rsid w:val="00687290"/>
    <w:rsid w:val="0069261C"/>
    <w:rsid w:val="006940DB"/>
    <w:rsid w:val="00696338"/>
    <w:rsid w:val="00696659"/>
    <w:rsid w:val="00696A1F"/>
    <w:rsid w:val="00697EF4"/>
    <w:rsid w:val="006A0BDF"/>
    <w:rsid w:val="006A53BB"/>
    <w:rsid w:val="006B404D"/>
    <w:rsid w:val="006B6A0D"/>
    <w:rsid w:val="006B7819"/>
    <w:rsid w:val="006B7DFC"/>
    <w:rsid w:val="006B7FCB"/>
    <w:rsid w:val="006C1EBA"/>
    <w:rsid w:val="006C42BA"/>
    <w:rsid w:val="006C59D5"/>
    <w:rsid w:val="006D4E19"/>
    <w:rsid w:val="006D59D1"/>
    <w:rsid w:val="006E561D"/>
    <w:rsid w:val="006F2A6D"/>
    <w:rsid w:val="006F32BF"/>
    <w:rsid w:val="006F3409"/>
    <w:rsid w:val="006F4357"/>
    <w:rsid w:val="00700045"/>
    <w:rsid w:val="00705AA8"/>
    <w:rsid w:val="00706F43"/>
    <w:rsid w:val="0070725B"/>
    <w:rsid w:val="00720148"/>
    <w:rsid w:val="0072061D"/>
    <w:rsid w:val="007211BF"/>
    <w:rsid w:val="00732C1A"/>
    <w:rsid w:val="00737D07"/>
    <w:rsid w:val="007430BD"/>
    <w:rsid w:val="0074661C"/>
    <w:rsid w:val="00750397"/>
    <w:rsid w:val="007555D1"/>
    <w:rsid w:val="007579A0"/>
    <w:rsid w:val="00766475"/>
    <w:rsid w:val="00773397"/>
    <w:rsid w:val="0077364D"/>
    <w:rsid w:val="00775ED8"/>
    <w:rsid w:val="00775F72"/>
    <w:rsid w:val="007771C2"/>
    <w:rsid w:val="00781060"/>
    <w:rsid w:val="0078139F"/>
    <w:rsid w:val="00784781"/>
    <w:rsid w:val="00794C5F"/>
    <w:rsid w:val="0079567D"/>
    <w:rsid w:val="00797304"/>
    <w:rsid w:val="007A0103"/>
    <w:rsid w:val="007A2277"/>
    <w:rsid w:val="007B0864"/>
    <w:rsid w:val="007C51FE"/>
    <w:rsid w:val="00805358"/>
    <w:rsid w:val="008070A8"/>
    <w:rsid w:val="00810499"/>
    <w:rsid w:val="008109CC"/>
    <w:rsid w:val="0081166D"/>
    <w:rsid w:val="0081203C"/>
    <w:rsid w:val="008164DA"/>
    <w:rsid w:val="00816EAD"/>
    <w:rsid w:val="0081757B"/>
    <w:rsid w:val="00821F3F"/>
    <w:rsid w:val="00825906"/>
    <w:rsid w:val="00830E46"/>
    <w:rsid w:val="00831CD3"/>
    <w:rsid w:val="008441CF"/>
    <w:rsid w:val="0084470A"/>
    <w:rsid w:val="008626B1"/>
    <w:rsid w:val="00862DFF"/>
    <w:rsid w:val="00870E46"/>
    <w:rsid w:val="0087691D"/>
    <w:rsid w:val="0087707C"/>
    <w:rsid w:val="00877485"/>
    <w:rsid w:val="0088469F"/>
    <w:rsid w:val="00887C1F"/>
    <w:rsid w:val="00894EBF"/>
    <w:rsid w:val="00897446"/>
    <w:rsid w:val="008A17DE"/>
    <w:rsid w:val="008A3DD3"/>
    <w:rsid w:val="008A5E7C"/>
    <w:rsid w:val="008A69A8"/>
    <w:rsid w:val="008B09DF"/>
    <w:rsid w:val="008C1A60"/>
    <w:rsid w:val="008C584E"/>
    <w:rsid w:val="008D09C8"/>
    <w:rsid w:val="008D4477"/>
    <w:rsid w:val="008D6A57"/>
    <w:rsid w:val="008E3483"/>
    <w:rsid w:val="008E5FF9"/>
    <w:rsid w:val="008F2694"/>
    <w:rsid w:val="008F4C58"/>
    <w:rsid w:val="008F7FA3"/>
    <w:rsid w:val="009041EF"/>
    <w:rsid w:val="0090572C"/>
    <w:rsid w:val="00907E5A"/>
    <w:rsid w:val="0091051F"/>
    <w:rsid w:val="0091080B"/>
    <w:rsid w:val="0092026D"/>
    <w:rsid w:val="00920D0C"/>
    <w:rsid w:val="00924EDF"/>
    <w:rsid w:val="00926833"/>
    <w:rsid w:val="00950F05"/>
    <w:rsid w:val="0095566F"/>
    <w:rsid w:val="00956524"/>
    <w:rsid w:val="0096464E"/>
    <w:rsid w:val="009670B7"/>
    <w:rsid w:val="00970E3B"/>
    <w:rsid w:val="00972242"/>
    <w:rsid w:val="009723D1"/>
    <w:rsid w:val="009732C1"/>
    <w:rsid w:val="009740D6"/>
    <w:rsid w:val="00977705"/>
    <w:rsid w:val="00981E5A"/>
    <w:rsid w:val="00985CA4"/>
    <w:rsid w:val="009867A6"/>
    <w:rsid w:val="00997F50"/>
    <w:rsid w:val="009A13F9"/>
    <w:rsid w:val="009A5F50"/>
    <w:rsid w:val="009A6F11"/>
    <w:rsid w:val="009B325C"/>
    <w:rsid w:val="009B46E0"/>
    <w:rsid w:val="009B481C"/>
    <w:rsid w:val="009B48C2"/>
    <w:rsid w:val="009C3128"/>
    <w:rsid w:val="009C6FEF"/>
    <w:rsid w:val="009D1B90"/>
    <w:rsid w:val="009D5783"/>
    <w:rsid w:val="009D67A8"/>
    <w:rsid w:val="009D7838"/>
    <w:rsid w:val="009E2798"/>
    <w:rsid w:val="009F7219"/>
    <w:rsid w:val="00A07A2F"/>
    <w:rsid w:val="00A07C02"/>
    <w:rsid w:val="00A07E11"/>
    <w:rsid w:val="00A16EEE"/>
    <w:rsid w:val="00A213A8"/>
    <w:rsid w:val="00A21F3E"/>
    <w:rsid w:val="00A27F2F"/>
    <w:rsid w:val="00A6446C"/>
    <w:rsid w:val="00A64EC4"/>
    <w:rsid w:val="00A7023B"/>
    <w:rsid w:val="00A773A3"/>
    <w:rsid w:val="00A87D32"/>
    <w:rsid w:val="00A90B96"/>
    <w:rsid w:val="00A92CAA"/>
    <w:rsid w:val="00A95ED4"/>
    <w:rsid w:val="00AA44B7"/>
    <w:rsid w:val="00AA53AD"/>
    <w:rsid w:val="00AA5811"/>
    <w:rsid w:val="00AA6088"/>
    <w:rsid w:val="00AB65E7"/>
    <w:rsid w:val="00AC66F6"/>
    <w:rsid w:val="00AD2C1B"/>
    <w:rsid w:val="00AD3414"/>
    <w:rsid w:val="00AD3B7A"/>
    <w:rsid w:val="00AD4319"/>
    <w:rsid w:val="00AD500F"/>
    <w:rsid w:val="00AD58F6"/>
    <w:rsid w:val="00AD6D4E"/>
    <w:rsid w:val="00AE2CB4"/>
    <w:rsid w:val="00AE55A8"/>
    <w:rsid w:val="00AE6898"/>
    <w:rsid w:val="00AF080D"/>
    <w:rsid w:val="00AF567F"/>
    <w:rsid w:val="00AF6545"/>
    <w:rsid w:val="00AF6744"/>
    <w:rsid w:val="00B00FC3"/>
    <w:rsid w:val="00B17762"/>
    <w:rsid w:val="00B229D0"/>
    <w:rsid w:val="00B313B3"/>
    <w:rsid w:val="00B34709"/>
    <w:rsid w:val="00B415AF"/>
    <w:rsid w:val="00B42D50"/>
    <w:rsid w:val="00B50C9C"/>
    <w:rsid w:val="00B52584"/>
    <w:rsid w:val="00B60541"/>
    <w:rsid w:val="00B60E2B"/>
    <w:rsid w:val="00B665E6"/>
    <w:rsid w:val="00B67CAE"/>
    <w:rsid w:val="00B71ABE"/>
    <w:rsid w:val="00B727F3"/>
    <w:rsid w:val="00B82B82"/>
    <w:rsid w:val="00B83252"/>
    <w:rsid w:val="00B90F17"/>
    <w:rsid w:val="00B94AC4"/>
    <w:rsid w:val="00B94B30"/>
    <w:rsid w:val="00B963D4"/>
    <w:rsid w:val="00BA253E"/>
    <w:rsid w:val="00BA7D17"/>
    <w:rsid w:val="00BB076E"/>
    <w:rsid w:val="00BB1CF2"/>
    <w:rsid w:val="00BB2895"/>
    <w:rsid w:val="00BB4700"/>
    <w:rsid w:val="00BB514B"/>
    <w:rsid w:val="00BB7A25"/>
    <w:rsid w:val="00BC0A3C"/>
    <w:rsid w:val="00BC5916"/>
    <w:rsid w:val="00BC621F"/>
    <w:rsid w:val="00BD37CD"/>
    <w:rsid w:val="00BD3A1A"/>
    <w:rsid w:val="00BD5200"/>
    <w:rsid w:val="00BD7114"/>
    <w:rsid w:val="00BE2D66"/>
    <w:rsid w:val="00C032F0"/>
    <w:rsid w:val="00C03503"/>
    <w:rsid w:val="00C07804"/>
    <w:rsid w:val="00C10E3A"/>
    <w:rsid w:val="00C11B61"/>
    <w:rsid w:val="00C20621"/>
    <w:rsid w:val="00C21667"/>
    <w:rsid w:val="00C21933"/>
    <w:rsid w:val="00C40E13"/>
    <w:rsid w:val="00C41160"/>
    <w:rsid w:val="00C42E3B"/>
    <w:rsid w:val="00C5258F"/>
    <w:rsid w:val="00C52681"/>
    <w:rsid w:val="00C5376A"/>
    <w:rsid w:val="00C54CFC"/>
    <w:rsid w:val="00C55CB9"/>
    <w:rsid w:val="00C57E29"/>
    <w:rsid w:val="00C60A7D"/>
    <w:rsid w:val="00C63E8C"/>
    <w:rsid w:val="00C659A7"/>
    <w:rsid w:val="00C70AC3"/>
    <w:rsid w:val="00C76FFC"/>
    <w:rsid w:val="00C90828"/>
    <w:rsid w:val="00C90D84"/>
    <w:rsid w:val="00C9259F"/>
    <w:rsid w:val="00C96538"/>
    <w:rsid w:val="00C974F8"/>
    <w:rsid w:val="00C9751D"/>
    <w:rsid w:val="00CA0329"/>
    <w:rsid w:val="00CA03E4"/>
    <w:rsid w:val="00CA176B"/>
    <w:rsid w:val="00CA3398"/>
    <w:rsid w:val="00CA40FA"/>
    <w:rsid w:val="00CA6926"/>
    <w:rsid w:val="00CA735C"/>
    <w:rsid w:val="00CB3AD5"/>
    <w:rsid w:val="00CB4AC7"/>
    <w:rsid w:val="00CB6E2B"/>
    <w:rsid w:val="00CD0753"/>
    <w:rsid w:val="00CD36A7"/>
    <w:rsid w:val="00CD46BD"/>
    <w:rsid w:val="00CD71EB"/>
    <w:rsid w:val="00CE4716"/>
    <w:rsid w:val="00CE52F8"/>
    <w:rsid w:val="00CE5DEC"/>
    <w:rsid w:val="00CE6855"/>
    <w:rsid w:val="00CF6FFD"/>
    <w:rsid w:val="00D02B82"/>
    <w:rsid w:val="00D133BD"/>
    <w:rsid w:val="00D13D39"/>
    <w:rsid w:val="00D2518B"/>
    <w:rsid w:val="00D32E4E"/>
    <w:rsid w:val="00D35790"/>
    <w:rsid w:val="00D434C0"/>
    <w:rsid w:val="00D5385A"/>
    <w:rsid w:val="00D57387"/>
    <w:rsid w:val="00D62018"/>
    <w:rsid w:val="00D65874"/>
    <w:rsid w:val="00D702AC"/>
    <w:rsid w:val="00D73CD0"/>
    <w:rsid w:val="00D8187A"/>
    <w:rsid w:val="00D849F0"/>
    <w:rsid w:val="00D85F2E"/>
    <w:rsid w:val="00D92C21"/>
    <w:rsid w:val="00DA0D39"/>
    <w:rsid w:val="00DA2C0C"/>
    <w:rsid w:val="00DA395C"/>
    <w:rsid w:val="00DB0337"/>
    <w:rsid w:val="00DB4A50"/>
    <w:rsid w:val="00DB5585"/>
    <w:rsid w:val="00DE432D"/>
    <w:rsid w:val="00DE4F13"/>
    <w:rsid w:val="00DF2758"/>
    <w:rsid w:val="00DF3C0A"/>
    <w:rsid w:val="00E004A3"/>
    <w:rsid w:val="00E0411B"/>
    <w:rsid w:val="00E10DE7"/>
    <w:rsid w:val="00E12A9E"/>
    <w:rsid w:val="00E130BA"/>
    <w:rsid w:val="00E229FE"/>
    <w:rsid w:val="00E2301B"/>
    <w:rsid w:val="00E27284"/>
    <w:rsid w:val="00E5104F"/>
    <w:rsid w:val="00E54AB2"/>
    <w:rsid w:val="00E8054F"/>
    <w:rsid w:val="00E81733"/>
    <w:rsid w:val="00E833DA"/>
    <w:rsid w:val="00E8443F"/>
    <w:rsid w:val="00E865E8"/>
    <w:rsid w:val="00E93234"/>
    <w:rsid w:val="00EA2692"/>
    <w:rsid w:val="00EA3CAB"/>
    <w:rsid w:val="00EB0B9C"/>
    <w:rsid w:val="00EB0C79"/>
    <w:rsid w:val="00EB117F"/>
    <w:rsid w:val="00EB5FE2"/>
    <w:rsid w:val="00EC39D6"/>
    <w:rsid w:val="00EC54C3"/>
    <w:rsid w:val="00EC7149"/>
    <w:rsid w:val="00EC76A0"/>
    <w:rsid w:val="00ED447E"/>
    <w:rsid w:val="00EE188D"/>
    <w:rsid w:val="00EE3189"/>
    <w:rsid w:val="00EE5E7F"/>
    <w:rsid w:val="00EE6FD8"/>
    <w:rsid w:val="00EE7FE1"/>
    <w:rsid w:val="00F00D13"/>
    <w:rsid w:val="00F12E17"/>
    <w:rsid w:val="00F25F41"/>
    <w:rsid w:val="00F264D8"/>
    <w:rsid w:val="00F33BD8"/>
    <w:rsid w:val="00F406BB"/>
    <w:rsid w:val="00F4414D"/>
    <w:rsid w:val="00F44D4C"/>
    <w:rsid w:val="00F52868"/>
    <w:rsid w:val="00F54EC7"/>
    <w:rsid w:val="00F61876"/>
    <w:rsid w:val="00F675AA"/>
    <w:rsid w:val="00F76815"/>
    <w:rsid w:val="00F85D90"/>
    <w:rsid w:val="00F86522"/>
    <w:rsid w:val="00FB400A"/>
    <w:rsid w:val="00FB4437"/>
    <w:rsid w:val="00FB47C3"/>
    <w:rsid w:val="00FC0BF3"/>
    <w:rsid w:val="00FC67DA"/>
    <w:rsid w:val="00FF211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192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A2692"/>
    <w:pPr>
      <w:spacing w:after="0" w:line="240" w:lineRule="auto"/>
    </w:pPr>
  </w:style>
  <w:style w:type="paragraph" w:customStyle="1" w:styleId="notemargin">
    <w:name w:val="note(margin)"/>
    <w:aliases w:val="nm"/>
    <w:basedOn w:val="Normal"/>
    <w:rsid w:val="0070725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B60E2B"/>
    <w:rPr>
      <w:color w:val="954F72" w:themeColor="followedHyperlink"/>
      <w:u w:val="single"/>
    </w:rPr>
  </w:style>
  <w:style w:type="paragraph" w:styleId="FootnoteText">
    <w:name w:val="footnote text"/>
    <w:basedOn w:val="Normal"/>
    <w:link w:val="FootnoteTextChar"/>
    <w:uiPriority w:val="99"/>
    <w:semiHidden/>
    <w:unhideWhenUsed/>
    <w:rsid w:val="00304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9C1"/>
    <w:rPr>
      <w:sz w:val="20"/>
      <w:szCs w:val="20"/>
    </w:rPr>
  </w:style>
  <w:style w:type="character" w:styleId="FootnoteReference">
    <w:name w:val="footnote reference"/>
    <w:basedOn w:val="DefaultParagraphFont"/>
    <w:uiPriority w:val="99"/>
    <w:semiHidden/>
    <w:unhideWhenUsed/>
    <w:rsid w:val="003049C1"/>
    <w:rPr>
      <w:vertAlign w:val="superscript"/>
    </w:rPr>
  </w:style>
  <w:style w:type="paragraph" w:customStyle="1" w:styleId="notetext">
    <w:name w:val="note(text)"/>
    <w:aliases w:val="n"/>
    <w:basedOn w:val="Normal"/>
    <w:rsid w:val="00B60541"/>
    <w:pPr>
      <w:spacing w:before="122" w:after="0" w:line="198" w:lineRule="exact"/>
      <w:ind w:left="1985" w:hanging="851"/>
    </w:pPr>
    <w:rPr>
      <w:rFonts w:ascii="Times New Roman" w:eastAsia="Times New Roman" w:hAnsi="Times New Roman" w:cs="Times New Roman"/>
      <w:sz w:val="18"/>
      <w:szCs w:val="20"/>
      <w:lang w:eastAsia="en-AU"/>
    </w:rPr>
  </w:style>
  <w:style w:type="character" w:styleId="UnresolvedMention">
    <w:name w:val="Unresolved Mention"/>
    <w:basedOn w:val="DefaultParagraphFont"/>
    <w:uiPriority w:val="99"/>
    <w:semiHidden/>
    <w:unhideWhenUsed/>
    <w:rsid w:val="0099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922">
      <w:bodyDiv w:val="1"/>
      <w:marLeft w:val="0"/>
      <w:marRight w:val="0"/>
      <w:marTop w:val="0"/>
      <w:marBottom w:val="0"/>
      <w:divBdr>
        <w:top w:val="none" w:sz="0" w:space="0" w:color="auto"/>
        <w:left w:val="none" w:sz="0" w:space="0" w:color="auto"/>
        <w:bottom w:val="none" w:sz="0" w:space="0" w:color="auto"/>
        <w:right w:val="none" w:sz="0" w:space="0" w:color="auto"/>
      </w:divBdr>
    </w:div>
    <w:div w:id="661855346">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07261229">
      <w:bodyDiv w:val="1"/>
      <w:marLeft w:val="0"/>
      <w:marRight w:val="0"/>
      <w:marTop w:val="0"/>
      <w:marBottom w:val="0"/>
      <w:divBdr>
        <w:top w:val="none" w:sz="0" w:space="0" w:color="auto"/>
        <w:left w:val="none" w:sz="0" w:space="0" w:color="auto"/>
        <w:bottom w:val="none" w:sz="0" w:space="0" w:color="auto"/>
        <w:right w:val="none" w:sz="0" w:space="0" w:color="auto"/>
      </w:divBdr>
      <w:divsChild>
        <w:div w:id="1405027788">
          <w:marLeft w:val="0"/>
          <w:marRight w:val="0"/>
          <w:marTop w:val="0"/>
          <w:marBottom w:val="0"/>
          <w:divBdr>
            <w:top w:val="none" w:sz="0" w:space="0" w:color="auto"/>
            <w:left w:val="none" w:sz="0" w:space="0" w:color="auto"/>
            <w:bottom w:val="none" w:sz="0" w:space="0" w:color="auto"/>
            <w:right w:val="none" w:sz="0" w:space="0" w:color="auto"/>
          </w:divBdr>
          <w:divsChild>
            <w:div w:id="184447350">
              <w:marLeft w:val="0"/>
              <w:marRight w:val="0"/>
              <w:marTop w:val="0"/>
              <w:marBottom w:val="0"/>
              <w:divBdr>
                <w:top w:val="none" w:sz="0" w:space="0" w:color="auto"/>
                <w:left w:val="none" w:sz="0" w:space="0" w:color="auto"/>
                <w:bottom w:val="none" w:sz="0" w:space="0" w:color="auto"/>
                <w:right w:val="none" w:sz="0" w:space="0" w:color="auto"/>
              </w:divBdr>
              <w:divsChild>
                <w:div w:id="1564558848">
                  <w:marLeft w:val="0"/>
                  <w:marRight w:val="0"/>
                  <w:marTop w:val="0"/>
                  <w:marBottom w:val="0"/>
                  <w:divBdr>
                    <w:top w:val="none" w:sz="0" w:space="0" w:color="auto"/>
                    <w:left w:val="none" w:sz="0" w:space="0" w:color="auto"/>
                    <w:bottom w:val="none" w:sz="0" w:space="0" w:color="auto"/>
                    <w:right w:val="none" w:sz="0" w:space="0" w:color="auto"/>
                  </w:divBdr>
                  <w:divsChild>
                    <w:div w:id="1849372417">
                      <w:marLeft w:val="0"/>
                      <w:marRight w:val="0"/>
                      <w:marTop w:val="0"/>
                      <w:marBottom w:val="0"/>
                      <w:divBdr>
                        <w:top w:val="none" w:sz="0" w:space="0" w:color="auto"/>
                        <w:left w:val="none" w:sz="0" w:space="0" w:color="auto"/>
                        <w:bottom w:val="none" w:sz="0" w:space="0" w:color="auto"/>
                        <w:right w:val="none" w:sz="0" w:space="0" w:color="auto"/>
                      </w:divBdr>
                      <w:divsChild>
                        <w:div w:id="589965775">
                          <w:marLeft w:val="0"/>
                          <w:marRight w:val="0"/>
                          <w:marTop w:val="0"/>
                          <w:marBottom w:val="0"/>
                          <w:divBdr>
                            <w:top w:val="none" w:sz="0" w:space="0" w:color="auto"/>
                            <w:left w:val="none" w:sz="0" w:space="0" w:color="auto"/>
                            <w:bottom w:val="none" w:sz="0" w:space="0" w:color="auto"/>
                            <w:right w:val="none" w:sz="0" w:space="0" w:color="auto"/>
                          </w:divBdr>
                          <w:divsChild>
                            <w:div w:id="77215772">
                              <w:marLeft w:val="0"/>
                              <w:marRight w:val="0"/>
                              <w:marTop w:val="0"/>
                              <w:marBottom w:val="0"/>
                              <w:divBdr>
                                <w:top w:val="none" w:sz="0" w:space="0" w:color="auto"/>
                                <w:left w:val="none" w:sz="0" w:space="0" w:color="auto"/>
                                <w:bottom w:val="none" w:sz="0" w:space="0" w:color="auto"/>
                                <w:right w:val="none" w:sz="0" w:space="0" w:color="auto"/>
                              </w:divBdr>
                              <w:divsChild>
                                <w:div w:id="1739206135">
                                  <w:marLeft w:val="0"/>
                                  <w:marRight w:val="0"/>
                                  <w:marTop w:val="0"/>
                                  <w:marBottom w:val="0"/>
                                  <w:divBdr>
                                    <w:top w:val="none" w:sz="0" w:space="0" w:color="auto"/>
                                    <w:left w:val="none" w:sz="0" w:space="0" w:color="auto"/>
                                    <w:bottom w:val="none" w:sz="0" w:space="0" w:color="auto"/>
                                    <w:right w:val="none" w:sz="0" w:space="0" w:color="auto"/>
                                  </w:divBdr>
                                  <w:divsChild>
                                    <w:div w:id="1501966345">
                                      <w:marLeft w:val="0"/>
                                      <w:marRight w:val="0"/>
                                      <w:marTop w:val="0"/>
                                      <w:marBottom w:val="0"/>
                                      <w:divBdr>
                                        <w:top w:val="none" w:sz="0" w:space="0" w:color="auto"/>
                                        <w:left w:val="none" w:sz="0" w:space="0" w:color="auto"/>
                                        <w:bottom w:val="none" w:sz="0" w:space="0" w:color="auto"/>
                                        <w:right w:val="none" w:sz="0" w:space="0" w:color="auto"/>
                                      </w:divBdr>
                                      <w:divsChild>
                                        <w:div w:id="1349798262">
                                          <w:marLeft w:val="0"/>
                                          <w:marRight w:val="0"/>
                                          <w:marTop w:val="0"/>
                                          <w:marBottom w:val="0"/>
                                          <w:divBdr>
                                            <w:top w:val="none" w:sz="0" w:space="0" w:color="auto"/>
                                            <w:left w:val="none" w:sz="0" w:space="0" w:color="auto"/>
                                            <w:bottom w:val="none" w:sz="0" w:space="0" w:color="auto"/>
                                            <w:right w:val="none" w:sz="0" w:space="0" w:color="auto"/>
                                          </w:divBdr>
                                          <w:divsChild>
                                            <w:div w:id="1584605629">
                                              <w:marLeft w:val="0"/>
                                              <w:marRight w:val="0"/>
                                              <w:marTop w:val="0"/>
                                              <w:marBottom w:val="0"/>
                                              <w:divBdr>
                                                <w:top w:val="none" w:sz="0" w:space="0" w:color="auto"/>
                                                <w:left w:val="none" w:sz="0" w:space="0" w:color="auto"/>
                                                <w:bottom w:val="none" w:sz="0" w:space="0" w:color="auto"/>
                                                <w:right w:val="none" w:sz="0" w:space="0" w:color="auto"/>
                                              </w:divBdr>
                                              <w:divsChild>
                                                <w:div w:id="1907447049">
                                                  <w:marLeft w:val="0"/>
                                                  <w:marRight w:val="0"/>
                                                  <w:marTop w:val="0"/>
                                                  <w:marBottom w:val="0"/>
                                                  <w:divBdr>
                                                    <w:top w:val="none" w:sz="0" w:space="0" w:color="auto"/>
                                                    <w:left w:val="none" w:sz="0" w:space="0" w:color="auto"/>
                                                    <w:bottom w:val="none" w:sz="0" w:space="0" w:color="auto"/>
                                                    <w:right w:val="none" w:sz="0" w:space="0" w:color="auto"/>
                                                  </w:divBdr>
                                                  <w:divsChild>
                                                    <w:div w:id="1577980966">
                                                      <w:marLeft w:val="0"/>
                                                      <w:marRight w:val="0"/>
                                                      <w:marTop w:val="0"/>
                                                      <w:marBottom w:val="0"/>
                                                      <w:divBdr>
                                                        <w:top w:val="none" w:sz="0" w:space="0" w:color="auto"/>
                                                        <w:left w:val="none" w:sz="0" w:space="0" w:color="auto"/>
                                                        <w:bottom w:val="none" w:sz="0" w:space="0" w:color="auto"/>
                                                        <w:right w:val="none" w:sz="0" w:space="0" w:color="auto"/>
                                                      </w:divBdr>
                                                      <w:divsChild>
                                                        <w:div w:id="787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publications/resource-management-guides/australian-government-cost-recovery-guidelines-rmg-3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ance.gov.au/government/managing-commonwealth-resources/managing-money-property/managing-money/australian-government-charging-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UQVA7MFFXVNW-343728570-1682</_dlc_DocId>
    <_dlc_DocIdUrl xmlns="04b8ec43-391f-4ce4-8841-d6a482add564">
      <Url>http://collaboration/organisation/auth/Chair/Auth/_layouts/15/DocIdRedir.aspx?ID=UQVA7MFFXVNW-343728570-1682</Url>
      <Description>UQVA7MFFXVNW-343728570-1682</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C4EAC-6A7E-487A-8ED4-46FFF344C57C}">
  <ds:schemaRefs>
    <ds:schemaRef ds:uri="http://schemas.microsoft.com/sharepoint/events"/>
  </ds:schemaRefs>
</ds:datastoreItem>
</file>

<file path=customXml/itemProps2.xml><?xml version="1.0" encoding="utf-8"?>
<ds:datastoreItem xmlns:ds="http://schemas.openxmlformats.org/officeDocument/2006/customXml" ds:itemID="{8E9E5C87-488F-4C08-9A6D-078F83716780}">
  <ds:schemaRefs>
    <ds:schemaRef ds:uri="http://schemas.openxmlformats.org/officeDocument/2006/bibliography"/>
  </ds:schemaRefs>
</ds:datastoreItem>
</file>

<file path=customXml/itemProps3.xml><?xml version="1.0" encoding="utf-8"?>
<ds:datastoreItem xmlns:ds="http://schemas.openxmlformats.org/officeDocument/2006/customXml" ds:itemID="{E22A75E7-4373-45C0-88F2-01A69416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E3095-78DC-45EE-8407-DBA2C2A71281}">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40954468-9D9F-4ACC-A409-1C7218062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Eve Osiowy</cp:lastModifiedBy>
  <cp:revision>2</cp:revision>
  <cp:lastPrinted>2016-07-25T00:08:00Z</cp:lastPrinted>
  <dcterms:created xsi:type="dcterms:W3CDTF">2021-09-27T02:02:00Z</dcterms:created>
  <dcterms:modified xsi:type="dcterms:W3CDTF">2021-09-27T02:02:00Z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0d09b72c-858f-4c58-96e6-1995282069f3</vt:lpwstr>
  </property>
  <property fmtid="{D5CDD505-2E9C-101B-9397-08002B2CF9AE}" pid="3" name="ContentTypeId">
    <vt:lpwstr>0x010100E2EB147E7279724581487018DE8E8B00</vt:lpwstr>
  </property>
</Properties>
</file>