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2D631B" w14:textId="77777777" w:rsidR="00F328DA" w:rsidRPr="006D621D" w:rsidRDefault="002533F0" w:rsidP="00126429">
      <w:pPr>
        <w:spacing w:before="0" w:after="120"/>
        <w:ind w:right="91"/>
        <w:jc w:val="center"/>
        <w:rPr>
          <w:rFonts w:ascii="Arial" w:hAnsi="Arial" w:cs="Arial"/>
          <w:b/>
          <w:szCs w:val="24"/>
          <w:u w:val="single"/>
        </w:rPr>
      </w:pPr>
      <w:bookmarkStart w:id="0" w:name="_GoBack"/>
      <w:bookmarkEnd w:id="0"/>
      <w:r w:rsidRPr="006D621D">
        <w:rPr>
          <w:rFonts w:ascii="Arial" w:hAnsi="Arial" w:cs="Arial"/>
          <w:b/>
          <w:szCs w:val="24"/>
          <w:u w:val="single"/>
        </w:rPr>
        <w:t>EXPLANATORY STATEMENT</w:t>
      </w:r>
      <w:r w:rsidR="00B54C30" w:rsidRPr="006D621D">
        <w:rPr>
          <w:rFonts w:ascii="Arial" w:hAnsi="Arial" w:cs="Arial"/>
          <w:b/>
          <w:szCs w:val="24"/>
          <w:u w:val="single"/>
        </w:rPr>
        <w:t xml:space="preserve"> </w:t>
      </w:r>
    </w:p>
    <w:p w14:paraId="693FF4C6" w14:textId="77777777" w:rsidR="00EC0C59" w:rsidRPr="006D621D" w:rsidRDefault="00EC0C59" w:rsidP="001812DF">
      <w:pPr>
        <w:spacing w:before="0"/>
        <w:ind w:right="91"/>
        <w:rPr>
          <w:rFonts w:ascii="Arial" w:hAnsi="Arial" w:cs="Arial"/>
          <w:b/>
          <w:szCs w:val="24"/>
          <w:u w:val="single"/>
        </w:rPr>
      </w:pPr>
    </w:p>
    <w:p w14:paraId="559E3468" w14:textId="55B4C9A2" w:rsidR="002533F0" w:rsidRPr="006D621D" w:rsidRDefault="002533F0" w:rsidP="002533F0">
      <w:pPr>
        <w:spacing w:before="0"/>
        <w:ind w:right="91"/>
        <w:jc w:val="center"/>
        <w:rPr>
          <w:rFonts w:ascii="Arial" w:hAnsi="Arial" w:cs="Arial"/>
          <w:szCs w:val="24"/>
        </w:rPr>
      </w:pPr>
      <w:r w:rsidRPr="006D621D">
        <w:rPr>
          <w:rFonts w:ascii="Arial" w:hAnsi="Arial" w:cs="Arial"/>
          <w:szCs w:val="24"/>
        </w:rPr>
        <w:t>Issued by the authority of the</w:t>
      </w:r>
      <w:r w:rsidR="00AD1645" w:rsidRPr="006D621D">
        <w:rPr>
          <w:rFonts w:ascii="Arial" w:hAnsi="Arial" w:cs="Arial"/>
          <w:szCs w:val="24"/>
        </w:rPr>
        <w:t xml:space="preserve"> Minister</w:t>
      </w:r>
      <w:r w:rsidR="00C455A2" w:rsidRPr="006D621D">
        <w:rPr>
          <w:rFonts w:ascii="Arial" w:hAnsi="Arial" w:cs="Arial"/>
          <w:szCs w:val="24"/>
        </w:rPr>
        <w:t xml:space="preserve"> for</w:t>
      </w:r>
      <w:r w:rsidR="00AD1645" w:rsidRPr="006D621D">
        <w:rPr>
          <w:rFonts w:ascii="Arial" w:hAnsi="Arial" w:cs="Arial"/>
          <w:szCs w:val="24"/>
        </w:rPr>
        <w:t xml:space="preserve"> </w:t>
      </w:r>
      <w:r w:rsidR="0077007C">
        <w:rPr>
          <w:rFonts w:ascii="Arial" w:hAnsi="Arial" w:cs="Arial"/>
          <w:szCs w:val="24"/>
        </w:rPr>
        <w:t xml:space="preserve">Families and </w:t>
      </w:r>
      <w:r w:rsidR="00571129" w:rsidRPr="006D621D">
        <w:rPr>
          <w:rFonts w:ascii="Arial" w:hAnsi="Arial" w:cs="Arial"/>
          <w:szCs w:val="24"/>
        </w:rPr>
        <w:t>Social Services</w:t>
      </w:r>
    </w:p>
    <w:p w14:paraId="314D69E0" w14:textId="77777777" w:rsidR="002533F0" w:rsidRPr="006D621D" w:rsidRDefault="002533F0" w:rsidP="002533F0">
      <w:pPr>
        <w:spacing w:before="0"/>
        <w:ind w:right="91"/>
        <w:jc w:val="center"/>
        <w:rPr>
          <w:rFonts w:ascii="Arial" w:hAnsi="Arial" w:cs="Arial"/>
          <w:i/>
          <w:szCs w:val="24"/>
        </w:rPr>
      </w:pPr>
    </w:p>
    <w:p w14:paraId="01E38607" w14:textId="0E8085AF" w:rsidR="00CD35B8" w:rsidRPr="006D621D" w:rsidRDefault="00B74208" w:rsidP="002533F0">
      <w:pPr>
        <w:spacing w:before="0"/>
        <w:ind w:right="91"/>
        <w:jc w:val="center"/>
        <w:rPr>
          <w:rFonts w:ascii="Arial" w:hAnsi="Arial" w:cs="Arial"/>
          <w:i/>
          <w:szCs w:val="24"/>
        </w:rPr>
      </w:pPr>
      <w:r w:rsidRPr="006D621D">
        <w:rPr>
          <w:rFonts w:ascii="Arial" w:hAnsi="Arial" w:cs="Arial"/>
          <w:i/>
          <w:szCs w:val="24"/>
        </w:rPr>
        <w:t>Human Services</w:t>
      </w:r>
      <w:r w:rsidR="00CD35B8" w:rsidRPr="006D621D">
        <w:rPr>
          <w:rFonts w:ascii="Arial" w:hAnsi="Arial" w:cs="Arial"/>
          <w:i/>
          <w:szCs w:val="24"/>
        </w:rPr>
        <w:t xml:space="preserve"> (</w:t>
      </w:r>
      <w:r w:rsidRPr="006D621D">
        <w:rPr>
          <w:rFonts w:ascii="Arial" w:hAnsi="Arial" w:cs="Arial"/>
          <w:i/>
          <w:szCs w:val="24"/>
        </w:rPr>
        <w:t>Centrelink) Act 1997</w:t>
      </w:r>
    </w:p>
    <w:p w14:paraId="1099713E" w14:textId="77777777" w:rsidR="00CD35B8" w:rsidRPr="006D621D" w:rsidRDefault="00CD35B8" w:rsidP="002533F0">
      <w:pPr>
        <w:spacing w:before="0"/>
        <w:ind w:right="91"/>
        <w:jc w:val="center"/>
        <w:rPr>
          <w:rFonts w:ascii="Arial" w:hAnsi="Arial" w:cs="Arial"/>
          <w:i/>
          <w:szCs w:val="24"/>
        </w:rPr>
      </w:pPr>
    </w:p>
    <w:p w14:paraId="699A21ED" w14:textId="7BEE0155" w:rsidR="00CD35B8" w:rsidRPr="006D621D" w:rsidRDefault="00B74208" w:rsidP="002533F0">
      <w:pPr>
        <w:spacing w:before="0"/>
        <w:ind w:right="91"/>
        <w:jc w:val="center"/>
        <w:rPr>
          <w:rFonts w:ascii="Arial" w:hAnsi="Arial" w:cs="Arial"/>
          <w:szCs w:val="24"/>
        </w:rPr>
      </w:pPr>
      <w:r w:rsidRPr="006D621D">
        <w:rPr>
          <w:rFonts w:ascii="Arial" w:hAnsi="Arial" w:cs="Arial"/>
          <w:szCs w:val="24"/>
        </w:rPr>
        <w:t>Human Services (Centrelink)</w:t>
      </w:r>
      <w:r w:rsidR="00D55ED4" w:rsidRPr="006D621D">
        <w:rPr>
          <w:rFonts w:ascii="Arial" w:hAnsi="Arial" w:cs="Arial"/>
          <w:szCs w:val="24"/>
        </w:rPr>
        <w:t xml:space="preserve"> </w:t>
      </w:r>
      <w:r w:rsidR="00CD35B8" w:rsidRPr="006D621D">
        <w:rPr>
          <w:rFonts w:ascii="Arial" w:hAnsi="Arial" w:cs="Arial"/>
          <w:szCs w:val="24"/>
        </w:rPr>
        <w:t>(</w:t>
      </w:r>
      <w:r w:rsidRPr="006D621D">
        <w:rPr>
          <w:rFonts w:ascii="Arial" w:hAnsi="Arial" w:cs="Arial"/>
          <w:szCs w:val="24"/>
        </w:rPr>
        <w:t>Designated Program Act</w:t>
      </w:r>
      <w:r w:rsidR="00CD35B8" w:rsidRPr="006D621D">
        <w:rPr>
          <w:rFonts w:ascii="Arial" w:hAnsi="Arial" w:cs="Arial"/>
          <w:szCs w:val="24"/>
        </w:rPr>
        <w:t xml:space="preserve">) </w:t>
      </w:r>
      <w:r w:rsidRPr="006D621D">
        <w:rPr>
          <w:rFonts w:ascii="Arial" w:hAnsi="Arial" w:cs="Arial"/>
          <w:szCs w:val="24"/>
        </w:rPr>
        <w:t>Specification</w:t>
      </w:r>
      <w:r w:rsidR="00CD35B8" w:rsidRPr="006D621D">
        <w:rPr>
          <w:rFonts w:ascii="Arial" w:hAnsi="Arial" w:cs="Arial"/>
          <w:szCs w:val="24"/>
        </w:rPr>
        <w:t xml:space="preserve"> 2021</w:t>
      </w:r>
    </w:p>
    <w:p w14:paraId="11609723" w14:textId="77777777" w:rsidR="009973FC" w:rsidRPr="006D621D" w:rsidRDefault="009973FC" w:rsidP="009973FC">
      <w:pPr>
        <w:rPr>
          <w:rStyle w:val="BookTitle"/>
          <w:rFonts w:ascii="Arial" w:hAnsi="Arial" w:cs="Arial"/>
          <w:b/>
          <w:i w:val="0"/>
          <w:iCs w:val="0"/>
          <w:smallCaps w:val="0"/>
          <w:spacing w:val="0"/>
          <w:szCs w:val="24"/>
        </w:rPr>
      </w:pPr>
      <w:r w:rsidRPr="006D621D">
        <w:rPr>
          <w:rStyle w:val="BookTitle"/>
          <w:rFonts w:ascii="Arial" w:hAnsi="Arial" w:cs="Arial"/>
          <w:b/>
          <w:i w:val="0"/>
          <w:iCs w:val="0"/>
          <w:smallCaps w:val="0"/>
          <w:spacing w:val="0"/>
          <w:szCs w:val="24"/>
        </w:rPr>
        <w:t>Purpose</w:t>
      </w:r>
    </w:p>
    <w:p w14:paraId="1B452016" w14:textId="77777777" w:rsidR="00DE7FE8" w:rsidRDefault="00DE7FE8" w:rsidP="000548B7">
      <w:pPr>
        <w:spacing w:before="0"/>
        <w:rPr>
          <w:rFonts w:ascii="Arial" w:hAnsi="Arial" w:cs="Arial"/>
          <w:szCs w:val="24"/>
        </w:rPr>
      </w:pPr>
    </w:p>
    <w:p w14:paraId="64C829C2" w14:textId="1C76F942" w:rsidR="000548B7" w:rsidRDefault="002578A3" w:rsidP="000548B7">
      <w:pPr>
        <w:spacing w:before="0"/>
        <w:rPr>
          <w:rFonts w:ascii="Arial" w:hAnsi="Arial" w:cs="Arial"/>
          <w:szCs w:val="24"/>
        </w:rPr>
      </w:pPr>
      <w:r w:rsidRPr="006D621D">
        <w:rPr>
          <w:rFonts w:ascii="Arial" w:hAnsi="Arial" w:cs="Arial"/>
          <w:szCs w:val="24"/>
        </w:rPr>
        <w:t xml:space="preserve">The Human Services (Centrelink) (Designated Program Act) </w:t>
      </w:r>
      <w:r w:rsidR="00B74208" w:rsidRPr="006D621D">
        <w:rPr>
          <w:rFonts w:ascii="Arial" w:hAnsi="Arial" w:cs="Arial"/>
          <w:szCs w:val="24"/>
        </w:rPr>
        <w:t xml:space="preserve">Specification </w:t>
      </w:r>
      <w:r w:rsidRPr="006D621D">
        <w:rPr>
          <w:rFonts w:ascii="Arial" w:hAnsi="Arial" w:cs="Arial"/>
          <w:szCs w:val="24"/>
        </w:rPr>
        <w:t xml:space="preserve">2021 (this Specification) </w:t>
      </w:r>
      <w:r w:rsidR="00C5169B">
        <w:rPr>
          <w:rFonts w:ascii="Arial" w:hAnsi="Arial" w:cs="Arial"/>
          <w:szCs w:val="24"/>
        </w:rPr>
        <w:t>specifies</w:t>
      </w:r>
      <w:r w:rsidR="00EB0A28" w:rsidRPr="006D621D">
        <w:rPr>
          <w:rFonts w:ascii="Arial" w:hAnsi="Arial" w:cs="Arial"/>
          <w:szCs w:val="24"/>
        </w:rPr>
        <w:t xml:space="preserve"> the </w:t>
      </w:r>
      <w:r w:rsidR="00EB0A28" w:rsidRPr="006D621D">
        <w:rPr>
          <w:rFonts w:ascii="Arial" w:hAnsi="Arial" w:cs="Arial"/>
          <w:i/>
          <w:szCs w:val="24"/>
        </w:rPr>
        <w:t xml:space="preserve">Australian Prudential Regulation Authority Act 1998 </w:t>
      </w:r>
      <w:r w:rsidR="00EB0A28" w:rsidRPr="006D621D">
        <w:rPr>
          <w:rFonts w:ascii="Arial" w:hAnsi="Arial" w:cs="Arial"/>
          <w:szCs w:val="24"/>
        </w:rPr>
        <w:t xml:space="preserve">and the </w:t>
      </w:r>
      <w:r w:rsidR="00EB0A28" w:rsidRPr="006D621D">
        <w:rPr>
          <w:rFonts w:ascii="Arial" w:hAnsi="Arial" w:cs="Arial"/>
          <w:i/>
          <w:szCs w:val="24"/>
        </w:rPr>
        <w:t xml:space="preserve">Taxation Administration Act 1953 </w:t>
      </w:r>
      <w:r w:rsidR="00EB0A28" w:rsidRPr="006D621D">
        <w:rPr>
          <w:rFonts w:ascii="Arial" w:hAnsi="Arial" w:cs="Arial"/>
          <w:szCs w:val="24"/>
        </w:rPr>
        <w:t>as designated program Acts for the pu</w:t>
      </w:r>
      <w:r w:rsidRPr="006D621D">
        <w:rPr>
          <w:rFonts w:ascii="Arial" w:hAnsi="Arial" w:cs="Arial"/>
          <w:szCs w:val="24"/>
        </w:rPr>
        <w:t xml:space="preserve">rposes of paragraph </w:t>
      </w:r>
      <w:r w:rsidR="00754921">
        <w:rPr>
          <w:rFonts w:ascii="Arial" w:hAnsi="Arial" w:cs="Arial"/>
          <w:szCs w:val="24"/>
        </w:rPr>
        <w:t>(o) of the definition ‘designated program Act’ in subsection 40A(3)</w:t>
      </w:r>
      <w:r w:rsidRPr="006D621D">
        <w:rPr>
          <w:rFonts w:ascii="Arial" w:hAnsi="Arial" w:cs="Arial"/>
          <w:szCs w:val="24"/>
        </w:rPr>
        <w:t xml:space="preserve"> of</w:t>
      </w:r>
      <w:r w:rsidR="00EB0A28" w:rsidRPr="006D621D">
        <w:rPr>
          <w:rFonts w:ascii="Arial" w:hAnsi="Arial" w:cs="Arial"/>
          <w:szCs w:val="24"/>
        </w:rPr>
        <w:t xml:space="preserve"> the </w:t>
      </w:r>
      <w:r w:rsidR="00EB0A28" w:rsidRPr="006D621D">
        <w:rPr>
          <w:rFonts w:ascii="Arial" w:hAnsi="Arial" w:cs="Arial"/>
          <w:i/>
          <w:szCs w:val="24"/>
        </w:rPr>
        <w:t>Human Services (Centrelink) Act 1997</w:t>
      </w:r>
      <w:r w:rsidR="00EB0A28" w:rsidRPr="006D621D">
        <w:rPr>
          <w:rFonts w:ascii="Arial" w:hAnsi="Arial" w:cs="Arial"/>
          <w:szCs w:val="24"/>
        </w:rPr>
        <w:t xml:space="preserve"> (the </w:t>
      </w:r>
      <w:r w:rsidR="00754921">
        <w:rPr>
          <w:rFonts w:ascii="Arial" w:hAnsi="Arial" w:cs="Arial"/>
          <w:szCs w:val="24"/>
        </w:rPr>
        <w:t>Centrelink</w:t>
      </w:r>
      <w:r w:rsidRPr="006D621D">
        <w:rPr>
          <w:rFonts w:ascii="Arial" w:hAnsi="Arial" w:cs="Arial"/>
          <w:szCs w:val="24"/>
        </w:rPr>
        <w:t xml:space="preserve"> </w:t>
      </w:r>
      <w:r w:rsidR="00EB0A28" w:rsidRPr="006D621D">
        <w:rPr>
          <w:rFonts w:ascii="Arial" w:hAnsi="Arial" w:cs="Arial"/>
          <w:szCs w:val="24"/>
        </w:rPr>
        <w:t xml:space="preserve">Act). </w:t>
      </w:r>
    </w:p>
    <w:p w14:paraId="6D27AEB7" w14:textId="77777777" w:rsidR="000548B7" w:rsidRPr="006D621D" w:rsidRDefault="000548B7" w:rsidP="000548B7">
      <w:pPr>
        <w:spacing w:before="0"/>
        <w:rPr>
          <w:rFonts w:ascii="Arial" w:hAnsi="Arial" w:cs="Arial"/>
          <w:szCs w:val="24"/>
        </w:rPr>
      </w:pPr>
    </w:p>
    <w:p w14:paraId="581E6626" w14:textId="53585033" w:rsidR="000548B7" w:rsidRDefault="00EB0A28" w:rsidP="000548B7">
      <w:pPr>
        <w:spacing w:before="0"/>
        <w:rPr>
          <w:rFonts w:ascii="Arial" w:hAnsi="Arial" w:cs="Arial"/>
          <w:szCs w:val="24"/>
        </w:rPr>
      </w:pPr>
      <w:r w:rsidRPr="006D621D">
        <w:rPr>
          <w:rFonts w:ascii="Arial" w:hAnsi="Arial" w:cs="Arial"/>
          <w:szCs w:val="24"/>
        </w:rPr>
        <w:t xml:space="preserve">The </w:t>
      </w:r>
      <w:r w:rsidR="00C5169B">
        <w:rPr>
          <w:rFonts w:ascii="Arial" w:hAnsi="Arial" w:cs="Arial"/>
          <w:szCs w:val="24"/>
        </w:rPr>
        <w:t xml:space="preserve">current </w:t>
      </w:r>
      <w:r w:rsidR="00BE4FC1" w:rsidRPr="006D621D">
        <w:rPr>
          <w:rFonts w:ascii="Arial" w:hAnsi="Arial" w:cs="Arial"/>
          <w:szCs w:val="24"/>
        </w:rPr>
        <w:t xml:space="preserve">instrument </w:t>
      </w:r>
      <w:r w:rsidR="00C5169B">
        <w:rPr>
          <w:rFonts w:ascii="Arial" w:hAnsi="Arial" w:cs="Arial"/>
          <w:szCs w:val="24"/>
        </w:rPr>
        <w:t>that specifies</w:t>
      </w:r>
      <w:r w:rsidR="00BE4FC1" w:rsidRPr="006D621D">
        <w:rPr>
          <w:rFonts w:ascii="Arial" w:hAnsi="Arial" w:cs="Arial"/>
          <w:szCs w:val="24"/>
        </w:rPr>
        <w:t xml:space="preserve"> the </w:t>
      </w:r>
      <w:r w:rsidRPr="006D621D">
        <w:rPr>
          <w:rFonts w:ascii="Arial" w:hAnsi="Arial" w:cs="Arial"/>
          <w:i/>
          <w:szCs w:val="24"/>
        </w:rPr>
        <w:t xml:space="preserve">Australian Prudential Regulation Authority Act 1998 </w:t>
      </w:r>
      <w:r w:rsidR="00BE4FC1" w:rsidRPr="006D621D">
        <w:rPr>
          <w:rFonts w:ascii="Arial" w:hAnsi="Arial" w:cs="Arial"/>
          <w:szCs w:val="24"/>
        </w:rPr>
        <w:t>– the Human Services (Centrelink) (Designated Program Act</w:t>
      </w:r>
      <w:r w:rsidR="000548B7">
        <w:rPr>
          <w:rFonts w:ascii="Arial" w:hAnsi="Arial" w:cs="Arial"/>
          <w:szCs w:val="24"/>
        </w:rPr>
        <w:t>) Specification 2011 (No.1) – i</w:t>
      </w:r>
      <w:r w:rsidR="00BE4FC1" w:rsidRPr="006D621D">
        <w:rPr>
          <w:rFonts w:ascii="Arial" w:hAnsi="Arial" w:cs="Arial"/>
          <w:szCs w:val="24"/>
        </w:rPr>
        <w:t xml:space="preserve">s due to sunset on 1 October 2021. </w:t>
      </w:r>
    </w:p>
    <w:p w14:paraId="0A5F5AFB" w14:textId="77777777" w:rsidR="000548B7" w:rsidRPr="006D621D" w:rsidRDefault="000548B7" w:rsidP="000548B7">
      <w:pPr>
        <w:spacing w:before="0"/>
        <w:rPr>
          <w:rFonts w:ascii="Arial" w:hAnsi="Arial" w:cs="Arial"/>
          <w:szCs w:val="24"/>
        </w:rPr>
      </w:pPr>
    </w:p>
    <w:p w14:paraId="1E6084B5" w14:textId="0A49F894" w:rsidR="002E59D8" w:rsidRDefault="00BE4FC1" w:rsidP="000548B7">
      <w:pPr>
        <w:spacing w:before="0"/>
        <w:rPr>
          <w:rFonts w:ascii="Arial" w:hAnsi="Arial" w:cs="Arial"/>
          <w:szCs w:val="24"/>
        </w:rPr>
      </w:pPr>
      <w:r w:rsidRPr="006D621D">
        <w:rPr>
          <w:rFonts w:ascii="Arial" w:hAnsi="Arial" w:cs="Arial"/>
          <w:szCs w:val="24"/>
        </w:rPr>
        <w:t xml:space="preserve">The </w:t>
      </w:r>
      <w:r w:rsidR="00C5169B">
        <w:rPr>
          <w:rFonts w:ascii="Arial" w:hAnsi="Arial" w:cs="Arial"/>
          <w:szCs w:val="24"/>
        </w:rPr>
        <w:t>current instrument that specifies</w:t>
      </w:r>
      <w:r w:rsidRPr="006D621D">
        <w:rPr>
          <w:rFonts w:ascii="Arial" w:hAnsi="Arial" w:cs="Arial"/>
          <w:szCs w:val="24"/>
        </w:rPr>
        <w:t xml:space="preserve"> t</w:t>
      </w:r>
      <w:r w:rsidR="00EB0A28" w:rsidRPr="006D621D">
        <w:rPr>
          <w:rFonts w:ascii="Arial" w:hAnsi="Arial" w:cs="Arial"/>
          <w:szCs w:val="24"/>
        </w:rPr>
        <w:t xml:space="preserve">he </w:t>
      </w:r>
      <w:r w:rsidR="00EB0A28" w:rsidRPr="006D621D">
        <w:rPr>
          <w:rFonts w:ascii="Arial" w:hAnsi="Arial" w:cs="Arial"/>
          <w:i/>
          <w:szCs w:val="24"/>
        </w:rPr>
        <w:t xml:space="preserve">Taxation Administration Act 1953 </w:t>
      </w:r>
      <w:r w:rsidRPr="006D621D">
        <w:rPr>
          <w:rFonts w:ascii="Arial" w:hAnsi="Arial" w:cs="Arial"/>
          <w:szCs w:val="24"/>
        </w:rPr>
        <w:t>– the Human Services (Centrelink) (Designated Program Act)</w:t>
      </w:r>
      <w:r w:rsidR="000548B7">
        <w:rPr>
          <w:rFonts w:ascii="Arial" w:hAnsi="Arial" w:cs="Arial"/>
          <w:szCs w:val="24"/>
        </w:rPr>
        <w:t xml:space="preserve"> Specification 2011 (No.2) – is</w:t>
      </w:r>
      <w:r w:rsidRPr="006D621D">
        <w:rPr>
          <w:rFonts w:ascii="Arial" w:hAnsi="Arial" w:cs="Arial"/>
          <w:szCs w:val="24"/>
        </w:rPr>
        <w:t xml:space="preserve"> due to sunset on 1 April 2022. </w:t>
      </w:r>
    </w:p>
    <w:p w14:paraId="43CD037D" w14:textId="77777777" w:rsidR="002C346D" w:rsidRPr="006D621D" w:rsidRDefault="002C346D" w:rsidP="002C346D">
      <w:pPr>
        <w:spacing w:before="0"/>
        <w:rPr>
          <w:rStyle w:val="BookTitle"/>
          <w:rFonts w:ascii="Arial" w:hAnsi="Arial" w:cs="Arial"/>
          <w:i w:val="0"/>
          <w:iCs w:val="0"/>
          <w:smallCaps w:val="0"/>
          <w:spacing w:val="0"/>
          <w:szCs w:val="24"/>
        </w:rPr>
      </w:pPr>
    </w:p>
    <w:p w14:paraId="2D1EFB81" w14:textId="2B0BAF66" w:rsidR="002C346D" w:rsidRDefault="0015134A" w:rsidP="002C346D">
      <w:pPr>
        <w:spacing w:before="0"/>
        <w:rPr>
          <w:rStyle w:val="BookTitle"/>
          <w:rFonts w:ascii="Arial" w:hAnsi="Arial" w:cs="Arial"/>
          <w:b/>
          <w:i w:val="0"/>
          <w:iCs w:val="0"/>
          <w:smallCaps w:val="0"/>
          <w:spacing w:val="0"/>
          <w:szCs w:val="24"/>
        </w:rPr>
      </w:pPr>
      <w:r w:rsidRPr="006D621D">
        <w:rPr>
          <w:rStyle w:val="BookTitle"/>
          <w:rFonts w:ascii="Arial" w:hAnsi="Arial" w:cs="Arial"/>
          <w:b/>
          <w:i w:val="0"/>
          <w:iCs w:val="0"/>
          <w:smallCaps w:val="0"/>
          <w:spacing w:val="0"/>
          <w:szCs w:val="24"/>
        </w:rPr>
        <w:t>Background</w:t>
      </w:r>
    </w:p>
    <w:p w14:paraId="7A549F7D" w14:textId="77777777" w:rsidR="002C346D" w:rsidRPr="006D621D" w:rsidRDefault="002C346D" w:rsidP="002C346D">
      <w:pPr>
        <w:spacing w:before="0"/>
        <w:rPr>
          <w:rStyle w:val="BookTitle"/>
          <w:rFonts w:ascii="Arial" w:hAnsi="Arial" w:cs="Arial"/>
          <w:b/>
          <w:i w:val="0"/>
          <w:iCs w:val="0"/>
          <w:smallCaps w:val="0"/>
          <w:spacing w:val="0"/>
          <w:szCs w:val="24"/>
        </w:rPr>
      </w:pPr>
    </w:p>
    <w:p w14:paraId="737E936A" w14:textId="59DC4E2B" w:rsidR="002C346D" w:rsidRDefault="00BE4FC1" w:rsidP="002C346D">
      <w:pPr>
        <w:spacing w:before="0"/>
        <w:rPr>
          <w:rFonts w:ascii="Arial" w:hAnsi="Arial" w:cs="Arial"/>
          <w:szCs w:val="24"/>
        </w:rPr>
      </w:pPr>
      <w:r w:rsidRPr="006D621D">
        <w:rPr>
          <w:rFonts w:ascii="Arial" w:hAnsi="Arial" w:cs="Arial"/>
          <w:szCs w:val="24"/>
        </w:rPr>
        <w:t xml:space="preserve">Section 40A </w:t>
      </w:r>
      <w:r w:rsidR="002578A3" w:rsidRPr="006D621D">
        <w:rPr>
          <w:rFonts w:ascii="Arial" w:hAnsi="Arial" w:cs="Arial"/>
          <w:szCs w:val="24"/>
        </w:rPr>
        <w:t xml:space="preserve">of the </w:t>
      </w:r>
      <w:r w:rsidR="00754921">
        <w:rPr>
          <w:rFonts w:ascii="Arial" w:hAnsi="Arial" w:cs="Arial"/>
          <w:szCs w:val="24"/>
        </w:rPr>
        <w:t>Centrelink</w:t>
      </w:r>
      <w:r w:rsidR="002578A3" w:rsidRPr="006D621D">
        <w:rPr>
          <w:rFonts w:ascii="Arial" w:hAnsi="Arial" w:cs="Arial"/>
          <w:szCs w:val="24"/>
        </w:rPr>
        <w:t xml:space="preserve"> Act </w:t>
      </w:r>
      <w:r w:rsidRPr="006D621D">
        <w:rPr>
          <w:rFonts w:ascii="Arial" w:hAnsi="Arial" w:cs="Arial"/>
          <w:szCs w:val="24"/>
        </w:rPr>
        <w:t xml:space="preserve">sets out how secrecy laws apply where Services Australia (the Agency) holds </w:t>
      </w:r>
      <w:r w:rsidR="00C5169B">
        <w:rPr>
          <w:rFonts w:ascii="Arial" w:hAnsi="Arial" w:cs="Arial"/>
          <w:szCs w:val="24"/>
        </w:rPr>
        <w:t xml:space="preserve">particular customer information, and </w:t>
      </w:r>
      <w:r w:rsidRPr="006D621D">
        <w:rPr>
          <w:rFonts w:ascii="Arial" w:hAnsi="Arial" w:cs="Arial"/>
          <w:szCs w:val="24"/>
        </w:rPr>
        <w:t xml:space="preserve">two or more different secrecy regimes apply to the use or disclosure of that information by the Agency. </w:t>
      </w:r>
    </w:p>
    <w:p w14:paraId="4F3EC171" w14:textId="79CE1264" w:rsidR="002C346D" w:rsidRPr="006D621D" w:rsidRDefault="002C346D" w:rsidP="002C346D">
      <w:pPr>
        <w:spacing w:before="0"/>
        <w:rPr>
          <w:rFonts w:ascii="Arial" w:hAnsi="Arial" w:cs="Arial"/>
          <w:szCs w:val="24"/>
        </w:rPr>
      </w:pPr>
    </w:p>
    <w:p w14:paraId="23FFD67C" w14:textId="37A70799" w:rsidR="00044480" w:rsidRDefault="00BE4FC1" w:rsidP="002C346D">
      <w:pPr>
        <w:spacing w:before="0"/>
        <w:rPr>
          <w:rFonts w:ascii="Arial" w:hAnsi="Arial" w:cs="Arial"/>
          <w:szCs w:val="24"/>
        </w:rPr>
      </w:pPr>
      <w:r w:rsidRPr="006D621D">
        <w:rPr>
          <w:rFonts w:ascii="Arial" w:hAnsi="Arial" w:cs="Arial"/>
          <w:szCs w:val="24"/>
        </w:rPr>
        <w:t xml:space="preserve">The effect of </w:t>
      </w:r>
      <w:r w:rsidR="002578A3" w:rsidRPr="006D621D">
        <w:rPr>
          <w:rFonts w:ascii="Arial" w:hAnsi="Arial" w:cs="Arial"/>
          <w:szCs w:val="24"/>
        </w:rPr>
        <w:t>section 40A</w:t>
      </w:r>
      <w:r w:rsidRPr="006D621D">
        <w:rPr>
          <w:rFonts w:ascii="Arial" w:hAnsi="Arial" w:cs="Arial"/>
          <w:szCs w:val="24"/>
        </w:rPr>
        <w:t xml:space="preserve"> is that where the Agency holds the same piece of information about a particular person under </w:t>
      </w:r>
      <w:r w:rsidR="00350604">
        <w:rPr>
          <w:rFonts w:ascii="Arial" w:hAnsi="Arial" w:cs="Arial"/>
          <w:szCs w:val="24"/>
        </w:rPr>
        <w:t>two or more programs</w:t>
      </w:r>
      <w:r w:rsidRPr="006D621D">
        <w:rPr>
          <w:rFonts w:ascii="Arial" w:hAnsi="Arial" w:cs="Arial"/>
          <w:szCs w:val="24"/>
        </w:rPr>
        <w:t xml:space="preserve"> </w:t>
      </w:r>
      <w:r w:rsidR="00044480" w:rsidRPr="006D621D">
        <w:rPr>
          <w:rFonts w:ascii="Arial" w:hAnsi="Arial" w:cs="Arial"/>
          <w:szCs w:val="24"/>
        </w:rPr>
        <w:t>that have secrecy regimes</w:t>
      </w:r>
      <w:r w:rsidR="00350604">
        <w:rPr>
          <w:rFonts w:ascii="Arial" w:hAnsi="Arial" w:cs="Arial"/>
          <w:szCs w:val="24"/>
        </w:rPr>
        <w:t xml:space="preserve"> </w:t>
      </w:r>
      <w:r w:rsidR="00350604" w:rsidRPr="006D621D">
        <w:rPr>
          <w:rFonts w:ascii="Arial" w:hAnsi="Arial" w:cs="Arial"/>
          <w:szCs w:val="24"/>
        </w:rPr>
        <w:t xml:space="preserve">(such as </w:t>
      </w:r>
      <w:r w:rsidR="00C5169B">
        <w:rPr>
          <w:rFonts w:ascii="Arial" w:hAnsi="Arial" w:cs="Arial"/>
          <w:szCs w:val="24"/>
        </w:rPr>
        <w:t>social security</w:t>
      </w:r>
      <w:r w:rsidR="00350604">
        <w:rPr>
          <w:rFonts w:ascii="Arial" w:hAnsi="Arial" w:cs="Arial"/>
          <w:szCs w:val="24"/>
        </w:rPr>
        <w:t xml:space="preserve"> and M</w:t>
      </w:r>
      <w:r w:rsidR="00350604" w:rsidRPr="006D621D">
        <w:rPr>
          <w:rFonts w:ascii="Arial" w:hAnsi="Arial" w:cs="Arial"/>
          <w:szCs w:val="24"/>
        </w:rPr>
        <w:t>edicare)</w:t>
      </w:r>
      <w:r w:rsidR="00044480" w:rsidRPr="006D621D">
        <w:rPr>
          <w:rFonts w:ascii="Arial" w:hAnsi="Arial" w:cs="Arial"/>
          <w:szCs w:val="24"/>
        </w:rPr>
        <w:t xml:space="preserve">, the Agency is able to use and disclose that information if it complies with one of the secrecy regimes. </w:t>
      </w:r>
      <w:r w:rsidR="000548B7">
        <w:rPr>
          <w:rFonts w:ascii="Arial" w:hAnsi="Arial" w:cs="Arial"/>
          <w:szCs w:val="24"/>
        </w:rPr>
        <w:t>The Agency may disregard the fact the information is subject to a regulatory regime under a</w:t>
      </w:r>
      <w:r w:rsidR="00C5169B">
        <w:rPr>
          <w:rFonts w:ascii="Arial" w:hAnsi="Arial" w:cs="Arial"/>
          <w:szCs w:val="24"/>
        </w:rPr>
        <w:t>ny other designated program Act</w:t>
      </w:r>
      <w:r w:rsidR="00044480" w:rsidRPr="0000289E">
        <w:rPr>
          <w:rFonts w:ascii="Arial" w:hAnsi="Arial" w:cs="Arial"/>
          <w:szCs w:val="24"/>
        </w:rPr>
        <w:t>.</w:t>
      </w:r>
      <w:r w:rsidR="00044480" w:rsidRPr="006D621D">
        <w:rPr>
          <w:rFonts w:ascii="Arial" w:hAnsi="Arial" w:cs="Arial"/>
          <w:szCs w:val="24"/>
        </w:rPr>
        <w:t xml:space="preserve"> </w:t>
      </w:r>
    </w:p>
    <w:p w14:paraId="20C0B5DF" w14:textId="77777777" w:rsidR="00350604" w:rsidRPr="006D621D" w:rsidRDefault="00350604" w:rsidP="00350604">
      <w:pPr>
        <w:spacing w:before="0"/>
        <w:rPr>
          <w:rFonts w:ascii="Arial" w:hAnsi="Arial" w:cs="Arial"/>
          <w:szCs w:val="24"/>
        </w:rPr>
      </w:pPr>
    </w:p>
    <w:p w14:paraId="6412BD81" w14:textId="691748D2" w:rsidR="00044480" w:rsidRPr="006D621D" w:rsidRDefault="00044480" w:rsidP="00350604">
      <w:pPr>
        <w:spacing w:before="0"/>
        <w:rPr>
          <w:rFonts w:ascii="Arial" w:hAnsi="Arial" w:cs="Arial"/>
          <w:szCs w:val="24"/>
        </w:rPr>
      </w:pPr>
      <w:r w:rsidRPr="006D621D">
        <w:rPr>
          <w:rFonts w:ascii="Arial" w:hAnsi="Arial" w:cs="Arial"/>
          <w:szCs w:val="24"/>
        </w:rPr>
        <w:t xml:space="preserve">Section 40A applies to secrecy regimes in “designated program Acts”. A list of designated program Acts is set out in </w:t>
      </w:r>
      <w:r w:rsidR="000548B7">
        <w:rPr>
          <w:rFonts w:ascii="Arial" w:hAnsi="Arial" w:cs="Arial"/>
          <w:szCs w:val="24"/>
        </w:rPr>
        <w:t xml:space="preserve">the definition of this term in </w:t>
      </w:r>
      <w:r w:rsidRPr="006D621D">
        <w:rPr>
          <w:rFonts w:ascii="Arial" w:hAnsi="Arial" w:cs="Arial"/>
          <w:szCs w:val="24"/>
        </w:rPr>
        <w:t xml:space="preserve">subsection 40A(3). In addition, an Act may be a designated program Act if it is specified </w:t>
      </w:r>
      <w:r w:rsidR="00C5169B">
        <w:rPr>
          <w:rFonts w:ascii="Arial" w:hAnsi="Arial" w:cs="Arial"/>
          <w:szCs w:val="24"/>
        </w:rPr>
        <w:t>by</w:t>
      </w:r>
      <w:r w:rsidRPr="006D621D">
        <w:rPr>
          <w:rFonts w:ascii="Arial" w:hAnsi="Arial" w:cs="Arial"/>
          <w:szCs w:val="24"/>
        </w:rPr>
        <w:t xml:space="preserve"> legislative instrument made by the Minister for the purposes of </w:t>
      </w:r>
      <w:r w:rsidR="00C81622" w:rsidRPr="006D621D">
        <w:rPr>
          <w:rFonts w:ascii="Arial" w:hAnsi="Arial" w:cs="Arial"/>
          <w:szCs w:val="24"/>
        </w:rPr>
        <w:t xml:space="preserve">paragraph </w:t>
      </w:r>
      <w:r w:rsidR="00C81622">
        <w:rPr>
          <w:rFonts w:ascii="Arial" w:hAnsi="Arial" w:cs="Arial"/>
          <w:szCs w:val="24"/>
        </w:rPr>
        <w:t>(o) of the definition ‘designated program Act’ in subsection 40A(3)</w:t>
      </w:r>
      <w:r w:rsidRPr="006D621D">
        <w:rPr>
          <w:rFonts w:ascii="Arial" w:hAnsi="Arial" w:cs="Arial"/>
          <w:szCs w:val="24"/>
        </w:rPr>
        <w:t>.</w:t>
      </w:r>
    </w:p>
    <w:p w14:paraId="5F65607D" w14:textId="77777777" w:rsidR="00350604" w:rsidRDefault="00350604" w:rsidP="00350604">
      <w:pPr>
        <w:spacing w:before="0"/>
        <w:rPr>
          <w:rFonts w:ascii="Arial" w:hAnsi="Arial" w:cs="Arial"/>
          <w:szCs w:val="24"/>
        </w:rPr>
      </w:pPr>
    </w:p>
    <w:p w14:paraId="30E8CB3D" w14:textId="11C048F4" w:rsidR="00656C1E" w:rsidRDefault="00044480" w:rsidP="00350604">
      <w:pPr>
        <w:spacing w:before="0"/>
        <w:rPr>
          <w:rFonts w:ascii="Arial" w:hAnsi="Arial" w:cs="Arial"/>
          <w:szCs w:val="24"/>
        </w:rPr>
      </w:pPr>
      <w:r w:rsidRPr="006D621D">
        <w:rPr>
          <w:rFonts w:ascii="Arial" w:hAnsi="Arial" w:cs="Arial"/>
          <w:szCs w:val="24"/>
        </w:rPr>
        <w:t xml:space="preserve">This Specification specifies the </w:t>
      </w:r>
      <w:r w:rsidRPr="006D621D">
        <w:rPr>
          <w:rFonts w:ascii="Arial" w:hAnsi="Arial" w:cs="Arial"/>
          <w:i/>
          <w:szCs w:val="24"/>
        </w:rPr>
        <w:t xml:space="preserve">Australian Prudential Regulation Authority Act 1998 </w:t>
      </w:r>
      <w:r w:rsidRPr="006D621D">
        <w:rPr>
          <w:rFonts w:ascii="Arial" w:hAnsi="Arial" w:cs="Arial"/>
          <w:szCs w:val="24"/>
        </w:rPr>
        <w:t xml:space="preserve">and the </w:t>
      </w:r>
      <w:r w:rsidRPr="006D621D">
        <w:rPr>
          <w:rFonts w:ascii="Arial" w:hAnsi="Arial" w:cs="Arial"/>
          <w:i/>
          <w:szCs w:val="24"/>
        </w:rPr>
        <w:t xml:space="preserve">Taxation Administration Act 1953 </w:t>
      </w:r>
      <w:r w:rsidRPr="006D621D">
        <w:rPr>
          <w:rFonts w:ascii="Arial" w:hAnsi="Arial" w:cs="Arial"/>
          <w:szCs w:val="24"/>
        </w:rPr>
        <w:t xml:space="preserve">as designated program Acts for the purposes of </w:t>
      </w:r>
      <w:r w:rsidR="00C81622" w:rsidRPr="006D621D">
        <w:rPr>
          <w:rFonts w:ascii="Arial" w:hAnsi="Arial" w:cs="Arial"/>
          <w:szCs w:val="24"/>
        </w:rPr>
        <w:t xml:space="preserve">paragraph </w:t>
      </w:r>
      <w:r w:rsidR="00C81622">
        <w:rPr>
          <w:rFonts w:ascii="Arial" w:hAnsi="Arial" w:cs="Arial"/>
          <w:szCs w:val="24"/>
        </w:rPr>
        <w:t>(o) of the definition ‘designated program Act’ in subsection 40A(3)</w:t>
      </w:r>
      <w:r w:rsidRPr="006D621D">
        <w:rPr>
          <w:rFonts w:ascii="Arial" w:hAnsi="Arial" w:cs="Arial"/>
          <w:szCs w:val="24"/>
        </w:rPr>
        <w:t>.</w:t>
      </w:r>
      <w:r>
        <w:rPr>
          <w:rFonts w:ascii="Arial" w:hAnsi="Arial" w:cs="Arial"/>
          <w:szCs w:val="24"/>
        </w:rPr>
        <w:t xml:space="preserve"> </w:t>
      </w:r>
    </w:p>
    <w:p w14:paraId="06C68BAA" w14:textId="77777777" w:rsidR="00350604" w:rsidRDefault="00350604" w:rsidP="00350604">
      <w:pPr>
        <w:spacing w:before="0"/>
        <w:rPr>
          <w:rFonts w:ascii="Arial" w:hAnsi="Arial" w:cs="Arial"/>
          <w:szCs w:val="24"/>
        </w:rPr>
      </w:pPr>
    </w:p>
    <w:p w14:paraId="7AE49CBC" w14:textId="45EF371B" w:rsidR="001414BE" w:rsidRDefault="001414BE" w:rsidP="00700F5B">
      <w:pPr>
        <w:shd w:val="clear" w:color="auto" w:fill="FFFFFF"/>
        <w:spacing w:before="0"/>
        <w:rPr>
          <w:rFonts w:ascii="Arial" w:hAnsi="Arial" w:cs="Arial"/>
          <w:color w:val="000000"/>
          <w:szCs w:val="24"/>
        </w:rPr>
      </w:pPr>
      <w:r w:rsidRPr="00991940">
        <w:rPr>
          <w:rFonts w:ascii="Arial" w:hAnsi="Arial" w:cs="Arial"/>
          <w:color w:val="000000"/>
          <w:szCs w:val="24"/>
        </w:rPr>
        <w:lastRenderedPageBreak/>
        <w:t xml:space="preserve">In relation to the </w:t>
      </w:r>
      <w:r>
        <w:rPr>
          <w:rFonts w:ascii="Arial" w:hAnsi="Arial" w:cs="Arial"/>
          <w:i/>
          <w:color w:val="000000"/>
          <w:szCs w:val="24"/>
        </w:rPr>
        <w:t>Australian Prudential Regulation Authority Act 1998</w:t>
      </w:r>
      <w:r w:rsidRPr="00991940">
        <w:rPr>
          <w:rFonts w:ascii="Arial" w:hAnsi="Arial" w:cs="Arial"/>
          <w:color w:val="000000"/>
          <w:szCs w:val="24"/>
        </w:rPr>
        <w:t>, the Agency</w:t>
      </w:r>
      <w:r w:rsidRPr="00656C1E">
        <w:rPr>
          <w:rFonts w:ascii="Arial" w:hAnsi="Arial" w:cs="Arial"/>
          <w:color w:val="000000"/>
          <w:szCs w:val="24"/>
        </w:rPr>
        <w:t xml:space="preserve"> </w:t>
      </w:r>
      <w:r>
        <w:rPr>
          <w:rFonts w:ascii="Arial" w:hAnsi="Arial" w:cs="Arial"/>
          <w:color w:val="000000"/>
          <w:szCs w:val="24"/>
        </w:rPr>
        <w:t xml:space="preserve">still has some involvement in the </w:t>
      </w:r>
      <w:r w:rsidRPr="00656C1E">
        <w:rPr>
          <w:rFonts w:ascii="Arial" w:hAnsi="Arial" w:cs="Arial"/>
          <w:color w:val="000000"/>
          <w:szCs w:val="24"/>
        </w:rPr>
        <w:t>early rele</w:t>
      </w:r>
      <w:r w:rsidR="00C5169B">
        <w:rPr>
          <w:rFonts w:ascii="Arial" w:hAnsi="Arial" w:cs="Arial"/>
          <w:color w:val="000000"/>
          <w:szCs w:val="24"/>
        </w:rPr>
        <w:t>ase of superannuation benefits</w:t>
      </w:r>
      <w:r w:rsidRPr="00656C1E">
        <w:rPr>
          <w:rFonts w:ascii="Arial" w:hAnsi="Arial" w:cs="Arial"/>
          <w:color w:val="000000"/>
          <w:szCs w:val="24"/>
        </w:rPr>
        <w:t xml:space="preserve"> </w:t>
      </w:r>
      <w:r>
        <w:rPr>
          <w:rFonts w:ascii="Arial" w:hAnsi="Arial" w:cs="Arial"/>
          <w:color w:val="000000"/>
          <w:szCs w:val="24"/>
        </w:rPr>
        <w:t xml:space="preserve">despite no longer administering </w:t>
      </w:r>
      <w:r w:rsidR="00C5169B">
        <w:rPr>
          <w:rFonts w:ascii="Arial" w:hAnsi="Arial" w:cs="Arial"/>
          <w:color w:val="000000"/>
          <w:szCs w:val="24"/>
        </w:rPr>
        <w:t>early release</w:t>
      </w:r>
      <w:r>
        <w:rPr>
          <w:rFonts w:ascii="Arial" w:hAnsi="Arial" w:cs="Arial"/>
          <w:color w:val="000000"/>
          <w:szCs w:val="24"/>
        </w:rPr>
        <w:t xml:space="preserve"> </w:t>
      </w:r>
      <w:r w:rsidRPr="00656C1E">
        <w:rPr>
          <w:rFonts w:ascii="Arial" w:hAnsi="Arial" w:cs="Arial"/>
          <w:color w:val="000000"/>
          <w:szCs w:val="24"/>
        </w:rPr>
        <w:t>on behalf of the Australian Pr</w:t>
      </w:r>
      <w:r>
        <w:rPr>
          <w:rFonts w:ascii="Arial" w:hAnsi="Arial" w:cs="Arial"/>
          <w:color w:val="000000"/>
          <w:szCs w:val="24"/>
        </w:rPr>
        <w:t>ude</w:t>
      </w:r>
      <w:r w:rsidR="00C5169B">
        <w:rPr>
          <w:rFonts w:ascii="Arial" w:hAnsi="Arial" w:cs="Arial"/>
          <w:color w:val="000000"/>
          <w:szCs w:val="24"/>
        </w:rPr>
        <w:t xml:space="preserve">ntial Regulation Authority. </w:t>
      </w:r>
      <w:r>
        <w:rPr>
          <w:rFonts w:ascii="Arial" w:hAnsi="Arial" w:cs="Arial"/>
          <w:color w:val="000000"/>
          <w:szCs w:val="24"/>
        </w:rPr>
        <w:t>E</w:t>
      </w:r>
      <w:r w:rsidR="00C5169B">
        <w:rPr>
          <w:rFonts w:ascii="Arial" w:hAnsi="Arial" w:cs="Arial"/>
          <w:color w:val="000000"/>
          <w:szCs w:val="24"/>
        </w:rPr>
        <w:t>arly release</w:t>
      </w:r>
      <w:r w:rsidRPr="00991940">
        <w:rPr>
          <w:rFonts w:ascii="Arial" w:hAnsi="Arial" w:cs="Arial"/>
          <w:color w:val="000000"/>
          <w:szCs w:val="24"/>
        </w:rPr>
        <w:t xml:space="preserve"> is</w:t>
      </w:r>
      <w:r>
        <w:rPr>
          <w:rFonts w:ascii="Arial" w:hAnsi="Arial" w:cs="Arial"/>
          <w:color w:val="000000"/>
          <w:szCs w:val="24"/>
        </w:rPr>
        <w:t xml:space="preserve"> conducted</w:t>
      </w:r>
      <w:r w:rsidRPr="00991940">
        <w:rPr>
          <w:rFonts w:ascii="Arial" w:hAnsi="Arial" w:cs="Arial"/>
          <w:color w:val="000000"/>
          <w:szCs w:val="24"/>
        </w:rPr>
        <w:t xml:space="preserve"> under the</w:t>
      </w:r>
      <w:r w:rsidRPr="00656C1E">
        <w:rPr>
          <w:rFonts w:ascii="Arial" w:hAnsi="Arial" w:cs="Arial"/>
          <w:color w:val="000000"/>
          <w:szCs w:val="24"/>
        </w:rPr>
        <w:t> </w:t>
      </w:r>
      <w:r w:rsidRPr="00656C1E">
        <w:rPr>
          <w:rFonts w:ascii="Arial" w:hAnsi="Arial" w:cs="Arial"/>
          <w:i/>
          <w:iCs/>
          <w:color w:val="000000"/>
          <w:szCs w:val="24"/>
        </w:rPr>
        <w:t>Superannuation Industry (Supervision) Regulations 1994 </w:t>
      </w:r>
      <w:r w:rsidRPr="00656C1E">
        <w:rPr>
          <w:rFonts w:ascii="Arial" w:hAnsi="Arial" w:cs="Arial"/>
          <w:color w:val="000000"/>
          <w:szCs w:val="24"/>
        </w:rPr>
        <w:t>and the </w:t>
      </w:r>
      <w:r w:rsidRPr="00656C1E">
        <w:rPr>
          <w:rFonts w:ascii="Arial" w:hAnsi="Arial" w:cs="Arial"/>
          <w:i/>
          <w:iCs/>
          <w:color w:val="000000"/>
          <w:szCs w:val="24"/>
        </w:rPr>
        <w:t>Retirement Savings Account Regulations 1997</w:t>
      </w:r>
      <w:r>
        <w:rPr>
          <w:rFonts w:ascii="Arial" w:hAnsi="Arial" w:cs="Arial"/>
          <w:color w:val="000000"/>
          <w:szCs w:val="24"/>
        </w:rPr>
        <w:t xml:space="preserve">. </w:t>
      </w:r>
    </w:p>
    <w:p w14:paraId="05E32D9F" w14:textId="77777777" w:rsidR="00700F5B" w:rsidRDefault="00700F5B" w:rsidP="00700F5B">
      <w:pPr>
        <w:shd w:val="clear" w:color="auto" w:fill="FFFFFF"/>
        <w:spacing w:before="0"/>
        <w:rPr>
          <w:rFonts w:ascii="Arial" w:hAnsi="Arial" w:cs="Arial"/>
          <w:color w:val="000000"/>
          <w:szCs w:val="24"/>
        </w:rPr>
      </w:pPr>
    </w:p>
    <w:p w14:paraId="2F5DCD69" w14:textId="7906275C" w:rsidR="001414BE" w:rsidRDefault="00C5169B" w:rsidP="00700F5B">
      <w:pPr>
        <w:shd w:val="clear" w:color="auto" w:fill="FFFFFF"/>
        <w:spacing w:before="0"/>
        <w:rPr>
          <w:rFonts w:ascii="Arial" w:hAnsi="Arial" w:cs="Arial"/>
          <w:color w:val="000000"/>
          <w:szCs w:val="24"/>
        </w:rPr>
      </w:pPr>
      <w:r>
        <w:rPr>
          <w:rFonts w:ascii="Arial" w:hAnsi="Arial" w:cs="Arial"/>
          <w:color w:val="000000"/>
          <w:szCs w:val="24"/>
        </w:rPr>
        <w:t xml:space="preserve">The Agency’s role is limited to the provision of evidence to superannuation funds for the purposes of supporting customers in their applications for early release on the basis of financial hardship. Under both the </w:t>
      </w:r>
      <w:r>
        <w:rPr>
          <w:rFonts w:ascii="Arial" w:hAnsi="Arial" w:cs="Arial"/>
          <w:i/>
          <w:color w:val="000000"/>
          <w:szCs w:val="24"/>
        </w:rPr>
        <w:t xml:space="preserve">Superannuation Industry (Supervision) Regulations 1994 </w:t>
      </w:r>
      <w:r>
        <w:rPr>
          <w:rFonts w:ascii="Arial" w:hAnsi="Arial" w:cs="Arial"/>
          <w:color w:val="000000"/>
          <w:szCs w:val="24"/>
        </w:rPr>
        <w:t xml:space="preserve">and the </w:t>
      </w:r>
      <w:r>
        <w:rPr>
          <w:rFonts w:ascii="Arial" w:hAnsi="Arial" w:cs="Arial"/>
          <w:i/>
          <w:color w:val="000000"/>
          <w:szCs w:val="24"/>
        </w:rPr>
        <w:t>Retirement Savings Account Regulations 1997</w:t>
      </w:r>
      <w:r>
        <w:rPr>
          <w:rFonts w:ascii="Arial" w:hAnsi="Arial" w:cs="Arial"/>
          <w:color w:val="000000"/>
          <w:szCs w:val="24"/>
        </w:rPr>
        <w:t>,</w:t>
      </w:r>
      <w:r>
        <w:rPr>
          <w:rFonts w:ascii="Arial" w:hAnsi="Arial" w:cs="Arial"/>
          <w:i/>
          <w:color w:val="000000"/>
          <w:szCs w:val="24"/>
        </w:rPr>
        <w:t xml:space="preserve"> </w:t>
      </w:r>
      <w:r w:rsidRPr="00656C1E">
        <w:rPr>
          <w:rFonts w:ascii="Arial" w:hAnsi="Arial" w:cs="Arial"/>
          <w:color w:val="000000"/>
          <w:szCs w:val="24"/>
        </w:rPr>
        <w:t xml:space="preserve">one of the grounds on which a person can seek early access to their superannuation benefits is severe financial </w:t>
      </w:r>
      <w:r>
        <w:rPr>
          <w:rFonts w:ascii="Arial" w:hAnsi="Arial" w:cs="Arial"/>
          <w:color w:val="000000"/>
          <w:szCs w:val="24"/>
        </w:rPr>
        <w:t xml:space="preserve">hardship, established where a </w:t>
      </w:r>
      <w:r w:rsidRPr="00656C1E">
        <w:rPr>
          <w:rFonts w:ascii="Arial" w:hAnsi="Arial" w:cs="Arial"/>
          <w:color w:val="000000"/>
          <w:szCs w:val="24"/>
        </w:rPr>
        <w:t>person</w:t>
      </w:r>
      <w:r>
        <w:rPr>
          <w:rFonts w:ascii="Arial" w:hAnsi="Arial" w:cs="Arial"/>
          <w:color w:val="000000"/>
          <w:szCs w:val="24"/>
        </w:rPr>
        <w:t xml:space="preserve"> has</w:t>
      </w:r>
      <w:r w:rsidRPr="00656C1E">
        <w:rPr>
          <w:rFonts w:ascii="Arial" w:hAnsi="Arial" w:cs="Arial"/>
          <w:color w:val="000000"/>
          <w:szCs w:val="24"/>
        </w:rPr>
        <w:t xml:space="preserve"> been in receipt of a Commonwealth income support payment for at least 26 continuous weeks.</w:t>
      </w:r>
      <w:r>
        <w:rPr>
          <w:rFonts w:ascii="Arial" w:hAnsi="Arial" w:cs="Arial"/>
          <w:color w:val="000000"/>
          <w:szCs w:val="24"/>
        </w:rPr>
        <w:t xml:space="preserve"> It is possible that customer information requested by, and subsequently disclosed to, superannuation funds may be captured by </w:t>
      </w:r>
      <w:r w:rsidRPr="00656C1E">
        <w:rPr>
          <w:rFonts w:ascii="Arial" w:hAnsi="Arial" w:cs="Arial"/>
          <w:color w:val="000000"/>
          <w:szCs w:val="24"/>
        </w:rPr>
        <w:t xml:space="preserve">section 56 of the </w:t>
      </w:r>
      <w:r w:rsidRPr="00991940">
        <w:rPr>
          <w:rFonts w:ascii="Arial" w:hAnsi="Arial" w:cs="Arial"/>
          <w:i/>
          <w:color w:val="000000"/>
          <w:szCs w:val="24"/>
        </w:rPr>
        <w:t>Australian Prudential Regulation Authority Act 1998</w:t>
      </w:r>
      <w:r w:rsidRPr="00656C1E">
        <w:rPr>
          <w:rFonts w:ascii="Arial" w:hAnsi="Arial" w:cs="Arial"/>
          <w:color w:val="000000"/>
          <w:szCs w:val="24"/>
        </w:rPr>
        <w:t>. </w:t>
      </w:r>
      <w:r w:rsidR="001414BE" w:rsidRPr="00656C1E">
        <w:rPr>
          <w:rFonts w:ascii="Arial" w:hAnsi="Arial" w:cs="Arial"/>
          <w:color w:val="000000"/>
          <w:szCs w:val="24"/>
        </w:rPr>
        <w:t xml:space="preserve"> </w:t>
      </w:r>
    </w:p>
    <w:p w14:paraId="4C1F2B4D" w14:textId="77777777" w:rsidR="00700F5B" w:rsidRDefault="00700F5B" w:rsidP="00700F5B">
      <w:pPr>
        <w:shd w:val="clear" w:color="auto" w:fill="FFFFFF"/>
        <w:spacing w:before="0"/>
        <w:rPr>
          <w:rFonts w:ascii="Arial" w:hAnsi="Arial" w:cs="Arial"/>
          <w:color w:val="000000"/>
          <w:szCs w:val="24"/>
        </w:rPr>
      </w:pPr>
    </w:p>
    <w:p w14:paraId="3C9E0B63" w14:textId="444DDDBA" w:rsidR="001414BE" w:rsidRDefault="001414BE" w:rsidP="00700F5B">
      <w:pPr>
        <w:shd w:val="clear" w:color="auto" w:fill="FFFFFF"/>
        <w:spacing w:before="0"/>
        <w:rPr>
          <w:rFonts w:ascii="Arial" w:hAnsi="Arial" w:cs="Arial"/>
          <w:color w:val="000000"/>
          <w:szCs w:val="24"/>
        </w:rPr>
      </w:pPr>
      <w:r>
        <w:rPr>
          <w:rFonts w:ascii="Arial" w:hAnsi="Arial" w:cs="Arial"/>
          <w:color w:val="000000"/>
          <w:szCs w:val="24"/>
        </w:rPr>
        <w:t>In many instances, the same</w:t>
      </w:r>
      <w:r w:rsidRPr="00656C1E">
        <w:rPr>
          <w:rFonts w:ascii="Arial" w:hAnsi="Arial" w:cs="Arial"/>
          <w:color w:val="000000"/>
          <w:szCs w:val="24"/>
        </w:rPr>
        <w:t xml:space="preserve"> </w:t>
      </w:r>
      <w:r>
        <w:rPr>
          <w:rFonts w:ascii="Arial" w:hAnsi="Arial" w:cs="Arial"/>
          <w:color w:val="000000"/>
          <w:szCs w:val="24"/>
        </w:rPr>
        <w:t xml:space="preserve">customer </w:t>
      </w:r>
      <w:r w:rsidRPr="00656C1E">
        <w:rPr>
          <w:rFonts w:ascii="Arial" w:hAnsi="Arial" w:cs="Arial"/>
          <w:color w:val="000000"/>
          <w:szCs w:val="24"/>
        </w:rPr>
        <w:t>information</w:t>
      </w:r>
      <w:r>
        <w:rPr>
          <w:rFonts w:ascii="Arial" w:hAnsi="Arial" w:cs="Arial"/>
          <w:color w:val="000000"/>
          <w:szCs w:val="24"/>
        </w:rPr>
        <w:t xml:space="preserve"> held by the Agency</w:t>
      </w:r>
      <w:r w:rsidRPr="00656C1E">
        <w:rPr>
          <w:rFonts w:ascii="Arial" w:hAnsi="Arial" w:cs="Arial"/>
          <w:color w:val="000000"/>
          <w:szCs w:val="24"/>
        </w:rPr>
        <w:t xml:space="preserve"> would be protected by a different set of secrecy provisions</w:t>
      </w:r>
      <w:r>
        <w:rPr>
          <w:rFonts w:ascii="Arial" w:hAnsi="Arial" w:cs="Arial"/>
          <w:color w:val="000000"/>
          <w:szCs w:val="24"/>
        </w:rPr>
        <w:t>, such as those</w:t>
      </w:r>
      <w:r w:rsidRPr="00656C1E">
        <w:rPr>
          <w:rFonts w:ascii="Arial" w:hAnsi="Arial" w:cs="Arial"/>
          <w:color w:val="000000"/>
          <w:szCs w:val="24"/>
        </w:rPr>
        <w:t xml:space="preserve"> in the </w:t>
      </w:r>
      <w:r w:rsidRPr="00656C1E">
        <w:rPr>
          <w:rFonts w:ascii="Arial" w:hAnsi="Arial" w:cs="Arial"/>
          <w:i/>
          <w:iCs/>
          <w:color w:val="000000"/>
          <w:szCs w:val="24"/>
        </w:rPr>
        <w:t>Social Security (Administration) Act 1999</w:t>
      </w:r>
      <w:r w:rsidRPr="00656C1E">
        <w:rPr>
          <w:rFonts w:ascii="Arial" w:hAnsi="Arial" w:cs="Arial"/>
          <w:color w:val="000000"/>
          <w:szCs w:val="24"/>
        </w:rPr>
        <w:t xml:space="preserve">.  </w:t>
      </w:r>
      <w:r w:rsidR="00BA0CEB" w:rsidRPr="00E03F1B">
        <w:rPr>
          <w:rFonts w:ascii="Arial" w:hAnsi="Arial" w:cs="Arial"/>
          <w:color w:val="000000"/>
          <w:szCs w:val="24"/>
        </w:rPr>
        <w:t xml:space="preserve">Information obtained from </w:t>
      </w:r>
      <w:r w:rsidR="00BA0CEB">
        <w:rPr>
          <w:rFonts w:ascii="Arial" w:hAnsi="Arial" w:cs="Arial"/>
          <w:color w:val="000000"/>
          <w:szCs w:val="24"/>
        </w:rPr>
        <w:t>the Australian Prudential Regulation Authority</w:t>
      </w:r>
      <w:r w:rsidR="00BA0CEB" w:rsidRPr="00BA0CEB">
        <w:t xml:space="preserve"> </w:t>
      </w:r>
      <w:r w:rsidR="00BA0CEB" w:rsidRPr="00BA0CEB">
        <w:rPr>
          <w:rFonts w:ascii="Arial" w:hAnsi="Arial" w:cs="Arial"/>
          <w:color w:val="000000"/>
          <w:szCs w:val="24"/>
        </w:rPr>
        <w:t>may also be used for the administration of Centrelink programs, in accordance with the secrecy provisions of the relevant program legislation.</w:t>
      </w:r>
    </w:p>
    <w:p w14:paraId="6CE94321" w14:textId="77777777" w:rsidR="00700F5B" w:rsidRDefault="00700F5B" w:rsidP="00700F5B">
      <w:pPr>
        <w:shd w:val="clear" w:color="auto" w:fill="FFFFFF"/>
        <w:spacing w:before="0"/>
        <w:rPr>
          <w:rFonts w:ascii="Arial" w:hAnsi="Arial" w:cs="Arial"/>
          <w:color w:val="000000"/>
          <w:szCs w:val="24"/>
        </w:rPr>
      </w:pPr>
    </w:p>
    <w:p w14:paraId="5063F715" w14:textId="58BB803F" w:rsidR="00700F5B" w:rsidRPr="001414BE" w:rsidRDefault="00C5169B" w:rsidP="00C5169B">
      <w:pPr>
        <w:shd w:val="clear" w:color="auto" w:fill="FFFFFF"/>
        <w:spacing w:before="0" w:after="240"/>
        <w:rPr>
          <w:rFonts w:ascii="Arial" w:hAnsi="Arial" w:cs="Arial"/>
          <w:color w:val="000000"/>
          <w:szCs w:val="24"/>
        </w:rPr>
      </w:pPr>
      <w:r>
        <w:rPr>
          <w:rFonts w:ascii="Arial" w:hAnsi="Arial" w:cs="Arial"/>
          <w:color w:val="000000"/>
          <w:szCs w:val="24"/>
        </w:rPr>
        <w:t>S</w:t>
      </w:r>
      <w:r w:rsidRPr="00656C1E">
        <w:rPr>
          <w:rFonts w:ascii="Arial" w:hAnsi="Arial" w:cs="Arial"/>
          <w:color w:val="000000"/>
          <w:szCs w:val="24"/>
        </w:rPr>
        <w:t xml:space="preserve">pecification of the </w:t>
      </w:r>
      <w:r w:rsidRPr="00991940">
        <w:rPr>
          <w:rFonts w:ascii="Arial" w:hAnsi="Arial" w:cs="Arial"/>
          <w:i/>
          <w:color w:val="000000"/>
          <w:szCs w:val="24"/>
        </w:rPr>
        <w:t xml:space="preserve">Australian Prudential Regulation Authority Act 1998 </w:t>
      </w:r>
      <w:r w:rsidRPr="00656C1E">
        <w:rPr>
          <w:rFonts w:ascii="Arial" w:hAnsi="Arial" w:cs="Arial"/>
          <w:color w:val="000000"/>
          <w:szCs w:val="24"/>
        </w:rPr>
        <w:t xml:space="preserve">as a designated program Act </w:t>
      </w:r>
      <w:r>
        <w:rPr>
          <w:rFonts w:ascii="Arial" w:hAnsi="Arial" w:cs="Arial"/>
          <w:color w:val="000000"/>
          <w:szCs w:val="24"/>
        </w:rPr>
        <w:t>avoids</w:t>
      </w:r>
      <w:r w:rsidRPr="00656C1E">
        <w:rPr>
          <w:rFonts w:ascii="Arial" w:hAnsi="Arial" w:cs="Arial"/>
          <w:color w:val="000000"/>
          <w:szCs w:val="24"/>
        </w:rPr>
        <w:t xml:space="preserve"> any legal uncertainty as to which set of secrecy provisions should apply to that customer information.</w:t>
      </w:r>
    </w:p>
    <w:p w14:paraId="2C478CA8" w14:textId="3E36898D" w:rsidR="004B2038" w:rsidRDefault="00B375F4" w:rsidP="00700F5B">
      <w:pPr>
        <w:spacing w:before="0"/>
        <w:rPr>
          <w:rFonts w:ascii="Arial" w:hAnsi="Arial" w:cs="Arial"/>
          <w:szCs w:val="24"/>
        </w:rPr>
      </w:pPr>
      <w:r w:rsidRPr="00B375F4">
        <w:rPr>
          <w:rFonts w:ascii="Arial" w:hAnsi="Arial" w:cs="Arial"/>
          <w:szCs w:val="24"/>
        </w:rPr>
        <w:t>In relation to the</w:t>
      </w:r>
      <w:r w:rsidR="000A1657">
        <w:rPr>
          <w:rFonts w:ascii="Arial" w:hAnsi="Arial" w:cs="Arial"/>
          <w:i/>
          <w:szCs w:val="24"/>
        </w:rPr>
        <w:t xml:space="preserve"> Taxation Administration Act 1953</w:t>
      </w:r>
      <w:r>
        <w:rPr>
          <w:rFonts w:ascii="Arial" w:hAnsi="Arial" w:cs="Arial"/>
          <w:szCs w:val="24"/>
        </w:rPr>
        <w:t>, t</w:t>
      </w:r>
      <w:r w:rsidR="00044480">
        <w:rPr>
          <w:rFonts w:ascii="Arial" w:hAnsi="Arial" w:cs="Arial"/>
          <w:szCs w:val="24"/>
        </w:rPr>
        <w:t xml:space="preserve">he Australian Taxation Office (ATO) regularly discloses taxation information to the Chief Executive </w:t>
      </w:r>
      <w:r w:rsidR="00BE517A">
        <w:rPr>
          <w:rFonts w:ascii="Arial" w:hAnsi="Arial" w:cs="Arial"/>
          <w:szCs w:val="24"/>
        </w:rPr>
        <w:t>Centrelink</w:t>
      </w:r>
      <w:r w:rsidR="00044480">
        <w:rPr>
          <w:rFonts w:ascii="Arial" w:hAnsi="Arial" w:cs="Arial"/>
          <w:szCs w:val="24"/>
        </w:rPr>
        <w:t xml:space="preserve"> for the purposes of administering programs under </w:t>
      </w:r>
      <w:r w:rsidR="004B2038">
        <w:rPr>
          <w:rFonts w:ascii="Arial" w:hAnsi="Arial" w:cs="Arial"/>
          <w:szCs w:val="24"/>
        </w:rPr>
        <w:t xml:space="preserve">the social security </w:t>
      </w:r>
      <w:r w:rsidR="00BA0CEB">
        <w:rPr>
          <w:rFonts w:ascii="Arial" w:hAnsi="Arial" w:cs="Arial"/>
          <w:szCs w:val="24"/>
        </w:rPr>
        <w:t xml:space="preserve">and family assistance </w:t>
      </w:r>
      <w:r w:rsidR="004B2038">
        <w:rPr>
          <w:rFonts w:ascii="Arial" w:hAnsi="Arial" w:cs="Arial"/>
          <w:szCs w:val="24"/>
        </w:rPr>
        <w:t xml:space="preserve">law. Some of this taxation information is protected by on-disclosure restrictions </w:t>
      </w:r>
      <w:r w:rsidR="00C33968">
        <w:rPr>
          <w:rFonts w:ascii="Arial" w:hAnsi="Arial" w:cs="Arial"/>
          <w:szCs w:val="24"/>
        </w:rPr>
        <w:t xml:space="preserve">in Division 355 of </w:t>
      </w:r>
      <w:r w:rsidR="00C5169B">
        <w:rPr>
          <w:rFonts w:ascii="Arial" w:hAnsi="Arial" w:cs="Arial"/>
          <w:szCs w:val="24"/>
        </w:rPr>
        <w:t xml:space="preserve">Part 5-1 of Chapter 5 of </w:t>
      </w:r>
      <w:r w:rsidR="00C33968">
        <w:rPr>
          <w:rFonts w:ascii="Arial" w:hAnsi="Arial" w:cs="Arial"/>
          <w:szCs w:val="24"/>
        </w:rPr>
        <w:t>Schedule 1 to</w:t>
      </w:r>
      <w:r w:rsidR="004B2038">
        <w:rPr>
          <w:rFonts w:ascii="Arial" w:hAnsi="Arial" w:cs="Arial"/>
          <w:szCs w:val="24"/>
        </w:rPr>
        <w:t xml:space="preserve"> the </w:t>
      </w:r>
      <w:r w:rsidR="004B2038">
        <w:rPr>
          <w:rFonts w:ascii="Arial" w:hAnsi="Arial" w:cs="Arial"/>
          <w:i/>
          <w:szCs w:val="24"/>
        </w:rPr>
        <w:t>Taxation Administration Act 1953</w:t>
      </w:r>
      <w:r w:rsidR="004B2038">
        <w:rPr>
          <w:rFonts w:ascii="Arial" w:hAnsi="Arial" w:cs="Arial"/>
          <w:szCs w:val="24"/>
        </w:rPr>
        <w:t>. This customer information held by the Agency is</w:t>
      </w:r>
      <w:r w:rsidR="00F17B27">
        <w:rPr>
          <w:rFonts w:ascii="Arial" w:hAnsi="Arial" w:cs="Arial"/>
          <w:szCs w:val="24"/>
        </w:rPr>
        <w:t xml:space="preserve"> also</w:t>
      </w:r>
      <w:r w:rsidR="004B2038">
        <w:rPr>
          <w:rFonts w:ascii="Arial" w:hAnsi="Arial" w:cs="Arial"/>
          <w:szCs w:val="24"/>
        </w:rPr>
        <w:t xml:space="preserve"> protected by the secrecy provisions in the </w:t>
      </w:r>
      <w:r w:rsidR="004B2038">
        <w:rPr>
          <w:rFonts w:ascii="Arial" w:hAnsi="Arial" w:cs="Arial"/>
          <w:i/>
          <w:szCs w:val="24"/>
        </w:rPr>
        <w:t>Social Security (Administration) Act 1999</w:t>
      </w:r>
      <w:r w:rsidR="00BA0CEB">
        <w:rPr>
          <w:rFonts w:ascii="Arial" w:hAnsi="Arial" w:cs="Arial"/>
          <w:i/>
          <w:szCs w:val="24"/>
        </w:rPr>
        <w:t xml:space="preserve"> </w:t>
      </w:r>
      <w:r w:rsidR="00BA0CEB" w:rsidRPr="00BA0CEB">
        <w:rPr>
          <w:rFonts w:ascii="Arial" w:hAnsi="Arial" w:cs="Arial"/>
          <w:szCs w:val="24"/>
        </w:rPr>
        <w:t>and the</w:t>
      </w:r>
      <w:r w:rsidR="00BA0CEB">
        <w:rPr>
          <w:rFonts w:ascii="Arial" w:hAnsi="Arial" w:cs="Arial"/>
          <w:i/>
          <w:szCs w:val="24"/>
        </w:rPr>
        <w:t xml:space="preserve"> A New Tax System (Family Assistance)(Administration) Act 1999</w:t>
      </w:r>
      <w:r w:rsidR="00BA0CEB">
        <w:rPr>
          <w:rFonts w:ascii="Arial" w:hAnsi="Arial" w:cs="Arial"/>
          <w:szCs w:val="24"/>
        </w:rPr>
        <w:t>.</w:t>
      </w:r>
      <w:r w:rsidR="004B2038">
        <w:rPr>
          <w:rFonts w:ascii="Arial" w:hAnsi="Arial" w:cs="Arial"/>
          <w:szCs w:val="24"/>
        </w:rPr>
        <w:t xml:space="preserve"> </w:t>
      </w:r>
    </w:p>
    <w:p w14:paraId="196BF424" w14:textId="0627714A" w:rsidR="00C5169B" w:rsidRDefault="004B2038" w:rsidP="00191AEC">
      <w:pPr>
        <w:rPr>
          <w:rFonts w:ascii="Arial" w:hAnsi="Arial" w:cs="Arial"/>
          <w:szCs w:val="24"/>
        </w:rPr>
      </w:pPr>
      <w:r>
        <w:rPr>
          <w:rFonts w:ascii="Arial" w:hAnsi="Arial" w:cs="Arial"/>
          <w:szCs w:val="24"/>
        </w:rPr>
        <w:t xml:space="preserve">The specification of the </w:t>
      </w:r>
      <w:r>
        <w:rPr>
          <w:rFonts w:ascii="Arial" w:hAnsi="Arial" w:cs="Arial"/>
          <w:i/>
          <w:szCs w:val="24"/>
        </w:rPr>
        <w:t xml:space="preserve">Taxation Administration Act </w:t>
      </w:r>
      <w:r>
        <w:rPr>
          <w:rFonts w:ascii="Arial" w:hAnsi="Arial" w:cs="Arial"/>
          <w:szCs w:val="24"/>
        </w:rPr>
        <w:t xml:space="preserve">as a designated program Act for the purposes of </w:t>
      </w:r>
      <w:r w:rsidR="00C81622" w:rsidRPr="006D621D">
        <w:rPr>
          <w:rFonts w:ascii="Arial" w:hAnsi="Arial" w:cs="Arial"/>
          <w:szCs w:val="24"/>
        </w:rPr>
        <w:t xml:space="preserve">paragraph </w:t>
      </w:r>
      <w:r w:rsidR="00C81622">
        <w:rPr>
          <w:rFonts w:ascii="Arial" w:hAnsi="Arial" w:cs="Arial"/>
          <w:szCs w:val="24"/>
        </w:rPr>
        <w:t>(o) of the definition ‘designated program Act’ in subsection 40A(3)</w:t>
      </w:r>
      <w:r w:rsidR="00C81622" w:rsidRPr="006D621D">
        <w:rPr>
          <w:rFonts w:ascii="Arial" w:hAnsi="Arial" w:cs="Arial"/>
          <w:szCs w:val="24"/>
        </w:rPr>
        <w:t xml:space="preserve"> </w:t>
      </w:r>
      <w:r>
        <w:rPr>
          <w:rFonts w:ascii="Arial" w:hAnsi="Arial" w:cs="Arial"/>
          <w:szCs w:val="24"/>
        </w:rPr>
        <w:t>of the</w:t>
      </w:r>
      <w:r w:rsidR="00C33968">
        <w:rPr>
          <w:rFonts w:ascii="Arial" w:hAnsi="Arial" w:cs="Arial"/>
          <w:szCs w:val="24"/>
        </w:rPr>
        <w:t xml:space="preserve"> </w:t>
      </w:r>
      <w:r w:rsidR="00754921">
        <w:rPr>
          <w:rFonts w:ascii="Arial" w:hAnsi="Arial" w:cs="Arial"/>
          <w:szCs w:val="24"/>
        </w:rPr>
        <w:t>Centrelink</w:t>
      </w:r>
      <w:r>
        <w:rPr>
          <w:rFonts w:ascii="Arial" w:hAnsi="Arial" w:cs="Arial"/>
          <w:szCs w:val="24"/>
        </w:rPr>
        <w:t xml:space="preserve"> Act</w:t>
      </w:r>
      <w:r w:rsidR="00BB3612">
        <w:rPr>
          <w:rFonts w:ascii="Arial" w:hAnsi="Arial" w:cs="Arial"/>
          <w:szCs w:val="24"/>
        </w:rPr>
        <w:t xml:space="preserve"> ensures that the Agency</w:t>
      </w:r>
      <w:r w:rsidR="00BE517A">
        <w:rPr>
          <w:rFonts w:ascii="Arial" w:hAnsi="Arial" w:cs="Arial"/>
          <w:szCs w:val="24"/>
        </w:rPr>
        <w:t xml:space="preserve"> and the Chief Executive Centrelink </w:t>
      </w:r>
      <w:r w:rsidR="00BB3612">
        <w:rPr>
          <w:rFonts w:ascii="Arial" w:hAnsi="Arial" w:cs="Arial"/>
          <w:szCs w:val="24"/>
        </w:rPr>
        <w:t xml:space="preserve">is able to handle all customer information held for the purpose of social security </w:t>
      </w:r>
      <w:r w:rsidR="00BA0CEB">
        <w:rPr>
          <w:rFonts w:ascii="Arial" w:hAnsi="Arial" w:cs="Arial"/>
          <w:szCs w:val="24"/>
        </w:rPr>
        <w:t xml:space="preserve">and family assistance </w:t>
      </w:r>
      <w:r w:rsidR="00BB3612">
        <w:rPr>
          <w:rFonts w:ascii="Arial" w:hAnsi="Arial" w:cs="Arial"/>
          <w:szCs w:val="24"/>
        </w:rPr>
        <w:t xml:space="preserve">programs in accordance with the secrecy regime in the </w:t>
      </w:r>
      <w:r w:rsidR="00BB3612">
        <w:rPr>
          <w:rFonts w:ascii="Arial" w:hAnsi="Arial" w:cs="Arial"/>
          <w:i/>
          <w:szCs w:val="24"/>
        </w:rPr>
        <w:t>Social Security (Administration) Act 1999</w:t>
      </w:r>
      <w:r w:rsidR="00BA0CEB">
        <w:rPr>
          <w:rFonts w:ascii="Arial" w:hAnsi="Arial" w:cs="Arial"/>
          <w:szCs w:val="24"/>
        </w:rPr>
        <w:t xml:space="preserve"> and the </w:t>
      </w:r>
      <w:r w:rsidR="00BA0CEB">
        <w:rPr>
          <w:rFonts w:ascii="Arial" w:hAnsi="Arial" w:cs="Arial"/>
          <w:i/>
          <w:szCs w:val="24"/>
        </w:rPr>
        <w:t>A New Tax System (Family Assistance)(Administration) Act 1999</w:t>
      </w:r>
      <w:r w:rsidR="00BB3612">
        <w:rPr>
          <w:rFonts w:ascii="Arial" w:hAnsi="Arial" w:cs="Arial"/>
          <w:szCs w:val="24"/>
        </w:rPr>
        <w:t>, including information disclosed by the ATO.</w:t>
      </w:r>
    </w:p>
    <w:p w14:paraId="440CEAEF" w14:textId="7574B5B6" w:rsidR="00044480" w:rsidRDefault="00BB3612" w:rsidP="00C5169B">
      <w:pPr>
        <w:spacing w:before="0"/>
        <w:rPr>
          <w:rFonts w:ascii="Arial" w:hAnsi="Arial" w:cs="Arial"/>
          <w:szCs w:val="24"/>
        </w:rPr>
      </w:pPr>
      <w:r>
        <w:rPr>
          <w:rFonts w:ascii="Arial" w:hAnsi="Arial" w:cs="Arial"/>
          <w:szCs w:val="24"/>
        </w:rPr>
        <w:t xml:space="preserve"> </w:t>
      </w:r>
    </w:p>
    <w:p w14:paraId="6EB6943F" w14:textId="006EE9F7" w:rsidR="000548B7" w:rsidRDefault="000548B7" w:rsidP="006B4173">
      <w:pPr>
        <w:spacing w:before="0"/>
        <w:rPr>
          <w:rFonts w:ascii="Arial" w:hAnsi="Arial" w:cs="Arial"/>
          <w:szCs w:val="24"/>
        </w:rPr>
      </w:pPr>
      <w:r>
        <w:rPr>
          <w:rFonts w:ascii="Arial" w:hAnsi="Arial" w:cs="Arial"/>
          <w:szCs w:val="24"/>
        </w:rPr>
        <w:t xml:space="preserve">Overall, there are comprehensive protections for personal information in all of the designated program Acts. Irrespective of which secrecy regime applies, each regime allows the use and disclosure of a piece of personal information in only limited </w:t>
      </w:r>
      <w:r>
        <w:rPr>
          <w:rFonts w:ascii="Arial" w:hAnsi="Arial" w:cs="Arial"/>
          <w:szCs w:val="24"/>
        </w:rPr>
        <w:lastRenderedPageBreak/>
        <w:t xml:space="preserve">circumstances, guided by the purposes of each Act, in the performance of duties under or in relation to each Act, or for the purpose for which the information was communicated. They also permit disclosure where it is in the public interest to do so, for example, to prevent or lessen a threat to a person’s life, health or welfare. They all have similar criminal or civil penalties for breaches of the limited disclosures available under the secrecy regimes. The civil or criminal penalties for breaches of privacy in the overarching </w:t>
      </w:r>
      <w:r>
        <w:rPr>
          <w:rFonts w:ascii="Arial" w:hAnsi="Arial" w:cs="Arial"/>
          <w:i/>
          <w:szCs w:val="24"/>
        </w:rPr>
        <w:t xml:space="preserve">Privacy Act 1988 </w:t>
      </w:r>
      <w:r>
        <w:rPr>
          <w:rFonts w:ascii="Arial" w:hAnsi="Arial" w:cs="Arial"/>
          <w:szCs w:val="24"/>
        </w:rPr>
        <w:t>may also apply. The designation of a program Act will not result in a reduction of protections applying to such information.</w:t>
      </w:r>
    </w:p>
    <w:p w14:paraId="3A12613A" w14:textId="2AF23A83" w:rsidR="00C5169B" w:rsidRPr="009E4448" w:rsidRDefault="00C5169B" w:rsidP="00C5169B">
      <w:pPr>
        <w:rPr>
          <w:rFonts w:ascii="Arial" w:hAnsi="Arial" w:cs="Arial"/>
          <w:szCs w:val="24"/>
        </w:rPr>
      </w:pPr>
      <w:r w:rsidRPr="00301EC5">
        <w:rPr>
          <w:rFonts w:ascii="Arial" w:hAnsi="Arial" w:cs="Arial"/>
          <w:szCs w:val="24"/>
        </w:rPr>
        <w:t xml:space="preserve">Under subsection 33(3) of the </w:t>
      </w:r>
      <w:r w:rsidRPr="00301EC5">
        <w:rPr>
          <w:rFonts w:ascii="Arial" w:hAnsi="Arial" w:cs="Arial"/>
          <w:i/>
          <w:szCs w:val="24"/>
        </w:rPr>
        <w:t>Acts Interpretation Act 1901</w:t>
      </w:r>
      <w:r w:rsidRPr="00301EC5">
        <w:rPr>
          <w:rFonts w:ascii="Arial" w:hAnsi="Arial" w:cs="Arial"/>
          <w:szCs w:val="24"/>
        </w:rPr>
        <w:t>, where an Act confers a power to make, grant or issue any instrument of a legislative or administrative character (including rules, regulations or by-laws), the power shall be construed as including a power exercisable in the like manner and subject to the like conditions (if any) to repeal, rescind, revoke, amend, or vary any such instrument.</w:t>
      </w:r>
    </w:p>
    <w:p w14:paraId="79C610AE" w14:textId="3E7AE3DD" w:rsidR="00D13A82" w:rsidRPr="00044480" w:rsidRDefault="00D13A82" w:rsidP="006B4173">
      <w:pPr>
        <w:spacing w:before="0"/>
        <w:rPr>
          <w:rFonts w:ascii="Arial" w:hAnsi="Arial" w:cs="Arial"/>
          <w:szCs w:val="24"/>
        </w:rPr>
      </w:pPr>
    </w:p>
    <w:p w14:paraId="3D057597" w14:textId="1D19951D" w:rsidR="00D13A82" w:rsidRDefault="000B4130" w:rsidP="006B4173">
      <w:pPr>
        <w:spacing w:before="0"/>
        <w:rPr>
          <w:rStyle w:val="BookTitle"/>
          <w:rFonts w:ascii="Arial" w:hAnsi="Arial" w:cs="Arial"/>
          <w:b/>
          <w:i w:val="0"/>
          <w:iCs w:val="0"/>
          <w:smallCaps w:val="0"/>
          <w:spacing w:val="0"/>
          <w:szCs w:val="24"/>
        </w:rPr>
      </w:pPr>
      <w:r w:rsidRPr="00BC76EB">
        <w:rPr>
          <w:rStyle w:val="BookTitle"/>
          <w:rFonts w:ascii="Arial" w:hAnsi="Arial" w:cs="Arial"/>
          <w:b/>
          <w:i w:val="0"/>
          <w:iCs w:val="0"/>
          <w:smallCaps w:val="0"/>
          <w:spacing w:val="0"/>
          <w:szCs w:val="24"/>
        </w:rPr>
        <w:t>Commencement</w:t>
      </w:r>
    </w:p>
    <w:p w14:paraId="797A4309" w14:textId="77777777" w:rsidR="006B4173" w:rsidRPr="00BC76EB" w:rsidRDefault="006B4173" w:rsidP="006B4173">
      <w:pPr>
        <w:spacing w:before="0"/>
        <w:rPr>
          <w:rStyle w:val="BookTitle"/>
          <w:rFonts w:ascii="Arial" w:hAnsi="Arial" w:cs="Arial"/>
          <w:b/>
          <w:i w:val="0"/>
          <w:iCs w:val="0"/>
          <w:smallCaps w:val="0"/>
          <w:spacing w:val="0"/>
          <w:szCs w:val="24"/>
        </w:rPr>
      </w:pPr>
    </w:p>
    <w:p w14:paraId="0C4E9C9F" w14:textId="2FD79046" w:rsidR="00946E6D" w:rsidRDefault="009F77BC" w:rsidP="006B4173">
      <w:pPr>
        <w:spacing w:before="0"/>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Th</w:t>
      </w:r>
      <w:r w:rsidR="00CB79D5">
        <w:rPr>
          <w:rStyle w:val="BookTitle"/>
          <w:rFonts w:ascii="Arial" w:hAnsi="Arial" w:cs="Arial"/>
          <w:i w:val="0"/>
          <w:iCs w:val="0"/>
          <w:smallCaps w:val="0"/>
          <w:spacing w:val="0"/>
          <w:szCs w:val="24"/>
        </w:rPr>
        <w:t>is</w:t>
      </w:r>
      <w:r>
        <w:rPr>
          <w:rStyle w:val="BookTitle"/>
          <w:rFonts w:ascii="Arial" w:hAnsi="Arial" w:cs="Arial"/>
          <w:i w:val="0"/>
          <w:iCs w:val="0"/>
          <w:smallCaps w:val="0"/>
          <w:spacing w:val="0"/>
          <w:szCs w:val="24"/>
        </w:rPr>
        <w:t xml:space="preserve"> </w:t>
      </w:r>
      <w:r w:rsidR="0019566B">
        <w:rPr>
          <w:rStyle w:val="BookTitle"/>
          <w:rFonts w:ascii="Arial" w:hAnsi="Arial" w:cs="Arial"/>
          <w:i w:val="0"/>
          <w:iCs w:val="0"/>
          <w:smallCaps w:val="0"/>
          <w:spacing w:val="0"/>
          <w:szCs w:val="24"/>
        </w:rPr>
        <w:t>Specification</w:t>
      </w:r>
      <w:r>
        <w:rPr>
          <w:rStyle w:val="BookTitle"/>
          <w:rFonts w:ascii="Arial" w:hAnsi="Arial" w:cs="Arial"/>
          <w:i w:val="0"/>
          <w:iCs w:val="0"/>
          <w:smallCaps w:val="0"/>
          <w:spacing w:val="0"/>
          <w:szCs w:val="24"/>
        </w:rPr>
        <w:t xml:space="preserve"> </w:t>
      </w:r>
      <w:r w:rsidR="000B4130" w:rsidRPr="00BC76EB">
        <w:rPr>
          <w:rStyle w:val="BookTitle"/>
          <w:rFonts w:ascii="Arial" w:hAnsi="Arial" w:cs="Arial"/>
          <w:i w:val="0"/>
          <w:iCs w:val="0"/>
          <w:smallCaps w:val="0"/>
          <w:spacing w:val="0"/>
          <w:szCs w:val="24"/>
        </w:rPr>
        <w:t xml:space="preserve">commences on </w:t>
      </w:r>
      <w:r>
        <w:rPr>
          <w:rStyle w:val="BookTitle"/>
          <w:rFonts w:ascii="Arial" w:hAnsi="Arial" w:cs="Arial"/>
          <w:i w:val="0"/>
          <w:iCs w:val="0"/>
          <w:smallCaps w:val="0"/>
          <w:spacing w:val="0"/>
          <w:szCs w:val="24"/>
        </w:rPr>
        <w:t xml:space="preserve">the day after it is registered. </w:t>
      </w:r>
    </w:p>
    <w:p w14:paraId="7BC699A1" w14:textId="77777777" w:rsidR="006B4173" w:rsidRDefault="006B4173" w:rsidP="006B4173">
      <w:pPr>
        <w:spacing w:before="0"/>
        <w:rPr>
          <w:rStyle w:val="BookTitle"/>
          <w:rFonts w:ascii="Arial" w:hAnsi="Arial" w:cs="Arial"/>
          <w:i w:val="0"/>
          <w:iCs w:val="0"/>
          <w:smallCaps w:val="0"/>
          <w:spacing w:val="0"/>
          <w:szCs w:val="24"/>
        </w:rPr>
      </w:pPr>
    </w:p>
    <w:p w14:paraId="7B82CEBB" w14:textId="626AB7BD" w:rsidR="006A6D51" w:rsidRDefault="006A6D51" w:rsidP="006B4173">
      <w:pPr>
        <w:spacing w:before="0"/>
        <w:rPr>
          <w:rStyle w:val="BookTitle"/>
          <w:rFonts w:ascii="Arial" w:hAnsi="Arial" w:cs="Arial"/>
          <w:b/>
          <w:i w:val="0"/>
          <w:iCs w:val="0"/>
          <w:smallCaps w:val="0"/>
          <w:spacing w:val="0"/>
          <w:szCs w:val="24"/>
        </w:rPr>
      </w:pPr>
      <w:r w:rsidRPr="00BC76EB">
        <w:rPr>
          <w:rStyle w:val="BookTitle"/>
          <w:rFonts w:ascii="Arial" w:hAnsi="Arial" w:cs="Arial"/>
          <w:b/>
          <w:i w:val="0"/>
          <w:iCs w:val="0"/>
          <w:smallCaps w:val="0"/>
          <w:spacing w:val="0"/>
          <w:szCs w:val="24"/>
        </w:rPr>
        <w:t>Consultation</w:t>
      </w:r>
    </w:p>
    <w:p w14:paraId="3317B716" w14:textId="77777777" w:rsidR="006B4173" w:rsidRPr="00BC76EB" w:rsidRDefault="006B4173" w:rsidP="006B4173">
      <w:pPr>
        <w:spacing w:before="0"/>
        <w:rPr>
          <w:rStyle w:val="BookTitle"/>
          <w:rFonts w:ascii="Arial" w:hAnsi="Arial" w:cs="Arial"/>
          <w:b/>
          <w:i w:val="0"/>
          <w:iCs w:val="0"/>
          <w:smallCaps w:val="0"/>
          <w:spacing w:val="0"/>
          <w:szCs w:val="24"/>
        </w:rPr>
      </w:pPr>
    </w:p>
    <w:p w14:paraId="7E53BDDE" w14:textId="576B2D4D" w:rsidR="00DE78DF" w:rsidRDefault="009070A4" w:rsidP="006B4173">
      <w:pPr>
        <w:spacing w:before="0"/>
        <w:rPr>
          <w:rFonts w:ascii="Arial" w:hAnsi="Arial" w:cs="Arial"/>
          <w:szCs w:val="24"/>
        </w:rPr>
      </w:pPr>
      <w:r>
        <w:rPr>
          <w:rFonts w:ascii="Arial" w:hAnsi="Arial" w:cs="Arial"/>
          <w:szCs w:val="24"/>
        </w:rPr>
        <w:t xml:space="preserve">Services Australia was consulted. Services Australia recommended the making of this Specification. </w:t>
      </w:r>
    </w:p>
    <w:p w14:paraId="4D8B988C" w14:textId="016D3D2E" w:rsidR="006B4173" w:rsidRDefault="006B4173" w:rsidP="006B4173">
      <w:pPr>
        <w:rPr>
          <w:rFonts w:ascii="Arial" w:hAnsi="Arial" w:cs="Arial"/>
          <w:szCs w:val="24"/>
        </w:rPr>
      </w:pPr>
      <w:r>
        <w:rPr>
          <w:rFonts w:ascii="Arial" w:hAnsi="Arial" w:cs="Arial"/>
          <w:szCs w:val="24"/>
        </w:rPr>
        <w:t>The Attorney-General’s Department was consulted.</w:t>
      </w:r>
    </w:p>
    <w:p w14:paraId="11FC0A72" w14:textId="673F219F" w:rsidR="002329E1" w:rsidRPr="00BC76EB" w:rsidRDefault="002329E1" w:rsidP="003A04AD">
      <w:pPr>
        <w:spacing w:after="240"/>
        <w:jc w:val="both"/>
        <w:rPr>
          <w:rFonts w:ascii="Arial" w:hAnsi="Arial" w:cs="Arial"/>
          <w:b/>
          <w:szCs w:val="24"/>
        </w:rPr>
      </w:pPr>
      <w:r w:rsidRPr="00BC76EB">
        <w:rPr>
          <w:rFonts w:ascii="Arial" w:hAnsi="Arial" w:cs="Arial"/>
          <w:b/>
          <w:szCs w:val="24"/>
        </w:rPr>
        <w:t>Regulat</w:t>
      </w:r>
      <w:r w:rsidR="00D459E0" w:rsidRPr="00BC76EB">
        <w:rPr>
          <w:rFonts w:ascii="Arial" w:hAnsi="Arial" w:cs="Arial"/>
          <w:b/>
          <w:szCs w:val="24"/>
        </w:rPr>
        <w:t>ion</w:t>
      </w:r>
      <w:r w:rsidRPr="00BC76EB">
        <w:rPr>
          <w:rFonts w:ascii="Arial" w:hAnsi="Arial" w:cs="Arial"/>
          <w:b/>
          <w:szCs w:val="24"/>
        </w:rPr>
        <w:t xml:space="preserve"> Impact </w:t>
      </w:r>
      <w:r w:rsidR="00D459E0" w:rsidRPr="00BC76EB">
        <w:rPr>
          <w:rFonts w:ascii="Arial" w:hAnsi="Arial" w:cs="Arial"/>
          <w:b/>
          <w:szCs w:val="24"/>
        </w:rPr>
        <w:t>Statement</w:t>
      </w:r>
      <w:r w:rsidR="00395CBC">
        <w:rPr>
          <w:rFonts w:ascii="Arial" w:hAnsi="Arial" w:cs="Arial"/>
          <w:b/>
          <w:szCs w:val="24"/>
        </w:rPr>
        <w:t xml:space="preserve"> </w:t>
      </w:r>
    </w:p>
    <w:p w14:paraId="0D2983C5" w14:textId="241C7710" w:rsidR="00A20512" w:rsidRPr="00A20512" w:rsidRDefault="00CB79D5" w:rsidP="00C37944">
      <w:pPr>
        <w:spacing w:before="120"/>
        <w:rPr>
          <w:rFonts w:ascii="Arial" w:hAnsi="Arial" w:cs="Arial"/>
          <w:szCs w:val="24"/>
        </w:rPr>
      </w:pPr>
      <w:r>
        <w:rPr>
          <w:rFonts w:ascii="Arial" w:hAnsi="Arial" w:cs="Arial"/>
          <w:szCs w:val="24"/>
        </w:rPr>
        <w:t>A Regulatory Impact Statement is not required</w:t>
      </w:r>
      <w:r w:rsidR="00995BCB">
        <w:rPr>
          <w:rFonts w:ascii="Arial" w:hAnsi="Arial" w:cs="Arial"/>
          <w:szCs w:val="24"/>
        </w:rPr>
        <w:t xml:space="preserve"> (OBPR </w:t>
      </w:r>
      <w:r w:rsidR="00B00306">
        <w:rPr>
          <w:rFonts w:ascii="Arial" w:hAnsi="Arial" w:cs="Arial"/>
          <w:szCs w:val="24"/>
        </w:rPr>
        <w:t>reference 44316)</w:t>
      </w:r>
      <w:r w:rsidR="00395CBC">
        <w:rPr>
          <w:rFonts w:ascii="Arial" w:hAnsi="Arial" w:cs="Arial"/>
          <w:szCs w:val="24"/>
        </w:rPr>
        <w:t>.</w:t>
      </w:r>
      <w:r w:rsidR="00BB3612">
        <w:rPr>
          <w:rFonts w:ascii="Arial" w:hAnsi="Arial" w:cs="Arial"/>
          <w:szCs w:val="24"/>
        </w:rPr>
        <w:t>This Specification will</w:t>
      </w:r>
      <w:r>
        <w:rPr>
          <w:rFonts w:ascii="Arial" w:hAnsi="Arial" w:cs="Arial"/>
          <w:szCs w:val="24"/>
        </w:rPr>
        <w:t xml:space="preserve"> not impact on business activity and will have no, or minimal, compliance costs or c</w:t>
      </w:r>
      <w:r w:rsidR="00A20512">
        <w:rPr>
          <w:rFonts w:ascii="Arial" w:hAnsi="Arial" w:cs="Arial"/>
          <w:szCs w:val="24"/>
        </w:rPr>
        <w:t xml:space="preserve">ompetition impact on business. </w:t>
      </w:r>
      <w:r w:rsidR="00676F52">
        <w:rPr>
          <w:rFonts w:ascii="Arial" w:hAnsi="Arial" w:cs="Arial"/>
          <w:szCs w:val="24"/>
        </w:rPr>
        <w:t xml:space="preserve">This Specification does not impose any obligations on the general public. </w:t>
      </w:r>
    </w:p>
    <w:p w14:paraId="66CA1F05" w14:textId="77777777" w:rsidR="006A6D51" w:rsidRPr="00E632DB" w:rsidRDefault="006A6D51" w:rsidP="003A04AD">
      <w:pPr>
        <w:rPr>
          <w:rStyle w:val="BookTitle"/>
          <w:rFonts w:ascii="Arial" w:hAnsi="Arial" w:cs="Arial"/>
          <w:b/>
          <w:i w:val="0"/>
          <w:iCs w:val="0"/>
          <w:smallCaps w:val="0"/>
          <w:spacing w:val="0"/>
          <w:szCs w:val="24"/>
        </w:rPr>
      </w:pPr>
      <w:r w:rsidRPr="00E632DB">
        <w:rPr>
          <w:rStyle w:val="BookTitle"/>
          <w:rFonts w:ascii="Arial" w:hAnsi="Arial" w:cs="Arial"/>
          <w:b/>
          <w:i w:val="0"/>
          <w:iCs w:val="0"/>
          <w:smallCaps w:val="0"/>
          <w:spacing w:val="0"/>
          <w:szCs w:val="24"/>
        </w:rPr>
        <w:t>Explanation of the provisions</w:t>
      </w:r>
    </w:p>
    <w:p w14:paraId="04A69095" w14:textId="4BEE8C0A" w:rsidR="00A405F1" w:rsidRPr="00E632DB" w:rsidRDefault="00A405F1" w:rsidP="00871F28">
      <w:pPr>
        <w:rPr>
          <w:rStyle w:val="BookTitle"/>
          <w:rFonts w:ascii="Arial" w:hAnsi="Arial" w:cs="Arial"/>
          <w:i w:val="0"/>
          <w:iCs w:val="0"/>
          <w:smallCaps w:val="0"/>
          <w:spacing w:val="0"/>
          <w:szCs w:val="24"/>
        </w:rPr>
      </w:pPr>
      <w:r w:rsidRPr="00E632DB">
        <w:rPr>
          <w:rStyle w:val="BookTitle"/>
          <w:rFonts w:ascii="Arial" w:hAnsi="Arial" w:cs="Arial"/>
          <w:b/>
          <w:i w:val="0"/>
          <w:iCs w:val="0"/>
          <w:smallCaps w:val="0"/>
          <w:spacing w:val="0"/>
          <w:szCs w:val="24"/>
        </w:rPr>
        <w:t xml:space="preserve">Section 1 </w:t>
      </w:r>
      <w:r w:rsidR="00FF478B" w:rsidRPr="00E632DB">
        <w:rPr>
          <w:rStyle w:val="BookTitle"/>
          <w:rFonts w:ascii="Arial" w:hAnsi="Arial" w:cs="Arial"/>
          <w:i w:val="0"/>
          <w:iCs w:val="0"/>
          <w:smallCaps w:val="0"/>
          <w:spacing w:val="0"/>
          <w:szCs w:val="24"/>
        </w:rPr>
        <w:t>provides that the na</w:t>
      </w:r>
      <w:r w:rsidR="00D55ED4" w:rsidRPr="00E632DB">
        <w:rPr>
          <w:rStyle w:val="BookTitle"/>
          <w:rFonts w:ascii="Arial" w:hAnsi="Arial" w:cs="Arial"/>
          <w:i w:val="0"/>
          <w:iCs w:val="0"/>
          <w:smallCaps w:val="0"/>
          <w:spacing w:val="0"/>
          <w:szCs w:val="24"/>
        </w:rPr>
        <w:t xml:space="preserve">me of this </w:t>
      </w:r>
      <w:r w:rsidR="00E632DB" w:rsidRPr="00E632DB">
        <w:rPr>
          <w:rStyle w:val="BookTitle"/>
          <w:rFonts w:ascii="Arial" w:hAnsi="Arial" w:cs="Arial"/>
          <w:i w:val="0"/>
          <w:iCs w:val="0"/>
          <w:smallCaps w:val="0"/>
          <w:spacing w:val="0"/>
          <w:szCs w:val="24"/>
        </w:rPr>
        <w:t>Specification</w:t>
      </w:r>
      <w:r w:rsidR="00D55ED4" w:rsidRPr="00E632DB">
        <w:rPr>
          <w:rStyle w:val="BookTitle"/>
          <w:rFonts w:ascii="Arial" w:hAnsi="Arial" w:cs="Arial"/>
          <w:i w:val="0"/>
          <w:iCs w:val="0"/>
          <w:smallCaps w:val="0"/>
          <w:spacing w:val="0"/>
          <w:szCs w:val="24"/>
        </w:rPr>
        <w:t xml:space="preserve"> is the </w:t>
      </w:r>
      <w:r w:rsidR="00E632DB" w:rsidRPr="00E632DB">
        <w:rPr>
          <w:rStyle w:val="BookTitle"/>
          <w:rFonts w:ascii="Arial" w:hAnsi="Arial" w:cs="Arial"/>
          <w:i w:val="0"/>
          <w:iCs w:val="0"/>
          <w:smallCaps w:val="0"/>
          <w:spacing w:val="0"/>
          <w:szCs w:val="24"/>
        </w:rPr>
        <w:t>Human Services (Centrelink) (Designated Program Act) Specification 2021.</w:t>
      </w:r>
      <w:r w:rsidR="00FF478B" w:rsidRPr="00E632DB">
        <w:rPr>
          <w:rStyle w:val="BookTitle"/>
          <w:rFonts w:ascii="Arial" w:hAnsi="Arial" w:cs="Arial"/>
          <w:i w:val="0"/>
          <w:iCs w:val="0"/>
          <w:smallCaps w:val="0"/>
          <w:spacing w:val="0"/>
          <w:szCs w:val="24"/>
        </w:rPr>
        <w:t xml:space="preserve"> </w:t>
      </w:r>
    </w:p>
    <w:p w14:paraId="050562B3" w14:textId="5FA13A4D" w:rsidR="00A405F1" w:rsidRPr="00E632DB" w:rsidRDefault="00A405F1" w:rsidP="00871F28">
      <w:pPr>
        <w:rPr>
          <w:rStyle w:val="BookTitle"/>
          <w:rFonts w:ascii="Arial" w:hAnsi="Arial" w:cs="Arial"/>
          <w:i w:val="0"/>
          <w:iCs w:val="0"/>
          <w:smallCaps w:val="0"/>
          <w:spacing w:val="0"/>
          <w:szCs w:val="24"/>
        </w:rPr>
      </w:pPr>
      <w:r w:rsidRPr="00E632DB">
        <w:rPr>
          <w:rStyle w:val="BookTitle"/>
          <w:rFonts w:ascii="Arial" w:hAnsi="Arial" w:cs="Arial"/>
          <w:b/>
          <w:i w:val="0"/>
          <w:iCs w:val="0"/>
          <w:smallCaps w:val="0"/>
          <w:spacing w:val="0"/>
          <w:szCs w:val="24"/>
        </w:rPr>
        <w:t xml:space="preserve">Section 2 </w:t>
      </w:r>
      <w:r w:rsidR="00E632DB" w:rsidRPr="00E632DB">
        <w:rPr>
          <w:rStyle w:val="BookTitle"/>
          <w:rFonts w:ascii="Arial" w:hAnsi="Arial" w:cs="Arial"/>
          <w:i w:val="0"/>
          <w:iCs w:val="0"/>
          <w:smallCaps w:val="0"/>
          <w:spacing w:val="0"/>
          <w:szCs w:val="24"/>
        </w:rPr>
        <w:t xml:space="preserve">provides that this Specification </w:t>
      </w:r>
      <w:r w:rsidRPr="00E632DB">
        <w:rPr>
          <w:rStyle w:val="BookTitle"/>
          <w:rFonts w:ascii="Arial" w:hAnsi="Arial" w:cs="Arial"/>
          <w:i w:val="0"/>
          <w:iCs w:val="0"/>
          <w:smallCaps w:val="0"/>
          <w:spacing w:val="0"/>
          <w:szCs w:val="24"/>
        </w:rPr>
        <w:t>commences on the day after it is registered.</w:t>
      </w:r>
    </w:p>
    <w:p w14:paraId="3AA813D7" w14:textId="46F4ABFF" w:rsidR="00A405F1" w:rsidRPr="00E632DB" w:rsidRDefault="00A405F1" w:rsidP="00871F28">
      <w:pPr>
        <w:rPr>
          <w:rStyle w:val="BookTitle"/>
          <w:rFonts w:ascii="Arial" w:hAnsi="Arial" w:cs="Arial"/>
          <w:i w:val="0"/>
          <w:iCs w:val="0"/>
          <w:smallCaps w:val="0"/>
          <w:spacing w:val="0"/>
          <w:szCs w:val="24"/>
        </w:rPr>
      </w:pPr>
      <w:r w:rsidRPr="00E632DB">
        <w:rPr>
          <w:rStyle w:val="BookTitle"/>
          <w:rFonts w:ascii="Arial" w:hAnsi="Arial" w:cs="Arial"/>
          <w:b/>
          <w:i w:val="0"/>
          <w:iCs w:val="0"/>
          <w:smallCaps w:val="0"/>
          <w:spacing w:val="0"/>
          <w:szCs w:val="24"/>
        </w:rPr>
        <w:t xml:space="preserve">Section 3 </w:t>
      </w:r>
      <w:r w:rsidRPr="00E632DB">
        <w:rPr>
          <w:rStyle w:val="BookTitle"/>
          <w:rFonts w:ascii="Arial" w:hAnsi="Arial" w:cs="Arial"/>
          <w:i w:val="0"/>
          <w:iCs w:val="0"/>
          <w:smallCaps w:val="0"/>
          <w:spacing w:val="0"/>
          <w:szCs w:val="24"/>
        </w:rPr>
        <w:t xml:space="preserve">sets out </w:t>
      </w:r>
      <w:r w:rsidR="00FF478B" w:rsidRPr="00E632DB">
        <w:rPr>
          <w:rStyle w:val="BookTitle"/>
          <w:rFonts w:ascii="Arial" w:hAnsi="Arial" w:cs="Arial"/>
          <w:i w:val="0"/>
          <w:iCs w:val="0"/>
          <w:smallCaps w:val="0"/>
          <w:spacing w:val="0"/>
          <w:szCs w:val="24"/>
        </w:rPr>
        <w:t xml:space="preserve">that </w:t>
      </w:r>
      <w:r w:rsidR="00C81622" w:rsidRPr="006D621D">
        <w:rPr>
          <w:rFonts w:ascii="Arial" w:hAnsi="Arial" w:cs="Arial"/>
          <w:szCs w:val="24"/>
        </w:rPr>
        <w:t xml:space="preserve">paragraph </w:t>
      </w:r>
      <w:r w:rsidR="00C81622">
        <w:rPr>
          <w:rFonts w:ascii="Arial" w:hAnsi="Arial" w:cs="Arial"/>
          <w:szCs w:val="24"/>
        </w:rPr>
        <w:t>(o) of the definition ‘designated program Act’ in subsection 40A(3)</w:t>
      </w:r>
      <w:r w:rsidR="00FF478B" w:rsidRPr="00E632DB">
        <w:rPr>
          <w:rStyle w:val="BookTitle"/>
          <w:rFonts w:ascii="Arial" w:hAnsi="Arial" w:cs="Arial"/>
          <w:i w:val="0"/>
          <w:iCs w:val="0"/>
          <w:smallCaps w:val="0"/>
          <w:spacing w:val="0"/>
          <w:szCs w:val="24"/>
        </w:rPr>
        <w:t xml:space="preserve"> of the </w:t>
      </w:r>
      <w:r w:rsidR="00754921">
        <w:rPr>
          <w:rStyle w:val="BookTitle"/>
          <w:rFonts w:ascii="Arial" w:hAnsi="Arial" w:cs="Arial"/>
          <w:i w:val="0"/>
          <w:iCs w:val="0"/>
          <w:smallCaps w:val="0"/>
          <w:spacing w:val="0"/>
          <w:szCs w:val="24"/>
        </w:rPr>
        <w:t>Centrelink</w:t>
      </w:r>
      <w:r w:rsidR="006D621D">
        <w:rPr>
          <w:rStyle w:val="BookTitle"/>
          <w:rFonts w:ascii="Arial" w:hAnsi="Arial" w:cs="Arial"/>
          <w:i w:val="0"/>
          <w:iCs w:val="0"/>
          <w:smallCaps w:val="0"/>
          <w:spacing w:val="0"/>
          <w:szCs w:val="24"/>
        </w:rPr>
        <w:t xml:space="preserve"> </w:t>
      </w:r>
      <w:r w:rsidR="00FF478B" w:rsidRPr="00E632DB">
        <w:rPr>
          <w:rStyle w:val="BookTitle"/>
          <w:rFonts w:ascii="Arial" w:hAnsi="Arial" w:cs="Arial"/>
          <w:i w:val="0"/>
          <w:iCs w:val="0"/>
          <w:smallCaps w:val="0"/>
          <w:spacing w:val="0"/>
          <w:szCs w:val="24"/>
        </w:rPr>
        <w:t>Act is the authority under which this</w:t>
      </w:r>
      <w:r w:rsidRPr="00E632DB">
        <w:rPr>
          <w:rStyle w:val="BookTitle"/>
          <w:rFonts w:ascii="Arial" w:hAnsi="Arial" w:cs="Arial"/>
          <w:i w:val="0"/>
          <w:iCs w:val="0"/>
          <w:smallCaps w:val="0"/>
          <w:spacing w:val="0"/>
          <w:szCs w:val="24"/>
        </w:rPr>
        <w:t xml:space="preserve"> </w:t>
      </w:r>
      <w:r w:rsidR="00E632DB" w:rsidRPr="00E632DB">
        <w:rPr>
          <w:rStyle w:val="BookTitle"/>
          <w:rFonts w:ascii="Arial" w:hAnsi="Arial" w:cs="Arial"/>
          <w:i w:val="0"/>
          <w:iCs w:val="0"/>
          <w:smallCaps w:val="0"/>
          <w:spacing w:val="0"/>
          <w:szCs w:val="24"/>
        </w:rPr>
        <w:t>Specification</w:t>
      </w:r>
      <w:r w:rsidR="00FF478B" w:rsidRPr="00E632DB">
        <w:rPr>
          <w:rStyle w:val="BookTitle"/>
          <w:rFonts w:ascii="Arial" w:hAnsi="Arial" w:cs="Arial"/>
          <w:i w:val="0"/>
          <w:iCs w:val="0"/>
          <w:smallCaps w:val="0"/>
          <w:spacing w:val="0"/>
          <w:szCs w:val="24"/>
        </w:rPr>
        <w:t xml:space="preserve"> is </w:t>
      </w:r>
      <w:r w:rsidRPr="00E632DB">
        <w:rPr>
          <w:rStyle w:val="BookTitle"/>
          <w:rFonts w:ascii="Arial" w:hAnsi="Arial" w:cs="Arial"/>
          <w:i w:val="0"/>
          <w:iCs w:val="0"/>
          <w:smallCaps w:val="0"/>
          <w:spacing w:val="0"/>
          <w:szCs w:val="24"/>
        </w:rPr>
        <w:t>made.</w:t>
      </w:r>
    </w:p>
    <w:p w14:paraId="64C215AB" w14:textId="346CC17F" w:rsidR="00E632DB" w:rsidRPr="005C3839" w:rsidRDefault="00E632DB" w:rsidP="00E632DB">
      <w:pPr>
        <w:rPr>
          <w:rStyle w:val="BookTitle"/>
          <w:rFonts w:ascii="Arial" w:hAnsi="Arial" w:cs="Arial"/>
          <w:i w:val="0"/>
          <w:iCs w:val="0"/>
          <w:smallCaps w:val="0"/>
          <w:spacing w:val="0"/>
          <w:szCs w:val="24"/>
        </w:rPr>
      </w:pPr>
      <w:r w:rsidRPr="005C3839">
        <w:rPr>
          <w:rStyle w:val="BookTitle"/>
          <w:rFonts w:ascii="Arial" w:hAnsi="Arial" w:cs="Arial"/>
          <w:b/>
          <w:i w:val="0"/>
          <w:iCs w:val="0"/>
          <w:smallCaps w:val="0"/>
          <w:spacing w:val="0"/>
          <w:szCs w:val="24"/>
        </w:rPr>
        <w:t xml:space="preserve">Section 4 </w:t>
      </w:r>
      <w:r w:rsidRPr="005C3839">
        <w:rPr>
          <w:rStyle w:val="BookTitle"/>
          <w:rFonts w:ascii="Arial" w:hAnsi="Arial" w:cs="Arial"/>
          <w:i w:val="0"/>
          <w:iCs w:val="0"/>
          <w:smallCaps w:val="0"/>
          <w:spacing w:val="0"/>
          <w:szCs w:val="24"/>
        </w:rPr>
        <w:t xml:space="preserve">contains </w:t>
      </w:r>
      <w:r w:rsidR="005C3839" w:rsidRPr="005C3839">
        <w:rPr>
          <w:rStyle w:val="BookTitle"/>
          <w:rFonts w:ascii="Arial" w:hAnsi="Arial" w:cs="Arial"/>
          <w:i w:val="0"/>
          <w:iCs w:val="0"/>
          <w:smallCaps w:val="0"/>
          <w:spacing w:val="0"/>
          <w:szCs w:val="24"/>
        </w:rPr>
        <w:t xml:space="preserve">a definition of </w:t>
      </w:r>
      <w:r w:rsidRPr="005C3839">
        <w:rPr>
          <w:rStyle w:val="BookTitle"/>
          <w:rFonts w:ascii="Arial" w:hAnsi="Arial" w:cs="Arial"/>
          <w:i w:val="0"/>
          <w:iCs w:val="0"/>
          <w:smallCaps w:val="0"/>
          <w:spacing w:val="0"/>
          <w:szCs w:val="24"/>
        </w:rPr>
        <w:t>‘Act’</w:t>
      </w:r>
      <w:r w:rsidR="00395CBC">
        <w:rPr>
          <w:rStyle w:val="BookTitle"/>
          <w:rFonts w:ascii="Arial" w:hAnsi="Arial" w:cs="Arial"/>
          <w:i w:val="0"/>
          <w:iCs w:val="0"/>
          <w:smallCaps w:val="0"/>
          <w:spacing w:val="0"/>
          <w:szCs w:val="24"/>
        </w:rPr>
        <w:t>,</w:t>
      </w:r>
      <w:r w:rsidRPr="005C3839">
        <w:rPr>
          <w:rStyle w:val="BookTitle"/>
          <w:rFonts w:ascii="Arial" w:hAnsi="Arial" w:cs="Arial"/>
          <w:i w:val="0"/>
          <w:iCs w:val="0"/>
          <w:smallCaps w:val="0"/>
          <w:spacing w:val="0"/>
          <w:szCs w:val="24"/>
        </w:rPr>
        <w:t xml:space="preserve"> </w:t>
      </w:r>
      <w:r w:rsidR="00BA0CEB">
        <w:rPr>
          <w:rStyle w:val="BookTitle"/>
          <w:rFonts w:ascii="Arial" w:hAnsi="Arial" w:cs="Arial"/>
          <w:i w:val="0"/>
          <w:iCs w:val="0"/>
          <w:smallCaps w:val="0"/>
          <w:spacing w:val="0"/>
          <w:szCs w:val="24"/>
        </w:rPr>
        <w:t xml:space="preserve">which </w:t>
      </w:r>
      <w:r w:rsidRPr="005C3839">
        <w:rPr>
          <w:rStyle w:val="BookTitle"/>
          <w:rFonts w:ascii="Arial" w:hAnsi="Arial" w:cs="Arial"/>
          <w:i w:val="0"/>
          <w:iCs w:val="0"/>
          <w:smallCaps w:val="0"/>
          <w:spacing w:val="0"/>
          <w:szCs w:val="24"/>
        </w:rPr>
        <w:t xml:space="preserve">means the </w:t>
      </w:r>
      <w:r w:rsidRPr="005C3839">
        <w:rPr>
          <w:rStyle w:val="BookTitle"/>
          <w:rFonts w:ascii="Arial" w:hAnsi="Arial" w:cs="Arial"/>
          <w:iCs w:val="0"/>
          <w:smallCaps w:val="0"/>
          <w:spacing w:val="0"/>
          <w:szCs w:val="24"/>
        </w:rPr>
        <w:t>Human Services (Centrelink) Act 1997</w:t>
      </w:r>
      <w:r w:rsidRPr="005C3839">
        <w:rPr>
          <w:rStyle w:val="BookTitle"/>
          <w:rFonts w:ascii="Arial" w:hAnsi="Arial" w:cs="Arial"/>
          <w:i w:val="0"/>
          <w:iCs w:val="0"/>
          <w:smallCaps w:val="0"/>
          <w:spacing w:val="0"/>
          <w:szCs w:val="24"/>
        </w:rPr>
        <w:t>.</w:t>
      </w:r>
    </w:p>
    <w:p w14:paraId="4BF1D796" w14:textId="4EE4A4A9" w:rsidR="00DC125D" w:rsidRPr="005C3839" w:rsidRDefault="005C3839" w:rsidP="00DC125D">
      <w:pPr>
        <w:rPr>
          <w:rFonts w:ascii="Arial" w:hAnsi="Arial" w:cs="Arial"/>
          <w:color w:val="0070C0"/>
          <w:szCs w:val="24"/>
        </w:rPr>
      </w:pPr>
      <w:r w:rsidRPr="005C3839">
        <w:rPr>
          <w:rFonts w:ascii="Arial" w:hAnsi="Arial" w:cs="Arial"/>
          <w:b/>
          <w:szCs w:val="24"/>
        </w:rPr>
        <w:t>Section 5</w:t>
      </w:r>
      <w:r w:rsidR="00DC125D" w:rsidRPr="005C3839">
        <w:rPr>
          <w:rFonts w:ascii="Arial" w:hAnsi="Arial" w:cs="Arial"/>
          <w:b/>
          <w:szCs w:val="24"/>
        </w:rPr>
        <w:t xml:space="preserve"> </w:t>
      </w:r>
      <w:r w:rsidR="00DC125D" w:rsidRPr="005C3839">
        <w:rPr>
          <w:rFonts w:ascii="Arial" w:hAnsi="Arial" w:cs="Arial"/>
          <w:szCs w:val="24"/>
        </w:rPr>
        <w:t xml:space="preserve">provides that any instrument specified in Schedule 1 </w:t>
      </w:r>
      <w:r w:rsidR="00254925" w:rsidRPr="005C3839">
        <w:rPr>
          <w:rFonts w:ascii="Arial" w:hAnsi="Arial" w:cs="Arial"/>
          <w:szCs w:val="24"/>
        </w:rPr>
        <w:t xml:space="preserve">to this Determination </w:t>
      </w:r>
      <w:r w:rsidR="00DC125D" w:rsidRPr="005C3839">
        <w:rPr>
          <w:rFonts w:ascii="Arial" w:hAnsi="Arial" w:cs="Arial"/>
          <w:szCs w:val="24"/>
        </w:rPr>
        <w:t xml:space="preserve">is amended or repealed according to </w:t>
      </w:r>
      <w:r w:rsidR="00B00306">
        <w:rPr>
          <w:rFonts w:ascii="Arial" w:hAnsi="Arial" w:cs="Arial"/>
          <w:szCs w:val="24"/>
        </w:rPr>
        <w:t>the terms of the Schedule</w:t>
      </w:r>
      <w:r w:rsidR="00DC125D" w:rsidRPr="005C3839">
        <w:rPr>
          <w:rFonts w:ascii="Arial" w:hAnsi="Arial" w:cs="Arial"/>
          <w:szCs w:val="24"/>
        </w:rPr>
        <w:t xml:space="preserve">. In this instance, Schedule 1 repeals the </w:t>
      </w:r>
      <w:r>
        <w:rPr>
          <w:rStyle w:val="BookTitle"/>
          <w:rFonts w:ascii="Arial" w:hAnsi="Arial" w:cs="Arial"/>
          <w:i w:val="0"/>
          <w:iCs w:val="0"/>
          <w:smallCaps w:val="0"/>
          <w:spacing w:val="0"/>
          <w:szCs w:val="24"/>
        </w:rPr>
        <w:t xml:space="preserve">Human Services (Centrelink) (Designated Program Act) </w:t>
      </w:r>
      <w:r>
        <w:rPr>
          <w:rStyle w:val="BookTitle"/>
          <w:rFonts w:ascii="Arial" w:hAnsi="Arial" w:cs="Arial"/>
          <w:i w:val="0"/>
          <w:iCs w:val="0"/>
          <w:smallCaps w:val="0"/>
          <w:spacing w:val="0"/>
          <w:szCs w:val="24"/>
        </w:rPr>
        <w:lastRenderedPageBreak/>
        <w:t>Specification 2011 (No. 1) and the Human Services (Centrelink) (Designated Program Act) Specification 2011 (No. 2)</w:t>
      </w:r>
      <w:r w:rsidR="00DC125D" w:rsidRPr="005C3839">
        <w:rPr>
          <w:rStyle w:val="BookTitle"/>
          <w:rFonts w:ascii="Arial" w:hAnsi="Arial" w:cs="Arial"/>
          <w:i w:val="0"/>
          <w:iCs w:val="0"/>
          <w:smallCaps w:val="0"/>
          <w:spacing w:val="0"/>
          <w:szCs w:val="24"/>
        </w:rPr>
        <w:t>.</w:t>
      </w:r>
    </w:p>
    <w:p w14:paraId="50EBAF9E" w14:textId="729E2E74" w:rsidR="00D0784D" w:rsidRPr="00F37EBB" w:rsidRDefault="00871748" w:rsidP="005C3839">
      <w:pPr>
        <w:rPr>
          <w:rStyle w:val="BookTitle"/>
          <w:rFonts w:ascii="Arial" w:hAnsi="Arial" w:cs="Arial"/>
          <w:i w:val="0"/>
          <w:iCs w:val="0"/>
          <w:smallCaps w:val="0"/>
          <w:spacing w:val="0"/>
          <w:szCs w:val="24"/>
        </w:rPr>
      </w:pPr>
      <w:r w:rsidRPr="00F37EBB">
        <w:rPr>
          <w:rStyle w:val="BookTitle"/>
          <w:rFonts w:ascii="Arial" w:hAnsi="Arial" w:cs="Arial"/>
          <w:b/>
          <w:i w:val="0"/>
          <w:iCs w:val="0"/>
          <w:smallCaps w:val="0"/>
          <w:spacing w:val="0"/>
          <w:szCs w:val="24"/>
        </w:rPr>
        <w:t>Section 6</w:t>
      </w:r>
      <w:r w:rsidR="00000A26" w:rsidRPr="00F37EBB">
        <w:rPr>
          <w:rStyle w:val="BookTitle"/>
          <w:rFonts w:ascii="Arial" w:hAnsi="Arial" w:cs="Arial"/>
          <w:i w:val="0"/>
          <w:iCs w:val="0"/>
          <w:smallCaps w:val="0"/>
          <w:spacing w:val="0"/>
          <w:szCs w:val="24"/>
        </w:rPr>
        <w:t xml:space="preserve"> provides that the </w:t>
      </w:r>
      <w:r w:rsidR="00000A26" w:rsidRPr="00F37EBB">
        <w:rPr>
          <w:rStyle w:val="BookTitle"/>
          <w:rFonts w:ascii="Arial" w:hAnsi="Arial" w:cs="Arial"/>
          <w:iCs w:val="0"/>
          <w:smallCaps w:val="0"/>
          <w:spacing w:val="0"/>
          <w:szCs w:val="24"/>
        </w:rPr>
        <w:t xml:space="preserve">Australian Prudential Regulation Authority Act 1998 </w:t>
      </w:r>
      <w:r w:rsidR="00000A26" w:rsidRPr="00F37EBB">
        <w:rPr>
          <w:rStyle w:val="BookTitle"/>
          <w:rFonts w:ascii="Arial" w:hAnsi="Arial" w:cs="Arial"/>
          <w:i w:val="0"/>
          <w:iCs w:val="0"/>
          <w:smallCaps w:val="0"/>
          <w:spacing w:val="0"/>
          <w:szCs w:val="24"/>
        </w:rPr>
        <w:t xml:space="preserve">and the </w:t>
      </w:r>
      <w:r w:rsidR="00000A26" w:rsidRPr="00F37EBB">
        <w:rPr>
          <w:rStyle w:val="BookTitle"/>
          <w:rFonts w:ascii="Arial" w:hAnsi="Arial" w:cs="Arial"/>
          <w:iCs w:val="0"/>
          <w:smallCaps w:val="0"/>
          <w:spacing w:val="0"/>
          <w:szCs w:val="24"/>
        </w:rPr>
        <w:t xml:space="preserve">Taxation Administration Act 1953 </w:t>
      </w:r>
      <w:r w:rsidR="00000A26" w:rsidRPr="00F37EBB">
        <w:rPr>
          <w:rStyle w:val="BookTitle"/>
          <w:rFonts w:ascii="Arial" w:hAnsi="Arial" w:cs="Arial"/>
          <w:i w:val="0"/>
          <w:iCs w:val="0"/>
          <w:smallCaps w:val="0"/>
          <w:spacing w:val="0"/>
          <w:szCs w:val="24"/>
        </w:rPr>
        <w:t xml:space="preserve">are specified for the purposes of </w:t>
      </w:r>
      <w:r w:rsidR="00C81622" w:rsidRPr="006D621D">
        <w:rPr>
          <w:rFonts w:ascii="Arial" w:hAnsi="Arial" w:cs="Arial"/>
          <w:szCs w:val="24"/>
        </w:rPr>
        <w:t xml:space="preserve">paragraph </w:t>
      </w:r>
      <w:r w:rsidR="00C81622">
        <w:rPr>
          <w:rFonts w:ascii="Arial" w:hAnsi="Arial" w:cs="Arial"/>
          <w:szCs w:val="24"/>
        </w:rPr>
        <w:t>(o) of the definition ‘designated program Act’ in subsection 40A(3)</w:t>
      </w:r>
      <w:r w:rsidR="00C81622" w:rsidRPr="006D621D">
        <w:rPr>
          <w:rFonts w:ascii="Arial" w:hAnsi="Arial" w:cs="Arial"/>
          <w:szCs w:val="24"/>
        </w:rPr>
        <w:t xml:space="preserve"> </w:t>
      </w:r>
      <w:r w:rsidR="00000A26" w:rsidRPr="00F37EBB">
        <w:rPr>
          <w:rStyle w:val="BookTitle"/>
          <w:rFonts w:ascii="Arial" w:hAnsi="Arial" w:cs="Arial"/>
          <w:i w:val="0"/>
          <w:iCs w:val="0"/>
          <w:smallCaps w:val="0"/>
          <w:spacing w:val="0"/>
          <w:szCs w:val="24"/>
        </w:rPr>
        <w:t xml:space="preserve">of the </w:t>
      </w:r>
      <w:r w:rsidR="00754921">
        <w:rPr>
          <w:rStyle w:val="BookTitle"/>
          <w:rFonts w:ascii="Arial" w:hAnsi="Arial" w:cs="Arial"/>
          <w:i w:val="0"/>
          <w:iCs w:val="0"/>
          <w:smallCaps w:val="0"/>
          <w:spacing w:val="0"/>
          <w:szCs w:val="24"/>
        </w:rPr>
        <w:t>Centrelink</w:t>
      </w:r>
      <w:r w:rsidR="006D621D">
        <w:rPr>
          <w:rStyle w:val="BookTitle"/>
          <w:rFonts w:ascii="Arial" w:hAnsi="Arial" w:cs="Arial"/>
          <w:i w:val="0"/>
          <w:iCs w:val="0"/>
          <w:smallCaps w:val="0"/>
          <w:spacing w:val="0"/>
          <w:szCs w:val="24"/>
        </w:rPr>
        <w:t xml:space="preserve"> </w:t>
      </w:r>
      <w:r w:rsidR="00000A26" w:rsidRPr="00F37EBB">
        <w:rPr>
          <w:rStyle w:val="BookTitle"/>
          <w:rFonts w:ascii="Arial" w:hAnsi="Arial" w:cs="Arial"/>
          <w:i w:val="0"/>
          <w:iCs w:val="0"/>
          <w:smallCaps w:val="0"/>
          <w:spacing w:val="0"/>
          <w:szCs w:val="24"/>
        </w:rPr>
        <w:t xml:space="preserve">Act. </w:t>
      </w:r>
    </w:p>
    <w:p w14:paraId="2AF40FF7" w14:textId="699F43A5" w:rsidR="004440D8" w:rsidRPr="009F77BC" w:rsidRDefault="004440D8" w:rsidP="004440D8">
      <w:pPr>
        <w:rPr>
          <w:rStyle w:val="BookTitle"/>
          <w:rFonts w:ascii="Arial" w:hAnsi="Arial" w:cs="Arial"/>
          <w:i w:val="0"/>
          <w:iCs w:val="0"/>
          <w:smallCaps w:val="0"/>
          <w:color w:val="0070C0"/>
          <w:spacing w:val="0"/>
          <w:szCs w:val="24"/>
        </w:rPr>
      </w:pPr>
      <w:r w:rsidRPr="00F37EBB">
        <w:rPr>
          <w:rStyle w:val="BookTitle"/>
          <w:rFonts w:ascii="Arial" w:hAnsi="Arial" w:cs="Arial"/>
          <w:b/>
          <w:i w:val="0"/>
          <w:iCs w:val="0"/>
          <w:smallCaps w:val="0"/>
          <w:spacing w:val="0"/>
          <w:szCs w:val="24"/>
        </w:rPr>
        <w:t xml:space="preserve">Schedule 1 </w:t>
      </w:r>
      <w:r w:rsidRPr="00F37EBB">
        <w:rPr>
          <w:rStyle w:val="BookTitle"/>
          <w:rFonts w:ascii="Arial" w:hAnsi="Arial" w:cs="Arial"/>
          <w:i w:val="0"/>
          <w:iCs w:val="0"/>
          <w:smallCaps w:val="0"/>
          <w:spacing w:val="0"/>
          <w:szCs w:val="24"/>
        </w:rPr>
        <w:t>repeals the</w:t>
      </w:r>
      <w:r w:rsidR="00000A26" w:rsidRPr="00F37EBB">
        <w:rPr>
          <w:rStyle w:val="BookTitle"/>
          <w:rFonts w:ascii="Arial" w:hAnsi="Arial" w:cs="Arial"/>
          <w:i w:val="0"/>
          <w:iCs w:val="0"/>
          <w:smallCaps w:val="0"/>
          <w:spacing w:val="0"/>
          <w:szCs w:val="24"/>
        </w:rPr>
        <w:t xml:space="preserve"> entirety of the Human Services (Centrelink) (Designated Program Act) Specification 2011 (No. 1) and the Human Services (Centrelink) (Designated Program Act) Specification 2011 (No. 2).</w:t>
      </w:r>
    </w:p>
    <w:p w14:paraId="65F4A6FF" w14:textId="30B1AAD9" w:rsidR="00871F28" w:rsidRPr="004440D8" w:rsidRDefault="00871F28" w:rsidP="00B50BCB">
      <w:pPr>
        <w:rPr>
          <w:rStyle w:val="BookTitle"/>
          <w:rFonts w:ascii="Arial" w:hAnsi="Arial" w:cs="Arial"/>
          <w:b/>
          <w:i w:val="0"/>
          <w:iCs w:val="0"/>
          <w:smallCaps w:val="0"/>
          <w:spacing w:val="0"/>
          <w:szCs w:val="24"/>
        </w:rPr>
      </w:pPr>
    </w:p>
    <w:p w14:paraId="75B77E78" w14:textId="77777777" w:rsidR="0095196E" w:rsidRPr="00BC76EB" w:rsidRDefault="0095196E" w:rsidP="006546B7">
      <w:pPr>
        <w:shd w:val="clear" w:color="auto" w:fill="FFFFFF"/>
        <w:spacing w:before="0"/>
        <w:textAlignment w:val="top"/>
        <w:rPr>
          <w:rFonts w:ascii="Arial" w:hAnsi="Arial" w:cs="Arial"/>
          <w:color w:val="111111"/>
          <w:szCs w:val="24"/>
        </w:rPr>
      </w:pPr>
    </w:p>
    <w:p w14:paraId="1B7BA8C6" w14:textId="77777777" w:rsidR="00C37944" w:rsidRPr="00BC76EB" w:rsidRDefault="00C37944">
      <w:pPr>
        <w:spacing w:before="0" w:after="200" w:line="276" w:lineRule="auto"/>
        <w:rPr>
          <w:rFonts w:ascii="Arial" w:eastAsiaTheme="majorEastAsia" w:hAnsi="Arial" w:cs="Arial"/>
          <w:b/>
          <w:bCs/>
          <w:szCs w:val="24"/>
        </w:rPr>
      </w:pPr>
      <w:bookmarkStart w:id="1" w:name="_Toc290210739"/>
      <w:r w:rsidRPr="00BC76EB">
        <w:rPr>
          <w:rFonts w:ascii="Arial" w:hAnsi="Arial" w:cs="Arial"/>
          <w:szCs w:val="24"/>
        </w:rPr>
        <w:br w:type="page"/>
      </w:r>
    </w:p>
    <w:p w14:paraId="7849ED46" w14:textId="77777777" w:rsidR="006546B7" w:rsidRPr="00BC76EB" w:rsidRDefault="006546B7" w:rsidP="006546B7">
      <w:pPr>
        <w:spacing w:before="360" w:after="120"/>
        <w:jc w:val="center"/>
        <w:rPr>
          <w:rFonts w:ascii="Arial" w:hAnsi="Arial" w:cs="Arial"/>
          <w:b/>
          <w:szCs w:val="24"/>
        </w:rPr>
      </w:pPr>
      <w:r w:rsidRPr="00BC76EB">
        <w:rPr>
          <w:rFonts w:ascii="Arial" w:hAnsi="Arial" w:cs="Arial"/>
          <w:b/>
          <w:szCs w:val="24"/>
        </w:rPr>
        <w:lastRenderedPageBreak/>
        <w:t>Statement of Compatibility with Human Rights</w:t>
      </w:r>
    </w:p>
    <w:p w14:paraId="47209B6D" w14:textId="77777777" w:rsidR="006546B7" w:rsidRPr="00BC76EB" w:rsidRDefault="006546B7" w:rsidP="006546B7">
      <w:pPr>
        <w:spacing w:before="120" w:after="120"/>
        <w:jc w:val="center"/>
        <w:rPr>
          <w:rFonts w:ascii="Arial" w:hAnsi="Arial" w:cs="Arial"/>
          <w:szCs w:val="24"/>
        </w:rPr>
      </w:pPr>
      <w:r w:rsidRPr="00BC76EB">
        <w:rPr>
          <w:rFonts w:ascii="Arial" w:hAnsi="Arial" w:cs="Arial"/>
          <w:i/>
          <w:szCs w:val="24"/>
        </w:rPr>
        <w:t>Prepared in accordance with Part 3 of the Human Rights (Parliamentary Scrutiny) Act 2011</w:t>
      </w:r>
    </w:p>
    <w:p w14:paraId="48F78E52" w14:textId="77777777" w:rsidR="006546B7" w:rsidRPr="00BC76EB" w:rsidRDefault="006546B7" w:rsidP="006546B7">
      <w:pPr>
        <w:spacing w:before="120" w:after="120"/>
        <w:jc w:val="center"/>
        <w:rPr>
          <w:rFonts w:ascii="Arial" w:hAnsi="Arial" w:cs="Arial"/>
          <w:szCs w:val="24"/>
        </w:rPr>
      </w:pPr>
    </w:p>
    <w:p w14:paraId="5C1BC4F1" w14:textId="370F37FA" w:rsidR="006546B7" w:rsidRPr="00BC76EB" w:rsidRDefault="00785A10" w:rsidP="006546B7">
      <w:pPr>
        <w:spacing w:before="120" w:after="120"/>
        <w:jc w:val="center"/>
        <w:rPr>
          <w:rFonts w:ascii="Arial" w:hAnsi="Arial" w:cs="Arial"/>
          <w:b/>
          <w:szCs w:val="24"/>
        </w:rPr>
      </w:pPr>
      <w:r>
        <w:rPr>
          <w:rFonts w:ascii="Arial" w:hAnsi="Arial" w:cs="Arial"/>
          <w:b/>
          <w:szCs w:val="24"/>
        </w:rPr>
        <w:t>Human Services (Centrelink) (Designated Program Act) Specification 2021</w:t>
      </w:r>
    </w:p>
    <w:p w14:paraId="305F33A2" w14:textId="77777777" w:rsidR="006546B7" w:rsidRPr="00BC76EB" w:rsidRDefault="006546B7" w:rsidP="006546B7">
      <w:pPr>
        <w:spacing w:before="120" w:after="120"/>
        <w:jc w:val="center"/>
        <w:rPr>
          <w:rFonts w:ascii="Arial" w:hAnsi="Arial" w:cs="Arial"/>
          <w:szCs w:val="24"/>
        </w:rPr>
      </w:pPr>
    </w:p>
    <w:p w14:paraId="4F4C9EC6" w14:textId="7D6A8031" w:rsidR="006546B7" w:rsidRPr="00BC76EB" w:rsidRDefault="00374A77" w:rsidP="006C5E5E">
      <w:pPr>
        <w:spacing w:before="120" w:after="120"/>
        <w:jc w:val="center"/>
        <w:rPr>
          <w:rFonts w:ascii="Arial" w:hAnsi="Arial" w:cs="Arial"/>
          <w:szCs w:val="24"/>
        </w:rPr>
      </w:pPr>
      <w:r w:rsidRPr="00BC76EB">
        <w:rPr>
          <w:rFonts w:ascii="Arial" w:hAnsi="Arial" w:cs="Arial"/>
          <w:szCs w:val="24"/>
        </w:rPr>
        <w:t xml:space="preserve">The </w:t>
      </w:r>
      <w:r w:rsidR="00785A10">
        <w:rPr>
          <w:rFonts w:ascii="Arial" w:hAnsi="Arial" w:cs="Arial"/>
          <w:szCs w:val="24"/>
        </w:rPr>
        <w:t xml:space="preserve">Specification is </w:t>
      </w:r>
      <w:r w:rsidR="006546B7" w:rsidRPr="00BC76EB">
        <w:rPr>
          <w:rFonts w:ascii="Arial" w:hAnsi="Arial" w:cs="Arial"/>
          <w:szCs w:val="24"/>
        </w:rPr>
        <w:t>compatible with the human rights and freedoms recognised or declared in the internationa</w:t>
      </w:r>
      <w:r w:rsidR="006C5E5E">
        <w:rPr>
          <w:rFonts w:ascii="Arial" w:hAnsi="Arial" w:cs="Arial"/>
          <w:szCs w:val="24"/>
        </w:rPr>
        <w:t>l instruments listed in section </w:t>
      </w:r>
      <w:r w:rsidR="006546B7" w:rsidRPr="00BC76EB">
        <w:rPr>
          <w:rFonts w:ascii="Arial" w:hAnsi="Arial" w:cs="Arial"/>
          <w:szCs w:val="24"/>
        </w:rPr>
        <w:t xml:space="preserve">3 of the </w:t>
      </w:r>
      <w:r w:rsidR="006546B7" w:rsidRPr="00BC76EB">
        <w:rPr>
          <w:rFonts w:ascii="Arial" w:hAnsi="Arial" w:cs="Arial"/>
          <w:i/>
          <w:szCs w:val="24"/>
        </w:rPr>
        <w:t>Human Rights (Parliamentary Scrutiny) Act 2011</w:t>
      </w:r>
      <w:r w:rsidR="006546B7" w:rsidRPr="00BC76EB">
        <w:rPr>
          <w:rFonts w:ascii="Arial" w:hAnsi="Arial" w:cs="Arial"/>
          <w:szCs w:val="24"/>
        </w:rPr>
        <w:t>.</w:t>
      </w:r>
    </w:p>
    <w:p w14:paraId="4973F25D" w14:textId="4E6DAB27" w:rsidR="006546B7" w:rsidRDefault="002A63EA" w:rsidP="00AD1347">
      <w:pPr>
        <w:spacing w:after="120"/>
        <w:jc w:val="both"/>
        <w:rPr>
          <w:rFonts w:ascii="Arial" w:hAnsi="Arial" w:cs="Arial"/>
          <w:b/>
          <w:szCs w:val="24"/>
        </w:rPr>
      </w:pPr>
      <w:r w:rsidRPr="00BC76EB">
        <w:rPr>
          <w:rFonts w:ascii="Arial" w:hAnsi="Arial" w:cs="Arial"/>
          <w:b/>
          <w:szCs w:val="24"/>
        </w:rPr>
        <w:t>Overview of the legislative i</w:t>
      </w:r>
      <w:r w:rsidR="006546B7" w:rsidRPr="00BC76EB">
        <w:rPr>
          <w:rFonts w:ascii="Arial" w:hAnsi="Arial" w:cs="Arial"/>
          <w:b/>
          <w:szCs w:val="24"/>
        </w:rPr>
        <w:t>nstrument</w:t>
      </w:r>
    </w:p>
    <w:p w14:paraId="0DF4D1F7" w14:textId="77777777" w:rsidR="0051355A" w:rsidRDefault="0051355A" w:rsidP="0051355A">
      <w:pPr>
        <w:spacing w:before="0"/>
        <w:rPr>
          <w:rFonts w:ascii="Arial" w:hAnsi="Arial" w:cs="Arial"/>
          <w:szCs w:val="24"/>
        </w:rPr>
      </w:pPr>
      <w:r w:rsidRPr="006D621D">
        <w:rPr>
          <w:rFonts w:ascii="Arial" w:hAnsi="Arial" w:cs="Arial"/>
          <w:szCs w:val="24"/>
        </w:rPr>
        <w:t xml:space="preserve">The Human Services (Centrelink) (Designated Program Act) Specification 2021 (this Specification) </w:t>
      </w:r>
      <w:r>
        <w:rPr>
          <w:rFonts w:ascii="Arial" w:hAnsi="Arial" w:cs="Arial"/>
          <w:szCs w:val="24"/>
        </w:rPr>
        <w:t>specifies</w:t>
      </w:r>
      <w:r w:rsidRPr="006D621D">
        <w:rPr>
          <w:rFonts w:ascii="Arial" w:hAnsi="Arial" w:cs="Arial"/>
          <w:szCs w:val="24"/>
        </w:rPr>
        <w:t xml:space="preserve"> the </w:t>
      </w:r>
      <w:r w:rsidRPr="006D621D">
        <w:rPr>
          <w:rFonts w:ascii="Arial" w:hAnsi="Arial" w:cs="Arial"/>
          <w:i/>
          <w:szCs w:val="24"/>
        </w:rPr>
        <w:t xml:space="preserve">Australian Prudential Regulation Authority Act 1998 </w:t>
      </w:r>
      <w:r w:rsidRPr="006D621D">
        <w:rPr>
          <w:rFonts w:ascii="Arial" w:hAnsi="Arial" w:cs="Arial"/>
          <w:szCs w:val="24"/>
        </w:rPr>
        <w:t xml:space="preserve">and the </w:t>
      </w:r>
      <w:r w:rsidRPr="006D621D">
        <w:rPr>
          <w:rFonts w:ascii="Arial" w:hAnsi="Arial" w:cs="Arial"/>
          <w:i/>
          <w:szCs w:val="24"/>
        </w:rPr>
        <w:t xml:space="preserve">Taxation Administration Act 1953 </w:t>
      </w:r>
      <w:r w:rsidRPr="006D621D">
        <w:rPr>
          <w:rFonts w:ascii="Arial" w:hAnsi="Arial" w:cs="Arial"/>
          <w:szCs w:val="24"/>
        </w:rPr>
        <w:t xml:space="preserve">as designated program Acts for the purposes of paragraph </w:t>
      </w:r>
      <w:r>
        <w:rPr>
          <w:rFonts w:ascii="Arial" w:hAnsi="Arial" w:cs="Arial"/>
          <w:szCs w:val="24"/>
        </w:rPr>
        <w:t>(o) of the definition ‘designated program Act’ in subsection 40A(3)</w:t>
      </w:r>
      <w:r w:rsidRPr="006D621D">
        <w:rPr>
          <w:rFonts w:ascii="Arial" w:hAnsi="Arial" w:cs="Arial"/>
          <w:szCs w:val="24"/>
        </w:rPr>
        <w:t xml:space="preserve"> of the </w:t>
      </w:r>
      <w:r w:rsidRPr="006D621D">
        <w:rPr>
          <w:rFonts w:ascii="Arial" w:hAnsi="Arial" w:cs="Arial"/>
          <w:i/>
          <w:szCs w:val="24"/>
        </w:rPr>
        <w:t>Human Services (Centrelink) Act 1997</w:t>
      </w:r>
      <w:r w:rsidRPr="006D621D">
        <w:rPr>
          <w:rFonts w:ascii="Arial" w:hAnsi="Arial" w:cs="Arial"/>
          <w:szCs w:val="24"/>
        </w:rPr>
        <w:t xml:space="preserve"> (the </w:t>
      </w:r>
      <w:r>
        <w:rPr>
          <w:rFonts w:ascii="Arial" w:hAnsi="Arial" w:cs="Arial"/>
          <w:szCs w:val="24"/>
        </w:rPr>
        <w:t>Centrelink</w:t>
      </w:r>
      <w:r w:rsidRPr="006D621D">
        <w:rPr>
          <w:rFonts w:ascii="Arial" w:hAnsi="Arial" w:cs="Arial"/>
          <w:szCs w:val="24"/>
        </w:rPr>
        <w:t xml:space="preserve"> Act). </w:t>
      </w:r>
    </w:p>
    <w:p w14:paraId="0427AE2D" w14:textId="77777777" w:rsidR="0051355A" w:rsidRPr="006D621D" w:rsidRDefault="0051355A" w:rsidP="0051355A">
      <w:pPr>
        <w:spacing w:before="0"/>
        <w:rPr>
          <w:rFonts w:ascii="Arial" w:hAnsi="Arial" w:cs="Arial"/>
          <w:szCs w:val="24"/>
        </w:rPr>
      </w:pPr>
    </w:p>
    <w:p w14:paraId="0151A5BB" w14:textId="77777777" w:rsidR="0051355A" w:rsidRDefault="0051355A" w:rsidP="0051355A">
      <w:pPr>
        <w:spacing w:before="0"/>
        <w:rPr>
          <w:rFonts w:ascii="Arial" w:hAnsi="Arial" w:cs="Arial"/>
          <w:szCs w:val="24"/>
        </w:rPr>
      </w:pPr>
      <w:r w:rsidRPr="006D621D">
        <w:rPr>
          <w:rFonts w:ascii="Arial" w:hAnsi="Arial" w:cs="Arial"/>
          <w:szCs w:val="24"/>
        </w:rPr>
        <w:t xml:space="preserve">The </w:t>
      </w:r>
      <w:r>
        <w:rPr>
          <w:rFonts w:ascii="Arial" w:hAnsi="Arial" w:cs="Arial"/>
          <w:szCs w:val="24"/>
        </w:rPr>
        <w:t xml:space="preserve">current </w:t>
      </w:r>
      <w:r w:rsidRPr="006D621D">
        <w:rPr>
          <w:rFonts w:ascii="Arial" w:hAnsi="Arial" w:cs="Arial"/>
          <w:szCs w:val="24"/>
        </w:rPr>
        <w:t xml:space="preserve">instrument </w:t>
      </w:r>
      <w:r>
        <w:rPr>
          <w:rFonts w:ascii="Arial" w:hAnsi="Arial" w:cs="Arial"/>
          <w:szCs w:val="24"/>
        </w:rPr>
        <w:t>that specifies</w:t>
      </w:r>
      <w:r w:rsidRPr="006D621D">
        <w:rPr>
          <w:rFonts w:ascii="Arial" w:hAnsi="Arial" w:cs="Arial"/>
          <w:szCs w:val="24"/>
        </w:rPr>
        <w:t xml:space="preserve"> the </w:t>
      </w:r>
      <w:r w:rsidRPr="006D621D">
        <w:rPr>
          <w:rFonts w:ascii="Arial" w:hAnsi="Arial" w:cs="Arial"/>
          <w:i/>
          <w:szCs w:val="24"/>
        </w:rPr>
        <w:t xml:space="preserve">Australian Prudential Regulation Authority Act 1998 </w:t>
      </w:r>
      <w:r w:rsidRPr="006D621D">
        <w:rPr>
          <w:rFonts w:ascii="Arial" w:hAnsi="Arial" w:cs="Arial"/>
          <w:szCs w:val="24"/>
        </w:rPr>
        <w:t>– the Human Services (Centrelink) (Designated Program Act</w:t>
      </w:r>
      <w:r>
        <w:rPr>
          <w:rFonts w:ascii="Arial" w:hAnsi="Arial" w:cs="Arial"/>
          <w:szCs w:val="24"/>
        </w:rPr>
        <w:t>) Specification 2011 (No.1) – i</w:t>
      </w:r>
      <w:r w:rsidRPr="006D621D">
        <w:rPr>
          <w:rFonts w:ascii="Arial" w:hAnsi="Arial" w:cs="Arial"/>
          <w:szCs w:val="24"/>
        </w:rPr>
        <w:t xml:space="preserve">s due to sunset on 1 October 2021. </w:t>
      </w:r>
    </w:p>
    <w:p w14:paraId="344F9EF2" w14:textId="77777777" w:rsidR="0051355A" w:rsidRPr="006D621D" w:rsidRDefault="0051355A" w:rsidP="0051355A">
      <w:pPr>
        <w:spacing w:before="0"/>
        <w:rPr>
          <w:rFonts w:ascii="Arial" w:hAnsi="Arial" w:cs="Arial"/>
          <w:szCs w:val="24"/>
        </w:rPr>
      </w:pPr>
    </w:p>
    <w:p w14:paraId="6D91839A" w14:textId="77777777" w:rsidR="0051355A" w:rsidRDefault="0051355A" w:rsidP="0051355A">
      <w:pPr>
        <w:spacing w:before="0"/>
        <w:rPr>
          <w:rFonts w:ascii="Arial" w:hAnsi="Arial" w:cs="Arial"/>
          <w:szCs w:val="24"/>
        </w:rPr>
      </w:pPr>
      <w:r w:rsidRPr="006D621D">
        <w:rPr>
          <w:rFonts w:ascii="Arial" w:hAnsi="Arial" w:cs="Arial"/>
          <w:szCs w:val="24"/>
        </w:rPr>
        <w:t xml:space="preserve">The </w:t>
      </w:r>
      <w:r>
        <w:rPr>
          <w:rFonts w:ascii="Arial" w:hAnsi="Arial" w:cs="Arial"/>
          <w:szCs w:val="24"/>
        </w:rPr>
        <w:t>current instrument that specifies</w:t>
      </w:r>
      <w:r w:rsidRPr="006D621D">
        <w:rPr>
          <w:rFonts w:ascii="Arial" w:hAnsi="Arial" w:cs="Arial"/>
          <w:szCs w:val="24"/>
        </w:rPr>
        <w:t xml:space="preserve"> the </w:t>
      </w:r>
      <w:r w:rsidRPr="006D621D">
        <w:rPr>
          <w:rFonts w:ascii="Arial" w:hAnsi="Arial" w:cs="Arial"/>
          <w:i/>
          <w:szCs w:val="24"/>
        </w:rPr>
        <w:t xml:space="preserve">Taxation Administration Act 1953 </w:t>
      </w:r>
      <w:r w:rsidRPr="006D621D">
        <w:rPr>
          <w:rFonts w:ascii="Arial" w:hAnsi="Arial" w:cs="Arial"/>
          <w:szCs w:val="24"/>
        </w:rPr>
        <w:t>– the Human Services (Centrelink) (Designated Program Act)</w:t>
      </w:r>
      <w:r>
        <w:rPr>
          <w:rFonts w:ascii="Arial" w:hAnsi="Arial" w:cs="Arial"/>
          <w:szCs w:val="24"/>
        </w:rPr>
        <w:t xml:space="preserve"> Specification 2011 (No.2) – is</w:t>
      </w:r>
      <w:r w:rsidRPr="006D621D">
        <w:rPr>
          <w:rFonts w:ascii="Arial" w:hAnsi="Arial" w:cs="Arial"/>
          <w:szCs w:val="24"/>
        </w:rPr>
        <w:t xml:space="preserve"> due to sunset on 1 April 2022. </w:t>
      </w:r>
    </w:p>
    <w:p w14:paraId="0272A08D" w14:textId="77777777" w:rsidR="0051355A" w:rsidRPr="006D621D" w:rsidRDefault="0051355A" w:rsidP="0051355A">
      <w:pPr>
        <w:spacing w:before="0"/>
        <w:rPr>
          <w:rStyle w:val="BookTitle"/>
          <w:rFonts w:ascii="Arial" w:hAnsi="Arial" w:cs="Arial"/>
          <w:i w:val="0"/>
          <w:iCs w:val="0"/>
          <w:smallCaps w:val="0"/>
          <w:spacing w:val="0"/>
          <w:szCs w:val="24"/>
        </w:rPr>
      </w:pPr>
    </w:p>
    <w:p w14:paraId="0285E4D1" w14:textId="77777777" w:rsidR="0051355A" w:rsidRDefault="0051355A" w:rsidP="0051355A">
      <w:pPr>
        <w:spacing w:before="0"/>
        <w:rPr>
          <w:rStyle w:val="BookTitle"/>
          <w:rFonts w:ascii="Arial" w:hAnsi="Arial" w:cs="Arial"/>
          <w:b/>
          <w:i w:val="0"/>
          <w:iCs w:val="0"/>
          <w:smallCaps w:val="0"/>
          <w:spacing w:val="0"/>
          <w:szCs w:val="24"/>
        </w:rPr>
      </w:pPr>
      <w:r w:rsidRPr="006D621D">
        <w:rPr>
          <w:rStyle w:val="BookTitle"/>
          <w:rFonts w:ascii="Arial" w:hAnsi="Arial" w:cs="Arial"/>
          <w:b/>
          <w:i w:val="0"/>
          <w:iCs w:val="0"/>
          <w:smallCaps w:val="0"/>
          <w:spacing w:val="0"/>
          <w:szCs w:val="24"/>
        </w:rPr>
        <w:t>Background</w:t>
      </w:r>
    </w:p>
    <w:p w14:paraId="65A7E41E" w14:textId="77777777" w:rsidR="0051355A" w:rsidRPr="006D621D" w:rsidRDefault="0051355A" w:rsidP="0051355A">
      <w:pPr>
        <w:spacing w:before="0"/>
        <w:rPr>
          <w:rStyle w:val="BookTitle"/>
          <w:rFonts w:ascii="Arial" w:hAnsi="Arial" w:cs="Arial"/>
          <w:b/>
          <w:i w:val="0"/>
          <w:iCs w:val="0"/>
          <w:smallCaps w:val="0"/>
          <w:spacing w:val="0"/>
          <w:szCs w:val="24"/>
        </w:rPr>
      </w:pPr>
    </w:p>
    <w:p w14:paraId="74E73A97" w14:textId="77777777" w:rsidR="0051355A" w:rsidRDefault="0051355A" w:rsidP="0051355A">
      <w:pPr>
        <w:spacing w:before="0"/>
        <w:rPr>
          <w:rFonts w:ascii="Arial" w:hAnsi="Arial" w:cs="Arial"/>
          <w:szCs w:val="24"/>
        </w:rPr>
      </w:pPr>
      <w:r w:rsidRPr="006D621D">
        <w:rPr>
          <w:rFonts w:ascii="Arial" w:hAnsi="Arial" w:cs="Arial"/>
          <w:szCs w:val="24"/>
        </w:rPr>
        <w:t xml:space="preserve">Section 40A of the </w:t>
      </w:r>
      <w:r>
        <w:rPr>
          <w:rFonts w:ascii="Arial" w:hAnsi="Arial" w:cs="Arial"/>
          <w:szCs w:val="24"/>
        </w:rPr>
        <w:t>Centrelink</w:t>
      </w:r>
      <w:r w:rsidRPr="006D621D">
        <w:rPr>
          <w:rFonts w:ascii="Arial" w:hAnsi="Arial" w:cs="Arial"/>
          <w:szCs w:val="24"/>
        </w:rPr>
        <w:t xml:space="preserve"> Act sets out how secrecy laws apply where Services Australia (the Agency) holds </w:t>
      </w:r>
      <w:r>
        <w:rPr>
          <w:rFonts w:ascii="Arial" w:hAnsi="Arial" w:cs="Arial"/>
          <w:szCs w:val="24"/>
        </w:rPr>
        <w:t xml:space="preserve">particular customer information, and </w:t>
      </w:r>
      <w:r w:rsidRPr="006D621D">
        <w:rPr>
          <w:rFonts w:ascii="Arial" w:hAnsi="Arial" w:cs="Arial"/>
          <w:szCs w:val="24"/>
        </w:rPr>
        <w:t xml:space="preserve">two or more different secrecy regimes apply to the use or disclosure of that information by the Agency. </w:t>
      </w:r>
    </w:p>
    <w:p w14:paraId="65BFBA66" w14:textId="77777777" w:rsidR="0051355A" w:rsidRPr="006D621D" w:rsidRDefault="0051355A" w:rsidP="0051355A">
      <w:pPr>
        <w:spacing w:before="0"/>
        <w:rPr>
          <w:rFonts w:ascii="Arial" w:hAnsi="Arial" w:cs="Arial"/>
          <w:szCs w:val="24"/>
        </w:rPr>
      </w:pPr>
    </w:p>
    <w:p w14:paraId="075ECB87" w14:textId="77777777" w:rsidR="0051355A" w:rsidRDefault="0051355A" w:rsidP="0051355A">
      <w:pPr>
        <w:spacing w:before="0"/>
        <w:rPr>
          <w:rFonts w:ascii="Arial" w:hAnsi="Arial" w:cs="Arial"/>
          <w:szCs w:val="24"/>
        </w:rPr>
      </w:pPr>
      <w:r w:rsidRPr="006D621D">
        <w:rPr>
          <w:rFonts w:ascii="Arial" w:hAnsi="Arial" w:cs="Arial"/>
          <w:szCs w:val="24"/>
        </w:rPr>
        <w:t xml:space="preserve">The effect of section 40A is that where the Agency holds the same piece of information about a particular person under </w:t>
      </w:r>
      <w:r>
        <w:rPr>
          <w:rFonts w:ascii="Arial" w:hAnsi="Arial" w:cs="Arial"/>
          <w:szCs w:val="24"/>
        </w:rPr>
        <w:t>two or more programs</w:t>
      </w:r>
      <w:r w:rsidRPr="006D621D">
        <w:rPr>
          <w:rFonts w:ascii="Arial" w:hAnsi="Arial" w:cs="Arial"/>
          <w:szCs w:val="24"/>
        </w:rPr>
        <w:t xml:space="preserve"> that have secrecy regimes</w:t>
      </w:r>
      <w:r>
        <w:rPr>
          <w:rFonts w:ascii="Arial" w:hAnsi="Arial" w:cs="Arial"/>
          <w:szCs w:val="24"/>
        </w:rPr>
        <w:t xml:space="preserve"> </w:t>
      </w:r>
      <w:r w:rsidRPr="006D621D">
        <w:rPr>
          <w:rFonts w:ascii="Arial" w:hAnsi="Arial" w:cs="Arial"/>
          <w:szCs w:val="24"/>
        </w:rPr>
        <w:t xml:space="preserve">(such as </w:t>
      </w:r>
      <w:r>
        <w:rPr>
          <w:rFonts w:ascii="Arial" w:hAnsi="Arial" w:cs="Arial"/>
          <w:szCs w:val="24"/>
        </w:rPr>
        <w:t>social security and M</w:t>
      </w:r>
      <w:r w:rsidRPr="006D621D">
        <w:rPr>
          <w:rFonts w:ascii="Arial" w:hAnsi="Arial" w:cs="Arial"/>
          <w:szCs w:val="24"/>
        </w:rPr>
        <w:t xml:space="preserve">edicare), the Agency is able to use and disclose that information if it complies with one of the secrecy regimes. </w:t>
      </w:r>
      <w:r>
        <w:rPr>
          <w:rFonts w:ascii="Arial" w:hAnsi="Arial" w:cs="Arial"/>
          <w:szCs w:val="24"/>
        </w:rPr>
        <w:t>The Agency may disregard the fact the information is subject to a regulatory regime under any other designated program Act</w:t>
      </w:r>
      <w:r w:rsidRPr="0000289E">
        <w:rPr>
          <w:rFonts w:ascii="Arial" w:hAnsi="Arial" w:cs="Arial"/>
          <w:szCs w:val="24"/>
        </w:rPr>
        <w:t>.</w:t>
      </w:r>
      <w:r w:rsidRPr="006D621D">
        <w:rPr>
          <w:rFonts w:ascii="Arial" w:hAnsi="Arial" w:cs="Arial"/>
          <w:szCs w:val="24"/>
        </w:rPr>
        <w:t xml:space="preserve"> </w:t>
      </w:r>
    </w:p>
    <w:p w14:paraId="5AB29FCE" w14:textId="77777777" w:rsidR="0051355A" w:rsidRPr="006D621D" w:rsidRDefault="0051355A" w:rsidP="0051355A">
      <w:pPr>
        <w:spacing w:before="0"/>
        <w:rPr>
          <w:rFonts w:ascii="Arial" w:hAnsi="Arial" w:cs="Arial"/>
          <w:szCs w:val="24"/>
        </w:rPr>
      </w:pPr>
    </w:p>
    <w:p w14:paraId="11A990A8" w14:textId="7776A85B" w:rsidR="0051355A" w:rsidRPr="006D621D" w:rsidRDefault="0051355A" w:rsidP="0051355A">
      <w:pPr>
        <w:spacing w:before="0"/>
        <w:rPr>
          <w:rFonts w:ascii="Arial" w:hAnsi="Arial" w:cs="Arial"/>
          <w:szCs w:val="24"/>
        </w:rPr>
      </w:pPr>
      <w:r w:rsidRPr="006D621D">
        <w:rPr>
          <w:rFonts w:ascii="Arial" w:hAnsi="Arial" w:cs="Arial"/>
          <w:szCs w:val="24"/>
        </w:rPr>
        <w:t xml:space="preserve">Section 40A applies to secrecy regimes in “designated program Acts”. A list of designated program Acts is set out in </w:t>
      </w:r>
      <w:r>
        <w:rPr>
          <w:rFonts w:ascii="Arial" w:hAnsi="Arial" w:cs="Arial"/>
          <w:szCs w:val="24"/>
        </w:rPr>
        <w:t xml:space="preserve">the definition of this term in </w:t>
      </w:r>
      <w:r w:rsidRPr="006D621D">
        <w:rPr>
          <w:rFonts w:ascii="Arial" w:hAnsi="Arial" w:cs="Arial"/>
          <w:szCs w:val="24"/>
        </w:rPr>
        <w:t xml:space="preserve">subsection 40A(3). In addition, an Act may be a designated program Act if it is specified </w:t>
      </w:r>
      <w:r>
        <w:rPr>
          <w:rFonts w:ascii="Arial" w:hAnsi="Arial" w:cs="Arial"/>
          <w:szCs w:val="24"/>
        </w:rPr>
        <w:t>by</w:t>
      </w:r>
      <w:r w:rsidRPr="006D621D">
        <w:rPr>
          <w:rFonts w:ascii="Arial" w:hAnsi="Arial" w:cs="Arial"/>
          <w:szCs w:val="24"/>
        </w:rPr>
        <w:t xml:space="preserve"> legislative instrument made by </w:t>
      </w:r>
      <w:r w:rsidR="00BA0CEB">
        <w:rPr>
          <w:rFonts w:ascii="Arial" w:hAnsi="Arial" w:cs="Arial"/>
          <w:szCs w:val="24"/>
        </w:rPr>
        <w:t>the Minister</w:t>
      </w:r>
      <w:r w:rsidRPr="006D621D">
        <w:rPr>
          <w:rFonts w:ascii="Arial" w:hAnsi="Arial" w:cs="Arial"/>
          <w:szCs w:val="24"/>
        </w:rPr>
        <w:t xml:space="preserve"> for the purposes of paragraph </w:t>
      </w:r>
      <w:r>
        <w:rPr>
          <w:rFonts w:ascii="Arial" w:hAnsi="Arial" w:cs="Arial"/>
          <w:szCs w:val="24"/>
        </w:rPr>
        <w:t>(o) of the definition ‘designated program Act’ in subsection 40A(3)</w:t>
      </w:r>
      <w:r w:rsidRPr="006D621D">
        <w:rPr>
          <w:rFonts w:ascii="Arial" w:hAnsi="Arial" w:cs="Arial"/>
          <w:szCs w:val="24"/>
        </w:rPr>
        <w:t>.</w:t>
      </w:r>
    </w:p>
    <w:p w14:paraId="311F494F" w14:textId="77777777" w:rsidR="0051355A" w:rsidRDefault="0051355A" w:rsidP="0051355A">
      <w:pPr>
        <w:spacing w:before="0"/>
        <w:rPr>
          <w:rFonts w:ascii="Arial" w:hAnsi="Arial" w:cs="Arial"/>
          <w:szCs w:val="24"/>
        </w:rPr>
      </w:pPr>
    </w:p>
    <w:p w14:paraId="184C3218" w14:textId="77777777" w:rsidR="0051355A" w:rsidRDefault="0051355A" w:rsidP="0051355A">
      <w:pPr>
        <w:spacing w:before="0"/>
        <w:rPr>
          <w:rFonts w:ascii="Arial" w:hAnsi="Arial" w:cs="Arial"/>
          <w:szCs w:val="24"/>
        </w:rPr>
      </w:pPr>
      <w:r w:rsidRPr="006D621D">
        <w:rPr>
          <w:rFonts w:ascii="Arial" w:hAnsi="Arial" w:cs="Arial"/>
          <w:szCs w:val="24"/>
        </w:rPr>
        <w:t xml:space="preserve">This Specification specifies the </w:t>
      </w:r>
      <w:r w:rsidRPr="006D621D">
        <w:rPr>
          <w:rFonts w:ascii="Arial" w:hAnsi="Arial" w:cs="Arial"/>
          <w:i/>
          <w:szCs w:val="24"/>
        </w:rPr>
        <w:t xml:space="preserve">Australian Prudential Regulation Authority Act 1998 </w:t>
      </w:r>
      <w:r w:rsidRPr="006D621D">
        <w:rPr>
          <w:rFonts w:ascii="Arial" w:hAnsi="Arial" w:cs="Arial"/>
          <w:szCs w:val="24"/>
        </w:rPr>
        <w:t xml:space="preserve">and the </w:t>
      </w:r>
      <w:r w:rsidRPr="006D621D">
        <w:rPr>
          <w:rFonts w:ascii="Arial" w:hAnsi="Arial" w:cs="Arial"/>
          <w:i/>
          <w:szCs w:val="24"/>
        </w:rPr>
        <w:t xml:space="preserve">Taxation Administration Act 1953 </w:t>
      </w:r>
      <w:r w:rsidRPr="006D621D">
        <w:rPr>
          <w:rFonts w:ascii="Arial" w:hAnsi="Arial" w:cs="Arial"/>
          <w:szCs w:val="24"/>
        </w:rPr>
        <w:t xml:space="preserve">as designated program Acts for the </w:t>
      </w:r>
      <w:r w:rsidRPr="006D621D">
        <w:rPr>
          <w:rFonts w:ascii="Arial" w:hAnsi="Arial" w:cs="Arial"/>
          <w:szCs w:val="24"/>
        </w:rPr>
        <w:lastRenderedPageBreak/>
        <w:t xml:space="preserve">purposes of paragraph </w:t>
      </w:r>
      <w:r>
        <w:rPr>
          <w:rFonts w:ascii="Arial" w:hAnsi="Arial" w:cs="Arial"/>
          <w:szCs w:val="24"/>
        </w:rPr>
        <w:t>(o) of the definition ‘designated program Act’ in subsection 40A(3)</w:t>
      </w:r>
      <w:r w:rsidRPr="006D621D">
        <w:rPr>
          <w:rFonts w:ascii="Arial" w:hAnsi="Arial" w:cs="Arial"/>
          <w:szCs w:val="24"/>
        </w:rPr>
        <w:t>.</w:t>
      </w:r>
      <w:r>
        <w:rPr>
          <w:rFonts w:ascii="Arial" w:hAnsi="Arial" w:cs="Arial"/>
          <w:szCs w:val="24"/>
        </w:rPr>
        <w:t xml:space="preserve"> </w:t>
      </w:r>
    </w:p>
    <w:p w14:paraId="3E2A86C1" w14:textId="77777777" w:rsidR="0051355A" w:rsidRDefault="0051355A" w:rsidP="0051355A">
      <w:pPr>
        <w:spacing w:before="0"/>
        <w:rPr>
          <w:rFonts w:ascii="Arial" w:hAnsi="Arial" w:cs="Arial"/>
          <w:szCs w:val="24"/>
        </w:rPr>
      </w:pPr>
    </w:p>
    <w:p w14:paraId="00807142" w14:textId="77777777" w:rsidR="0051355A" w:rsidRDefault="0051355A" w:rsidP="0051355A">
      <w:pPr>
        <w:shd w:val="clear" w:color="auto" w:fill="FFFFFF"/>
        <w:spacing w:before="0"/>
        <w:rPr>
          <w:rFonts w:ascii="Arial" w:hAnsi="Arial" w:cs="Arial"/>
          <w:color w:val="000000"/>
          <w:szCs w:val="24"/>
        </w:rPr>
      </w:pPr>
      <w:r w:rsidRPr="00991940">
        <w:rPr>
          <w:rFonts w:ascii="Arial" w:hAnsi="Arial" w:cs="Arial"/>
          <w:color w:val="000000"/>
          <w:szCs w:val="24"/>
        </w:rPr>
        <w:t xml:space="preserve">In relation to the </w:t>
      </w:r>
      <w:r>
        <w:rPr>
          <w:rFonts w:ascii="Arial" w:hAnsi="Arial" w:cs="Arial"/>
          <w:i/>
          <w:color w:val="000000"/>
          <w:szCs w:val="24"/>
        </w:rPr>
        <w:t>Australian Prudential Regulation Authority Act 1998</w:t>
      </w:r>
      <w:r w:rsidRPr="00991940">
        <w:rPr>
          <w:rFonts w:ascii="Arial" w:hAnsi="Arial" w:cs="Arial"/>
          <w:color w:val="000000"/>
          <w:szCs w:val="24"/>
        </w:rPr>
        <w:t>, the Agency</w:t>
      </w:r>
      <w:r w:rsidRPr="00656C1E">
        <w:rPr>
          <w:rFonts w:ascii="Arial" w:hAnsi="Arial" w:cs="Arial"/>
          <w:color w:val="000000"/>
          <w:szCs w:val="24"/>
        </w:rPr>
        <w:t xml:space="preserve"> </w:t>
      </w:r>
      <w:r>
        <w:rPr>
          <w:rFonts w:ascii="Arial" w:hAnsi="Arial" w:cs="Arial"/>
          <w:color w:val="000000"/>
          <w:szCs w:val="24"/>
        </w:rPr>
        <w:t xml:space="preserve">still has some involvement in the </w:t>
      </w:r>
      <w:r w:rsidRPr="00656C1E">
        <w:rPr>
          <w:rFonts w:ascii="Arial" w:hAnsi="Arial" w:cs="Arial"/>
          <w:color w:val="000000"/>
          <w:szCs w:val="24"/>
        </w:rPr>
        <w:t>early rele</w:t>
      </w:r>
      <w:r>
        <w:rPr>
          <w:rFonts w:ascii="Arial" w:hAnsi="Arial" w:cs="Arial"/>
          <w:color w:val="000000"/>
          <w:szCs w:val="24"/>
        </w:rPr>
        <w:t>ase of superannuation benefits</w:t>
      </w:r>
      <w:r w:rsidRPr="00656C1E">
        <w:rPr>
          <w:rFonts w:ascii="Arial" w:hAnsi="Arial" w:cs="Arial"/>
          <w:color w:val="000000"/>
          <w:szCs w:val="24"/>
        </w:rPr>
        <w:t xml:space="preserve"> </w:t>
      </w:r>
      <w:r>
        <w:rPr>
          <w:rFonts w:ascii="Arial" w:hAnsi="Arial" w:cs="Arial"/>
          <w:color w:val="000000"/>
          <w:szCs w:val="24"/>
        </w:rPr>
        <w:t xml:space="preserve">despite no longer administering early release </w:t>
      </w:r>
      <w:r w:rsidRPr="00656C1E">
        <w:rPr>
          <w:rFonts w:ascii="Arial" w:hAnsi="Arial" w:cs="Arial"/>
          <w:color w:val="000000"/>
          <w:szCs w:val="24"/>
        </w:rPr>
        <w:t>on behalf of the Australian Pr</w:t>
      </w:r>
      <w:r>
        <w:rPr>
          <w:rFonts w:ascii="Arial" w:hAnsi="Arial" w:cs="Arial"/>
          <w:color w:val="000000"/>
          <w:szCs w:val="24"/>
        </w:rPr>
        <w:t>udential Regulation Authority. Early release</w:t>
      </w:r>
      <w:r w:rsidRPr="00991940">
        <w:rPr>
          <w:rFonts w:ascii="Arial" w:hAnsi="Arial" w:cs="Arial"/>
          <w:color w:val="000000"/>
          <w:szCs w:val="24"/>
        </w:rPr>
        <w:t xml:space="preserve"> is</w:t>
      </w:r>
      <w:r>
        <w:rPr>
          <w:rFonts w:ascii="Arial" w:hAnsi="Arial" w:cs="Arial"/>
          <w:color w:val="000000"/>
          <w:szCs w:val="24"/>
        </w:rPr>
        <w:t xml:space="preserve"> conducted</w:t>
      </w:r>
      <w:r w:rsidRPr="00991940">
        <w:rPr>
          <w:rFonts w:ascii="Arial" w:hAnsi="Arial" w:cs="Arial"/>
          <w:color w:val="000000"/>
          <w:szCs w:val="24"/>
        </w:rPr>
        <w:t xml:space="preserve"> under the</w:t>
      </w:r>
      <w:r w:rsidRPr="00656C1E">
        <w:rPr>
          <w:rFonts w:ascii="Arial" w:hAnsi="Arial" w:cs="Arial"/>
          <w:color w:val="000000"/>
          <w:szCs w:val="24"/>
        </w:rPr>
        <w:t> </w:t>
      </w:r>
      <w:r w:rsidRPr="00656C1E">
        <w:rPr>
          <w:rFonts w:ascii="Arial" w:hAnsi="Arial" w:cs="Arial"/>
          <w:i/>
          <w:iCs/>
          <w:color w:val="000000"/>
          <w:szCs w:val="24"/>
        </w:rPr>
        <w:t>Superannuation Industry (Supervision) Regulations 1994 </w:t>
      </w:r>
      <w:r w:rsidRPr="00656C1E">
        <w:rPr>
          <w:rFonts w:ascii="Arial" w:hAnsi="Arial" w:cs="Arial"/>
          <w:color w:val="000000"/>
          <w:szCs w:val="24"/>
        </w:rPr>
        <w:t>and the </w:t>
      </w:r>
      <w:r w:rsidRPr="00656C1E">
        <w:rPr>
          <w:rFonts w:ascii="Arial" w:hAnsi="Arial" w:cs="Arial"/>
          <w:i/>
          <w:iCs/>
          <w:color w:val="000000"/>
          <w:szCs w:val="24"/>
        </w:rPr>
        <w:t>Retirement Savings Account Regulations 1997</w:t>
      </w:r>
      <w:r>
        <w:rPr>
          <w:rFonts w:ascii="Arial" w:hAnsi="Arial" w:cs="Arial"/>
          <w:color w:val="000000"/>
          <w:szCs w:val="24"/>
        </w:rPr>
        <w:t xml:space="preserve">. </w:t>
      </w:r>
    </w:p>
    <w:p w14:paraId="5A85ADF8" w14:textId="77777777" w:rsidR="0051355A" w:rsidRDefault="0051355A" w:rsidP="0051355A">
      <w:pPr>
        <w:shd w:val="clear" w:color="auto" w:fill="FFFFFF"/>
        <w:spacing w:before="0"/>
        <w:rPr>
          <w:rFonts w:ascii="Arial" w:hAnsi="Arial" w:cs="Arial"/>
          <w:color w:val="000000"/>
          <w:szCs w:val="24"/>
        </w:rPr>
      </w:pPr>
    </w:p>
    <w:p w14:paraId="556FD763" w14:textId="77777777" w:rsidR="0051355A" w:rsidRDefault="0051355A" w:rsidP="0051355A">
      <w:pPr>
        <w:shd w:val="clear" w:color="auto" w:fill="FFFFFF"/>
        <w:spacing w:before="0"/>
        <w:rPr>
          <w:rFonts w:ascii="Arial" w:hAnsi="Arial" w:cs="Arial"/>
          <w:color w:val="000000"/>
          <w:szCs w:val="24"/>
        </w:rPr>
      </w:pPr>
      <w:r>
        <w:rPr>
          <w:rFonts w:ascii="Arial" w:hAnsi="Arial" w:cs="Arial"/>
          <w:color w:val="000000"/>
          <w:szCs w:val="24"/>
        </w:rPr>
        <w:t xml:space="preserve">The Agency’s role is limited to the provision of evidence to superannuation funds for the purposes of supporting customers in their applications for early release on the basis of financial hardship. Under both the </w:t>
      </w:r>
      <w:r>
        <w:rPr>
          <w:rFonts w:ascii="Arial" w:hAnsi="Arial" w:cs="Arial"/>
          <w:i/>
          <w:color w:val="000000"/>
          <w:szCs w:val="24"/>
        </w:rPr>
        <w:t xml:space="preserve">Superannuation Industry (Supervision) Regulations 1994 </w:t>
      </w:r>
      <w:r>
        <w:rPr>
          <w:rFonts w:ascii="Arial" w:hAnsi="Arial" w:cs="Arial"/>
          <w:color w:val="000000"/>
          <w:szCs w:val="24"/>
        </w:rPr>
        <w:t xml:space="preserve">and the </w:t>
      </w:r>
      <w:r>
        <w:rPr>
          <w:rFonts w:ascii="Arial" w:hAnsi="Arial" w:cs="Arial"/>
          <w:i/>
          <w:color w:val="000000"/>
          <w:szCs w:val="24"/>
        </w:rPr>
        <w:t>Retirement Savings Account Regulations 1997</w:t>
      </w:r>
      <w:r>
        <w:rPr>
          <w:rFonts w:ascii="Arial" w:hAnsi="Arial" w:cs="Arial"/>
          <w:color w:val="000000"/>
          <w:szCs w:val="24"/>
        </w:rPr>
        <w:t>,</w:t>
      </w:r>
      <w:r>
        <w:rPr>
          <w:rFonts w:ascii="Arial" w:hAnsi="Arial" w:cs="Arial"/>
          <w:i/>
          <w:color w:val="000000"/>
          <w:szCs w:val="24"/>
        </w:rPr>
        <w:t xml:space="preserve"> </w:t>
      </w:r>
      <w:r w:rsidRPr="00656C1E">
        <w:rPr>
          <w:rFonts w:ascii="Arial" w:hAnsi="Arial" w:cs="Arial"/>
          <w:color w:val="000000"/>
          <w:szCs w:val="24"/>
        </w:rPr>
        <w:t xml:space="preserve">one of the grounds on which a person can seek early access to their superannuation benefits is severe financial </w:t>
      </w:r>
      <w:r>
        <w:rPr>
          <w:rFonts w:ascii="Arial" w:hAnsi="Arial" w:cs="Arial"/>
          <w:color w:val="000000"/>
          <w:szCs w:val="24"/>
        </w:rPr>
        <w:t xml:space="preserve">hardship, established where a </w:t>
      </w:r>
      <w:r w:rsidRPr="00656C1E">
        <w:rPr>
          <w:rFonts w:ascii="Arial" w:hAnsi="Arial" w:cs="Arial"/>
          <w:color w:val="000000"/>
          <w:szCs w:val="24"/>
        </w:rPr>
        <w:t>person</w:t>
      </w:r>
      <w:r>
        <w:rPr>
          <w:rFonts w:ascii="Arial" w:hAnsi="Arial" w:cs="Arial"/>
          <w:color w:val="000000"/>
          <w:szCs w:val="24"/>
        </w:rPr>
        <w:t xml:space="preserve"> has</w:t>
      </w:r>
      <w:r w:rsidRPr="00656C1E">
        <w:rPr>
          <w:rFonts w:ascii="Arial" w:hAnsi="Arial" w:cs="Arial"/>
          <w:color w:val="000000"/>
          <w:szCs w:val="24"/>
        </w:rPr>
        <w:t xml:space="preserve"> been in receipt of a Commonwealth income support payment for at least 26 continuous weeks.</w:t>
      </w:r>
      <w:r>
        <w:rPr>
          <w:rFonts w:ascii="Arial" w:hAnsi="Arial" w:cs="Arial"/>
          <w:color w:val="000000"/>
          <w:szCs w:val="24"/>
        </w:rPr>
        <w:t xml:space="preserve"> It is possible that customer information requested by, and subsequently disclosed to, superannuation funds may be captured by </w:t>
      </w:r>
      <w:r w:rsidRPr="00656C1E">
        <w:rPr>
          <w:rFonts w:ascii="Arial" w:hAnsi="Arial" w:cs="Arial"/>
          <w:color w:val="000000"/>
          <w:szCs w:val="24"/>
        </w:rPr>
        <w:t xml:space="preserve">section 56 of the </w:t>
      </w:r>
      <w:r w:rsidRPr="00991940">
        <w:rPr>
          <w:rFonts w:ascii="Arial" w:hAnsi="Arial" w:cs="Arial"/>
          <w:i/>
          <w:color w:val="000000"/>
          <w:szCs w:val="24"/>
        </w:rPr>
        <w:t>Australian Prudential Regulation Authority Act 1998</w:t>
      </w:r>
      <w:r w:rsidRPr="00656C1E">
        <w:rPr>
          <w:rFonts w:ascii="Arial" w:hAnsi="Arial" w:cs="Arial"/>
          <w:color w:val="000000"/>
          <w:szCs w:val="24"/>
        </w:rPr>
        <w:t xml:space="preserve">.  </w:t>
      </w:r>
    </w:p>
    <w:p w14:paraId="3EA6E388" w14:textId="77777777" w:rsidR="0051355A" w:rsidRDefault="0051355A" w:rsidP="0051355A">
      <w:pPr>
        <w:shd w:val="clear" w:color="auto" w:fill="FFFFFF"/>
        <w:spacing w:before="0"/>
        <w:rPr>
          <w:rFonts w:ascii="Arial" w:hAnsi="Arial" w:cs="Arial"/>
          <w:color w:val="000000"/>
          <w:szCs w:val="24"/>
        </w:rPr>
      </w:pPr>
    </w:p>
    <w:p w14:paraId="2373A7D5" w14:textId="38B18B7B" w:rsidR="0051355A" w:rsidRDefault="0051355A" w:rsidP="0051355A">
      <w:pPr>
        <w:shd w:val="clear" w:color="auto" w:fill="FFFFFF"/>
        <w:spacing w:before="0"/>
        <w:rPr>
          <w:rFonts w:ascii="Arial" w:hAnsi="Arial" w:cs="Arial"/>
          <w:color w:val="000000"/>
          <w:szCs w:val="24"/>
        </w:rPr>
      </w:pPr>
      <w:r>
        <w:rPr>
          <w:rFonts w:ascii="Arial" w:hAnsi="Arial" w:cs="Arial"/>
          <w:color w:val="000000"/>
          <w:szCs w:val="24"/>
        </w:rPr>
        <w:t>In many instances, the same</w:t>
      </w:r>
      <w:r w:rsidRPr="00656C1E">
        <w:rPr>
          <w:rFonts w:ascii="Arial" w:hAnsi="Arial" w:cs="Arial"/>
          <w:color w:val="000000"/>
          <w:szCs w:val="24"/>
        </w:rPr>
        <w:t xml:space="preserve"> </w:t>
      </w:r>
      <w:r>
        <w:rPr>
          <w:rFonts w:ascii="Arial" w:hAnsi="Arial" w:cs="Arial"/>
          <w:color w:val="000000"/>
          <w:szCs w:val="24"/>
        </w:rPr>
        <w:t xml:space="preserve">customer </w:t>
      </w:r>
      <w:r w:rsidRPr="00656C1E">
        <w:rPr>
          <w:rFonts w:ascii="Arial" w:hAnsi="Arial" w:cs="Arial"/>
          <w:color w:val="000000"/>
          <w:szCs w:val="24"/>
        </w:rPr>
        <w:t>information</w:t>
      </w:r>
      <w:r>
        <w:rPr>
          <w:rFonts w:ascii="Arial" w:hAnsi="Arial" w:cs="Arial"/>
          <w:color w:val="000000"/>
          <w:szCs w:val="24"/>
        </w:rPr>
        <w:t xml:space="preserve"> held by the Agency</w:t>
      </w:r>
      <w:r w:rsidRPr="00656C1E">
        <w:rPr>
          <w:rFonts w:ascii="Arial" w:hAnsi="Arial" w:cs="Arial"/>
          <w:color w:val="000000"/>
          <w:szCs w:val="24"/>
        </w:rPr>
        <w:t xml:space="preserve"> would be protected by a different set of secrecy provisions</w:t>
      </w:r>
      <w:r>
        <w:rPr>
          <w:rFonts w:ascii="Arial" w:hAnsi="Arial" w:cs="Arial"/>
          <w:color w:val="000000"/>
          <w:szCs w:val="24"/>
        </w:rPr>
        <w:t>, such as those</w:t>
      </w:r>
      <w:r w:rsidRPr="00656C1E">
        <w:rPr>
          <w:rFonts w:ascii="Arial" w:hAnsi="Arial" w:cs="Arial"/>
          <w:color w:val="000000"/>
          <w:szCs w:val="24"/>
        </w:rPr>
        <w:t xml:space="preserve"> in the </w:t>
      </w:r>
      <w:r w:rsidRPr="00656C1E">
        <w:rPr>
          <w:rFonts w:ascii="Arial" w:hAnsi="Arial" w:cs="Arial"/>
          <w:i/>
          <w:iCs/>
          <w:color w:val="000000"/>
          <w:szCs w:val="24"/>
        </w:rPr>
        <w:t>Social Security (Administration) Act 1999</w:t>
      </w:r>
      <w:r w:rsidRPr="00656C1E">
        <w:rPr>
          <w:rFonts w:ascii="Arial" w:hAnsi="Arial" w:cs="Arial"/>
          <w:color w:val="000000"/>
          <w:szCs w:val="24"/>
        </w:rPr>
        <w:t xml:space="preserve">.  </w:t>
      </w:r>
      <w:r w:rsidR="00DF75F9" w:rsidRPr="00E03F1B">
        <w:rPr>
          <w:rFonts w:ascii="Arial" w:hAnsi="Arial" w:cs="Arial"/>
          <w:color w:val="000000"/>
          <w:szCs w:val="24"/>
        </w:rPr>
        <w:t xml:space="preserve">Information obtained from </w:t>
      </w:r>
      <w:r w:rsidR="00DF75F9">
        <w:rPr>
          <w:rFonts w:ascii="Arial" w:hAnsi="Arial" w:cs="Arial"/>
          <w:color w:val="000000"/>
          <w:szCs w:val="24"/>
        </w:rPr>
        <w:t>the Australian Prudential Regulation Authority</w:t>
      </w:r>
      <w:r w:rsidR="00DF75F9" w:rsidRPr="00BA0CEB">
        <w:t xml:space="preserve"> </w:t>
      </w:r>
      <w:r w:rsidR="00DF75F9" w:rsidRPr="00BA0CEB">
        <w:rPr>
          <w:rFonts w:ascii="Arial" w:hAnsi="Arial" w:cs="Arial"/>
          <w:color w:val="000000"/>
          <w:szCs w:val="24"/>
        </w:rPr>
        <w:t>may also be used for the administration of Centrelink programs, in accordance with the secrecy provisions of the relevant program legislation.</w:t>
      </w:r>
    </w:p>
    <w:p w14:paraId="26FA5E89" w14:textId="77777777" w:rsidR="0051355A" w:rsidRDefault="0051355A" w:rsidP="0051355A">
      <w:pPr>
        <w:shd w:val="clear" w:color="auto" w:fill="FFFFFF"/>
        <w:spacing w:before="0"/>
        <w:rPr>
          <w:rFonts w:ascii="Arial" w:hAnsi="Arial" w:cs="Arial"/>
          <w:color w:val="000000"/>
          <w:szCs w:val="24"/>
        </w:rPr>
      </w:pPr>
    </w:p>
    <w:p w14:paraId="6E098489" w14:textId="77777777" w:rsidR="0051355A" w:rsidRPr="001414BE" w:rsidRDefault="0051355A" w:rsidP="0051355A">
      <w:pPr>
        <w:shd w:val="clear" w:color="auto" w:fill="FFFFFF"/>
        <w:spacing w:before="0" w:after="240"/>
        <w:rPr>
          <w:rFonts w:ascii="Arial" w:hAnsi="Arial" w:cs="Arial"/>
          <w:color w:val="000000"/>
          <w:szCs w:val="24"/>
        </w:rPr>
      </w:pPr>
      <w:r>
        <w:rPr>
          <w:rFonts w:ascii="Arial" w:hAnsi="Arial" w:cs="Arial"/>
          <w:color w:val="000000"/>
          <w:szCs w:val="24"/>
        </w:rPr>
        <w:t>S</w:t>
      </w:r>
      <w:r w:rsidRPr="00656C1E">
        <w:rPr>
          <w:rFonts w:ascii="Arial" w:hAnsi="Arial" w:cs="Arial"/>
          <w:color w:val="000000"/>
          <w:szCs w:val="24"/>
        </w:rPr>
        <w:t xml:space="preserve">pecification of the </w:t>
      </w:r>
      <w:r w:rsidRPr="00991940">
        <w:rPr>
          <w:rFonts w:ascii="Arial" w:hAnsi="Arial" w:cs="Arial"/>
          <w:i/>
          <w:color w:val="000000"/>
          <w:szCs w:val="24"/>
        </w:rPr>
        <w:t xml:space="preserve">Australian Prudential Regulation Authority Act 1998 </w:t>
      </w:r>
      <w:r w:rsidRPr="00656C1E">
        <w:rPr>
          <w:rFonts w:ascii="Arial" w:hAnsi="Arial" w:cs="Arial"/>
          <w:color w:val="000000"/>
          <w:szCs w:val="24"/>
        </w:rPr>
        <w:t xml:space="preserve">as a designated program Act </w:t>
      </w:r>
      <w:r>
        <w:rPr>
          <w:rFonts w:ascii="Arial" w:hAnsi="Arial" w:cs="Arial"/>
          <w:color w:val="000000"/>
          <w:szCs w:val="24"/>
        </w:rPr>
        <w:t>avoids</w:t>
      </w:r>
      <w:r w:rsidRPr="00656C1E">
        <w:rPr>
          <w:rFonts w:ascii="Arial" w:hAnsi="Arial" w:cs="Arial"/>
          <w:color w:val="000000"/>
          <w:szCs w:val="24"/>
        </w:rPr>
        <w:t xml:space="preserve"> any legal uncertainty as to which set of secrecy provisions should apply to that customer information.</w:t>
      </w:r>
    </w:p>
    <w:p w14:paraId="7E2E62A5" w14:textId="2B1C9384" w:rsidR="0051355A" w:rsidRDefault="0051355A" w:rsidP="0051355A">
      <w:pPr>
        <w:spacing w:before="0"/>
        <w:rPr>
          <w:rFonts w:ascii="Arial" w:hAnsi="Arial" w:cs="Arial"/>
          <w:szCs w:val="24"/>
        </w:rPr>
      </w:pPr>
      <w:r w:rsidRPr="00B375F4">
        <w:rPr>
          <w:rFonts w:ascii="Arial" w:hAnsi="Arial" w:cs="Arial"/>
          <w:szCs w:val="24"/>
        </w:rPr>
        <w:t>In relation to the</w:t>
      </w:r>
      <w:r>
        <w:rPr>
          <w:rFonts w:ascii="Arial" w:hAnsi="Arial" w:cs="Arial"/>
          <w:i/>
          <w:szCs w:val="24"/>
        </w:rPr>
        <w:t xml:space="preserve"> Taxation Administration Act 1953</w:t>
      </w:r>
      <w:r>
        <w:rPr>
          <w:rFonts w:ascii="Arial" w:hAnsi="Arial" w:cs="Arial"/>
          <w:szCs w:val="24"/>
        </w:rPr>
        <w:t xml:space="preserve">, the Australian Taxation Office (ATO) regularly discloses taxation information to the Chief Executive Centrelink for the purposes of administering programs under the social security law. Some of this taxation information is protected by on-disclosure restrictions in Division 355 of Part 5-1 of Chapter 5 of Schedule 1 to the </w:t>
      </w:r>
      <w:r>
        <w:rPr>
          <w:rFonts w:ascii="Arial" w:hAnsi="Arial" w:cs="Arial"/>
          <w:i/>
          <w:szCs w:val="24"/>
        </w:rPr>
        <w:t>Taxation Administration Act 1953</w:t>
      </w:r>
      <w:r>
        <w:rPr>
          <w:rFonts w:ascii="Arial" w:hAnsi="Arial" w:cs="Arial"/>
          <w:szCs w:val="24"/>
        </w:rPr>
        <w:t xml:space="preserve">. This customer information held by the Agency is also protected by the secrecy provisions in the </w:t>
      </w:r>
      <w:r>
        <w:rPr>
          <w:rFonts w:ascii="Arial" w:hAnsi="Arial" w:cs="Arial"/>
          <w:i/>
          <w:szCs w:val="24"/>
        </w:rPr>
        <w:t>Social Security (Administration) Act 1999</w:t>
      </w:r>
      <w:r w:rsidR="00BA0CEB">
        <w:rPr>
          <w:rFonts w:ascii="Arial" w:hAnsi="Arial" w:cs="Arial"/>
          <w:szCs w:val="24"/>
        </w:rPr>
        <w:t xml:space="preserve"> and the </w:t>
      </w:r>
      <w:r w:rsidR="00BA0CEB">
        <w:rPr>
          <w:rFonts w:ascii="Arial" w:hAnsi="Arial" w:cs="Arial"/>
          <w:i/>
          <w:szCs w:val="24"/>
        </w:rPr>
        <w:t>A New Tax System (Family Assistance)(Administration) Act 1999</w:t>
      </w:r>
      <w:r>
        <w:rPr>
          <w:rFonts w:ascii="Arial" w:hAnsi="Arial" w:cs="Arial"/>
          <w:szCs w:val="24"/>
        </w:rPr>
        <w:t xml:space="preserve">. </w:t>
      </w:r>
    </w:p>
    <w:p w14:paraId="548B3CEA" w14:textId="20A7C32F" w:rsidR="0051355A" w:rsidRDefault="0051355A" w:rsidP="0051355A">
      <w:pPr>
        <w:rPr>
          <w:rFonts w:ascii="Arial" w:hAnsi="Arial" w:cs="Arial"/>
          <w:szCs w:val="24"/>
        </w:rPr>
      </w:pPr>
      <w:r>
        <w:rPr>
          <w:rFonts w:ascii="Arial" w:hAnsi="Arial" w:cs="Arial"/>
          <w:szCs w:val="24"/>
        </w:rPr>
        <w:t xml:space="preserve">The specification of the </w:t>
      </w:r>
      <w:r>
        <w:rPr>
          <w:rFonts w:ascii="Arial" w:hAnsi="Arial" w:cs="Arial"/>
          <w:i/>
          <w:szCs w:val="24"/>
        </w:rPr>
        <w:t xml:space="preserve">Taxation Administration Act </w:t>
      </w:r>
      <w:r>
        <w:rPr>
          <w:rFonts w:ascii="Arial" w:hAnsi="Arial" w:cs="Arial"/>
          <w:szCs w:val="24"/>
        </w:rPr>
        <w:t xml:space="preserve">as a designated program Act for the purposes of </w:t>
      </w:r>
      <w:r w:rsidRPr="006D621D">
        <w:rPr>
          <w:rFonts w:ascii="Arial" w:hAnsi="Arial" w:cs="Arial"/>
          <w:szCs w:val="24"/>
        </w:rPr>
        <w:t xml:space="preserve">paragraph </w:t>
      </w:r>
      <w:r>
        <w:rPr>
          <w:rFonts w:ascii="Arial" w:hAnsi="Arial" w:cs="Arial"/>
          <w:szCs w:val="24"/>
        </w:rPr>
        <w:t>(o) of the definition ‘designated program Act’ in subsection 40A(3)</w:t>
      </w:r>
      <w:r w:rsidRPr="006D621D">
        <w:rPr>
          <w:rFonts w:ascii="Arial" w:hAnsi="Arial" w:cs="Arial"/>
          <w:szCs w:val="24"/>
        </w:rPr>
        <w:t xml:space="preserve"> </w:t>
      </w:r>
      <w:r>
        <w:rPr>
          <w:rFonts w:ascii="Arial" w:hAnsi="Arial" w:cs="Arial"/>
          <w:szCs w:val="24"/>
        </w:rPr>
        <w:t xml:space="preserve">of the Centrelink Act ensures that the Agency and the Chief Executive Centrelink is able to handle all customer information held for the purpose of social security programs in accordance with the secrecy regime in the </w:t>
      </w:r>
      <w:r>
        <w:rPr>
          <w:rFonts w:ascii="Arial" w:hAnsi="Arial" w:cs="Arial"/>
          <w:i/>
          <w:szCs w:val="24"/>
        </w:rPr>
        <w:t>Social Security (Administration) Act 1999</w:t>
      </w:r>
      <w:r w:rsidR="00BA0CEB">
        <w:rPr>
          <w:rFonts w:ascii="Arial" w:hAnsi="Arial" w:cs="Arial"/>
          <w:szCs w:val="24"/>
        </w:rPr>
        <w:t xml:space="preserve"> and the </w:t>
      </w:r>
      <w:r w:rsidR="00BA0CEB">
        <w:rPr>
          <w:rFonts w:ascii="Arial" w:hAnsi="Arial" w:cs="Arial"/>
          <w:i/>
          <w:szCs w:val="24"/>
        </w:rPr>
        <w:t>A New Tax System (Family Assistance)(Administration) Act 1999</w:t>
      </w:r>
      <w:r>
        <w:rPr>
          <w:rFonts w:ascii="Arial" w:hAnsi="Arial" w:cs="Arial"/>
          <w:szCs w:val="24"/>
        </w:rPr>
        <w:t>, including information disclosed by the ATO.</w:t>
      </w:r>
    </w:p>
    <w:p w14:paraId="7CACC947" w14:textId="77777777" w:rsidR="0051355A" w:rsidRDefault="0051355A" w:rsidP="0051355A">
      <w:pPr>
        <w:spacing w:before="0"/>
        <w:rPr>
          <w:rFonts w:ascii="Arial" w:hAnsi="Arial" w:cs="Arial"/>
          <w:szCs w:val="24"/>
        </w:rPr>
      </w:pPr>
      <w:r>
        <w:rPr>
          <w:rFonts w:ascii="Arial" w:hAnsi="Arial" w:cs="Arial"/>
          <w:szCs w:val="24"/>
        </w:rPr>
        <w:t xml:space="preserve"> </w:t>
      </w:r>
    </w:p>
    <w:p w14:paraId="0BB294B1" w14:textId="77777777" w:rsidR="0051355A" w:rsidRDefault="0051355A" w:rsidP="0051355A">
      <w:pPr>
        <w:spacing w:before="0"/>
        <w:rPr>
          <w:rFonts w:ascii="Arial" w:hAnsi="Arial" w:cs="Arial"/>
          <w:szCs w:val="24"/>
        </w:rPr>
      </w:pPr>
      <w:r>
        <w:rPr>
          <w:rFonts w:ascii="Arial" w:hAnsi="Arial" w:cs="Arial"/>
          <w:szCs w:val="24"/>
        </w:rPr>
        <w:lastRenderedPageBreak/>
        <w:t xml:space="preserve">Overall, there are comprehensive protections for personal information in all of the designated program Acts. Irrespective of which secrecy regime applies, each regime allows the use and disclosure of a piece of personal information in only limited circumstances, guided by the purposes of each Act, in the performance of duties under or in relation to each Act, or for the purpose for which the information was communicated. They also permit disclosure where it is in the public interest to do so, for example, to prevent or lessen a threat to a person’s life, health or welfare. They all have similar criminal or civil penalties for breaches of the limited disclosures available under the secrecy regimes. The civil or criminal penalties for breaches of privacy in the overarching </w:t>
      </w:r>
      <w:r>
        <w:rPr>
          <w:rFonts w:ascii="Arial" w:hAnsi="Arial" w:cs="Arial"/>
          <w:i/>
          <w:szCs w:val="24"/>
        </w:rPr>
        <w:t xml:space="preserve">Privacy Act 1988 </w:t>
      </w:r>
      <w:r>
        <w:rPr>
          <w:rFonts w:ascii="Arial" w:hAnsi="Arial" w:cs="Arial"/>
          <w:szCs w:val="24"/>
        </w:rPr>
        <w:t>may also apply. The designation of a program Act will not result in a reduction of protections applying to such information.</w:t>
      </w:r>
    </w:p>
    <w:p w14:paraId="401881EE" w14:textId="77777777" w:rsidR="006546B7" w:rsidRPr="00BC76EB" w:rsidRDefault="006546B7" w:rsidP="00AD1347">
      <w:pPr>
        <w:spacing w:after="120"/>
        <w:rPr>
          <w:rFonts w:ascii="Arial" w:hAnsi="Arial" w:cs="Arial"/>
          <w:b/>
          <w:szCs w:val="24"/>
        </w:rPr>
      </w:pPr>
      <w:r w:rsidRPr="00BC76EB">
        <w:rPr>
          <w:rFonts w:ascii="Arial" w:hAnsi="Arial" w:cs="Arial"/>
          <w:b/>
          <w:szCs w:val="24"/>
        </w:rPr>
        <w:t>Human rights implications</w:t>
      </w:r>
    </w:p>
    <w:p w14:paraId="3509C9F1" w14:textId="77777777" w:rsidR="003C4D84" w:rsidRDefault="003C4D84" w:rsidP="003C4D84">
      <w:pPr>
        <w:spacing w:before="120" w:after="120"/>
        <w:rPr>
          <w:rFonts w:ascii="Arial" w:hAnsi="Arial" w:cs="Arial"/>
          <w:szCs w:val="24"/>
        </w:rPr>
      </w:pPr>
      <w:r>
        <w:rPr>
          <w:rFonts w:ascii="Arial" w:hAnsi="Arial" w:cs="Arial"/>
          <w:szCs w:val="24"/>
        </w:rPr>
        <w:t>The Specification engages the following rights:</w:t>
      </w:r>
    </w:p>
    <w:p w14:paraId="5394F92B" w14:textId="77777777" w:rsidR="003C4D84" w:rsidRDefault="003C4D84" w:rsidP="003C4D84">
      <w:pPr>
        <w:pStyle w:val="ListParagraph"/>
        <w:numPr>
          <w:ilvl w:val="0"/>
          <w:numId w:val="29"/>
        </w:numPr>
        <w:spacing w:after="120"/>
        <w:rPr>
          <w:rFonts w:ascii="Arial" w:hAnsi="Arial" w:cs="Arial"/>
          <w:szCs w:val="24"/>
        </w:rPr>
      </w:pPr>
      <w:r>
        <w:rPr>
          <w:rFonts w:ascii="Arial" w:hAnsi="Arial" w:cs="Arial"/>
          <w:szCs w:val="24"/>
        </w:rPr>
        <w:t xml:space="preserve">the right to social security – Article 9 of the </w:t>
      </w:r>
      <w:r>
        <w:rPr>
          <w:rFonts w:ascii="Arial" w:hAnsi="Arial" w:cs="Arial"/>
          <w:i/>
          <w:szCs w:val="24"/>
        </w:rPr>
        <w:t xml:space="preserve">International Covenant on Economic, Social and Cultural Rights </w:t>
      </w:r>
      <w:r>
        <w:rPr>
          <w:rFonts w:ascii="Arial" w:hAnsi="Arial" w:cs="Arial"/>
          <w:szCs w:val="24"/>
        </w:rPr>
        <w:t xml:space="preserve">(ICESCR), read with Article 2, and Article 22 of the </w:t>
      </w:r>
      <w:r>
        <w:rPr>
          <w:rFonts w:ascii="Arial" w:hAnsi="Arial" w:cs="Arial"/>
          <w:i/>
          <w:szCs w:val="24"/>
        </w:rPr>
        <w:t xml:space="preserve">Universal Declaration of Human Rights </w:t>
      </w:r>
      <w:r>
        <w:rPr>
          <w:rFonts w:ascii="Arial" w:hAnsi="Arial" w:cs="Arial"/>
          <w:szCs w:val="24"/>
        </w:rPr>
        <w:t xml:space="preserve">(UDHR); </w:t>
      </w:r>
    </w:p>
    <w:p w14:paraId="1527BF90" w14:textId="37663985" w:rsidR="003C4D84" w:rsidRDefault="003C4D84" w:rsidP="003C4D84">
      <w:pPr>
        <w:pStyle w:val="ListParagraph"/>
        <w:numPr>
          <w:ilvl w:val="0"/>
          <w:numId w:val="29"/>
        </w:numPr>
        <w:spacing w:after="120"/>
        <w:rPr>
          <w:rFonts w:ascii="Arial" w:hAnsi="Arial" w:cs="Arial"/>
          <w:szCs w:val="24"/>
        </w:rPr>
      </w:pPr>
      <w:r>
        <w:rPr>
          <w:rFonts w:ascii="Arial" w:hAnsi="Arial" w:cs="Arial"/>
          <w:szCs w:val="24"/>
        </w:rPr>
        <w:t xml:space="preserve">the right of a child to benefit from social security – Article 26 of the </w:t>
      </w:r>
      <w:r>
        <w:rPr>
          <w:rFonts w:ascii="Arial" w:hAnsi="Arial" w:cs="Arial"/>
          <w:i/>
          <w:szCs w:val="24"/>
        </w:rPr>
        <w:t xml:space="preserve">Convention on the Rights of the Child </w:t>
      </w:r>
      <w:r>
        <w:rPr>
          <w:rFonts w:ascii="Arial" w:hAnsi="Arial" w:cs="Arial"/>
          <w:szCs w:val="24"/>
        </w:rPr>
        <w:t xml:space="preserve">(CRC); </w:t>
      </w:r>
    </w:p>
    <w:p w14:paraId="67B9694C" w14:textId="5F7DF6BC" w:rsidR="003C4D84" w:rsidRPr="003C4D84" w:rsidRDefault="003C4D84" w:rsidP="003C4D84">
      <w:pPr>
        <w:pStyle w:val="ListParagraph"/>
        <w:numPr>
          <w:ilvl w:val="0"/>
          <w:numId w:val="29"/>
        </w:numPr>
        <w:spacing w:after="120"/>
        <w:rPr>
          <w:rFonts w:ascii="Arial" w:hAnsi="Arial" w:cs="Arial"/>
          <w:szCs w:val="24"/>
        </w:rPr>
      </w:pPr>
      <w:r>
        <w:rPr>
          <w:rFonts w:ascii="Arial" w:hAnsi="Arial" w:cs="Arial"/>
          <w:szCs w:val="24"/>
        </w:rPr>
        <w:t xml:space="preserve">the right to an adequate standard of living – Article </w:t>
      </w:r>
      <w:r w:rsidR="00F90A90">
        <w:rPr>
          <w:rFonts w:ascii="Arial" w:hAnsi="Arial" w:cs="Arial"/>
          <w:szCs w:val="24"/>
        </w:rPr>
        <w:t>11 of the ICESR,</w:t>
      </w:r>
      <w:r>
        <w:rPr>
          <w:rFonts w:ascii="Arial" w:hAnsi="Arial" w:cs="Arial"/>
          <w:szCs w:val="24"/>
        </w:rPr>
        <w:t xml:space="preserve"> Article 25 of the UDHR;</w:t>
      </w:r>
    </w:p>
    <w:p w14:paraId="30ECC218" w14:textId="77777777" w:rsidR="003C4D84" w:rsidRDefault="003C4D84" w:rsidP="003C4D84">
      <w:pPr>
        <w:pStyle w:val="ListParagraph"/>
        <w:numPr>
          <w:ilvl w:val="0"/>
          <w:numId w:val="29"/>
        </w:numPr>
        <w:spacing w:after="120"/>
        <w:rPr>
          <w:rFonts w:ascii="Arial" w:hAnsi="Arial" w:cs="Arial"/>
          <w:szCs w:val="24"/>
        </w:rPr>
      </w:pPr>
      <w:r>
        <w:rPr>
          <w:rFonts w:ascii="Arial" w:hAnsi="Arial" w:cs="Arial"/>
          <w:szCs w:val="24"/>
        </w:rPr>
        <w:t xml:space="preserve">the right to privacy – Article 12 of the UDHR, Article 17 of the </w:t>
      </w:r>
      <w:r>
        <w:rPr>
          <w:rFonts w:ascii="Arial" w:hAnsi="Arial" w:cs="Arial"/>
          <w:i/>
          <w:szCs w:val="24"/>
        </w:rPr>
        <w:t xml:space="preserve">International Covenant on Civil and Political Rights </w:t>
      </w:r>
      <w:r>
        <w:rPr>
          <w:rFonts w:ascii="Arial" w:hAnsi="Arial" w:cs="Arial"/>
          <w:szCs w:val="24"/>
        </w:rPr>
        <w:t xml:space="preserve">(ICCPR), Article 16 of the CRC, Article 14 of the </w:t>
      </w:r>
      <w:r>
        <w:rPr>
          <w:rFonts w:ascii="Arial" w:hAnsi="Arial" w:cs="Arial"/>
          <w:i/>
          <w:szCs w:val="24"/>
        </w:rPr>
        <w:t xml:space="preserve">International Convention on the Protection of All Migrant Workers and Members of Their Families </w:t>
      </w:r>
      <w:r>
        <w:rPr>
          <w:rFonts w:ascii="Arial" w:hAnsi="Arial" w:cs="Arial"/>
          <w:szCs w:val="24"/>
        </w:rPr>
        <w:t xml:space="preserve">(ICPAMWMTF). </w:t>
      </w:r>
    </w:p>
    <w:p w14:paraId="05DED0D7" w14:textId="77777777" w:rsidR="003C4D84" w:rsidRPr="00E436E1" w:rsidRDefault="003C4D84" w:rsidP="003C4D84">
      <w:pPr>
        <w:spacing w:after="120"/>
        <w:rPr>
          <w:rFonts w:ascii="Arial" w:hAnsi="Arial" w:cs="Arial"/>
          <w:szCs w:val="24"/>
          <w:u w:val="single"/>
        </w:rPr>
      </w:pPr>
      <w:r w:rsidRPr="00E436E1">
        <w:rPr>
          <w:rFonts w:ascii="Arial" w:hAnsi="Arial" w:cs="Arial"/>
          <w:i/>
          <w:szCs w:val="24"/>
          <w:u w:val="single"/>
        </w:rPr>
        <w:t>Right to social security</w:t>
      </w:r>
      <w:r>
        <w:rPr>
          <w:rFonts w:ascii="Arial" w:hAnsi="Arial" w:cs="Arial"/>
          <w:i/>
          <w:szCs w:val="24"/>
          <w:u w:val="single"/>
        </w:rPr>
        <w:t xml:space="preserve"> and</w:t>
      </w:r>
      <w:r w:rsidRPr="00E436E1">
        <w:rPr>
          <w:rFonts w:ascii="Arial" w:hAnsi="Arial" w:cs="Arial"/>
          <w:i/>
          <w:szCs w:val="24"/>
          <w:u w:val="single"/>
        </w:rPr>
        <w:t xml:space="preserve"> the right of a child to benefit from social security</w:t>
      </w:r>
    </w:p>
    <w:p w14:paraId="4FFE6B79" w14:textId="0A740297" w:rsidR="003C4D84" w:rsidRDefault="003C4D84" w:rsidP="003C4D84">
      <w:pPr>
        <w:spacing w:after="120"/>
        <w:rPr>
          <w:rFonts w:ascii="Arial" w:hAnsi="Arial" w:cs="Arial"/>
          <w:szCs w:val="24"/>
        </w:rPr>
      </w:pPr>
      <w:r w:rsidRPr="00E436E1">
        <w:rPr>
          <w:rFonts w:ascii="Arial" w:hAnsi="Arial" w:cs="Arial"/>
          <w:szCs w:val="24"/>
        </w:rPr>
        <w:t xml:space="preserve">Article 9 of the ICESCR </w:t>
      </w:r>
      <w:r>
        <w:rPr>
          <w:rFonts w:ascii="Arial" w:hAnsi="Arial" w:cs="Arial"/>
          <w:szCs w:val="24"/>
        </w:rPr>
        <w:t>and Article 22 of the UDHR recognise</w:t>
      </w:r>
      <w:r w:rsidRPr="00E436E1">
        <w:rPr>
          <w:rFonts w:ascii="Arial" w:hAnsi="Arial" w:cs="Arial"/>
          <w:szCs w:val="24"/>
        </w:rPr>
        <w:t xml:space="preserve"> the right of eve</w:t>
      </w:r>
      <w:r>
        <w:rPr>
          <w:rFonts w:ascii="Arial" w:hAnsi="Arial" w:cs="Arial"/>
          <w:szCs w:val="24"/>
        </w:rPr>
        <w:t xml:space="preserve">ryone to social security. </w:t>
      </w:r>
      <w:r w:rsidRPr="00E436E1">
        <w:rPr>
          <w:rFonts w:ascii="Arial" w:hAnsi="Arial" w:cs="Arial"/>
          <w:szCs w:val="24"/>
        </w:rPr>
        <w:t>Article 26 of the CRC recognises that every child has the right to benefit from social security. T</w:t>
      </w:r>
      <w:r w:rsidR="00C05790">
        <w:rPr>
          <w:rFonts w:ascii="Arial" w:hAnsi="Arial" w:cs="Arial"/>
          <w:szCs w:val="24"/>
        </w:rPr>
        <w:t>he</w:t>
      </w:r>
      <w:r>
        <w:rPr>
          <w:rFonts w:ascii="Arial" w:hAnsi="Arial" w:cs="Arial"/>
          <w:szCs w:val="24"/>
        </w:rPr>
        <w:t xml:space="preserve"> Specification </w:t>
      </w:r>
      <w:r w:rsidRPr="00E436E1">
        <w:rPr>
          <w:rFonts w:ascii="Arial" w:hAnsi="Arial" w:cs="Arial"/>
          <w:szCs w:val="24"/>
        </w:rPr>
        <w:t>promotes these rights</w:t>
      </w:r>
      <w:r>
        <w:rPr>
          <w:rFonts w:ascii="Arial" w:hAnsi="Arial" w:cs="Arial"/>
          <w:szCs w:val="24"/>
        </w:rPr>
        <w:t xml:space="preserve"> by allowing for the efficient </w:t>
      </w:r>
      <w:r w:rsidR="00254477">
        <w:rPr>
          <w:rFonts w:ascii="Arial" w:hAnsi="Arial" w:cs="Arial"/>
          <w:szCs w:val="24"/>
        </w:rPr>
        <w:t xml:space="preserve">and responsible </w:t>
      </w:r>
      <w:r>
        <w:rPr>
          <w:rFonts w:ascii="Arial" w:hAnsi="Arial" w:cs="Arial"/>
          <w:szCs w:val="24"/>
        </w:rPr>
        <w:t xml:space="preserve">administration of Centrelink payments and programs.  </w:t>
      </w:r>
    </w:p>
    <w:p w14:paraId="5EC37803" w14:textId="77777777" w:rsidR="003C4D84" w:rsidRDefault="003C4D84" w:rsidP="003C4D84">
      <w:pPr>
        <w:spacing w:after="120"/>
        <w:rPr>
          <w:rFonts w:ascii="Arial" w:hAnsi="Arial" w:cs="Arial"/>
          <w:i/>
          <w:szCs w:val="24"/>
          <w:u w:val="single"/>
        </w:rPr>
      </w:pPr>
      <w:r w:rsidRPr="00FB27F5">
        <w:rPr>
          <w:rFonts w:ascii="Arial" w:hAnsi="Arial" w:cs="Arial"/>
          <w:i/>
          <w:szCs w:val="24"/>
          <w:u w:val="single"/>
        </w:rPr>
        <w:t>Right to an adequate standard of living</w:t>
      </w:r>
    </w:p>
    <w:p w14:paraId="66EE4B16" w14:textId="144E293B" w:rsidR="003C4D84" w:rsidRDefault="003C4D84" w:rsidP="003C4D84">
      <w:pPr>
        <w:spacing w:after="120"/>
        <w:rPr>
          <w:rFonts w:ascii="Arial" w:hAnsi="Arial" w:cs="Arial"/>
          <w:szCs w:val="24"/>
        </w:rPr>
      </w:pPr>
      <w:r>
        <w:rPr>
          <w:rFonts w:ascii="Arial" w:hAnsi="Arial" w:cs="Arial"/>
          <w:szCs w:val="24"/>
        </w:rPr>
        <w:t>Article 11 of the ICESCR and Article 25 of the UDHR recognise the right of everyone to an adequate standard of living for themselves and their family, including adequate food, clothing and housing, and to the continuous improv</w:t>
      </w:r>
      <w:r w:rsidR="00C05790">
        <w:rPr>
          <w:rFonts w:ascii="Arial" w:hAnsi="Arial" w:cs="Arial"/>
          <w:szCs w:val="24"/>
        </w:rPr>
        <w:t>ement of living conditions. The</w:t>
      </w:r>
      <w:r>
        <w:rPr>
          <w:rFonts w:ascii="Arial" w:hAnsi="Arial" w:cs="Arial"/>
          <w:szCs w:val="24"/>
        </w:rPr>
        <w:t xml:space="preserve"> Specification promotes these rights by allowing for the efficient </w:t>
      </w:r>
      <w:r w:rsidR="00254477">
        <w:rPr>
          <w:rFonts w:ascii="Arial" w:hAnsi="Arial" w:cs="Arial"/>
          <w:szCs w:val="24"/>
        </w:rPr>
        <w:t xml:space="preserve">and responsible </w:t>
      </w:r>
      <w:r>
        <w:rPr>
          <w:rFonts w:ascii="Arial" w:hAnsi="Arial" w:cs="Arial"/>
          <w:szCs w:val="24"/>
        </w:rPr>
        <w:t xml:space="preserve">administration of Centrelink payments and programs. </w:t>
      </w:r>
    </w:p>
    <w:p w14:paraId="6E6DD09A" w14:textId="77777777" w:rsidR="003C4D84" w:rsidRDefault="003C4D84" w:rsidP="003C4D84">
      <w:pPr>
        <w:spacing w:after="120"/>
        <w:rPr>
          <w:rFonts w:ascii="Arial" w:hAnsi="Arial" w:cs="Arial"/>
          <w:i/>
          <w:szCs w:val="24"/>
          <w:u w:val="single"/>
        </w:rPr>
      </w:pPr>
      <w:r>
        <w:rPr>
          <w:rFonts w:ascii="Arial" w:hAnsi="Arial" w:cs="Arial"/>
          <w:i/>
          <w:szCs w:val="24"/>
          <w:u w:val="single"/>
        </w:rPr>
        <w:t>Right to privacy</w:t>
      </w:r>
    </w:p>
    <w:p w14:paraId="70245DD0" w14:textId="5BA7A2EF" w:rsidR="001B0D68" w:rsidRDefault="003C4D84" w:rsidP="003C4D84">
      <w:pPr>
        <w:spacing w:after="120"/>
        <w:rPr>
          <w:rFonts w:ascii="Arial" w:hAnsi="Arial" w:cs="Arial"/>
          <w:szCs w:val="24"/>
        </w:rPr>
      </w:pPr>
      <w:r>
        <w:rPr>
          <w:rFonts w:ascii="Arial" w:hAnsi="Arial" w:cs="Arial"/>
          <w:szCs w:val="24"/>
        </w:rPr>
        <w:t xml:space="preserve">Article 12 of the UDHR, Article 17 of the ICCPR, Article 16 of the CRC and Article 14 of the ICPAMWMTF recognise that no one shall be subjected to arbitrary interference with their privacy, family, home or correspondence. </w:t>
      </w:r>
      <w:r w:rsidR="00C05790">
        <w:rPr>
          <w:rFonts w:ascii="Arial" w:hAnsi="Arial" w:cs="Arial"/>
          <w:szCs w:val="24"/>
        </w:rPr>
        <w:t>The</w:t>
      </w:r>
      <w:r>
        <w:rPr>
          <w:rFonts w:ascii="Arial" w:hAnsi="Arial" w:cs="Arial"/>
          <w:szCs w:val="24"/>
        </w:rPr>
        <w:t xml:space="preserve"> Specification promotes the </w:t>
      </w:r>
      <w:r w:rsidR="00254477">
        <w:rPr>
          <w:rFonts w:ascii="Arial" w:hAnsi="Arial" w:cs="Arial"/>
          <w:szCs w:val="24"/>
        </w:rPr>
        <w:t>accountable</w:t>
      </w:r>
      <w:r>
        <w:rPr>
          <w:rFonts w:ascii="Arial" w:hAnsi="Arial" w:cs="Arial"/>
          <w:szCs w:val="24"/>
        </w:rPr>
        <w:t xml:space="preserve"> handling of information in order to protect people’s privacy and correspondence. </w:t>
      </w:r>
    </w:p>
    <w:p w14:paraId="4D080067" w14:textId="3B3ECE9A" w:rsidR="001B0D68" w:rsidRPr="00E436E1" w:rsidRDefault="001B0D68" w:rsidP="003C4D84">
      <w:pPr>
        <w:spacing w:after="120"/>
        <w:rPr>
          <w:rFonts w:ascii="Arial" w:hAnsi="Arial" w:cs="Arial"/>
          <w:szCs w:val="24"/>
        </w:rPr>
      </w:pPr>
      <w:r>
        <w:rPr>
          <w:rFonts w:ascii="Arial" w:hAnsi="Arial" w:cs="Arial"/>
          <w:szCs w:val="24"/>
        </w:rPr>
        <w:lastRenderedPageBreak/>
        <w:t xml:space="preserve">The </w:t>
      </w:r>
      <w:r>
        <w:rPr>
          <w:rFonts w:ascii="Arial" w:hAnsi="Arial" w:cs="Arial"/>
          <w:i/>
          <w:szCs w:val="24"/>
        </w:rPr>
        <w:t>Australian Prudentia</w:t>
      </w:r>
      <w:r w:rsidR="00BA0CEB">
        <w:rPr>
          <w:rFonts w:ascii="Arial" w:hAnsi="Arial" w:cs="Arial"/>
          <w:i/>
          <w:szCs w:val="24"/>
        </w:rPr>
        <w:t xml:space="preserve">l Regulation Authority Act 1998, </w:t>
      </w:r>
      <w:r>
        <w:rPr>
          <w:rFonts w:ascii="Arial" w:hAnsi="Arial" w:cs="Arial"/>
          <w:szCs w:val="24"/>
        </w:rPr>
        <w:t xml:space="preserve">the </w:t>
      </w:r>
      <w:r>
        <w:rPr>
          <w:rFonts w:ascii="Arial" w:hAnsi="Arial" w:cs="Arial"/>
          <w:i/>
          <w:szCs w:val="24"/>
        </w:rPr>
        <w:t xml:space="preserve">Taxation Administration Act 1953 </w:t>
      </w:r>
      <w:r w:rsidR="00677065">
        <w:rPr>
          <w:rFonts w:ascii="Arial" w:hAnsi="Arial" w:cs="Arial"/>
          <w:szCs w:val="24"/>
        </w:rPr>
        <w:t xml:space="preserve">and the Centrelink Program Acts </w:t>
      </w:r>
      <w:r>
        <w:rPr>
          <w:rFonts w:ascii="Arial" w:hAnsi="Arial" w:cs="Arial"/>
          <w:szCs w:val="24"/>
        </w:rPr>
        <w:t>have provisions that</w:t>
      </w:r>
      <w:r w:rsidR="00E825FE">
        <w:rPr>
          <w:rFonts w:ascii="Arial" w:hAnsi="Arial" w:cs="Arial"/>
          <w:szCs w:val="24"/>
        </w:rPr>
        <w:t xml:space="preserve"> adequately protect privacy by</w:t>
      </w:r>
      <w:r>
        <w:rPr>
          <w:rFonts w:ascii="Arial" w:hAnsi="Arial" w:cs="Arial"/>
          <w:szCs w:val="24"/>
        </w:rPr>
        <w:t xml:space="preserve"> limit</w:t>
      </w:r>
      <w:r w:rsidR="00E825FE">
        <w:rPr>
          <w:rFonts w:ascii="Arial" w:hAnsi="Arial" w:cs="Arial"/>
          <w:szCs w:val="24"/>
        </w:rPr>
        <w:t>ing</w:t>
      </w:r>
      <w:r>
        <w:rPr>
          <w:rFonts w:ascii="Arial" w:hAnsi="Arial" w:cs="Arial"/>
          <w:szCs w:val="24"/>
        </w:rPr>
        <w:t xml:space="preserve"> the collection, use and disclosure of </w:t>
      </w:r>
      <w:r w:rsidR="00E825FE">
        <w:rPr>
          <w:rFonts w:ascii="Arial" w:hAnsi="Arial" w:cs="Arial"/>
          <w:szCs w:val="24"/>
        </w:rPr>
        <w:t xml:space="preserve">personal </w:t>
      </w:r>
      <w:r>
        <w:rPr>
          <w:rFonts w:ascii="Arial" w:hAnsi="Arial" w:cs="Arial"/>
          <w:szCs w:val="24"/>
        </w:rPr>
        <w:t xml:space="preserve">information to particular purposes. A </w:t>
      </w:r>
      <w:r w:rsidR="00E825FE">
        <w:rPr>
          <w:rFonts w:ascii="Arial" w:hAnsi="Arial" w:cs="Arial"/>
          <w:szCs w:val="24"/>
        </w:rPr>
        <w:t>person who breaches these provisions is subject to criminal</w:t>
      </w:r>
      <w:r w:rsidR="00223032">
        <w:rPr>
          <w:rFonts w:ascii="Arial" w:hAnsi="Arial" w:cs="Arial"/>
          <w:szCs w:val="24"/>
        </w:rPr>
        <w:t xml:space="preserve"> or civil</w:t>
      </w:r>
      <w:r w:rsidR="00E825FE">
        <w:rPr>
          <w:rFonts w:ascii="Arial" w:hAnsi="Arial" w:cs="Arial"/>
          <w:szCs w:val="24"/>
        </w:rPr>
        <w:t xml:space="preserve"> penalties</w:t>
      </w:r>
      <w:r>
        <w:rPr>
          <w:rFonts w:ascii="Arial" w:hAnsi="Arial" w:cs="Arial"/>
          <w:szCs w:val="24"/>
        </w:rPr>
        <w:t xml:space="preserve">. The overarching </w:t>
      </w:r>
      <w:r>
        <w:rPr>
          <w:rFonts w:ascii="Arial" w:hAnsi="Arial" w:cs="Arial"/>
          <w:i/>
          <w:szCs w:val="24"/>
        </w:rPr>
        <w:t xml:space="preserve">Privacy Act 1988 </w:t>
      </w:r>
      <w:r>
        <w:rPr>
          <w:rFonts w:ascii="Arial" w:hAnsi="Arial" w:cs="Arial"/>
          <w:szCs w:val="24"/>
        </w:rPr>
        <w:t xml:space="preserve">also includes </w:t>
      </w:r>
      <w:r w:rsidR="00223032">
        <w:rPr>
          <w:rFonts w:ascii="Arial" w:hAnsi="Arial" w:cs="Arial"/>
          <w:szCs w:val="24"/>
        </w:rPr>
        <w:t xml:space="preserve">criminal and </w:t>
      </w:r>
      <w:r>
        <w:rPr>
          <w:rFonts w:ascii="Arial" w:hAnsi="Arial" w:cs="Arial"/>
          <w:szCs w:val="24"/>
        </w:rPr>
        <w:t xml:space="preserve">civil penalty provisions for interferences with privacy. </w:t>
      </w:r>
    </w:p>
    <w:p w14:paraId="2906CD52" w14:textId="77777777" w:rsidR="006546B7" w:rsidRPr="00BC76EB" w:rsidRDefault="006546B7" w:rsidP="00AD1347">
      <w:pPr>
        <w:spacing w:after="120"/>
        <w:rPr>
          <w:rFonts w:ascii="Arial" w:hAnsi="Arial" w:cs="Arial"/>
          <w:b/>
          <w:szCs w:val="24"/>
        </w:rPr>
      </w:pPr>
      <w:r w:rsidRPr="00BC76EB">
        <w:rPr>
          <w:rFonts w:ascii="Arial" w:hAnsi="Arial" w:cs="Arial"/>
          <w:b/>
          <w:szCs w:val="24"/>
        </w:rPr>
        <w:t>Conclusion</w:t>
      </w:r>
    </w:p>
    <w:p w14:paraId="04FF9716" w14:textId="6FF040B1" w:rsidR="006546B7" w:rsidRPr="00BC76EB" w:rsidRDefault="00374A77" w:rsidP="006546B7">
      <w:pPr>
        <w:spacing w:before="120" w:after="120"/>
        <w:rPr>
          <w:rFonts w:ascii="Arial" w:hAnsi="Arial" w:cs="Arial"/>
          <w:szCs w:val="24"/>
        </w:rPr>
      </w:pPr>
      <w:r w:rsidRPr="00BC76EB">
        <w:rPr>
          <w:rFonts w:ascii="Arial" w:hAnsi="Arial" w:cs="Arial"/>
          <w:szCs w:val="24"/>
        </w:rPr>
        <w:t xml:space="preserve">The </w:t>
      </w:r>
      <w:r w:rsidR="003C4D84">
        <w:rPr>
          <w:rFonts w:ascii="Arial" w:hAnsi="Arial" w:cs="Arial"/>
          <w:szCs w:val="24"/>
        </w:rPr>
        <w:t>Specification is</w:t>
      </w:r>
      <w:r w:rsidR="006546B7" w:rsidRPr="00BC76EB">
        <w:rPr>
          <w:rFonts w:ascii="Arial" w:hAnsi="Arial" w:cs="Arial"/>
          <w:szCs w:val="24"/>
        </w:rPr>
        <w:t xml:space="preserve"> compatible with human rights </w:t>
      </w:r>
      <w:r w:rsidR="003C4D84">
        <w:rPr>
          <w:rFonts w:ascii="Arial" w:hAnsi="Arial" w:cs="Arial"/>
          <w:szCs w:val="24"/>
        </w:rPr>
        <w:t>because it advances the protection of human rights.</w:t>
      </w:r>
    </w:p>
    <w:p w14:paraId="5C53E7BB" w14:textId="77777777" w:rsidR="006546B7" w:rsidRPr="00BC76EB" w:rsidRDefault="006546B7" w:rsidP="006546B7">
      <w:pPr>
        <w:spacing w:before="120" w:after="120"/>
        <w:jc w:val="center"/>
        <w:rPr>
          <w:rFonts w:ascii="Arial" w:hAnsi="Arial" w:cs="Arial"/>
          <w:szCs w:val="24"/>
        </w:rPr>
      </w:pPr>
    </w:p>
    <w:p w14:paraId="1F99F41A" w14:textId="2409F730" w:rsidR="000C2DDB" w:rsidRDefault="003C4D84" w:rsidP="00677065">
      <w:pPr>
        <w:spacing w:before="120" w:after="120"/>
        <w:jc w:val="center"/>
        <w:rPr>
          <w:rFonts w:ascii="Arial" w:hAnsi="Arial" w:cs="Arial"/>
          <w:szCs w:val="24"/>
        </w:rPr>
      </w:pPr>
      <w:r>
        <w:rPr>
          <w:rFonts w:ascii="Arial" w:hAnsi="Arial" w:cs="Arial"/>
          <w:b/>
          <w:szCs w:val="24"/>
        </w:rPr>
        <w:t xml:space="preserve">Anne Ruston, Minister for </w:t>
      </w:r>
      <w:r w:rsidR="00677065">
        <w:rPr>
          <w:rFonts w:ascii="Arial" w:hAnsi="Arial" w:cs="Arial"/>
          <w:b/>
          <w:szCs w:val="24"/>
        </w:rPr>
        <w:t xml:space="preserve">Families and </w:t>
      </w:r>
      <w:r>
        <w:rPr>
          <w:rFonts w:ascii="Arial" w:hAnsi="Arial" w:cs="Arial"/>
          <w:b/>
          <w:szCs w:val="24"/>
        </w:rPr>
        <w:t>Social Services</w:t>
      </w:r>
      <w:bookmarkEnd w:id="1"/>
    </w:p>
    <w:p w14:paraId="70363C52" w14:textId="77777777" w:rsidR="002810A5" w:rsidRPr="00B50BCB" w:rsidRDefault="002810A5" w:rsidP="00D37C2C">
      <w:pPr>
        <w:spacing w:before="0" w:after="200" w:line="276" w:lineRule="auto"/>
        <w:rPr>
          <w:rStyle w:val="BookTitle"/>
          <w:rFonts w:ascii="Arial" w:hAnsi="Arial" w:cs="Arial"/>
          <w:b/>
          <w:i w:val="0"/>
          <w:iCs w:val="0"/>
          <w:smallCaps w:val="0"/>
          <w:spacing w:val="0"/>
          <w:szCs w:val="24"/>
        </w:rPr>
      </w:pPr>
    </w:p>
    <w:sectPr w:rsidR="002810A5" w:rsidRPr="00B50BC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CA3F0A" w14:textId="77777777" w:rsidR="0033491F" w:rsidRDefault="0033491F" w:rsidP="00AD1645">
      <w:pPr>
        <w:spacing w:before="0"/>
      </w:pPr>
      <w:r>
        <w:separator/>
      </w:r>
    </w:p>
  </w:endnote>
  <w:endnote w:type="continuationSeparator" w:id="0">
    <w:p w14:paraId="41505F5F" w14:textId="77777777" w:rsidR="0033491F" w:rsidRDefault="0033491F" w:rsidP="00AD164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0DCE2B" w14:textId="77777777" w:rsidR="0033491F" w:rsidRDefault="0033491F" w:rsidP="00AD1645">
      <w:pPr>
        <w:spacing w:before="0"/>
      </w:pPr>
      <w:r>
        <w:separator/>
      </w:r>
    </w:p>
  </w:footnote>
  <w:footnote w:type="continuationSeparator" w:id="0">
    <w:p w14:paraId="526B83F4" w14:textId="77777777" w:rsidR="0033491F" w:rsidRDefault="0033491F" w:rsidP="00AD1645">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2C2CD0"/>
    <w:multiLevelType w:val="hybridMultilevel"/>
    <w:tmpl w:val="DA1853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B9A3783"/>
    <w:multiLevelType w:val="hybridMultilevel"/>
    <w:tmpl w:val="937A47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0B9437F"/>
    <w:multiLevelType w:val="hybridMultilevel"/>
    <w:tmpl w:val="1160FD2E"/>
    <w:lvl w:ilvl="0" w:tplc="06567AF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1D95A5E"/>
    <w:multiLevelType w:val="hybridMultilevel"/>
    <w:tmpl w:val="11BE0E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6766A16"/>
    <w:multiLevelType w:val="hybridMultilevel"/>
    <w:tmpl w:val="39500B6A"/>
    <w:lvl w:ilvl="0" w:tplc="2CFAE45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8B22794"/>
    <w:multiLevelType w:val="hybridMultilevel"/>
    <w:tmpl w:val="43E881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4BE331F"/>
    <w:multiLevelType w:val="hybridMultilevel"/>
    <w:tmpl w:val="E312DA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4E64A2E"/>
    <w:multiLevelType w:val="hybridMultilevel"/>
    <w:tmpl w:val="1340CB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6967D0B"/>
    <w:multiLevelType w:val="hybridMultilevel"/>
    <w:tmpl w:val="E13E81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97E0230"/>
    <w:multiLevelType w:val="hybridMultilevel"/>
    <w:tmpl w:val="52B8BC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F5505B4"/>
    <w:multiLevelType w:val="hybridMultilevel"/>
    <w:tmpl w:val="5C80EEA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1" w15:restartNumberingAfterBreak="0">
    <w:nsid w:val="301A01A0"/>
    <w:multiLevelType w:val="hybridMultilevel"/>
    <w:tmpl w:val="B5ACFD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04A4900"/>
    <w:multiLevelType w:val="hybridMultilevel"/>
    <w:tmpl w:val="CA825C4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2BB6DE5"/>
    <w:multiLevelType w:val="hybridMultilevel"/>
    <w:tmpl w:val="6E3E9E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0B5319E"/>
    <w:multiLevelType w:val="hybridMultilevel"/>
    <w:tmpl w:val="747EA8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1B45D0D"/>
    <w:multiLevelType w:val="hybridMultilevel"/>
    <w:tmpl w:val="D74E4B50"/>
    <w:lvl w:ilvl="0" w:tplc="51D82C2A">
      <w:numFmt w:val="bullet"/>
      <w:lvlText w:val="-"/>
      <w:lvlJc w:val="left"/>
      <w:pPr>
        <w:ind w:left="1080" w:hanging="360"/>
      </w:pPr>
      <w:rPr>
        <w:rFonts w:ascii="Cambria" w:eastAsia="Calibri" w:hAnsi="Cambria" w:cs="Times New Roman"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6" w15:restartNumberingAfterBreak="0">
    <w:nsid w:val="448C7A62"/>
    <w:multiLevelType w:val="hybridMultilevel"/>
    <w:tmpl w:val="C6AADBC4"/>
    <w:lvl w:ilvl="0" w:tplc="0C09001B">
      <w:start w:val="1"/>
      <w:numFmt w:val="lowerRoman"/>
      <w:lvlText w:val="%1."/>
      <w:lvlJc w:val="righ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9F16449"/>
    <w:multiLevelType w:val="hybridMultilevel"/>
    <w:tmpl w:val="88DA8F06"/>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4F9A181D"/>
    <w:multiLevelType w:val="hybridMultilevel"/>
    <w:tmpl w:val="77BC025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50DE0D42"/>
    <w:multiLevelType w:val="multilevel"/>
    <w:tmpl w:val="A53EC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35D4D4B"/>
    <w:multiLevelType w:val="hybridMultilevel"/>
    <w:tmpl w:val="DF36CB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A802451"/>
    <w:multiLevelType w:val="hybridMultilevel"/>
    <w:tmpl w:val="BCA6A3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C97496F"/>
    <w:multiLevelType w:val="hybridMultilevel"/>
    <w:tmpl w:val="3452B69A"/>
    <w:lvl w:ilvl="0" w:tplc="D27678C2">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5DA2611E"/>
    <w:multiLevelType w:val="hybridMultilevel"/>
    <w:tmpl w:val="0F0223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381148F"/>
    <w:multiLevelType w:val="hybridMultilevel"/>
    <w:tmpl w:val="904A0026"/>
    <w:lvl w:ilvl="0" w:tplc="37FE764A">
      <w:start w:val="1"/>
      <w:numFmt w:val="lowerLetter"/>
      <w:lvlText w:val="%1)"/>
      <w:lvlJc w:val="left"/>
      <w:pPr>
        <w:ind w:left="1353" w:hanging="36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25" w15:restartNumberingAfterBreak="0">
    <w:nsid w:val="65622447"/>
    <w:multiLevelType w:val="hybridMultilevel"/>
    <w:tmpl w:val="C01C94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0E37958"/>
    <w:multiLevelType w:val="hybridMultilevel"/>
    <w:tmpl w:val="CCCA05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18"/>
  </w:num>
  <w:num w:numId="4">
    <w:abstractNumId w:val="23"/>
  </w:num>
  <w:num w:numId="5">
    <w:abstractNumId w:val="20"/>
  </w:num>
  <w:num w:numId="6">
    <w:abstractNumId w:val="3"/>
  </w:num>
  <w:num w:numId="7">
    <w:abstractNumId w:val="15"/>
  </w:num>
  <w:num w:numId="8">
    <w:abstractNumId w:val="24"/>
  </w:num>
  <w:num w:numId="9">
    <w:abstractNumId w:val="10"/>
  </w:num>
  <w:num w:numId="10">
    <w:abstractNumId w:val="25"/>
  </w:num>
  <w:num w:numId="11">
    <w:abstractNumId w:val="5"/>
  </w:num>
  <w:num w:numId="12">
    <w:abstractNumId w:val="8"/>
  </w:num>
  <w:num w:numId="13">
    <w:abstractNumId w:val="0"/>
  </w:num>
  <w:num w:numId="14">
    <w:abstractNumId w:val="13"/>
  </w:num>
  <w:num w:numId="15">
    <w:abstractNumId w:val="9"/>
  </w:num>
  <w:num w:numId="1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6"/>
  </w:num>
  <w:num w:numId="18">
    <w:abstractNumId w:val="19"/>
  </w:num>
  <w:num w:numId="19">
    <w:abstractNumId w:val="2"/>
  </w:num>
  <w:num w:numId="20">
    <w:abstractNumId w:val="4"/>
  </w:num>
  <w:num w:numId="21">
    <w:abstractNumId w:val="12"/>
  </w:num>
  <w:num w:numId="22">
    <w:abstractNumId w:val="17"/>
  </w:num>
  <w:num w:numId="23">
    <w:abstractNumId w:val="22"/>
  </w:num>
  <w:num w:numId="24">
    <w:abstractNumId w:val="1"/>
  </w:num>
  <w:num w:numId="25">
    <w:abstractNumId w:val="11"/>
  </w:num>
  <w:num w:numId="26">
    <w:abstractNumId w:val="16"/>
  </w:num>
  <w:num w:numId="27">
    <w:abstractNumId w:val="21"/>
  </w:num>
  <w:num w:numId="28">
    <w:abstractNumId w:val="6"/>
  </w:num>
  <w:num w:numId="2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33F0"/>
    <w:rsid w:val="00000A26"/>
    <w:rsid w:val="00000E2A"/>
    <w:rsid w:val="0000289E"/>
    <w:rsid w:val="00004004"/>
    <w:rsid w:val="0000668E"/>
    <w:rsid w:val="00021ED2"/>
    <w:rsid w:val="00030B79"/>
    <w:rsid w:val="00031D0B"/>
    <w:rsid w:val="000353F4"/>
    <w:rsid w:val="00043B6D"/>
    <w:rsid w:val="00044480"/>
    <w:rsid w:val="00045BF2"/>
    <w:rsid w:val="00051C3F"/>
    <w:rsid w:val="000547D7"/>
    <w:rsid w:val="000548B7"/>
    <w:rsid w:val="000607EA"/>
    <w:rsid w:val="0006693F"/>
    <w:rsid w:val="00066DAE"/>
    <w:rsid w:val="00074C1A"/>
    <w:rsid w:val="000760DC"/>
    <w:rsid w:val="000844AF"/>
    <w:rsid w:val="00084B46"/>
    <w:rsid w:val="00085730"/>
    <w:rsid w:val="00096B8D"/>
    <w:rsid w:val="000A1657"/>
    <w:rsid w:val="000A3595"/>
    <w:rsid w:val="000A772F"/>
    <w:rsid w:val="000B4130"/>
    <w:rsid w:val="000C2DDB"/>
    <w:rsid w:val="000C5204"/>
    <w:rsid w:val="000D0E98"/>
    <w:rsid w:val="000D365F"/>
    <w:rsid w:val="000E02A0"/>
    <w:rsid w:val="000E3915"/>
    <w:rsid w:val="000E717D"/>
    <w:rsid w:val="000F7475"/>
    <w:rsid w:val="0011719D"/>
    <w:rsid w:val="00126429"/>
    <w:rsid w:val="001310C6"/>
    <w:rsid w:val="00140359"/>
    <w:rsid w:val="001414BE"/>
    <w:rsid w:val="001502F9"/>
    <w:rsid w:val="0015134A"/>
    <w:rsid w:val="00151AA8"/>
    <w:rsid w:val="00152472"/>
    <w:rsid w:val="00163809"/>
    <w:rsid w:val="00163CCB"/>
    <w:rsid w:val="0016653C"/>
    <w:rsid w:val="001745A7"/>
    <w:rsid w:val="00175BC6"/>
    <w:rsid w:val="001812DF"/>
    <w:rsid w:val="00191AEC"/>
    <w:rsid w:val="001920F3"/>
    <w:rsid w:val="0019566B"/>
    <w:rsid w:val="001A51B9"/>
    <w:rsid w:val="001A737C"/>
    <w:rsid w:val="001B0D68"/>
    <w:rsid w:val="001B5379"/>
    <w:rsid w:val="001C0161"/>
    <w:rsid w:val="001C1346"/>
    <w:rsid w:val="001C59D1"/>
    <w:rsid w:val="001C64F9"/>
    <w:rsid w:val="001D3415"/>
    <w:rsid w:val="001D68BB"/>
    <w:rsid w:val="001D69AF"/>
    <w:rsid w:val="001E5B72"/>
    <w:rsid w:val="001E5D12"/>
    <w:rsid w:val="001E630D"/>
    <w:rsid w:val="001E7422"/>
    <w:rsid w:val="001F4805"/>
    <w:rsid w:val="001F4E3C"/>
    <w:rsid w:val="002154EE"/>
    <w:rsid w:val="00223032"/>
    <w:rsid w:val="00224887"/>
    <w:rsid w:val="00226D4B"/>
    <w:rsid w:val="002329E1"/>
    <w:rsid w:val="002334D9"/>
    <w:rsid w:val="00234905"/>
    <w:rsid w:val="00234F9E"/>
    <w:rsid w:val="0024465E"/>
    <w:rsid w:val="00246D18"/>
    <w:rsid w:val="0024760C"/>
    <w:rsid w:val="002533F0"/>
    <w:rsid w:val="00254477"/>
    <w:rsid w:val="002545B5"/>
    <w:rsid w:val="00254925"/>
    <w:rsid w:val="002578A3"/>
    <w:rsid w:val="00257ED7"/>
    <w:rsid w:val="002642C7"/>
    <w:rsid w:val="00264C31"/>
    <w:rsid w:val="002741BD"/>
    <w:rsid w:val="0027425F"/>
    <w:rsid w:val="00274CAF"/>
    <w:rsid w:val="00276D06"/>
    <w:rsid w:val="00276F09"/>
    <w:rsid w:val="002810A5"/>
    <w:rsid w:val="00283079"/>
    <w:rsid w:val="002926E3"/>
    <w:rsid w:val="002965F2"/>
    <w:rsid w:val="002A0E63"/>
    <w:rsid w:val="002A2A71"/>
    <w:rsid w:val="002A523B"/>
    <w:rsid w:val="002A6007"/>
    <w:rsid w:val="002A6172"/>
    <w:rsid w:val="002A63EA"/>
    <w:rsid w:val="002B0175"/>
    <w:rsid w:val="002C0F57"/>
    <w:rsid w:val="002C1403"/>
    <w:rsid w:val="002C1938"/>
    <w:rsid w:val="002C2252"/>
    <w:rsid w:val="002C346D"/>
    <w:rsid w:val="002C6177"/>
    <w:rsid w:val="002D0F1C"/>
    <w:rsid w:val="002D35D8"/>
    <w:rsid w:val="002D443A"/>
    <w:rsid w:val="002D4522"/>
    <w:rsid w:val="002E0BB1"/>
    <w:rsid w:val="002E45E2"/>
    <w:rsid w:val="002E59D8"/>
    <w:rsid w:val="00300D8B"/>
    <w:rsid w:val="003119FD"/>
    <w:rsid w:val="00313CDD"/>
    <w:rsid w:val="00323907"/>
    <w:rsid w:val="003251E2"/>
    <w:rsid w:val="00333A9C"/>
    <w:rsid w:val="0033491F"/>
    <w:rsid w:val="00334F9D"/>
    <w:rsid w:val="00337065"/>
    <w:rsid w:val="00337625"/>
    <w:rsid w:val="00340378"/>
    <w:rsid w:val="003430FC"/>
    <w:rsid w:val="003434E2"/>
    <w:rsid w:val="00345FFE"/>
    <w:rsid w:val="00350604"/>
    <w:rsid w:val="00351E79"/>
    <w:rsid w:val="0035378F"/>
    <w:rsid w:val="003606C5"/>
    <w:rsid w:val="00365424"/>
    <w:rsid w:val="0037259E"/>
    <w:rsid w:val="00374A77"/>
    <w:rsid w:val="00380666"/>
    <w:rsid w:val="003870E4"/>
    <w:rsid w:val="00387D89"/>
    <w:rsid w:val="00392EB6"/>
    <w:rsid w:val="00393D4E"/>
    <w:rsid w:val="00394743"/>
    <w:rsid w:val="00395CBC"/>
    <w:rsid w:val="00396FDC"/>
    <w:rsid w:val="003A04AD"/>
    <w:rsid w:val="003A2EFC"/>
    <w:rsid w:val="003B2BB8"/>
    <w:rsid w:val="003B44E1"/>
    <w:rsid w:val="003C2D84"/>
    <w:rsid w:val="003C3368"/>
    <w:rsid w:val="003C4D84"/>
    <w:rsid w:val="003C54B6"/>
    <w:rsid w:val="003D34FF"/>
    <w:rsid w:val="003D71F6"/>
    <w:rsid w:val="003E1784"/>
    <w:rsid w:val="003E23F1"/>
    <w:rsid w:val="003E4EEB"/>
    <w:rsid w:val="00400273"/>
    <w:rsid w:val="004146D3"/>
    <w:rsid w:val="00420387"/>
    <w:rsid w:val="0042132E"/>
    <w:rsid w:val="0044233A"/>
    <w:rsid w:val="004440D8"/>
    <w:rsid w:val="00446D6C"/>
    <w:rsid w:val="0045240C"/>
    <w:rsid w:val="00453FC9"/>
    <w:rsid w:val="00454405"/>
    <w:rsid w:val="00456FBD"/>
    <w:rsid w:val="00457726"/>
    <w:rsid w:val="00457792"/>
    <w:rsid w:val="004646E1"/>
    <w:rsid w:val="00470874"/>
    <w:rsid w:val="00470C3D"/>
    <w:rsid w:val="004726FF"/>
    <w:rsid w:val="004768FC"/>
    <w:rsid w:val="004814F1"/>
    <w:rsid w:val="00481A4C"/>
    <w:rsid w:val="00482411"/>
    <w:rsid w:val="00483F54"/>
    <w:rsid w:val="004956ED"/>
    <w:rsid w:val="0049646F"/>
    <w:rsid w:val="00497768"/>
    <w:rsid w:val="004A0C19"/>
    <w:rsid w:val="004A126A"/>
    <w:rsid w:val="004A24AF"/>
    <w:rsid w:val="004A439F"/>
    <w:rsid w:val="004A694F"/>
    <w:rsid w:val="004B2038"/>
    <w:rsid w:val="004B3147"/>
    <w:rsid w:val="004B54CA"/>
    <w:rsid w:val="004C163F"/>
    <w:rsid w:val="004C6F03"/>
    <w:rsid w:val="004D336A"/>
    <w:rsid w:val="004D6D22"/>
    <w:rsid w:val="004E3A61"/>
    <w:rsid w:val="004E5CBF"/>
    <w:rsid w:val="004F1CD0"/>
    <w:rsid w:val="004F264A"/>
    <w:rsid w:val="004F5308"/>
    <w:rsid w:val="004F69ED"/>
    <w:rsid w:val="00511520"/>
    <w:rsid w:val="0051355A"/>
    <w:rsid w:val="00516267"/>
    <w:rsid w:val="00527238"/>
    <w:rsid w:val="005332C8"/>
    <w:rsid w:val="00536060"/>
    <w:rsid w:val="00540BD8"/>
    <w:rsid w:val="0055503B"/>
    <w:rsid w:val="00562CBC"/>
    <w:rsid w:val="0056537C"/>
    <w:rsid w:val="00566538"/>
    <w:rsid w:val="00566BF6"/>
    <w:rsid w:val="00570884"/>
    <w:rsid w:val="00571129"/>
    <w:rsid w:val="00572E47"/>
    <w:rsid w:val="00576330"/>
    <w:rsid w:val="0057641C"/>
    <w:rsid w:val="005766D2"/>
    <w:rsid w:val="00583C9C"/>
    <w:rsid w:val="00591D1A"/>
    <w:rsid w:val="00594251"/>
    <w:rsid w:val="005C282E"/>
    <w:rsid w:val="005C3839"/>
    <w:rsid w:val="005C390A"/>
    <w:rsid w:val="005C3AA9"/>
    <w:rsid w:val="005C54B4"/>
    <w:rsid w:val="005C78B2"/>
    <w:rsid w:val="005E4167"/>
    <w:rsid w:val="005E4362"/>
    <w:rsid w:val="005E4607"/>
    <w:rsid w:val="005E7B26"/>
    <w:rsid w:val="005F41C9"/>
    <w:rsid w:val="005F5E17"/>
    <w:rsid w:val="005F5EA4"/>
    <w:rsid w:val="006077BA"/>
    <w:rsid w:val="00614C63"/>
    <w:rsid w:val="00620404"/>
    <w:rsid w:val="00622668"/>
    <w:rsid w:val="00622B31"/>
    <w:rsid w:val="00622B71"/>
    <w:rsid w:val="00622D63"/>
    <w:rsid w:val="00624E34"/>
    <w:rsid w:val="00632F44"/>
    <w:rsid w:val="00633B6B"/>
    <w:rsid w:val="006350E9"/>
    <w:rsid w:val="006402A6"/>
    <w:rsid w:val="006407D3"/>
    <w:rsid w:val="0064167D"/>
    <w:rsid w:val="00650B9C"/>
    <w:rsid w:val="00650C1C"/>
    <w:rsid w:val="006519B7"/>
    <w:rsid w:val="006546B7"/>
    <w:rsid w:val="00656C1E"/>
    <w:rsid w:val="00660F6C"/>
    <w:rsid w:val="006643AB"/>
    <w:rsid w:val="0067070B"/>
    <w:rsid w:val="00676F52"/>
    <w:rsid w:val="00677065"/>
    <w:rsid w:val="00681C7F"/>
    <w:rsid w:val="00683FF5"/>
    <w:rsid w:val="00686175"/>
    <w:rsid w:val="00687351"/>
    <w:rsid w:val="00691AF5"/>
    <w:rsid w:val="006A1F70"/>
    <w:rsid w:val="006A4CE7"/>
    <w:rsid w:val="006A52C6"/>
    <w:rsid w:val="006A5D55"/>
    <w:rsid w:val="006A6D51"/>
    <w:rsid w:val="006B1E2F"/>
    <w:rsid w:val="006B4173"/>
    <w:rsid w:val="006B6543"/>
    <w:rsid w:val="006C5E5E"/>
    <w:rsid w:val="006D5995"/>
    <w:rsid w:val="006D621D"/>
    <w:rsid w:val="006D7E0F"/>
    <w:rsid w:val="006E1B19"/>
    <w:rsid w:val="006F0769"/>
    <w:rsid w:val="00700BCC"/>
    <w:rsid w:val="00700F5B"/>
    <w:rsid w:val="00701486"/>
    <w:rsid w:val="00720E42"/>
    <w:rsid w:val="0073766B"/>
    <w:rsid w:val="00754921"/>
    <w:rsid w:val="00762A05"/>
    <w:rsid w:val="00765122"/>
    <w:rsid w:val="0077007C"/>
    <w:rsid w:val="00771003"/>
    <w:rsid w:val="0077461F"/>
    <w:rsid w:val="0078126B"/>
    <w:rsid w:val="00785261"/>
    <w:rsid w:val="00785A10"/>
    <w:rsid w:val="00785A97"/>
    <w:rsid w:val="007907A8"/>
    <w:rsid w:val="007938F3"/>
    <w:rsid w:val="0079557B"/>
    <w:rsid w:val="007A53DD"/>
    <w:rsid w:val="007B0256"/>
    <w:rsid w:val="007B69DD"/>
    <w:rsid w:val="007C4060"/>
    <w:rsid w:val="007C5234"/>
    <w:rsid w:val="007D6273"/>
    <w:rsid w:val="007E4FAD"/>
    <w:rsid w:val="007E4FF7"/>
    <w:rsid w:val="007F44F6"/>
    <w:rsid w:val="007F5151"/>
    <w:rsid w:val="00804901"/>
    <w:rsid w:val="00807CD7"/>
    <w:rsid w:val="00816CFA"/>
    <w:rsid w:val="0082233E"/>
    <w:rsid w:val="00830504"/>
    <w:rsid w:val="0083135C"/>
    <w:rsid w:val="00841C22"/>
    <w:rsid w:val="00841E69"/>
    <w:rsid w:val="00843E6A"/>
    <w:rsid w:val="00860BE9"/>
    <w:rsid w:val="008669B7"/>
    <w:rsid w:val="008707FE"/>
    <w:rsid w:val="00871748"/>
    <w:rsid w:val="00871F28"/>
    <w:rsid w:val="008761FF"/>
    <w:rsid w:val="00880E92"/>
    <w:rsid w:val="008845C5"/>
    <w:rsid w:val="00884603"/>
    <w:rsid w:val="008954BF"/>
    <w:rsid w:val="00896466"/>
    <w:rsid w:val="008A7002"/>
    <w:rsid w:val="008B026E"/>
    <w:rsid w:val="008B1AA5"/>
    <w:rsid w:val="008B4CF1"/>
    <w:rsid w:val="008D02AB"/>
    <w:rsid w:val="008D14F6"/>
    <w:rsid w:val="008D2D41"/>
    <w:rsid w:val="008D2FC2"/>
    <w:rsid w:val="008D59CA"/>
    <w:rsid w:val="008D5B2E"/>
    <w:rsid w:val="008D68B6"/>
    <w:rsid w:val="008D7A97"/>
    <w:rsid w:val="008E1D0E"/>
    <w:rsid w:val="008E320A"/>
    <w:rsid w:val="008F5702"/>
    <w:rsid w:val="0090001F"/>
    <w:rsid w:val="0090554A"/>
    <w:rsid w:val="0090702B"/>
    <w:rsid w:val="009070A4"/>
    <w:rsid w:val="009140F6"/>
    <w:rsid w:val="00915A96"/>
    <w:rsid w:val="009225F0"/>
    <w:rsid w:val="00925633"/>
    <w:rsid w:val="0092638C"/>
    <w:rsid w:val="0092756B"/>
    <w:rsid w:val="00930624"/>
    <w:rsid w:val="00931608"/>
    <w:rsid w:val="00932E80"/>
    <w:rsid w:val="009332B3"/>
    <w:rsid w:val="00935A03"/>
    <w:rsid w:val="00941813"/>
    <w:rsid w:val="009426E4"/>
    <w:rsid w:val="00946730"/>
    <w:rsid w:val="00946E6D"/>
    <w:rsid w:val="00950ACB"/>
    <w:rsid w:val="0095196E"/>
    <w:rsid w:val="00956519"/>
    <w:rsid w:val="00961A0D"/>
    <w:rsid w:val="0096603B"/>
    <w:rsid w:val="00966756"/>
    <w:rsid w:val="00966F79"/>
    <w:rsid w:val="00970C88"/>
    <w:rsid w:val="009711BF"/>
    <w:rsid w:val="00985038"/>
    <w:rsid w:val="00991176"/>
    <w:rsid w:val="00991940"/>
    <w:rsid w:val="00995413"/>
    <w:rsid w:val="00995BCB"/>
    <w:rsid w:val="0099649B"/>
    <w:rsid w:val="009973FC"/>
    <w:rsid w:val="009A3E64"/>
    <w:rsid w:val="009A4EAB"/>
    <w:rsid w:val="009A5D3E"/>
    <w:rsid w:val="009B4474"/>
    <w:rsid w:val="009B573A"/>
    <w:rsid w:val="009B71A9"/>
    <w:rsid w:val="009C5E15"/>
    <w:rsid w:val="009C63A9"/>
    <w:rsid w:val="009C63B6"/>
    <w:rsid w:val="009C65BF"/>
    <w:rsid w:val="009D1BE5"/>
    <w:rsid w:val="009F3C43"/>
    <w:rsid w:val="009F63A0"/>
    <w:rsid w:val="009F77BC"/>
    <w:rsid w:val="00A066B1"/>
    <w:rsid w:val="00A06B72"/>
    <w:rsid w:val="00A11007"/>
    <w:rsid w:val="00A20512"/>
    <w:rsid w:val="00A27E85"/>
    <w:rsid w:val="00A375D4"/>
    <w:rsid w:val="00A37984"/>
    <w:rsid w:val="00A405F1"/>
    <w:rsid w:val="00A42690"/>
    <w:rsid w:val="00A4616D"/>
    <w:rsid w:val="00A57416"/>
    <w:rsid w:val="00A6045B"/>
    <w:rsid w:val="00A63D74"/>
    <w:rsid w:val="00A66DD0"/>
    <w:rsid w:val="00A719D2"/>
    <w:rsid w:val="00A763EC"/>
    <w:rsid w:val="00A8767B"/>
    <w:rsid w:val="00A94C22"/>
    <w:rsid w:val="00AA0F80"/>
    <w:rsid w:val="00AA37AC"/>
    <w:rsid w:val="00AA45C6"/>
    <w:rsid w:val="00AA51E7"/>
    <w:rsid w:val="00AB0730"/>
    <w:rsid w:val="00AB7356"/>
    <w:rsid w:val="00AC271F"/>
    <w:rsid w:val="00AC635D"/>
    <w:rsid w:val="00AD1347"/>
    <w:rsid w:val="00AD1645"/>
    <w:rsid w:val="00AD69FE"/>
    <w:rsid w:val="00AE11F6"/>
    <w:rsid w:val="00AE3176"/>
    <w:rsid w:val="00AF0E6A"/>
    <w:rsid w:val="00AF5F4A"/>
    <w:rsid w:val="00B00306"/>
    <w:rsid w:val="00B01538"/>
    <w:rsid w:val="00B04EB0"/>
    <w:rsid w:val="00B261D9"/>
    <w:rsid w:val="00B33E33"/>
    <w:rsid w:val="00B34CCC"/>
    <w:rsid w:val="00B375F4"/>
    <w:rsid w:val="00B376E6"/>
    <w:rsid w:val="00B47DD8"/>
    <w:rsid w:val="00B50BCB"/>
    <w:rsid w:val="00B52B87"/>
    <w:rsid w:val="00B54C30"/>
    <w:rsid w:val="00B57278"/>
    <w:rsid w:val="00B6472A"/>
    <w:rsid w:val="00B71F52"/>
    <w:rsid w:val="00B73680"/>
    <w:rsid w:val="00B74208"/>
    <w:rsid w:val="00B74531"/>
    <w:rsid w:val="00B777D9"/>
    <w:rsid w:val="00B821A0"/>
    <w:rsid w:val="00BA0CEB"/>
    <w:rsid w:val="00BA2DB9"/>
    <w:rsid w:val="00BA525E"/>
    <w:rsid w:val="00BB0D37"/>
    <w:rsid w:val="00BB3612"/>
    <w:rsid w:val="00BC247A"/>
    <w:rsid w:val="00BC35F6"/>
    <w:rsid w:val="00BC76EB"/>
    <w:rsid w:val="00BD13D5"/>
    <w:rsid w:val="00BD25AE"/>
    <w:rsid w:val="00BD43EA"/>
    <w:rsid w:val="00BD7E9D"/>
    <w:rsid w:val="00BE4FC1"/>
    <w:rsid w:val="00BE517A"/>
    <w:rsid w:val="00BE56A0"/>
    <w:rsid w:val="00BE7148"/>
    <w:rsid w:val="00BF2FB3"/>
    <w:rsid w:val="00C05790"/>
    <w:rsid w:val="00C06E47"/>
    <w:rsid w:val="00C133D7"/>
    <w:rsid w:val="00C21C68"/>
    <w:rsid w:val="00C2733D"/>
    <w:rsid w:val="00C3204C"/>
    <w:rsid w:val="00C33968"/>
    <w:rsid w:val="00C3470C"/>
    <w:rsid w:val="00C37944"/>
    <w:rsid w:val="00C37BA8"/>
    <w:rsid w:val="00C4511C"/>
    <w:rsid w:val="00C455A2"/>
    <w:rsid w:val="00C5169B"/>
    <w:rsid w:val="00C559BF"/>
    <w:rsid w:val="00C61996"/>
    <w:rsid w:val="00C66CFA"/>
    <w:rsid w:val="00C7238E"/>
    <w:rsid w:val="00C776BC"/>
    <w:rsid w:val="00C77B41"/>
    <w:rsid w:val="00C81622"/>
    <w:rsid w:val="00CA33B2"/>
    <w:rsid w:val="00CA3D78"/>
    <w:rsid w:val="00CA43C4"/>
    <w:rsid w:val="00CA6F15"/>
    <w:rsid w:val="00CB344C"/>
    <w:rsid w:val="00CB42CE"/>
    <w:rsid w:val="00CB79D5"/>
    <w:rsid w:val="00CC170F"/>
    <w:rsid w:val="00CC79B1"/>
    <w:rsid w:val="00CC7EC4"/>
    <w:rsid w:val="00CD0DDB"/>
    <w:rsid w:val="00CD35B8"/>
    <w:rsid w:val="00CE1802"/>
    <w:rsid w:val="00CE4BF5"/>
    <w:rsid w:val="00CE7166"/>
    <w:rsid w:val="00CF0527"/>
    <w:rsid w:val="00CF4484"/>
    <w:rsid w:val="00CF7F1B"/>
    <w:rsid w:val="00D0784D"/>
    <w:rsid w:val="00D13A82"/>
    <w:rsid w:val="00D1706F"/>
    <w:rsid w:val="00D2075E"/>
    <w:rsid w:val="00D21D83"/>
    <w:rsid w:val="00D243C5"/>
    <w:rsid w:val="00D3071D"/>
    <w:rsid w:val="00D31C51"/>
    <w:rsid w:val="00D367AA"/>
    <w:rsid w:val="00D37C2C"/>
    <w:rsid w:val="00D45911"/>
    <w:rsid w:val="00D459E0"/>
    <w:rsid w:val="00D520A1"/>
    <w:rsid w:val="00D55ED4"/>
    <w:rsid w:val="00D61C4B"/>
    <w:rsid w:val="00D708CA"/>
    <w:rsid w:val="00D72F4B"/>
    <w:rsid w:val="00D849AE"/>
    <w:rsid w:val="00D92F0F"/>
    <w:rsid w:val="00DB6E7A"/>
    <w:rsid w:val="00DC125D"/>
    <w:rsid w:val="00DC765C"/>
    <w:rsid w:val="00DD3BC1"/>
    <w:rsid w:val="00DD5E55"/>
    <w:rsid w:val="00DE0717"/>
    <w:rsid w:val="00DE18ED"/>
    <w:rsid w:val="00DE3A1F"/>
    <w:rsid w:val="00DE78DF"/>
    <w:rsid w:val="00DE7FE8"/>
    <w:rsid w:val="00DF0EBF"/>
    <w:rsid w:val="00DF75F9"/>
    <w:rsid w:val="00E01E71"/>
    <w:rsid w:val="00E027AF"/>
    <w:rsid w:val="00E15CFF"/>
    <w:rsid w:val="00E21A59"/>
    <w:rsid w:val="00E230ED"/>
    <w:rsid w:val="00E23C53"/>
    <w:rsid w:val="00E32139"/>
    <w:rsid w:val="00E422F3"/>
    <w:rsid w:val="00E42DBE"/>
    <w:rsid w:val="00E43F38"/>
    <w:rsid w:val="00E44FD4"/>
    <w:rsid w:val="00E632DB"/>
    <w:rsid w:val="00E668CB"/>
    <w:rsid w:val="00E708B1"/>
    <w:rsid w:val="00E72DC6"/>
    <w:rsid w:val="00E745BB"/>
    <w:rsid w:val="00E74C4C"/>
    <w:rsid w:val="00E7675B"/>
    <w:rsid w:val="00E81719"/>
    <w:rsid w:val="00E825FE"/>
    <w:rsid w:val="00E87016"/>
    <w:rsid w:val="00E907A4"/>
    <w:rsid w:val="00E94D9A"/>
    <w:rsid w:val="00E9738E"/>
    <w:rsid w:val="00EA0DC4"/>
    <w:rsid w:val="00EA16F9"/>
    <w:rsid w:val="00EA2DDC"/>
    <w:rsid w:val="00EA3666"/>
    <w:rsid w:val="00EA677D"/>
    <w:rsid w:val="00EA6829"/>
    <w:rsid w:val="00EA76C2"/>
    <w:rsid w:val="00EB0A28"/>
    <w:rsid w:val="00EB2155"/>
    <w:rsid w:val="00EB51BC"/>
    <w:rsid w:val="00EC0280"/>
    <w:rsid w:val="00EC0C59"/>
    <w:rsid w:val="00EC25F5"/>
    <w:rsid w:val="00EC47F6"/>
    <w:rsid w:val="00ED1D5E"/>
    <w:rsid w:val="00ED6613"/>
    <w:rsid w:val="00EE2764"/>
    <w:rsid w:val="00EE2F17"/>
    <w:rsid w:val="00EF54F0"/>
    <w:rsid w:val="00EF71C4"/>
    <w:rsid w:val="00EF7B57"/>
    <w:rsid w:val="00F0576D"/>
    <w:rsid w:val="00F108ED"/>
    <w:rsid w:val="00F17B27"/>
    <w:rsid w:val="00F227A4"/>
    <w:rsid w:val="00F31431"/>
    <w:rsid w:val="00F328DA"/>
    <w:rsid w:val="00F35271"/>
    <w:rsid w:val="00F35580"/>
    <w:rsid w:val="00F37EBB"/>
    <w:rsid w:val="00F439A2"/>
    <w:rsid w:val="00F502A9"/>
    <w:rsid w:val="00F52853"/>
    <w:rsid w:val="00F61A88"/>
    <w:rsid w:val="00F661E2"/>
    <w:rsid w:val="00F71D6F"/>
    <w:rsid w:val="00F754A3"/>
    <w:rsid w:val="00F90A90"/>
    <w:rsid w:val="00F925B9"/>
    <w:rsid w:val="00F96020"/>
    <w:rsid w:val="00FA50DD"/>
    <w:rsid w:val="00FA6F53"/>
    <w:rsid w:val="00FA7196"/>
    <w:rsid w:val="00FB030F"/>
    <w:rsid w:val="00FD2F20"/>
    <w:rsid w:val="00FD368E"/>
    <w:rsid w:val="00FD6BF4"/>
    <w:rsid w:val="00FD7A80"/>
    <w:rsid w:val="00FE2339"/>
    <w:rsid w:val="00FE5C69"/>
    <w:rsid w:val="00FF20B0"/>
    <w:rsid w:val="00FF478B"/>
    <w:rsid w:val="00FF5304"/>
    <w:rsid w:val="00FF6D2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C1FE4FC"/>
  <w15:docId w15:val="{63C6395B-EC5F-4841-89EE-5D33C3EA0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33F0"/>
    <w:pPr>
      <w:spacing w:before="240" w:after="0" w:line="240" w:lineRule="auto"/>
    </w:pPr>
    <w:rPr>
      <w:rFonts w:ascii="Times New Roman" w:eastAsia="Times New Roman" w:hAnsi="Times New Roman" w:cs="Times New Roman"/>
      <w:sz w:val="24"/>
      <w:szCs w:val="20"/>
      <w:lang w:eastAsia="en-AU"/>
    </w:rPr>
  </w:style>
  <w:style w:type="paragraph" w:styleId="Heading1">
    <w:name w:val="heading 1"/>
    <w:basedOn w:val="Normal"/>
    <w:next w:val="Normal"/>
    <w:link w:val="Heading1Char"/>
    <w:uiPriority w:val="9"/>
    <w:qFormat/>
    <w:rsid w:val="004B54CA"/>
    <w:pPr>
      <w:spacing w:before="480"/>
      <w:contextualSpacing/>
      <w:outlineLvl w:val="0"/>
    </w:pPr>
    <w:rPr>
      <w:rFonts w:eastAsiaTheme="majorEastAsia" w:cstheme="majorBidi"/>
      <w:b/>
      <w:bCs/>
      <w:sz w:val="32"/>
      <w:szCs w:val="28"/>
    </w:rPr>
  </w:style>
  <w:style w:type="paragraph" w:styleId="Heading2">
    <w:name w:val="heading 2"/>
    <w:basedOn w:val="Normal"/>
    <w:next w:val="Normal"/>
    <w:link w:val="Heading2Char"/>
    <w:uiPriority w:val="9"/>
    <w:unhideWhenUsed/>
    <w:qFormat/>
    <w:rsid w:val="004B54CA"/>
    <w:pPr>
      <w:spacing w:before="200"/>
      <w:outlineLvl w:val="1"/>
    </w:pPr>
    <w:rPr>
      <w:rFonts w:eastAsiaTheme="majorEastAsia" w:cstheme="majorBidi"/>
      <w:b/>
      <w:bCs/>
      <w:sz w:val="26"/>
      <w:szCs w:val="26"/>
    </w:rPr>
  </w:style>
  <w:style w:type="paragraph" w:styleId="Heading3">
    <w:name w:val="heading 3"/>
    <w:basedOn w:val="Normal"/>
    <w:next w:val="Normal"/>
    <w:link w:val="Heading3Char"/>
    <w:uiPriority w:val="9"/>
    <w:unhideWhenUsed/>
    <w:qFormat/>
    <w:rsid w:val="004B54CA"/>
    <w:pPr>
      <w:spacing w:before="20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outlineLvl w:val="7"/>
    </w:pPr>
    <w:rPr>
      <w:rFonts w:eastAsiaTheme="majorEastAsia" w:cstheme="majorBidi"/>
      <w:sz w:val="20"/>
    </w:rPr>
  </w:style>
  <w:style w:type="paragraph" w:styleId="Heading9">
    <w:name w:val="heading 9"/>
    <w:basedOn w:val="Normal"/>
    <w:next w:val="Normal"/>
    <w:link w:val="Heading9Char"/>
    <w:uiPriority w:val="9"/>
    <w:unhideWhenUsed/>
    <w:qFormat/>
    <w:rsid w:val="004B54CA"/>
    <w:pPr>
      <w:outlineLvl w:val="8"/>
    </w:pPr>
    <w:rPr>
      <w:rFonts w:eastAsiaTheme="majorEastAsia" w:cstheme="majorBidi"/>
      <w:i/>
      <w:iCs/>
      <w:spacing w:val="5"/>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54CA"/>
    <w:rPr>
      <w:rFonts w:ascii="Arial" w:eastAsiaTheme="majorEastAsia" w:hAnsi="Arial" w:cstheme="majorBidi"/>
      <w:b/>
      <w:bCs/>
      <w:sz w:val="32"/>
      <w:szCs w:val="28"/>
    </w:rPr>
  </w:style>
  <w:style w:type="character" w:customStyle="1" w:styleId="Heading2Char">
    <w:name w:val="Heading 2 Char"/>
    <w:basedOn w:val="DefaultParagraphFont"/>
    <w:link w:val="Heading2"/>
    <w:uiPriority w:val="9"/>
    <w:rsid w:val="004B54CA"/>
    <w:rPr>
      <w:rFonts w:ascii="Arial" w:eastAsiaTheme="majorEastAsia" w:hAnsi="Arial" w:cstheme="majorBidi"/>
      <w:b/>
      <w:bCs/>
      <w:sz w:val="26"/>
      <w:szCs w:val="26"/>
    </w:rPr>
  </w:style>
  <w:style w:type="paragraph" w:styleId="NoSpacing">
    <w:name w:val="No Spacing"/>
    <w:basedOn w:val="Normal"/>
    <w:link w:val="NoSpacingChar"/>
    <w:uiPriority w:val="1"/>
    <w:qFormat/>
    <w:rsid w:val="004B54CA"/>
  </w:style>
  <w:style w:type="character" w:customStyle="1" w:styleId="Heading3Char">
    <w:name w:val="Heading 3 Char"/>
    <w:basedOn w:val="DefaultParagraphFont"/>
    <w:link w:val="Heading3"/>
    <w:uiPriority w:val="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4B54CA"/>
    <w:pPr>
      <w:pBdr>
        <w:bottom w:val="single" w:sz="4" w:space="1" w:color="auto"/>
      </w:pBdr>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qFormat/>
    <w:rsid w:val="004B54CA"/>
    <w:pPr>
      <w:spacing w:after="600"/>
    </w:pPr>
    <w:rPr>
      <w:rFonts w:eastAsiaTheme="majorEastAsia" w:cstheme="majorBidi"/>
      <w:i/>
      <w:iCs/>
      <w:spacing w:val="13"/>
      <w:szCs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basedOn w:val="Normal"/>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character" w:styleId="Hyperlink">
    <w:name w:val="Hyperlink"/>
    <w:basedOn w:val="DefaultParagraphFont"/>
    <w:uiPriority w:val="99"/>
    <w:unhideWhenUsed/>
    <w:rsid w:val="0000668E"/>
    <w:rPr>
      <w:color w:val="0000FF" w:themeColor="hyperlink"/>
      <w:u w:val="single"/>
    </w:rPr>
  </w:style>
  <w:style w:type="paragraph" w:styleId="BalloonText">
    <w:name w:val="Balloon Text"/>
    <w:basedOn w:val="Normal"/>
    <w:link w:val="BalloonTextChar"/>
    <w:uiPriority w:val="99"/>
    <w:semiHidden/>
    <w:unhideWhenUsed/>
    <w:rsid w:val="005F41C9"/>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41C9"/>
    <w:rPr>
      <w:rFonts w:ascii="Tahoma" w:eastAsia="Times New Roman" w:hAnsi="Tahoma" w:cs="Tahoma"/>
      <w:sz w:val="16"/>
      <w:szCs w:val="16"/>
      <w:lang w:eastAsia="en-AU"/>
    </w:rPr>
  </w:style>
  <w:style w:type="character" w:styleId="CommentReference">
    <w:name w:val="annotation reference"/>
    <w:basedOn w:val="DefaultParagraphFont"/>
    <w:unhideWhenUsed/>
    <w:rsid w:val="005F41C9"/>
    <w:rPr>
      <w:sz w:val="16"/>
      <w:szCs w:val="16"/>
    </w:rPr>
  </w:style>
  <w:style w:type="paragraph" w:styleId="CommentText">
    <w:name w:val="annotation text"/>
    <w:basedOn w:val="Normal"/>
    <w:link w:val="CommentTextChar"/>
    <w:unhideWhenUsed/>
    <w:rsid w:val="005F41C9"/>
    <w:rPr>
      <w:sz w:val="20"/>
    </w:rPr>
  </w:style>
  <w:style w:type="character" w:customStyle="1" w:styleId="CommentTextChar">
    <w:name w:val="Comment Text Char"/>
    <w:basedOn w:val="DefaultParagraphFont"/>
    <w:link w:val="CommentText"/>
    <w:rsid w:val="005F41C9"/>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5F41C9"/>
    <w:rPr>
      <w:b/>
      <w:bCs/>
    </w:rPr>
  </w:style>
  <w:style w:type="character" w:customStyle="1" w:styleId="CommentSubjectChar">
    <w:name w:val="Comment Subject Char"/>
    <w:basedOn w:val="CommentTextChar"/>
    <w:link w:val="CommentSubject"/>
    <w:uiPriority w:val="99"/>
    <w:semiHidden/>
    <w:rsid w:val="005F41C9"/>
    <w:rPr>
      <w:rFonts w:ascii="Times New Roman" w:eastAsia="Times New Roman" w:hAnsi="Times New Roman" w:cs="Times New Roman"/>
      <w:b/>
      <w:bCs/>
      <w:sz w:val="20"/>
      <w:szCs w:val="20"/>
      <w:lang w:eastAsia="en-AU"/>
    </w:rPr>
  </w:style>
  <w:style w:type="character" w:customStyle="1" w:styleId="paragraphChar">
    <w:name w:val="paragraph Char"/>
    <w:aliases w:val="a Char"/>
    <w:basedOn w:val="DefaultParagraphFont"/>
    <w:link w:val="paragraph"/>
    <w:locked/>
    <w:rsid w:val="008F5702"/>
    <w:rPr>
      <w:rFonts w:ascii="Times New Roman" w:eastAsia="Times New Roman" w:hAnsi="Times New Roman" w:cs="Times New Roman"/>
    </w:rPr>
  </w:style>
  <w:style w:type="paragraph" w:customStyle="1" w:styleId="paragraph">
    <w:name w:val="paragraph"/>
    <w:aliases w:val="a"/>
    <w:basedOn w:val="Normal"/>
    <w:link w:val="paragraphChar"/>
    <w:rsid w:val="008F5702"/>
    <w:pPr>
      <w:tabs>
        <w:tab w:val="right" w:pos="1531"/>
      </w:tabs>
      <w:spacing w:before="40"/>
      <w:ind w:left="1644" w:hanging="1644"/>
    </w:pPr>
    <w:rPr>
      <w:sz w:val="22"/>
      <w:szCs w:val="22"/>
      <w:lang w:eastAsia="en-US"/>
    </w:rPr>
  </w:style>
  <w:style w:type="paragraph" w:styleId="FootnoteText">
    <w:name w:val="footnote text"/>
    <w:basedOn w:val="Normal"/>
    <w:link w:val="FootnoteTextChar"/>
    <w:rsid w:val="00AD1645"/>
    <w:pPr>
      <w:spacing w:before="0"/>
    </w:pPr>
    <w:rPr>
      <w:sz w:val="20"/>
      <w:lang w:eastAsia="en-US"/>
    </w:rPr>
  </w:style>
  <w:style w:type="character" w:customStyle="1" w:styleId="FootnoteTextChar">
    <w:name w:val="Footnote Text Char"/>
    <w:basedOn w:val="DefaultParagraphFont"/>
    <w:link w:val="FootnoteText"/>
    <w:rsid w:val="00AD1645"/>
    <w:rPr>
      <w:rFonts w:ascii="Times New Roman" w:eastAsia="Times New Roman" w:hAnsi="Times New Roman" w:cs="Times New Roman"/>
      <w:sz w:val="20"/>
      <w:szCs w:val="20"/>
    </w:rPr>
  </w:style>
  <w:style w:type="character" w:styleId="FootnoteReference">
    <w:name w:val="footnote reference"/>
    <w:rsid w:val="00AD1645"/>
    <w:rPr>
      <w:vertAlign w:val="superscript"/>
    </w:rPr>
  </w:style>
  <w:style w:type="paragraph" w:styleId="NormalWeb">
    <w:name w:val="Normal (Web)"/>
    <w:basedOn w:val="Normal"/>
    <w:uiPriority w:val="99"/>
    <w:semiHidden/>
    <w:unhideWhenUsed/>
    <w:rsid w:val="006546B7"/>
    <w:pPr>
      <w:spacing w:before="100" w:beforeAutospacing="1" w:after="360" w:line="360" w:lineRule="atLeast"/>
    </w:pPr>
    <w:rPr>
      <w:szCs w:val="24"/>
    </w:rPr>
  </w:style>
  <w:style w:type="paragraph" w:styleId="Header">
    <w:name w:val="header"/>
    <w:basedOn w:val="Normal"/>
    <w:link w:val="HeaderChar"/>
    <w:uiPriority w:val="99"/>
    <w:unhideWhenUsed/>
    <w:rsid w:val="006546B7"/>
    <w:pPr>
      <w:tabs>
        <w:tab w:val="center" w:pos="4513"/>
        <w:tab w:val="right" w:pos="9026"/>
      </w:tabs>
      <w:spacing w:before="0"/>
    </w:pPr>
  </w:style>
  <w:style w:type="character" w:customStyle="1" w:styleId="HeaderChar">
    <w:name w:val="Header Char"/>
    <w:basedOn w:val="DefaultParagraphFont"/>
    <w:link w:val="Header"/>
    <w:uiPriority w:val="99"/>
    <w:rsid w:val="006546B7"/>
    <w:rPr>
      <w:rFonts w:ascii="Times New Roman" w:eastAsia="Times New Roman" w:hAnsi="Times New Roman" w:cs="Times New Roman"/>
      <w:sz w:val="24"/>
      <w:szCs w:val="20"/>
      <w:lang w:eastAsia="en-AU"/>
    </w:rPr>
  </w:style>
  <w:style w:type="paragraph" w:styleId="Footer">
    <w:name w:val="footer"/>
    <w:basedOn w:val="Normal"/>
    <w:link w:val="FooterChar"/>
    <w:uiPriority w:val="99"/>
    <w:unhideWhenUsed/>
    <w:rsid w:val="006546B7"/>
    <w:pPr>
      <w:tabs>
        <w:tab w:val="center" w:pos="4513"/>
        <w:tab w:val="right" w:pos="9026"/>
      </w:tabs>
      <w:spacing w:before="0"/>
    </w:pPr>
  </w:style>
  <w:style w:type="character" w:customStyle="1" w:styleId="FooterChar">
    <w:name w:val="Footer Char"/>
    <w:basedOn w:val="DefaultParagraphFont"/>
    <w:link w:val="Footer"/>
    <w:uiPriority w:val="99"/>
    <w:rsid w:val="006546B7"/>
    <w:rPr>
      <w:rFonts w:ascii="Times New Roman" w:eastAsia="Times New Roman" w:hAnsi="Times New Roman" w:cs="Times New Roman"/>
      <w:sz w:val="24"/>
      <w:szCs w:val="20"/>
      <w:lang w:eastAsia="en-AU"/>
    </w:rPr>
  </w:style>
  <w:style w:type="character" w:styleId="FollowedHyperlink">
    <w:name w:val="FollowedHyperlink"/>
    <w:basedOn w:val="DefaultParagraphFont"/>
    <w:uiPriority w:val="99"/>
    <w:semiHidden/>
    <w:unhideWhenUsed/>
    <w:rsid w:val="0048241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9824366">
      <w:bodyDiv w:val="1"/>
      <w:marLeft w:val="0"/>
      <w:marRight w:val="0"/>
      <w:marTop w:val="0"/>
      <w:marBottom w:val="0"/>
      <w:divBdr>
        <w:top w:val="none" w:sz="0" w:space="0" w:color="auto"/>
        <w:left w:val="none" w:sz="0" w:space="0" w:color="auto"/>
        <w:bottom w:val="none" w:sz="0" w:space="0" w:color="auto"/>
        <w:right w:val="none" w:sz="0" w:space="0" w:color="auto"/>
      </w:divBdr>
      <w:divsChild>
        <w:div w:id="1874532471">
          <w:marLeft w:val="0"/>
          <w:marRight w:val="0"/>
          <w:marTop w:val="0"/>
          <w:marBottom w:val="0"/>
          <w:divBdr>
            <w:top w:val="none" w:sz="0" w:space="0" w:color="auto"/>
            <w:left w:val="none" w:sz="0" w:space="0" w:color="auto"/>
            <w:bottom w:val="none" w:sz="0" w:space="0" w:color="auto"/>
            <w:right w:val="none" w:sz="0" w:space="0" w:color="auto"/>
          </w:divBdr>
          <w:divsChild>
            <w:div w:id="1395153522">
              <w:marLeft w:val="0"/>
              <w:marRight w:val="0"/>
              <w:marTop w:val="0"/>
              <w:marBottom w:val="0"/>
              <w:divBdr>
                <w:top w:val="none" w:sz="0" w:space="0" w:color="auto"/>
                <w:left w:val="none" w:sz="0" w:space="0" w:color="auto"/>
                <w:bottom w:val="none" w:sz="0" w:space="0" w:color="auto"/>
                <w:right w:val="none" w:sz="0" w:space="0" w:color="auto"/>
              </w:divBdr>
              <w:divsChild>
                <w:div w:id="1532455929">
                  <w:marLeft w:val="0"/>
                  <w:marRight w:val="0"/>
                  <w:marTop w:val="0"/>
                  <w:marBottom w:val="0"/>
                  <w:divBdr>
                    <w:top w:val="none" w:sz="0" w:space="0" w:color="auto"/>
                    <w:left w:val="none" w:sz="0" w:space="0" w:color="auto"/>
                    <w:bottom w:val="none" w:sz="0" w:space="0" w:color="auto"/>
                    <w:right w:val="none" w:sz="0" w:space="0" w:color="auto"/>
                  </w:divBdr>
                  <w:divsChild>
                    <w:div w:id="1844978142">
                      <w:marLeft w:val="0"/>
                      <w:marRight w:val="0"/>
                      <w:marTop w:val="0"/>
                      <w:marBottom w:val="0"/>
                      <w:divBdr>
                        <w:top w:val="none" w:sz="0" w:space="0" w:color="auto"/>
                        <w:left w:val="none" w:sz="0" w:space="0" w:color="auto"/>
                        <w:bottom w:val="none" w:sz="0" w:space="0" w:color="auto"/>
                        <w:right w:val="none" w:sz="0" w:space="0" w:color="auto"/>
                      </w:divBdr>
                      <w:divsChild>
                        <w:div w:id="1700012678">
                          <w:marLeft w:val="0"/>
                          <w:marRight w:val="0"/>
                          <w:marTop w:val="0"/>
                          <w:marBottom w:val="0"/>
                          <w:divBdr>
                            <w:top w:val="none" w:sz="0" w:space="0" w:color="auto"/>
                            <w:left w:val="none" w:sz="0" w:space="0" w:color="auto"/>
                            <w:bottom w:val="none" w:sz="0" w:space="0" w:color="auto"/>
                            <w:right w:val="none" w:sz="0" w:space="0" w:color="auto"/>
                          </w:divBdr>
                          <w:divsChild>
                            <w:div w:id="1876312792">
                              <w:marLeft w:val="0"/>
                              <w:marRight w:val="0"/>
                              <w:marTop w:val="0"/>
                              <w:marBottom w:val="0"/>
                              <w:divBdr>
                                <w:top w:val="none" w:sz="0" w:space="0" w:color="auto"/>
                                <w:left w:val="none" w:sz="0" w:space="0" w:color="auto"/>
                                <w:bottom w:val="none" w:sz="0" w:space="0" w:color="auto"/>
                                <w:right w:val="none" w:sz="0" w:space="0" w:color="auto"/>
                              </w:divBdr>
                              <w:divsChild>
                                <w:div w:id="1858275245">
                                  <w:marLeft w:val="0"/>
                                  <w:marRight w:val="0"/>
                                  <w:marTop w:val="0"/>
                                  <w:marBottom w:val="0"/>
                                  <w:divBdr>
                                    <w:top w:val="none" w:sz="0" w:space="0" w:color="auto"/>
                                    <w:left w:val="none" w:sz="0" w:space="0" w:color="auto"/>
                                    <w:bottom w:val="none" w:sz="0" w:space="0" w:color="auto"/>
                                    <w:right w:val="none" w:sz="0" w:space="0" w:color="auto"/>
                                  </w:divBdr>
                                  <w:divsChild>
                                    <w:div w:id="535237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52584912">
      <w:bodyDiv w:val="1"/>
      <w:marLeft w:val="0"/>
      <w:marRight w:val="0"/>
      <w:marTop w:val="0"/>
      <w:marBottom w:val="0"/>
      <w:divBdr>
        <w:top w:val="none" w:sz="0" w:space="0" w:color="auto"/>
        <w:left w:val="none" w:sz="0" w:space="0" w:color="auto"/>
        <w:bottom w:val="none" w:sz="0" w:space="0" w:color="auto"/>
        <w:right w:val="none" w:sz="0" w:space="0" w:color="auto"/>
      </w:divBdr>
      <w:divsChild>
        <w:div w:id="1739396300">
          <w:marLeft w:val="0"/>
          <w:marRight w:val="0"/>
          <w:marTop w:val="0"/>
          <w:marBottom w:val="0"/>
          <w:divBdr>
            <w:top w:val="none" w:sz="0" w:space="0" w:color="auto"/>
            <w:left w:val="none" w:sz="0" w:space="0" w:color="auto"/>
            <w:bottom w:val="none" w:sz="0" w:space="0" w:color="auto"/>
            <w:right w:val="none" w:sz="0" w:space="0" w:color="auto"/>
          </w:divBdr>
          <w:divsChild>
            <w:div w:id="1122576082">
              <w:marLeft w:val="0"/>
              <w:marRight w:val="0"/>
              <w:marTop w:val="0"/>
              <w:marBottom w:val="0"/>
              <w:divBdr>
                <w:top w:val="none" w:sz="0" w:space="0" w:color="auto"/>
                <w:left w:val="none" w:sz="0" w:space="0" w:color="auto"/>
                <w:bottom w:val="none" w:sz="0" w:space="0" w:color="auto"/>
                <w:right w:val="none" w:sz="0" w:space="0" w:color="auto"/>
              </w:divBdr>
              <w:divsChild>
                <w:div w:id="1088576200">
                  <w:marLeft w:val="0"/>
                  <w:marRight w:val="0"/>
                  <w:marTop w:val="100"/>
                  <w:marBottom w:val="100"/>
                  <w:divBdr>
                    <w:top w:val="none" w:sz="0" w:space="0" w:color="auto"/>
                    <w:left w:val="none" w:sz="0" w:space="0" w:color="auto"/>
                    <w:bottom w:val="none" w:sz="0" w:space="0" w:color="auto"/>
                    <w:right w:val="none" w:sz="0" w:space="0" w:color="auto"/>
                  </w:divBdr>
                  <w:divsChild>
                    <w:div w:id="1981104855">
                      <w:marLeft w:val="0"/>
                      <w:marRight w:val="0"/>
                      <w:marTop w:val="0"/>
                      <w:marBottom w:val="0"/>
                      <w:divBdr>
                        <w:top w:val="none" w:sz="0" w:space="0" w:color="auto"/>
                        <w:left w:val="none" w:sz="0" w:space="0" w:color="auto"/>
                        <w:bottom w:val="none" w:sz="0" w:space="0" w:color="auto"/>
                        <w:right w:val="none" w:sz="0" w:space="0" w:color="auto"/>
                      </w:divBdr>
                      <w:divsChild>
                        <w:div w:id="1465347980">
                          <w:marLeft w:val="0"/>
                          <w:marRight w:val="0"/>
                          <w:marTop w:val="0"/>
                          <w:marBottom w:val="0"/>
                          <w:divBdr>
                            <w:top w:val="none" w:sz="0" w:space="0" w:color="auto"/>
                            <w:left w:val="none" w:sz="0" w:space="0" w:color="auto"/>
                            <w:bottom w:val="none" w:sz="0" w:space="0" w:color="auto"/>
                            <w:right w:val="none" w:sz="0" w:space="0" w:color="auto"/>
                          </w:divBdr>
                          <w:divsChild>
                            <w:div w:id="1978293757">
                              <w:marLeft w:val="0"/>
                              <w:marRight w:val="0"/>
                              <w:marTop w:val="0"/>
                              <w:marBottom w:val="0"/>
                              <w:divBdr>
                                <w:top w:val="none" w:sz="0" w:space="0" w:color="auto"/>
                                <w:left w:val="none" w:sz="0" w:space="0" w:color="auto"/>
                                <w:bottom w:val="none" w:sz="0" w:space="0" w:color="auto"/>
                                <w:right w:val="none" w:sz="0" w:space="0" w:color="auto"/>
                              </w:divBdr>
                              <w:divsChild>
                                <w:div w:id="1138452477">
                                  <w:marLeft w:val="0"/>
                                  <w:marRight w:val="0"/>
                                  <w:marTop w:val="0"/>
                                  <w:marBottom w:val="0"/>
                                  <w:divBdr>
                                    <w:top w:val="none" w:sz="0" w:space="0" w:color="auto"/>
                                    <w:left w:val="none" w:sz="0" w:space="0" w:color="auto"/>
                                    <w:bottom w:val="none" w:sz="0" w:space="0" w:color="auto"/>
                                    <w:right w:val="none" w:sz="0" w:space="0" w:color="auto"/>
                                  </w:divBdr>
                                  <w:divsChild>
                                    <w:div w:id="760952370">
                                      <w:marLeft w:val="0"/>
                                      <w:marRight w:val="0"/>
                                      <w:marTop w:val="0"/>
                                      <w:marBottom w:val="0"/>
                                      <w:divBdr>
                                        <w:top w:val="none" w:sz="0" w:space="0" w:color="auto"/>
                                        <w:left w:val="none" w:sz="0" w:space="0" w:color="auto"/>
                                        <w:bottom w:val="none" w:sz="0" w:space="0" w:color="auto"/>
                                        <w:right w:val="none" w:sz="0" w:space="0" w:color="auto"/>
                                      </w:divBdr>
                                      <w:divsChild>
                                        <w:div w:id="1368337225">
                                          <w:marLeft w:val="0"/>
                                          <w:marRight w:val="0"/>
                                          <w:marTop w:val="0"/>
                                          <w:marBottom w:val="360"/>
                                          <w:divBdr>
                                            <w:top w:val="none" w:sz="0" w:space="0" w:color="auto"/>
                                            <w:left w:val="none" w:sz="0" w:space="0" w:color="auto"/>
                                            <w:bottom w:val="none" w:sz="0" w:space="0" w:color="auto"/>
                                            <w:right w:val="none" w:sz="0" w:space="0" w:color="auto"/>
                                          </w:divBdr>
                                          <w:divsChild>
                                            <w:div w:id="1894659458">
                                              <w:marLeft w:val="0"/>
                                              <w:marRight w:val="0"/>
                                              <w:marTop w:val="0"/>
                                              <w:marBottom w:val="0"/>
                                              <w:divBdr>
                                                <w:top w:val="none" w:sz="0" w:space="0" w:color="auto"/>
                                                <w:left w:val="none" w:sz="0" w:space="0" w:color="auto"/>
                                                <w:bottom w:val="none" w:sz="0" w:space="0" w:color="auto"/>
                                                <w:right w:val="none" w:sz="0" w:space="0" w:color="auto"/>
                                              </w:divBdr>
                                              <w:divsChild>
                                                <w:div w:id="599028053">
                                                  <w:marLeft w:val="0"/>
                                                  <w:marRight w:val="0"/>
                                                  <w:marTop w:val="0"/>
                                                  <w:marBottom w:val="0"/>
                                                  <w:divBdr>
                                                    <w:top w:val="none" w:sz="0" w:space="0" w:color="auto"/>
                                                    <w:left w:val="none" w:sz="0" w:space="0" w:color="auto"/>
                                                    <w:bottom w:val="none" w:sz="0" w:space="0" w:color="auto"/>
                                                    <w:right w:val="none" w:sz="0" w:space="0" w:color="auto"/>
                                                  </w:divBdr>
                                                  <w:divsChild>
                                                    <w:div w:id="1734889108">
                                                      <w:marLeft w:val="5370"/>
                                                      <w:marRight w:val="0"/>
                                                      <w:marTop w:val="120"/>
                                                      <w:marBottom w:val="0"/>
                                                      <w:divBdr>
                                                        <w:top w:val="none" w:sz="0" w:space="0" w:color="auto"/>
                                                        <w:left w:val="none" w:sz="0" w:space="0" w:color="auto"/>
                                                        <w:bottom w:val="none" w:sz="0" w:space="0" w:color="auto"/>
                                                        <w:right w:val="none" w:sz="0" w:space="0" w:color="auto"/>
                                                      </w:divBdr>
                                                      <w:divsChild>
                                                        <w:div w:id="131559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09205166">
      <w:bodyDiv w:val="1"/>
      <w:marLeft w:val="0"/>
      <w:marRight w:val="0"/>
      <w:marTop w:val="0"/>
      <w:marBottom w:val="0"/>
      <w:divBdr>
        <w:top w:val="none" w:sz="0" w:space="0" w:color="auto"/>
        <w:left w:val="none" w:sz="0" w:space="0" w:color="auto"/>
        <w:bottom w:val="none" w:sz="0" w:space="0" w:color="auto"/>
        <w:right w:val="none" w:sz="0" w:space="0" w:color="auto"/>
      </w:divBdr>
    </w:div>
    <w:div w:id="1829861287">
      <w:bodyDiv w:val="1"/>
      <w:marLeft w:val="0"/>
      <w:marRight w:val="0"/>
      <w:marTop w:val="0"/>
      <w:marBottom w:val="0"/>
      <w:divBdr>
        <w:top w:val="none" w:sz="0" w:space="0" w:color="auto"/>
        <w:left w:val="none" w:sz="0" w:space="0" w:color="auto"/>
        <w:bottom w:val="none" w:sz="0" w:space="0" w:color="auto"/>
        <w:right w:val="none" w:sz="0" w:space="0" w:color="auto"/>
      </w:divBdr>
      <w:divsChild>
        <w:div w:id="1659578023">
          <w:marLeft w:val="0"/>
          <w:marRight w:val="0"/>
          <w:marTop w:val="0"/>
          <w:marBottom w:val="0"/>
          <w:divBdr>
            <w:top w:val="none" w:sz="0" w:space="0" w:color="auto"/>
            <w:left w:val="none" w:sz="0" w:space="0" w:color="auto"/>
            <w:bottom w:val="none" w:sz="0" w:space="0" w:color="auto"/>
            <w:right w:val="none" w:sz="0" w:space="0" w:color="auto"/>
          </w:divBdr>
          <w:divsChild>
            <w:div w:id="2115133292">
              <w:marLeft w:val="0"/>
              <w:marRight w:val="0"/>
              <w:marTop w:val="0"/>
              <w:marBottom w:val="0"/>
              <w:divBdr>
                <w:top w:val="none" w:sz="0" w:space="0" w:color="auto"/>
                <w:left w:val="none" w:sz="0" w:space="0" w:color="auto"/>
                <w:bottom w:val="none" w:sz="0" w:space="0" w:color="auto"/>
                <w:right w:val="none" w:sz="0" w:space="0" w:color="auto"/>
              </w:divBdr>
              <w:divsChild>
                <w:div w:id="1392001275">
                  <w:marLeft w:val="0"/>
                  <w:marRight w:val="0"/>
                  <w:marTop w:val="0"/>
                  <w:marBottom w:val="0"/>
                  <w:divBdr>
                    <w:top w:val="none" w:sz="0" w:space="0" w:color="auto"/>
                    <w:left w:val="none" w:sz="0" w:space="0" w:color="auto"/>
                    <w:bottom w:val="none" w:sz="0" w:space="0" w:color="auto"/>
                    <w:right w:val="none" w:sz="0" w:space="0" w:color="auto"/>
                  </w:divBdr>
                  <w:divsChild>
                    <w:div w:id="1089621723">
                      <w:marLeft w:val="0"/>
                      <w:marRight w:val="0"/>
                      <w:marTop w:val="0"/>
                      <w:marBottom w:val="0"/>
                      <w:divBdr>
                        <w:top w:val="none" w:sz="0" w:space="0" w:color="auto"/>
                        <w:left w:val="none" w:sz="0" w:space="0" w:color="auto"/>
                        <w:bottom w:val="none" w:sz="0" w:space="0" w:color="auto"/>
                        <w:right w:val="none" w:sz="0" w:space="0" w:color="auto"/>
                      </w:divBdr>
                      <w:divsChild>
                        <w:div w:id="1386103004">
                          <w:marLeft w:val="0"/>
                          <w:marRight w:val="0"/>
                          <w:marTop w:val="0"/>
                          <w:marBottom w:val="0"/>
                          <w:divBdr>
                            <w:top w:val="none" w:sz="0" w:space="0" w:color="auto"/>
                            <w:left w:val="none" w:sz="0" w:space="0" w:color="auto"/>
                            <w:bottom w:val="none" w:sz="0" w:space="0" w:color="auto"/>
                            <w:right w:val="none" w:sz="0" w:space="0" w:color="auto"/>
                          </w:divBdr>
                          <w:divsChild>
                            <w:div w:id="1679186248">
                              <w:marLeft w:val="0"/>
                              <w:marRight w:val="0"/>
                              <w:marTop w:val="0"/>
                              <w:marBottom w:val="0"/>
                              <w:divBdr>
                                <w:top w:val="none" w:sz="0" w:space="0" w:color="auto"/>
                                <w:left w:val="none" w:sz="0" w:space="0" w:color="auto"/>
                                <w:bottom w:val="none" w:sz="0" w:space="0" w:color="auto"/>
                                <w:right w:val="none" w:sz="0" w:space="0" w:color="auto"/>
                              </w:divBdr>
                              <w:divsChild>
                                <w:div w:id="28654549">
                                  <w:marLeft w:val="0"/>
                                  <w:marRight w:val="0"/>
                                  <w:marTop w:val="0"/>
                                  <w:marBottom w:val="0"/>
                                  <w:divBdr>
                                    <w:top w:val="none" w:sz="0" w:space="0" w:color="auto"/>
                                    <w:left w:val="none" w:sz="0" w:space="0" w:color="auto"/>
                                    <w:bottom w:val="none" w:sz="0" w:space="0" w:color="auto"/>
                                    <w:right w:val="none" w:sz="0" w:space="0" w:color="auto"/>
                                  </w:divBdr>
                                  <w:divsChild>
                                    <w:div w:id="151722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6791025">
      <w:bodyDiv w:val="1"/>
      <w:marLeft w:val="0"/>
      <w:marRight w:val="0"/>
      <w:marTop w:val="0"/>
      <w:marBottom w:val="0"/>
      <w:divBdr>
        <w:top w:val="none" w:sz="0" w:space="0" w:color="auto"/>
        <w:left w:val="none" w:sz="0" w:space="0" w:color="auto"/>
        <w:bottom w:val="none" w:sz="0" w:space="0" w:color="auto"/>
        <w:right w:val="none" w:sz="0" w:space="0" w:color="auto"/>
      </w:divBdr>
    </w:div>
    <w:div w:id="2020697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PDMS Document" ma:contentTypeID="0x010100266966F133664895A6EE3632470D45F5006FF336696875B542A78E86E46E07A142" ma:contentTypeVersion="" ma:contentTypeDescription="PDMS Document Site Content Type" ma:contentTypeScope="" ma:versionID="3dcc478bfcdd75a8818df0a3d3a0bd68">
  <xsd:schema xmlns:xsd="http://www.w3.org/2001/XMLSchema" xmlns:xs="http://www.w3.org/2001/XMLSchema" xmlns:p="http://schemas.microsoft.com/office/2006/metadata/properties" xmlns:ns2="5C4094CD-E5F4-4026-BE8E-5F0F677F1268" targetNamespace="http://schemas.microsoft.com/office/2006/metadata/properties" ma:root="true" ma:fieldsID="c6b48d602d343550263502a44758ce2d" ns2:_="">
    <xsd:import namespace="5C4094CD-E5F4-4026-BE8E-5F0F677F1268"/>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4094CD-E5F4-4026-BE8E-5F0F677F1268"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ecurityClassification xmlns="5C4094CD-E5F4-4026-BE8E-5F0F677F1268"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1A86DC-8F97-4DA9-BEDF-3F865DDF38B4}">
  <ds:schemaRefs>
    <ds:schemaRef ds:uri="http://schemas.microsoft.com/sharepoint/v3/contenttype/forms"/>
  </ds:schemaRefs>
</ds:datastoreItem>
</file>

<file path=customXml/itemProps2.xml><?xml version="1.0" encoding="utf-8"?>
<ds:datastoreItem xmlns:ds="http://schemas.openxmlformats.org/officeDocument/2006/customXml" ds:itemID="{317C69F6-B169-479C-BA72-F8012A63C5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4094CD-E5F4-4026-BE8E-5F0F677F12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6DE9566-5B2C-4C5A-AD30-06D31D5D07A6}">
  <ds:schemaRefs>
    <ds:schemaRef ds:uri="http://schemas.microsoft.com/office/infopath/2007/PartnerControls"/>
    <ds:schemaRef ds:uri="5C4094CD-E5F4-4026-BE8E-5F0F677F1268"/>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www.w3.org/XML/1998/namespace"/>
  </ds:schemaRefs>
</ds:datastoreItem>
</file>

<file path=customXml/itemProps4.xml><?xml version="1.0" encoding="utf-8"?>
<ds:datastoreItem xmlns:ds="http://schemas.openxmlformats.org/officeDocument/2006/customXml" ds:itemID="{58038735-CF22-4F7C-9488-AFF9B59D02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2684</Words>
  <Characters>15087</Characters>
  <Application>Microsoft Office Word</Application>
  <DocSecurity>0</DocSecurity>
  <Lines>295</Lines>
  <Paragraphs>85</Paragraphs>
  <ScaleCrop>false</ScaleCrop>
  <HeadingPairs>
    <vt:vector size="2" baseType="variant">
      <vt:variant>
        <vt:lpstr>Title</vt:lpstr>
      </vt:variant>
      <vt:variant>
        <vt:i4>1</vt:i4>
      </vt:variant>
    </vt:vector>
  </HeadingPairs>
  <TitlesOfParts>
    <vt:vector size="1" baseType="lpstr">
      <vt:lpstr/>
    </vt:vector>
  </TitlesOfParts>
  <Company>FaHCSIA</Company>
  <LinksUpToDate>false</LinksUpToDate>
  <CharactersWithSpaces>17686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THOMPSON, Duncan</dc:creator>
  <cp:keywords>[SEC=OFFICIAL:Sensitive]</cp:keywords>
  <cp:lastModifiedBy>RUBENSTEIN, Sarah</cp:lastModifiedBy>
  <cp:revision>2</cp:revision>
  <cp:lastPrinted>2016-04-08T01:41:00Z</cp:lastPrinted>
  <dcterms:created xsi:type="dcterms:W3CDTF">2021-09-29T00:02:00Z</dcterms:created>
  <dcterms:modified xsi:type="dcterms:W3CDTF">2021-09-29T00:02:00Z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 Sensitive</vt:lpwstr>
  </property>
  <property fmtid="{D5CDD505-2E9C-101B-9397-08002B2CF9AE}" pid="5" name="PM_Qualifier">
    <vt:lpwstr/>
  </property>
  <property fmtid="{D5CDD505-2E9C-101B-9397-08002B2CF9AE}" pid="6" name="PM_SecurityClassification">
    <vt:lpwstr>OFFICIAL:Sensitive</vt:lpwstr>
  </property>
  <property fmtid="{D5CDD505-2E9C-101B-9397-08002B2CF9AE}" pid="7" name="PM_InsertionValue">
    <vt:lpwstr>OFFICIAL: Sensitive</vt:lpwstr>
  </property>
  <property fmtid="{D5CDD505-2E9C-101B-9397-08002B2CF9AE}" pid="8" name="PM_Originating_FileId">
    <vt:lpwstr>22E0338430DB4C098725A8E62B5ABBAF</vt:lpwstr>
  </property>
  <property fmtid="{D5CDD505-2E9C-101B-9397-08002B2CF9AE}" pid="9" name="PM_ProtectiveMarkingValue_Footer">
    <vt:lpwstr>OFFICIAL: Sensitive Legal privilege</vt:lpwstr>
  </property>
  <property fmtid="{D5CDD505-2E9C-101B-9397-08002B2CF9AE}" pid="10" name="PM_Originator_Hash_SHA1">
    <vt:lpwstr>86DF37FEDADEB87644F12A773FE34210645B7F60</vt:lpwstr>
  </property>
  <property fmtid="{D5CDD505-2E9C-101B-9397-08002B2CF9AE}" pid="11" name="PM_OriginationTimeStamp">
    <vt:lpwstr>2021-09-29T00:02:26Z</vt:lpwstr>
  </property>
  <property fmtid="{D5CDD505-2E9C-101B-9397-08002B2CF9AE}" pid="12" name="PM_ProtectiveMarkingValue_Header">
    <vt:lpwstr>OFFICIAL: Sensitive Legal privilege</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Legal-Privilege</vt:lpwstr>
  </property>
  <property fmtid="{D5CDD505-2E9C-101B-9397-08002B2CF9AE}" pid="18" name="PM_Hash_Version">
    <vt:lpwstr>2018.0</vt:lpwstr>
  </property>
  <property fmtid="{D5CDD505-2E9C-101B-9397-08002B2CF9AE}" pid="19" name="PM_Hash_Salt_Prev">
    <vt:lpwstr>7EC65395500177BB5969ABDE1BCE23ED</vt:lpwstr>
  </property>
  <property fmtid="{D5CDD505-2E9C-101B-9397-08002B2CF9AE}" pid="20" name="PM_Hash_Salt">
    <vt:lpwstr>F6E9B839288717860D5EE7515226A10E</vt:lpwstr>
  </property>
  <property fmtid="{D5CDD505-2E9C-101B-9397-08002B2CF9AE}" pid="21" name="PM_Hash_SHA1">
    <vt:lpwstr>6893A44D5E923637AAE218E852991C810903EF0F</vt:lpwstr>
  </property>
  <property fmtid="{D5CDD505-2E9C-101B-9397-08002B2CF9AE}" pid="22" name="PM_SecurityClassification_Prev">
    <vt:lpwstr>OFFICIAL:Sensitive</vt:lpwstr>
  </property>
  <property fmtid="{D5CDD505-2E9C-101B-9397-08002B2CF9AE}" pid="23" name="PM_Qualifier_Prev">
    <vt:lpwstr/>
  </property>
  <property fmtid="{D5CDD505-2E9C-101B-9397-08002B2CF9AE}" pid="24" name="ContentTypeId">
    <vt:lpwstr>0x010100266966F133664895A6EE3632470D45F5006FF336696875B542A78E86E46E07A142</vt:lpwstr>
  </property>
</Properties>
</file>