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54D6" w14:textId="4E60C5CD" w:rsidR="002A3B15" w:rsidRPr="00934F2D" w:rsidRDefault="007F0FCB" w:rsidP="007F0F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F2D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EXPLANATORY STATEMENT</w:t>
      </w:r>
    </w:p>
    <w:p w14:paraId="719121E3" w14:textId="336A5E75" w:rsidR="007F0FCB" w:rsidRPr="00934F2D" w:rsidRDefault="007F0FCB" w:rsidP="007F0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F2D">
        <w:rPr>
          <w:rFonts w:ascii="Times New Roman" w:hAnsi="Times New Roman" w:cs="Times New Roman"/>
          <w:sz w:val="24"/>
          <w:szCs w:val="24"/>
        </w:rPr>
        <w:t xml:space="preserve">Issued by Authority of the </w:t>
      </w:r>
      <w:r w:rsidR="00C8637D" w:rsidRPr="00934F2D">
        <w:rPr>
          <w:rFonts w:ascii="Times New Roman" w:hAnsi="Times New Roman" w:cs="Times New Roman"/>
          <w:sz w:val="24"/>
          <w:szCs w:val="24"/>
        </w:rPr>
        <w:t>Minister for Regional Health</w:t>
      </w:r>
    </w:p>
    <w:p w14:paraId="4E02C5EF" w14:textId="77777777" w:rsidR="003567EB" w:rsidRPr="00934F2D" w:rsidRDefault="003567EB" w:rsidP="00356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93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Industrial Chemicals Act 2019</w:t>
      </w:r>
    </w:p>
    <w:p w14:paraId="5B704999" w14:textId="77777777" w:rsidR="003567EB" w:rsidRPr="00934F2D" w:rsidRDefault="003567EB" w:rsidP="00356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7DC4625F" w14:textId="77777777" w:rsidR="003567EB" w:rsidRPr="00934F2D" w:rsidRDefault="003567EB" w:rsidP="00356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93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Industrial Chemicals (General) Rules 2019</w:t>
      </w:r>
    </w:p>
    <w:p w14:paraId="71FED703" w14:textId="77777777" w:rsidR="003567EB" w:rsidRPr="00934F2D" w:rsidRDefault="003567EB" w:rsidP="00356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93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 </w:t>
      </w:r>
    </w:p>
    <w:p w14:paraId="411B8713" w14:textId="21033F59" w:rsidR="004A55F0" w:rsidRPr="00934F2D" w:rsidRDefault="003567EB" w:rsidP="004A55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93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Industrial Chemicals (General) Amendment (Minamata Convention on Mercury) Rules 2021</w:t>
      </w:r>
    </w:p>
    <w:p w14:paraId="14A1FD98" w14:textId="77777777" w:rsidR="002B315E" w:rsidRPr="00934F2D" w:rsidRDefault="002B315E" w:rsidP="004A55F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AU"/>
        </w:rPr>
      </w:pPr>
    </w:p>
    <w:p w14:paraId="41D5BE7A" w14:textId="00EDF11C" w:rsidR="00CE4BD2" w:rsidRPr="00934F2D" w:rsidRDefault="003B1EE4" w:rsidP="00B81CD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n-AU"/>
        </w:rPr>
      </w:pPr>
      <w:r w:rsidRPr="00934F2D">
        <w:rPr>
          <w:rFonts w:ascii="Times New Roman" w:hAnsi="Times New Roman" w:cs="Times New Roman"/>
          <w:sz w:val="24"/>
          <w:szCs w:val="24"/>
        </w:rPr>
        <w:t xml:space="preserve">The </w:t>
      </w:r>
      <w:r w:rsidRPr="00934F2D">
        <w:rPr>
          <w:rFonts w:ascii="Times New Roman" w:hAnsi="Times New Roman" w:cs="Times New Roman"/>
          <w:i/>
          <w:iCs/>
          <w:sz w:val="24"/>
          <w:szCs w:val="24"/>
        </w:rPr>
        <w:t>Industrial Chemicals Act 2019</w:t>
      </w:r>
      <w:r w:rsidRPr="00934F2D">
        <w:rPr>
          <w:rFonts w:ascii="Times New Roman" w:hAnsi="Times New Roman" w:cs="Times New Roman"/>
          <w:sz w:val="24"/>
          <w:szCs w:val="24"/>
        </w:rPr>
        <w:t xml:space="preserve"> (the IC Act) establishes the legislative framework for a risk-based scheme for the Commonwealth regulation of the introduction of industrial chemicals in Australia.</w:t>
      </w:r>
      <w:r w:rsidR="00CE4BD2" w:rsidRPr="00934F2D">
        <w:rPr>
          <w:rFonts w:ascii="Times New Roman" w:hAnsi="Times New Roman" w:cs="Times New Roman"/>
          <w:sz w:val="24"/>
          <w:szCs w:val="24"/>
        </w:rPr>
        <w:t xml:space="preserve"> </w:t>
      </w:r>
      <w:r w:rsidR="00CE4BD2"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 </w:t>
      </w:r>
      <w:r w:rsidR="00CE4BD2" w:rsidRPr="0093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Industrial Chemicals (General) Rules 2019</w:t>
      </w:r>
      <w:r w:rsidR="00CE4BD2"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(the IC Rules) form part of the legislative framework to establish a risk-based regulatory scheme for the introduction of industrial chemicals in Australia.</w:t>
      </w:r>
    </w:p>
    <w:p w14:paraId="0803EFC7" w14:textId="75EB5796" w:rsidR="00B81CD8" w:rsidRPr="00934F2D" w:rsidRDefault="00CE4BD2" w:rsidP="00B81CD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394FF2" w:rsidRPr="0093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Industrial Chemicals (General) Amendment (Minamata Convention on Mercury) Rules 2021</w:t>
      </w:r>
      <w:r w:rsidR="00394FF2"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B81CD8"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(the </w:t>
      </w:r>
      <w:r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 Rules</w:t>
      </w:r>
      <w:r w:rsidR="00B81CD8"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amend the IC Rules</w:t>
      </w:r>
      <w:r w:rsidRPr="00934F2D">
        <w:rPr>
          <w:rFonts w:ascii="Calibri" w:eastAsia="Times New Roman" w:hAnsi="Calibri" w:cs="Calibri"/>
          <w:color w:val="000000"/>
          <w:lang w:eastAsia="en-AU"/>
        </w:rPr>
        <w:t> </w:t>
      </w:r>
      <w:r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implement Australia’s obligations under Articles 3(6) and 3(8) of the Minamata Convention on Mercury (</w:t>
      </w:r>
      <w:r w:rsidR="00D64F3B"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Pr="00934F2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Minamata Convention), once that Convention comes into force for Australia.</w:t>
      </w:r>
    </w:p>
    <w:p w14:paraId="2D581ABF" w14:textId="1D2D7022" w:rsidR="007F0FCB" w:rsidRPr="00934F2D" w:rsidRDefault="007F0FCB">
      <w:pPr>
        <w:rPr>
          <w:rFonts w:ascii="Times New Roman" w:hAnsi="Times New Roman" w:cs="Times New Roman"/>
          <w:sz w:val="24"/>
          <w:szCs w:val="24"/>
        </w:rPr>
      </w:pPr>
      <w:r w:rsidRPr="00934F2D">
        <w:rPr>
          <w:rFonts w:ascii="Times New Roman" w:hAnsi="Times New Roman" w:cs="Times New Roman"/>
          <w:sz w:val="24"/>
          <w:szCs w:val="24"/>
        </w:rPr>
        <w:t>The details of the Amendment R</w:t>
      </w:r>
      <w:r w:rsidR="00D64F3B" w:rsidRPr="00934F2D">
        <w:rPr>
          <w:rFonts w:ascii="Times New Roman" w:hAnsi="Times New Roman" w:cs="Times New Roman"/>
          <w:sz w:val="24"/>
          <w:szCs w:val="24"/>
        </w:rPr>
        <w:t>ules</w:t>
      </w:r>
      <w:r w:rsidRPr="00934F2D">
        <w:rPr>
          <w:rFonts w:ascii="Times New Roman" w:hAnsi="Times New Roman" w:cs="Times New Roman"/>
          <w:sz w:val="24"/>
          <w:szCs w:val="24"/>
        </w:rPr>
        <w:t xml:space="preserve"> are set out in the initial Explanatory Statement.</w:t>
      </w:r>
    </w:p>
    <w:p w14:paraId="7C844065" w14:textId="1B69EE67" w:rsidR="007F0FCB" w:rsidRPr="00934F2D" w:rsidRDefault="007F0FCB">
      <w:pPr>
        <w:rPr>
          <w:rFonts w:ascii="Times New Roman" w:hAnsi="Times New Roman" w:cs="Times New Roman"/>
          <w:sz w:val="24"/>
          <w:szCs w:val="24"/>
        </w:rPr>
      </w:pPr>
      <w:r w:rsidRPr="00934F2D">
        <w:rPr>
          <w:rFonts w:ascii="Times New Roman" w:hAnsi="Times New Roman" w:cs="Times New Roman"/>
          <w:sz w:val="24"/>
          <w:szCs w:val="24"/>
        </w:rPr>
        <w:t>The purpose of this Supplementary Explanatory Statement is to provide additional information on consultation taken in relation to the Amendment R</w:t>
      </w:r>
      <w:r w:rsidR="00747E43" w:rsidRPr="00934F2D">
        <w:rPr>
          <w:rFonts w:ascii="Times New Roman" w:hAnsi="Times New Roman" w:cs="Times New Roman"/>
          <w:sz w:val="24"/>
          <w:szCs w:val="24"/>
        </w:rPr>
        <w:t>ules</w:t>
      </w:r>
      <w:r w:rsidRPr="00934F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93E46" w14:textId="6808C749" w:rsidR="007F0FCB" w:rsidRPr="00934F2D" w:rsidRDefault="007F0FCB">
      <w:pPr>
        <w:rPr>
          <w:rFonts w:ascii="Times New Roman" w:hAnsi="Times New Roman" w:cs="Times New Roman"/>
          <w:sz w:val="24"/>
          <w:szCs w:val="24"/>
        </w:rPr>
      </w:pPr>
      <w:r w:rsidRPr="00934F2D">
        <w:rPr>
          <w:rFonts w:ascii="Times New Roman" w:hAnsi="Times New Roman" w:cs="Times New Roman"/>
          <w:sz w:val="24"/>
          <w:szCs w:val="24"/>
        </w:rPr>
        <w:t xml:space="preserve">Extensive consultation was undertaken in relation to the ratification of the Minamata Convention. </w:t>
      </w:r>
      <w:r w:rsidR="004E7A5B" w:rsidRPr="00934F2D">
        <w:rPr>
          <w:rFonts w:ascii="Times New Roman" w:hAnsi="Times New Roman" w:cs="Times New Roman"/>
          <w:sz w:val="24"/>
          <w:szCs w:val="24"/>
        </w:rPr>
        <w:t>The d</w:t>
      </w:r>
      <w:r w:rsidRPr="00934F2D">
        <w:rPr>
          <w:rFonts w:ascii="Times New Roman" w:hAnsi="Times New Roman" w:cs="Times New Roman"/>
          <w:sz w:val="24"/>
          <w:szCs w:val="24"/>
        </w:rPr>
        <w:t>etails</w:t>
      </w:r>
      <w:r w:rsidR="004E7A5B" w:rsidRPr="00934F2D">
        <w:rPr>
          <w:rFonts w:ascii="Times New Roman" w:hAnsi="Times New Roman" w:cs="Times New Roman"/>
          <w:sz w:val="24"/>
          <w:szCs w:val="24"/>
        </w:rPr>
        <w:t xml:space="preserve"> of this consultation</w:t>
      </w:r>
      <w:r w:rsidRPr="00934F2D">
        <w:rPr>
          <w:rFonts w:ascii="Times New Roman" w:hAnsi="Times New Roman" w:cs="Times New Roman"/>
          <w:sz w:val="24"/>
          <w:szCs w:val="24"/>
        </w:rPr>
        <w:t xml:space="preserve"> are outlined in the initial Explanatory Statement. </w:t>
      </w:r>
    </w:p>
    <w:p w14:paraId="2FE38A99" w14:textId="2BAFCE82" w:rsidR="007F0FCB" w:rsidRPr="00934F2D" w:rsidRDefault="007F0FCB">
      <w:pPr>
        <w:rPr>
          <w:rFonts w:ascii="Times New Roman" w:hAnsi="Times New Roman" w:cs="Times New Roman"/>
          <w:sz w:val="24"/>
          <w:szCs w:val="24"/>
        </w:rPr>
      </w:pPr>
      <w:r w:rsidRPr="00934F2D">
        <w:rPr>
          <w:rFonts w:ascii="Times New Roman" w:hAnsi="Times New Roman" w:cs="Times New Roman"/>
          <w:sz w:val="24"/>
          <w:szCs w:val="24"/>
        </w:rPr>
        <w:t>The Amendment R</w:t>
      </w:r>
      <w:r w:rsidR="00747E43" w:rsidRPr="00934F2D">
        <w:rPr>
          <w:rFonts w:ascii="Times New Roman" w:hAnsi="Times New Roman" w:cs="Times New Roman"/>
          <w:sz w:val="24"/>
          <w:szCs w:val="24"/>
        </w:rPr>
        <w:t>ule</w:t>
      </w:r>
      <w:r w:rsidRPr="00934F2D">
        <w:rPr>
          <w:rFonts w:ascii="Times New Roman" w:hAnsi="Times New Roman" w:cs="Times New Roman"/>
          <w:sz w:val="24"/>
          <w:szCs w:val="24"/>
        </w:rPr>
        <w:t>s only introduces measures that are necessary for the purposes of Australia ratifying and implementing the Minamata Convention. Therefore, specific</w:t>
      </w:r>
      <w:r w:rsidR="004E7A5B" w:rsidRPr="00934F2D">
        <w:rPr>
          <w:rFonts w:ascii="Times New Roman" w:hAnsi="Times New Roman" w:cs="Times New Roman"/>
          <w:sz w:val="24"/>
          <w:szCs w:val="24"/>
        </w:rPr>
        <w:t xml:space="preserve"> public </w:t>
      </w:r>
      <w:r w:rsidRPr="00934F2D">
        <w:rPr>
          <w:rFonts w:ascii="Times New Roman" w:hAnsi="Times New Roman" w:cs="Times New Roman"/>
          <w:sz w:val="24"/>
          <w:szCs w:val="24"/>
        </w:rPr>
        <w:t>consultation on the Amendment R</w:t>
      </w:r>
      <w:r w:rsidR="00747E43" w:rsidRPr="00934F2D">
        <w:rPr>
          <w:rFonts w:ascii="Times New Roman" w:hAnsi="Times New Roman" w:cs="Times New Roman"/>
          <w:sz w:val="24"/>
          <w:szCs w:val="24"/>
        </w:rPr>
        <w:t>ule</w:t>
      </w:r>
      <w:r w:rsidRPr="00934F2D">
        <w:rPr>
          <w:rFonts w:ascii="Times New Roman" w:hAnsi="Times New Roman" w:cs="Times New Roman"/>
          <w:sz w:val="24"/>
          <w:szCs w:val="24"/>
        </w:rPr>
        <w:t xml:space="preserve">s </w:t>
      </w:r>
      <w:r w:rsidR="004E7A5B" w:rsidRPr="00934F2D">
        <w:rPr>
          <w:rFonts w:ascii="Times New Roman" w:hAnsi="Times New Roman" w:cs="Times New Roman"/>
          <w:sz w:val="24"/>
          <w:szCs w:val="24"/>
        </w:rPr>
        <w:t>was not undertaken as the potential impacts of the measures contained in the Amendment R</w:t>
      </w:r>
      <w:r w:rsidR="00747E43" w:rsidRPr="00934F2D">
        <w:rPr>
          <w:rFonts w:ascii="Times New Roman" w:hAnsi="Times New Roman" w:cs="Times New Roman"/>
          <w:sz w:val="24"/>
          <w:szCs w:val="24"/>
        </w:rPr>
        <w:t>ule</w:t>
      </w:r>
      <w:r w:rsidR="004E7A5B" w:rsidRPr="00934F2D">
        <w:rPr>
          <w:rFonts w:ascii="Times New Roman" w:hAnsi="Times New Roman" w:cs="Times New Roman"/>
          <w:sz w:val="24"/>
          <w:szCs w:val="24"/>
        </w:rPr>
        <w:t>s had already been widely consulted on.</w:t>
      </w:r>
    </w:p>
    <w:p w14:paraId="26EFF830" w14:textId="75B2150C" w:rsidR="007F0FCB" w:rsidRPr="007F0FCB" w:rsidRDefault="007F0FCB">
      <w:pPr>
        <w:rPr>
          <w:rFonts w:ascii="Times New Roman" w:hAnsi="Times New Roman" w:cs="Times New Roman"/>
          <w:sz w:val="24"/>
          <w:szCs w:val="24"/>
        </w:rPr>
      </w:pPr>
      <w:r w:rsidRPr="00934F2D">
        <w:rPr>
          <w:rFonts w:ascii="Times New Roman" w:hAnsi="Times New Roman" w:cs="Times New Roman"/>
          <w:sz w:val="24"/>
          <w:szCs w:val="24"/>
        </w:rPr>
        <w:t xml:space="preserve">The </w:t>
      </w:r>
      <w:r w:rsidR="004A55F0" w:rsidRPr="00934F2D">
        <w:rPr>
          <w:rFonts w:ascii="Times New Roman" w:hAnsi="Times New Roman" w:cs="Times New Roman"/>
          <w:sz w:val="24"/>
          <w:szCs w:val="24"/>
        </w:rPr>
        <w:t xml:space="preserve">Department of Agriculture, Water and the Environment, </w:t>
      </w:r>
      <w:r w:rsidRPr="00934F2D">
        <w:rPr>
          <w:rFonts w:ascii="Times New Roman" w:hAnsi="Times New Roman" w:cs="Times New Roman"/>
          <w:sz w:val="24"/>
          <w:szCs w:val="24"/>
        </w:rPr>
        <w:t>Attorney-General’s Department</w:t>
      </w:r>
      <w:r w:rsidR="00747E43" w:rsidRPr="00934F2D">
        <w:rPr>
          <w:rFonts w:ascii="Times New Roman" w:hAnsi="Times New Roman" w:cs="Times New Roman"/>
          <w:sz w:val="24"/>
          <w:szCs w:val="24"/>
        </w:rPr>
        <w:t xml:space="preserve"> </w:t>
      </w:r>
      <w:r w:rsidRPr="00934F2D">
        <w:rPr>
          <w:rFonts w:ascii="Times New Roman" w:hAnsi="Times New Roman" w:cs="Times New Roman"/>
          <w:sz w:val="24"/>
          <w:szCs w:val="24"/>
        </w:rPr>
        <w:t xml:space="preserve">and the Department of Foreign Affairs and </w:t>
      </w:r>
      <w:r w:rsidR="00B825A9" w:rsidRPr="00934F2D">
        <w:rPr>
          <w:rFonts w:ascii="Times New Roman" w:hAnsi="Times New Roman" w:cs="Times New Roman"/>
          <w:sz w:val="24"/>
          <w:szCs w:val="24"/>
        </w:rPr>
        <w:t>T</w:t>
      </w:r>
      <w:r w:rsidRPr="00934F2D">
        <w:rPr>
          <w:rFonts w:ascii="Times New Roman" w:hAnsi="Times New Roman" w:cs="Times New Roman"/>
          <w:sz w:val="24"/>
          <w:szCs w:val="24"/>
        </w:rPr>
        <w:t>rade were consulted during the development of the Amendment R</w:t>
      </w:r>
      <w:r w:rsidR="00747E43" w:rsidRPr="00934F2D">
        <w:rPr>
          <w:rFonts w:ascii="Times New Roman" w:hAnsi="Times New Roman" w:cs="Times New Roman"/>
          <w:sz w:val="24"/>
          <w:szCs w:val="24"/>
        </w:rPr>
        <w:t>ules.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0FCB" w:rsidRPr="007F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B"/>
    <w:rsid w:val="00246CED"/>
    <w:rsid w:val="002A3B15"/>
    <w:rsid w:val="002B315E"/>
    <w:rsid w:val="002E4AED"/>
    <w:rsid w:val="003567EB"/>
    <w:rsid w:val="00394FF2"/>
    <w:rsid w:val="003B1EE4"/>
    <w:rsid w:val="004A55F0"/>
    <w:rsid w:val="004E7A5B"/>
    <w:rsid w:val="005F718B"/>
    <w:rsid w:val="00623356"/>
    <w:rsid w:val="00656708"/>
    <w:rsid w:val="00747E43"/>
    <w:rsid w:val="00794045"/>
    <w:rsid w:val="007F0FCB"/>
    <w:rsid w:val="00896662"/>
    <w:rsid w:val="008C1D1B"/>
    <w:rsid w:val="00934F2D"/>
    <w:rsid w:val="009A1FF2"/>
    <w:rsid w:val="00B2163E"/>
    <w:rsid w:val="00B81CD8"/>
    <w:rsid w:val="00B825A9"/>
    <w:rsid w:val="00C119A4"/>
    <w:rsid w:val="00C8637D"/>
    <w:rsid w:val="00CE4BD2"/>
    <w:rsid w:val="00D64F3B"/>
    <w:rsid w:val="00DA4E17"/>
    <w:rsid w:val="00E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F952"/>
  <w15:chartTrackingRefBased/>
  <w15:docId w15:val="{57992277-CC18-4E65-B29B-796DFE84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Lee</dc:creator>
  <cp:keywords/>
  <dc:description/>
  <cp:lastModifiedBy>POHLMANN, Tilly</cp:lastModifiedBy>
  <cp:revision>3</cp:revision>
  <dcterms:created xsi:type="dcterms:W3CDTF">2022-02-21T03:58:00Z</dcterms:created>
  <dcterms:modified xsi:type="dcterms:W3CDTF">2022-02-22T00:35:00Z</dcterms:modified>
</cp:coreProperties>
</file>