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E5DE2" w14:textId="1AD6FAB7" w:rsidR="00F109D4" w:rsidRPr="004553B1" w:rsidRDefault="00F109D4" w:rsidP="004553B1">
      <w:pPr>
        <w:pStyle w:val="Heading1"/>
        <w:shd w:val="clear" w:color="auto" w:fill="FFFFFF" w:themeFill="background1"/>
        <w:spacing w:after="360"/>
        <w:rPr>
          <w:rFonts w:ascii="Times New Roman" w:hAnsi="Times New Roman"/>
          <w:sz w:val="24"/>
          <w:szCs w:val="24"/>
        </w:rPr>
      </w:pPr>
      <w:r w:rsidRPr="004553B1">
        <w:rPr>
          <w:rFonts w:ascii="Times New Roman" w:hAnsi="Times New Roman"/>
          <w:sz w:val="24"/>
          <w:szCs w:val="24"/>
        </w:rPr>
        <w:t>EXPLANATORY STATEMENT</w:t>
      </w:r>
    </w:p>
    <w:p w14:paraId="7E1474CC" w14:textId="1EA68161" w:rsidR="00F109D4" w:rsidRPr="004553B1" w:rsidRDefault="004C322F" w:rsidP="004553B1">
      <w:pPr>
        <w:shd w:val="clear" w:color="auto" w:fill="FFFFFF" w:themeFill="background1"/>
        <w:spacing w:before="240" w:after="240"/>
        <w:jc w:val="center"/>
        <w:rPr>
          <w:i/>
        </w:rPr>
      </w:pPr>
      <w:r w:rsidRPr="004553B1">
        <w:rPr>
          <w:i/>
        </w:rPr>
        <w:t>Treasury Laws Amendment (</w:t>
      </w:r>
      <w:r w:rsidR="00BF6740" w:rsidRPr="004553B1">
        <w:rPr>
          <w:i/>
        </w:rPr>
        <w:t xml:space="preserve">2021 Measures No. 2) </w:t>
      </w:r>
      <w:r w:rsidR="009B03FD" w:rsidRPr="004553B1">
        <w:rPr>
          <w:i/>
        </w:rPr>
        <w:t>Act</w:t>
      </w:r>
      <w:r w:rsidR="00BF6740" w:rsidRPr="004553B1">
        <w:rPr>
          <w:i/>
        </w:rPr>
        <w:t xml:space="preserve"> 2021</w:t>
      </w:r>
    </w:p>
    <w:p w14:paraId="71D1C42C" w14:textId="77777777" w:rsidR="00F109D4" w:rsidRPr="004553B1" w:rsidRDefault="004C322F" w:rsidP="004553B1">
      <w:pPr>
        <w:shd w:val="clear" w:color="auto" w:fill="FFFFFF" w:themeFill="background1"/>
        <w:tabs>
          <w:tab w:val="left" w:pos="1418"/>
        </w:tabs>
        <w:spacing w:before="0" w:after="240"/>
        <w:jc w:val="center"/>
        <w:rPr>
          <w:i/>
        </w:rPr>
      </w:pPr>
      <w:r w:rsidRPr="004553B1">
        <w:rPr>
          <w:i/>
        </w:rPr>
        <w:t>Treasury Laws Amendment (</w:t>
      </w:r>
      <w:r w:rsidR="00886E70" w:rsidRPr="004553B1">
        <w:rPr>
          <w:i/>
        </w:rPr>
        <w:t>2021 Measures No. 2</w:t>
      </w:r>
      <w:r w:rsidRPr="004553B1">
        <w:rPr>
          <w:i/>
        </w:rPr>
        <w:t>) (Deductible Gift Recipients—Extended Application Date) Instrument 2021</w:t>
      </w:r>
    </w:p>
    <w:p w14:paraId="175FB4D0" w14:textId="014D154C" w:rsidR="00162338" w:rsidRPr="004553B1" w:rsidRDefault="00DE1BE4" w:rsidP="004553B1">
      <w:pPr>
        <w:shd w:val="clear" w:color="auto" w:fill="FFFFFF" w:themeFill="background1"/>
        <w:spacing w:before="240"/>
      </w:pPr>
      <w:r w:rsidRPr="004553B1">
        <w:t xml:space="preserve">Subitem 16(7) of </w:t>
      </w:r>
      <w:r w:rsidR="00AD2475" w:rsidRPr="004553B1">
        <w:t xml:space="preserve">Schedule </w:t>
      </w:r>
      <w:r w:rsidR="006D107F" w:rsidRPr="004553B1">
        <w:t>1</w:t>
      </w:r>
      <w:r w:rsidR="00AD2475" w:rsidRPr="004553B1">
        <w:t xml:space="preserve"> to the </w:t>
      </w:r>
      <w:r w:rsidR="00BF6740" w:rsidRPr="004553B1">
        <w:rPr>
          <w:i/>
          <w:iCs/>
        </w:rPr>
        <w:t xml:space="preserve">Treasury Laws Amendment (2021 Measures No. 2) </w:t>
      </w:r>
      <w:r w:rsidR="009B03FD" w:rsidRPr="004553B1">
        <w:rPr>
          <w:i/>
          <w:iCs/>
        </w:rPr>
        <w:t>Act</w:t>
      </w:r>
      <w:r w:rsidR="00BF6740" w:rsidRPr="004553B1">
        <w:rPr>
          <w:i/>
          <w:iCs/>
        </w:rPr>
        <w:t xml:space="preserve"> 2021</w:t>
      </w:r>
      <w:r w:rsidR="00AD2475" w:rsidRPr="004553B1">
        <w:t xml:space="preserve"> (the </w:t>
      </w:r>
      <w:r w:rsidR="009B03FD" w:rsidRPr="004553B1">
        <w:t>Act</w:t>
      </w:r>
      <w:r w:rsidR="00AD2475" w:rsidRPr="004553B1">
        <w:t xml:space="preserve">) provides that the Minister </w:t>
      </w:r>
      <w:r w:rsidR="0088058D" w:rsidRPr="004553B1">
        <w:t xml:space="preserve">may, by legislative instrument, </w:t>
      </w:r>
      <w:r w:rsidR="00D86C43" w:rsidRPr="004553B1">
        <w:t xml:space="preserve">prescribe </w:t>
      </w:r>
      <w:r w:rsidR="00AD2475" w:rsidRPr="004553B1">
        <w:t xml:space="preserve">criteria that </w:t>
      </w:r>
      <w:r w:rsidR="00FB5322" w:rsidRPr="004553B1">
        <w:t>an application for an extended application date must s</w:t>
      </w:r>
      <w:r w:rsidR="00D86C43" w:rsidRPr="004553B1">
        <w:t>atisfy</w:t>
      </w:r>
      <w:r w:rsidR="002502F0" w:rsidRPr="004553B1">
        <w:t>,</w:t>
      </w:r>
      <w:r w:rsidR="0088058D" w:rsidRPr="004553B1">
        <w:t xml:space="preserve"> </w:t>
      </w:r>
      <w:r w:rsidR="00D86C43" w:rsidRPr="004553B1">
        <w:t xml:space="preserve">and </w:t>
      </w:r>
      <w:r w:rsidR="00FB5322" w:rsidRPr="004553B1">
        <w:t>matters the Commissioner</w:t>
      </w:r>
      <w:r w:rsidR="00385C12" w:rsidRPr="004553B1">
        <w:t xml:space="preserve"> of Taxation</w:t>
      </w:r>
      <w:r w:rsidRPr="004553B1">
        <w:t xml:space="preserve"> </w:t>
      </w:r>
      <w:r w:rsidR="00D86C43" w:rsidRPr="004553B1">
        <w:t>must have</w:t>
      </w:r>
      <w:r w:rsidR="00FB5322" w:rsidRPr="004553B1">
        <w:t xml:space="preserve"> regard</w:t>
      </w:r>
      <w:r w:rsidR="00D86C43" w:rsidRPr="004553B1">
        <w:t xml:space="preserve"> to</w:t>
      </w:r>
      <w:r w:rsidR="00FB5322" w:rsidRPr="004553B1">
        <w:t xml:space="preserve"> before granting an extended application date.</w:t>
      </w:r>
    </w:p>
    <w:p w14:paraId="4DA84789" w14:textId="6448F6D4" w:rsidR="00165862" w:rsidRPr="004553B1" w:rsidRDefault="00AD2475" w:rsidP="004553B1">
      <w:pPr>
        <w:shd w:val="clear" w:color="auto" w:fill="FFFFFF" w:themeFill="background1"/>
        <w:spacing w:before="240"/>
      </w:pPr>
      <w:r w:rsidRPr="004553B1">
        <w:t xml:space="preserve">The purpose of the </w:t>
      </w:r>
      <w:r w:rsidRPr="004553B1">
        <w:rPr>
          <w:i/>
        </w:rPr>
        <w:t xml:space="preserve">Treasury Laws Amendment </w:t>
      </w:r>
      <w:r w:rsidR="00C5481D" w:rsidRPr="004553B1">
        <w:rPr>
          <w:i/>
        </w:rPr>
        <w:t>(2021 Measures No. 2)</w:t>
      </w:r>
      <w:r w:rsidRPr="004553B1">
        <w:rPr>
          <w:i/>
        </w:rPr>
        <w:t xml:space="preserve"> (Deductible Gift Recipients—Extended Application Date) Instrument 2021</w:t>
      </w:r>
      <w:r w:rsidRPr="004553B1">
        <w:t xml:space="preserve"> (the Instrument) is to support the</w:t>
      </w:r>
      <w:r w:rsidR="008D2438" w:rsidRPr="004553B1">
        <w:t xml:space="preserve"> core</w:t>
      </w:r>
      <w:r w:rsidRPr="004553B1">
        <w:t xml:space="preserve"> transition</w:t>
      </w:r>
      <w:r w:rsidR="00FB5322" w:rsidRPr="004553B1">
        <w:t>al rules in Schedule 1</w:t>
      </w:r>
      <w:r w:rsidR="00165862" w:rsidRPr="004553B1">
        <w:t xml:space="preserve"> to the </w:t>
      </w:r>
      <w:r w:rsidR="00DE6439" w:rsidRPr="004553B1">
        <w:t>Act</w:t>
      </w:r>
      <w:r w:rsidR="00165862" w:rsidRPr="004553B1">
        <w:t>.</w:t>
      </w:r>
    </w:p>
    <w:p w14:paraId="4BCD208B" w14:textId="7F947252" w:rsidR="00FB5322" w:rsidRPr="004553B1" w:rsidRDefault="00FB5322" w:rsidP="004553B1">
      <w:pPr>
        <w:shd w:val="clear" w:color="auto" w:fill="FFFFFF" w:themeFill="background1"/>
        <w:spacing w:before="240"/>
      </w:pPr>
      <w:r w:rsidRPr="004553B1">
        <w:t>Schedule 1</w:t>
      </w:r>
      <w:r w:rsidR="00165862" w:rsidRPr="004553B1">
        <w:t xml:space="preserve"> to the </w:t>
      </w:r>
      <w:r w:rsidR="009B03FD" w:rsidRPr="004553B1">
        <w:t>Act</w:t>
      </w:r>
      <w:r w:rsidR="00165862" w:rsidRPr="004553B1">
        <w:t xml:space="preserve"> amend</w:t>
      </w:r>
      <w:r w:rsidR="008D2438" w:rsidRPr="004553B1">
        <w:t>ed</w:t>
      </w:r>
      <w:r w:rsidR="00165862" w:rsidRPr="004553B1">
        <w:t xml:space="preserve"> the </w:t>
      </w:r>
      <w:r w:rsidR="00165862" w:rsidRPr="004553B1">
        <w:rPr>
          <w:i/>
        </w:rPr>
        <w:t>Income Tax Assessment Act 1997</w:t>
      </w:r>
      <w:r w:rsidR="00165862" w:rsidRPr="004553B1">
        <w:t xml:space="preserve"> to require a fund, </w:t>
      </w:r>
      <w:proofErr w:type="gramStart"/>
      <w:r w:rsidR="00165862" w:rsidRPr="004553B1">
        <w:t>authority</w:t>
      </w:r>
      <w:proofErr w:type="gramEnd"/>
      <w:r w:rsidR="00165862" w:rsidRPr="004553B1">
        <w:t xml:space="preserve"> or institution </w:t>
      </w:r>
      <w:r w:rsidR="005D263E" w:rsidRPr="004553B1">
        <w:t xml:space="preserve">(with the exception of ancillary funds and specifically listed </w:t>
      </w:r>
      <w:r w:rsidR="00915E7F" w:rsidRPr="004553B1">
        <w:t>entities</w:t>
      </w:r>
      <w:r w:rsidR="005D263E" w:rsidRPr="004553B1">
        <w:t xml:space="preserve">) </w:t>
      </w:r>
      <w:r w:rsidRPr="004553B1">
        <w:t xml:space="preserve">to, as a precondition for endorsement as a </w:t>
      </w:r>
      <w:r w:rsidR="00915E7F" w:rsidRPr="004553B1">
        <w:t>deductible gift recipient (DGR)</w:t>
      </w:r>
      <w:r w:rsidR="00D86C43" w:rsidRPr="004553B1">
        <w:t>, be:</w:t>
      </w:r>
    </w:p>
    <w:p w14:paraId="1766632B" w14:textId="77777777" w:rsidR="00FB5322" w:rsidRPr="004553B1" w:rsidRDefault="00FB5322" w:rsidP="004553B1">
      <w:pPr>
        <w:pStyle w:val="Bullet"/>
        <w:shd w:val="clear" w:color="auto" w:fill="FFFFFF" w:themeFill="background1"/>
      </w:pPr>
      <w:r w:rsidRPr="004553B1">
        <w:t>a registered charity;</w:t>
      </w:r>
      <w:r w:rsidR="006670BD" w:rsidRPr="004553B1">
        <w:t xml:space="preserve"> or</w:t>
      </w:r>
    </w:p>
    <w:p w14:paraId="4DF726F6" w14:textId="77777777" w:rsidR="00FB5322" w:rsidRPr="004553B1" w:rsidRDefault="00FB5322" w:rsidP="004553B1">
      <w:pPr>
        <w:pStyle w:val="Bullet"/>
        <w:shd w:val="clear" w:color="auto" w:fill="FFFFFF" w:themeFill="background1"/>
        <w:spacing w:before="0"/>
      </w:pPr>
      <w:r w:rsidRPr="004553B1">
        <w:t xml:space="preserve">an Australian government agency; or </w:t>
      </w:r>
    </w:p>
    <w:p w14:paraId="1D9E8A01" w14:textId="77777777" w:rsidR="00385C12" w:rsidRPr="004553B1" w:rsidRDefault="00FB5322" w:rsidP="004553B1">
      <w:pPr>
        <w:pStyle w:val="Bullet"/>
        <w:shd w:val="clear" w:color="auto" w:fill="FFFFFF" w:themeFill="background1"/>
        <w:spacing w:before="0"/>
      </w:pPr>
      <w:r w:rsidRPr="004553B1">
        <w:t>operated by a registered charity or an Australian government agency.</w:t>
      </w:r>
    </w:p>
    <w:p w14:paraId="66210BA6" w14:textId="59587EFF" w:rsidR="00217C8E" w:rsidRPr="004553B1" w:rsidRDefault="00217C8E" w:rsidP="004553B1">
      <w:pPr>
        <w:pStyle w:val="Bullet"/>
        <w:numPr>
          <w:ilvl w:val="0"/>
          <w:numId w:val="0"/>
        </w:numPr>
        <w:shd w:val="clear" w:color="auto" w:fill="FFFFFF" w:themeFill="background1"/>
      </w:pPr>
      <w:r w:rsidRPr="004553B1">
        <w:t>These amendments generally apply on or after the application date</w:t>
      </w:r>
      <w:r w:rsidR="008D2438" w:rsidRPr="004553B1">
        <w:t xml:space="preserve"> </w:t>
      </w:r>
      <w:r w:rsidR="00BE4D4A" w:rsidRPr="004553B1">
        <w:br/>
      </w:r>
      <w:r w:rsidR="00E22E92" w:rsidRPr="004553B1">
        <w:t>(1</w:t>
      </w:r>
      <w:r w:rsidR="004A0553" w:rsidRPr="004553B1">
        <w:t>4</w:t>
      </w:r>
      <w:r w:rsidR="00E22E92" w:rsidRPr="004553B1">
        <w:t xml:space="preserve"> December 2021)</w:t>
      </w:r>
      <w:r w:rsidRPr="004553B1">
        <w:t xml:space="preserve">. However, entities that are DGRs or have applied to the Commissioner of Taxation </w:t>
      </w:r>
      <w:r w:rsidR="00E22E92" w:rsidRPr="004553B1">
        <w:t xml:space="preserve">to be a DGR </w:t>
      </w:r>
      <w:r w:rsidRPr="004553B1">
        <w:t>have an additional 12</w:t>
      </w:r>
      <w:r w:rsidR="00E22E92" w:rsidRPr="004553B1">
        <w:t> </w:t>
      </w:r>
      <w:r w:rsidRPr="004553B1">
        <w:t xml:space="preserve">months after the application date (referred to as the transitional application date) before the amendments in Schedule 1 to the </w:t>
      </w:r>
      <w:r w:rsidR="00E22E92" w:rsidRPr="004553B1">
        <w:t>Act begin to</w:t>
      </w:r>
      <w:r w:rsidRPr="004553B1">
        <w:t xml:space="preserve"> apply. If an entity requires a longer </w:t>
      </w:r>
      <w:r w:rsidR="00E22E92" w:rsidRPr="004553B1">
        <w:t xml:space="preserve">transitional </w:t>
      </w:r>
      <w:r w:rsidRPr="004553B1">
        <w:t>period, it can apply to the Commissioner of Taxation for an extended application date, which is four years after the application date.</w:t>
      </w:r>
    </w:p>
    <w:p w14:paraId="1CC8BD7E" w14:textId="77777777" w:rsidR="00594D4A" w:rsidRPr="004553B1" w:rsidRDefault="00385C12" w:rsidP="004553B1">
      <w:pPr>
        <w:shd w:val="clear" w:color="auto" w:fill="FFFFFF" w:themeFill="background1"/>
        <w:spacing w:before="240"/>
      </w:pPr>
      <w:r w:rsidRPr="004553B1">
        <w:t>B</w:t>
      </w:r>
      <w:r w:rsidR="006523E6" w:rsidRPr="004553B1">
        <w:t xml:space="preserve">efore the </w:t>
      </w:r>
      <w:r w:rsidR="008A6417" w:rsidRPr="004553B1">
        <w:t>Commissioner of Taxation</w:t>
      </w:r>
      <w:r w:rsidR="001330B5" w:rsidRPr="004553B1">
        <w:t xml:space="preserve"> </w:t>
      </w:r>
      <w:r w:rsidR="006523E6" w:rsidRPr="004553B1">
        <w:t>can grant an extended application date</w:t>
      </w:r>
      <w:r w:rsidR="008A6417" w:rsidRPr="004553B1">
        <w:t xml:space="preserve"> to an entity</w:t>
      </w:r>
      <w:r w:rsidR="00951AC9" w:rsidRPr="004553B1">
        <w:t>, the Commissioner of Taxation</w:t>
      </w:r>
      <w:r w:rsidR="006523E6" w:rsidRPr="004553B1">
        <w:t xml:space="preserve"> must be satisfied that the prescribed criteria </w:t>
      </w:r>
      <w:r w:rsidR="008A6417" w:rsidRPr="004553B1">
        <w:t xml:space="preserve">are met </w:t>
      </w:r>
      <w:r w:rsidR="006523E6" w:rsidRPr="004553B1">
        <w:t xml:space="preserve">and must have regard to the prescribed matters </w:t>
      </w:r>
      <w:r w:rsidR="008A6417" w:rsidRPr="004553B1">
        <w:t xml:space="preserve">relating </w:t>
      </w:r>
      <w:r w:rsidR="006523E6" w:rsidRPr="004553B1">
        <w:t>to the application.</w:t>
      </w:r>
      <w:r w:rsidR="008A6417" w:rsidRPr="004553B1">
        <w:t xml:space="preserve"> The Instrument prescribes the criteri</w:t>
      </w:r>
      <w:r w:rsidR="00594D4A" w:rsidRPr="004553B1">
        <w:t>a and matters for this purpose.</w:t>
      </w:r>
    </w:p>
    <w:p w14:paraId="5C1A4A9C" w14:textId="02AABA69" w:rsidR="006523E6" w:rsidRPr="004553B1" w:rsidRDefault="00594D4A" w:rsidP="004553B1">
      <w:pPr>
        <w:shd w:val="clear" w:color="auto" w:fill="FFFFFF" w:themeFill="background1"/>
        <w:spacing w:before="240"/>
      </w:pPr>
      <w:r w:rsidRPr="004553B1">
        <w:t xml:space="preserve">The requirements in the Instrument apply in addition to </w:t>
      </w:r>
      <w:r w:rsidR="00D44115" w:rsidRPr="004553B1">
        <w:t>those</w:t>
      </w:r>
      <w:r w:rsidRPr="004553B1">
        <w:t xml:space="preserve"> in Schedule </w:t>
      </w:r>
      <w:r w:rsidR="00D44115" w:rsidRPr="004553B1">
        <w:t>1 to the </w:t>
      </w:r>
      <w:r w:rsidR="00DE6439" w:rsidRPr="004553B1">
        <w:t>Act</w:t>
      </w:r>
      <w:r w:rsidR="00D44115" w:rsidRPr="004553B1">
        <w:t xml:space="preserve">, including the requirement </w:t>
      </w:r>
      <w:r w:rsidRPr="004553B1">
        <w:t xml:space="preserve">that </w:t>
      </w:r>
      <w:r w:rsidR="001330B5" w:rsidRPr="004553B1">
        <w:t xml:space="preserve">the fund, </w:t>
      </w:r>
      <w:proofErr w:type="gramStart"/>
      <w:r w:rsidR="001330B5" w:rsidRPr="004553B1">
        <w:t>authority</w:t>
      </w:r>
      <w:proofErr w:type="gramEnd"/>
      <w:r w:rsidR="001330B5" w:rsidRPr="004553B1">
        <w:t xml:space="preserve"> or institution (or the operating entity) </w:t>
      </w:r>
      <w:r w:rsidRPr="004553B1">
        <w:t xml:space="preserve">has </w:t>
      </w:r>
      <w:r w:rsidR="001330B5" w:rsidRPr="004553B1">
        <w:t xml:space="preserve">applied for an extended application date in the </w:t>
      </w:r>
      <w:r w:rsidRPr="004553B1">
        <w:t>approved form before the transitional application date.</w:t>
      </w:r>
    </w:p>
    <w:p w14:paraId="4DE8549F" w14:textId="08EECC3F" w:rsidR="00765769" w:rsidRPr="004553B1" w:rsidRDefault="00765769" w:rsidP="004553B1">
      <w:pPr>
        <w:shd w:val="clear" w:color="auto" w:fill="FFFFFF" w:themeFill="background1"/>
        <w:spacing w:before="240"/>
      </w:pPr>
      <w:r w:rsidRPr="004553B1">
        <w:t xml:space="preserve">Public consultation was undertaken on the transitional arrangements, including the proposed criteria and matters, between 12 October 2020 and 4 December 2020. This followed a public consultation on a discussion paper released in August 2017. There remains broad support for the reforms as proposed.  Further consultation has been </w:t>
      </w:r>
      <w:r w:rsidRPr="004553B1">
        <w:lastRenderedPageBreak/>
        <w:t xml:space="preserve">undertaken with the </w:t>
      </w:r>
      <w:r w:rsidR="00C967F4" w:rsidRPr="004553B1">
        <w:t>Australian Taxation Office and the Australian Charities and Not for-profits Commission in settling the text of the instrument.</w:t>
      </w:r>
    </w:p>
    <w:p w14:paraId="77AD3994" w14:textId="15A41205" w:rsidR="002C226C" w:rsidRPr="004553B1" w:rsidRDefault="006523E6" w:rsidP="004553B1">
      <w:pPr>
        <w:shd w:val="clear" w:color="auto" w:fill="FFFFFF" w:themeFill="background1"/>
        <w:spacing w:before="240"/>
      </w:pPr>
      <w:r w:rsidRPr="004553B1">
        <w:t>Details of the Instrument</w:t>
      </w:r>
      <w:r w:rsidR="00EB2AEF" w:rsidRPr="004553B1">
        <w:t xml:space="preserve"> are set out in</w:t>
      </w:r>
      <w:r w:rsidRPr="004553B1">
        <w:t xml:space="preserve"> the</w:t>
      </w:r>
      <w:r w:rsidR="002C226C" w:rsidRPr="004553B1">
        <w:t xml:space="preserve"> </w:t>
      </w:r>
      <w:r w:rsidR="002C226C" w:rsidRPr="004553B1">
        <w:rPr>
          <w:u w:val="single"/>
        </w:rPr>
        <w:t>Attachmen</w:t>
      </w:r>
      <w:r w:rsidRPr="004553B1">
        <w:rPr>
          <w:u w:val="single"/>
        </w:rPr>
        <w:t>t</w:t>
      </w:r>
      <w:r w:rsidR="00C967F4" w:rsidRPr="004553B1">
        <w:rPr>
          <w:u w:val="single"/>
        </w:rPr>
        <w:t xml:space="preserve"> A</w:t>
      </w:r>
      <w:r w:rsidRPr="004553B1">
        <w:t>.</w:t>
      </w:r>
    </w:p>
    <w:p w14:paraId="4B86ED15" w14:textId="5241871E" w:rsidR="009143A0" w:rsidRPr="004553B1" w:rsidRDefault="00F109D4" w:rsidP="004553B1">
      <w:pPr>
        <w:shd w:val="clear" w:color="auto" w:fill="FFFFFF" w:themeFill="background1"/>
        <w:spacing w:before="240"/>
      </w:pPr>
      <w:r w:rsidRPr="004553B1">
        <w:t xml:space="preserve">The </w:t>
      </w:r>
      <w:r w:rsidR="006523E6" w:rsidRPr="004553B1">
        <w:t xml:space="preserve">Instrument commences on the day </w:t>
      </w:r>
      <w:r w:rsidR="00594D4A" w:rsidRPr="004553B1">
        <w:t>after it</w:t>
      </w:r>
      <w:r w:rsidR="006523E6" w:rsidRPr="004553B1">
        <w:t xml:space="preserve"> is registered.</w:t>
      </w:r>
    </w:p>
    <w:p w14:paraId="36E96C21" w14:textId="5B38564C" w:rsidR="00C967F4" w:rsidRPr="004553B1" w:rsidRDefault="00C967F4" w:rsidP="004553B1">
      <w:pPr>
        <w:shd w:val="clear" w:color="auto" w:fill="FFFFFF" w:themeFill="background1"/>
        <w:spacing w:before="240"/>
        <w:rPr>
          <w:i/>
        </w:rPr>
      </w:pPr>
      <w:r w:rsidRPr="004553B1">
        <w:t xml:space="preserve">A statement of Compatibility with Human Rights is at </w:t>
      </w:r>
      <w:r w:rsidRPr="004553B1">
        <w:rPr>
          <w:u w:val="single"/>
        </w:rPr>
        <w:t>Attachment B.</w:t>
      </w:r>
    </w:p>
    <w:p w14:paraId="12422476" w14:textId="6F89C009" w:rsidR="00EA4DD8" w:rsidRPr="004553B1" w:rsidRDefault="006523E6" w:rsidP="004553B1">
      <w:pPr>
        <w:pageBreakBefore/>
        <w:shd w:val="clear" w:color="auto" w:fill="FFFFFF" w:themeFill="background1"/>
        <w:spacing w:before="240"/>
        <w:jc w:val="right"/>
        <w:rPr>
          <w:b/>
          <w:u w:val="single"/>
        </w:rPr>
      </w:pPr>
      <w:r w:rsidRPr="004553B1">
        <w:rPr>
          <w:b/>
          <w:u w:val="single"/>
        </w:rPr>
        <w:lastRenderedPageBreak/>
        <w:t>ATTACHMENT</w:t>
      </w:r>
      <w:r w:rsidR="00C967F4" w:rsidRPr="004553B1">
        <w:rPr>
          <w:b/>
          <w:u w:val="single"/>
        </w:rPr>
        <w:t xml:space="preserve"> A</w:t>
      </w:r>
    </w:p>
    <w:p w14:paraId="0E7D7094" w14:textId="77777777" w:rsidR="00EA4DD8" w:rsidRPr="004553B1" w:rsidRDefault="00EA4DD8" w:rsidP="004553B1">
      <w:pPr>
        <w:shd w:val="clear" w:color="auto" w:fill="FFFFFF" w:themeFill="background1"/>
        <w:spacing w:before="240"/>
        <w:ind w:right="91"/>
        <w:rPr>
          <w:b/>
          <w:bCs/>
          <w:i/>
          <w:u w:val="single"/>
        </w:rPr>
      </w:pPr>
      <w:r w:rsidRPr="004553B1">
        <w:rPr>
          <w:b/>
          <w:bCs/>
          <w:u w:val="single"/>
        </w:rPr>
        <w:t xml:space="preserve">Details of the </w:t>
      </w:r>
      <w:r w:rsidR="006523E6" w:rsidRPr="004553B1">
        <w:rPr>
          <w:b/>
          <w:bCs/>
          <w:i/>
          <w:u w:val="single"/>
        </w:rPr>
        <w:t>Treasury Laws Amendment (</w:t>
      </w:r>
      <w:r w:rsidR="00640733" w:rsidRPr="004553B1">
        <w:rPr>
          <w:b/>
          <w:bCs/>
          <w:i/>
          <w:u w:val="single"/>
        </w:rPr>
        <w:t>2021 Measures No.2</w:t>
      </w:r>
      <w:r w:rsidR="006523E6" w:rsidRPr="004553B1">
        <w:rPr>
          <w:b/>
          <w:bCs/>
          <w:i/>
          <w:u w:val="single"/>
        </w:rPr>
        <w:t>) (Deductible Gift Recipients—Extended Application Date) Instrument 2021</w:t>
      </w:r>
    </w:p>
    <w:p w14:paraId="7D548998" w14:textId="77777777" w:rsidR="00EA4DD8" w:rsidRPr="004553B1" w:rsidRDefault="00EA4DD8" w:rsidP="004553B1">
      <w:pPr>
        <w:shd w:val="clear" w:color="auto" w:fill="FFFFFF" w:themeFill="background1"/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 w:rsidRPr="004553B1">
        <w:rPr>
          <w:u w:val="single"/>
        </w:rPr>
        <w:t xml:space="preserve">Section 1 – Name </w:t>
      </w:r>
    </w:p>
    <w:p w14:paraId="2F2F9663" w14:textId="77777777" w:rsidR="00EA4DD8" w:rsidRPr="004553B1" w:rsidRDefault="006523E6" w:rsidP="004553B1">
      <w:pPr>
        <w:shd w:val="clear" w:color="auto" w:fill="FFFFFF" w:themeFill="background1"/>
        <w:spacing w:before="240"/>
      </w:pPr>
      <w:r w:rsidRPr="004553B1">
        <w:t>The name of the instrument</w:t>
      </w:r>
      <w:r w:rsidR="00EA4DD8" w:rsidRPr="004553B1">
        <w:t xml:space="preserve"> is the </w:t>
      </w:r>
      <w:r w:rsidRPr="004553B1">
        <w:rPr>
          <w:i/>
        </w:rPr>
        <w:t xml:space="preserve">Treasury Laws Amendment </w:t>
      </w:r>
      <w:r w:rsidR="00C5481D" w:rsidRPr="004553B1">
        <w:rPr>
          <w:i/>
        </w:rPr>
        <w:t xml:space="preserve">(2021 Measures No. 2) </w:t>
      </w:r>
      <w:r w:rsidR="00BF6740" w:rsidRPr="004553B1">
        <w:rPr>
          <w:i/>
        </w:rPr>
        <w:t>(</w:t>
      </w:r>
      <w:r w:rsidRPr="004553B1">
        <w:rPr>
          <w:i/>
        </w:rPr>
        <w:t>Deductible Gift Recipients—Extended Application Date) Instrument 2021</w:t>
      </w:r>
      <w:r w:rsidRPr="004553B1">
        <w:t xml:space="preserve"> </w:t>
      </w:r>
      <w:r w:rsidR="00EA4DD8" w:rsidRPr="004553B1">
        <w:t>(the </w:t>
      </w:r>
      <w:r w:rsidRPr="004553B1">
        <w:t>Instrument</w:t>
      </w:r>
      <w:r w:rsidR="00EA4DD8" w:rsidRPr="004553B1">
        <w:t>).</w:t>
      </w:r>
    </w:p>
    <w:p w14:paraId="4FA92BB5" w14:textId="77777777" w:rsidR="00EA4DD8" w:rsidRPr="004553B1" w:rsidRDefault="00EA4DD8" w:rsidP="004553B1">
      <w:pPr>
        <w:shd w:val="clear" w:color="auto" w:fill="FFFFFF" w:themeFill="background1"/>
        <w:spacing w:before="240"/>
        <w:ind w:right="91"/>
        <w:rPr>
          <w:u w:val="single"/>
        </w:rPr>
      </w:pPr>
      <w:r w:rsidRPr="004553B1">
        <w:rPr>
          <w:u w:val="single"/>
        </w:rPr>
        <w:t>Section 2 – Commencement</w:t>
      </w:r>
    </w:p>
    <w:p w14:paraId="27FE8D21" w14:textId="77777777" w:rsidR="00EA4DD8" w:rsidRPr="004553B1" w:rsidRDefault="006523E6" w:rsidP="004553B1">
      <w:pPr>
        <w:shd w:val="clear" w:color="auto" w:fill="FFFFFF" w:themeFill="background1"/>
        <w:spacing w:before="240"/>
        <w:ind w:right="91"/>
      </w:pPr>
      <w:r w:rsidRPr="004553B1">
        <w:t xml:space="preserve">The Instrument commences on the day after </w:t>
      </w:r>
      <w:r w:rsidR="00CC5B40" w:rsidRPr="004553B1">
        <w:t>it is registered on the Federal Register of Legislation.</w:t>
      </w:r>
    </w:p>
    <w:p w14:paraId="6B7904AD" w14:textId="77777777" w:rsidR="00EA4DD8" w:rsidRPr="004553B1" w:rsidRDefault="00EA4DD8" w:rsidP="004553B1">
      <w:pPr>
        <w:shd w:val="clear" w:color="auto" w:fill="FFFFFF" w:themeFill="background1"/>
        <w:spacing w:before="240"/>
        <w:ind w:right="91"/>
        <w:rPr>
          <w:u w:val="single"/>
        </w:rPr>
      </w:pPr>
      <w:r w:rsidRPr="004553B1">
        <w:rPr>
          <w:u w:val="single"/>
        </w:rPr>
        <w:t>Section 3 – Authority</w:t>
      </w:r>
    </w:p>
    <w:p w14:paraId="1CB54AF3" w14:textId="0491C7A4" w:rsidR="00EA4DD8" w:rsidRPr="004553B1" w:rsidRDefault="00EA4DD8" w:rsidP="004553B1">
      <w:pPr>
        <w:shd w:val="clear" w:color="auto" w:fill="FFFFFF" w:themeFill="background1"/>
        <w:spacing w:before="240"/>
        <w:ind w:right="91"/>
      </w:pPr>
      <w:r w:rsidRPr="004553B1">
        <w:t xml:space="preserve">The </w:t>
      </w:r>
      <w:r w:rsidR="006523E6" w:rsidRPr="004553B1">
        <w:t>Instrument is</w:t>
      </w:r>
      <w:r w:rsidRPr="004553B1">
        <w:t xml:space="preserve"> made under the </w:t>
      </w:r>
      <w:r w:rsidR="00CC5B40" w:rsidRPr="004553B1">
        <w:rPr>
          <w:i/>
          <w:iCs/>
        </w:rPr>
        <w:t xml:space="preserve">Treasury Laws Amendment (2021 Measures No. 2) </w:t>
      </w:r>
      <w:r w:rsidR="00EB20AA" w:rsidRPr="004553B1">
        <w:rPr>
          <w:i/>
          <w:iCs/>
        </w:rPr>
        <w:t>Act</w:t>
      </w:r>
      <w:r w:rsidR="00CC5B40" w:rsidRPr="004553B1">
        <w:rPr>
          <w:i/>
          <w:iCs/>
        </w:rPr>
        <w:t xml:space="preserve"> 2021</w:t>
      </w:r>
      <w:r w:rsidR="00CC5B40" w:rsidRPr="004553B1">
        <w:t xml:space="preserve"> (the </w:t>
      </w:r>
      <w:r w:rsidR="00EB20AA" w:rsidRPr="004553B1">
        <w:t>Act</w:t>
      </w:r>
      <w:r w:rsidRPr="004553B1">
        <w:t>).</w:t>
      </w:r>
    </w:p>
    <w:p w14:paraId="7209078B" w14:textId="77777777" w:rsidR="00EA4DD8" w:rsidRPr="004553B1" w:rsidRDefault="00EA4DD8" w:rsidP="004553B1">
      <w:pPr>
        <w:shd w:val="clear" w:color="auto" w:fill="FFFFFF" w:themeFill="background1"/>
        <w:spacing w:before="240"/>
        <w:ind w:right="91"/>
        <w:rPr>
          <w:u w:val="single"/>
        </w:rPr>
      </w:pPr>
      <w:r w:rsidRPr="004553B1">
        <w:rPr>
          <w:u w:val="single"/>
        </w:rPr>
        <w:t xml:space="preserve">Section 4 – </w:t>
      </w:r>
      <w:r w:rsidR="000D477A" w:rsidRPr="004553B1">
        <w:rPr>
          <w:u w:val="single"/>
        </w:rPr>
        <w:t>Definitions</w:t>
      </w:r>
    </w:p>
    <w:p w14:paraId="5F735355" w14:textId="77777777" w:rsidR="000D477A" w:rsidRPr="004553B1" w:rsidRDefault="000D477A" w:rsidP="004553B1">
      <w:pPr>
        <w:shd w:val="clear" w:color="auto" w:fill="FFFFFF" w:themeFill="background1"/>
        <w:spacing w:before="240"/>
        <w:ind w:right="91"/>
      </w:pPr>
      <w:r w:rsidRPr="004553B1">
        <w:t>This section provides for definitions used in the Instrument.</w:t>
      </w:r>
    </w:p>
    <w:p w14:paraId="6650DD30" w14:textId="6053BE5F" w:rsidR="000D477A" w:rsidRPr="004553B1" w:rsidRDefault="00EA4DD8" w:rsidP="004553B1">
      <w:pPr>
        <w:shd w:val="clear" w:color="auto" w:fill="FFFFFF" w:themeFill="background1"/>
        <w:spacing w:before="240"/>
        <w:ind w:right="91"/>
        <w:rPr>
          <w:u w:val="single"/>
        </w:rPr>
      </w:pPr>
      <w:r w:rsidRPr="004553B1">
        <w:rPr>
          <w:u w:val="single"/>
        </w:rPr>
        <w:t>S</w:t>
      </w:r>
      <w:r w:rsidR="000D477A" w:rsidRPr="004553B1">
        <w:rPr>
          <w:u w:val="single"/>
        </w:rPr>
        <w:t>ection 5 – Criteria the Tax Commissioner must be satisfied</w:t>
      </w:r>
      <w:r w:rsidR="00EB20AA" w:rsidRPr="004553B1">
        <w:rPr>
          <w:u w:val="single"/>
        </w:rPr>
        <w:t xml:space="preserve"> of</w:t>
      </w:r>
      <w:r w:rsidR="000D477A" w:rsidRPr="004553B1">
        <w:rPr>
          <w:u w:val="single"/>
        </w:rPr>
        <w:t xml:space="preserve"> in determining an extended application date </w:t>
      </w:r>
    </w:p>
    <w:p w14:paraId="47425733" w14:textId="77777777" w:rsidR="00393F90" w:rsidRPr="004553B1" w:rsidRDefault="00393F90" w:rsidP="004553B1">
      <w:pPr>
        <w:shd w:val="clear" w:color="auto" w:fill="FFFFFF" w:themeFill="background1"/>
        <w:spacing w:before="240"/>
      </w:pPr>
      <w:r w:rsidRPr="004553B1">
        <w:t xml:space="preserve">Before the </w:t>
      </w:r>
      <w:r w:rsidR="00CC5B40" w:rsidRPr="004553B1">
        <w:t xml:space="preserve">Commissioner of Taxation (Tax Commissioner) </w:t>
      </w:r>
      <w:r w:rsidRPr="004553B1">
        <w:t xml:space="preserve">can grant an extended application date to an </w:t>
      </w:r>
      <w:r w:rsidR="008917A3" w:rsidRPr="004553B1">
        <w:t>applicant</w:t>
      </w:r>
      <w:r w:rsidRPr="004553B1">
        <w:t>, the Tax Commissioner must be satisfied that the prescribed criteria in relation to the application are met.</w:t>
      </w:r>
    </w:p>
    <w:p w14:paraId="5718146C" w14:textId="77777777" w:rsidR="00393F90" w:rsidRPr="004553B1" w:rsidRDefault="00A73D95" w:rsidP="004553B1">
      <w:pPr>
        <w:shd w:val="clear" w:color="auto" w:fill="FFFFFF" w:themeFill="background1"/>
        <w:spacing w:before="240"/>
      </w:pPr>
      <w:r w:rsidRPr="004553B1">
        <w:t>T</w:t>
      </w:r>
      <w:r w:rsidR="00ED1FB6" w:rsidRPr="004553B1">
        <w:t>he prescribed criteria are</w:t>
      </w:r>
      <w:r w:rsidR="00E7541E" w:rsidRPr="004553B1">
        <w:t xml:space="preserve"> that</w:t>
      </w:r>
      <w:r w:rsidRPr="004553B1">
        <w:t>,</w:t>
      </w:r>
      <w:r w:rsidR="00A337B3" w:rsidRPr="004553B1">
        <w:t xml:space="preserve"> at the time the application for an extended application date is made to the Tax Commissioner:</w:t>
      </w:r>
    </w:p>
    <w:p w14:paraId="51D4455B" w14:textId="77CEC453" w:rsidR="00393F90" w:rsidRPr="004553B1" w:rsidRDefault="006E3A1E" w:rsidP="004553B1">
      <w:pPr>
        <w:pStyle w:val="Bullet"/>
        <w:shd w:val="clear" w:color="auto" w:fill="FFFFFF" w:themeFill="background1"/>
      </w:pPr>
      <w:r w:rsidRPr="004553B1">
        <w:t xml:space="preserve">there has been no change in the </w:t>
      </w:r>
      <w:r w:rsidR="008917A3" w:rsidRPr="004553B1">
        <w:t>applicant</w:t>
      </w:r>
      <w:r w:rsidRPr="004553B1">
        <w:t xml:space="preserve">’s circumstances that would affect </w:t>
      </w:r>
      <w:r w:rsidR="0039506E" w:rsidRPr="004553B1">
        <w:t>its entitlement to deductible gift recipient (DGR) endorsement,</w:t>
      </w:r>
      <w:r w:rsidRPr="004553B1">
        <w:t xml:space="preserve"> </w:t>
      </w:r>
      <w:r w:rsidR="00ED1FB6" w:rsidRPr="004553B1">
        <w:t>but for the</w:t>
      </w:r>
      <w:r w:rsidRPr="004553B1">
        <w:t xml:space="preserve"> amendments made by Schedule 1 to the </w:t>
      </w:r>
      <w:proofErr w:type="gramStart"/>
      <w:r w:rsidR="00EB20AA" w:rsidRPr="004553B1">
        <w:t>Act</w:t>
      </w:r>
      <w:r w:rsidRPr="004553B1">
        <w:t>;</w:t>
      </w:r>
      <w:proofErr w:type="gramEnd"/>
      <w:r w:rsidRPr="004553B1">
        <w:t xml:space="preserve"> </w:t>
      </w:r>
    </w:p>
    <w:p w14:paraId="577590E5" w14:textId="77777777" w:rsidR="006E3A1E" w:rsidRPr="004553B1" w:rsidRDefault="00A337B3" w:rsidP="004553B1">
      <w:pPr>
        <w:pStyle w:val="Bullet"/>
        <w:shd w:val="clear" w:color="auto" w:fill="FFFFFF" w:themeFill="background1"/>
      </w:pPr>
      <w:r w:rsidRPr="004553B1">
        <w:t xml:space="preserve">the </w:t>
      </w:r>
      <w:r w:rsidR="008917A3" w:rsidRPr="004553B1">
        <w:t>applicant</w:t>
      </w:r>
      <w:r w:rsidRPr="004553B1">
        <w:t xml:space="preserve"> has never had an application for registration under the </w:t>
      </w:r>
      <w:r w:rsidRPr="004553B1">
        <w:rPr>
          <w:i/>
        </w:rPr>
        <w:t>Australian Charities and Not-for-profits Commission Act 2012</w:t>
      </w:r>
      <w:r w:rsidRPr="004553B1">
        <w:t xml:space="preserve"> (ACNC Act) refused; and</w:t>
      </w:r>
    </w:p>
    <w:p w14:paraId="54447D0D" w14:textId="77777777" w:rsidR="00A425CC" w:rsidRPr="004553B1" w:rsidRDefault="00A337B3" w:rsidP="004553B1">
      <w:pPr>
        <w:pStyle w:val="Bullet"/>
        <w:shd w:val="clear" w:color="auto" w:fill="FFFFFF" w:themeFill="background1"/>
      </w:pPr>
      <w:r w:rsidRPr="004553B1">
        <w:t xml:space="preserve">the </w:t>
      </w:r>
      <w:r w:rsidR="008917A3" w:rsidRPr="004553B1">
        <w:t>applicant</w:t>
      </w:r>
      <w:r w:rsidRPr="004553B1">
        <w:t xml:space="preserve"> has never had </w:t>
      </w:r>
      <w:r w:rsidR="00A425CC" w:rsidRPr="004553B1">
        <w:t>its</w:t>
      </w:r>
      <w:r w:rsidRPr="004553B1">
        <w:t xml:space="preserve"> registration under the ACNC</w:t>
      </w:r>
      <w:r w:rsidR="00ED1FB6" w:rsidRPr="004553B1">
        <w:t xml:space="preserve"> Act</w:t>
      </w:r>
      <w:r w:rsidRPr="004553B1">
        <w:t xml:space="preserve"> </w:t>
      </w:r>
      <w:r w:rsidR="006E133D" w:rsidRPr="004553B1">
        <w:t xml:space="preserve">involuntarily </w:t>
      </w:r>
      <w:r w:rsidR="006D780B" w:rsidRPr="004553B1">
        <w:t>revoked.</w:t>
      </w:r>
    </w:p>
    <w:p w14:paraId="627E5016" w14:textId="77777777" w:rsidR="00F9299B" w:rsidRPr="004553B1" w:rsidRDefault="00ED1FB6" w:rsidP="004553B1">
      <w:pPr>
        <w:shd w:val="clear" w:color="auto" w:fill="FFFFFF" w:themeFill="background1"/>
        <w:spacing w:before="240"/>
        <w:ind w:right="91"/>
      </w:pPr>
      <w:r w:rsidRPr="004553B1">
        <w:t>If an</w:t>
      </w:r>
      <w:r w:rsidR="0039506E" w:rsidRPr="004553B1">
        <w:t xml:space="preserve"> </w:t>
      </w:r>
      <w:r w:rsidR="008917A3" w:rsidRPr="004553B1">
        <w:t>applicant</w:t>
      </w:r>
      <w:r w:rsidR="00E7541E" w:rsidRPr="004553B1">
        <w:t xml:space="preserve"> </w:t>
      </w:r>
      <w:r w:rsidRPr="004553B1">
        <w:t xml:space="preserve">does not satisfy </w:t>
      </w:r>
      <w:proofErr w:type="gramStart"/>
      <w:r w:rsidRPr="004553B1">
        <w:t>all of</w:t>
      </w:r>
      <w:proofErr w:type="gramEnd"/>
      <w:r w:rsidRPr="004553B1">
        <w:t xml:space="preserve"> the above criteria,</w:t>
      </w:r>
      <w:r w:rsidR="00A337B3" w:rsidRPr="004553B1">
        <w:t xml:space="preserve"> the Tax Commissioner must refuse </w:t>
      </w:r>
      <w:r w:rsidR="00E7541E" w:rsidRPr="004553B1">
        <w:t>its</w:t>
      </w:r>
      <w:r w:rsidR="00A337B3" w:rsidRPr="004553B1">
        <w:t xml:space="preserve"> </w:t>
      </w:r>
      <w:r w:rsidR="00A73D95" w:rsidRPr="004553B1">
        <w:t>application for an extended application date.</w:t>
      </w:r>
    </w:p>
    <w:p w14:paraId="22D33935" w14:textId="7AB5B108" w:rsidR="00F9299B" w:rsidRPr="004553B1" w:rsidRDefault="00EB20AA" w:rsidP="004553B1">
      <w:pPr>
        <w:shd w:val="clear" w:color="auto" w:fill="FFFFFF" w:themeFill="background1"/>
        <w:spacing w:before="240"/>
        <w:ind w:right="91"/>
      </w:pPr>
      <w:r w:rsidRPr="004553B1">
        <w:t>Applicants that do</w:t>
      </w:r>
      <w:r w:rsidR="00DC480D" w:rsidRPr="004553B1">
        <w:t xml:space="preserve"> not satisfy</w:t>
      </w:r>
      <w:r w:rsidR="00A73D95" w:rsidRPr="004553B1">
        <w:t xml:space="preserve"> </w:t>
      </w:r>
      <w:proofErr w:type="gramStart"/>
      <w:r w:rsidR="00A73D95" w:rsidRPr="004553B1">
        <w:t>all of</w:t>
      </w:r>
      <w:proofErr w:type="gramEnd"/>
      <w:r w:rsidR="00A73D95" w:rsidRPr="004553B1">
        <w:t xml:space="preserve"> the above criteria</w:t>
      </w:r>
      <w:r w:rsidR="007211DA" w:rsidRPr="004553B1">
        <w:t xml:space="preserve">, </w:t>
      </w:r>
      <w:r w:rsidRPr="004553B1">
        <w:t>are</w:t>
      </w:r>
      <w:r w:rsidR="00DC480D" w:rsidRPr="004553B1">
        <w:t xml:space="preserve"> less likely to be entitled to DGR endorsement on</w:t>
      </w:r>
      <w:r w:rsidR="007211DA" w:rsidRPr="004553B1">
        <w:t xml:space="preserve">ce the amendments in Schedule 1 </w:t>
      </w:r>
      <w:r w:rsidR="00247EC7" w:rsidRPr="004553B1">
        <w:t xml:space="preserve">to the </w:t>
      </w:r>
      <w:r w:rsidR="00DE6439" w:rsidRPr="004553B1">
        <w:t>Act</w:t>
      </w:r>
      <w:r w:rsidR="00247EC7" w:rsidRPr="004553B1">
        <w:t xml:space="preserve"> apply</w:t>
      </w:r>
      <w:r w:rsidRPr="004553B1">
        <w:t xml:space="preserve"> and pose a higher compliance risk</w:t>
      </w:r>
      <w:r w:rsidR="00247EC7" w:rsidRPr="004553B1">
        <w:t>.</w:t>
      </w:r>
      <w:r w:rsidR="0039506E" w:rsidRPr="004553B1">
        <w:t xml:space="preserve"> </w:t>
      </w:r>
      <w:r w:rsidR="007211DA" w:rsidRPr="004553B1">
        <w:t xml:space="preserve">As the amendments in Schedule 1 to the </w:t>
      </w:r>
      <w:r w:rsidR="00DE6439" w:rsidRPr="004553B1">
        <w:t>Act</w:t>
      </w:r>
      <w:r w:rsidR="007211DA" w:rsidRPr="004553B1">
        <w:t xml:space="preserve"> </w:t>
      </w:r>
      <w:r w:rsidR="00C5481D" w:rsidRPr="004553B1">
        <w:t xml:space="preserve">will improve the consistency of regulation, </w:t>
      </w:r>
      <w:proofErr w:type="gramStart"/>
      <w:r w:rsidR="00C5481D" w:rsidRPr="004553B1">
        <w:t>governance</w:t>
      </w:r>
      <w:proofErr w:type="gramEnd"/>
      <w:r w:rsidR="00C5481D" w:rsidRPr="004553B1">
        <w:t xml:space="preserve"> and oversight of DGRs</w:t>
      </w:r>
      <w:r w:rsidR="007211DA" w:rsidRPr="004553B1">
        <w:t>, i</w:t>
      </w:r>
      <w:r w:rsidR="00BD0241" w:rsidRPr="004553B1">
        <w:t xml:space="preserve">t is </w:t>
      </w:r>
      <w:r w:rsidR="0039506E" w:rsidRPr="004553B1">
        <w:t xml:space="preserve">therefore </w:t>
      </w:r>
      <w:r w:rsidR="00BD0241" w:rsidRPr="004553B1">
        <w:t xml:space="preserve">not </w:t>
      </w:r>
      <w:r w:rsidR="00BD0241" w:rsidRPr="004553B1">
        <w:lastRenderedPageBreak/>
        <w:t>appropriate to give</w:t>
      </w:r>
      <w:r w:rsidR="00247EC7" w:rsidRPr="004553B1">
        <w:t xml:space="preserve"> </w:t>
      </w:r>
      <w:r w:rsidR="00BD0241" w:rsidRPr="004553B1">
        <w:t xml:space="preserve">such an </w:t>
      </w:r>
      <w:r w:rsidR="008917A3" w:rsidRPr="004553B1">
        <w:t>applicant</w:t>
      </w:r>
      <w:r w:rsidR="00247EC7" w:rsidRPr="004553B1">
        <w:t xml:space="preserve"> four ye</w:t>
      </w:r>
      <w:r w:rsidR="007211DA" w:rsidRPr="004553B1">
        <w:t>ars after the application date before the amendments apply.</w:t>
      </w:r>
    </w:p>
    <w:p w14:paraId="1C46583C" w14:textId="542AA807" w:rsidR="00247EC7" w:rsidRPr="004553B1" w:rsidRDefault="00247EC7" w:rsidP="004553B1">
      <w:pPr>
        <w:shd w:val="clear" w:color="auto" w:fill="FFFFFF" w:themeFill="background1"/>
        <w:spacing w:before="240"/>
        <w:ind w:right="91"/>
      </w:pPr>
      <w:r w:rsidRPr="004553B1">
        <w:t xml:space="preserve">This reflects </w:t>
      </w:r>
      <w:r w:rsidR="00BD0241" w:rsidRPr="004553B1">
        <w:t>that the</w:t>
      </w:r>
      <w:r w:rsidRPr="004553B1">
        <w:t xml:space="preserve"> purpose of the extended application date</w:t>
      </w:r>
      <w:r w:rsidR="00BD0241" w:rsidRPr="004553B1">
        <w:t xml:space="preserve"> </w:t>
      </w:r>
      <w:r w:rsidRPr="004553B1">
        <w:t xml:space="preserve">is to ensure </w:t>
      </w:r>
      <w:r w:rsidR="00304533" w:rsidRPr="004553B1">
        <w:t xml:space="preserve">applicants </w:t>
      </w:r>
      <w:r w:rsidRPr="004553B1">
        <w:t>that are likely to be</w:t>
      </w:r>
      <w:r w:rsidR="00A25AF7" w:rsidRPr="004553B1">
        <w:t>come</w:t>
      </w:r>
      <w:r w:rsidRPr="004553B1">
        <w:t xml:space="preserve"> entitled to DGR endorsement </w:t>
      </w:r>
      <w:r w:rsidR="00A25AF7" w:rsidRPr="004553B1">
        <w:t>once the amendments in Schedule </w:t>
      </w:r>
      <w:r w:rsidRPr="004553B1">
        <w:t xml:space="preserve">1 to the </w:t>
      </w:r>
      <w:r w:rsidR="00DE6439" w:rsidRPr="004553B1">
        <w:t>Act</w:t>
      </w:r>
      <w:r w:rsidRPr="004553B1">
        <w:t xml:space="preserve"> apply</w:t>
      </w:r>
      <w:r w:rsidR="00BD0241" w:rsidRPr="004553B1">
        <w:t>,</w:t>
      </w:r>
      <w:r w:rsidRPr="004553B1">
        <w:t xml:space="preserve"> </w:t>
      </w:r>
      <w:r w:rsidR="00A25AF7" w:rsidRPr="004553B1">
        <w:t>have additional time to do so if</w:t>
      </w:r>
      <w:r w:rsidR="00BD0241" w:rsidRPr="004553B1">
        <w:t xml:space="preserve"> </w:t>
      </w:r>
      <w:r w:rsidR="00A25AF7" w:rsidRPr="004553B1">
        <w:t xml:space="preserve">that additional time is </w:t>
      </w:r>
      <w:r w:rsidR="00183174" w:rsidRPr="004553B1">
        <w:t>reasonably</w:t>
      </w:r>
      <w:r w:rsidR="00A25AF7" w:rsidRPr="004553B1">
        <w:t xml:space="preserve"> needed</w:t>
      </w:r>
      <w:r w:rsidRPr="004553B1">
        <w:t>.</w:t>
      </w:r>
      <w:r w:rsidR="00BD0241" w:rsidRPr="004553B1">
        <w:t xml:space="preserve"> This might occur for example, if </w:t>
      </w:r>
      <w:r w:rsidR="00304533" w:rsidRPr="004553B1">
        <w:t>the applicant</w:t>
      </w:r>
      <w:r w:rsidR="00BD0241" w:rsidRPr="004553B1">
        <w:t xml:space="preserve"> needs to go through a court p</w:t>
      </w:r>
      <w:r w:rsidR="00935EE9" w:rsidRPr="004553B1">
        <w:t>rocess to change its trust deed to meet the new requirements.</w:t>
      </w:r>
    </w:p>
    <w:p w14:paraId="51B3AF31" w14:textId="7B86972C" w:rsidR="00247EC7" w:rsidRPr="004553B1" w:rsidRDefault="008917A3" w:rsidP="004553B1">
      <w:pPr>
        <w:shd w:val="clear" w:color="auto" w:fill="FFFFFF" w:themeFill="background1"/>
        <w:spacing w:before="240"/>
        <w:ind w:right="91"/>
      </w:pPr>
      <w:r w:rsidRPr="004553B1">
        <w:t>Applicants</w:t>
      </w:r>
      <w:r w:rsidR="00247EC7" w:rsidRPr="004553B1">
        <w:t xml:space="preserve"> that do not satisfy </w:t>
      </w:r>
      <w:r w:rsidR="00BD0241" w:rsidRPr="004553B1">
        <w:t>th</w:t>
      </w:r>
      <w:r w:rsidR="00EA1362" w:rsidRPr="004553B1">
        <w:t>ese</w:t>
      </w:r>
      <w:r w:rsidR="00BD0241" w:rsidRPr="004553B1">
        <w:t xml:space="preserve"> criteria</w:t>
      </w:r>
      <w:r w:rsidR="00247EC7" w:rsidRPr="004553B1">
        <w:t xml:space="preserve"> will </w:t>
      </w:r>
      <w:r w:rsidR="00217C8E" w:rsidRPr="004553B1">
        <w:t xml:space="preserve">still have the benefit of the </w:t>
      </w:r>
      <w:r w:rsidR="00EF056B" w:rsidRPr="004553B1">
        <w:t>12-month</w:t>
      </w:r>
      <w:r w:rsidR="00247EC7" w:rsidRPr="004553B1">
        <w:t xml:space="preserve"> transitional period</w:t>
      </w:r>
      <w:r w:rsidR="00951AC9" w:rsidRPr="004553B1">
        <w:t xml:space="preserve"> that commences </w:t>
      </w:r>
      <w:r w:rsidR="00217C8E" w:rsidRPr="004553B1">
        <w:t>after</w:t>
      </w:r>
      <w:r w:rsidR="00951AC9" w:rsidRPr="004553B1">
        <w:t xml:space="preserve"> the application date</w:t>
      </w:r>
      <w:r w:rsidR="00247EC7" w:rsidRPr="004553B1">
        <w:t xml:space="preserve">, provided they </w:t>
      </w:r>
      <w:r w:rsidR="0034649B" w:rsidRPr="004553B1">
        <w:t>are</w:t>
      </w:r>
      <w:r w:rsidR="0071799F" w:rsidRPr="004553B1">
        <w:t xml:space="preserve"> either a DGR or </w:t>
      </w:r>
      <w:r w:rsidR="003E5C76" w:rsidRPr="004553B1">
        <w:t xml:space="preserve">have applied to </w:t>
      </w:r>
      <w:r w:rsidR="00EA1362" w:rsidRPr="004553B1">
        <w:t xml:space="preserve">the Tax Commissioner to </w:t>
      </w:r>
      <w:r w:rsidR="003E5C76" w:rsidRPr="004553B1">
        <w:t>be</w:t>
      </w:r>
      <w:r w:rsidR="00EA1362" w:rsidRPr="004553B1">
        <w:t>come</w:t>
      </w:r>
      <w:r w:rsidR="003E5C76" w:rsidRPr="004553B1">
        <w:t xml:space="preserve"> a </w:t>
      </w:r>
      <w:r w:rsidR="0071799F" w:rsidRPr="004553B1">
        <w:t xml:space="preserve">DGR </w:t>
      </w:r>
      <w:r w:rsidR="003E5C76" w:rsidRPr="004553B1">
        <w:t xml:space="preserve">to </w:t>
      </w:r>
      <w:r w:rsidR="0071799F" w:rsidRPr="004553B1">
        <w:t>immediately before the application date.</w:t>
      </w:r>
      <w:r w:rsidR="00780EAC" w:rsidRPr="004553B1">
        <w:t xml:space="preserve"> These transitional provisions a</w:t>
      </w:r>
      <w:r w:rsidR="00951AC9" w:rsidRPr="004553B1">
        <w:t>re set out in Schedule 1 to the </w:t>
      </w:r>
      <w:r w:rsidR="00EA1362" w:rsidRPr="004553B1">
        <w:t>Act</w:t>
      </w:r>
      <w:r w:rsidR="00780EAC" w:rsidRPr="004553B1">
        <w:t>.</w:t>
      </w:r>
    </w:p>
    <w:p w14:paraId="7554C9E2" w14:textId="780F7A02" w:rsidR="00B72FFF" w:rsidRPr="004553B1" w:rsidRDefault="00A25AF7" w:rsidP="004553B1">
      <w:pPr>
        <w:shd w:val="clear" w:color="auto" w:fill="FFFFFF" w:themeFill="background1"/>
        <w:spacing w:before="240"/>
        <w:ind w:right="91"/>
      </w:pPr>
      <w:r w:rsidRPr="004553B1">
        <w:t xml:space="preserve">For </w:t>
      </w:r>
      <w:proofErr w:type="gramStart"/>
      <w:r w:rsidRPr="004553B1">
        <w:t>the majority of</w:t>
      </w:r>
      <w:proofErr w:type="gramEnd"/>
      <w:r w:rsidRPr="004553B1">
        <w:t xml:space="preserve"> affected entities, t</w:t>
      </w:r>
      <w:r w:rsidR="00951AC9" w:rsidRPr="004553B1">
        <w:t xml:space="preserve">he </w:t>
      </w:r>
      <w:r w:rsidR="00F41937" w:rsidRPr="004553B1">
        <w:t>12-month</w:t>
      </w:r>
      <w:r w:rsidR="00B72FFF" w:rsidRPr="004553B1">
        <w:t xml:space="preserve"> transitional</w:t>
      </w:r>
      <w:r w:rsidR="00951AC9" w:rsidRPr="004553B1">
        <w:t xml:space="preserve"> period</w:t>
      </w:r>
      <w:r w:rsidR="00217C8E" w:rsidRPr="004553B1">
        <w:t xml:space="preserve"> </w:t>
      </w:r>
      <w:r w:rsidRPr="004553B1">
        <w:t xml:space="preserve">will </w:t>
      </w:r>
      <w:r w:rsidR="004A006A" w:rsidRPr="004553B1">
        <w:t xml:space="preserve">be sufficient </w:t>
      </w:r>
      <w:r w:rsidRPr="004553B1">
        <w:t xml:space="preserve">for these entities </w:t>
      </w:r>
      <w:r w:rsidR="00B72FFF" w:rsidRPr="004553B1">
        <w:t>to take the necessary steps to become a registered charity</w:t>
      </w:r>
      <w:r w:rsidRPr="004553B1">
        <w:t xml:space="preserve"> or operated by a registered charity</w:t>
      </w:r>
      <w:r w:rsidR="00B72FFF" w:rsidRPr="004553B1">
        <w:t xml:space="preserve">, </w:t>
      </w:r>
      <w:r w:rsidR="00217C8E" w:rsidRPr="004553B1">
        <w:t>especially given that the</w:t>
      </w:r>
      <w:r w:rsidR="00915E7F" w:rsidRPr="004553B1">
        <w:t xml:space="preserve"> </w:t>
      </w:r>
      <w:r w:rsidR="00EA1362" w:rsidRPr="004553B1">
        <w:t xml:space="preserve">reforms were first </w:t>
      </w:r>
      <w:r w:rsidR="00915E7F" w:rsidRPr="004553B1">
        <w:t>announced in 2017</w:t>
      </w:r>
      <w:r w:rsidR="00B72FFF" w:rsidRPr="004553B1">
        <w:t>.</w:t>
      </w:r>
    </w:p>
    <w:p w14:paraId="50D1D032" w14:textId="77777777" w:rsidR="00482B81" w:rsidRPr="004553B1" w:rsidRDefault="000D477A" w:rsidP="004553B1">
      <w:pPr>
        <w:shd w:val="clear" w:color="auto" w:fill="FFFFFF" w:themeFill="background1"/>
        <w:spacing w:before="240"/>
        <w:ind w:right="91"/>
        <w:rPr>
          <w:u w:val="single"/>
        </w:rPr>
      </w:pPr>
      <w:r w:rsidRPr="004553B1">
        <w:rPr>
          <w:u w:val="single"/>
        </w:rPr>
        <w:t>Section 6 – Matters to which the Tax Commissioner must have regard in determining an extended application da</w:t>
      </w:r>
      <w:r w:rsidR="005162E9" w:rsidRPr="004553B1">
        <w:rPr>
          <w:u w:val="single"/>
        </w:rPr>
        <w:t>te</w:t>
      </w:r>
    </w:p>
    <w:p w14:paraId="1C2CF9FD" w14:textId="77777777" w:rsidR="00247EC7" w:rsidRPr="004553B1" w:rsidRDefault="00247EC7" w:rsidP="004553B1">
      <w:pPr>
        <w:shd w:val="clear" w:color="auto" w:fill="FFFFFF" w:themeFill="background1"/>
        <w:spacing w:before="240"/>
      </w:pPr>
      <w:r w:rsidRPr="004553B1">
        <w:t>Additionally, the Tax Commissioner must have re</w:t>
      </w:r>
      <w:r w:rsidR="00935EE9" w:rsidRPr="004553B1">
        <w:t xml:space="preserve">gard to the prescribed matters before </w:t>
      </w:r>
      <w:proofErr w:type="gramStart"/>
      <w:r w:rsidR="00A30B11" w:rsidRPr="004553B1">
        <w:t>making a determination</w:t>
      </w:r>
      <w:proofErr w:type="gramEnd"/>
      <w:r w:rsidR="00935EE9" w:rsidRPr="004553B1">
        <w:t xml:space="preserve"> </w:t>
      </w:r>
      <w:r w:rsidR="00A30B11" w:rsidRPr="004553B1">
        <w:t>on an application for an extended application date</w:t>
      </w:r>
      <w:r w:rsidR="00935EE9" w:rsidRPr="004553B1">
        <w:t>.</w:t>
      </w:r>
    </w:p>
    <w:p w14:paraId="047F2100" w14:textId="77777777" w:rsidR="00247EC7" w:rsidRPr="004553B1" w:rsidRDefault="00247EC7" w:rsidP="004553B1">
      <w:pPr>
        <w:shd w:val="clear" w:color="auto" w:fill="FFFFFF" w:themeFill="background1"/>
        <w:spacing w:before="240"/>
        <w:ind w:right="91"/>
      </w:pPr>
      <w:r w:rsidRPr="004553B1">
        <w:t xml:space="preserve">The prescribed matters </w:t>
      </w:r>
      <w:r w:rsidR="007D7C66" w:rsidRPr="004553B1">
        <w:t>are:</w:t>
      </w:r>
    </w:p>
    <w:p w14:paraId="1C21B86C" w14:textId="77777777" w:rsidR="00247EC7" w:rsidRPr="004553B1" w:rsidRDefault="00247EC7" w:rsidP="004553B1">
      <w:pPr>
        <w:pStyle w:val="Bullet"/>
        <w:shd w:val="clear" w:color="auto" w:fill="FFFFFF" w:themeFill="background1"/>
      </w:pPr>
      <w:r w:rsidRPr="004553B1">
        <w:t xml:space="preserve">during the period between the application date and the transitional application date, whether the </w:t>
      </w:r>
      <w:r w:rsidR="008917A3" w:rsidRPr="004553B1">
        <w:t>applicant</w:t>
      </w:r>
      <w:r w:rsidRPr="004553B1">
        <w:t xml:space="preserve"> took reasonable steps to:</w:t>
      </w:r>
    </w:p>
    <w:p w14:paraId="54ACBC48" w14:textId="45236C01" w:rsidR="00247EC7" w:rsidRPr="004553B1" w:rsidRDefault="00247EC7" w:rsidP="004553B1">
      <w:pPr>
        <w:pStyle w:val="Dash"/>
        <w:shd w:val="clear" w:color="auto" w:fill="FFFFFF" w:themeFill="background1"/>
      </w:pPr>
      <w:r w:rsidRPr="004553B1">
        <w:t xml:space="preserve">satisfy the requirements for entitlement </w:t>
      </w:r>
      <w:r w:rsidR="007D7C66" w:rsidRPr="004553B1">
        <w:t>for registration under the ACNC </w:t>
      </w:r>
      <w:proofErr w:type="gramStart"/>
      <w:r w:rsidRPr="004553B1">
        <w:t>Act;</w:t>
      </w:r>
      <w:proofErr w:type="gramEnd"/>
    </w:p>
    <w:p w14:paraId="01C00714" w14:textId="77777777" w:rsidR="00247EC7" w:rsidRPr="004553B1" w:rsidRDefault="0026364C" w:rsidP="004553B1">
      <w:pPr>
        <w:pStyle w:val="Dash"/>
        <w:shd w:val="clear" w:color="auto" w:fill="FFFFFF" w:themeFill="background1"/>
      </w:pPr>
      <w:r w:rsidRPr="004553B1">
        <w:t>apply for registration under the ACNC Act; and</w:t>
      </w:r>
    </w:p>
    <w:p w14:paraId="3EDC337A" w14:textId="77777777" w:rsidR="0026364C" w:rsidRPr="004553B1" w:rsidRDefault="0026364C" w:rsidP="004553B1">
      <w:pPr>
        <w:pStyle w:val="Dash"/>
        <w:shd w:val="clear" w:color="auto" w:fill="FFFFFF" w:themeFill="background1"/>
      </w:pPr>
      <w:r w:rsidRPr="004553B1">
        <w:t xml:space="preserve">give information or documents </w:t>
      </w:r>
      <w:r w:rsidR="007D7C66" w:rsidRPr="004553B1">
        <w:t>to</w:t>
      </w:r>
      <w:r w:rsidRPr="004553B1">
        <w:t xml:space="preserve"> the ACNC Commissioner</w:t>
      </w:r>
      <w:r w:rsidR="007D7C66" w:rsidRPr="004553B1">
        <w:t xml:space="preserve"> if required to do </w:t>
      </w:r>
      <w:proofErr w:type="gramStart"/>
      <w:r w:rsidR="007D7C66" w:rsidRPr="004553B1">
        <w:t>so</w:t>
      </w:r>
      <w:r w:rsidRPr="004553B1">
        <w:t>;</w:t>
      </w:r>
      <w:proofErr w:type="gramEnd"/>
    </w:p>
    <w:p w14:paraId="20AFA56B" w14:textId="7AF333E2" w:rsidR="00A53452" w:rsidRPr="004553B1" w:rsidRDefault="00A53452" w:rsidP="004553B1">
      <w:pPr>
        <w:pStyle w:val="Bullet"/>
        <w:shd w:val="clear" w:color="auto" w:fill="FFFFFF" w:themeFill="background1"/>
      </w:pPr>
      <w:r w:rsidRPr="004553B1">
        <w:t xml:space="preserve">whether it is reasonably possible that </w:t>
      </w:r>
      <w:r w:rsidR="0026364C" w:rsidRPr="004553B1">
        <w:t xml:space="preserve">the </w:t>
      </w:r>
      <w:r w:rsidR="008917A3" w:rsidRPr="004553B1">
        <w:t>applicant</w:t>
      </w:r>
      <w:r w:rsidR="0026364C" w:rsidRPr="004553B1">
        <w:t xml:space="preserve"> will</w:t>
      </w:r>
      <w:r w:rsidR="00A84C44" w:rsidRPr="004553B1">
        <w:t xml:space="preserve"> </w:t>
      </w:r>
      <w:r w:rsidR="0026364C" w:rsidRPr="004553B1">
        <w:t>be able to satisfy the requirements for entitlement for registration under the ACNC Act</w:t>
      </w:r>
      <w:r w:rsidR="00A84C44" w:rsidRPr="004553B1">
        <w:t xml:space="preserve"> by the extended application </w:t>
      </w:r>
      <w:proofErr w:type="gramStart"/>
      <w:r w:rsidR="00A84C44" w:rsidRPr="004553B1">
        <w:t>date</w:t>
      </w:r>
      <w:r w:rsidR="0026364C" w:rsidRPr="004553B1">
        <w:t>;</w:t>
      </w:r>
      <w:proofErr w:type="gramEnd"/>
    </w:p>
    <w:p w14:paraId="0D69B90A" w14:textId="77777777" w:rsidR="00A53452" w:rsidRPr="004553B1" w:rsidRDefault="00A53452" w:rsidP="004553B1">
      <w:pPr>
        <w:pStyle w:val="Bullet"/>
        <w:shd w:val="clear" w:color="auto" w:fill="FFFFFF" w:themeFill="background1"/>
      </w:pPr>
      <w:r w:rsidRPr="004553B1">
        <w:t xml:space="preserve">if the </w:t>
      </w:r>
      <w:r w:rsidR="008917A3" w:rsidRPr="004553B1">
        <w:t>applicant</w:t>
      </w:r>
      <w:r w:rsidRPr="004553B1">
        <w:t xml:space="preserve"> believes it is unlikely to be able to satisfy the requirements for entitlement for registration under the ACNC Act by</w:t>
      </w:r>
      <w:r w:rsidR="000B504A" w:rsidRPr="004553B1">
        <w:t xml:space="preserve"> the extended application date—</w:t>
      </w:r>
      <w:r w:rsidRPr="004553B1">
        <w:t xml:space="preserve">whether it is reasonable in the circumstances that the </w:t>
      </w:r>
      <w:r w:rsidR="008917A3" w:rsidRPr="004553B1">
        <w:t>applicant</w:t>
      </w:r>
      <w:r w:rsidRPr="004553B1">
        <w:t xml:space="preserve"> be given additional time to</w:t>
      </w:r>
      <w:r w:rsidR="000B504A" w:rsidRPr="004553B1">
        <w:t xml:space="preserve"> </w:t>
      </w:r>
      <w:r w:rsidRPr="004553B1">
        <w:t>wind-up and</w:t>
      </w:r>
      <w:r w:rsidR="000B504A" w:rsidRPr="004553B1">
        <w:t xml:space="preserve"> distribute surplus assets upon winding-up to another DGR with the same or similar purposes; and</w:t>
      </w:r>
    </w:p>
    <w:p w14:paraId="2BEC6CD5" w14:textId="77777777" w:rsidR="00A53452" w:rsidRPr="004553B1" w:rsidRDefault="00A53452" w:rsidP="004553B1">
      <w:pPr>
        <w:pStyle w:val="Bullet"/>
        <w:shd w:val="clear" w:color="auto" w:fill="FFFFFF" w:themeFill="background1"/>
      </w:pPr>
      <w:r w:rsidRPr="004553B1">
        <w:t>any views expressed by the ACNC Commissioner about the above matters.</w:t>
      </w:r>
    </w:p>
    <w:p w14:paraId="2817E3B3" w14:textId="6374FF70" w:rsidR="000B504A" w:rsidRPr="004553B1" w:rsidRDefault="000B504A" w:rsidP="004553B1">
      <w:pPr>
        <w:pStyle w:val="Bullet"/>
        <w:numPr>
          <w:ilvl w:val="0"/>
          <w:numId w:val="0"/>
        </w:numPr>
        <w:shd w:val="clear" w:color="auto" w:fill="FFFFFF" w:themeFill="background1"/>
      </w:pPr>
      <w:r w:rsidRPr="004553B1">
        <w:lastRenderedPageBreak/>
        <w:t xml:space="preserve">The prescribed matter about whether it is reasonable to give an </w:t>
      </w:r>
      <w:r w:rsidR="008917A3" w:rsidRPr="004553B1">
        <w:t>applicant</w:t>
      </w:r>
      <w:r w:rsidRPr="004553B1">
        <w:t xml:space="preserve"> additional time to wind-up and distribute its surplus assets upon winding-up to another DGR reflects that some existing DGRs </w:t>
      </w:r>
      <w:r w:rsidR="00F40122" w:rsidRPr="004553B1">
        <w:t xml:space="preserve">either </w:t>
      </w:r>
      <w:r w:rsidRPr="004553B1">
        <w:t>cannot be registered under the ACNC Act</w:t>
      </w:r>
      <w:r w:rsidR="00F40122" w:rsidRPr="004553B1">
        <w:t xml:space="preserve"> or may choose to establish a new entity that would </w:t>
      </w:r>
      <w:r w:rsidR="00AE331C" w:rsidRPr="004553B1">
        <w:t xml:space="preserve">instead </w:t>
      </w:r>
      <w:r w:rsidR="00F40122" w:rsidRPr="004553B1">
        <w:t>apply for registration under the ACNC Act and endorsement as a DGR</w:t>
      </w:r>
      <w:r w:rsidRPr="004553B1">
        <w:t xml:space="preserve">. This prescribed matter therefore </w:t>
      </w:r>
      <w:r w:rsidR="00A950FB" w:rsidRPr="004553B1">
        <w:t>ensures there is sufficient flexibility to give</w:t>
      </w:r>
      <w:r w:rsidRPr="004553B1">
        <w:t xml:space="preserve"> these existing DGRs additional time to set </w:t>
      </w:r>
      <w:r w:rsidR="00F40122" w:rsidRPr="004553B1">
        <w:t>up the new</w:t>
      </w:r>
      <w:r w:rsidRPr="004553B1">
        <w:t xml:space="preserve"> </w:t>
      </w:r>
      <w:r w:rsidR="00F40122" w:rsidRPr="004553B1">
        <w:t>entity</w:t>
      </w:r>
      <w:r w:rsidR="00A950FB" w:rsidRPr="004553B1">
        <w:t>, where it is reasonable to do so. A relevant factor as to whether it is reasonable to do so is whether the existing DGR’s governing document has clause</w:t>
      </w:r>
      <w:r w:rsidR="00AE331C" w:rsidRPr="004553B1">
        <w:t xml:space="preserve">s preventing reforms to enable registration but have clauses </w:t>
      </w:r>
      <w:r w:rsidR="00A950FB" w:rsidRPr="004553B1">
        <w:t xml:space="preserve">enabling it to </w:t>
      </w:r>
      <w:r w:rsidR="00AE331C" w:rsidRPr="004553B1">
        <w:t xml:space="preserve">nonetheless </w:t>
      </w:r>
      <w:r w:rsidR="00A950FB" w:rsidRPr="004553B1">
        <w:t>distribute its surplus assets upon winding up to the new entity</w:t>
      </w:r>
      <w:r w:rsidR="00976BDF" w:rsidRPr="004553B1">
        <w:t xml:space="preserve"> </w:t>
      </w:r>
      <w:r w:rsidR="00A950FB" w:rsidRPr="004553B1">
        <w:t>(</w:t>
      </w:r>
      <w:r w:rsidR="00976BDF" w:rsidRPr="004553B1">
        <w:t>once the new entity is registered and endorsed as a DG</w:t>
      </w:r>
      <w:r w:rsidR="00A950FB" w:rsidRPr="004553B1">
        <w:t>R).</w:t>
      </w:r>
    </w:p>
    <w:p w14:paraId="378705F9" w14:textId="72C900BF" w:rsidR="008461FE" w:rsidRPr="004553B1" w:rsidRDefault="00F34DFB" w:rsidP="004553B1">
      <w:pPr>
        <w:shd w:val="clear" w:color="auto" w:fill="FFFFFF" w:themeFill="background1"/>
        <w:spacing w:before="240"/>
        <w:ind w:right="91"/>
      </w:pPr>
      <w:r w:rsidRPr="004553B1">
        <w:t>It is not expected that the</w:t>
      </w:r>
      <w:r w:rsidR="008461FE" w:rsidRPr="004553B1">
        <w:t xml:space="preserve"> ACNC Commissioner </w:t>
      </w:r>
      <w:r w:rsidRPr="004553B1">
        <w:t>will provide views about the</w:t>
      </w:r>
      <w:r w:rsidR="00640733" w:rsidRPr="004553B1">
        <w:t>se matters to the Tax Commissioner</w:t>
      </w:r>
      <w:r w:rsidRPr="004553B1">
        <w:t xml:space="preserve"> </w:t>
      </w:r>
      <w:r w:rsidR="00A84C44" w:rsidRPr="004553B1">
        <w:t>for every application for an extended application date</w:t>
      </w:r>
      <w:r w:rsidR="008461FE" w:rsidRPr="004553B1">
        <w:t xml:space="preserve">. </w:t>
      </w:r>
      <w:r w:rsidRPr="004553B1">
        <w:t>R</w:t>
      </w:r>
      <w:r w:rsidR="00A84C44" w:rsidRPr="004553B1">
        <w:t xml:space="preserve">ather, the ACNC Commissioner will </w:t>
      </w:r>
      <w:r w:rsidRPr="004553B1">
        <w:t xml:space="preserve">provide views </w:t>
      </w:r>
      <w:r w:rsidR="00640733" w:rsidRPr="004553B1">
        <w:t>about</w:t>
      </w:r>
      <w:r w:rsidRPr="004553B1">
        <w:t xml:space="preserve"> these matters</w:t>
      </w:r>
      <w:r w:rsidR="00A84C44" w:rsidRPr="004553B1">
        <w:t xml:space="preserve"> as needed. F</w:t>
      </w:r>
      <w:r w:rsidR="00640733" w:rsidRPr="004553B1">
        <w:t>or example,</w:t>
      </w:r>
      <w:r w:rsidR="008461FE" w:rsidRPr="004553B1">
        <w:t xml:space="preserve"> </w:t>
      </w:r>
      <w:r w:rsidR="00A84C44" w:rsidRPr="004553B1">
        <w:t xml:space="preserve">this might include a situation where </w:t>
      </w:r>
      <w:r w:rsidR="008461FE" w:rsidRPr="004553B1">
        <w:t>the facts used to inform the</w:t>
      </w:r>
      <w:r w:rsidR="00A84C44" w:rsidRPr="004553B1">
        <w:t xml:space="preserve"> Tax Commissioner’s assessment of these</w:t>
      </w:r>
      <w:r w:rsidR="00544E4C" w:rsidRPr="004553B1">
        <w:t xml:space="preserve"> matters</w:t>
      </w:r>
      <w:r w:rsidRPr="004553B1">
        <w:t xml:space="preserve"> </w:t>
      </w:r>
      <w:r w:rsidR="00640733" w:rsidRPr="004553B1">
        <w:t>maybe</w:t>
      </w:r>
      <w:r w:rsidR="00915E7F" w:rsidRPr="004553B1">
        <w:t xml:space="preserve"> </w:t>
      </w:r>
      <w:r w:rsidR="00AE331C" w:rsidRPr="004553B1">
        <w:t xml:space="preserve">otherwise </w:t>
      </w:r>
      <w:r w:rsidR="00915E7F" w:rsidRPr="004553B1">
        <w:t>insufficient</w:t>
      </w:r>
      <w:r w:rsidRPr="004553B1">
        <w:t>.</w:t>
      </w:r>
    </w:p>
    <w:p w14:paraId="51FCE0EC" w14:textId="0257D7D9" w:rsidR="007D7C66" w:rsidRPr="004553B1" w:rsidRDefault="007D7C66" w:rsidP="004553B1">
      <w:pPr>
        <w:shd w:val="clear" w:color="auto" w:fill="FFFFFF" w:themeFill="background1"/>
        <w:spacing w:before="240"/>
        <w:ind w:right="91"/>
      </w:pPr>
      <w:r w:rsidRPr="004553B1">
        <w:t>As with the rationale for the prescribed criteria, these prescribed matters ensure</w:t>
      </w:r>
      <w:r w:rsidR="00935EE9" w:rsidRPr="004553B1">
        <w:t xml:space="preserve"> that only </w:t>
      </w:r>
      <w:r w:rsidR="00304533" w:rsidRPr="004553B1">
        <w:t xml:space="preserve">applicants </w:t>
      </w:r>
      <w:r w:rsidR="00935EE9" w:rsidRPr="004553B1">
        <w:t xml:space="preserve">that reasonably require more time than the transitional application date </w:t>
      </w:r>
      <w:r w:rsidRPr="004553B1">
        <w:t>to comply with the amend</w:t>
      </w:r>
      <w:r w:rsidR="00AC0BD3" w:rsidRPr="004553B1">
        <w:t xml:space="preserve">ments in Schedule 1 to the </w:t>
      </w:r>
      <w:r w:rsidR="00AE331C" w:rsidRPr="004553B1">
        <w:t>Act</w:t>
      </w:r>
      <w:r w:rsidR="00AC0BD3" w:rsidRPr="004553B1">
        <w:t xml:space="preserve"> (or </w:t>
      </w:r>
      <w:r w:rsidR="00AE331C" w:rsidRPr="004553B1">
        <w:t xml:space="preserve">to arrange another entity to be </w:t>
      </w:r>
      <w:r w:rsidR="00AC0BD3" w:rsidRPr="004553B1">
        <w:t>set up to comply with those amendments)</w:t>
      </w:r>
      <w:r w:rsidRPr="004553B1">
        <w:t xml:space="preserve"> </w:t>
      </w:r>
      <w:r w:rsidR="00935EE9" w:rsidRPr="004553B1">
        <w:t xml:space="preserve">can access the </w:t>
      </w:r>
      <w:r w:rsidRPr="004553B1">
        <w:t>extended application date.</w:t>
      </w:r>
    </w:p>
    <w:p w14:paraId="6D4D91CD" w14:textId="4EFB7F97" w:rsidR="00DE6439" w:rsidRPr="004553B1" w:rsidRDefault="00A30B11" w:rsidP="004553B1">
      <w:pPr>
        <w:shd w:val="clear" w:color="auto" w:fill="FFFFFF" w:themeFill="background1"/>
        <w:spacing w:before="240"/>
        <w:ind w:right="91"/>
      </w:pPr>
      <w:r w:rsidRPr="004553B1">
        <w:t xml:space="preserve">If an </w:t>
      </w:r>
      <w:r w:rsidR="00304533" w:rsidRPr="004553B1">
        <w:t>applicant</w:t>
      </w:r>
      <w:r w:rsidRPr="004553B1">
        <w:t xml:space="preserve"> is dissatisfied with the Tax Commissioner’s decision regarding its application for an extended application date, Schedule 1 to the </w:t>
      </w:r>
      <w:r w:rsidR="00AE331C" w:rsidRPr="004553B1">
        <w:t>Act</w:t>
      </w:r>
      <w:r w:rsidRPr="004553B1">
        <w:t xml:space="preserve"> allows the </w:t>
      </w:r>
      <w:r w:rsidR="00304533" w:rsidRPr="004553B1">
        <w:t>applicant</w:t>
      </w:r>
      <w:r w:rsidRPr="004553B1">
        <w:t xml:space="preserve"> to object to that decision in the manner set out in Part IVC of the </w:t>
      </w:r>
      <w:r w:rsidRPr="004553B1">
        <w:rPr>
          <w:i/>
        </w:rPr>
        <w:t>Taxation Administration Act 1953</w:t>
      </w:r>
      <w:r w:rsidRPr="004553B1">
        <w:t>.</w:t>
      </w:r>
      <w:r w:rsidR="00AE331C" w:rsidRPr="004553B1">
        <w:t xml:space="preserve">  Part IVC provides a mechanism for internal review, merits review and judicial review of decisions of the Commissioner of Taxation.</w:t>
      </w:r>
    </w:p>
    <w:p w14:paraId="215A9874" w14:textId="77777777" w:rsidR="00DE6439" w:rsidRPr="004553B1" w:rsidRDefault="00DE6439" w:rsidP="004553B1">
      <w:pPr>
        <w:shd w:val="clear" w:color="auto" w:fill="FFFFFF" w:themeFill="background1"/>
        <w:spacing w:before="0" w:after="0"/>
      </w:pPr>
      <w:r w:rsidRPr="004553B1">
        <w:br w:type="page"/>
      </w:r>
    </w:p>
    <w:p w14:paraId="2B975BDB" w14:textId="7C03DD4C" w:rsidR="00DE6439" w:rsidRPr="004553B1" w:rsidRDefault="00DE6439" w:rsidP="004553B1">
      <w:pPr>
        <w:pageBreakBefore/>
        <w:shd w:val="clear" w:color="auto" w:fill="FFFFFF" w:themeFill="background1"/>
        <w:spacing w:before="240"/>
        <w:jc w:val="right"/>
        <w:rPr>
          <w:b/>
          <w:u w:val="single"/>
        </w:rPr>
      </w:pPr>
      <w:r w:rsidRPr="004553B1">
        <w:rPr>
          <w:b/>
          <w:u w:val="single"/>
        </w:rPr>
        <w:lastRenderedPageBreak/>
        <w:t>ATTACHMENT B</w:t>
      </w:r>
    </w:p>
    <w:p w14:paraId="68AB9F7F" w14:textId="77777777" w:rsidR="00DE6439" w:rsidRPr="004553B1" w:rsidRDefault="00DE6439" w:rsidP="004553B1">
      <w:pPr>
        <w:pStyle w:val="Heading3"/>
        <w:shd w:val="clear" w:color="auto" w:fill="FFFFFF" w:themeFill="background1"/>
      </w:pPr>
      <w:r w:rsidRPr="004553B1">
        <w:t>Statement of Compatibility with Human Rights</w:t>
      </w:r>
    </w:p>
    <w:p w14:paraId="1B12BB28" w14:textId="77777777" w:rsidR="00DE6439" w:rsidRPr="004553B1" w:rsidRDefault="00DE6439" w:rsidP="004553B1">
      <w:pPr>
        <w:shd w:val="clear" w:color="auto" w:fill="FFFFFF" w:themeFill="background1"/>
        <w:spacing w:before="240"/>
        <w:jc w:val="center"/>
        <w:rPr>
          <w:i/>
        </w:rPr>
      </w:pPr>
      <w:r w:rsidRPr="004553B1">
        <w:rPr>
          <w:i/>
        </w:rPr>
        <w:t>Prepared in accordance with Part 3 of the Human Rights (Parliamentary Scrutiny) Act 2011</w:t>
      </w:r>
    </w:p>
    <w:p w14:paraId="38A2B636" w14:textId="25F465C5" w:rsidR="00DE6439" w:rsidRPr="004553B1" w:rsidRDefault="00DE6439" w:rsidP="004553B1">
      <w:pPr>
        <w:pStyle w:val="Heading3"/>
        <w:shd w:val="clear" w:color="auto" w:fill="FFFFFF" w:themeFill="background1"/>
        <w:jc w:val="center"/>
      </w:pPr>
      <w:r w:rsidRPr="004553B1">
        <w:t>Treasury Laws Amendment (2021 Measures No. 2) (Deductible Gift Recipients—Extended Application Date) Instrument 2021</w:t>
      </w:r>
    </w:p>
    <w:p w14:paraId="553516CC" w14:textId="77777777" w:rsidR="00DE6439" w:rsidRPr="004553B1" w:rsidRDefault="00DE6439" w:rsidP="004553B1">
      <w:pPr>
        <w:shd w:val="clear" w:color="auto" w:fill="FFFFFF" w:themeFill="background1"/>
        <w:spacing w:before="240"/>
      </w:pPr>
      <w:r w:rsidRPr="004553B1">
        <w:t xml:space="preserve">This Legislative Instrument is compatible with the human rights and freedoms recognised or declared in the international instruments listed in section 3 of the </w:t>
      </w:r>
      <w:r w:rsidRPr="004553B1">
        <w:rPr>
          <w:i/>
        </w:rPr>
        <w:t>Human Rights (Parliamentary Scrutiny) Act 2011</w:t>
      </w:r>
      <w:r w:rsidRPr="004553B1">
        <w:t>.</w:t>
      </w:r>
    </w:p>
    <w:p w14:paraId="70B88080" w14:textId="77777777" w:rsidR="00DE6439" w:rsidRPr="004553B1" w:rsidRDefault="00DE6439" w:rsidP="004553B1">
      <w:pPr>
        <w:pStyle w:val="Heading3"/>
        <w:shd w:val="clear" w:color="auto" w:fill="FFFFFF" w:themeFill="background1"/>
      </w:pPr>
      <w:r w:rsidRPr="004553B1">
        <w:t>Overview of the Legislative Instrument</w:t>
      </w:r>
    </w:p>
    <w:p w14:paraId="39F8E360" w14:textId="30F96AA8" w:rsidR="00342A55" w:rsidRPr="004553B1" w:rsidRDefault="00342A55" w:rsidP="004553B1">
      <w:pPr>
        <w:shd w:val="clear" w:color="auto" w:fill="FFFFFF" w:themeFill="background1"/>
        <w:spacing w:before="240"/>
      </w:pPr>
      <w:r w:rsidRPr="004553B1">
        <w:t xml:space="preserve">The purpose of the </w:t>
      </w:r>
      <w:r w:rsidRPr="004553B1">
        <w:rPr>
          <w:i/>
        </w:rPr>
        <w:t>Treasury Laws Amendment (2021 Measures No. 2) (Deductible Gift Recipients—Extended Application Date) Instrument 2021</w:t>
      </w:r>
      <w:r w:rsidRPr="004553B1">
        <w:t xml:space="preserve"> (the Instrument) is to support the core transitional rules in Schedule 1 to the Act, by prescribing the criteria the Commissioner of Taxation must be satisfied of, and the matters that must be </w:t>
      </w:r>
      <w:proofErr w:type="gramStart"/>
      <w:r w:rsidRPr="004553B1">
        <w:t>taken into account</w:t>
      </w:r>
      <w:proofErr w:type="gramEnd"/>
      <w:r w:rsidRPr="004553B1">
        <w:t xml:space="preserve"> by the Commissioner, in the Commissioner’s assessment of applications </w:t>
      </w:r>
      <w:r w:rsidR="000E74CC" w:rsidRPr="004553B1">
        <w:t xml:space="preserve">by </w:t>
      </w:r>
      <w:r w:rsidR="006E3696" w:rsidRPr="004553B1">
        <w:t>charities</w:t>
      </w:r>
      <w:r w:rsidR="000E74CC" w:rsidRPr="004553B1">
        <w:t xml:space="preserve"> </w:t>
      </w:r>
      <w:r w:rsidRPr="004553B1">
        <w:t>for an extended transitional period.</w:t>
      </w:r>
    </w:p>
    <w:p w14:paraId="70EFA4D4" w14:textId="77777777" w:rsidR="00DE6439" w:rsidRPr="004553B1" w:rsidRDefault="00DE6439" w:rsidP="004553B1">
      <w:pPr>
        <w:pStyle w:val="Heading3"/>
        <w:shd w:val="clear" w:color="auto" w:fill="FFFFFF" w:themeFill="background1"/>
      </w:pPr>
      <w:r w:rsidRPr="004553B1">
        <w:t>Human rights implications</w:t>
      </w:r>
    </w:p>
    <w:p w14:paraId="34935253" w14:textId="77777777" w:rsidR="00DE6439" w:rsidRPr="004553B1" w:rsidRDefault="00DE6439" w:rsidP="004553B1">
      <w:pPr>
        <w:shd w:val="clear" w:color="auto" w:fill="FFFFFF" w:themeFill="background1"/>
        <w:spacing w:before="240"/>
      </w:pPr>
      <w:r w:rsidRPr="004553B1">
        <w:t>This Legislative Instrument does not engage any of the applicable rights or freedoms.</w:t>
      </w:r>
    </w:p>
    <w:p w14:paraId="12CA16FE" w14:textId="77777777" w:rsidR="00DE6439" w:rsidRPr="004553B1" w:rsidRDefault="00DE6439" w:rsidP="004553B1">
      <w:pPr>
        <w:pStyle w:val="Heading3"/>
        <w:shd w:val="clear" w:color="auto" w:fill="FFFFFF" w:themeFill="background1"/>
      </w:pPr>
      <w:r w:rsidRPr="004553B1">
        <w:t>Conclusion</w:t>
      </w:r>
    </w:p>
    <w:p w14:paraId="019F1529" w14:textId="159D0DDF" w:rsidR="00A30B11" w:rsidRPr="00B06969" w:rsidRDefault="00DE6439" w:rsidP="004553B1">
      <w:pPr>
        <w:shd w:val="clear" w:color="auto" w:fill="FFFFFF" w:themeFill="background1"/>
        <w:spacing w:before="240"/>
      </w:pPr>
      <w:r w:rsidRPr="004553B1">
        <w:t>This Legislative Instrument is compatible with human rights as it does not raise any human rights issues.</w:t>
      </w:r>
    </w:p>
    <w:sectPr w:rsidR="00A30B11" w:rsidRPr="00B06969" w:rsidSect="00392BBA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9A32F" w14:textId="77777777" w:rsidR="00F80FB7" w:rsidRDefault="00F80FB7" w:rsidP="00954679">
      <w:pPr>
        <w:spacing w:before="0" w:after="0"/>
      </w:pPr>
      <w:r>
        <w:separator/>
      </w:r>
    </w:p>
  </w:endnote>
  <w:endnote w:type="continuationSeparator" w:id="0">
    <w:p w14:paraId="4D4611CC" w14:textId="77777777" w:rsidR="00F80FB7" w:rsidRDefault="00F80FB7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86ED531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304533"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30453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56C94" w14:textId="77777777" w:rsidR="00F80FB7" w:rsidRDefault="00F80FB7" w:rsidP="00954679">
      <w:pPr>
        <w:spacing w:before="0" w:after="0"/>
      </w:pPr>
      <w:r>
        <w:separator/>
      </w:r>
    </w:p>
  </w:footnote>
  <w:footnote w:type="continuationSeparator" w:id="0">
    <w:p w14:paraId="485330F3" w14:textId="77777777" w:rsidR="00F80FB7" w:rsidRDefault="00F80FB7" w:rsidP="009546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3D714D4B"/>
    <w:multiLevelType w:val="multilevel"/>
    <w:tmpl w:val="A316FE50"/>
    <w:styleLink w:val="ChapterList"/>
    <w:lvl w:ilvl="0">
      <w:start w:val="1"/>
      <w:numFmt w:val="decimal"/>
      <w:lvlText w:val="Chapter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950960"/>
    <w:multiLevelType w:val="multilevel"/>
    <w:tmpl w:val="AD1C7528"/>
    <w:name w:val="DotPointList"/>
    <w:lvl w:ilvl="0">
      <w:start w:val="1"/>
      <w:numFmt w:val="bullet"/>
      <w:lvlRestart w:val="0"/>
      <w:pStyle w:val="dotpoint0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4" w15:restartNumberingAfterBreak="0">
    <w:nsid w:val="65DF6494"/>
    <w:multiLevelType w:val="multilevel"/>
    <w:tmpl w:val="A316FE50"/>
    <w:lvl w:ilvl="0">
      <w:start w:val="1"/>
      <w:numFmt w:val="decimal"/>
      <w:lvlText w:val="Chapter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A43C0B"/>
    <w:multiLevelType w:val="multilevel"/>
    <w:tmpl w:val="3CA637E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5FC0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  <w:lvlOverride w:ilvl="0">
      <w:lvl w:ilvl="0">
        <w:start w:val="1"/>
        <w:numFmt w:val="decimal"/>
        <w:lvlText w:val="Chapter %1"/>
        <w:lvlJc w:val="left"/>
        <w:pPr>
          <w:tabs>
            <w:tab w:val="num" w:pos="113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985"/>
          </w:tabs>
          <w:ind w:left="1134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suff w:val="nothing"/>
        <w:lvlText w:val="Table %1.%5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2F"/>
    <w:rsid w:val="00013390"/>
    <w:rsid w:val="00016EA2"/>
    <w:rsid w:val="00076178"/>
    <w:rsid w:val="00095211"/>
    <w:rsid w:val="000B39A1"/>
    <w:rsid w:val="000B504A"/>
    <w:rsid w:val="000C10DF"/>
    <w:rsid w:val="000C6935"/>
    <w:rsid w:val="000D477A"/>
    <w:rsid w:val="000E32E3"/>
    <w:rsid w:val="000E74CC"/>
    <w:rsid w:val="000F0BC3"/>
    <w:rsid w:val="0010288D"/>
    <w:rsid w:val="00113B45"/>
    <w:rsid w:val="001330B5"/>
    <w:rsid w:val="00162338"/>
    <w:rsid w:val="00165862"/>
    <w:rsid w:val="00183174"/>
    <w:rsid w:val="001B7535"/>
    <w:rsid w:val="001E6A74"/>
    <w:rsid w:val="001F41D0"/>
    <w:rsid w:val="00217C8E"/>
    <w:rsid w:val="00220F16"/>
    <w:rsid w:val="00247EC7"/>
    <w:rsid w:val="002502F0"/>
    <w:rsid w:val="00254C5B"/>
    <w:rsid w:val="0026364C"/>
    <w:rsid w:val="002A7E1F"/>
    <w:rsid w:val="002B1A26"/>
    <w:rsid w:val="002C226C"/>
    <w:rsid w:val="003041FA"/>
    <w:rsid w:val="00304533"/>
    <w:rsid w:val="003342CD"/>
    <w:rsid w:val="00335042"/>
    <w:rsid w:val="00342A55"/>
    <w:rsid w:val="0034649B"/>
    <w:rsid w:val="00362B70"/>
    <w:rsid w:val="00367702"/>
    <w:rsid w:val="0038041B"/>
    <w:rsid w:val="00385C12"/>
    <w:rsid w:val="00392BBA"/>
    <w:rsid w:val="00393F90"/>
    <w:rsid w:val="0039506E"/>
    <w:rsid w:val="003954FD"/>
    <w:rsid w:val="003C7907"/>
    <w:rsid w:val="003D1645"/>
    <w:rsid w:val="003D60D7"/>
    <w:rsid w:val="003E1CE3"/>
    <w:rsid w:val="003E5C76"/>
    <w:rsid w:val="00403ADD"/>
    <w:rsid w:val="00406F72"/>
    <w:rsid w:val="00407A74"/>
    <w:rsid w:val="004553B1"/>
    <w:rsid w:val="00462095"/>
    <w:rsid w:val="00482B81"/>
    <w:rsid w:val="00482D4C"/>
    <w:rsid w:val="004945AC"/>
    <w:rsid w:val="004A006A"/>
    <w:rsid w:val="004A0553"/>
    <w:rsid w:val="004B3C0F"/>
    <w:rsid w:val="004C05E4"/>
    <w:rsid w:val="004C322F"/>
    <w:rsid w:val="004E0068"/>
    <w:rsid w:val="004E39E1"/>
    <w:rsid w:val="004F56D0"/>
    <w:rsid w:val="00503E44"/>
    <w:rsid w:val="00515283"/>
    <w:rsid w:val="005162E9"/>
    <w:rsid w:val="00533926"/>
    <w:rsid w:val="00544E4C"/>
    <w:rsid w:val="0055675D"/>
    <w:rsid w:val="00565EFB"/>
    <w:rsid w:val="00566E8F"/>
    <w:rsid w:val="0057422E"/>
    <w:rsid w:val="005833BE"/>
    <w:rsid w:val="00594D4A"/>
    <w:rsid w:val="005D263E"/>
    <w:rsid w:val="005D7D5A"/>
    <w:rsid w:val="005E4BAC"/>
    <w:rsid w:val="0060130D"/>
    <w:rsid w:val="00640733"/>
    <w:rsid w:val="0064129F"/>
    <w:rsid w:val="00647BB7"/>
    <w:rsid w:val="006523E6"/>
    <w:rsid w:val="006670BD"/>
    <w:rsid w:val="00680297"/>
    <w:rsid w:val="006873CE"/>
    <w:rsid w:val="00687FD3"/>
    <w:rsid w:val="006A0786"/>
    <w:rsid w:val="006B3D7F"/>
    <w:rsid w:val="006D107F"/>
    <w:rsid w:val="006D780B"/>
    <w:rsid w:val="006E0D18"/>
    <w:rsid w:val="006E133D"/>
    <w:rsid w:val="006E3696"/>
    <w:rsid w:val="006E3A1E"/>
    <w:rsid w:val="00710E94"/>
    <w:rsid w:val="0071799F"/>
    <w:rsid w:val="007211DA"/>
    <w:rsid w:val="00723529"/>
    <w:rsid w:val="00727D8A"/>
    <w:rsid w:val="00731FEA"/>
    <w:rsid w:val="00736F61"/>
    <w:rsid w:val="00742253"/>
    <w:rsid w:val="00765769"/>
    <w:rsid w:val="007662C7"/>
    <w:rsid w:val="00776306"/>
    <w:rsid w:val="00780EAC"/>
    <w:rsid w:val="007A2CA6"/>
    <w:rsid w:val="007A55A7"/>
    <w:rsid w:val="007B1F10"/>
    <w:rsid w:val="007B335E"/>
    <w:rsid w:val="007D1BA2"/>
    <w:rsid w:val="007D7C66"/>
    <w:rsid w:val="007E018D"/>
    <w:rsid w:val="007F1B71"/>
    <w:rsid w:val="00807E7D"/>
    <w:rsid w:val="00831675"/>
    <w:rsid w:val="00845C65"/>
    <w:rsid w:val="008461FE"/>
    <w:rsid w:val="00847771"/>
    <w:rsid w:val="008674A2"/>
    <w:rsid w:val="0088058D"/>
    <w:rsid w:val="0088467C"/>
    <w:rsid w:val="00886E70"/>
    <w:rsid w:val="008917A3"/>
    <w:rsid w:val="00894579"/>
    <w:rsid w:val="008A5B67"/>
    <w:rsid w:val="008A6417"/>
    <w:rsid w:val="008D16F7"/>
    <w:rsid w:val="008D2438"/>
    <w:rsid w:val="008E1427"/>
    <w:rsid w:val="009143A0"/>
    <w:rsid w:val="00915E7F"/>
    <w:rsid w:val="009355A7"/>
    <w:rsid w:val="00935EE9"/>
    <w:rsid w:val="00936902"/>
    <w:rsid w:val="00951AC9"/>
    <w:rsid w:val="00954679"/>
    <w:rsid w:val="00976BDF"/>
    <w:rsid w:val="009A6112"/>
    <w:rsid w:val="009B03FD"/>
    <w:rsid w:val="009C6A1E"/>
    <w:rsid w:val="009D359F"/>
    <w:rsid w:val="009E2F86"/>
    <w:rsid w:val="00A12209"/>
    <w:rsid w:val="00A14576"/>
    <w:rsid w:val="00A24E15"/>
    <w:rsid w:val="00A25AF7"/>
    <w:rsid w:val="00A30B11"/>
    <w:rsid w:val="00A337B3"/>
    <w:rsid w:val="00A36DF3"/>
    <w:rsid w:val="00A425CC"/>
    <w:rsid w:val="00A532DD"/>
    <w:rsid w:val="00A53452"/>
    <w:rsid w:val="00A55043"/>
    <w:rsid w:val="00A7170E"/>
    <w:rsid w:val="00A73D95"/>
    <w:rsid w:val="00A80BCF"/>
    <w:rsid w:val="00A8369C"/>
    <w:rsid w:val="00A84C44"/>
    <w:rsid w:val="00A950FB"/>
    <w:rsid w:val="00AA1689"/>
    <w:rsid w:val="00AA5770"/>
    <w:rsid w:val="00AC0BD3"/>
    <w:rsid w:val="00AC1D15"/>
    <w:rsid w:val="00AD2475"/>
    <w:rsid w:val="00AE331C"/>
    <w:rsid w:val="00B06969"/>
    <w:rsid w:val="00B07B0C"/>
    <w:rsid w:val="00B25563"/>
    <w:rsid w:val="00B26D48"/>
    <w:rsid w:val="00B42EE1"/>
    <w:rsid w:val="00B72FFF"/>
    <w:rsid w:val="00B8293D"/>
    <w:rsid w:val="00B92478"/>
    <w:rsid w:val="00BA6188"/>
    <w:rsid w:val="00BC44BF"/>
    <w:rsid w:val="00BD0241"/>
    <w:rsid w:val="00BD61A2"/>
    <w:rsid w:val="00BE484D"/>
    <w:rsid w:val="00BE4D4A"/>
    <w:rsid w:val="00BF6740"/>
    <w:rsid w:val="00C37E05"/>
    <w:rsid w:val="00C5481D"/>
    <w:rsid w:val="00C55D29"/>
    <w:rsid w:val="00C7635D"/>
    <w:rsid w:val="00C967F4"/>
    <w:rsid w:val="00CA0BE9"/>
    <w:rsid w:val="00CA138D"/>
    <w:rsid w:val="00CA41A0"/>
    <w:rsid w:val="00CB27B4"/>
    <w:rsid w:val="00CC5B40"/>
    <w:rsid w:val="00CC7641"/>
    <w:rsid w:val="00D12911"/>
    <w:rsid w:val="00D13794"/>
    <w:rsid w:val="00D24052"/>
    <w:rsid w:val="00D24386"/>
    <w:rsid w:val="00D31575"/>
    <w:rsid w:val="00D34626"/>
    <w:rsid w:val="00D34FB4"/>
    <w:rsid w:val="00D4257A"/>
    <w:rsid w:val="00D44115"/>
    <w:rsid w:val="00D62665"/>
    <w:rsid w:val="00D66B13"/>
    <w:rsid w:val="00D82E47"/>
    <w:rsid w:val="00D86C43"/>
    <w:rsid w:val="00DC0CDE"/>
    <w:rsid w:val="00DC480D"/>
    <w:rsid w:val="00DC4D72"/>
    <w:rsid w:val="00DD7699"/>
    <w:rsid w:val="00DE1BE4"/>
    <w:rsid w:val="00DE6439"/>
    <w:rsid w:val="00E0624D"/>
    <w:rsid w:val="00E22E92"/>
    <w:rsid w:val="00E4438C"/>
    <w:rsid w:val="00E457F3"/>
    <w:rsid w:val="00E7541E"/>
    <w:rsid w:val="00EA1362"/>
    <w:rsid w:val="00EA4DD8"/>
    <w:rsid w:val="00EB20AA"/>
    <w:rsid w:val="00EB2AEF"/>
    <w:rsid w:val="00EB7E71"/>
    <w:rsid w:val="00ED1FB6"/>
    <w:rsid w:val="00EF056B"/>
    <w:rsid w:val="00F109D4"/>
    <w:rsid w:val="00F15EE9"/>
    <w:rsid w:val="00F34DFB"/>
    <w:rsid w:val="00F40122"/>
    <w:rsid w:val="00F41937"/>
    <w:rsid w:val="00F46E74"/>
    <w:rsid w:val="00F47585"/>
    <w:rsid w:val="00F7040A"/>
    <w:rsid w:val="00F80FB7"/>
    <w:rsid w:val="00F85E6F"/>
    <w:rsid w:val="00F9299B"/>
    <w:rsid w:val="00FA610E"/>
    <w:rsid w:val="00FB5322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50B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3E6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link w:val="base-text-paragraphChar"/>
    <w:qFormat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customStyle="1" w:styleId="base-text-paragraphnonumbers">
    <w:name w:val="base-text-paragraph no numbers"/>
    <w:basedOn w:val="Normal"/>
    <w:qFormat/>
    <w:rsid w:val="00165862"/>
    <w:pPr>
      <w:ind w:left="1134"/>
    </w:pPr>
    <w:rPr>
      <w:sz w:val="22"/>
    </w:rPr>
  </w:style>
  <w:style w:type="numbering" w:styleId="1ai">
    <w:name w:val="Outline List 1"/>
    <w:basedOn w:val="NoList"/>
    <w:semiHidden/>
    <w:rsid w:val="006523E6"/>
    <w:pPr>
      <w:numPr>
        <w:numId w:val="4"/>
      </w:numPr>
    </w:pPr>
  </w:style>
  <w:style w:type="character" w:customStyle="1" w:styleId="base-text-paragraphChar">
    <w:name w:val="base-text-paragraph Char"/>
    <w:basedOn w:val="DefaultParagraphFont"/>
    <w:link w:val="base-text-paragraph"/>
    <w:rsid w:val="006523E6"/>
    <w:rPr>
      <w:sz w:val="24"/>
    </w:rPr>
  </w:style>
  <w:style w:type="paragraph" w:customStyle="1" w:styleId="ChapterHeading">
    <w:name w:val="Chapter Heading"/>
    <w:next w:val="Heading2"/>
    <w:rsid w:val="006523E6"/>
    <w:pPr>
      <w:pBdr>
        <w:top w:val="single" w:sz="4" w:space="1" w:color="auto"/>
        <w:bottom w:val="single" w:sz="4" w:space="1" w:color="auto"/>
      </w:pBdr>
      <w:tabs>
        <w:tab w:val="num" w:pos="1134"/>
      </w:tabs>
      <w:spacing w:before="240" w:after="360" w:line="260" w:lineRule="atLeast"/>
    </w:pPr>
    <w:rPr>
      <w:rFonts w:ascii="Helvetica" w:hAnsi="Helvetica"/>
      <w:b/>
      <w:i/>
      <w:sz w:val="38"/>
    </w:rPr>
  </w:style>
  <w:style w:type="numbering" w:customStyle="1" w:styleId="ChapterList">
    <w:name w:val="ChapterList"/>
    <w:uiPriority w:val="99"/>
    <w:rsid w:val="006523E6"/>
    <w:pPr>
      <w:numPr>
        <w:numId w:val="5"/>
      </w:numPr>
    </w:pPr>
  </w:style>
  <w:style w:type="paragraph" w:customStyle="1" w:styleId="Diagram">
    <w:name w:val="Diagram"/>
    <w:basedOn w:val="Normal"/>
    <w:next w:val="base-text-paragraphnonumbers"/>
    <w:rsid w:val="006523E6"/>
    <w:pPr>
      <w:keepNext/>
      <w:spacing w:before="0" w:after="0"/>
      <w:ind w:left="1134"/>
    </w:pPr>
    <w:rPr>
      <w:b/>
      <w:sz w:val="22"/>
    </w:rPr>
  </w:style>
  <w:style w:type="paragraph" w:customStyle="1" w:styleId="dotpoint0">
    <w:name w:val="dot point"/>
    <w:basedOn w:val="Normal"/>
    <w:rsid w:val="006523E6"/>
    <w:pPr>
      <w:numPr>
        <w:numId w:val="6"/>
      </w:numPr>
    </w:pPr>
    <w:rPr>
      <w:sz w:val="22"/>
    </w:rPr>
  </w:style>
  <w:style w:type="paragraph" w:customStyle="1" w:styleId="ExampleHeading">
    <w:name w:val="Example Heading"/>
    <w:basedOn w:val="Normal"/>
    <w:next w:val="Normal"/>
    <w:rsid w:val="006523E6"/>
    <w:pPr>
      <w:keepNext/>
      <w:ind w:left="1134"/>
    </w:pPr>
    <w:rPr>
      <w:b/>
      <w:sz w:val="22"/>
    </w:rPr>
  </w:style>
  <w:style w:type="paragraph" w:customStyle="1" w:styleId="TableHeadingoutsidetable">
    <w:name w:val="Table Heading (outside table)"/>
    <w:basedOn w:val="Heading4"/>
    <w:rsid w:val="006523E6"/>
    <w:pPr>
      <w:tabs>
        <w:tab w:val="clear" w:pos="1987"/>
        <w:tab w:val="num" w:pos="360"/>
      </w:tabs>
      <w:spacing w:after="200"/>
      <w:ind w:left="1134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1507" ma:contentTypeDescription=" " ma:contentTypeScope="" ma:versionID="f279e721a8eaa6daf3ecdd1c6508d794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AE-20260-Destroy 7 years after action completed</TermName>
          <TermId xmlns="http://schemas.microsoft.com/office/infopath/2007/PartnerControls">623f5ec9-ec5d-4824-8e13-9c9bfc51fe7e</TermId>
        </TermInfo>
      </Terms>
    </lb508a4dc5e84436a0fe496b536466aa>
    <_dlc_DocId xmlns="0f563589-9cf9-4143-b1eb-fb0534803d38">2021RG-111-22094</_dlc_DocId>
    <TaxCatchAll xmlns="0f563589-9cf9-4143-b1eb-fb0534803d38">
      <Value>1</Value>
    </TaxCatchAll>
    <_dlc_DocIdUrl xmlns="0f563589-9cf9-4143-b1eb-fb0534803d38">
      <Url>http://tweb/sites/rg/ldp/lmu/_layouts/15/DocIdRedir.aspx?ID=2021RG-111-22094</Url>
      <Description>2021RG-111-22094</Description>
    </_dlc_DocIdUrl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Props1.xml><?xml version="1.0" encoding="utf-8"?>
<ds:datastoreItem xmlns:ds="http://schemas.openxmlformats.org/officeDocument/2006/customXml" ds:itemID="{327BC45B-B08C-4F7C-8B8C-4015B71DE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494DF-AA8F-47C7-AD55-D593156A7BC0}"/>
</file>

<file path=customXml/itemProps3.xml><?xml version="1.0" encoding="utf-8"?>
<ds:datastoreItem xmlns:ds="http://schemas.openxmlformats.org/officeDocument/2006/customXml" ds:itemID="{F0273F41-13FB-403E-9D67-A50E7B1AB6EA}"/>
</file>

<file path=customXml/itemProps4.xml><?xml version="1.0" encoding="utf-8"?>
<ds:datastoreItem xmlns:ds="http://schemas.openxmlformats.org/officeDocument/2006/customXml" ds:itemID="{C4631FB4-3243-4158-8DEC-C30941080509}"/>
</file>

<file path=customXml/itemProps5.xml><?xml version="1.0" encoding="utf-8"?>
<ds:datastoreItem xmlns:ds="http://schemas.openxmlformats.org/officeDocument/2006/customXml" ds:itemID="{61FE959D-F99A-4394-9910-72D2877BA9E8}"/>
</file>

<file path=customXml/itemProps6.xml><?xml version="1.0" encoding="utf-8"?>
<ds:datastoreItem xmlns:ds="http://schemas.openxmlformats.org/officeDocument/2006/customXml" ds:itemID="{BFC9E65C-051A-43C4-9365-DA171CFA8A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1657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2021-10-11T23:52:00Z</dcterms:created>
  <dcterms:modified xsi:type="dcterms:W3CDTF">2021-10-11T23:52:00Z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YTopic">
    <vt:lpwstr/>
  </property>
  <property fmtid="{D5CDD505-2E9C-101B-9397-08002B2CF9AE}" pid="3" name="_NewReviewCycle">
    <vt:lpwstr/>
  </property>
  <property fmtid="{D5CDD505-2E9C-101B-9397-08002B2CF9AE}" pid="4" name="ContentTypeId">
    <vt:lpwstr>0x01010036BB8DE7EC542E42A8B2E98CC20CB69700D5C18F41BA18FB44827A222ACD6776F5</vt:lpwstr>
  </property>
  <property fmtid="{D5CDD505-2E9C-101B-9397-08002B2CF9AE}" pid="5" name="TSYRecordClass">
    <vt:lpwstr>1;#AE-20260-Destroy 7 years after action completed|623f5ec9-ec5d-4824-8e13-9c9bfc51fe7e</vt:lpwstr>
  </property>
  <property fmtid="{D5CDD505-2E9C-101B-9397-08002B2CF9AE}" pid="6" name="_dlc_DocIdItemGuid">
    <vt:lpwstr>f306b6a7-51e8-4426-97b5-7e8a4c02652f</vt:lpwstr>
  </property>
</Properties>
</file>