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2DE6A" w14:textId="77777777" w:rsidR="00FB640B" w:rsidRPr="008B24C8" w:rsidRDefault="0057002B" w:rsidP="00BB0CF2">
      <w:pPr>
        <w:pStyle w:val="ESTitleHeader"/>
      </w:pPr>
      <w:bookmarkStart w:id="0" w:name="_GoBack"/>
      <w:bookmarkEnd w:id="0"/>
      <w:r w:rsidRPr="008B24C8">
        <w:t>EXPLANATORY STATEMENT</w:t>
      </w:r>
    </w:p>
    <w:p w14:paraId="6C1B57A1" w14:textId="77777777" w:rsidR="0057002B" w:rsidRPr="008B24C8" w:rsidRDefault="0057002B" w:rsidP="00BB0CF2">
      <w:pPr>
        <w:pStyle w:val="ESTitleDecisionMaker"/>
      </w:pPr>
      <w:r w:rsidRPr="008B24C8">
        <w:t xml:space="preserve">Issued by authority of the </w:t>
      </w:r>
      <w:r w:rsidR="004958D3" w:rsidRPr="004958D3">
        <w:t>Minister for Immigration, Citizenship, Migrant Services and Multicultural Affairs</w:t>
      </w:r>
    </w:p>
    <w:p w14:paraId="6FFDB47F" w14:textId="77777777" w:rsidR="0057002B" w:rsidRPr="008B24C8" w:rsidRDefault="004958D3" w:rsidP="00BB0CF2">
      <w:pPr>
        <w:pStyle w:val="ESTitleEnablingLegislation"/>
      </w:pPr>
      <w:r>
        <w:t>Australian Citizenship Act 2007</w:t>
      </w:r>
    </w:p>
    <w:p w14:paraId="73025376" w14:textId="109F1588" w:rsidR="0057002B" w:rsidRPr="008B24C8" w:rsidRDefault="004958D3" w:rsidP="00BB0CF2">
      <w:pPr>
        <w:pStyle w:val="ESTitleInstrumentName"/>
      </w:pPr>
      <w:r>
        <w:t>Australian Citizenship (</w:t>
      </w:r>
      <w:r w:rsidR="00D148BF">
        <w:t>s</w:t>
      </w:r>
      <w:r>
        <w:t>pecial residence requirement) Instrument (LIN 21/069) 2021</w:t>
      </w:r>
    </w:p>
    <w:p w14:paraId="3B48C24A" w14:textId="77777777" w:rsidR="0057002B" w:rsidRPr="008B24C8" w:rsidRDefault="0057002B" w:rsidP="002D167E">
      <w:pPr>
        <w:pStyle w:val="ESPara"/>
      </w:pPr>
      <w:r w:rsidRPr="008B24C8">
        <w:t xml:space="preserve">The instrument, Departmental reference </w:t>
      </w:r>
      <w:r w:rsidR="004958D3">
        <w:t>LIN 21/069</w:t>
      </w:r>
      <w:r w:rsidRPr="008B24C8">
        <w:t xml:space="preserve">, is made under </w:t>
      </w:r>
      <w:r w:rsidR="004958D3">
        <w:t>section 22C</w:t>
      </w:r>
      <w:r w:rsidRPr="008B24C8">
        <w:t xml:space="preserve"> of the </w:t>
      </w:r>
      <w:r w:rsidR="004958D3">
        <w:rPr>
          <w:i/>
        </w:rPr>
        <w:t xml:space="preserve">Australian Citizenship Act 2007 </w:t>
      </w:r>
      <w:r w:rsidR="004958D3">
        <w:t>(the Act</w:t>
      </w:r>
      <w:r w:rsidRPr="008B24C8">
        <w:t xml:space="preserve">).  </w:t>
      </w:r>
    </w:p>
    <w:p w14:paraId="7152646D" w14:textId="156DA9EB" w:rsidR="00EA12C9" w:rsidRPr="008B24C8" w:rsidRDefault="00EA12C9" w:rsidP="002D167E">
      <w:pPr>
        <w:pStyle w:val="ESPara"/>
      </w:pPr>
      <w:r w:rsidRPr="008B24C8">
        <w:t xml:space="preserve">The instrument </w:t>
      </w:r>
      <w:r w:rsidR="004958D3">
        <w:t xml:space="preserve">repeals </w:t>
      </w:r>
      <w:r w:rsidR="002C5CE6">
        <w:rPr>
          <w:i/>
        </w:rPr>
        <w:t xml:space="preserve">Australian Citizenship Act 2007 - Specification under section 22C - Special Residence Requirement - June 2013 </w:t>
      </w:r>
      <w:r w:rsidR="002C5CE6">
        <w:t>(</w:t>
      </w:r>
      <w:r w:rsidR="002C5CE6" w:rsidRPr="008E785F">
        <w:rPr>
          <w:i/>
        </w:rPr>
        <w:t>IMMI 13/056</w:t>
      </w:r>
      <w:r w:rsidR="002C5CE6">
        <w:t xml:space="preserve">) (F2013L01123) </w:t>
      </w:r>
      <w:r w:rsidR="00B75478">
        <w:t>(</w:t>
      </w:r>
      <w:r w:rsidR="004958D3">
        <w:t>IMMI 13/056</w:t>
      </w:r>
      <w:r w:rsidR="00B75478">
        <w:t xml:space="preserve">) </w:t>
      </w:r>
      <w:r w:rsidRPr="008B24C8">
        <w:t xml:space="preserve">in accordance with subsection 33(3) of the </w:t>
      </w:r>
      <w:r w:rsidRPr="008B24C8">
        <w:rPr>
          <w:i/>
        </w:rPr>
        <w:t>Acts Interpretation Act 1901</w:t>
      </w:r>
      <w:r w:rsidRPr="008B24C8">
        <w:t xml:space="preserve">.  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 xml:space="preserve">.  </w:t>
      </w:r>
    </w:p>
    <w:p w14:paraId="00E397BF" w14:textId="77777777" w:rsidR="00BD598E" w:rsidRPr="008B24C8" w:rsidRDefault="00AA4557" w:rsidP="002D167E">
      <w:pPr>
        <w:pStyle w:val="ESPara"/>
      </w:pPr>
      <w:r>
        <w:t xml:space="preserve">The instrument commences </w:t>
      </w:r>
      <w:r w:rsidR="004958D3">
        <w:t>the day after registration</w:t>
      </w:r>
      <w:r>
        <w:t>, and i</w:t>
      </w:r>
      <w:r w:rsidR="00BD598E" w:rsidRPr="008B24C8">
        <w:t xml:space="preserve">s a </w:t>
      </w:r>
      <w:r>
        <w:t>legislative</w:t>
      </w:r>
      <w:r w:rsidR="00BD598E" w:rsidRPr="008B24C8">
        <w:t xml:space="preserve"> instrument for </w:t>
      </w:r>
      <w:r w:rsidR="00B75478">
        <w:t xml:space="preserve">the </w:t>
      </w:r>
      <w:r w:rsidR="00100DFC">
        <w:rPr>
          <w:i/>
        </w:rPr>
        <w:t>Legislation Act 2003</w:t>
      </w:r>
      <w:r w:rsidR="00100DFC">
        <w:t xml:space="preserve"> (the Legislation Act)</w:t>
      </w:r>
      <w:r w:rsidR="00BD598E" w:rsidRPr="008B24C8">
        <w:t xml:space="preserve">.  </w:t>
      </w:r>
    </w:p>
    <w:p w14:paraId="36412E76" w14:textId="77777777" w:rsidR="00B75478" w:rsidRPr="00B75478" w:rsidRDefault="00BD598E" w:rsidP="004958D3">
      <w:pPr>
        <w:pStyle w:val="ESHeading"/>
      </w:pPr>
      <w:r w:rsidRPr="008B24C8">
        <w:t>Purpose</w:t>
      </w:r>
    </w:p>
    <w:p w14:paraId="3EF0FDA4" w14:textId="32A1AFBC" w:rsidR="006F3184" w:rsidRDefault="004958D3" w:rsidP="005428B0">
      <w:pPr>
        <w:pStyle w:val="ESSubparaHeader"/>
      </w:pPr>
      <w:r w:rsidRPr="005D0D22">
        <w:t>The purpose of the instrument is to specify</w:t>
      </w:r>
      <w:r w:rsidR="0028634F">
        <w:t>:</w:t>
      </w:r>
      <w:r w:rsidRPr="00E835FF">
        <w:t xml:space="preserve"> </w:t>
      </w:r>
      <w:r w:rsidR="0028634F" w:rsidRPr="009057F3">
        <w:t xml:space="preserve">activities for </w:t>
      </w:r>
      <w:r w:rsidR="00E835FF">
        <w:t>subparagraph</w:t>
      </w:r>
      <w:r w:rsidR="0028634F" w:rsidRPr="009057F3">
        <w:t xml:space="preserve"> 22A(1)(a)(i) of the Act, o</w:t>
      </w:r>
      <w:r w:rsidR="00E835FF" w:rsidRPr="00E835FF">
        <w:t>rganisations for</w:t>
      </w:r>
      <w:r w:rsidR="0028634F" w:rsidRPr="009057F3">
        <w:t xml:space="preserve"> </w:t>
      </w:r>
      <w:r w:rsidR="00E835FF">
        <w:t>paragraph</w:t>
      </w:r>
      <w:r w:rsidR="0028634F" w:rsidRPr="009057F3">
        <w:t xml:space="preserve"> 22A(1)(b) of the Act, and kinds of work for </w:t>
      </w:r>
      <w:r w:rsidR="00E835FF">
        <w:t>paragraph </w:t>
      </w:r>
      <w:r w:rsidR="00E835FF" w:rsidRPr="00E835FF">
        <w:t>22B(1)(a) of the</w:t>
      </w:r>
      <w:r w:rsidR="00E835FF">
        <w:t> </w:t>
      </w:r>
      <w:r w:rsidR="0028634F" w:rsidRPr="009057F3">
        <w:t>Act</w:t>
      </w:r>
      <w:r w:rsidR="003C7909">
        <w:t xml:space="preserve">.  </w:t>
      </w:r>
      <w:r w:rsidR="00DB6822">
        <w:t>A person</w:t>
      </w:r>
      <w:r w:rsidR="006F3184">
        <w:t xml:space="preserve"> applying for Australian </w:t>
      </w:r>
      <w:r w:rsidR="005E3EC2">
        <w:t>c</w:t>
      </w:r>
      <w:r w:rsidR="006F3184">
        <w:t>itizenship</w:t>
      </w:r>
      <w:r w:rsidR="00DB6822">
        <w:t xml:space="preserve"> </w:t>
      </w:r>
      <w:r w:rsidR="00FA7137">
        <w:t xml:space="preserve">by conferral </w:t>
      </w:r>
      <w:r w:rsidR="00DB6822">
        <w:t>(the applicant)</w:t>
      </w:r>
      <w:r w:rsidR="000E01BE">
        <w:t xml:space="preserve"> must </w:t>
      </w:r>
      <w:r w:rsidR="006F3184">
        <w:t xml:space="preserve">satisfy the eligibility criteria </w:t>
      </w:r>
      <w:r w:rsidR="00D87027">
        <w:t xml:space="preserve">under </w:t>
      </w:r>
      <w:r w:rsidR="000E01BE">
        <w:t>section 2</w:t>
      </w:r>
      <w:r w:rsidR="006F3184">
        <w:t>1</w:t>
      </w:r>
      <w:r w:rsidR="000E01BE">
        <w:t xml:space="preserve"> </w:t>
      </w:r>
      <w:r w:rsidR="00D87027">
        <w:t>of the Act</w:t>
      </w:r>
      <w:r w:rsidR="0064254E">
        <w:t>, including a</w:t>
      </w:r>
      <w:r w:rsidR="00480319">
        <w:t xml:space="preserve"> residence requirement. The </w:t>
      </w:r>
      <w:r w:rsidR="0088254C">
        <w:t>residence</w:t>
      </w:r>
      <w:r w:rsidR="00480319">
        <w:t xml:space="preserve"> requirement can be satisfied under either the </w:t>
      </w:r>
      <w:r w:rsidR="0064254E">
        <w:t>general residence requirement</w:t>
      </w:r>
      <w:r w:rsidR="00480319">
        <w:t xml:space="preserve"> (see</w:t>
      </w:r>
      <w:r w:rsidR="0088254C">
        <w:t> </w:t>
      </w:r>
      <w:r w:rsidR="00480319">
        <w:t>section</w:t>
      </w:r>
      <w:r w:rsidR="0088254C">
        <w:t> </w:t>
      </w:r>
      <w:r w:rsidR="00480319">
        <w:t>22), the special residence requirement (see</w:t>
      </w:r>
      <w:r w:rsidR="0088254C">
        <w:t> </w:t>
      </w:r>
      <w:r w:rsidR="00480319">
        <w:t>section</w:t>
      </w:r>
      <w:r w:rsidR="0088254C">
        <w:t>s </w:t>
      </w:r>
      <w:r w:rsidR="00480319">
        <w:t>22A</w:t>
      </w:r>
      <w:r w:rsidR="0088254C">
        <w:t> </w:t>
      </w:r>
      <w:r w:rsidR="00480319">
        <w:t>and</w:t>
      </w:r>
      <w:r w:rsidR="0088254C">
        <w:t> </w:t>
      </w:r>
      <w:r w:rsidR="00480319">
        <w:t>22B) or the defence service requirement (see</w:t>
      </w:r>
      <w:r w:rsidR="0088254C">
        <w:t> </w:t>
      </w:r>
      <w:r w:rsidR="00480319">
        <w:t>section</w:t>
      </w:r>
      <w:r w:rsidR="0088254C">
        <w:t> </w:t>
      </w:r>
      <w:r w:rsidR="00480319">
        <w:t xml:space="preserve">23). </w:t>
      </w:r>
      <w:r w:rsidR="0064254E">
        <w:t xml:space="preserve"> </w:t>
      </w:r>
    </w:p>
    <w:p w14:paraId="396EAA3C" w14:textId="465E9EE7" w:rsidR="00DB6822" w:rsidRPr="00DB6822" w:rsidRDefault="006F3184">
      <w:pPr>
        <w:pStyle w:val="ESSubparaHeader"/>
      </w:pPr>
      <w:r>
        <w:t>To meet th</w:t>
      </w:r>
      <w:r w:rsidR="0021594E">
        <w:t xml:space="preserve">e special </w:t>
      </w:r>
      <w:r w:rsidR="00480319">
        <w:t>residence</w:t>
      </w:r>
      <w:r w:rsidR="0021594E">
        <w:t xml:space="preserve"> requirement</w:t>
      </w:r>
      <w:r>
        <w:t xml:space="preserve"> in section 22</w:t>
      </w:r>
      <w:r w:rsidR="00DB6822">
        <w:t>A</w:t>
      </w:r>
      <w:r w:rsidR="0064254E">
        <w:t xml:space="preserve"> of the Act</w:t>
      </w:r>
      <w:r w:rsidR="00DB6822">
        <w:t xml:space="preserve"> an applicant must</w:t>
      </w:r>
      <w:r w:rsidR="0064254E">
        <w:t>, amongst other requirements,</w:t>
      </w:r>
      <w:r w:rsidR="00DB6822">
        <w:t xml:space="preserve"> seek to engage in</w:t>
      </w:r>
      <w:r w:rsidR="00DB6822" w:rsidRPr="003D40FD">
        <w:t xml:space="preserve"> </w:t>
      </w:r>
      <w:r w:rsidR="00DB6822">
        <w:t>a specified activity</w:t>
      </w:r>
      <w:r w:rsidR="0064254E">
        <w:t xml:space="preserve"> of benefit to Australia</w:t>
      </w:r>
      <w:r w:rsidR="00FB7C2A">
        <w:t>,</w:t>
      </w:r>
      <w:r w:rsidR="0010396E">
        <w:t xml:space="preserve"> and </w:t>
      </w:r>
      <w:r w:rsidR="008C015F">
        <w:t>are required</w:t>
      </w:r>
      <w:r w:rsidR="0010396E">
        <w:t xml:space="preserve"> to be</w:t>
      </w:r>
      <w:r w:rsidR="008963AA">
        <w:t>come</w:t>
      </w:r>
      <w:r w:rsidR="0010396E">
        <w:t xml:space="preserve"> an Australian citizen in order to do so (see subparagraph</w:t>
      </w:r>
      <w:r w:rsidR="008C015F">
        <w:t>s</w:t>
      </w:r>
      <w:r w:rsidR="0010396E">
        <w:t> 22A(1)(a)(i), (ii) and (iii))</w:t>
      </w:r>
      <w:r w:rsidR="00DB6822">
        <w:t>.</w:t>
      </w:r>
      <w:r w:rsidR="00AF090B">
        <w:t xml:space="preserve">  </w:t>
      </w:r>
      <w:r w:rsidR="00FB7C2A">
        <w:t>T</w:t>
      </w:r>
      <w:r w:rsidR="0064254E">
        <w:t>he head of</w:t>
      </w:r>
      <w:r w:rsidR="00FB7C2A">
        <w:t>,</w:t>
      </w:r>
      <w:r w:rsidR="0064254E">
        <w:t xml:space="preserve"> or senior member of </w:t>
      </w:r>
      <w:r w:rsidR="00AF090B">
        <w:t xml:space="preserve">a specified organisation must give the Minister </w:t>
      </w:r>
      <w:r w:rsidR="0064254E">
        <w:t>written notice</w:t>
      </w:r>
      <w:r w:rsidR="00AF090B">
        <w:t xml:space="preserve"> stating that the applicant has a reasonable prospect of being engaged in that </w:t>
      </w:r>
      <w:r w:rsidR="00FB7C2A">
        <w:t>activity.  Subsections 22C(1) </w:t>
      </w:r>
      <w:r w:rsidR="00AF090B">
        <w:t xml:space="preserve">and (2) of the Act </w:t>
      </w:r>
      <w:r w:rsidR="00AB7EA5">
        <w:t>enable</w:t>
      </w:r>
      <w:r w:rsidR="00AF090B">
        <w:t xml:space="preserve"> the Minister to specify the activities and organisations in</w:t>
      </w:r>
      <w:r w:rsidR="00AB7EA5">
        <w:t xml:space="preserve"> a legislative</w:t>
      </w:r>
      <w:r w:rsidR="00AF090B">
        <w:t xml:space="preserve"> instrument. </w:t>
      </w:r>
    </w:p>
    <w:p w14:paraId="282DE6AA" w14:textId="3EDD3717" w:rsidR="006F3184" w:rsidRDefault="00AF090B">
      <w:pPr>
        <w:pStyle w:val="ESSubparaHeader"/>
      </w:pPr>
      <w:r>
        <w:t>To meet th</w:t>
      </w:r>
      <w:r w:rsidR="0021594E">
        <w:t xml:space="preserve">e special </w:t>
      </w:r>
      <w:r w:rsidR="00480319">
        <w:t>residence</w:t>
      </w:r>
      <w:r w:rsidR="0021594E">
        <w:t xml:space="preserve"> requirement</w:t>
      </w:r>
      <w:r>
        <w:t xml:space="preserve"> in </w:t>
      </w:r>
      <w:r w:rsidR="0064254E">
        <w:t>section </w:t>
      </w:r>
      <w:r>
        <w:t>22B</w:t>
      </w:r>
      <w:r w:rsidR="0064254E">
        <w:t xml:space="preserve"> of the Act</w:t>
      </w:r>
      <w:r>
        <w:t xml:space="preserve"> the applicant must</w:t>
      </w:r>
      <w:r w:rsidR="0064254E">
        <w:t xml:space="preserve">, amongst other requirements, </w:t>
      </w:r>
      <w:r w:rsidR="005E3EC2">
        <w:t>be engaged</w:t>
      </w:r>
      <w:r>
        <w:t xml:space="preserve"> in a specified kind of work.  The applicant must be engaged in that work at the time of application and must be required to regularly travel outside Australia because of that work.  Subsection 22C(3) of the Act </w:t>
      </w:r>
      <w:r w:rsidR="00AB7EA5">
        <w:t>enables</w:t>
      </w:r>
      <w:r>
        <w:t xml:space="preserve"> the Minister to specify the kind of work in </w:t>
      </w:r>
      <w:r w:rsidR="00AB7EA5">
        <w:t>a legislative</w:t>
      </w:r>
      <w:r>
        <w:t xml:space="preserve"> instrument.  </w:t>
      </w:r>
    </w:p>
    <w:p w14:paraId="56F290A8" w14:textId="6FE374D7" w:rsidR="00FF01F0" w:rsidRDefault="003C7909" w:rsidP="00BB0CF2">
      <w:pPr>
        <w:pStyle w:val="ESSubparaHeader"/>
      </w:pPr>
      <w:r w:rsidRPr="00FF01F0">
        <w:t xml:space="preserve">The instrument </w:t>
      </w:r>
      <w:r w:rsidR="0064254E">
        <w:t xml:space="preserve">is made under subsections 22C(1), (2) and (3) of the Act </w:t>
      </w:r>
      <w:r w:rsidR="00123A22">
        <w:t>to</w:t>
      </w:r>
      <w:r w:rsidR="0064254E">
        <w:t xml:space="preserve"> specify </w:t>
      </w:r>
      <w:r w:rsidR="00123A22">
        <w:t>activities, organisations and kinds of work</w:t>
      </w:r>
      <w:r w:rsidR="0064254E">
        <w:t xml:space="preserve">. </w:t>
      </w:r>
      <w:r w:rsidR="00AF090B">
        <w:t xml:space="preserve"> </w:t>
      </w:r>
      <w:r w:rsidR="0064254E">
        <w:t xml:space="preserve">The instrument </w:t>
      </w:r>
      <w:r w:rsidR="00D36D3A">
        <w:t xml:space="preserve">broadens </w:t>
      </w:r>
      <w:r w:rsidR="0021594E">
        <w:t xml:space="preserve">the </w:t>
      </w:r>
      <w:r w:rsidR="0064160F">
        <w:t>special residence requirement</w:t>
      </w:r>
      <w:r w:rsidR="00123A22">
        <w:t xml:space="preserve"> from IMMI 13/056</w:t>
      </w:r>
      <w:r w:rsidR="0064160F">
        <w:t xml:space="preserve"> by </w:t>
      </w:r>
      <w:r w:rsidR="00AF090B">
        <w:t>specifying additional a</w:t>
      </w:r>
      <w:r w:rsidRPr="00FF01F0">
        <w:t>ctivities, organisations and kinds of work</w:t>
      </w:r>
      <w:r w:rsidR="006C0DC2">
        <w:t xml:space="preserve">. </w:t>
      </w:r>
      <w:r w:rsidR="00401E74">
        <w:t xml:space="preserve"> </w:t>
      </w:r>
      <w:r w:rsidR="006C0DC2">
        <w:t>In particular, the instrument</w:t>
      </w:r>
      <w:r w:rsidR="009E7A82">
        <w:t>:</w:t>
      </w:r>
    </w:p>
    <w:p w14:paraId="32A46BED" w14:textId="2B226136" w:rsidR="009E7A82" w:rsidRDefault="00102CDE" w:rsidP="009E7A82">
      <w:pPr>
        <w:pStyle w:val="ESSubparaList"/>
      </w:pPr>
      <w:r>
        <w:t>a</w:t>
      </w:r>
      <w:r w:rsidR="006C0DC2">
        <w:t>dds</w:t>
      </w:r>
      <w:r>
        <w:t xml:space="preserve"> </w:t>
      </w:r>
      <w:r w:rsidR="009E7A82">
        <w:t xml:space="preserve">participation in the Commonwealth Games as </w:t>
      </w:r>
      <w:r w:rsidR="00AB7EA5">
        <w:t xml:space="preserve">a </w:t>
      </w:r>
      <w:r w:rsidR="009E7A82">
        <w:t>specified activity</w:t>
      </w:r>
      <w:r w:rsidR="0064254E">
        <w:t xml:space="preserve"> for section 22A of the Act</w:t>
      </w:r>
      <w:r w:rsidR="009E7A82">
        <w:t>;</w:t>
      </w:r>
    </w:p>
    <w:p w14:paraId="68CD3657" w14:textId="50CA1F67" w:rsidR="009E7A82" w:rsidRDefault="006C0DC2" w:rsidP="009E7A82">
      <w:pPr>
        <w:pStyle w:val="ESSubparaList"/>
      </w:pPr>
      <w:r>
        <w:lastRenderedPageBreak/>
        <w:t>adds</w:t>
      </w:r>
      <w:r w:rsidR="00102CDE">
        <w:t xml:space="preserve"> </w:t>
      </w:r>
      <w:r w:rsidR="0052685E">
        <w:t>Commonwealth Games Australia as a specified organisation</w:t>
      </w:r>
      <w:r w:rsidR="0064254E">
        <w:t xml:space="preserve"> for section 22A</w:t>
      </w:r>
      <w:r w:rsidR="00A56463">
        <w:t xml:space="preserve"> of the Act</w:t>
      </w:r>
      <w:r w:rsidR="0052685E">
        <w:t xml:space="preserve">; </w:t>
      </w:r>
      <w:r>
        <w:t>and</w:t>
      </w:r>
    </w:p>
    <w:p w14:paraId="23AAA03E" w14:textId="5331277F" w:rsidR="006B1B00" w:rsidRDefault="004C5A4D" w:rsidP="009E7A82">
      <w:pPr>
        <w:pStyle w:val="ESSubparaList"/>
      </w:pPr>
      <w:r>
        <w:t>updates</w:t>
      </w:r>
      <w:r w:rsidR="00D36D3A">
        <w:t xml:space="preserve"> the</w:t>
      </w:r>
      <w:r w:rsidR="006C0DC2">
        <w:t xml:space="preserve"> </w:t>
      </w:r>
      <w:r w:rsidR="00102CDE">
        <w:t>specified kinds of work</w:t>
      </w:r>
      <w:r w:rsidR="0064254E">
        <w:t xml:space="preserve"> for section 22B</w:t>
      </w:r>
      <w:r w:rsidR="00A56463">
        <w:t xml:space="preserve"> of the Act</w:t>
      </w:r>
      <w:r w:rsidR="00D36D3A">
        <w:t>, by</w:t>
      </w:r>
      <w:r w:rsidR="005E3EC2">
        <w:t xml:space="preserve"> specifying additional kinds of work done by a primary holder of a relevant talent visa, related to the area of internationally recognised record of outstanding and exceptional achievement for which the visa was granted.  </w:t>
      </w:r>
      <w:r w:rsidR="00A56463">
        <w:t>Specified work now</w:t>
      </w:r>
      <w:r w:rsidR="005E3EC2">
        <w:t xml:space="preserve"> include</w:t>
      </w:r>
      <w:r w:rsidR="00A56463">
        <w:t>s</w:t>
      </w:r>
      <w:r w:rsidR="005E3EC2">
        <w:t xml:space="preserve"> the arts </w:t>
      </w:r>
      <w:r w:rsidR="00A56463">
        <w:t xml:space="preserve">(expanded from </w:t>
      </w:r>
      <w:r w:rsidR="005E3EC2">
        <w:t>writing, visual or performing arts in IMMI 13/056), academia and research</w:t>
      </w:r>
      <w:r w:rsidR="00C53197">
        <w:t>, a profession</w:t>
      </w:r>
      <w:r w:rsidR="005E3EC2">
        <w:t xml:space="preserve"> and </w:t>
      </w:r>
      <w:r w:rsidR="00C53197">
        <w:t>sport</w:t>
      </w:r>
      <w:r w:rsidR="005E3EC2">
        <w:t>.</w:t>
      </w:r>
      <w:r w:rsidR="00FB34E8">
        <w:t xml:space="preserve">  Relevant talent visa is defined in section 3 of the instrument.</w:t>
      </w:r>
    </w:p>
    <w:p w14:paraId="121D962B" w14:textId="07CD98A3" w:rsidR="008B24C8" w:rsidRPr="004C5A4D" w:rsidRDefault="00AA4557" w:rsidP="004C5A4D">
      <w:pPr>
        <w:pStyle w:val="ESSubparaHeader"/>
      </w:pPr>
      <w:r w:rsidRPr="00FF01F0">
        <w:t xml:space="preserve">The instrument also </w:t>
      </w:r>
      <w:r w:rsidR="009E7A82">
        <w:t xml:space="preserve">updates </w:t>
      </w:r>
      <w:r w:rsidRPr="00FF01F0">
        <w:t>and clarifies the drafti</w:t>
      </w:r>
      <w:r w:rsidR="00FF01F0">
        <w:t xml:space="preserve">ng of IMMI 13/056.  </w:t>
      </w:r>
      <w:r w:rsidR="009E7A82">
        <w:t xml:space="preserve">The schedules </w:t>
      </w:r>
      <w:r w:rsidR="003D40FD">
        <w:t>have been removed for simpler presentation of information</w:t>
      </w:r>
      <w:r w:rsidR="00722E83">
        <w:t xml:space="preserve">. </w:t>
      </w:r>
      <w:r w:rsidR="00401E74">
        <w:t xml:space="preserve"> </w:t>
      </w:r>
      <w:r w:rsidR="00D879AF">
        <w:t>D</w:t>
      </w:r>
      <w:r w:rsidR="009E7A82" w:rsidRPr="00FF01F0">
        <w:t xml:space="preserve">efinitions </w:t>
      </w:r>
      <w:r w:rsidR="009E7A82">
        <w:t xml:space="preserve">are </w:t>
      </w:r>
      <w:r w:rsidR="00D879AF">
        <w:t>added</w:t>
      </w:r>
      <w:r w:rsidR="009E7A82">
        <w:t xml:space="preserve"> </w:t>
      </w:r>
      <w:r w:rsidR="00D879AF">
        <w:t>to</w:t>
      </w:r>
      <w:r w:rsidR="009E7A82">
        <w:t xml:space="preserve"> the instrument</w:t>
      </w:r>
      <w:r w:rsidR="00722E83">
        <w:t xml:space="preserve"> to clari</w:t>
      </w:r>
      <w:r w:rsidR="00A457F6">
        <w:t xml:space="preserve">fy </w:t>
      </w:r>
      <w:r w:rsidR="00C72870">
        <w:t xml:space="preserve">the terms used to describe the </w:t>
      </w:r>
      <w:r w:rsidR="00A457F6">
        <w:t>activities and kinds of work</w:t>
      </w:r>
      <w:r w:rsidR="00722E83">
        <w:t xml:space="preserve"> that would meet</w:t>
      </w:r>
      <w:r w:rsidR="00C72870">
        <w:t xml:space="preserve"> s</w:t>
      </w:r>
      <w:r w:rsidR="00D879AF">
        <w:t xml:space="preserve">pecial residence requirements. </w:t>
      </w:r>
      <w:r w:rsidR="00401E74">
        <w:t xml:space="preserve"> </w:t>
      </w:r>
      <w:r w:rsidR="00C72870">
        <w:t xml:space="preserve">This includes </w:t>
      </w:r>
      <w:r w:rsidR="005F3BD1">
        <w:t>‘</w:t>
      </w:r>
      <w:r w:rsidR="003D40FD">
        <w:t>participation in an Australian team</w:t>
      </w:r>
      <w:r w:rsidR="00722E83">
        <w:t>’</w:t>
      </w:r>
      <w:r w:rsidR="00342241">
        <w:t>,</w:t>
      </w:r>
      <w:r w:rsidR="00EA5462">
        <w:t xml:space="preserve"> </w:t>
      </w:r>
      <w:r w:rsidR="00D879AF">
        <w:t>‘scientist</w:t>
      </w:r>
      <w:r w:rsidR="0064160F">
        <w:t>’</w:t>
      </w:r>
      <w:r w:rsidR="002A1DDD">
        <w:t xml:space="preserve"> </w:t>
      </w:r>
      <w:r w:rsidR="00EA5462">
        <w:t xml:space="preserve">and </w:t>
      </w:r>
      <w:r w:rsidR="00E53CB1">
        <w:t>‘relevant talent visa</w:t>
      </w:r>
      <w:r w:rsidR="005E3EC2">
        <w:t>.</w:t>
      </w:r>
      <w:r w:rsidR="00342241">
        <w:t>’</w:t>
      </w:r>
      <w:r w:rsidR="002A1DDD">
        <w:t xml:space="preserve"> </w:t>
      </w:r>
      <w:r w:rsidR="004C5A4D">
        <w:t xml:space="preserve"> </w:t>
      </w:r>
    </w:p>
    <w:p w14:paraId="14169F6E" w14:textId="77777777" w:rsidR="008B24C8" w:rsidRDefault="008B24C8" w:rsidP="00100DFC">
      <w:pPr>
        <w:pStyle w:val="ESHeading"/>
      </w:pPr>
      <w:r w:rsidRPr="008B24C8">
        <w:t>Consultation</w:t>
      </w:r>
    </w:p>
    <w:p w14:paraId="42EEEE17" w14:textId="26CABB62" w:rsidR="008B24C8" w:rsidRDefault="00F207A8" w:rsidP="002D167E">
      <w:pPr>
        <w:pStyle w:val="ESPara"/>
      </w:pPr>
      <w:r w:rsidRPr="00FB245E">
        <w:t xml:space="preserve">Consultation on the </w:t>
      </w:r>
      <w:r w:rsidRPr="00F207A8">
        <w:t>instrument</w:t>
      </w:r>
      <w:r w:rsidRPr="00FB245E">
        <w:t xml:space="preserve"> </w:t>
      </w:r>
      <w:r w:rsidRPr="00F207A8">
        <w:t>external</w:t>
      </w:r>
      <w:r w:rsidRPr="00FB245E">
        <w:t xml:space="preserve"> to the Department did not occur.  This is because the change is minor in nature.  The </w:t>
      </w:r>
      <w:r w:rsidRPr="00F207A8">
        <w:t>instruments</w:t>
      </w:r>
      <w:r w:rsidRPr="00FB245E">
        <w:t xml:space="preserve"> </w:t>
      </w:r>
      <w:r w:rsidRPr="00F207A8">
        <w:t>broadens</w:t>
      </w:r>
      <w:r w:rsidRPr="00FB245E">
        <w:t xml:space="preserve"> the scope of the activities and work for the purpose of </w:t>
      </w:r>
      <w:r w:rsidRPr="00F207A8">
        <w:t>satisfying</w:t>
      </w:r>
      <w:r w:rsidRPr="00FB245E">
        <w:t xml:space="preserve"> the </w:t>
      </w:r>
      <w:r w:rsidRPr="00F207A8">
        <w:t>special</w:t>
      </w:r>
      <w:r w:rsidRPr="00FB245E">
        <w:t xml:space="preserve"> </w:t>
      </w:r>
      <w:r w:rsidRPr="00F207A8">
        <w:t>residence</w:t>
      </w:r>
      <w:r w:rsidRPr="00FB245E">
        <w:t xml:space="preserve"> </w:t>
      </w:r>
      <w:r w:rsidRPr="00F207A8">
        <w:t>requirement</w:t>
      </w:r>
      <w:r w:rsidRPr="00FB245E">
        <w:t xml:space="preserve">.  </w:t>
      </w:r>
    </w:p>
    <w:p w14:paraId="6330CBDC" w14:textId="3B941D62" w:rsidR="008B24C8" w:rsidRPr="008B24C8" w:rsidRDefault="008B24C8" w:rsidP="002D167E">
      <w:pPr>
        <w:pStyle w:val="ESPara"/>
      </w:pPr>
      <w:r w:rsidRPr="008B24C8">
        <w:t>The Office of Best Practice Regulation (OBPR) was also consulted and considered that the instrument dealt with m</w:t>
      </w:r>
      <w:r>
        <w:t xml:space="preserve">atters of a minor </w:t>
      </w:r>
      <w:r w:rsidRPr="008B24C8">
        <w:t xml:space="preserve">nature and no regulatory impact statement was required.  </w:t>
      </w:r>
      <w:r>
        <w:t xml:space="preserve">The OBPR reference number is </w:t>
      </w:r>
      <w:r w:rsidR="005E3EC2">
        <w:t>44593</w:t>
      </w:r>
      <w:r w:rsidRPr="008B24C8">
        <w:t>.</w:t>
      </w:r>
    </w:p>
    <w:p w14:paraId="25454C07" w14:textId="77777777" w:rsidR="00AA4557" w:rsidRDefault="00464080" w:rsidP="00100DFC">
      <w:pPr>
        <w:pStyle w:val="ESHeading"/>
      </w:pPr>
      <w:r>
        <w:t>Details</w:t>
      </w:r>
      <w:r w:rsidR="00AA4557">
        <w:t xml:space="preserve"> of the instrument</w:t>
      </w:r>
    </w:p>
    <w:p w14:paraId="746A6E34" w14:textId="0B9C18A6" w:rsidR="00161DEA" w:rsidRDefault="00F12759" w:rsidP="008E785F">
      <w:pPr>
        <w:pStyle w:val="ESPara"/>
      </w:pPr>
      <w:r>
        <w:t xml:space="preserve">Details of the instrument are </w:t>
      </w:r>
      <w:r w:rsidRPr="00304277">
        <w:t>set</w:t>
      </w:r>
      <w:r>
        <w:t xml:space="preserve"> out in </w:t>
      </w:r>
      <w:r w:rsidRPr="008E785F">
        <w:rPr>
          <w:b/>
          <w:u w:val="single"/>
        </w:rPr>
        <w:t>Attachment A</w:t>
      </w:r>
      <w:r>
        <w:t xml:space="preserve">. </w:t>
      </w:r>
    </w:p>
    <w:p w14:paraId="2BB424E6" w14:textId="77777777" w:rsidR="00AA4557" w:rsidRPr="00AA4557" w:rsidRDefault="00AA4557" w:rsidP="00100DFC">
      <w:pPr>
        <w:pStyle w:val="ESHeading"/>
      </w:pPr>
      <w:r>
        <w:t xml:space="preserve">Parliamentary scrutiny etc.  </w:t>
      </w:r>
    </w:p>
    <w:p w14:paraId="38F85489" w14:textId="63B28FD5" w:rsidR="00E03DCC" w:rsidRPr="00464080" w:rsidRDefault="00AA4557" w:rsidP="00B12F36">
      <w:pPr>
        <w:pStyle w:val="ESPara"/>
      </w:pPr>
      <w:r w:rsidRPr="00464080">
        <w:t xml:space="preserve">The instrument </w:t>
      </w:r>
      <w:r w:rsidR="00E03DCC" w:rsidRPr="00464080">
        <w:t>is subject to disallowance under section 42 of the Legislation Act.  A</w:t>
      </w:r>
      <w:r w:rsidR="00B75478" w:rsidRPr="00464080">
        <w:t xml:space="preserve"> </w:t>
      </w:r>
      <w:r w:rsidR="00E03DCC" w:rsidRPr="00464080">
        <w:t xml:space="preserve">Statement of Compatibility with Human Rights has been prepared in relation to the instrument, and provides that </w:t>
      </w:r>
      <w:r w:rsidR="00B12F36" w:rsidRPr="00B12F36">
        <w:t>the instrument does not engage any of the applicable human rights or freedoms</w:t>
      </w:r>
      <w:r w:rsidR="00E03DCC" w:rsidRPr="00464080">
        <w:t xml:space="preserve">.  The Statement is included at </w:t>
      </w:r>
      <w:r w:rsidR="00B75478" w:rsidRPr="00464080">
        <w:rPr>
          <w:b/>
          <w:u w:val="single"/>
        </w:rPr>
        <w:t xml:space="preserve">Attachment </w:t>
      </w:r>
      <w:r w:rsidR="00304277">
        <w:rPr>
          <w:b/>
          <w:u w:val="single"/>
        </w:rPr>
        <w:t>B</w:t>
      </w:r>
      <w:r w:rsidR="00304277" w:rsidRPr="00464080">
        <w:t xml:space="preserve"> </w:t>
      </w:r>
      <w:r w:rsidR="00E03DCC" w:rsidRPr="00464080">
        <w:t xml:space="preserve">to this explanatory statement.  </w:t>
      </w:r>
    </w:p>
    <w:p w14:paraId="29CFE277" w14:textId="60EBA096" w:rsidR="00B75478" w:rsidRDefault="00B75478" w:rsidP="002D167E">
      <w:pPr>
        <w:pStyle w:val="ESPara"/>
      </w:pPr>
      <w:r w:rsidRPr="00B75478">
        <w:t xml:space="preserve">The </w:t>
      </w:r>
      <w:r>
        <w:t xml:space="preserve">instrument was made by </w:t>
      </w:r>
      <w:r w:rsidR="00D11BB7">
        <w:t>Minister for Immigration, Citizenship, Migrant Services and Multicultural Affairs</w:t>
      </w:r>
      <w:r>
        <w:t xml:space="preserve">, in accordance with </w:t>
      </w:r>
      <w:r w:rsidR="00D11BB7">
        <w:t>section 22C of the Act</w:t>
      </w:r>
      <w:r>
        <w:t xml:space="preserve">.  </w:t>
      </w:r>
    </w:p>
    <w:p w14:paraId="272FA8C7" w14:textId="77777777" w:rsidR="007E4691" w:rsidRDefault="007E4691" w:rsidP="00915032">
      <w:pPr>
        <w:rPr>
          <w:rFonts w:ascii="Times New Roman" w:hAnsi="Times New Roman" w:cs="Times New Roman"/>
        </w:rPr>
      </w:pPr>
      <w:r>
        <w:rPr>
          <w:rFonts w:ascii="Times New Roman" w:hAnsi="Times New Roman" w:cs="Times New Roman"/>
        </w:rPr>
        <w:br w:type="page"/>
      </w:r>
    </w:p>
    <w:p w14:paraId="6A6AA0F3" w14:textId="0E46BB62" w:rsidR="004F5CE4" w:rsidRDefault="007E4691" w:rsidP="00100DFC">
      <w:pPr>
        <w:pStyle w:val="ESAttAttName"/>
      </w:pPr>
      <w:r>
        <w:lastRenderedPageBreak/>
        <w:t xml:space="preserve">Attachment </w:t>
      </w:r>
      <w:r w:rsidR="00F12759">
        <w:t>A</w:t>
      </w:r>
    </w:p>
    <w:p w14:paraId="46D1F8FD" w14:textId="290BFB37" w:rsidR="00F12759" w:rsidRPr="009E5DDE" w:rsidRDefault="00F12759" w:rsidP="008E785F">
      <w:pPr>
        <w:pStyle w:val="ESAttHeading"/>
      </w:pPr>
      <w:r w:rsidRPr="009E5DDE">
        <w:t xml:space="preserve">Details of the </w:t>
      </w:r>
      <w:r w:rsidRPr="008E785F">
        <w:rPr>
          <w:i/>
        </w:rPr>
        <w:t>Australian Citizenship (</w:t>
      </w:r>
      <w:r w:rsidR="00045C9B">
        <w:rPr>
          <w:i/>
        </w:rPr>
        <w:t>s</w:t>
      </w:r>
      <w:r w:rsidRPr="008E785F">
        <w:rPr>
          <w:i/>
        </w:rPr>
        <w:t>pecial residence requirement) Instrument (LIN 21/069) 2021</w:t>
      </w:r>
      <w:r w:rsidRPr="009E5DDE">
        <w:t xml:space="preserve"> </w:t>
      </w:r>
    </w:p>
    <w:p w14:paraId="1EEF7068" w14:textId="77777777" w:rsidR="00F12759" w:rsidRPr="009E5DDE" w:rsidRDefault="00F12759" w:rsidP="00F12759">
      <w:pPr>
        <w:pStyle w:val="ESAttHeading"/>
        <w:rPr>
          <w:b w:val="0"/>
        </w:rPr>
      </w:pPr>
      <w:r w:rsidRPr="009E5DDE">
        <w:t>Section 1</w:t>
      </w:r>
      <w:r w:rsidRPr="009E5DDE">
        <w:tab/>
        <w:t>Name</w:t>
      </w:r>
    </w:p>
    <w:p w14:paraId="35231BD4" w14:textId="249749D8" w:rsidR="00F12759" w:rsidRDefault="00F12759" w:rsidP="008E785F">
      <w:pPr>
        <w:pStyle w:val="ESAttNormal"/>
      </w:pPr>
      <w:r w:rsidRPr="009E5DDE">
        <w:t xml:space="preserve">This </w:t>
      </w:r>
      <w:r w:rsidRPr="00304277">
        <w:t>section</w:t>
      </w:r>
      <w:r w:rsidRPr="009E5DDE">
        <w:t xml:space="preserve"> provides that the</w:t>
      </w:r>
      <w:r>
        <w:t xml:space="preserve"> name of the</w:t>
      </w:r>
      <w:r w:rsidR="00E62163">
        <w:t xml:space="preserve"> instrument is the</w:t>
      </w:r>
      <w:r w:rsidRPr="00F12759">
        <w:t xml:space="preserve"> </w:t>
      </w:r>
      <w:r w:rsidRPr="006F6C9E">
        <w:rPr>
          <w:i/>
        </w:rPr>
        <w:t>Australian Citizenship (</w:t>
      </w:r>
      <w:r w:rsidR="00DF6B3D">
        <w:rPr>
          <w:i/>
        </w:rPr>
        <w:t>s</w:t>
      </w:r>
      <w:r w:rsidRPr="006F6C9E">
        <w:rPr>
          <w:i/>
        </w:rPr>
        <w:t>pecial residence requirement) Instrument (LIN 21/069) 2021</w:t>
      </w:r>
      <w:r>
        <w:t>.</w:t>
      </w:r>
    </w:p>
    <w:p w14:paraId="49FA95FE" w14:textId="77777777" w:rsidR="00F12759" w:rsidRPr="009E5DDE" w:rsidRDefault="00F12759" w:rsidP="008E785F">
      <w:pPr>
        <w:pStyle w:val="ESAttHeading"/>
      </w:pPr>
      <w:r w:rsidRPr="009E5DDE">
        <w:t>Section 2</w:t>
      </w:r>
      <w:r w:rsidRPr="009E5DDE">
        <w:tab/>
        <w:t>Commencement</w:t>
      </w:r>
    </w:p>
    <w:p w14:paraId="2D59027F" w14:textId="5AF8B657" w:rsidR="00F12759" w:rsidRPr="009E5DDE" w:rsidRDefault="00F12759" w:rsidP="008E785F">
      <w:pPr>
        <w:pStyle w:val="ESAttNormal"/>
      </w:pPr>
      <w:r w:rsidRPr="009E5DDE">
        <w:t>This section provides that the instrument commences on the day after registration on the Federal Register of Legislation</w:t>
      </w:r>
      <w:r w:rsidR="00E62163">
        <w:t>.</w:t>
      </w:r>
      <w:r w:rsidRPr="009E5DDE">
        <w:t xml:space="preserve"> </w:t>
      </w:r>
    </w:p>
    <w:p w14:paraId="4AC19814" w14:textId="77777777" w:rsidR="00F12759" w:rsidRPr="009E5DDE" w:rsidRDefault="00F12759" w:rsidP="008E785F">
      <w:pPr>
        <w:pStyle w:val="ESAttHeading"/>
      </w:pPr>
      <w:r w:rsidRPr="009E5DDE">
        <w:t>Section 3</w:t>
      </w:r>
      <w:r w:rsidRPr="009E5DDE">
        <w:tab/>
        <w:t>Definitions</w:t>
      </w:r>
    </w:p>
    <w:p w14:paraId="237F546D" w14:textId="26948BCB" w:rsidR="00F12759" w:rsidRPr="00D11BB7" w:rsidRDefault="00F80B1C" w:rsidP="008E785F">
      <w:pPr>
        <w:pStyle w:val="ESAttNormal"/>
      </w:pPr>
      <w:r>
        <w:t>Under this section</w:t>
      </w:r>
      <w:r w:rsidR="00F12759">
        <w:t xml:space="preserve">:  </w:t>
      </w:r>
    </w:p>
    <w:p w14:paraId="66D6A1FA" w14:textId="0A17FD47" w:rsidR="00F12759" w:rsidRDefault="00F12759" w:rsidP="00F12759">
      <w:pPr>
        <w:pStyle w:val="ESSubparaList"/>
      </w:pPr>
      <w:r w:rsidRPr="00401E74">
        <w:rPr>
          <w:b/>
          <w:i/>
        </w:rPr>
        <w:t>participation in an Australian team</w:t>
      </w:r>
      <w:r w:rsidRPr="00D11BB7">
        <w:t xml:space="preserve"> </w:t>
      </w:r>
      <w:r>
        <w:t>means participation by a person who is an athlete in an Australian sports team.</w:t>
      </w:r>
      <w:r w:rsidRPr="00D11BB7">
        <w:t xml:space="preserve">  This definition is intended to capture </w:t>
      </w:r>
      <w:r>
        <w:t xml:space="preserve">athletes and players who compete in </w:t>
      </w:r>
      <w:r w:rsidR="00E62163">
        <w:t>the specified</w:t>
      </w:r>
      <w:r>
        <w:t xml:space="preserve"> Australian sports team</w:t>
      </w:r>
      <w:r w:rsidRPr="00D11BB7">
        <w:t xml:space="preserve">.  It </w:t>
      </w:r>
      <w:r>
        <w:t>does not</w:t>
      </w:r>
      <w:r w:rsidRPr="00D11BB7">
        <w:t xml:space="preserve"> capture </w:t>
      </w:r>
      <w:r w:rsidR="00E62163">
        <w:t>ancillary staff, such as coache</w:t>
      </w:r>
      <w:r>
        <w:t>s or trainers</w:t>
      </w:r>
      <w:r w:rsidRPr="00D11BB7">
        <w:t xml:space="preserve">.  </w:t>
      </w:r>
    </w:p>
    <w:p w14:paraId="5310DF7E" w14:textId="77777777" w:rsidR="00F12759" w:rsidRDefault="00F12759" w:rsidP="00F12759">
      <w:pPr>
        <w:pStyle w:val="ESSubparaList"/>
      </w:pPr>
      <w:r w:rsidRPr="00401E74">
        <w:rPr>
          <w:b/>
          <w:i/>
        </w:rPr>
        <w:t xml:space="preserve">scientist </w:t>
      </w:r>
      <w:r w:rsidRPr="00D11BB7">
        <w:t xml:space="preserve">means someone with an expert knowledge of science, especially someone professionally qualified in one </w:t>
      </w:r>
      <w:r>
        <w:t xml:space="preserve">or more </w:t>
      </w:r>
      <w:r w:rsidRPr="00D11BB7">
        <w:t>of the branches of science</w:t>
      </w:r>
      <w:r>
        <w:t xml:space="preserve">. Note 1 clarifies the branches of science (natural science, social science and formal science) captured by the definition.  </w:t>
      </w:r>
    </w:p>
    <w:p w14:paraId="495ABF49" w14:textId="77777777" w:rsidR="00F12759" w:rsidRDefault="00F12759" w:rsidP="00F12759">
      <w:pPr>
        <w:pStyle w:val="ESSubparaList"/>
      </w:pPr>
      <w:r w:rsidRPr="00C00842">
        <w:rPr>
          <w:b/>
          <w:i/>
        </w:rPr>
        <w:t>S&amp;P/ASX All Australia 200 listed company</w:t>
      </w:r>
      <w:r>
        <w:t xml:space="preserve"> means one of the 200 Australian Securities Exchange listed companies in the S&amp;P/ASX 200 share market index.  Note 2 states that the list of companies can be found at </w:t>
      </w:r>
      <w:r w:rsidRPr="008D4AA7">
        <w:rPr>
          <w:u w:val="single"/>
        </w:rPr>
        <w:t>https://www.spglobal.com/spdji/en/indices/equity/sp-asx-200/#data</w:t>
      </w:r>
      <w:r>
        <w:t xml:space="preserve">.  As the index is periodically rebalanced, the listed companies may change from time to time.  </w:t>
      </w:r>
    </w:p>
    <w:p w14:paraId="39693D8B" w14:textId="77777777" w:rsidR="00F12759" w:rsidRPr="00F15605" w:rsidRDefault="00F12759" w:rsidP="00F12759">
      <w:pPr>
        <w:pStyle w:val="ESSubparaList"/>
      </w:pPr>
      <w:r>
        <w:rPr>
          <w:b/>
          <w:i/>
        </w:rPr>
        <w:t xml:space="preserve">relevant talent visa </w:t>
      </w:r>
      <w:r>
        <w:t>means one of the following visas, excluding a visa that was granted to a person who received an invitation from the Department to appl</w:t>
      </w:r>
      <w:r w:rsidRPr="009F63DE">
        <w:t>y:</w:t>
      </w:r>
    </w:p>
    <w:p w14:paraId="156AD82A" w14:textId="6FABDC5A" w:rsidR="00F12759" w:rsidRDefault="00F80B1C" w:rsidP="006F6C9E">
      <w:pPr>
        <w:pStyle w:val="ESSubparaList"/>
        <w:numPr>
          <w:ilvl w:val="0"/>
          <w:numId w:val="0"/>
        </w:numPr>
        <w:ind w:left="1604"/>
      </w:pPr>
      <w:r>
        <w:t>(a)</w:t>
      </w:r>
      <w:r>
        <w:tab/>
      </w:r>
      <w:r w:rsidR="00B12F36">
        <w:t>a</w:t>
      </w:r>
      <w:r w:rsidR="00F12759">
        <w:t xml:space="preserve"> Distinguished Talent (Migrant) (Class AL) visa, within the meaning given by the </w:t>
      </w:r>
      <w:r w:rsidR="00F12759" w:rsidRPr="0094459E">
        <w:rPr>
          <w:i/>
        </w:rPr>
        <w:t>Migration Regulations 1994</w:t>
      </w:r>
      <w:r w:rsidR="00F12759">
        <w:t xml:space="preserve"> (Migration Regulations), in respect of which an application was made before 14 November 2020;  </w:t>
      </w:r>
    </w:p>
    <w:p w14:paraId="3EF36E7E" w14:textId="7A18BFEB" w:rsidR="00F12759" w:rsidRDefault="00F80B1C" w:rsidP="006F6C9E">
      <w:pPr>
        <w:pStyle w:val="ESSubparaList"/>
        <w:numPr>
          <w:ilvl w:val="0"/>
          <w:numId w:val="0"/>
        </w:numPr>
        <w:ind w:left="1604"/>
      </w:pPr>
      <w:r>
        <w:t>(b)</w:t>
      </w:r>
      <w:r>
        <w:tab/>
      </w:r>
      <w:r w:rsidR="00F12759">
        <w:t xml:space="preserve">a Distinguished Talent (Residence) (Class BX) visa, within the meaning given by the Migration Regulations, in respect of which an application was made before 27 February 2021; or  </w:t>
      </w:r>
    </w:p>
    <w:p w14:paraId="1BE2AA32" w14:textId="252C7224" w:rsidR="00F12759" w:rsidRDefault="00F80B1C" w:rsidP="006F6C9E">
      <w:pPr>
        <w:pStyle w:val="ESSubparaList"/>
        <w:numPr>
          <w:ilvl w:val="0"/>
          <w:numId w:val="0"/>
        </w:numPr>
        <w:ind w:left="1604"/>
      </w:pPr>
      <w:r>
        <w:t>(c)</w:t>
      </w:r>
      <w:r>
        <w:tab/>
      </w:r>
      <w:r w:rsidR="00F12759">
        <w:t xml:space="preserve">a Global Talent (Class BX) visa, within the meaning given by the Migration Regulations, in respect of which an application was made on or after 27 February 2021.  </w:t>
      </w:r>
    </w:p>
    <w:p w14:paraId="2C05E32F" w14:textId="36A98A24" w:rsidR="00FB34E8" w:rsidRDefault="00FB34E8" w:rsidP="00FB34E8">
      <w:pPr>
        <w:pStyle w:val="ESSubparaList"/>
        <w:numPr>
          <w:ilvl w:val="0"/>
          <w:numId w:val="0"/>
        </w:numPr>
        <w:ind w:left="1276"/>
      </w:pPr>
      <w:r>
        <w:t xml:space="preserve">This definition sets parameters </w:t>
      </w:r>
      <w:r w:rsidR="00A71379">
        <w:t xml:space="preserve">for </w:t>
      </w:r>
      <w:r>
        <w:t xml:space="preserve">the primary visa holders </w:t>
      </w:r>
      <w:r w:rsidR="00A71379">
        <w:t>who do a kind of work specified</w:t>
      </w:r>
      <w:r>
        <w:t xml:space="preserve"> in subsection</w:t>
      </w:r>
      <w:r w:rsidR="00A71379">
        <w:t> </w:t>
      </w:r>
      <w:r>
        <w:t>6(3</w:t>
      </w:r>
      <w:r w:rsidR="00A71379">
        <w:t>)</w:t>
      </w:r>
      <w:r w:rsidR="008E04A6">
        <w:t xml:space="preserve"> and may be</w:t>
      </w:r>
      <w:r w:rsidR="00A71379" w:rsidRPr="00A71379">
        <w:t xml:space="preserve"> </w:t>
      </w:r>
      <w:r w:rsidR="00A71379">
        <w:t xml:space="preserve">eligible to meet the special residence requirement for Australian </w:t>
      </w:r>
      <w:r w:rsidR="00A71379">
        <w:lastRenderedPageBreak/>
        <w:t>citizenship</w:t>
      </w:r>
      <w:r>
        <w:t xml:space="preserve">.  In accordance with the definition, a person granted </w:t>
      </w:r>
      <w:r w:rsidR="0090705F">
        <w:t xml:space="preserve">a visa </w:t>
      </w:r>
      <w:r w:rsidR="000F2C2D">
        <w:t xml:space="preserve">via </w:t>
      </w:r>
      <w:r>
        <w:t>the ‘Distinguished Talent pathway’</w:t>
      </w:r>
      <w:r>
        <w:rPr>
          <w:rStyle w:val="FootnoteReference"/>
        </w:rPr>
        <w:footnoteReference w:id="1"/>
      </w:r>
      <w:r>
        <w:t xml:space="preserve"> may be eligible to meet the special residence requirement.</w:t>
      </w:r>
      <w:r w:rsidR="0090705F">
        <w:t xml:space="preserve">  </w:t>
      </w:r>
    </w:p>
    <w:p w14:paraId="6281DDB2" w14:textId="77777777" w:rsidR="00304277" w:rsidRPr="009E5DDE" w:rsidRDefault="00304277" w:rsidP="008E785F">
      <w:pPr>
        <w:pStyle w:val="ESAttHeading"/>
      </w:pPr>
      <w:r w:rsidRPr="009E5DDE">
        <w:t>Section 4</w:t>
      </w:r>
      <w:r w:rsidRPr="009E5DDE">
        <w:tab/>
        <w:t>Repeal</w:t>
      </w:r>
    </w:p>
    <w:p w14:paraId="1021247F" w14:textId="3499943F" w:rsidR="00304277" w:rsidRDefault="00304277" w:rsidP="008E785F">
      <w:pPr>
        <w:pStyle w:val="ESAttNormal"/>
      </w:pPr>
      <w:r>
        <w:rPr>
          <w:i/>
        </w:rPr>
        <w:t xml:space="preserve">Australian Citizenship Act 2007 - Specification under section 22C - Special Residence Requirement - June 2013 </w:t>
      </w:r>
      <w:r>
        <w:t>(</w:t>
      </w:r>
      <w:r w:rsidRPr="008E785F">
        <w:rPr>
          <w:i/>
        </w:rPr>
        <w:t>IMMI 13/056</w:t>
      </w:r>
      <w:r>
        <w:t>)</w:t>
      </w:r>
      <w:r w:rsidR="00253894">
        <w:t xml:space="preserve"> (F2013L01123)</w:t>
      </w:r>
      <w:r>
        <w:t xml:space="preserve">, signed on 29 May 2013, </w:t>
      </w:r>
      <w:r w:rsidRPr="00304277">
        <w:t>is repealed under this section.  This is because it is being replaced by operative provisions of this instrument.</w:t>
      </w:r>
    </w:p>
    <w:p w14:paraId="5B37FB55" w14:textId="0B868173" w:rsidR="00304277" w:rsidRPr="009E5DDE" w:rsidRDefault="00304277" w:rsidP="00304277">
      <w:pPr>
        <w:pStyle w:val="ESAttHeading"/>
      </w:pPr>
      <w:r w:rsidRPr="009E5DDE">
        <w:t>Section 5</w:t>
      </w:r>
      <w:r w:rsidRPr="009E5DDE">
        <w:tab/>
      </w:r>
      <w:r>
        <w:t>Specified activities and organisations</w:t>
      </w:r>
    </w:p>
    <w:p w14:paraId="76415797" w14:textId="0BA8F566" w:rsidR="00F12759" w:rsidRDefault="00F12759" w:rsidP="008E785F">
      <w:pPr>
        <w:pStyle w:val="ESAttNormal"/>
      </w:pPr>
      <w:r>
        <w:t xml:space="preserve">Paragraph 5(a) sets out, for subparagraph 22A(1)(a)(i) of the Act, that the activities mentioned in an item in the table are specified.  </w:t>
      </w:r>
      <w:r w:rsidR="00A71379">
        <w:t>Amongst other criteria</w:t>
      </w:r>
      <w:r w:rsidR="00E30484">
        <w:t>, t</w:t>
      </w:r>
      <w:r w:rsidR="00A71379">
        <w:t>he applicant’s engagement in that activity would be of benefit to Australia</w:t>
      </w:r>
      <w:r w:rsidR="00B12F36">
        <w:t xml:space="preserve"> and the applicant needs to be an Australian citizen in order to engage in that activity</w:t>
      </w:r>
      <w:r w:rsidR="00E30484">
        <w:t xml:space="preserve"> </w:t>
      </w:r>
      <w:r w:rsidR="00A71379">
        <w:t>(see</w:t>
      </w:r>
      <w:r w:rsidR="00E30484">
        <w:t xml:space="preserve"> subparagraph 22(1)(a)(ii)</w:t>
      </w:r>
      <w:r w:rsidR="00A71379">
        <w:t>)</w:t>
      </w:r>
      <w:r w:rsidR="00E30484">
        <w:t xml:space="preserve">.  </w:t>
      </w:r>
      <w:r>
        <w:t xml:space="preserve">For example, this means participation in </w:t>
      </w:r>
      <w:r w:rsidR="005A4067">
        <w:t>the</w:t>
      </w:r>
      <w:r>
        <w:t xml:space="preserve"> Australian team in the Commonwealth Games, including qualifying events, is a specified activity for subparagraph 22A(1)(a)(i) of the Act</w:t>
      </w:r>
      <w:r w:rsidR="00E30484">
        <w:t xml:space="preserve">.  </w:t>
      </w:r>
    </w:p>
    <w:p w14:paraId="43CA3158" w14:textId="358B952F" w:rsidR="00F12759" w:rsidRDefault="00F12759" w:rsidP="008E785F">
      <w:pPr>
        <w:pStyle w:val="ESAttNormal"/>
      </w:pPr>
      <w:r>
        <w:t xml:space="preserve">Paragraph 5(b) sets out, for paragraph 22A(1)(b) of the Act, that the organisations mentioned in an item in the table are specified for the activity mentioned for the item.  This makes clear the link between the organisation and activity, as the senior representative of an organisation who writes to the Minister about the specified activity </w:t>
      </w:r>
      <w:r w:rsidR="005A4067">
        <w:t>must</w:t>
      </w:r>
      <w:r>
        <w:t xml:space="preserve"> be relevant to that organisation.  Expanding on the example above, the head of Commonwealth Games Australia, specified as in organisation in item 5, would write to the Minister stating an applicant would have a reasonable prospect of engaging in the Commonwealth Games.  </w:t>
      </w:r>
    </w:p>
    <w:p w14:paraId="15EE6F1B" w14:textId="7934E79F" w:rsidR="00304277" w:rsidRPr="008E785F" w:rsidRDefault="00304277" w:rsidP="008E785F">
      <w:pPr>
        <w:pStyle w:val="ESPara"/>
        <w:numPr>
          <w:ilvl w:val="0"/>
          <w:numId w:val="0"/>
        </w:numPr>
        <w:ind w:left="567" w:hanging="567"/>
        <w:rPr>
          <w:b/>
        </w:rPr>
      </w:pPr>
      <w:r w:rsidRPr="008E785F">
        <w:rPr>
          <w:b/>
        </w:rPr>
        <w:t>Section 6</w:t>
      </w:r>
      <w:r w:rsidRPr="008E785F">
        <w:rPr>
          <w:b/>
        </w:rPr>
        <w:tab/>
        <w:t>Specified kinds of work</w:t>
      </w:r>
    </w:p>
    <w:p w14:paraId="3ED3CF9D" w14:textId="3F8F1BA2" w:rsidR="00F12759" w:rsidRDefault="00F12759" w:rsidP="008E785F">
      <w:pPr>
        <w:pStyle w:val="ESAttNormal"/>
      </w:pPr>
      <w:r>
        <w:t>Section 6 sets out for paragraph 22B(1)(a) of the Act the specified kinds of work an applicant would have to engage in</w:t>
      </w:r>
      <w:r w:rsidR="00B33D57">
        <w:t xml:space="preserve"> to satisfy the special residence requirement</w:t>
      </w:r>
      <w:r>
        <w:t>.  Under subparagraphs 22B(1)(b)(i) and (ii) of the Act, in or</w:t>
      </w:r>
      <w:r w:rsidR="00B33D57">
        <w:t>der to meet the special residence</w:t>
      </w:r>
      <w:r>
        <w:t xml:space="preserve"> requirement, the kind of work must be engaged in by the applicant for at least 2 out of the 4 years in Australia and required the applicant to regularly travel outside Australia during that 4 year period.  </w:t>
      </w:r>
    </w:p>
    <w:p w14:paraId="5ED0A149" w14:textId="77777777" w:rsidR="00F12759" w:rsidRDefault="00F12759" w:rsidP="008E785F">
      <w:pPr>
        <w:pStyle w:val="ESAttNormal"/>
      </w:pPr>
      <w:r>
        <w:t xml:space="preserve">Paragraph 6(2)(a) specifies work that is done on duty by a crew member of a ship or aircraft as a kind of work.  This captures work done by members of the crew who are on duty working on the ship or aircraft, and excludes work done by supporting staff that do not form part of the crew. </w:t>
      </w:r>
    </w:p>
    <w:p w14:paraId="04C852E7" w14:textId="77777777" w:rsidR="00F12759" w:rsidRDefault="00F12759" w:rsidP="008E785F">
      <w:pPr>
        <w:pStyle w:val="ESAttNormal"/>
      </w:pPr>
      <w:r>
        <w:t xml:space="preserve">Paragraph 6(2)(b) specifies work that is done on duty on a resources installation or a sea installation as a kind of work.  For clarity, the work needs to be done by an applicant who is physically on the premises of the resources installation or sea installation.  </w:t>
      </w:r>
    </w:p>
    <w:p w14:paraId="1421122E" w14:textId="6C5505BD" w:rsidR="00F12759" w:rsidRDefault="00F12759" w:rsidP="008E785F">
      <w:pPr>
        <w:pStyle w:val="ESAttNormal"/>
      </w:pPr>
      <w:r>
        <w:t xml:space="preserve">Subparagraphs 6(2)(c)(i) and (ii) specify work done in the course of duty by an chief executive officer or executive manager employed in an S&amp;P/ASX All Australian 200 listed company (listed company) as a kind of work.  The list of companies in the S&amp;P/ASX All Australian 200 index can be found with reference to </w:t>
      </w:r>
      <w:r w:rsidRPr="008D4AA7">
        <w:rPr>
          <w:u w:val="single"/>
        </w:rPr>
        <w:lastRenderedPageBreak/>
        <w:t>https://www.spglobal.com/spdji/en/indices/equity/sp-asx-200/#data</w:t>
      </w:r>
      <w:r>
        <w:t>. The listed companies change over time as the index is periodically rebalanced</w:t>
      </w:r>
      <w:r w:rsidR="0005589E">
        <w:t xml:space="preserve">.  </w:t>
      </w:r>
    </w:p>
    <w:p w14:paraId="53C33345" w14:textId="246E12F0" w:rsidR="00F12759" w:rsidRDefault="00F12759" w:rsidP="008E785F">
      <w:pPr>
        <w:pStyle w:val="ESAttNormal"/>
      </w:pPr>
      <w:r>
        <w:t xml:space="preserve">Paragraph 6(2)(d) specifies research and development that is of benefit to Australia done by a scientist who has a Doctor of Philosophy in their field of speciality and is currently employed by an Australian university as a kind of work.  An applicant must have the qualifications and employment requirements mentioned in this paragraph, in relation to the specified kind of work.  Scientists can engage in research and development in a field </w:t>
      </w:r>
      <w:r w:rsidR="00C255E5">
        <w:t>in any of the branch of science</w:t>
      </w:r>
      <w:r>
        <w:t xml:space="preserve"> mentioned in note 1 in section 3 for the purposes of meeting special residence requirements</w:t>
      </w:r>
      <w:r w:rsidR="00304277">
        <w:t xml:space="preserve"> under paragraphs 6(2)(d) and (e)</w:t>
      </w:r>
      <w:r>
        <w:t xml:space="preserve">.  </w:t>
      </w:r>
    </w:p>
    <w:p w14:paraId="0292BFA1" w14:textId="275B9097" w:rsidR="00F12759" w:rsidRDefault="00F12759" w:rsidP="008E785F">
      <w:pPr>
        <w:pStyle w:val="ESAttNormal"/>
      </w:pPr>
      <w:r>
        <w:t xml:space="preserve">Subparagraphs 6(2)(e)(i) and (ii) specify work done in the course of duty as a scientist employed by the Commonwealth Scientific and Industrial Research Organisation or medical research institute that is a member of the Association of Australian Medical Research Institutes.  </w:t>
      </w:r>
    </w:p>
    <w:p w14:paraId="52CE23A2" w14:textId="2DD9412D" w:rsidR="00F12759" w:rsidRDefault="00F12759" w:rsidP="008E785F">
      <w:pPr>
        <w:pStyle w:val="ESAttNormal"/>
      </w:pPr>
      <w:r>
        <w:t xml:space="preserve">Subparagraphs 6(2)(f)(i) and (ii) specify work done in the course of duty as a medical specialist who has an internationally recognised record of exceptional and outstanding achievement in their field of speciality, is a fellow of an organisation mentioned in </w:t>
      </w:r>
      <w:r w:rsidRPr="001230CF">
        <w:t>an item in the table in clause</w:t>
      </w:r>
      <w:r>
        <w:t> </w:t>
      </w:r>
      <w:r w:rsidRPr="001230CF">
        <w:t>1 in Schedule</w:t>
      </w:r>
      <w:r>
        <w:t> </w:t>
      </w:r>
      <w:r w:rsidRPr="001230CF">
        <w:t xml:space="preserve">1 to </w:t>
      </w:r>
      <w:r>
        <w:t xml:space="preserve">the </w:t>
      </w:r>
      <w:r w:rsidRPr="00337D93">
        <w:rPr>
          <w:i/>
        </w:rPr>
        <w:t>Health I</w:t>
      </w:r>
      <w:r>
        <w:rPr>
          <w:i/>
        </w:rPr>
        <w:t xml:space="preserve">nsurance Regulations 2018 </w:t>
      </w:r>
      <w:r>
        <w:t>(Health Insurance Regulations)</w:t>
      </w:r>
      <w:r>
        <w:rPr>
          <w:i/>
        </w:rPr>
        <w:t xml:space="preserve"> </w:t>
      </w:r>
      <w:r>
        <w:t xml:space="preserve">and holds a qualification relevant to the organisation.  </w:t>
      </w:r>
      <w:r w:rsidR="005E3EC2">
        <w:t xml:space="preserve">This instrument removes reference to the repealed </w:t>
      </w:r>
      <w:r w:rsidR="005E3EC2">
        <w:rPr>
          <w:i/>
        </w:rPr>
        <w:t xml:space="preserve">Health Insurance Regulations 1975 </w:t>
      </w:r>
      <w:r w:rsidR="005E3EC2">
        <w:t xml:space="preserve">in IMMI 13/056 and refers to the provision of the Health Insurance Regulations currently in force.  </w:t>
      </w:r>
    </w:p>
    <w:p w14:paraId="17AD6F22" w14:textId="3D28863C" w:rsidR="00304277" w:rsidRDefault="00FB34E8" w:rsidP="00F12759">
      <w:pPr>
        <w:pStyle w:val="ESAttNormal"/>
      </w:pPr>
      <w:r>
        <w:t>Subsection 6(3) specifies wor</w:t>
      </w:r>
      <w:r w:rsidR="00752005">
        <w:t xml:space="preserve">k that is academia and research, the arts, a profession or </w:t>
      </w:r>
      <w:r w:rsidR="00EA516B">
        <w:t xml:space="preserve">a </w:t>
      </w:r>
      <w:r w:rsidR="00752005">
        <w:t xml:space="preserve">sport, </w:t>
      </w:r>
      <w:r>
        <w:t xml:space="preserve">done by a person who is, or has been, a primary holder of a relevant talent visa.  </w:t>
      </w:r>
      <w:r w:rsidR="00E30484">
        <w:t xml:space="preserve">That work must have been done by the applicant in the same area that the relevant talent visa was granted, </w:t>
      </w:r>
      <w:r w:rsidR="002D4E26">
        <w:t xml:space="preserve"> based on</w:t>
      </w:r>
      <w:r w:rsidR="00E30484">
        <w:t xml:space="preserve"> an internationally recognised record of exceptional and outstanding achievement.</w:t>
      </w:r>
      <w:r>
        <w:t xml:space="preserve">  For example, if a person was granted a Global Talent visa on the basis of their internationally recognised record of exceptional and outstanding achievement in basketball, they will only meet the special residence requirement if they demonstrate for their Australian citizenship application that they are working in basketball.</w:t>
      </w:r>
    </w:p>
    <w:p w14:paraId="0819DF4A" w14:textId="77777777" w:rsidR="00304277" w:rsidRDefault="00304277">
      <w:pPr>
        <w:rPr>
          <w:rFonts w:ascii="Times New Roman" w:hAnsi="Times New Roman" w:cs="Times New Roman"/>
        </w:rPr>
      </w:pPr>
      <w:r>
        <w:br w:type="page"/>
      </w:r>
    </w:p>
    <w:p w14:paraId="613B57A1" w14:textId="52BC47F0" w:rsidR="00304277" w:rsidRDefault="00304277" w:rsidP="00304277">
      <w:pPr>
        <w:pStyle w:val="ESAttNormal"/>
        <w:jc w:val="right"/>
        <w:rPr>
          <w:b/>
        </w:rPr>
      </w:pPr>
      <w:r w:rsidRPr="00464080">
        <w:rPr>
          <w:b/>
          <w:u w:val="single"/>
        </w:rPr>
        <w:lastRenderedPageBreak/>
        <w:t xml:space="preserve">Attachment </w:t>
      </w:r>
      <w:r>
        <w:rPr>
          <w:b/>
          <w:u w:val="single"/>
        </w:rPr>
        <w:t>B</w:t>
      </w:r>
    </w:p>
    <w:p w14:paraId="5762E933" w14:textId="6EE927D7" w:rsidR="00D44510" w:rsidRDefault="00D44510" w:rsidP="00D44510">
      <w:pPr>
        <w:pStyle w:val="Heading2"/>
      </w:pPr>
      <w:r>
        <w:t>Statement of Compatibility with Human Rights</w:t>
      </w:r>
    </w:p>
    <w:p w14:paraId="08993641" w14:textId="77777777" w:rsidR="00D44510" w:rsidRDefault="00D44510" w:rsidP="00D44510">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78C2FE3A" w14:textId="77777777" w:rsidR="00D44510" w:rsidRDefault="00D44510" w:rsidP="00D44510">
      <w:pPr>
        <w:spacing w:before="120" w:after="120" w:line="240" w:lineRule="auto"/>
        <w:jc w:val="center"/>
        <w:rPr>
          <w:rFonts w:ascii="Times New Roman" w:hAnsi="Times New Roman"/>
          <w:sz w:val="24"/>
          <w:szCs w:val="24"/>
        </w:rPr>
      </w:pPr>
    </w:p>
    <w:p w14:paraId="6B9FF420" w14:textId="77777777" w:rsidR="00D44510" w:rsidRPr="00C57A36" w:rsidRDefault="00D44510" w:rsidP="00D44510">
      <w:pPr>
        <w:spacing w:before="120" w:after="120" w:line="240" w:lineRule="auto"/>
        <w:jc w:val="center"/>
        <w:rPr>
          <w:rFonts w:ascii="Times New Roman" w:hAnsi="Times New Roman"/>
          <w:i/>
          <w:sz w:val="24"/>
          <w:szCs w:val="24"/>
        </w:rPr>
      </w:pPr>
      <w:r>
        <w:rPr>
          <w:rFonts w:ascii="Times New Roman" w:hAnsi="Times New Roman"/>
          <w:b/>
          <w:i/>
          <w:sz w:val="24"/>
          <w:szCs w:val="24"/>
        </w:rPr>
        <w:t>Australian Citizenship (special residence requirement) Instrument (LIN21/069) 2021</w:t>
      </w:r>
    </w:p>
    <w:p w14:paraId="72654F9B" w14:textId="77777777" w:rsidR="00D44510" w:rsidRDefault="00D44510" w:rsidP="00D44510">
      <w:pPr>
        <w:spacing w:before="120" w:after="120" w:line="240" w:lineRule="auto"/>
        <w:jc w:val="center"/>
        <w:rPr>
          <w:rFonts w:ascii="Times New Roman" w:hAnsi="Times New Roman"/>
          <w:sz w:val="24"/>
          <w:szCs w:val="24"/>
        </w:rPr>
      </w:pPr>
      <w:r>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33ABE160" w14:textId="77777777" w:rsidR="00D44510" w:rsidRDefault="00D44510" w:rsidP="00D44510">
      <w:pPr>
        <w:spacing w:before="120" w:after="120" w:line="240" w:lineRule="auto"/>
        <w:rPr>
          <w:rFonts w:ascii="Times New Roman" w:hAnsi="Times New Roman"/>
          <w:sz w:val="24"/>
          <w:szCs w:val="24"/>
        </w:rPr>
      </w:pPr>
    </w:p>
    <w:p w14:paraId="63F1E149" w14:textId="77777777" w:rsidR="00D44510" w:rsidRDefault="00D44510" w:rsidP="00D44510">
      <w:pPr>
        <w:pStyle w:val="Heading3"/>
      </w:pPr>
      <w:r>
        <w:t>Overview of the Disallowable Legislative Instrument</w:t>
      </w:r>
    </w:p>
    <w:p w14:paraId="515C9D50" w14:textId="17413DE9" w:rsidR="00D44510" w:rsidRPr="00D475F9" w:rsidRDefault="00894D4A" w:rsidP="00D44510">
      <w:pPr>
        <w:spacing w:before="120" w:after="120" w:line="240" w:lineRule="auto"/>
        <w:rPr>
          <w:rFonts w:ascii="Times New Roman" w:hAnsi="Times New Roman" w:cs="Times New Roman"/>
          <w:sz w:val="24"/>
          <w:szCs w:val="24"/>
        </w:rPr>
      </w:pPr>
      <w:r w:rsidRPr="00894D4A">
        <w:rPr>
          <w:rFonts w:ascii="Times New Roman" w:hAnsi="Times New Roman" w:cs="Times New Roman"/>
          <w:sz w:val="24"/>
          <w:szCs w:val="24"/>
        </w:rPr>
        <w:t>The purpose of the instrument is to speci</w:t>
      </w:r>
      <w:r>
        <w:rPr>
          <w:rFonts w:ascii="Times New Roman" w:hAnsi="Times New Roman" w:cs="Times New Roman"/>
          <w:sz w:val="24"/>
          <w:szCs w:val="24"/>
        </w:rPr>
        <w:t>fy: activities for subparagraph </w:t>
      </w:r>
      <w:r w:rsidRPr="00894D4A">
        <w:rPr>
          <w:rFonts w:ascii="Times New Roman" w:hAnsi="Times New Roman" w:cs="Times New Roman"/>
          <w:sz w:val="24"/>
          <w:szCs w:val="24"/>
        </w:rPr>
        <w:t>22A(1)(a)(i) of the A</w:t>
      </w:r>
      <w:r>
        <w:rPr>
          <w:rFonts w:ascii="Times New Roman" w:hAnsi="Times New Roman" w:cs="Times New Roman"/>
          <w:sz w:val="24"/>
          <w:szCs w:val="24"/>
        </w:rPr>
        <w:t>ct, organisations for paragraph </w:t>
      </w:r>
      <w:r w:rsidRPr="00894D4A">
        <w:rPr>
          <w:rFonts w:ascii="Times New Roman" w:hAnsi="Times New Roman" w:cs="Times New Roman"/>
          <w:sz w:val="24"/>
          <w:szCs w:val="24"/>
        </w:rPr>
        <w:t>22A(1)(b) of the Act, and kinds of work</w:t>
      </w:r>
      <w:r>
        <w:rPr>
          <w:rFonts w:ascii="Times New Roman" w:hAnsi="Times New Roman" w:cs="Times New Roman"/>
          <w:sz w:val="24"/>
          <w:szCs w:val="24"/>
        </w:rPr>
        <w:t xml:space="preserve"> for paragraph 22B(1)(a) of </w:t>
      </w:r>
      <w:r w:rsidR="00D44510" w:rsidRPr="001513AC">
        <w:rPr>
          <w:rFonts w:ascii="Times New Roman" w:hAnsi="Times New Roman" w:cs="Times New Roman"/>
          <w:sz w:val="24"/>
          <w:szCs w:val="24"/>
        </w:rPr>
        <w:t xml:space="preserve">the </w:t>
      </w:r>
      <w:r w:rsidR="00D44510" w:rsidRPr="00AF43F3">
        <w:rPr>
          <w:rFonts w:ascii="Times New Roman" w:hAnsi="Times New Roman" w:cs="Times New Roman"/>
          <w:i/>
          <w:sz w:val="24"/>
          <w:szCs w:val="24"/>
        </w:rPr>
        <w:t>Australian Citizenship Act 2007</w:t>
      </w:r>
      <w:r w:rsidR="00D44510" w:rsidRPr="001513AC">
        <w:rPr>
          <w:rFonts w:ascii="Times New Roman" w:hAnsi="Times New Roman" w:cs="Times New Roman"/>
          <w:sz w:val="24"/>
          <w:szCs w:val="24"/>
        </w:rPr>
        <w:t xml:space="preserve"> (the Citizenship Act).  A person applying for Australian citizenship by conferral (the applicant) must satisfy the eligibility criteria under section 21 of the Citizenship Act, including a residence requirement; either the general residence requirement, the special residence requirement or the defence service requirement.    </w:t>
      </w:r>
    </w:p>
    <w:p w14:paraId="690BE033" w14:textId="77777777" w:rsidR="00D44510" w:rsidRPr="00D475F9" w:rsidRDefault="00D44510" w:rsidP="00D44510">
      <w:pPr>
        <w:spacing w:before="120" w:after="120" w:line="240" w:lineRule="auto"/>
        <w:rPr>
          <w:rFonts w:ascii="Times New Roman" w:hAnsi="Times New Roman" w:cs="Times New Roman"/>
          <w:sz w:val="24"/>
          <w:szCs w:val="24"/>
        </w:rPr>
      </w:pPr>
      <w:r w:rsidRPr="001513AC">
        <w:rPr>
          <w:rFonts w:ascii="Times New Roman" w:hAnsi="Times New Roman" w:cs="Times New Roman"/>
          <w:sz w:val="24"/>
          <w:szCs w:val="24"/>
        </w:rPr>
        <w:t>To meet the special residence requirement in section 22A of the Citizenship Act an applicant must, amongst other requirements, seek to engage in a specified activity of benefit to Australia</w:t>
      </w:r>
      <w:r>
        <w:rPr>
          <w:rFonts w:ascii="Times New Roman" w:hAnsi="Times New Roman" w:cs="Times New Roman"/>
          <w:sz w:val="24"/>
          <w:szCs w:val="24"/>
        </w:rPr>
        <w:t xml:space="preserve"> </w:t>
      </w:r>
      <w:r w:rsidRPr="001513AC">
        <w:rPr>
          <w:rFonts w:ascii="Times New Roman" w:hAnsi="Times New Roman" w:cs="Times New Roman"/>
          <w:sz w:val="24"/>
          <w:szCs w:val="24"/>
        </w:rPr>
        <w:t>and are required to become an Australian citizen in order to do so (see subparagraphs 22A(1)(a)(i), (ii) and (iii))</w:t>
      </w:r>
      <w:r>
        <w:rPr>
          <w:rFonts w:ascii="Times New Roman" w:hAnsi="Times New Roman" w:cs="Times New Roman"/>
          <w:sz w:val="24"/>
          <w:szCs w:val="24"/>
        </w:rPr>
        <w:t>.</w:t>
      </w:r>
      <w:r w:rsidRPr="001513AC">
        <w:rPr>
          <w:rFonts w:ascii="Times New Roman" w:hAnsi="Times New Roman" w:cs="Times New Roman"/>
          <w:sz w:val="24"/>
          <w:szCs w:val="24"/>
        </w:rPr>
        <w:t xml:space="preserve"> Additionally, the head of or senior member of a specified organisation must give the Minister written notice stating that the applicant has a reasonable prospect of being engaged in that specified activity.  Subsections 22C(1) and (2) of the Citizenship Act enable the Minister to specify the activities and organisations in a legislative instrument. </w:t>
      </w:r>
    </w:p>
    <w:p w14:paraId="07A4F214" w14:textId="77777777" w:rsidR="00D44510" w:rsidRPr="00D475F9" w:rsidRDefault="00D44510" w:rsidP="00D44510">
      <w:pPr>
        <w:spacing w:before="120" w:after="120" w:line="240" w:lineRule="auto"/>
        <w:rPr>
          <w:rFonts w:ascii="Times New Roman" w:hAnsi="Times New Roman" w:cs="Times New Roman"/>
          <w:sz w:val="24"/>
          <w:szCs w:val="24"/>
        </w:rPr>
      </w:pPr>
      <w:r w:rsidRPr="001513AC">
        <w:rPr>
          <w:rFonts w:ascii="Times New Roman" w:hAnsi="Times New Roman" w:cs="Times New Roman"/>
          <w:sz w:val="24"/>
          <w:szCs w:val="24"/>
        </w:rPr>
        <w:t xml:space="preserve">To meet the special residence requirement in section 22B of the Citizenship Act the applicant must, amongst other requirements, be engaged in a specified kind of work.  The applicant must be engaged in that work at the time of application and must be required to regularly travel outside Australia because of that work.  Subsection 22C(3) of the Citizenship Act enables the Minister to specify the kind of work in a legislative instrument.  </w:t>
      </w:r>
    </w:p>
    <w:p w14:paraId="5DE78BCE" w14:textId="77777777" w:rsidR="00D44510" w:rsidRPr="000F5840" w:rsidRDefault="00D44510" w:rsidP="00D44510">
      <w:pPr>
        <w:spacing w:before="120" w:after="120" w:line="240" w:lineRule="auto"/>
        <w:rPr>
          <w:rFonts w:ascii="Times New Roman" w:hAnsi="Times New Roman" w:cs="Times New Roman"/>
          <w:sz w:val="24"/>
          <w:szCs w:val="24"/>
        </w:rPr>
      </w:pPr>
      <w:r w:rsidRPr="001513AC">
        <w:rPr>
          <w:rFonts w:ascii="Times New Roman" w:hAnsi="Times New Roman" w:cs="Times New Roman"/>
          <w:sz w:val="24"/>
          <w:szCs w:val="24"/>
        </w:rPr>
        <w:t xml:space="preserve">The instrument is made under subsections 22C(1), (2) and (3) of the </w:t>
      </w:r>
      <w:r>
        <w:rPr>
          <w:rFonts w:ascii="Times New Roman" w:hAnsi="Times New Roman" w:cs="Times New Roman"/>
          <w:sz w:val="24"/>
          <w:szCs w:val="24"/>
        </w:rPr>
        <w:t xml:space="preserve">Citizenship </w:t>
      </w:r>
      <w:r w:rsidRPr="001513AC">
        <w:rPr>
          <w:rFonts w:ascii="Times New Roman" w:hAnsi="Times New Roman" w:cs="Times New Roman"/>
          <w:sz w:val="24"/>
          <w:szCs w:val="24"/>
        </w:rPr>
        <w:t>Act to specify these matters and repeals IMMI 13/056.  The instrument also broadens the special residence requirement by specifying additional activities, organisations and kinds of work.  In particular, the instrument:</w:t>
      </w:r>
      <w:r w:rsidRPr="000F5840">
        <w:rPr>
          <w:rFonts w:ascii="Times New Roman" w:hAnsi="Times New Roman" w:cs="Times New Roman"/>
          <w:sz w:val="24"/>
          <w:szCs w:val="24"/>
        </w:rPr>
        <w:t xml:space="preserve"> </w:t>
      </w:r>
    </w:p>
    <w:p w14:paraId="16EB53ED" w14:textId="77777777" w:rsidR="00D44510" w:rsidRPr="00545C83" w:rsidRDefault="00D44510" w:rsidP="00D44510">
      <w:pPr>
        <w:pStyle w:val="ListParagraph"/>
        <w:numPr>
          <w:ilvl w:val="0"/>
          <w:numId w:val="5"/>
        </w:numPr>
        <w:spacing w:before="120" w:after="120" w:line="240" w:lineRule="auto"/>
        <w:ind w:left="714" w:hanging="357"/>
        <w:rPr>
          <w:rFonts w:ascii="Times New Roman" w:hAnsi="Times New Roman"/>
          <w:sz w:val="24"/>
          <w:szCs w:val="24"/>
        </w:rPr>
      </w:pPr>
      <w:r>
        <w:rPr>
          <w:rFonts w:ascii="Times New Roman" w:hAnsi="Times New Roman"/>
          <w:sz w:val="24"/>
          <w:szCs w:val="24"/>
        </w:rPr>
        <w:t>adds</w:t>
      </w:r>
      <w:r w:rsidRPr="00545C83">
        <w:rPr>
          <w:rFonts w:ascii="Times New Roman" w:hAnsi="Times New Roman"/>
          <w:sz w:val="24"/>
          <w:szCs w:val="24"/>
        </w:rPr>
        <w:t xml:space="preserve"> participation in the Commonwealth Games as a specified activity for section 22A of the </w:t>
      </w:r>
      <w:r>
        <w:rPr>
          <w:rFonts w:ascii="Times New Roman" w:hAnsi="Times New Roman"/>
          <w:sz w:val="24"/>
          <w:szCs w:val="24"/>
        </w:rPr>
        <w:t xml:space="preserve">Citizenship </w:t>
      </w:r>
      <w:r w:rsidRPr="00545C83">
        <w:rPr>
          <w:rFonts w:ascii="Times New Roman" w:hAnsi="Times New Roman"/>
          <w:sz w:val="24"/>
          <w:szCs w:val="24"/>
        </w:rPr>
        <w:t>Act;</w:t>
      </w:r>
    </w:p>
    <w:p w14:paraId="5CFF68C3" w14:textId="77777777" w:rsidR="00D44510" w:rsidRPr="00545C83" w:rsidRDefault="00D44510" w:rsidP="00D44510">
      <w:pPr>
        <w:pStyle w:val="ListParagraph"/>
        <w:numPr>
          <w:ilvl w:val="0"/>
          <w:numId w:val="5"/>
        </w:numPr>
        <w:spacing w:before="120" w:after="120" w:line="240" w:lineRule="auto"/>
        <w:ind w:left="714" w:hanging="357"/>
        <w:rPr>
          <w:rFonts w:ascii="Times New Roman" w:hAnsi="Times New Roman"/>
          <w:sz w:val="24"/>
          <w:szCs w:val="24"/>
        </w:rPr>
      </w:pPr>
      <w:r>
        <w:rPr>
          <w:rFonts w:ascii="Times New Roman" w:hAnsi="Times New Roman"/>
          <w:sz w:val="24"/>
          <w:szCs w:val="24"/>
        </w:rPr>
        <w:t>adds</w:t>
      </w:r>
      <w:r w:rsidRPr="00545C83">
        <w:rPr>
          <w:rFonts w:ascii="Times New Roman" w:hAnsi="Times New Roman"/>
          <w:sz w:val="24"/>
          <w:szCs w:val="24"/>
        </w:rPr>
        <w:t xml:space="preserve"> Commonwealth Games Australia as a specified organisation for section 22A</w:t>
      </w:r>
      <w:r>
        <w:rPr>
          <w:rFonts w:ascii="Times New Roman" w:hAnsi="Times New Roman"/>
          <w:sz w:val="24"/>
          <w:szCs w:val="24"/>
        </w:rPr>
        <w:t xml:space="preserve"> of the Citizenship Act</w:t>
      </w:r>
      <w:r w:rsidRPr="00545C83">
        <w:rPr>
          <w:rFonts w:ascii="Times New Roman" w:hAnsi="Times New Roman"/>
          <w:sz w:val="24"/>
          <w:szCs w:val="24"/>
        </w:rPr>
        <w:t>; and</w:t>
      </w:r>
    </w:p>
    <w:p w14:paraId="4D62ED7C" w14:textId="77777777" w:rsidR="00D44510" w:rsidRPr="00545C83" w:rsidRDefault="00D44510" w:rsidP="00D44510">
      <w:pPr>
        <w:pStyle w:val="ListParagraph"/>
        <w:numPr>
          <w:ilvl w:val="0"/>
          <w:numId w:val="5"/>
        </w:numPr>
        <w:spacing w:before="120" w:after="120" w:line="240" w:lineRule="auto"/>
        <w:ind w:left="714" w:hanging="357"/>
        <w:rPr>
          <w:rFonts w:ascii="Times New Roman" w:hAnsi="Times New Roman"/>
          <w:sz w:val="24"/>
          <w:szCs w:val="24"/>
        </w:rPr>
      </w:pPr>
      <w:r>
        <w:rPr>
          <w:rFonts w:ascii="Times New Roman" w:hAnsi="Times New Roman"/>
          <w:sz w:val="24"/>
          <w:szCs w:val="24"/>
        </w:rPr>
        <w:t>updates</w:t>
      </w:r>
      <w:r w:rsidRPr="00545C83">
        <w:rPr>
          <w:rFonts w:ascii="Times New Roman" w:hAnsi="Times New Roman"/>
          <w:sz w:val="24"/>
          <w:szCs w:val="24"/>
        </w:rPr>
        <w:t xml:space="preserve"> the specified kinds of work for section 22B</w:t>
      </w:r>
      <w:r>
        <w:rPr>
          <w:rFonts w:ascii="Times New Roman" w:hAnsi="Times New Roman"/>
          <w:sz w:val="24"/>
          <w:szCs w:val="24"/>
        </w:rPr>
        <w:t xml:space="preserve"> of the Citizenship Act</w:t>
      </w:r>
      <w:r w:rsidRPr="00545C83">
        <w:rPr>
          <w:rFonts w:ascii="Times New Roman" w:hAnsi="Times New Roman"/>
          <w:sz w:val="24"/>
          <w:szCs w:val="24"/>
        </w:rPr>
        <w:t>, by specifying additional kinds of work done by a primary holder of a relevant talent visa, related to the area of internationally recognised record of outstanding and exceptional achievement for which the visa was granted.  These areas now include the arts more generally (expanding it beyond writing, visual or performing arts in IMM</w:t>
      </w:r>
      <w:r>
        <w:rPr>
          <w:rFonts w:ascii="Times New Roman" w:hAnsi="Times New Roman"/>
          <w:sz w:val="24"/>
          <w:szCs w:val="24"/>
        </w:rPr>
        <w:t>I 13/056), as well as</w:t>
      </w:r>
      <w:r w:rsidRPr="00545C83">
        <w:rPr>
          <w:rFonts w:ascii="Times New Roman" w:hAnsi="Times New Roman"/>
          <w:sz w:val="24"/>
          <w:szCs w:val="24"/>
        </w:rPr>
        <w:t xml:space="preserve"> academia and research</w:t>
      </w:r>
      <w:r>
        <w:rPr>
          <w:rFonts w:ascii="Times New Roman" w:hAnsi="Times New Roman"/>
          <w:sz w:val="24"/>
          <w:szCs w:val="24"/>
        </w:rPr>
        <w:t>, a profession and sport</w:t>
      </w:r>
      <w:r w:rsidRPr="00545C83">
        <w:rPr>
          <w:rFonts w:ascii="Times New Roman" w:hAnsi="Times New Roman"/>
          <w:sz w:val="24"/>
          <w:szCs w:val="24"/>
        </w:rPr>
        <w:t>.</w:t>
      </w:r>
    </w:p>
    <w:p w14:paraId="673D966B" w14:textId="77777777" w:rsidR="00D44510" w:rsidRDefault="00D44510" w:rsidP="00D44510">
      <w:pPr>
        <w:spacing w:before="120" w:after="120" w:line="240" w:lineRule="auto"/>
        <w:rPr>
          <w:rFonts w:ascii="Times New Roman" w:hAnsi="Times New Roman"/>
          <w:sz w:val="24"/>
          <w:szCs w:val="24"/>
        </w:rPr>
      </w:pPr>
      <w:r>
        <w:rPr>
          <w:rFonts w:ascii="Times New Roman" w:hAnsi="Times New Roman"/>
          <w:sz w:val="24"/>
          <w:szCs w:val="24"/>
        </w:rPr>
        <w:t xml:space="preserve">These changes mean </w:t>
      </w:r>
      <w:r w:rsidRPr="00F11006">
        <w:rPr>
          <w:rFonts w:ascii="Times New Roman" w:hAnsi="Times New Roman"/>
          <w:sz w:val="24"/>
          <w:szCs w:val="24"/>
        </w:rPr>
        <w:t xml:space="preserve">other </w:t>
      </w:r>
      <w:r>
        <w:rPr>
          <w:rFonts w:ascii="Times New Roman" w:hAnsi="Times New Roman"/>
          <w:sz w:val="24"/>
          <w:szCs w:val="24"/>
        </w:rPr>
        <w:t>D</w:t>
      </w:r>
      <w:r w:rsidRPr="00F11006">
        <w:rPr>
          <w:rFonts w:ascii="Times New Roman" w:hAnsi="Times New Roman"/>
          <w:sz w:val="24"/>
          <w:szCs w:val="24"/>
        </w:rPr>
        <w:t>istinguished</w:t>
      </w:r>
      <w:r>
        <w:rPr>
          <w:rFonts w:ascii="Times New Roman" w:hAnsi="Times New Roman"/>
          <w:sz w:val="24"/>
          <w:szCs w:val="24"/>
        </w:rPr>
        <w:t xml:space="preserve"> Talent visa holders or Global</w:t>
      </w:r>
      <w:r w:rsidRPr="00F11006">
        <w:rPr>
          <w:rFonts w:ascii="Times New Roman" w:hAnsi="Times New Roman"/>
          <w:sz w:val="24"/>
          <w:szCs w:val="24"/>
        </w:rPr>
        <w:t xml:space="preserve"> talent visa holders</w:t>
      </w:r>
      <w:r>
        <w:rPr>
          <w:rFonts w:ascii="Times New Roman" w:hAnsi="Times New Roman"/>
          <w:sz w:val="24"/>
          <w:szCs w:val="24"/>
        </w:rPr>
        <w:t xml:space="preserve"> granted under the Distinguished Talent pathway</w:t>
      </w:r>
      <w:r w:rsidRPr="00545C83">
        <w:rPr>
          <w:rFonts w:ascii="Times New Roman" w:hAnsi="Times New Roman"/>
          <w:sz w:val="24"/>
          <w:szCs w:val="24"/>
        </w:rPr>
        <w:t xml:space="preserve">, who may also regularly travel outside of Australia due to their profile and status in their fields, and whose work is relevant to the </w:t>
      </w:r>
      <w:r>
        <w:rPr>
          <w:rFonts w:ascii="Times New Roman" w:hAnsi="Times New Roman"/>
          <w:sz w:val="24"/>
          <w:szCs w:val="24"/>
        </w:rPr>
        <w:t>achievements</w:t>
      </w:r>
      <w:r w:rsidRPr="00545C83">
        <w:rPr>
          <w:rFonts w:ascii="Times New Roman" w:hAnsi="Times New Roman"/>
          <w:sz w:val="24"/>
          <w:szCs w:val="24"/>
        </w:rPr>
        <w:t xml:space="preserve"> for which the </w:t>
      </w:r>
      <w:r w:rsidRPr="00545C83">
        <w:rPr>
          <w:rFonts w:ascii="Times New Roman" w:hAnsi="Times New Roman"/>
          <w:sz w:val="24"/>
          <w:szCs w:val="24"/>
        </w:rPr>
        <w:lastRenderedPageBreak/>
        <w:t>visa was originally granted, will be</w:t>
      </w:r>
      <w:r>
        <w:rPr>
          <w:rFonts w:ascii="Times New Roman" w:hAnsi="Times New Roman"/>
          <w:sz w:val="24"/>
          <w:szCs w:val="24"/>
        </w:rPr>
        <w:t xml:space="preserve"> eligible for consideration under the</w:t>
      </w:r>
      <w:r w:rsidRPr="00F11006">
        <w:rPr>
          <w:rFonts w:ascii="Times New Roman" w:hAnsi="Times New Roman"/>
          <w:sz w:val="24"/>
          <w:szCs w:val="24"/>
        </w:rPr>
        <w:t xml:space="preserve"> </w:t>
      </w:r>
      <w:r>
        <w:rPr>
          <w:rFonts w:ascii="Times New Roman" w:hAnsi="Times New Roman"/>
          <w:sz w:val="24"/>
          <w:szCs w:val="24"/>
        </w:rPr>
        <w:t xml:space="preserve">special </w:t>
      </w:r>
      <w:r w:rsidRPr="00F11006">
        <w:rPr>
          <w:rFonts w:ascii="Times New Roman" w:hAnsi="Times New Roman"/>
          <w:sz w:val="24"/>
          <w:szCs w:val="24"/>
        </w:rPr>
        <w:t>residence requirements</w:t>
      </w:r>
      <w:r>
        <w:rPr>
          <w:rFonts w:ascii="Times New Roman" w:hAnsi="Times New Roman"/>
          <w:sz w:val="24"/>
          <w:szCs w:val="24"/>
        </w:rPr>
        <w:t xml:space="preserve"> in section 22B of the Citizenship Act</w:t>
      </w:r>
      <w:r w:rsidRPr="00F11006">
        <w:rPr>
          <w:rFonts w:ascii="Times New Roman" w:hAnsi="Times New Roman"/>
          <w:sz w:val="24"/>
          <w:szCs w:val="24"/>
        </w:rPr>
        <w:t>.</w:t>
      </w:r>
      <w:r>
        <w:rPr>
          <w:rFonts w:ascii="Times New Roman" w:hAnsi="Times New Roman"/>
          <w:sz w:val="24"/>
          <w:szCs w:val="24"/>
        </w:rPr>
        <w:t xml:space="preserve"> </w:t>
      </w:r>
    </w:p>
    <w:p w14:paraId="40C0880C" w14:textId="77777777" w:rsidR="00D44510" w:rsidRPr="008A7239" w:rsidRDefault="00D44510" w:rsidP="00D44510">
      <w:pPr>
        <w:spacing w:before="120" w:after="120" w:line="240" w:lineRule="auto"/>
        <w:rPr>
          <w:rFonts w:ascii="Times New Roman" w:hAnsi="Times New Roman"/>
          <w:sz w:val="24"/>
          <w:szCs w:val="24"/>
        </w:rPr>
      </w:pPr>
      <w:r w:rsidRPr="008A7239">
        <w:rPr>
          <w:rFonts w:ascii="Times New Roman" w:hAnsi="Times New Roman"/>
          <w:sz w:val="24"/>
          <w:szCs w:val="24"/>
        </w:rPr>
        <w:t xml:space="preserve">The changes will also mean that athletes seeking to represent Australia in the Commonwealth Games and who </w:t>
      </w:r>
      <w:r>
        <w:rPr>
          <w:rFonts w:ascii="Times New Roman" w:hAnsi="Times New Roman"/>
          <w:sz w:val="24"/>
          <w:szCs w:val="24"/>
        </w:rPr>
        <w:t>have</w:t>
      </w:r>
      <w:r w:rsidRPr="008A7239">
        <w:rPr>
          <w:rFonts w:ascii="Times New Roman" w:hAnsi="Times New Roman"/>
          <w:sz w:val="24"/>
          <w:szCs w:val="24"/>
        </w:rPr>
        <w:t xml:space="preserve"> a letter of support from Commonwealth Games Australia will have access to the special residence requirements </w:t>
      </w:r>
      <w:r>
        <w:rPr>
          <w:rFonts w:ascii="Times New Roman" w:hAnsi="Times New Roman"/>
          <w:sz w:val="24"/>
          <w:szCs w:val="24"/>
        </w:rPr>
        <w:t>in section 22A of the Citizenship Act</w:t>
      </w:r>
      <w:r w:rsidRPr="008A7239">
        <w:rPr>
          <w:rFonts w:ascii="Times New Roman" w:hAnsi="Times New Roman"/>
          <w:sz w:val="24"/>
          <w:szCs w:val="24"/>
        </w:rPr>
        <w:t>.</w:t>
      </w:r>
    </w:p>
    <w:p w14:paraId="353013E5" w14:textId="77777777" w:rsidR="00D44510" w:rsidRPr="00AF43F3" w:rsidRDefault="00D44510" w:rsidP="00D44510">
      <w:pPr>
        <w:spacing w:before="120" w:after="120" w:line="240" w:lineRule="auto"/>
        <w:rPr>
          <w:rFonts w:ascii="Times New Roman" w:hAnsi="Times New Roman"/>
          <w:sz w:val="24"/>
          <w:szCs w:val="24"/>
        </w:rPr>
      </w:pPr>
      <w:r w:rsidRPr="00545C83">
        <w:rPr>
          <w:rFonts w:ascii="Times New Roman" w:hAnsi="Times New Roman"/>
          <w:sz w:val="24"/>
          <w:szCs w:val="24"/>
        </w:rPr>
        <w:t xml:space="preserve">The instrument also updates and clarifies the drafting of IMMI 13/056.  The schedules have been removed for simpler presentation of information.  Additionally, new definitions are inserted in the instrument to clarify the terms used to describe the activities and kinds of work that would meet </w:t>
      </w:r>
      <w:r w:rsidRPr="00AF43F3">
        <w:rPr>
          <w:rFonts w:ascii="Times New Roman" w:hAnsi="Times New Roman"/>
          <w:sz w:val="24"/>
          <w:szCs w:val="24"/>
        </w:rPr>
        <w:t xml:space="preserve">special residence requirements.  This includes defining ‘participation in an Australian team’, ‘scientist’ and ‘relevant talent visa’.  </w:t>
      </w:r>
    </w:p>
    <w:p w14:paraId="10780260" w14:textId="77777777" w:rsidR="00D44510" w:rsidRPr="00AF43F3" w:rsidRDefault="00D44510" w:rsidP="00D44510">
      <w:pPr>
        <w:pStyle w:val="Heading3"/>
      </w:pPr>
      <w:r w:rsidRPr="00AF43F3">
        <w:t>Human rights implications</w:t>
      </w:r>
    </w:p>
    <w:p w14:paraId="66FFC99B" w14:textId="77777777" w:rsidR="00D44510" w:rsidRPr="00AF43F3" w:rsidRDefault="00D44510" w:rsidP="00D44510">
      <w:pPr>
        <w:spacing w:before="120" w:after="120" w:line="240" w:lineRule="auto"/>
        <w:rPr>
          <w:rFonts w:ascii="Times New Roman" w:hAnsi="Times New Roman"/>
          <w:sz w:val="24"/>
          <w:szCs w:val="24"/>
        </w:rPr>
      </w:pPr>
      <w:r w:rsidRPr="00AF43F3">
        <w:rPr>
          <w:rFonts w:ascii="Times New Roman" w:hAnsi="Times New Roman"/>
          <w:sz w:val="24"/>
          <w:szCs w:val="24"/>
        </w:rPr>
        <w:t xml:space="preserve">The legislative instrument has been assessed against the seven core international human rights treaties and does not engage any of the applicable rights or freedoms. </w:t>
      </w:r>
    </w:p>
    <w:p w14:paraId="7DE62A01" w14:textId="77777777" w:rsidR="00D44510" w:rsidRDefault="00D44510" w:rsidP="00D44510">
      <w:pPr>
        <w:spacing w:before="120" w:after="120" w:line="240" w:lineRule="auto"/>
        <w:rPr>
          <w:rFonts w:ascii="Times New Roman" w:hAnsi="Times New Roman"/>
          <w:sz w:val="24"/>
          <w:szCs w:val="24"/>
        </w:rPr>
      </w:pPr>
      <w:r w:rsidRPr="00AF43F3">
        <w:rPr>
          <w:rFonts w:ascii="Times New Roman" w:hAnsi="Times New Roman"/>
          <w:sz w:val="24"/>
          <w:szCs w:val="24"/>
        </w:rPr>
        <w:t>The instrument broadens the category of people who are eligible for consideration under the ‘special residence requirement’ as specified</w:t>
      </w:r>
      <w:r>
        <w:rPr>
          <w:rFonts w:ascii="Times New Roman" w:hAnsi="Times New Roman"/>
          <w:sz w:val="24"/>
          <w:szCs w:val="24"/>
        </w:rPr>
        <w:t xml:space="preserve"> in sections 22A and 22B of the Citizenship Act. </w:t>
      </w:r>
    </w:p>
    <w:p w14:paraId="01E65B62" w14:textId="77777777" w:rsidR="00D44510" w:rsidRDefault="00D44510" w:rsidP="00D44510">
      <w:pPr>
        <w:spacing w:before="120" w:after="120" w:line="240" w:lineRule="auto"/>
        <w:rPr>
          <w:rFonts w:ascii="Times New Roman" w:hAnsi="Times New Roman"/>
          <w:sz w:val="24"/>
          <w:szCs w:val="24"/>
        </w:rPr>
      </w:pPr>
      <w:r>
        <w:rPr>
          <w:rFonts w:ascii="Times New Roman" w:hAnsi="Times New Roman"/>
          <w:sz w:val="24"/>
          <w:szCs w:val="24"/>
        </w:rPr>
        <w:t xml:space="preserve">The changes recognise the </w:t>
      </w:r>
      <w:r w:rsidRPr="009F23AE">
        <w:rPr>
          <w:rFonts w:ascii="Times New Roman" w:hAnsi="Times New Roman"/>
          <w:sz w:val="24"/>
          <w:szCs w:val="24"/>
        </w:rPr>
        <w:t xml:space="preserve">unique work and travel demands </w:t>
      </w:r>
      <w:r>
        <w:rPr>
          <w:rFonts w:ascii="Times New Roman" w:hAnsi="Times New Roman"/>
          <w:sz w:val="24"/>
          <w:szCs w:val="24"/>
        </w:rPr>
        <w:t xml:space="preserve">of people who are recognised as leaders in their field. </w:t>
      </w:r>
    </w:p>
    <w:p w14:paraId="7D4C6B2E" w14:textId="77777777" w:rsidR="00D44510" w:rsidRDefault="00D44510" w:rsidP="00D44510">
      <w:pPr>
        <w:spacing w:before="120" w:after="120" w:line="240" w:lineRule="auto"/>
        <w:rPr>
          <w:rFonts w:ascii="Times New Roman" w:hAnsi="Times New Roman"/>
          <w:sz w:val="24"/>
          <w:szCs w:val="24"/>
        </w:rPr>
      </w:pPr>
      <w:r>
        <w:rPr>
          <w:rFonts w:ascii="Times New Roman" w:hAnsi="Times New Roman"/>
          <w:sz w:val="24"/>
          <w:szCs w:val="24"/>
        </w:rPr>
        <w:t xml:space="preserve">The changes do not limit or remove any other rights or entitlements provided under the Citizenship Act. </w:t>
      </w:r>
    </w:p>
    <w:p w14:paraId="77B8C6D6" w14:textId="77777777" w:rsidR="00D44510" w:rsidRDefault="00D44510" w:rsidP="00D44510">
      <w:pPr>
        <w:pStyle w:val="Heading3"/>
      </w:pPr>
      <w:r>
        <w:t>Conclusion</w:t>
      </w:r>
    </w:p>
    <w:p w14:paraId="06B0EBB8" w14:textId="77777777" w:rsidR="00D44510" w:rsidRDefault="00D44510" w:rsidP="00D44510">
      <w:pPr>
        <w:spacing w:before="120" w:after="120" w:line="240" w:lineRule="auto"/>
        <w:rPr>
          <w:rFonts w:ascii="Times New Roman" w:hAnsi="Times New Roman"/>
          <w:sz w:val="24"/>
          <w:szCs w:val="24"/>
        </w:rPr>
      </w:pPr>
      <w:r>
        <w:rPr>
          <w:rFonts w:ascii="Times New Roman" w:hAnsi="Times New Roman"/>
          <w:sz w:val="24"/>
          <w:szCs w:val="24"/>
        </w:rPr>
        <w:t>This Disallowable Legislative Instrument is compatible with human rights as it does not raise any human rights issues.</w:t>
      </w:r>
    </w:p>
    <w:p w14:paraId="4C4F9B94" w14:textId="77777777" w:rsidR="00D44510" w:rsidRDefault="00D44510" w:rsidP="00D44510">
      <w:pPr>
        <w:spacing w:before="120" w:after="120" w:line="240" w:lineRule="auto"/>
        <w:rPr>
          <w:rFonts w:ascii="Times New Roman" w:hAnsi="Times New Roman"/>
          <w:sz w:val="24"/>
          <w:szCs w:val="24"/>
        </w:rPr>
      </w:pPr>
    </w:p>
    <w:p w14:paraId="25105D46" w14:textId="77777777" w:rsidR="00D44510" w:rsidRPr="00277517" w:rsidRDefault="00D44510" w:rsidP="00D44510">
      <w:pPr>
        <w:spacing w:before="120" w:after="120" w:line="240" w:lineRule="auto"/>
        <w:jc w:val="center"/>
        <w:rPr>
          <w:rFonts w:ascii="Times New Roman" w:hAnsi="Times New Roman"/>
          <w:sz w:val="24"/>
          <w:szCs w:val="24"/>
          <w:lang w:val="en-US"/>
        </w:rPr>
      </w:pPr>
      <w:r w:rsidRPr="00277517">
        <w:rPr>
          <w:rFonts w:ascii="Times New Roman" w:hAnsi="Times New Roman"/>
          <w:b/>
          <w:bCs/>
          <w:sz w:val="24"/>
          <w:szCs w:val="24"/>
        </w:rPr>
        <w:t xml:space="preserve">The Hon </w:t>
      </w:r>
      <w:r>
        <w:rPr>
          <w:rFonts w:ascii="Times New Roman" w:hAnsi="Times New Roman"/>
          <w:b/>
          <w:bCs/>
          <w:sz w:val="24"/>
          <w:szCs w:val="24"/>
        </w:rPr>
        <w:t>Alex Hawke</w:t>
      </w:r>
      <w:r w:rsidRPr="00277517">
        <w:rPr>
          <w:rFonts w:ascii="Times New Roman" w:hAnsi="Times New Roman"/>
          <w:b/>
          <w:bCs/>
          <w:sz w:val="24"/>
          <w:szCs w:val="24"/>
        </w:rPr>
        <w:t xml:space="preserve"> MP</w:t>
      </w:r>
    </w:p>
    <w:p w14:paraId="1C2097D5" w14:textId="1017DDB8" w:rsidR="00915032" w:rsidRPr="008E785F" w:rsidRDefault="00915032" w:rsidP="008E785F"/>
    <w:sectPr w:rsidR="00915032" w:rsidRPr="008E785F" w:rsidSect="004F5CE4">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85D03" w14:textId="77777777" w:rsidR="00FB34E8" w:rsidRDefault="00FB34E8" w:rsidP="00FB34E8">
      <w:pPr>
        <w:spacing w:after="0" w:line="240" w:lineRule="auto"/>
      </w:pPr>
      <w:r>
        <w:separator/>
      </w:r>
    </w:p>
  </w:endnote>
  <w:endnote w:type="continuationSeparator" w:id="0">
    <w:p w14:paraId="5B036350" w14:textId="77777777" w:rsidR="00FB34E8" w:rsidRDefault="00FB34E8" w:rsidP="00FB3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4AC0D" w14:textId="77777777" w:rsidR="00FB34E8" w:rsidRDefault="00FB34E8" w:rsidP="00FB34E8">
      <w:pPr>
        <w:spacing w:after="0" w:line="240" w:lineRule="auto"/>
      </w:pPr>
      <w:r>
        <w:separator/>
      </w:r>
    </w:p>
  </w:footnote>
  <w:footnote w:type="continuationSeparator" w:id="0">
    <w:p w14:paraId="00DD9080" w14:textId="77777777" w:rsidR="00FB34E8" w:rsidRDefault="00FB34E8" w:rsidP="00FB34E8">
      <w:pPr>
        <w:spacing w:after="0" w:line="240" w:lineRule="auto"/>
      </w:pPr>
      <w:r>
        <w:continuationSeparator/>
      </w:r>
    </w:p>
  </w:footnote>
  <w:footnote w:id="1">
    <w:p w14:paraId="78E943DC" w14:textId="08B3B053" w:rsidR="00FB34E8" w:rsidRDefault="00FB34E8" w:rsidP="00FB34E8">
      <w:pPr>
        <w:pStyle w:val="FootnoteText"/>
      </w:pPr>
      <w:r>
        <w:rPr>
          <w:rStyle w:val="FootnoteReference"/>
        </w:rPr>
        <w:footnoteRef/>
      </w:r>
      <w:r>
        <w:t xml:space="preserve"> </w:t>
      </w:r>
      <w:r w:rsidR="00326149" w:rsidRPr="00326149">
        <w:t>A visa may be</w:t>
      </w:r>
      <w:r w:rsidR="00F27B32">
        <w:t xml:space="preserve"> granted, or may have been</w:t>
      </w:r>
      <w:r w:rsidR="00326149" w:rsidRPr="00326149">
        <w:t xml:space="preserve"> granted</w:t>
      </w:r>
      <w:r w:rsidR="00F27B32">
        <w:t>,</w:t>
      </w:r>
      <w:r w:rsidR="00326149" w:rsidRPr="00326149">
        <w:t xml:space="preserve"> </w:t>
      </w:r>
      <w:r w:rsidR="00C53197">
        <w:t>via</w:t>
      </w:r>
      <w:r w:rsidR="00C53197" w:rsidRPr="00326149">
        <w:t xml:space="preserve"> </w:t>
      </w:r>
      <w:r w:rsidR="00326149" w:rsidRPr="00326149">
        <w:t>the Distinguished Talent pathway to a person who did not receive an invitation from the Department to apply for a Distinguished Talent or Global Talent visa.</w:t>
      </w:r>
      <w:r w:rsidR="00326149" w:rsidRPr="00326149" w:rsidDel="00326149">
        <w:t xml:space="preserve"> </w:t>
      </w:r>
      <w:r w:rsidR="00326149">
        <w:t xml:space="preserve"> If a person is</w:t>
      </w:r>
      <w:r w:rsidR="00F27B32">
        <w:t>, or was,</w:t>
      </w:r>
      <w:r w:rsidR="00326149">
        <w:t xml:space="preserve"> granted a Distinguished Talent or Global Talent visa after receiving an invitation to apply, their visa </w:t>
      </w:r>
      <w:r w:rsidR="00F27B32">
        <w:t>is</w:t>
      </w:r>
      <w:r w:rsidR="00326149">
        <w:t xml:space="preserve"> granted</w:t>
      </w:r>
      <w:r w:rsidR="00F27B32">
        <w:t>, or was granted</w:t>
      </w:r>
      <w:r w:rsidR="00326149">
        <w:t xml:space="preserve"> </w:t>
      </w:r>
      <w:r w:rsidR="00F93AB4">
        <w:t>via</w:t>
      </w:r>
      <w:r w:rsidR="00326149">
        <w:t xml:space="preserve"> the Global Talent pathway.  </w:t>
      </w:r>
      <w:r w:rsidR="00F27B32">
        <w:t>C</w:t>
      </w:r>
      <w:r w:rsidR="00326149">
        <w:t xml:space="preserve">andidates under the Global Talent pathway </w:t>
      </w:r>
      <w:r w:rsidR="00F27B32">
        <w:t xml:space="preserve">must </w:t>
      </w:r>
      <w:r w:rsidR="00326149">
        <w:t xml:space="preserve">submit an expression of interest to the Department to be considered for an invitation.  </w:t>
      </w:r>
      <w:r w:rsidR="00C53197">
        <w:t xml:space="preserve">For this instrument, a Distinguished Talent visa granted before 1 July 2019 </w:t>
      </w:r>
      <w:r w:rsidR="00E62163">
        <w:t>was</w:t>
      </w:r>
      <w:r w:rsidR="00C53197">
        <w:t xml:space="preserve"> also granted via the Distinguished Talent pathway.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7611CB4"/>
    <w:multiLevelType w:val="hybridMultilevel"/>
    <w:tmpl w:val="D0B650EA"/>
    <w:lvl w:ilvl="0" w:tplc="0C090001">
      <w:start w:val="1"/>
      <w:numFmt w:val="bullet"/>
      <w:lvlText w:val=""/>
      <w:lvlJc w:val="left"/>
      <w:pPr>
        <w:ind w:left="-708" w:hanging="360"/>
      </w:pPr>
      <w:rPr>
        <w:rFonts w:ascii="Symbol" w:hAnsi="Symbol" w:hint="default"/>
      </w:rPr>
    </w:lvl>
    <w:lvl w:ilvl="1" w:tplc="0C090003" w:tentative="1">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2"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D3"/>
    <w:rsid w:val="00031E80"/>
    <w:rsid w:val="00032D13"/>
    <w:rsid w:val="00045C9B"/>
    <w:rsid w:val="0005589E"/>
    <w:rsid w:val="00057A61"/>
    <w:rsid w:val="000D014F"/>
    <w:rsid w:val="000E01BE"/>
    <w:rsid w:val="000E2739"/>
    <w:rsid w:val="000E5620"/>
    <w:rsid w:val="000F2C2D"/>
    <w:rsid w:val="00100DFC"/>
    <w:rsid w:val="00102CDE"/>
    <w:rsid w:val="0010396E"/>
    <w:rsid w:val="00112CEA"/>
    <w:rsid w:val="00123A22"/>
    <w:rsid w:val="00135BC4"/>
    <w:rsid w:val="00161DEA"/>
    <w:rsid w:val="0018768D"/>
    <w:rsid w:val="0019164E"/>
    <w:rsid w:val="00205E36"/>
    <w:rsid w:val="0021594E"/>
    <w:rsid w:val="002402E0"/>
    <w:rsid w:val="00253894"/>
    <w:rsid w:val="00266ED1"/>
    <w:rsid w:val="0028634F"/>
    <w:rsid w:val="002A1DDD"/>
    <w:rsid w:val="002A7A89"/>
    <w:rsid w:val="002C5CE6"/>
    <w:rsid w:val="002D167E"/>
    <w:rsid w:val="002D1EB0"/>
    <w:rsid w:val="002D49C5"/>
    <w:rsid w:val="002D4E26"/>
    <w:rsid w:val="002E05B1"/>
    <w:rsid w:val="00304277"/>
    <w:rsid w:val="00304D12"/>
    <w:rsid w:val="00305A4E"/>
    <w:rsid w:val="003244FE"/>
    <w:rsid w:val="00326149"/>
    <w:rsid w:val="00342241"/>
    <w:rsid w:val="00353947"/>
    <w:rsid w:val="003A54E8"/>
    <w:rsid w:val="003C348E"/>
    <w:rsid w:val="003C7909"/>
    <w:rsid w:val="003D40FD"/>
    <w:rsid w:val="003D4B0C"/>
    <w:rsid w:val="003D70BA"/>
    <w:rsid w:val="003E3888"/>
    <w:rsid w:val="003F7BA5"/>
    <w:rsid w:val="00401E74"/>
    <w:rsid w:val="00457D4A"/>
    <w:rsid w:val="00461CA5"/>
    <w:rsid w:val="00464080"/>
    <w:rsid w:val="00480319"/>
    <w:rsid w:val="004941DF"/>
    <w:rsid w:val="004958D3"/>
    <w:rsid w:val="004B0352"/>
    <w:rsid w:val="004C5A4D"/>
    <w:rsid w:val="004F5CE4"/>
    <w:rsid w:val="0050043A"/>
    <w:rsid w:val="00505EB8"/>
    <w:rsid w:val="00515FB0"/>
    <w:rsid w:val="0052685E"/>
    <w:rsid w:val="00544FD8"/>
    <w:rsid w:val="00560B24"/>
    <w:rsid w:val="0057002B"/>
    <w:rsid w:val="00583EBF"/>
    <w:rsid w:val="005A4067"/>
    <w:rsid w:val="005C2EE1"/>
    <w:rsid w:val="005D0D22"/>
    <w:rsid w:val="005E3EC2"/>
    <w:rsid w:val="005F3BD1"/>
    <w:rsid w:val="00602908"/>
    <w:rsid w:val="00604E06"/>
    <w:rsid w:val="00615C97"/>
    <w:rsid w:val="00622F2B"/>
    <w:rsid w:val="0064160F"/>
    <w:rsid w:val="0064254E"/>
    <w:rsid w:val="0066378B"/>
    <w:rsid w:val="006945A2"/>
    <w:rsid w:val="006B1B00"/>
    <w:rsid w:val="006C0DC2"/>
    <w:rsid w:val="006F3184"/>
    <w:rsid w:val="006F6C9E"/>
    <w:rsid w:val="006F6CA5"/>
    <w:rsid w:val="007204B1"/>
    <w:rsid w:val="00722E83"/>
    <w:rsid w:val="00750B29"/>
    <w:rsid w:val="00752005"/>
    <w:rsid w:val="007547AC"/>
    <w:rsid w:val="007921EE"/>
    <w:rsid w:val="007A10C4"/>
    <w:rsid w:val="007E1F8B"/>
    <w:rsid w:val="007E4691"/>
    <w:rsid w:val="00831FE6"/>
    <w:rsid w:val="0084058D"/>
    <w:rsid w:val="0088254C"/>
    <w:rsid w:val="0088407D"/>
    <w:rsid w:val="00894D4A"/>
    <w:rsid w:val="008963AA"/>
    <w:rsid w:val="008B24C8"/>
    <w:rsid w:val="008C015F"/>
    <w:rsid w:val="008D4AA7"/>
    <w:rsid w:val="008E04A6"/>
    <w:rsid w:val="008E6B6A"/>
    <w:rsid w:val="008E785F"/>
    <w:rsid w:val="009057F3"/>
    <w:rsid w:val="0090705F"/>
    <w:rsid w:val="00915032"/>
    <w:rsid w:val="0094459E"/>
    <w:rsid w:val="009454CE"/>
    <w:rsid w:val="0096167D"/>
    <w:rsid w:val="00972E38"/>
    <w:rsid w:val="009E7A82"/>
    <w:rsid w:val="009F63DE"/>
    <w:rsid w:val="00A400A9"/>
    <w:rsid w:val="00A457F6"/>
    <w:rsid w:val="00A56463"/>
    <w:rsid w:val="00A71379"/>
    <w:rsid w:val="00A733FF"/>
    <w:rsid w:val="00A75BC8"/>
    <w:rsid w:val="00AA4557"/>
    <w:rsid w:val="00AB7EA5"/>
    <w:rsid w:val="00AE3045"/>
    <w:rsid w:val="00AF090B"/>
    <w:rsid w:val="00AF43F3"/>
    <w:rsid w:val="00B12F36"/>
    <w:rsid w:val="00B1694A"/>
    <w:rsid w:val="00B33D57"/>
    <w:rsid w:val="00B42891"/>
    <w:rsid w:val="00B445D9"/>
    <w:rsid w:val="00B65A06"/>
    <w:rsid w:val="00B75478"/>
    <w:rsid w:val="00B77DE7"/>
    <w:rsid w:val="00BA3BD3"/>
    <w:rsid w:val="00BB0CF2"/>
    <w:rsid w:val="00BC0F78"/>
    <w:rsid w:val="00BC70B6"/>
    <w:rsid w:val="00BD598E"/>
    <w:rsid w:val="00BE4F05"/>
    <w:rsid w:val="00C00842"/>
    <w:rsid w:val="00C255E5"/>
    <w:rsid w:val="00C273AC"/>
    <w:rsid w:val="00C43838"/>
    <w:rsid w:val="00C53197"/>
    <w:rsid w:val="00C72870"/>
    <w:rsid w:val="00C81A5E"/>
    <w:rsid w:val="00C930F2"/>
    <w:rsid w:val="00D11BB7"/>
    <w:rsid w:val="00D148BF"/>
    <w:rsid w:val="00D36D3A"/>
    <w:rsid w:val="00D40E1E"/>
    <w:rsid w:val="00D418B4"/>
    <w:rsid w:val="00D44510"/>
    <w:rsid w:val="00D668C3"/>
    <w:rsid w:val="00D87027"/>
    <w:rsid w:val="00D879AF"/>
    <w:rsid w:val="00DB6822"/>
    <w:rsid w:val="00DC41D7"/>
    <w:rsid w:val="00DF6B3D"/>
    <w:rsid w:val="00E03DCC"/>
    <w:rsid w:val="00E30484"/>
    <w:rsid w:val="00E452AA"/>
    <w:rsid w:val="00E45FE2"/>
    <w:rsid w:val="00E53CB1"/>
    <w:rsid w:val="00E62163"/>
    <w:rsid w:val="00E835FF"/>
    <w:rsid w:val="00E83913"/>
    <w:rsid w:val="00EA12C9"/>
    <w:rsid w:val="00EA516B"/>
    <w:rsid w:val="00EA5462"/>
    <w:rsid w:val="00ED4CD4"/>
    <w:rsid w:val="00EE46F0"/>
    <w:rsid w:val="00F12759"/>
    <w:rsid w:val="00F15605"/>
    <w:rsid w:val="00F207A8"/>
    <w:rsid w:val="00F229A5"/>
    <w:rsid w:val="00F27B32"/>
    <w:rsid w:val="00F35EEA"/>
    <w:rsid w:val="00F457B0"/>
    <w:rsid w:val="00F73301"/>
    <w:rsid w:val="00F80B1C"/>
    <w:rsid w:val="00F93AB4"/>
    <w:rsid w:val="00F94059"/>
    <w:rsid w:val="00FA7137"/>
    <w:rsid w:val="00FB245E"/>
    <w:rsid w:val="00FB34E8"/>
    <w:rsid w:val="00FB7C2A"/>
    <w:rsid w:val="00FE0FEE"/>
    <w:rsid w:val="00FE1907"/>
    <w:rsid w:val="00FF0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283D"/>
  <w15:chartTrackingRefBased/>
  <w15:docId w15:val="{D0560B23-CF96-4E12-A851-36C65FCD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44510"/>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D44510"/>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Hyperlink">
    <w:name w:val="Hyperlink"/>
    <w:basedOn w:val="DefaultParagraphFont"/>
    <w:uiPriority w:val="99"/>
    <w:unhideWhenUsed/>
    <w:rsid w:val="00E83913"/>
    <w:rPr>
      <w:strike w:val="0"/>
      <w:dstrike w:val="0"/>
      <w:color w:val="007AC3"/>
      <w:u w:val="none"/>
      <w:effect w:val="none"/>
    </w:rPr>
  </w:style>
  <w:style w:type="character" w:styleId="CommentReference">
    <w:name w:val="annotation reference"/>
    <w:basedOn w:val="DefaultParagraphFont"/>
    <w:uiPriority w:val="99"/>
    <w:semiHidden/>
    <w:unhideWhenUsed/>
    <w:rsid w:val="009454CE"/>
    <w:rPr>
      <w:sz w:val="16"/>
      <w:szCs w:val="16"/>
    </w:rPr>
  </w:style>
  <w:style w:type="paragraph" w:styleId="CommentText">
    <w:name w:val="annotation text"/>
    <w:basedOn w:val="Normal"/>
    <w:link w:val="CommentTextChar"/>
    <w:uiPriority w:val="99"/>
    <w:semiHidden/>
    <w:unhideWhenUsed/>
    <w:rsid w:val="009454CE"/>
    <w:pPr>
      <w:spacing w:line="240" w:lineRule="auto"/>
    </w:pPr>
    <w:rPr>
      <w:sz w:val="20"/>
      <w:szCs w:val="20"/>
    </w:rPr>
  </w:style>
  <w:style w:type="character" w:customStyle="1" w:styleId="CommentTextChar">
    <w:name w:val="Comment Text Char"/>
    <w:basedOn w:val="DefaultParagraphFont"/>
    <w:link w:val="CommentText"/>
    <w:uiPriority w:val="99"/>
    <w:semiHidden/>
    <w:rsid w:val="009454CE"/>
    <w:rPr>
      <w:sz w:val="20"/>
      <w:szCs w:val="20"/>
    </w:rPr>
  </w:style>
  <w:style w:type="paragraph" w:styleId="CommentSubject">
    <w:name w:val="annotation subject"/>
    <w:basedOn w:val="CommentText"/>
    <w:next w:val="CommentText"/>
    <w:link w:val="CommentSubjectChar"/>
    <w:uiPriority w:val="99"/>
    <w:semiHidden/>
    <w:unhideWhenUsed/>
    <w:rsid w:val="009454CE"/>
    <w:rPr>
      <w:b/>
      <w:bCs/>
    </w:rPr>
  </w:style>
  <w:style w:type="character" w:customStyle="1" w:styleId="CommentSubjectChar">
    <w:name w:val="Comment Subject Char"/>
    <w:basedOn w:val="CommentTextChar"/>
    <w:link w:val="CommentSubject"/>
    <w:uiPriority w:val="99"/>
    <w:semiHidden/>
    <w:rsid w:val="009454CE"/>
    <w:rPr>
      <w:b/>
      <w:bCs/>
      <w:sz w:val="20"/>
      <w:szCs w:val="20"/>
    </w:rPr>
  </w:style>
  <w:style w:type="paragraph" w:styleId="BalloonText">
    <w:name w:val="Balloon Text"/>
    <w:basedOn w:val="Normal"/>
    <w:link w:val="BalloonTextChar"/>
    <w:uiPriority w:val="99"/>
    <w:semiHidden/>
    <w:unhideWhenUsed/>
    <w:rsid w:val="00945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4CE"/>
    <w:rPr>
      <w:rFonts w:ascii="Segoe UI" w:hAnsi="Segoe UI" w:cs="Segoe UI"/>
      <w:sz w:val="18"/>
      <w:szCs w:val="18"/>
    </w:rPr>
  </w:style>
  <w:style w:type="paragraph" w:customStyle="1" w:styleId="contentelement-indentthree1">
    <w:name w:val="contentelement-indentthree1"/>
    <w:basedOn w:val="Normal"/>
    <w:rsid w:val="00602908"/>
    <w:pPr>
      <w:spacing w:before="240" w:after="240" w:line="240" w:lineRule="auto"/>
      <w:ind w:left="1404"/>
    </w:pPr>
    <w:rPr>
      <w:rFonts w:ascii="Times New Roman" w:eastAsia="Times New Roman" w:hAnsi="Times New Roman" w:cs="Times New Roman"/>
      <w:sz w:val="24"/>
      <w:szCs w:val="24"/>
      <w:lang w:eastAsia="en-AU"/>
    </w:rPr>
  </w:style>
  <w:style w:type="paragraph" w:customStyle="1" w:styleId="contentelement-indenttwo1">
    <w:name w:val="contentelement-indenttwo1"/>
    <w:basedOn w:val="Normal"/>
    <w:rsid w:val="00602908"/>
    <w:pPr>
      <w:spacing w:before="240" w:after="240" w:line="240" w:lineRule="auto"/>
      <w:ind w:left="936"/>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FB34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34E8"/>
    <w:rPr>
      <w:sz w:val="20"/>
      <w:szCs w:val="20"/>
    </w:rPr>
  </w:style>
  <w:style w:type="character" w:styleId="FootnoteReference">
    <w:name w:val="footnote reference"/>
    <w:basedOn w:val="DefaultParagraphFont"/>
    <w:uiPriority w:val="99"/>
    <w:semiHidden/>
    <w:unhideWhenUsed/>
    <w:rsid w:val="00FB34E8"/>
    <w:rPr>
      <w:vertAlign w:val="superscript"/>
    </w:rPr>
  </w:style>
  <w:style w:type="paragraph" w:styleId="Revision">
    <w:name w:val="Revision"/>
    <w:hidden/>
    <w:uiPriority w:val="99"/>
    <w:semiHidden/>
    <w:rsid w:val="00D44510"/>
    <w:pPr>
      <w:spacing w:after="0" w:line="240" w:lineRule="auto"/>
    </w:pPr>
  </w:style>
  <w:style w:type="character" w:customStyle="1" w:styleId="Heading2Char">
    <w:name w:val="Heading 2 Char"/>
    <w:basedOn w:val="DefaultParagraphFont"/>
    <w:link w:val="Heading2"/>
    <w:uiPriority w:val="9"/>
    <w:rsid w:val="00D44510"/>
    <w:rPr>
      <w:rFonts w:ascii="Times New Roman" w:hAnsi="Times New Roman"/>
      <w:b/>
      <w:sz w:val="28"/>
      <w:szCs w:val="28"/>
    </w:rPr>
  </w:style>
  <w:style w:type="character" w:customStyle="1" w:styleId="Heading3Char">
    <w:name w:val="Heading 3 Char"/>
    <w:basedOn w:val="DefaultParagraphFont"/>
    <w:link w:val="Heading3"/>
    <w:uiPriority w:val="9"/>
    <w:rsid w:val="00D44510"/>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844586">
      <w:bodyDiv w:val="1"/>
      <w:marLeft w:val="0"/>
      <w:marRight w:val="0"/>
      <w:marTop w:val="0"/>
      <w:marBottom w:val="0"/>
      <w:divBdr>
        <w:top w:val="none" w:sz="0" w:space="0" w:color="auto"/>
        <w:left w:val="none" w:sz="0" w:space="0" w:color="auto"/>
        <w:bottom w:val="none" w:sz="0" w:space="0" w:color="auto"/>
        <w:right w:val="none" w:sz="0" w:space="0" w:color="auto"/>
      </w:divBdr>
      <w:divsChild>
        <w:div w:id="1469662261">
          <w:marLeft w:val="0"/>
          <w:marRight w:val="0"/>
          <w:marTop w:val="0"/>
          <w:marBottom w:val="0"/>
          <w:divBdr>
            <w:top w:val="none" w:sz="0" w:space="0" w:color="auto"/>
            <w:left w:val="none" w:sz="0" w:space="0" w:color="auto"/>
            <w:bottom w:val="none" w:sz="0" w:space="0" w:color="auto"/>
            <w:right w:val="none" w:sz="0" w:space="0" w:color="auto"/>
          </w:divBdr>
          <w:divsChild>
            <w:div w:id="317081367">
              <w:marLeft w:val="0"/>
              <w:marRight w:val="0"/>
              <w:marTop w:val="0"/>
              <w:marBottom w:val="0"/>
              <w:divBdr>
                <w:top w:val="none" w:sz="0" w:space="0" w:color="auto"/>
                <w:left w:val="none" w:sz="0" w:space="0" w:color="auto"/>
                <w:bottom w:val="none" w:sz="0" w:space="0" w:color="auto"/>
                <w:right w:val="none" w:sz="0" w:space="0" w:color="auto"/>
              </w:divBdr>
              <w:divsChild>
                <w:div w:id="2028947999">
                  <w:marLeft w:val="0"/>
                  <w:marRight w:val="0"/>
                  <w:marTop w:val="0"/>
                  <w:marBottom w:val="0"/>
                  <w:divBdr>
                    <w:top w:val="none" w:sz="0" w:space="0" w:color="auto"/>
                    <w:left w:val="none" w:sz="0" w:space="0" w:color="auto"/>
                    <w:bottom w:val="none" w:sz="0" w:space="0" w:color="auto"/>
                    <w:right w:val="none" w:sz="0" w:space="0" w:color="auto"/>
                  </w:divBdr>
                  <w:divsChild>
                    <w:div w:id="496573865">
                      <w:marLeft w:val="0"/>
                      <w:marRight w:val="0"/>
                      <w:marTop w:val="0"/>
                      <w:marBottom w:val="0"/>
                      <w:divBdr>
                        <w:top w:val="none" w:sz="0" w:space="0" w:color="auto"/>
                        <w:left w:val="none" w:sz="0" w:space="0" w:color="auto"/>
                        <w:bottom w:val="none" w:sz="0" w:space="0" w:color="auto"/>
                        <w:right w:val="none" w:sz="0" w:space="0" w:color="auto"/>
                      </w:divBdr>
                      <w:divsChild>
                        <w:div w:id="2004040989">
                          <w:marLeft w:val="0"/>
                          <w:marRight w:val="0"/>
                          <w:marTop w:val="0"/>
                          <w:marBottom w:val="0"/>
                          <w:divBdr>
                            <w:top w:val="none" w:sz="0" w:space="0" w:color="auto"/>
                            <w:left w:val="none" w:sz="0" w:space="0" w:color="auto"/>
                            <w:bottom w:val="none" w:sz="0" w:space="0" w:color="auto"/>
                            <w:right w:val="none" w:sz="0" w:space="0" w:color="auto"/>
                          </w:divBdr>
                          <w:divsChild>
                            <w:div w:id="627471475">
                              <w:marLeft w:val="0"/>
                              <w:marRight w:val="0"/>
                              <w:marTop w:val="0"/>
                              <w:marBottom w:val="0"/>
                              <w:divBdr>
                                <w:top w:val="none" w:sz="0" w:space="0" w:color="auto"/>
                                <w:left w:val="none" w:sz="0" w:space="0" w:color="auto"/>
                                <w:bottom w:val="none" w:sz="0" w:space="0" w:color="auto"/>
                                <w:right w:val="none" w:sz="0" w:space="0" w:color="auto"/>
                              </w:divBdr>
                              <w:divsChild>
                                <w:div w:id="169566623">
                                  <w:marLeft w:val="0"/>
                                  <w:marRight w:val="0"/>
                                  <w:marTop w:val="0"/>
                                  <w:marBottom w:val="0"/>
                                  <w:divBdr>
                                    <w:top w:val="none" w:sz="0" w:space="0" w:color="auto"/>
                                    <w:left w:val="none" w:sz="0" w:space="0" w:color="auto"/>
                                    <w:bottom w:val="none" w:sz="0" w:space="0" w:color="auto"/>
                                    <w:right w:val="none" w:sz="0" w:space="0" w:color="auto"/>
                                  </w:divBdr>
                                  <w:divsChild>
                                    <w:div w:id="1788771003">
                                      <w:marLeft w:val="0"/>
                                      <w:marRight w:val="0"/>
                                      <w:marTop w:val="240"/>
                                      <w:marBottom w:val="0"/>
                                      <w:divBdr>
                                        <w:top w:val="none" w:sz="0" w:space="0" w:color="auto"/>
                                        <w:left w:val="none" w:sz="0" w:space="0" w:color="auto"/>
                                        <w:bottom w:val="none" w:sz="0" w:space="0" w:color="auto"/>
                                        <w:right w:val="none" w:sz="0" w:space="0" w:color="auto"/>
                                      </w:divBdr>
                                      <w:divsChild>
                                        <w:div w:id="248924708">
                                          <w:marLeft w:val="0"/>
                                          <w:marRight w:val="0"/>
                                          <w:marTop w:val="0"/>
                                          <w:marBottom w:val="0"/>
                                          <w:divBdr>
                                            <w:top w:val="none" w:sz="0" w:space="0" w:color="auto"/>
                                            <w:left w:val="none" w:sz="0" w:space="0" w:color="auto"/>
                                            <w:bottom w:val="none" w:sz="0" w:space="0" w:color="auto"/>
                                            <w:right w:val="none" w:sz="0" w:space="0" w:color="auto"/>
                                          </w:divBdr>
                                          <w:divsChild>
                                            <w:div w:id="18089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503170">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745643943">
      <w:bodyDiv w:val="1"/>
      <w:marLeft w:val="0"/>
      <w:marRight w:val="0"/>
      <w:marTop w:val="0"/>
      <w:marBottom w:val="0"/>
      <w:divBdr>
        <w:top w:val="none" w:sz="0" w:space="0" w:color="auto"/>
        <w:left w:val="none" w:sz="0" w:space="0" w:color="auto"/>
        <w:bottom w:val="none" w:sz="0" w:space="0" w:color="auto"/>
        <w:right w:val="none" w:sz="0" w:space="0" w:color="auto"/>
      </w:divBdr>
      <w:divsChild>
        <w:div w:id="1289778894">
          <w:marLeft w:val="0"/>
          <w:marRight w:val="0"/>
          <w:marTop w:val="0"/>
          <w:marBottom w:val="0"/>
          <w:divBdr>
            <w:top w:val="none" w:sz="0" w:space="0" w:color="auto"/>
            <w:left w:val="none" w:sz="0" w:space="0" w:color="auto"/>
            <w:bottom w:val="none" w:sz="0" w:space="0" w:color="auto"/>
            <w:right w:val="none" w:sz="0" w:space="0" w:color="auto"/>
          </w:divBdr>
          <w:divsChild>
            <w:div w:id="2098211144">
              <w:marLeft w:val="0"/>
              <w:marRight w:val="0"/>
              <w:marTop w:val="0"/>
              <w:marBottom w:val="0"/>
              <w:divBdr>
                <w:top w:val="none" w:sz="0" w:space="0" w:color="auto"/>
                <w:left w:val="none" w:sz="0" w:space="0" w:color="auto"/>
                <w:bottom w:val="none" w:sz="0" w:space="0" w:color="auto"/>
                <w:right w:val="none" w:sz="0" w:space="0" w:color="auto"/>
              </w:divBdr>
              <w:divsChild>
                <w:div w:id="1398438397">
                  <w:marLeft w:val="0"/>
                  <w:marRight w:val="0"/>
                  <w:marTop w:val="0"/>
                  <w:marBottom w:val="0"/>
                  <w:divBdr>
                    <w:top w:val="none" w:sz="0" w:space="0" w:color="auto"/>
                    <w:left w:val="none" w:sz="0" w:space="0" w:color="auto"/>
                    <w:bottom w:val="none" w:sz="0" w:space="0" w:color="auto"/>
                    <w:right w:val="none" w:sz="0" w:space="0" w:color="auto"/>
                  </w:divBdr>
                  <w:divsChild>
                    <w:div w:id="427580418">
                      <w:marLeft w:val="0"/>
                      <w:marRight w:val="0"/>
                      <w:marTop w:val="0"/>
                      <w:marBottom w:val="0"/>
                      <w:divBdr>
                        <w:top w:val="none" w:sz="0" w:space="0" w:color="auto"/>
                        <w:left w:val="none" w:sz="0" w:space="0" w:color="auto"/>
                        <w:bottom w:val="none" w:sz="0" w:space="0" w:color="auto"/>
                        <w:right w:val="none" w:sz="0" w:space="0" w:color="auto"/>
                      </w:divBdr>
                      <w:divsChild>
                        <w:div w:id="1288584037">
                          <w:marLeft w:val="0"/>
                          <w:marRight w:val="0"/>
                          <w:marTop w:val="0"/>
                          <w:marBottom w:val="0"/>
                          <w:divBdr>
                            <w:top w:val="none" w:sz="0" w:space="0" w:color="auto"/>
                            <w:left w:val="none" w:sz="0" w:space="0" w:color="auto"/>
                            <w:bottom w:val="none" w:sz="0" w:space="0" w:color="auto"/>
                            <w:right w:val="none" w:sz="0" w:space="0" w:color="auto"/>
                          </w:divBdr>
                          <w:divsChild>
                            <w:div w:id="1802651078">
                              <w:marLeft w:val="0"/>
                              <w:marRight w:val="0"/>
                              <w:marTop w:val="0"/>
                              <w:marBottom w:val="0"/>
                              <w:divBdr>
                                <w:top w:val="none" w:sz="0" w:space="0" w:color="auto"/>
                                <w:left w:val="none" w:sz="0" w:space="0" w:color="auto"/>
                                <w:bottom w:val="none" w:sz="0" w:space="0" w:color="auto"/>
                                <w:right w:val="none" w:sz="0" w:space="0" w:color="auto"/>
                              </w:divBdr>
                              <w:divsChild>
                                <w:div w:id="673266611">
                                  <w:marLeft w:val="0"/>
                                  <w:marRight w:val="0"/>
                                  <w:marTop w:val="0"/>
                                  <w:marBottom w:val="0"/>
                                  <w:divBdr>
                                    <w:top w:val="none" w:sz="0" w:space="0" w:color="auto"/>
                                    <w:left w:val="none" w:sz="0" w:space="0" w:color="auto"/>
                                    <w:bottom w:val="none" w:sz="0" w:space="0" w:color="auto"/>
                                    <w:right w:val="none" w:sz="0" w:space="0" w:color="auto"/>
                                  </w:divBdr>
                                  <w:divsChild>
                                    <w:div w:id="1922181190">
                                      <w:marLeft w:val="0"/>
                                      <w:marRight w:val="0"/>
                                      <w:marTop w:val="240"/>
                                      <w:marBottom w:val="0"/>
                                      <w:divBdr>
                                        <w:top w:val="none" w:sz="0" w:space="0" w:color="auto"/>
                                        <w:left w:val="none" w:sz="0" w:space="0" w:color="auto"/>
                                        <w:bottom w:val="none" w:sz="0" w:space="0" w:color="auto"/>
                                        <w:right w:val="none" w:sz="0" w:space="0" w:color="auto"/>
                                      </w:divBdr>
                                      <w:divsChild>
                                        <w:div w:id="713622041">
                                          <w:marLeft w:val="0"/>
                                          <w:marRight w:val="0"/>
                                          <w:marTop w:val="0"/>
                                          <w:marBottom w:val="0"/>
                                          <w:divBdr>
                                            <w:top w:val="none" w:sz="0" w:space="0" w:color="auto"/>
                                            <w:left w:val="none" w:sz="0" w:space="0" w:color="auto"/>
                                            <w:bottom w:val="none" w:sz="0" w:space="0" w:color="auto"/>
                                            <w:right w:val="none" w:sz="0" w:space="0" w:color="auto"/>
                                          </w:divBdr>
                                          <w:divsChild>
                                            <w:div w:id="174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93DP\AppData\Local\Temp\1\Temp1_Current%20templates%20-%20MAY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 template 210325</Template>
  <TotalTime>2</TotalTime>
  <Pages>7</Pages>
  <Words>2671</Words>
  <Characters>15226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Yo-ru LEE</dc:creator>
  <cp:keywords/>
  <dc:description/>
  <cp:lastModifiedBy>Yo-ru LEE</cp:lastModifiedBy>
  <cp:revision>2</cp:revision>
  <dcterms:created xsi:type="dcterms:W3CDTF">2021-10-11T23:02:00Z</dcterms:created>
  <dcterms:modified xsi:type="dcterms:W3CDTF">2021-10-11T23:02:00Z</dcterms:modified>
</cp:coreProperties>
</file>