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86646CB" wp14:editId="16B6BEA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6065DA" w:rsidRDefault="00367938" w:rsidP="006065DA">
      <w:r w:rsidRPr="00367938">
        <w:rPr>
          <w:rFonts w:eastAsia="Times New Roman" w:cs="Times New Roman"/>
          <w:b/>
          <w:bCs/>
          <w:sz w:val="40"/>
          <w:lang w:eastAsia="en-AU"/>
        </w:rPr>
        <w:t>Social Security (Ordinary Waiting Period Exemption) Instrument 2021</w:t>
      </w:r>
    </w:p>
    <w:p w:rsidR="006065DA" w:rsidRDefault="006065DA" w:rsidP="006065DA"/>
    <w:p w:rsidR="006065DA" w:rsidRDefault="006065DA" w:rsidP="006065DA"/>
    <w:p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BD3548">
        <w:rPr>
          <w:szCs w:val="22"/>
        </w:rPr>
        <w:t>Ray Griggs</w:t>
      </w:r>
      <w:r w:rsidRPr="00DA182D">
        <w:rPr>
          <w:szCs w:val="22"/>
        </w:rPr>
        <w:t xml:space="preserve">, </w:t>
      </w:r>
      <w:r w:rsidR="00BD3548">
        <w:rPr>
          <w:color w:val="000000"/>
          <w:szCs w:val="22"/>
          <w:shd w:val="clear" w:color="auto" w:fill="FFFFFF"/>
        </w:rPr>
        <w:t>Secretary of the Department of Social Services, make the following Determination.</w:t>
      </w:r>
    </w:p>
    <w:p w:rsidR="006065DA" w:rsidRPr="00001A63" w:rsidRDefault="00BE113F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E57195">
        <w:rPr>
          <w:szCs w:val="22"/>
        </w:rPr>
        <w:t xml:space="preserve"> </w:t>
      </w:r>
      <w:r>
        <w:rPr>
          <w:szCs w:val="22"/>
        </w:rPr>
        <w:t>19</w:t>
      </w:r>
      <w:r w:rsidR="00E57195">
        <w:rPr>
          <w:szCs w:val="22"/>
        </w:rPr>
        <w:t xml:space="preserve"> October</w:t>
      </w:r>
      <w:r w:rsidR="00367938">
        <w:rPr>
          <w:szCs w:val="22"/>
        </w:rPr>
        <w:t xml:space="preserve"> 2021</w:t>
      </w:r>
      <w:r w:rsidR="006065DA" w:rsidRPr="00001A63">
        <w:rPr>
          <w:szCs w:val="22"/>
        </w:rPr>
        <w:tab/>
      </w:r>
      <w:r w:rsidR="006065DA">
        <w:rPr>
          <w:szCs w:val="22"/>
        </w:rPr>
        <w:tab/>
      </w:r>
      <w:r w:rsidR="006065DA" w:rsidRPr="00001A63">
        <w:rPr>
          <w:szCs w:val="22"/>
        </w:rPr>
        <w:tab/>
      </w:r>
    </w:p>
    <w:p w:rsidR="006065DA" w:rsidRDefault="00367938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67938">
        <w:rPr>
          <w:szCs w:val="22"/>
        </w:rPr>
        <w:t xml:space="preserve">Ray Griggs, AO, CSC </w:t>
      </w:r>
    </w:p>
    <w:p w:rsidR="006065DA" w:rsidRPr="000D3FB9" w:rsidRDefault="00367938" w:rsidP="006065DA">
      <w:pPr>
        <w:pStyle w:val="SignCoverPageEnd"/>
        <w:rPr>
          <w:sz w:val="22"/>
        </w:rPr>
      </w:pPr>
      <w:r>
        <w:rPr>
          <w:sz w:val="22"/>
        </w:rPr>
        <w:t>Secretary of the Department of Social Services</w:t>
      </w:r>
    </w:p>
    <w:p w:rsidR="0048364F" w:rsidRDefault="0048364F" w:rsidP="009346E3">
      <w:pPr>
        <w:jc w:val="both"/>
      </w:pPr>
    </w:p>
    <w:p w:rsidR="00B20990" w:rsidRDefault="00B20990" w:rsidP="00B20990"/>
    <w:p w:rsidR="00B20990" w:rsidRDefault="00B20990" w:rsidP="00B20990"/>
    <w:p w:rsidR="007956A7" w:rsidRDefault="007956A7" w:rsidP="00B20990"/>
    <w:p w:rsidR="007956A7" w:rsidRDefault="007956A7" w:rsidP="00B20990">
      <w:pPr>
        <w:sectPr w:rsidR="007956A7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:rsidR="00A43E6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43E63">
        <w:rPr>
          <w:noProof/>
        </w:rPr>
        <w:t>1  Name</w:t>
      </w:r>
      <w:r w:rsidR="00A43E63">
        <w:rPr>
          <w:noProof/>
        </w:rPr>
        <w:tab/>
      </w:r>
      <w:r w:rsidR="00A43E63">
        <w:rPr>
          <w:noProof/>
        </w:rPr>
        <w:fldChar w:fldCharType="begin"/>
      </w:r>
      <w:r w:rsidR="00A43E63">
        <w:rPr>
          <w:noProof/>
        </w:rPr>
        <w:instrText xml:space="preserve"> PAGEREF _Toc84416501 \h </w:instrText>
      </w:r>
      <w:r w:rsidR="00A43E63">
        <w:rPr>
          <w:noProof/>
        </w:rPr>
      </w:r>
      <w:r w:rsidR="00A43E63">
        <w:rPr>
          <w:noProof/>
        </w:rPr>
        <w:fldChar w:fldCharType="separate"/>
      </w:r>
      <w:r w:rsidR="00A43E63">
        <w:rPr>
          <w:noProof/>
        </w:rPr>
        <w:t>1</w:t>
      </w:r>
      <w:r w:rsidR="00A43E63">
        <w:rPr>
          <w:noProof/>
        </w:rPr>
        <w:fldChar w:fldCharType="end"/>
      </w:r>
    </w:p>
    <w:p w:rsidR="00A43E63" w:rsidRDefault="00A43E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_Toc84416502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43E63" w:rsidRDefault="00A43E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_Toc84416503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43E63" w:rsidRDefault="00A43E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_Toc84416504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43E63" w:rsidRDefault="00A43E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_Toc84416505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43E63" w:rsidRDefault="00A43E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Ordinary waiting period exemptions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_Toc84416506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43E63" w:rsidRDefault="00A43E6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_Toc84416507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20990" w:rsidRDefault="00B20990" w:rsidP="00B20990">
      <w: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6065DA" w:rsidRPr="009C2562" w:rsidRDefault="006065DA" w:rsidP="006065DA">
      <w:pPr>
        <w:pStyle w:val="ActHead5"/>
      </w:pPr>
      <w:bookmarkStart w:id="1" w:name="_Toc455049256"/>
      <w:bookmarkStart w:id="2" w:name="_Toc84416501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bookmarkEnd w:id="2"/>
    </w:p>
    <w:p w:rsidR="006065DA" w:rsidRDefault="006065DA" w:rsidP="006065DA">
      <w:pPr>
        <w:pStyle w:val="subsection"/>
      </w:pPr>
      <w:r w:rsidRPr="009C2562">
        <w:tab/>
      </w:r>
      <w:r w:rsidRPr="009C2562">
        <w:tab/>
      </w:r>
      <w:r w:rsidR="00507AC1">
        <w:rPr>
          <w:color w:val="000000"/>
          <w:szCs w:val="22"/>
          <w:shd w:val="clear" w:color="auto" w:fill="FFFFFF"/>
        </w:rPr>
        <w:t>This instrument is the </w:t>
      </w:r>
      <w:bookmarkStart w:id="3" w:name="BKCheck15B_3"/>
      <w:bookmarkEnd w:id="3"/>
      <w:r w:rsidR="00507AC1">
        <w:rPr>
          <w:i/>
          <w:iCs/>
          <w:color w:val="000000"/>
          <w:szCs w:val="22"/>
          <w:shd w:val="clear" w:color="auto" w:fill="FFFFFF"/>
        </w:rPr>
        <w:t>Social Security (Ordinary Waiting Period Exemption) Instrument 2021</w:t>
      </w:r>
    </w:p>
    <w:p w:rsidR="006065DA" w:rsidRDefault="006065DA" w:rsidP="006065DA">
      <w:pPr>
        <w:pStyle w:val="ActHead5"/>
      </w:pPr>
      <w:bookmarkStart w:id="4" w:name="_Toc455049257"/>
      <w:bookmarkStart w:id="5" w:name="_Toc84416502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bookmarkEnd w:id="5"/>
    </w:p>
    <w:p w:rsidR="00507AC1" w:rsidRPr="00507AC1" w:rsidRDefault="006065DA" w:rsidP="00507AC1">
      <w:pPr>
        <w:pStyle w:val="subsection"/>
        <w:shd w:val="clear" w:color="auto" w:fill="FFFFFF"/>
        <w:rPr>
          <w:color w:val="000000"/>
          <w:szCs w:val="22"/>
        </w:rPr>
      </w:pPr>
      <w:r>
        <w:tab/>
      </w:r>
      <w:r w:rsidR="00507AC1" w:rsidRPr="00507AC1">
        <w:rPr>
          <w:color w:val="000000"/>
          <w:szCs w:val="22"/>
        </w:rPr>
        <w:t>             (1)  Each provision of this instrument specified in column 1 of the table commences, or is taken to have commenced, in accordance with column 2 of the table. Any other statement in column 2 has effect according to its terms.</w:t>
      </w:r>
    </w:p>
    <w:p w:rsidR="00507AC1" w:rsidRPr="00507AC1" w:rsidRDefault="00507AC1" w:rsidP="00507AC1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507AC1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8370" w:type="dxa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4397"/>
        <w:gridCol w:w="1844"/>
      </w:tblGrid>
      <w:tr w:rsidR="00507AC1" w:rsidRPr="00507AC1" w:rsidTr="00D92CE2">
        <w:trPr>
          <w:tblHeader/>
        </w:trPr>
        <w:tc>
          <w:tcPr>
            <w:tcW w:w="837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507AC1" w:rsidRPr="00507AC1" w:rsidRDefault="00507AC1" w:rsidP="00507AC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507AC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 information</w:t>
            </w:r>
          </w:p>
        </w:tc>
      </w:tr>
      <w:tr w:rsidR="00507AC1" w:rsidRPr="00507AC1" w:rsidTr="00D92CE2">
        <w:trPr>
          <w:tblHeader/>
        </w:trPr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507AC1" w:rsidRPr="00507AC1" w:rsidRDefault="00507AC1" w:rsidP="00507AC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507AC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507AC1" w:rsidRPr="00507AC1" w:rsidRDefault="00507AC1" w:rsidP="00507AC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507AC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507AC1" w:rsidRPr="00507AC1" w:rsidRDefault="00507AC1" w:rsidP="00507AC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507AC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</w:tc>
      </w:tr>
      <w:tr w:rsidR="00507AC1" w:rsidRPr="00507AC1" w:rsidTr="00D92CE2">
        <w:trPr>
          <w:tblHeader/>
        </w:trPr>
        <w:tc>
          <w:tcPr>
            <w:tcW w:w="2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507AC1" w:rsidRPr="00507AC1" w:rsidRDefault="00507AC1" w:rsidP="00507AC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507AC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Provisions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507AC1" w:rsidRPr="00507AC1" w:rsidRDefault="00507AC1" w:rsidP="00507AC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507AC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507AC1" w:rsidRPr="00507AC1" w:rsidRDefault="00507AC1" w:rsidP="00507AC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507AC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Date/Details</w:t>
            </w:r>
          </w:p>
        </w:tc>
      </w:tr>
      <w:tr w:rsidR="00507AC1" w:rsidRPr="00507AC1" w:rsidTr="00D92CE2">
        <w:tc>
          <w:tcPr>
            <w:tcW w:w="2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507AC1" w:rsidRPr="00507AC1" w:rsidRDefault="00507AC1" w:rsidP="00D92CE2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07AC1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1.  </w:t>
            </w:r>
            <w:r w:rsidR="00D92CE2">
              <w:rPr>
                <w:rFonts w:eastAsia="Times New Roman" w:cs="Times New Roman"/>
                <w:color w:val="000000"/>
                <w:sz w:val="20"/>
                <w:lang w:eastAsia="en-AU"/>
              </w:rPr>
              <w:t>The whole of this instrument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507AC1" w:rsidRPr="00507AC1" w:rsidRDefault="00507AC1" w:rsidP="00507AC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07AC1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The day </w:t>
            </w:r>
            <w:r w:rsidR="0050034B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after </w:t>
            </w:r>
            <w:r w:rsidRPr="00507AC1">
              <w:rPr>
                <w:rFonts w:eastAsia="Times New Roman" w:cs="Times New Roman"/>
                <w:color w:val="000000"/>
                <w:sz w:val="20"/>
                <w:lang w:eastAsia="en-AU"/>
              </w:rPr>
              <w:t>this instrument is registered</w:t>
            </w:r>
            <w:r w:rsidRPr="00507AC1">
              <w:rPr>
                <w:rFonts w:eastAsia="Times New Roman" w:cs="Times New Roman"/>
                <w:i/>
                <w:iCs/>
                <w:color w:val="000000"/>
                <w:sz w:val="20"/>
                <w:lang w:eastAsia="en-A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507AC1" w:rsidRPr="00507AC1" w:rsidRDefault="00507AC1" w:rsidP="00507AC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07AC1">
              <w:rPr>
                <w:rFonts w:eastAsia="Times New Roman" w:cs="Times New Roman"/>
                <w:i/>
                <w:iCs/>
                <w:color w:val="000000"/>
                <w:sz w:val="20"/>
                <w:lang w:eastAsia="en-AU"/>
              </w:rPr>
              <w:t> </w:t>
            </w:r>
          </w:p>
        </w:tc>
      </w:tr>
    </w:tbl>
    <w:p w:rsidR="00507AC1" w:rsidRPr="00507AC1" w:rsidRDefault="00507AC1" w:rsidP="00507AC1">
      <w:pPr>
        <w:shd w:val="clear" w:color="auto" w:fill="FFFFFF"/>
        <w:spacing w:before="122" w:line="198" w:lineRule="atLeast"/>
        <w:ind w:left="1985" w:hanging="851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507AC1">
        <w:rPr>
          <w:rFonts w:eastAsia="Times New Roman" w:cs="Times New Roman"/>
          <w:color w:val="000000"/>
          <w:sz w:val="18"/>
          <w:szCs w:val="18"/>
          <w:lang w:eastAsia="en-AU"/>
        </w:rPr>
        <w:t>Note:          This table relates only to the provisions of this instrument as originally made. It will not be amended to deal with any later amendments of this instrument.</w:t>
      </w:r>
    </w:p>
    <w:p w:rsidR="00507AC1" w:rsidRPr="00507AC1" w:rsidRDefault="00507AC1" w:rsidP="00507AC1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507AC1">
        <w:rPr>
          <w:rFonts w:eastAsia="Times New Roman" w:cs="Times New Roman"/>
          <w:color w:val="000000"/>
          <w:szCs w:val="22"/>
          <w:lang w:eastAsia="en-AU"/>
        </w:rPr>
        <w:t>             (2)  Any information in column 3 of the table is not part of this instrument. Information may be inserted in this column, or information in it may be edited, in any published version of this instrument.</w:t>
      </w:r>
    </w:p>
    <w:p w:rsidR="006065DA" w:rsidRPr="009C2562" w:rsidRDefault="006065DA" w:rsidP="006065DA">
      <w:pPr>
        <w:pStyle w:val="ActHead5"/>
      </w:pPr>
      <w:bookmarkStart w:id="6" w:name="_Toc455049258"/>
      <w:bookmarkStart w:id="7" w:name="_Toc84416503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bookmarkEnd w:id="7"/>
    </w:p>
    <w:p w:rsidR="00507AC1" w:rsidRDefault="006065DA" w:rsidP="00507AC1">
      <w:pPr>
        <w:pStyle w:val="subsection"/>
      </w:pPr>
      <w:r w:rsidRPr="009C2562">
        <w:tab/>
      </w:r>
      <w:r w:rsidRPr="009C2562">
        <w:tab/>
      </w:r>
      <w:r w:rsidR="00507AC1" w:rsidRPr="00507AC1">
        <w:t>This instrument is made under sections 500WA, 549CA and 6</w:t>
      </w:r>
      <w:r w:rsidR="000A6879">
        <w:t>2</w:t>
      </w:r>
      <w:r w:rsidR="00507AC1" w:rsidRPr="00507AC1">
        <w:t>0 of the </w:t>
      </w:r>
      <w:r w:rsidR="00507AC1" w:rsidRPr="00507AC1">
        <w:rPr>
          <w:i/>
          <w:iCs/>
        </w:rPr>
        <w:t>Social Security Act 1991</w:t>
      </w:r>
      <w:r w:rsidR="00507AC1" w:rsidRPr="00507AC1">
        <w:t>.</w:t>
      </w:r>
    </w:p>
    <w:p w:rsidR="00367938" w:rsidRDefault="00367938" w:rsidP="00367938">
      <w:pPr>
        <w:pStyle w:val="ActHead5"/>
      </w:pPr>
      <w:bookmarkStart w:id="8" w:name="_Toc84416504"/>
      <w:r>
        <w:rPr>
          <w:rStyle w:val="CharSectno"/>
        </w:rPr>
        <w:t>4</w:t>
      </w:r>
      <w:r w:rsidRPr="009C2562">
        <w:t xml:space="preserve">  </w:t>
      </w:r>
      <w:r>
        <w:t>Definitions</w:t>
      </w:r>
      <w:bookmarkEnd w:id="8"/>
    </w:p>
    <w:p w:rsidR="00237676" w:rsidRPr="00237676" w:rsidRDefault="00237676" w:rsidP="00237676">
      <w:pPr>
        <w:pStyle w:val="subsection"/>
        <w:shd w:val="clear" w:color="auto" w:fill="FFFFFF"/>
        <w:rPr>
          <w:color w:val="000000"/>
          <w:szCs w:val="22"/>
        </w:rPr>
      </w:pPr>
      <w:r w:rsidRPr="009C2562">
        <w:tab/>
      </w:r>
      <w:r w:rsidRPr="009C2562">
        <w:tab/>
      </w:r>
      <w:r w:rsidRPr="00237676">
        <w:rPr>
          <w:color w:val="000000"/>
          <w:szCs w:val="22"/>
        </w:rPr>
        <w:t>In this instrument:</w:t>
      </w:r>
    </w:p>
    <w:p w:rsidR="00367938" w:rsidRDefault="00237676" w:rsidP="00237676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237676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Act</w:t>
      </w:r>
      <w:r w:rsidRPr="00237676">
        <w:rPr>
          <w:rFonts w:eastAsia="Times New Roman" w:cs="Times New Roman"/>
          <w:color w:val="000000"/>
          <w:szCs w:val="22"/>
          <w:lang w:eastAsia="en-AU"/>
        </w:rPr>
        <w:t> means the </w:t>
      </w:r>
      <w:r w:rsidRPr="00237676">
        <w:rPr>
          <w:rFonts w:eastAsia="Times New Roman" w:cs="Times New Roman"/>
          <w:i/>
          <w:iCs/>
          <w:color w:val="000000"/>
          <w:szCs w:val="22"/>
          <w:lang w:eastAsia="en-AU"/>
        </w:rPr>
        <w:t>Social Security Act 1991</w:t>
      </w:r>
      <w:r w:rsidRPr="00237676">
        <w:rPr>
          <w:rFonts w:eastAsia="Times New Roman" w:cs="Times New Roman"/>
          <w:color w:val="000000"/>
          <w:szCs w:val="22"/>
          <w:lang w:eastAsia="en-AU"/>
        </w:rPr>
        <w:t>.</w:t>
      </w:r>
    </w:p>
    <w:p w:rsidR="006065DA" w:rsidRPr="006065DA" w:rsidRDefault="00367938" w:rsidP="009346E3">
      <w:pPr>
        <w:pStyle w:val="ActHead5"/>
      </w:pPr>
      <w:bookmarkStart w:id="9" w:name="_Toc455049259"/>
      <w:bookmarkStart w:id="10" w:name="_Toc84416505"/>
      <w:r>
        <w:t>5</w:t>
      </w:r>
      <w:r w:rsidR="006065DA" w:rsidRPr="006065DA">
        <w:t xml:space="preserve">  Schedules</w:t>
      </w:r>
      <w:bookmarkEnd w:id="9"/>
      <w:bookmarkEnd w:id="10"/>
    </w:p>
    <w:p w:rsidR="00557C7A" w:rsidRDefault="006065DA" w:rsidP="006065DA">
      <w:pPr>
        <w:pStyle w:val="subsection"/>
      </w:pPr>
      <w:r w:rsidRPr="006065DA">
        <w:tab/>
      </w:r>
      <w:r w:rsidRPr="006065DA">
        <w:tab/>
        <w:t xml:space="preserve">Each instrument that is specified in </w:t>
      </w:r>
      <w:r w:rsidR="00237676">
        <w:t>the</w:t>
      </w:r>
      <w:r w:rsidRPr="006065DA">
        <w:t xml:space="preserve"> Schedule to this instrument is amended or repealed as set out in the applicable items in the Schedule concerned, and any other item in </w:t>
      </w:r>
      <w:r w:rsidR="00237676">
        <w:t>the</w:t>
      </w:r>
      <w:r w:rsidRPr="006065DA">
        <w:t xml:space="preserve"> Schedule to this instrument has effect according to its terms.</w:t>
      </w:r>
    </w:p>
    <w:p w:rsidR="00367938" w:rsidRDefault="00367938" w:rsidP="00367938">
      <w:pPr>
        <w:pStyle w:val="ActHead5"/>
      </w:pPr>
      <w:bookmarkStart w:id="11" w:name="_Toc84416506"/>
      <w:r>
        <w:t>6</w:t>
      </w:r>
      <w:r w:rsidRPr="006065DA">
        <w:t xml:space="preserve">  </w:t>
      </w:r>
      <w:r>
        <w:t>Ordinary waiting period exemptions</w:t>
      </w:r>
      <w:bookmarkEnd w:id="11"/>
    </w:p>
    <w:p w:rsidR="002C45E0" w:rsidRPr="002C45E0" w:rsidRDefault="002C45E0" w:rsidP="002C45E0">
      <w:pPr>
        <w:pStyle w:val="subsection"/>
        <w:shd w:val="clear" w:color="auto" w:fill="FFFFFF"/>
        <w:rPr>
          <w:color w:val="000000"/>
          <w:szCs w:val="22"/>
        </w:rPr>
      </w:pPr>
      <w:r w:rsidRPr="00507AC1">
        <w:rPr>
          <w:color w:val="000000"/>
          <w:szCs w:val="22"/>
        </w:rPr>
        <w:t xml:space="preserve">             </w:t>
      </w:r>
      <w:r w:rsidRPr="002C45E0">
        <w:rPr>
          <w:color w:val="000000"/>
          <w:szCs w:val="22"/>
        </w:rPr>
        <w:t>(1)  For paragraph 500WA(2)(b) of the Act, the following class of people is exempted from application of subsection 500WA(1) of the Act:</w:t>
      </w:r>
    </w:p>
    <w:p w:rsidR="002C45E0" w:rsidRPr="002C45E0" w:rsidRDefault="002C45E0" w:rsidP="002C45E0">
      <w:pPr>
        <w:shd w:val="clear" w:color="auto" w:fill="FFFFFF"/>
        <w:spacing w:before="180" w:line="240" w:lineRule="auto"/>
        <w:ind w:left="1491" w:hanging="357"/>
        <w:rPr>
          <w:rFonts w:eastAsia="Times New Roman" w:cs="Times New Roman"/>
          <w:color w:val="000000"/>
          <w:szCs w:val="22"/>
          <w:lang w:eastAsia="en-AU"/>
        </w:rPr>
      </w:pPr>
      <w:r w:rsidRPr="002C45E0">
        <w:rPr>
          <w:rFonts w:eastAsia="Times New Roman" w:cs="Times New Roman"/>
          <w:color w:val="000000"/>
          <w:szCs w:val="22"/>
          <w:lang w:eastAsia="en-AU"/>
        </w:rPr>
        <w:t>(a)</w:t>
      </w:r>
      <w:r w:rsidRPr="002C45E0">
        <w:rPr>
          <w:rFonts w:eastAsia="Times New Roman" w:cs="Times New Roman"/>
          <w:color w:val="000000"/>
          <w:sz w:val="14"/>
          <w:szCs w:val="14"/>
          <w:lang w:eastAsia="en-AU"/>
        </w:rPr>
        <w:t>   </w:t>
      </w:r>
      <w:r w:rsidRPr="002C45E0">
        <w:rPr>
          <w:rFonts w:eastAsia="Times New Roman" w:cs="Times New Roman"/>
          <w:color w:val="000000"/>
          <w:szCs w:val="22"/>
          <w:lang w:eastAsia="en-AU"/>
        </w:rPr>
        <w:t xml:space="preserve">the class of persons undertaking the activity specified in </w:t>
      </w:r>
      <w:r w:rsidR="002447EC">
        <w:rPr>
          <w:rFonts w:eastAsia="Times New Roman" w:cs="Times New Roman"/>
          <w:color w:val="000000"/>
          <w:szCs w:val="22"/>
          <w:lang w:eastAsia="en-AU"/>
        </w:rPr>
        <w:t>subparagraph</w:t>
      </w:r>
      <w:r w:rsidRPr="002C45E0">
        <w:rPr>
          <w:rFonts w:eastAsia="Times New Roman" w:cs="Times New Roman"/>
          <w:color w:val="000000"/>
          <w:szCs w:val="22"/>
          <w:lang w:eastAsia="en-AU"/>
        </w:rPr>
        <w:t xml:space="preserve"> 7</w:t>
      </w:r>
      <w:r w:rsidR="002447EC">
        <w:rPr>
          <w:rFonts w:eastAsia="Times New Roman" w:cs="Times New Roman"/>
          <w:color w:val="000000"/>
          <w:szCs w:val="22"/>
          <w:lang w:eastAsia="en-AU"/>
        </w:rPr>
        <w:t>(a)(ii) or (iii)</w:t>
      </w:r>
      <w:r w:rsidRPr="002C45E0">
        <w:rPr>
          <w:rFonts w:eastAsia="Times New Roman" w:cs="Times New Roman"/>
          <w:color w:val="000000"/>
          <w:szCs w:val="22"/>
          <w:lang w:eastAsia="en-AU"/>
        </w:rPr>
        <w:t xml:space="preserve"> of the </w:t>
      </w:r>
      <w:r w:rsidRPr="002C45E0">
        <w:rPr>
          <w:rFonts w:eastAsia="Times New Roman" w:cs="Times New Roman"/>
          <w:i/>
          <w:iCs/>
          <w:color w:val="000000"/>
          <w:szCs w:val="22"/>
          <w:lang w:eastAsia="en-AU"/>
        </w:rPr>
        <w:t>Social Security (Exemptions from Non-payment and Waiting Periods - Activities) Specification 2017</w:t>
      </w:r>
      <w:r w:rsidRPr="002C45E0">
        <w:rPr>
          <w:rFonts w:eastAsia="Times New Roman" w:cs="Times New Roman"/>
          <w:color w:val="000000"/>
          <w:szCs w:val="22"/>
          <w:lang w:eastAsia="en-AU"/>
        </w:rPr>
        <w:t>, as amended by this instrument.</w:t>
      </w:r>
    </w:p>
    <w:p w:rsidR="002C45E0" w:rsidRPr="002C45E0" w:rsidRDefault="002C45E0" w:rsidP="002C45E0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507AC1">
        <w:rPr>
          <w:rFonts w:eastAsia="Times New Roman" w:cs="Times New Roman"/>
          <w:color w:val="000000"/>
          <w:szCs w:val="22"/>
          <w:lang w:eastAsia="en-AU"/>
        </w:rPr>
        <w:t xml:space="preserve">             </w:t>
      </w:r>
      <w:r w:rsidRPr="002C45E0">
        <w:rPr>
          <w:rFonts w:eastAsia="Times New Roman" w:cs="Times New Roman"/>
          <w:color w:val="000000"/>
          <w:szCs w:val="22"/>
          <w:lang w:eastAsia="en-AU"/>
        </w:rPr>
        <w:t>(2) For paragraph 549CA(3)(b) of the Act, the following class of people is exempted from application of subsection 549CA(2) of the Act:</w:t>
      </w:r>
    </w:p>
    <w:p w:rsidR="002C45E0" w:rsidRPr="002C45E0" w:rsidRDefault="002C45E0" w:rsidP="002C45E0">
      <w:pPr>
        <w:shd w:val="clear" w:color="auto" w:fill="FFFFFF"/>
        <w:spacing w:before="180" w:line="240" w:lineRule="auto"/>
        <w:ind w:left="1494" w:hanging="360"/>
        <w:rPr>
          <w:rFonts w:eastAsia="Times New Roman" w:cs="Times New Roman"/>
          <w:color w:val="000000"/>
          <w:szCs w:val="22"/>
          <w:lang w:eastAsia="en-AU"/>
        </w:rPr>
      </w:pPr>
      <w:r w:rsidRPr="002C45E0">
        <w:rPr>
          <w:rFonts w:eastAsia="Times New Roman" w:cs="Times New Roman"/>
          <w:color w:val="000000"/>
          <w:szCs w:val="22"/>
          <w:lang w:eastAsia="en-AU"/>
        </w:rPr>
        <w:lastRenderedPageBreak/>
        <w:t>(a)</w:t>
      </w:r>
      <w:r w:rsidRPr="002C45E0">
        <w:rPr>
          <w:rFonts w:eastAsia="Times New Roman" w:cs="Times New Roman"/>
          <w:color w:val="000000"/>
          <w:sz w:val="14"/>
          <w:szCs w:val="14"/>
          <w:lang w:eastAsia="en-AU"/>
        </w:rPr>
        <w:t>    </w:t>
      </w:r>
      <w:r w:rsidRPr="002C45E0">
        <w:rPr>
          <w:rFonts w:eastAsia="Times New Roman" w:cs="Times New Roman"/>
          <w:color w:val="000000"/>
          <w:szCs w:val="22"/>
          <w:lang w:eastAsia="en-AU"/>
        </w:rPr>
        <w:t xml:space="preserve">the class of persons undertaking the activity specified in </w:t>
      </w:r>
      <w:r w:rsidR="002447EC" w:rsidRPr="002447EC">
        <w:rPr>
          <w:rFonts w:eastAsia="Times New Roman" w:cs="Times New Roman"/>
          <w:color w:val="000000"/>
          <w:szCs w:val="22"/>
          <w:lang w:eastAsia="en-AU"/>
        </w:rPr>
        <w:t>subparagraph 7(a)(ii) or (iii)</w:t>
      </w:r>
      <w:r w:rsidR="002447EC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2C45E0">
        <w:rPr>
          <w:rFonts w:eastAsia="Times New Roman" w:cs="Times New Roman"/>
          <w:color w:val="000000"/>
          <w:szCs w:val="22"/>
          <w:lang w:eastAsia="en-AU"/>
        </w:rPr>
        <w:t>of the </w:t>
      </w:r>
      <w:r w:rsidRPr="002C45E0">
        <w:rPr>
          <w:rFonts w:eastAsia="Times New Roman" w:cs="Times New Roman"/>
          <w:i/>
          <w:iCs/>
          <w:color w:val="000000"/>
          <w:szCs w:val="22"/>
          <w:lang w:eastAsia="en-AU"/>
        </w:rPr>
        <w:t>Social Security (Exemptions from Non-payment and Waiting Periods - Activities) Specification 2017</w:t>
      </w:r>
      <w:r w:rsidRPr="002C45E0">
        <w:rPr>
          <w:rFonts w:eastAsia="Times New Roman" w:cs="Times New Roman"/>
          <w:color w:val="000000"/>
          <w:szCs w:val="22"/>
          <w:lang w:eastAsia="en-AU"/>
        </w:rPr>
        <w:t>, as amended by this instrument.</w:t>
      </w:r>
    </w:p>
    <w:p w:rsidR="002C45E0" w:rsidRPr="002C45E0" w:rsidRDefault="002C45E0" w:rsidP="002C45E0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2C45E0">
        <w:rPr>
          <w:rFonts w:eastAsia="Times New Roman" w:cs="Times New Roman"/>
          <w:color w:val="000000"/>
          <w:szCs w:val="22"/>
          <w:lang w:eastAsia="en-AU"/>
        </w:rPr>
        <w:t>             (3)  For paragraph 620(2)(b) of the Act, the following class of people is exempted from application of subsection 620(1) of the Act:</w:t>
      </w:r>
    </w:p>
    <w:p w:rsidR="002C45E0" w:rsidRPr="002C45E0" w:rsidRDefault="002C45E0" w:rsidP="002C45E0">
      <w:pPr>
        <w:shd w:val="clear" w:color="auto" w:fill="FFFFFF"/>
        <w:spacing w:before="180" w:line="240" w:lineRule="auto"/>
        <w:ind w:left="1494" w:hanging="360"/>
        <w:rPr>
          <w:rFonts w:eastAsia="Times New Roman" w:cs="Times New Roman"/>
          <w:color w:val="000000"/>
          <w:szCs w:val="22"/>
          <w:lang w:eastAsia="en-AU"/>
        </w:rPr>
      </w:pPr>
      <w:r w:rsidRPr="002C45E0">
        <w:rPr>
          <w:rFonts w:eastAsia="Times New Roman" w:cs="Times New Roman"/>
          <w:color w:val="000000"/>
          <w:szCs w:val="22"/>
          <w:lang w:eastAsia="en-AU"/>
        </w:rPr>
        <w:t>(a)</w:t>
      </w:r>
      <w:r w:rsidRPr="002C45E0">
        <w:rPr>
          <w:rFonts w:eastAsia="Times New Roman" w:cs="Times New Roman"/>
          <w:color w:val="000000"/>
          <w:sz w:val="14"/>
          <w:szCs w:val="14"/>
          <w:lang w:eastAsia="en-AU"/>
        </w:rPr>
        <w:t>    </w:t>
      </w:r>
      <w:r w:rsidRPr="002C45E0">
        <w:rPr>
          <w:rFonts w:eastAsia="Times New Roman" w:cs="Times New Roman"/>
          <w:color w:val="000000"/>
          <w:szCs w:val="22"/>
          <w:lang w:eastAsia="en-AU"/>
        </w:rPr>
        <w:t xml:space="preserve">the class of persons undertaking the activity specified in </w:t>
      </w:r>
      <w:r w:rsidR="002447EC" w:rsidRPr="002447EC">
        <w:rPr>
          <w:rFonts w:eastAsia="Times New Roman" w:cs="Times New Roman"/>
          <w:color w:val="000000"/>
          <w:szCs w:val="22"/>
          <w:lang w:eastAsia="en-AU"/>
        </w:rPr>
        <w:t>subparagraph 7(a)(ii) or (iii)</w:t>
      </w:r>
      <w:r w:rsidR="002447EC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2C45E0">
        <w:rPr>
          <w:rFonts w:eastAsia="Times New Roman" w:cs="Times New Roman"/>
          <w:color w:val="000000"/>
          <w:szCs w:val="22"/>
          <w:lang w:eastAsia="en-AU"/>
        </w:rPr>
        <w:t>of the </w:t>
      </w:r>
      <w:r w:rsidRPr="002C45E0">
        <w:rPr>
          <w:rFonts w:eastAsia="Times New Roman" w:cs="Times New Roman"/>
          <w:i/>
          <w:iCs/>
          <w:color w:val="000000"/>
          <w:szCs w:val="22"/>
          <w:lang w:eastAsia="en-AU"/>
        </w:rPr>
        <w:t>Social Security (Exemptions from Non-payment and Waiting Periods - Activities) Specification 2017</w:t>
      </w:r>
      <w:r w:rsidRPr="002C45E0">
        <w:rPr>
          <w:rFonts w:eastAsia="Times New Roman" w:cs="Times New Roman"/>
          <w:color w:val="000000"/>
          <w:szCs w:val="22"/>
          <w:lang w:eastAsia="en-AU"/>
        </w:rPr>
        <w:t>, as amended by this instrument.</w:t>
      </w:r>
    </w:p>
    <w:p w:rsidR="00237676" w:rsidRPr="00237676" w:rsidRDefault="00237676" w:rsidP="002C45E0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</w:p>
    <w:p w:rsidR="00237676" w:rsidRPr="00237676" w:rsidRDefault="00237676" w:rsidP="00237676">
      <w:pPr>
        <w:pStyle w:val="subsection"/>
      </w:pPr>
    </w:p>
    <w:p w:rsidR="00367938" w:rsidRDefault="00367938" w:rsidP="006065DA">
      <w:pPr>
        <w:pStyle w:val="subsection"/>
      </w:pPr>
    </w:p>
    <w:p w:rsidR="0048364F" w:rsidRDefault="0048364F" w:rsidP="009C5989">
      <w:pPr>
        <w:pStyle w:val="ActHead6"/>
        <w:pageBreakBefore/>
      </w:pPr>
      <w:bookmarkStart w:id="12" w:name="_Toc455049260"/>
      <w:bookmarkStart w:id="13" w:name="_Toc84416507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2"/>
      <w:bookmarkEnd w:id="13"/>
    </w:p>
    <w:p w:rsidR="000A6879" w:rsidRPr="000A6879" w:rsidRDefault="000A6879" w:rsidP="000A6879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bookmarkStart w:id="14" w:name="_Toc455049263"/>
      <w:r w:rsidRPr="000A687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en-AU"/>
        </w:rPr>
        <w:t>Social Security (Exemptions from Non-payment and Waiting Periods - Activities) Specification 2017</w:t>
      </w:r>
    </w:p>
    <w:p w:rsidR="000A6879" w:rsidRDefault="000A6879" w:rsidP="000A6879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0A687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1  </w:t>
      </w:r>
      <w:r w:rsidR="00244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S</w:t>
      </w:r>
      <w:r w:rsidR="002838A1" w:rsidRPr="002838A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ection </w:t>
      </w:r>
      <w:r w:rsidR="002838A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5 (Definitions)</w:t>
      </w:r>
    </w:p>
    <w:p w:rsidR="002838A1" w:rsidRPr="00B11CB5" w:rsidRDefault="002447EC" w:rsidP="002838A1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>Insert</w:t>
      </w:r>
      <w:r w:rsidR="002838A1" w:rsidRPr="00B11CB5">
        <w:rPr>
          <w:rFonts w:eastAsia="Times New Roman" w:cs="Times New Roman"/>
          <w:color w:val="000000"/>
          <w:szCs w:val="22"/>
          <w:lang w:eastAsia="en-AU"/>
        </w:rPr>
        <w:t>:</w:t>
      </w:r>
    </w:p>
    <w:p w:rsidR="002838A1" w:rsidRPr="002838A1" w:rsidRDefault="002838A1" w:rsidP="002838A1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 xml:space="preserve">             </w:t>
      </w:r>
      <w:r>
        <w:rPr>
          <w:rFonts w:eastAsia="Times New Roman" w:cs="Times New Roman"/>
          <w:color w:val="000000"/>
          <w:szCs w:val="22"/>
          <w:lang w:eastAsia="en-AU"/>
        </w:rPr>
        <w:tab/>
      </w:r>
      <w:r w:rsidRPr="00B11CB5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COVID</w:t>
      </w:r>
      <w:r w:rsidRPr="00B11CB5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noBreakHyphen/>
        <w:t>19 Australian Government payment </w:t>
      </w:r>
      <w:r>
        <w:rPr>
          <w:rFonts w:eastAsia="Times New Roman" w:cs="Times New Roman"/>
          <w:color w:val="000000"/>
          <w:szCs w:val="22"/>
          <w:lang w:eastAsia="en-AU"/>
        </w:rPr>
        <w:t xml:space="preserve">means a payment or grant of financial </w:t>
      </w:r>
      <w:r w:rsidRPr="00B11CB5">
        <w:rPr>
          <w:rFonts w:eastAsia="Times New Roman" w:cs="Times New Roman"/>
          <w:color w:val="000000"/>
          <w:szCs w:val="22"/>
          <w:lang w:eastAsia="en-AU"/>
        </w:rPr>
        <w:t>assistance covered by item 492 of the table in Part 4 of Schedule 1AB to the </w:t>
      </w:r>
      <w:r w:rsidRPr="00B11CB5">
        <w:rPr>
          <w:rFonts w:eastAsia="Times New Roman" w:cs="Times New Roman"/>
          <w:i/>
          <w:iCs/>
          <w:color w:val="000000"/>
          <w:szCs w:val="22"/>
          <w:lang w:eastAsia="en-AU"/>
        </w:rPr>
        <w:t>Financial Framework (Supplementary Powers) Regulations 1997</w:t>
      </w:r>
      <w:r>
        <w:rPr>
          <w:rFonts w:eastAsia="Times New Roman" w:cs="Times New Roman"/>
          <w:color w:val="000000"/>
          <w:szCs w:val="22"/>
          <w:lang w:eastAsia="en-AU"/>
        </w:rPr>
        <w:t>.</w:t>
      </w:r>
    </w:p>
    <w:p w:rsidR="002838A1" w:rsidRPr="000A6879" w:rsidRDefault="002838A1" w:rsidP="002838A1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2</w:t>
      </w:r>
      <w:r w:rsidRPr="000A687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 </w:t>
      </w:r>
      <w:r w:rsidR="00244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Paragraph 7(a)</w:t>
      </w:r>
    </w:p>
    <w:p w:rsidR="002447EC" w:rsidRDefault="002447EC" w:rsidP="00925DC8">
      <w:pPr>
        <w:shd w:val="clear" w:color="auto" w:fill="FFFFFF"/>
        <w:spacing w:before="220"/>
        <w:ind w:left="601"/>
      </w:pPr>
      <w:r>
        <w:t>Omit “activity is”, substitute “activities are”.</w:t>
      </w:r>
    </w:p>
    <w:p w:rsidR="002447EC" w:rsidRPr="002447EC" w:rsidRDefault="002447EC" w:rsidP="002447EC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3</w:t>
      </w:r>
      <w:r w:rsidRPr="000A687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Subparagraph 7(a)(i)</w:t>
      </w:r>
    </w:p>
    <w:p w:rsidR="00925DC8" w:rsidRDefault="009379D2" w:rsidP="00925DC8">
      <w:pPr>
        <w:shd w:val="clear" w:color="auto" w:fill="FFFFFF"/>
        <w:spacing w:before="220"/>
        <w:ind w:left="601"/>
      </w:pPr>
      <w:r>
        <w:t>Omit “.”, substitute “;”.</w:t>
      </w:r>
    </w:p>
    <w:p w:rsidR="00925DC8" w:rsidRDefault="002447EC" w:rsidP="00925DC8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4</w:t>
      </w:r>
      <w:r w:rsidR="00925DC8" w:rsidRPr="000A687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 </w:t>
      </w:r>
      <w:r w:rsidR="00925DC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At the end of paragraph 7(a)</w:t>
      </w:r>
    </w:p>
    <w:p w:rsidR="00614DD3" w:rsidRDefault="00925DC8" w:rsidP="00614DD3">
      <w:pPr>
        <w:pStyle w:val="Item"/>
        <w:spacing w:before="220"/>
        <w:rPr>
          <w:rFonts w:eastAsiaTheme="minorHAnsi" w:cstheme="minorBidi"/>
          <w:color w:val="000000"/>
          <w:szCs w:val="22"/>
          <w:shd w:val="clear" w:color="auto" w:fill="FFFFFF"/>
          <w:lang w:eastAsia="en-US"/>
        </w:rPr>
      </w:pPr>
      <w:r>
        <w:t>Add:</w:t>
      </w:r>
      <w:r w:rsidR="00614DD3" w:rsidRPr="00614DD3">
        <w:rPr>
          <w:rFonts w:eastAsiaTheme="minorHAnsi" w:cstheme="minorBidi"/>
          <w:color w:val="000000"/>
          <w:szCs w:val="22"/>
          <w:shd w:val="clear" w:color="auto" w:fill="FFFFFF"/>
          <w:lang w:eastAsia="en-US"/>
        </w:rPr>
        <w:t xml:space="preserve"> </w:t>
      </w:r>
    </w:p>
    <w:p w:rsidR="00614DD3" w:rsidRDefault="00614DD3" w:rsidP="00624903">
      <w:pPr>
        <w:pStyle w:val="Item"/>
        <w:numPr>
          <w:ilvl w:val="0"/>
          <w:numId w:val="14"/>
        </w:numPr>
        <w:spacing w:before="220"/>
      </w:pPr>
      <w:r w:rsidRPr="00614DD3">
        <w:t xml:space="preserve">the activity of making a claim for a social security payment </w:t>
      </w:r>
      <w:r w:rsidR="00B11CB5">
        <w:t xml:space="preserve">by a person </w:t>
      </w:r>
      <w:r w:rsidRPr="00614DD3">
        <w:t xml:space="preserve">during </w:t>
      </w:r>
      <w:r w:rsidR="00B11CB5">
        <w:t>a</w:t>
      </w:r>
      <w:r w:rsidR="002838A1">
        <w:t>ny</w:t>
      </w:r>
      <w:r w:rsidRPr="00614DD3">
        <w:t xml:space="preserve"> period</w:t>
      </w:r>
      <w:r w:rsidR="00B11CB5">
        <w:t xml:space="preserve"> they are </w:t>
      </w:r>
      <w:r w:rsidR="00A52FF8">
        <w:t>entitled to</w:t>
      </w:r>
      <w:r w:rsidR="002838A1">
        <w:t xml:space="preserve"> a</w:t>
      </w:r>
      <w:r w:rsidR="00B11CB5">
        <w:t xml:space="preserve"> COVID-19 Australian Government payment</w:t>
      </w:r>
      <w:r w:rsidR="002E4A0C">
        <w:t>;</w:t>
      </w:r>
    </w:p>
    <w:p w:rsidR="00B1475C" w:rsidRDefault="00B1475C" w:rsidP="00B1475C">
      <w:pPr>
        <w:pStyle w:val="Item"/>
        <w:numPr>
          <w:ilvl w:val="0"/>
          <w:numId w:val="14"/>
        </w:numPr>
        <w:spacing w:before="220"/>
      </w:pPr>
      <w:r w:rsidRPr="00614DD3">
        <w:t xml:space="preserve">the activity of making a claim for a social security payment </w:t>
      </w:r>
      <w:r>
        <w:t xml:space="preserve">by a person </w:t>
      </w:r>
      <w:r w:rsidR="002447EC">
        <w:t xml:space="preserve">on a day </w:t>
      </w:r>
      <w:r>
        <w:t xml:space="preserve">within 13 weeks </w:t>
      </w:r>
      <w:r w:rsidR="002447EC">
        <w:t>after</w:t>
      </w:r>
      <w:r w:rsidR="00AB3E38">
        <w:t xml:space="preserve"> the day</w:t>
      </w:r>
      <w:r>
        <w:t xml:space="preserve"> they were last entitled to a COVID-19 Australian Government payment.</w:t>
      </w:r>
    </w:p>
    <w:p w:rsidR="00B1475C" w:rsidRPr="00B1475C" w:rsidRDefault="00B1475C" w:rsidP="00B1475C">
      <w:pPr>
        <w:pStyle w:val="ItemHead"/>
        <w:ind w:left="1429" w:firstLine="0"/>
      </w:pPr>
    </w:p>
    <w:p w:rsidR="00B1475C" w:rsidRPr="00B1475C" w:rsidRDefault="00B1475C" w:rsidP="00B1475C">
      <w:pPr>
        <w:pStyle w:val="ItemHead"/>
      </w:pPr>
    </w:p>
    <w:p w:rsidR="00614DD3" w:rsidRPr="00614DD3" w:rsidRDefault="00614DD3" w:rsidP="00614DD3">
      <w:pPr>
        <w:pStyle w:val="Item"/>
      </w:pPr>
    </w:p>
    <w:p w:rsidR="00925DC8" w:rsidRPr="000A6879" w:rsidRDefault="00925DC8" w:rsidP="00925DC8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bookmarkStart w:id="15" w:name="_GoBack"/>
      <w:bookmarkEnd w:id="14"/>
      <w:bookmarkEnd w:id="15"/>
    </w:p>
    <w:sectPr w:rsidR="00925DC8" w:rsidRPr="000A6879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7E" w:rsidRDefault="00014E7E" w:rsidP="0048364F">
      <w:pPr>
        <w:spacing w:line="240" w:lineRule="auto"/>
      </w:pPr>
      <w:r>
        <w:separator/>
      </w:r>
    </w:p>
  </w:endnote>
  <w:endnote w:type="continuationSeparator" w:id="0">
    <w:p w:rsidR="00014E7E" w:rsidRDefault="00014E7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2720B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837C60" w:rsidP="00837C60">
          <w:pPr>
            <w:spacing w:line="0" w:lineRule="atLeast"/>
            <w:jc w:val="center"/>
            <w:rPr>
              <w:i/>
              <w:sz w:val="18"/>
            </w:rPr>
          </w:pPr>
          <w:r w:rsidRPr="00837C60">
            <w:rPr>
              <w:i/>
              <w:sz w:val="18"/>
            </w:rPr>
            <w:t>Social Security (Ordinary Waiting Period Exemption) Instrument 2021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113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37C60" w:rsidTr="00837C6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37C60" w:rsidRDefault="00837C60" w:rsidP="00837C6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113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37C60" w:rsidRPr="00B20990" w:rsidRDefault="00837C60" w:rsidP="00837C60">
          <w:pPr>
            <w:spacing w:line="0" w:lineRule="atLeast"/>
            <w:jc w:val="center"/>
            <w:rPr>
              <w:i/>
              <w:sz w:val="18"/>
            </w:rPr>
          </w:pPr>
          <w:r w:rsidRPr="00837C60">
            <w:rPr>
              <w:i/>
              <w:sz w:val="18"/>
            </w:rPr>
            <w:t>Social Security (Ordinary Waiting Period Exemption) Instrument 2021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37C60" w:rsidRDefault="00837C60" w:rsidP="00837C60">
          <w:pPr>
            <w:spacing w:line="0" w:lineRule="atLeast"/>
            <w:jc w:val="right"/>
            <w:rPr>
              <w:sz w:val="18"/>
            </w:rPr>
          </w:pPr>
        </w:p>
      </w:tc>
    </w:tr>
    <w:tr w:rsidR="00837C60" w:rsidTr="00837C6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837C60" w:rsidRDefault="00837C60" w:rsidP="00837C60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37C60" w:rsidTr="00837C6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37C60" w:rsidRDefault="00837C60" w:rsidP="00837C6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37C60" w:rsidRPr="00B20990" w:rsidRDefault="00837C60" w:rsidP="00837C60">
          <w:pPr>
            <w:spacing w:line="0" w:lineRule="atLeast"/>
            <w:jc w:val="center"/>
            <w:rPr>
              <w:i/>
              <w:sz w:val="18"/>
            </w:rPr>
          </w:pPr>
          <w:r w:rsidRPr="00837C60">
            <w:rPr>
              <w:i/>
              <w:sz w:val="18"/>
            </w:rPr>
            <w:t>Social Security (Ordinary Waiting Period Exemption) Instrument 2021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37C60" w:rsidRDefault="00837C60" w:rsidP="00837C6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113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37C60" w:rsidTr="00837C6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837C60" w:rsidRDefault="00837C60" w:rsidP="00837C60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20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2720B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E113F">
            <w:rPr>
              <w:i/>
              <w:noProof/>
              <w:sz w:val="18"/>
            </w:rPr>
            <w:t>19/10/2021 3:20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7E" w:rsidRDefault="00014E7E" w:rsidP="0048364F">
      <w:pPr>
        <w:spacing w:line="240" w:lineRule="auto"/>
      </w:pPr>
      <w:r>
        <w:separator/>
      </w:r>
    </w:p>
  </w:footnote>
  <w:footnote w:type="continuationSeparator" w:id="0">
    <w:p w:rsidR="00014E7E" w:rsidRDefault="00014E7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751A2B"/>
    <w:multiLevelType w:val="hybridMultilevel"/>
    <w:tmpl w:val="4A3A019A"/>
    <w:lvl w:ilvl="0" w:tplc="E400831C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D11CA2"/>
    <w:multiLevelType w:val="hybridMultilevel"/>
    <w:tmpl w:val="7F4A9DA4"/>
    <w:lvl w:ilvl="0" w:tplc="09E64198">
      <w:start w:val="2"/>
      <w:numFmt w:val="lowerRoman"/>
      <w:lvlText w:val="%1."/>
      <w:lvlJc w:val="right"/>
      <w:pPr>
        <w:ind w:left="1429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0B"/>
    <w:rsid w:val="00000263"/>
    <w:rsid w:val="000113BC"/>
    <w:rsid w:val="000136AF"/>
    <w:rsid w:val="00014E7E"/>
    <w:rsid w:val="000257F5"/>
    <w:rsid w:val="0004044E"/>
    <w:rsid w:val="0005120E"/>
    <w:rsid w:val="00054577"/>
    <w:rsid w:val="000614BF"/>
    <w:rsid w:val="0007169C"/>
    <w:rsid w:val="00077593"/>
    <w:rsid w:val="00083F48"/>
    <w:rsid w:val="000A479A"/>
    <w:rsid w:val="000A6879"/>
    <w:rsid w:val="000A7DF9"/>
    <w:rsid w:val="000D05EF"/>
    <w:rsid w:val="000D3FB9"/>
    <w:rsid w:val="000D5485"/>
    <w:rsid w:val="000E598E"/>
    <w:rsid w:val="000E5A3D"/>
    <w:rsid w:val="000F0ADA"/>
    <w:rsid w:val="000F21C1"/>
    <w:rsid w:val="001005F5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875AD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37676"/>
    <w:rsid w:val="00240749"/>
    <w:rsid w:val="002447EC"/>
    <w:rsid w:val="00246320"/>
    <w:rsid w:val="002468D7"/>
    <w:rsid w:val="00247E97"/>
    <w:rsid w:val="00256C81"/>
    <w:rsid w:val="002838A1"/>
    <w:rsid w:val="00285CDD"/>
    <w:rsid w:val="00291167"/>
    <w:rsid w:val="00293BC1"/>
    <w:rsid w:val="0029489E"/>
    <w:rsid w:val="00297ECB"/>
    <w:rsid w:val="002A3EE8"/>
    <w:rsid w:val="002C152A"/>
    <w:rsid w:val="002C45E0"/>
    <w:rsid w:val="002D043A"/>
    <w:rsid w:val="002E4A0C"/>
    <w:rsid w:val="0031713F"/>
    <w:rsid w:val="003222D1"/>
    <w:rsid w:val="0032750F"/>
    <w:rsid w:val="003415D3"/>
    <w:rsid w:val="003442F6"/>
    <w:rsid w:val="00346335"/>
    <w:rsid w:val="00352B0F"/>
    <w:rsid w:val="003561B0"/>
    <w:rsid w:val="00367938"/>
    <w:rsid w:val="003855E4"/>
    <w:rsid w:val="00397893"/>
    <w:rsid w:val="003A15AC"/>
    <w:rsid w:val="003B0627"/>
    <w:rsid w:val="003B25B2"/>
    <w:rsid w:val="003C5F2B"/>
    <w:rsid w:val="003C7D35"/>
    <w:rsid w:val="003D0BFE"/>
    <w:rsid w:val="003D5700"/>
    <w:rsid w:val="003E75B3"/>
    <w:rsid w:val="003F6F52"/>
    <w:rsid w:val="004022CA"/>
    <w:rsid w:val="004116CD"/>
    <w:rsid w:val="00414ADE"/>
    <w:rsid w:val="00424CA9"/>
    <w:rsid w:val="004257BB"/>
    <w:rsid w:val="0044291A"/>
    <w:rsid w:val="00444B70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0034B"/>
    <w:rsid w:val="00507AC1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7B2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61D3"/>
    <w:rsid w:val="00600219"/>
    <w:rsid w:val="006065DA"/>
    <w:rsid w:val="00606AA4"/>
    <w:rsid w:val="00614DD3"/>
    <w:rsid w:val="00624903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59F2"/>
    <w:rsid w:val="00717463"/>
    <w:rsid w:val="00720FC2"/>
    <w:rsid w:val="00722E89"/>
    <w:rsid w:val="00731E00"/>
    <w:rsid w:val="007339C7"/>
    <w:rsid w:val="0073463C"/>
    <w:rsid w:val="007440B7"/>
    <w:rsid w:val="00747993"/>
    <w:rsid w:val="007634AD"/>
    <w:rsid w:val="007715C9"/>
    <w:rsid w:val="00774EDD"/>
    <w:rsid w:val="007757EC"/>
    <w:rsid w:val="007956A7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37C60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5FEB"/>
    <w:rsid w:val="008E69AA"/>
    <w:rsid w:val="008F4F1C"/>
    <w:rsid w:val="009069AD"/>
    <w:rsid w:val="00910E64"/>
    <w:rsid w:val="00922764"/>
    <w:rsid w:val="00925DC8"/>
    <w:rsid w:val="009278C1"/>
    <w:rsid w:val="00932377"/>
    <w:rsid w:val="009346E3"/>
    <w:rsid w:val="009379D2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2720B"/>
    <w:rsid w:val="00A32BE5"/>
    <w:rsid w:val="00A332FD"/>
    <w:rsid w:val="00A379BB"/>
    <w:rsid w:val="00A4169B"/>
    <w:rsid w:val="00A43E63"/>
    <w:rsid w:val="00A50D55"/>
    <w:rsid w:val="00A52FDA"/>
    <w:rsid w:val="00A52FF8"/>
    <w:rsid w:val="00A64912"/>
    <w:rsid w:val="00A70A74"/>
    <w:rsid w:val="00A9231A"/>
    <w:rsid w:val="00A95BC7"/>
    <w:rsid w:val="00AA0343"/>
    <w:rsid w:val="00AA78CE"/>
    <w:rsid w:val="00AA7B26"/>
    <w:rsid w:val="00AB3E38"/>
    <w:rsid w:val="00AC767C"/>
    <w:rsid w:val="00AD3467"/>
    <w:rsid w:val="00AD3982"/>
    <w:rsid w:val="00AD5641"/>
    <w:rsid w:val="00AF33DB"/>
    <w:rsid w:val="00B032D8"/>
    <w:rsid w:val="00B05D72"/>
    <w:rsid w:val="00B11CB5"/>
    <w:rsid w:val="00B1475C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450"/>
    <w:rsid w:val="00BA7B5B"/>
    <w:rsid w:val="00BB6E79"/>
    <w:rsid w:val="00BD3548"/>
    <w:rsid w:val="00BE113F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07CB"/>
    <w:rsid w:val="00C72D10"/>
    <w:rsid w:val="00C7573B"/>
    <w:rsid w:val="00C76CF3"/>
    <w:rsid w:val="00C93205"/>
    <w:rsid w:val="00CA7844"/>
    <w:rsid w:val="00CB58EF"/>
    <w:rsid w:val="00CE0A93"/>
    <w:rsid w:val="00CF0BB2"/>
    <w:rsid w:val="00D12B0D"/>
    <w:rsid w:val="00D13441"/>
    <w:rsid w:val="00D243A3"/>
    <w:rsid w:val="00D3073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2CE2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54DD9"/>
    <w:rsid w:val="00E57195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7651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A2C4A"/>
  <w15:docId w15:val="{BD6E5095-FF79-4812-BA96-348E4880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text0">
    <w:name w:val="tabletext"/>
    <w:basedOn w:val="Normal"/>
    <w:rsid w:val="00507A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507A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507A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9379D2"/>
    <w:rPr>
      <w:rFonts w:eastAsia="Times New Roman" w:cs="Times New Roman"/>
      <w:sz w:val="22"/>
      <w:lang w:eastAsia="en-AU"/>
    </w:rPr>
  </w:style>
  <w:style w:type="paragraph" w:customStyle="1" w:styleId="itemhead0">
    <w:name w:val="itemhead"/>
    <w:basedOn w:val="Normal"/>
    <w:rsid w:val="00B11C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B11C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838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4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90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9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0013\AppData\Local\Hewlett-Packard\HP%20TRIM\TEMP\HPTRIM.19936\D17%2028511%20%20OPC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D3327121D1C6E4C824CE555D525DF9B" ma:contentTypeVersion="" ma:contentTypeDescription="PDMS Document Site Content Type" ma:contentTypeScope="" ma:versionID="eda74906db03e39b8c4cfa4761542038">
  <xsd:schema xmlns:xsd="http://www.w3.org/2001/XMLSchema" xmlns:xs="http://www.w3.org/2001/XMLSchema" xmlns:p="http://schemas.microsoft.com/office/2006/metadata/properties" xmlns:ns2="E547A018-7E80-40A5-A8A6-34374423E983" targetNamespace="http://schemas.microsoft.com/office/2006/metadata/properties" ma:root="true" ma:fieldsID="ffd2ba8e66dcb263a0b28adac499b157" ns2:_="">
    <xsd:import namespace="E547A018-7E80-40A5-A8A6-34374423E98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A018-7E80-40A5-A8A6-34374423E98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547A018-7E80-40A5-A8A6-34374423E9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71CFA-5F9C-4D28-920B-73E15A33A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7015E-CD31-4E5F-B4DF-A0708FD23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7A018-7E80-40A5-A8A6-34374423E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959334-846B-426F-A55E-FBB055BD0C72}">
  <ds:schemaRefs>
    <ds:schemaRef ds:uri="http://schemas.microsoft.com/office/2006/metadata/properties"/>
    <ds:schemaRef ds:uri="http://schemas.microsoft.com/office/infopath/2007/PartnerControls"/>
    <ds:schemaRef ds:uri="E547A018-7E80-40A5-A8A6-34374423E983"/>
  </ds:schemaRefs>
</ds:datastoreItem>
</file>

<file path=customXml/itemProps4.xml><?xml version="1.0" encoding="utf-8"?>
<ds:datastoreItem xmlns:ds="http://schemas.openxmlformats.org/officeDocument/2006/customXml" ds:itemID="{CC50179C-0DD0-49EB-B378-A4A4C4BD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28511  OPC Template - Amending instrument</Template>
  <TotalTime>1</TotalTime>
  <Pages>7</Pages>
  <Words>589</Words>
  <Characters>3110</Characters>
  <Application>Microsoft Office Word</Application>
  <DocSecurity>0</DocSecurity>
  <Lines>106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OGBURN, Ben</dc:creator>
  <cp:keywords>[SEC=OFFICIAL]</cp:keywords>
  <cp:lastModifiedBy>LUI, Joseph</cp:lastModifiedBy>
  <cp:revision>2</cp:revision>
  <dcterms:created xsi:type="dcterms:W3CDTF">2021-10-19T04:23:00Z</dcterms:created>
  <dcterms:modified xsi:type="dcterms:W3CDTF">2021-10-19T04:23:00Z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DisplayValueSecClassificationWithQualifier">
    <vt:lpwstr>OFFICIAL</vt:lpwstr>
  </property>
  <property fmtid="{D5CDD505-2E9C-101B-9397-08002B2CF9AE}" pid="4" name="PM_Qualifier">
    <vt:lpwstr/>
  </property>
  <property fmtid="{D5CDD505-2E9C-101B-9397-08002B2CF9AE}" pid="5" name="PM_SecurityClassification">
    <vt:lpwstr>OFFICIAL</vt:lpwstr>
  </property>
  <property fmtid="{D5CDD505-2E9C-101B-9397-08002B2CF9AE}" pid="6" name="PM_InsertionValue">
    <vt:lpwstr>OFFICIAL</vt:lpwstr>
  </property>
  <property fmtid="{D5CDD505-2E9C-101B-9397-08002B2CF9AE}" pid="7" name="PM_Originating_FileId">
    <vt:lpwstr>204FE5C8FF494175B7EF7E9D450FFFF5</vt:lpwstr>
  </property>
  <property fmtid="{D5CDD505-2E9C-101B-9397-08002B2CF9AE}" pid="8" name="PM_ProtectiveMarkingValue_Footer">
    <vt:lpwstr>OFFICIAL</vt:lpwstr>
  </property>
  <property fmtid="{D5CDD505-2E9C-101B-9397-08002B2CF9AE}" pid="9" name="PM_Originator_Hash_SHA1">
    <vt:lpwstr>BB6319510312AF821A5FD7EF9A5CC5B4CE2401AA</vt:lpwstr>
  </property>
  <property fmtid="{D5CDD505-2E9C-101B-9397-08002B2CF9AE}" pid="10" name="PM_OriginationTimeStamp">
    <vt:lpwstr>2021-10-19T04:21:42Z</vt:lpwstr>
  </property>
  <property fmtid="{D5CDD505-2E9C-101B-9397-08002B2CF9AE}" pid="11" name="PM_ProtectiveMarkingValue_Header">
    <vt:lpwstr>OFFICIAL</vt:lpwstr>
  </property>
  <property fmtid="{D5CDD505-2E9C-101B-9397-08002B2CF9AE}" pid="12" name="PM_ProtectiveMarkingImage_Header">
    <vt:lpwstr>C:\Program Files (x86)\Common Files\janusNET Shared\janusSEAL\Images\DocumentSlashBlue.png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4E54714F9F76C803648C7038FAB8C8EA</vt:lpwstr>
  </property>
  <property fmtid="{D5CDD505-2E9C-101B-9397-08002B2CF9AE}" pid="20" name="PM_Hash_Salt">
    <vt:lpwstr>8487A0D12B5ACE8106E1564DEBBA93D9</vt:lpwstr>
  </property>
  <property fmtid="{D5CDD505-2E9C-101B-9397-08002B2CF9AE}" pid="21" name="PM_Hash_SHA1">
    <vt:lpwstr>5F02C3738221EE881E916FE57BAD276F072A5F20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0x010100266966F133664895A6EE3632470D45F5008D3327121D1C6E4C824CE555D525DF9B</vt:lpwstr>
  </property>
</Properties>
</file>