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2DA5C" w14:textId="746BAABB" w:rsidR="00543981" w:rsidRPr="00447392" w:rsidRDefault="0009111F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447392">
        <w:rPr>
          <w:rFonts w:ascii="Arial" w:hAnsi="Arial" w:cs="Arial"/>
          <w:sz w:val="34"/>
          <w:szCs w:val="34"/>
        </w:rPr>
        <w:t>Legislative Instrument</w:t>
      </w:r>
    </w:p>
    <w:p w14:paraId="062DDD73" w14:textId="77777777" w:rsidR="007A010E" w:rsidRPr="00447392" w:rsidRDefault="007A010E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5D42445C" w14:textId="6B96DC33" w:rsidR="00543981" w:rsidRPr="00447392" w:rsidRDefault="00761BF8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iCs/>
          <w:sz w:val="34"/>
          <w:szCs w:val="34"/>
        </w:rPr>
      </w:pPr>
      <w:bookmarkStart w:id="0" w:name="_Hlk63942194"/>
      <w:r w:rsidRPr="00447392">
        <w:rPr>
          <w:rFonts w:ascii="Arial" w:hAnsi="Arial" w:cs="Arial"/>
          <w:iCs/>
          <w:sz w:val="34"/>
          <w:szCs w:val="34"/>
        </w:rPr>
        <w:t xml:space="preserve">Superannuation </w:t>
      </w:r>
      <w:r w:rsidR="007031BC">
        <w:rPr>
          <w:rFonts w:ascii="Arial" w:hAnsi="Arial" w:cs="Arial"/>
          <w:iCs/>
          <w:sz w:val="34"/>
          <w:szCs w:val="34"/>
        </w:rPr>
        <w:t>G</w:t>
      </w:r>
      <w:r w:rsidR="00447392">
        <w:rPr>
          <w:rFonts w:ascii="Arial" w:hAnsi="Arial" w:cs="Arial"/>
          <w:iCs/>
          <w:sz w:val="34"/>
          <w:szCs w:val="34"/>
        </w:rPr>
        <w:t>uarantee (</w:t>
      </w:r>
      <w:r w:rsidR="007031BC">
        <w:rPr>
          <w:rFonts w:ascii="Arial" w:hAnsi="Arial" w:cs="Arial"/>
          <w:iCs/>
          <w:sz w:val="34"/>
          <w:szCs w:val="34"/>
        </w:rPr>
        <w:t>A</w:t>
      </w:r>
      <w:r w:rsidR="00447392">
        <w:rPr>
          <w:rFonts w:ascii="Arial" w:hAnsi="Arial" w:cs="Arial"/>
          <w:iCs/>
          <w:sz w:val="34"/>
          <w:szCs w:val="34"/>
        </w:rPr>
        <w:t xml:space="preserve">dministration) </w:t>
      </w:r>
      <w:r w:rsidRPr="00447392">
        <w:rPr>
          <w:rFonts w:ascii="Arial" w:hAnsi="Arial" w:cs="Arial"/>
          <w:iCs/>
          <w:sz w:val="34"/>
          <w:szCs w:val="34"/>
        </w:rPr>
        <w:t xml:space="preserve">– </w:t>
      </w:r>
      <w:r w:rsidR="004A1F99">
        <w:rPr>
          <w:rFonts w:ascii="Arial" w:hAnsi="Arial" w:cs="Arial"/>
          <w:iCs/>
          <w:sz w:val="34"/>
          <w:szCs w:val="34"/>
        </w:rPr>
        <w:t>C</w:t>
      </w:r>
      <w:r w:rsidRPr="00447392">
        <w:rPr>
          <w:rFonts w:ascii="Arial" w:hAnsi="Arial" w:cs="Arial"/>
          <w:iCs/>
          <w:sz w:val="34"/>
          <w:szCs w:val="34"/>
        </w:rPr>
        <w:t xml:space="preserve">hoice of </w:t>
      </w:r>
      <w:r w:rsidR="004A1F99">
        <w:rPr>
          <w:rFonts w:ascii="Arial" w:hAnsi="Arial" w:cs="Arial"/>
          <w:iCs/>
          <w:sz w:val="34"/>
          <w:szCs w:val="34"/>
        </w:rPr>
        <w:t>F</w:t>
      </w:r>
      <w:r w:rsidRPr="00447392">
        <w:rPr>
          <w:rFonts w:ascii="Arial" w:hAnsi="Arial" w:cs="Arial"/>
          <w:iCs/>
          <w:sz w:val="34"/>
          <w:szCs w:val="34"/>
        </w:rPr>
        <w:t>und</w:t>
      </w:r>
      <w:r w:rsidR="00447392">
        <w:rPr>
          <w:rFonts w:ascii="Arial" w:hAnsi="Arial" w:cs="Arial"/>
          <w:iCs/>
          <w:sz w:val="34"/>
          <w:szCs w:val="34"/>
        </w:rPr>
        <w:t xml:space="preserve"> – </w:t>
      </w:r>
      <w:r w:rsidR="004A1F99">
        <w:rPr>
          <w:rFonts w:ascii="Arial" w:hAnsi="Arial" w:cs="Arial"/>
          <w:iCs/>
          <w:sz w:val="34"/>
          <w:szCs w:val="34"/>
        </w:rPr>
        <w:t>W</w:t>
      </w:r>
      <w:r w:rsidRPr="00447392">
        <w:rPr>
          <w:rFonts w:ascii="Arial" w:hAnsi="Arial" w:cs="Arial"/>
          <w:iCs/>
          <w:sz w:val="34"/>
          <w:szCs w:val="34"/>
        </w:rPr>
        <w:t xml:space="preserve">ritten </w:t>
      </w:r>
      <w:r w:rsidR="004A1F99">
        <w:rPr>
          <w:rFonts w:ascii="Arial" w:hAnsi="Arial" w:cs="Arial"/>
          <w:iCs/>
          <w:sz w:val="34"/>
          <w:szCs w:val="34"/>
        </w:rPr>
        <w:t>G</w:t>
      </w:r>
      <w:r w:rsidRPr="00447392">
        <w:rPr>
          <w:rFonts w:ascii="Arial" w:hAnsi="Arial" w:cs="Arial"/>
          <w:iCs/>
          <w:sz w:val="34"/>
          <w:szCs w:val="34"/>
        </w:rPr>
        <w:t xml:space="preserve">uidelines for the </w:t>
      </w:r>
      <w:r w:rsidR="004A1F99">
        <w:rPr>
          <w:rFonts w:ascii="Arial" w:hAnsi="Arial" w:cs="Arial"/>
          <w:iCs/>
          <w:sz w:val="34"/>
          <w:szCs w:val="34"/>
        </w:rPr>
        <w:t>R</w:t>
      </w:r>
      <w:r w:rsidRPr="00447392">
        <w:rPr>
          <w:rFonts w:ascii="Arial" w:hAnsi="Arial" w:cs="Arial"/>
          <w:iCs/>
          <w:sz w:val="34"/>
          <w:szCs w:val="34"/>
        </w:rPr>
        <w:t xml:space="preserve">eduction of an </w:t>
      </w:r>
      <w:r w:rsidR="004A1F99">
        <w:rPr>
          <w:rFonts w:ascii="Arial" w:hAnsi="Arial" w:cs="Arial"/>
          <w:iCs/>
          <w:sz w:val="34"/>
          <w:szCs w:val="34"/>
        </w:rPr>
        <w:t>I</w:t>
      </w:r>
      <w:r w:rsidRPr="00447392">
        <w:rPr>
          <w:rFonts w:ascii="Arial" w:hAnsi="Arial" w:cs="Arial"/>
          <w:iCs/>
          <w:sz w:val="34"/>
          <w:szCs w:val="34"/>
        </w:rPr>
        <w:t xml:space="preserve">ncrease in an </w:t>
      </w:r>
      <w:r w:rsidR="004A1F99">
        <w:rPr>
          <w:rFonts w:ascii="Arial" w:hAnsi="Arial" w:cs="Arial"/>
          <w:iCs/>
          <w:sz w:val="34"/>
          <w:szCs w:val="34"/>
        </w:rPr>
        <w:t>E</w:t>
      </w:r>
      <w:r w:rsidRPr="00447392">
        <w:rPr>
          <w:rFonts w:ascii="Arial" w:hAnsi="Arial" w:cs="Arial"/>
          <w:iCs/>
          <w:sz w:val="34"/>
          <w:szCs w:val="34"/>
        </w:rPr>
        <w:t xml:space="preserve">mployer’s </w:t>
      </w:r>
      <w:r w:rsidR="004A1F99">
        <w:rPr>
          <w:rFonts w:ascii="Arial" w:hAnsi="Arial" w:cs="Arial"/>
          <w:iCs/>
          <w:sz w:val="34"/>
          <w:szCs w:val="34"/>
        </w:rPr>
        <w:t>I</w:t>
      </w:r>
      <w:r w:rsidRPr="00447392">
        <w:rPr>
          <w:rFonts w:ascii="Arial" w:hAnsi="Arial" w:cs="Arial"/>
          <w:iCs/>
          <w:sz w:val="34"/>
          <w:szCs w:val="34"/>
        </w:rPr>
        <w:t xml:space="preserve">ndividual </w:t>
      </w:r>
      <w:r w:rsidR="004A1F99">
        <w:rPr>
          <w:rFonts w:ascii="Arial" w:hAnsi="Arial" w:cs="Arial"/>
          <w:iCs/>
          <w:sz w:val="34"/>
          <w:szCs w:val="34"/>
        </w:rPr>
        <w:t>S</w:t>
      </w:r>
      <w:r w:rsidRPr="00447392">
        <w:rPr>
          <w:rFonts w:ascii="Arial" w:hAnsi="Arial" w:cs="Arial"/>
          <w:iCs/>
          <w:sz w:val="34"/>
          <w:szCs w:val="34"/>
        </w:rPr>
        <w:t xml:space="preserve">uperannuation </w:t>
      </w:r>
      <w:r w:rsidR="004A1F99">
        <w:rPr>
          <w:rFonts w:ascii="Arial" w:hAnsi="Arial" w:cs="Arial"/>
          <w:iCs/>
          <w:sz w:val="34"/>
          <w:szCs w:val="34"/>
        </w:rPr>
        <w:t>G</w:t>
      </w:r>
      <w:r w:rsidRPr="00447392">
        <w:rPr>
          <w:rFonts w:ascii="Arial" w:hAnsi="Arial" w:cs="Arial"/>
          <w:iCs/>
          <w:sz w:val="34"/>
          <w:szCs w:val="34"/>
        </w:rPr>
        <w:t xml:space="preserve">uarantee </w:t>
      </w:r>
      <w:r w:rsidR="004A1F99">
        <w:rPr>
          <w:rFonts w:ascii="Arial" w:hAnsi="Arial" w:cs="Arial"/>
          <w:iCs/>
          <w:sz w:val="34"/>
          <w:szCs w:val="34"/>
        </w:rPr>
        <w:t>S</w:t>
      </w:r>
      <w:r w:rsidRPr="00447392">
        <w:rPr>
          <w:rFonts w:ascii="Arial" w:hAnsi="Arial" w:cs="Arial"/>
          <w:iCs/>
          <w:sz w:val="34"/>
          <w:szCs w:val="34"/>
        </w:rPr>
        <w:t>hortfall</w:t>
      </w:r>
      <w:r w:rsidR="00447392">
        <w:rPr>
          <w:rFonts w:ascii="Arial" w:hAnsi="Arial" w:cs="Arial"/>
          <w:iCs/>
          <w:sz w:val="34"/>
          <w:szCs w:val="34"/>
        </w:rPr>
        <w:t xml:space="preserve"> </w:t>
      </w:r>
      <w:r w:rsidR="004A1F99">
        <w:rPr>
          <w:rFonts w:ascii="Arial" w:hAnsi="Arial" w:cs="Arial"/>
          <w:iCs/>
          <w:sz w:val="34"/>
          <w:szCs w:val="34"/>
        </w:rPr>
        <w:t>D</w:t>
      </w:r>
      <w:r w:rsidR="00447392">
        <w:rPr>
          <w:rFonts w:ascii="Arial" w:hAnsi="Arial" w:cs="Arial"/>
          <w:iCs/>
          <w:sz w:val="34"/>
          <w:szCs w:val="34"/>
        </w:rPr>
        <w:t>etermination 2021</w:t>
      </w:r>
    </w:p>
    <w:bookmarkEnd w:id="0"/>
    <w:p w14:paraId="3BF9507A" w14:textId="338A5742" w:rsidR="000A1078" w:rsidRPr="00447392" w:rsidRDefault="000A1078" w:rsidP="00766BC9">
      <w:pPr>
        <w:rPr>
          <w:rFonts w:ascii="Arial" w:hAnsi="Arial" w:cs="Arial"/>
          <w:sz w:val="22"/>
          <w:szCs w:val="22"/>
        </w:rPr>
      </w:pPr>
    </w:p>
    <w:p w14:paraId="133A6C87" w14:textId="77777777" w:rsidR="00B813C3" w:rsidRPr="00447392" w:rsidRDefault="00B813C3" w:rsidP="00766BC9">
      <w:pPr>
        <w:rPr>
          <w:rFonts w:ascii="Arial" w:hAnsi="Arial" w:cs="Arial"/>
          <w:sz w:val="22"/>
          <w:szCs w:val="22"/>
        </w:rPr>
      </w:pPr>
    </w:p>
    <w:p w14:paraId="4A56A9D2" w14:textId="65570BE1" w:rsidR="00543981" w:rsidRPr="00447392" w:rsidRDefault="00B813C3" w:rsidP="00447392">
      <w:pPr>
        <w:spacing w:after="120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 xml:space="preserve">I, </w:t>
      </w:r>
      <w:r w:rsidR="00E71538">
        <w:rPr>
          <w:rFonts w:ascii="Arial" w:hAnsi="Arial" w:cs="Arial"/>
          <w:sz w:val="22"/>
          <w:szCs w:val="22"/>
        </w:rPr>
        <w:t>Usha Narain</w:t>
      </w:r>
      <w:r w:rsidRPr="00447392">
        <w:rPr>
          <w:rFonts w:ascii="Arial" w:hAnsi="Arial" w:cs="Arial"/>
          <w:sz w:val="22"/>
          <w:szCs w:val="22"/>
        </w:rPr>
        <w:t xml:space="preserve">, </w:t>
      </w:r>
      <w:r w:rsidR="004A1F99">
        <w:rPr>
          <w:rFonts w:ascii="Arial" w:hAnsi="Arial" w:cs="Arial"/>
          <w:sz w:val="22"/>
          <w:szCs w:val="22"/>
        </w:rPr>
        <w:t xml:space="preserve">Acting </w:t>
      </w:r>
      <w:r w:rsidRPr="00447392">
        <w:rPr>
          <w:rFonts w:ascii="Arial" w:hAnsi="Arial" w:cs="Arial"/>
          <w:sz w:val="22"/>
          <w:szCs w:val="22"/>
        </w:rPr>
        <w:t xml:space="preserve">Deputy Commissioner of Taxation, make this determination under </w:t>
      </w:r>
      <w:r w:rsidR="000920E5" w:rsidRPr="00447392">
        <w:rPr>
          <w:rFonts w:ascii="Arial" w:hAnsi="Arial" w:cs="Arial"/>
          <w:sz w:val="22"/>
          <w:szCs w:val="22"/>
        </w:rPr>
        <w:t>subsection</w:t>
      </w:r>
      <w:r w:rsidR="009B0683">
        <w:rPr>
          <w:rFonts w:ascii="Arial" w:hAnsi="Arial" w:cs="Arial"/>
          <w:sz w:val="22"/>
          <w:szCs w:val="22"/>
        </w:rPr>
        <w:t> </w:t>
      </w:r>
      <w:r w:rsidR="000920E5" w:rsidRPr="00447392">
        <w:rPr>
          <w:rFonts w:ascii="Arial" w:hAnsi="Arial" w:cs="Arial"/>
          <w:sz w:val="22"/>
          <w:szCs w:val="22"/>
        </w:rPr>
        <w:t xml:space="preserve">21(1) of the </w:t>
      </w:r>
      <w:r w:rsidR="000920E5" w:rsidRPr="00447392">
        <w:rPr>
          <w:rFonts w:ascii="Arial" w:hAnsi="Arial" w:cs="Arial"/>
          <w:i/>
          <w:iCs/>
          <w:sz w:val="22"/>
          <w:szCs w:val="22"/>
        </w:rPr>
        <w:t xml:space="preserve">Superannuation Guarantee </w:t>
      </w:r>
      <w:bookmarkStart w:id="1" w:name="_Hlk63678184"/>
      <w:r w:rsidR="000920E5" w:rsidRPr="00447392">
        <w:rPr>
          <w:rFonts w:ascii="Arial" w:hAnsi="Arial" w:cs="Arial"/>
          <w:i/>
          <w:iCs/>
          <w:sz w:val="22"/>
          <w:szCs w:val="22"/>
        </w:rPr>
        <w:t>(Administration) Act 1992</w:t>
      </w:r>
      <w:bookmarkEnd w:id="1"/>
      <w:r w:rsidR="00447392">
        <w:rPr>
          <w:rFonts w:ascii="Arial" w:hAnsi="Arial" w:cs="Arial"/>
          <w:sz w:val="22"/>
          <w:szCs w:val="22"/>
        </w:rPr>
        <w:t>.</w:t>
      </w:r>
    </w:p>
    <w:p w14:paraId="71225D73" w14:textId="77777777" w:rsidR="00B813C3" w:rsidRPr="00447392" w:rsidRDefault="00B813C3" w:rsidP="00766BC9">
      <w:pPr>
        <w:rPr>
          <w:rFonts w:ascii="Arial" w:hAnsi="Arial" w:cs="Arial"/>
          <w:sz w:val="22"/>
          <w:szCs w:val="22"/>
        </w:rPr>
      </w:pPr>
    </w:p>
    <w:p w14:paraId="4E67F1B9" w14:textId="77777777" w:rsidR="00B813C3" w:rsidRPr="00447392" w:rsidRDefault="00B813C3" w:rsidP="00766BC9">
      <w:pPr>
        <w:rPr>
          <w:rFonts w:ascii="Arial" w:hAnsi="Arial" w:cs="Arial"/>
          <w:sz w:val="22"/>
          <w:szCs w:val="22"/>
        </w:rPr>
      </w:pPr>
    </w:p>
    <w:p w14:paraId="04B12419" w14:textId="17006D56" w:rsidR="00B813C3" w:rsidRPr="00447392" w:rsidRDefault="004A1F99" w:rsidP="00766B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Usha Narain</w:t>
      </w:r>
    </w:p>
    <w:p w14:paraId="1AC2770D" w14:textId="2D23388E" w:rsidR="00B813C3" w:rsidRPr="00447392" w:rsidRDefault="004A1F99" w:rsidP="00766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Acting </w:t>
      </w:r>
      <w:r w:rsidR="00B813C3" w:rsidRPr="00447392">
        <w:rPr>
          <w:rFonts w:ascii="Arial" w:hAnsi="Arial" w:cs="Arial"/>
          <w:sz w:val="22"/>
          <w:szCs w:val="22"/>
        </w:rPr>
        <w:t>Deputy Commissioner of Taxation</w:t>
      </w:r>
    </w:p>
    <w:p w14:paraId="6D5350C0" w14:textId="77777777" w:rsidR="00447392" w:rsidRDefault="00447392" w:rsidP="004473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Policy, Analysis and Legislation</w:t>
      </w:r>
    </w:p>
    <w:p w14:paraId="43EC1025" w14:textId="77777777" w:rsidR="009B0683" w:rsidRDefault="009B0683" w:rsidP="009B068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 Design and Practice</w:t>
      </w:r>
    </w:p>
    <w:p w14:paraId="5234337C" w14:textId="633B4235" w:rsidR="009B0683" w:rsidRPr="00447392" w:rsidRDefault="00747487" w:rsidP="009B0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 </w:t>
      </w:r>
      <w:r w:rsidR="009B0683">
        <w:rPr>
          <w:rFonts w:ascii="Arial" w:hAnsi="Arial" w:cs="Arial"/>
          <w:sz w:val="22"/>
          <w:szCs w:val="22"/>
        </w:rPr>
        <w:t>October 2021</w:t>
      </w:r>
    </w:p>
    <w:p w14:paraId="37A7EB66" w14:textId="77777777" w:rsidR="009B0683" w:rsidRPr="00543981" w:rsidRDefault="009B0683" w:rsidP="009B0683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3FFE693E" w14:textId="77777777" w:rsidR="009B0683" w:rsidRPr="003057F6" w:rsidRDefault="009B0683" w:rsidP="009B0683">
      <w:pPr>
        <w:rPr>
          <w:rFonts w:ascii="Arial" w:hAnsi="Arial" w:cs="Arial"/>
          <w:sz w:val="22"/>
          <w:szCs w:val="22"/>
        </w:rPr>
      </w:pPr>
    </w:p>
    <w:p w14:paraId="1E184A6A" w14:textId="77777777" w:rsidR="009B0683" w:rsidRPr="003057F6" w:rsidRDefault="009B0683" w:rsidP="009B0683">
      <w:pPr>
        <w:pStyle w:val="Heading2"/>
        <w:numPr>
          <w:ilvl w:val="0"/>
          <w:numId w:val="2"/>
        </w:numPr>
        <w:tabs>
          <w:tab w:val="clear" w:pos="720"/>
        </w:tabs>
        <w:ind w:left="567" w:hanging="567"/>
        <w:rPr>
          <w:rFonts w:cs="Arial"/>
          <w:szCs w:val="22"/>
        </w:rPr>
      </w:pPr>
      <w:r w:rsidRPr="003057F6">
        <w:rPr>
          <w:rFonts w:cs="Arial"/>
          <w:szCs w:val="22"/>
        </w:rPr>
        <w:t>Name of instrument</w:t>
      </w:r>
    </w:p>
    <w:p w14:paraId="61496F65" w14:textId="0529D0E9" w:rsidR="00B70B68" w:rsidRPr="00B70B68" w:rsidRDefault="00B813C3" w:rsidP="006C1AFB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B70B68">
        <w:rPr>
          <w:rFonts w:ascii="Arial" w:hAnsi="Arial" w:cs="Arial"/>
          <w:sz w:val="22"/>
          <w:szCs w:val="22"/>
        </w:rPr>
        <w:t xml:space="preserve">This determination is the </w:t>
      </w:r>
      <w:r w:rsidR="00AA623E" w:rsidRPr="00B70B68">
        <w:rPr>
          <w:rFonts w:ascii="Arial" w:hAnsi="Arial" w:cs="Arial"/>
          <w:i/>
          <w:iCs/>
          <w:sz w:val="22"/>
          <w:szCs w:val="22"/>
        </w:rPr>
        <w:t xml:space="preserve">Superannuation </w:t>
      </w:r>
      <w:r w:rsidR="007031BC">
        <w:rPr>
          <w:rFonts w:ascii="Arial" w:hAnsi="Arial" w:cs="Arial"/>
          <w:i/>
          <w:iCs/>
          <w:sz w:val="22"/>
          <w:szCs w:val="22"/>
        </w:rPr>
        <w:t>G</w:t>
      </w:r>
      <w:r w:rsidR="00B70B68" w:rsidRPr="00B70B68">
        <w:rPr>
          <w:rFonts w:ascii="Arial" w:hAnsi="Arial" w:cs="Arial"/>
          <w:i/>
          <w:iCs/>
          <w:sz w:val="22"/>
          <w:szCs w:val="22"/>
        </w:rPr>
        <w:t>uarantee (</w:t>
      </w:r>
      <w:r w:rsidR="007031BC">
        <w:rPr>
          <w:rFonts w:ascii="Arial" w:hAnsi="Arial" w:cs="Arial"/>
          <w:i/>
          <w:iCs/>
          <w:sz w:val="22"/>
          <w:szCs w:val="22"/>
        </w:rPr>
        <w:t>A</w:t>
      </w:r>
      <w:r w:rsidR="00B70B68" w:rsidRPr="00B70B68">
        <w:rPr>
          <w:rFonts w:ascii="Arial" w:hAnsi="Arial" w:cs="Arial"/>
          <w:i/>
          <w:iCs/>
          <w:sz w:val="22"/>
          <w:szCs w:val="22"/>
        </w:rPr>
        <w:t xml:space="preserve">dministration) </w:t>
      </w:r>
      <w:r w:rsidR="00AA623E" w:rsidRPr="00B70B68">
        <w:rPr>
          <w:rFonts w:ascii="Arial" w:hAnsi="Arial" w:cs="Arial"/>
          <w:i/>
          <w:iCs/>
          <w:sz w:val="22"/>
          <w:szCs w:val="22"/>
        </w:rPr>
        <w:t xml:space="preserve">– </w:t>
      </w:r>
      <w:r w:rsidR="00613BA6">
        <w:rPr>
          <w:rFonts w:ascii="Arial" w:hAnsi="Arial" w:cs="Arial"/>
          <w:i/>
          <w:iCs/>
          <w:sz w:val="22"/>
          <w:szCs w:val="22"/>
        </w:rPr>
        <w:t>C</w:t>
      </w:r>
      <w:r w:rsidR="00AA623E" w:rsidRPr="00B70B68">
        <w:rPr>
          <w:rFonts w:ascii="Arial" w:hAnsi="Arial" w:cs="Arial"/>
          <w:i/>
          <w:iCs/>
          <w:sz w:val="22"/>
          <w:szCs w:val="22"/>
        </w:rPr>
        <w:t xml:space="preserve">hoice of </w:t>
      </w:r>
      <w:r w:rsidR="00613BA6">
        <w:rPr>
          <w:rFonts w:ascii="Arial" w:hAnsi="Arial" w:cs="Arial"/>
          <w:i/>
          <w:iCs/>
          <w:sz w:val="22"/>
          <w:szCs w:val="22"/>
        </w:rPr>
        <w:t>F</w:t>
      </w:r>
      <w:r w:rsidR="00AA623E" w:rsidRPr="00B70B68">
        <w:rPr>
          <w:rFonts w:ascii="Arial" w:hAnsi="Arial" w:cs="Arial"/>
          <w:i/>
          <w:iCs/>
          <w:sz w:val="22"/>
          <w:szCs w:val="22"/>
        </w:rPr>
        <w:t>und</w:t>
      </w:r>
      <w:r w:rsidR="00447392" w:rsidRPr="00B70B68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613BA6">
        <w:rPr>
          <w:rFonts w:ascii="Arial" w:hAnsi="Arial" w:cs="Arial"/>
          <w:i/>
          <w:iCs/>
          <w:sz w:val="22"/>
          <w:szCs w:val="22"/>
        </w:rPr>
        <w:t>W</w:t>
      </w:r>
      <w:r w:rsidR="00AA623E" w:rsidRPr="00B70B68">
        <w:rPr>
          <w:rFonts w:ascii="Arial" w:hAnsi="Arial" w:cs="Arial"/>
          <w:i/>
          <w:iCs/>
          <w:sz w:val="22"/>
          <w:szCs w:val="22"/>
        </w:rPr>
        <w:t xml:space="preserve">ritten </w:t>
      </w:r>
      <w:r w:rsidR="00613BA6">
        <w:rPr>
          <w:rFonts w:ascii="Arial" w:hAnsi="Arial" w:cs="Arial"/>
          <w:i/>
          <w:iCs/>
          <w:sz w:val="22"/>
          <w:szCs w:val="22"/>
        </w:rPr>
        <w:t>G</w:t>
      </w:r>
      <w:r w:rsidR="007676B6" w:rsidRPr="00B70B68">
        <w:rPr>
          <w:rFonts w:ascii="Arial" w:hAnsi="Arial" w:cs="Arial"/>
          <w:i/>
          <w:iCs/>
          <w:sz w:val="22"/>
          <w:szCs w:val="22"/>
        </w:rPr>
        <w:t xml:space="preserve">uidelines for the </w:t>
      </w:r>
      <w:r w:rsidR="00613BA6">
        <w:rPr>
          <w:rFonts w:ascii="Arial" w:hAnsi="Arial" w:cs="Arial"/>
          <w:i/>
          <w:iCs/>
          <w:sz w:val="22"/>
          <w:szCs w:val="22"/>
        </w:rPr>
        <w:t>R</w:t>
      </w:r>
      <w:r w:rsidR="007676B6" w:rsidRPr="00B70B68">
        <w:rPr>
          <w:rFonts w:ascii="Arial" w:hAnsi="Arial" w:cs="Arial"/>
          <w:i/>
          <w:iCs/>
          <w:sz w:val="22"/>
          <w:szCs w:val="22"/>
        </w:rPr>
        <w:t xml:space="preserve">eduction of an </w:t>
      </w:r>
      <w:r w:rsidR="00613BA6">
        <w:rPr>
          <w:rFonts w:ascii="Arial" w:hAnsi="Arial" w:cs="Arial"/>
          <w:i/>
          <w:iCs/>
          <w:sz w:val="22"/>
          <w:szCs w:val="22"/>
        </w:rPr>
        <w:t>I</w:t>
      </w:r>
      <w:r w:rsidR="007676B6" w:rsidRPr="00B70B68">
        <w:rPr>
          <w:rFonts w:ascii="Arial" w:hAnsi="Arial" w:cs="Arial"/>
          <w:i/>
          <w:iCs/>
          <w:sz w:val="22"/>
          <w:szCs w:val="22"/>
        </w:rPr>
        <w:t xml:space="preserve">ncrease in an </w:t>
      </w:r>
      <w:r w:rsidR="00613BA6">
        <w:rPr>
          <w:rFonts w:ascii="Arial" w:hAnsi="Arial" w:cs="Arial"/>
          <w:i/>
          <w:iCs/>
          <w:sz w:val="22"/>
          <w:szCs w:val="22"/>
        </w:rPr>
        <w:t>E</w:t>
      </w:r>
      <w:r w:rsidR="007676B6" w:rsidRPr="00B70B68">
        <w:rPr>
          <w:rFonts w:ascii="Arial" w:hAnsi="Arial" w:cs="Arial"/>
          <w:i/>
          <w:iCs/>
          <w:sz w:val="22"/>
          <w:szCs w:val="22"/>
        </w:rPr>
        <w:t xml:space="preserve">mployer’s </w:t>
      </w:r>
      <w:r w:rsidR="00613BA6">
        <w:rPr>
          <w:rFonts w:ascii="Arial" w:hAnsi="Arial" w:cs="Arial"/>
          <w:i/>
          <w:iCs/>
          <w:sz w:val="22"/>
          <w:szCs w:val="22"/>
        </w:rPr>
        <w:t>I</w:t>
      </w:r>
      <w:r w:rsidR="007676B6" w:rsidRPr="00B70B68">
        <w:rPr>
          <w:rFonts w:ascii="Arial" w:hAnsi="Arial" w:cs="Arial"/>
          <w:i/>
          <w:iCs/>
          <w:sz w:val="22"/>
          <w:szCs w:val="22"/>
        </w:rPr>
        <w:t xml:space="preserve">ndividual </w:t>
      </w:r>
      <w:r w:rsidR="00613BA6">
        <w:rPr>
          <w:rFonts w:ascii="Arial" w:hAnsi="Arial" w:cs="Arial"/>
          <w:i/>
          <w:iCs/>
          <w:sz w:val="22"/>
          <w:szCs w:val="22"/>
        </w:rPr>
        <w:t>S</w:t>
      </w:r>
      <w:r w:rsidR="007676B6" w:rsidRPr="00B70B68">
        <w:rPr>
          <w:rFonts w:ascii="Arial" w:hAnsi="Arial" w:cs="Arial"/>
          <w:i/>
          <w:iCs/>
          <w:sz w:val="22"/>
          <w:szCs w:val="22"/>
        </w:rPr>
        <w:t xml:space="preserve">uperannuation </w:t>
      </w:r>
      <w:r w:rsidR="00613BA6">
        <w:rPr>
          <w:rFonts w:ascii="Arial" w:hAnsi="Arial" w:cs="Arial"/>
          <w:i/>
          <w:iCs/>
          <w:sz w:val="22"/>
          <w:szCs w:val="22"/>
        </w:rPr>
        <w:t>G</w:t>
      </w:r>
      <w:r w:rsidR="007676B6" w:rsidRPr="00B70B68">
        <w:rPr>
          <w:rFonts w:ascii="Arial" w:hAnsi="Arial" w:cs="Arial"/>
          <w:i/>
          <w:iCs/>
          <w:sz w:val="22"/>
          <w:szCs w:val="22"/>
        </w:rPr>
        <w:t xml:space="preserve">uarantee </w:t>
      </w:r>
      <w:r w:rsidR="00613BA6">
        <w:rPr>
          <w:rFonts w:ascii="Arial" w:hAnsi="Arial" w:cs="Arial"/>
          <w:i/>
          <w:iCs/>
          <w:sz w:val="22"/>
          <w:szCs w:val="22"/>
        </w:rPr>
        <w:t>S</w:t>
      </w:r>
      <w:r w:rsidR="007676B6" w:rsidRPr="00B70B68">
        <w:rPr>
          <w:rFonts w:ascii="Arial" w:hAnsi="Arial" w:cs="Arial"/>
          <w:i/>
          <w:iCs/>
          <w:sz w:val="22"/>
          <w:szCs w:val="22"/>
        </w:rPr>
        <w:t>hortfall</w:t>
      </w:r>
      <w:r w:rsidR="00B70B68" w:rsidRPr="00B70B68">
        <w:rPr>
          <w:rFonts w:ascii="Arial" w:hAnsi="Arial" w:cs="Arial"/>
          <w:i/>
          <w:iCs/>
          <w:sz w:val="22"/>
          <w:szCs w:val="22"/>
        </w:rPr>
        <w:t xml:space="preserve"> </w:t>
      </w:r>
      <w:r w:rsidR="00613BA6">
        <w:rPr>
          <w:rFonts w:ascii="Arial" w:hAnsi="Arial" w:cs="Arial"/>
          <w:i/>
          <w:iCs/>
          <w:sz w:val="22"/>
          <w:szCs w:val="22"/>
        </w:rPr>
        <w:t>D</w:t>
      </w:r>
      <w:r w:rsidR="00B70B68" w:rsidRPr="00B70B68">
        <w:rPr>
          <w:rFonts w:ascii="Arial" w:hAnsi="Arial" w:cs="Arial"/>
          <w:i/>
          <w:iCs/>
          <w:sz w:val="22"/>
          <w:szCs w:val="22"/>
        </w:rPr>
        <w:t>etermination 2021</w:t>
      </w:r>
      <w:r w:rsidR="00E800CC" w:rsidRPr="00B70B68">
        <w:rPr>
          <w:rFonts w:ascii="Arial" w:hAnsi="Arial" w:cs="Arial"/>
          <w:sz w:val="22"/>
          <w:szCs w:val="22"/>
        </w:rPr>
        <w:t>.</w:t>
      </w:r>
    </w:p>
    <w:p w14:paraId="1AF06622" w14:textId="0D2F0E6F" w:rsidR="00B813C3" w:rsidRPr="00447392" w:rsidRDefault="00B813C3" w:rsidP="00641F06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447392" w:rsidRDefault="00B813C3" w:rsidP="00641F06">
      <w:pPr>
        <w:pStyle w:val="Heading2"/>
        <w:numPr>
          <w:ilvl w:val="0"/>
          <w:numId w:val="2"/>
        </w:numPr>
        <w:tabs>
          <w:tab w:val="clear" w:pos="720"/>
        </w:tabs>
        <w:ind w:left="567" w:hanging="567"/>
        <w:rPr>
          <w:rFonts w:cs="Arial"/>
          <w:szCs w:val="22"/>
        </w:rPr>
      </w:pPr>
      <w:r w:rsidRPr="00447392">
        <w:rPr>
          <w:rFonts w:cs="Arial"/>
          <w:szCs w:val="22"/>
        </w:rPr>
        <w:t>Commencement</w:t>
      </w:r>
    </w:p>
    <w:p w14:paraId="50241393" w14:textId="43D4B8D5" w:rsidR="00B813C3" w:rsidRPr="00447392" w:rsidRDefault="00B813C3" w:rsidP="006C1AFB">
      <w:pPr>
        <w:spacing w:after="120"/>
        <w:ind w:firstLine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 xml:space="preserve">This instrument commences on </w:t>
      </w:r>
      <w:r w:rsidR="009D5FC9" w:rsidRPr="00447392">
        <w:rPr>
          <w:rFonts w:ascii="Arial" w:hAnsi="Arial" w:cs="Arial"/>
          <w:sz w:val="22"/>
          <w:szCs w:val="22"/>
        </w:rPr>
        <w:t xml:space="preserve">1 </w:t>
      </w:r>
      <w:r w:rsidR="00D467C3" w:rsidRPr="00447392">
        <w:rPr>
          <w:rFonts w:ascii="Arial" w:hAnsi="Arial" w:cs="Arial"/>
          <w:sz w:val="22"/>
          <w:szCs w:val="22"/>
        </w:rPr>
        <w:t>November</w:t>
      </w:r>
      <w:r w:rsidR="00686958" w:rsidRPr="00447392">
        <w:rPr>
          <w:rFonts w:ascii="Arial" w:hAnsi="Arial" w:cs="Arial"/>
          <w:sz w:val="22"/>
          <w:szCs w:val="22"/>
        </w:rPr>
        <w:t xml:space="preserve"> 2021</w:t>
      </w:r>
      <w:r w:rsidRPr="00447392">
        <w:rPr>
          <w:rFonts w:ascii="Arial" w:hAnsi="Arial" w:cs="Arial"/>
          <w:sz w:val="22"/>
          <w:szCs w:val="22"/>
        </w:rPr>
        <w:t>.</w:t>
      </w:r>
    </w:p>
    <w:p w14:paraId="130FDD00" w14:textId="77777777" w:rsidR="00B813C3" w:rsidRPr="00447392" w:rsidRDefault="00B813C3" w:rsidP="00641F06">
      <w:pPr>
        <w:spacing w:after="120"/>
        <w:rPr>
          <w:rFonts w:ascii="Arial" w:hAnsi="Arial" w:cs="Arial"/>
          <w:sz w:val="22"/>
          <w:szCs w:val="22"/>
        </w:rPr>
      </w:pPr>
    </w:p>
    <w:p w14:paraId="629E005F" w14:textId="439535D8" w:rsidR="00B813C3" w:rsidRPr="00447392" w:rsidRDefault="00B813C3" w:rsidP="00641F06">
      <w:pPr>
        <w:pStyle w:val="Heading2"/>
        <w:numPr>
          <w:ilvl w:val="0"/>
          <w:numId w:val="2"/>
        </w:numPr>
        <w:tabs>
          <w:tab w:val="clear" w:pos="720"/>
        </w:tabs>
        <w:ind w:left="567" w:hanging="567"/>
        <w:rPr>
          <w:rFonts w:cs="Arial"/>
          <w:szCs w:val="22"/>
        </w:rPr>
      </w:pPr>
      <w:r w:rsidRPr="00447392">
        <w:rPr>
          <w:rFonts w:cs="Arial"/>
          <w:szCs w:val="22"/>
        </w:rPr>
        <w:t>Application</w:t>
      </w:r>
    </w:p>
    <w:p w14:paraId="0AF0A0B3" w14:textId="77777777" w:rsidR="00B70B68" w:rsidRDefault="00B813C3" w:rsidP="006C1AFB">
      <w:pPr>
        <w:spacing w:after="120"/>
        <w:ind w:left="567"/>
        <w:rPr>
          <w:rFonts w:ascii="Arial" w:hAnsi="Arial" w:cs="Arial"/>
          <w:i/>
          <w:iCs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 xml:space="preserve">This instrument </w:t>
      </w:r>
      <w:r w:rsidR="00890942" w:rsidRPr="00447392">
        <w:rPr>
          <w:rFonts w:ascii="Arial" w:hAnsi="Arial" w:cs="Arial"/>
          <w:sz w:val="22"/>
          <w:szCs w:val="22"/>
        </w:rPr>
        <w:t>provide</w:t>
      </w:r>
      <w:r w:rsidR="00BF2A0F" w:rsidRPr="00447392">
        <w:rPr>
          <w:rFonts w:ascii="Arial" w:hAnsi="Arial" w:cs="Arial"/>
          <w:sz w:val="22"/>
          <w:szCs w:val="22"/>
        </w:rPr>
        <w:t xml:space="preserve">s written guidelines the Commissioner of Taxation (the Commissioner) must have regard to </w:t>
      </w:r>
      <w:r w:rsidR="00115B45" w:rsidRPr="00447392">
        <w:rPr>
          <w:rFonts w:ascii="Arial" w:hAnsi="Arial" w:cs="Arial"/>
          <w:sz w:val="22"/>
          <w:szCs w:val="22"/>
        </w:rPr>
        <w:t>for the purpose of subsection 1</w:t>
      </w:r>
      <w:r w:rsidR="00BF2A0F" w:rsidRPr="00447392">
        <w:rPr>
          <w:rFonts w:ascii="Arial" w:hAnsi="Arial" w:cs="Arial"/>
          <w:sz w:val="22"/>
          <w:szCs w:val="22"/>
        </w:rPr>
        <w:t xml:space="preserve">9(2E) of the </w:t>
      </w:r>
      <w:r w:rsidR="00BF2A0F" w:rsidRPr="00447392">
        <w:rPr>
          <w:rFonts w:ascii="Arial" w:hAnsi="Arial" w:cs="Arial"/>
          <w:i/>
          <w:iCs/>
          <w:sz w:val="22"/>
          <w:szCs w:val="22"/>
        </w:rPr>
        <w:t>Superannuation Guarantee (Administration) Act 1992</w:t>
      </w:r>
      <w:r w:rsidR="00115B45" w:rsidRPr="00447392">
        <w:rPr>
          <w:rFonts w:ascii="Arial" w:hAnsi="Arial" w:cs="Arial"/>
          <w:i/>
          <w:iCs/>
          <w:sz w:val="22"/>
          <w:szCs w:val="22"/>
        </w:rPr>
        <w:t xml:space="preserve"> </w:t>
      </w:r>
      <w:r w:rsidR="00115B45" w:rsidRPr="00447392">
        <w:rPr>
          <w:rFonts w:ascii="Arial" w:hAnsi="Arial" w:cs="Arial"/>
          <w:sz w:val="22"/>
          <w:szCs w:val="22"/>
        </w:rPr>
        <w:t>(SGAA) in deciding the level of reduction to apply to an increase in an employer’s individual superannuation guarantee shortfall under subsection 19(2A)</w:t>
      </w:r>
      <w:r w:rsidR="00BF2A0F" w:rsidRPr="00447392">
        <w:rPr>
          <w:rFonts w:ascii="Arial" w:hAnsi="Arial" w:cs="Arial"/>
          <w:i/>
          <w:iCs/>
          <w:sz w:val="22"/>
          <w:szCs w:val="22"/>
        </w:rPr>
        <w:t>.</w:t>
      </w:r>
    </w:p>
    <w:p w14:paraId="48D0437D" w14:textId="59436E70" w:rsidR="00B813C3" w:rsidRPr="00447392" w:rsidRDefault="00B813C3" w:rsidP="00641F06">
      <w:pPr>
        <w:spacing w:after="120"/>
        <w:rPr>
          <w:rFonts w:ascii="Arial" w:hAnsi="Arial" w:cs="Arial"/>
          <w:sz w:val="22"/>
          <w:szCs w:val="22"/>
        </w:rPr>
      </w:pPr>
    </w:p>
    <w:p w14:paraId="7E553C96" w14:textId="77777777" w:rsidR="00543981" w:rsidRPr="00447392" w:rsidRDefault="00B813C3" w:rsidP="00641F06">
      <w:pPr>
        <w:pStyle w:val="Heading2"/>
        <w:numPr>
          <w:ilvl w:val="0"/>
          <w:numId w:val="2"/>
        </w:numPr>
        <w:tabs>
          <w:tab w:val="clear" w:pos="720"/>
        </w:tabs>
        <w:ind w:left="567" w:hanging="567"/>
        <w:rPr>
          <w:rFonts w:cs="Arial"/>
          <w:szCs w:val="22"/>
        </w:rPr>
      </w:pPr>
      <w:r w:rsidRPr="00447392">
        <w:rPr>
          <w:rFonts w:cs="Arial"/>
          <w:szCs w:val="22"/>
        </w:rPr>
        <w:t>Determination</w:t>
      </w:r>
    </w:p>
    <w:p w14:paraId="68E466BA" w14:textId="15E97DBC" w:rsidR="00CA110E" w:rsidRPr="00447392" w:rsidRDefault="00D0256D" w:rsidP="00641F06">
      <w:pPr>
        <w:numPr>
          <w:ilvl w:val="0"/>
          <w:numId w:val="27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 xml:space="preserve">Since </w:t>
      </w:r>
      <w:r w:rsidR="00441AE7" w:rsidRPr="00447392">
        <w:rPr>
          <w:rFonts w:ascii="Arial" w:hAnsi="Arial" w:cs="Arial"/>
          <w:sz w:val="22"/>
          <w:szCs w:val="22"/>
        </w:rPr>
        <w:t>1 July 2005</w:t>
      </w:r>
      <w:r w:rsidR="004F173B" w:rsidRPr="00447392">
        <w:rPr>
          <w:rFonts w:ascii="Arial" w:hAnsi="Arial" w:cs="Arial"/>
          <w:sz w:val="22"/>
          <w:szCs w:val="22"/>
        </w:rPr>
        <w:t>,</w:t>
      </w:r>
      <w:r w:rsidR="00441AE7" w:rsidRPr="00447392">
        <w:rPr>
          <w:rFonts w:ascii="Arial" w:hAnsi="Arial" w:cs="Arial"/>
          <w:sz w:val="22"/>
          <w:szCs w:val="22"/>
        </w:rPr>
        <w:t xml:space="preserve"> employers who make superannuation guarantee contributions </w:t>
      </w:r>
      <w:r w:rsidR="00115B45" w:rsidRPr="00447392">
        <w:rPr>
          <w:rFonts w:ascii="Arial" w:hAnsi="Arial" w:cs="Arial"/>
          <w:sz w:val="22"/>
          <w:szCs w:val="22"/>
        </w:rPr>
        <w:t>in respect</w:t>
      </w:r>
      <w:r w:rsidR="00441AE7" w:rsidRPr="00447392">
        <w:rPr>
          <w:rFonts w:ascii="Arial" w:hAnsi="Arial" w:cs="Arial"/>
          <w:sz w:val="22"/>
          <w:szCs w:val="22"/>
        </w:rPr>
        <w:t xml:space="preserve"> of eligible employees are required to satisfy the choice of fund requirements under Part 3A of the</w:t>
      </w:r>
      <w:r w:rsidR="00115B45" w:rsidRPr="00447392">
        <w:rPr>
          <w:rFonts w:ascii="Arial" w:hAnsi="Arial" w:cs="Arial"/>
          <w:sz w:val="22"/>
          <w:szCs w:val="22"/>
        </w:rPr>
        <w:t xml:space="preserve"> SGAA</w:t>
      </w:r>
      <w:r w:rsidR="00B813C3" w:rsidRPr="00447392">
        <w:rPr>
          <w:rFonts w:ascii="Arial" w:hAnsi="Arial" w:cs="Arial"/>
          <w:sz w:val="22"/>
          <w:szCs w:val="22"/>
        </w:rPr>
        <w:t>.</w:t>
      </w:r>
    </w:p>
    <w:p w14:paraId="1C547519" w14:textId="5DDDDFCC" w:rsidR="00441AE7" w:rsidRPr="00447392" w:rsidRDefault="004B214D" w:rsidP="00641F06">
      <w:pPr>
        <w:numPr>
          <w:ilvl w:val="0"/>
          <w:numId w:val="27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>If</w:t>
      </w:r>
      <w:r w:rsidR="00441AE7" w:rsidRPr="00447392">
        <w:rPr>
          <w:rFonts w:ascii="Arial" w:hAnsi="Arial" w:cs="Arial"/>
          <w:sz w:val="22"/>
          <w:szCs w:val="22"/>
        </w:rPr>
        <w:t xml:space="preserve"> an employer does not satisfy the choice of fund requirements</w:t>
      </w:r>
      <w:r w:rsidR="00D873AE" w:rsidRPr="00447392">
        <w:rPr>
          <w:rFonts w:ascii="Arial" w:hAnsi="Arial" w:cs="Arial"/>
          <w:sz w:val="22"/>
          <w:szCs w:val="22"/>
        </w:rPr>
        <w:t>,</w:t>
      </w:r>
      <w:r w:rsidR="00441AE7" w:rsidRPr="00447392">
        <w:rPr>
          <w:rFonts w:ascii="Arial" w:hAnsi="Arial" w:cs="Arial"/>
          <w:sz w:val="22"/>
          <w:szCs w:val="22"/>
        </w:rPr>
        <w:t xml:space="preserve"> </w:t>
      </w:r>
      <w:r w:rsidRPr="00447392">
        <w:rPr>
          <w:rFonts w:ascii="Arial" w:hAnsi="Arial" w:cs="Arial"/>
          <w:sz w:val="22"/>
          <w:szCs w:val="22"/>
        </w:rPr>
        <w:t xml:space="preserve">the employer’s </w:t>
      </w:r>
      <w:r w:rsidR="00115B45" w:rsidRPr="00447392">
        <w:rPr>
          <w:rFonts w:ascii="Arial" w:hAnsi="Arial" w:cs="Arial"/>
          <w:sz w:val="22"/>
          <w:szCs w:val="22"/>
        </w:rPr>
        <w:t xml:space="preserve">individual </w:t>
      </w:r>
      <w:r w:rsidRPr="00447392">
        <w:rPr>
          <w:rFonts w:ascii="Arial" w:hAnsi="Arial" w:cs="Arial"/>
          <w:sz w:val="22"/>
          <w:szCs w:val="22"/>
        </w:rPr>
        <w:t>superannuation guarantee shortfall</w:t>
      </w:r>
      <w:r w:rsidR="00536BB5" w:rsidRPr="00447392">
        <w:rPr>
          <w:rFonts w:ascii="Arial" w:hAnsi="Arial" w:cs="Arial"/>
          <w:sz w:val="22"/>
          <w:szCs w:val="22"/>
        </w:rPr>
        <w:t xml:space="preserve"> (including a nil shortfall)</w:t>
      </w:r>
      <w:r w:rsidRPr="00447392">
        <w:rPr>
          <w:rFonts w:ascii="Arial" w:hAnsi="Arial" w:cs="Arial"/>
          <w:sz w:val="22"/>
          <w:szCs w:val="22"/>
        </w:rPr>
        <w:t xml:space="preserve"> for an employee for a quarter is increased</w:t>
      </w:r>
      <w:r w:rsidR="00115B45" w:rsidRPr="00447392">
        <w:rPr>
          <w:rFonts w:ascii="Arial" w:hAnsi="Arial" w:cs="Arial"/>
          <w:sz w:val="22"/>
          <w:szCs w:val="22"/>
        </w:rPr>
        <w:t xml:space="preserve"> under subsection</w:t>
      </w:r>
      <w:r w:rsidR="00D0734D" w:rsidRPr="00447392">
        <w:rPr>
          <w:rFonts w:ascii="Arial" w:hAnsi="Arial" w:cs="Arial"/>
          <w:sz w:val="22"/>
          <w:szCs w:val="22"/>
        </w:rPr>
        <w:t>s</w:t>
      </w:r>
      <w:r w:rsidR="00115B45" w:rsidRPr="00447392">
        <w:rPr>
          <w:rFonts w:ascii="Arial" w:hAnsi="Arial" w:cs="Arial"/>
          <w:sz w:val="22"/>
          <w:szCs w:val="22"/>
        </w:rPr>
        <w:t xml:space="preserve"> 19(2A) </w:t>
      </w:r>
      <w:r w:rsidR="00D0734D" w:rsidRPr="00447392">
        <w:rPr>
          <w:rFonts w:ascii="Arial" w:hAnsi="Arial" w:cs="Arial"/>
          <w:sz w:val="22"/>
          <w:szCs w:val="22"/>
        </w:rPr>
        <w:t xml:space="preserve">or 19(2B) </w:t>
      </w:r>
      <w:r w:rsidR="00115B45" w:rsidRPr="00447392">
        <w:rPr>
          <w:rFonts w:ascii="Arial" w:hAnsi="Arial" w:cs="Arial"/>
          <w:sz w:val="22"/>
          <w:szCs w:val="22"/>
        </w:rPr>
        <w:t>of the SGAA</w:t>
      </w:r>
      <w:r w:rsidRPr="00447392">
        <w:rPr>
          <w:rFonts w:ascii="Arial" w:hAnsi="Arial" w:cs="Arial"/>
          <w:sz w:val="22"/>
          <w:szCs w:val="22"/>
        </w:rPr>
        <w:t>.</w:t>
      </w:r>
      <w:r w:rsidR="009F7AB6" w:rsidRPr="00447392">
        <w:rPr>
          <w:rFonts w:ascii="Arial" w:hAnsi="Arial" w:cs="Arial"/>
          <w:sz w:val="22"/>
          <w:szCs w:val="22"/>
        </w:rPr>
        <w:t xml:space="preserve"> This is known as the choice shortfall.</w:t>
      </w:r>
    </w:p>
    <w:p w14:paraId="6919D22B" w14:textId="7B0793BB" w:rsidR="009B76A0" w:rsidRPr="00447392" w:rsidRDefault="00441AE7" w:rsidP="00641F06">
      <w:pPr>
        <w:numPr>
          <w:ilvl w:val="0"/>
          <w:numId w:val="27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lastRenderedPageBreak/>
        <w:t>The Commissioner has a discretion</w:t>
      </w:r>
      <w:r w:rsidR="006A6E53" w:rsidRPr="00447392">
        <w:rPr>
          <w:rFonts w:ascii="Arial" w:hAnsi="Arial" w:cs="Arial"/>
          <w:sz w:val="22"/>
          <w:szCs w:val="22"/>
        </w:rPr>
        <w:t>, under subsection 19(2E) of the SGAA,</w:t>
      </w:r>
      <w:r w:rsidRPr="00447392">
        <w:rPr>
          <w:rFonts w:ascii="Arial" w:hAnsi="Arial" w:cs="Arial"/>
          <w:sz w:val="22"/>
          <w:szCs w:val="22"/>
        </w:rPr>
        <w:t xml:space="preserve"> to reduce the </w:t>
      </w:r>
      <w:r w:rsidR="00220100" w:rsidRPr="00447392">
        <w:rPr>
          <w:rFonts w:ascii="Arial" w:hAnsi="Arial" w:cs="Arial"/>
          <w:sz w:val="22"/>
          <w:szCs w:val="22"/>
        </w:rPr>
        <w:t xml:space="preserve">amount of the </w:t>
      </w:r>
      <w:r w:rsidRPr="00447392">
        <w:rPr>
          <w:rFonts w:ascii="Arial" w:hAnsi="Arial" w:cs="Arial"/>
          <w:sz w:val="22"/>
          <w:szCs w:val="22"/>
        </w:rPr>
        <w:t xml:space="preserve">choice shortfall. All decisions on </w:t>
      </w:r>
      <w:r w:rsidR="00220100" w:rsidRPr="00447392">
        <w:rPr>
          <w:rFonts w:ascii="Arial" w:hAnsi="Arial" w:cs="Arial"/>
          <w:sz w:val="22"/>
          <w:szCs w:val="22"/>
        </w:rPr>
        <w:t xml:space="preserve">the </w:t>
      </w:r>
      <w:r w:rsidRPr="00447392">
        <w:rPr>
          <w:rFonts w:ascii="Arial" w:hAnsi="Arial" w:cs="Arial"/>
          <w:sz w:val="22"/>
          <w:szCs w:val="22"/>
        </w:rPr>
        <w:t xml:space="preserve">reduction of the choice shortfall will be made on a </w:t>
      </w:r>
      <w:proofErr w:type="gramStart"/>
      <w:r w:rsidRPr="00447392">
        <w:rPr>
          <w:rFonts w:ascii="Arial" w:hAnsi="Arial" w:cs="Arial"/>
          <w:sz w:val="22"/>
          <w:szCs w:val="22"/>
        </w:rPr>
        <w:t>case by case</w:t>
      </w:r>
      <w:proofErr w:type="gramEnd"/>
      <w:r w:rsidRPr="00447392">
        <w:rPr>
          <w:rFonts w:ascii="Arial" w:hAnsi="Arial" w:cs="Arial"/>
          <w:sz w:val="22"/>
          <w:szCs w:val="22"/>
        </w:rPr>
        <w:t xml:space="preserve"> basis</w:t>
      </w:r>
      <w:r w:rsidR="00536BB5" w:rsidRPr="00447392">
        <w:rPr>
          <w:rFonts w:ascii="Arial" w:hAnsi="Arial" w:cs="Arial"/>
          <w:sz w:val="22"/>
          <w:szCs w:val="22"/>
        </w:rPr>
        <w:t>,</w:t>
      </w:r>
      <w:r w:rsidR="004B214D" w:rsidRPr="00447392">
        <w:rPr>
          <w:rFonts w:ascii="Arial" w:hAnsi="Arial" w:cs="Arial"/>
          <w:sz w:val="22"/>
          <w:szCs w:val="22"/>
        </w:rPr>
        <w:t xml:space="preserve"> taking into account all </w:t>
      </w:r>
      <w:r w:rsidR="009A23AF" w:rsidRPr="00447392">
        <w:rPr>
          <w:rFonts w:ascii="Arial" w:hAnsi="Arial" w:cs="Arial"/>
          <w:sz w:val="22"/>
          <w:szCs w:val="22"/>
        </w:rPr>
        <w:t xml:space="preserve">of </w:t>
      </w:r>
      <w:r w:rsidR="00220100" w:rsidRPr="00447392">
        <w:rPr>
          <w:rFonts w:ascii="Arial" w:hAnsi="Arial" w:cs="Arial"/>
          <w:sz w:val="22"/>
          <w:szCs w:val="22"/>
        </w:rPr>
        <w:t xml:space="preserve">the </w:t>
      </w:r>
      <w:r w:rsidR="00D0256D" w:rsidRPr="00447392">
        <w:rPr>
          <w:rFonts w:ascii="Arial" w:hAnsi="Arial" w:cs="Arial"/>
          <w:sz w:val="22"/>
          <w:szCs w:val="22"/>
        </w:rPr>
        <w:t xml:space="preserve">employer’s </w:t>
      </w:r>
      <w:r w:rsidR="004B214D" w:rsidRPr="00447392">
        <w:rPr>
          <w:rFonts w:ascii="Arial" w:hAnsi="Arial" w:cs="Arial"/>
          <w:sz w:val="22"/>
          <w:szCs w:val="22"/>
        </w:rPr>
        <w:t>relevant facts an</w:t>
      </w:r>
      <w:r w:rsidR="009F7AB6" w:rsidRPr="00447392">
        <w:rPr>
          <w:rFonts w:ascii="Arial" w:hAnsi="Arial" w:cs="Arial"/>
          <w:sz w:val="22"/>
          <w:szCs w:val="22"/>
        </w:rPr>
        <w:t>d</w:t>
      </w:r>
      <w:r w:rsidR="004B214D" w:rsidRPr="00447392">
        <w:rPr>
          <w:rFonts w:ascii="Arial" w:hAnsi="Arial" w:cs="Arial"/>
          <w:sz w:val="22"/>
          <w:szCs w:val="22"/>
        </w:rPr>
        <w:t xml:space="preserve"> circumstances.</w:t>
      </w:r>
    </w:p>
    <w:p w14:paraId="6E13D86A" w14:textId="77777777" w:rsidR="009A23AF" w:rsidRPr="00447392" w:rsidRDefault="009A23AF" w:rsidP="00641F06">
      <w:pPr>
        <w:spacing w:after="120"/>
        <w:rPr>
          <w:rFonts w:ascii="Arial" w:hAnsi="Arial" w:cs="Arial"/>
          <w:sz w:val="22"/>
          <w:szCs w:val="22"/>
        </w:rPr>
      </w:pPr>
    </w:p>
    <w:p w14:paraId="6CBB5F59" w14:textId="43012ADB" w:rsidR="009A23AF" w:rsidRPr="00641F06" w:rsidRDefault="009A23AF" w:rsidP="00641F06">
      <w:pPr>
        <w:pStyle w:val="Heading3"/>
        <w:spacing w:before="0" w:after="120"/>
        <w:ind w:left="567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641F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Transitional </w:t>
      </w:r>
      <w:r w:rsidR="001D78D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c</w:t>
      </w:r>
      <w:r w:rsidR="008C31F2" w:rsidRPr="00641F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ompliance </w:t>
      </w:r>
      <w:r w:rsidR="001D78D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a</w:t>
      </w:r>
      <w:r w:rsidRPr="00641F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pproach</w:t>
      </w:r>
      <w:r w:rsidR="003022CF" w:rsidRPr="00641F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for </w:t>
      </w:r>
      <w:r w:rsidR="00D62412" w:rsidRPr="00641F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single default accounts</w:t>
      </w:r>
    </w:p>
    <w:p w14:paraId="01C68D8E" w14:textId="57106ECA" w:rsidR="000E3210" w:rsidRPr="00447392" w:rsidRDefault="00502D0D" w:rsidP="00641F06">
      <w:pPr>
        <w:numPr>
          <w:ilvl w:val="0"/>
          <w:numId w:val="27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 xml:space="preserve">From 1 </w:t>
      </w:r>
      <w:r w:rsidR="00D467C3" w:rsidRPr="00447392">
        <w:rPr>
          <w:rFonts w:ascii="Arial" w:hAnsi="Arial" w:cs="Arial"/>
          <w:sz w:val="22"/>
          <w:szCs w:val="22"/>
        </w:rPr>
        <w:t>November</w:t>
      </w:r>
      <w:r w:rsidRPr="00447392">
        <w:rPr>
          <w:rFonts w:ascii="Arial" w:hAnsi="Arial" w:cs="Arial"/>
          <w:sz w:val="22"/>
          <w:szCs w:val="22"/>
        </w:rPr>
        <w:t xml:space="preserve"> 2021, additional choice of fund r</w:t>
      </w:r>
      <w:r w:rsidR="005E6EA9" w:rsidRPr="00447392">
        <w:rPr>
          <w:rFonts w:ascii="Arial" w:hAnsi="Arial" w:cs="Arial"/>
          <w:sz w:val="22"/>
          <w:szCs w:val="22"/>
        </w:rPr>
        <w:t>equirements</w:t>
      </w:r>
      <w:r w:rsidRPr="00447392">
        <w:rPr>
          <w:rFonts w:ascii="Arial" w:hAnsi="Arial" w:cs="Arial"/>
          <w:sz w:val="22"/>
          <w:szCs w:val="22"/>
        </w:rPr>
        <w:t xml:space="preserve"> </w:t>
      </w:r>
      <w:r w:rsidR="006A6E53" w:rsidRPr="00447392">
        <w:rPr>
          <w:rFonts w:ascii="Arial" w:hAnsi="Arial" w:cs="Arial"/>
          <w:sz w:val="22"/>
          <w:szCs w:val="22"/>
        </w:rPr>
        <w:t xml:space="preserve">will apply </w:t>
      </w:r>
      <w:r w:rsidRPr="00447392">
        <w:rPr>
          <w:rFonts w:ascii="Arial" w:hAnsi="Arial" w:cs="Arial"/>
          <w:sz w:val="22"/>
          <w:szCs w:val="22"/>
        </w:rPr>
        <w:t xml:space="preserve">with </w:t>
      </w:r>
      <w:r w:rsidR="005E6EA9" w:rsidRPr="00447392">
        <w:rPr>
          <w:rFonts w:ascii="Arial" w:hAnsi="Arial" w:cs="Arial"/>
          <w:sz w:val="22"/>
          <w:szCs w:val="22"/>
        </w:rPr>
        <w:t xml:space="preserve">the </w:t>
      </w:r>
      <w:r w:rsidRPr="00447392">
        <w:rPr>
          <w:rFonts w:ascii="Arial" w:hAnsi="Arial" w:cs="Arial"/>
          <w:sz w:val="22"/>
          <w:szCs w:val="22"/>
        </w:rPr>
        <w:t>single default account (stapled fund) requirements</w:t>
      </w:r>
      <w:r w:rsidR="00434F4C" w:rsidRPr="00447392">
        <w:rPr>
          <w:rFonts w:ascii="Arial" w:hAnsi="Arial" w:cs="Arial"/>
          <w:sz w:val="22"/>
          <w:szCs w:val="22"/>
        </w:rPr>
        <w:t xml:space="preserve"> under </w:t>
      </w:r>
      <w:r w:rsidR="00D62412" w:rsidRPr="00447392">
        <w:rPr>
          <w:rFonts w:ascii="Arial" w:hAnsi="Arial" w:cs="Arial"/>
          <w:sz w:val="22"/>
          <w:szCs w:val="22"/>
        </w:rPr>
        <w:t xml:space="preserve">Division 7 of Part 3A </w:t>
      </w:r>
      <w:r w:rsidR="00434F4C" w:rsidRPr="00447392">
        <w:rPr>
          <w:rFonts w:ascii="Arial" w:hAnsi="Arial" w:cs="Arial"/>
          <w:sz w:val="22"/>
          <w:szCs w:val="22"/>
        </w:rPr>
        <w:t>of the SGAA</w:t>
      </w:r>
      <w:r w:rsidR="00D62412" w:rsidRPr="00447392">
        <w:rPr>
          <w:rFonts w:ascii="Arial" w:hAnsi="Arial" w:cs="Arial"/>
          <w:sz w:val="22"/>
          <w:szCs w:val="22"/>
        </w:rPr>
        <w:t>.</w:t>
      </w:r>
      <w:r w:rsidRPr="00447392">
        <w:rPr>
          <w:rFonts w:ascii="Arial" w:hAnsi="Arial" w:cs="Arial"/>
          <w:sz w:val="22"/>
          <w:szCs w:val="22"/>
        </w:rPr>
        <w:t xml:space="preserve"> From </w:t>
      </w:r>
      <w:r w:rsidR="00D62412" w:rsidRPr="00447392">
        <w:rPr>
          <w:rFonts w:ascii="Arial" w:hAnsi="Arial" w:cs="Arial"/>
          <w:sz w:val="22"/>
          <w:szCs w:val="22"/>
        </w:rPr>
        <w:t xml:space="preserve">1 </w:t>
      </w:r>
      <w:r w:rsidR="00D467C3" w:rsidRPr="00447392">
        <w:rPr>
          <w:rFonts w:ascii="Arial" w:hAnsi="Arial" w:cs="Arial"/>
          <w:sz w:val="22"/>
          <w:szCs w:val="22"/>
        </w:rPr>
        <w:t>November</w:t>
      </w:r>
      <w:r w:rsidR="00D62412" w:rsidRPr="00447392">
        <w:rPr>
          <w:rFonts w:ascii="Arial" w:hAnsi="Arial" w:cs="Arial"/>
          <w:sz w:val="22"/>
          <w:szCs w:val="22"/>
        </w:rPr>
        <w:t xml:space="preserve"> 2021 </w:t>
      </w:r>
      <w:r w:rsidR="002B0D21" w:rsidRPr="00447392">
        <w:rPr>
          <w:rFonts w:ascii="Arial" w:hAnsi="Arial" w:cs="Arial"/>
          <w:sz w:val="22"/>
          <w:szCs w:val="22"/>
        </w:rPr>
        <w:t>until 3</w:t>
      </w:r>
      <w:r w:rsidR="00D022F8" w:rsidRPr="00447392">
        <w:rPr>
          <w:rFonts w:ascii="Arial" w:hAnsi="Arial" w:cs="Arial"/>
          <w:sz w:val="22"/>
          <w:szCs w:val="22"/>
        </w:rPr>
        <w:t>1 October</w:t>
      </w:r>
      <w:r w:rsidR="002B0D21" w:rsidRPr="00447392">
        <w:rPr>
          <w:rFonts w:ascii="Arial" w:hAnsi="Arial" w:cs="Arial"/>
          <w:sz w:val="22"/>
          <w:szCs w:val="22"/>
        </w:rPr>
        <w:t xml:space="preserve"> 2022 employers will</w:t>
      </w:r>
      <w:r w:rsidR="00D62412" w:rsidRPr="00447392">
        <w:rPr>
          <w:rFonts w:ascii="Arial" w:hAnsi="Arial" w:cs="Arial"/>
          <w:sz w:val="22"/>
          <w:szCs w:val="22"/>
        </w:rPr>
        <w:t>,</w:t>
      </w:r>
      <w:r w:rsidR="002B0D21" w:rsidRPr="00447392">
        <w:rPr>
          <w:rFonts w:ascii="Arial" w:hAnsi="Arial" w:cs="Arial"/>
          <w:sz w:val="22"/>
          <w:szCs w:val="22"/>
        </w:rPr>
        <w:t xml:space="preserve"> in the first instance</w:t>
      </w:r>
      <w:r w:rsidR="00E6766F">
        <w:rPr>
          <w:rFonts w:ascii="Arial" w:hAnsi="Arial" w:cs="Arial"/>
          <w:sz w:val="22"/>
          <w:szCs w:val="22"/>
        </w:rPr>
        <w:t xml:space="preserve"> of non</w:t>
      </w:r>
      <w:r w:rsidR="006C1AFB">
        <w:rPr>
          <w:rFonts w:ascii="Arial" w:hAnsi="Arial" w:cs="Arial"/>
          <w:sz w:val="22"/>
          <w:szCs w:val="22"/>
        </w:rPr>
        <w:noBreakHyphen/>
      </w:r>
      <w:r w:rsidR="00E6766F">
        <w:rPr>
          <w:rFonts w:ascii="Arial" w:hAnsi="Arial" w:cs="Arial"/>
          <w:sz w:val="22"/>
          <w:szCs w:val="22"/>
        </w:rPr>
        <w:t>compliance</w:t>
      </w:r>
      <w:r w:rsidR="00D62412" w:rsidRPr="00447392">
        <w:rPr>
          <w:rFonts w:ascii="Arial" w:hAnsi="Arial" w:cs="Arial"/>
          <w:sz w:val="22"/>
          <w:szCs w:val="22"/>
        </w:rPr>
        <w:t>,</w:t>
      </w:r>
      <w:r w:rsidR="002B0D21" w:rsidRPr="00447392">
        <w:rPr>
          <w:rFonts w:ascii="Arial" w:hAnsi="Arial" w:cs="Arial"/>
          <w:sz w:val="22"/>
          <w:szCs w:val="22"/>
        </w:rPr>
        <w:t xml:space="preserve"> be provided with </w:t>
      </w:r>
      <w:r w:rsidR="00D52205" w:rsidRPr="00447392">
        <w:rPr>
          <w:rFonts w:ascii="Arial" w:hAnsi="Arial" w:cs="Arial"/>
          <w:sz w:val="22"/>
          <w:szCs w:val="22"/>
        </w:rPr>
        <w:t xml:space="preserve">help and assistance to comply with </w:t>
      </w:r>
      <w:r w:rsidR="00B95F38" w:rsidRPr="00447392">
        <w:rPr>
          <w:rFonts w:ascii="Arial" w:hAnsi="Arial" w:cs="Arial"/>
          <w:sz w:val="22"/>
          <w:szCs w:val="22"/>
        </w:rPr>
        <w:t>stapled fund</w:t>
      </w:r>
      <w:r w:rsidR="00D52205" w:rsidRPr="00447392">
        <w:rPr>
          <w:rFonts w:ascii="Arial" w:hAnsi="Arial" w:cs="Arial"/>
          <w:sz w:val="22"/>
          <w:szCs w:val="22"/>
        </w:rPr>
        <w:t xml:space="preserve"> requirements.</w:t>
      </w:r>
    </w:p>
    <w:p w14:paraId="6E337016" w14:textId="3563EFFA" w:rsidR="00B95F38" w:rsidRPr="00447392" w:rsidRDefault="00D52205" w:rsidP="00641F06">
      <w:pPr>
        <w:numPr>
          <w:ilvl w:val="0"/>
          <w:numId w:val="27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 xml:space="preserve">During this transitional period the Commissioner </w:t>
      </w:r>
      <w:proofErr w:type="gramStart"/>
      <w:r w:rsidRPr="00447392">
        <w:rPr>
          <w:rFonts w:ascii="Arial" w:hAnsi="Arial" w:cs="Arial"/>
          <w:sz w:val="22"/>
          <w:szCs w:val="22"/>
        </w:rPr>
        <w:t>will</w:t>
      </w:r>
      <w:proofErr w:type="gramEnd"/>
      <w:r w:rsidRPr="00447392">
        <w:rPr>
          <w:rFonts w:ascii="Arial" w:hAnsi="Arial" w:cs="Arial"/>
          <w:sz w:val="22"/>
          <w:szCs w:val="22"/>
        </w:rPr>
        <w:t xml:space="preserve"> reduce any choice shortfall to nil if that shortfall arose due to</w:t>
      </w:r>
      <w:r w:rsidR="00B95F38" w:rsidRPr="00447392">
        <w:rPr>
          <w:rFonts w:ascii="Arial" w:hAnsi="Arial" w:cs="Arial"/>
          <w:sz w:val="22"/>
          <w:szCs w:val="22"/>
        </w:rPr>
        <w:t xml:space="preserve"> the employer’s</w:t>
      </w:r>
      <w:r w:rsidRPr="00447392">
        <w:rPr>
          <w:rFonts w:ascii="Arial" w:hAnsi="Arial" w:cs="Arial"/>
          <w:sz w:val="22"/>
          <w:szCs w:val="22"/>
        </w:rPr>
        <w:t xml:space="preserve"> lack of knowledge of the </w:t>
      </w:r>
      <w:r w:rsidR="00B95F38" w:rsidRPr="00447392">
        <w:rPr>
          <w:rFonts w:ascii="Arial" w:hAnsi="Arial" w:cs="Arial"/>
          <w:sz w:val="22"/>
          <w:szCs w:val="22"/>
        </w:rPr>
        <w:t>stapled fund</w:t>
      </w:r>
      <w:r w:rsidRPr="00447392">
        <w:rPr>
          <w:rFonts w:ascii="Arial" w:hAnsi="Arial" w:cs="Arial"/>
          <w:sz w:val="22"/>
          <w:szCs w:val="22"/>
        </w:rPr>
        <w:t xml:space="preserve"> requirements rather than intentional disregard</w:t>
      </w:r>
      <w:r w:rsidR="00B95F38" w:rsidRPr="00447392">
        <w:rPr>
          <w:rFonts w:ascii="Arial" w:hAnsi="Arial" w:cs="Arial"/>
          <w:sz w:val="22"/>
          <w:szCs w:val="22"/>
        </w:rPr>
        <w:t>.</w:t>
      </w:r>
      <w:r w:rsidR="002F37C2" w:rsidRPr="00447392">
        <w:rPr>
          <w:rFonts w:ascii="Arial" w:hAnsi="Arial" w:cs="Arial"/>
          <w:sz w:val="22"/>
          <w:szCs w:val="22"/>
        </w:rPr>
        <w:t xml:space="preserve"> This transitional approach </w:t>
      </w:r>
      <w:r w:rsidR="00536BB5" w:rsidRPr="00447392">
        <w:rPr>
          <w:rFonts w:ascii="Arial" w:hAnsi="Arial" w:cs="Arial"/>
          <w:sz w:val="22"/>
          <w:szCs w:val="22"/>
        </w:rPr>
        <w:t>applies only to</w:t>
      </w:r>
      <w:r w:rsidR="002F37C2" w:rsidRPr="00447392">
        <w:rPr>
          <w:rFonts w:ascii="Arial" w:hAnsi="Arial" w:cs="Arial"/>
          <w:sz w:val="22"/>
          <w:szCs w:val="22"/>
        </w:rPr>
        <w:t xml:space="preserve"> the stapled fund changes to the choice of fund requirements</w:t>
      </w:r>
      <w:r w:rsidR="00D62412" w:rsidRPr="00447392">
        <w:rPr>
          <w:rFonts w:ascii="Arial" w:hAnsi="Arial" w:cs="Arial"/>
          <w:sz w:val="22"/>
          <w:szCs w:val="22"/>
        </w:rPr>
        <w:t>, it does not apply to existing choice rules</w:t>
      </w:r>
      <w:r w:rsidR="002F37C2" w:rsidRPr="00447392">
        <w:rPr>
          <w:rFonts w:ascii="Arial" w:hAnsi="Arial" w:cs="Arial"/>
          <w:sz w:val="22"/>
          <w:szCs w:val="22"/>
        </w:rPr>
        <w:t>.</w:t>
      </w:r>
    </w:p>
    <w:p w14:paraId="14D511CA" w14:textId="70077F34" w:rsidR="009A23AF" w:rsidRPr="00447392" w:rsidRDefault="00B95F38" w:rsidP="00641F06">
      <w:pPr>
        <w:numPr>
          <w:ilvl w:val="0"/>
          <w:numId w:val="27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 xml:space="preserve">From 1 </w:t>
      </w:r>
      <w:r w:rsidR="00D022F8" w:rsidRPr="00447392">
        <w:rPr>
          <w:rFonts w:ascii="Arial" w:hAnsi="Arial" w:cs="Arial"/>
          <w:sz w:val="22"/>
          <w:szCs w:val="22"/>
        </w:rPr>
        <w:t>November</w:t>
      </w:r>
      <w:r w:rsidRPr="00447392">
        <w:rPr>
          <w:rFonts w:ascii="Arial" w:hAnsi="Arial" w:cs="Arial"/>
          <w:sz w:val="22"/>
          <w:szCs w:val="22"/>
        </w:rPr>
        <w:t xml:space="preserve"> 2022 the </w:t>
      </w:r>
      <w:r w:rsidR="002F37C2" w:rsidRPr="00447392">
        <w:rPr>
          <w:rFonts w:ascii="Arial" w:hAnsi="Arial" w:cs="Arial"/>
          <w:sz w:val="22"/>
          <w:szCs w:val="22"/>
        </w:rPr>
        <w:t xml:space="preserve">transitional approach will no longer apply as it is expected that </w:t>
      </w:r>
      <w:r w:rsidRPr="00447392">
        <w:rPr>
          <w:rFonts w:ascii="Arial" w:hAnsi="Arial" w:cs="Arial"/>
          <w:sz w:val="22"/>
          <w:szCs w:val="22"/>
        </w:rPr>
        <w:t xml:space="preserve">employers would have had sufficient time to understand and comply with the stapled fund </w:t>
      </w:r>
      <w:r w:rsidR="00D873AE" w:rsidRPr="00447392">
        <w:rPr>
          <w:rFonts w:ascii="Arial" w:hAnsi="Arial" w:cs="Arial"/>
          <w:sz w:val="22"/>
          <w:szCs w:val="22"/>
        </w:rPr>
        <w:t>requirements</w:t>
      </w:r>
      <w:r w:rsidRPr="00447392">
        <w:rPr>
          <w:rFonts w:ascii="Arial" w:hAnsi="Arial" w:cs="Arial"/>
          <w:sz w:val="22"/>
          <w:szCs w:val="22"/>
        </w:rPr>
        <w:t>.</w:t>
      </w:r>
      <w:r w:rsidR="005B6E83" w:rsidRPr="00447392">
        <w:rPr>
          <w:rFonts w:ascii="Arial" w:hAnsi="Arial" w:cs="Arial"/>
          <w:sz w:val="22"/>
          <w:szCs w:val="22"/>
        </w:rPr>
        <w:t xml:space="preserve"> Therefore, the Commissioner will apply the general guidelines from that time.</w:t>
      </w:r>
    </w:p>
    <w:p w14:paraId="4D1835E5" w14:textId="77777777" w:rsidR="009A23AF" w:rsidRPr="00447392" w:rsidRDefault="009A23AF" w:rsidP="00641F06">
      <w:pPr>
        <w:spacing w:after="120"/>
        <w:rPr>
          <w:rFonts w:ascii="Arial" w:hAnsi="Arial" w:cs="Arial"/>
          <w:sz w:val="22"/>
          <w:szCs w:val="22"/>
        </w:rPr>
      </w:pPr>
    </w:p>
    <w:p w14:paraId="710C0FF3" w14:textId="1ED5FD6F" w:rsidR="00B70B68" w:rsidRPr="00641F06" w:rsidRDefault="005B6E83" w:rsidP="00641F06">
      <w:pPr>
        <w:pStyle w:val="Heading3"/>
        <w:spacing w:before="0" w:after="120"/>
        <w:ind w:left="567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641F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General </w:t>
      </w:r>
      <w:r w:rsidR="00641F06" w:rsidRPr="00641F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g</w:t>
      </w:r>
      <w:r w:rsidR="009A23AF" w:rsidRPr="00641F0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uidelines</w:t>
      </w:r>
    </w:p>
    <w:p w14:paraId="4BB0BBC5" w14:textId="7DD06FF5" w:rsidR="009A23AF" w:rsidRPr="00447392" w:rsidRDefault="005B6E83" w:rsidP="00641F06">
      <w:pPr>
        <w:numPr>
          <w:ilvl w:val="0"/>
          <w:numId w:val="27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 xml:space="preserve">While all decisions are required to be made on a </w:t>
      </w:r>
      <w:proofErr w:type="gramStart"/>
      <w:r w:rsidRPr="00447392">
        <w:rPr>
          <w:rFonts w:ascii="Arial" w:hAnsi="Arial" w:cs="Arial"/>
          <w:sz w:val="22"/>
          <w:szCs w:val="22"/>
        </w:rPr>
        <w:t>case by case</w:t>
      </w:r>
      <w:proofErr w:type="gramEnd"/>
      <w:r w:rsidRPr="00447392">
        <w:rPr>
          <w:rFonts w:ascii="Arial" w:hAnsi="Arial" w:cs="Arial"/>
          <w:sz w:val="22"/>
          <w:szCs w:val="22"/>
        </w:rPr>
        <w:t xml:space="preserve"> basis, where it is evident that the circumstances are similar for a group of employees, the Commissioner will take the same approach to the choice shortfall for each employee in the group.</w:t>
      </w:r>
    </w:p>
    <w:p w14:paraId="0C23995B" w14:textId="42797AFB" w:rsidR="009B76A0" w:rsidRPr="00447392" w:rsidRDefault="005B6E83" w:rsidP="00641F06">
      <w:pPr>
        <w:numPr>
          <w:ilvl w:val="0"/>
          <w:numId w:val="27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>T</w:t>
      </w:r>
      <w:r w:rsidR="00D34479" w:rsidRPr="00447392">
        <w:rPr>
          <w:rFonts w:ascii="Arial" w:hAnsi="Arial" w:cs="Arial"/>
          <w:sz w:val="22"/>
          <w:szCs w:val="22"/>
        </w:rPr>
        <w:t>he Commissioner will u</w:t>
      </w:r>
      <w:r w:rsidR="009B76A0" w:rsidRPr="00447392">
        <w:rPr>
          <w:rFonts w:ascii="Arial" w:hAnsi="Arial" w:cs="Arial"/>
          <w:sz w:val="22"/>
          <w:szCs w:val="22"/>
        </w:rPr>
        <w:t>se t</w:t>
      </w:r>
      <w:r w:rsidR="009F7AB6" w:rsidRPr="00447392">
        <w:rPr>
          <w:rFonts w:ascii="Arial" w:hAnsi="Arial" w:cs="Arial"/>
          <w:sz w:val="22"/>
          <w:szCs w:val="22"/>
        </w:rPr>
        <w:t>he following</w:t>
      </w:r>
      <w:r w:rsidR="009B76A0" w:rsidRPr="00447392">
        <w:rPr>
          <w:rFonts w:ascii="Arial" w:hAnsi="Arial" w:cs="Arial"/>
          <w:sz w:val="22"/>
          <w:szCs w:val="22"/>
        </w:rPr>
        <w:t xml:space="preserve"> table </w:t>
      </w:r>
      <w:r w:rsidR="009A23AF" w:rsidRPr="00447392">
        <w:rPr>
          <w:rFonts w:ascii="Arial" w:hAnsi="Arial" w:cs="Arial"/>
          <w:sz w:val="22"/>
          <w:szCs w:val="22"/>
        </w:rPr>
        <w:t xml:space="preserve">as </w:t>
      </w:r>
      <w:r w:rsidRPr="00447392">
        <w:rPr>
          <w:rFonts w:ascii="Arial" w:hAnsi="Arial" w:cs="Arial"/>
          <w:sz w:val="22"/>
          <w:szCs w:val="22"/>
        </w:rPr>
        <w:t xml:space="preserve">a </w:t>
      </w:r>
      <w:r w:rsidR="009A23AF" w:rsidRPr="00447392">
        <w:rPr>
          <w:rFonts w:ascii="Arial" w:hAnsi="Arial" w:cs="Arial"/>
          <w:sz w:val="22"/>
          <w:szCs w:val="22"/>
        </w:rPr>
        <w:t xml:space="preserve">guideline </w:t>
      </w:r>
      <w:r w:rsidR="00270409" w:rsidRPr="00447392">
        <w:rPr>
          <w:rFonts w:ascii="Arial" w:hAnsi="Arial" w:cs="Arial"/>
          <w:sz w:val="22"/>
          <w:szCs w:val="22"/>
        </w:rPr>
        <w:t>when considering the initial reduction of</w:t>
      </w:r>
      <w:r w:rsidR="009B76A0" w:rsidRPr="00447392">
        <w:rPr>
          <w:rFonts w:ascii="Arial" w:hAnsi="Arial" w:cs="Arial"/>
          <w:sz w:val="22"/>
          <w:szCs w:val="22"/>
        </w:rPr>
        <w:t xml:space="preserve"> the choice shortfall based on the employer’s attempt to comply with the choice of fund requirements</w:t>
      </w:r>
      <w:r w:rsidR="005737C1" w:rsidRPr="00447392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111"/>
        <w:gridCol w:w="2126"/>
        <w:gridCol w:w="1985"/>
      </w:tblGrid>
      <w:tr w:rsidR="00447392" w:rsidRPr="00447392" w14:paraId="068EAA9A" w14:textId="77777777" w:rsidTr="00496D36">
        <w:tc>
          <w:tcPr>
            <w:tcW w:w="4111" w:type="dxa"/>
          </w:tcPr>
          <w:p w14:paraId="6BC780DD" w14:textId="5A3E7076" w:rsidR="00270409" w:rsidRPr="00447392" w:rsidRDefault="00270409" w:rsidP="00641F0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7392">
              <w:rPr>
                <w:rFonts w:ascii="Arial" w:hAnsi="Arial" w:cs="Arial"/>
                <w:b/>
                <w:bCs/>
                <w:sz w:val="22"/>
                <w:szCs w:val="22"/>
              </w:rPr>
              <w:t>Employer’s attempt to comply</w:t>
            </w:r>
          </w:p>
        </w:tc>
        <w:tc>
          <w:tcPr>
            <w:tcW w:w="2126" w:type="dxa"/>
          </w:tcPr>
          <w:p w14:paraId="5FA78D8D" w14:textId="45FC0251" w:rsidR="00270409" w:rsidRPr="00447392" w:rsidRDefault="00270409" w:rsidP="00641F0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7392">
              <w:rPr>
                <w:rFonts w:ascii="Arial" w:hAnsi="Arial" w:cs="Arial"/>
                <w:b/>
                <w:bCs/>
                <w:sz w:val="22"/>
                <w:szCs w:val="22"/>
              </w:rPr>
              <w:t>Level of reduction</w:t>
            </w:r>
          </w:p>
        </w:tc>
        <w:tc>
          <w:tcPr>
            <w:tcW w:w="1985" w:type="dxa"/>
          </w:tcPr>
          <w:p w14:paraId="39EE5063" w14:textId="0E606B19" w:rsidR="00270409" w:rsidRPr="00447392" w:rsidRDefault="00270409" w:rsidP="00641F0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7392">
              <w:rPr>
                <w:rFonts w:ascii="Arial" w:hAnsi="Arial" w:cs="Arial"/>
                <w:b/>
                <w:bCs/>
                <w:sz w:val="22"/>
                <w:szCs w:val="22"/>
              </w:rPr>
              <w:t>Choice Shortfall</w:t>
            </w:r>
          </w:p>
        </w:tc>
      </w:tr>
      <w:tr w:rsidR="00447392" w:rsidRPr="00447392" w14:paraId="46FCB274" w14:textId="77777777" w:rsidTr="00496D36">
        <w:tc>
          <w:tcPr>
            <w:tcW w:w="4111" w:type="dxa"/>
          </w:tcPr>
          <w:p w14:paraId="2A33981C" w14:textId="3D96FC74" w:rsidR="00270409" w:rsidRPr="00447392" w:rsidRDefault="00270409" w:rsidP="00641F0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7392">
              <w:rPr>
                <w:rFonts w:ascii="Arial" w:hAnsi="Arial" w:cs="Arial"/>
                <w:sz w:val="22"/>
                <w:szCs w:val="22"/>
              </w:rPr>
              <w:t xml:space="preserve">The employer made a genuine effort to </w:t>
            </w:r>
            <w:r w:rsidR="00536BB5" w:rsidRPr="00447392">
              <w:rPr>
                <w:rFonts w:ascii="Arial" w:hAnsi="Arial" w:cs="Arial"/>
                <w:sz w:val="22"/>
                <w:szCs w:val="22"/>
              </w:rPr>
              <w:t>comply with</w:t>
            </w:r>
            <w:r w:rsidRPr="00447392">
              <w:rPr>
                <w:rFonts w:ascii="Arial" w:hAnsi="Arial" w:cs="Arial"/>
                <w:sz w:val="22"/>
                <w:szCs w:val="22"/>
              </w:rPr>
              <w:t xml:space="preserve"> the choice of fund requirements</w:t>
            </w:r>
          </w:p>
        </w:tc>
        <w:tc>
          <w:tcPr>
            <w:tcW w:w="2126" w:type="dxa"/>
          </w:tcPr>
          <w:p w14:paraId="185F2C90" w14:textId="2AE78D1D" w:rsidR="00270409" w:rsidRPr="00447392" w:rsidRDefault="00270409" w:rsidP="00641F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392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985" w:type="dxa"/>
          </w:tcPr>
          <w:p w14:paraId="163D413E" w14:textId="51293084" w:rsidR="00270409" w:rsidRPr="00447392" w:rsidRDefault="00270409" w:rsidP="00641F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392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447392" w:rsidRPr="00447392" w14:paraId="31932C32" w14:textId="77777777" w:rsidTr="00496D36">
        <w:tc>
          <w:tcPr>
            <w:tcW w:w="4111" w:type="dxa"/>
          </w:tcPr>
          <w:p w14:paraId="6756D831" w14:textId="70CC84CB" w:rsidR="00270409" w:rsidRPr="00447392" w:rsidRDefault="008F5F96" w:rsidP="00641F0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7392">
              <w:rPr>
                <w:rFonts w:ascii="Arial" w:hAnsi="Arial" w:cs="Arial"/>
                <w:sz w:val="22"/>
                <w:szCs w:val="22"/>
              </w:rPr>
              <w:t>The employer fail</w:t>
            </w:r>
            <w:r w:rsidR="00001E88" w:rsidRPr="00447392">
              <w:rPr>
                <w:rFonts w:ascii="Arial" w:hAnsi="Arial" w:cs="Arial"/>
                <w:sz w:val="22"/>
                <w:szCs w:val="22"/>
              </w:rPr>
              <w:t>ed</w:t>
            </w:r>
            <w:r w:rsidRPr="00447392">
              <w:rPr>
                <w:rFonts w:ascii="Arial" w:hAnsi="Arial" w:cs="Arial"/>
                <w:sz w:val="22"/>
                <w:szCs w:val="22"/>
              </w:rPr>
              <w:t xml:space="preserve"> to exercise the care that a reasonable ordinary person would exercise t</w:t>
            </w:r>
            <w:r w:rsidR="009F7AB6" w:rsidRPr="00447392">
              <w:rPr>
                <w:rFonts w:ascii="Arial" w:hAnsi="Arial" w:cs="Arial"/>
                <w:sz w:val="22"/>
                <w:szCs w:val="22"/>
              </w:rPr>
              <w:t>o</w:t>
            </w:r>
            <w:r w:rsidRPr="00447392">
              <w:rPr>
                <w:rFonts w:ascii="Arial" w:hAnsi="Arial" w:cs="Arial"/>
                <w:sz w:val="22"/>
                <w:szCs w:val="22"/>
              </w:rPr>
              <w:t xml:space="preserve"> fulfil the choice of fund requirements</w:t>
            </w:r>
          </w:p>
        </w:tc>
        <w:tc>
          <w:tcPr>
            <w:tcW w:w="2126" w:type="dxa"/>
          </w:tcPr>
          <w:p w14:paraId="09B0B7A8" w14:textId="531143F5" w:rsidR="00270409" w:rsidRPr="00447392" w:rsidRDefault="008F5F96" w:rsidP="00641F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392">
              <w:rPr>
                <w:rFonts w:ascii="Arial" w:hAnsi="Arial" w:cs="Arial"/>
                <w:sz w:val="22"/>
                <w:szCs w:val="22"/>
              </w:rPr>
              <w:t>75%</w:t>
            </w:r>
          </w:p>
        </w:tc>
        <w:tc>
          <w:tcPr>
            <w:tcW w:w="1985" w:type="dxa"/>
          </w:tcPr>
          <w:p w14:paraId="5B825211" w14:textId="68F57E46" w:rsidR="00270409" w:rsidRPr="00447392" w:rsidRDefault="008F5F96" w:rsidP="00641F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392">
              <w:rPr>
                <w:rFonts w:ascii="Arial" w:hAnsi="Arial" w:cs="Arial"/>
                <w:sz w:val="22"/>
                <w:szCs w:val="22"/>
              </w:rPr>
              <w:t>25%</w:t>
            </w:r>
          </w:p>
        </w:tc>
      </w:tr>
      <w:tr w:rsidR="00447392" w:rsidRPr="00447392" w14:paraId="624AF5E2" w14:textId="77777777" w:rsidTr="00496D36">
        <w:tc>
          <w:tcPr>
            <w:tcW w:w="4111" w:type="dxa"/>
          </w:tcPr>
          <w:p w14:paraId="761341B8" w14:textId="45DC8660" w:rsidR="00270409" w:rsidRPr="00447392" w:rsidRDefault="008F5F96" w:rsidP="00641F0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7392">
              <w:rPr>
                <w:rFonts w:ascii="Arial" w:hAnsi="Arial" w:cs="Arial"/>
                <w:sz w:val="22"/>
                <w:szCs w:val="22"/>
              </w:rPr>
              <w:t>The employer’s actions are careless and show indifference to the choice of fund requirements</w:t>
            </w:r>
          </w:p>
        </w:tc>
        <w:tc>
          <w:tcPr>
            <w:tcW w:w="2126" w:type="dxa"/>
          </w:tcPr>
          <w:p w14:paraId="5BCD1B97" w14:textId="14FB5436" w:rsidR="00270409" w:rsidRPr="00447392" w:rsidRDefault="008F5F96" w:rsidP="00641F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392">
              <w:rPr>
                <w:rFonts w:ascii="Arial" w:hAnsi="Arial" w:cs="Arial"/>
                <w:sz w:val="22"/>
                <w:szCs w:val="22"/>
              </w:rPr>
              <w:t>25%</w:t>
            </w:r>
          </w:p>
        </w:tc>
        <w:tc>
          <w:tcPr>
            <w:tcW w:w="1985" w:type="dxa"/>
          </w:tcPr>
          <w:p w14:paraId="66A8517C" w14:textId="17CA5311" w:rsidR="00270409" w:rsidRPr="00447392" w:rsidRDefault="008F5F96" w:rsidP="00641F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392">
              <w:rPr>
                <w:rFonts w:ascii="Arial" w:hAnsi="Arial" w:cs="Arial"/>
                <w:sz w:val="22"/>
                <w:szCs w:val="22"/>
              </w:rPr>
              <w:t>75%</w:t>
            </w:r>
          </w:p>
        </w:tc>
      </w:tr>
      <w:tr w:rsidR="00496D36" w:rsidRPr="00447392" w14:paraId="2FCE1511" w14:textId="77777777" w:rsidTr="00496D36">
        <w:tc>
          <w:tcPr>
            <w:tcW w:w="4111" w:type="dxa"/>
          </w:tcPr>
          <w:p w14:paraId="70C7D842" w14:textId="14F909D7" w:rsidR="00270409" w:rsidRPr="00447392" w:rsidRDefault="00270409" w:rsidP="00641F0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47392">
              <w:rPr>
                <w:rFonts w:ascii="Arial" w:hAnsi="Arial" w:cs="Arial"/>
                <w:sz w:val="22"/>
                <w:szCs w:val="22"/>
              </w:rPr>
              <w:t>The employer knowingly decides not to comply with the choice of fund requirements</w:t>
            </w:r>
          </w:p>
        </w:tc>
        <w:tc>
          <w:tcPr>
            <w:tcW w:w="2126" w:type="dxa"/>
          </w:tcPr>
          <w:p w14:paraId="3DC0512A" w14:textId="2F5C6D1F" w:rsidR="00270409" w:rsidRPr="00447392" w:rsidRDefault="008F5F96" w:rsidP="00641F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392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1985" w:type="dxa"/>
          </w:tcPr>
          <w:p w14:paraId="15F69566" w14:textId="42D1985E" w:rsidR="00270409" w:rsidRPr="00447392" w:rsidRDefault="008F5F96" w:rsidP="00641F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392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14:paraId="31081C4A" w14:textId="77777777" w:rsidR="00270409" w:rsidRPr="00447392" w:rsidRDefault="00270409" w:rsidP="00641F06">
      <w:pPr>
        <w:spacing w:after="120"/>
        <w:rPr>
          <w:rFonts w:ascii="Arial" w:hAnsi="Arial" w:cs="Arial"/>
          <w:sz w:val="22"/>
          <w:szCs w:val="22"/>
        </w:rPr>
      </w:pPr>
    </w:p>
    <w:p w14:paraId="1E2D80E2" w14:textId="4A0AB1CE" w:rsidR="008F5F96" w:rsidRPr="00447392" w:rsidRDefault="008F5F96" w:rsidP="00641F06">
      <w:pPr>
        <w:numPr>
          <w:ilvl w:val="0"/>
          <w:numId w:val="27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 xml:space="preserve">After </w:t>
      </w:r>
      <w:proofErr w:type="gramStart"/>
      <w:r w:rsidRPr="00447392">
        <w:rPr>
          <w:rFonts w:ascii="Arial" w:hAnsi="Arial" w:cs="Arial"/>
          <w:sz w:val="22"/>
          <w:szCs w:val="22"/>
        </w:rPr>
        <w:t>making a decision</w:t>
      </w:r>
      <w:proofErr w:type="gramEnd"/>
      <w:r w:rsidRPr="00447392">
        <w:rPr>
          <w:rFonts w:ascii="Arial" w:hAnsi="Arial" w:cs="Arial"/>
          <w:sz w:val="22"/>
          <w:szCs w:val="22"/>
        </w:rPr>
        <w:t xml:space="preserve"> on the initial level of reduction</w:t>
      </w:r>
      <w:r w:rsidR="00AC1B6F" w:rsidRPr="00447392">
        <w:rPr>
          <w:rFonts w:ascii="Arial" w:hAnsi="Arial" w:cs="Arial"/>
          <w:sz w:val="22"/>
          <w:szCs w:val="22"/>
        </w:rPr>
        <w:t>,</w:t>
      </w:r>
      <w:r w:rsidRPr="00447392">
        <w:rPr>
          <w:rFonts w:ascii="Arial" w:hAnsi="Arial" w:cs="Arial"/>
          <w:sz w:val="22"/>
          <w:szCs w:val="22"/>
        </w:rPr>
        <w:t xml:space="preserve"> </w:t>
      </w:r>
      <w:r w:rsidR="00D34479" w:rsidRPr="00447392">
        <w:rPr>
          <w:rFonts w:ascii="Arial" w:hAnsi="Arial" w:cs="Arial"/>
          <w:sz w:val="22"/>
          <w:szCs w:val="22"/>
        </w:rPr>
        <w:t xml:space="preserve">the Commissioner will </w:t>
      </w:r>
      <w:r w:rsidRPr="00447392">
        <w:rPr>
          <w:rFonts w:ascii="Arial" w:hAnsi="Arial" w:cs="Arial"/>
          <w:sz w:val="22"/>
          <w:szCs w:val="22"/>
        </w:rPr>
        <w:t>consider whether that level of choice shortfall will be maintained</w:t>
      </w:r>
      <w:r w:rsidR="003F71E9" w:rsidRPr="00447392">
        <w:rPr>
          <w:rFonts w:ascii="Arial" w:hAnsi="Arial" w:cs="Arial"/>
          <w:sz w:val="22"/>
          <w:szCs w:val="22"/>
        </w:rPr>
        <w:t>,</w:t>
      </w:r>
      <w:r w:rsidRPr="00447392">
        <w:rPr>
          <w:rFonts w:ascii="Arial" w:hAnsi="Arial" w:cs="Arial"/>
          <w:sz w:val="22"/>
          <w:szCs w:val="22"/>
        </w:rPr>
        <w:t xml:space="preserve"> or a further reduction is warranted.</w:t>
      </w:r>
    </w:p>
    <w:p w14:paraId="695CA16A" w14:textId="27A0BBD3" w:rsidR="008F5F96" w:rsidRPr="00447392" w:rsidRDefault="009A23AF" w:rsidP="00496D36">
      <w:pPr>
        <w:keepNext/>
        <w:numPr>
          <w:ilvl w:val="0"/>
          <w:numId w:val="27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lastRenderedPageBreak/>
        <w:t>The relevant f</w:t>
      </w:r>
      <w:r w:rsidR="009F6B41" w:rsidRPr="00447392">
        <w:rPr>
          <w:rFonts w:ascii="Arial" w:hAnsi="Arial" w:cs="Arial"/>
          <w:sz w:val="22"/>
          <w:szCs w:val="22"/>
        </w:rPr>
        <w:t xml:space="preserve">actors </w:t>
      </w:r>
      <w:r w:rsidR="00B11B66" w:rsidRPr="00447392">
        <w:rPr>
          <w:rFonts w:ascii="Arial" w:hAnsi="Arial" w:cs="Arial"/>
          <w:sz w:val="22"/>
          <w:szCs w:val="22"/>
        </w:rPr>
        <w:t>when</w:t>
      </w:r>
      <w:r w:rsidR="009F6B41" w:rsidRPr="00447392">
        <w:rPr>
          <w:rFonts w:ascii="Arial" w:hAnsi="Arial" w:cs="Arial"/>
          <w:sz w:val="22"/>
          <w:szCs w:val="22"/>
        </w:rPr>
        <w:t xml:space="preserve"> considering a further reduction include:</w:t>
      </w:r>
    </w:p>
    <w:p w14:paraId="6546ADA8" w14:textId="2FFD480E" w:rsidR="0083456B" w:rsidRPr="00447392" w:rsidRDefault="009F6B41" w:rsidP="00641F06">
      <w:pPr>
        <w:numPr>
          <w:ilvl w:val="0"/>
          <w:numId w:val="29"/>
        </w:numPr>
        <w:spacing w:after="120"/>
        <w:ind w:left="1701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>the employer made a voluntary disclosure of their failure to meet choice of fund requirements</w:t>
      </w:r>
    </w:p>
    <w:p w14:paraId="327616C5" w14:textId="22C21169" w:rsidR="008F5F96" w:rsidRPr="00447392" w:rsidRDefault="009F6B41" w:rsidP="00641F06">
      <w:pPr>
        <w:numPr>
          <w:ilvl w:val="0"/>
          <w:numId w:val="29"/>
        </w:numPr>
        <w:spacing w:after="120"/>
        <w:ind w:left="1701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>the failure to meet the choice of fund requirements arose due to an error or honest mistake</w:t>
      </w:r>
      <w:r w:rsidR="004F02FB" w:rsidRPr="00447392">
        <w:rPr>
          <w:rFonts w:ascii="Arial" w:hAnsi="Arial" w:cs="Arial"/>
          <w:sz w:val="22"/>
          <w:szCs w:val="22"/>
        </w:rPr>
        <w:t xml:space="preserve"> which has since been rectified and the employer is now contributing to the employee’s chosen fund</w:t>
      </w:r>
      <w:r w:rsidR="00B11B66" w:rsidRPr="00447392">
        <w:rPr>
          <w:rFonts w:ascii="Arial" w:hAnsi="Arial" w:cs="Arial"/>
          <w:sz w:val="22"/>
          <w:szCs w:val="22"/>
        </w:rPr>
        <w:t>,</w:t>
      </w:r>
      <w:r w:rsidR="004F02FB" w:rsidRPr="00447392">
        <w:rPr>
          <w:rFonts w:ascii="Arial" w:hAnsi="Arial" w:cs="Arial"/>
          <w:sz w:val="22"/>
          <w:szCs w:val="22"/>
        </w:rPr>
        <w:t xml:space="preserve"> or </w:t>
      </w:r>
      <w:r w:rsidR="00B11B66" w:rsidRPr="00447392">
        <w:rPr>
          <w:rFonts w:ascii="Arial" w:hAnsi="Arial" w:cs="Arial"/>
          <w:sz w:val="22"/>
          <w:szCs w:val="22"/>
        </w:rPr>
        <w:t xml:space="preserve">to </w:t>
      </w:r>
      <w:r w:rsidR="004F02FB" w:rsidRPr="00447392">
        <w:rPr>
          <w:rFonts w:ascii="Arial" w:hAnsi="Arial" w:cs="Arial"/>
          <w:sz w:val="22"/>
          <w:szCs w:val="22"/>
        </w:rPr>
        <w:t>the employee’s stapled fund if no fund was chosen</w:t>
      </w:r>
    </w:p>
    <w:p w14:paraId="1B9DF89E" w14:textId="0A22B833" w:rsidR="009F6B41" w:rsidRPr="00447392" w:rsidRDefault="009F6B41" w:rsidP="00641F06">
      <w:pPr>
        <w:numPr>
          <w:ilvl w:val="0"/>
          <w:numId w:val="29"/>
        </w:numPr>
        <w:spacing w:after="120"/>
        <w:ind w:left="1701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>the employer has an otherwise good compliance record</w:t>
      </w:r>
    </w:p>
    <w:p w14:paraId="51065312" w14:textId="2FA3B304" w:rsidR="009F6B41" w:rsidRPr="00447392" w:rsidRDefault="009F6B41" w:rsidP="00641F06">
      <w:pPr>
        <w:numPr>
          <w:ilvl w:val="0"/>
          <w:numId w:val="29"/>
        </w:numPr>
        <w:spacing w:after="120"/>
        <w:ind w:left="1701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>the failure to comply with choice was due to exceptional circumstances such as ill-health</w:t>
      </w:r>
      <w:r w:rsidR="009F7AB6" w:rsidRPr="00447392">
        <w:rPr>
          <w:rFonts w:ascii="Arial" w:hAnsi="Arial" w:cs="Arial"/>
          <w:sz w:val="22"/>
          <w:szCs w:val="22"/>
        </w:rPr>
        <w:t xml:space="preserve"> or</w:t>
      </w:r>
      <w:r w:rsidRPr="00447392">
        <w:rPr>
          <w:rFonts w:ascii="Arial" w:hAnsi="Arial" w:cs="Arial"/>
          <w:sz w:val="22"/>
          <w:szCs w:val="22"/>
        </w:rPr>
        <w:t xml:space="preserve"> impact of a natural disaster and the employer has since taken steps to comply</w:t>
      </w:r>
      <w:r w:rsidR="0083456B" w:rsidRPr="00447392">
        <w:rPr>
          <w:rFonts w:ascii="Arial" w:hAnsi="Arial" w:cs="Arial"/>
          <w:sz w:val="22"/>
          <w:szCs w:val="22"/>
        </w:rPr>
        <w:t>.</w:t>
      </w:r>
    </w:p>
    <w:p w14:paraId="2AFAD936" w14:textId="77777777" w:rsidR="00B70B68" w:rsidRDefault="0083456B" w:rsidP="00641F06">
      <w:pPr>
        <w:numPr>
          <w:ilvl w:val="0"/>
          <w:numId w:val="27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 xml:space="preserve">The amount of choice shortfall remaining after applying the initial </w:t>
      </w:r>
      <w:r w:rsidR="00DC7763" w:rsidRPr="00447392">
        <w:rPr>
          <w:rFonts w:ascii="Arial" w:hAnsi="Arial" w:cs="Arial"/>
          <w:sz w:val="22"/>
          <w:szCs w:val="22"/>
        </w:rPr>
        <w:t xml:space="preserve">level of </w:t>
      </w:r>
      <w:r w:rsidRPr="00447392">
        <w:rPr>
          <w:rFonts w:ascii="Arial" w:hAnsi="Arial" w:cs="Arial"/>
          <w:sz w:val="22"/>
          <w:szCs w:val="22"/>
        </w:rPr>
        <w:t>reduction</w:t>
      </w:r>
      <w:r w:rsidR="004F3FB8" w:rsidRPr="00447392">
        <w:rPr>
          <w:rFonts w:ascii="Arial" w:hAnsi="Arial" w:cs="Arial"/>
          <w:sz w:val="22"/>
          <w:szCs w:val="22"/>
        </w:rPr>
        <w:t xml:space="preserve"> will be reduced</w:t>
      </w:r>
      <w:r w:rsidR="00D254A6" w:rsidRPr="00447392">
        <w:rPr>
          <w:rFonts w:ascii="Arial" w:hAnsi="Arial" w:cs="Arial"/>
          <w:sz w:val="22"/>
          <w:szCs w:val="22"/>
        </w:rPr>
        <w:t xml:space="preserve"> by 20%</w:t>
      </w:r>
      <w:r w:rsidR="004F3FB8" w:rsidRPr="00447392">
        <w:rPr>
          <w:rFonts w:ascii="Arial" w:hAnsi="Arial" w:cs="Arial"/>
          <w:sz w:val="22"/>
          <w:szCs w:val="22"/>
        </w:rPr>
        <w:t>, for any additional factors, to a minimum of nil.</w:t>
      </w:r>
    </w:p>
    <w:p w14:paraId="11726343" w14:textId="4C312645" w:rsidR="004F3FB8" w:rsidRPr="00447392" w:rsidRDefault="00434F4C" w:rsidP="00496D36">
      <w:pPr>
        <w:keepNext/>
        <w:numPr>
          <w:ilvl w:val="0"/>
          <w:numId w:val="27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 xml:space="preserve">The Commissioner may </w:t>
      </w:r>
      <w:r w:rsidR="003155F6" w:rsidRPr="00447392">
        <w:rPr>
          <w:rFonts w:ascii="Arial" w:hAnsi="Arial" w:cs="Arial"/>
          <w:sz w:val="22"/>
          <w:szCs w:val="22"/>
        </w:rPr>
        <w:t>not re</w:t>
      </w:r>
      <w:r w:rsidR="00C461FA" w:rsidRPr="00447392">
        <w:rPr>
          <w:rFonts w:ascii="Arial" w:hAnsi="Arial" w:cs="Arial"/>
          <w:sz w:val="22"/>
          <w:szCs w:val="22"/>
        </w:rPr>
        <w:t>duce</w:t>
      </w:r>
      <w:r w:rsidR="003155F6" w:rsidRPr="00447392">
        <w:rPr>
          <w:rFonts w:ascii="Arial" w:hAnsi="Arial" w:cs="Arial"/>
          <w:sz w:val="22"/>
          <w:szCs w:val="22"/>
        </w:rPr>
        <w:t xml:space="preserve"> the choice shortfall where the following factors </w:t>
      </w:r>
      <w:r w:rsidRPr="00447392">
        <w:rPr>
          <w:rFonts w:ascii="Arial" w:hAnsi="Arial" w:cs="Arial"/>
          <w:sz w:val="22"/>
          <w:szCs w:val="22"/>
        </w:rPr>
        <w:t>apply</w:t>
      </w:r>
      <w:r w:rsidR="003155F6" w:rsidRPr="00447392">
        <w:rPr>
          <w:rFonts w:ascii="Arial" w:hAnsi="Arial" w:cs="Arial"/>
          <w:sz w:val="22"/>
          <w:szCs w:val="22"/>
        </w:rPr>
        <w:t>:</w:t>
      </w:r>
    </w:p>
    <w:p w14:paraId="543E6FBA" w14:textId="533FA40A" w:rsidR="003155F6" w:rsidRPr="00447392" w:rsidRDefault="003155F6" w:rsidP="00496D36">
      <w:pPr>
        <w:numPr>
          <w:ilvl w:val="0"/>
          <w:numId w:val="30"/>
        </w:numPr>
        <w:spacing w:after="120"/>
        <w:ind w:left="1701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>the employer</w:t>
      </w:r>
      <w:r w:rsidR="0064715F" w:rsidRPr="00447392">
        <w:rPr>
          <w:rFonts w:ascii="Arial" w:hAnsi="Arial" w:cs="Arial"/>
          <w:sz w:val="22"/>
          <w:szCs w:val="22"/>
        </w:rPr>
        <w:t>,</w:t>
      </w:r>
      <w:r w:rsidRPr="00447392">
        <w:rPr>
          <w:rFonts w:ascii="Arial" w:hAnsi="Arial" w:cs="Arial"/>
          <w:sz w:val="22"/>
          <w:szCs w:val="22"/>
        </w:rPr>
        <w:t xml:space="preserve"> </w:t>
      </w:r>
      <w:r w:rsidR="00FD698C" w:rsidRPr="00447392">
        <w:rPr>
          <w:rFonts w:ascii="Arial" w:hAnsi="Arial" w:cs="Arial"/>
          <w:sz w:val="22"/>
          <w:szCs w:val="22"/>
        </w:rPr>
        <w:t>previously</w:t>
      </w:r>
      <w:r w:rsidRPr="00447392">
        <w:rPr>
          <w:rFonts w:ascii="Arial" w:hAnsi="Arial" w:cs="Arial"/>
          <w:sz w:val="22"/>
          <w:szCs w:val="22"/>
        </w:rPr>
        <w:t xml:space="preserve"> the subject of super</w:t>
      </w:r>
      <w:r w:rsidR="002C0D32" w:rsidRPr="00447392">
        <w:rPr>
          <w:rFonts w:ascii="Arial" w:hAnsi="Arial" w:cs="Arial"/>
          <w:sz w:val="22"/>
          <w:szCs w:val="22"/>
        </w:rPr>
        <w:t>annuation</w:t>
      </w:r>
      <w:r w:rsidRPr="00447392">
        <w:rPr>
          <w:rFonts w:ascii="Arial" w:hAnsi="Arial" w:cs="Arial"/>
          <w:sz w:val="22"/>
          <w:szCs w:val="22"/>
        </w:rPr>
        <w:t xml:space="preserve"> guarantee compliance action, is reasonably expected to be aware of their obligations</w:t>
      </w:r>
      <w:r w:rsidR="003C21EE" w:rsidRPr="00447392">
        <w:rPr>
          <w:rFonts w:ascii="Arial" w:hAnsi="Arial" w:cs="Arial"/>
          <w:sz w:val="22"/>
          <w:szCs w:val="22"/>
        </w:rPr>
        <w:t>,</w:t>
      </w:r>
      <w:r w:rsidRPr="00447392">
        <w:rPr>
          <w:rFonts w:ascii="Arial" w:hAnsi="Arial" w:cs="Arial"/>
          <w:sz w:val="22"/>
          <w:szCs w:val="22"/>
        </w:rPr>
        <w:t xml:space="preserve"> but </w:t>
      </w:r>
      <w:r w:rsidR="00FD698C" w:rsidRPr="00447392">
        <w:rPr>
          <w:rFonts w:ascii="Arial" w:hAnsi="Arial" w:cs="Arial"/>
          <w:sz w:val="22"/>
          <w:szCs w:val="22"/>
        </w:rPr>
        <w:t xml:space="preserve">has </w:t>
      </w:r>
      <w:r w:rsidRPr="00447392">
        <w:rPr>
          <w:rFonts w:ascii="Arial" w:hAnsi="Arial" w:cs="Arial"/>
          <w:sz w:val="22"/>
          <w:szCs w:val="22"/>
        </w:rPr>
        <w:t>repeatedly not met the choice of fund requirements</w:t>
      </w:r>
      <w:r w:rsidR="00496D36">
        <w:rPr>
          <w:rFonts w:ascii="Arial" w:hAnsi="Arial" w:cs="Arial"/>
          <w:sz w:val="22"/>
          <w:szCs w:val="22"/>
        </w:rPr>
        <w:t>,</w:t>
      </w:r>
      <w:r w:rsidRPr="00447392">
        <w:rPr>
          <w:rFonts w:ascii="Arial" w:hAnsi="Arial" w:cs="Arial"/>
          <w:sz w:val="22"/>
          <w:szCs w:val="22"/>
        </w:rPr>
        <w:t xml:space="preserve"> or</w:t>
      </w:r>
    </w:p>
    <w:p w14:paraId="6FF534A9" w14:textId="46B67FB2" w:rsidR="003155F6" w:rsidRPr="00447392" w:rsidRDefault="003155F6" w:rsidP="00496D36">
      <w:pPr>
        <w:numPr>
          <w:ilvl w:val="0"/>
          <w:numId w:val="30"/>
        </w:numPr>
        <w:spacing w:after="120"/>
        <w:ind w:left="1701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>the employer has a history of not meeting choice requirements for other entities</w:t>
      </w:r>
      <w:r w:rsidR="00496D36">
        <w:rPr>
          <w:rFonts w:ascii="Arial" w:hAnsi="Arial" w:cs="Arial"/>
          <w:sz w:val="22"/>
          <w:szCs w:val="22"/>
        </w:rPr>
        <w:t>,</w:t>
      </w:r>
      <w:r w:rsidRPr="00447392">
        <w:rPr>
          <w:rFonts w:ascii="Arial" w:hAnsi="Arial" w:cs="Arial"/>
          <w:sz w:val="22"/>
          <w:szCs w:val="22"/>
        </w:rPr>
        <w:t xml:space="preserve"> or</w:t>
      </w:r>
    </w:p>
    <w:p w14:paraId="33ADA557" w14:textId="0B513B56" w:rsidR="003155F6" w:rsidRPr="00447392" w:rsidRDefault="004307D6" w:rsidP="00496D36">
      <w:pPr>
        <w:numPr>
          <w:ilvl w:val="0"/>
          <w:numId w:val="30"/>
        </w:numPr>
        <w:spacing w:after="120"/>
        <w:ind w:left="1701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 xml:space="preserve">the employer </w:t>
      </w:r>
      <w:r w:rsidR="003155F6" w:rsidRPr="00447392">
        <w:rPr>
          <w:rFonts w:ascii="Arial" w:hAnsi="Arial" w:cs="Arial"/>
          <w:sz w:val="22"/>
          <w:szCs w:val="22"/>
        </w:rPr>
        <w:t xml:space="preserve">took steps to obstruct </w:t>
      </w:r>
      <w:r w:rsidR="00D953C4" w:rsidRPr="00447392">
        <w:rPr>
          <w:rFonts w:ascii="Arial" w:hAnsi="Arial" w:cs="Arial"/>
          <w:sz w:val="22"/>
          <w:szCs w:val="22"/>
        </w:rPr>
        <w:t xml:space="preserve">the Commissioner </w:t>
      </w:r>
      <w:r w:rsidR="003155F6" w:rsidRPr="00447392">
        <w:rPr>
          <w:rFonts w:ascii="Arial" w:hAnsi="Arial" w:cs="Arial"/>
          <w:sz w:val="22"/>
          <w:szCs w:val="22"/>
        </w:rPr>
        <w:t>from determining any super</w:t>
      </w:r>
      <w:r w:rsidR="002C0D32" w:rsidRPr="00447392">
        <w:rPr>
          <w:rFonts w:ascii="Arial" w:hAnsi="Arial" w:cs="Arial"/>
          <w:sz w:val="22"/>
          <w:szCs w:val="22"/>
        </w:rPr>
        <w:t>annuation</w:t>
      </w:r>
      <w:r w:rsidR="003155F6" w:rsidRPr="00447392">
        <w:rPr>
          <w:rFonts w:ascii="Arial" w:hAnsi="Arial" w:cs="Arial"/>
          <w:sz w:val="22"/>
          <w:szCs w:val="22"/>
        </w:rPr>
        <w:t xml:space="preserve"> guarantee or choice liability</w:t>
      </w:r>
      <w:r w:rsidR="00FD698C" w:rsidRPr="00447392">
        <w:rPr>
          <w:rFonts w:ascii="Arial" w:hAnsi="Arial" w:cs="Arial"/>
          <w:sz w:val="22"/>
          <w:szCs w:val="22"/>
        </w:rPr>
        <w:t>.</w:t>
      </w:r>
    </w:p>
    <w:p w14:paraId="1BD629F1" w14:textId="77777777" w:rsidR="009F7AB6" w:rsidRPr="00447392" w:rsidRDefault="009F7AB6" w:rsidP="00641F06">
      <w:pPr>
        <w:spacing w:after="120"/>
        <w:rPr>
          <w:rFonts w:ascii="Arial" w:hAnsi="Arial" w:cs="Arial"/>
          <w:sz w:val="22"/>
          <w:szCs w:val="22"/>
        </w:rPr>
      </w:pPr>
    </w:p>
    <w:p w14:paraId="2BC9AC8A" w14:textId="1268580E" w:rsidR="00F66976" w:rsidRPr="00496D36" w:rsidRDefault="00F66976" w:rsidP="00496D36">
      <w:pPr>
        <w:pStyle w:val="Heading3"/>
        <w:spacing w:before="0" w:after="120"/>
        <w:ind w:left="567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496D3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New </w:t>
      </w:r>
      <w:r w:rsidR="001D78D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e</w:t>
      </w:r>
      <w:r w:rsidRPr="00496D3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mployers</w:t>
      </w:r>
    </w:p>
    <w:p w14:paraId="03ADEFE9" w14:textId="465DFBD4" w:rsidR="00F66976" w:rsidRPr="00447392" w:rsidRDefault="00BB0AFA" w:rsidP="00641F06">
      <w:pPr>
        <w:numPr>
          <w:ilvl w:val="0"/>
          <w:numId w:val="27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>New employers</w:t>
      </w:r>
      <w:r w:rsidR="009F7AB6" w:rsidRPr="00447392">
        <w:rPr>
          <w:rFonts w:ascii="Arial" w:hAnsi="Arial" w:cs="Arial"/>
          <w:sz w:val="22"/>
          <w:szCs w:val="22"/>
        </w:rPr>
        <w:t>,</w:t>
      </w:r>
      <w:r w:rsidRPr="00447392">
        <w:rPr>
          <w:rFonts w:ascii="Arial" w:hAnsi="Arial" w:cs="Arial"/>
          <w:sz w:val="22"/>
          <w:szCs w:val="22"/>
        </w:rPr>
        <w:t xml:space="preserve"> w</w:t>
      </w:r>
      <w:r w:rsidR="00C51C0D" w:rsidRPr="00447392">
        <w:rPr>
          <w:rFonts w:ascii="Arial" w:hAnsi="Arial" w:cs="Arial"/>
          <w:sz w:val="22"/>
          <w:szCs w:val="22"/>
        </w:rPr>
        <w:t xml:space="preserve">ith no previous business experience, </w:t>
      </w:r>
      <w:r w:rsidRPr="00447392">
        <w:rPr>
          <w:rFonts w:ascii="Arial" w:hAnsi="Arial" w:cs="Arial"/>
          <w:sz w:val="22"/>
          <w:szCs w:val="22"/>
        </w:rPr>
        <w:t>will</w:t>
      </w:r>
      <w:r w:rsidR="00C51C0D" w:rsidRPr="00447392">
        <w:rPr>
          <w:rFonts w:ascii="Arial" w:hAnsi="Arial" w:cs="Arial"/>
          <w:sz w:val="22"/>
          <w:szCs w:val="22"/>
        </w:rPr>
        <w:t xml:space="preserve"> generally</w:t>
      </w:r>
      <w:r w:rsidRPr="00447392">
        <w:rPr>
          <w:rFonts w:ascii="Arial" w:hAnsi="Arial" w:cs="Arial"/>
          <w:sz w:val="22"/>
          <w:szCs w:val="22"/>
        </w:rPr>
        <w:t xml:space="preserve"> have any choice shortfall reduced to nil in their first year of operation</w:t>
      </w:r>
      <w:r w:rsidR="00C51C0D" w:rsidRPr="00447392">
        <w:rPr>
          <w:rFonts w:ascii="Arial" w:hAnsi="Arial" w:cs="Arial"/>
          <w:sz w:val="22"/>
          <w:szCs w:val="22"/>
        </w:rPr>
        <w:t xml:space="preserve"> unless the non-compliance was due to</w:t>
      </w:r>
      <w:r w:rsidR="00D23B5B" w:rsidRPr="00447392">
        <w:rPr>
          <w:rFonts w:ascii="Arial" w:hAnsi="Arial" w:cs="Arial"/>
          <w:sz w:val="22"/>
          <w:szCs w:val="22"/>
        </w:rPr>
        <w:t xml:space="preserve"> the employer </w:t>
      </w:r>
      <w:r w:rsidR="00536BB5" w:rsidRPr="00447392">
        <w:rPr>
          <w:rFonts w:ascii="Arial" w:hAnsi="Arial" w:cs="Arial"/>
          <w:sz w:val="22"/>
          <w:szCs w:val="22"/>
        </w:rPr>
        <w:t>intentionally</w:t>
      </w:r>
      <w:r w:rsidR="00D23B5B" w:rsidRPr="00447392">
        <w:rPr>
          <w:rFonts w:ascii="Arial" w:hAnsi="Arial" w:cs="Arial"/>
          <w:sz w:val="22"/>
          <w:szCs w:val="22"/>
        </w:rPr>
        <w:t xml:space="preserve"> not complying.</w:t>
      </w:r>
    </w:p>
    <w:p w14:paraId="0C13F72C" w14:textId="74FE0CAD" w:rsidR="000B1B07" w:rsidRPr="00447392" w:rsidRDefault="000B1B07" w:rsidP="00641F06">
      <w:pPr>
        <w:spacing w:after="120"/>
        <w:rPr>
          <w:rFonts w:ascii="Arial" w:hAnsi="Arial" w:cs="Arial"/>
          <w:sz w:val="22"/>
          <w:szCs w:val="22"/>
        </w:rPr>
      </w:pPr>
    </w:p>
    <w:p w14:paraId="59CDEB9E" w14:textId="3B94B7FD" w:rsidR="000B1B07" w:rsidRPr="00496D36" w:rsidRDefault="00CE7968" w:rsidP="00496D36">
      <w:pPr>
        <w:pStyle w:val="Heading3"/>
        <w:spacing w:before="0" w:after="120"/>
        <w:ind w:left="567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496D3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Other matters</w:t>
      </w:r>
    </w:p>
    <w:p w14:paraId="5F21E55F" w14:textId="710F492B" w:rsidR="000B1B07" w:rsidRPr="00447392" w:rsidRDefault="000B1B07" w:rsidP="00641F06">
      <w:pPr>
        <w:numPr>
          <w:ilvl w:val="0"/>
          <w:numId w:val="27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>A written notice of decision made under subsection 19(2E)</w:t>
      </w:r>
      <w:r w:rsidR="009F7AB6" w:rsidRPr="00447392">
        <w:rPr>
          <w:rFonts w:ascii="Arial" w:hAnsi="Arial" w:cs="Arial"/>
          <w:sz w:val="22"/>
          <w:szCs w:val="22"/>
        </w:rPr>
        <w:t xml:space="preserve"> of the </w:t>
      </w:r>
      <w:r w:rsidR="009F7AB6" w:rsidRPr="00447392">
        <w:rPr>
          <w:rFonts w:ascii="Arial" w:hAnsi="Arial" w:cs="Arial"/>
          <w:i/>
          <w:iCs/>
          <w:sz w:val="22"/>
          <w:szCs w:val="22"/>
        </w:rPr>
        <w:t>Superannuation Guarantee (Administration) Act 1992</w:t>
      </w:r>
      <w:r w:rsidRPr="00447392">
        <w:rPr>
          <w:rFonts w:ascii="Arial" w:hAnsi="Arial" w:cs="Arial"/>
          <w:sz w:val="22"/>
          <w:szCs w:val="22"/>
        </w:rPr>
        <w:t xml:space="preserve"> will be given to the employer who is liable to pay the choice shortfall. The written notice will contain the reasons why the reduction in the choice shortfall was </w:t>
      </w:r>
      <w:r w:rsidR="00F8637A" w:rsidRPr="00447392">
        <w:rPr>
          <w:rFonts w:ascii="Arial" w:hAnsi="Arial" w:cs="Arial"/>
          <w:sz w:val="22"/>
          <w:szCs w:val="22"/>
        </w:rPr>
        <w:t xml:space="preserve">or was not </w:t>
      </w:r>
      <w:r w:rsidRPr="00447392">
        <w:rPr>
          <w:rFonts w:ascii="Arial" w:hAnsi="Arial" w:cs="Arial"/>
          <w:sz w:val="22"/>
          <w:szCs w:val="22"/>
        </w:rPr>
        <w:t>made.</w:t>
      </w:r>
    </w:p>
    <w:p w14:paraId="2073E88C" w14:textId="25043F51" w:rsidR="00CE7968" w:rsidRPr="00447392" w:rsidRDefault="00CE7968" w:rsidP="00641F06">
      <w:pPr>
        <w:numPr>
          <w:ilvl w:val="0"/>
          <w:numId w:val="27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>The Commissioner’s power to reduce the choice shortfall does not extend to any individual super</w:t>
      </w:r>
      <w:r w:rsidR="002C0D32" w:rsidRPr="00447392">
        <w:rPr>
          <w:rFonts w:ascii="Arial" w:hAnsi="Arial" w:cs="Arial"/>
          <w:sz w:val="22"/>
          <w:szCs w:val="22"/>
        </w:rPr>
        <w:t>annuation</w:t>
      </w:r>
      <w:r w:rsidRPr="00447392">
        <w:rPr>
          <w:rFonts w:ascii="Arial" w:hAnsi="Arial" w:cs="Arial"/>
          <w:sz w:val="22"/>
          <w:szCs w:val="22"/>
        </w:rPr>
        <w:t xml:space="preserve"> guarantee shortfalls which arise where the employer fails to make sufficient super</w:t>
      </w:r>
      <w:r w:rsidR="002C0D32" w:rsidRPr="00447392">
        <w:rPr>
          <w:rFonts w:ascii="Arial" w:hAnsi="Arial" w:cs="Arial"/>
          <w:sz w:val="22"/>
          <w:szCs w:val="22"/>
        </w:rPr>
        <w:t>annuation</w:t>
      </w:r>
      <w:r w:rsidRPr="00447392">
        <w:rPr>
          <w:rFonts w:ascii="Arial" w:hAnsi="Arial" w:cs="Arial"/>
          <w:sz w:val="22"/>
          <w:szCs w:val="22"/>
        </w:rPr>
        <w:t xml:space="preserve"> contributions to a complying fund or retirement savings account.</w:t>
      </w:r>
    </w:p>
    <w:p w14:paraId="5E420B65" w14:textId="4F956D6A" w:rsidR="00B813C3" w:rsidRPr="00447392" w:rsidRDefault="00B813C3" w:rsidP="00641F06">
      <w:pPr>
        <w:spacing w:after="120"/>
        <w:rPr>
          <w:rFonts w:ascii="Arial" w:hAnsi="Arial" w:cs="Arial"/>
          <w:sz w:val="22"/>
          <w:szCs w:val="22"/>
        </w:rPr>
      </w:pPr>
    </w:p>
    <w:p w14:paraId="731F0840" w14:textId="77777777" w:rsidR="00543981" w:rsidRPr="00447392" w:rsidRDefault="00B813C3" w:rsidP="00641F06">
      <w:pPr>
        <w:pStyle w:val="Heading2"/>
        <w:numPr>
          <w:ilvl w:val="0"/>
          <w:numId w:val="2"/>
        </w:numPr>
        <w:tabs>
          <w:tab w:val="clear" w:pos="720"/>
        </w:tabs>
        <w:ind w:left="567" w:hanging="567"/>
        <w:rPr>
          <w:rFonts w:cs="Arial"/>
          <w:szCs w:val="22"/>
        </w:rPr>
      </w:pPr>
      <w:r w:rsidRPr="00447392">
        <w:rPr>
          <w:rFonts w:cs="Arial"/>
          <w:szCs w:val="22"/>
        </w:rPr>
        <w:t>Repeals</w:t>
      </w:r>
    </w:p>
    <w:p w14:paraId="195EEC06" w14:textId="4DD1F4EC" w:rsidR="00B813C3" w:rsidRDefault="000B1B07" w:rsidP="006C1AFB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447392">
        <w:rPr>
          <w:rFonts w:ascii="Arial" w:hAnsi="Arial" w:cs="Arial"/>
          <w:sz w:val="22"/>
          <w:szCs w:val="22"/>
        </w:rPr>
        <w:t xml:space="preserve">This instrument </w:t>
      </w:r>
      <w:r w:rsidR="002E1895" w:rsidRPr="00447392">
        <w:rPr>
          <w:rFonts w:ascii="Arial" w:hAnsi="Arial" w:cs="Arial"/>
          <w:sz w:val="22"/>
          <w:szCs w:val="22"/>
        </w:rPr>
        <w:t xml:space="preserve">replaces and </w:t>
      </w:r>
      <w:r w:rsidRPr="00447392">
        <w:rPr>
          <w:rFonts w:ascii="Arial" w:hAnsi="Arial" w:cs="Arial"/>
          <w:sz w:val="22"/>
          <w:szCs w:val="22"/>
        </w:rPr>
        <w:t xml:space="preserve">repeals </w:t>
      </w:r>
      <w:r w:rsidR="0064715F" w:rsidRPr="00447392">
        <w:rPr>
          <w:rFonts w:ascii="Arial" w:hAnsi="Arial" w:cs="Arial"/>
          <w:i/>
          <w:iCs/>
          <w:sz w:val="22"/>
          <w:szCs w:val="22"/>
        </w:rPr>
        <w:t>Superannuation Guarantee (Administration) Act 1992</w:t>
      </w:r>
      <w:r w:rsidR="00447392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64715F" w:rsidRPr="00447392">
        <w:rPr>
          <w:rFonts w:ascii="Arial" w:hAnsi="Arial" w:cs="Arial"/>
          <w:i/>
          <w:iCs/>
          <w:sz w:val="22"/>
          <w:szCs w:val="22"/>
        </w:rPr>
        <w:t>Written Guidelines for the Reduction of an Increase in an Employer's Individual Superannuation Guarantee Shortfall</w:t>
      </w:r>
      <w:r w:rsidR="0064715F" w:rsidRPr="00447392">
        <w:rPr>
          <w:rFonts w:ascii="Arial" w:hAnsi="Arial" w:cs="Arial"/>
          <w:sz w:val="22"/>
          <w:szCs w:val="22"/>
        </w:rPr>
        <w:t xml:space="preserve"> </w:t>
      </w:r>
      <w:r w:rsidRPr="00447392">
        <w:rPr>
          <w:rFonts w:ascii="Arial" w:hAnsi="Arial" w:cs="Arial"/>
          <w:sz w:val="22"/>
          <w:szCs w:val="22"/>
        </w:rPr>
        <w:t xml:space="preserve">(F2006L01821) registered on </w:t>
      </w:r>
      <w:r w:rsidR="002C0D32" w:rsidRPr="00447392">
        <w:rPr>
          <w:rFonts w:ascii="Arial" w:hAnsi="Arial" w:cs="Arial"/>
          <w:sz w:val="22"/>
          <w:szCs w:val="22"/>
        </w:rPr>
        <w:t>15</w:t>
      </w:r>
      <w:r w:rsidR="00C76E65">
        <w:rPr>
          <w:rFonts w:ascii="Arial" w:hAnsi="Arial" w:cs="Arial"/>
          <w:sz w:val="22"/>
          <w:szCs w:val="22"/>
        </w:rPr>
        <w:t> </w:t>
      </w:r>
      <w:r w:rsidRPr="00447392">
        <w:rPr>
          <w:rFonts w:ascii="Arial" w:hAnsi="Arial" w:cs="Arial"/>
          <w:sz w:val="22"/>
          <w:szCs w:val="22"/>
        </w:rPr>
        <w:t>June</w:t>
      </w:r>
      <w:r w:rsidR="00C76E65">
        <w:rPr>
          <w:rFonts w:ascii="Arial" w:hAnsi="Arial" w:cs="Arial"/>
          <w:sz w:val="22"/>
          <w:szCs w:val="22"/>
        </w:rPr>
        <w:t> </w:t>
      </w:r>
      <w:r w:rsidRPr="00447392">
        <w:rPr>
          <w:rFonts w:ascii="Arial" w:hAnsi="Arial" w:cs="Arial"/>
          <w:sz w:val="22"/>
          <w:szCs w:val="22"/>
        </w:rPr>
        <w:t>2006</w:t>
      </w:r>
      <w:r w:rsidR="00532444" w:rsidRPr="00447392">
        <w:rPr>
          <w:rFonts w:ascii="Arial" w:hAnsi="Arial" w:cs="Arial"/>
          <w:sz w:val="22"/>
          <w:szCs w:val="22"/>
        </w:rPr>
        <w:t>.</w:t>
      </w:r>
    </w:p>
    <w:p w14:paraId="4E42BDBF" w14:textId="717628E4" w:rsidR="00E71538" w:rsidRDefault="00E71538" w:rsidP="009B0683">
      <w:pPr>
        <w:spacing w:after="120"/>
        <w:rPr>
          <w:rFonts w:ascii="Arial" w:hAnsi="Arial" w:cs="Arial"/>
          <w:sz w:val="22"/>
          <w:szCs w:val="22"/>
        </w:rPr>
      </w:pPr>
    </w:p>
    <w:p w14:paraId="59FCDFC8" w14:textId="10F455C1" w:rsidR="00E71538" w:rsidRPr="003057F6" w:rsidRDefault="00E71538" w:rsidP="00E71538">
      <w:pPr>
        <w:pStyle w:val="Heading2"/>
        <w:numPr>
          <w:ilvl w:val="0"/>
          <w:numId w:val="2"/>
        </w:numPr>
        <w:tabs>
          <w:tab w:val="clear" w:pos="720"/>
        </w:tabs>
        <w:ind w:left="567" w:hanging="567"/>
        <w:rPr>
          <w:rFonts w:cs="Arial"/>
          <w:szCs w:val="22"/>
        </w:rPr>
      </w:pPr>
      <w:r w:rsidRPr="003057F6">
        <w:rPr>
          <w:rFonts w:cs="Arial"/>
          <w:szCs w:val="22"/>
        </w:rPr>
        <w:t>Definitions</w:t>
      </w:r>
    </w:p>
    <w:p w14:paraId="5521CFA6" w14:textId="3523ECE0" w:rsidR="00E71538" w:rsidRPr="003057F6" w:rsidRDefault="00E71538" w:rsidP="00E71538">
      <w:pPr>
        <w:spacing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3057F6">
        <w:rPr>
          <w:rFonts w:ascii="Arial" w:hAnsi="Arial" w:cs="Arial"/>
          <w:sz w:val="22"/>
          <w:szCs w:val="22"/>
        </w:rPr>
        <w:t>A number of</w:t>
      </w:r>
      <w:proofErr w:type="gramEnd"/>
      <w:r w:rsidRPr="003057F6">
        <w:rPr>
          <w:rFonts w:ascii="Arial" w:hAnsi="Arial" w:cs="Arial"/>
          <w:sz w:val="22"/>
          <w:szCs w:val="22"/>
        </w:rPr>
        <w:t xml:space="preserve"> expressions used in this instrument are defined in </w:t>
      </w:r>
      <w:r w:rsidRPr="003057F6">
        <w:rPr>
          <w:rFonts w:ascii="Arial" w:hAnsi="Arial" w:cs="Arial"/>
          <w:i/>
          <w:iCs/>
          <w:sz w:val="22"/>
          <w:szCs w:val="22"/>
        </w:rPr>
        <w:t>Superannuation Guarantee (Administration) Act 1992</w:t>
      </w:r>
      <w:r w:rsidRPr="003057F6">
        <w:rPr>
          <w:rFonts w:ascii="Arial" w:hAnsi="Arial" w:cs="Arial"/>
          <w:sz w:val="22"/>
          <w:szCs w:val="22"/>
        </w:rPr>
        <w:t>, including the following:</w:t>
      </w:r>
    </w:p>
    <w:p w14:paraId="0D2804E6" w14:textId="0A992430" w:rsidR="00E71538" w:rsidRPr="003057F6" w:rsidRDefault="00E71538" w:rsidP="00E71538">
      <w:pPr>
        <w:numPr>
          <w:ilvl w:val="0"/>
          <w:numId w:val="31"/>
        </w:numPr>
        <w:spacing w:after="120"/>
        <w:ind w:left="1701" w:hanging="567"/>
        <w:rPr>
          <w:rFonts w:ascii="Arial" w:hAnsi="Arial" w:cs="Arial"/>
          <w:sz w:val="22"/>
          <w:szCs w:val="22"/>
        </w:rPr>
      </w:pPr>
      <w:r w:rsidRPr="003057F6">
        <w:rPr>
          <w:rFonts w:ascii="Arial" w:hAnsi="Arial" w:cs="Arial"/>
          <w:b/>
          <w:bCs/>
          <w:i/>
          <w:iCs/>
          <w:sz w:val="22"/>
          <w:szCs w:val="22"/>
        </w:rPr>
        <w:t>charge percentage</w:t>
      </w:r>
      <w:r w:rsidRPr="003057F6">
        <w:rPr>
          <w:rFonts w:ascii="Arial" w:hAnsi="Arial" w:cs="Arial"/>
          <w:sz w:val="22"/>
          <w:szCs w:val="22"/>
        </w:rPr>
        <w:t>, has the meaning given by subsection 19(1)</w:t>
      </w:r>
    </w:p>
    <w:p w14:paraId="5350AD1E" w14:textId="261BBC43" w:rsidR="00E71538" w:rsidRPr="003057F6" w:rsidRDefault="00E71538" w:rsidP="00E71538">
      <w:pPr>
        <w:numPr>
          <w:ilvl w:val="0"/>
          <w:numId w:val="31"/>
        </w:numPr>
        <w:spacing w:after="120"/>
        <w:ind w:left="1701" w:hanging="567"/>
        <w:rPr>
          <w:rFonts w:ascii="Arial" w:hAnsi="Arial" w:cs="Arial"/>
          <w:sz w:val="22"/>
          <w:szCs w:val="22"/>
        </w:rPr>
      </w:pPr>
      <w:r w:rsidRPr="003057F6">
        <w:rPr>
          <w:rFonts w:ascii="Arial" w:hAnsi="Arial" w:cs="Arial"/>
          <w:b/>
          <w:bCs/>
          <w:i/>
          <w:iCs/>
          <w:sz w:val="22"/>
          <w:szCs w:val="22"/>
        </w:rPr>
        <w:t>chosen fund</w:t>
      </w:r>
      <w:r w:rsidRPr="003057F6">
        <w:rPr>
          <w:rFonts w:ascii="Arial" w:hAnsi="Arial" w:cs="Arial"/>
          <w:sz w:val="22"/>
          <w:szCs w:val="22"/>
        </w:rPr>
        <w:t>, has the meaning given by section 32F</w:t>
      </w:r>
    </w:p>
    <w:p w14:paraId="590E2F43" w14:textId="1D4E6637" w:rsidR="00E71538" w:rsidRPr="003057F6" w:rsidRDefault="00E71538" w:rsidP="00E71538">
      <w:pPr>
        <w:numPr>
          <w:ilvl w:val="0"/>
          <w:numId w:val="31"/>
        </w:numPr>
        <w:spacing w:after="120"/>
        <w:ind w:left="1701" w:hanging="567"/>
        <w:rPr>
          <w:rFonts w:ascii="Arial" w:hAnsi="Arial" w:cs="Arial"/>
          <w:sz w:val="22"/>
          <w:szCs w:val="22"/>
        </w:rPr>
      </w:pPr>
      <w:r w:rsidRPr="003057F6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complying superannuation fund or scheme</w:t>
      </w:r>
      <w:r w:rsidRPr="003057F6">
        <w:rPr>
          <w:rFonts w:ascii="Arial" w:hAnsi="Arial" w:cs="Arial"/>
          <w:sz w:val="22"/>
          <w:szCs w:val="22"/>
        </w:rPr>
        <w:t>, has the meaning given by section 7</w:t>
      </w:r>
    </w:p>
    <w:p w14:paraId="1038159A" w14:textId="553FCFDD" w:rsidR="00E71538" w:rsidRPr="003057F6" w:rsidRDefault="00E71538" w:rsidP="00E71538">
      <w:pPr>
        <w:numPr>
          <w:ilvl w:val="0"/>
          <w:numId w:val="31"/>
        </w:numPr>
        <w:spacing w:after="120"/>
        <w:ind w:left="1701" w:hanging="567"/>
        <w:rPr>
          <w:rFonts w:ascii="Arial" w:hAnsi="Arial" w:cs="Arial"/>
          <w:sz w:val="22"/>
          <w:szCs w:val="22"/>
        </w:rPr>
      </w:pPr>
      <w:r w:rsidRPr="003057F6">
        <w:rPr>
          <w:rFonts w:ascii="Arial" w:hAnsi="Arial" w:cs="Arial"/>
          <w:b/>
          <w:bCs/>
          <w:i/>
          <w:iCs/>
          <w:sz w:val="22"/>
          <w:szCs w:val="22"/>
        </w:rPr>
        <w:t>individual superannuation guarantee shortfall</w:t>
      </w:r>
      <w:r w:rsidRPr="003057F6">
        <w:rPr>
          <w:rFonts w:ascii="Arial" w:hAnsi="Arial" w:cs="Arial"/>
          <w:sz w:val="22"/>
          <w:szCs w:val="22"/>
        </w:rPr>
        <w:t>, has the meaning given by subsection 19(1)</w:t>
      </w:r>
    </w:p>
    <w:p w14:paraId="52A17CE0" w14:textId="6386A476" w:rsidR="00E71538" w:rsidRPr="003057F6" w:rsidRDefault="00E71538" w:rsidP="00E71538">
      <w:pPr>
        <w:numPr>
          <w:ilvl w:val="0"/>
          <w:numId w:val="31"/>
        </w:numPr>
        <w:spacing w:after="120"/>
        <w:ind w:left="1701" w:hanging="567"/>
        <w:rPr>
          <w:rFonts w:ascii="Arial" w:hAnsi="Arial" w:cs="Arial"/>
          <w:sz w:val="22"/>
          <w:szCs w:val="22"/>
        </w:rPr>
      </w:pPr>
      <w:r w:rsidRPr="003057F6">
        <w:rPr>
          <w:rFonts w:ascii="Arial" w:hAnsi="Arial" w:cs="Arial"/>
          <w:b/>
          <w:bCs/>
          <w:i/>
          <w:iCs/>
          <w:sz w:val="22"/>
          <w:szCs w:val="22"/>
        </w:rPr>
        <w:t>RSA (or retirement savings account)</w:t>
      </w:r>
      <w:r w:rsidRPr="003057F6">
        <w:rPr>
          <w:rFonts w:ascii="Arial" w:hAnsi="Arial" w:cs="Arial"/>
          <w:sz w:val="22"/>
          <w:szCs w:val="22"/>
        </w:rPr>
        <w:t xml:space="preserve">, has the meaning given by section 6 with reference to the </w:t>
      </w:r>
      <w:r w:rsidRPr="003057F6">
        <w:rPr>
          <w:rFonts w:ascii="Arial" w:hAnsi="Arial" w:cs="Arial"/>
          <w:i/>
          <w:iCs/>
          <w:sz w:val="22"/>
          <w:szCs w:val="22"/>
        </w:rPr>
        <w:t>Retirement Savings Accounts Act 1997</w:t>
      </w:r>
    </w:p>
    <w:p w14:paraId="1840859A" w14:textId="1898A2F8" w:rsidR="00E71538" w:rsidRPr="003057F6" w:rsidRDefault="00E71538" w:rsidP="00E71538">
      <w:pPr>
        <w:numPr>
          <w:ilvl w:val="0"/>
          <w:numId w:val="31"/>
        </w:numPr>
        <w:spacing w:after="120"/>
        <w:ind w:left="1701" w:hanging="567"/>
        <w:rPr>
          <w:rFonts w:ascii="Arial" w:hAnsi="Arial" w:cs="Arial"/>
          <w:sz w:val="22"/>
          <w:szCs w:val="22"/>
        </w:rPr>
      </w:pPr>
      <w:r w:rsidRPr="003057F6">
        <w:rPr>
          <w:rFonts w:ascii="Arial" w:hAnsi="Arial" w:cs="Arial"/>
          <w:b/>
          <w:bCs/>
          <w:i/>
          <w:iCs/>
          <w:sz w:val="22"/>
          <w:szCs w:val="22"/>
        </w:rPr>
        <w:t>stapled fund</w:t>
      </w:r>
      <w:r w:rsidRPr="003057F6">
        <w:rPr>
          <w:rFonts w:ascii="Arial" w:hAnsi="Arial" w:cs="Arial"/>
          <w:sz w:val="22"/>
          <w:szCs w:val="22"/>
        </w:rPr>
        <w:t>, has the meaning given by section 32Q</w:t>
      </w:r>
    </w:p>
    <w:p w14:paraId="7E5231D1" w14:textId="7F146250" w:rsidR="00E71538" w:rsidRPr="003057F6" w:rsidRDefault="00E71538" w:rsidP="00F46AE6">
      <w:pPr>
        <w:numPr>
          <w:ilvl w:val="0"/>
          <w:numId w:val="31"/>
        </w:numPr>
        <w:spacing w:after="120"/>
        <w:ind w:left="1701" w:hanging="567"/>
        <w:rPr>
          <w:rFonts w:ascii="Arial" w:hAnsi="Arial" w:cs="Arial"/>
          <w:sz w:val="22"/>
          <w:szCs w:val="22"/>
        </w:rPr>
      </w:pPr>
      <w:proofErr w:type="gramStart"/>
      <w:r w:rsidRPr="003057F6">
        <w:rPr>
          <w:rFonts w:ascii="Arial" w:hAnsi="Arial" w:cs="Arial"/>
          <w:b/>
          <w:bCs/>
          <w:i/>
          <w:iCs/>
          <w:sz w:val="22"/>
          <w:szCs w:val="22"/>
        </w:rPr>
        <w:t>superannuation guarantee charge</w:t>
      </w:r>
      <w:r w:rsidRPr="003057F6">
        <w:rPr>
          <w:rFonts w:ascii="Arial" w:hAnsi="Arial" w:cs="Arial"/>
          <w:sz w:val="22"/>
          <w:szCs w:val="22"/>
        </w:rPr>
        <w:t>,</w:t>
      </w:r>
      <w:proofErr w:type="gramEnd"/>
      <w:r w:rsidRPr="003057F6">
        <w:rPr>
          <w:rFonts w:ascii="Arial" w:hAnsi="Arial" w:cs="Arial"/>
          <w:sz w:val="22"/>
          <w:szCs w:val="22"/>
        </w:rPr>
        <w:t xml:space="preserve"> has the meaning given by section 6</w:t>
      </w:r>
      <w:r>
        <w:rPr>
          <w:rFonts w:ascii="Arial" w:hAnsi="Arial" w:cs="Arial"/>
          <w:sz w:val="22"/>
          <w:szCs w:val="22"/>
        </w:rPr>
        <w:t>.</w:t>
      </w:r>
    </w:p>
    <w:sectPr w:rsidR="00E71538" w:rsidRPr="003057F6" w:rsidSect="00F652F9">
      <w:headerReference w:type="first" r:id="rId9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32AE4" w14:textId="77777777" w:rsidR="00C139B3" w:rsidRDefault="00C139B3">
      <w:r>
        <w:separator/>
      </w:r>
    </w:p>
  </w:endnote>
  <w:endnote w:type="continuationSeparator" w:id="0">
    <w:p w14:paraId="5CB7071B" w14:textId="77777777" w:rsidR="00C139B3" w:rsidRDefault="00C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A6102" w14:textId="77777777" w:rsidR="00C139B3" w:rsidRDefault="00C139B3">
      <w:r>
        <w:separator/>
      </w:r>
    </w:p>
  </w:footnote>
  <w:footnote w:type="continuationSeparator" w:id="0">
    <w:p w14:paraId="22FB0A13" w14:textId="77777777" w:rsidR="00C139B3" w:rsidRDefault="00C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36E58" w14:textId="17126F64" w:rsidR="00F652F9" w:rsidRPr="00767CE8" w:rsidRDefault="00F652F9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AF2C23" w:rsidRPr="00AF2C23">
      <w:rPr>
        <w:rFonts w:ascii="Arial" w:hAnsi="Arial" w:cs="Arial"/>
        <w:b/>
        <w:sz w:val="22"/>
        <w:szCs w:val="22"/>
      </w:rPr>
      <w:t>2021/SEO/0004</w:t>
    </w:r>
  </w:p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1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67CAB541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3538"/>
    <w:multiLevelType w:val="hybridMultilevel"/>
    <w:tmpl w:val="E048DD18"/>
    <w:lvl w:ilvl="0" w:tplc="8D9C28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66BB"/>
    <w:multiLevelType w:val="hybridMultilevel"/>
    <w:tmpl w:val="D64003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6006"/>
    <w:multiLevelType w:val="hybridMultilevel"/>
    <w:tmpl w:val="110E9FF2"/>
    <w:lvl w:ilvl="0" w:tplc="8A241B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8E58FB"/>
    <w:multiLevelType w:val="hybridMultilevel"/>
    <w:tmpl w:val="5B16CEF4"/>
    <w:lvl w:ilvl="0" w:tplc="FF9003B0">
      <w:start w:val="1"/>
      <w:numFmt w:val="decimal"/>
      <w:lvlText w:val="(%1)"/>
      <w:lvlJc w:val="left"/>
      <w:pPr>
        <w:ind w:left="644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7" w15:restartNumberingAfterBreak="0">
    <w:nsid w:val="0DC855E9"/>
    <w:multiLevelType w:val="hybridMultilevel"/>
    <w:tmpl w:val="05307730"/>
    <w:lvl w:ilvl="0" w:tplc="DE6EDC0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97675D2"/>
    <w:multiLevelType w:val="hybridMultilevel"/>
    <w:tmpl w:val="B726CEC6"/>
    <w:lvl w:ilvl="0" w:tplc="DE6EDC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07F89"/>
    <w:multiLevelType w:val="hybridMultilevel"/>
    <w:tmpl w:val="7300292E"/>
    <w:lvl w:ilvl="0" w:tplc="DE6EDC0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D3865"/>
    <w:multiLevelType w:val="hybridMultilevel"/>
    <w:tmpl w:val="5AE09ACA"/>
    <w:lvl w:ilvl="0" w:tplc="8D9C28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DB3DBC"/>
    <w:multiLevelType w:val="hybridMultilevel"/>
    <w:tmpl w:val="F8069120"/>
    <w:lvl w:ilvl="0" w:tplc="08760F6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A3256"/>
    <w:multiLevelType w:val="hybridMultilevel"/>
    <w:tmpl w:val="89A8750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C3A6810"/>
    <w:multiLevelType w:val="hybridMultilevel"/>
    <w:tmpl w:val="BE5A13CA"/>
    <w:lvl w:ilvl="0" w:tplc="D062D3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748EF"/>
    <w:multiLevelType w:val="hybridMultilevel"/>
    <w:tmpl w:val="B296C998"/>
    <w:lvl w:ilvl="0" w:tplc="DE6EDC0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6D6A4C09"/>
    <w:multiLevelType w:val="hybridMultilevel"/>
    <w:tmpl w:val="EB3C15BE"/>
    <w:lvl w:ilvl="0" w:tplc="DE6EDC0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A4138"/>
    <w:multiLevelType w:val="hybridMultilevel"/>
    <w:tmpl w:val="C1149242"/>
    <w:lvl w:ilvl="0" w:tplc="FCB2E7B6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F226A2"/>
    <w:multiLevelType w:val="hybridMultilevel"/>
    <w:tmpl w:val="3D0A08C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AA44DF"/>
    <w:multiLevelType w:val="hybridMultilevel"/>
    <w:tmpl w:val="0D76D408"/>
    <w:lvl w:ilvl="0" w:tplc="AB86E2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C5199"/>
    <w:multiLevelType w:val="hybridMultilevel"/>
    <w:tmpl w:val="EDD258BA"/>
    <w:lvl w:ilvl="0" w:tplc="6E1E0E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64BE7"/>
    <w:multiLevelType w:val="hybridMultilevel"/>
    <w:tmpl w:val="CB0C4938"/>
    <w:lvl w:ilvl="0" w:tplc="8D9C28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0151E"/>
    <w:multiLevelType w:val="hybridMultilevel"/>
    <w:tmpl w:val="B25AC7E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30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2"/>
  </w:num>
  <w:num w:numId="9">
    <w:abstractNumId w:val="4"/>
  </w:num>
  <w:num w:numId="10">
    <w:abstractNumId w:val="14"/>
  </w:num>
  <w:num w:numId="11">
    <w:abstractNumId w:val="9"/>
  </w:num>
  <w:num w:numId="12">
    <w:abstractNumId w:val="15"/>
  </w:num>
  <w:num w:numId="13">
    <w:abstractNumId w:val="25"/>
  </w:num>
  <w:num w:numId="14">
    <w:abstractNumId w:val="5"/>
  </w:num>
  <w:num w:numId="15">
    <w:abstractNumId w:val="19"/>
  </w:num>
  <w:num w:numId="16">
    <w:abstractNumId w:val="29"/>
  </w:num>
  <w:num w:numId="17">
    <w:abstractNumId w:val="1"/>
  </w:num>
  <w:num w:numId="18">
    <w:abstractNumId w:val="20"/>
  </w:num>
  <w:num w:numId="19">
    <w:abstractNumId w:val="0"/>
  </w:num>
  <w:num w:numId="20">
    <w:abstractNumId w:val="18"/>
  </w:num>
  <w:num w:numId="21">
    <w:abstractNumId w:val="27"/>
  </w:num>
  <w:num w:numId="22">
    <w:abstractNumId w:val="2"/>
  </w:num>
  <w:num w:numId="23">
    <w:abstractNumId w:val="26"/>
  </w:num>
  <w:num w:numId="24">
    <w:abstractNumId w:val="10"/>
  </w:num>
  <w:num w:numId="25">
    <w:abstractNumId w:val="21"/>
  </w:num>
  <w:num w:numId="26">
    <w:abstractNumId w:val="11"/>
  </w:num>
  <w:num w:numId="27">
    <w:abstractNumId w:val="7"/>
  </w:num>
  <w:num w:numId="28">
    <w:abstractNumId w:val="23"/>
  </w:num>
  <w:num w:numId="29">
    <w:abstractNumId w:val="28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1E88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57715"/>
    <w:rsid w:val="00061054"/>
    <w:rsid w:val="0006112D"/>
    <w:rsid w:val="00061910"/>
    <w:rsid w:val="00070C8A"/>
    <w:rsid w:val="00072E3D"/>
    <w:rsid w:val="000745A8"/>
    <w:rsid w:val="0007527F"/>
    <w:rsid w:val="000761BD"/>
    <w:rsid w:val="00082A4A"/>
    <w:rsid w:val="00083FAC"/>
    <w:rsid w:val="00085451"/>
    <w:rsid w:val="0008741B"/>
    <w:rsid w:val="00087C21"/>
    <w:rsid w:val="00090B7A"/>
    <w:rsid w:val="0009111F"/>
    <w:rsid w:val="000920E5"/>
    <w:rsid w:val="00096865"/>
    <w:rsid w:val="000A0909"/>
    <w:rsid w:val="000A0B93"/>
    <w:rsid w:val="000A1078"/>
    <w:rsid w:val="000A3297"/>
    <w:rsid w:val="000A6CE4"/>
    <w:rsid w:val="000A70C6"/>
    <w:rsid w:val="000B1B07"/>
    <w:rsid w:val="000B261A"/>
    <w:rsid w:val="000B2C32"/>
    <w:rsid w:val="000B2DD7"/>
    <w:rsid w:val="000C0EF3"/>
    <w:rsid w:val="000C45D3"/>
    <w:rsid w:val="000D13BC"/>
    <w:rsid w:val="000D3CC6"/>
    <w:rsid w:val="000D40A4"/>
    <w:rsid w:val="000D6A3C"/>
    <w:rsid w:val="000D6E5B"/>
    <w:rsid w:val="000E0270"/>
    <w:rsid w:val="000E2EB8"/>
    <w:rsid w:val="000E3210"/>
    <w:rsid w:val="000F314A"/>
    <w:rsid w:val="000F3A74"/>
    <w:rsid w:val="000F3E93"/>
    <w:rsid w:val="000F52DE"/>
    <w:rsid w:val="001051FA"/>
    <w:rsid w:val="00106686"/>
    <w:rsid w:val="00110ACA"/>
    <w:rsid w:val="00110E46"/>
    <w:rsid w:val="00110F37"/>
    <w:rsid w:val="00114408"/>
    <w:rsid w:val="00115901"/>
    <w:rsid w:val="00115B45"/>
    <w:rsid w:val="00116B15"/>
    <w:rsid w:val="001243A8"/>
    <w:rsid w:val="00126EED"/>
    <w:rsid w:val="00131447"/>
    <w:rsid w:val="0013220C"/>
    <w:rsid w:val="00134D4D"/>
    <w:rsid w:val="001361C6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5D22"/>
    <w:rsid w:val="001C6316"/>
    <w:rsid w:val="001C6C9F"/>
    <w:rsid w:val="001C7B01"/>
    <w:rsid w:val="001D0C43"/>
    <w:rsid w:val="001D1118"/>
    <w:rsid w:val="001D1628"/>
    <w:rsid w:val="001D4C15"/>
    <w:rsid w:val="001D676C"/>
    <w:rsid w:val="001D78DB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0100"/>
    <w:rsid w:val="002213F3"/>
    <w:rsid w:val="00222180"/>
    <w:rsid w:val="00223D79"/>
    <w:rsid w:val="00224B20"/>
    <w:rsid w:val="00225B5B"/>
    <w:rsid w:val="002309BC"/>
    <w:rsid w:val="00234388"/>
    <w:rsid w:val="00235F6E"/>
    <w:rsid w:val="00237D14"/>
    <w:rsid w:val="00241507"/>
    <w:rsid w:val="00242CCE"/>
    <w:rsid w:val="002449E3"/>
    <w:rsid w:val="00246081"/>
    <w:rsid w:val="002476E9"/>
    <w:rsid w:val="002504EE"/>
    <w:rsid w:val="00255AB5"/>
    <w:rsid w:val="00256024"/>
    <w:rsid w:val="00263512"/>
    <w:rsid w:val="00270137"/>
    <w:rsid w:val="00270409"/>
    <w:rsid w:val="00274BCD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0D21"/>
    <w:rsid w:val="002B5B41"/>
    <w:rsid w:val="002C0D32"/>
    <w:rsid w:val="002C1214"/>
    <w:rsid w:val="002C1E82"/>
    <w:rsid w:val="002C5784"/>
    <w:rsid w:val="002C7A81"/>
    <w:rsid w:val="002D066A"/>
    <w:rsid w:val="002D12C4"/>
    <w:rsid w:val="002D144F"/>
    <w:rsid w:val="002D6902"/>
    <w:rsid w:val="002D7B6D"/>
    <w:rsid w:val="002D7DD0"/>
    <w:rsid w:val="002E1895"/>
    <w:rsid w:val="002F18CB"/>
    <w:rsid w:val="002F3447"/>
    <w:rsid w:val="002F37C2"/>
    <w:rsid w:val="003022CF"/>
    <w:rsid w:val="00303F72"/>
    <w:rsid w:val="003107EF"/>
    <w:rsid w:val="00312725"/>
    <w:rsid w:val="00314A4E"/>
    <w:rsid w:val="00314E87"/>
    <w:rsid w:val="003150E0"/>
    <w:rsid w:val="003155F6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53D5"/>
    <w:rsid w:val="00377BCC"/>
    <w:rsid w:val="00380284"/>
    <w:rsid w:val="00380717"/>
    <w:rsid w:val="00381779"/>
    <w:rsid w:val="003819B3"/>
    <w:rsid w:val="00382AE0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21EE"/>
    <w:rsid w:val="003C564E"/>
    <w:rsid w:val="003C6EEE"/>
    <w:rsid w:val="003C7C74"/>
    <w:rsid w:val="003D3335"/>
    <w:rsid w:val="003D354B"/>
    <w:rsid w:val="003D5A34"/>
    <w:rsid w:val="003E3E74"/>
    <w:rsid w:val="003E52ED"/>
    <w:rsid w:val="003F71AF"/>
    <w:rsid w:val="003F71E9"/>
    <w:rsid w:val="004007F2"/>
    <w:rsid w:val="00410152"/>
    <w:rsid w:val="00411530"/>
    <w:rsid w:val="00412B77"/>
    <w:rsid w:val="00414405"/>
    <w:rsid w:val="0042007E"/>
    <w:rsid w:val="00424F2B"/>
    <w:rsid w:val="00426390"/>
    <w:rsid w:val="004307D6"/>
    <w:rsid w:val="0043366F"/>
    <w:rsid w:val="00434F4C"/>
    <w:rsid w:val="004369A7"/>
    <w:rsid w:val="00436E40"/>
    <w:rsid w:val="00441AC4"/>
    <w:rsid w:val="00441AE7"/>
    <w:rsid w:val="00446E2A"/>
    <w:rsid w:val="00447392"/>
    <w:rsid w:val="00447D82"/>
    <w:rsid w:val="00451EE1"/>
    <w:rsid w:val="00452C78"/>
    <w:rsid w:val="00453A50"/>
    <w:rsid w:val="00453FB4"/>
    <w:rsid w:val="0045428E"/>
    <w:rsid w:val="00461FBC"/>
    <w:rsid w:val="00466FCB"/>
    <w:rsid w:val="004726B6"/>
    <w:rsid w:val="004745E2"/>
    <w:rsid w:val="00475A2F"/>
    <w:rsid w:val="00480A1F"/>
    <w:rsid w:val="00484715"/>
    <w:rsid w:val="004870DE"/>
    <w:rsid w:val="00490C14"/>
    <w:rsid w:val="00496D36"/>
    <w:rsid w:val="004975A9"/>
    <w:rsid w:val="004A1F99"/>
    <w:rsid w:val="004A30EE"/>
    <w:rsid w:val="004A3AB0"/>
    <w:rsid w:val="004B0651"/>
    <w:rsid w:val="004B0FEC"/>
    <w:rsid w:val="004B1977"/>
    <w:rsid w:val="004B214D"/>
    <w:rsid w:val="004B4E9F"/>
    <w:rsid w:val="004B4F84"/>
    <w:rsid w:val="004B7906"/>
    <w:rsid w:val="004B7E5C"/>
    <w:rsid w:val="004C0ED9"/>
    <w:rsid w:val="004C1BDB"/>
    <w:rsid w:val="004C3B01"/>
    <w:rsid w:val="004C68AA"/>
    <w:rsid w:val="004D0B9D"/>
    <w:rsid w:val="004D22B9"/>
    <w:rsid w:val="004D2DB9"/>
    <w:rsid w:val="004E04F8"/>
    <w:rsid w:val="004E2A09"/>
    <w:rsid w:val="004E3A27"/>
    <w:rsid w:val="004E4117"/>
    <w:rsid w:val="004E660F"/>
    <w:rsid w:val="004F02FB"/>
    <w:rsid w:val="004F173B"/>
    <w:rsid w:val="004F3FB8"/>
    <w:rsid w:val="004F6872"/>
    <w:rsid w:val="00502D0D"/>
    <w:rsid w:val="0050473D"/>
    <w:rsid w:val="00506840"/>
    <w:rsid w:val="00507465"/>
    <w:rsid w:val="00507C1E"/>
    <w:rsid w:val="00510446"/>
    <w:rsid w:val="00510B32"/>
    <w:rsid w:val="00510E8B"/>
    <w:rsid w:val="005126C6"/>
    <w:rsid w:val="00513891"/>
    <w:rsid w:val="00513A8B"/>
    <w:rsid w:val="00513F8C"/>
    <w:rsid w:val="00515786"/>
    <w:rsid w:val="005251FD"/>
    <w:rsid w:val="005272E2"/>
    <w:rsid w:val="00527EC7"/>
    <w:rsid w:val="005312F5"/>
    <w:rsid w:val="00532444"/>
    <w:rsid w:val="00532AC5"/>
    <w:rsid w:val="005361C9"/>
    <w:rsid w:val="005364C0"/>
    <w:rsid w:val="00536BB5"/>
    <w:rsid w:val="00537D1C"/>
    <w:rsid w:val="00537D5D"/>
    <w:rsid w:val="00543981"/>
    <w:rsid w:val="00545171"/>
    <w:rsid w:val="0055072D"/>
    <w:rsid w:val="00552490"/>
    <w:rsid w:val="00554CFA"/>
    <w:rsid w:val="0056163C"/>
    <w:rsid w:val="00564D84"/>
    <w:rsid w:val="00567854"/>
    <w:rsid w:val="00570631"/>
    <w:rsid w:val="005737C1"/>
    <w:rsid w:val="0057609B"/>
    <w:rsid w:val="00582467"/>
    <w:rsid w:val="00583E9B"/>
    <w:rsid w:val="005848C1"/>
    <w:rsid w:val="005849D8"/>
    <w:rsid w:val="00585124"/>
    <w:rsid w:val="0058722D"/>
    <w:rsid w:val="005903F3"/>
    <w:rsid w:val="005A19F3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B6E83"/>
    <w:rsid w:val="005C13A2"/>
    <w:rsid w:val="005C5D9A"/>
    <w:rsid w:val="005D2382"/>
    <w:rsid w:val="005D55A1"/>
    <w:rsid w:val="005D7217"/>
    <w:rsid w:val="005E214D"/>
    <w:rsid w:val="005E49E3"/>
    <w:rsid w:val="005E6E25"/>
    <w:rsid w:val="005E6EA9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BA6"/>
    <w:rsid w:val="00613DA2"/>
    <w:rsid w:val="00621779"/>
    <w:rsid w:val="00622FAC"/>
    <w:rsid w:val="006230F5"/>
    <w:rsid w:val="00624504"/>
    <w:rsid w:val="00627741"/>
    <w:rsid w:val="0063701F"/>
    <w:rsid w:val="00641F06"/>
    <w:rsid w:val="00644EDE"/>
    <w:rsid w:val="0064715F"/>
    <w:rsid w:val="0064758C"/>
    <w:rsid w:val="00650FDC"/>
    <w:rsid w:val="00657558"/>
    <w:rsid w:val="006577D8"/>
    <w:rsid w:val="00657D5E"/>
    <w:rsid w:val="00673BA4"/>
    <w:rsid w:val="00673C52"/>
    <w:rsid w:val="00682106"/>
    <w:rsid w:val="0068234C"/>
    <w:rsid w:val="00686958"/>
    <w:rsid w:val="00686F27"/>
    <w:rsid w:val="006910C8"/>
    <w:rsid w:val="006919FF"/>
    <w:rsid w:val="0069258C"/>
    <w:rsid w:val="00694E63"/>
    <w:rsid w:val="00696C29"/>
    <w:rsid w:val="006A6E53"/>
    <w:rsid w:val="006B38B0"/>
    <w:rsid w:val="006B76E1"/>
    <w:rsid w:val="006C008D"/>
    <w:rsid w:val="006C1AFB"/>
    <w:rsid w:val="006C285A"/>
    <w:rsid w:val="006C344E"/>
    <w:rsid w:val="006E27F8"/>
    <w:rsid w:val="006E2B6D"/>
    <w:rsid w:val="006E3DDC"/>
    <w:rsid w:val="006E6EF2"/>
    <w:rsid w:val="006E7655"/>
    <w:rsid w:val="006F00D4"/>
    <w:rsid w:val="006F0AC8"/>
    <w:rsid w:val="006F2291"/>
    <w:rsid w:val="006F3F34"/>
    <w:rsid w:val="006F44E4"/>
    <w:rsid w:val="006F4E8C"/>
    <w:rsid w:val="007031B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7487"/>
    <w:rsid w:val="007478FC"/>
    <w:rsid w:val="00753596"/>
    <w:rsid w:val="00753955"/>
    <w:rsid w:val="00761BF8"/>
    <w:rsid w:val="0076476D"/>
    <w:rsid w:val="00766BC9"/>
    <w:rsid w:val="007676B6"/>
    <w:rsid w:val="00771758"/>
    <w:rsid w:val="0077436F"/>
    <w:rsid w:val="00776EC3"/>
    <w:rsid w:val="00782943"/>
    <w:rsid w:val="007848AB"/>
    <w:rsid w:val="00784A59"/>
    <w:rsid w:val="007853B5"/>
    <w:rsid w:val="0078606B"/>
    <w:rsid w:val="00797788"/>
    <w:rsid w:val="007A010E"/>
    <w:rsid w:val="007A190A"/>
    <w:rsid w:val="007A5ABF"/>
    <w:rsid w:val="007A6D51"/>
    <w:rsid w:val="007B0972"/>
    <w:rsid w:val="007B0DF6"/>
    <w:rsid w:val="007B2B77"/>
    <w:rsid w:val="007B6064"/>
    <w:rsid w:val="007C07E8"/>
    <w:rsid w:val="007C5463"/>
    <w:rsid w:val="007C70AF"/>
    <w:rsid w:val="007C7EB3"/>
    <w:rsid w:val="007D05B9"/>
    <w:rsid w:val="007D143D"/>
    <w:rsid w:val="007D3B7A"/>
    <w:rsid w:val="007D62A9"/>
    <w:rsid w:val="007E6004"/>
    <w:rsid w:val="007F04BE"/>
    <w:rsid w:val="007F2B91"/>
    <w:rsid w:val="007F6FDE"/>
    <w:rsid w:val="00801B49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3456B"/>
    <w:rsid w:val="00841E3C"/>
    <w:rsid w:val="008430FE"/>
    <w:rsid w:val="00843877"/>
    <w:rsid w:val="00844FBE"/>
    <w:rsid w:val="00851389"/>
    <w:rsid w:val="008571FF"/>
    <w:rsid w:val="00857716"/>
    <w:rsid w:val="00857B8A"/>
    <w:rsid w:val="008615C0"/>
    <w:rsid w:val="00864E5E"/>
    <w:rsid w:val="008668E1"/>
    <w:rsid w:val="00866BB5"/>
    <w:rsid w:val="0086713F"/>
    <w:rsid w:val="00870155"/>
    <w:rsid w:val="00874B25"/>
    <w:rsid w:val="008757CF"/>
    <w:rsid w:val="00876316"/>
    <w:rsid w:val="00877DC5"/>
    <w:rsid w:val="00880A93"/>
    <w:rsid w:val="008906E9"/>
    <w:rsid w:val="00890942"/>
    <w:rsid w:val="0089182B"/>
    <w:rsid w:val="008962B4"/>
    <w:rsid w:val="00896CED"/>
    <w:rsid w:val="008B0F40"/>
    <w:rsid w:val="008B17C7"/>
    <w:rsid w:val="008B283D"/>
    <w:rsid w:val="008B32F6"/>
    <w:rsid w:val="008C31F2"/>
    <w:rsid w:val="008D27B9"/>
    <w:rsid w:val="008D2F8A"/>
    <w:rsid w:val="008E6636"/>
    <w:rsid w:val="008E7713"/>
    <w:rsid w:val="008F5F96"/>
    <w:rsid w:val="008F6245"/>
    <w:rsid w:val="00906516"/>
    <w:rsid w:val="009079A5"/>
    <w:rsid w:val="009105C1"/>
    <w:rsid w:val="00911F3A"/>
    <w:rsid w:val="00912F99"/>
    <w:rsid w:val="0091304C"/>
    <w:rsid w:val="00915BA5"/>
    <w:rsid w:val="009245A4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4BCC"/>
    <w:rsid w:val="00976E43"/>
    <w:rsid w:val="00985810"/>
    <w:rsid w:val="0098735F"/>
    <w:rsid w:val="00991819"/>
    <w:rsid w:val="009918FB"/>
    <w:rsid w:val="00992067"/>
    <w:rsid w:val="00994E47"/>
    <w:rsid w:val="0099547A"/>
    <w:rsid w:val="009A23AF"/>
    <w:rsid w:val="009A287E"/>
    <w:rsid w:val="009A423F"/>
    <w:rsid w:val="009A5297"/>
    <w:rsid w:val="009B01E8"/>
    <w:rsid w:val="009B0683"/>
    <w:rsid w:val="009B1BA0"/>
    <w:rsid w:val="009B76A0"/>
    <w:rsid w:val="009C073F"/>
    <w:rsid w:val="009C1634"/>
    <w:rsid w:val="009C20DD"/>
    <w:rsid w:val="009C2DA5"/>
    <w:rsid w:val="009C4448"/>
    <w:rsid w:val="009C547B"/>
    <w:rsid w:val="009C5AB4"/>
    <w:rsid w:val="009C5BD3"/>
    <w:rsid w:val="009C628D"/>
    <w:rsid w:val="009D3BCB"/>
    <w:rsid w:val="009D3F90"/>
    <w:rsid w:val="009D5FC9"/>
    <w:rsid w:val="009E12D7"/>
    <w:rsid w:val="009F1842"/>
    <w:rsid w:val="009F3B86"/>
    <w:rsid w:val="009F4AC1"/>
    <w:rsid w:val="009F6B41"/>
    <w:rsid w:val="009F7AB6"/>
    <w:rsid w:val="00A00A3E"/>
    <w:rsid w:val="00A06441"/>
    <w:rsid w:val="00A07DDD"/>
    <w:rsid w:val="00A10BEA"/>
    <w:rsid w:val="00A11638"/>
    <w:rsid w:val="00A12200"/>
    <w:rsid w:val="00A16341"/>
    <w:rsid w:val="00A1744D"/>
    <w:rsid w:val="00A23A72"/>
    <w:rsid w:val="00A262DA"/>
    <w:rsid w:val="00A27A0F"/>
    <w:rsid w:val="00A45272"/>
    <w:rsid w:val="00A46445"/>
    <w:rsid w:val="00A46C70"/>
    <w:rsid w:val="00A47300"/>
    <w:rsid w:val="00A51360"/>
    <w:rsid w:val="00A52BB5"/>
    <w:rsid w:val="00A5679B"/>
    <w:rsid w:val="00A56A0A"/>
    <w:rsid w:val="00A717B7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623E"/>
    <w:rsid w:val="00AA7AF9"/>
    <w:rsid w:val="00AA7B18"/>
    <w:rsid w:val="00AC1B6F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66A4"/>
    <w:rsid w:val="00AE7FDD"/>
    <w:rsid w:val="00AF2C23"/>
    <w:rsid w:val="00AF5E7A"/>
    <w:rsid w:val="00AF64D8"/>
    <w:rsid w:val="00B00164"/>
    <w:rsid w:val="00B00EE3"/>
    <w:rsid w:val="00B012C9"/>
    <w:rsid w:val="00B11B66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2730"/>
    <w:rsid w:val="00B629B9"/>
    <w:rsid w:val="00B66C91"/>
    <w:rsid w:val="00B67050"/>
    <w:rsid w:val="00B70B68"/>
    <w:rsid w:val="00B734E6"/>
    <w:rsid w:val="00B73CFD"/>
    <w:rsid w:val="00B748C2"/>
    <w:rsid w:val="00B7511B"/>
    <w:rsid w:val="00B75411"/>
    <w:rsid w:val="00B76A2D"/>
    <w:rsid w:val="00B76BA4"/>
    <w:rsid w:val="00B813C3"/>
    <w:rsid w:val="00B81B35"/>
    <w:rsid w:val="00B829F5"/>
    <w:rsid w:val="00B85DF9"/>
    <w:rsid w:val="00B85E2A"/>
    <w:rsid w:val="00B86322"/>
    <w:rsid w:val="00B93E7D"/>
    <w:rsid w:val="00B95F38"/>
    <w:rsid w:val="00BB0565"/>
    <w:rsid w:val="00BB0AFA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D6DD0"/>
    <w:rsid w:val="00BE101F"/>
    <w:rsid w:val="00BF1798"/>
    <w:rsid w:val="00BF28F5"/>
    <w:rsid w:val="00BF2A0F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139B3"/>
    <w:rsid w:val="00C1425A"/>
    <w:rsid w:val="00C20B8E"/>
    <w:rsid w:val="00C22AC5"/>
    <w:rsid w:val="00C27BBB"/>
    <w:rsid w:val="00C339D8"/>
    <w:rsid w:val="00C376F7"/>
    <w:rsid w:val="00C37FDC"/>
    <w:rsid w:val="00C44870"/>
    <w:rsid w:val="00C461FA"/>
    <w:rsid w:val="00C50AA2"/>
    <w:rsid w:val="00C51C0D"/>
    <w:rsid w:val="00C52E83"/>
    <w:rsid w:val="00C5538B"/>
    <w:rsid w:val="00C70C26"/>
    <w:rsid w:val="00C717BF"/>
    <w:rsid w:val="00C7339E"/>
    <w:rsid w:val="00C73B5F"/>
    <w:rsid w:val="00C76E65"/>
    <w:rsid w:val="00C770F6"/>
    <w:rsid w:val="00C80488"/>
    <w:rsid w:val="00C80EF7"/>
    <w:rsid w:val="00C819BF"/>
    <w:rsid w:val="00C906B0"/>
    <w:rsid w:val="00C93DC7"/>
    <w:rsid w:val="00C94FA8"/>
    <w:rsid w:val="00CA110E"/>
    <w:rsid w:val="00CA247C"/>
    <w:rsid w:val="00CB3310"/>
    <w:rsid w:val="00CC0732"/>
    <w:rsid w:val="00CC2EFC"/>
    <w:rsid w:val="00CC2F04"/>
    <w:rsid w:val="00CD3F00"/>
    <w:rsid w:val="00CD48B5"/>
    <w:rsid w:val="00CD6869"/>
    <w:rsid w:val="00CD77B9"/>
    <w:rsid w:val="00CE0BB5"/>
    <w:rsid w:val="00CE5B15"/>
    <w:rsid w:val="00CE6CFF"/>
    <w:rsid w:val="00CE6FE4"/>
    <w:rsid w:val="00CE7267"/>
    <w:rsid w:val="00CE7968"/>
    <w:rsid w:val="00CE7AC1"/>
    <w:rsid w:val="00CF17F8"/>
    <w:rsid w:val="00CF249D"/>
    <w:rsid w:val="00D022F8"/>
    <w:rsid w:val="00D0256D"/>
    <w:rsid w:val="00D05351"/>
    <w:rsid w:val="00D0547D"/>
    <w:rsid w:val="00D07216"/>
    <w:rsid w:val="00D0734D"/>
    <w:rsid w:val="00D11652"/>
    <w:rsid w:val="00D20C3F"/>
    <w:rsid w:val="00D23B5B"/>
    <w:rsid w:val="00D254A6"/>
    <w:rsid w:val="00D25C53"/>
    <w:rsid w:val="00D30875"/>
    <w:rsid w:val="00D329F5"/>
    <w:rsid w:val="00D34479"/>
    <w:rsid w:val="00D34E3D"/>
    <w:rsid w:val="00D417AC"/>
    <w:rsid w:val="00D45696"/>
    <w:rsid w:val="00D4641D"/>
    <w:rsid w:val="00D465D4"/>
    <w:rsid w:val="00D466F0"/>
    <w:rsid w:val="00D467C3"/>
    <w:rsid w:val="00D509DF"/>
    <w:rsid w:val="00D52205"/>
    <w:rsid w:val="00D526CE"/>
    <w:rsid w:val="00D62412"/>
    <w:rsid w:val="00D6391F"/>
    <w:rsid w:val="00D6438C"/>
    <w:rsid w:val="00D655A4"/>
    <w:rsid w:val="00D67554"/>
    <w:rsid w:val="00D675E1"/>
    <w:rsid w:val="00D709F0"/>
    <w:rsid w:val="00D720D2"/>
    <w:rsid w:val="00D734B3"/>
    <w:rsid w:val="00D7586C"/>
    <w:rsid w:val="00D873AE"/>
    <w:rsid w:val="00D87EA8"/>
    <w:rsid w:val="00D953C4"/>
    <w:rsid w:val="00D977E8"/>
    <w:rsid w:val="00DA141D"/>
    <w:rsid w:val="00DA1B8E"/>
    <w:rsid w:val="00DA48EF"/>
    <w:rsid w:val="00DA56F1"/>
    <w:rsid w:val="00DA60C0"/>
    <w:rsid w:val="00DB25FA"/>
    <w:rsid w:val="00DC6673"/>
    <w:rsid w:val="00DC7763"/>
    <w:rsid w:val="00DD3766"/>
    <w:rsid w:val="00DD3997"/>
    <w:rsid w:val="00DD3DBC"/>
    <w:rsid w:val="00DD6050"/>
    <w:rsid w:val="00DD7C37"/>
    <w:rsid w:val="00DE01EF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4F60"/>
    <w:rsid w:val="00DF663F"/>
    <w:rsid w:val="00E01F5A"/>
    <w:rsid w:val="00E0250D"/>
    <w:rsid w:val="00E029F9"/>
    <w:rsid w:val="00E0571A"/>
    <w:rsid w:val="00E05893"/>
    <w:rsid w:val="00E07DB3"/>
    <w:rsid w:val="00E119BD"/>
    <w:rsid w:val="00E124C3"/>
    <w:rsid w:val="00E12B7B"/>
    <w:rsid w:val="00E15B1B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6766F"/>
    <w:rsid w:val="00E71538"/>
    <w:rsid w:val="00E726CD"/>
    <w:rsid w:val="00E7461B"/>
    <w:rsid w:val="00E77941"/>
    <w:rsid w:val="00E800CC"/>
    <w:rsid w:val="00E843CC"/>
    <w:rsid w:val="00E84870"/>
    <w:rsid w:val="00E85E06"/>
    <w:rsid w:val="00E86D82"/>
    <w:rsid w:val="00E9016A"/>
    <w:rsid w:val="00E9045E"/>
    <w:rsid w:val="00E92A6A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46AE6"/>
    <w:rsid w:val="00F5040D"/>
    <w:rsid w:val="00F50DD0"/>
    <w:rsid w:val="00F52270"/>
    <w:rsid w:val="00F536A1"/>
    <w:rsid w:val="00F544CD"/>
    <w:rsid w:val="00F5726E"/>
    <w:rsid w:val="00F57E1E"/>
    <w:rsid w:val="00F6226D"/>
    <w:rsid w:val="00F652F9"/>
    <w:rsid w:val="00F65AB3"/>
    <w:rsid w:val="00F66976"/>
    <w:rsid w:val="00F74767"/>
    <w:rsid w:val="00F74AB0"/>
    <w:rsid w:val="00F75FD3"/>
    <w:rsid w:val="00F76254"/>
    <w:rsid w:val="00F816AE"/>
    <w:rsid w:val="00F83234"/>
    <w:rsid w:val="00F85EE8"/>
    <w:rsid w:val="00F8637A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C7A3A"/>
    <w:rsid w:val="00FD3DB8"/>
    <w:rsid w:val="00FD68E8"/>
    <w:rsid w:val="00FD698C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3D4F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41F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873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0B68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41F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698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595E3ED-E2B8-47C5-9621-A3793AF3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6086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2021-10-21T00:36:00Z</dcterms:created>
  <dcterms:modified xsi:type="dcterms:W3CDTF">2021-10-21T00:36:00Z</dcterms:modified>
</cp:coreProperties>
</file>