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5C901" w14:textId="77777777" w:rsidR="00E02377" w:rsidRPr="00BE69C3" w:rsidRDefault="00E02377" w:rsidP="00E02377">
      <w:pPr>
        <w:jc w:val="center"/>
        <w:rPr>
          <w:szCs w:val="24"/>
          <w:u w:val="single"/>
        </w:rPr>
      </w:pPr>
      <w:r w:rsidRPr="00BE69C3">
        <w:rPr>
          <w:szCs w:val="24"/>
          <w:u w:val="single"/>
        </w:rPr>
        <w:t>EXPLANATORY STATEMENT</w:t>
      </w:r>
    </w:p>
    <w:p w14:paraId="39DD1EAE" w14:textId="77777777" w:rsidR="00E02377" w:rsidRPr="00BE69C3" w:rsidRDefault="00E02377" w:rsidP="00E02377">
      <w:pPr>
        <w:rPr>
          <w:szCs w:val="24"/>
        </w:rPr>
      </w:pPr>
    </w:p>
    <w:p w14:paraId="72EEC1AA" w14:textId="77777777" w:rsidR="00E02377" w:rsidRPr="00BE69C3" w:rsidRDefault="00E02377" w:rsidP="00E02377">
      <w:pPr>
        <w:jc w:val="center"/>
        <w:rPr>
          <w:i/>
          <w:szCs w:val="24"/>
        </w:rPr>
      </w:pPr>
      <w:r w:rsidRPr="00BE69C3">
        <w:rPr>
          <w:i/>
          <w:szCs w:val="24"/>
        </w:rPr>
        <w:t>Biosecurity Act 2015</w:t>
      </w:r>
    </w:p>
    <w:p w14:paraId="4C888966" w14:textId="77777777" w:rsidR="00E02377" w:rsidRPr="00BE69C3" w:rsidRDefault="00E02377" w:rsidP="00E02377">
      <w:pPr>
        <w:jc w:val="center"/>
        <w:rPr>
          <w:i/>
          <w:szCs w:val="24"/>
        </w:rPr>
      </w:pPr>
    </w:p>
    <w:p w14:paraId="78D0C8C5" w14:textId="0A20F05E" w:rsidR="00BF3865" w:rsidRPr="00BE69C3" w:rsidRDefault="00BF3865" w:rsidP="00BF3865">
      <w:pPr>
        <w:pStyle w:val="ShortT"/>
        <w:jc w:val="center"/>
        <w:rPr>
          <w:sz w:val="24"/>
          <w:szCs w:val="24"/>
        </w:rPr>
      </w:pPr>
      <w:r w:rsidRPr="00BE69C3">
        <w:rPr>
          <w:sz w:val="24"/>
          <w:szCs w:val="24"/>
        </w:rPr>
        <w:t>Biosecurity (Human Coronavirus with Pandemic Potential) Amendment (No. 2) Determination 2021</w:t>
      </w:r>
    </w:p>
    <w:p w14:paraId="07227D7D" w14:textId="77777777" w:rsidR="00E02377" w:rsidRPr="00BE69C3" w:rsidRDefault="00E02377" w:rsidP="00E02377">
      <w:pPr>
        <w:rPr>
          <w:szCs w:val="24"/>
        </w:rPr>
      </w:pPr>
    </w:p>
    <w:p w14:paraId="5134E226" w14:textId="77777777" w:rsidR="006F0B04" w:rsidRPr="00BE69C3" w:rsidRDefault="006F0B04" w:rsidP="00E02377">
      <w:pPr>
        <w:rPr>
          <w:b/>
          <w:bCs/>
          <w:szCs w:val="24"/>
        </w:rPr>
      </w:pPr>
      <w:r w:rsidRPr="00BE69C3">
        <w:rPr>
          <w:b/>
          <w:bCs/>
          <w:szCs w:val="24"/>
        </w:rPr>
        <w:t>Purpose</w:t>
      </w:r>
    </w:p>
    <w:p w14:paraId="74D4BF6B" w14:textId="77777777" w:rsidR="00574F29" w:rsidRPr="00BE69C3" w:rsidRDefault="00574F29" w:rsidP="00E02377">
      <w:pPr>
        <w:rPr>
          <w:b/>
          <w:bCs/>
          <w:szCs w:val="24"/>
        </w:rPr>
      </w:pPr>
    </w:p>
    <w:p w14:paraId="0EC0FCBB" w14:textId="6C605838" w:rsidR="008C6549" w:rsidRPr="00BE69C3" w:rsidRDefault="0049253F" w:rsidP="008C6549">
      <w:pPr>
        <w:pStyle w:val="ListParagraph"/>
        <w:ind w:left="0"/>
        <w:rPr>
          <w:szCs w:val="24"/>
        </w:rPr>
      </w:pPr>
      <w:r w:rsidRPr="00BE69C3">
        <w:rPr>
          <w:szCs w:val="24"/>
        </w:rPr>
        <w:t>The</w:t>
      </w:r>
      <w:r w:rsidR="000760AF" w:rsidRPr="00BE69C3">
        <w:rPr>
          <w:szCs w:val="24"/>
        </w:rPr>
        <w:t xml:space="preserve"> </w:t>
      </w:r>
      <w:r w:rsidR="00BF3865" w:rsidRPr="00BE69C3">
        <w:rPr>
          <w:i/>
          <w:szCs w:val="24"/>
        </w:rPr>
        <w:t>Biosecurity (Human Coronavirus with Pandemic Potential) Amendment (No. 2) Determination 2021</w:t>
      </w:r>
      <w:r w:rsidR="00BF3865" w:rsidRPr="00BE69C3">
        <w:rPr>
          <w:szCs w:val="24"/>
        </w:rPr>
        <w:t xml:space="preserve"> (the Amendment Determination)</w:t>
      </w:r>
      <w:r w:rsidRPr="00BE69C3">
        <w:rPr>
          <w:szCs w:val="24"/>
        </w:rPr>
        <w:t xml:space="preserve"> </w:t>
      </w:r>
      <w:r w:rsidR="005F7BE0" w:rsidRPr="00BE69C3">
        <w:rPr>
          <w:szCs w:val="24"/>
        </w:rPr>
        <w:t>amend</w:t>
      </w:r>
      <w:r w:rsidR="001744CA" w:rsidRPr="00BE69C3">
        <w:rPr>
          <w:szCs w:val="24"/>
        </w:rPr>
        <w:t>s</w:t>
      </w:r>
      <w:r w:rsidR="005F7BE0" w:rsidRPr="00BE69C3">
        <w:rPr>
          <w:szCs w:val="24"/>
        </w:rPr>
        <w:t xml:space="preserve"> the </w:t>
      </w:r>
      <w:r w:rsidR="00BF3865" w:rsidRPr="00BE69C3">
        <w:rPr>
          <w:i/>
          <w:szCs w:val="24"/>
        </w:rPr>
        <w:t xml:space="preserve">Biosecurity </w:t>
      </w:r>
      <w:r w:rsidR="00BF3865" w:rsidRPr="00BE69C3">
        <w:rPr>
          <w:i/>
          <w:szCs w:val="24"/>
        </w:rPr>
        <w:br/>
        <w:t xml:space="preserve">(Human Biosecurity Emergency) (Human Coronavirus with Pandemic Potential) </w:t>
      </w:r>
      <w:r w:rsidR="00BF3865" w:rsidRPr="00BE69C3">
        <w:rPr>
          <w:i/>
          <w:szCs w:val="24"/>
        </w:rPr>
        <w:br/>
        <w:t xml:space="preserve">(Overseas Travel Ban Emergency Requirements) Determination 2020 </w:t>
      </w:r>
      <w:r w:rsidR="00BF3865" w:rsidRPr="00BE69C3">
        <w:rPr>
          <w:szCs w:val="24"/>
        </w:rPr>
        <w:t>(the</w:t>
      </w:r>
      <w:r w:rsidR="008C6549" w:rsidRPr="00BE69C3">
        <w:rPr>
          <w:szCs w:val="24"/>
        </w:rPr>
        <w:t xml:space="preserve"> </w:t>
      </w:r>
      <w:r w:rsidR="00BF3865" w:rsidRPr="00BE69C3">
        <w:rPr>
          <w:szCs w:val="24"/>
        </w:rPr>
        <w:t>Determination)</w:t>
      </w:r>
      <w:r w:rsidR="008C6549" w:rsidRPr="00BE69C3">
        <w:rPr>
          <w:szCs w:val="24"/>
        </w:rPr>
        <w:t xml:space="preserve">. </w:t>
      </w:r>
      <w:r w:rsidR="005D2F53" w:rsidRPr="00BE69C3">
        <w:rPr>
          <w:szCs w:val="24"/>
        </w:rPr>
        <w:t>The Determination prevents Australian citizens and permanent residents from leaving Australian territory unless an exemption applies.</w:t>
      </w:r>
      <w:r w:rsidR="00CD31E6" w:rsidRPr="00BE69C3">
        <w:rPr>
          <w:szCs w:val="24"/>
        </w:rPr>
        <w:t xml:space="preserve"> The Amendment Determination also makes a consequential amendment to the </w:t>
      </w:r>
      <w:r w:rsidR="00CD31E6" w:rsidRPr="00BE69C3">
        <w:rPr>
          <w:i/>
          <w:szCs w:val="24"/>
        </w:rPr>
        <w:t xml:space="preserve">Biosecurity (Entry Requirements—Human Coronavirus with Pandemic Potential) Determination 2020 </w:t>
      </w:r>
      <w:r w:rsidR="00CD31E6" w:rsidRPr="00BE69C3">
        <w:rPr>
          <w:szCs w:val="24"/>
        </w:rPr>
        <w:t>to update the definition of the Overseas Travel Ban Determination, as amended, by specifying it as the instrument that is in force on 1 November 2021.</w:t>
      </w:r>
    </w:p>
    <w:p w14:paraId="3477772F" w14:textId="77777777" w:rsidR="008C6549" w:rsidRPr="00BE69C3" w:rsidRDefault="008C6549" w:rsidP="008C6549">
      <w:pPr>
        <w:pStyle w:val="ListParagraph"/>
        <w:ind w:left="0"/>
        <w:rPr>
          <w:szCs w:val="24"/>
        </w:rPr>
      </w:pPr>
    </w:p>
    <w:p w14:paraId="0F8A8BA5" w14:textId="4E5BF774" w:rsidR="005625E6" w:rsidRPr="00BE69C3" w:rsidRDefault="008C6549" w:rsidP="008C6549">
      <w:pPr>
        <w:pStyle w:val="ListParagraph"/>
        <w:ind w:left="0"/>
        <w:rPr>
          <w:szCs w:val="24"/>
        </w:rPr>
      </w:pPr>
      <w:r w:rsidRPr="00BE69C3">
        <w:rPr>
          <w:szCs w:val="24"/>
        </w:rPr>
        <w:t>The Amendment Determination</w:t>
      </w:r>
      <w:r w:rsidR="00BA10BD" w:rsidRPr="00BE69C3">
        <w:rPr>
          <w:szCs w:val="24"/>
        </w:rPr>
        <w:t xml:space="preserve"> amends the D</w:t>
      </w:r>
      <w:r w:rsidR="00A37112" w:rsidRPr="00BE69C3">
        <w:rPr>
          <w:szCs w:val="24"/>
        </w:rPr>
        <w:t xml:space="preserve">etermination to include an automatic </w:t>
      </w:r>
      <w:r w:rsidR="00BA10BD" w:rsidRPr="00BE69C3">
        <w:rPr>
          <w:szCs w:val="24"/>
        </w:rPr>
        <w:t xml:space="preserve">exemption </w:t>
      </w:r>
      <w:r w:rsidR="00615C28" w:rsidRPr="00BE69C3">
        <w:rPr>
          <w:szCs w:val="24"/>
        </w:rPr>
        <w:t>for fully</w:t>
      </w:r>
      <w:r w:rsidRPr="00BE69C3">
        <w:rPr>
          <w:szCs w:val="24"/>
        </w:rPr>
        <w:t xml:space="preserve"> vaccinated Australian citizens and permanent residents to depart A</w:t>
      </w:r>
      <w:r w:rsidR="00615C28" w:rsidRPr="00BE69C3">
        <w:rPr>
          <w:szCs w:val="24"/>
        </w:rPr>
        <w:t>ustralia</w:t>
      </w:r>
      <w:r w:rsidR="002B5CC3" w:rsidRPr="00BE69C3">
        <w:rPr>
          <w:szCs w:val="24"/>
        </w:rPr>
        <w:t>n territory</w:t>
      </w:r>
      <w:r w:rsidR="00167560" w:rsidRPr="00BE69C3">
        <w:rPr>
          <w:szCs w:val="24"/>
        </w:rPr>
        <w:t>, provided they meet the specified criteria</w:t>
      </w:r>
      <w:r w:rsidR="005625E6" w:rsidRPr="00BE69C3">
        <w:rPr>
          <w:szCs w:val="24"/>
        </w:rPr>
        <w:t xml:space="preserve">. </w:t>
      </w:r>
      <w:r w:rsidR="005D2F53" w:rsidRPr="00BE69C3">
        <w:rPr>
          <w:szCs w:val="24"/>
        </w:rPr>
        <w:t>‘</w:t>
      </w:r>
      <w:r w:rsidR="00615C28" w:rsidRPr="00BE69C3">
        <w:rPr>
          <w:szCs w:val="24"/>
        </w:rPr>
        <w:t>Fully vaccinated</w:t>
      </w:r>
      <w:r w:rsidR="005D2F53" w:rsidRPr="00BE69C3">
        <w:rPr>
          <w:szCs w:val="24"/>
        </w:rPr>
        <w:t>’</w:t>
      </w:r>
      <w:r w:rsidR="00615C28" w:rsidRPr="00BE69C3">
        <w:rPr>
          <w:szCs w:val="24"/>
        </w:rPr>
        <w:t xml:space="preserve"> </w:t>
      </w:r>
      <w:r w:rsidR="005D2F53" w:rsidRPr="00BE69C3">
        <w:rPr>
          <w:szCs w:val="24"/>
        </w:rPr>
        <w:t xml:space="preserve">means that a person has been vaccinated with a vaccine that </w:t>
      </w:r>
      <w:r w:rsidR="007F682A" w:rsidRPr="00BE69C3">
        <w:rPr>
          <w:szCs w:val="24"/>
        </w:rPr>
        <w:t>is</w:t>
      </w:r>
      <w:r w:rsidR="00FB3C29" w:rsidRPr="00BE69C3">
        <w:rPr>
          <w:szCs w:val="24"/>
        </w:rPr>
        <w:t xml:space="preserve"> registered on the Australian Register of Therapeutic Goods or is</w:t>
      </w:r>
      <w:r w:rsidR="007F682A" w:rsidRPr="00BE69C3">
        <w:rPr>
          <w:szCs w:val="24"/>
        </w:rPr>
        <w:t xml:space="preserve"> recognised</w:t>
      </w:r>
      <w:r w:rsidR="005D2F53" w:rsidRPr="00BE69C3">
        <w:rPr>
          <w:szCs w:val="24"/>
        </w:rPr>
        <w:t xml:space="preserve"> by </w:t>
      </w:r>
      <w:r w:rsidR="001744CA" w:rsidRPr="00BE69C3">
        <w:rPr>
          <w:szCs w:val="24"/>
        </w:rPr>
        <w:t xml:space="preserve">Australia’s </w:t>
      </w:r>
      <w:r w:rsidR="005D2F53" w:rsidRPr="00BE69C3">
        <w:rPr>
          <w:szCs w:val="24"/>
        </w:rPr>
        <w:t>Therapeutic Goods Administration</w:t>
      </w:r>
      <w:r w:rsidR="00692F59" w:rsidRPr="00BE69C3">
        <w:rPr>
          <w:szCs w:val="24"/>
        </w:rPr>
        <w:t xml:space="preserve">. </w:t>
      </w:r>
    </w:p>
    <w:p w14:paraId="6108D650" w14:textId="679F4E14" w:rsidR="00BA10BD" w:rsidRPr="00BE69C3" w:rsidRDefault="00BA10BD" w:rsidP="00BA10BD">
      <w:pPr>
        <w:pStyle w:val="ListParagraph"/>
        <w:ind w:left="0"/>
        <w:rPr>
          <w:szCs w:val="24"/>
        </w:rPr>
      </w:pPr>
    </w:p>
    <w:p w14:paraId="7FD0708D" w14:textId="2B371A56" w:rsidR="00281C2E" w:rsidRPr="00BE69C3" w:rsidRDefault="00281C2E" w:rsidP="00BD786F">
      <w:pPr>
        <w:pStyle w:val="ListParagraph"/>
        <w:ind w:left="0"/>
        <w:rPr>
          <w:szCs w:val="24"/>
        </w:rPr>
      </w:pPr>
      <w:r w:rsidRPr="00BE69C3">
        <w:rPr>
          <w:szCs w:val="24"/>
        </w:rPr>
        <w:t>Other persons will still be able to be considered for travel under the exceptions contained</w:t>
      </w:r>
      <w:r w:rsidR="000240FD" w:rsidRPr="00BE69C3">
        <w:rPr>
          <w:szCs w:val="24"/>
        </w:rPr>
        <w:t xml:space="preserve"> within the D</w:t>
      </w:r>
      <w:r w:rsidRPr="00BE69C3">
        <w:rPr>
          <w:szCs w:val="24"/>
        </w:rPr>
        <w:t>etermination, and this includes person</w:t>
      </w:r>
      <w:r w:rsidR="000240FD" w:rsidRPr="00BE69C3">
        <w:rPr>
          <w:szCs w:val="24"/>
        </w:rPr>
        <w:t>s</w:t>
      </w:r>
      <w:r w:rsidRPr="00BE69C3">
        <w:rPr>
          <w:szCs w:val="24"/>
        </w:rPr>
        <w:t xml:space="preserve"> unable to be vaccinated for medical reasons or for those under 12 years of age at the time that their sche</w:t>
      </w:r>
      <w:r w:rsidR="000240FD" w:rsidRPr="00BE69C3">
        <w:rPr>
          <w:szCs w:val="24"/>
        </w:rPr>
        <w:t xml:space="preserve">duled flight is due to depart. </w:t>
      </w:r>
      <w:r w:rsidRPr="00BE69C3">
        <w:rPr>
          <w:szCs w:val="24"/>
        </w:rPr>
        <w:t xml:space="preserve">The Amendment Determination also removes the need for </w:t>
      </w:r>
      <w:r w:rsidR="000677EA" w:rsidRPr="00BE69C3">
        <w:rPr>
          <w:szCs w:val="24"/>
        </w:rPr>
        <w:t>exemptions for these two cohorts to be made in writing</w:t>
      </w:r>
      <w:r w:rsidRPr="00BE69C3">
        <w:rPr>
          <w:szCs w:val="24"/>
        </w:rPr>
        <w:t>.</w:t>
      </w:r>
    </w:p>
    <w:p w14:paraId="67687AB5" w14:textId="0D409C94" w:rsidR="00912D85" w:rsidRPr="00BE69C3" w:rsidRDefault="00912D85" w:rsidP="00BD786F">
      <w:pPr>
        <w:pStyle w:val="ListParagraph"/>
        <w:ind w:left="0"/>
        <w:rPr>
          <w:szCs w:val="24"/>
        </w:rPr>
      </w:pPr>
    </w:p>
    <w:p w14:paraId="1FDE9278" w14:textId="77777777" w:rsidR="00912D85" w:rsidRPr="00BE69C3" w:rsidRDefault="00912D85" w:rsidP="00912D85">
      <w:pPr>
        <w:pStyle w:val="ListParagraph"/>
        <w:ind w:left="0"/>
        <w:rPr>
          <w:szCs w:val="24"/>
        </w:rPr>
      </w:pPr>
      <w:r w:rsidRPr="00BE69C3">
        <w:rPr>
          <w:szCs w:val="24"/>
        </w:rPr>
        <w:t xml:space="preserve">The Determination continues to play an important role in reducing the unnecessary and avoidable burden of COVID-19 on Australia’s public health and quarantine systems. </w:t>
      </w:r>
    </w:p>
    <w:p w14:paraId="38A5BEC4" w14:textId="77777777" w:rsidR="00912D85" w:rsidRPr="00BE69C3" w:rsidRDefault="00912D85" w:rsidP="00912D85">
      <w:pPr>
        <w:pStyle w:val="ListParagraph"/>
        <w:ind w:left="0"/>
        <w:rPr>
          <w:szCs w:val="24"/>
        </w:rPr>
      </w:pPr>
    </w:p>
    <w:p w14:paraId="289D792F" w14:textId="0E5E11E2" w:rsidR="00167560" w:rsidRPr="00BE69C3" w:rsidRDefault="00912D85" w:rsidP="00912D85">
      <w:pPr>
        <w:pStyle w:val="ListParagraph"/>
        <w:ind w:left="0"/>
        <w:rPr>
          <w:szCs w:val="24"/>
        </w:rPr>
      </w:pPr>
      <w:r w:rsidRPr="00BE69C3">
        <w:rPr>
          <w:szCs w:val="24"/>
        </w:rPr>
        <w:t>Advice from the Director of Human Biosecurity (the Commonwealth Chief Medical Officer) is that</w:t>
      </w:r>
      <w:r w:rsidR="00167560" w:rsidRPr="00BE69C3">
        <w:rPr>
          <w:szCs w:val="24"/>
        </w:rPr>
        <w:t xml:space="preserve"> fully vaccinated persons travelling overseas </w:t>
      </w:r>
      <w:r w:rsidRPr="00BE69C3">
        <w:rPr>
          <w:szCs w:val="24"/>
        </w:rPr>
        <w:t>pose less of a ris</w:t>
      </w:r>
      <w:r w:rsidR="00240154" w:rsidRPr="00BE69C3">
        <w:rPr>
          <w:szCs w:val="24"/>
        </w:rPr>
        <w:t>k to Australia’s public health and quarantine systems than non-vaccinated persons, particularly because</w:t>
      </w:r>
      <w:r w:rsidR="00167560" w:rsidRPr="00BE69C3">
        <w:rPr>
          <w:szCs w:val="24"/>
        </w:rPr>
        <w:t xml:space="preserve"> fully vaccinated travellers are less likely to be infected if exposed to COVID-19 and far less likely to develop severe disease than those who are unvaccinated. </w:t>
      </w:r>
    </w:p>
    <w:p w14:paraId="0BB11DFE" w14:textId="5ADDDC16" w:rsidR="00240154" w:rsidRPr="00BE69C3" w:rsidRDefault="00240154" w:rsidP="00912D85">
      <w:pPr>
        <w:pStyle w:val="ListParagraph"/>
        <w:ind w:left="0"/>
        <w:rPr>
          <w:szCs w:val="24"/>
        </w:rPr>
      </w:pPr>
    </w:p>
    <w:p w14:paraId="467DB85D" w14:textId="5EDEA80B" w:rsidR="00912D85" w:rsidRPr="00BE69C3" w:rsidRDefault="00912D85" w:rsidP="00912D85">
      <w:pPr>
        <w:tabs>
          <w:tab w:val="left" w:pos="1134"/>
        </w:tabs>
        <w:rPr>
          <w:szCs w:val="24"/>
        </w:rPr>
      </w:pPr>
      <w:r w:rsidRPr="00BE69C3">
        <w:rPr>
          <w:szCs w:val="24"/>
        </w:rPr>
        <w:t>The Minister for Health is satisfied the current Determination, as amended by the Amendment Determination, is necessary to continue to prevent or control the:</w:t>
      </w:r>
    </w:p>
    <w:p w14:paraId="6016946F" w14:textId="77777777" w:rsidR="00912D85" w:rsidRPr="00BE69C3" w:rsidRDefault="00912D85" w:rsidP="00912D85">
      <w:pPr>
        <w:pStyle w:val="ListParagraph"/>
        <w:numPr>
          <w:ilvl w:val="0"/>
          <w:numId w:val="42"/>
        </w:numPr>
        <w:tabs>
          <w:tab w:val="left" w:pos="1134"/>
        </w:tabs>
        <w:rPr>
          <w:szCs w:val="24"/>
        </w:rPr>
      </w:pPr>
      <w:r w:rsidRPr="00BE69C3">
        <w:rPr>
          <w:szCs w:val="24"/>
        </w:rPr>
        <w:t xml:space="preserve">potential spread of COVID-19 to other countries by non-vaccinated Australian citizens and permanent residents departing Australian territory; and </w:t>
      </w:r>
    </w:p>
    <w:p w14:paraId="02C3818E" w14:textId="098ECB3E" w:rsidR="00912D85" w:rsidRPr="00BE69C3" w:rsidRDefault="00912D85" w:rsidP="00912D85">
      <w:pPr>
        <w:pStyle w:val="ListParagraph"/>
        <w:numPr>
          <w:ilvl w:val="0"/>
          <w:numId w:val="42"/>
        </w:numPr>
        <w:tabs>
          <w:tab w:val="left" w:pos="1134"/>
        </w:tabs>
        <w:rPr>
          <w:szCs w:val="24"/>
        </w:rPr>
      </w:pPr>
      <w:r w:rsidRPr="00BE69C3">
        <w:rPr>
          <w:szCs w:val="24"/>
        </w:rPr>
        <w:t>further entry into, or the emergence, establishment or spread of COVID-19 into Australian territory or a part of Australian territory upon their return.</w:t>
      </w:r>
    </w:p>
    <w:p w14:paraId="693017FC" w14:textId="77777777" w:rsidR="00281C2E" w:rsidRPr="00BE69C3" w:rsidRDefault="00281C2E" w:rsidP="00BD786F">
      <w:pPr>
        <w:pStyle w:val="ListParagraph"/>
        <w:ind w:left="0"/>
        <w:rPr>
          <w:szCs w:val="24"/>
        </w:rPr>
      </w:pPr>
    </w:p>
    <w:p w14:paraId="2B129EF2" w14:textId="5B2181B6" w:rsidR="00BA10BD" w:rsidRPr="00BE69C3" w:rsidRDefault="00BA10BD" w:rsidP="00BA10BD">
      <w:pPr>
        <w:pStyle w:val="ListParagraph"/>
        <w:ind w:left="0"/>
        <w:rPr>
          <w:szCs w:val="24"/>
        </w:rPr>
      </w:pPr>
      <w:r w:rsidRPr="00BE69C3">
        <w:rPr>
          <w:szCs w:val="24"/>
        </w:rPr>
        <w:t>The view that the requirements are likely to be</w:t>
      </w:r>
      <w:r w:rsidR="000C73B8" w:rsidRPr="00BE69C3">
        <w:rPr>
          <w:szCs w:val="24"/>
        </w:rPr>
        <w:t xml:space="preserve"> proportionate,</w:t>
      </w:r>
      <w:r w:rsidRPr="00BE69C3">
        <w:rPr>
          <w:szCs w:val="24"/>
        </w:rPr>
        <w:t xml:space="preserve"> effective and that the length of the period of application is supported by advice from the Commonwealth Chief Medical Officer. </w:t>
      </w:r>
    </w:p>
    <w:p w14:paraId="142E8321" w14:textId="1494DDFE" w:rsidR="00E02377" w:rsidRPr="00BE69C3" w:rsidRDefault="00E02377" w:rsidP="00226F88">
      <w:pPr>
        <w:pStyle w:val="NoSpacing"/>
      </w:pPr>
    </w:p>
    <w:p w14:paraId="57695171" w14:textId="77777777" w:rsidR="00574F29" w:rsidRPr="00BE69C3" w:rsidRDefault="00574F29" w:rsidP="00226F88">
      <w:pPr>
        <w:pStyle w:val="NoSpacing"/>
        <w:rPr>
          <w:iCs/>
          <w:szCs w:val="24"/>
        </w:rPr>
      </w:pPr>
      <w:r w:rsidRPr="00BE69C3">
        <w:lastRenderedPageBreak/>
        <w:t xml:space="preserve">The </w:t>
      </w:r>
      <w:r w:rsidR="002C026D" w:rsidRPr="00BE69C3">
        <w:t xml:space="preserve">Amendment </w:t>
      </w:r>
      <w:r w:rsidRPr="00BE69C3">
        <w:t xml:space="preserve">Determination is a legislative instrument for the purposes of the </w:t>
      </w:r>
      <w:r w:rsidRPr="00BE69C3">
        <w:rPr>
          <w:i/>
        </w:rPr>
        <w:t>Legislation</w:t>
      </w:r>
      <w:r w:rsidR="002C026D" w:rsidRPr="00BE69C3">
        <w:rPr>
          <w:i/>
        </w:rPr>
        <w:t> </w:t>
      </w:r>
      <w:r w:rsidRPr="00BE69C3">
        <w:rPr>
          <w:i/>
        </w:rPr>
        <w:t xml:space="preserve">Act 2003 </w:t>
      </w:r>
      <w:r w:rsidRPr="00BE69C3">
        <w:rPr>
          <w:iCs/>
        </w:rPr>
        <w:t>(Legislation Act)</w:t>
      </w:r>
      <w:r w:rsidRPr="00BE69C3">
        <w:rPr>
          <w:i/>
        </w:rPr>
        <w:t xml:space="preserve">. </w:t>
      </w:r>
    </w:p>
    <w:p w14:paraId="7E664EB0" w14:textId="77777777" w:rsidR="00E02377" w:rsidRPr="00BE69C3" w:rsidRDefault="00E02377" w:rsidP="00E02377">
      <w:pPr>
        <w:pStyle w:val="NoSpacing"/>
        <w:jc w:val="both"/>
        <w:rPr>
          <w:szCs w:val="24"/>
        </w:rPr>
      </w:pPr>
    </w:p>
    <w:p w14:paraId="35E5B2B2" w14:textId="77777777" w:rsidR="00574F29" w:rsidRPr="00BE69C3" w:rsidRDefault="00574F29" w:rsidP="00574F29">
      <w:pPr>
        <w:pStyle w:val="NoSpacing"/>
        <w:keepNext/>
        <w:jc w:val="both"/>
        <w:rPr>
          <w:b/>
          <w:bCs/>
          <w:szCs w:val="24"/>
        </w:rPr>
      </w:pPr>
      <w:r w:rsidRPr="00BE69C3">
        <w:rPr>
          <w:b/>
          <w:bCs/>
          <w:szCs w:val="24"/>
        </w:rPr>
        <w:t>Authority</w:t>
      </w:r>
    </w:p>
    <w:p w14:paraId="48051AC6" w14:textId="77777777" w:rsidR="00574F29" w:rsidRPr="00BE69C3" w:rsidRDefault="00574F29" w:rsidP="00574F29">
      <w:pPr>
        <w:pStyle w:val="NoSpacing"/>
        <w:keepNext/>
        <w:jc w:val="both"/>
        <w:rPr>
          <w:szCs w:val="24"/>
        </w:rPr>
      </w:pPr>
    </w:p>
    <w:p w14:paraId="06E0FC0B" w14:textId="77777777" w:rsidR="00E02377" w:rsidRPr="00BE69C3" w:rsidRDefault="001F33D9" w:rsidP="00574F29">
      <w:pPr>
        <w:pStyle w:val="NoSpacing"/>
        <w:keepNext/>
        <w:jc w:val="both"/>
        <w:rPr>
          <w:bCs/>
          <w:szCs w:val="24"/>
          <w:u w:val="single"/>
        </w:rPr>
      </w:pPr>
      <w:r w:rsidRPr="00BE69C3">
        <w:rPr>
          <w:bCs/>
          <w:szCs w:val="24"/>
          <w:u w:val="single"/>
        </w:rPr>
        <w:t>Emergency Requirements</w:t>
      </w:r>
      <w:r w:rsidR="00E02377" w:rsidRPr="00BE69C3">
        <w:rPr>
          <w:bCs/>
          <w:szCs w:val="24"/>
          <w:u w:val="single"/>
        </w:rPr>
        <w:t xml:space="preserve"> </w:t>
      </w:r>
      <w:r w:rsidR="00574F29" w:rsidRPr="00BE69C3">
        <w:rPr>
          <w:bCs/>
          <w:szCs w:val="24"/>
          <w:u w:val="single"/>
        </w:rPr>
        <w:t>Determination</w:t>
      </w:r>
    </w:p>
    <w:p w14:paraId="0031EADF" w14:textId="77777777" w:rsidR="00E02377" w:rsidRPr="00BE69C3" w:rsidRDefault="00E02377" w:rsidP="00E02377">
      <w:pPr>
        <w:pStyle w:val="NoSpacing"/>
        <w:jc w:val="both"/>
        <w:rPr>
          <w:szCs w:val="24"/>
        </w:rPr>
      </w:pPr>
      <w:r w:rsidRPr="00BE69C3">
        <w:rPr>
          <w:iCs/>
          <w:szCs w:val="24"/>
        </w:rPr>
        <w:t xml:space="preserve">The </w:t>
      </w:r>
      <w:r w:rsidRPr="00BE69C3">
        <w:rPr>
          <w:i/>
          <w:szCs w:val="24"/>
        </w:rPr>
        <w:t>Biosecurity (Human Biosecurity Emergency) (Human Coronavirus with Pandemic Potential) Declaration 2020</w:t>
      </w:r>
      <w:r w:rsidRPr="00BE69C3">
        <w:rPr>
          <w:szCs w:val="24"/>
        </w:rPr>
        <w:t xml:space="preserve"> (Declaration) has been made</w:t>
      </w:r>
      <w:r w:rsidR="00E74BE4" w:rsidRPr="00BE69C3">
        <w:rPr>
          <w:szCs w:val="24"/>
        </w:rPr>
        <w:t xml:space="preserve"> by the Governor</w:t>
      </w:r>
      <w:r w:rsidR="00E74BE4" w:rsidRPr="00BE69C3">
        <w:rPr>
          <w:szCs w:val="24"/>
        </w:rPr>
        <w:noBreakHyphen/>
        <w:t>General</w:t>
      </w:r>
      <w:r w:rsidRPr="00BE69C3">
        <w:rPr>
          <w:szCs w:val="24"/>
        </w:rPr>
        <w:t xml:space="preserve"> pursuant to section 475 of the </w:t>
      </w:r>
      <w:r w:rsidR="00E74BE4" w:rsidRPr="00BE69C3">
        <w:rPr>
          <w:i/>
          <w:iCs/>
          <w:szCs w:val="24"/>
        </w:rPr>
        <w:t xml:space="preserve">Biosecurity Act 2015 </w:t>
      </w:r>
      <w:r w:rsidR="00E74BE4" w:rsidRPr="00BE69C3">
        <w:rPr>
          <w:szCs w:val="24"/>
        </w:rPr>
        <w:t xml:space="preserve">(Biosecurity </w:t>
      </w:r>
      <w:r w:rsidRPr="00BE69C3">
        <w:rPr>
          <w:szCs w:val="24"/>
        </w:rPr>
        <w:t>Act</w:t>
      </w:r>
      <w:r w:rsidR="00E74BE4" w:rsidRPr="00BE69C3">
        <w:rPr>
          <w:szCs w:val="24"/>
        </w:rPr>
        <w:t>)</w:t>
      </w:r>
      <w:r w:rsidRPr="00BE69C3">
        <w:rPr>
          <w:szCs w:val="24"/>
        </w:rPr>
        <w:t>, and declares that a human biosecurity emergency exists regarding the listed human disease ‘human coronavirus with pandemic potential’ (COVID-19). The human biosecurity emergency period</w:t>
      </w:r>
      <w:r w:rsidR="006A003B" w:rsidRPr="00BE69C3">
        <w:rPr>
          <w:szCs w:val="24"/>
        </w:rPr>
        <w:t xml:space="preserve"> declared by the Declaration</w:t>
      </w:r>
      <w:r w:rsidRPr="00BE69C3">
        <w:rPr>
          <w:szCs w:val="24"/>
        </w:rPr>
        <w:t xml:space="preserve"> is currently in force until </w:t>
      </w:r>
      <w:r w:rsidR="001E1132" w:rsidRPr="00BE69C3">
        <w:rPr>
          <w:szCs w:val="24"/>
        </w:rPr>
        <w:t xml:space="preserve">17 December 2021 </w:t>
      </w:r>
      <w:r w:rsidR="00324021" w:rsidRPr="00BE69C3">
        <w:rPr>
          <w:szCs w:val="24"/>
        </w:rPr>
        <w:t>(</w:t>
      </w:r>
      <w:r w:rsidR="00C15757" w:rsidRPr="00BE69C3">
        <w:rPr>
          <w:szCs w:val="24"/>
        </w:rPr>
        <w:t>unless</w:t>
      </w:r>
      <w:r w:rsidRPr="00BE69C3">
        <w:rPr>
          <w:szCs w:val="24"/>
        </w:rPr>
        <w:t xml:space="preserve"> extended</w:t>
      </w:r>
      <w:r w:rsidR="00324021" w:rsidRPr="00BE69C3">
        <w:rPr>
          <w:szCs w:val="24"/>
        </w:rPr>
        <w:t>)</w:t>
      </w:r>
      <w:r w:rsidRPr="00BE69C3">
        <w:rPr>
          <w:szCs w:val="24"/>
        </w:rPr>
        <w:t xml:space="preserve">. </w:t>
      </w:r>
    </w:p>
    <w:p w14:paraId="160C1B52" w14:textId="77777777" w:rsidR="00E02377" w:rsidRPr="00BE69C3" w:rsidRDefault="00E02377" w:rsidP="00E02377">
      <w:pPr>
        <w:pStyle w:val="NoSpacing"/>
        <w:jc w:val="both"/>
        <w:rPr>
          <w:szCs w:val="24"/>
        </w:rPr>
      </w:pPr>
    </w:p>
    <w:p w14:paraId="6980D601" w14:textId="55F82AA7" w:rsidR="00E74BE4" w:rsidRPr="00BE69C3" w:rsidRDefault="00E02377" w:rsidP="00574F29">
      <w:pPr>
        <w:pStyle w:val="NoSpacing"/>
        <w:rPr>
          <w:szCs w:val="24"/>
        </w:rPr>
      </w:pPr>
      <w:r w:rsidRPr="00BE69C3">
        <w:rPr>
          <w:szCs w:val="24"/>
        </w:rPr>
        <w:t>During a human biosecurity emergency period, the Health Minister may, in accordance with section</w:t>
      </w:r>
      <w:r w:rsidR="00574F29" w:rsidRPr="00BE69C3">
        <w:rPr>
          <w:szCs w:val="24"/>
        </w:rPr>
        <w:t> </w:t>
      </w:r>
      <w:r w:rsidRPr="00BE69C3">
        <w:rPr>
          <w:szCs w:val="24"/>
        </w:rPr>
        <w:t xml:space="preserve">477 of the Act, determine emergency requirements </w:t>
      </w:r>
      <w:r w:rsidR="001744CA" w:rsidRPr="00BE69C3">
        <w:rPr>
          <w:szCs w:val="24"/>
        </w:rPr>
        <w:t>the Minister</w:t>
      </w:r>
      <w:r w:rsidRPr="00BE69C3">
        <w:rPr>
          <w:szCs w:val="24"/>
        </w:rPr>
        <w:t xml:space="preserve"> is satisfied are necessary to prevent or control the entry, emergence, establishment or spread of COVID-19 in Australia. A person who fails to comply with a requirement may commit a criminal offence (punishable by imprisonment for a maximum of 5 years, or 300 penalty units, or both</w:t>
      </w:r>
      <w:r w:rsidR="00604D6F" w:rsidRPr="00BE69C3">
        <w:rPr>
          <w:szCs w:val="24"/>
        </w:rPr>
        <w:t>, see section 479 of the Biosecurity Act</w:t>
      </w:r>
      <w:r w:rsidRPr="00BE69C3">
        <w:rPr>
          <w:szCs w:val="24"/>
        </w:rPr>
        <w:t>).</w:t>
      </w:r>
      <w:r w:rsidR="00E74BE4" w:rsidRPr="00BE69C3">
        <w:rPr>
          <w:szCs w:val="24"/>
        </w:rPr>
        <w:t xml:space="preserve"> </w:t>
      </w:r>
    </w:p>
    <w:p w14:paraId="0E9EDBEF" w14:textId="77777777" w:rsidR="00E74BE4" w:rsidRPr="00BE69C3" w:rsidRDefault="00E74BE4" w:rsidP="00574F29">
      <w:pPr>
        <w:pStyle w:val="NoSpacing"/>
        <w:rPr>
          <w:szCs w:val="24"/>
        </w:rPr>
      </w:pPr>
    </w:p>
    <w:p w14:paraId="7F681745" w14:textId="77777777" w:rsidR="00E02377" w:rsidRPr="00BE69C3" w:rsidRDefault="00E74BE4" w:rsidP="00574F29">
      <w:pPr>
        <w:pStyle w:val="NoSpacing"/>
        <w:rPr>
          <w:szCs w:val="24"/>
        </w:rPr>
      </w:pPr>
      <w:r w:rsidRPr="00BE69C3">
        <w:rPr>
          <w:szCs w:val="24"/>
        </w:rPr>
        <w:t xml:space="preserve">The Emergency Requirements Determination is made under </w:t>
      </w:r>
      <w:r w:rsidR="00604D6F" w:rsidRPr="00BE69C3">
        <w:rPr>
          <w:szCs w:val="24"/>
        </w:rPr>
        <w:t>sub</w:t>
      </w:r>
      <w:r w:rsidRPr="00BE69C3">
        <w:rPr>
          <w:szCs w:val="24"/>
        </w:rPr>
        <w:t xml:space="preserve">section 477(1) of the Biosecurity Act. </w:t>
      </w:r>
    </w:p>
    <w:p w14:paraId="57519BCA" w14:textId="77777777" w:rsidR="000A40BD" w:rsidRPr="00BE69C3" w:rsidRDefault="000A40BD" w:rsidP="00574F29">
      <w:pPr>
        <w:pStyle w:val="NoSpacing"/>
        <w:rPr>
          <w:szCs w:val="24"/>
        </w:rPr>
      </w:pPr>
    </w:p>
    <w:p w14:paraId="70D2799C" w14:textId="77777777" w:rsidR="000A40BD" w:rsidRPr="00BE69C3" w:rsidRDefault="000A40BD" w:rsidP="00574F29">
      <w:pPr>
        <w:pStyle w:val="NoSpacing"/>
      </w:pPr>
      <w:bookmarkStart w:id="0" w:name="_Hlk83646632"/>
      <w:r w:rsidRPr="00BE69C3">
        <w:rPr>
          <w:szCs w:val="24"/>
        </w:rPr>
        <w:t xml:space="preserve">Subsection 477(2) of the Biosecurity Act provides that a determination made under subsection 477(1) is a legislative instrument, but section 42 (disallowance) of the Legislation Act does not apply to the determination. </w:t>
      </w:r>
      <w:r w:rsidRPr="00BE69C3">
        <w:t>T</w:t>
      </w:r>
      <w:r w:rsidR="00324021" w:rsidRPr="00BE69C3">
        <w:t>his is because t</w:t>
      </w:r>
      <w:r w:rsidRPr="00BE69C3">
        <w:t xml:space="preserve">he </w:t>
      </w:r>
      <w:r w:rsidR="00324021" w:rsidRPr="00BE69C3">
        <w:t xml:space="preserve">potential </w:t>
      </w:r>
      <w:r w:rsidRPr="00BE69C3">
        <w:t xml:space="preserve">risk </w:t>
      </w:r>
      <w:r w:rsidR="00324021" w:rsidRPr="00BE69C3">
        <w:t xml:space="preserve">of </w:t>
      </w:r>
      <w:r w:rsidRPr="00BE69C3">
        <w:t>such disallowance would inhibit the Commonwealth’s ability to act urgently on public health advice to manage a human biosecurity risk that could threaten or harm human health as it would create uncertainty as to whether the instrument might be disallowed.</w:t>
      </w:r>
    </w:p>
    <w:bookmarkEnd w:id="0"/>
    <w:p w14:paraId="55903EB8" w14:textId="77777777" w:rsidR="000A40BD" w:rsidRPr="00BE69C3" w:rsidRDefault="000A40BD" w:rsidP="00574F29">
      <w:pPr>
        <w:pStyle w:val="NoSpacing"/>
      </w:pPr>
    </w:p>
    <w:p w14:paraId="19C30C29" w14:textId="00901050" w:rsidR="000A40BD" w:rsidRPr="00BE69C3" w:rsidRDefault="000A40BD" w:rsidP="00574F29">
      <w:pPr>
        <w:pStyle w:val="NoSpacing"/>
      </w:pPr>
      <w:r w:rsidRPr="00BE69C3">
        <w:t xml:space="preserve">Subsection 477(3) of the Biosecurity Act sets out the kinds of requirements that the Health Minister may </w:t>
      </w:r>
      <w:r w:rsidR="00C15757" w:rsidRPr="00BE69C3">
        <w:t xml:space="preserve">make </w:t>
      </w:r>
      <w:r w:rsidRPr="00BE69C3">
        <w:t>in a determination under subsection 477(1), including requirements that apply to persons, goods or conveyances when entering or leaving specified places</w:t>
      </w:r>
      <w:r w:rsidR="0016359C" w:rsidRPr="00BE69C3">
        <w:t xml:space="preserve">. </w:t>
      </w:r>
    </w:p>
    <w:p w14:paraId="6AB64946" w14:textId="77777777" w:rsidR="000A40BD" w:rsidRPr="00BE69C3" w:rsidRDefault="000A40BD" w:rsidP="00574F29">
      <w:pPr>
        <w:pStyle w:val="NoSpacing"/>
      </w:pPr>
    </w:p>
    <w:p w14:paraId="6E25EE19" w14:textId="77777777" w:rsidR="000A40BD" w:rsidRPr="00BE69C3" w:rsidRDefault="000A40BD" w:rsidP="00574F29">
      <w:pPr>
        <w:pStyle w:val="NoSpacing"/>
      </w:pPr>
      <w:r w:rsidRPr="00BE69C3">
        <w:t xml:space="preserve">Subsection 477(4) of the Biosecurity Act </w:t>
      </w:r>
      <w:r w:rsidR="007526B2" w:rsidRPr="00BE69C3">
        <w:t xml:space="preserve">relevantly </w:t>
      </w:r>
      <w:r w:rsidRPr="00BE69C3">
        <w:t>provides that, before determining a</w:t>
      </w:r>
      <w:r w:rsidR="007526B2" w:rsidRPr="00BE69C3">
        <w:t>n emergency</w:t>
      </w:r>
      <w:r w:rsidRPr="00BE69C3">
        <w:t xml:space="preserve"> requirement under subsection 477(1), the Health Minister must be satisfied </w:t>
      </w:r>
      <w:r w:rsidR="007526B2" w:rsidRPr="00BE69C3">
        <w:t>that the requirement</w:t>
      </w:r>
      <w:r w:rsidRPr="00BE69C3">
        <w:t>:</w:t>
      </w:r>
    </w:p>
    <w:p w14:paraId="402C35F6" w14:textId="77777777" w:rsidR="000A40BD" w:rsidRPr="00BE69C3" w:rsidRDefault="000A40BD" w:rsidP="006B59A4">
      <w:pPr>
        <w:pStyle w:val="NoSpacing"/>
        <w:numPr>
          <w:ilvl w:val="0"/>
          <w:numId w:val="35"/>
        </w:numPr>
        <w:ind w:left="851"/>
        <w:rPr>
          <w:szCs w:val="24"/>
        </w:rPr>
      </w:pPr>
      <w:r w:rsidRPr="00BE69C3">
        <w:rPr>
          <w:szCs w:val="24"/>
        </w:rPr>
        <w:t xml:space="preserve">is likely to be effective in, or to contribute to, achieving </w:t>
      </w:r>
      <w:r w:rsidR="007526B2" w:rsidRPr="00BE69C3">
        <w:rPr>
          <w:szCs w:val="24"/>
        </w:rPr>
        <w:t xml:space="preserve">its </w:t>
      </w:r>
      <w:r w:rsidRPr="00BE69C3">
        <w:rPr>
          <w:szCs w:val="24"/>
        </w:rPr>
        <w:t>purpose;</w:t>
      </w:r>
      <w:r w:rsidR="007526B2" w:rsidRPr="00BE69C3">
        <w:rPr>
          <w:szCs w:val="24"/>
        </w:rPr>
        <w:t xml:space="preserve"> and</w:t>
      </w:r>
    </w:p>
    <w:p w14:paraId="7B1EE206" w14:textId="77777777" w:rsidR="000A40BD" w:rsidRPr="00BE69C3" w:rsidRDefault="000A40BD" w:rsidP="006B59A4">
      <w:pPr>
        <w:pStyle w:val="NoSpacing"/>
        <w:numPr>
          <w:ilvl w:val="0"/>
          <w:numId w:val="35"/>
        </w:numPr>
        <w:ind w:left="851"/>
        <w:rPr>
          <w:szCs w:val="24"/>
        </w:rPr>
      </w:pPr>
      <w:r w:rsidRPr="00BE69C3">
        <w:rPr>
          <w:szCs w:val="24"/>
        </w:rPr>
        <w:t xml:space="preserve">is appropriate and adapted to achieve </w:t>
      </w:r>
      <w:r w:rsidR="007526B2" w:rsidRPr="00BE69C3">
        <w:rPr>
          <w:szCs w:val="24"/>
        </w:rPr>
        <w:t>its</w:t>
      </w:r>
      <w:r w:rsidRPr="00BE69C3">
        <w:rPr>
          <w:szCs w:val="24"/>
        </w:rPr>
        <w:t xml:space="preserve"> purpose;</w:t>
      </w:r>
      <w:r w:rsidR="007526B2" w:rsidRPr="00BE69C3">
        <w:rPr>
          <w:szCs w:val="24"/>
        </w:rPr>
        <w:t xml:space="preserve"> and</w:t>
      </w:r>
    </w:p>
    <w:p w14:paraId="6AD20134" w14:textId="7157A82C" w:rsidR="007526B2" w:rsidRPr="00BE69C3" w:rsidRDefault="000A40BD" w:rsidP="007526B2">
      <w:pPr>
        <w:pStyle w:val="NoSpacing"/>
        <w:numPr>
          <w:ilvl w:val="0"/>
          <w:numId w:val="35"/>
        </w:numPr>
        <w:ind w:left="851"/>
        <w:rPr>
          <w:szCs w:val="24"/>
        </w:rPr>
      </w:pPr>
      <w:r w:rsidRPr="00BE69C3">
        <w:rPr>
          <w:szCs w:val="24"/>
        </w:rPr>
        <w:t>is no more restrictive or intrusive than is required in the circumstances</w:t>
      </w:r>
      <w:r w:rsidR="007526B2" w:rsidRPr="00BE69C3">
        <w:rPr>
          <w:szCs w:val="24"/>
        </w:rPr>
        <w:t>, including</w:t>
      </w:r>
      <w:r w:rsidR="001744CA" w:rsidRPr="00BE69C3">
        <w:rPr>
          <w:szCs w:val="24"/>
        </w:rPr>
        <w:t xml:space="preserve"> </w:t>
      </w:r>
      <w:r w:rsidR="007526B2" w:rsidRPr="00BE69C3">
        <w:rPr>
          <w:szCs w:val="24"/>
        </w:rPr>
        <w:t xml:space="preserve">in the </w:t>
      </w:r>
      <w:r w:rsidR="00C15757" w:rsidRPr="00BE69C3">
        <w:rPr>
          <w:szCs w:val="24"/>
        </w:rPr>
        <w:t>way</w:t>
      </w:r>
      <w:r w:rsidR="007526B2" w:rsidRPr="00BE69C3">
        <w:rPr>
          <w:szCs w:val="24"/>
        </w:rPr>
        <w:t xml:space="preserve"> it is applied.</w:t>
      </w:r>
    </w:p>
    <w:p w14:paraId="15852001" w14:textId="77777777" w:rsidR="007526B2" w:rsidRPr="00BE69C3" w:rsidRDefault="007526B2" w:rsidP="006B59A4">
      <w:pPr>
        <w:pStyle w:val="NoSpacing"/>
        <w:rPr>
          <w:szCs w:val="24"/>
        </w:rPr>
      </w:pPr>
    </w:p>
    <w:p w14:paraId="2F29806F" w14:textId="77777777" w:rsidR="007526B2" w:rsidRPr="00BE69C3" w:rsidRDefault="007526B2" w:rsidP="007526B2">
      <w:pPr>
        <w:pStyle w:val="NoSpacing"/>
        <w:rPr>
          <w:szCs w:val="24"/>
        </w:rPr>
      </w:pPr>
      <w:r w:rsidRPr="00BE69C3">
        <w:rPr>
          <w:szCs w:val="24"/>
        </w:rPr>
        <w:t xml:space="preserve">In addition to being satisfied of the above, the Health Minister must also be satisfied that the period during which a requirement is to apply is only </w:t>
      </w:r>
      <w:proofErr w:type="gramStart"/>
      <w:r w:rsidRPr="00BE69C3">
        <w:rPr>
          <w:szCs w:val="24"/>
        </w:rPr>
        <w:t>as long as</w:t>
      </w:r>
      <w:proofErr w:type="gramEnd"/>
      <w:r w:rsidRPr="00BE69C3">
        <w:rPr>
          <w:szCs w:val="24"/>
        </w:rPr>
        <w:t xml:space="preserve"> is necessary. The period during which a requirement applies cannot exceed the human biosecurity emergency period. The requirements in the instrument will apply until the end of that </w:t>
      </w:r>
      <w:proofErr w:type="gramStart"/>
      <w:r w:rsidRPr="00BE69C3">
        <w:rPr>
          <w:szCs w:val="24"/>
        </w:rPr>
        <w:t>period, unless</w:t>
      </w:r>
      <w:proofErr w:type="gramEnd"/>
      <w:r w:rsidRPr="00BE69C3">
        <w:rPr>
          <w:szCs w:val="24"/>
        </w:rPr>
        <w:t xml:space="preserve"> the instrument is amended or revoked sooner.</w:t>
      </w:r>
    </w:p>
    <w:p w14:paraId="6630F365" w14:textId="77777777" w:rsidR="000A40BD" w:rsidRPr="00BE69C3" w:rsidRDefault="000A40BD" w:rsidP="000A40BD">
      <w:pPr>
        <w:pStyle w:val="NoSpacing"/>
        <w:rPr>
          <w:szCs w:val="24"/>
        </w:rPr>
      </w:pPr>
    </w:p>
    <w:p w14:paraId="7EF6580F" w14:textId="77777777" w:rsidR="000A40BD" w:rsidRPr="00BE69C3" w:rsidRDefault="000A40BD" w:rsidP="000A40BD">
      <w:pPr>
        <w:pStyle w:val="NoSpacing"/>
        <w:rPr>
          <w:szCs w:val="24"/>
        </w:rPr>
      </w:pPr>
      <w:r w:rsidRPr="00BE69C3">
        <w:rPr>
          <w:szCs w:val="24"/>
        </w:rPr>
        <w:t>This ensures that the emergency powers are only used where necessary to protect the health of Australians, based on expert advice and following appropriate consultation.</w:t>
      </w:r>
    </w:p>
    <w:p w14:paraId="4B9D26A4" w14:textId="39587EC0" w:rsidR="007526B2" w:rsidRPr="00BE69C3" w:rsidRDefault="007526B2" w:rsidP="000A40BD">
      <w:pPr>
        <w:pStyle w:val="NoSpacing"/>
        <w:rPr>
          <w:szCs w:val="24"/>
        </w:rPr>
      </w:pPr>
    </w:p>
    <w:p w14:paraId="024B1D46" w14:textId="6DDA1084" w:rsidR="00022BDD" w:rsidRPr="00BE69C3" w:rsidRDefault="00022BDD" w:rsidP="00022BDD">
      <w:pPr>
        <w:pStyle w:val="NoSpacing"/>
        <w:rPr>
          <w:szCs w:val="24"/>
        </w:rPr>
      </w:pPr>
      <w:r w:rsidRPr="00BE69C3">
        <w:rPr>
          <w:szCs w:val="24"/>
        </w:rPr>
        <w:lastRenderedPageBreak/>
        <w:t xml:space="preserve">Section 44 of the Biosecurity Act relevantly provides that the Minister may determine one or more requirements for individuals who are entering Australian territory at a landing place or port for the purpose of preventing a listed human disease from entering, or establishing itself or spreading in Australian territory. </w:t>
      </w:r>
    </w:p>
    <w:p w14:paraId="61B88007" w14:textId="77777777" w:rsidR="00022BDD" w:rsidRPr="00BE69C3" w:rsidRDefault="00022BDD" w:rsidP="00022BDD">
      <w:pPr>
        <w:pStyle w:val="NoSpacing"/>
        <w:rPr>
          <w:szCs w:val="24"/>
        </w:rPr>
      </w:pPr>
    </w:p>
    <w:p w14:paraId="13035B2D" w14:textId="45B6E18F" w:rsidR="00022BDD" w:rsidRPr="00BE69C3" w:rsidRDefault="00022BDD" w:rsidP="00022BDD">
      <w:pPr>
        <w:pStyle w:val="NoSpacing"/>
        <w:rPr>
          <w:szCs w:val="24"/>
        </w:rPr>
      </w:pPr>
      <w:r w:rsidRPr="00BE69C3">
        <w:rPr>
          <w:szCs w:val="24"/>
        </w:rPr>
        <w:t>Subsection 44(3) of the Biosecurity Act provides that a determination made under subsection 44(2) of the Biosecurity Act is a legislative instrument, but section 42 (disallowance) of the Legislation Act does not apply to the determination. This is because the potential risk of such disallowance would inhibit the Commonwealth’s ability to act urgently on public health advice to manage a human biosecurity risk that could threaten or harm human health as it would create uncertainty as to whether the instrument might be disallowed.</w:t>
      </w:r>
    </w:p>
    <w:p w14:paraId="13F7F9B4" w14:textId="77777777" w:rsidR="00022BDD" w:rsidRPr="00BE69C3" w:rsidRDefault="00022BDD" w:rsidP="00022BDD">
      <w:pPr>
        <w:pStyle w:val="NoSpacing"/>
        <w:rPr>
          <w:szCs w:val="24"/>
        </w:rPr>
      </w:pPr>
    </w:p>
    <w:p w14:paraId="2A8A8FC9" w14:textId="77777777" w:rsidR="00E74BE4" w:rsidRPr="00BE69C3" w:rsidRDefault="00E74BE4" w:rsidP="00E74BE4">
      <w:pPr>
        <w:keepNext/>
        <w:shd w:val="clear" w:color="auto" w:fill="FFFFFF"/>
        <w:rPr>
          <w:b/>
          <w:bCs/>
          <w:i/>
          <w:iCs/>
          <w:color w:val="000000"/>
          <w:szCs w:val="24"/>
        </w:rPr>
      </w:pPr>
      <w:r w:rsidRPr="00BE69C3">
        <w:rPr>
          <w:b/>
          <w:bCs/>
          <w:color w:val="000000"/>
          <w:szCs w:val="24"/>
        </w:rPr>
        <w:t>Reliance on subsection 33(3) of the </w:t>
      </w:r>
      <w:r w:rsidRPr="00BE69C3">
        <w:rPr>
          <w:b/>
          <w:bCs/>
          <w:i/>
          <w:iCs/>
          <w:color w:val="000000"/>
          <w:szCs w:val="24"/>
        </w:rPr>
        <w:t>Acts Interpretation Act 1901</w:t>
      </w:r>
    </w:p>
    <w:p w14:paraId="20BAE019" w14:textId="77777777" w:rsidR="00E74BE4" w:rsidRPr="00BE69C3" w:rsidRDefault="00E74BE4" w:rsidP="00E74BE4">
      <w:pPr>
        <w:keepNext/>
        <w:shd w:val="clear" w:color="auto" w:fill="FFFFFF"/>
        <w:rPr>
          <w:color w:val="000000"/>
          <w:szCs w:val="24"/>
        </w:rPr>
      </w:pPr>
    </w:p>
    <w:p w14:paraId="3C33DCE6" w14:textId="77777777" w:rsidR="00E74BE4" w:rsidRPr="00BE69C3" w:rsidRDefault="00E74BE4" w:rsidP="00E74BE4">
      <w:pPr>
        <w:shd w:val="clear" w:color="auto" w:fill="FFFFFF"/>
        <w:jc w:val="both"/>
        <w:rPr>
          <w:color w:val="000000"/>
          <w:szCs w:val="24"/>
        </w:rPr>
      </w:pPr>
      <w:r w:rsidRPr="00BE69C3">
        <w:rPr>
          <w:color w:val="000000"/>
          <w:szCs w:val="24"/>
        </w:rPr>
        <w:t>Under subsection 33(3) of the </w:t>
      </w:r>
      <w:r w:rsidRPr="00BE69C3">
        <w:rPr>
          <w:i/>
          <w:iCs/>
          <w:color w:val="000000"/>
          <w:szCs w:val="24"/>
        </w:rPr>
        <w:t>Acts Interpretation Act 1901</w:t>
      </w:r>
      <w:r w:rsidRPr="00BE69C3">
        <w:rPr>
          <w:color w:val="000000"/>
          <w:szCs w:val="24"/>
        </w:rPr>
        <w:t xml:space="preserve">, where an Act confers a power to make, grant or issue any instrument of a legislative or administrative character (including rules, regulations or by-laws), the power </w:t>
      </w:r>
      <w:r w:rsidR="00C15757" w:rsidRPr="00BE69C3">
        <w:rPr>
          <w:color w:val="000000"/>
          <w:szCs w:val="24"/>
        </w:rPr>
        <w:t>i</w:t>
      </w:r>
      <w:r w:rsidRPr="00BE69C3">
        <w:rPr>
          <w:color w:val="000000"/>
          <w:szCs w:val="24"/>
        </w:rPr>
        <w:t>s construed as including a power exercisable in the like manner and subject to the like conditions (if any) to repeal, rescind, revoke, amend, or vary any such instrument.</w:t>
      </w:r>
    </w:p>
    <w:p w14:paraId="2CAE37C7" w14:textId="77777777" w:rsidR="00574F29" w:rsidRPr="00BE69C3" w:rsidRDefault="00574F29" w:rsidP="00E02377">
      <w:pPr>
        <w:pStyle w:val="ListParagraph"/>
        <w:ind w:left="0"/>
        <w:rPr>
          <w:szCs w:val="24"/>
        </w:rPr>
      </w:pPr>
    </w:p>
    <w:p w14:paraId="329E8710" w14:textId="77777777" w:rsidR="00574F29" w:rsidRPr="00BE69C3" w:rsidRDefault="00574F29" w:rsidP="00574F29">
      <w:pPr>
        <w:pStyle w:val="NoSpacing"/>
        <w:keepNext/>
        <w:jc w:val="both"/>
        <w:rPr>
          <w:b/>
          <w:szCs w:val="24"/>
        </w:rPr>
      </w:pPr>
      <w:r w:rsidRPr="00BE69C3">
        <w:rPr>
          <w:b/>
          <w:szCs w:val="24"/>
        </w:rPr>
        <w:t>Background</w:t>
      </w:r>
    </w:p>
    <w:p w14:paraId="06B04C61" w14:textId="77777777" w:rsidR="00574F29" w:rsidRPr="00BE69C3" w:rsidRDefault="00574F29" w:rsidP="00574F29">
      <w:pPr>
        <w:pStyle w:val="NoSpacing"/>
        <w:keepNext/>
        <w:rPr>
          <w:szCs w:val="24"/>
          <w:lang w:val="en"/>
        </w:rPr>
      </w:pPr>
    </w:p>
    <w:p w14:paraId="346ED75E" w14:textId="77777777" w:rsidR="00574F29" w:rsidRPr="00BE69C3" w:rsidRDefault="00574F29" w:rsidP="002C026D">
      <w:pPr>
        <w:pStyle w:val="NoSpacing"/>
        <w:rPr>
          <w:szCs w:val="24"/>
          <w:lang w:val="en-US"/>
        </w:rPr>
      </w:pPr>
      <w:r w:rsidRPr="00BE69C3">
        <w:rPr>
          <w:szCs w:val="24"/>
          <w:lang w:val="en-US"/>
        </w:rPr>
        <w:t xml:space="preserve">On 5 January 2020, the World Health Organization (WHO) notified Member States under the </w:t>
      </w:r>
      <w:r w:rsidRPr="00BE69C3">
        <w:rPr>
          <w:i/>
          <w:iCs/>
          <w:szCs w:val="24"/>
          <w:lang w:val="en-US"/>
        </w:rPr>
        <w:t xml:space="preserve">International Health Regulations (2005) </w:t>
      </w:r>
      <w:r w:rsidRPr="00BE69C3">
        <w:rPr>
          <w:szCs w:val="24"/>
          <w:lang w:val="en-US"/>
        </w:rPr>
        <w:t>of an outbreak of pneumonia of unknown cause in Wuhan city, China. On 21 January 2020 ‘human coronavirus with pandemic potential’ became a ‘listed human disease’ under s</w:t>
      </w:r>
      <w:r w:rsidR="000C76A5" w:rsidRPr="00BE69C3">
        <w:rPr>
          <w:szCs w:val="24"/>
          <w:lang w:val="en-US"/>
        </w:rPr>
        <w:t>ection</w:t>
      </w:r>
      <w:r w:rsidRPr="00BE69C3">
        <w:rPr>
          <w:szCs w:val="24"/>
          <w:lang w:val="en-US"/>
        </w:rPr>
        <w:t xml:space="preserve"> 42 of the Act. On</w:t>
      </w:r>
      <w:r w:rsidR="000C76A5" w:rsidRPr="00BE69C3">
        <w:rPr>
          <w:szCs w:val="24"/>
          <w:lang w:val="en-US"/>
        </w:rPr>
        <w:t> </w:t>
      </w:r>
      <w:r w:rsidRPr="00BE69C3">
        <w:rPr>
          <w:szCs w:val="24"/>
          <w:lang w:val="en-US"/>
        </w:rPr>
        <w:t>30</w:t>
      </w:r>
      <w:r w:rsidR="000C76A5" w:rsidRPr="00BE69C3">
        <w:rPr>
          <w:szCs w:val="24"/>
          <w:lang w:val="en-US"/>
        </w:rPr>
        <w:t> </w:t>
      </w:r>
      <w:r w:rsidRPr="00BE69C3">
        <w:rPr>
          <w:szCs w:val="24"/>
          <w:lang w:val="en-US"/>
        </w:rPr>
        <w:t>January 2020, the outbreak was declared by the WHO to constitute a Public Health Emergency of International Concern.</w:t>
      </w:r>
    </w:p>
    <w:p w14:paraId="1B48F87C" w14:textId="77777777" w:rsidR="00574F29" w:rsidRPr="00BE69C3" w:rsidRDefault="00574F29" w:rsidP="00574F29">
      <w:pPr>
        <w:pStyle w:val="NoSpacing"/>
        <w:jc w:val="both"/>
        <w:rPr>
          <w:szCs w:val="24"/>
          <w:lang w:val="en-US"/>
        </w:rPr>
      </w:pPr>
    </w:p>
    <w:p w14:paraId="59715D86" w14:textId="77777777" w:rsidR="00574F29" w:rsidRPr="00BE69C3" w:rsidRDefault="00574F29" w:rsidP="00574F29">
      <w:pPr>
        <w:pStyle w:val="NoSpacing"/>
        <w:rPr>
          <w:szCs w:val="24"/>
        </w:rPr>
      </w:pPr>
      <w:r w:rsidRPr="00BE69C3">
        <w:rPr>
          <w:szCs w:val="24"/>
          <w:lang w:val="en-US"/>
        </w:rPr>
        <w:t>On 11 February 2020, the WHO announced that the International Committee on Taxonomy of Viruses named the pathogen virus ‘severe acute respiratory syndrome coronavirus (SARS</w:t>
      </w:r>
      <w:r w:rsidR="002C026D" w:rsidRPr="00BE69C3">
        <w:rPr>
          <w:szCs w:val="24"/>
          <w:lang w:val="en-US"/>
        </w:rPr>
        <w:noBreakHyphen/>
      </w:r>
      <w:r w:rsidRPr="00BE69C3">
        <w:rPr>
          <w:szCs w:val="24"/>
          <w:lang w:val="en-US"/>
        </w:rPr>
        <w:t xml:space="preserve">CoV-2)’. It is </w:t>
      </w:r>
      <w:r w:rsidRPr="00BE69C3">
        <w:rPr>
          <w:szCs w:val="24"/>
          <w:lang w:val="en"/>
        </w:rPr>
        <w:t xml:space="preserve">closely related genetically to the virus that caused the 2003 outbreak of Severe Acute Respiratory Syndrome (SARS). The international name given by the WHO to the disease caused by SARS-CoV-2 is </w:t>
      </w:r>
      <w:r w:rsidR="000C76A5" w:rsidRPr="00BE69C3">
        <w:rPr>
          <w:szCs w:val="24"/>
          <w:lang w:val="en"/>
        </w:rPr>
        <w:t>c</w:t>
      </w:r>
      <w:r w:rsidRPr="00BE69C3">
        <w:rPr>
          <w:szCs w:val="24"/>
          <w:lang w:val="en"/>
        </w:rPr>
        <w:t>oronavirus disease 2019 (COVID-19).</w:t>
      </w:r>
      <w:r w:rsidRPr="00BE69C3">
        <w:rPr>
          <w:szCs w:val="24"/>
        </w:rPr>
        <w:t xml:space="preserve"> On 11 March 2020, the WHO declared the outbreak of COVID-19 a pandemic.  </w:t>
      </w:r>
    </w:p>
    <w:p w14:paraId="6D1DCB86" w14:textId="77777777" w:rsidR="002C026D" w:rsidRPr="00BE69C3" w:rsidRDefault="002C026D" w:rsidP="00574F29">
      <w:pPr>
        <w:pStyle w:val="NoSpacing"/>
        <w:rPr>
          <w:szCs w:val="24"/>
        </w:rPr>
      </w:pPr>
    </w:p>
    <w:p w14:paraId="2B15B876" w14:textId="77777777" w:rsidR="002C026D" w:rsidRPr="00BE69C3" w:rsidRDefault="002C026D" w:rsidP="007D4153">
      <w:pPr>
        <w:rPr>
          <w:color w:val="000000"/>
          <w:shd w:val="clear" w:color="auto" w:fill="FFFFFF"/>
        </w:rPr>
      </w:pPr>
      <w:r w:rsidRPr="00BE69C3">
        <w:t>On 18 March 2020, the Governor-General declared that a human biosecurity emergency exists regarding the listed human disease ‘human coronavirus with pandemic potential’ (COVID-19) (section 475 of the Biosecurity Act, </w:t>
      </w:r>
      <w:r w:rsidRPr="00BE69C3">
        <w:rPr>
          <w:i/>
          <w:iCs/>
        </w:rPr>
        <w:t>Biosecurity (Human Biosecurity Emergency) (Human Coronavirus with Pandemic Potential) Declaration 2020</w:t>
      </w:r>
      <w:r w:rsidRPr="00BE69C3">
        <w:t xml:space="preserve">). </w:t>
      </w:r>
      <w:r w:rsidRPr="00BE69C3">
        <w:rPr>
          <w:color w:val="000000"/>
          <w:shd w:val="clear" w:color="auto" w:fill="FFFFFF"/>
        </w:rPr>
        <w:t xml:space="preserve">The human biosecurity emergency period is currently in force until 17 December 2021 and </w:t>
      </w:r>
      <w:r w:rsidR="00ED0218" w:rsidRPr="00BE69C3">
        <w:rPr>
          <w:color w:val="000000"/>
          <w:shd w:val="clear" w:color="auto" w:fill="FFFFFF"/>
        </w:rPr>
        <w:t>may</w:t>
      </w:r>
      <w:r w:rsidRPr="00BE69C3">
        <w:rPr>
          <w:color w:val="000000"/>
          <w:shd w:val="clear" w:color="auto" w:fill="FFFFFF"/>
        </w:rPr>
        <w:t xml:space="preserve"> be extended under the Act.</w:t>
      </w:r>
    </w:p>
    <w:p w14:paraId="7B52462E" w14:textId="77777777" w:rsidR="002C026D" w:rsidRPr="00BE69C3" w:rsidRDefault="002C026D" w:rsidP="00C15757">
      <w:pPr>
        <w:pStyle w:val="NoSpacing"/>
        <w:rPr>
          <w:szCs w:val="24"/>
        </w:rPr>
      </w:pPr>
    </w:p>
    <w:p w14:paraId="1E5B3F36" w14:textId="77777777" w:rsidR="00574F29" w:rsidRPr="00BE69C3" w:rsidRDefault="00574F29" w:rsidP="00C15757">
      <w:pPr>
        <w:pStyle w:val="NoSpacing"/>
        <w:rPr>
          <w:szCs w:val="24"/>
          <w:lang w:val="en-US"/>
        </w:rPr>
      </w:pPr>
      <w:r w:rsidRPr="00BE69C3">
        <w:rPr>
          <w:szCs w:val="24"/>
          <w:lang w:val="en-US"/>
        </w:rPr>
        <w:t>COVID-19 has entered Australia. It represents a severe and immediate threat to human health in Australia as it</w:t>
      </w:r>
      <w:r w:rsidR="00C15757" w:rsidRPr="00BE69C3">
        <w:rPr>
          <w:szCs w:val="24"/>
          <w:lang w:val="en-US"/>
        </w:rPr>
        <w:t xml:space="preserve"> can</w:t>
      </w:r>
      <w:r w:rsidRPr="00BE69C3">
        <w:rPr>
          <w:szCs w:val="24"/>
          <w:lang w:val="en-US"/>
        </w:rPr>
        <w:t xml:space="preserve"> cause high levels of morbidity and </w:t>
      </w:r>
      <w:proofErr w:type="gramStart"/>
      <w:r w:rsidRPr="00BE69C3">
        <w:rPr>
          <w:szCs w:val="24"/>
          <w:lang w:val="en-US"/>
        </w:rPr>
        <w:t>mortality, and</w:t>
      </w:r>
      <w:proofErr w:type="gramEnd"/>
      <w:r w:rsidRPr="00BE69C3">
        <w:rPr>
          <w:szCs w:val="24"/>
          <w:lang w:val="en-US"/>
        </w:rPr>
        <w:t xml:space="preserve"> </w:t>
      </w:r>
      <w:r w:rsidR="00ED0218" w:rsidRPr="00BE69C3">
        <w:rPr>
          <w:szCs w:val="24"/>
          <w:lang w:val="en-US"/>
        </w:rPr>
        <w:t xml:space="preserve">has the ability </w:t>
      </w:r>
      <w:r w:rsidRPr="00BE69C3">
        <w:rPr>
          <w:szCs w:val="24"/>
          <w:lang w:val="en-US"/>
        </w:rPr>
        <w:t xml:space="preserve">to disrupt the Australian community socially and economically. </w:t>
      </w:r>
    </w:p>
    <w:p w14:paraId="2D94AEB2" w14:textId="77777777" w:rsidR="00574F29" w:rsidRPr="00BE69C3" w:rsidRDefault="00574F29" w:rsidP="00E02377">
      <w:pPr>
        <w:pStyle w:val="ListParagraph"/>
        <w:ind w:left="0"/>
        <w:rPr>
          <w:szCs w:val="24"/>
        </w:rPr>
      </w:pPr>
    </w:p>
    <w:p w14:paraId="3BFE9F5B" w14:textId="77777777" w:rsidR="00574F29" w:rsidRPr="00BE69C3" w:rsidRDefault="00574F29" w:rsidP="00574F29">
      <w:pPr>
        <w:jc w:val="both"/>
        <w:rPr>
          <w:b/>
        </w:rPr>
      </w:pPr>
      <w:r w:rsidRPr="00BE69C3">
        <w:rPr>
          <w:b/>
        </w:rPr>
        <w:t>Commencement</w:t>
      </w:r>
    </w:p>
    <w:p w14:paraId="323444D8" w14:textId="77777777" w:rsidR="00574F29" w:rsidRPr="00BE69C3" w:rsidRDefault="00574F29" w:rsidP="00574F29">
      <w:pPr>
        <w:jc w:val="both"/>
        <w:rPr>
          <w:b/>
        </w:rPr>
      </w:pPr>
    </w:p>
    <w:p w14:paraId="1A41E3B2" w14:textId="5FC15DEC" w:rsidR="00E02377" w:rsidRPr="00BE69C3" w:rsidRDefault="00574F29" w:rsidP="00574F29">
      <w:pPr>
        <w:pStyle w:val="NoSpacing"/>
      </w:pPr>
      <w:r w:rsidRPr="00BE69C3">
        <w:t xml:space="preserve">The Amendment Determination commences </w:t>
      </w:r>
      <w:r w:rsidR="006A59FD" w:rsidRPr="00BE69C3">
        <w:t xml:space="preserve">on </w:t>
      </w:r>
      <w:r w:rsidR="00BF3865" w:rsidRPr="00BE69C3">
        <w:t>1 November</w:t>
      </w:r>
      <w:r w:rsidR="006A59FD" w:rsidRPr="00BE69C3">
        <w:t xml:space="preserve"> 2021</w:t>
      </w:r>
      <w:r w:rsidRPr="00BE69C3">
        <w:t xml:space="preserve">. </w:t>
      </w:r>
    </w:p>
    <w:p w14:paraId="6CC8D33E" w14:textId="77777777" w:rsidR="00574F29" w:rsidRPr="00BE69C3" w:rsidRDefault="00574F29" w:rsidP="00574F29">
      <w:pPr>
        <w:pStyle w:val="NoSpacing"/>
        <w:jc w:val="both"/>
        <w:rPr>
          <w:szCs w:val="24"/>
        </w:rPr>
      </w:pPr>
    </w:p>
    <w:p w14:paraId="6F5CD879" w14:textId="77777777" w:rsidR="00E02377" w:rsidRPr="00BE69C3" w:rsidRDefault="00E02377" w:rsidP="00E02377">
      <w:pPr>
        <w:pStyle w:val="NoSpacing"/>
        <w:jc w:val="both"/>
        <w:rPr>
          <w:b/>
          <w:szCs w:val="24"/>
        </w:rPr>
      </w:pPr>
      <w:r w:rsidRPr="00BE69C3">
        <w:rPr>
          <w:b/>
          <w:szCs w:val="24"/>
        </w:rPr>
        <w:lastRenderedPageBreak/>
        <w:t xml:space="preserve">Consultation </w:t>
      </w:r>
    </w:p>
    <w:p w14:paraId="349C9A9F" w14:textId="77777777" w:rsidR="00BF3865" w:rsidRPr="00BE69C3" w:rsidRDefault="00BF3865" w:rsidP="00BF3865">
      <w:pPr>
        <w:pStyle w:val="NoSpacing"/>
        <w:rPr>
          <w:b/>
          <w:szCs w:val="24"/>
        </w:rPr>
      </w:pPr>
    </w:p>
    <w:p w14:paraId="193F638E" w14:textId="3C39EA9B" w:rsidR="00AD340E" w:rsidRPr="00BE69C3" w:rsidRDefault="00BF3865" w:rsidP="00012014">
      <w:pPr>
        <w:pStyle w:val="NoSpacing"/>
        <w:rPr>
          <w:szCs w:val="24"/>
        </w:rPr>
      </w:pPr>
      <w:r w:rsidRPr="00BE69C3">
        <w:rPr>
          <w:szCs w:val="24"/>
        </w:rPr>
        <w:t>The Department of Infrastructure, Transport, Regional Development and Communications; the Department of Home Affairs; the Australian Border Force; the Department of Foreign Affairs and Trade; the Attorney-General’s Department and the Department of Prime Minister and Cabinet have been consulted on the Amendment Determination.</w:t>
      </w:r>
    </w:p>
    <w:p w14:paraId="2FDB047F" w14:textId="77777777" w:rsidR="006910FE" w:rsidRPr="00BE69C3" w:rsidRDefault="00771C08" w:rsidP="006910FE">
      <w:pPr>
        <w:jc w:val="right"/>
        <w:rPr>
          <w:i/>
          <w:szCs w:val="24"/>
        </w:rPr>
      </w:pPr>
      <w:r w:rsidRPr="00BE69C3">
        <w:rPr>
          <w:b/>
          <w:szCs w:val="24"/>
        </w:rPr>
        <w:br w:type="page"/>
      </w:r>
      <w:r w:rsidR="006910FE" w:rsidRPr="00BE69C3">
        <w:rPr>
          <w:b/>
          <w:szCs w:val="24"/>
        </w:rPr>
        <w:lastRenderedPageBreak/>
        <w:t>ATTACHMENT</w:t>
      </w:r>
      <w:r w:rsidR="0011537D" w:rsidRPr="00BE69C3">
        <w:rPr>
          <w:b/>
          <w:szCs w:val="24"/>
        </w:rPr>
        <w:t xml:space="preserve"> A</w:t>
      </w:r>
    </w:p>
    <w:p w14:paraId="004841AD" w14:textId="77777777" w:rsidR="006910FE" w:rsidRPr="00BE69C3" w:rsidRDefault="006910FE" w:rsidP="006910FE">
      <w:pPr>
        <w:jc w:val="right"/>
        <w:rPr>
          <w:b/>
          <w:szCs w:val="24"/>
        </w:rPr>
      </w:pPr>
    </w:p>
    <w:p w14:paraId="411587CB" w14:textId="7C4D2D1B" w:rsidR="006D12D9" w:rsidRPr="00BE69C3" w:rsidRDefault="00BF3865" w:rsidP="006D12D9">
      <w:pPr>
        <w:rPr>
          <w:b/>
          <w:i/>
          <w:szCs w:val="24"/>
        </w:rPr>
      </w:pPr>
      <w:r w:rsidRPr="00BE69C3">
        <w:rPr>
          <w:b/>
          <w:i/>
          <w:szCs w:val="24"/>
        </w:rPr>
        <w:t>Biosecurity (Human Coronavirus with Pandemic Potential) Amendment (No. 2) Determination 2021</w:t>
      </w:r>
    </w:p>
    <w:p w14:paraId="37C86D07" w14:textId="77777777" w:rsidR="00BF3865" w:rsidRPr="00BE69C3" w:rsidRDefault="00BF3865" w:rsidP="006D12D9">
      <w:pPr>
        <w:rPr>
          <w:b/>
          <w:szCs w:val="24"/>
          <w:u w:val="single"/>
        </w:rPr>
      </w:pPr>
    </w:p>
    <w:p w14:paraId="720760EB" w14:textId="21A0A1E2" w:rsidR="006D12D9" w:rsidRPr="00BE69C3" w:rsidRDefault="006D12D9" w:rsidP="00DF5AA1">
      <w:pPr>
        <w:pStyle w:val="ShortT"/>
        <w:rPr>
          <w:b w:val="0"/>
          <w:sz w:val="24"/>
          <w:szCs w:val="24"/>
        </w:rPr>
      </w:pPr>
      <w:r w:rsidRPr="00BE69C3">
        <w:rPr>
          <w:bCs/>
          <w:sz w:val="24"/>
          <w:szCs w:val="24"/>
        </w:rPr>
        <w:t>Section 1</w:t>
      </w:r>
      <w:r w:rsidRPr="00BE69C3">
        <w:rPr>
          <w:b w:val="0"/>
          <w:sz w:val="24"/>
          <w:szCs w:val="24"/>
        </w:rPr>
        <w:t xml:space="preserve"> </w:t>
      </w:r>
      <w:r w:rsidR="002B6F94" w:rsidRPr="00BE69C3">
        <w:rPr>
          <w:b w:val="0"/>
          <w:sz w:val="24"/>
          <w:szCs w:val="24"/>
        </w:rPr>
        <w:t xml:space="preserve">states that the name of this </w:t>
      </w:r>
      <w:r w:rsidRPr="00BE69C3">
        <w:rPr>
          <w:b w:val="0"/>
          <w:sz w:val="24"/>
          <w:szCs w:val="24"/>
        </w:rPr>
        <w:t xml:space="preserve">instrument </w:t>
      </w:r>
      <w:r w:rsidR="002B6F94" w:rsidRPr="00BE69C3">
        <w:rPr>
          <w:b w:val="0"/>
          <w:sz w:val="24"/>
          <w:szCs w:val="24"/>
        </w:rPr>
        <w:t>is</w:t>
      </w:r>
      <w:r w:rsidRPr="00BE69C3">
        <w:rPr>
          <w:b w:val="0"/>
          <w:sz w:val="24"/>
          <w:szCs w:val="24"/>
        </w:rPr>
        <w:t xml:space="preserve"> the </w:t>
      </w:r>
      <w:r w:rsidR="00BF3865" w:rsidRPr="00BE69C3">
        <w:rPr>
          <w:b w:val="0"/>
          <w:i/>
          <w:sz w:val="24"/>
          <w:szCs w:val="24"/>
        </w:rPr>
        <w:t>Biosecurity (Human Coronavirus with Pandemic Potential) Amendment (No. 2) Determination 2021</w:t>
      </w:r>
      <w:r w:rsidR="00DF5AA1" w:rsidRPr="00BE69C3">
        <w:rPr>
          <w:b w:val="0"/>
          <w:sz w:val="24"/>
          <w:szCs w:val="24"/>
        </w:rPr>
        <w:t>.</w:t>
      </w:r>
    </w:p>
    <w:p w14:paraId="201DFFF9" w14:textId="77777777" w:rsidR="006D12D9" w:rsidRPr="00BE69C3" w:rsidRDefault="006D12D9" w:rsidP="00261484">
      <w:pPr>
        <w:rPr>
          <w:b/>
          <w:szCs w:val="24"/>
        </w:rPr>
      </w:pPr>
    </w:p>
    <w:p w14:paraId="39F1BCD0" w14:textId="696D862C" w:rsidR="006D12D9" w:rsidRPr="00BE69C3" w:rsidRDefault="006D12D9" w:rsidP="006D12D9">
      <w:pPr>
        <w:rPr>
          <w:szCs w:val="24"/>
        </w:rPr>
      </w:pPr>
      <w:r w:rsidRPr="00BE69C3">
        <w:rPr>
          <w:b/>
          <w:bCs/>
          <w:szCs w:val="24"/>
        </w:rPr>
        <w:t>Section 2</w:t>
      </w:r>
      <w:r w:rsidRPr="00BE69C3">
        <w:rPr>
          <w:szCs w:val="24"/>
        </w:rPr>
        <w:t xml:space="preserve"> provides that the instrument commences </w:t>
      </w:r>
      <w:r w:rsidR="006A59FD" w:rsidRPr="00BE69C3">
        <w:rPr>
          <w:szCs w:val="24"/>
        </w:rPr>
        <w:t xml:space="preserve">on </w:t>
      </w:r>
      <w:r w:rsidR="00BF3865" w:rsidRPr="00BE69C3">
        <w:rPr>
          <w:szCs w:val="24"/>
        </w:rPr>
        <w:t>1 November</w:t>
      </w:r>
      <w:r w:rsidR="006A59FD" w:rsidRPr="00BE69C3">
        <w:rPr>
          <w:szCs w:val="24"/>
        </w:rPr>
        <w:t xml:space="preserve"> 2021</w:t>
      </w:r>
      <w:r w:rsidRPr="00BE69C3">
        <w:rPr>
          <w:szCs w:val="24"/>
        </w:rPr>
        <w:t xml:space="preserve">. </w:t>
      </w:r>
    </w:p>
    <w:p w14:paraId="09E54ABD" w14:textId="77777777" w:rsidR="006D12D9" w:rsidRPr="00BE69C3" w:rsidRDefault="006D12D9" w:rsidP="006D12D9">
      <w:pPr>
        <w:tabs>
          <w:tab w:val="left" w:pos="2130"/>
        </w:tabs>
        <w:rPr>
          <w:b/>
          <w:szCs w:val="24"/>
        </w:rPr>
      </w:pPr>
      <w:r w:rsidRPr="00BE69C3">
        <w:rPr>
          <w:b/>
          <w:szCs w:val="24"/>
        </w:rPr>
        <w:tab/>
      </w:r>
    </w:p>
    <w:p w14:paraId="3C70D99A" w14:textId="1FC1BA7F" w:rsidR="006D12D9" w:rsidRPr="00BE69C3" w:rsidRDefault="006D12D9" w:rsidP="006D12D9">
      <w:pPr>
        <w:rPr>
          <w:i/>
          <w:szCs w:val="24"/>
        </w:rPr>
      </w:pPr>
      <w:r w:rsidRPr="00BE69C3">
        <w:rPr>
          <w:b/>
          <w:bCs/>
          <w:szCs w:val="24"/>
        </w:rPr>
        <w:t>Section 3</w:t>
      </w:r>
      <w:r w:rsidRPr="00BE69C3">
        <w:rPr>
          <w:szCs w:val="24"/>
        </w:rPr>
        <w:t xml:space="preserve"> provides that this instrument is made under </w:t>
      </w:r>
      <w:r w:rsidRPr="00BE69C3">
        <w:t>subsection</w:t>
      </w:r>
      <w:r w:rsidR="000240FD" w:rsidRPr="00BE69C3">
        <w:t>s 44(2) and</w:t>
      </w:r>
      <w:r w:rsidR="00DF5AA1" w:rsidRPr="00BE69C3">
        <w:t xml:space="preserve"> </w:t>
      </w:r>
      <w:r w:rsidRPr="00BE69C3">
        <w:t xml:space="preserve">477(1) of the </w:t>
      </w:r>
      <w:r w:rsidRPr="00BE69C3">
        <w:rPr>
          <w:i/>
        </w:rPr>
        <w:t>Biosecurity Act 2015</w:t>
      </w:r>
      <w:r w:rsidRPr="00BE69C3">
        <w:t>.</w:t>
      </w:r>
    </w:p>
    <w:p w14:paraId="5058B17A" w14:textId="77777777" w:rsidR="006D12D9" w:rsidRPr="00BE69C3" w:rsidRDefault="006D12D9" w:rsidP="00261484">
      <w:pPr>
        <w:rPr>
          <w:b/>
          <w:szCs w:val="24"/>
        </w:rPr>
      </w:pPr>
    </w:p>
    <w:p w14:paraId="759D6890" w14:textId="77777777" w:rsidR="006D12D9" w:rsidRPr="00BE69C3" w:rsidRDefault="006D12D9" w:rsidP="006D12D9">
      <w:pPr>
        <w:rPr>
          <w:szCs w:val="24"/>
        </w:rPr>
      </w:pPr>
      <w:r w:rsidRPr="00BE69C3">
        <w:rPr>
          <w:b/>
          <w:bCs/>
          <w:szCs w:val="24"/>
        </w:rPr>
        <w:t>Section 4</w:t>
      </w:r>
      <w:r w:rsidRPr="00BE69C3">
        <w:rPr>
          <w:szCs w:val="24"/>
        </w:rPr>
        <w:t xml:space="preserve"> provides </w:t>
      </w:r>
      <w:r w:rsidR="00DF5AA1" w:rsidRPr="00BE69C3">
        <w:rPr>
          <w:szCs w:val="24"/>
        </w:rPr>
        <w:t>that each instrument that is specified in a Schedule to the instrument is amended or repealed as set out in the applicable items in the Schedule concerned, and any other item in a Schedule to the instrument has effect according to its terms</w:t>
      </w:r>
      <w:r w:rsidRPr="00BE69C3">
        <w:rPr>
          <w:szCs w:val="24"/>
        </w:rPr>
        <w:t>.</w:t>
      </w:r>
    </w:p>
    <w:p w14:paraId="32C154F3" w14:textId="77777777" w:rsidR="006D12D9" w:rsidRPr="00BE69C3" w:rsidRDefault="006D12D9" w:rsidP="006D12D9">
      <w:pPr>
        <w:rPr>
          <w:szCs w:val="24"/>
        </w:rPr>
      </w:pPr>
    </w:p>
    <w:p w14:paraId="6B5CEA6F" w14:textId="77777777" w:rsidR="00BF3865" w:rsidRPr="00BE69C3" w:rsidRDefault="00BF3865">
      <w:pPr>
        <w:rPr>
          <w:b/>
          <w:szCs w:val="24"/>
        </w:rPr>
      </w:pPr>
      <w:r w:rsidRPr="00BE69C3">
        <w:rPr>
          <w:b/>
          <w:szCs w:val="24"/>
        </w:rPr>
        <w:br w:type="page"/>
      </w:r>
    </w:p>
    <w:p w14:paraId="3DE4B2D6" w14:textId="472A78B8" w:rsidR="00DF5AA1" w:rsidRPr="00BE69C3" w:rsidRDefault="00DF5AA1" w:rsidP="006D12D9">
      <w:pPr>
        <w:rPr>
          <w:b/>
          <w:szCs w:val="24"/>
        </w:rPr>
      </w:pPr>
      <w:r w:rsidRPr="00BE69C3">
        <w:rPr>
          <w:b/>
          <w:szCs w:val="24"/>
        </w:rPr>
        <w:lastRenderedPageBreak/>
        <w:t>Schedule 1</w:t>
      </w:r>
      <w:r w:rsidR="00B96099" w:rsidRPr="00BE69C3">
        <w:rPr>
          <w:b/>
          <w:iCs/>
          <w:szCs w:val="24"/>
        </w:rPr>
        <w:t>—</w:t>
      </w:r>
      <w:r w:rsidRPr="00BE69C3">
        <w:rPr>
          <w:b/>
          <w:szCs w:val="24"/>
        </w:rPr>
        <w:t>Amendments</w:t>
      </w:r>
    </w:p>
    <w:p w14:paraId="4365FA31" w14:textId="7300554F" w:rsidR="000240FD" w:rsidRPr="00BE69C3" w:rsidRDefault="000240FD" w:rsidP="006D12D9">
      <w:pPr>
        <w:rPr>
          <w:b/>
          <w:szCs w:val="24"/>
        </w:rPr>
      </w:pPr>
    </w:p>
    <w:p w14:paraId="6ED5BB45" w14:textId="49F72710" w:rsidR="000240FD" w:rsidRPr="00BE69C3" w:rsidRDefault="000240FD" w:rsidP="006D12D9">
      <w:pPr>
        <w:rPr>
          <w:b/>
          <w:i/>
          <w:szCs w:val="24"/>
        </w:rPr>
      </w:pPr>
      <w:r w:rsidRPr="00BE69C3">
        <w:rPr>
          <w:b/>
          <w:i/>
          <w:szCs w:val="24"/>
        </w:rPr>
        <w:t>Biosecurity (Entry Requirements – Human Coronavirus with Pandemic Potential) Determination 2020</w:t>
      </w:r>
    </w:p>
    <w:p w14:paraId="529298E2" w14:textId="34718111" w:rsidR="000240FD" w:rsidRPr="00BE69C3" w:rsidRDefault="000240FD" w:rsidP="006D12D9">
      <w:pPr>
        <w:rPr>
          <w:b/>
          <w:szCs w:val="24"/>
        </w:rPr>
      </w:pPr>
    </w:p>
    <w:p w14:paraId="017125A6" w14:textId="21DB45FA" w:rsidR="000240FD" w:rsidRPr="00BE69C3" w:rsidRDefault="000240FD" w:rsidP="006D12D9">
      <w:pPr>
        <w:rPr>
          <w:b/>
          <w:szCs w:val="24"/>
        </w:rPr>
      </w:pPr>
      <w:r w:rsidRPr="00BE69C3">
        <w:rPr>
          <w:b/>
          <w:szCs w:val="24"/>
        </w:rPr>
        <w:t>Item 1 – Section 4</w:t>
      </w:r>
    </w:p>
    <w:p w14:paraId="7C69F4CB" w14:textId="71B5E28B" w:rsidR="00FD747F" w:rsidRPr="00BE69C3" w:rsidRDefault="000240FD" w:rsidP="00FD747F">
      <w:pPr>
        <w:rPr>
          <w:b/>
          <w:szCs w:val="24"/>
        </w:rPr>
      </w:pPr>
      <w:r w:rsidRPr="00BE69C3">
        <w:rPr>
          <w:szCs w:val="24"/>
        </w:rPr>
        <w:t xml:space="preserve">Item 1 amends the definition of </w:t>
      </w:r>
      <w:r w:rsidRPr="00BE69C3">
        <w:rPr>
          <w:i/>
          <w:szCs w:val="24"/>
        </w:rPr>
        <w:t>Overseas Travel Ban Determination</w:t>
      </w:r>
      <w:r w:rsidRPr="00BE69C3">
        <w:rPr>
          <w:szCs w:val="24"/>
        </w:rPr>
        <w:t xml:space="preserve"> and omits the words “11 August” and substitutes the words “1 November”</w:t>
      </w:r>
      <w:r w:rsidR="00912D85" w:rsidRPr="00BE69C3">
        <w:rPr>
          <w:szCs w:val="24"/>
        </w:rPr>
        <w:t xml:space="preserve">. This is a consequential amendment </w:t>
      </w:r>
      <w:r w:rsidRPr="00BE69C3">
        <w:rPr>
          <w:szCs w:val="24"/>
        </w:rPr>
        <w:t>to</w:t>
      </w:r>
      <w:r w:rsidR="00965BAE" w:rsidRPr="00BE69C3">
        <w:rPr>
          <w:szCs w:val="24"/>
        </w:rPr>
        <w:t xml:space="preserve"> update the definition of the Overseas Travel Ban Determination, as amended, by specifying it as the instrument that is in force on 1 November 2021. </w:t>
      </w:r>
      <w:r w:rsidRPr="00BE69C3">
        <w:rPr>
          <w:szCs w:val="24"/>
        </w:rPr>
        <w:t xml:space="preserve"> </w:t>
      </w:r>
    </w:p>
    <w:p w14:paraId="0AEC984D" w14:textId="302ADEBD" w:rsidR="00BF3865" w:rsidRPr="00BE69C3" w:rsidRDefault="00BF3865" w:rsidP="006D12D9">
      <w:pPr>
        <w:rPr>
          <w:b/>
          <w:szCs w:val="24"/>
        </w:rPr>
      </w:pPr>
    </w:p>
    <w:p w14:paraId="2A3698D7" w14:textId="66C81261" w:rsidR="00BF3865" w:rsidRPr="00BE69C3" w:rsidRDefault="00BF3865" w:rsidP="006D12D9">
      <w:pPr>
        <w:rPr>
          <w:b/>
          <w:szCs w:val="24"/>
        </w:rPr>
      </w:pPr>
      <w:r w:rsidRPr="00BE69C3">
        <w:rPr>
          <w:b/>
          <w:i/>
          <w:szCs w:val="24"/>
        </w:rPr>
        <w:t>Biosecurity (Human Biosecurity Emergency) (Human Coronavirus with Pandemic Potential) (Overseas Travel Ban Emergency Requirements) Determination 2020</w:t>
      </w:r>
    </w:p>
    <w:p w14:paraId="7E11076C" w14:textId="7C7A19AE" w:rsidR="00261484" w:rsidRPr="00BE69C3" w:rsidRDefault="00261484" w:rsidP="00DF5AA1">
      <w:pPr>
        <w:rPr>
          <w:b/>
          <w:i/>
          <w:szCs w:val="24"/>
        </w:rPr>
      </w:pPr>
      <w:bookmarkStart w:id="1" w:name="_Toc65246234"/>
    </w:p>
    <w:bookmarkEnd w:id="1"/>
    <w:p w14:paraId="147710BB" w14:textId="3F2C907D" w:rsidR="006B4A7C" w:rsidRPr="00BE69C3" w:rsidRDefault="00BA5B3E" w:rsidP="00DF5AA1">
      <w:pPr>
        <w:rPr>
          <w:b/>
          <w:bCs/>
          <w:szCs w:val="24"/>
        </w:rPr>
      </w:pPr>
      <w:r w:rsidRPr="00BE69C3">
        <w:rPr>
          <w:b/>
          <w:bCs/>
          <w:szCs w:val="24"/>
        </w:rPr>
        <w:t>Item 2</w:t>
      </w:r>
      <w:r w:rsidR="00BF3865" w:rsidRPr="00BE69C3">
        <w:rPr>
          <w:b/>
          <w:bCs/>
          <w:szCs w:val="24"/>
        </w:rPr>
        <w:t xml:space="preserve"> – </w:t>
      </w:r>
      <w:r w:rsidRPr="00BE69C3">
        <w:rPr>
          <w:b/>
          <w:bCs/>
          <w:szCs w:val="24"/>
        </w:rPr>
        <w:t>Section 4</w:t>
      </w:r>
    </w:p>
    <w:p w14:paraId="5613E138" w14:textId="1BFB9A9E" w:rsidR="0028557B" w:rsidRPr="00BE69C3" w:rsidRDefault="0028557B" w:rsidP="0028557B">
      <w:pPr>
        <w:rPr>
          <w:bCs/>
          <w:szCs w:val="24"/>
        </w:rPr>
      </w:pPr>
      <w:r w:rsidRPr="00BE69C3">
        <w:rPr>
          <w:bCs/>
          <w:szCs w:val="24"/>
        </w:rPr>
        <w:t xml:space="preserve">Item 2 amends section 4 of the Determination to insert a new definition for </w:t>
      </w:r>
      <w:r w:rsidRPr="00BE69C3">
        <w:rPr>
          <w:bCs/>
          <w:i/>
          <w:szCs w:val="24"/>
        </w:rPr>
        <w:t>accepted COVID</w:t>
      </w:r>
      <w:r w:rsidR="00A26508" w:rsidRPr="00BE69C3">
        <w:rPr>
          <w:bCs/>
          <w:i/>
          <w:szCs w:val="24"/>
        </w:rPr>
        <w:t>-</w:t>
      </w:r>
      <w:r w:rsidRPr="00BE69C3">
        <w:rPr>
          <w:bCs/>
          <w:i/>
          <w:szCs w:val="24"/>
        </w:rPr>
        <w:t>19 vaccine</w:t>
      </w:r>
      <w:r w:rsidRPr="00BE69C3">
        <w:rPr>
          <w:bCs/>
          <w:szCs w:val="24"/>
        </w:rPr>
        <w:t xml:space="preserve"> to mean a vaccine that is registered on the Australian Register of Therapeutic Goods or that is recognised by Australia’s Therapeutic Goods Administration. </w:t>
      </w:r>
    </w:p>
    <w:p w14:paraId="331A9671" w14:textId="3CD7F418" w:rsidR="0028557B" w:rsidRPr="00BE69C3" w:rsidRDefault="0028557B" w:rsidP="00DF5AA1">
      <w:pPr>
        <w:rPr>
          <w:bCs/>
          <w:szCs w:val="24"/>
        </w:rPr>
      </w:pPr>
    </w:p>
    <w:p w14:paraId="43BC0C5E" w14:textId="6E8CD65F" w:rsidR="0028557B" w:rsidRPr="00BE69C3" w:rsidRDefault="0028557B" w:rsidP="00DF5AA1">
      <w:pPr>
        <w:rPr>
          <w:b/>
          <w:bCs/>
          <w:szCs w:val="24"/>
        </w:rPr>
      </w:pPr>
      <w:r w:rsidRPr="00BE69C3">
        <w:rPr>
          <w:b/>
          <w:bCs/>
          <w:szCs w:val="24"/>
        </w:rPr>
        <w:t>Item 3 – Section 4</w:t>
      </w:r>
    </w:p>
    <w:p w14:paraId="30438785" w14:textId="70696AA9" w:rsidR="00395A28" w:rsidRPr="00BE69C3" w:rsidRDefault="0028557B" w:rsidP="00DF5AA1">
      <w:pPr>
        <w:rPr>
          <w:bCs/>
          <w:szCs w:val="24"/>
        </w:rPr>
      </w:pPr>
      <w:r w:rsidRPr="00BE69C3">
        <w:rPr>
          <w:bCs/>
          <w:szCs w:val="24"/>
        </w:rPr>
        <w:t>Item 3</w:t>
      </w:r>
      <w:r w:rsidR="00395A28" w:rsidRPr="00BE69C3">
        <w:rPr>
          <w:bCs/>
          <w:szCs w:val="24"/>
        </w:rPr>
        <w:t xml:space="preserve"> repeals the definitions of </w:t>
      </w:r>
      <w:r w:rsidR="00395A28" w:rsidRPr="00BE69C3">
        <w:rPr>
          <w:bCs/>
          <w:i/>
          <w:szCs w:val="24"/>
        </w:rPr>
        <w:t>Australian Border Force</w:t>
      </w:r>
      <w:r w:rsidR="00395A28" w:rsidRPr="00BE69C3">
        <w:rPr>
          <w:bCs/>
          <w:szCs w:val="24"/>
        </w:rPr>
        <w:t xml:space="preserve"> and </w:t>
      </w:r>
      <w:r w:rsidR="00395A28" w:rsidRPr="00BE69C3">
        <w:rPr>
          <w:bCs/>
          <w:i/>
          <w:szCs w:val="24"/>
        </w:rPr>
        <w:t>Australian Border Force employee</w:t>
      </w:r>
      <w:r w:rsidR="00395A28" w:rsidRPr="00BE69C3">
        <w:rPr>
          <w:bCs/>
          <w:szCs w:val="24"/>
        </w:rPr>
        <w:t xml:space="preserve"> in section 4 of the Determination. </w:t>
      </w:r>
    </w:p>
    <w:p w14:paraId="10AEAEC6" w14:textId="77777777" w:rsidR="00395A28" w:rsidRPr="00BE69C3" w:rsidRDefault="00395A28" w:rsidP="00DF5AA1">
      <w:pPr>
        <w:rPr>
          <w:bCs/>
          <w:szCs w:val="24"/>
        </w:rPr>
      </w:pPr>
    </w:p>
    <w:p w14:paraId="6CAAC568" w14:textId="3F707793" w:rsidR="00395A28" w:rsidRPr="00BE69C3" w:rsidRDefault="0028557B" w:rsidP="00DF5AA1">
      <w:pPr>
        <w:rPr>
          <w:b/>
          <w:bCs/>
          <w:szCs w:val="24"/>
        </w:rPr>
      </w:pPr>
      <w:r w:rsidRPr="00BE69C3">
        <w:rPr>
          <w:b/>
          <w:bCs/>
          <w:szCs w:val="24"/>
        </w:rPr>
        <w:t>Item 4</w:t>
      </w:r>
      <w:r w:rsidR="00395A28" w:rsidRPr="00BE69C3">
        <w:rPr>
          <w:b/>
          <w:bCs/>
          <w:szCs w:val="24"/>
        </w:rPr>
        <w:t xml:space="preserve"> – Section 4</w:t>
      </w:r>
    </w:p>
    <w:p w14:paraId="2BAFE0C1" w14:textId="14F21E89" w:rsidR="00BA5B3E" w:rsidRPr="00BE69C3" w:rsidRDefault="00395A28" w:rsidP="00DF5AA1">
      <w:pPr>
        <w:rPr>
          <w:bCs/>
          <w:szCs w:val="24"/>
        </w:rPr>
      </w:pPr>
      <w:r w:rsidRPr="00BE69C3">
        <w:rPr>
          <w:bCs/>
          <w:szCs w:val="24"/>
        </w:rPr>
        <w:t>Item 3</w:t>
      </w:r>
      <w:r w:rsidR="00BA5B3E" w:rsidRPr="00BE69C3">
        <w:rPr>
          <w:bCs/>
          <w:szCs w:val="24"/>
        </w:rPr>
        <w:t xml:space="preserve"> amends section 4 of the </w:t>
      </w:r>
      <w:r w:rsidR="0064175B" w:rsidRPr="00BE69C3">
        <w:rPr>
          <w:bCs/>
          <w:szCs w:val="24"/>
        </w:rPr>
        <w:t>D</w:t>
      </w:r>
      <w:r w:rsidR="00BA5B3E" w:rsidRPr="00BE69C3">
        <w:rPr>
          <w:bCs/>
          <w:szCs w:val="24"/>
        </w:rPr>
        <w:t>etermi</w:t>
      </w:r>
      <w:r w:rsidRPr="00BE69C3">
        <w:rPr>
          <w:bCs/>
          <w:szCs w:val="24"/>
        </w:rPr>
        <w:t>nation to insert two</w:t>
      </w:r>
      <w:r w:rsidR="00BA5B3E" w:rsidRPr="00BE69C3">
        <w:rPr>
          <w:bCs/>
          <w:szCs w:val="24"/>
        </w:rPr>
        <w:t xml:space="preserve"> new definition</w:t>
      </w:r>
      <w:r w:rsidR="00D4052A" w:rsidRPr="00BE69C3">
        <w:rPr>
          <w:bCs/>
          <w:szCs w:val="24"/>
        </w:rPr>
        <w:t>s</w:t>
      </w:r>
      <w:r w:rsidR="00BA5B3E" w:rsidRPr="00BE69C3">
        <w:rPr>
          <w:bCs/>
          <w:szCs w:val="24"/>
        </w:rPr>
        <w:t xml:space="preserve"> for</w:t>
      </w:r>
      <w:r w:rsidRPr="00BE69C3">
        <w:rPr>
          <w:bCs/>
          <w:szCs w:val="24"/>
        </w:rPr>
        <w:t xml:space="preserve"> </w:t>
      </w:r>
      <w:r w:rsidRPr="00BE69C3">
        <w:rPr>
          <w:bCs/>
          <w:i/>
          <w:szCs w:val="24"/>
        </w:rPr>
        <w:t>Home Affairs employee</w:t>
      </w:r>
      <w:r w:rsidRPr="00BE69C3">
        <w:rPr>
          <w:bCs/>
          <w:szCs w:val="24"/>
        </w:rPr>
        <w:t xml:space="preserve"> and</w:t>
      </w:r>
      <w:r w:rsidR="00BA5B3E" w:rsidRPr="00BE69C3">
        <w:rPr>
          <w:bCs/>
          <w:szCs w:val="24"/>
        </w:rPr>
        <w:t xml:space="preserve"> </w:t>
      </w:r>
      <w:r w:rsidR="00BA5B3E" w:rsidRPr="00BE69C3">
        <w:rPr>
          <w:bCs/>
          <w:i/>
          <w:szCs w:val="24"/>
        </w:rPr>
        <w:t>Therapeutic Goods Administration</w:t>
      </w:r>
      <w:r w:rsidR="00BA5B3E" w:rsidRPr="00BE69C3">
        <w:rPr>
          <w:bCs/>
          <w:szCs w:val="24"/>
        </w:rPr>
        <w:t>.</w:t>
      </w:r>
    </w:p>
    <w:p w14:paraId="47E61048" w14:textId="48EA995B" w:rsidR="00395A28" w:rsidRPr="00BE69C3" w:rsidRDefault="00395A28" w:rsidP="00DF5AA1">
      <w:pPr>
        <w:rPr>
          <w:bCs/>
          <w:szCs w:val="24"/>
        </w:rPr>
      </w:pPr>
    </w:p>
    <w:p w14:paraId="6B0A1352" w14:textId="2019CF44" w:rsidR="00395A28" w:rsidRPr="00BE69C3" w:rsidRDefault="00395A28" w:rsidP="00DF5AA1">
      <w:pPr>
        <w:rPr>
          <w:bCs/>
          <w:szCs w:val="24"/>
        </w:rPr>
      </w:pPr>
      <w:r w:rsidRPr="00BE69C3">
        <w:rPr>
          <w:bCs/>
          <w:szCs w:val="24"/>
        </w:rPr>
        <w:t xml:space="preserve">The intention is to broaden the category of persons who will be able to check travellers’ vaccine certificates under the new subsection 6(4) and grant exemptions for exceptional circumstances under section 7, to </w:t>
      </w:r>
      <w:r w:rsidR="00A76209" w:rsidRPr="00BE69C3">
        <w:rPr>
          <w:bCs/>
          <w:szCs w:val="24"/>
        </w:rPr>
        <w:t>minimise</w:t>
      </w:r>
      <w:r w:rsidRPr="00BE69C3">
        <w:rPr>
          <w:bCs/>
          <w:szCs w:val="24"/>
        </w:rPr>
        <w:t xml:space="preserve"> the administrative burden on the Australian Border Force and its employees. </w:t>
      </w:r>
    </w:p>
    <w:p w14:paraId="393636F2" w14:textId="77777777" w:rsidR="00B02085" w:rsidRPr="00BE69C3" w:rsidRDefault="00B02085" w:rsidP="009F5CA1">
      <w:pPr>
        <w:rPr>
          <w:b/>
          <w:szCs w:val="24"/>
        </w:rPr>
      </w:pPr>
    </w:p>
    <w:p w14:paraId="6FE6B17C" w14:textId="0A328F2A" w:rsidR="006B4A7C" w:rsidRPr="00BE69C3" w:rsidRDefault="00A26508" w:rsidP="009F5CA1">
      <w:pPr>
        <w:rPr>
          <w:b/>
          <w:szCs w:val="24"/>
        </w:rPr>
      </w:pPr>
      <w:r w:rsidRPr="00BE69C3">
        <w:rPr>
          <w:b/>
          <w:szCs w:val="24"/>
        </w:rPr>
        <w:t>Item 5</w:t>
      </w:r>
      <w:r w:rsidR="00BF3865" w:rsidRPr="00BE69C3">
        <w:rPr>
          <w:b/>
          <w:szCs w:val="24"/>
        </w:rPr>
        <w:t xml:space="preserve"> – </w:t>
      </w:r>
      <w:r w:rsidR="00BA5B3E" w:rsidRPr="00BE69C3">
        <w:rPr>
          <w:b/>
          <w:szCs w:val="24"/>
        </w:rPr>
        <w:t>At the end of section 6</w:t>
      </w:r>
    </w:p>
    <w:p w14:paraId="1A93A357" w14:textId="1718F3D8" w:rsidR="00BA5B3E" w:rsidRPr="00BE69C3" w:rsidRDefault="00860273" w:rsidP="009F5CA1">
      <w:pPr>
        <w:rPr>
          <w:szCs w:val="24"/>
        </w:rPr>
      </w:pPr>
      <w:r w:rsidRPr="00BE69C3">
        <w:rPr>
          <w:szCs w:val="24"/>
        </w:rPr>
        <w:t>Item 5</w:t>
      </w:r>
      <w:r w:rsidR="0064175B" w:rsidRPr="00BE69C3">
        <w:rPr>
          <w:szCs w:val="24"/>
        </w:rPr>
        <w:t xml:space="preserve"> adds a new subsection </w:t>
      </w:r>
      <w:r w:rsidR="003039C7" w:rsidRPr="00BE69C3">
        <w:rPr>
          <w:szCs w:val="24"/>
        </w:rPr>
        <w:t>6(4) in</w:t>
      </w:r>
      <w:r w:rsidR="0064175B" w:rsidRPr="00BE69C3">
        <w:rPr>
          <w:szCs w:val="24"/>
        </w:rPr>
        <w:t xml:space="preserve"> the Determination. New subsection 6(4) provides </w:t>
      </w:r>
      <w:r w:rsidR="00580894" w:rsidRPr="00BE69C3">
        <w:rPr>
          <w:szCs w:val="24"/>
        </w:rPr>
        <w:t>a</w:t>
      </w:r>
      <w:r w:rsidR="0074065A" w:rsidRPr="00BE69C3">
        <w:rPr>
          <w:szCs w:val="24"/>
        </w:rPr>
        <w:t xml:space="preserve"> new</w:t>
      </w:r>
      <w:r w:rsidR="00580894" w:rsidRPr="00BE69C3">
        <w:rPr>
          <w:szCs w:val="24"/>
        </w:rPr>
        <w:t xml:space="preserve"> automatic </w:t>
      </w:r>
      <w:r w:rsidR="0074065A" w:rsidRPr="00BE69C3">
        <w:rPr>
          <w:szCs w:val="24"/>
        </w:rPr>
        <w:t>exception to the requirements in section 5 that a person can leave Australian territory as a passenger on an outgoing aircraft or vessel if tha</w:t>
      </w:r>
      <w:r w:rsidR="00692F59" w:rsidRPr="00BE69C3">
        <w:rPr>
          <w:szCs w:val="24"/>
        </w:rPr>
        <w:t>t person has received all required COVID-19 vaccinations with a vaccine that is</w:t>
      </w:r>
      <w:r w:rsidR="006B1CB4" w:rsidRPr="00BE69C3">
        <w:rPr>
          <w:szCs w:val="24"/>
        </w:rPr>
        <w:t xml:space="preserve"> registered on the Australian Register of Therapeutic Goods or</w:t>
      </w:r>
      <w:r w:rsidR="00692F59" w:rsidRPr="00BE69C3">
        <w:rPr>
          <w:szCs w:val="24"/>
        </w:rPr>
        <w:t xml:space="preserve"> </w:t>
      </w:r>
      <w:r w:rsidR="007F682A" w:rsidRPr="00BE69C3">
        <w:rPr>
          <w:szCs w:val="24"/>
        </w:rPr>
        <w:t>recognised</w:t>
      </w:r>
      <w:r w:rsidR="00051122" w:rsidRPr="00BE69C3">
        <w:rPr>
          <w:szCs w:val="24"/>
        </w:rPr>
        <w:t xml:space="preserve"> by the Therapeutic Goods Administration (for example, the person has received the required two doses of the Pfizer vaccination). </w:t>
      </w:r>
    </w:p>
    <w:p w14:paraId="54BD8F74" w14:textId="11F8AADF" w:rsidR="00051122" w:rsidRPr="00BE69C3" w:rsidRDefault="00051122" w:rsidP="009F5CA1">
      <w:pPr>
        <w:rPr>
          <w:szCs w:val="24"/>
        </w:rPr>
      </w:pPr>
    </w:p>
    <w:p w14:paraId="060B850A" w14:textId="77777777" w:rsidR="00841CD1" w:rsidRPr="00BE69C3" w:rsidRDefault="00051122" w:rsidP="009F5CA1">
      <w:pPr>
        <w:rPr>
          <w:szCs w:val="24"/>
        </w:rPr>
      </w:pPr>
      <w:r w:rsidRPr="00BE69C3">
        <w:rPr>
          <w:szCs w:val="24"/>
        </w:rPr>
        <w:t>New subsection 6(4) also requires the person to have bee</w:t>
      </w:r>
      <w:r w:rsidR="00841CD1" w:rsidRPr="00BE69C3">
        <w:rPr>
          <w:szCs w:val="24"/>
        </w:rPr>
        <w:t>n fully vaccinated at least 7</w:t>
      </w:r>
      <w:r w:rsidRPr="00BE69C3">
        <w:rPr>
          <w:szCs w:val="24"/>
        </w:rPr>
        <w:t xml:space="preserve"> days before the</w:t>
      </w:r>
      <w:r w:rsidR="00841CD1" w:rsidRPr="00BE69C3">
        <w:rPr>
          <w:szCs w:val="24"/>
        </w:rPr>
        <w:t xml:space="preserve"> day the person’s flight or voyage of the outgoing aircraft or vessel is scheduled to depart Australian territory. </w:t>
      </w:r>
    </w:p>
    <w:p w14:paraId="7EC140DA" w14:textId="77777777" w:rsidR="00841CD1" w:rsidRPr="00BE69C3" w:rsidRDefault="00841CD1" w:rsidP="009F5CA1">
      <w:pPr>
        <w:rPr>
          <w:szCs w:val="24"/>
        </w:rPr>
      </w:pPr>
    </w:p>
    <w:p w14:paraId="49464EBD" w14:textId="6EF4E353" w:rsidR="0074065A" w:rsidRPr="00BE69C3" w:rsidRDefault="00841CD1" w:rsidP="009F5CA1">
      <w:pPr>
        <w:rPr>
          <w:szCs w:val="24"/>
        </w:rPr>
      </w:pPr>
      <w:r w:rsidRPr="00BE69C3">
        <w:rPr>
          <w:szCs w:val="24"/>
        </w:rPr>
        <w:t xml:space="preserve">The person departing Australian territory must </w:t>
      </w:r>
      <w:r w:rsidR="00574715" w:rsidRPr="00BE69C3">
        <w:rPr>
          <w:szCs w:val="24"/>
        </w:rPr>
        <w:t>carry proof of being fully vaccinated</w:t>
      </w:r>
      <w:r w:rsidR="00A26508" w:rsidRPr="00BE69C3">
        <w:rPr>
          <w:szCs w:val="24"/>
        </w:rPr>
        <w:t>,</w:t>
      </w:r>
      <w:r w:rsidR="00574715" w:rsidRPr="00BE69C3">
        <w:rPr>
          <w:szCs w:val="24"/>
        </w:rPr>
        <w:t xml:space="preserve"> and present this proof to an employee of the Australian Government </w:t>
      </w:r>
      <w:r w:rsidR="00177583" w:rsidRPr="00BE69C3">
        <w:rPr>
          <w:szCs w:val="24"/>
        </w:rPr>
        <w:t>Department of Home Affairs</w:t>
      </w:r>
      <w:r w:rsidR="00574715" w:rsidRPr="00BE69C3">
        <w:rPr>
          <w:szCs w:val="24"/>
        </w:rPr>
        <w:t xml:space="preserve">, if requested to do so by the </w:t>
      </w:r>
      <w:r w:rsidR="00BD44F9" w:rsidRPr="00BE69C3">
        <w:rPr>
          <w:szCs w:val="24"/>
        </w:rPr>
        <w:t>Home Affairs employee</w:t>
      </w:r>
      <w:r w:rsidR="00A26508" w:rsidRPr="00BE69C3">
        <w:rPr>
          <w:szCs w:val="24"/>
        </w:rPr>
        <w:t>, or to a staff member of the aircraft or vessel if requested by them</w:t>
      </w:r>
      <w:r w:rsidR="00BD44F9" w:rsidRPr="00BE69C3">
        <w:rPr>
          <w:szCs w:val="24"/>
        </w:rPr>
        <w:t>.</w:t>
      </w:r>
      <w:r w:rsidR="00574715" w:rsidRPr="00BE69C3">
        <w:rPr>
          <w:szCs w:val="24"/>
        </w:rPr>
        <w:t xml:space="preserve"> </w:t>
      </w:r>
    </w:p>
    <w:p w14:paraId="5A887BBF" w14:textId="1FBB8682" w:rsidR="00912D85" w:rsidRPr="00BE69C3" w:rsidRDefault="00912D85" w:rsidP="009F5CA1">
      <w:pPr>
        <w:rPr>
          <w:szCs w:val="24"/>
        </w:rPr>
      </w:pPr>
    </w:p>
    <w:p w14:paraId="1A4E4D1B" w14:textId="77777777" w:rsidR="00A26508" w:rsidRPr="00BE69C3" w:rsidRDefault="00A26508">
      <w:pPr>
        <w:rPr>
          <w:b/>
          <w:szCs w:val="24"/>
        </w:rPr>
      </w:pPr>
      <w:r w:rsidRPr="00BE69C3">
        <w:rPr>
          <w:b/>
          <w:szCs w:val="24"/>
        </w:rPr>
        <w:br w:type="page"/>
      </w:r>
    </w:p>
    <w:p w14:paraId="56B3988A" w14:textId="6E7FBC90" w:rsidR="00BD44F9" w:rsidRPr="00BE69C3" w:rsidRDefault="00860273" w:rsidP="009F5CA1">
      <w:pPr>
        <w:rPr>
          <w:b/>
          <w:szCs w:val="24"/>
        </w:rPr>
      </w:pPr>
      <w:r w:rsidRPr="00BE69C3">
        <w:rPr>
          <w:b/>
          <w:szCs w:val="24"/>
        </w:rPr>
        <w:lastRenderedPageBreak/>
        <w:t>Item 6</w:t>
      </w:r>
      <w:r w:rsidR="00BD44F9" w:rsidRPr="00BE69C3">
        <w:rPr>
          <w:b/>
          <w:szCs w:val="24"/>
        </w:rPr>
        <w:t xml:space="preserve"> – Subsection 7(1)</w:t>
      </w:r>
    </w:p>
    <w:p w14:paraId="1347E997" w14:textId="6B2DA074" w:rsidR="00BD44F9" w:rsidRPr="00BE69C3" w:rsidRDefault="00860273" w:rsidP="009F5CA1">
      <w:pPr>
        <w:rPr>
          <w:szCs w:val="24"/>
        </w:rPr>
      </w:pPr>
      <w:r w:rsidRPr="00BE69C3">
        <w:rPr>
          <w:szCs w:val="24"/>
        </w:rPr>
        <w:t>Item 6</w:t>
      </w:r>
      <w:r w:rsidR="009C510B" w:rsidRPr="00BE69C3">
        <w:rPr>
          <w:szCs w:val="24"/>
        </w:rPr>
        <w:t xml:space="preserve"> amends subsection 7(1) of the Determination to</w:t>
      </w:r>
      <w:r w:rsidR="00BD44F9" w:rsidRPr="00BE69C3">
        <w:rPr>
          <w:szCs w:val="24"/>
        </w:rPr>
        <w:t xml:space="preserve"> </w:t>
      </w:r>
      <w:r w:rsidR="009C510B" w:rsidRPr="00BE69C3">
        <w:rPr>
          <w:szCs w:val="24"/>
        </w:rPr>
        <w:t>omit</w:t>
      </w:r>
      <w:r w:rsidR="00BD44F9" w:rsidRPr="00BE69C3">
        <w:rPr>
          <w:szCs w:val="24"/>
        </w:rPr>
        <w:t xml:space="preserve"> the words “</w:t>
      </w:r>
      <w:r w:rsidR="009C510B" w:rsidRPr="00BE69C3">
        <w:rPr>
          <w:szCs w:val="24"/>
        </w:rPr>
        <w:t>Australian Border For</w:t>
      </w:r>
      <w:r w:rsidR="00A659AC" w:rsidRPr="00BE69C3">
        <w:rPr>
          <w:szCs w:val="24"/>
        </w:rPr>
        <w:t>ce</w:t>
      </w:r>
      <w:r w:rsidR="009C510B" w:rsidRPr="00BE69C3">
        <w:rPr>
          <w:szCs w:val="24"/>
        </w:rPr>
        <w:t xml:space="preserve"> employee” and substitute</w:t>
      </w:r>
      <w:r w:rsidR="00BD44F9" w:rsidRPr="00BE69C3">
        <w:rPr>
          <w:szCs w:val="24"/>
        </w:rPr>
        <w:t xml:space="preserve"> the words </w:t>
      </w:r>
      <w:r w:rsidR="009C510B" w:rsidRPr="00BE69C3">
        <w:rPr>
          <w:szCs w:val="24"/>
        </w:rPr>
        <w:t>“a Home Affairs employee</w:t>
      </w:r>
      <w:r w:rsidR="00BD44F9" w:rsidRPr="00BE69C3">
        <w:rPr>
          <w:szCs w:val="24"/>
        </w:rPr>
        <w:t>”.</w:t>
      </w:r>
    </w:p>
    <w:p w14:paraId="306AA2E1" w14:textId="77777777" w:rsidR="00BD44F9" w:rsidRPr="00BE69C3" w:rsidRDefault="00BD44F9" w:rsidP="009F5CA1">
      <w:pPr>
        <w:rPr>
          <w:szCs w:val="24"/>
        </w:rPr>
      </w:pPr>
    </w:p>
    <w:p w14:paraId="50EE88C1" w14:textId="2D7ECE3A" w:rsidR="00912D85" w:rsidRPr="00BE69C3" w:rsidRDefault="00860273" w:rsidP="009F5CA1">
      <w:pPr>
        <w:rPr>
          <w:b/>
          <w:szCs w:val="24"/>
        </w:rPr>
      </w:pPr>
      <w:r w:rsidRPr="00BE69C3">
        <w:rPr>
          <w:b/>
          <w:szCs w:val="24"/>
        </w:rPr>
        <w:t>Item 7</w:t>
      </w:r>
      <w:r w:rsidR="00912D85" w:rsidRPr="00BE69C3">
        <w:rPr>
          <w:b/>
          <w:szCs w:val="24"/>
        </w:rPr>
        <w:t xml:space="preserve"> – At the end of section 7</w:t>
      </w:r>
    </w:p>
    <w:p w14:paraId="050C7673" w14:textId="27B49A9D" w:rsidR="004C7B16" w:rsidRPr="00BE69C3" w:rsidRDefault="00860273" w:rsidP="007F682A">
      <w:r w:rsidRPr="00BE69C3">
        <w:t>Item 7</w:t>
      </w:r>
      <w:r w:rsidR="00771371" w:rsidRPr="00BE69C3">
        <w:t xml:space="preserve"> adds</w:t>
      </w:r>
      <w:r w:rsidR="003039C7" w:rsidRPr="00BE69C3">
        <w:t xml:space="preserve"> new subsection</w:t>
      </w:r>
      <w:r w:rsidR="00771371" w:rsidRPr="00BE69C3">
        <w:t>s</w:t>
      </w:r>
      <w:r w:rsidR="003039C7" w:rsidRPr="00BE69C3">
        <w:t xml:space="preserve"> 7(</w:t>
      </w:r>
      <w:r w:rsidR="007F682A" w:rsidRPr="00BE69C3">
        <w:t>4</w:t>
      </w:r>
      <w:r w:rsidR="003039C7" w:rsidRPr="00BE69C3">
        <w:t>)</w:t>
      </w:r>
      <w:r w:rsidR="00771371" w:rsidRPr="00BE69C3">
        <w:t xml:space="preserve"> and 7(5)</w:t>
      </w:r>
      <w:r w:rsidR="003039C7" w:rsidRPr="00BE69C3">
        <w:t xml:space="preserve"> in the Determination. New subsection 7(</w:t>
      </w:r>
      <w:r w:rsidR="007F682A" w:rsidRPr="00BE69C3">
        <w:t>4</w:t>
      </w:r>
      <w:r w:rsidR="003039C7" w:rsidRPr="00BE69C3">
        <w:t>)</w:t>
      </w:r>
      <w:r w:rsidR="007F682A" w:rsidRPr="00BE69C3">
        <w:t xml:space="preserve"> provides </w:t>
      </w:r>
      <w:r w:rsidR="004C7B16" w:rsidRPr="00BE69C3">
        <w:t xml:space="preserve">that if an exemption is granted to a person who is under the age of 12 on the day of the flight or voyage of the outgoing aircraft or vessel is scheduled to commence, it does not need to be made in writing. </w:t>
      </w:r>
    </w:p>
    <w:p w14:paraId="6AB19043" w14:textId="77777777" w:rsidR="004C7B16" w:rsidRPr="00BE69C3" w:rsidRDefault="004C7B16" w:rsidP="007F682A"/>
    <w:p w14:paraId="7FC12DB5" w14:textId="01578A89" w:rsidR="00233A32" w:rsidRPr="00BE69C3" w:rsidRDefault="00771371" w:rsidP="007F682A">
      <w:pPr>
        <w:rPr>
          <w:szCs w:val="24"/>
        </w:rPr>
      </w:pPr>
      <w:r w:rsidRPr="00BE69C3">
        <w:rPr>
          <w:szCs w:val="24"/>
        </w:rPr>
        <w:t xml:space="preserve">New subsection 7(5) provides an </w:t>
      </w:r>
      <w:r w:rsidR="00883A55" w:rsidRPr="00BE69C3">
        <w:rPr>
          <w:szCs w:val="24"/>
        </w:rPr>
        <w:t>exception</w:t>
      </w:r>
      <w:r w:rsidRPr="00BE69C3">
        <w:rPr>
          <w:szCs w:val="24"/>
        </w:rPr>
        <w:t xml:space="preserve"> to the requirements in subsection 7(3) for a</w:t>
      </w:r>
      <w:r w:rsidR="00AC4001" w:rsidRPr="00BE69C3">
        <w:rPr>
          <w:szCs w:val="24"/>
        </w:rPr>
        <w:t>n exemption to be made in writing for</w:t>
      </w:r>
      <w:r w:rsidRPr="00BE69C3">
        <w:rPr>
          <w:szCs w:val="24"/>
        </w:rPr>
        <w:t xml:space="preserve"> </w:t>
      </w:r>
      <w:r w:rsidR="004C7B16" w:rsidRPr="00BE69C3">
        <w:rPr>
          <w:szCs w:val="24"/>
        </w:rPr>
        <w:t xml:space="preserve">a </w:t>
      </w:r>
      <w:r w:rsidRPr="00BE69C3">
        <w:rPr>
          <w:szCs w:val="24"/>
        </w:rPr>
        <w:t xml:space="preserve">person who is registered on the Australian Immunisation Register and who has a medical contraindication to COVID-19 vaccines. </w:t>
      </w:r>
      <w:r w:rsidR="00233A32" w:rsidRPr="00BE69C3">
        <w:rPr>
          <w:szCs w:val="24"/>
        </w:rPr>
        <w:t xml:space="preserve">The person must be carrying evidence of their medical contraindication to COVID-19 vaccines and present this to an employee of the Australian Government Department of Home Affairs if requested to do so. </w:t>
      </w:r>
    </w:p>
    <w:p w14:paraId="17482BFC" w14:textId="5775B2C3" w:rsidR="00860273" w:rsidRPr="00BE69C3" w:rsidRDefault="00860273" w:rsidP="007F682A">
      <w:pPr>
        <w:rPr>
          <w:szCs w:val="24"/>
        </w:rPr>
      </w:pPr>
    </w:p>
    <w:p w14:paraId="5957C48C" w14:textId="09293FB9" w:rsidR="00860273" w:rsidRDefault="00860273" w:rsidP="007F682A">
      <w:pPr>
        <w:rPr>
          <w:szCs w:val="24"/>
        </w:rPr>
      </w:pPr>
      <w:r w:rsidRPr="00BE69C3">
        <w:rPr>
          <w:szCs w:val="24"/>
        </w:rPr>
        <w:t xml:space="preserve">New subsection 7(5) includes a note to refer to paragraph 9(c)(ii) of the </w:t>
      </w:r>
      <w:r w:rsidRPr="00BE69C3">
        <w:rPr>
          <w:i/>
          <w:szCs w:val="24"/>
        </w:rPr>
        <w:t>Australian Immunisation Register Act 2015</w:t>
      </w:r>
      <w:r w:rsidRPr="00BE69C3">
        <w:rPr>
          <w:szCs w:val="24"/>
        </w:rPr>
        <w:t xml:space="preserve"> in relation to persons who are medically contraindicated.</w:t>
      </w:r>
      <w:r>
        <w:rPr>
          <w:szCs w:val="24"/>
        </w:rPr>
        <w:t xml:space="preserve"> </w:t>
      </w:r>
    </w:p>
    <w:p w14:paraId="2E971A04" w14:textId="521DA9B2" w:rsidR="00986B5C" w:rsidRDefault="00986B5C" w:rsidP="00B20D65">
      <w:pPr>
        <w:tabs>
          <w:tab w:val="left" w:pos="5131"/>
        </w:tabs>
      </w:pPr>
    </w:p>
    <w:p w14:paraId="5703E49C" w14:textId="77777777" w:rsidR="00666546" w:rsidRPr="00B20D65" w:rsidRDefault="00666546" w:rsidP="00B20D65">
      <w:pPr>
        <w:tabs>
          <w:tab w:val="left" w:pos="5131"/>
        </w:tabs>
      </w:pPr>
    </w:p>
    <w:sectPr w:rsidR="00666546" w:rsidRPr="00B20D65" w:rsidSect="00C31B7C">
      <w:footerReference w:type="default" r:id="rId8"/>
      <w:pgSz w:w="11906" w:h="16838" w:code="9"/>
      <w:pgMar w:top="1134"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72B8F" w14:textId="77777777" w:rsidR="00EE177A" w:rsidRDefault="00EE177A" w:rsidP="006C63B1">
      <w:r>
        <w:separator/>
      </w:r>
    </w:p>
  </w:endnote>
  <w:endnote w:type="continuationSeparator" w:id="0">
    <w:p w14:paraId="72E8798B" w14:textId="77777777" w:rsidR="00EE177A" w:rsidRDefault="00EE177A" w:rsidP="006C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CF3E3" w14:textId="653EFCA1" w:rsidR="00EE0452" w:rsidRPr="00EE0452" w:rsidRDefault="00EE0452">
    <w:pPr>
      <w:pStyle w:val="Footer"/>
      <w:jc w:val="center"/>
      <w:rPr>
        <w:sz w:val="20"/>
      </w:rPr>
    </w:pPr>
    <w:r w:rsidRPr="00EE0452">
      <w:rPr>
        <w:sz w:val="20"/>
      </w:rPr>
      <w:fldChar w:fldCharType="begin"/>
    </w:r>
    <w:r w:rsidRPr="00EE0452">
      <w:rPr>
        <w:sz w:val="20"/>
      </w:rPr>
      <w:instrText xml:space="preserve"> PAGE   \* MERGEFORMAT </w:instrText>
    </w:r>
    <w:r w:rsidRPr="00EE0452">
      <w:rPr>
        <w:sz w:val="20"/>
      </w:rPr>
      <w:fldChar w:fldCharType="separate"/>
    </w:r>
    <w:r w:rsidR="0059754E">
      <w:rPr>
        <w:noProof/>
        <w:sz w:val="20"/>
      </w:rPr>
      <w:t>7</w:t>
    </w:r>
    <w:r w:rsidRPr="00EE0452">
      <w:rPr>
        <w:noProof/>
        <w:sz w:val="20"/>
      </w:rPr>
      <w:fldChar w:fldCharType="end"/>
    </w:r>
  </w:p>
  <w:p w14:paraId="6054FCD7" w14:textId="77777777" w:rsidR="00EE0452" w:rsidRDefault="00EE0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CA88F" w14:textId="77777777" w:rsidR="00EE177A" w:rsidRDefault="00EE177A" w:rsidP="006C63B1">
      <w:r>
        <w:separator/>
      </w:r>
    </w:p>
  </w:footnote>
  <w:footnote w:type="continuationSeparator" w:id="0">
    <w:p w14:paraId="433F2968" w14:textId="77777777" w:rsidR="00EE177A" w:rsidRDefault="00EE177A" w:rsidP="006C6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87936DB"/>
    <w:multiLevelType w:val="hybridMultilevel"/>
    <w:tmpl w:val="777C68E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8B94023"/>
    <w:multiLevelType w:val="hybridMultilevel"/>
    <w:tmpl w:val="7020F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ED65C9"/>
    <w:multiLevelType w:val="hybridMultilevel"/>
    <w:tmpl w:val="BEF44F9A"/>
    <w:lvl w:ilvl="0" w:tplc="35905E30">
      <w:start w:val="4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D2706F"/>
    <w:multiLevelType w:val="multilevel"/>
    <w:tmpl w:val="D3120E10"/>
    <w:lvl w:ilvl="0">
      <w:start w:val="1"/>
      <w:numFmt w:val="decimal"/>
      <w:pStyle w:val="3Bodyparagraph"/>
      <w:lvlText w:val="%1."/>
      <w:lvlJc w:val="left"/>
      <w:pPr>
        <w:ind w:left="1080" w:hanging="360"/>
      </w:pPr>
    </w:lvl>
    <w:lvl w:ilvl="1">
      <w:start w:val="1"/>
      <w:numFmt w:val="lowerLetter"/>
      <w:pStyle w:val="4Subparagrapha"/>
      <w:lvlText w:val="(%2)"/>
      <w:lvlJc w:val="left"/>
      <w:pPr>
        <w:ind w:left="1512" w:hanging="432"/>
      </w:pPr>
    </w:lvl>
    <w:lvl w:ilvl="2">
      <w:start w:val="1"/>
      <w:numFmt w:val="lowerRoman"/>
      <w:pStyle w:val="5Subparagraphi"/>
      <w:lvlText w:val="(%3)"/>
      <w:lvlJc w:val="left"/>
      <w:pPr>
        <w:ind w:left="1944" w:hanging="504"/>
      </w:pPr>
    </w:lvl>
    <w:lvl w:ilvl="3">
      <w:start w:val="1"/>
      <w:numFmt w:val="lowerRoman"/>
      <w:lvlText w:val="(%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1214472F"/>
    <w:multiLevelType w:val="hybridMultilevel"/>
    <w:tmpl w:val="CAD0316C"/>
    <w:lvl w:ilvl="0" w:tplc="AE5C7BB8">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A72BED"/>
    <w:multiLevelType w:val="hybridMultilevel"/>
    <w:tmpl w:val="33FCBDCA"/>
    <w:lvl w:ilvl="0" w:tplc="54D61E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EF2064"/>
    <w:multiLevelType w:val="hybridMultilevel"/>
    <w:tmpl w:val="EAECF7E6"/>
    <w:lvl w:ilvl="0" w:tplc="8AB264D0">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DA02F6"/>
    <w:multiLevelType w:val="hybridMultilevel"/>
    <w:tmpl w:val="72B4D4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FB5212"/>
    <w:multiLevelType w:val="hybridMultilevel"/>
    <w:tmpl w:val="510A6F04"/>
    <w:lvl w:ilvl="0" w:tplc="AE626B7E">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210907"/>
    <w:multiLevelType w:val="hybridMultilevel"/>
    <w:tmpl w:val="F6CED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7110DD"/>
    <w:multiLevelType w:val="hybridMultilevel"/>
    <w:tmpl w:val="B8EE3C7C"/>
    <w:lvl w:ilvl="0" w:tplc="8F9E2E42">
      <w:start w:val="1"/>
      <w:numFmt w:val="decimal"/>
      <w:lvlText w:val="%1."/>
      <w:lvlJc w:val="left"/>
      <w:pPr>
        <w:ind w:left="360" w:hanging="360"/>
      </w:pPr>
      <w:rPr>
        <w:rFonts w:hint="default"/>
      </w:rPr>
    </w:lvl>
    <w:lvl w:ilvl="1" w:tplc="E6E8E7CE">
      <w:start w:val="1"/>
      <w:numFmt w:val="lowerLetter"/>
      <w:lvlText w:val="%2."/>
      <w:lvlJc w:val="left"/>
      <w:pPr>
        <w:ind w:left="1440" w:hanging="360"/>
      </w:pPr>
    </w:lvl>
    <w:lvl w:ilvl="2" w:tplc="4B58D3DC" w:tentative="1">
      <w:start w:val="1"/>
      <w:numFmt w:val="lowerRoman"/>
      <w:lvlText w:val="%3."/>
      <w:lvlJc w:val="right"/>
      <w:pPr>
        <w:ind w:left="2160" w:hanging="180"/>
      </w:pPr>
    </w:lvl>
    <w:lvl w:ilvl="3" w:tplc="5B900778" w:tentative="1">
      <w:start w:val="1"/>
      <w:numFmt w:val="decimal"/>
      <w:lvlText w:val="%4."/>
      <w:lvlJc w:val="left"/>
      <w:pPr>
        <w:ind w:left="2880" w:hanging="360"/>
      </w:pPr>
    </w:lvl>
    <w:lvl w:ilvl="4" w:tplc="FCDC1452" w:tentative="1">
      <w:start w:val="1"/>
      <w:numFmt w:val="lowerLetter"/>
      <w:lvlText w:val="%5."/>
      <w:lvlJc w:val="left"/>
      <w:pPr>
        <w:ind w:left="3600" w:hanging="360"/>
      </w:pPr>
    </w:lvl>
    <w:lvl w:ilvl="5" w:tplc="DF462540" w:tentative="1">
      <w:start w:val="1"/>
      <w:numFmt w:val="lowerRoman"/>
      <w:lvlText w:val="%6."/>
      <w:lvlJc w:val="right"/>
      <w:pPr>
        <w:ind w:left="4320" w:hanging="180"/>
      </w:pPr>
    </w:lvl>
    <w:lvl w:ilvl="6" w:tplc="655E27D6" w:tentative="1">
      <w:start w:val="1"/>
      <w:numFmt w:val="decimal"/>
      <w:lvlText w:val="%7."/>
      <w:lvlJc w:val="left"/>
      <w:pPr>
        <w:ind w:left="5040" w:hanging="360"/>
      </w:pPr>
    </w:lvl>
    <w:lvl w:ilvl="7" w:tplc="9BD269FC" w:tentative="1">
      <w:start w:val="1"/>
      <w:numFmt w:val="lowerLetter"/>
      <w:lvlText w:val="%8."/>
      <w:lvlJc w:val="left"/>
      <w:pPr>
        <w:ind w:left="5760" w:hanging="360"/>
      </w:pPr>
    </w:lvl>
    <w:lvl w:ilvl="8" w:tplc="4AB8040E" w:tentative="1">
      <w:start w:val="1"/>
      <w:numFmt w:val="lowerRoman"/>
      <w:lvlText w:val="%9."/>
      <w:lvlJc w:val="right"/>
      <w:pPr>
        <w:ind w:left="6480" w:hanging="180"/>
      </w:pPr>
    </w:lvl>
  </w:abstractNum>
  <w:abstractNum w:abstractNumId="12" w15:restartNumberingAfterBreak="0">
    <w:nsid w:val="1F745BC2"/>
    <w:multiLevelType w:val="multilevel"/>
    <w:tmpl w:val="E5E89F92"/>
    <w:numStyleLink w:val="BulletList"/>
  </w:abstractNum>
  <w:abstractNum w:abstractNumId="13" w15:restartNumberingAfterBreak="0">
    <w:nsid w:val="204A78C2"/>
    <w:multiLevelType w:val="hybridMultilevel"/>
    <w:tmpl w:val="45FC42E2"/>
    <w:lvl w:ilvl="0" w:tplc="A8E84354">
      <w:start w:val="1"/>
      <w:numFmt w:val="decimal"/>
      <w:lvlText w:val="%1"/>
      <w:lvlJc w:val="left"/>
      <w:pPr>
        <w:tabs>
          <w:tab w:val="num" w:pos="1080"/>
        </w:tabs>
        <w:ind w:left="1080" w:hanging="72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B3347D"/>
    <w:multiLevelType w:val="hybridMultilevel"/>
    <w:tmpl w:val="3E4C55C6"/>
    <w:lvl w:ilvl="0" w:tplc="3684C51C">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6" w15:restartNumberingAfterBreak="0">
    <w:nsid w:val="28A34184"/>
    <w:multiLevelType w:val="hybridMultilevel"/>
    <w:tmpl w:val="0A2C9B22"/>
    <w:lvl w:ilvl="0" w:tplc="2DAEF442">
      <w:start w:val="1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2A913514"/>
    <w:multiLevelType w:val="hybridMultilevel"/>
    <w:tmpl w:val="16B45982"/>
    <w:lvl w:ilvl="0" w:tplc="31C848AE">
      <w:start w:val="1"/>
      <w:numFmt w:val="bullet"/>
      <w:lvlText w:val=""/>
      <w:lvlJc w:val="left"/>
      <w:pPr>
        <w:ind w:left="720" w:hanging="360"/>
      </w:pPr>
      <w:rPr>
        <w:rFonts w:ascii="Symbol" w:hAnsi="Symbol" w:hint="default"/>
        <w:u w:val="no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F52D99"/>
    <w:multiLevelType w:val="hybridMultilevel"/>
    <w:tmpl w:val="08005A30"/>
    <w:lvl w:ilvl="0" w:tplc="A8E84354">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9A7A03"/>
    <w:multiLevelType w:val="hybridMultilevel"/>
    <w:tmpl w:val="49AA8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7C2E01"/>
    <w:multiLevelType w:val="hybridMultilevel"/>
    <w:tmpl w:val="FA3A20AA"/>
    <w:lvl w:ilvl="0" w:tplc="0C090001">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22" w15:restartNumberingAfterBreak="0">
    <w:nsid w:val="331E3768"/>
    <w:multiLevelType w:val="hybridMultilevel"/>
    <w:tmpl w:val="7478B870"/>
    <w:lvl w:ilvl="0" w:tplc="00BA252C">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532F2C"/>
    <w:multiLevelType w:val="hybridMultilevel"/>
    <w:tmpl w:val="D00AC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521380"/>
    <w:multiLevelType w:val="hybridMultilevel"/>
    <w:tmpl w:val="8AFED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BB4575"/>
    <w:multiLevelType w:val="multilevel"/>
    <w:tmpl w:val="B9385130"/>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0750591"/>
    <w:multiLevelType w:val="hybridMultilevel"/>
    <w:tmpl w:val="82964E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A16485"/>
    <w:multiLevelType w:val="hybridMultilevel"/>
    <w:tmpl w:val="737E2B4E"/>
    <w:lvl w:ilvl="0" w:tplc="21340A6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AF02C15"/>
    <w:multiLevelType w:val="hybridMultilevel"/>
    <w:tmpl w:val="C95083B8"/>
    <w:lvl w:ilvl="0" w:tplc="AA4E10F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BAB12FF"/>
    <w:multiLevelType w:val="hybridMultilevel"/>
    <w:tmpl w:val="DE96A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6834F6"/>
    <w:multiLevelType w:val="multilevel"/>
    <w:tmpl w:val="389E678C"/>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502309EF"/>
    <w:multiLevelType w:val="hybridMultilevel"/>
    <w:tmpl w:val="8CCA95CC"/>
    <w:lvl w:ilvl="0" w:tplc="28F47E02">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5043890"/>
    <w:multiLevelType w:val="hybridMultilevel"/>
    <w:tmpl w:val="6A5CA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53407A"/>
    <w:multiLevelType w:val="hybridMultilevel"/>
    <w:tmpl w:val="45FC42E2"/>
    <w:lvl w:ilvl="0" w:tplc="A8E84354">
      <w:start w:val="1"/>
      <w:numFmt w:val="decimal"/>
      <w:lvlText w:val="%1"/>
      <w:lvlJc w:val="left"/>
      <w:pPr>
        <w:tabs>
          <w:tab w:val="num" w:pos="1080"/>
        </w:tabs>
        <w:ind w:left="1080" w:hanging="72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A233FDA"/>
    <w:multiLevelType w:val="hybridMultilevel"/>
    <w:tmpl w:val="B008AC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FB16D2"/>
    <w:multiLevelType w:val="hybridMultilevel"/>
    <w:tmpl w:val="7EDACDBC"/>
    <w:lvl w:ilvl="0" w:tplc="ED1E1E3C">
      <w:start w:val="1"/>
      <w:numFmt w:val="decimal"/>
      <w:lvlText w:val="%1."/>
      <w:lvlJc w:val="left"/>
      <w:pPr>
        <w:ind w:left="360" w:hanging="360"/>
      </w:pPr>
      <w:rPr>
        <w:rFonts w:hint="default"/>
        <w:b w:val="0"/>
        <w:i w:val="0"/>
        <w:color w:val="auto"/>
      </w:rPr>
    </w:lvl>
    <w:lvl w:ilvl="1" w:tplc="0C090001">
      <w:start w:val="1"/>
      <w:numFmt w:val="bullet"/>
      <w:lvlText w:val=""/>
      <w:lvlJc w:val="left"/>
      <w:pPr>
        <w:ind w:left="1440" w:hanging="360"/>
      </w:pPr>
      <w:rPr>
        <w:rFonts w:ascii="Symbol" w:hAnsi="Symbol" w:hint="default"/>
      </w:rPr>
    </w:lvl>
    <w:lvl w:ilvl="2" w:tplc="4B58D3DC" w:tentative="1">
      <w:start w:val="1"/>
      <w:numFmt w:val="lowerRoman"/>
      <w:lvlText w:val="%3."/>
      <w:lvlJc w:val="right"/>
      <w:pPr>
        <w:ind w:left="2160" w:hanging="180"/>
      </w:pPr>
    </w:lvl>
    <w:lvl w:ilvl="3" w:tplc="5B900778" w:tentative="1">
      <w:start w:val="1"/>
      <w:numFmt w:val="decimal"/>
      <w:lvlText w:val="%4."/>
      <w:lvlJc w:val="left"/>
      <w:pPr>
        <w:ind w:left="2880" w:hanging="360"/>
      </w:pPr>
    </w:lvl>
    <w:lvl w:ilvl="4" w:tplc="FCDC1452" w:tentative="1">
      <w:start w:val="1"/>
      <w:numFmt w:val="lowerLetter"/>
      <w:lvlText w:val="%5."/>
      <w:lvlJc w:val="left"/>
      <w:pPr>
        <w:ind w:left="3600" w:hanging="360"/>
      </w:pPr>
    </w:lvl>
    <w:lvl w:ilvl="5" w:tplc="DF462540" w:tentative="1">
      <w:start w:val="1"/>
      <w:numFmt w:val="lowerRoman"/>
      <w:lvlText w:val="%6."/>
      <w:lvlJc w:val="right"/>
      <w:pPr>
        <w:ind w:left="4320" w:hanging="180"/>
      </w:pPr>
    </w:lvl>
    <w:lvl w:ilvl="6" w:tplc="655E27D6" w:tentative="1">
      <w:start w:val="1"/>
      <w:numFmt w:val="decimal"/>
      <w:lvlText w:val="%7."/>
      <w:lvlJc w:val="left"/>
      <w:pPr>
        <w:ind w:left="5040" w:hanging="360"/>
      </w:pPr>
    </w:lvl>
    <w:lvl w:ilvl="7" w:tplc="9BD269FC" w:tentative="1">
      <w:start w:val="1"/>
      <w:numFmt w:val="lowerLetter"/>
      <w:lvlText w:val="%8."/>
      <w:lvlJc w:val="left"/>
      <w:pPr>
        <w:ind w:left="5760" w:hanging="360"/>
      </w:pPr>
    </w:lvl>
    <w:lvl w:ilvl="8" w:tplc="4AB8040E" w:tentative="1">
      <w:start w:val="1"/>
      <w:numFmt w:val="lowerRoman"/>
      <w:lvlText w:val="%9."/>
      <w:lvlJc w:val="right"/>
      <w:pPr>
        <w:ind w:left="6480" w:hanging="180"/>
      </w:pPr>
    </w:lvl>
  </w:abstractNum>
  <w:abstractNum w:abstractNumId="36" w15:restartNumberingAfterBreak="0">
    <w:nsid w:val="5B9413D2"/>
    <w:multiLevelType w:val="hybridMultilevel"/>
    <w:tmpl w:val="3D847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051A06"/>
    <w:multiLevelType w:val="hybridMultilevel"/>
    <w:tmpl w:val="26A01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511C89"/>
    <w:multiLevelType w:val="hybridMultilevel"/>
    <w:tmpl w:val="45FC42E2"/>
    <w:lvl w:ilvl="0" w:tplc="A8E84354">
      <w:start w:val="1"/>
      <w:numFmt w:val="decimal"/>
      <w:lvlText w:val="%1"/>
      <w:lvlJc w:val="left"/>
      <w:pPr>
        <w:tabs>
          <w:tab w:val="num" w:pos="1080"/>
        </w:tabs>
        <w:ind w:left="1080" w:hanging="72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5261E6C"/>
    <w:multiLevelType w:val="hybridMultilevel"/>
    <w:tmpl w:val="94786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F436FD"/>
    <w:multiLevelType w:val="hybridMultilevel"/>
    <w:tmpl w:val="FC502A60"/>
    <w:lvl w:ilvl="0" w:tplc="A8E84354">
      <w:start w:val="1"/>
      <w:numFmt w:val="decimal"/>
      <w:lvlText w:val="%1"/>
      <w:lvlJc w:val="left"/>
      <w:pPr>
        <w:tabs>
          <w:tab w:val="num" w:pos="1080"/>
        </w:tabs>
        <w:ind w:left="1080" w:hanging="720"/>
      </w:pPr>
      <w:rPr>
        <w:rFonts w:hint="default"/>
        <w:b/>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9CB671D"/>
    <w:multiLevelType w:val="hybridMultilevel"/>
    <w:tmpl w:val="1CC2BE26"/>
    <w:lvl w:ilvl="0" w:tplc="50F2D2E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AED6626"/>
    <w:multiLevelType w:val="hybridMultilevel"/>
    <w:tmpl w:val="5F325C8A"/>
    <w:lvl w:ilvl="0" w:tplc="65C8404E">
      <w:start w:val="1"/>
      <w:numFmt w:val="decimal"/>
      <w:lvlText w:val="%1"/>
      <w:lvlJc w:val="left"/>
      <w:pPr>
        <w:ind w:left="1500" w:hanging="11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10402C"/>
    <w:multiLevelType w:val="hybridMultilevel"/>
    <w:tmpl w:val="13F602DC"/>
    <w:lvl w:ilvl="0" w:tplc="418E71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8CA1DA4"/>
    <w:multiLevelType w:val="hybridMultilevel"/>
    <w:tmpl w:val="84E83CB0"/>
    <w:lvl w:ilvl="0" w:tplc="0C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1851A9"/>
    <w:multiLevelType w:val="hybridMultilevel"/>
    <w:tmpl w:val="1F3EF6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
  </w:num>
  <w:num w:numId="5">
    <w:abstractNumId w:val="32"/>
  </w:num>
  <w:num w:numId="6">
    <w:abstractNumId w:val="1"/>
  </w:num>
  <w:num w:numId="7">
    <w:abstractNumId w:val="34"/>
  </w:num>
  <w:num w:numId="8">
    <w:abstractNumId w:val="13"/>
  </w:num>
  <w:num w:numId="9">
    <w:abstractNumId w:val="40"/>
  </w:num>
  <w:num w:numId="10">
    <w:abstractNumId w:val="37"/>
  </w:num>
  <w:num w:numId="11">
    <w:abstractNumId w:val="23"/>
  </w:num>
  <w:num w:numId="12">
    <w:abstractNumId w:val="10"/>
  </w:num>
  <w:num w:numId="13">
    <w:abstractNumId w:val="0"/>
  </w:num>
  <w:num w:numId="14">
    <w:abstractNumId w:val="20"/>
  </w:num>
  <w:num w:numId="15">
    <w:abstractNumId w:val="12"/>
    <w:lvlOverride w:ilvl="0">
      <w:lvl w:ilvl="0">
        <w:start w:val="1"/>
        <w:numFmt w:val="bullet"/>
        <w:pStyle w:val="ListBullet"/>
        <w:lvlText w:val=""/>
        <w:lvlJc w:val="left"/>
        <w:pPr>
          <w:ind w:left="369" w:hanging="369"/>
        </w:pPr>
        <w:rPr>
          <w:rFonts w:ascii="Symbol" w:hAnsi="Symbol" w:hint="default"/>
          <w:color w:val="auto"/>
        </w:rPr>
      </w:lvl>
    </w:lvlOverride>
  </w:num>
  <w:num w:numId="16">
    <w:abstractNumId w:val="35"/>
  </w:num>
  <w:num w:numId="17">
    <w:abstractNumId w:val="17"/>
  </w:num>
  <w:num w:numId="18">
    <w:abstractNumId w:val="18"/>
  </w:num>
  <w:num w:numId="19">
    <w:abstractNumId w:val="11"/>
  </w:num>
  <w:num w:numId="20">
    <w:abstractNumId w:val="45"/>
  </w:num>
  <w:num w:numId="21">
    <w:abstractNumId w:val="42"/>
  </w:num>
  <w:num w:numId="22">
    <w:abstractNumId w:val="31"/>
  </w:num>
  <w:num w:numId="23">
    <w:abstractNumId w:val="33"/>
  </w:num>
  <w:num w:numId="24">
    <w:abstractNumId w:val="27"/>
  </w:num>
  <w:num w:numId="25">
    <w:abstractNumId w:val="28"/>
  </w:num>
  <w:num w:numId="26">
    <w:abstractNumId w:val="41"/>
  </w:num>
  <w:num w:numId="27">
    <w:abstractNumId w:val="14"/>
  </w:num>
  <w:num w:numId="28">
    <w:abstractNumId w:val="38"/>
  </w:num>
  <w:num w:numId="29">
    <w:abstractNumId w:val="22"/>
  </w:num>
  <w:num w:numId="30">
    <w:abstractNumId w:val="16"/>
  </w:num>
  <w:num w:numId="31">
    <w:abstractNumId w:val="43"/>
  </w:num>
  <w:num w:numId="32">
    <w:abstractNumId w:val="8"/>
  </w:num>
  <w:num w:numId="33">
    <w:abstractNumId w:val="36"/>
  </w:num>
  <w:num w:numId="34">
    <w:abstractNumId w:val="26"/>
  </w:num>
  <w:num w:numId="35">
    <w:abstractNumId w:val="29"/>
  </w:num>
  <w:num w:numId="36">
    <w:abstractNumId w:val="6"/>
  </w:num>
  <w:num w:numId="37">
    <w:abstractNumId w:val="7"/>
  </w:num>
  <w:num w:numId="38">
    <w:abstractNumId w:val="5"/>
  </w:num>
  <w:num w:numId="39">
    <w:abstractNumId w:val="15"/>
  </w:num>
  <w:num w:numId="40">
    <w:abstractNumId w:val="25"/>
  </w:num>
  <w:num w:numId="41">
    <w:abstractNumId w:val="39"/>
  </w:num>
  <w:num w:numId="42">
    <w:abstractNumId w:val="9"/>
  </w:num>
  <w:num w:numId="43">
    <w:abstractNumId w:val="3"/>
  </w:num>
  <w:num w:numId="44">
    <w:abstractNumId w:val="19"/>
  </w:num>
  <w:num w:numId="45">
    <w:abstractNumId w:val="24"/>
  </w:num>
  <w:num w:numId="46">
    <w:abstractNumId w:val="44"/>
  </w:num>
  <w:num w:numId="47">
    <w:abstractNumId w:val="4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31B"/>
    <w:rsid w:val="0000026E"/>
    <w:rsid w:val="0000291D"/>
    <w:rsid w:val="000043F4"/>
    <w:rsid w:val="000051B3"/>
    <w:rsid w:val="000111AA"/>
    <w:rsid w:val="00012014"/>
    <w:rsid w:val="000132B0"/>
    <w:rsid w:val="000136F8"/>
    <w:rsid w:val="00014A63"/>
    <w:rsid w:val="000167DE"/>
    <w:rsid w:val="000217A4"/>
    <w:rsid w:val="00021BD8"/>
    <w:rsid w:val="00022354"/>
    <w:rsid w:val="00022BDD"/>
    <w:rsid w:val="00023A47"/>
    <w:rsid w:val="000240FD"/>
    <w:rsid w:val="00031967"/>
    <w:rsid w:val="000321FE"/>
    <w:rsid w:val="00032F81"/>
    <w:rsid w:val="00033EC4"/>
    <w:rsid w:val="00035563"/>
    <w:rsid w:val="0003650E"/>
    <w:rsid w:val="00036949"/>
    <w:rsid w:val="00037C97"/>
    <w:rsid w:val="00041392"/>
    <w:rsid w:val="00041A46"/>
    <w:rsid w:val="00041C02"/>
    <w:rsid w:val="00041C5F"/>
    <w:rsid w:val="00043D9C"/>
    <w:rsid w:val="00043F6A"/>
    <w:rsid w:val="000453F9"/>
    <w:rsid w:val="00051122"/>
    <w:rsid w:val="00051AB7"/>
    <w:rsid w:val="0005379E"/>
    <w:rsid w:val="00056665"/>
    <w:rsid w:val="0005676C"/>
    <w:rsid w:val="00057BED"/>
    <w:rsid w:val="00063443"/>
    <w:rsid w:val="000640EC"/>
    <w:rsid w:val="00065304"/>
    <w:rsid w:val="00065B56"/>
    <w:rsid w:val="00066CAC"/>
    <w:rsid w:val="000671D9"/>
    <w:rsid w:val="0006721F"/>
    <w:rsid w:val="000677EA"/>
    <w:rsid w:val="00067B96"/>
    <w:rsid w:val="0007016C"/>
    <w:rsid w:val="0007097D"/>
    <w:rsid w:val="00070A38"/>
    <w:rsid w:val="00071FA0"/>
    <w:rsid w:val="00072BC8"/>
    <w:rsid w:val="0007342E"/>
    <w:rsid w:val="0007394C"/>
    <w:rsid w:val="000760AF"/>
    <w:rsid w:val="00077761"/>
    <w:rsid w:val="00081978"/>
    <w:rsid w:val="00081F93"/>
    <w:rsid w:val="0008259C"/>
    <w:rsid w:val="00082A46"/>
    <w:rsid w:val="00083501"/>
    <w:rsid w:val="00083D2C"/>
    <w:rsid w:val="00083D53"/>
    <w:rsid w:val="00084298"/>
    <w:rsid w:val="00084D6A"/>
    <w:rsid w:val="00084E3B"/>
    <w:rsid w:val="00085A0A"/>
    <w:rsid w:val="00086230"/>
    <w:rsid w:val="0008664B"/>
    <w:rsid w:val="00087333"/>
    <w:rsid w:val="00087BE5"/>
    <w:rsid w:val="00090434"/>
    <w:rsid w:val="000944FF"/>
    <w:rsid w:val="000A0129"/>
    <w:rsid w:val="000A1E2E"/>
    <w:rsid w:val="000A40BD"/>
    <w:rsid w:val="000A56E0"/>
    <w:rsid w:val="000A71A1"/>
    <w:rsid w:val="000A71DD"/>
    <w:rsid w:val="000A7850"/>
    <w:rsid w:val="000A7E70"/>
    <w:rsid w:val="000B0EA9"/>
    <w:rsid w:val="000B108D"/>
    <w:rsid w:val="000B369E"/>
    <w:rsid w:val="000B422B"/>
    <w:rsid w:val="000B48E0"/>
    <w:rsid w:val="000B4DBC"/>
    <w:rsid w:val="000C0CA2"/>
    <w:rsid w:val="000C1251"/>
    <w:rsid w:val="000C69B8"/>
    <w:rsid w:val="000C73B8"/>
    <w:rsid w:val="000C76A5"/>
    <w:rsid w:val="000C7A7E"/>
    <w:rsid w:val="000D0F96"/>
    <w:rsid w:val="000D11A9"/>
    <w:rsid w:val="000D4571"/>
    <w:rsid w:val="000D507D"/>
    <w:rsid w:val="000D51DE"/>
    <w:rsid w:val="000D5201"/>
    <w:rsid w:val="000D56B8"/>
    <w:rsid w:val="000E012C"/>
    <w:rsid w:val="000E349A"/>
    <w:rsid w:val="000E5D6B"/>
    <w:rsid w:val="000E5FE3"/>
    <w:rsid w:val="000E688D"/>
    <w:rsid w:val="000F03AF"/>
    <w:rsid w:val="000F0E8A"/>
    <w:rsid w:val="000F4534"/>
    <w:rsid w:val="000F4A3D"/>
    <w:rsid w:val="001008FE"/>
    <w:rsid w:val="001047FB"/>
    <w:rsid w:val="001055A9"/>
    <w:rsid w:val="0010792E"/>
    <w:rsid w:val="00111740"/>
    <w:rsid w:val="0011381E"/>
    <w:rsid w:val="00114421"/>
    <w:rsid w:val="00114FE8"/>
    <w:rsid w:val="0011537D"/>
    <w:rsid w:val="00116022"/>
    <w:rsid w:val="001170AE"/>
    <w:rsid w:val="001213EF"/>
    <w:rsid w:val="0012484F"/>
    <w:rsid w:val="0012556A"/>
    <w:rsid w:val="00126B68"/>
    <w:rsid w:val="00131690"/>
    <w:rsid w:val="001317E3"/>
    <w:rsid w:val="0013197A"/>
    <w:rsid w:val="00131F14"/>
    <w:rsid w:val="00136E9D"/>
    <w:rsid w:val="00136F0B"/>
    <w:rsid w:val="00140F2B"/>
    <w:rsid w:val="00140FED"/>
    <w:rsid w:val="0014109B"/>
    <w:rsid w:val="00141AE4"/>
    <w:rsid w:val="00142630"/>
    <w:rsid w:val="00142972"/>
    <w:rsid w:val="00143A97"/>
    <w:rsid w:val="00143F8F"/>
    <w:rsid w:val="00144537"/>
    <w:rsid w:val="001457F6"/>
    <w:rsid w:val="001469D9"/>
    <w:rsid w:val="00150345"/>
    <w:rsid w:val="00150BD8"/>
    <w:rsid w:val="00151535"/>
    <w:rsid w:val="001535A5"/>
    <w:rsid w:val="0015431D"/>
    <w:rsid w:val="00155D94"/>
    <w:rsid w:val="00161F26"/>
    <w:rsid w:val="00162206"/>
    <w:rsid w:val="0016359C"/>
    <w:rsid w:val="0016524E"/>
    <w:rsid w:val="00165D11"/>
    <w:rsid w:val="00166C4E"/>
    <w:rsid w:val="00167560"/>
    <w:rsid w:val="00167EB3"/>
    <w:rsid w:val="00172A86"/>
    <w:rsid w:val="001744CA"/>
    <w:rsid w:val="00174EC0"/>
    <w:rsid w:val="001763B0"/>
    <w:rsid w:val="00177583"/>
    <w:rsid w:val="00177B7E"/>
    <w:rsid w:val="0018051E"/>
    <w:rsid w:val="00184A3F"/>
    <w:rsid w:val="00184EF7"/>
    <w:rsid w:val="00185FE2"/>
    <w:rsid w:val="0018639D"/>
    <w:rsid w:val="0018656C"/>
    <w:rsid w:val="00190F53"/>
    <w:rsid w:val="00191D99"/>
    <w:rsid w:val="001920DC"/>
    <w:rsid w:val="0019483A"/>
    <w:rsid w:val="00196723"/>
    <w:rsid w:val="00196F71"/>
    <w:rsid w:val="001A1EC6"/>
    <w:rsid w:val="001A7D81"/>
    <w:rsid w:val="001B0639"/>
    <w:rsid w:val="001B137F"/>
    <w:rsid w:val="001B1A15"/>
    <w:rsid w:val="001B3C9E"/>
    <w:rsid w:val="001C4E8B"/>
    <w:rsid w:val="001C5D74"/>
    <w:rsid w:val="001C5E73"/>
    <w:rsid w:val="001C5F2B"/>
    <w:rsid w:val="001D5011"/>
    <w:rsid w:val="001E1132"/>
    <w:rsid w:val="001E18D6"/>
    <w:rsid w:val="001E20CA"/>
    <w:rsid w:val="001E4E5E"/>
    <w:rsid w:val="001E5E24"/>
    <w:rsid w:val="001E7230"/>
    <w:rsid w:val="001E7D06"/>
    <w:rsid w:val="001E7E8F"/>
    <w:rsid w:val="001F00E5"/>
    <w:rsid w:val="001F025C"/>
    <w:rsid w:val="001F1CDF"/>
    <w:rsid w:val="001F33D9"/>
    <w:rsid w:val="001F660A"/>
    <w:rsid w:val="001F7E36"/>
    <w:rsid w:val="002058B0"/>
    <w:rsid w:val="00206DD1"/>
    <w:rsid w:val="00207BD3"/>
    <w:rsid w:val="0021128F"/>
    <w:rsid w:val="00211293"/>
    <w:rsid w:val="002120F3"/>
    <w:rsid w:val="00213B07"/>
    <w:rsid w:val="00213B8D"/>
    <w:rsid w:val="00213F90"/>
    <w:rsid w:val="00215D59"/>
    <w:rsid w:val="00215DE0"/>
    <w:rsid w:val="0022045F"/>
    <w:rsid w:val="0022071D"/>
    <w:rsid w:val="002244DA"/>
    <w:rsid w:val="00226F88"/>
    <w:rsid w:val="00227B34"/>
    <w:rsid w:val="00230A67"/>
    <w:rsid w:val="002319CF"/>
    <w:rsid w:val="002328D6"/>
    <w:rsid w:val="00233A32"/>
    <w:rsid w:val="00235075"/>
    <w:rsid w:val="0023690D"/>
    <w:rsid w:val="00236B63"/>
    <w:rsid w:val="00237EFD"/>
    <w:rsid w:val="00240154"/>
    <w:rsid w:val="00241248"/>
    <w:rsid w:val="002442EA"/>
    <w:rsid w:val="00245831"/>
    <w:rsid w:val="00247618"/>
    <w:rsid w:val="002477AF"/>
    <w:rsid w:val="00252863"/>
    <w:rsid w:val="00252F44"/>
    <w:rsid w:val="002530EC"/>
    <w:rsid w:val="00253105"/>
    <w:rsid w:val="00255C34"/>
    <w:rsid w:val="00257425"/>
    <w:rsid w:val="00260379"/>
    <w:rsid w:val="00260553"/>
    <w:rsid w:val="00261484"/>
    <w:rsid w:val="00263CD0"/>
    <w:rsid w:val="00266E42"/>
    <w:rsid w:val="002674BC"/>
    <w:rsid w:val="002676C3"/>
    <w:rsid w:val="00267895"/>
    <w:rsid w:val="00270B7E"/>
    <w:rsid w:val="00270DF0"/>
    <w:rsid w:val="00270F7A"/>
    <w:rsid w:val="0027158F"/>
    <w:rsid w:val="002722FD"/>
    <w:rsid w:val="00272B49"/>
    <w:rsid w:val="00274D52"/>
    <w:rsid w:val="00281C2E"/>
    <w:rsid w:val="002830DB"/>
    <w:rsid w:val="0028557B"/>
    <w:rsid w:val="00285BBB"/>
    <w:rsid w:val="0029173C"/>
    <w:rsid w:val="0029244B"/>
    <w:rsid w:val="00293C7B"/>
    <w:rsid w:val="002950F0"/>
    <w:rsid w:val="0029698A"/>
    <w:rsid w:val="00297202"/>
    <w:rsid w:val="0029756E"/>
    <w:rsid w:val="00297BB4"/>
    <w:rsid w:val="002A2309"/>
    <w:rsid w:val="002A619B"/>
    <w:rsid w:val="002A70C4"/>
    <w:rsid w:val="002A7D81"/>
    <w:rsid w:val="002B0A09"/>
    <w:rsid w:val="002B0D1A"/>
    <w:rsid w:val="002B1403"/>
    <w:rsid w:val="002B286C"/>
    <w:rsid w:val="002B3836"/>
    <w:rsid w:val="002B555A"/>
    <w:rsid w:val="002B5BF3"/>
    <w:rsid w:val="002B5CC3"/>
    <w:rsid w:val="002B67A2"/>
    <w:rsid w:val="002B6F94"/>
    <w:rsid w:val="002C026D"/>
    <w:rsid w:val="002C2369"/>
    <w:rsid w:val="002C2B34"/>
    <w:rsid w:val="002C304A"/>
    <w:rsid w:val="002C3EB8"/>
    <w:rsid w:val="002C411B"/>
    <w:rsid w:val="002C4577"/>
    <w:rsid w:val="002C4953"/>
    <w:rsid w:val="002C5AC5"/>
    <w:rsid w:val="002C5F52"/>
    <w:rsid w:val="002C7A14"/>
    <w:rsid w:val="002C7C2A"/>
    <w:rsid w:val="002D1C9E"/>
    <w:rsid w:val="002D3480"/>
    <w:rsid w:val="002D386F"/>
    <w:rsid w:val="002D5358"/>
    <w:rsid w:val="002E02D1"/>
    <w:rsid w:val="002E03B4"/>
    <w:rsid w:val="002E05AE"/>
    <w:rsid w:val="002E0EBE"/>
    <w:rsid w:val="002E22FB"/>
    <w:rsid w:val="002E36C6"/>
    <w:rsid w:val="002E38E2"/>
    <w:rsid w:val="002F212C"/>
    <w:rsid w:val="002F72EC"/>
    <w:rsid w:val="003039C7"/>
    <w:rsid w:val="00304528"/>
    <w:rsid w:val="003061D5"/>
    <w:rsid w:val="0031335C"/>
    <w:rsid w:val="00313456"/>
    <w:rsid w:val="003138B7"/>
    <w:rsid w:val="00315549"/>
    <w:rsid w:val="00316004"/>
    <w:rsid w:val="00317D0E"/>
    <w:rsid w:val="00320231"/>
    <w:rsid w:val="00322207"/>
    <w:rsid w:val="00323C78"/>
    <w:rsid w:val="00323DA9"/>
    <w:rsid w:val="00324021"/>
    <w:rsid w:val="003244C0"/>
    <w:rsid w:val="003250C4"/>
    <w:rsid w:val="00325D23"/>
    <w:rsid w:val="00327792"/>
    <w:rsid w:val="00330F77"/>
    <w:rsid w:val="0033175F"/>
    <w:rsid w:val="003324B7"/>
    <w:rsid w:val="003355B3"/>
    <w:rsid w:val="003362CB"/>
    <w:rsid w:val="00337E0B"/>
    <w:rsid w:val="003427E7"/>
    <w:rsid w:val="0035199F"/>
    <w:rsid w:val="00351EEF"/>
    <w:rsid w:val="003521FE"/>
    <w:rsid w:val="0035251E"/>
    <w:rsid w:val="00354B38"/>
    <w:rsid w:val="003559AC"/>
    <w:rsid w:val="00355D14"/>
    <w:rsid w:val="003576C2"/>
    <w:rsid w:val="00360281"/>
    <w:rsid w:val="00360424"/>
    <w:rsid w:val="00361587"/>
    <w:rsid w:val="00361D4E"/>
    <w:rsid w:val="00367576"/>
    <w:rsid w:val="00367F8A"/>
    <w:rsid w:val="00367FD9"/>
    <w:rsid w:val="00370057"/>
    <w:rsid w:val="003703BB"/>
    <w:rsid w:val="00370DEE"/>
    <w:rsid w:val="00373256"/>
    <w:rsid w:val="0037369E"/>
    <w:rsid w:val="00373864"/>
    <w:rsid w:val="003740A1"/>
    <w:rsid w:val="003744BD"/>
    <w:rsid w:val="00374C63"/>
    <w:rsid w:val="00374FFD"/>
    <w:rsid w:val="0037546A"/>
    <w:rsid w:val="00375833"/>
    <w:rsid w:val="00383CB9"/>
    <w:rsid w:val="003848AE"/>
    <w:rsid w:val="0038522C"/>
    <w:rsid w:val="00385AE4"/>
    <w:rsid w:val="00385C96"/>
    <w:rsid w:val="0038767C"/>
    <w:rsid w:val="0039057F"/>
    <w:rsid w:val="003907FF"/>
    <w:rsid w:val="00393DA8"/>
    <w:rsid w:val="0039480B"/>
    <w:rsid w:val="00395656"/>
    <w:rsid w:val="00395A28"/>
    <w:rsid w:val="00397069"/>
    <w:rsid w:val="00397A6E"/>
    <w:rsid w:val="003A06F5"/>
    <w:rsid w:val="003A149A"/>
    <w:rsid w:val="003A1F52"/>
    <w:rsid w:val="003A2317"/>
    <w:rsid w:val="003A242F"/>
    <w:rsid w:val="003A2490"/>
    <w:rsid w:val="003A2AE8"/>
    <w:rsid w:val="003A430F"/>
    <w:rsid w:val="003A4898"/>
    <w:rsid w:val="003A4F3C"/>
    <w:rsid w:val="003A623C"/>
    <w:rsid w:val="003A6C7F"/>
    <w:rsid w:val="003A7461"/>
    <w:rsid w:val="003A75A8"/>
    <w:rsid w:val="003B1DA4"/>
    <w:rsid w:val="003B1F82"/>
    <w:rsid w:val="003B208B"/>
    <w:rsid w:val="003B312A"/>
    <w:rsid w:val="003B3182"/>
    <w:rsid w:val="003B377B"/>
    <w:rsid w:val="003B3F15"/>
    <w:rsid w:val="003B4B04"/>
    <w:rsid w:val="003B4C73"/>
    <w:rsid w:val="003B4FF5"/>
    <w:rsid w:val="003B5E63"/>
    <w:rsid w:val="003B65D8"/>
    <w:rsid w:val="003B6624"/>
    <w:rsid w:val="003B7136"/>
    <w:rsid w:val="003C02FD"/>
    <w:rsid w:val="003C0BFA"/>
    <w:rsid w:val="003C37EB"/>
    <w:rsid w:val="003C4F23"/>
    <w:rsid w:val="003C5B20"/>
    <w:rsid w:val="003C7A21"/>
    <w:rsid w:val="003D2023"/>
    <w:rsid w:val="003D2362"/>
    <w:rsid w:val="003D2D5B"/>
    <w:rsid w:val="003D3557"/>
    <w:rsid w:val="003D4BAC"/>
    <w:rsid w:val="003D5541"/>
    <w:rsid w:val="003D7A57"/>
    <w:rsid w:val="003E0725"/>
    <w:rsid w:val="003E0E91"/>
    <w:rsid w:val="003E2B1F"/>
    <w:rsid w:val="003E329B"/>
    <w:rsid w:val="003E4B5B"/>
    <w:rsid w:val="003E4DC0"/>
    <w:rsid w:val="003E4F46"/>
    <w:rsid w:val="003E537C"/>
    <w:rsid w:val="003E74BC"/>
    <w:rsid w:val="003F0744"/>
    <w:rsid w:val="003F15F9"/>
    <w:rsid w:val="003F6383"/>
    <w:rsid w:val="004003DA"/>
    <w:rsid w:val="0040092B"/>
    <w:rsid w:val="00400972"/>
    <w:rsid w:val="00401BE1"/>
    <w:rsid w:val="00401E88"/>
    <w:rsid w:val="004021EE"/>
    <w:rsid w:val="00402427"/>
    <w:rsid w:val="004029C5"/>
    <w:rsid w:val="004032CD"/>
    <w:rsid w:val="0040371F"/>
    <w:rsid w:val="00403DF8"/>
    <w:rsid w:val="00404E5D"/>
    <w:rsid w:val="00405712"/>
    <w:rsid w:val="0040706E"/>
    <w:rsid w:val="00410364"/>
    <w:rsid w:val="0041168C"/>
    <w:rsid w:val="00411A1C"/>
    <w:rsid w:val="004131D8"/>
    <w:rsid w:val="00413636"/>
    <w:rsid w:val="00414852"/>
    <w:rsid w:val="0042040A"/>
    <w:rsid w:val="00420738"/>
    <w:rsid w:val="00421735"/>
    <w:rsid w:val="0042217E"/>
    <w:rsid w:val="00422E85"/>
    <w:rsid w:val="004237AD"/>
    <w:rsid w:val="00425889"/>
    <w:rsid w:val="0042688D"/>
    <w:rsid w:val="004274E4"/>
    <w:rsid w:val="00431697"/>
    <w:rsid w:val="0043452D"/>
    <w:rsid w:val="00435BFC"/>
    <w:rsid w:val="00435F18"/>
    <w:rsid w:val="00437A94"/>
    <w:rsid w:val="004410E3"/>
    <w:rsid w:val="004418CA"/>
    <w:rsid w:val="0044390C"/>
    <w:rsid w:val="004450FC"/>
    <w:rsid w:val="00445863"/>
    <w:rsid w:val="00445E6E"/>
    <w:rsid w:val="00446116"/>
    <w:rsid w:val="004508FA"/>
    <w:rsid w:val="00451577"/>
    <w:rsid w:val="00452919"/>
    <w:rsid w:val="00452B8E"/>
    <w:rsid w:val="0045355F"/>
    <w:rsid w:val="00453B08"/>
    <w:rsid w:val="004565A2"/>
    <w:rsid w:val="00460110"/>
    <w:rsid w:val="00460856"/>
    <w:rsid w:val="00462435"/>
    <w:rsid w:val="00462DDB"/>
    <w:rsid w:val="00464518"/>
    <w:rsid w:val="00464AE2"/>
    <w:rsid w:val="0046630A"/>
    <w:rsid w:val="00470A68"/>
    <w:rsid w:val="004719B7"/>
    <w:rsid w:val="0047200F"/>
    <w:rsid w:val="0047472D"/>
    <w:rsid w:val="00476451"/>
    <w:rsid w:val="004800A1"/>
    <w:rsid w:val="0048306A"/>
    <w:rsid w:val="0048426F"/>
    <w:rsid w:val="004842AD"/>
    <w:rsid w:val="00486931"/>
    <w:rsid w:val="00486C4D"/>
    <w:rsid w:val="00490901"/>
    <w:rsid w:val="00491D31"/>
    <w:rsid w:val="0049253F"/>
    <w:rsid w:val="0049267C"/>
    <w:rsid w:val="00493482"/>
    <w:rsid w:val="00493BBE"/>
    <w:rsid w:val="0049571C"/>
    <w:rsid w:val="00496A1A"/>
    <w:rsid w:val="004977F5"/>
    <w:rsid w:val="004A0116"/>
    <w:rsid w:val="004A1221"/>
    <w:rsid w:val="004A3A86"/>
    <w:rsid w:val="004A4B4F"/>
    <w:rsid w:val="004A665E"/>
    <w:rsid w:val="004A6F00"/>
    <w:rsid w:val="004A772F"/>
    <w:rsid w:val="004B0253"/>
    <w:rsid w:val="004B0479"/>
    <w:rsid w:val="004B285D"/>
    <w:rsid w:val="004B2C73"/>
    <w:rsid w:val="004B3B51"/>
    <w:rsid w:val="004B4D14"/>
    <w:rsid w:val="004C0DF2"/>
    <w:rsid w:val="004C2254"/>
    <w:rsid w:val="004C3B28"/>
    <w:rsid w:val="004C408C"/>
    <w:rsid w:val="004C687A"/>
    <w:rsid w:val="004C7B16"/>
    <w:rsid w:val="004D22FF"/>
    <w:rsid w:val="004D2443"/>
    <w:rsid w:val="004D2730"/>
    <w:rsid w:val="004D3894"/>
    <w:rsid w:val="004D5D9A"/>
    <w:rsid w:val="004D7BDA"/>
    <w:rsid w:val="004E1612"/>
    <w:rsid w:val="004E1A0F"/>
    <w:rsid w:val="004E7232"/>
    <w:rsid w:val="004F0F74"/>
    <w:rsid w:val="004F16EC"/>
    <w:rsid w:val="004F2A87"/>
    <w:rsid w:val="004F313B"/>
    <w:rsid w:val="004F3E38"/>
    <w:rsid w:val="004F54BF"/>
    <w:rsid w:val="004F71FC"/>
    <w:rsid w:val="004F7E96"/>
    <w:rsid w:val="004F7FEE"/>
    <w:rsid w:val="005005D5"/>
    <w:rsid w:val="00500EC1"/>
    <w:rsid w:val="005018D0"/>
    <w:rsid w:val="005020DF"/>
    <w:rsid w:val="00502428"/>
    <w:rsid w:val="005043F7"/>
    <w:rsid w:val="00504748"/>
    <w:rsid w:val="00504B7C"/>
    <w:rsid w:val="005050A8"/>
    <w:rsid w:val="00510FCE"/>
    <w:rsid w:val="0051150B"/>
    <w:rsid w:val="005147C1"/>
    <w:rsid w:val="005155CE"/>
    <w:rsid w:val="00515C36"/>
    <w:rsid w:val="00522640"/>
    <w:rsid w:val="00523510"/>
    <w:rsid w:val="00524C4B"/>
    <w:rsid w:val="00525B3F"/>
    <w:rsid w:val="0052777F"/>
    <w:rsid w:val="00532A81"/>
    <w:rsid w:val="00535CC8"/>
    <w:rsid w:val="00536730"/>
    <w:rsid w:val="00540048"/>
    <w:rsid w:val="00542309"/>
    <w:rsid w:val="00543151"/>
    <w:rsid w:val="00543B96"/>
    <w:rsid w:val="00544258"/>
    <w:rsid w:val="0054461E"/>
    <w:rsid w:val="005471B4"/>
    <w:rsid w:val="0055118D"/>
    <w:rsid w:val="00553317"/>
    <w:rsid w:val="0055474B"/>
    <w:rsid w:val="00556281"/>
    <w:rsid w:val="005573AB"/>
    <w:rsid w:val="00557AB1"/>
    <w:rsid w:val="005625E6"/>
    <w:rsid w:val="00563891"/>
    <w:rsid w:val="00564AC2"/>
    <w:rsid w:val="00566429"/>
    <w:rsid w:val="005667FA"/>
    <w:rsid w:val="00567CA2"/>
    <w:rsid w:val="005727EA"/>
    <w:rsid w:val="00573894"/>
    <w:rsid w:val="00574715"/>
    <w:rsid w:val="00574F29"/>
    <w:rsid w:val="00575089"/>
    <w:rsid w:val="00575278"/>
    <w:rsid w:val="0057539E"/>
    <w:rsid w:val="00576395"/>
    <w:rsid w:val="00580230"/>
    <w:rsid w:val="00580346"/>
    <w:rsid w:val="00580792"/>
    <w:rsid w:val="00580894"/>
    <w:rsid w:val="0058116C"/>
    <w:rsid w:val="005819CD"/>
    <w:rsid w:val="005865A8"/>
    <w:rsid w:val="00595508"/>
    <w:rsid w:val="00595BCF"/>
    <w:rsid w:val="00595EAE"/>
    <w:rsid w:val="005974F7"/>
    <w:rsid w:val="0059754E"/>
    <w:rsid w:val="005A1883"/>
    <w:rsid w:val="005A3C2F"/>
    <w:rsid w:val="005A4023"/>
    <w:rsid w:val="005A46A9"/>
    <w:rsid w:val="005A4E48"/>
    <w:rsid w:val="005A5805"/>
    <w:rsid w:val="005A6839"/>
    <w:rsid w:val="005A7319"/>
    <w:rsid w:val="005B002B"/>
    <w:rsid w:val="005B367A"/>
    <w:rsid w:val="005B3817"/>
    <w:rsid w:val="005B59A2"/>
    <w:rsid w:val="005B5BC6"/>
    <w:rsid w:val="005B660F"/>
    <w:rsid w:val="005C3848"/>
    <w:rsid w:val="005C3D97"/>
    <w:rsid w:val="005D0325"/>
    <w:rsid w:val="005D1F57"/>
    <w:rsid w:val="005D24E2"/>
    <w:rsid w:val="005D2BCD"/>
    <w:rsid w:val="005D2C3D"/>
    <w:rsid w:val="005D2F53"/>
    <w:rsid w:val="005D37BC"/>
    <w:rsid w:val="005D5686"/>
    <w:rsid w:val="005D5774"/>
    <w:rsid w:val="005D5B9B"/>
    <w:rsid w:val="005D612A"/>
    <w:rsid w:val="005E1CB7"/>
    <w:rsid w:val="005E2123"/>
    <w:rsid w:val="005E2211"/>
    <w:rsid w:val="005E43B7"/>
    <w:rsid w:val="005E62C7"/>
    <w:rsid w:val="005E6CFE"/>
    <w:rsid w:val="005F0C13"/>
    <w:rsid w:val="005F1024"/>
    <w:rsid w:val="005F10D4"/>
    <w:rsid w:val="005F12F4"/>
    <w:rsid w:val="005F1591"/>
    <w:rsid w:val="005F32B1"/>
    <w:rsid w:val="005F3F55"/>
    <w:rsid w:val="005F4A95"/>
    <w:rsid w:val="005F53FE"/>
    <w:rsid w:val="005F7BE0"/>
    <w:rsid w:val="006002A4"/>
    <w:rsid w:val="00600DEC"/>
    <w:rsid w:val="0060135E"/>
    <w:rsid w:val="006017CD"/>
    <w:rsid w:val="00604D6F"/>
    <w:rsid w:val="00607189"/>
    <w:rsid w:val="006072DB"/>
    <w:rsid w:val="0061075D"/>
    <w:rsid w:val="00613984"/>
    <w:rsid w:val="00613A8C"/>
    <w:rsid w:val="0061480B"/>
    <w:rsid w:val="00615C28"/>
    <w:rsid w:val="00615E21"/>
    <w:rsid w:val="0061621E"/>
    <w:rsid w:val="00616900"/>
    <w:rsid w:val="00616982"/>
    <w:rsid w:val="00617201"/>
    <w:rsid w:val="006203E0"/>
    <w:rsid w:val="00621478"/>
    <w:rsid w:val="006234C0"/>
    <w:rsid w:val="00623B9B"/>
    <w:rsid w:val="006240FF"/>
    <w:rsid w:val="00624CD6"/>
    <w:rsid w:val="0062740C"/>
    <w:rsid w:val="00630335"/>
    <w:rsid w:val="006338AC"/>
    <w:rsid w:val="006358EB"/>
    <w:rsid w:val="00637EAA"/>
    <w:rsid w:val="00640DB1"/>
    <w:rsid w:val="0064121A"/>
    <w:rsid w:val="0064175B"/>
    <w:rsid w:val="00642202"/>
    <w:rsid w:val="0064280D"/>
    <w:rsid w:val="00643298"/>
    <w:rsid w:val="0064380F"/>
    <w:rsid w:val="006473CD"/>
    <w:rsid w:val="00647EB9"/>
    <w:rsid w:val="0065087F"/>
    <w:rsid w:val="006541F8"/>
    <w:rsid w:val="00656027"/>
    <w:rsid w:val="006569B8"/>
    <w:rsid w:val="006607B4"/>
    <w:rsid w:val="00660B2F"/>
    <w:rsid w:val="00661152"/>
    <w:rsid w:val="00662A07"/>
    <w:rsid w:val="0066478B"/>
    <w:rsid w:val="00666546"/>
    <w:rsid w:val="00666892"/>
    <w:rsid w:val="00666D8A"/>
    <w:rsid w:val="00674A15"/>
    <w:rsid w:val="00676925"/>
    <w:rsid w:val="00676931"/>
    <w:rsid w:val="006775C7"/>
    <w:rsid w:val="00677740"/>
    <w:rsid w:val="0067797D"/>
    <w:rsid w:val="00680290"/>
    <w:rsid w:val="00680340"/>
    <w:rsid w:val="006808F0"/>
    <w:rsid w:val="006811B8"/>
    <w:rsid w:val="00681745"/>
    <w:rsid w:val="00686564"/>
    <w:rsid w:val="0069101A"/>
    <w:rsid w:val="006910FE"/>
    <w:rsid w:val="00691450"/>
    <w:rsid w:val="00691DE8"/>
    <w:rsid w:val="0069203D"/>
    <w:rsid w:val="006926C4"/>
    <w:rsid w:val="00692F59"/>
    <w:rsid w:val="00693828"/>
    <w:rsid w:val="006941B3"/>
    <w:rsid w:val="006966E6"/>
    <w:rsid w:val="00696C68"/>
    <w:rsid w:val="006A003B"/>
    <w:rsid w:val="006A0485"/>
    <w:rsid w:val="006A4782"/>
    <w:rsid w:val="006A59FD"/>
    <w:rsid w:val="006A64B6"/>
    <w:rsid w:val="006A68A8"/>
    <w:rsid w:val="006A69AB"/>
    <w:rsid w:val="006A6F67"/>
    <w:rsid w:val="006A7AB8"/>
    <w:rsid w:val="006B0ED5"/>
    <w:rsid w:val="006B182D"/>
    <w:rsid w:val="006B1CB4"/>
    <w:rsid w:val="006B2C45"/>
    <w:rsid w:val="006B3CE1"/>
    <w:rsid w:val="006B3F9C"/>
    <w:rsid w:val="006B4A7C"/>
    <w:rsid w:val="006B59A4"/>
    <w:rsid w:val="006B5FB3"/>
    <w:rsid w:val="006B6F3F"/>
    <w:rsid w:val="006C0612"/>
    <w:rsid w:val="006C0786"/>
    <w:rsid w:val="006C1FB8"/>
    <w:rsid w:val="006C2C2E"/>
    <w:rsid w:val="006C3779"/>
    <w:rsid w:val="006C45AC"/>
    <w:rsid w:val="006C57A5"/>
    <w:rsid w:val="006C5A5D"/>
    <w:rsid w:val="006C63B1"/>
    <w:rsid w:val="006D0A45"/>
    <w:rsid w:val="006D12D9"/>
    <w:rsid w:val="006D1EBB"/>
    <w:rsid w:val="006D53BB"/>
    <w:rsid w:val="006D596A"/>
    <w:rsid w:val="006D73C2"/>
    <w:rsid w:val="006D778A"/>
    <w:rsid w:val="006E2A6A"/>
    <w:rsid w:val="006E3414"/>
    <w:rsid w:val="006E412C"/>
    <w:rsid w:val="006E4F23"/>
    <w:rsid w:val="006E57B6"/>
    <w:rsid w:val="006E64A6"/>
    <w:rsid w:val="006F0797"/>
    <w:rsid w:val="006F0B04"/>
    <w:rsid w:val="006F15CF"/>
    <w:rsid w:val="006F1DF6"/>
    <w:rsid w:val="006F3211"/>
    <w:rsid w:val="006F49EF"/>
    <w:rsid w:val="006F5386"/>
    <w:rsid w:val="006F61A6"/>
    <w:rsid w:val="006F72AE"/>
    <w:rsid w:val="006F7A92"/>
    <w:rsid w:val="00701B67"/>
    <w:rsid w:val="00707318"/>
    <w:rsid w:val="00712F1B"/>
    <w:rsid w:val="00715F2B"/>
    <w:rsid w:val="007168F7"/>
    <w:rsid w:val="00716B69"/>
    <w:rsid w:val="00717428"/>
    <w:rsid w:val="00717977"/>
    <w:rsid w:val="00717E54"/>
    <w:rsid w:val="00720268"/>
    <w:rsid w:val="00721AE8"/>
    <w:rsid w:val="007235A8"/>
    <w:rsid w:val="0072498A"/>
    <w:rsid w:val="00724A39"/>
    <w:rsid w:val="00724B57"/>
    <w:rsid w:val="00724BFA"/>
    <w:rsid w:val="00725BEE"/>
    <w:rsid w:val="00732466"/>
    <w:rsid w:val="00733985"/>
    <w:rsid w:val="00734CE4"/>
    <w:rsid w:val="0073509B"/>
    <w:rsid w:val="00735264"/>
    <w:rsid w:val="0074065A"/>
    <w:rsid w:val="0074144C"/>
    <w:rsid w:val="00743796"/>
    <w:rsid w:val="00743A13"/>
    <w:rsid w:val="00743C13"/>
    <w:rsid w:val="00744021"/>
    <w:rsid w:val="00746BC7"/>
    <w:rsid w:val="00747F2B"/>
    <w:rsid w:val="007502A7"/>
    <w:rsid w:val="007503F6"/>
    <w:rsid w:val="00750FF8"/>
    <w:rsid w:val="007526B2"/>
    <w:rsid w:val="007528AD"/>
    <w:rsid w:val="00755AE9"/>
    <w:rsid w:val="007608E1"/>
    <w:rsid w:val="00762BD5"/>
    <w:rsid w:val="007655AF"/>
    <w:rsid w:val="00765A63"/>
    <w:rsid w:val="0076706B"/>
    <w:rsid w:val="00767B80"/>
    <w:rsid w:val="007709C7"/>
    <w:rsid w:val="00770F96"/>
    <w:rsid w:val="00771371"/>
    <w:rsid w:val="00771C08"/>
    <w:rsid w:val="00771F55"/>
    <w:rsid w:val="00773662"/>
    <w:rsid w:val="00774245"/>
    <w:rsid w:val="00774331"/>
    <w:rsid w:val="007775EE"/>
    <w:rsid w:val="0078388D"/>
    <w:rsid w:val="00784615"/>
    <w:rsid w:val="00784DD2"/>
    <w:rsid w:val="00791AF4"/>
    <w:rsid w:val="00791E18"/>
    <w:rsid w:val="007930F2"/>
    <w:rsid w:val="00793879"/>
    <w:rsid w:val="00794322"/>
    <w:rsid w:val="0079730E"/>
    <w:rsid w:val="007A15EF"/>
    <w:rsid w:val="007A2E82"/>
    <w:rsid w:val="007A6723"/>
    <w:rsid w:val="007A6BA5"/>
    <w:rsid w:val="007A7991"/>
    <w:rsid w:val="007B0349"/>
    <w:rsid w:val="007B0EA2"/>
    <w:rsid w:val="007B43D9"/>
    <w:rsid w:val="007B7562"/>
    <w:rsid w:val="007C275A"/>
    <w:rsid w:val="007C2A67"/>
    <w:rsid w:val="007C32F8"/>
    <w:rsid w:val="007C51F7"/>
    <w:rsid w:val="007D12C1"/>
    <w:rsid w:val="007D21A1"/>
    <w:rsid w:val="007D2745"/>
    <w:rsid w:val="007D331D"/>
    <w:rsid w:val="007D36F4"/>
    <w:rsid w:val="007D4153"/>
    <w:rsid w:val="007D7CCA"/>
    <w:rsid w:val="007E046E"/>
    <w:rsid w:val="007E0C57"/>
    <w:rsid w:val="007E0CFA"/>
    <w:rsid w:val="007E12BC"/>
    <w:rsid w:val="007E1BB7"/>
    <w:rsid w:val="007E1DFF"/>
    <w:rsid w:val="007E218B"/>
    <w:rsid w:val="007E2C2A"/>
    <w:rsid w:val="007E425A"/>
    <w:rsid w:val="007E4AEE"/>
    <w:rsid w:val="007E5F33"/>
    <w:rsid w:val="007F12BE"/>
    <w:rsid w:val="007F12D3"/>
    <w:rsid w:val="007F1D42"/>
    <w:rsid w:val="007F4CC9"/>
    <w:rsid w:val="007F58E4"/>
    <w:rsid w:val="007F5D7E"/>
    <w:rsid w:val="007F682A"/>
    <w:rsid w:val="00800340"/>
    <w:rsid w:val="008013CB"/>
    <w:rsid w:val="008054B2"/>
    <w:rsid w:val="008154F8"/>
    <w:rsid w:val="00817CE6"/>
    <w:rsid w:val="0082263F"/>
    <w:rsid w:val="008233C4"/>
    <w:rsid w:val="008233C8"/>
    <w:rsid w:val="00823A81"/>
    <w:rsid w:val="00824DF8"/>
    <w:rsid w:val="00824F30"/>
    <w:rsid w:val="008253A5"/>
    <w:rsid w:val="0083070F"/>
    <w:rsid w:val="008321C2"/>
    <w:rsid w:val="00832E49"/>
    <w:rsid w:val="008348AB"/>
    <w:rsid w:val="00834BC1"/>
    <w:rsid w:val="008374DB"/>
    <w:rsid w:val="00841CD1"/>
    <w:rsid w:val="00844148"/>
    <w:rsid w:val="0084417A"/>
    <w:rsid w:val="00845047"/>
    <w:rsid w:val="00845CBF"/>
    <w:rsid w:val="00846CB2"/>
    <w:rsid w:val="008509E3"/>
    <w:rsid w:val="00850E05"/>
    <w:rsid w:val="00850EDE"/>
    <w:rsid w:val="00851687"/>
    <w:rsid w:val="0085426A"/>
    <w:rsid w:val="00857D2F"/>
    <w:rsid w:val="00860273"/>
    <w:rsid w:val="008603E5"/>
    <w:rsid w:val="00865310"/>
    <w:rsid w:val="00865B2A"/>
    <w:rsid w:val="0086628E"/>
    <w:rsid w:val="00866871"/>
    <w:rsid w:val="00866A92"/>
    <w:rsid w:val="00870F91"/>
    <w:rsid w:val="008712A3"/>
    <w:rsid w:val="0087193B"/>
    <w:rsid w:val="00875013"/>
    <w:rsid w:val="008753A1"/>
    <w:rsid w:val="00875CEE"/>
    <w:rsid w:val="0087604D"/>
    <w:rsid w:val="0087614F"/>
    <w:rsid w:val="00876ACD"/>
    <w:rsid w:val="00876FEF"/>
    <w:rsid w:val="00877424"/>
    <w:rsid w:val="00880131"/>
    <w:rsid w:val="00880AC2"/>
    <w:rsid w:val="00883A55"/>
    <w:rsid w:val="00884A28"/>
    <w:rsid w:val="00885D55"/>
    <w:rsid w:val="0088628C"/>
    <w:rsid w:val="0088640B"/>
    <w:rsid w:val="00887099"/>
    <w:rsid w:val="008925DA"/>
    <w:rsid w:val="00894FBB"/>
    <w:rsid w:val="00895D93"/>
    <w:rsid w:val="0089600F"/>
    <w:rsid w:val="00896926"/>
    <w:rsid w:val="00897446"/>
    <w:rsid w:val="008A0148"/>
    <w:rsid w:val="008A0EDF"/>
    <w:rsid w:val="008A22AD"/>
    <w:rsid w:val="008A3CD7"/>
    <w:rsid w:val="008A44F8"/>
    <w:rsid w:val="008A6C17"/>
    <w:rsid w:val="008B2BE9"/>
    <w:rsid w:val="008B5A3B"/>
    <w:rsid w:val="008B6B3B"/>
    <w:rsid w:val="008C3430"/>
    <w:rsid w:val="008C521B"/>
    <w:rsid w:val="008C590A"/>
    <w:rsid w:val="008C6549"/>
    <w:rsid w:val="008C702F"/>
    <w:rsid w:val="008C788B"/>
    <w:rsid w:val="008D0E7B"/>
    <w:rsid w:val="008D1322"/>
    <w:rsid w:val="008D1558"/>
    <w:rsid w:val="008D270E"/>
    <w:rsid w:val="008D276D"/>
    <w:rsid w:val="008D4282"/>
    <w:rsid w:val="008D4802"/>
    <w:rsid w:val="008D4B5E"/>
    <w:rsid w:val="008D5140"/>
    <w:rsid w:val="008D60FF"/>
    <w:rsid w:val="008D7194"/>
    <w:rsid w:val="008D726C"/>
    <w:rsid w:val="008D78EB"/>
    <w:rsid w:val="008D7CDA"/>
    <w:rsid w:val="008E3084"/>
    <w:rsid w:val="008E571A"/>
    <w:rsid w:val="008E6ABA"/>
    <w:rsid w:val="008E7D91"/>
    <w:rsid w:val="008F05F1"/>
    <w:rsid w:val="008F18F5"/>
    <w:rsid w:val="008F5CFE"/>
    <w:rsid w:val="008F76E6"/>
    <w:rsid w:val="009003FE"/>
    <w:rsid w:val="0090347E"/>
    <w:rsid w:val="00903F67"/>
    <w:rsid w:val="009049A4"/>
    <w:rsid w:val="0090565D"/>
    <w:rsid w:val="009065FA"/>
    <w:rsid w:val="00906778"/>
    <w:rsid w:val="0091131B"/>
    <w:rsid w:val="00912D85"/>
    <w:rsid w:val="00914CD5"/>
    <w:rsid w:val="0091687B"/>
    <w:rsid w:val="0091750F"/>
    <w:rsid w:val="009214FD"/>
    <w:rsid w:val="00921671"/>
    <w:rsid w:val="00921FE4"/>
    <w:rsid w:val="0092455B"/>
    <w:rsid w:val="00925B53"/>
    <w:rsid w:val="00926846"/>
    <w:rsid w:val="00927D93"/>
    <w:rsid w:val="00931825"/>
    <w:rsid w:val="00933E99"/>
    <w:rsid w:val="00934A5D"/>
    <w:rsid w:val="00936AF3"/>
    <w:rsid w:val="0093702F"/>
    <w:rsid w:val="0094036F"/>
    <w:rsid w:val="00943373"/>
    <w:rsid w:val="00943F15"/>
    <w:rsid w:val="009452FD"/>
    <w:rsid w:val="00946164"/>
    <w:rsid w:val="009467DC"/>
    <w:rsid w:val="0094695E"/>
    <w:rsid w:val="00946C5C"/>
    <w:rsid w:val="00946D4D"/>
    <w:rsid w:val="00950C57"/>
    <w:rsid w:val="009542A8"/>
    <w:rsid w:val="00954AE3"/>
    <w:rsid w:val="00956816"/>
    <w:rsid w:val="0095711E"/>
    <w:rsid w:val="00957459"/>
    <w:rsid w:val="00960386"/>
    <w:rsid w:val="00960632"/>
    <w:rsid w:val="00963ABE"/>
    <w:rsid w:val="009645F5"/>
    <w:rsid w:val="0096572D"/>
    <w:rsid w:val="00965BAE"/>
    <w:rsid w:val="0096736B"/>
    <w:rsid w:val="009726D8"/>
    <w:rsid w:val="00975331"/>
    <w:rsid w:val="00976DCF"/>
    <w:rsid w:val="00977934"/>
    <w:rsid w:val="0098002C"/>
    <w:rsid w:val="00980453"/>
    <w:rsid w:val="0098111D"/>
    <w:rsid w:val="00981B9C"/>
    <w:rsid w:val="00984060"/>
    <w:rsid w:val="00984D96"/>
    <w:rsid w:val="00985B8E"/>
    <w:rsid w:val="00986597"/>
    <w:rsid w:val="00986B5C"/>
    <w:rsid w:val="009900A0"/>
    <w:rsid w:val="00990372"/>
    <w:rsid w:val="00991163"/>
    <w:rsid w:val="009911CE"/>
    <w:rsid w:val="009945B7"/>
    <w:rsid w:val="00994AB6"/>
    <w:rsid w:val="00995329"/>
    <w:rsid w:val="009957DD"/>
    <w:rsid w:val="00996DFB"/>
    <w:rsid w:val="00997FE4"/>
    <w:rsid w:val="009A20AE"/>
    <w:rsid w:val="009A384B"/>
    <w:rsid w:val="009A3CAE"/>
    <w:rsid w:val="009A4A8C"/>
    <w:rsid w:val="009A64A3"/>
    <w:rsid w:val="009A73DD"/>
    <w:rsid w:val="009A7A17"/>
    <w:rsid w:val="009B1648"/>
    <w:rsid w:val="009B232B"/>
    <w:rsid w:val="009B240B"/>
    <w:rsid w:val="009B3625"/>
    <w:rsid w:val="009B5A8B"/>
    <w:rsid w:val="009B683B"/>
    <w:rsid w:val="009B7336"/>
    <w:rsid w:val="009B7393"/>
    <w:rsid w:val="009B74CC"/>
    <w:rsid w:val="009C1E93"/>
    <w:rsid w:val="009C4766"/>
    <w:rsid w:val="009C510B"/>
    <w:rsid w:val="009C7FFA"/>
    <w:rsid w:val="009D09F3"/>
    <w:rsid w:val="009D0C7E"/>
    <w:rsid w:val="009D1574"/>
    <w:rsid w:val="009D218F"/>
    <w:rsid w:val="009D2300"/>
    <w:rsid w:val="009D2FE3"/>
    <w:rsid w:val="009D3842"/>
    <w:rsid w:val="009D41C4"/>
    <w:rsid w:val="009D5CB0"/>
    <w:rsid w:val="009D74E1"/>
    <w:rsid w:val="009E369C"/>
    <w:rsid w:val="009E5C0E"/>
    <w:rsid w:val="009E6598"/>
    <w:rsid w:val="009E7AB3"/>
    <w:rsid w:val="009F1DB2"/>
    <w:rsid w:val="009F213B"/>
    <w:rsid w:val="009F2C08"/>
    <w:rsid w:val="009F51FE"/>
    <w:rsid w:val="009F556C"/>
    <w:rsid w:val="009F59DC"/>
    <w:rsid w:val="009F5CA1"/>
    <w:rsid w:val="009F6A1E"/>
    <w:rsid w:val="009F6EC4"/>
    <w:rsid w:val="009F75E0"/>
    <w:rsid w:val="00A0043E"/>
    <w:rsid w:val="00A03819"/>
    <w:rsid w:val="00A040F5"/>
    <w:rsid w:val="00A053AC"/>
    <w:rsid w:val="00A07E4F"/>
    <w:rsid w:val="00A10524"/>
    <w:rsid w:val="00A1072A"/>
    <w:rsid w:val="00A11DF4"/>
    <w:rsid w:val="00A1361C"/>
    <w:rsid w:val="00A13C81"/>
    <w:rsid w:val="00A15431"/>
    <w:rsid w:val="00A17578"/>
    <w:rsid w:val="00A202B1"/>
    <w:rsid w:val="00A20CCF"/>
    <w:rsid w:val="00A21776"/>
    <w:rsid w:val="00A23360"/>
    <w:rsid w:val="00A26508"/>
    <w:rsid w:val="00A3106E"/>
    <w:rsid w:val="00A343F5"/>
    <w:rsid w:val="00A34DD0"/>
    <w:rsid w:val="00A3688E"/>
    <w:rsid w:val="00A37112"/>
    <w:rsid w:val="00A4021C"/>
    <w:rsid w:val="00A41DF4"/>
    <w:rsid w:val="00A43584"/>
    <w:rsid w:val="00A44013"/>
    <w:rsid w:val="00A451EB"/>
    <w:rsid w:val="00A454BC"/>
    <w:rsid w:val="00A4689D"/>
    <w:rsid w:val="00A46AD8"/>
    <w:rsid w:val="00A50781"/>
    <w:rsid w:val="00A55FCE"/>
    <w:rsid w:val="00A6048A"/>
    <w:rsid w:val="00A61E90"/>
    <w:rsid w:val="00A627B0"/>
    <w:rsid w:val="00A6288E"/>
    <w:rsid w:val="00A655A3"/>
    <w:rsid w:val="00A659AC"/>
    <w:rsid w:val="00A65DDD"/>
    <w:rsid w:val="00A7417C"/>
    <w:rsid w:val="00A74E1A"/>
    <w:rsid w:val="00A75B10"/>
    <w:rsid w:val="00A75B9A"/>
    <w:rsid w:val="00A76209"/>
    <w:rsid w:val="00A76804"/>
    <w:rsid w:val="00A80F94"/>
    <w:rsid w:val="00A85200"/>
    <w:rsid w:val="00A86B39"/>
    <w:rsid w:val="00A86E44"/>
    <w:rsid w:val="00A8720B"/>
    <w:rsid w:val="00A87624"/>
    <w:rsid w:val="00A87EAB"/>
    <w:rsid w:val="00A90D15"/>
    <w:rsid w:val="00A9311C"/>
    <w:rsid w:val="00A938BA"/>
    <w:rsid w:val="00A95DBE"/>
    <w:rsid w:val="00AA1EEC"/>
    <w:rsid w:val="00AA30A8"/>
    <w:rsid w:val="00AA6624"/>
    <w:rsid w:val="00AB144A"/>
    <w:rsid w:val="00AB29AA"/>
    <w:rsid w:val="00AB2C09"/>
    <w:rsid w:val="00AB38D0"/>
    <w:rsid w:val="00AB5F77"/>
    <w:rsid w:val="00AB70C7"/>
    <w:rsid w:val="00AC2294"/>
    <w:rsid w:val="00AC3385"/>
    <w:rsid w:val="00AC4001"/>
    <w:rsid w:val="00AC4D6D"/>
    <w:rsid w:val="00AC59C0"/>
    <w:rsid w:val="00AC72DE"/>
    <w:rsid w:val="00AC778E"/>
    <w:rsid w:val="00AD0FC1"/>
    <w:rsid w:val="00AD113D"/>
    <w:rsid w:val="00AD19D2"/>
    <w:rsid w:val="00AD340E"/>
    <w:rsid w:val="00AD388F"/>
    <w:rsid w:val="00AD4622"/>
    <w:rsid w:val="00AD6610"/>
    <w:rsid w:val="00AD6615"/>
    <w:rsid w:val="00AD7697"/>
    <w:rsid w:val="00AE0668"/>
    <w:rsid w:val="00AE109B"/>
    <w:rsid w:val="00AE16CF"/>
    <w:rsid w:val="00AE1D14"/>
    <w:rsid w:val="00AE5FAC"/>
    <w:rsid w:val="00AF0490"/>
    <w:rsid w:val="00AF23BB"/>
    <w:rsid w:val="00AF28AE"/>
    <w:rsid w:val="00AF3808"/>
    <w:rsid w:val="00AF4792"/>
    <w:rsid w:val="00AF4A93"/>
    <w:rsid w:val="00AF54AF"/>
    <w:rsid w:val="00AF67EA"/>
    <w:rsid w:val="00B000F9"/>
    <w:rsid w:val="00B02085"/>
    <w:rsid w:val="00B027CE"/>
    <w:rsid w:val="00B0544D"/>
    <w:rsid w:val="00B0790B"/>
    <w:rsid w:val="00B11754"/>
    <w:rsid w:val="00B1303C"/>
    <w:rsid w:val="00B135D5"/>
    <w:rsid w:val="00B136AE"/>
    <w:rsid w:val="00B14146"/>
    <w:rsid w:val="00B17217"/>
    <w:rsid w:val="00B20D65"/>
    <w:rsid w:val="00B21C85"/>
    <w:rsid w:val="00B248CF"/>
    <w:rsid w:val="00B25F50"/>
    <w:rsid w:val="00B2709E"/>
    <w:rsid w:val="00B277E3"/>
    <w:rsid w:val="00B303B7"/>
    <w:rsid w:val="00B358EE"/>
    <w:rsid w:val="00B37B4F"/>
    <w:rsid w:val="00B37F63"/>
    <w:rsid w:val="00B45FF4"/>
    <w:rsid w:val="00B47EE6"/>
    <w:rsid w:val="00B50A6E"/>
    <w:rsid w:val="00B51DAA"/>
    <w:rsid w:val="00B579D2"/>
    <w:rsid w:val="00B6050A"/>
    <w:rsid w:val="00B60CE5"/>
    <w:rsid w:val="00B619C8"/>
    <w:rsid w:val="00B61B80"/>
    <w:rsid w:val="00B61E17"/>
    <w:rsid w:val="00B67ED5"/>
    <w:rsid w:val="00B7066C"/>
    <w:rsid w:val="00B73C81"/>
    <w:rsid w:val="00B74ACA"/>
    <w:rsid w:val="00B7573C"/>
    <w:rsid w:val="00B75EB0"/>
    <w:rsid w:val="00B77411"/>
    <w:rsid w:val="00B77EC9"/>
    <w:rsid w:val="00B80C83"/>
    <w:rsid w:val="00B8177B"/>
    <w:rsid w:val="00B81E38"/>
    <w:rsid w:val="00B82258"/>
    <w:rsid w:val="00B8282F"/>
    <w:rsid w:val="00B83CD2"/>
    <w:rsid w:val="00B8612B"/>
    <w:rsid w:val="00B87A9B"/>
    <w:rsid w:val="00B91A30"/>
    <w:rsid w:val="00B94696"/>
    <w:rsid w:val="00B955C2"/>
    <w:rsid w:val="00B96099"/>
    <w:rsid w:val="00B96EBD"/>
    <w:rsid w:val="00B97053"/>
    <w:rsid w:val="00B97701"/>
    <w:rsid w:val="00BA0061"/>
    <w:rsid w:val="00BA0637"/>
    <w:rsid w:val="00BA10BD"/>
    <w:rsid w:val="00BA5B3E"/>
    <w:rsid w:val="00BA6688"/>
    <w:rsid w:val="00BA6728"/>
    <w:rsid w:val="00BA6A5F"/>
    <w:rsid w:val="00BB09CE"/>
    <w:rsid w:val="00BB22F7"/>
    <w:rsid w:val="00BB3148"/>
    <w:rsid w:val="00BB3341"/>
    <w:rsid w:val="00BB3AA8"/>
    <w:rsid w:val="00BB3DBC"/>
    <w:rsid w:val="00BB5961"/>
    <w:rsid w:val="00BB61B4"/>
    <w:rsid w:val="00BC2DFE"/>
    <w:rsid w:val="00BC2EF2"/>
    <w:rsid w:val="00BC4357"/>
    <w:rsid w:val="00BC44A5"/>
    <w:rsid w:val="00BC4AF4"/>
    <w:rsid w:val="00BC7CC7"/>
    <w:rsid w:val="00BD44F9"/>
    <w:rsid w:val="00BD6413"/>
    <w:rsid w:val="00BD6E76"/>
    <w:rsid w:val="00BD786F"/>
    <w:rsid w:val="00BE1169"/>
    <w:rsid w:val="00BE1318"/>
    <w:rsid w:val="00BE1B83"/>
    <w:rsid w:val="00BE2442"/>
    <w:rsid w:val="00BE2679"/>
    <w:rsid w:val="00BE2A81"/>
    <w:rsid w:val="00BE339E"/>
    <w:rsid w:val="00BE3E86"/>
    <w:rsid w:val="00BE5E35"/>
    <w:rsid w:val="00BE69C3"/>
    <w:rsid w:val="00BF03F0"/>
    <w:rsid w:val="00BF07AB"/>
    <w:rsid w:val="00BF132C"/>
    <w:rsid w:val="00BF3563"/>
    <w:rsid w:val="00BF3865"/>
    <w:rsid w:val="00BF3D99"/>
    <w:rsid w:val="00BF6398"/>
    <w:rsid w:val="00BF6E7C"/>
    <w:rsid w:val="00BF795C"/>
    <w:rsid w:val="00C02143"/>
    <w:rsid w:val="00C030F4"/>
    <w:rsid w:val="00C057E1"/>
    <w:rsid w:val="00C05A42"/>
    <w:rsid w:val="00C079A1"/>
    <w:rsid w:val="00C07CD7"/>
    <w:rsid w:val="00C1001A"/>
    <w:rsid w:val="00C10890"/>
    <w:rsid w:val="00C113F8"/>
    <w:rsid w:val="00C11691"/>
    <w:rsid w:val="00C11F69"/>
    <w:rsid w:val="00C12DDC"/>
    <w:rsid w:val="00C13148"/>
    <w:rsid w:val="00C1477B"/>
    <w:rsid w:val="00C1518C"/>
    <w:rsid w:val="00C15757"/>
    <w:rsid w:val="00C16AE5"/>
    <w:rsid w:val="00C16B5D"/>
    <w:rsid w:val="00C17050"/>
    <w:rsid w:val="00C2091D"/>
    <w:rsid w:val="00C21441"/>
    <w:rsid w:val="00C27966"/>
    <w:rsid w:val="00C319B7"/>
    <w:rsid w:val="00C31A08"/>
    <w:rsid w:val="00C31B7C"/>
    <w:rsid w:val="00C328C2"/>
    <w:rsid w:val="00C34359"/>
    <w:rsid w:val="00C34C0B"/>
    <w:rsid w:val="00C35E1E"/>
    <w:rsid w:val="00C369CC"/>
    <w:rsid w:val="00C36E15"/>
    <w:rsid w:val="00C378FA"/>
    <w:rsid w:val="00C37D12"/>
    <w:rsid w:val="00C41346"/>
    <w:rsid w:val="00C4257E"/>
    <w:rsid w:val="00C42CFB"/>
    <w:rsid w:val="00C437AD"/>
    <w:rsid w:val="00C45337"/>
    <w:rsid w:val="00C45FC2"/>
    <w:rsid w:val="00C51F91"/>
    <w:rsid w:val="00C52251"/>
    <w:rsid w:val="00C52D29"/>
    <w:rsid w:val="00C53B0C"/>
    <w:rsid w:val="00C54FB1"/>
    <w:rsid w:val="00C5708F"/>
    <w:rsid w:val="00C62553"/>
    <w:rsid w:val="00C62EE2"/>
    <w:rsid w:val="00C646BF"/>
    <w:rsid w:val="00C6555E"/>
    <w:rsid w:val="00C659A4"/>
    <w:rsid w:val="00C65BDB"/>
    <w:rsid w:val="00C65BF2"/>
    <w:rsid w:val="00C66706"/>
    <w:rsid w:val="00C67E39"/>
    <w:rsid w:val="00C735D8"/>
    <w:rsid w:val="00C73DEA"/>
    <w:rsid w:val="00C75B55"/>
    <w:rsid w:val="00C77269"/>
    <w:rsid w:val="00C77BA2"/>
    <w:rsid w:val="00C8116D"/>
    <w:rsid w:val="00C81DEB"/>
    <w:rsid w:val="00C822A2"/>
    <w:rsid w:val="00C83FA9"/>
    <w:rsid w:val="00C83FDF"/>
    <w:rsid w:val="00C85609"/>
    <w:rsid w:val="00C86055"/>
    <w:rsid w:val="00C87522"/>
    <w:rsid w:val="00C877D5"/>
    <w:rsid w:val="00C90687"/>
    <w:rsid w:val="00C92637"/>
    <w:rsid w:val="00C9510E"/>
    <w:rsid w:val="00C965B1"/>
    <w:rsid w:val="00CA0C40"/>
    <w:rsid w:val="00CA16F9"/>
    <w:rsid w:val="00CA2445"/>
    <w:rsid w:val="00CA26D3"/>
    <w:rsid w:val="00CA28DA"/>
    <w:rsid w:val="00CA47D7"/>
    <w:rsid w:val="00CA6315"/>
    <w:rsid w:val="00CA66DC"/>
    <w:rsid w:val="00CA7831"/>
    <w:rsid w:val="00CB2B41"/>
    <w:rsid w:val="00CB34BD"/>
    <w:rsid w:val="00CB4CB9"/>
    <w:rsid w:val="00CB683F"/>
    <w:rsid w:val="00CC060E"/>
    <w:rsid w:val="00CC1179"/>
    <w:rsid w:val="00CC3A9B"/>
    <w:rsid w:val="00CC67B7"/>
    <w:rsid w:val="00CC721F"/>
    <w:rsid w:val="00CD187C"/>
    <w:rsid w:val="00CD29B5"/>
    <w:rsid w:val="00CD31E6"/>
    <w:rsid w:val="00CD3530"/>
    <w:rsid w:val="00CD5DCB"/>
    <w:rsid w:val="00CD6333"/>
    <w:rsid w:val="00CE05CE"/>
    <w:rsid w:val="00CE274D"/>
    <w:rsid w:val="00CE2A2A"/>
    <w:rsid w:val="00CE3D58"/>
    <w:rsid w:val="00CE4432"/>
    <w:rsid w:val="00CE7D1E"/>
    <w:rsid w:val="00CF0DD8"/>
    <w:rsid w:val="00CF2C48"/>
    <w:rsid w:val="00CF4ACD"/>
    <w:rsid w:val="00D003A5"/>
    <w:rsid w:val="00D01417"/>
    <w:rsid w:val="00D02457"/>
    <w:rsid w:val="00D03165"/>
    <w:rsid w:val="00D03653"/>
    <w:rsid w:val="00D03D2D"/>
    <w:rsid w:val="00D106C9"/>
    <w:rsid w:val="00D12F06"/>
    <w:rsid w:val="00D1347B"/>
    <w:rsid w:val="00D1391E"/>
    <w:rsid w:val="00D1532E"/>
    <w:rsid w:val="00D16174"/>
    <w:rsid w:val="00D22205"/>
    <w:rsid w:val="00D24CCD"/>
    <w:rsid w:val="00D27395"/>
    <w:rsid w:val="00D30A2B"/>
    <w:rsid w:val="00D31742"/>
    <w:rsid w:val="00D31DA2"/>
    <w:rsid w:val="00D32A57"/>
    <w:rsid w:val="00D346AA"/>
    <w:rsid w:val="00D36031"/>
    <w:rsid w:val="00D363E4"/>
    <w:rsid w:val="00D37E55"/>
    <w:rsid w:val="00D4052A"/>
    <w:rsid w:val="00D436F3"/>
    <w:rsid w:val="00D43E65"/>
    <w:rsid w:val="00D44270"/>
    <w:rsid w:val="00D449A7"/>
    <w:rsid w:val="00D44EB2"/>
    <w:rsid w:val="00D4627E"/>
    <w:rsid w:val="00D50378"/>
    <w:rsid w:val="00D51D8D"/>
    <w:rsid w:val="00D54712"/>
    <w:rsid w:val="00D54B89"/>
    <w:rsid w:val="00D5602A"/>
    <w:rsid w:val="00D572AA"/>
    <w:rsid w:val="00D57C2C"/>
    <w:rsid w:val="00D61991"/>
    <w:rsid w:val="00D6300D"/>
    <w:rsid w:val="00D6308E"/>
    <w:rsid w:val="00D63FFD"/>
    <w:rsid w:val="00D644CA"/>
    <w:rsid w:val="00D64A5D"/>
    <w:rsid w:val="00D67806"/>
    <w:rsid w:val="00D73527"/>
    <w:rsid w:val="00D7410B"/>
    <w:rsid w:val="00D75120"/>
    <w:rsid w:val="00D7583D"/>
    <w:rsid w:val="00D768F7"/>
    <w:rsid w:val="00D80087"/>
    <w:rsid w:val="00D80148"/>
    <w:rsid w:val="00D806D1"/>
    <w:rsid w:val="00D81938"/>
    <w:rsid w:val="00D84B48"/>
    <w:rsid w:val="00D8511F"/>
    <w:rsid w:val="00D8781C"/>
    <w:rsid w:val="00D879AE"/>
    <w:rsid w:val="00D92A32"/>
    <w:rsid w:val="00D92AD4"/>
    <w:rsid w:val="00D93D50"/>
    <w:rsid w:val="00D95095"/>
    <w:rsid w:val="00D96855"/>
    <w:rsid w:val="00DA1C21"/>
    <w:rsid w:val="00DA2C93"/>
    <w:rsid w:val="00DA46C4"/>
    <w:rsid w:val="00DA4E49"/>
    <w:rsid w:val="00DA50A4"/>
    <w:rsid w:val="00DA6834"/>
    <w:rsid w:val="00DA72C6"/>
    <w:rsid w:val="00DA768D"/>
    <w:rsid w:val="00DA7E00"/>
    <w:rsid w:val="00DB0E9A"/>
    <w:rsid w:val="00DB0F43"/>
    <w:rsid w:val="00DB11A8"/>
    <w:rsid w:val="00DB130B"/>
    <w:rsid w:val="00DB140F"/>
    <w:rsid w:val="00DB1D84"/>
    <w:rsid w:val="00DB23AF"/>
    <w:rsid w:val="00DB268F"/>
    <w:rsid w:val="00DB28EA"/>
    <w:rsid w:val="00DB6645"/>
    <w:rsid w:val="00DB6671"/>
    <w:rsid w:val="00DB7CCB"/>
    <w:rsid w:val="00DC180E"/>
    <w:rsid w:val="00DC2318"/>
    <w:rsid w:val="00DC3934"/>
    <w:rsid w:val="00DC7FDA"/>
    <w:rsid w:val="00DD082C"/>
    <w:rsid w:val="00DD13A2"/>
    <w:rsid w:val="00DD3B10"/>
    <w:rsid w:val="00DD58E8"/>
    <w:rsid w:val="00DE04ED"/>
    <w:rsid w:val="00DE1181"/>
    <w:rsid w:val="00DE4961"/>
    <w:rsid w:val="00DE4B9E"/>
    <w:rsid w:val="00DE4F9D"/>
    <w:rsid w:val="00DE5644"/>
    <w:rsid w:val="00DE57B7"/>
    <w:rsid w:val="00DE6012"/>
    <w:rsid w:val="00DE7226"/>
    <w:rsid w:val="00DE7A01"/>
    <w:rsid w:val="00DF2078"/>
    <w:rsid w:val="00DF4F6A"/>
    <w:rsid w:val="00DF50F0"/>
    <w:rsid w:val="00DF58BA"/>
    <w:rsid w:val="00DF5AA1"/>
    <w:rsid w:val="00E00350"/>
    <w:rsid w:val="00E00AF8"/>
    <w:rsid w:val="00E02377"/>
    <w:rsid w:val="00E02D7E"/>
    <w:rsid w:val="00E03426"/>
    <w:rsid w:val="00E05162"/>
    <w:rsid w:val="00E0542C"/>
    <w:rsid w:val="00E15C93"/>
    <w:rsid w:val="00E165CE"/>
    <w:rsid w:val="00E16AA0"/>
    <w:rsid w:val="00E17C0D"/>
    <w:rsid w:val="00E2038B"/>
    <w:rsid w:val="00E20DEF"/>
    <w:rsid w:val="00E22C13"/>
    <w:rsid w:val="00E24857"/>
    <w:rsid w:val="00E25194"/>
    <w:rsid w:val="00E33CDC"/>
    <w:rsid w:val="00E35267"/>
    <w:rsid w:val="00E415FB"/>
    <w:rsid w:val="00E424CC"/>
    <w:rsid w:val="00E42E61"/>
    <w:rsid w:val="00E43F64"/>
    <w:rsid w:val="00E45CBE"/>
    <w:rsid w:val="00E50289"/>
    <w:rsid w:val="00E5044D"/>
    <w:rsid w:val="00E51F4B"/>
    <w:rsid w:val="00E52B95"/>
    <w:rsid w:val="00E52F79"/>
    <w:rsid w:val="00E531A3"/>
    <w:rsid w:val="00E53398"/>
    <w:rsid w:val="00E578C3"/>
    <w:rsid w:val="00E60197"/>
    <w:rsid w:val="00E61482"/>
    <w:rsid w:val="00E61DF6"/>
    <w:rsid w:val="00E62290"/>
    <w:rsid w:val="00E63D44"/>
    <w:rsid w:val="00E63ED1"/>
    <w:rsid w:val="00E6408E"/>
    <w:rsid w:val="00E6709F"/>
    <w:rsid w:val="00E67454"/>
    <w:rsid w:val="00E72F0F"/>
    <w:rsid w:val="00E74BE4"/>
    <w:rsid w:val="00E74C0C"/>
    <w:rsid w:val="00E75589"/>
    <w:rsid w:val="00E759C3"/>
    <w:rsid w:val="00E76E98"/>
    <w:rsid w:val="00E775FD"/>
    <w:rsid w:val="00E77B58"/>
    <w:rsid w:val="00E801E1"/>
    <w:rsid w:val="00E80D60"/>
    <w:rsid w:val="00E8163F"/>
    <w:rsid w:val="00E81A43"/>
    <w:rsid w:val="00E82E84"/>
    <w:rsid w:val="00E86EA2"/>
    <w:rsid w:val="00E8795D"/>
    <w:rsid w:val="00E91ED4"/>
    <w:rsid w:val="00E93518"/>
    <w:rsid w:val="00E9493C"/>
    <w:rsid w:val="00E95C13"/>
    <w:rsid w:val="00E970FF"/>
    <w:rsid w:val="00EA0FDE"/>
    <w:rsid w:val="00EA1D50"/>
    <w:rsid w:val="00EA2557"/>
    <w:rsid w:val="00EA2F7E"/>
    <w:rsid w:val="00EA70E1"/>
    <w:rsid w:val="00EB08CC"/>
    <w:rsid w:val="00EB24B0"/>
    <w:rsid w:val="00EB2D30"/>
    <w:rsid w:val="00EB556E"/>
    <w:rsid w:val="00EB60E6"/>
    <w:rsid w:val="00EB68D8"/>
    <w:rsid w:val="00EB75D3"/>
    <w:rsid w:val="00EB7D2C"/>
    <w:rsid w:val="00EB7DCD"/>
    <w:rsid w:val="00EC091A"/>
    <w:rsid w:val="00EC0965"/>
    <w:rsid w:val="00EC09B5"/>
    <w:rsid w:val="00EC0C90"/>
    <w:rsid w:val="00EC34B1"/>
    <w:rsid w:val="00EC4991"/>
    <w:rsid w:val="00EC4CA7"/>
    <w:rsid w:val="00EC568E"/>
    <w:rsid w:val="00EC6858"/>
    <w:rsid w:val="00EC6F9F"/>
    <w:rsid w:val="00EC75FB"/>
    <w:rsid w:val="00EC7B76"/>
    <w:rsid w:val="00ED0218"/>
    <w:rsid w:val="00ED0A5E"/>
    <w:rsid w:val="00ED0BF6"/>
    <w:rsid w:val="00ED374E"/>
    <w:rsid w:val="00EE0452"/>
    <w:rsid w:val="00EE10ED"/>
    <w:rsid w:val="00EE16CF"/>
    <w:rsid w:val="00EE177A"/>
    <w:rsid w:val="00EE1DDE"/>
    <w:rsid w:val="00EE3D70"/>
    <w:rsid w:val="00EE6575"/>
    <w:rsid w:val="00EE697B"/>
    <w:rsid w:val="00EF213B"/>
    <w:rsid w:val="00EF29F6"/>
    <w:rsid w:val="00F00534"/>
    <w:rsid w:val="00F01151"/>
    <w:rsid w:val="00F01E81"/>
    <w:rsid w:val="00F02F06"/>
    <w:rsid w:val="00F078D9"/>
    <w:rsid w:val="00F14E6D"/>
    <w:rsid w:val="00F15CC6"/>
    <w:rsid w:val="00F16EFD"/>
    <w:rsid w:val="00F21EB4"/>
    <w:rsid w:val="00F245B0"/>
    <w:rsid w:val="00F24A46"/>
    <w:rsid w:val="00F31333"/>
    <w:rsid w:val="00F32391"/>
    <w:rsid w:val="00F35690"/>
    <w:rsid w:val="00F36D43"/>
    <w:rsid w:val="00F401A2"/>
    <w:rsid w:val="00F4225C"/>
    <w:rsid w:val="00F44F99"/>
    <w:rsid w:val="00F45EEC"/>
    <w:rsid w:val="00F4606E"/>
    <w:rsid w:val="00F4775C"/>
    <w:rsid w:val="00F5279A"/>
    <w:rsid w:val="00F539BF"/>
    <w:rsid w:val="00F563EF"/>
    <w:rsid w:val="00F573E4"/>
    <w:rsid w:val="00F6032A"/>
    <w:rsid w:val="00F604B7"/>
    <w:rsid w:val="00F6084D"/>
    <w:rsid w:val="00F64969"/>
    <w:rsid w:val="00F65088"/>
    <w:rsid w:val="00F66120"/>
    <w:rsid w:val="00F66C8B"/>
    <w:rsid w:val="00F72D76"/>
    <w:rsid w:val="00F7638E"/>
    <w:rsid w:val="00F77178"/>
    <w:rsid w:val="00F802D9"/>
    <w:rsid w:val="00F80827"/>
    <w:rsid w:val="00F80FD9"/>
    <w:rsid w:val="00F81F55"/>
    <w:rsid w:val="00F82DD6"/>
    <w:rsid w:val="00F85E89"/>
    <w:rsid w:val="00F86DC0"/>
    <w:rsid w:val="00F900EE"/>
    <w:rsid w:val="00F91D12"/>
    <w:rsid w:val="00F91E60"/>
    <w:rsid w:val="00FA196E"/>
    <w:rsid w:val="00FA5666"/>
    <w:rsid w:val="00FA7054"/>
    <w:rsid w:val="00FA709A"/>
    <w:rsid w:val="00FB0366"/>
    <w:rsid w:val="00FB278D"/>
    <w:rsid w:val="00FB3C29"/>
    <w:rsid w:val="00FB7E6D"/>
    <w:rsid w:val="00FC13CD"/>
    <w:rsid w:val="00FC335F"/>
    <w:rsid w:val="00FC3EF2"/>
    <w:rsid w:val="00FC5772"/>
    <w:rsid w:val="00FC5782"/>
    <w:rsid w:val="00FC7F2A"/>
    <w:rsid w:val="00FD205C"/>
    <w:rsid w:val="00FD35B4"/>
    <w:rsid w:val="00FD3764"/>
    <w:rsid w:val="00FD38C7"/>
    <w:rsid w:val="00FD6E5D"/>
    <w:rsid w:val="00FD747F"/>
    <w:rsid w:val="00FD79A7"/>
    <w:rsid w:val="00FE0AC9"/>
    <w:rsid w:val="00FE4F95"/>
    <w:rsid w:val="00FE5644"/>
    <w:rsid w:val="00FE6557"/>
    <w:rsid w:val="00FF0374"/>
    <w:rsid w:val="00FF54CD"/>
    <w:rsid w:val="00FF6B0D"/>
    <w:rsid w:val="00FF6F0C"/>
    <w:rsid w:val="00FF72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D53DA1F"/>
  <w15:chartTrackingRefBased/>
  <w15:docId w15:val="{F551905D-6746-49E4-9DC4-E48CBEAD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aliases w:val="Heading 1 Cab,CAB Section Heading"/>
    <w:basedOn w:val="Normal"/>
    <w:next w:val="Normal"/>
    <w:uiPriority w:val="4"/>
    <w:qFormat/>
    <w:rsid w:val="008F5CFE"/>
    <w:pPr>
      <w:keepNext/>
      <w:widowControl w:val="0"/>
      <w:jc w:val="center"/>
      <w:outlineLvl w:val="0"/>
    </w:pPr>
    <w:rPr>
      <w:i/>
      <w:snapToGrid w:val="0"/>
      <w:sz w:val="22"/>
      <w:lang w:eastAsia="en-US"/>
    </w:rPr>
  </w:style>
  <w:style w:type="paragraph" w:styleId="Heading6">
    <w:name w:val="heading 6"/>
    <w:basedOn w:val="Normal"/>
    <w:next w:val="Normal"/>
    <w:link w:val="Heading6Char"/>
    <w:uiPriority w:val="9"/>
    <w:semiHidden/>
    <w:unhideWhenUsed/>
    <w:qFormat/>
    <w:rsid w:val="00574F29"/>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91131B"/>
    <w:rPr>
      <w:i/>
      <w:iCs/>
    </w:rPr>
  </w:style>
  <w:style w:type="paragraph" w:customStyle="1" w:styleId="paragraph">
    <w:name w:val="paragraph"/>
    <w:aliases w:val="a"/>
    <w:rsid w:val="0091131B"/>
    <w:pPr>
      <w:tabs>
        <w:tab w:val="right" w:pos="1531"/>
      </w:tabs>
      <w:spacing w:before="40"/>
      <w:ind w:left="1644" w:hanging="1644"/>
    </w:pPr>
    <w:rPr>
      <w:sz w:val="22"/>
      <w:szCs w:val="24"/>
    </w:rPr>
  </w:style>
  <w:style w:type="paragraph" w:customStyle="1" w:styleId="subsection">
    <w:name w:val="subsection"/>
    <w:aliases w:val="ss"/>
    <w:rsid w:val="0091131B"/>
    <w:pPr>
      <w:tabs>
        <w:tab w:val="right" w:pos="1021"/>
      </w:tabs>
      <w:spacing w:before="180"/>
      <w:ind w:left="1134" w:hanging="1134"/>
    </w:pPr>
    <w:rPr>
      <w:sz w:val="22"/>
      <w:szCs w:val="24"/>
    </w:rPr>
  </w:style>
  <w:style w:type="paragraph" w:customStyle="1" w:styleId="PFParaNumLevel1">
    <w:name w:val="PF (ParaNum) Level 1"/>
    <w:basedOn w:val="Normal"/>
    <w:rsid w:val="001457F6"/>
    <w:pPr>
      <w:numPr>
        <w:numId w:val="1"/>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2">
    <w:name w:val="PF (ParaNum) Level 2"/>
    <w:basedOn w:val="Normal"/>
    <w:rsid w:val="001457F6"/>
    <w:pPr>
      <w:numPr>
        <w:ilvl w:val="1"/>
        <w:numId w:val="1"/>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3">
    <w:name w:val="PF (ParaNum) Level 3"/>
    <w:basedOn w:val="Normal"/>
    <w:rsid w:val="001457F6"/>
    <w:pPr>
      <w:numPr>
        <w:ilvl w:val="2"/>
        <w:numId w:val="1"/>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4">
    <w:name w:val="PF (ParaNum) Level 4"/>
    <w:basedOn w:val="Normal"/>
    <w:rsid w:val="001457F6"/>
    <w:pPr>
      <w:numPr>
        <w:ilvl w:val="3"/>
        <w:numId w:val="1"/>
      </w:numPr>
      <w:tabs>
        <w:tab w:val="left" w:pos="1848"/>
        <w:tab w:val="left" w:pos="2773"/>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5">
    <w:name w:val="PF (ParaNum) Level 5"/>
    <w:basedOn w:val="Normal"/>
    <w:rsid w:val="001457F6"/>
    <w:pPr>
      <w:numPr>
        <w:ilvl w:val="4"/>
        <w:numId w:val="1"/>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a">
    <w:basedOn w:val="Normal"/>
    <w:rsid w:val="00EB7DCD"/>
    <w:pPr>
      <w:spacing w:after="160" w:line="240" w:lineRule="exact"/>
    </w:pPr>
    <w:rPr>
      <w:rFonts w:ascii="Verdana" w:hAnsi="Verdana" w:cs="Verdana"/>
      <w:sz w:val="20"/>
      <w:szCs w:val="24"/>
      <w:lang w:val="en-US" w:eastAsia="en-US"/>
    </w:rPr>
  </w:style>
  <w:style w:type="character" w:styleId="CommentReference">
    <w:name w:val="annotation reference"/>
    <w:rsid w:val="000217A4"/>
    <w:rPr>
      <w:sz w:val="16"/>
      <w:szCs w:val="16"/>
    </w:rPr>
  </w:style>
  <w:style w:type="paragraph" w:styleId="CommentText">
    <w:name w:val="annotation text"/>
    <w:basedOn w:val="Normal"/>
    <w:link w:val="CommentTextChar"/>
    <w:rsid w:val="000217A4"/>
    <w:rPr>
      <w:sz w:val="20"/>
    </w:rPr>
  </w:style>
  <w:style w:type="paragraph" w:styleId="CommentSubject">
    <w:name w:val="annotation subject"/>
    <w:basedOn w:val="CommentText"/>
    <w:next w:val="CommentText"/>
    <w:semiHidden/>
    <w:rsid w:val="000217A4"/>
    <w:rPr>
      <w:b/>
      <w:bCs/>
    </w:rPr>
  </w:style>
  <w:style w:type="paragraph" w:styleId="BalloonText">
    <w:name w:val="Balloon Text"/>
    <w:basedOn w:val="Normal"/>
    <w:semiHidden/>
    <w:rsid w:val="000217A4"/>
    <w:rPr>
      <w:rFonts w:ascii="Tahoma" w:hAnsi="Tahoma" w:cs="Tahoma"/>
      <w:sz w:val="16"/>
      <w:szCs w:val="16"/>
    </w:rPr>
  </w:style>
  <w:style w:type="paragraph" w:customStyle="1" w:styleId="CharCharCharCharCharCharCharCharCharCharCharCharCharCharCharCharCharCharCharCharCharCharCharCharCharCharCharCharCharChar1CharCharCharCharCharCharChar">
    <w:name w:val="Char Char Char Char Char Char Char Char Char Char Char Char Char Char Char Char Char Char Char Char Char Char Char Char Char Char Char Char Char Char1 Char Char Char Char Char Char Char"/>
    <w:basedOn w:val="Normal"/>
    <w:rsid w:val="00DC2318"/>
    <w:pPr>
      <w:spacing w:after="160" w:line="240" w:lineRule="exact"/>
    </w:pPr>
    <w:rPr>
      <w:rFonts w:ascii="Verdana" w:hAnsi="Verdana" w:cs="Verdana"/>
      <w:sz w:val="20"/>
      <w:lang w:val="en-US" w:eastAsia="en-US"/>
    </w:rPr>
  </w:style>
  <w:style w:type="paragraph" w:customStyle="1" w:styleId="ActHead9">
    <w:name w:val="ActHead 9"/>
    <w:aliases w:val="aat"/>
    <w:basedOn w:val="Normal"/>
    <w:next w:val="Normal"/>
    <w:qFormat/>
    <w:rsid w:val="007E0CFA"/>
    <w:pPr>
      <w:keepNext/>
      <w:keepLines/>
      <w:spacing w:before="280"/>
      <w:ind w:left="1134" w:hanging="1134"/>
      <w:outlineLvl w:val="8"/>
    </w:pPr>
    <w:rPr>
      <w:b/>
      <w:i/>
      <w:kern w:val="28"/>
      <w:sz w:val="28"/>
    </w:rPr>
  </w:style>
  <w:style w:type="paragraph" w:styleId="BodyText">
    <w:name w:val="Body Text"/>
    <w:basedOn w:val="Normal"/>
    <w:link w:val="BodyTextChar"/>
    <w:rsid w:val="005A3C2F"/>
    <w:rPr>
      <w:b/>
    </w:rPr>
  </w:style>
  <w:style w:type="character" w:customStyle="1" w:styleId="BodyTextChar">
    <w:name w:val="Body Text Char"/>
    <w:link w:val="BodyText"/>
    <w:rsid w:val="005A3C2F"/>
    <w:rPr>
      <w:b/>
      <w:sz w:val="24"/>
    </w:rPr>
  </w:style>
  <w:style w:type="paragraph" w:styleId="NoSpacing">
    <w:name w:val="No Spacing"/>
    <w:uiPriority w:val="1"/>
    <w:qFormat/>
    <w:rsid w:val="00DD082C"/>
    <w:rPr>
      <w:sz w:val="24"/>
    </w:rPr>
  </w:style>
  <w:style w:type="paragraph" w:customStyle="1" w:styleId="BodyText1">
    <w:name w:val="Body Text1"/>
    <w:basedOn w:val="ListParagraph"/>
    <w:link w:val="BodytextChar0"/>
    <w:qFormat/>
    <w:rsid w:val="00BB3148"/>
    <w:pPr>
      <w:spacing w:before="120" w:after="240"/>
      <w:ind w:left="0"/>
    </w:pPr>
    <w:rPr>
      <w:szCs w:val="24"/>
    </w:rPr>
  </w:style>
  <w:style w:type="character" w:customStyle="1" w:styleId="BodytextChar0">
    <w:name w:val="Body text Char"/>
    <w:link w:val="BodyText1"/>
    <w:rsid w:val="00BB3148"/>
    <w:rPr>
      <w:sz w:val="24"/>
      <w:szCs w:val="24"/>
    </w:rPr>
  </w:style>
  <w:style w:type="paragraph" w:styleId="ListParagraph">
    <w:name w:val="List Paragraph"/>
    <w:basedOn w:val="Normal"/>
    <w:uiPriority w:val="34"/>
    <w:qFormat/>
    <w:rsid w:val="00BB3148"/>
    <w:pPr>
      <w:ind w:left="720"/>
    </w:pPr>
  </w:style>
  <w:style w:type="paragraph" w:customStyle="1" w:styleId="3Bodyparagraph">
    <w:name w:val="3. Body paragraph"/>
    <w:basedOn w:val="Normal"/>
    <w:qFormat/>
    <w:rsid w:val="00921671"/>
    <w:pPr>
      <w:numPr>
        <w:numId w:val="2"/>
      </w:numPr>
      <w:tabs>
        <w:tab w:val="num" w:pos="720"/>
      </w:tabs>
      <w:snapToGrid w:val="0"/>
      <w:spacing w:before="240" w:line="240" w:lineRule="atLeast"/>
      <w:ind w:left="720"/>
    </w:pPr>
    <w:rPr>
      <w:rFonts w:ascii="Calibri" w:eastAsia="Calibri" w:hAnsi="Calibri" w:cs="Calibri"/>
      <w:sz w:val="22"/>
      <w:szCs w:val="22"/>
      <w:lang w:eastAsia="ja-JP"/>
    </w:rPr>
  </w:style>
  <w:style w:type="paragraph" w:customStyle="1" w:styleId="4Subparagrapha">
    <w:name w:val="4. Subparagraph (a)"/>
    <w:basedOn w:val="Normal"/>
    <w:qFormat/>
    <w:rsid w:val="00921671"/>
    <w:pPr>
      <w:numPr>
        <w:ilvl w:val="1"/>
        <w:numId w:val="2"/>
      </w:numPr>
      <w:tabs>
        <w:tab w:val="num" w:pos="1440"/>
      </w:tabs>
      <w:snapToGrid w:val="0"/>
      <w:spacing w:before="240" w:line="240" w:lineRule="atLeast"/>
      <w:ind w:left="1440" w:hanging="360"/>
    </w:pPr>
    <w:rPr>
      <w:rFonts w:ascii="Calibri" w:eastAsia="Calibri" w:hAnsi="Calibri" w:cs="Calibri"/>
      <w:sz w:val="22"/>
      <w:szCs w:val="22"/>
      <w:lang w:eastAsia="ja-JP"/>
    </w:rPr>
  </w:style>
  <w:style w:type="paragraph" w:customStyle="1" w:styleId="5Subparagraphi">
    <w:name w:val="5. Subparagraph (i)"/>
    <w:basedOn w:val="Normal"/>
    <w:qFormat/>
    <w:rsid w:val="00921671"/>
    <w:pPr>
      <w:numPr>
        <w:ilvl w:val="2"/>
        <w:numId w:val="2"/>
      </w:numPr>
      <w:tabs>
        <w:tab w:val="num" w:pos="2160"/>
      </w:tabs>
      <w:snapToGrid w:val="0"/>
      <w:spacing w:before="240" w:line="240" w:lineRule="atLeast"/>
      <w:ind w:left="2160" w:hanging="360"/>
    </w:pPr>
    <w:rPr>
      <w:rFonts w:ascii="Calibri" w:eastAsia="Calibri" w:hAnsi="Calibri" w:cs="Calibri"/>
      <w:sz w:val="22"/>
      <w:szCs w:val="22"/>
      <w:lang w:eastAsia="ja-JP"/>
    </w:rPr>
  </w:style>
  <w:style w:type="character" w:styleId="Hyperlink">
    <w:name w:val="Hyperlink"/>
    <w:uiPriority w:val="99"/>
    <w:unhideWhenUsed/>
    <w:rsid w:val="00083501"/>
    <w:rPr>
      <w:color w:val="0563C1"/>
      <w:u w:val="single"/>
    </w:rPr>
  </w:style>
  <w:style w:type="paragraph" w:customStyle="1" w:styleId="notetext">
    <w:name w:val="note(text)"/>
    <w:aliases w:val="n"/>
    <w:basedOn w:val="Normal"/>
    <w:link w:val="notetextChar"/>
    <w:rsid w:val="00325D23"/>
    <w:pPr>
      <w:spacing w:before="122"/>
      <w:ind w:left="1985" w:hanging="851"/>
    </w:pPr>
    <w:rPr>
      <w:sz w:val="18"/>
    </w:rPr>
  </w:style>
  <w:style w:type="character" w:customStyle="1" w:styleId="notetextChar">
    <w:name w:val="note(text) Char"/>
    <w:aliases w:val="n Char"/>
    <w:link w:val="notetext"/>
    <w:rsid w:val="00325D23"/>
    <w:rPr>
      <w:sz w:val="18"/>
    </w:rPr>
  </w:style>
  <w:style w:type="paragraph" w:customStyle="1" w:styleId="CAB-NumberedParagraph">
    <w:name w:val="CAB - Numbered Paragraph"/>
    <w:basedOn w:val="Normal"/>
    <w:uiPriority w:val="98"/>
    <w:rsid w:val="00595508"/>
    <w:pPr>
      <w:tabs>
        <w:tab w:val="num" w:pos="1440"/>
      </w:tabs>
      <w:spacing w:after="200" w:line="276" w:lineRule="auto"/>
      <w:ind w:left="1440" w:hanging="360"/>
    </w:pPr>
    <w:rPr>
      <w:rFonts w:ascii="Arial" w:eastAsia="Calibri" w:hAnsi="Arial" w:cs="Arial"/>
      <w:sz w:val="22"/>
      <w:szCs w:val="22"/>
      <w:lang w:eastAsia="en-US"/>
    </w:rPr>
  </w:style>
  <w:style w:type="paragraph" w:styleId="Header">
    <w:name w:val="header"/>
    <w:basedOn w:val="Normal"/>
    <w:link w:val="HeaderChar"/>
    <w:uiPriority w:val="99"/>
    <w:unhideWhenUsed/>
    <w:rsid w:val="006C63B1"/>
    <w:pPr>
      <w:tabs>
        <w:tab w:val="center" w:pos="4513"/>
        <w:tab w:val="right" w:pos="9026"/>
      </w:tabs>
    </w:pPr>
  </w:style>
  <w:style w:type="character" w:customStyle="1" w:styleId="HeaderChar">
    <w:name w:val="Header Char"/>
    <w:link w:val="Header"/>
    <w:uiPriority w:val="99"/>
    <w:rsid w:val="006C63B1"/>
    <w:rPr>
      <w:sz w:val="24"/>
      <w:lang w:val="en-AU" w:eastAsia="en-AU"/>
    </w:rPr>
  </w:style>
  <w:style w:type="paragraph" w:styleId="Footer">
    <w:name w:val="footer"/>
    <w:basedOn w:val="Normal"/>
    <w:link w:val="FooterChar"/>
    <w:uiPriority w:val="99"/>
    <w:unhideWhenUsed/>
    <w:rsid w:val="006C63B1"/>
    <w:pPr>
      <w:tabs>
        <w:tab w:val="center" w:pos="4513"/>
        <w:tab w:val="right" w:pos="9026"/>
      </w:tabs>
    </w:pPr>
  </w:style>
  <w:style w:type="character" w:customStyle="1" w:styleId="FooterChar">
    <w:name w:val="Footer Char"/>
    <w:link w:val="Footer"/>
    <w:uiPriority w:val="99"/>
    <w:rsid w:val="006C63B1"/>
    <w:rPr>
      <w:sz w:val="24"/>
      <w:lang w:val="en-AU" w:eastAsia="en-AU"/>
    </w:rPr>
  </w:style>
  <w:style w:type="character" w:customStyle="1" w:styleId="CommentTextChar">
    <w:name w:val="Comment Text Char"/>
    <w:link w:val="CommentText"/>
    <w:rsid w:val="00043D9C"/>
  </w:style>
  <w:style w:type="table" w:styleId="TableGrid">
    <w:name w:val="Table Grid"/>
    <w:basedOn w:val="TableNormal"/>
    <w:uiPriority w:val="39"/>
    <w:rsid w:val="00504B7C"/>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T">
    <w:name w:val="ShortT"/>
    <w:basedOn w:val="Normal"/>
    <w:next w:val="Normal"/>
    <w:qFormat/>
    <w:rsid w:val="008E3084"/>
    <w:rPr>
      <w:b/>
      <w:sz w:val="40"/>
    </w:rPr>
  </w:style>
  <w:style w:type="paragraph" w:customStyle="1" w:styleId="Definition">
    <w:name w:val="Definition"/>
    <w:aliases w:val="dd"/>
    <w:basedOn w:val="Normal"/>
    <w:rsid w:val="00FF54CD"/>
    <w:pPr>
      <w:spacing w:before="180"/>
      <w:ind w:left="1134"/>
    </w:pPr>
    <w:rPr>
      <w:sz w:val="22"/>
    </w:rPr>
  </w:style>
  <w:style w:type="numbering" w:customStyle="1" w:styleId="BulletList">
    <w:name w:val="Bullet List"/>
    <w:uiPriority w:val="99"/>
    <w:rsid w:val="0086628E"/>
    <w:pPr>
      <w:numPr>
        <w:numId w:val="13"/>
      </w:numPr>
    </w:pPr>
  </w:style>
  <w:style w:type="paragraph" w:styleId="ListBullet">
    <w:name w:val="List Bullet"/>
    <w:basedOn w:val="Normal"/>
    <w:uiPriority w:val="99"/>
    <w:unhideWhenUsed/>
    <w:qFormat/>
    <w:rsid w:val="0086628E"/>
    <w:pPr>
      <w:numPr>
        <w:numId w:val="15"/>
      </w:numPr>
      <w:spacing w:after="200" w:line="276" w:lineRule="auto"/>
    </w:pPr>
    <w:rPr>
      <w:rFonts w:ascii="Arial" w:eastAsia="Calibri" w:hAnsi="Arial"/>
      <w:sz w:val="22"/>
      <w:szCs w:val="22"/>
      <w:lang w:eastAsia="en-US"/>
    </w:rPr>
  </w:style>
  <w:style w:type="paragraph" w:styleId="ListBullet2">
    <w:name w:val="List Bullet 2"/>
    <w:basedOn w:val="Normal"/>
    <w:uiPriority w:val="99"/>
    <w:unhideWhenUsed/>
    <w:rsid w:val="0086628E"/>
    <w:pPr>
      <w:numPr>
        <w:ilvl w:val="1"/>
        <w:numId w:val="15"/>
      </w:numPr>
      <w:spacing w:after="200" w:line="276" w:lineRule="auto"/>
    </w:pPr>
    <w:rPr>
      <w:rFonts w:ascii="Arial" w:eastAsia="Calibri" w:hAnsi="Arial"/>
      <w:sz w:val="22"/>
      <w:szCs w:val="22"/>
      <w:lang w:eastAsia="en-US"/>
    </w:rPr>
  </w:style>
  <w:style w:type="paragraph" w:styleId="ListBullet3">
    <w:name w:val="List Bullet 3"/>
    <w:basedOn w:val="Normal"/>
    <w:uiPriority w:val="99"/>
    <w:unhideWhenUsed/>
    <w:rsid w:val="0086628E"/>
    <w:pPr>
      <w:numPr>
        <w:ilvl w:val="2"/>
        <w:numId w:val="15"/>
      </w:numPr>
      <w:spacing w:after="200" w:line="276" w:lineRule="auto"/>
    </w:pPr>
    <w:rPr>
      <w:rFonts w:ascii="Arial" w:eastAsia="Calibri" w:hAnsi="Arial"/>
      <w:sz w:val="22"/>
      <w:szCs w:val="22"/>
      <w:lang w:eastAsia="en-US"/>
    </w:rPr>
  </w:style>
  <w:style w:type="paragraph" w:styleId="ListBullet4">
    <w:name w:val="List Bullet 4"/>
    <w:basedOn w:val="Normal"/>
    <w:uiPriority w:val="99"/>
    <w:unhideWhenUsed/>
    <w:rsid w:val="0086628E"/>
    <w:pPr>
      <w:numPr>
        <w:ilvl w:val="3"/>
        <w:numId w:val="15"/>
      </w:numPr>
      <w:spacing w:after="200" w:line="276" w:lineRule="auto"/>
    </w:pPr>
    <w:rPr>
      <w:rFonts w:ascii="Arial" w:eastAsia="Calibri" w:hAnsi="Arial"/>
      <w:sz w:val="22"/>
      <w:szCs w:val="22"/>
      <w:lang w:eastAsia="en-US"/>
    </w:rPr>
  </w:style>
  <w:style w:type="paragraph" w:styleId="ListBullet5">
    <w:name w:val="List Bullet 5"/>
    <w:basedOn w:val="Normal"/>
    <w:uiPriority w:val="99"/>
    <w:unhideWhenUsed/>
    <w:rsid w:val="0086628E"/>
    <w:pPr>
      <w:numPr>
        <w:ilvl w:val="4"/>
        <w:numId w:val="15"/>
      </w:numPr>
      <w:spacing w:after="200" w:line="276" w:lineRule="auto"/>
    </w:pPr>
    <w:rPr>
      <w:rFonts w:ascii="Arial" w:eastAsia="Calibri" w:hAnsi="Arial"/>
      <w:sz w:val="22"/>
      <w:szCs w:val="22"/>
      <w:lang w:eastAsia="en-US"/>
    </w:rPr>
  </w:style>
  <w:style w:type="paragraph" w:customStyle="1" w:styleId="Item">
    <w:name w:val="Item"/>
    <w:aliases w:val="i"/>
    <w:basedOn w:val="Normal"/>
    <w:next w:val="Normal"/>
    <w:rsid w:val="00DE04ED"/>
    <w:pPr>
      <w:keepLines/>
      <w:spacing w:before="80"/>
      <w:ind w:left="709"/>
    </w:pPr>
    <w:rPr>
      <w:sz w:val="22"/>
    </w:rPr>
  </w:style>
  <w:style w:type="character" w:customStyle="1" w:styleId="Heading6Char">
    <w:name w:val="Heading 6 Char"/>
    <w:link w:val="Heading6"/>
    <w:semiHidden/>
    <w:rsid w:val="00574F29"/>
    <w:rPr>
      <w:rFonts w:ascii="Calibri" w:eastAsia="Times New Roman" w:hAnsi="Calibri" w:cs="Times New Roman"/>
      <w:b/>
      <w:bCs/>
      <w:sz w:val="22"/>
      <w:szCs w:val="22"/>
    </w:rPr>
  </w:style>
  <w:style w:type="character" w:customStyle="1" w:styleId="UnresolvedMention1">
    <w:name w:val="Unresolved Mention1"/>
    <w:uiPriority w:val="99"/>
    <w:semiHidden/>
    <w:unhideWhenUsed/>
    <w:rsid w:val="00D346AA"/>
    <w:rPr>
      <w:color w:val="605E5C"/>
      <w:shd w:val="clear" w:color="auto" w:fill="E1DFDD"/>
    </w:rPr>
  </w:style>
  <w:style w:type="character" w:customStyle="1" w:styleId="Dot1Char">
    <w:name w:val="Dot1 Char"/>
    <w:aliases w:val="DOT Char"/>
    <w:basedOn w:val="DefaultParagraphFont"/>
    <w:link w:val="Dot1"/>
    <w:uiPriority w:val="2"/>
    <w:locked/>
    <w:rsid w:val="00985B8E"/>
    <w:rPr>
      <w:rFonts w:ascii="Arial" w:hAnsi="Arial" w:cs="Arial"/>
      <w:sz w:val="22"/>
      <w:szCs w:val="22"/>
    </w:rPr>
  </w:style>
  <w:style w:type="paragraph" w:customStyle="1" w:styleId="Dot1">
    <w:name w:val="Dot1"/>
    <w:aliases w:val="DOT"/>
    <w:basedOn w:val="Normal"/>
    <w:link w:val="Dot1Char"/>
    <w:uiPriority w:val="2"/>
    <w:qFormat/>
    <w:rsid w:val="00985B8E"/>
    <w:pPr>
      <w:numPr>
        <w:ilvl w:val="1"/>
        <w:numId w:val="39"/>
      </w:numPr>
      <w:spacing w:after="140" w:line="280" w:lineRule="atLeas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67">
      <w:bodyDiv w:val="1"/>
      <w:marLeft w:val="0"/>
      <w:marRight w:val="0"/>
      <w:marTop w:val="0"/>
      <w:marBottom w:val="0"/>
      <w:divBdr>
        <w:top w:val="none" w:sz="0" w:space="0" w:color="auto"/>
        <w:left w:val="none" w:sz="0" w:space="0" w:color="auto"/>
        <w:bottom w:val="none" w:sz="0" w:space="0" w:color="auto"/>
        <w:right w:val="none" w:sz="0" w:space="0" w:color="auto"/>
      </w:divBdr>
    </w:div>
    <w:div w:id="150027011">
      <w:bodyDiv w:val="1"/>
      <w:marLeft w:val="0"/>
      <w:marRight w:val="0"/>
      <w:marTop w:val="0"/>
      <w:marBottom w:val="0"/>
      <w:divBdr>
        <w:top w:val="none" w:sz="0" w:space="0" w:color="auto"/>
        <w:left w:val="none" w:sz="0" w:space="0" w:color="auto"/>
        <w:bottom w:val="none" w:sz="0" w:space="0" w:color="auto"/>
        <w:right w:val="none" w:sz="0" w:space="0" w:color="auto"/>
      </w:divBdr>
      <w:divsChild>
        <w:div w:id="123935703">
          <w:marLeft w:val="0"/>
          <w:marRight w:val="0"/>
          <w:marTop w:val="0"/>
          <w:marBottom w:val="0"/>
          <w:divBdr>
            <w:top w:val="none" w:sz="0" w:space="0" w:color="auto"/>
            <w:left w:val="none" w:sz="0" w:space="0" w:color="auto"/>
            <w:bottom w:val="none" w:sz="0" w:space="0" w:color="auto"/>
            <w:right w:val="none" w:sz="0" w:space="0" w:color="auto"/>
          </w:divBdr>
          <w:divsChild>
            <w:div w:id="1491292015">
              <w:marLeft w:val="0"/>
              <w:marRight w:val="0"/>
              <w:marTop w:val="0"/>
              <w:marBottom w:val="0"/>
              <w:divBdr>
                <w:top w:val="none" w:sz="0" w:space="0" w:color="auto"/>
                <w:left w:val="none" w:sz="0" w:space="0" w:color="auto"/>
                <w:bottom w:val="none" w:sz="0" w:space="0" w:color="auto"/>
                <w:right w:val="none" w:sz="0" w:space="0" w:color="auto"/>
              </w:divBdr>
              <w:divsChild>
                <w:div w:id="1918322145">
                  <w:marLeft w:val="0"/>
                  <w:marRight w:val="0"/>
                  <w:marTop w:val="0"/>
                  <w:marBottom w:val="0"/>
                  <w:divBdr>
                    <w:top w:val="none" w:sz="0" w:space="0" w:color="auto"/>
                    <w:left w:val="none" w:sz="0" w:space="0" w:color="auto"/>
                    <w:bottom w:val="none" w:sz="0" w:space="0" w:color="auto"/>
                    <w:right w:val="none" w:sz="0" w:space="0" w:color="auto"/>
                  </w:divBdr>
                  <w:divsChild>
                    <w:div w:id="1692298070">
                      <w:marLeft w:val="0"/>
                      <w:marRight w:val="0"/>
                      <w:marTop w:val="0"/>
                      <w:marBottom w:val="0"/>
                      <w:divBdr>
                        <w:top w:val="none" w:sz="0" w:space="0" w:color="auto"/>
                        <w:left w:val="none" w:sz="0" w:space="0" w:color="auto"/>
                        <w:bottom w:val="none" w:sz="0" w:space="0" w:color="auto"/>
                        <w:right w:val="none" w:sz="0" w:space="0" w:color="auto"/>
                      </w:divBdr>
                      <w:divsChild>
                        <w:div w:id="30812192">
                          <w:marLeft w:val="0"/>
                          <w:marRight w:val="0"/>
                          <w:marTop w:val="0"/>
                          <w:marBottom w:val="0"/>
                          <w:divBdr>
                            <w:top w:val="none" w:sz="0" w:space="0" w:color="auto"/>
                            <w:left w:val="none" w:sz="0" w:space="0" w:color="auto"/>
                            <w:bottom w:val="none" w:sz="0" w:space="0" w:color="auto"/>
                            <w:right w:val="none" w:sz="0" w:space="0" w:color="auto"/>
                          </w:divBdr>
                          <w:divsChild>
                            <w:div w:id="1729575840">
                              <w:marLeft w:val="0"/>
                              <w:marRight w:val="0"/>
                              <w:marTop w:val="0"/>
                              <w:marBottom w:val="0"/>
                              <w:divBdr>
                                <w:top w:val="none" w:sz="0" w:space="0" w:color="auto"/>
                                <w:left w:val="none" w:sz="0" w:space="0" w:color="auto"/>
                                <w:bottom w:val="none" w:sz="0" w:space="0" w:color="auto"/>
                                <w:right w:val="none" w:sz="0" w:space="0" w:color="auto"/>
                              </w:divBdr>
                              <w:divsChild>
                                <w:div w:id="1144354780">
                                  <w:marLeft w:val="0"/>
                                  <w:marRight w:val="0"/>
                                  <w:marTop w:val="0"/>
                                  <w:marBottom w:val="0"/>
                                  <w:divBdr>
                                    <w:top w:val="none" w:sz="0" w:space="0" w:color="auto"/>
                                    <w:left w:val="none" w:sz="0" w:space="0" w:color="auto"/>
                                    <w:bottom w:val="none" w:sz="0" w:space="0" w:color="auto"/>
                                    <w:right w:val="none" w:sz="0" w:space="0" w:color="auto"/>
                                  </w:divBdr>
                                  <w:divsChild>
                                    <w:div w:id="256716628">
                                      <w:marLeft w:val="0"/>
                                      <w:marRight w:val="0"/>
                                      <w:marTop w:val="0"/>
                                      <w:marBottom w:val="0"/>
                                      <w:divBdr>
                                        <w:top w:val="none" w:sz="0" w:space="0" w:color="auto"/>
                                        <w:left w:val="none" w:sz="0" w:space="0" w:color="auto"/>
                                        <w:bottom w:val="none" w:sz="0" w:space="0" w:color="auto"/>
                                        <w:right w:val="none" w:sz="0" w:space="0" w:color="auto"/>
                                      </w:divBdr>
                                      <w:divsChild>
                                        <w:div w:id="391512238">
                                          <w:marLeft w:val="0"/>
                                          <w:marRight w:val="0"/>
                                          <w:marTop w:val="0"/>
                                          <w:marBottom w:val="0"/>
                                          <w:divBdr>
                                            <w:top w:val="none" w:sz="0" w:space="0" w:color="auto"/>
                                            <w:left w:val="none" w:sz="0" w:space="0" w:color="auto"/>
                                            <w:bottom w:val="none" w:sz="0" w:space="0" w:color="auto"/>
                                            <w:right w:val="none" w:sz="0" w:space="0" w:color="auto"/>
                                          </w:divBdr>
                                          <w:divsChild>
                                            <w:div w:id="432476845">
                                              <w:marLeft w:val="0"/>
                                              <w:marRight w:val="0"/>
                                              <w:marTop w:val="0"/>
                                              <w:marBottom w:val="0"/>
                                              <w:divBdr>
                                                <w:top w:val="none" w:sz="0" w:space="0" w:color="auto"/>
                                                <w:left w:val="none" w:sz="0" w:space="0" w:color="auto"/>
                                                <w:bottom w:val="none" w:sz="0" w:space="0" w:color="auto"/>
                                                <w:right w:val="none" w:sz="0" w:space="0" w:color="auto"/>
                                              </w:divBdr>
                                              <w:divsChild>
                                                <w:div w:id="342098124">
                                                  <w:marLeft w:val="0"/>
                                                  <w:marRight w:val="0"/>
                                                  <w:marTop w:val="0"/>
                                                  <w:marBottom w:val="0"/>
                                                  <w:divBdr>
                                                    <w:top w:val="none" w:sz="0" w:space="0" w:color="auto"/>
                                                    <w:left w:val="none" w:sz="0" w:space="0" w:color="auto"/>
                                                    <w:bottom w:val="none" w:sz="0" w:space="0" w:color="auto"/>
                                                    <w:right w:val="none" w:sz="0" w:space="0" w:color="auto"/>
                                                  </w:divBdr>
                                                  <w:divsChild>
                                                    <w:div w:id="240146235">
                                                      <w:marLeft w:val="0"/>
                                                      <w:marRight w:val="0"/>
                                                      <w:marTop w:val="0"/>
                                                      <w:marBottom w:val="0"/>
                                                      <w:divBdr>
                                                        <w:top w:val="none" w:sz="0" w:space="0" w:color="auto"/>
                                                        <w:left w:val="none" w:sz="0" w:space="0" w:color="auto"/>
                                                        <w:bottom w:val="none" w:sz="0" w:space="0" w:color="auto"/>
                                                        <w:right w:val="none" w:sz="0" w:space="0" w:color="auto"/>
                                                      </w:divBdr>
                                                      <w:divsChild>
                                                        <w:div w:id="12389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601075">
      <w:bodyDiv w:val="1"/>
      <w:marLeft w:val="0"/>
      <w:marRight w:val="0"/>
      <w:marTop w:val="0"/>
      <w:marBottom w:val="0"/>
      <w:divBdr>
        <w:top w:val="none" w:sz="0" w:space="0" w:color="auto"/>
        <w:left w:val="none" w:sz="0" w:space="0" w:color="auto"/>
        <w:bottom w:val="none" w:sz="0" w:space="0" w:color="auto"/>
        <w:right w:val="none" w:sz="0" w:space="0" w:color="auto"/>
      </w:divBdr>
    </w:div>
    <w:div w:id="192545345">
      <w:bodyDiv w:val="1"/>
      <w:marLeft w:val="0"/>
      <w:marRight w:val="0"/>
      <w:marTop w:val="0"/>
      <w:marBottom w:val="0"/>
      <w:divBdr>
        <w:top w:val="none" w:sz="0" w:space="0" w:color="auto"/>
        <w:left w:val="none" w:sz="0" w:space="0" w:color="auto"/>
        <w:bottom w:val="none" w:sz="0" w:space="0" w:color="auto"/>
        <w:right w:val="none" w:sz="0" w:space="0" w:color="auto"/>
      </w:divBdr>
      <w:divsChild>
        <w:div w:id="2031951664">
          <w:marLeft w:val="0"/>
          <w:marRight w:val="0"/>
          <w:marTop w:val="0"/>
          <w:marBottom w:val="0"/>
          <w:divBdr>
            <w:top w:val="none" w:sz="0" w:space="0" w:color="auto"/>
            <w:left w:val="none" w:sz="0" w:space="0" w:color="auto"/>
            <w:bottom w:val="none" w:sz="0" w:space="0" w:color="auto"/>
            <w:right w:val="none" w:sz="0" w:space="0" w:color="auto"/>
          </w:divBdr>
          <w:divsChild>
            <w:div w:id="696740608">
              <w:marLeft w:val="0"/>
              <w:marRight w:val="0"/>
              <w:marTop w:val="0"/>
              <w:marBottom w:val="0"/>
              <w:divBdr>
                <w:top w:val="none" w:sz="0" w:space="0" w:color="auto"/>
                <w:left w:val="none" w:sz="0" w:space="0" w:color="auto"/>
                <w:bottom w:val="none" w:sz="0" w:space="0" w:color="auto"/>
                <w:right w:val="none" w:sz="0" w:space="0" w:color="auto"/>
              </w:divBdr>
              <w:divsChild>
                <w:div w:id="1485968663">
                  <w:marLeft w:val="0"/>
                  <w:marRight w:val="0"/>
                  <w:marTop w:val="0"/>
                  <w:marBottom w:val="0"/>
                  <w:divBdr>
                    <w:top w:val="none" w:sz="0" w:space="0" w:color="auto"/>
                    <w:left w:val="none" w:sz="0" w:space="0" w:color="auto"/>
                    <w:bottom w:val="none" w:sz="0" w:space="0" w:color="auto"/>
                    <w:right w:val="none" w:sz="0" w:space="0" w:color="auto"/>
                  </w:divBdr>
                  <w:divsChild>
                    <w:div w:id="2090344980">
                      <w:marLeft w:val="0"/>
                      <w:marRight w:val="0"/>
                      <w:marTop w:val="0"/>
                      <w:marBottom w:val="0"/>
                      <w:divBdr>
                        <w:top w:val="none" w:sz="0" w:space="0" w:color="auto"/>
                        <w:left w:val="none" w:sz="0" w:space="0" w:color="auto"/>
                        <w:bottom w:val="none" w:sz="0" w:space="0" w:color="auto"/>
                        <w:right w:val="none" w:sz="0" w:space="0" w:color="auto"/>
                      </w:divBdr>
                      <w:divsChild>
                        <w:div w:id="1904825587">
                          <w:marLeft w:val="0"/>
                          <w:marRight w:val="0"/>
                          <w:marTop w:val="0"/>
                          <w:marBottom w:val="0"/>
                          <w:divBdr>
                            <w:top w:val="none" w:sz="0" w:space="0" w:color="auto"/>
                            <w:left w:val="none" w:sz="0" w:space="0" w:color="auto"/>
                            <w:bottom w:val="none" w:sz="0" w:space="0" w:color="auto"/>
                            <w:right w:val="none" w:sz="0" w:space="0" w:color="auto"/>
                          </w:divBdr>
                          <w:divsChild>
                            <w:div w:id="1743985705">
                              <w:marLeft w:val="0"/>
                              <w:marRight w:val="0"/>
                              <w:marTop w:val="0"/>
                              <w:marBottom w:val="0"/>
                              <w:divBdr>
                                <w:top w:val="none" w:sz="0" w:space="0" w:color="auto"/>
                                <w:left w:val="none" w:sz="0" w:space="0" w:color="auto"/>
                                <w:bottom w:val="none" w:sz="0" w:space="0" w:color="auto"/>
                                <w:right w:val="none" w:sz="0" w:space="0" w:color="auto"/>
                              </w:divBdr>
                              <w:divsChild>
                                <w:div w:id="1851293617">
                                  <w:marLeft w:val="0"/>
                                  <w:marRight w:val="0"/>
                                  <w:marTop w:val="0"/>
                                  <w:marBottom w:val="0"/>
                                  <w:divBdr>
                                    <w:top w:val="none" w:sz="0" w:space="0" w:color="auto"/>
                                    <w:left w:val="none" w:sz="0" w:space="0" w:color="auto"/>
                                    <w:bottom w:val="none" w:sz="0" w:space="0" w:color="auto"/>
                                    <w:right w:val="none" w:sz="0" w:space="0" w:color="auto"/>
                                  </w:divBdr>
                                  <w:divsChild>
                                    <w:div w:id="1082750680">
                                      <w:marLeft w:val="0"/>
                                      <w:marRight w:val="0"/>
                                      <w:marTop w:val="0"/>
                                      <w:marBottom w:val="0"/>
                                      <w:divBdr>
                                        <w:top w:val="none" w:sz="0" w:space="0" w:color="auto"/>
                                        <w:left w:val="none" w:sz="0" w:space="0" w:color="auto"/>
                                        <w:bottom w:val="none" w:sz="0" w:space="0" w:color="auto"/>
                                        <w:right w:val="none" w:sz="0" w:space="0" w:color="auto"/>
                                      </w:divBdr>
                                      <w:divsChild>
                                        <w:div w:id="1132406895">
                                          <w:marLeft w:val="0"/>
                                          <w:marRight w:val="0"/>
                                          <w:marTop w:val="0"/>
                                          <w:marBottom w:val="0"/>
                                          <w:divBdr>
                                            <w:top w:val="none" w:sz="0" w:space="0" w:color="auto"/>
                                            <w:left w:val="none" w:sz="0" w:space="0" w:color="auto"/>
                                            <w:bottom w:val="none" w:sz="0" w:space="0" w:color="auto"/>
                                            <w:right w:val="none" w:sz="0" w:space="0" w:color="auto"/>
                                          </w:divBdr>
                                          <w:divsChild>
                                            <w:div w:id="809521016">
                                              <w:marLeft w:val="0"/>
                                              <w:marRight w:val="0"/>
                                              <w:marTop w:val="0"/>
                                              <w:marBottom w:val="0"/>
                                              <w:divBdr>
                                                <w:top w:val="none" w:sz="0" w:space="0" w:color="auto"/>
                                                <w:left w:val="none" w:sz="0" w:space="0" w:color="auto"/>
                                                <w:bottom w:val="none" w:sz="0" w:space="0" w:color="auto"/>
                                                <w:right w:val="none" w:sz="0" w:space="0" w:color="auto"/>
                                              </w:divBdr>
                                              <w:divsChild>
                                                <w:div w:id="1254704377">
                                                  <w:marLeft w:val="0"/>
                                                  <w:marRight w:val="0"/>
                                                  <w:marTop w:val="0"/>
                                                  <w:marBottom w:val="0"/>
                                                  <w:divBdr>
                                                    <w:top w:val="none" w:sz="0" w:space="0" w:color="auto"/>
                                                    <w:left w:val="none" w:sz="0" w:space="0" w:color="auto"/>
                                                    <w:bottom w:val="none" w:sz="0" w:space="0" w:color="auto"/>
                                                    <w:right w:val="none" w:sz="0" w:space="0" w:color="auto"/>
                                                  </w:divBdr>
                                                  <w:divsChild>
                                                    <w:div w:id="1903100543">
                                                      <w:marLeft w:val="0"/>
                                                      <w:marRight w:val="0"/>
                                                      <w:marTop w:val="0"/>
                                                      <w:marBottom w:val="0"/>
                                                      <w:divBdr>
                                                        <w:top w:val="none" w:sz="0" w:space="0" w:color="auto"/>
                                                        <w:left w:val="none" w:sz="0" w:space="0" w:color="auto"/>
                                                        <w:bottom w:val="none" w:sz="0" w:space="0" w:color="auto"/>
                                                        <w:right w:val="none" w:sz="0" w:space="0" w:color="auto"/>
                                                      </w:divBdr>
                                                      <w:divsChild>
                                                        <w:div w:id="193026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1090288">
      <w:bodyDiv w:val="1"/>
      <w:marLeft w:val="0"/>
      <w:marRight w:val="0"/>
      <w:marTop w:val="0"/>
      <w:marBottom w:val="0"/>
      <w:divBdr>
        <w:top w:val="none" w:sz="0" w:space="0" w:color="auto"/>
        <w:left w:val="none" w:sz="0" w:space="0" w:color="auto"/>
        <w:bottom w:val="none" w:sz="0" w:space="0" w:color="auto"/>
        <w:right w:val="none" w:sz="0" w:space="0" w:color="auto"/>
      </w:divBdr>
    </w:div>
    <w:div w:id="348140453">
      <w:bodyDiv w:val="1"/>
      <w:marLeft w:val="0"/>
      <w:marRight w:val="0"/>
      <w:marTop w:val="0"/>
      <w:marBottom w:val="0"/>
      <w:divBdr>
        <w:top w:val="none" w:sz="0" w:space="0" w:color="auto"/>
        <w:left w:val="none" w:sz="0" w:space="0" w:color="auto"/>
        <w:bottom w:val="none" w:sz="0" w:space="0" w:color="auto"/>
        <w:right w:val="none" w:sz="0" w:space="0" w:color="auto"/>
      </w:divBdr>
    </w:div>
    <w:div w:id="403457282">
      <w:bodyDiv w:val="1"/>
      <w:marLeft w:val="0"/>
      <w:marRight w:val="0"/>
      <w:marTop w:val="0"/>
      <w:marBottom w:val="0"/>
      <w:divBdr>
        <w:top w:val="none" w:sz="0" w:space="0" w:color="auto"/>
        <w:left w:val="none" w:sz="0" w:space="0" w:color="auto"/>
        <w:bottom w:val="none" w:sz="0" w:space="0" w:color="auto"/>
        <w:right w:val="none" w:sz="0" w:space="0" w:color="auto"/>
      </w:divBdr>
    </w:div>
    <w:div w:id="479269164">
      <w:bodyDiv w:val="1"/>
      <w:marLeft w:val="0"/>
      <w:marRight w:val="0"/>
      <w:marTop w:val="0"/>
      <w:marBottom w:val="0"/>
      <w:divBdr>
        <w:top w:val="none" w:sz="0" w:space="0" w:color="auto"/>
        <w:left w:val="none" w:sz="0" w:space="0" w:color="auto"/>
        <w:bottom w:val="none" w:sz="0" w:space="0" w:color="auto"/>
        <w:right w:val="none" w:sz="0" w:space="0" w:color="auto"/>
      </w:divBdr>
    </w:div>
    <w:div w:id="646780530">
      <w:bodyDiv w:val="1"/>
      <w:marLeft w:val="0"/>
      <w:marRight w:val="0"/>
      <w:marTop w:val="0"/>
      <w:marBottom w:val="0"/>
      <w:divBdr>
        <w:top w:val="none" w:sz="0" w:space="0" w:color="auto"/>
        <w:left w:val="none" w:sz="0" w:space="0" w:color="auto"/>
        <w:bottom w:val="none" w:sz="0" w:space="0" w:color="auto"/>
        <w:right w:val="none" w:sz="0" w:space="0" w:color="auto"/>
      </w:divBdr>
    </w:div>
    <w:div w:id="655189362">
      <w:bodyDiv w:val="1"/>
      <w:marLeft w:val="0"/>
      <w:marRight w:val="0"/>
      <w:marTop w:val="0"/>
      <w:marBottom w:val="0"/>
      <w:divBdr>
        <w:top w:val="none" w:sz="0" w:space="0" w:color="auto"/>
        <w:left w:val="none" w:sz="0" w:space="0" w:color="auto"/>
        <w:bottom w:val="none" w:sz="0" w:space="0" w:color="auto"/>
        <w:right w:val="none" w:sz="0" w:space="0" w:color="auto"/>
      </w:divBdr>
      <w:divsChild>
        <w:div w:id="449279245">
          <w:marLeft w:val="0"/>
          <w:marRight w:val="0"/>
          <w:marTop w:val="0"/>
          <w:marBottom w:val="0"/>
          <w:divBdr>
            <w:top w:val="none" w:sz="0" w:space="0" w:color="auto"/>
            <w:left w:val="none" w:sz="0" w:space="0" w:color="auto"/>
            <w:bottom w:val="none" w:sz="0" w:space="0" w:color="auto"/>
            <w:right w:val="none" w:sz="0" w:space="0" w:color="auto"/>
          </w:divBdr>
          <w:divsChild>
            <w:div w:id="1210648941">
              <w:marLeft w:val="0"/>
              <w:marRight w:val="0"/>
              <w:marTop w:val="0"/>
              <w:marBottom w:val="0"/>
              <w:divBdr>
                <w:top w:val="none" w:sz="0" w:space="0" w:color="auto"/>
                <w:left w:val="none" w:sz="0" w:space="0" w:color="auto"/>
                <w:bottom w:val="none" w:sz="0" w:space="0" w:color="auto"/>
                <w:right w:val="none" w:sz="0" w:space="0" w:color="auto"/>
              </w:divBdr>
              <w:divsChild>
                <w:div w:id="11297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7883">
      <w:bodyDiv w:val="1"/>
      <w:marLeft w:val="0"/>
      <w:marRight w:val="0"/>
      <w:marTop w:val="0"/>
      <w:marBottom w:val="0"/>
      <w:divBdr>
        <w:top w:val="none" w:sz="0" w:space="0" w:color="auto"/>
        <w:left w:val="none" w:sz="0" w:space="0" w:color="auto"/>
        <w:bottom w:val="none" w:sz="0" w:space="0" w:color="auto"/>
        <w:right w:val="none" w:sz="0" w:space="0" w:color="auto"/>
      </w:divBdr>
    </w:div>
    <w:div w:id="1287540622">
      <w:bodyDiv w:val="1"/>
      <w:marLeft w:val="0"/>
      <w:marRight w:val="0"/>
      <w:marTop w:val="0"/>
      <w:marBottom w:val="0"/>
      <w:divBdr>
        <w:top w:val="none" w:sz="0" w:space="0" w:color="auto"/>
        <w:left w:val="none" w:sz="0" w:space="0" w:color="auto"/>
        <w:bottom w:val="none" w:sz="0" w:space="0" w:color="auto"/>
        <w:right w:val="none" w:sz="0" w:space="0" w:color="auto"/>
      </w:divBdr>
    </w:div>
    <w:div w:id="1381633884">
      <w:bodyDiv w:val="1"/>
      <w:marLeft w:val="0"/>
      <w:marRight w:val="0"/>
      <w:marTop w:val="0"/>
      <w:marBottom w:val="0"/>
      <w:divBdr>
        <w:top w:val="none" w:sz="0" w:space="0" w:color="auto"/>
        <w:left w:val="none" w:sz="0" w:space="0" w:color="auto"/>
        <w:bottom w:val="none" w:sz="0" w:space="0" w:color="auto"/>
        <w:right w:val="none" w:sz="0" w:space="0" w:color="auto"/>
      </w:divBdr>
    </w:div>
    <w:div w:id="1520042865">
      <w:bodyDiv w:val="1"/>
      <w:marLeft w:val="0"/>
      <w:marRight w:val="0"/>
      <w:marTop w:val="0"/>
      <w:marBottom w:val="0"/>
      <w:divBdr>
        <w:top w:val="none" w:sz="0" w:space="0" w:color="auto"/>
        <w:left w:val="none" w:sz="0" w:space="0" w:color="auto"/>
        <w:bottom w:val="none" w:sz="0" w:space="0" w:color="auto"/>
        <w:right w:val="none" w:sz="0" w:space="0" w:color="auto"/>
      </w:divBdr>
    </w:div>
    <w:div w:id="1578322216">
      <w:bodyDiv w:val="1"/>
      <w:marLeft w:val="0"/>
      <w:marRight w:val="0"/>
      <w:marTop w:val="0"/>
      <w:marBottom w:val="0"/>
      <w:divBdr>
        <w:top w:val="none" w:sz="0" w:space="0" w:color="auto"/>
        <w:left w:val="none" w:sz="0" w:space="0" w:color="auto"/>
        <w:bottom w:val="none" w:sz="0" w:space="0" w:color="auto"/>
        <w:right w:val="none" w:sz="0" w:space="0" w:color="auto"/>
      </w:divBdr>
    </w:div>
    <w:div w:id="1598363420">
      <w:bodyDiv w:val="1"/>
      <w:marLeft w:val="0"/>
      <w:marRight w:val="0"/>
      <w:marTop w:val="0"/>
      <w:marBottom w:val="0"/>
      <w:divBdr>
        <w:top w:val="none" w:sz="0" w:space="0" w:color="auto"/>
        <w:left w:val="none" w:sz="0" w:space="0" w:color="auto"/>
        <w:bottom w:val="none" w:sz="0" w:space="0" w:color="auto"/>
        <w:right w:val="none" w:sz="0" w:space="0" w:color="auto"/>
      </w:divBdr>
    </w:div>
    <w:div w:id="1876961508">
      <w:bodyDiv w:val="1"/>
      <w:marLeft w:val="0"/>
      <w:marRight w:val="0"/>
      <w:marTop w:val="0"/>
      <w:marBottom w:val="0"/>
      <w:divBdr>
        <w:top w:val="none" w:sz="0" w:space="0" w:color="auto"/>
        <w:left w:val="none" w:sz="0" w:space="0" w:color="auto"/>
        <w:bottom w:val="none" w:sz="0" w:space="0" w:color="auto"/>
        <w:right w:val="none" w:sz="0" w:space="0" w:color="auto"/>
      </w:divBdr>
    </w:div>
    <w:div w:id="1896888236">
      <w:bodyDiv w:val="1"/>
      <w:marLeft w:val="0"/>
      <w:marRight w:val="0"/>
      <w:marTop w:val="0"/>
      <w:marBottom w:val="0"/>
      <w:divBdr>
        <w:top w:val="none" w:sz="0" w:space="0" w:color="auto"/>
        <w:left w:val="none" w:sz="0" w:space="0" w:color="auto"/>
        <w:bottom w:val="none" w:sz="0" w:space="0" w:color="auto"/>
        <w:right w:val="none" w:sz="0" w:space="0" w:color="auto"/>
      </w:divBdr>
    </w:div>
    <w:div w:id="1967391944">
      <w:bodyDiv w:val="1"/>
      <w:marLeft w:val="0"/>
      <w:marRight w:val="0"/>
      <w:marTop w:val="0"/>
      <w:marBottom w:val="0"/>
      <w:divBdr>
        <w:top w:val="none" w:sz="0" w:space="0" w:color="auto"/>
        <w:left w:val="none" w:sz="0" w:space="0" w:color="auto"/>
        <w:bottom w:val="none" w:sz="0" w:space="0" w:color="auto"/>
        <w:right w:val="none" w:sz="0" w:space="0" w:color="auto"/>
      </w:divBdr>
    </w:div>
    <w:div w:id="197545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D72EC-FCE4-403E-97A2-D99720D1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2087</Words>
  <Characters>11788</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Normal.dot</vt:lpstr>
    </vt:vector>
  </TitlesOfParts>
  <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
  <dc:creator>DE VITO, Rosanna</dc:creator>
  <cp:keywords/>
  <cp:lastModifiedBy>GOLKOWSKI, Izabel</cp:lastModifiedBy>
  <cp:revision>2</cp:revision>
  <cp:lastPrinted>2021-10-19T08:54:00Z</cp:lastPrinted>
  <dcterms:created xsi:type="dcterms:W3CDTF">2021-10-26T06:16:00Z</dcterms:created>
  <dcterms:modified xsi:type="dcterms:W3CDTF">2021-10-26T06:16:00Z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checkforsharepointfields">
    <vt:lpwstr>False</vt:lpwstr>
  </property>
  <property fmtid="{D5CDD505-2E9C-101B-9397-08002B2CF9AE}" pid="4" name="Template Filename">
    <vt:lpwstr/>
  </property>
  <property fmtid="{D5CDD505-2E9C-101B-9397-08002B2CF9AE}" pid="5" name="ObjectiveRef">
    <vt:lpwstr>Removed</vt:lpwstr>
  </property>
  <property fmtid="{D5CDD505-2E9C-101B-9397-08002B2CF9AE}" pid="6" name="LeadingLawyers">
    <vt:lpwstr>Removed</vt:lpwstr>
  </property>
</Properties>
</file>