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CB39" w14:textId="30BC4E3B" w:rsidR="008B2EBC" w:rsidRPr="001D704A" w:rsidRDefault="0009193A" w:rsidP="00123EB1">
      <w:pPr>
        <w:jc w:val="center"/>
        <w:rPr>
          <w:rFonts w:ascii="Times New Roman" w:hAnsi="Times New Roman" w:cs="Times New Roman"/>
          <w:b/>
          <w:sz w:val="24"/>
          <w:szCs w:val="24"/>
          <w:u w:val="single"/>
        </w:rPr>
      </w:pPr>
      <w:r w:rsidRPr="001D704A">
        <w:rPr>
          <w:rFonts w:ascii="Times New Roman" w:hAnsi="Times New Roman" w:cs="Times New Roman"/>
          <w:b/>
          <w:sz w:val="24"/>
          <w:szCs w:val="24"/>
          <w:u w:val="single"/>
        </w:rPr>
        <w:t xml:space="preserve">REPLACEMENT </w:t>
      </w:r>
      <w:r w:rsidR="00FD3761" w:rsidRPr="001D704A">
        <w:rPr>
          <w:rFonts w:ascii="Times New Roman" w:hAnsi="Times New Roman" w:cs="Times New Roman"/>
          <w:b/>
          <w:sz w:val="24"/>
          <w:szCs w:val="24"/>
          <w:u w:val="single"/>
        </w:rPr>
        <w:t>EXPLANATORY STATEMENT</w:t>
      </w:r>
    </w:p>
    <w:p w14:paraId="4C6808DF" w14:textId="23669E03" w:rsidR="00FD3761" w:rsidRPr="001D704A" w:rsidRDefault="00FD3761" w:rsidP="00123EB1">
      <w:pPr>
        <w:jc w:val="center"/>
        <w:rPr>
          <w:rFonts w:ascii="Times New Roman" w:hAnsi="Times New Roman" w:cs="Times New Roman"/>
          <w:b/>
          <w:sz w:val="24"/>
          <w:szCs w:val="24"/>
        </w:rPr>
      </w:pPr>
    </w:p>
    <w:p w14:paraId="6947DCF9" w14:textId="4A7A4018" w:rsidR="0009193A" w:rsidRPr="001D704A" w:rsidRDefault="0009193A" w:rsidP="00123EB1">
      <w:pPr>
        <w:rPr>
          <w:rFonts w:ascii="Times New Roman" w:hAnsi="Times New Roman"/>
          <w:b/>
          <w:sz w:val="24"/>
          <w:szCs w:val="24"/>
        </w:rPr>
      </w:pPr>
      <w:r w:rsidRPr="001D704A">
        <w:rPr>
          <w:rFonts w:ascii="Times New Roman" w:hAnsi="Times New Roman"/>
          <w:b/>
          <w:sz w:val="24"/>
          <w:szCs w:val="24"/>
        </w:rPr>
        <w:t xml:space="preserve">This Explanatory Statement replaces the Explanatory Statement registered on 1 November 2021 for the </w:t>
      </w:r>
      <w:r w:rsidRPr="001D704A">
        <w:rPr>
          <w:rFonts w:ascii="Times New Roman" w:hAnsi="Times New Roman"/>
          <w:b/>
          <w:bCs/>
          <w:i/>
          <w:sz w:val="24"/>
          <w:szCs w:val="24"/>
        </w:rPr>
        <w:t>Financial Framework (Supplementary Powers) Amendment (</w:t>
      </w:r>
      <w:r w:rsidR="003B76A3" w:rsidRPr="001D704A">
        <w:rPr>
          <w:rFonts w:ascii="Times New Roman" w:hAnsi="Times New Roman"/>
          <w:b/>
          <w:bCs/>
          <w:i/>
          <w:sz w:val="24"/>
          <w:szCs w:val="24"/>
        </w:rPr>
        <w:t>Education, Skills and Employment</w:t>
      </w:r>
      <w:r w:rsidRPr="001D704A">
        <w:rPr>
          <w:rFonts w:ascii="Times New Roman" w:hAnsi="Times New Roman"/>
          <w:b/>
          <w:bCs/>
          <w:i/>
          <w:sz w:val="24"/>
          <w:szCs w:val="24"/>
        </w:rPr>
        <w:t xml:space="preserve"> Measures No. </w:t>
      </w:r>
      <w:r w:rsidR="003B76A3" w:rsidRPr="001D704A">
        <w:rPr>
          <w:rFonts w:ascii="Times New Roman" w:hAnsi="Times New Roman"/>
          <w:b/>
          <w:bCs/>
          <w:i/>
          <w:sz w:val="24"/>
          <w:szCs w:val="24"/>
        </w:rPr>
        <w:t>4</w:t>
      </w:r>
      <w:r w:rsidRPr="001D704A">
        <w:rPr>
          <w:rFonts w:ascii="Times New Roman" w:hAnsi="Times New Roman"/>
          <w:b/>
          <w:bCs/>
          <w:i/>
          <w:sz w:val="24"/>
          <w:szCs w:val="24"/>
        </w:rPr>
        <w:t>) Regulations 2021</w:t>
      </w:r>
      <w:r w:rsidRPr="001D704A">
        <w:rPr>
          <w:rFonts w:ascii="Times New Roman" w:hAnsi="Times New Roman"/>
          <w:b/>
          <w:bCs/>
          <w:sz w:val="24"/>
          <w:szCs w:val="24"/>
        </w:rPr>
        <w:t xml:space="preserve"> [F2021L0149</w:t>
      </w:r>
      <w:r w:rsidR="003B76A3" w:rsidRPr="001D704A">
        <w:rPr>
          <w:rFonts w:ascii="Times New Roman" w:hAnsi="Times New Roman"/>
          <w:b/>
          <w:bCs/>
          <w:sz w:val="24"/>
          <w:szCs w:val="24"/>
        </w:rPr>
        <w:t>4</w:t>
      </w:r>
      <w:r w:rsidRPr="001D704A">
        <w:rPr>
          <w:rFonts w:ascii="Times New Roman" w:hAnsi="Times New Roman"/>
          <w:b/>
          <w:bCs/>
          <w:sz w:val="24"/>
          <w:szCs w:val="24"/>
        </w:rPr>
        <w:t xml:space="preserve">] to </w:t>
      </w:r>
      <w:r w:rsidR="00417F39" w:rsidRPr="001D704A">
        <w:rPr>
          <w:rFonts w:ascii="Times New Roman" w:hAnsi="Times New Roman"/>
          <w:b/>
          <w:bCs/>
          <w:sz w:val="24"/>
          <w:szCs w:val="24"/>
        </w:rPr>
        <w:t>provide further information about</w:t>
      </w:r>
      <w:r w:rsidRPr="001D704A">
        <w:rPr>
          <w:rFonts w:ascii="Times New Roman" w:hAnsi="Times New Roman"/>
          <w:b/>
          <w:bCs/>
          <w:sz w:val="24"/>
          <w:szCs w:val="24"/>
        </w:rPr>
        <w:t xml:space="preserve"> delegation of administrative powers </w:t>
      </w:r>
      <w:r w:rsidR="00417F39" w:rsidRPr="001D704A">
        <w:rPr>
          <w:rFonts w:ascii="Times New Roman" w:hAnsi="Times New Roman"/>
          <w:b/>
          <w:bCs/>
          <w:sz w:val="24"/>
          <w:szCs w:val="24"/>
        </w:rPr>
        <w:t>and functions in relation to several</w:t>
      </w:r>
      <w:r w:rsidRPr="001D704A">
        <w:rPr>
          <w:rFonts w:ascii="Times New Roman" w:hAnsi="Times New Roman"/>
          <w:b/>
          <w:bCs/>
          <w:sz w:val="24"/>
          <w:szCs w:val="24"/>
        </w:rPr>
        <w:t xml:space="preserve"> program</w:t>
      </w:r>
      <w:r w:rsidR="00417F39" w:rsidRPr="001D704A">
        <w:rPr>
          <w:rFonts w:ascii="Times New Roman" w:hAnsi="Times New Roman"/>
          <w:b/>
          <w:bCs/>
          <w:sz w:val="24"/>
          <w:szCs w:val="24"/>
        </w:rPr>
        <w:t>s included in the instrument</w:t>
      </w:r>
      <w:r w:rsidRPr="001D704A">
        <w:rPr>
          <w:rFonts w:ascii="Times New Roman" w:hAnsi="Times New Roman"/>
          <w:b/>
          <w:bCs/>
          <w:sz w:val="24"/>
          <w:szCs w:val="24"/>
        </w:rPr>
        <w:t>.</w:t>
      </w:r>
    </w:p>
    <w:p w14:paraId="32C8A7C4" w14:textId="77777777" w:rsidR="0009193A" w:rsidRPr="001D704A" w:rsidRDefault="0009193A" w:rsidP="00123EB1">
      <w:pPr>
        <w:jc w:val="center"/>
        <w:rPr>
          <w:rFonts w:ascii="Times New Roman" w:hAnsi="Times New Roman" w:cs="Times New Roman"/>
          <w:b/>
          <w:sz w:val="24"/>
          <w:szCs w:val="24"/>
        </w:rPr>
      </w:pPr>
    </w:p>
    <w:p w14:paraId="4E293193" w14:textId="77777777" w:rsidR="00FD3761" w:rsidRPr="001D704A" w:rsidRDefault="00FD3761" w:rsidP="00123EB1">
      <w:pPr>
        <w:jc w:val="center"/>
        <w:rPr>
          <w:rFonts w:ascii="Times New Roman" w:hAnsi="Times New Roman" w:cs="Times New Roman"/>
          <w:b/>
          <w:sz w:val="24"/>
          <w:szCs w:val="24"/>
        </w:rPr>
      </w:pPr>
      <w:r w:rsidRPr="001D704A">
        <w:rPr>
          <w:rFonts w:ascii="Times New Roman" w:hAnsi="Times New Roman" w:cs="Times New Roman"/>
          <w:b/>
          <w:sz w:val="24"/>
          <w:szCs w:val="24"/>
        </w:rPr>
        <w:t>Issued by the Author</w:t>
      </w:r>
      <w:r w:rsidR="00600063" w:rsidRPr="001D704A">
        <w:rPr>
          <w:rFonts w:ascii="Times New Roman" w:hAnsi="Times New Roman" w:cs="Times New Roman"/>
          <w:b/>
          <w:sz w:val="24"/>
          <w:szCs w:val="24"/>
        </w:rPr>
        <w:t>ity of the Minister for Finance</w:t>
      </w:r>
    </w:p>
    <w:p w14:paraId="1D5FA7BA" w14:textId="77777777" w:rsidR="00FD1202" w:rsidRPr="001D704A" w:rsidRDefault="00FD1202" w:rsidP="00123EB1">
      <w:pPr>
        <w:contextualSpacing/>
        <w:jc w:val="center"/>
        <w:rPr>
          <w:rFonts w:ascii="Times New Roman" w:hAnsi="Times New Roman" w:cs="Times New Roman"/>
          <w:i/>
          <w:sz w:val="24"/>
          <w:szCs w:val="24"/>
        </w:rPr>
      </w:pPr>
    </w:p>
    <w:p w14:paraId="79B23D72" w14:textId="77777777" w:rsidR="00FD3761" w:rsidRPr="001D704A" w:rsidRDefault="00FD3761" w:rsidP="00123EB1">
      <w:pPr>
        <w:contextualSpacing/>
        <w:jc w:val="center"/>
        <w:rPr>
          <w:rFonts w:ascii="Times New Roman" w:hAnsi="Times New Roman" w:cs="Times New Roman"/>
          <w:i/>
          <w:sz w:val="24"/>
          <w:szCs w:val="24"/>
        </w:rPr>
      </w:pPr>
      <w:r w:rsidRPr="001D704A">
        <w:rPr>
          <w:rFonts w:ascii="Times New Roman" w:hAnsi="Times New Roman" w:cs="Times New Roman"/>
          <w:i/>
          <w:sz w:val="24"/>
          <w:szCs w:val="24"/>
        </w:rPr>
        <w:t>Financial Framework (Supplementary Powers) Act 1997</w:t>
      </w:r>
    </w:p>
    <w:p w14:paraId="45EC2511" w14:textId="77777777" w:rsidR="00FD3761" w:rsidRPr="001D704A" w:rsidRDefault="00FD3761" w:rsidP="00123EB1">
      <w:pPr>
        <w:tabs>
          <w:tab w:val="left" w:pos="1701"/>
        </w:tabs>
        <w:contextualSpacing/>
        <w:jc w:val="center"/>
        <w:rPr>
          <w:rFonts w:ascii="Times New Roman" w:hAnsi="Times New Roman" w:cs="Times New Roman"/>
          <w:sz w:val="24"/>
          <w:szCs w:val="24"/>
        </w:rPr>
      </w:pPr>
    </w:p>
    <w:p w14:paraId="0F56D153" w14:textId="77777777" w:rsidR="00FD3761" w:rsidRPr="001D704A" w:rsidRDefault="00FD3761" w:rsidP="00123EB1">
      <w:pPr>
        <w:tabs>
          <w:tab w:val="left" w:pos="1701"/>
        </w:tabs>
        <w:contextualSpacing/>
        <w:jc w:val="center"/>
        <w:rPr>
          <w:rFonts w:ascii="Times New Roman" w:hAnsi="Times New Roman" w:cs="Times New Roman"/>
          <w:i/>
          <w:sz w:val="24"/>
          <w:szCs w:val="24"/>
        </w:rPr>
      </w:pPr>
      <w:r w:rsidRPr="001D704A">
        <w:rPr>
          <w:rFonts w:ascii="Times New Roman" w:hAnsi="Times New Roman" w:cs="Times New Roman"/>
          <w:i/>
          <w:sz w:val="24"/>
          <w:szCs w:val="24"/>
        </w:rPr>
        <w:t xml:space="preserve">Financial Framework (Supplementary Powers) Amendment </w:t>
      </w:r>
    </w:p>
    <w:p w14:paraId="10A90FF5" w14:textId="77777777" w:rsidR="00337D61" w:rsidRPr="001D704A" w:rsidRDefault="00337D61" w:rsidP="00123EB1">
      <w:pPr>
        <w:tabs>
          <w:tab w:val="left" w:pos="1701"/>
        </w:tabs>
        <w:contextualSpacing/>
        <w:jc w:val="center"/>
        <w:rPr>
          <w:rFonts w:ascii="Times New Roman" w:hAnsi="Times New Roman" w:cs="Times New Roman"/>
          <w:i/>
          <w:sz w:val="24"/>
          <w:szCs w:val="24"/>
        </w:rPr>
      </w:pPr>
      <w:r w:rsidRPr="001D704A">
        <w:rPr>
          <w:rFonts w:ascii="Times New Roman" w:hAnsi="Times New Roman" w:cs="Times New Roman"/>
          <w:i/>
          <w:sz w:val="24"/>
          <w:szCs w:val="24"/>
        </w:rPr>
        <w:t>(</w:t>
      </w:r>
      <w:r w:rsidR="003D6FE3" w:rsidRPr="001D704A">
        <w:rPr>
          <w:rFonts w:ascii="Times New Roman" w:hAnsi="Times New Roman" w:cs="Times New Roman"/>
          <w:i/>
          <w:sz w:val="24"/>
          <w:szCs w:val="24"/>
        </w:rPr>
        <w:t>Education, Skills and Employment</w:t>
      </w:r>
      <w:r w:rsidRPr="001D704A">
        <w:rPr>
          <w:rFonts w:ascii="Times New Roman" w:hAnsi="Times New Roman" w:cs="Times New Roman"/>
          <w:i/>
          <w:sz w:val="24"/>
          <w:szCs w:val="24"/>
        </w:rPr>
        <w:t xml:space="preserve"> Measures No. </w:t>
      </w:r>
      <w:r w:rsidR="003D6FE3" w:rsidRPr="001D704A">
        <w:rPr>
          <w:rFonts w:ascii="Times New Roman" w:hAnsi="Times New Roman" w:cs="Times New Roman"/>
          <w:i/>
          <w:sz w:val="24"/>
          <w:szCs w:val="24"/>
        </w:rPr>
        <w:t>4</w:t>
      </w:r>
      <w:r w:rsidR="00536EBE" w:rsidRPr="001D704A">
        <w:rPr>
          <w:rFonts w:ascii="Times New Roman" w:hAnsi="Times New Roman" w:cs="Times New Roman"/>
          <w:i/>
          <w:sz w:val="24"/>
          <w:szCs w:val="24"/>
        </w:rPr>
        <w:t>) Regulations 2021</w:t>
      </w:r>
    </w:p>
    <w:p w14:paraId="40D5E353" w14:textId="77777777" w:rsidR="00FD3761" w:rsidRPr="001D704A" w:rsidRDefault="00FD3761" w:rsidP="00123EB1">
      <w:pPr>
        <w:contextualSpacing/>
        <w:rPr>
          <w:rFonts w:ascii="Times New Roman" w:hAnsi="Times New Roman" w:cs="Times New Roman"/>
          <w:sz w:val="24"/>
          <w:szCs w:val="24"/>
        </w:rPr>
      </w:pPr>
    </w:p>
    <w:p w14:paraId="687EBF44" w14:textId="77777777" w:rsidR="00FD3761" w:rsidRPr="001D704A" w:rsidRDefault="00FD3761" w:rsidP="00123EB1">
      <w:pPr>
        <w:contextualSpacing/>
        <w:rPr>
          <w:rFonts w:ascii="Times New Roman" w:hAnsi="Times New Roman" w:cs="Times New Roman"/>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sz w:val="24"/>
          <w:szCs w:val="24"/>
        </w:rPr>
        <w:t>Financial Framework (Supplementary Powers) Act 1997</w:t>
      </w:r>
      <w:r w:rsidRPr="001D704A">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1D704A">
        <w:rPr>
          <w:rFonts w:ascii="Times New Roman" w:hAnsi="Times New Roman" w:cs="Times New Roman"/>
          <w:sz w:val="24"/>
          <w:szCs w:val="24"/>
        </w:rPr>
        <w:t xml:space="preserve">ise be involved in, companies. </w:t>
      </w:r>
      <w:r w:rsidRPr="001D704A">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D704A">
        <w:rPr>
          <w:rFonts w:ascii="Times New Roman" w:hAnsi="Times New Roman" w:cs="Times New Roman"/>
          <w:i/>
          <w:sz w:val="24"/>
          <w:szCs w:val="24"/>
        </w:rPr>
        <w:t xml:space="preserve">Financial Framework (Supplementary Powers) Regulations 1997 </w:t>
      </w:r>
      <w:r w:rsidR="00AB4D85" w:rsidRPr="001D704A">
        <w:rPr>
          <w:rFonts w:ascii="Times New Roman" w:hAnsi="Times New Roman" w:cs="Times New Roman"/>
          <w:sz w:val="24"/>
          <w:szCs w:val="24"/>
        </w:rPr>
        <w:t xml:space="preserve">(the Principal Regulations). </w:t>
      </w:r>
      <w:r w:rsidR="005E73AF" w:rsidRPr="001D704A">
        <w:rPr>
          <w:rFonts w:ascii="Times New Roman" w:hAnsi="Times New Roman" w:cs="Times New Roman"/>
          <w:sz w:val="24"/>
          <w:szCs w:val="24"/>
        </w:rPr>
        <w:t>The powers in the FF(SP) Act to make, vary or administer arrangements or grants may be exercised on behalf of the Commonwealth by</w:t>
      </w:r>
      <w:r w:rsidRPr="001D704A">
        <w:rPr>
          <w:rFonts w:ascii="Times New Roman" w:hAnsi="Times New Roman" w:cs="Times New Roman"/>
          <w:sz w:val="24"/>
          <w:szCs w:val="24"/>
        </w:rPr>
        <w:t xml:space="preserve"> Ministers and the accountable authorities of non</w:t>
      </w:r>
      <w:r w:rsidRPr="001D704A">
        <w:rPr>
          <w:rFonts w:ascii="Times New Roman" w:hAnsi="Times New Roman" w:cs="Times New Roman"/>
          <w:sz w:val="24"/>
          <w:szCs w:val="24"/>
        </w:rPr>
        <w:noBreakHyphen/>
        <w:t xml:space="preserve">corporate Commonwealth entities, as defined under section 12 of the </w:t>
      </w:r>
      <w:r w:rsidRPr="001D704A">
        <w:rPr>
          <w:rFonts w:ascii="Times New Roman" w:hAnsi="Times New Roman" w:cs="Times New Roman"/>
          <w:i/>
          <w:sz w:val="24"/>
          <w:szCs w:val="24"/>
        </w:rPr>
        <w:t>Public Governance, Performance and Accountability Act 2013</w:t>
      </w:r>
      <w:r w:rsidR="00901F6D" w:rsidRPr="001D704A">
        <w:rPr>
          <w:rFonts w:ascii="Times New Roman" w:hAnsi="Times New Roman" w:cs="Times New Roman"/>
          <w:sz w:val="24"/>
          <w:szCs w:val="24"/>
        </w:rPr>
        <w:t xml:space="preserve">. </w:t>
      </w:r>
    </w:p>
    <w:p w14:paraId="617C84EB" w14:textId="77777777" w:rsidR="00FD3761" w:rsidRPr="001D704A" w:rsidRDefault="00FD3761" w:rsidP="00123EB1">
      <w:pPr>
        <w:contextualSpacing/>
        <w:rPr>
          <w:rFonts w:ascii="Times New Roman" w:hAnsi="Times New Roman" w:cs="Times New Roman"/>
          <w:sz w:val="24"/>
          <w:szCs w:val="24"/>
        </w:rPr>
      </w:pPr>
    </w:p>
    <w:p w14:paraId="010416D3" w14:textId="77777777" w:rsidR="00FD3761" w:rsidRPr="001D704A" w:rsidRDefault="00FD3761" w:rsidP="00123EB1">
      <w:pPr>
        <w:pStyle w:val="ParaNumbering"/>
        <w:tabs>
          <w:tab w:val="clear" w:pos="360"/>
          <w:tab w:val="clear" w:pos="567"/>
        </w:tabs>
        <w:spacing w:after="0" w:line="240" w:lineRule="auto"/>
        <w:contextualSpacing/>
        <w:rPr>
          <w:szCs w:val="24"/>
        </w:rPr>
      </w:pPr>
      <w:r w:rsidRPr="001D704A">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4EC3BE7" w14:textId="77777777" w:rsidR="00FD3761" w:rsidRPr="001D704A" w:rsidRDefault="00FD3761" w:rsidP="00123EB1">
      <w:pPr>
        <w:contextualSpacing/>
        <w:rPr>
          <w:rFonts w:ascii="Times New Roman" w:hAnsi="Times New Roman" w:cs="Times New Roman"/>
          <w:sz w:val="24"/>
          <w:szCs w:val="24"/>
        </w:rPr>
      </w:pPr>
    </w:p>
    <w:p w14:paraId="45C2B694" w14:textId="77777777" w:rsidR="00FD3761" w:rsidRPr="001D704A" w:rsidRDefault="00FD3761" w:rsidP="00123EB1">
      <w:pPr>
        <w:ind w:right="-45"/>
        <w:rPr>
          <w:rFonts w:ascii="Times New Roman" w:hAnsi="Times New Roman" w:cs="Times New Roman"/>
          <w:sz w:val="24"/>
          <w:szCs w:val="24"/>
        </w:rPr>
      </w:pPr>
      <w:r w:rsidRPr="001D704A">
        <w:rPr>
          <w:rFonts w:ascii="Times New Roman" w:hAnsi="Times New Roman" w:cs="Times New Roman"/>
          <w:sz w:val="24"/>
          <w:szCs w:val="24"/>
        </w:rPr>
        <w:t>Section 32B of the FF(SP) Act authorises the Commonwealth to make, vary and administer arrangements and grants specified</w:t>
      </w:r>
      <w:r w:rsidR="00AB4D85" w:rsidRPr="001D704A">
        <w:rPr>
          <w:rFonts w:ascii="Times New Roman" w:hAnsi="Times New Roman" w:cs="Times New Roman"/>
          <w:sz w:val="24"/>
          <w:szCs w:val="24"/>
        </w:rPr>
        <w:t xml:space="preserve"> in the Principal Regulations. </w:t>
      </w:r>
      <w:r w:rsidRPr="001D704A">
        <w:rPr>
          <w:rFonts w:ascii="Times New Roman" w:hAnsi="Times New Roman" w:cs="Times New Roman"/>
          <w:sz w:val="24"/>
          <w:szCs w:val="24"/>
        </w:rPr>
        <w:t>Section 32B also authorises the Commonwealth to make, vary and administer arrangements for the purposes of programs specified</w:t>
      </w:r>
      <w:r w:rsidR="00AB4D85" w:rsidRPr="001D704A">
        <w:rPr>
          <w:rFonts w:ascii="Times New Roman" w:hAnsi="Times New Roman" w:cs="Times New Roman"/>
          <w:sz w:val="24"/>
          <w:szCs w:val="24"/>
        </w:rPr>
        <w:t xml:space="preserve"> in the Principal Regulations. </w:t>
      </w:r>
      <w:r w:rsidRPr="001D704A">
        <w:rPr>
          <w:rFonts w:ascii="Times New Roman" w:hAnsi="Times New Roman" w:cs="Times New Roman"/>
          <w:sz w:val="24"/>
          <w:szCs w:val="24"/>
        </w:rPr>
        <w:t>Schedule 1AA and Schedule 1AB to the Principal Regulations specify the arra</w:t>
      </w:r>
      <w:r w:rsidR="0090502B" w:rsidRPr="001D704A">
        <w:rPr>
          <w:rFonts w:ascii="Times New Roman" w:hAnsi="Times New Roman" w:cs="Times New Roman"/>
          <w:sz w:val="24"/>
          <w:szCs w:val="24"/>
        </w:rPr>
        <w:t>ngements, grants and programs.</w:t>
      </w:r>
    </w:p>
    <w:p w14:paraId="59E330CE" w14:textId="77777777" w:rsidR="00FD3761" w:rsidRPr="001D704A" w:rsidRDefault="00FD3761" w:rsidP="00123EB1">
      <w:pPr>
        <w:ind w:right="-46"/>
        <w:rPr>
          <w:rFonts w:ascii="Times New Roman" w:hAnsi="Times New Roman" w:cs="Times New Roman"/>
          <w:sz w:val="24"/>
          <w:szCs w:val="24"/>
        </w:rPr>
      </w:pPr>
    </w:p>
    <w:p w14:paraId="7BD439AE" w14:textId="798F1045" w:rsidR="001C5F35" w:rsidRPr="001D704A" w:rsidRDefault="00337D61" w:rsidP="00123EB1">
      <w:pPr>
        <w:ind w:right="-46"/>
        <w:rPr>
          <w:rFonts w:ascii="Times New Roman" w:hAnsi="Times New Roman" w:cs="Times New Roman"/>
          <w:color w:val="000000" w:themeColor="text1"/>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sz w:val="24"/>
          <w:szCs w:val="24"/>
        </w:rPr>
        <w:t>Financial Framework (Supplementary Powers) Amendment (</w:t>
      </w:r>
      <w:r w:rsidR="00C35B92" w:rsidRPr="001D704A">
        <w:rPr>
          <w:rFonts w:ascii="Times New Roman" w:hAnsi="Times New Roman" w:cs="Times New Roman"/>
          <w:i/>
          <w:sz w:val="24"/>
          <w:szCs w:val="24"/>
        </w:rPr>
        <w:t>Education, Skills and Employment</w:t>
      </w:r>
      <w:r w:rsidR="00574A67" w:rsidRPr="001D704A">
        <w:rPr>
          <w:rFonts w:ascii="Times New Roman" w:hAnsi="Times New Roman" w:cs="Times New Roman"/>
          <w:i/>
          <w:sz w:val="24"/>
          <w:szCs w:val="24"/>
        </w:rPr>
        <w:t xml:space="preserve"> Mea</w:t>
      </w:r>
      <w:r w:rsidR="00010278" w:rsidRPr="001D704A">
        <w:rPr>
          <w:rFonts w:ascii="Times New Roman" w:hAnsi="Times New Roman" w:cs="Times New Roman"/>
          <w:i/>
          <w:sz w:val="24"/>
          <w:szCs w:val="24"/>
        </w:rPr>
        <w:t>sures No. </w:t>
      </w:r>
      <w:r w:rsidR="00C35B92" w:rsidRPr="001D704A">
        <w:rPr>
          <w:rFonts w:ascii="Times New Roman" w:hAnsi="Times New Roman" w:cs="Times New Roman"/>
          <w:i/>
          <w:sz w:val="24"/>
          <w:szCs w:val="24"/>
        </w:rPr>
        <w:t>4</w:t>
      </w:r>
      <w:r w:rsidR="00F86C5D" w:rsidRPr="001D704A">
        <w:rPr>
          <w:rFonts w:ascii="Times New Roman" w:hAnsi="Times New Roman" w:cs="Times New Roman"/>
          <w:i/>
          <w:sz w:val="24"/>
          <w:szCs w:val="24"/>
        </w:rPr>
        <w:t xml:space="preserve">) Regulations 2021 </w:t>
      </w:r>
      <w:r w:rsidRPr="001D704A">
        <w:rPr>
          <w:rFonts w:ascii="Times New Roman" w:hAnsi="Times New Roman" w:cs="Times New Roman"/>
          <w:sz w:val="24"/>
          <w:szCs w:val="24"/>
        </w:rPr>
        <w:t xml:space="preserve">(the Regulations) amend </w:t>
      </w:r>
      <w:r w:rsidR="00055BC9" w:rsidRPr="001D704A">
        <w:rPr>
          <w:rFonts w:ascii="Times New Roman" w:hAnsi="Times New Roman" w:cs="Times New Roman"/>
          <w:sz w:val="24"/>
          <w:szCs w:val="24"/>
        </w:rPr>
        <w:t>Schedule 1AB to the Principal Regulations to establish legislative authority for government spending on certain activities administered by the Department of</w:t>
      </w:r>
      <w:r w:rsidR="001C5F35" w:rsidRPr="001D704A">
        <w:rPr>
          <w:rFonts w:ascii="Times New Roman" w:hAnsi="Times New Roman" w:cs="Times New Roman"/>
          <w:color w:val="000000" w:themeColor="text1"/>
          <w:sz w:val="24"/>
          <w:szCs w:val="24"/>
        </w:rPr>
        <w:t xml:space="preserve"> </w:t>
      </w:r>
      <w:r w:rsidR="00C35B92" w:rsidRPr="001D704A">
        <w:rPr>
          <w:rFonts w:ascii="Times New Roman" w:hAnsi="Times New Roman" w:cs="Times New Roman"/>
          <w:color w:val="000000" w:themeColor="text1"/>
          <w:sz w:val="24"/>
          <w:szCs w:val="24"/>
        </w:rPr>
        <w:t>Education, Skills and Employment</w:t>
      </w:r>
      <w:r w:rsidR="001C5F35" w:rsidRPr="001D704A">
        <w:rPr>
          <w:rFonts w:ascii="Times New Roman" w:hAnsi="Times New Roman" w:cs="Times New Roman"/>
          <w:color w:val="000000" w:themeColor="text1"/>
          <w:sz w:val="24"/>
          <w:szCs w:val="24"/>
        </w:rPr>
        <w:t>.</w:t>
      </w:r>
    </w:p>
    <w:p w14:paraId="17B5C92A" w14:textId="77777777" w:rsidR="006D55A0" w:rsidRPr="001D704A" w:rsidRDefault="006D55A0" w:rsidP="00123EB1">
      <w:pPr>
        <w:ind w:right="-46"/>
        <w:rPr>
          <w:rFonts w:ascii="Times New Roman" w:hAnsi="Times New Roman" w:cs="Times New Roman"/>
          <w:color w:val="000000" w:themeColor="text1"/>
          <w:sz w:val="24"/>
          <w:szCs w:val="24"/>
        </w:rPr>
      </w:pPr>
    </w:p>
    <w:p w14:paraId="33F31AF6" w14:textId="77777777" w:rsidR="00055BC9" w:rsidRPr="001D704A" w:rsidRDefault="00055BC9" w:rsidP="00123EB1">
      <w:pPr>
        <w:ind w:right="-46"/>
        <w:rPr>
          <w:rFonts w:ascii="Times New Roman" w:hAnsi="Times New Roman" w:cs="Times New Roman"/>
          <w:sz w:val="24"/>
          <w:szCs w:val="24"/>
        </w:rPr>
      </w:pPr>
      <w:r w:rsidRPr="001D704A">
        <w:rPr>
          <w:rFonts w:ascii="Times New Roman" w:hAnsi="Times New Roman" w:cs="Times New Roman"/>
          <w:sz w:val="24"/>
          <w:szCs w:val="24"/>
        </w:rPr>
        <w:t>Funding is provided for:</w:t>
      </w:r>
    </w:p>
    <w:p w14:paraId="6369F08A" w14:textId="040B83E7" w:rsidR="004F24BA" w:rsidRPr="001D704A" w:rsidRDefault="004F24BA" w:rsidP="00123EB1">
      <w:pPr>
        <w:pStyle w:val="ListParagraph"/>
        <w:numPr>
          <w:ilvl w:val="0"/>
          <w:numId w:val="19"/>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sz w:val="24"/>
          <w:szCs w:val="24"/>
          <w:lang w:val="en-GB"/>
        </w:rPr>
        <w:t xml:space="preserve">a </w:t>
      </w:r>
      <w:r w:rsidR="00A3189D" w:rsidRPr="001D704A">
        <w:rPr>
          <w:rFonts w:ascii="Times New Roman" w:hAnsi="Times New Roman"/>
          <w:sz w:val="24"/>
          <w:szCs w:val="24"/>
          <w:lang w:val="en-GB"/>
        </w:rPr>
        <w:t>g</w:t>
      </w:r>
      <w:r w:rsidRPr="001D704A">
        <w:rPr>
          <w:rFonts w:ascii="Times New Roman" w:hAnsi="Times New Roman"/>
          <w:sz w:val="24"/>
          <w:szCs w:val="24"/>
          <w:lang w:val="en-GB"/>
        </w:rPr>
        <w:t>rant to MultiLit Pty Limited to provide phonics-based programs to support literacy outcomes</w:t>
      </w:r>
      <w:r w:rsidR="00A3189D" w:rsidRPr="001D704A">
        <w:rPr>
          <w:rFonts w:ascii="Times New Roman" w:hAnsi="Times New Roman"/>
          <w:sz w:val="24"/>
          <w:szCs w:val="24"/>
          <w:lang w:val="en-GB"/>
        </w:rPr>
        <w:t xml:space="preserve"> for students,</w:t>
      </w:r>
      <w:r w:rsidRPr="001D704A">
        <w:rPr>
          <w:rFonts w:ascii="Times New Roman" w:hAnsi="Times New Roman"/>
          <w:sz w:val="24"/>
          <w:szCs w:val="24"/>
          <w:lang w:val="en-GB"/>
        </w:rPr>
        <w:t xml:space="preserve"> particularly Aboriginal and Torres Strait Islander students ($8</w:t>
      </w:r>
      <w:r w:rsidR="00A3189D" w:rsidRPr="001D704A">
        <w:rPr>
          <w:rFonts w:ascii="Times New Roman" w:hAnsi="Times New Roman"/>
          <w:sz w:val="24"/>
          <w:szCs w:val="24"/>
          <w:lang w:val="en-GB"/>
        </w:rPr>
        <w:t> </w:t>
      </w:r>
      <w:r w:rsidRPr="001D704A">
        <w:rPr>
          <w:rFonts w:ascii="Times New Roman" w:hAnsi="Times New Roman"/>
          <w:sz w:val="24"/>
          <w:szCs w:val="24"/>
          <w:lang w:val="en-GB"/>
        </w:rPr>
        <w:t>million over four years from 2021-22);</w:t>
      </w:r>
    </w:p>
    <w:p w14:paraId="105E2CE2" w14:textId="4AA2D248" w:rsidR="00DB1C54" w:rsidRPr="001D704A" w:rsidRDefault="00C66D6C" w:rsidP="00123EB1">
      <w:pPr>
        <w:pStyle w:val="ListParagraph"/>
        <w:numPr>
          <w:ilvl w:val="0"/>
          <w:numId w:val="19"/>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sz w:val="24"/>
          <w:szCs w:val="24"/>
          <w:lang w:val="en-GB"/>
        </w:rPr>
        <w:t xml:space="preserve">a </w:t>
      </w:r>
      <w:r w:rsidR="00E6326F" w:rsidRPr="001D704A">
        <w:rPr>
          <w:rFonts w:ascii="Times New Roman" w:hAnsi="Times New Roman"/>
          <w:sz w:val="24"/>
          <w:szCs w:val="24"/>
          <w:lang w:val="en-GB"/>
        </w:rPr>
        <w:t>g</w:t>
      </w:r>
      <w:r w:rsidR="0025388F" w:rsidRPr="001D704A">
        <w:rPr>
          <w:rFonts w:ascii="Times New Roman" w:hAnsi="Times New Roman"/>
          <w:sz w:val="24"/>
          <w:szCs w:val="24"/>
          <w:lang w:val="en-GB"/>
        </w:rPr>
        <w:t xml:space="preserve">rant </w:t>
      </w:r>
      <w:r w:rsidR="00207872" w:rsidRPr="001D704A">
        <w:rPr>
          <w:rFonts w:ascii="Times New Roman" w:hAnsi="Times New Roman"/>
          <w:sz w:val="24"/>
          <w:szCs w:val="24"/>
        </w:rPr>
        <w:t>to Together for Humanity Foundation Limited</w:t>
      </w:r>
      <w:r w:rsidR="00E6326F" w:rsidRPr="001D704A">
        <w:rPr>
          <w:rFonts w:ascii="Times New Roman" w:hAnsi="Times New Roman"/>
          <w:sz w:val="24"/>
          <w:szCs w:val="24"/>
        </w:rPr>
        <w:t xml:space="preserve"> to deliver the Inclusion Education</w:t>
      </w:r>
      <w:r w:rsidR="00EA5FC6" w:rsidRPr="001D704A">
        <w:rPr>
          <w:rFonts w:ascii="Times New Roman" w:hAnsi="Times New Roman"/>
          <w:sz w:val="24"/>
          <w:szCs w:val="24"/>
        </w:rPr>
        <w:t xml:space="preserve"> </w:t>
      </w:r>
      <w:r w:rsidR="00EA5FC6" w:rsidRPr="001D704A">
        <w:rPr>
          <w:rFonts w:ascii="Times New Roman" w:hAnsi="Times New Roman"/>
          <w:iCs/>
          <w:color w:val="000000" w:themeColor="text1"/>
          <w:sz w:val="24"/>
          <w:szCs w:val="24"/>
        </w:rPr>
        <w:t xml:space="preserve">for Connected Youth and Communities </w:t>
      </w:r>
      <w:r w:rsidR="00E6326F" w:rsidRPr="001D704A">
        <w:rPr>
          <w:rFonts w:ascii="Times New Roman" w:hAnsi="Times New Roman"/>
          <w:iCs/>
          <w:color w:val="000000" w:themeColor="text1"/>
          <w:sz w:val="24"/>
          <w:szCs w:val="24"/>
        </w:rPr>
        <w:t>Initiative, which includes intercultural solutions, programs and resources for</w:t>
      </w:r>
      <w:r w:rsidR="00EA5FC6" w:rsidRPr="001D704A">
        <w:rPr>
          <w:rFonts w:ascii="Times New Roman" w:hAnsi="Times New Roman"/>
          <w:iCs/>
          <w:color w:val="000000" w:themeColor="text1"/>
          <w:sz w:val="24"/>
          <w:szCs w:val="24"/>
        </w:rPr>
        <w:t xml:space="preserve"> students, teachers and </w:t>
      </w:r>
      <w:r w:rsidR="00E6326F" w:rsidRPr="001D704A">
        <w:rPr>
          <w:rFonts w:ascii="Times New Roman" w:hAnsi="Times New Roman"/>
          <w:iCs/>
          <w:color w:val="000000" w:themeColor="text1"/>
          <w:sz w:val="24"/>
          <w:szCs w:val="24"/>
        </w:rPr>
        <w:t>school communities and related research</w:t>
      </w:r>
      <w:r w:rsidR="00EA5FC6" w:rsidRPr="001D704A">
        <w:rPr>
          <w:rFonts w:ascii="Times New Roman" w:hAnsi="Times New Roman"/>
          <w:iCs/>
          <w:color w:val="000000" w:themeColor="text1"/>
          <w:sz w:val="24"/>
          <w:szCs w:val="24"/>
        </w:rPr>
        <w:t xml:space="preserve"> </w:t>
      </w:r>
      <w:r w:rsidR="002065BB" w:rsidRPr="001D704A">
        <w:rPr>
          <w:rFonts w:ascii="Times New Roman" w:hAnsi="Times New Roman"/>
          <w:sz w:val="24"/>
          <w:szCs w:val="24"/>
          <w:lang w:val="en-GB"/>
        </w:rPr>
        <w:t>($8.</w:t>
      </w:r>
      <w:r w:rsidR="00EA5FC6" w:rsidRPr="001D704A">
        <w:rPr>
          <w:rFonts w:ascii="Times New Roman" w:hAnsi="Times New Roman"/>
          <w:sz w:val="24"/>
          <w:szCs w:val="24"/>
          <w:lang w:val="en-GB"/>
        </w:rPr>
        <w:t>1</w:t>
      </w:r>
      <w:r w:rsidR="002065BB" w:rsidRPr="001D704A">
        <w:rPr>
          <w:rFonts w:ascii="Times New Roman" w:hAnsi="Times New Roman"/>
          <w:sz w:val="24"/>
          <w:szCs w:val="24"/>
          <w:lang w:val="en-GB"/>
        </w:rPr>
        <w:t xml:space="preserve"> million over four years from 2021-22</w:t>
      </w:r>
      <w:r w:rsidR="00207872" w:rsidRPr="001D704A">
        <w:rPr>
          <w:rFonts w:ascii="Times New Roman" w:hAnsi="Times New Roman"/>
          <w:sz w:val="24"/>
          <w:szCs w:val="24"/>
          <w:lang w:val="en-GB"/>
        </w:rPr>
        <w:t>)</w:t>
      </w:r>
      <w:r w:rsidR="00055BC9" w:rsidRPr="001D704A">
        <w:rPr>
          <w:rFonts w:ascii="Times New Roman" w:hAnsi="Times New Roman"/>
          <w:sz w:val="24"/>
          <w:szCs w:val="24"/>
        </w:rPr>
        <w:t xml:space="preserve">; </w:t>
      </w:r>
    </w:p>
    <w:p w14:paraId="65363723" w14:textId="075C62BC" w:rsidR="00411489" w:rsidRPr="001D704A" w:rsidRDefault="00411489" w:rsidP="00123EB1">
      <w:pPr>
        <w:numPr>
          <w:ilvl w:val="0"/>
          <w:numId w:val="19"/>
        </w:numPr>
        <w:ind w:right="-46"/>
        <w:rPr>
          <w:rFonts w:ascii="Times New Roman" w:hAnsi="Times New Roman" w:cs="Times New Roman"/>
          <w:sz w:val="24"/>
          <w:szCs w:val="24"/>
          <w:lang w:val="en-GB"/>
        </w:rPr>
      </w:pPr>
      <w:r w:rsidRPr="001D704A">
        <w:rPr>
          <w:rFonts w:ascii="Times New Roman" w:hAnsi="Times New Roman" w:cs="Times New Roman"/>
          <w:sz w:val="24"/>
          <w:szCs w:val="24"/>
          <w:lang w:val="en-GB"/>
        </w:rPr>
        <w:lastRenderedPageBreak/>
        <w:t xml:space="preserve">the Explicit Instruction Teaching Program (formerly known as the Flexible Literacy Remote Primary Schools Program), which </w:t>
      </w:r>
      <w:r w:rsidR="00A3189D" w:rsidRPr="001D704A">
        <w:rPr>
          <w:rFonts w:ascii="Times New Roman" w:hAnsi="Times New Roman" w:cs="Times New Roman"/>
          <w:sz w:val="24"/>
          <w:szCs w:val="24"/>
          <w:lang w:val="en-GB"/>
        </w:rPr>
        <w:t xml:space="preserve">will </w:t>
      </w:r>
      <w:r w:rsidRPr="001D704A">
        <w:rPr>
          <w:rFonts w:ascii="Times New Roman" w:hAnsi="Times New Roman" w:cs="Times New Roman"/>
          <w:sz w:val="24"/>
          <w:szCs w:val="24"/>
          <w:lang w:val="en-GB"/>
        </w:rPr>
        <w:t>support training for teachers at educationally disadvantaged primary schools to enable them to adopt explicit instruction teaching methods in relation to literacy, numeracy and science to improve the skills and knowledge of students, particularly Aboriginal and Torres Strait Islander students ($</w:t>
      </w:r>
      <w:r w:rsidR="00147A42" w:rsidRPr="001D704A">
        <w:rPr>
          <w:rFonts w:ascii="Times New Roman" w:hAnsi="Times New Roman" w:cs="Times New Roman"/>
          <w:sz w:val="24"/>
          <w:szCs w:val="24"/>
          <w:lang w:val="en-GB"/>
        </w:rPr>
        <w:t>9.9</w:t>
      </w:r>
      <w:r w:rsidRPr="001D704A">
        <w:rPr>
          <w:rFonts w:ascii="Times New Roman" w:hAnsi="Times New Roman" w:cs="Times New Roman"/>
          <w:sz w:val="24"/>
          <w:szCs w:val="24"/>
          <w:lang w:val="en-GB"/>
        </w:rPr>
        <w:t xml:space="preserve"> million over four years from 2021-22)</w:t>
      </w:r>
      <w:r w:rsidR="00A3189D" w:rsidRPr="001D704A">
        <w:rPr>
          <w:rFonts w:ascii="Times New Roman" w:hAnsi="Times New Roman" w:cs="Times New Roman"/>
          <w:sz w:val="24"/>
          <w:szCs w:val="24"/>
          <w:lang w:val="en-GB"/>
        </w:rPr>
        <w:t>;</w:t>
      </w:r>
    </w:p>
    <w:p w14:paraId="5B676383" w14:textId="57769C82" w:rsidR="00A3189D" w:rsidRPr="001D704A" w:rsidRDefault="00A3189D" w:rsidP="00123EB1">
      <w:pPr>
        <w:numPr>
          <w:ilvl w:val="0"/>
          <w:numId w:val="19"/>
        </w:numPr>
        <w:ind w:right="-46"/>
        <w:rPr>
          <w:rFonts w:ascii="Times New Roman" w:hAnsi="Times New Roman" w:cs="Times New Roman"/>
          <w:sz w:val="24"/>
          <w:szCs w:val="24"/>
          <w:lang w:val="en-GB"/>
        </w:rPr>
      </w:pPr>
      <w:r w:rsidRPr="001D704A">
        <w:rPr>
          <w:rFonts w:ascii="Times New Roman" w:hAnsi="Times New Roman" w:cs="Times New Roman"/>
          <w:sz w:val="24"/>
          <w:szCs w:val="24"/>
          <w:lang w:val="en-GB"/>
        </w:rPr>
        <w:t xml:space="preserve">the development, implementation and maintenance of the Online Formative Assessment Initiative, which will facilitate access to online teaching resources, tools, student assessments, professional learning and other support for teachers. The Initiative is one of eight national policy initiatives under the </w:t>
      </w:r>
      <w:r w:rsidRPr="001D704A">
        <w:rPr>
          <w:rFonts w:ascii="Times New Roman" w:hAnsi="Times New Roman" w:cs="Times New Roman"/>
          <w:i/>
          <w:sz w:val="24"/>
          <w:szCs w:val="24"/>
          <w:lang w:val="en-GB"/>
        </w:rPr>
        <w:t>National School Reform Agreement</w:t>
      </w:r>
      <w:r w:rsidRPr="001D704A">
        <w:rPr>
          <w:rFonts w:ascii="Times New Roman" w:hAnsi="Times New Roman" w:cs="Times New Roman"/>
          <w:sz w:val="24"/>
          <w:szCs w:val="24"/>
          <w:lang w:val="en-GB"/>
        </w:rPr>
        <w:t xml:space="preserve"> (NSRA) ($35 million over two years from 2021-22 for the NSRA initiatives);</w:t>
      </w:r>
    </w:p>
    <w:p w14:paraId="2E4FA509" w14:textId="4A28AA09" w:rsidR="00B22D95" w:rsidRPr="001D704A" w:rsidRDefault="00B22D95" w:rsidP="00123EB1">
      <w:pPr>
        <w:numPr>
          <w:ilvl w:val="0"/>
          <w:numId w:val="19"/>
        </w:numPr>
        <w:ind w:right="-46"/>
        <w:rPr>
          <w:rFonts w:ascii="Times New Roman" w:hAnsi="Times New Roman" w:cs="Times New Roman"/>
          <w:sz w:val="24"/>
          <w:szCs w:val="24"/>
        </w:rPr>
      </w:pPr>
      <w:r w:rsidRPr="001D704A">
        <w:rPr>
          <w:rFonts w:ascii="Times New Roman" w:hAnsi="Times New Roman" w:cs="Times New Roman"/>
          <w:sz w:val="24"/>
          <w:szCs w:val="24"/>
          <w:lang w:val="en-GB"/>
        </w:rPr>
        <w:t>school partnerships to improve educational outcomes for Indigenous students in remote schools ($25.9 million over four years from 2021-22);</w:t>
      </w:r>
    </w:p>
    <w:p w14:paraId="6F64A3E7" w14:textId="44541FB1" w:rsidR="003631EE" w:rsidRPr="001D704A" w:rsidRDefault="003631EE" w:rsidP="00123EB1">
      <w:pPr>
        <w:numPr>
          <w:ilvl w:val="0"/>
          <w:numId w:val="19"/>
        </w:numPr>
        <w:ind w:right="-46"/>
        <w:rPr>
          <w:rFonts w:ascii="Times New Roman" w:hAnsi="Times New Roman" w:cs="Times New Roman"/>
          <w:sz w:val="24"/>
          <w:szCs w:val="24"/>
        </w:rPr>
      </w:pPr>
      <w:r w:rsidRPr="001D704A">
        <w:rPr>
          <w:rFonts w:ascii="Times New Roman" w:hAnsi="Times New Roman" w:cs="Times New Roman"/>
          <w:sz w:val="24"/>
          <w:szCs w:val="24"/>
          <w:lang w:val="en-GB"/>
        </w:rPr>
        <w:t xml:space="preserve">incentives to increase the number of skilled migrants who can contribute to the Australian workforce at an appropriate skill level, by funding the development, promotion and provision of skills assessments, employability assessments and skills </w:t>
      </w:r>
      <w:r w:rsidR="00CD4A48" w:rsidRPr="001D704A">
        <w:rPr>
          <w:rFonts w:ascii="Times New Roman" w:hAnsi="Times New Roman" w:cs="Times New Roman"/>
          <w:sz w:val="24"/>
          <w:szCs w:val="24"/>
          <w:lang w:val="en-GB"/>
        </w:rPr>
        <w:t>training ($19.7</w:t>
      </w:r>
      <w:r w:rsidRPr="001D704A">
        <w:rPr>
          <w:rFonts w:ascii="Times New Roman" w:hAnsi="Times New Roman" w:cs="Times New Roman"/>
          <w:sz w:val="24"/>
          <w:szCs w:val="24"/>
          <w:lang w:val="en-GB"/>
        </w:rPr>
        <w:t xml:space="preserve"> million over three years from 2021-22);</w:t>
      </w:r>
    </w:p>
    <w:p w14:paraId="0D19EA41" w14:textId="571A454B" w:rsidR="00CC3755" w:rsidRPr="001D704A" w:rsidRDefault="00CC3755" w:rsidP="00123EB1">
      <w:pPr>
        <w:numPr>
          <w:ilvl w:val="0"/>
          <w:numId w:val="19"/>
        </w:numPr>
        <w:ind w:right="-46"/>
        <w:rPr>
          <w:rFonts w:ascii="Times New Roman" w:hAnsi="Times New Roman" w:cs="Times New Roman"/>
          <w:sz w:val="24"/>
          <w:szCs w:val="24"/>
          <w:lang w:val="en-GB"/>
        </w:rPr>
      </w:pPr>
      <w:r w:rsidRPr="001D704A">
        <w:rPr>
          <w:rFonts w:ascii="Times New Roman" w:hAnsi="Times New Roman" w:cs="Times New Roman"/>
          <w:sz w:val="24"/>
          <w:szCs w:val="24"/>
          <w:lang w:val="en-GB"/>
        </w:rPr>
        <w:t>the Skills for Education and Employment Program, which will provide language, literacy</w:t>
      </w:r>
      <w:r w:rsidR="00A3189D" w:rsidRPr="001D704A">
        <w:rPr>
          <w:rFonts w:ascii="Times New Roman" w:hAnsi="Times New Roman" w:cs="Times New Roman"/>
          <w:sz w:val="24"/>
          <w:szCs w:val="24"/>
          <w:lang w:val="en-GB"/>
        </w:rPr>
        <w:t xml:space="preserve">, </w:t>
      </w:r>
      <w:r w:rsidRPr="001D704A">
        <w:rPr>
          <w:rFonts w:ascii="Times New Roman" w:hAnsi="Times New Roman" w:cs="Times New Roman"/>
          <w:sz w:val="24"/>
          <w:szCs w:val="24"/>
          <w:lang w:val="en-GB"/>
        </w:rPr>
        <w:t>numeracy</w:t>
      </w:r>
      <w:r w:rsidR="00A3189D" w:rsidRPr="001D704A">
        <w:rPr>
          <w:rFonts w:ascii="Times New Roman" w:hAnsi="Times New Roman" w:cs="Times New Roman"/>
          <w:sz w:val="24"/>
          <w:szCs w:val="24"/>
          <w:lang w:val="en-GB"/>
        </w:rPr>
        <w:t xml:space="preserve"> and digital skills</w:t>
      </w:r>
      <w:r w:rsidRPr="001D704A">
        <w:rPr>
          <w:rFonts w:ascii="Times New Roman" w:hAnsi="Times New Roman" w:cs="Times New Roman"/>
          <w:sz w:val="24"/>
          <w:szCs w:val="24"/>
          <w:lang w:val="en-GB"/>
        </w:rPr>
        <w:t xml:space="preserve"> training to eligible job seekers to </w:t>
      </w:r>
      <w:r w:rsidR="00A3189D" w:rsidRPr="001D704A">
        <w:rPr>
          <w:rFonts w:ascii="Times New Roman" w:hAnsi="Times New Roman" w:cs="Times New Roman"/>
          <w:sz w:val="24"/>
          <w:szCs w:val="24"/>
          <w:lang w:val="en-GB"/>
        </w:rPr>
        <w:t>assist</w:t>
      </w:r>
      <w:r w:rsidRPr="001D704A">
        <w:rPr>
          <w:rFonts w:ascii="Times New Roman" w:hAnsi="Times New Roman" w:cs="Times New Roman"/>
          <w:sz w:val="24"/>
          <w:szCs w:val="24"/>
          <w:lang w:val="en-GB"/>
        </w:rPr>
        <w:t xml:space="preserve"> their prospects for further education and employment opportunities ($512.5 million over four years from 2021-22);</w:t>
      </w:r>
      <w:r w:rsidR="00A3189D" w:rsidRPr="001D704A">
        <w:rPr>
          <w:rFonts w:ascii="Times New Roman" w:hAnsi="Times New Roman" w:cs="Times New Roman"/>
          <w:sz w:val="24"/>
          <w:szCs w:val="24"/>
          <w:lang w:val="en-GB"/>
        </w:rPr>
        <w:t xml:space="preserve"> and</w:t>
      </w:r>
    </w:p>
    <w:p w14:paraId="2DFF4466" w14:textId="1BC59EEB" w:rsidR="00CC3755" w:rsidRPr="001D704A" w:rsidRDefault="00A3189D" w:rsidP="00123EB1">
      <w:pPr>
        <w:numPr>
          <w:ilvl w:val="0"/>
          <w:numId w:val="19"/>
        </w:numPr>
        <w:ind w:right="-46"/>
        <w:rPr>
          <w:rFonts w:ascii="Times New Roman" w:hAnsi="Times New Roman" w:cs="Times New Roman"/>
          <w:sz w:val="24"/>
          <w:szCs w:val="24"/>
          <w:lang w:val="en-GB"/>
        </w:rPr>
      </w:pPr>
      <w:r w:rsidRPr="001D704A">
        <w:rPr>
          <w:rFonts w:ascii="Times New Roman" w:hAnsi="Times New Roman" w:cs="Times New Roman"/>
          <w:sz w:val="24"/>
          <w:szCs w:val="24"/>
          <w:lang w:val="en-GB"/>
        </w:rPr>
        <w:t>improvements to the vocational education and training system, including new industry engagement arrangements ($292.5 million over four years from 2021-22).</w:t>
      </w:r>
    </w:p>
    <w:p w14:paraId="339854D8" w14:textId="2A3C9535" w:rsidR="00D477DE" w:rsidRPr="001D704A" w:rsidRDefault="00D477DE" w:rsidP="00123EB1">
      <w:pPr>
        <w:ind w:right="-46"/>
        <w:rPr>
          <w:rFonts w:ascii="Times New Roman" w:hAnsi="Times New Roman" w:cs="Times New Roman"/>
          <w:sz w:val="24"/>
          <w:szCs w:val="24"/>
        </w:rPr>
      </w:pPr>
    </w:p>
    <w:p w14:paraId="07EC8198" w14:textId="24783BBC" w:rsidR="00337D61" w:rsidRPr="001D704A" w:rsidRDefault="00337D61" w:rsidP="00123EB1">
      <w:pPr>
        <w:ind w:right="-46"/>
        <w:rPr>
          <w:rFonts w:ascii="Times New Roman" w:hAnsi="Times New Roman" w:cs="Times New Roman"/>
          <w:i/>
          <w:sz w:val="24"/>
          <w:szCs w:val="24"/>
        </w:rPr>
      </w:pPr>
      <w:r w:rsidRPr="001D704A">
        <w:rPr>
          <w:rFonts w:ascii="Times New Roman" w:hAnsi="Times New Roman" w:cs="Times New Roman"/>
          <w:sz w:val="24"/>
          <w:szCs w:val="24"/>
        </w:rPr>
        <w:t xml:space="preserve">Details of the Regulations are set out at </w:t>
      </w:r>
      <w:r w:rsidRPr="001D704A">
        <w:rPr>
          <w:rFonts w:ascii="Times New Roman" w:hAnsi="Times New Roman" w:cs="Times New Roman"/>
          <w:sz w:val="24"/>
          <w:szCs w:val="24"/>
          <w:u w:val="single"/>
        </w:rPr>
        <w:t>Attachment A</w:t>
      </w:r>
      <w:r w:rsidRPr="001D704A">
        <w:rPr>
          <w:rFonts w:ascii="Times New Roman" w:hAnsi="Times New Roman" w:cs="Times New Roman"/>
          <w:sz w:val="24"/>
          <w:szCs w:val="24"/>
        </w:rPr>
        <w:t xml:space="preserve">. A Statement of Compatibility with Human Rights is at </w:t>
      </w:r>
      <w:r w:rsidRPr="001D704A">
        <w:rPr>
          <w:rFonts w:ascii="Times New Roman" w:hAnsi="Times New Roman" w:cs="Times New Roman"/>
          <w:sz w:val="24"/>
          <w:szCs w:val="24"/>
          <w:u w:val="single"/>
        </w:rPr>
        <w:t>Attachment B</w:t>
      </w:r>
      <w:r w:rsidRPr="001D704A">
        <w:rPr>
          <w:rFonts w:ascii="Times New Roman" w:hAnsi="Times New Roman" w:cs="Times New Roman"/>
          <w:sz w:val="24"/>
          <w:szCs w:val="24"/>
        </w:rPr>
        <w:t>.</w:t>
      </w:r>
    </w:p>
    <w:p w14:paraId="17344D22" w14:textId="77777777" w:rsidR="00337D61" w:rsidRPr="001D704A" w:rsidRDefault="00337D61" w:rsidP="00123EB1">
      <w:pPr>
        <w:ind w:right="-46"/>
        <w:rPr>
          <w:rFonts w:ascii="Times New Roman" w:hAnsi="Times New Roman" w:cs="Times New Roman"/>
          <w:sz w:val="24"/>
          <w:szCs w:val="24"/>
        </w:rPr>
      </w:pPr>
    </w:p>
    <w:p w14:paraId="4C7FCB92" w14:textId="77777777" w:rsidR="00337D61" w:rsidRPr="001D704A" w:rsidRDefault="00337D61" w:rsidP="00123EB1">
      <w:pPr>
        <w:ind w:right="-46"/>
        <w:rPr>
          <w:rFonts w:ascii="Times New Roman" w:hAnsi="Times New Roman" w:cs="Times New Roman"/>
          <w:sz w:val="24"/>
          <w:szCs w:val="24"/>
        </w:rPr>
      </w:pPr>
      <w:r w:rsidRPr="001D704A">
        <w:rPr>
          <w:rFonts w:ascii="Times New Roman" w:hAnsi="Times New Roman" w:cs="Times New Roman"/>
          <w:sz w:val="24"/>
          <w:szCs w:val="24"/>
        </w:rPr>
        <w:t xml:space="preserve">The Regulations are a legislative instrument for the purposes of the </w:t>
      </w:r>
      <w:r w:rsidRPr="001D704A">
        <w:rPr>
          <w:rFonts w:ascii="Times New Roman" w:hAnsi="Times New Roman" w:cs="Times New Roman"/>
          <w:i/>
          <w:sz w:val="24"/>
          <w:szCs w:val="24"/>
        </w:rPr>
        <w:t>Legislation Act 2003</w:t>
      </w:r>
      <w:r w:rsidRPr="001D704A">
        <w:rPr>
          <w:rFonts w:ascii="Times New Roman" w:hAnsi="Times New Roman" w:cs="Times New Roman"/>
          <w:sz w:val="24"/>
          <w:szCs w:val="24"/>
        </w:rPr>
        <w:t>. The Regulations commence on the day after the instrument is registered on the Federal Register of Legislation.</w:t>
      </w:r>
    </w:p>
    <w:p w14:paraId="5DB17F0C" w14:textId="77777777" w:rsidR="00337D61" w:rsidRPr="001D704A" w:rsidRDefault="00337D61" w:rsidP="00123EB1">
      <w:pPr>
        <w:ind w:right="-46"/>
        <w:rPr>
          <w:rFonts w:ascii="Times New Roman" w:hAnsi="Times New Roman" w:cs="Times New Roman"/>
          <w:sz w:val="24"/>
          <w:szCs w:val="24"/>
        </w:rPr>
      </w:pPr>
    </w:p>
    <w:p w14:paraId="7D63D57C" w14:textId="77777777" w:rsidR="00337D61" w:rsidRPr="001D704A" w:rsidRDefault="00337D61" w:rsidP="00123EB1">
      <w:pPr>
        <w:rPr>
          <w:rFonts w:ascii="Times New Roman" w:hAnsi="Times New Roman" w:cs="Times New Roman"/>
          <w:b/>
          <w:bCs/>
          <w:sz w:val="24"/>
          <w:szCs w:val="24"/>
        </w:rPr>
      </w:pPr>
      <w:r w:rsidRPr="001D704A">
        <w:rPr>
          <w:rFonts w:ascii="Times New Roman" w:hAnsi="Times New Roman" w:cs="Times New Roman"/>
          <w:b/>
          <w:bCs/>
          <w:sz w:val="24"/>
          <w:szCs w:val="24"/>
        </w:rPr>
        <w:t>Consultation</w:t>
      </w:r>
    </w:p>
    <w:p w14:paraId="7A01E5FD" w14:textId="77777777" w:rsidR="00337D61" w:rsidRPr="001D704A" w:rsidRDefault="00337D61" w:rsidP="00123EB1">
      <w:pPr>
        <w:rPr>
          <w:rFonts w:ascii="Times New Roman" w:hAnsi="Times New Roman" w:cs="Times New Roman"/>
          <w:bCs/>
          <w:sz w:val="24"/>
          <w:szCs w:val="24"/>
        </w:rPr>
      </w:pPr>
    </w:p>
    <w:p w14:paraId="35E10323" w14:textId="77777777" w:rsidR="00337D61" w:rsidRPr="001D704A" w:rsidRDefault="00337D61" w:rsidP="00123EB1">
      <w:pPr>
        <w:rPr>
          <w:rFonts w:ascii="Times New Roman" w:hAnsi="Times New Roman" w:cs="Times New Roman"/>
          <w:sz w:val="24"/>
          <w:szCs w:val="24"/>
        </w:rPr>
      </w:pPr>
      <w:r w:rsidRPr="001D704A">
        <w:rPr>
          <w:rFonts w:ascii="Times New Roman" w:hAnsi="Times New Roman" w:cs="Times New Roman"/>
          <w:sz w:val="24"/>
          <w:szCs w:val="24"/>
        </w:rPr>
        <w:t xml:space="preserve">In accordance with section 17 of the </w:t>
      </w:r>
      <w:r w:rsidRPr="001D704A">
        <w:rPr>
          <w:rFonts w:ascii="Times New Roman" w:hAnsi="Times New Roman" w:cs="Times New Roman"/>
          <w:i/>
          <w:iCs/>
          <w:sz w:val="24"/>
          <w:szCs w:val="24"/>
        </w:rPr>
        <w:t>Legislation Act 2003</w:t>
      </w:r>
      <w:r w:rsidRPr="001D704A">
        <w:rPr>
          <w:rFonts w:ascii="Times New Roman" w:hAnsi="Times New Roman" w:cs="Times New Roman"/>
          <w:sz w:val="24"/>
          <w:szCs w:val="24"/>
        </w:rPr>
        <w:t>, consultation has take</w:t>
      </w:r>
      <w:r w:rsidR="00E00235" w:rsidRPr="001D704A">
        <w:rPr>
          <w:rFonts w:ascii="Times New Roman" w:hAnsi="Times New Roman" w:cs="Times New Roman"/>
          <w:sz w:val="24"/>
          <w:szCs w:val="24"/>
        </w:rPr>
        <w:t xml:space="preserve">n place with the Department of </w:t>
      </w:r>
      <w:r w:rsidR="00C35B92" w:rsidRPr="001D704A">
        <w:rPr>
          <w:rFonts w:ascii="Times New Roman" w:hAnsi="Times New Roman" w:cs="Times New Roman"/>
          <w:sz w:val="24"/>
          <w:szCs w:val="24"/>
        </w:rPr>
        <w:t>Education</w:t>
      </w:r>
      <w:r w:rsidR="002065BB" w:rsidRPr="001D704A">
        <w:rPr>
          <w:rFonts w:ascii="Times New Roman" w:hAnsi="Times New Roman" w:cs="Times New Roman"/>
          <w:sz w:val="24"/>
          <w:szCs w:val="24"/>
        </w:rPr>
        <w:t>,</w:t>
      </w:r>
      <w:r w:rsidR="00C35B92" w:rsidRPr="001D704A">
        <w:rPr>
          <w:rFonts w:ascii="Times New Roman" w:hAnsi="Times New Roman" w:cs="Times New Roman"/>
          <w:sz w:val="24"/>
          <w:szCs w:val="24"/>
        </w:rPr>
        <w:t xml:space="preserve"> Skills and Employment</w:t>
      </w:r>
      <w:r w:rsidRPr="001D704A">
        <w:rPr>
          <w:rFonts w:ascii="Times New Roman" w:hAnsi="Times New Roman" w:cs="Times New Roman"/>
          <w:sz w:val="24"/>
          <w:szCs w:val="24"/>
        </w:rPr>
        <w:t>.</w:t>
      </w:r>
    </w:p>
    <w:p w14:paraId="144222AB" w14:textId="77777777" w:rsidR="00337D61" w:rsidRPr="001D704A" w:rsidRDefault="00337D61" w:rsidP="00123EB1">
      <w:pPr>
        <w:rPr>
          <w:rFonts w:ascii="Times New Roman" w:hAnsi="Times New Roman" w:cs="Times New Roman"/>
          <w:sz w:val="24"/>
          <w:szCs w:val="24"/>
        </w:rPr>
      </w:pPr>
    </w:p>
    <w:p w14:paraId="4838C280" w14:textId="77777777" w:rsidR="002A78C6" w:rsidRPr="001D704A" w:rsidRDefault="00337D61" w:rsidP="00123EB1">
      <w:pPr>
        <w:rPr>
          <w:rFonts w:ascii="Times New Roman" w:hAnsi="Times New Roman" w:cs="Times New Roman"/>
          <w:sz w:val="24"/>
          <w:szCs w:val="24"/>
        </w:rPr>
      </w:pPr>
      <w:r w:rsidRPr="001D704A">
        <w:rPr>
          <w:rFonts w:ascii="Times New Roman" w:hAnsi="Times New Roman" w:cs="Times New Roman"/>
          <w:iCs/>
          <w:sz w:val="24"/>
          <w:szCs w:val="24"/>
        </w:rPr>
        <w:t>A regulation impact statement is not required as the Regulations only apply to non</w:t>
      </w:r>
      <w:r w:rsidRPr="001D704A">
        <w:rPr>
          <w:rFonts w:ascii="Times New Roman" w:hAnsi="Times New Roman" w:cs="Times New Roman"/>
          <w:iCs/>
          <w:sz w:val="24"/>
          <w:szCs w:val="24"/>
        </w:rPr>
        <w:noBreakHyphen/>
        <w:t>corporate Commonwealth entities and do not adversely affect the private sector.</w:t>
      </w:r>
      <w:r w:rsidR="006172DE" w:rsidRPr="001D704A">
        <w:rPr>
          <w:rFonts w:ascii="Times New Roman" w:hAnsi="Times New Roman" w:cs="Times New Roman"/>
          <w:iCs/>
          <w:sz w:val="24"/>
          <w:szCs w:val="24"/>
        </w:rPr>
        <w:t xml:space="preserve"> </w:t>
      </w:r>
    </w:p>
    <w:p w14:paraId="448A942C" w14:textId="77777777" w:rsidR="002A78C6" w:rsidRPr="001D704A" w:rsidRDefault="002A78C6" w:rsidP="00123EB1">
      <w:pPr>
        <w:rPr>
          <w:rFonts w:ascii="Times New Roman" w:hAnsi="Times New Roman" w:cs="Times New Roman"/>
          <w:sz w:val="24"/>
          <w:szCs w:val="24"/>
        </w:rPr>
      </w:pPr>
    </w:p>
    <w:p w14:paraId="13633680" w14:textId="77777777" w:rsidR="002A78C6" w:rsidRPr="001D704A" w:rsidRDefault="002A78C6" w:rsidP="00123EB1">
      <w:pPr>
        <w:rPr>
          <w:rFonts w:ascii="Times New Roman" w:hAnsi="Times New Roman" w:cs="Times New Roman"/>
          <w:sz w:val="24"/>
          <w:szCs w:val="24"/>
        </w:rPr>
      </w:pPr>
    </w:p>
    <w:p w14:paraId="602E9029" w14:textId="77777777" w:rsidR="00E5121D" w:rsidRPr="001D704A" w:rsidRDefault="00E5121D" w:rsidP="00123EB1">
      <w:pPr>
        <w:contextualSpacing/>
        <w:rPr>
          <w:rFonts w:ascii="Times New Roman" w:hAnsi="Times New Roman" w:cs="Times New Roman"/>
          <w:color w:val="000000" w:themeColor="text1"/>
          <w:sz w:val="24"/>
          <w:szCs w:val="24"/>
        </w:rPr>
        <w:sectPr w:rsidR="00E5121D" w:rsidRPr="001D704A"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755D4F8E" w14:textId="77777777" w:rsidR="00337D61" w:rsidRPr="001D704A" w:rsidRDefault="00337D61" w:rsidP="00123EB1">
      <w:pPr>
        <w:contextualSpacing/>
        <w:rPr>
          <w:rFonts w:ascii="Times New Roman" w:hAnsi="Times New Roman" w:cs="Times New Roman"/>
          <w:b/>
          <w:bCs/>
          <w:i/>
          <w:color w:val="000000" w:themeColor="text1"/>
          <w:sz w:val="24"/>
          <w:szCs w:val="24"/>
          <w:u w:val="single"/>
        </w:rPr>
      </w:pPr>
      <w:r w:rsidRPr="001D704A">
        <w:rPr>
          <w:rFonts w:ascii="Times New Roman" w:hAnsi="Times New Roman" w:cs="Times New Roman"/>
          <w:b/>
          <w:bCs/>
          <w:color w:val="000000" w:themeColor="text1"/>
          <w:sz w:val="24"/>
          <w:szCs w:val="24"/>
          <w:u w:val="single"/>
        </w:rPr>
        <w:lastRenderedPageBreak/>
        <w:t xml:space="preserve">Details of the </w:t>
      </w:r>
      <w:r w:rsidRPr="001D704A">
        <w:rPr>
          <w:rFonts w:ascii="Times New Roman" w:hAnsi="Times New Roman" w:cs="Times New Roman"/>
          <w:b/>
          <w:bCs/>
          <w:i/>
          <w:color w:val="000000" w:themeColor="text1"/>
          <w:sz w:val="24"/>
          <w:szCs w:val="24"/>
          <w:u w:val="single"/>
        </w:rPr>
        <w:t xml:space="preserve">Financial Framework (Supplementary Powers) Amendment </w:t>
      </w:r>
    </w:p>
    <w:p w14:paraId="17C1F28D" w14:textId="77777777" w:rsidR="00337D61" w:rsidRPr="001D704A" w:rsidRDefault="00337D61" w:rsidP="00123EB1">
      <w:pPr>
        <w:contextualSpacing/>
        <w:rPr>
          <w:rFonts w:ascii="Times New Roman" w:hAnsi="Times New Roman" w:cs="Times New Roman"/>
          <w:b/>
          <w:bCs/>
          <w:i/>
          <w:color w:val="000000" w:themeColor="text1"/>
          <w:sz w:val="24"/>
          <w:szCs w:val="24"/>
          <w:u w:val="single"/>
        </w:rPr>
      </w:pPr>
      <w:r w:rsidRPr="001D704A">
        <w:rPr>
          <w:rFonts w:ascii="Times New Roman" w:hAnsi="Times New Roman" w:cs="Times New Roman"/>
          <w:b/>
          <w:bCs/>
          <w:i/>
          <w:color w:val="000000" w:themeColor="text1"/>
          <w:sz w:val="24"/>
          <w:szCs w:val="24"/>
          <w:u w:val="single"/>
        </w:rPr>
        <w:t>(</w:t>
      </w:r>
      <w:r w:rsidR="00AA7037" w:rsidRPr="001D704A">
        <w:rPr>
          <w:rFonts w:ascii="Times New Roman" w:hAnsi="Times New Roman"/>
          <w:b/>
          <w:i/>
          <w:sz w:val="24"/>
          <w:szCs w:val="24"/>
          <w:u w:val="single"/>
        </w:rPr>
        <w:t>Education, Skills and Employment</w:t>
      </w:r>
      <w:r w:rsidR="00010278" w:rsidRPr="001D704A">
        <w:rPr>
          <w:rFonts w:ascii="Times New Roman" w:hAnsi="Times New Roman"/>
          <w:b/>
          <w:i/>
          <w:sz w:val="24"/>
          <w:szCs w:val="24"/>
          <w:u w:val="single"/>
        </w:rPr>
        <w:t xml:space="preserve"> Measures No. </w:t>
      </w:r>
      <w:r w:rsidR="00AA7037" w:rsidRPr="001D704A">
        <w:rPr>
          <w:rFonts w:ascii="Times New Roman" w:hAnsi="Times New Roman"/>
          <w:b/>
          <w:i/>
          <w:sz w:val="24"/>
          <w:szCs w:val="24"/>
          <w:u w:val="single"/>
        </w:rPr>
        <w:t>4</w:t>
      </w:r>
      <w:r w:rsidRPr="001D704A">
        <w:rPr>
          <w:rFonts w:ascii="Times New Roman" w:hAnsi="Times New Roman"/>
          <w:b/>
          <w:i/>
          <w:sz w:val="24"/>
          <w:szCs w:val="24"/>
          <w:u w:val="single"/>
        </w:rPr>
        <w:t>)</w:t>
      </w:r>
      <w:r w:rsidRPr="001D704A">
        <w:rPr>
          <w:rFonts w:ascii="Times New Roman" w:hAnsi="Times New Roman" w:cs="Times New Roman"/>
          <w:b/>
          <w:bCs/>
          <w:i/>
          <w:color w:val="000000" w:themeColor="text1"/>
          <w:sz w:val="24"/>
          <w:szCs w:val="24"/>
          <w:u w:val="single"/>
        </w:rPr>
        <w:t xml:space="preserve"> Regulations </w:t>
      </w:r>
      <w:r w:rsidR="0018257B" w:rsidRPr="001D704A">
        <w:rPr>
          <w:rFonts w:ascii="Times New Roman" w:hAnsi="Times New Roman" w:cs="Times New Roman"/>
          <w:b/>
          <w:bCs/>
          <w:i/>
          <w:color w:val="000000" w:themeColor="text1"/>
          <w:sz w:val="24"/>
          <w:szCs w:val="24"/>
          <w:u w:val="single"/>
        </w:rPr>
        <w:t>2021</w:t>
      </w:r>
    </w:p>
    <w:p w14:paraId="0682B75C" w14:textId="77777777" w:rsidR="00337D61" w:rsidRPr="001D704A" w:rsidRDefault="00337D61" w:rsidP="00123EB1">
      <w:pPr>
        <w:contextualSpacing/>
        <w:rPr>
          <w:rFonts w:ascii="Times New Roman" w:hAnsi="Times New Roman" w:cs="Times New Roman"/>
          <w:color w:val="000000" w:themeColor="text1"/>
          <w:sz w:val="24"/>
          <w:szCs w:val="24"/>
          <w:u w:val="single"/>
        </w:rPr>
      </w:pPr>
    </w:p>
    <w:p w14:paraId="5FC0F75F" w14:textId="77777777" w:rsidR="00337D61" w:rsidRPr="001D704A" w:rsidRDefault="00337D61" w:rsidP="00123EB1">
      <w:pPr>
        <w:contextualSpacing/>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 xml:space="preserve">Section 1 – Name </w:t>
      </w:r>
    </w:p>
    <w:p w14:paraId="08DEE523" w14:textId="77777777" w:rsidR="00337D61" w:rsidRPr="001D704A" w:rsidRDefault="00337D61" w:rsidP="00123EB1">
      <w:pPr>
        <w:contextualSpacing/>
        <w:rPr>
          <w:rFonts w:ascii="Times New Roman" w:hAnsi="Times New Roman" w:cs="Times New Roman"/>
          <w:color w:val="000000" w:themeColor="text1"/>
          <w:sz w:val="24"/>
          <w:szCs w:val="24"/>
        </w:rPr>
      </w:pPr>
    </w:p>
    <w:p w14:paraId="6A091939" w14:textId="77777777" w:rsidR="00337D61" w:rsidRPr="001D704A" w:rsidRDefault="00337D61" w:rsidP="00123EB1">
      <w:pPr>
        <w:contextualSpacing/>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section provides that the title of the Regulations </w:t>
      </w:r>
      <w:r w:rsidRPr="001D704A">
        <w:rPr>
          <w:rFonts w:ascii="Times New Roman" w:hAnsi="Times New Roman" w:cs="Times New Roman"/>
          <w:sz w:val="24"/>
          <w:szCs w:val="24"/>
        </w:rPr>
        <w:t>is</w:t>
      </w:r>
      <w:r w:rsidRPr="001D704A">
        <w:rPr>
          <w:rFonts w:ascii="Times New Roman" w:hAnsi="Times New Roman" w:cs="Times New Roman"/>
          <w:color w:val="000000" w:themeColor="text1"/>
          <w:sz w:val="24"/>
          <w:szCs w:val="24"/>
        </w:rPr>
        <w:t xml:space="preserve"> the </w:t>
      </w:r>
      <w:r w:rsidRPr="001D704A">
        <w:rPr>
          <w:rFonts w:ascii="Times New Roman" w:hAnsi="Times New Roman" w:cs="Times New Roman"/>
          <w:bCs/>
          <w:i/>
          <w:sz w:val="24"/>
          <w:szCs w:val="24"/>
        </w:rPr>
        <w:t xml:space="preserve">Financial Framework (Supplementary Powers) Amendment </w:t>
      </w:r>
      <w:r w:rsidRPr="001D704A">
        <w:rPr>
          <w:rFonts w:ascii="Times New Roman" w:hAnsi="Times New Roman"/>
          <w:bCs/>
          <w:i/>
          <w:sz w:val="24"/>
          <w:szCs w:val="24"/>
        </w:rPr>
        <w:t>(</w:t>
      </w:r>
      <w:r w:rsidR="00AA7037" w:rsidRPr="001D704A">
        <w:rPr>
          <w:rFonts w:ascii="Times New Roman" w:hAnsi="Times New Roman"/>
          <w:i/>
          <w:sz w:val="24"/>
          <w:szCs w:val="24"/>
        </w:rPr>
        <w:t xml:space="preserve">Education, Skills and Employment </w:t>
      </w:r>
      <w:r w:rsidRPr="001D704A">
        <w:rPr>
          <w:rFonts w:ascii="Times New Roman" w:hAnsi="Times New Roman"/>
          <w:bCs/>
          <w:i/>
          <w:sz w:val="24"/>
          <w:szCs w:val="24"/>
        </w:rPr>
        <w:t xml:space="preserve">Measures No. </w:t>
      </w:r>
      <w:r w:rsidR="00AA7037" w:rsidRPr="001D704A">
        <w:rPr>
          <w:rFonts w:ascii="Times New Roman" w:hAnsi="Times New Roman"/>
          <w:bCs/>
          <w:i/>
          <w:sz w:val="24"/>
          <w:szCs w:val="24"/>
        </w:rPr>
        <w:t>4</w:t>
      </w:r>
      <w:r w:rsidRPr="001D704A">
        <w:rPr>
          <w:rFonts w:ascii="Times New Roman" w:hAnsi="Times New Roman"/>
          <w:bCs/>
          <w:i/>
          <w:sz w:val="24"/>
          <w:szCs w:val="24"/>
        </w:rPr>
        <w:t>)</w:t>
      </w:r>
      <w:r w:rsidRPr="001D704A">
        <w:rPr>
          <w:rFonts w:ascii="Times New Roman" w:hAnsi="Times New Roman" w:cs="Times New Roman"/>
          <w:bCs/>
          <w:i/>
          <w:sz w:val="24"/>
          <w:szCs w:val="24"/>
        </w:rPr>
        <w:t xml:space="preserve"> Regulations </w:t>
      </w:r>
      <w:r w:rsidR="0018257B" w:rsidRPr="001D704A">
        <w:rPr>
          <w:rFonts w:ascii="Times New Roman" w:hAnsi="Times New Roman" w:cs="Times New Roman"/>
          <w:bCs/>
          <w:i/>
          <w:sz w:val="24"/>
          <w:szCs w:val="24"/>
        </w:rPr>
        <w:t>2021</w:t>
      </w:r>
      <w:r w:rsidRPr="001D704A">
        <w:rPr>
          <w:rFonts w:ascii="Times New Roman" w:hAnsi="Times New Roman" w:cs="Times New Roman"/>
          <w:bCs/>
          <w:sz w:val="24"/>
          <w:szCs w:val="24"/>
        </w:rPr>
        <w:t>.</w:t>
      </w:r>
    </w:p>
    <w:p w14:paraId="7A1991AB" w14:textId="77777777" w:rsidR="00337D61" w:rsidRPr="001D704A" w:rsidRDefault="00337D61" w:rsidP="00123EB1">
      <w:pPr>
        <w:rPr>
          <w:rFonts w:ascii="Times New Roman" w:hAnsi="Times New Roman" w:cs="Times New Roman"/>
          <w:sz w:val="24"/>
          <w:szCs w:val="24"/>
        </w:rPr>
      </w:pPr>
    </w:p>
    <w:p w14:paraId="41F657E3" w14:textId="77777777" w:rsidR="00337D61" w:rsidRPr="001D704A" w:rsidRDefault="00337D61" w:rsidP="00123EB1">
      <w:pPr>
        <w:contextualSpacing/>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 xml:space="preserve">Section 2 – Commencement </w:t>
      </w:r>
    </w:p>
    <w:p w14:paraId="22968897" w14:textId="77777777" w:rsidR="00337D61" w:rsidRPr="001D704A" w:rsidRDefault="00337D61" w:rsidP="00123EB1">
      <w:pPr>
        <w:contextualSpacing/>
        <w:rPr>
          <w:rFonts w:ascii="Times New Roman" w:hAnsi="Times New Roman" w:cs="Times New Roman"/>
          <w:color w:val="000000" w:themeColor="text1"/>
          <w:sz w:val="24"/>
          <w:szCs w:val="24"/>
        </w:rPr>
      </w:pPr>
    </w:p>
    <w:p w14:paraId="0402DCA1" w14:textId="77777777" w:rsidR="00337D61" w:rsidRPr="001D704A" w:rsidRDefault="00337D61" w:rsidP="00123EB1">
      <w:pPr>
        <w:contextualSpacing/>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CD6C2CF" w14:textId="77777777" w:rsidR="00337D61" w:rsidRPr="001D704A" w:rsidRDefault="00337D61" w:rsidP="00123EB1">
      <w:pPr>
        <w:contextualSpacing/>
        <w:rPr>
          <w:rFonts w:ascii="Times New Roman" w:hAnsi="Times New Roman" w:cs="Times New Roman"/>
          <w:color w:val="000000" w:themeColor="text1"/>
          <w:sz w:val="24"/>
          <w:szCs w:val="24"/>
        </w:rPr>
      </w:pPr>
    </w:p>
    <w:p w14:paraId="55FC737D" w14:textId="77777777" w:rsidR="00337D61" w:rsidRPr="001D704A" w:rsidRDefault="00337D61" w:rsidP="00123EB1">
      <w:pPr>
        <w:contextualSpacing/>
        <w:rPr>
          <w:rFonts w:ascii="Times New Roman" w:hAnsi="Times New Roman" w:cs="Times New Roman"/>
          <w:b/>
          <w:i/>
          <w:color w:val="000000" w:themeColor="text1"/>
          <w:sz w:val="24"/>
          <w:szCs w:val="24"/>
        </w:rPr>
      </w:pPr>
      <w:r w:rsidRPr="001D704A">
        <w:rPr>
          <w:rFonts w:ascii="Times New Roman" w:hAnsi="Times New Roman" w:cs="Times New Roman"/>
          <w:b/>
          <w:color w:val="000000" w:themeColor="text1"/>
          <w:sz w:val="24"/>
          <w:szCs w:val="24"/>
        </w:rPr>
        <w:t>Section 3 – Authority</w:t>
      </w:r>
      <w:r w:rsidRPr="001D704A">
        <w:rPr>
          <w:rFonts w:ascii="Times New Roman" w:hAnsi="Times New Roman" w:cs="Times New Roman"/>
          <w:b/>
          <w:i/>
          <w:color w:val="000000" w:themeColor="text1"/>
          <w:sz w:val="24"/>
          <w:szCs w:val="24"/>
        </w:rPr>
        <w:t xml:space="preserve"> </w:t>
      </w:r>
    </w:p>
    <w:p w14:paraId="50E758A7" w14:textId="77777777" w:rsidR="00337D61" w:rsidRPr="001D704A" w:rsidRDefault="00337D61" w:rsidP="00123EB1">
      <w:pPr>
        <w:contextualSpacing/>
        <w:rPr>
          <w:rFonts w:ascii="Times New Roman" w:hAnsi="Times New Roman" w:cs="Times New Roman"/>
          <w:color w:val="000000" w:themeColor="text1"/>
          <w:sz w:val="24"/>
          <w:szCs w:val="24"/>
        </w:rPr>
      </w:pPr>
    </w:p>
    <w:p w14:paraId="5640DB21" w14:textId="77777777" w:rsidR="00337D61" w:rsidRPr="001D704A" w:rsidRDefault="00337D61" w:rsidP="00123EB1">
      <w:pPr>
        <w:contextualSpacing/>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section provides that the Regulations are made under the </w:t>
      </w:r>
      <w:r w:rsidRPr="001D704A">
        <w:rPr>
          <w:rFonts w:ascii="Times New Roman" w:hAnsi="Times New Roman" w:cs="Times New Roman"/>
          <w:i/>
          <w:color w:val="000000" w:themeColor="text1"/>
          <w:sz w:val="24"/>
          <w:szCs w:val="24"/>
        </w:rPr>
        <w:t xml:space="preserve">Financial </w:t>
      </w:r>
      <w:r w:rsidRPr="001D704A">
        <w:rPr>
          <w:rFonts w:ascii="Times New Roman" w:hAnsi="Times New Roman" w:cs="Times New Roman"/>
          <w:bCs/>
          <w:i/>
          <w:sz w:val="24"/>
          <w:szCs w:val="24"/>
        </w:rPr>
        <w:t xml:space="preserve">Framework (Supplementary Powers) </w:t>
      </w:r>
      <w:r w:rsidRPr="001D704A">
        <w:rPr>
          <w:rFonts w:ascii="Times New Roman" w:hAnsi="Times New Roman" w:cs="Times New Roman"/>
          <w:i/>
          <w:color w:val="000000" w:themeColor="text1"/>
          <w:sz w:val="24"/>
          <w:szCs w:val="24"/>
        </w:rPr>
        <w:t>Act 1997</w:t>
      </w:r>
      <w:r w:rsidRPr="001D704A">
        <w:rPr>
          <w:rFonts w:ascii="Times New Roman" w:hAnsi="Times New Roman" w:cs="Times New Roman"/>
          <w:color w:val="000000" w:themeColor="text1"/>
          <w:sz w:val="24"/>
          <w:szCs w:val="24"/>
        </w:rPr>
        <w:t>.</w:t>
      </w:r>
    </w:p>
    <w:p w14:paraId="11236060" w14:textId="77777777" w:rsidR="00337D61" w:rsidRPr="001D704A" w:rsidRDefault="00337D61" w:rsidP="00123EB1">
      <w:pPr>
        <w:contextualSpacing/>
        <w:rPr>
          <w:rFonts w:ascii="Times New Roman" w:hAnsi="Times New Roman" w:cs="Times New Roman"/>
          <w:color w:val="000000" w:themeColor="text1"/>
          <w:sz w:val="24"/>
          <w:szCs w:val="24"/>
        </w:rPr>
      </w:pPr>
    </w:p>
    <w:p w14:paraId="1534FF1F" w14:textId="77777777" w:rsidR="00337D61" w:rsidRPr="001D704A" w:rsidRDefault="00337D61" w:rsidP="00123EB1">
      <w:pPr>
        <w:contextualSpacing/>
        <w:rPr>
          <w:rFonts w:ascii="Times New Roman" w:hAnsi="Times New Roman" w:cs="Times New Roman"/>
          <w:b/>
          <w:i/>
          <w:color w:val="000000" w:themeColor="text1"/>
          <w:sz w:val="24"/>
          <w:szCs w:val="24"/>
        </w:rPr>
      </w:pPr>
      <w:r w:rsidRPr="001D704A">
        <w:rPr>
          <w:rFonts w:ascii="Times New Roman" w:hAnsi="Times New Roman" w:cs="Times New Roman"/>
          <w:b/>
          <w:color w:val="000000" w:themeColor="text1"/>
          <w:sz w:val="24"/>
          <w:szCs w:val="24"/>
        </w:rPr>
        <w:t>Section 4 – Schedules</w:t>
      </w:r>
      <w:r w:rsidRPr="001D704A">
        <w:rPr>
          <w:rFonts w:ascii="Times New Roman" w:hAnsi="Times New Roman" w:cs="Times New Roman"/>
          <w:b/>
          <w:i/>
          <w:color w:val="000000" w:themeColor="text1"/>
          <w:sz w:val="24"/>
          <w:szCs w:val="24"/>
        </w:rPr>
        <w:t xml:space="preserve"> </w:t>
      </w:r>
    </w:p>
    <w:p w14:paraId="2D2BFD3D" w14:textId="77777777" w:rsidR="00337D61" w:rsidRPr="001D704A" w:rsidRDefault="00337D61" w:rsidP="00123EB1">
      <w:pPr>
        <w:contextualSpacing/>
        <w:rPr>
          <w:rFonts w:ascii="Times New Roman" w:hAnsi="Times New Roman" w:cs="Times New Roman"/>
          <w:color w:val="000000" w:themeColor="text1"/>
          <w:sz w:val="24"/>
          <w:szCs w:val="24"/>
        </w:rPr>
      </w:pPr>
    </w:p>
    <w:p w14:paraId="0B9ED0C0" w14:textId="77777777" w:rsidR="00337D61" w:rsidRPr="001D704A" w:rsidRDefault="00337D61" w:rsidP="00123EB1">
      <w:pPr>
        <w:contextualSpacing/>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section provides that the </w:t>
      </w:r>
      <w:r w:rsidRPr="001D704A">
        <w:rPr>
          <w:rFonts w:ascii="Times New Roman" w:hAnsi="Times New Roman" w:cs="Times New Roman"/>
          <w:i/>
          <w:color w:val="000000" w:themeColor="text1"/>
          <w:sz w:val="24"/>
          <w:szCs w:val="24"/>
        </w:rPr>
        <w:t xml:space="preserve">Financial </w:t>
      </w:r>
      <w:r w:rsidRPr="001D704A">
        <w:rPr>
          <w:rFonts w:ascii="Times New Roman" w:hAnsi="Times New Roman" w:cs="Times New Roman"/>
          <w:bCs/>
          <w:i/>
          <w:sz w:val="24"/>
          <w:szCs w:val="24"/>
        </w:rPr>
        <w:t xml:space="preserve">Framework (Supplementary Powers) </w:t>
      </w:r>
      <w:r w:rsidRPr="001D704A">
        <w:rPr>
          <w:rFonts w:ascii="Times New Roman" w:hAnsi="Times New Roman" w:cs="Times New Roman"/>
          <w:i/>
          <w:color w:val="000000" w:themeColor="text1"/>
          <w:sz w:val="24"/>
          <w:szCs w:val="24"/>
        </w:rPr>
        <w:t>Regulations 1997</w:t>
      </w:r>
      <w:r w:rsidRPr="001D704A">
        <w:rPr>
          <w:rFonts w:ascii="Times New Roman" w:hAnsi="Times New Roman" w:cs="Times New Roman"/>
          <w:color w:val="000000" w:themeColor="text1"/>
          <w:sz w:val="24"/>
          <w:szCs w:val="24"/>
        </w:rPr>
        <w:t xml:space="preserve"> are amended as set out in the Schedule to the Regulations.</w:t>
      </w:r>
    </w:p>
    <w:p w14:paraId="66BB0314" w14:textId="77777777" w:rsidR="00337D61" w:rsidRPr="001D704A" w:rsidRDefault="00337D61" w:rsidP="00123EB1">
      <w:pPr>
        <w:contextualSpacing/>
        <w:rPr>
          <w:rFonts w:ascii="Times New Roman" w:hAnsi="Times New Roman" w:cs="Times New Roman"/>
          <w:color w:val="000000" w:themeColor="text1"/>
          <w:sz w:val="24"/>
          <w:szCs w:val="24"/>
        </w:rPr>
      </w:pPr>
    </w:p>
    <w:p w14:paraId="2F721259" w14:textId="77777777" w:rsidR="00337D61" w:rsidRPr="001D704A" w:rsidRDefault="00337D61" w:rsidP="00123EB1">
      <w:pPr>
        <w:contextualSpacing/>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Schedule 1 – Amendments</w:t>
      </w:r>
    </w:p>
    <w:p w14:paraId="4636B261" w14:textId="77777777" w:rsidR="002D4029" w:rsidRPr="001D704A" w:rsidRDefault="002D4029" w:rsidP="00123EB1">
      <w:pPr>
        <w:contextualSpacing/>
        <w:rPr>
          <w:rFonts w:ascii="Times New Roman" w:hAnsi="Times New Roman" w:cs="Times New Roman"/>
          <w:b/>
          <w:color w:val="000000" w:themeColor="text1"/>
          <w:sz w:val="24"/>
          <w:szCs w:val="24"/>
        </w:rPr>
      </w:pPr>
    </w:p>
    <w:p w14:paraId="3B66091B" w14:textId="77777777" w:rsidR="00337D61" w:rsidRPr="001D704A" w:rsidRDefault="00BF24AA" w:rsidP="00123EB1">
      <w:pPr>
        <w:rPr>
          <w:rFonts w:ascii="Times New Roman" w:hAnsi="Times New Roman" w:cs="Times New Roman"/>
          <w:b/>
          <w:i/>
          <w:color w:val="000000" w:themeColor="text1"/>
          <w:sz w:val="24"/>
          <w:szCs w:val="24"/>
        </w:rPr>
      </w:pPr>
      <w:r w:rsidRPr="001D704A">
        <w:rPr>
          <w:rFonts w:ascii="Times New Roman" w:hAnsi="Times New Roman" w:cs="Times New Roman"/>
          <w:b/>
          <w:i/>
          <w:color w:val="000000" w:themeColor="text1"/>
          <w:sz w:val="24"/>
          <w:szCs w:val="24"/>
        </w:rPr>
        <w:t>Financial Framework (Supplementary Powers) Regulations 1997</w:t>
      </w:r>
    </w:p>
    <w:p w14:paraId="547830CA" w14:textId="77777777" w:rsidR="002D4029" w:rsidRPr="001D704A" w:rsidRDefault="002D4029" w:rsidP="00123EB1">
      <w:pPr>
        <w:rPr>
          <w:rFonts w:ascii="Times New Roman" w:hAnsi="Times New Roman" w:cs="Times New Roman"/>
          <w:b/>
          <w:i/>
          <w:color w:val="000000" w:themeColor="text1"/>
          <w:sz w:val="24"/>
          <w:szCs w:val="24"/>
        </w:rPr>
      </w:pPr>
    </w:p>
    <w:p w14:paraId="21F4A960" w14:textId="77777777" w:rsidR="00285F2B" w:rsidRPr="001D704A" w:rsidRDefault="00337D61" w:rsidP="00123EB1">
      <w:pPr>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 xml:space="preserve">Item 1 – </w:t>
      </w:r>
      <w:r w:rsidR="00417CD5" w:rsidRPr="001D704A">
        <w:rPr>
          <w:rFonts w:ascii="Times New Roman" w:hAnsi="Times New Roman" w:cs="Times New Roman"/>
          <w:b/>
          <w:color w:val="000000" w:themeColor="text1"/>
          <w:sz w:val="24"/>
          <w:szCs w:val="24"/>
        </w:rPr>
        <w:t>In the appropriate position in Part 3 of Schedule 1AB (table)</w:t>
      </w:r>
    </w:p>
    <w:p w14:paraId="4212823F" w14:textId="77777777" w:rsidR="00337D61" w:rsidRPr="001D704A" w:rsidRDefault="00337D61" w:rsidP="00123EB1">
      <w:pPr>
        <w:rPr>
          <w:rFonts w:ascii="Times New Roman" w:hAnsi="Times New Roman" w:cs="Times New Roman"/>
          <w:color w:val="000000" w:themeColor="text1"/>
          <w:sz w:val="24"/>
          <w:szCs w:val="24"/>
        </w:rPr>
      </w:pPr>
    </w:p>
    <w:p w14:paraId="5B1B7178" w14:textId="77777777" w:rsidR="00417CD5" w:rsidRPr="001D704A" w:rsidRDefault="00417CD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item adds two new table items to Part 3 of Schedule 1AB to establish legislative authority for government spending on </w:t>
      </w:r>
      <w:r w:rsidR="002065BB" w:rsidRPr="001D704A">
        <w:rPr>
          <w:rFonts w:ascii="Times New Roman" w:hAnsi="Times New Roman" w:cs="Times New Roman"/>
          <w:color w:val="000000" w:themeColor="text1"/>
          <w:sz w:val="24"/>
          <w:szCs w:val="24"/>
        </w:rPr>
        <w:t>certain</w:t>
      </w:r>
      <w:r w:rsidRPr="001D704A">
        <w:rPr>
          <w:rFonts w:ascii="Times New Roman" w:hAnsi="Times New Roman" w:cs="Times New Roman"/>
          <w:color w:val="000000" w:themeColor="text1"/>
          <w:sz w:val="24"/>
          <w:szCs w:val="24"/>
        </w:rPr>
        <w:t xml:space="preserve"> activities administered by the Department of Education, Skills and Employment (the department).</w:t>
      </w:r>
    </w:p>
    <w:p w14:paraId="46DCE67B" w14:textId="77777777" w:rsidR="00417CD5" w:rsidRPr="001D704A" w:rsidRDefault="00417CD5" w:rsidP="00123EB1">
      <w:pPr>
        <w:rPr>
          <w:rFonts w:ascii="Times New Roman" w:hAnsi="Times New Roman" w:cs="Times New Roman"/>
          <w:color w:val="000000" w:themeColor="text1"/>
          <w:sz w:val="24"/>
          <w:szCs w:val="24"/>
        </w:rPr>
      </w:pPr>
    </w:p>
    <w:p w14:paraId="58242B98" w14:textId="421A8670"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table item</w:t>
      </w:r>
      <w:r w:rsidR="00B020B6" w:rsidRPr="001D704A">
        <w:rPr>
          <w:rFonts w:ascii="Times New Roman" w:hAnsi="Times New Roman" w:cs="Times New Roman"/>
          <w:b/>
          <w:iCs/>
          <w:color w:val="000000" w:themeColor="text1"/>
          <w:sz w:val="24"/>
          <w:szCs w:val="24"/>
        </w:rPr>
        <w:t xml:space="preserve"> 53</w:t>
      </w:r>
      <w:r w:rsidRPr="001D704A">
        <w:rPr>
          <w:rFonts w:ascii="Times New Roman" w:hAnsi="Times New Roman" w:cs="Times New Roman"/>
          <w:iCs/>
          <w:color w:val="000000" w:themeColor="text1"/>
          <w:sz w:val="24"/>
          <w:szCs w:val="24"/>
        </w:rPr>
        <w:t xml:space="preserve"> establishes legislative authority for the Government to provide a </w:t>
      </w:r>
      <w:r w:rsidR="005A5E39" w:rsidRPr="001D704A">
        <w:rPr>
          <w:rFonts w:ascii="Times New Roman" w:hAnsi="Times New Roman" w:cs="Times New Roman"/>
          <w:iCs/>
          <w:color w:val="000000" w:themeColor="text1"/>
          <w:sz w:val="24"/>
          <w:szCs w:val="24"/>
        </w:rPr>
        <w:t>g</w:t>
      </w:r>
      <w:r w:rsidRPr="001D704A">
        <w:rPr>
          <w:rFonts w:ascii="Times New Roman" w:hAnsi="Times New Roman" w:cs="Times New Roman"/>
          <w:iCs/>
          <w:color w:val="000000" w:themeColor="text1"/>
          <w:sz w:val="24"/>
          <w:szCs w:val="24"/>
        </w:rPr>
        <w:t>rant to MultiLit Pty Limited</w:t>
      </w:r>
      <w:r w:rsidR="005A5E39" w:rsidRPr="001D704A">
        <w:rPr>
          <w:rFonts w:ascii="Times New Roman" w:hAnsi="Times New Roman" w:cs="Times New Roman"/>
          <w:iCs/>
          <w:color w:val="000000" w:themeColor="text1"/>
          <w:sz w:val="24"/>
          <w:szCs w:val="24"/>
        </w:rPr>
        <w:t xml:space="preserve"> (MultiLit)</w:t>
      </w:r>
      <w:r w:rsidRPr="001D704A">
        <w:rPr>
          <w:rFonts w:ascii="Times New Roman" w:hAnsi="Times New Roman"/>
          <w:szCs w:val="20"/>
        </w:rPr>
        <w:t xml:space="preserve"> </w:t>
      </w:r>
      <w:r w:rsidR="005A5E39" w:rsidRPr="001D704A">
        <w:rPr>
          <w:rFonts w:ascii="Times New Roman" w:hAnsi="Times New Roman"/>
          <w:szCs w:val="20"/>
        </w:rPr>
        <w:t xml:space="preserve">for the </w:t>
      </w:r>
      <w:r w:rsidRPr="001D704A">
        <w:rPr>
          <w:rFonts w:ascii="Times New Roman" w:hAnsi="Times New Roman" w:cs="Times New Roman"/>
          <w:iCs/>
          <w:color w:val="000000" w:themeColor="text1"/>
          <w:sz w:val="24"/>
          <w:szCs w:val="24"/>
        </w:rPr>
        <w:t>deliver</w:t>
      </w:r>
      <w:r w:rsidR="005A5E39" w:rsidRPr="001D704A">
        <w:rPr>
          <w:rFonts w:ascii="Times New Roman" w:hAnsi="Times New Roman" w:cs="Times New Roman"/>
          <w:iCs/>
          <w:color w:val="000000" w:themeColor="text1"/>
          <w:sz w:val="24"/>
          <w:szCs w:val="24"/>
        </w:rPr>
        <w:t>y of its</w:t>
      </w:r>
      <w:r w:rsidRPr="001D704A">
        <w:rPr>
          <w:rFonts w:ascii="Times New Roman" w:hAnsi="Times New Roman" w:cs="Times New Roman"/>
          <w:iCs/>
          <w:color w:val="000000" w:themeColor="text1"/>
          <w:sz w:val="24"/>
          <w:szCs w:val="24"/>
        </w:rPr>
        <w:t xml:space="preserve"> phonics-based programs to support literacy outcomes</w:t>
      </w:r>
      <w:r w:rsidR="005A5E39" w:rsidRPr="001D704A">
        <w:rPr>
          <w:rFonts w:ascii="Times New Roman" w:hAnsi="Times New Roman" w:cs="Times New Roman"/>
          <w:iCs/>
          <w:color w:val="000000" w:themeColor="text1"/>
          <w:sz w:val="24"/>
          <w:szCs w:val="24"/>
        </w:rPr>
        <w:t xml:space="preserve"> for students,</w:t>
      </w:r>
      <w:r w:rsidRPr="001D704A">
        <w:rPr>
          <w:rFonts w:ascii="Times New Roman" w:hAnsi="Times New Roman" w:cs="Times New Roman"/>
          <w:iCs/>
          <w:color w:val="000000" w:themeColor="text1"/>
          <w:sz w:val="24"/>
          <w:szCs w:val="24"/>
        </w:rPr>
        <w:t xml:space="preserve"> particularly Aboriginal and Torres Strait Islander students (the </w:t>
      </w:r>
      <w:r w:rsidR="005A5E39"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w:t>
      </w:r>
    </w:p>
    <w:p w14:paraId="7EA9424D" w14:textId="77777777" w:rsidR="00C77D95" w:rsidRPr="001D704A" w:rsidRDefault="00C77D95" w:rsidP="00123EB1">
      <w:pPr>
        <w:rPr>
          <w:rFonts w:ascii="Times New Roman" w:hAnsi="Times New Roman" w:cs="Times New Roman"/>
          <w:iCs/>
          <w:color w:val="000000" w:themeColor="text1"/>
          <w:sz w:val="24"/>
          <w:szCs w:val="24"/>
        </w:rPr>
      </w:pPr>
    </w:p>
    <w:p w14:paraId="3E618D3E" w14:textId="13055018"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On 5 August 2021, the Minister for Education and Youth, the Hon Alan Tudge MP, the Minister for Indigenous Australians, the Hon Ken Wyatt AM MP, and the Minister for Regionalisation, Regional Communications and Regional Education, Senator</w:t>
      </w:r>
      <w:r w:rsidR="00FA2242" w:rsidRPr="001D704A">
        <w:rPr>
          <w:rFonts w:ascii="Times New Roman" w:hAnsi="Times New Roman" w:cs="Times New Roman"/>
          <w:iCs/>
          <w:color w:val="000000" w:themeColor="text1"/>
          <w:sz w:val="24"/>
          <w:szCs w:val="24"/>
        </w:rPr>
        <w:t> </w:t>
      </w:r>
      <w:r w:rsidRPr="001D704A">
        <w:rPr>
          <w:rFonts w:ascii="Times New Roman" w:hAnsi="Times New Roman" w:cs="Times New Roman"/>
          <w:iCs/>
          <w:color w:val="000000" w:themeColor="text1"/>
          <w:sz w:val="24"/>
          <w:szCs w:val="24"/>
        </w:rPr>
        <w:t>the</w:t>
      </w:r>
      <w:r w:rsidR="00FA2242" w:rsidRPr="001D704A">
        <w:rPr>
          <w:rFonts w:ascii="Times New Roman" w:hAnsi="Times New Roman" w:cs="Times New Roman"/>
          <w:iCs/>
          <w:color w:val="000000" w:themeColor="text1"/>
          <w:sz w:val="24"/>
          <w:szCs w:val="24"/>
        </w:rPr>
        <w:t> </w:t>
      </w:r>
      <w:r w:rsidRPr="001D704A">
        <w:rPr>
          <w:rFonts w:ascii="Times New Roman" w:hAnsi="Times New Roman" w:cs="Times New Roman"/>
          <w:iCs/>
          <w:color w:val="000000" w:themeColor="text1"/>
          <w:sz w:val="24"/>
          <w:szCs w:val="24"/>
        </w:rPr>
        <w:t>Hon</w:t>
      </w:r>
      <w:r w:rsidR="00FA2242" w:rsidRPr="001D704A">
        <w:rPr>
          <w:rFonts w:ascii="Times New Roman" w:hAnsi="Times New Roman" w:cs="Times New Roman"/>
          <w:iCs/>
          <w:color w:val="000000" w:themeColor="text1"/>
          <w:sz w:val="24"/>
          <w:szCs w:val="24"/>
        </w:rPr>
        <w:t> </w:t>
      </w:r>
      <w:r w:rsidRPr="001D704A">
        <w:rPr>
          <w:rFonts w:ascii="Times New Roman" w:hAnsi="Times New Roman" w:cs="Times New Roman"/>
          <w:iCs/>
          <w:color w:val="000000" w:themeColor="text1"/>
          <w:sz w:val="24"/>
          <w:szCs w:val="24"/>
        </w:rPr>
        <w:t>Bridget</w:t>
      </w:r>
      <w:r w:rsidR="00FA2242" w:rsidRPr="001D704A">
        <w:rPr>
          <w:rFonts w:ascii="Times New Roman" w:hAnsi="Times New Roman" w:cs="Times New Roman"/>
          <w:iCs/>
          <w:color w:val="000000" w:themeColor="text1"/>
          <w:sz w:val="24"/>
          <w:szCs w:val="24"/>
        </w:rPr>
        <w:t> </w:t>
      </w:r>
      <w:r w:rsidRPr="001D704A">
        <w:rPr>
          <w:rFonts w:ascii="Times New Roman" w:hAnsi="Times New Roman" w:cs="Times New Roman"/>
          <w:iCs/>
          <w:color w:val="000000" w:themeColor="text1"/>
          <w:sz w:val="24"/>
          <w:szCs w:val="24"/>
        </w:rPr>
        <w:t>McKenzie</w:t>
      </w:r>
      <w:r w:rsidR="00FA2242" w:rsidRPr="001D704A">
        <w:rPr>
          <w:rFonts w:ascii="Times New Roman" w:hAnsi="Times New Roman" w:cs="Times New Roman"/>
          <w:iCs/>
          <w:color w:val="000000" w:themeColor="text1"/>
          <w:sz w:val="24"/>
          <w:szCs w:val="24"/>
        </w:rPr>
        <w:t xml:space="preserve">, jointly announced a number of </w:t>
      </w:r>
      <w:r w:rsidRPr="001D704A">
        <w:rPr>
          <w:rFonts w:ascii="Times New Roman" w:hAnsi="Times New Roman" w:cs="Times New Roman"/>
          <w:i/>
          <w:iCs/>
          <w:color w:val="000000" w:themeColor="text1"/>
          <w:sz w:val="24"/>
          <w:szCs w:val="24"/>
        </w:rPr>
        <w:t xml:space="preserve">Closing the Gap in </w:t>
      </w:r>
      <w:r w:rsidR="00FA2242" w:rsidRPr="001D704A">
        <w:rPr>
          <w:rFonts w:ascii="Times New Roman" w:hAnsi="Times New Roman" w:cs="Times New Roman"/>
          <w:i/>
          <w:iCs/>
          <w:color w:val="000000" w:themeColor="text1"/>
          <w:sz w:val="24"/>
          <w:szCs w:val="24"/>
        </w:rPr>
        <w:t>s</w:t>
      </w:r>
      <w:r w:rsidRPr="001D704A">
        <w:rPr>
          <w:rFonts w:ascii="Times New Roman" w:hAnsi="Times New Roman" w:cs="Times New Roman"/>
          <w:i/>
          <w:iCs/>
          <w:color w:val="000000" w:themeColor="text1"/>
          <w:sz w:val="24"/>
          <w:szCs w:val="24"/>
        </w:rPr>
        <w:t xml:space="preserve">chool </w:t>
      </w:r>
      <w:r w:rsidR="00FA2242" w:rsidRPr="001D704A">
        <w:rPr>
          <w:rFonts w:ascii="Times New Roman" w:hAnsi="Times New Roman" w:cs="Times New Roman"/>
          <w:i/>
          <w:iCs/>
          <w:color w:val="000000" w:themeColor="text1"/>
          <w:sz w:val="24"/>
          <w:szCs w:val="24"/>
        </w:rPr>
        <w:t>e</w:t>
      </w:r>
      <w:r w:rsidRPr="001D704A">
        <w:rPr>
          <w:rFonts w:ascii="Times New Roman" w:hAnsi="Times New Roman" w:cs="Times New Roman"/>
          <w:i/>
          <w:iCs/>
          <w:color w:val="000000" w:themeColor="text1"/>
          <w:sz w:val="24"/>
          <w:szCs w:val="24"/>
        </w:rPr>
        <w:t>ducation</w:t>
      </w:r>
      <w:r w:rsidR="00FA2242" w:rsidRPr="001D704A">
        <w:rPr>
          <w:rFonts w:ascii="Times New Roman" w:hAnsi="Times New Roman" w:cs="Times New Roman"/>
          <w:iCs/>
          <w:color w:val="000000" w:themeColor="text1"/>
          <w:sz w:val="24"/>
          <w:szCs w:val="24"/>
        </w:rPr>
        <w:t xml:space="preserve"> initiatives, including funding for </w:t>
      </w:r>
      <w:r w:rsidR="0096523B" w:rsidRPr="001D704A">
        <w:rPr>
          <w:rFonts w:ascii="Times New Roman" w:hAnsi="Times New Roman" w:cs="Times New Roman"/>
          <w:iCs/>
          <w:color w:val="000000" w:themeColor="text1"/>
          <w:sz w:val="24"/>
          <w:szCs w:val="24"/>
        </w:rPr>
        <w:t xml:space="preserve">the </w:t>
      </w:r>
      <w:r w:rsidRPr="001D704A">
        <w:rPr>
          <w:rFonts w:ascii="Times New Roman" w:hAnsi="Times New Roman" w:cs="Times New Roman"/>
          <w:iCs/>
          <w:color w:val="000000" w:themeColor="text1"/>
          <w:sz w:val="24"/>
          <w:szCs w:val="24"/>
        </w:rPr>
        <w:t xml:space="preserve">MultiLit program. The media release is available at </w:t>
      </w:r>
      <w:r w:rsidRPr="001D704A">
        <w:rPr>
          <w:rFonts w:ascii="Times New Roman" w:hAnsi="Times New Roman" w:cs="Times New Roman"/>
          <w:iCs/>
          <w:color w:val="000000" w:themeColor="text1"/>
          <w:sz w:val="24"/>
          <w:szCs w:val="24"/>
          <w:u w:val="single"/>
        </w:rPr>
        <w:t>https://ministers.dese.gov.au/tudge/closing-gap-school-education</w:t>
      </w:r>
      <w:r w:rsidRPr="001D704A">
        <w:rPr>
          <w:rFonts w:ascii="Times New Roman" w:hAnsi="Times New Roman" w:cs="Times New Roman"/>
          <w:iCs/>
          <w:color w:val="000000" w:themeColor="text1"/>
          <w:sz w:val="24"/>
          <w:szCs w:val="24"/>
        </w:rPr>
        <w:t>.</w:t>
      </w:r>
    </w:p>
    <w:p w14:paraId="3F74545F" w14:textId="77777777" w:rsidR="00C77D95" w:rsidRPr="001D704A" w:rsidRDefault="00C77D95" w:rsidP="00123EB1">
      <w:pPr>
        <w:rPr>
          <w:rFonts w:ascii="Times New Roman" w:hAnsi="Times New Roman" w:cs="Times New Roman"/>
          <w:iCs/>
          <w:color w:val="000000" w:themeColor="text1"/>
          <w:sz w:val="24"/>
          <w:szCs w:val="24"/>
        </w:rPr>
      </w:pPr>
    </w:p>
    <w:p w14:paraId="6543A1F6" w14:textId="10DADCF2" w:rsidR="00202FDB"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w:t>
      </w:r>
      <w:r w:rsidR="00202FDB"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 xml:space="preserve">rogram will be a key activity that contributes to the </w:t>
      </w:r>
      <w:r w:rsidR="00202FDB" w:rsidRPr="001D704A">
        <w:rPr>
          <w:rFonts w:ascii="Times New Roman" w:hAnsi="Times New Roman" w:cs="Times New Roman"/>
          <w:i/>
          <w:iCs/>
          <w:color w:val="000000" w:themeColor="text1"/>
          <w:sz w:val="24"/>
          <w:szCs w:val="24"/>
        </w:rPr>
        <w:t>Commonwealth Closing the Gap Implementation Plan</w:t>
      </w:r>
      <w:r w:rsidRPr="001D704A">
        <w:rPr>
          <w:rFonts w:ascii="Times New Roman" w:hAnsi="Times New Roman" w:cs="Times New Roman"/>
          <w:iCs/>
          <w:color w:val="000000" w:themeColor="text1"/>
          <w:sz w:val="24"/>
          <w:szCs w:val="24"/>
        </w:rPr>
        <w:t xml:space="preserve"> as part of a broader package of measures. </w:t>
      </w:r>
      <w:r w:rsidR="00202FDB" w:rsidRPr="001D704A">
        <w:rPr>
          <w:rFonts w:ascii="Times New Roman" w:hAnsi="Times New Roman" w:cs="Times New Roman"/>
          <w:iCs/>
          <w:color w:val="000000" w:themeColor="text1"/>
          <w:sz w:val="24"/>
          <w:szCs w:val="24"/>
        </w:rPr>
        <w:t xml:space="preserve">The program will enable targeted efforts to improve student outcomes, to accelerate progress toward </w:t>
      </w:r>
      <w:r w:rsidR="00202FDB" w:rsidRPr="001D704A">
        <w:rPr>
          <w:rFonts w:ascii="Times New Roman" w:hAnsi="Times New Roman" w:cs="Times New Roman"/>
          <w:color w:val="000000" w:themeColor="text1"/>
          <w:sz w:val="24"/>
          <w:szCs w:val="24"/>
        </w:rPr>
        <w:t xml:space="preserve">Target 5 of </w:t>
      </w:r>
      <w:r w:rsidR="00202FDB" w:rsidRPr="001D704A">
        <w:rPr>
          <w:rFonts w:ascii="Times New Roman" w:hAnsi="Times New Roman" w:cs="Times New Roman"/>
          <w:sz w:val="24"/>
          <w:szCs w:val="24"/>
        </w:rPr>
        <w:t xml:space="preserve">the </w:t>
      </w:r>
      <w:r w:rsidR="00202FDB" w:rsidRPr="001D704A">
        <w:rPr>
          <w:rFonts w:ascii="Times New Roman" w:hAnsi="Times New Roman" w:cs="Times New Roman"/>
          <w:i/>
          <w:sz w:val="24"/>
          <w:szCs w:val="24"/>
        </w:rPr>
        <w:t>National Agreement on Closing the Gap</w:t>
      </w:r>
      <w:r w:rsidR="00202FDB" w:rsidRPr="001D704A">
        <w:rPr>
          <w:rFonts w:ascii="Times New Roman" w:hAnsi="Times New Roman" w:cs="Times New Roman"/>
          <w:iCs/>
          <w:color w:val="000000" w:themeColor="text1"/>
          <w:sz w:val="24"/>
          <w:szCs w:val="24"/>
        </w:rPr>
        <w:t xml:space="preserve"> (</w:t>
      </w:r>
      <w:r w:rsidR="00202FDB" w:rsidRPr="001D704A">
        <w:rPr>
          <w:rFonts w:ascii="Times New Roman" w:hAnsi="Times New Roman" w:cs="Times New Roman"/>
          <w:color w:val="000000" w:themeColor="text1"/>
          <w:sz w:val="24"/>
          <w:szCs w:val="24"/>
        </w:rPr>
        <w:t xml:space="preserve">by 2031, increase the proportion of Aboriginal and </w:t>
      </w:r>
      <w:r w:rsidR="00202FDB" w:rsidRPr="001D704A">
        <w:rPr>
          <w:rFonts w:ascii="Times New Roman" w:hAnsi="Times New Roman" w:cs="Times New Roman"/>
          <w:color w:val="000000" w:themeColor="text1"/>
          <w:sz w:val="24"/>
          <w:szCs w:val="24"/>
        </w:rPr>
        <w:lastRenderedPageBreak/>
        <w:t>Torres Strait Islander people (age 20-24) attaining Year 12 or equivalent qualification to 96 per cent</w:t>
      </w:r>
      <w:r w:rsidR="00202FDB" w:rsidRPr="001D704A">
        <w:rPr>
          <w:rFonts w:ascii="Times New Roman" w:hAnsi="Times New Roman" w:cs="Times New Roman"/>
          <w:iCs/>
          <w:color w:val="000000" w:themeColor="text1"/>
          <w:sz w:val="24"/>
          <w:szCs w:val="24"/>
        </w:rPr>
        <w:t>). </w:t>
      </w:r>
    </w:p>
    <w:p w14:paraId="6CD599F9" w14:textId="77F0A054" w:rsidR="00C77D95" w:rsidRPr="001D704A" w:rsidRDefault="00C77D95" w:rsidP="00123EB1">
      <w:pPr>
        <w:rPr>
          <w:rFonts w:ascii="Times New Roman" w:hAnsi="Times New Roman" w:cs="Times New Roman"/>
          <w:iCs/>
          <w:color w:val="000000" w:themeColor="text1"/>
          <w:sz w:val="24"/>
          <w:szCs w:val="24"/>
        </w:rPr>
      </w:pPr>
    </w:p>
    <w:p w14:paraId="40451E29" w14:textId="6FC9D91C"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w:t>
      </w:r>
      <w:r w:rsidR="00202FDB"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 xml:space="preserve">rogram will use verified tools to identify student knowledge and skill gaps, and then address these with direct, systematic and intensive teaching of the requisite skills. The </w:t>
      </w:r>
      <w:r w:rsidR="00202FDB"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 comprises four components: InitiaLit for students in Foundation to Year 3, MacqLit for students in Year</w:t>
      </w:r>
      <w:r w:rsidR="00202FDB"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xml:space="preserve"> 4 to 6, and MiniLit Sage and LanguageLift available for students who need extra support.  </w:t>
      </w:r>
    </w:p>
    <w:p w14:paraId="36A2DE37" w14:textId="77777777" w:rsidR="00C77D95" w:rsidRPr="001D704A" w:rsidRDefault="00C77D95" w:rsidP="00123EB1">
      <w:pPr>
        <w:rPr>
          <w:rFonts w:ascii="Times New Roman" w:hAnsi="Times New Roman" w:cs="Times New Roman"/>
          <w:iCs/>
          <w:color w:val="000000" w:themeColor="text1"/>
          <w:sz w:val="24"/>
          <w:szCs w:val="24"/>
        </w:rPr>
      </w:pPr>
    </w:p>
    <w:p w14:paraId="621351A1" w14:textId="5432E9A7"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Funding of $8 million over four years from 2021-22 will be provided to support </w:t>
      </w:r>
      <w:r w:rsidR="00202FDB" w:rsidRPr="001D704A">
        <w:rPr>
          <w:rFonts w:ascii="Times New Roman" w:hAnsi="Times New Roman" w:cs="Times New Roman"/>
          <w:iCs/>
          <w:color w:val="000000" w:themeColor="text1"/>
          <w:sz w:val="24"/>
          <w:szCs w:val="24"/>
        </w:rPr>
        <w:t>MuitiLit (</w:t>
      </w:r>
      <w:r w:rsidRPr="001D704A">
        <w:rPr>
          <w:rFonts w:ascii="Times New Roman" w:hAnsi="Times New Roman" w:cs="Times New Roman"/>
          <w:iCs/>
          <w:color w:val="000000" w:themeColor="text1"/>
          <w:sz w:val="24"/>
          <w:szCs w:val="24"/>
        </w:rPr>
        <w:t>Making Up Lost Time in Literacy</w:t>
      </w:r>
      <w:r w:rsidR="00202FDB"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to </w:t>
      </w:r>
      <w:r w:rsidR="00202FDB" w:rsidRPr="001D704A">
        <w:rPr>
          <w:rFonts w:ascii="Times New Roman" w:hAnsi="Times New Roman" w:cs="Times New Roman"/>
          <w:iCs/>
          <w:color w:val="000000" w:themeColor="text1"/>
          <w:sz w:val="24"/>
          <w:szCs w:val="24"/>
        </w:rPr>
        <w:t>deliver</w:t>
      </w:r>
      <w:r w:rsidRPr="001D704A">
        <w:rPr>
          <w:rFonts w:ascii="Times New Roman" w:hAnsi="Times New Roman" w:cs="Times New Roman"/>
          <w:iCs/>
          <w:color w:val="000000" w:themeColor="text1"/>
          <w:sz w:val="24"/>
          <w:szCs w:val="24"/>
        </w:rPr>
        <w:t xml:space="preserve"> these literacy programs to an </w:t>
      </w:r>
      <w:r w:rsidR="00202FDB" w:rsidRPr="001D704A">
        <w:rPr>
          <w:rFonts w:ascii="Times New Roman" w:hAnsi="Times New Roman" w:cs="Times New Roman"/>
          <w:iCs/>
          <w:color w:val="000000" w:themeColor="text1"/>
          <w:sz w:val="24"/>
          <w:szCs w:val="24"/>
        </w:rPr>
        <w:t xml:space="preserve">estimated </w:t>
      </w:r>
      <w:r w:rsidRPr="001D704A">
        <w:rPr>
          <w:rFonts w:ascii="Times New Roman" w:hAnsi="Times New Roman" w:cs="Times New Roman"/>
          <w:iCs/>
          <w:color w:val="000000" w:themeColor="text1"/>
          <w:sz w:val="24"/>
          <w:szCs w:val="24"/>
        </w:rPr>
        <w:t>40</w:t>
      </w:r>
      <w:r w:rsidR="00202FDB" w:rsidRPr="001D704A">
        <w:rPr>
          <w:rFonts w:ascii="Times New Roman" w:hAnsi="Times New Roman" w:cs="Times New Roman"/>
          <w:iCs/>
          <w:color w:val="000000" w:themeColor="text1"/>
          <w:sz w:val="24"/>
          <w:szCs w:val="24"/>
        </w:rPr>
        <w:t> </w:t>
      </w:r>
      <w:r w:rsidRPr="001D704A">
        <w:rPr>
          <w:rFonts w:ascii="Times New Roman" w:hAnsi="Times New Roman" w:cs="Times New Roman"/>
          <w:iCs/>
          <w:color w:val="000000" w:themeColor="text1"/>
          <w:sz w:val="24"/>
          <w:szCs w:val="24"/>
        </w:rPr>
        <w:t>majority Indigenous schools, with a focus on schools in remote areas. The number of schools will be negotiated with MultiLit, according to the quantum of funding available. Jurisdictions may also be w</w:t>
      </w:r>
      <w:r w:rsidR="00202FDB" w:rsidRPr="001D704A">
        <w:rPr>
          <w:rFonts w:ascii="Times New Roman" w:hAnsi="Times New Roman" w:cs="Times New Roman"/>
          <w:iCs/>
          <w:color w:val="000000" w:themeColor="text1"/>
          <w:sz w:val="24"/>
          <w:szCs w:val="24"/>
        </w:rPr>
        <w:t>illing to contribute given the p</w:t>
      </w:r>
      <w:r w:rsidRPr="001D704A">
        <w:rPr>
          <w:rFonts w:ascii="Times New Roman" w:hAnsi="Times New Roman" w:cs="Times New Roman"/>
          <w:iCs/>
          <w:color w:val="000000" w:themeColor="text1"/>
          <w:sz w:val="24"/>
          <w:szCs w:val="24"/>
        </w:rPr>
        <w:t xml:space="preserve">rogram is likely to align with state and territory initiatives. </w:t>
      </w:r>
    </w:p>
    <w:p w14:paraId="1A2F7F15" w14:textId="77777777" w:rsidR="00C77D95" w:rsidRPr="001D704A" w:rsidRDefault="00C77D95" w:rsidP="00123EB1">
      <w:pPr>
        <w:rPr>
          <w:rFonts w:ascii="Times New Roman" w:hAnsi="Times New Roman" w:cs="Times New Roman"/>
          <w:iCs/>
          <w:color w:val="000000" w:themeColor="text1"/>
          <w:sz w:val="24"/>
          <w:szCs w:val="24"/>
        </w:rPr>
      </w:pPr>
    </w:p>
    <w:p w14:paraId="2B2B0A31" w14:textId="2322773B"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Commonwealth</w:t>
      </w:r>
      <w:r w:rsidR="00202FDB" w:rsidRPr="001D704A">
        <w:rPr>
          <w:rFonts w:ascii="Times New Roman" w:hAnsi="Times New Roman" w:cs="Times New Roman"/>
          <w:iCs/>
          <w:color w:val="000000" w:themeColor="text1"/>
          <w:sz w:val="24"/>
          <w:szCs w:val="24"/>
        </w:rPr>
        <w:t xml:space="preserve"> funding</w:t>
      </w:r>
      <w:r w:rsidRPr="001D704A">
        <w:rPr>
          <w:rFonts w:ascii="Times New Roman" w:hAnsi="Times New Roman" w:cs="Times New Roman"/>
          <w:iCs/>
          <w:color w:val="000000" w:themeColor="text1"/>
          <w:sz w:val="24"/>
          <w:szCs w:val="24"/>
        </w:rPr>
        <w:t xml:space="preserve"> will enable targeted efforts to have students reading at least to a minimum level that is within the average range for a student’s age and year cohort. It will assist to address the critical achievement gap between Indigenous and non-Indigenous students</w:t>
      </w:r>
      <w:r w:rsidR="00202FDB" w:rsidRPr="001D704A">
        <w:rPr>
          <w:rFonts w:ascii="Times New Roman" w:hAnsi="Times New Roman" w:cs="Times New Roman"/>
          <w:iCs/>
          <w:color w:val="000000" w:themeColor="text1"/>
          <w:sz w:val="24"/>
          <w:szCs w:val="24"/>
        </w:rPr>
        <w:t>. F</w:t>
      </w:r>
      <w:r w:rsidRPr="001D704A">
        <w:rPr>
          <w:rFonts w:ascii="Times New Roman" w:hAnsi="Times New Roman" w:cs="Times New Roman"/>
          <w:iCs/>
          <w:color w:val="000000" w:themeColor="text1"/>
          <w:sz w:val="24"/>
          <w:szCs w:val="24"/>
        </w:rPr>
        <w:t>or example</w:t>
      </w:r>
      <w:r w:rsidR="00202FDB"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in Year 3 </w:t>
      </w:r>
      <w:r w:rsidRPr="001D704A">
        <w:rPr>
          <w:rFonts w:ascii="Times New Roman" w:hAnsi="Times New Roman" w:cs="Times New Roman"/>
          <w:i/>
          <w:iCs/>
          <w:color w:val="000000" w:themeColor="text1"/>
          <w:sz w:val="24"/>
          <w:szCs w:val="24"/>
        </w:rPr>
        <w:t>National Assessment Program – Literacy and Numeracy</w:t>
      </w:r>
      <w:r w:rsidRPr="001D704A">
        <w:rPr>
          <w:rFonts w:ascii="Times New Roman" w:hAnsi="Times New Roman" w:cs="Times New Roman"/>
          <w:iCs/>
          <w:color w:val="000000" w:themeColor="text1"/>
          <w:sz w:val="24"/>
          <w:szCs w:val="24"/>
        </w:rPr>
        <w:t xml:space="preserve"> (NAPLAN) reading assessments Indigenous students are, on average, two years behind </w:t>
      </w:r>
      <w:r w:rsidRPr="001D704A">
        <w:rPr>
          <w:rFonts w:ascii="Times New Roman" w:hAnsi="Times New Roman" w:cs="Times New Roman"/>
          <w:iCs/>
          <w:color w:val="000000" w:themeColor="text1"/>
          <w:sz w:val="24"/>
          <w:szCs w:val="24"/>
        </w:rPr>
        <w:br/>
        <w:t xml:space="preserve">non-Indigenous students. </w:t>
      </w:r>
    </w:p>
    <w:p w14:paraId="2D32D12B" w14:textId="77777777" w:rsidR="00C77D95" w:rsidRPr="001D704A" w:rsidRDefault="00C77D95" w:rsidP="00123EB1">
      <w:pPr>
        <w:rPr>
          <w:rFonts w:ascii="Times New Roman" w:hAnsi="Times New Roman" w:cs="Times New Roman"/>
          <w:iCs/>
          <w:color w:val="000000" w:themeColor="text1"/>
          <w:sz w:val="24"/>
          <w:szCs w:val="24"/>
        </w:rPr>
      </w:pPr>
    </w:p>
    <w:p w14:paraId="118F3085" w14:textId="37F7BF38"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MultiLit has a long history of successfully working in schools and other settings to deliver reading instruction to Indigenous students. MultiLit has run tutorial centres serving large numbers of </w:t>
      </w:r>
      <w:r w:rsidR="007F4512" w:rsidRPr="001D704A">
        <w:rPr>
          <w:rFonts w:ascii="Times New Roman" w:hAnsi="Times New Roman" w:cs="Times New Roman"/>
          <w:iCs/>
          <w:color w:val="000000" w:themeColor="text1"/>
          <w:sz w:val="24"/>
          <w:szCs w:val="24"/>
        </w:rPr>
        <w:t>I</w:t>
      </w:r>
      <w:r w:rsidRPr="001D704A">
        <w:rPr>
          <w:rFonts w:ascii="Times New Roman" w:hAnsi="Times New Roman" w:cs="Times New Roman"/>
          <w:iCs/>
          <w:color w:val="000000" w:themeColor="text1"/>
          <w:sz w:val="24"/>
          <w:szCs w:val="24"/>
        </w:rPr>
        <w:t>ndigenous students in Sydney and Darwin with strong results, as well as work</w:t>
      </w:r>
      <w:r w:rsidR="007F4512" w:rsidRPr="001D704A">
        <w:rPr>
          <w:rFonts w:ascii="Times New Roman" w:hAnsi="Times New Roman" w:cs="Times New Roman"/>
          <w:iCs/>
          <w:color w:val="000000" w:themeColor="text1"/>
          <w:sz w:val="24"/>
          <w:szCs w:val="24"/>
        </w:rPr>
        <w:t>ed</w:t>
      </w:r>
      <w:r w:rsidRPr="001D704A">
        <w:rPr>
          <w:rFonts w:ascii="Times New Roman" w:hAnsi="Times New Roman" w:cs="Times New Roman"/>
          <w:iCs/>
          <w:color w:val="000000" w:themeColor="text1"/>
          <w:sz w:val="24"/>
          <w:szCs w:val="24"/>
        </w:rPr>
        <w:t xml:space="preserve"> with the Cape York Partnership to deliver MultiLit programs from 2005 to 2010. MultiLit is also working with the Top End School of Flexible Learning to improve literacy using MacqLit</w:t>
      </w:r>
      <w:r w:rsidR="007F4512" w:rsidRPr="001D704A">
        <w:rPr>
          <w:rFonts w:ascii="Times New Roman" w:hAnsi="Times New Roman" w:cs="Times New Roman"/>
          <w:iCs/>
          <w:color w:val="000000" w:themeColor="text1"/>
          <w:sz w:val="24"/>
          <w:szCs w:val="24"/>
        </w:rPr>
        <w:t>.</w:t>
      </w:r>
    </w:p>
    <w:p w14:paraId="3D452640" w14:textId="77777777" w:rsidR="00C77D95" w:rsidRPr="001D704A" w:rsidRDefault="00C77D95" w:rsidP="00123EB1">
      <w:pPr>
        <w:rPr>
          <w:rFonts w:ascii="Times New Roman" w:hAnsi="Times New Roman" w:cs="Times New Roman"/>
          <w:iCs/>
          <w:color w:val="000000" w:themeColor="text1"/>
          <w:sz w:val="24"/>
          <w:szCs w:val="24"/>
        </w:rPr>
      </w:pPr>
    </w:p>
    <w:p w14:paraId="20D9271D" w14:textId="08F245AB"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four components of the </w:t>
      </w:r>
      <w:r w:rsidR="007F4512"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 are:</w:t>
      </w:r>
    </w:p>
    <w:p w14:paraId="45BE5069" w14:textId="506C124E" w:rsidR="00C77D95" w:rsidRPr="001D704A" w:rsidRDefault="00C77D95" w:rsidP="00123EB1">
      <w:pPr>
        <w:pStyle w:val="ListParagraph"/>
        <w:numPr>
          <w:ilvl w:val="0"/>
          <w:numId w:val="27"/>
        </w:numPr>
        <w:spacing w:after="0" w:line="240" w:lineRule="auto"/>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InitiaLit provides teachers with carefully sequenced lesson plans and accompanying resources that purposefully develop both the word decoding and language components of literacy, also incorporating morphemes, vocabulary, grammatical concepts, spelling, and handwriting. Curriculum</w:t>
      </w:r>
      <w:r w:rsidR="0038019D" w:rsidRPr="001D704A">
        <w:rPr>
          <w:rFonts w:ascii="Times New Roman" w:hAnsi="Times New Roman"/>
          <w:iCs/>
          <w:color w:val="000000" w:themeColor="text1"/>
          <w:sz w:val="24"/>
          <w:szCs w:val="24"/>
        </w:rPr>
        <w:t xml:space="preserve"> </w:t>
      </w:r>
      <w:r w:rsidRPr="001D704A">
        <w:rPr>
          <w:rFonts w:ascii="Times New Roman" w:hAnsi="Times New Roman"/>
          <w:iCs/>
          <w:color w:val="000000" w:themeColor="text1"/>
          <w:sz w:val="24"/>
          <w:szCs w:val="24"/>
        </w:rPr>
        <w:t>based assessments are used regularly to monitor students’ progress and identify their learning needs;</w:t>
      </w:r>
    </w:p>
    <w:p w14:paraId="311FB3EC" w14:textId="20A7C4B4" w:rsidR="00C77D95" w:rsidRPr="001D704A" w:rsidRDefault="00C77D95" w:rsidP="00123EB1">
      <w:pPr>
        <w:pStyle w:val="ListParagraph"/>
        <w:numPr>
          <w:ilvl w:val="0"/>
          <w:numId w:val="27"/>
        </w:numPr>
        <w:spacing w:after="0" w:line="240" w:lineRule="auto"/>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MiniLit Sage supports young struggling readers who require extra support. It develops students’ phonic decoding and automaticity in word reading and includes integrated vocabulary and comprehension elements. MiniLit</w:t>
      </w:r>
      <w:r w:rsidRPr="001D704A">
        <w:rPr>
          <w:rFonts w:ascii="Times New Roman" w:hAnsi="Times New Roman"/>
          <w:i/>
          <w:iCs/>
          <w:color w:val="000000" w:themeColor="text1"/>
          <w:sz w:val="24"/>
          <w:szCs w:val="24"/>
        </w:rPr>
        <w:t xml:space="preserve"> </w:t>
      </w:r>
      <w:r w:rsidRPr="001D704A">
        <w:rPr>
          <w:rFonts w:ascii="Times New Roman" w:hAnsi="Times New Roman"/>
          <w:iCs/>
          <w:color w:val="000000" w:themeColor="text1"/>
          <w:sz w:val="24"/>
          <w:szCs w:val="24"/>
        </w:rPr>
        <w:t>Sage is delivered in small groups of three to four students for two to three terms, depending on attendance rates;</w:t>
      </w:r>
    </w:p>
    <w:p w14:paraId="28462E2A" w14:textId="2CA361E8" w:rsidR="00C77D95" w:rsidRPr="001D704A" w:rsidRDefault="00C77D95" w:rsidP="00123EB1">
      <w:pPr>
        <w:pStyle w:val="ListParagraph"/>
        <w:numPr>
          <w:ilvl w:val="0"/>
          <w:numId w:val="27"/>
        </w:numPr>
        <w:spacing w:after="0" w:line="240" w:lineRule="auto"/>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 xml:space="preserve">LanguageLift </w:t>
      </w:r>
      <w:r w:rsidR="0038019D" w:rsidRPr="001D704A">
        <w:rPr>
          <w:rFonts w:ascii="Times New Roman" w:hAnsi="Times New Roman"/>
          <w:iCs/>
          <w:color w:val="000000" w:themeColor="text1"/>
          <w:sz w:val="24"/>
          <w:szCs w:val="24"/>
        </w:rPr>
        <w:t>is</w:t>
      </w:r>
      <w:r w:rsidRPr="001D704A">
        <w:rPr>
          <w:rFonts w:ascii="Times New Roman" w:hAnsi="Times New Roman"/>
          <w:iCs/>
          <w:color w:val="000000" w:themeColor="text1"/>
          <w:sz w:val="24"/>
          <w:szCs w:val="24"/>
        </w:rPr>
        <w:t xml:space="preserve"> a companion to MiniLit</w:t>
      </w:r>
      <w:r w:rsidRPr="001D704A">
        <w:rPr>
          <w:rFonts w:ascii="Times New Roman" w:hAnsi="Times New Roman"/>
          <w:i/>
          <w:iCs/>
          <w:color w:val="000000" w:themeColor="text1"/>
          <w:sz w:val="24"/>
          <w:szCs w:val="24"/>
        </w:rPr>
        <w:t xml:space="preserve"> </w:t>
      </w:r>
      <w:r w:rsidRPr="001D704A">
        <w:rPr>
          <w:rFonts w:ascii="Times New Roman" w:hAnsi="Times New Roman"/>
          <w:iCs/>
          <w:color w:val="000000" w:themeColor="text1"/>
          <w:sz w:val="24"/>
          <w:szCs w:val="24"/>
        </w:rPr>
        <w:t xml:space="preserve">Sage, </w:t>
      </w:r>
      <w:r w:rsidR="0038019D" w:rsidRPr="001D704A">
        <w:rPr>
          <w:rFonts w:ascii="Times New Roman" w:hAnsi="Times New Roman"/>
          <w:iCs/>
          <w:color w:val="000000" w:themeColor="text1"/>
          <w:sz w:val="24"/>
          <w:szCs w:val="24"/>
        </w:rPr>
        <w:t xml:space="preserve">which </w:t>
      </w:r>
      <w:r w:rsidRPr="001D704A">
        <w:rPr>
          <w:rFonts w:ascii="Times New Roman" w:hAnsi="Times New Roman"/>
          <w:iCs/>
          <w:color w:val="000000" w:themeColor="text1"/>
          <w:sz w:val="24"/>
          <w:szCs w:val="24"/>
        </w:rPr>
        <w:t xml:space="preserve">is designed for children with language difficulties and addresses text structure knowledge, oral narrative, vocabulary and grammatical skills, and literal and inferential comprehension. LanguageLift is delivered in small groups of three to four students for between 15 and 30 weeks, depending on the child’s level of need. Lessons are delivered four times per week, 30 minutes per day. Students requiring LanguageLift intervention receive </w:t>
      </w:r>
      <w:r w:rsidR="0038019D" w:rsidRPr="001D704A">
        <w:rPr>
          <w:rFonts w:ascii="Times New Roman" w:hAnsi="Times New Roman"/>
          <w:iCs/>
          <w:color w:val="000000" w:themeColor="text1"/>
          <w:sz w:val="24"/>
          <w:szCs w:val="24"/>
        </w:rPr>
        <w:t>it</w:t>
      </w:r>
      <w:r w:rsidRPr="001D704A">
        <w:rPr>
          <w:rFonts w:ascii="Times New Roman" w:hAnsi="Times New Roman"/>
          <w:iCs/>
          <w:color w:val="000000" w:themeColor="text1"/>
          <w:sz w:val="24"/>
          <w:szCs w:val="24"/>
        </w:rPr>
        <w:t xml:space="preserve"> in addition to their InitiaLit instruction for extra support; and</w:t>
      </w:r>
    </w:p>
    <w:p w14:paraId="2765DB66" w14:textId="6E031129" w:rsidR="00C77D95" w:rsidRPr="001D704A" w:rsidRDefault="00C77D95" w:rsidP="00123EB1">
      <w:pPr>
        <w:pStyle w:val="ListParagraph"/>
        <w:numPr>
          <w:ilvl w:val="0"/>
          <w:numId w:val="27"/>
        </w:numPr>
        <w:spacing w:after="0" w:line="240" w:lineRule="auto"/>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 xml:space="preserve">MacqLit provides teachers with a comprehensive sequence of lessons that includes all the key components necessary for effective reading instruction: phonemic awareness, phonics, fluency, vocabulary, and comprehension. Students are placed in small groups </w:t>
      </w:r>
      <w:r w:rsidRPr="001D704A">
        <w:rPr>
          <w:rFonts w:ascii="Times New Roman" w:hAnsi="Times New Roman"/>
          <w:iCs/>
          <w:color w:val="000000" w:themeColor="text1"/>
          <w:sz w:val="24"/>
          <w:szCs w:val="24"/>
        </w:rPr>
        <w:lastRenderedPageBreak/>
        <w:t>according to their skill levels and group formation is monitored and changed according to student progress. Students who are making faster progress in their reading (for example, those who have higher attendance rates) can move through the program more quickly.</w:t>
      </w:r>
    </w:p>
    <w:p w14:paraId="099E9F3D" w14:textId="77777777" w:rsidR="00C77D95" w:rsidRPr="001D704A" w:rsidRDefault="00C77D95" w:rsidP="00123EB1">
      <w:pPr>
        <w:rPr>
          <w:rFonts w:ascii="Times New Roman" w:hAnsi="Times New Roman" w:cs="Times New Roman"/>
          <w:iCs/>
          <w:color w:val="000000" w:themeColor="text1"/>
          <w:sz w:val="24"/>
          <w:szCs w:val="24"/>
        </w:rPr>
      </w:pPr>
    </w:p>
    <w:p w14:paraId="254FB011" w14:textId="746821D5"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Implementation of </w:t>
      </w:r>
      <w:r w:rsidR="00EE7931" w:rsidRPr="001D704A">
        <w:rPr>
          <w:rFonts w:ascii="Times New Roman" w:hAnsi="Times New Roman" w:cs="Times New Roman"/>
          <w:iCs/>
          <w:color w:val="000000" w:themeColor="text1"/>
          <w:sz w:val="24"/>
          <w:szCs w:val="24"/>
        </w:rPr>
        <w:t xml:space="preserve">the </w:t>
      </w:r>
      <w:r w:rsidRPr="001D704A">
        <w:rPr>
          <w:rFonts w:ascii="Times New Roman" w:hAnsi="Times New Roman" w:cs="Times New Roman"/>
          <w:iCs/>
          <w:color w:val="000000" w:themeColor="text1"/>
          <w:sz w:val="24"/>
          <w:szCs w:val="24"/>
        </w:rPr>
        <w:t xml:space="preserve">MultiLit programs in schools involves training teaching staff by professional MultiLit trainers, including providing teachers with high quality teaching materials to deliver the </w:t>
      </w:r>
      <w:r w:rsidR="00EE7931"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 InitiaLit, MacqLit, MiniLit Sage and LanguageLift all require two full days of training each, and ideally also involve follow-up coaching. Curriculum</w:t>
      </w:r>
      <w:r w:rsidR="00EE7931" w:rsidRPr="001D704A">
        <w:rPr>
          <w:rFonts w:ascii="Times New Roman" w:hAnsi="Times New Roman" w:cs="Times New Roman"/>
          <w:iCs/>
          <w:color w:val="000000" w:themeColor="text1"/>
          <w:sz w:val="24"/>
          <w:szCs w:val="24"/>
        </w:rPr>
        <w:t xml:space="preserve"> </w:t>
      </w:r>
      <w:r w:rsidRPr="001D704A">
        <w:rPr>
          <w:rFonts w:ascii="Times New Roman" w:hAnsi="Times New Roman" w:cs="Times New Roman"/>
          <w:iCs/>
          <w:color w:val="000000" w:themeColor="text1"/>
          <w:sz w:val="24"/>
          <w:szCs w:val="24"/>
        </w:rPr>
        <w:t xml:space="preserve">based assessments are implemented by teachers or teacher assistants at regular intervals to ensure that children are making progress. </w:t>
      </w:r>
    </w:p>
    <w:p w14:paraId="7D224BE5" w14:textId="77777777" w:rsidR="00C77D95" w:rsidRPr="001D704A" w:rsidRDefault="00C77D95" w:rsidP="00123EB1">
      <w:pPr>
        <w:rPr>
          <w:rFonts w:ascii="Times New Roman" w:hAnsi="Times New Roman" w:cs="Times New Roman"/>
          <w:iCs/>
          <w:color w:val="000000" w:themeColor="text1"/>
          <w:sz w:val="24"/>
          <w:szCs w:val="24"/>
        </w:rPr>
      </w:pPr>
    </w:p>
    <w:p w14:paraId="731C9E2C" w14:textId="5B89BF98"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MultiLit will </w:t>
      </w:r>
      <w:r w:rsidR="00EE7931" w:rsidRPr="001D704A">
        <w:rPr>
          <w:rFonts w:ascii="Times New Roman" w:hAnsi="Times New Roman" w:cs="Times New Roman"/>
          <w:iCs/>
          <w:color w:val="000000" w:themeColor="text1"/>
          <w:sz w:val="24"/>
          <w:szCs w:val="24"/>
        </w:rPr>
        <w:t>deliver</w:t>
      </w:r>
      <w:r w:rsidRPr="001D704A">
        <w:rPr>
          <w:rFonts w:ascii="Times New Roman" w:hAnsi="Times New Roman" w:cs="Times New Roman"/>
          <w:iCs/>
          <w:color w:val="000000" w:themeColor="text1"/>
          <w:sz w:val="24"/>
          <w:szCs w:val="24"/>
        </w:rPr>
        <w:t xml:space="preserve"> the program in partnership with Indigenous communities to meet the </w:t>
      </w:r>
      <w:r w:rsidR="00EE7931" w:rsidRPr="001D704A">
        <w:rPr>
          <w:rFonts w:ascii="Times New Roman" w:hAnsi="Times New Roman" w:cs="Times New Roman"/>
          <w:iCs/>
          <w:color w:val="000000" w:themeColor="text1"/>
          <w:sz w:val="24"/>
          <w:szCs w:val="24"/>
        </w:rPr>
        <w:t xml:space="preserve">Australian </w:t>
      </w:r>
      <w:r w:rsidRPr="001D704A">
        <w:rPr>
          <w:rFonts w:ascii="Times New Roman" w:hAnsi="Times New Roman" w:cs="Times New Roman"/>
          <w:iCs/>
          <w:color w:val="000000" w:themeColor="text1"/>
          <w:sz w:val="24"/>
          <w:szCs w:val="24"/>
        </w:rPr>
        <w:t xml:space="preserve">Government’s commitment under Priority Reform One </w:t>
      </w:r>
      <w:r w:rsidR="00EE7931"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Formal Partnerships and Shared Decision-Making</w:t>
      </w:r>
      <w:r w:rsidR="00EE7931" w:rsidRPr="001D704A">
        <w:rPr>
          <w:rFonts w:ascii="Times New Roman" w:hAnsi="Times New Roman" w:cs="Times New Roman"/>
          <w:iCs/>
          <w:color w:val="000000" w:themeColor="text1"/>
          <w:sz w:val="24"/>
          <w:szCs w:val="24"/>
        </w:rPr>
        <w:t xml:space="preserve"> — u</w:t>
      </w:r>
      <w:r w:rsidRPr="001D704A">
        <w:rPr>
          <w:rFonts w:ascii="Times New Roman" w:hAnsi="Times New Roman" w:cs="Times New Roman"/>
          <w:iCs/>
          <w:color w:val="000000" w:themeColor="text1"/>
          <w:sz w:val="24"/>
          <w:szCs w:val="24"/>
        </w:rPr>
        <w:t xml:space="preserve">nder the </w:t>
      </w:r>
      <w:r w:rsidR="00EE7931" w:rsidRPr="001D704A">
        <w:rPr>
          <w:rFonts w:ascii="Times New Roman" w:hAnsi="Times New Roman" w:cs="Times New Roman"/>
          <w:i/>
          <w:sz w:val="24"/>
          <w:szCs w:val="24"/>
        </w:rPr>
        <w:t>National Agreement on Closing the Gap</w:t>
      </w:r>
      <w:r w:rsidRPr="001D704A">
        <w:rPr>
          <w:rFonts w:ascii="Times New Roman" w:hAnsi="Times New Roman" w:cs="Times New Roman"/>
          <w:iCs/>
          <w:color w:val="000000" w:themeColor="text1"/>
          <w:sz w:val="24"/>
          <w:szCs w:val="24"/>
        </w:rPr>
        <w:t xml:space="preserve">. The department will engage an independent party to evaluate the success of </w:t>
      </w:r>
      <w:r w:rsidR="00EE7931" w:rsidRPr="001D704A">
        <w:rPr>
          <w:rFonts w:ascii="Times New Roman" w:hAnsi="Times New Roman" w:cs="Times New Roman"/>
          <w:iCs/>
          <w:color w:val="000000" w:themeColor="text1"/>
          <w:sz w:val="24"/>
          <w:szCs w:val="24"/>
        </w:rPr>
        <w:t>the p</w:t>
      </w:r>
      <w:r w:rsidRPr="001D704A">
        <w:rPr>
          <w:rFonts w:ascii="Times New Roman" w:hAnsi="Times New Roman" w:cs="Times New Roman"/>
          <w:iCs/>
          <w:color w:val="000000" w:themeColor="text1"/>
          <w:sz w:val="24"/>
          <w:szCs w:val="24"/>
        </w:rPr>
        <w:t xml:space="preserve">rogram.  </w:t>
      </w:r>
    </w:p>
    <w:p w14:paraId="2BECFB0B" w14:textId="77777777" w:rsidR="00C77D95" w:rsidRPr="001D704A" w:rsidRDefault="00C77D95" w:rsidP="00123EB1">
      <w:pPr>
        <w:rPr>
          <w:rFonts w:ascii="Times New Roman" w:hAnsi="Times New Roman" w:cs="Times New Roman"/>
          <w:iCs/>
          <w:color w:val="000000" w:themeColor="text1"/>
          <w:sz w:val="24"/>
          <w:szCs w:val="24"/>
        </w:rPr>
      </w:pPr>
    </w:p>
    <w:p w14:paraId="3D678E9E" w14:textId="692CEE01"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department will provide funding to MultiLit </w:t>
      </w:r>
      <w:r w:rsidR="00FB5B3B" w:rsidRPr="001D704A">
        <w:rPr>
          <w:rFonts w:ascii="Times New Roman" w:hAnsi="Times New Roman" w:cs="Times New Roman"/>
          <w:iCs/>
          <w:color w:val="000000" w:themeColor="text1"/>
          <w:sz w:val="24"/>
          <w:szCs w:val="24"/>
        </w:rPr>
        <w:t>by way of</w:t>
      </w:r>
      <w:r w:rsidRPr="001D704A">
        <w:rPr>
          <w:rFonts w:ascii="Times New Roman" w:hAnsi="Times New Roman" w:cs="Times New Roman"/>
          <w:iCs/>
          <w:color w:val="000000" w:themeColor="text1"/>
          <w:sz w:val="24"/>
          <w:szCs w:val="24"/>
        </w:rPr>
        <w:t xml:space="preserve"> a one-off grant, as it has a </w:t>
      </w:r>
      <w:r w:rsidRPr="001D704A">
        <w:rPr>
          <w:rFonts w:ascii="Times New Roman" w:hAnsi="Times New Roman" w:cs="Times New Roman"/>
          <w:iCs/>
          <w:color w:val="000000" w:themeColor="text1"/>
          <w:sz w:val="24"/>
          <w:szCs w:val="24"/>
        </w:rPr>
        <w:br/>
        <w:t>well-established record of successfully delivering literacy programs. The organisation will respond to grant guidelines developed in accordance with the</w:t>
      </w:r>
      <w:r w:rsidRPr="001D704A">
        <w:rPr>
          <w:rFonts w:ascii="Times New Roman" w:hAnsi="Times New Roman" w:cs="Times New Roman"/>
          <w:i/>
          <w:iCs/>
          <w:color w:val="000000" w:themeColor="text1"/>
          <w:sz w:val="24"/>
          <w:szCs w:val="24"/>
        </w:rPr>
        <w:t xml:space="preserve"> Commonwealth Grants Rules and Guidelines 2017</w:t>
      </w:r>
      <w:r w:rsidR="00FC3041" w:rsidRPr="001D704A">
        <w:rPr>
          <w:rFonts w:ascii="Times New Roman" w:hAnsi="Times New Roman" w:cs="Times New Roman"/>
          <w:i/>
          <w:iCs/>
          <w:color w:val="000000" w:themeColor="text1"/>
          <w:sz w:val="24"/>
          <w:szCs w:val="24"/>
        </w:rPr>
        <w:t xml:space="preserve"> </w:t>
      </w:r>
      <w:r w:rsidR="00FC3041" w:rsidRPr="001D704A">
        <w:rPr>
          <w:rFonts w:ascii="Times New Roman" w:hAnsi="Times New Roman" w:cs="Times New Roman"/>
          <w:iCs/>
          <w:color w:val="000000" w:themeColor="text1"/>
          <w:sz w:val="24"/>
          <w:szCs w:val="24"/>
        </w:rPr>
        <w:t>(CGRGs)</w:t>
      </w:r>
      <w:r w:rsidRPr="001D704A">
        <w:rPr>
          <w:rFonts w:ascii="Times New Roman" w:hAnsi="Times New Roman" w:cs="Times New Roman"/>
          <w:iCs/>
          <w:color w:val="000000" w:themeColor="text1"/>
          <w:sz w:val="24"/>
          <w:szCs w:val="24"/>
        </w:rPr>
        <w:t xml:space="preserve">. The grant expenditure decision will be made by </w:t>
      </w:r>
      <w:r w:rsidR="00FB5B3B" w:rsidRPr="001D704A">
        <w:rPr>
          <w:rFonts w:ascii="Times New Roman" w:hAnsi="Times New Roman" w:cs="Times New Roman"/>
          <w:iCs/>
          <w:color w:val="000000" w:themeColor="text1"/>
          <w:sz w:val="24"/>
          <w:szCs w:val="24"/>
        </w:rPr>
        <w:t>a</w:t>
      </w:r>
      <w:r w:rsidRPr="001D704A">
        <w:rPr>
          <w:rFonts w:ascii="Times New Roman" w:hAnsi="Times New Roman" w:cs="Times New Roman"/>
          <w:iCs/>
          <w:color w:val="000000" w:themeColor="text1"/>
          <w:sz w:val="24"/>
          <w:szCs w:val="24"/>
        </w:rPr>
        <w:t xml:space="preserve"> delegate of the Secretary of the department in line with the appropriate financial delegations. The grant </w:t>
      </w:r>
      <w:r w:rsidR="00FB5B3B" w:rsidRPr="001D704A">
        <w:rPr>
          <w:rFonts w:ascii="Times New Roman" w:hAnsi="Times New Roman" w:cs="Times New Roman"/>
          <w:iCs/>
          <w:color w:val="000000" w:themeColor="text1"/>
          <w:sz w:val="24"/>
          <w:szCs w:val="24"/>
        </w:rPr>
        <w:t xml:space="preserve">awarded </w:t>
      </w:r>
      <w:r w:rsidRPr="001D704A">
        <w:rPr>
          <w:rFonts w:ascii="Times New Roman" w:hAnsi="Times New Roman" w:cs="Times New Roman"/>
          <w:iCs/>
          <w:color w:val="000000" w:themeColor="text1"/>
          <w:sz w:val="24"/>
          <w:szCs w:val="24"/>
        </w:rPr>
        <w:t>will be p</w:t>
      </w:r>
      <w:r w:rsidR="00FB5B3B" w:rsidRPr="001D704A">
        <w:rPr>
          <w:rFonts w:ascii="Times New Roman" w:hAnsi="Times New Roman" w:cs="Times New Roman"/>
          <w:iCs/>
          <w:color w:val="000000" w:themeColor="text1"/>
          <w:sz w:val="24"/>
          <w:szCs w:val="24"/>
        </w:rPr>
        <w:t>ublished</w:t>
      </w:r>
      <w:r w:rsidRPr="001D704A">
        <w:rPr>
          <w:rFonts w:ascii="Times New Roman" w:hAnsi="Times New Roman" w:cs="Times New Roman"/>
          <w:iCs/>
          <w:color w:val="000000" w:themeColor="text1"/>
          <w:sz w:val="24"/>
          <w:szCs w:val="24"/>
        </w:rPr>
        <w:t xml:space="preserve"> on the GrantConnect website at </w:t>
      </w:r>
      <w:r w:rsidRPr="001D704A">
        <w:rPr>
          <w:rFonts w:ascii="Times New Roman" w:hAnsi="Times New Roman" w:cs="Times New Roman"/>
          <w:iCs/>
          <w:color w:val="000000" w:themeColor="text1"/>
          <w:sz w:val="24"/>
          <w:szCs w:val="24"/>
          <w:u w:val="single"/>
        </w:rPr>
        <w:t>www.grants.gov.au</w:t>
      </w:r>
      <w:r w:rsidRPr="001D704A">
        <w:rPr>
          <w:rFonts w:ascii="Times New Roman" w:hAnsi="Times New Roman" w:cs="Times New Roman"/>
          <w:iCs/>
          <w:color w:val="000000" w:themeColor="text1"/>
          <w:sz w:val="24"/>
          <w:szCs w:val="24"/>
        </w:rPr>
        <w:t>.</w:t>
      </w:r>
    </w:p>
    <w:p w14:paraId="48D71106" w14:textId="77777777" w:rsidR="00C77D95" w:rsidRPr="001D704A" w:rsidRDefault="00C77D95" w:rsidP="00123EB1">
      <w:pPr>
        <w:rPr>
          <w:rFonts w:ascii="Times New Roman" w:hAnsi="Times New Roman" w:cs="Times New Roman"/>
          <w:iCs/>
          <w:color w:val="000000" w:themeColor="text1"/>
          <w:sz w:val="24"/>
          <w:szCs w:val="24"/>
        </w:rPr>
      </w:pPr>
    </w:p>
    <w:p w14:paraId="1A2A447B" w14:textId="24588AB9" w:rsidR="004C5D5A" w:rsidRPr="001D704A" w:rsidRDefault="004C5D5A" w:rsidP="00123EB1">
      <w:pPr>
        <w:rPr>
          <w:rFonts w:ascii="Times New Roman" w:hAnsi="Times New Roman" w:cs="Times New Roman"/>
          <w:sz w:val="24"/>
          <w:szCs w:val="24"/>
        </w:rPr>
      </w:pPr>
      <w:r w:rsidRPr="001D704A">
        <w:rPr>
          <w:rFonts w:ascii="Times New Roman" w:hAnsi="Times New Roman" w:cs="Times New Roman"/>
          <w:sz w:val="24"/>
          <w:szCs w:val="24"/>
        </w:rPr>
        <w:t>It is necessary and appropriate to delegate the power to make decisions relating to</w:t>
      </w:r>
      <w:r w:rsidR="007E7EA5" w:rsidRPr="001D704A">
        <w:rPr>
          <w:rFonts w:ascii="Times New Roman" w:hAnsi="Times New Roman" w:cs="Times New Roman"/>
          <w:sz w:val="24"/>
          <w:szCs w:val="24"/>
        </w:rPr>
        <w:t xml:space="preserve"> the</w:t>
      </w:r>
      <w:r w:rsidRPr="001D704A">
        <w:rPr>
          <w:rFonts w:ascii="Times New Roman" w:hAnsi="Times New Roman" w:cs="Times New Roman"/>
          <w:sz w:val="24"/>
          <w:szCs w:val="24"/>
        </w:rPr>
        <w:t xml:space="preserve"> Commonwealth expenditure on the program to an appropriate financial delegate that has responsibility for overseeing the area of the department with responsibility for the program. To ensure knowledge of the </w:t>
      </w:r>
      <w:r w:rsidR="00E418AC"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context, the </w:t>
      </w:r>
      <w:r w:rsidR="00B355A7" w:rsidRPr="001D704A">
        <w:rPr>
          <w:rFonts w:ascii="Times New Roman" w:hAnsi="Times New Roman" w:cs="Times New Roman"/>
          <w:sz w:val="24"/>
          <w:szCs w:val="24"/>
        </w:rPr>
        <w:t>Senior Executive Service (</w:t>
      </w:r>
      <w:r w:rsidRPr="001D704A">
        <w:rPr>
          <w:rFonts w:ascii="Times New Roman" w:hAnsi="Times New Roman" w:cs="Times New Roman"/>
          <w:sz w:val="24"/>
          <w:szCs w:val="24"/>
        </w:rPr>
        <w:t>SES</w:t>
      </w:r>
      <w:r w:rsidR="00B355A7" w:rsidRPr="001D704A">
        <w:rPr>
          <w:rFonts w:ascii="Times New Roman" w:hAnsi="Times New Roman" w:cs="Times New Roman"/>
          <w:sz w:val="24"/>
          <w:szCs w:val="24"/>
        </w:rPr>
        <w:t>)</w:t>
      </w:r>
      <w:r w:rsidRPr="001D704A">
        <w:rPr>
          <w:rFonts w:ascii="Times New Roman" w:hAnsi="Times New Roman" w:cs="Times New Roman"/>
          <w:sz w:val="24"/>
          <w:szCs w:val="24"/>
        </w:rPr>
        <w:t xml:space="preserve"> Band 1 official that has been delegated the power to make decisions relating to the </w:t>
      </w:r>
      <w:r w:rsidR="00E418AC" w:rsidRPr="001D704A">
        <w:rPr>
          <w:rFonts w:ascii="Times New Roman" w:hAnsi="Times New Roman" w:cs="Times New Roman"/>
          <w:sz w:val="24"/>
          <w:szCs w:val="24"/>
        </w:rPr>
        <w:t>expenditure on</w:t>
      </w:r>
      <w:r w:rsidRPr="001D704A">
        <w:rPr>
          <w:rFonts w:ascii="Times New Roman" w:hAnsi="Times New Roman" w:cs="Times New Roman"/>
          <w:sz w:val="24"/>
          <w:szCs w:val="24"/>
        </w:rPr>
        <w:t xml:space="preserve"> the </w:t>
      </w:r>
      <w:r w:rsidR="00E418AC"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is the Assistant Secretary, Teaching Practice Branch, Improving Student Outcomes Division, Schools and Youth Group. The Teaching Practice Branch is responsible for administering the funding agreement for the </w:t>
      </w:r>
      <w:r w:rsidR="00E418AC" w:rsidRPr="001D704A">
        <w:rPr>
          <w:rFonts w:ascii="Times New Roman" w:hAnsi="Times New Roman" w:cs="Times New Roman"/>
          <w:sz w:val="24"/>
          <w:szCs w:val="24"/>
        </w:rPr>
        <w:t>p</w:t>
      </w:r>
      <w:r w:rsidRPr="001D704A">
        <w:rPr>
          <w:rFonts w:ascii="Times New Roman" w:hAnsi="Times New Roman" w:cs="Times New Roman"/>
          <w:sz w:val="24"/>
          <w:szCs w:val="24"/>
        </w:rPr>
        <w:t>rogram. As a</w:t>
      </w:r>
      <w:r w:rsidR="00B355A7" w:rsidRPr="001D704A">
        <w:rPr>
          <w:rFonts w:ascii="Times New Roman" w:hAnsi="Times New Roman" w:cs="Times New Roman"/>
          <w:sz w:val="24"/>
          <w:szCs w:val="24"/>
        </w:rPr>
        <w:t>n</w:t>
      </w:r>
      <w:r w:rsidR="00E418AC" w:rsidRPr="001D704A">
        <w:rPr>
          <w:rFonts w:ascii="Times New Roman" w:hAnsi="Times New Roman" w:cs="Times New Roman"/>
          <w:sz w:val="24"/>
          <w:szCs w:val="24"/>
        </w:rPr>
        <w:t xml:space="preserve"> SE</w:t>
      </w:r>
      <w:r w:rsidR="00B355A7" w:rsidRPr="001D704A">
        <w:rPr>
          <w:rFonts w:ascii="Times New Roman" w:hAnsi="Times New Roman" w:cs="Times New Roman"/>
          <w:sz w:val="24"/>
          <w:szCs w:val="24"/>
        </w:rPr>
        <w:t>S</w:t>
      </w:r>
      <w:r w:rsidRPr="001D704A">
        <w:rPr>
          <w:rFonts w:ascii="Times New Roman" w:hAnsi="Times New Roman" w:cs="Times New Roman"/>
          <w:sz w:val="24"/>
          <w:szCs w:val="24"/>
        </w:rPr>
        <w:t xml:space="preserve"> </w:t>
      </w:r>
      <w:r w:rsidR="00B355A7" w:rsidRPr="001D704A">
        <w:rPr>
          <w:rFonts w:ascii="Times New Roman" w:hAnsi="Times New Roman" w:cs="Times New Roman"/>
          <w:sz w:val="24"/>
          <w:szCs w:val="24"/>
        </w:rPr>
        <w:t>o</w:t>
      </w:r>
      <w:r w:rsidRPr="001D704A">
        <w:rPr>
          <w:rFonts w:ascii="Times New Roman" w:hAnsi="Times New Roman" w:cs="Times New Roman"/>
          <w:sz w:val="24"/>
          <w:szCs w:val="24"/>
        </w:rPr>
        <w:t xml:space="preserve">fficer overseeing the </w:t>
      </w:r>
      <w:r w:rsidR="00E418AC"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the Assistant Secretary, Teaching Practice Branch has relevant understanding of the policy context under which the </w:t>
      </w:r>
      <w:r w:rsidR="00E418AC" w:rsidRPr="001D704A">
        <w:rPr>
          <w:rFonts w:ascii="Times New Roman" w:hAnsi="Times New Roman" w:cs="Times New Roman"/>
          <w:sz w:val="24"/>
          <w:szCs w:val="24"/>
        </w:rPr>
        <w:t>p</w:t>
      </w:r>
      <w:r w:rsidRPr="001D704A">
        <w:rPr>
          <w:rFonts w:ascii="Times New Roman" w:hAnsi="Times New Roman" w:cs="Times New Roman"/>
          <w:sz w:val="24"/>
          <w:szCs w:val="24"/>
        </w:rPr>
        <w:t>rogram operates.</w:t>
      </w:r>
    </w:p>
    <w:p w14:paraId="37EEE37F" w14:textId="77777777" w:rsidR="004C5D5A" w:rsidRPr="001D704A" w:rsidRDefault="004C5D5A" w:rsidP="00123EB1">
      <w:pPr>
        <w:rPr>
          <w:rFonts w:ascii="Times New Roman" w:hAnsi="Times New Roman" w:cs="Times New Roman"/>
          <w:sz w:val="24"/>
          <w:szCs w:val="24"/>
        </w:rPr>
      </w:pPr>
    </w:p>
    <w:p w14:paraId="7DB4F3E9" w14:textId="6DD3F958"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Lead time will be provided for MultiLit to identify and partner with eligible schools and enter into a funding agreement with the department. It is anticipated that a significant amount of the funding will be provided early in the </w:t>
      </w:r>
      <w:r w:rsidR="00FB5B3B"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 xml:space="preserve">rogram to meet higher establishment and training costs. </w:t>
      </w:r>
    </w:p>
    <w:p w14:paraId="21FE1E98" w14:textId="77777777" w:rsidR="00C77D95" w:rsidRPr="001D704A" w:rsidRDefault="00C77D95" w:rsidP="00123EB1">
      <w:pPr>
        <w:rPr>
          <w:rFonts w:ascii="Times New Roman" w:hAnsi="Times New Roman" w:cs="Times New Roman"/>
          <w:iCs/>
          <w:color w:val="000000" w:themeColor="text1"/>
          <w:sz w:val="24"/>
          <w:szCs w:val="24"/>
        </w:rPr>
      </w:pPr>
    </w:p>
    <w:p w14:paraId="2CE864E4" w14:textId="44C5835E" w:rsidR="00C77D95" w:rsidRPr="001D704A" w:rsidRDefault="00FB5B3B"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C</w:t>
      </w:r>
      <w:r w:rsidR="00C77D95" w:rsidRPr="001D704A">
        <w:rPr>
          <w:rFonts w:ascii="Times New Roman" w:hAnsi="Times New Roman" w:cs="Times New Roman"/>
          <w:iCs/>
          <w:color w:val="000000" w:themeColor="text1"/>
          <w:sz w:val="24"/>
          <w:szCs w:val="24"/>
        </w:rPr>
        <w:t xml:space="preserve">osts are based on </w:t>
      </w:r>
      <w:r w:rsidRPr="001D704A">
        <w:rPr>
          <w:rFonts w:ascii="Times New Roman" w:hAnsi="Times New Roman" w:cs="Times New Roman"/>
          <w:iCs/>
          <w:color w:val="000000" w:themeColor="text1"/>
          <w:sz w:val="24"/>
          <w:szCs w:val="24"/>
        </w:rPr>
        <w:t xml:space="preserve">an </w:t>
      </w:r>
      <w:r w:rsidR="00C77D95" w:rsidRPr="001D704A">
        <w:rPr>
          <w:rFonts w:ascii="Times New Roman" w:hAnsi="Times New Roman" w:cs="Times New Roman"/>
          <w:iCs/>
          <w:color w:val="000000" w:themeColor="text1"/>
          <w:sz w:val="24"/>
          <w:szCs w:val="24"/>
        </w:rPr>
        <w:t>estimate</w:t>
      </w:r>
      <w:r w:rsidRPr="001D704A">
        <w:rPr>
          <w:rFonts w:ascii="Times New Roman" w:hAnsi="Times New Roman" w:cs="Times New Roman"/>
          <w:iCs/>
          <w:color w:val="000000" w:themeColor="text1"/>
          <w:sz w:val="24"/>
          <w:szCs w:val="24"/>
        </w:rPr>
        <w:t>d</w:t>
      </w:r>
      <w:r w:rsidR="00C77D95" w:rsidRPr="001D704A">
        <w:rPr>
          <w:rFonts w:ascii="Times New Roman" w:hAnsi="Times New Roman" w:cs="Times New Roman"/>
          <w:iCs/>
          <w:color w:val="000000" w:themeColor="text1"/>
          <w:sz w:val="24"/>
          <w:szCs w:val="24"/>
        </w:rPr>
        <w:t> 140 students per school and include comprehensive support via MultiLit</w:t>
      </w:r>
      <w:r w:rsidRPr="001D704A">
        <w:rPr>
          <w:rFonts w:ascii="Times New Roman" w:hAnsi="Times New Roman" w:cs="Times New Roman"/>
          <w:iCs/>
          <w:color w:val="000000" w:themeColor="text1"/>
          <w:sz w:val="24"/>
          <w:szCs w:val="24"/>
        </w:rPr>
        <w:t>’s</w:t>
      </w:r>
      <w:r w:rsidR="00C77D95" w:rsidRPr="001D704A">
        <w:rPr>
          <w:rFonts w:ascii="Times New Roman" w:hAnsi="Times New Roman" w:cs="Times New Roman"/>
          <w:iCs/>
          <w:color w:val="000000" w:themeColor="text1"/>
          <w:sz w:val="24"/>
          <w:szCs w:val="24"/>
        </w:rPr>
        <w:t xml:space="preserve"> </w:t>
      </w:r>
      <w:r w:rsidRPr="001D704A">
        <w:rPr>
          <w:rFonts w:ascii="Times New Roman" w:hAnsi="Times New Roman" w:cs="Times New Roman"/>
          <w:iCs/>
          <w:color w:val="000000" w:themeColor="text1"/>
          <w:sz w:val="24"/>
          <w:szCs w:val="24"/>
        </w:rPr>
        <w:t>s</w:t>
      </w:r>
      <w:r w:rsidR="00C77D95" w:rsidRPr="001D704A">
        <w:rPr>
          <w:rFonts w:ascii="Times New Roman" w:hAnsi="Times New Roman" w:cs="Times New Roman"/>
          <w:iCs/>
          <w:color w:val="000000" w:themeColor="text1"/>
          <w:sz w:val="24"/>
          <w:szCs w:val="24"/>
        </w:rPr>
        <w:t xml:space="preserve">chool </w:t>
      </w:r>
      <w:r w:rsidRPr="001D704A">
        <w:rPr>
          <w:rFonts w:ascii="Times New Roman" w:hAnsi="Times New Roman" w:cs="Times New Roman"/>
          <w:iCs/>
          <w:color w:val="000000" w:themeColor="text1"/>
          <w:sz w:val="24"/>
          <w:szCs w:val="24"/>
        </w:rPr>
        <w:t>p</w:t>
      </w:r>
      <w:r w:rsidR="00C77D95" w:rsidRPr="001D704A">
        <w:rPr>
          <w:rFonts w:ascii="Times New Roman" w:hAnsi="Times New Roman" w:cs="Times New Roman"/>
          <w:iCs/>
          <w:color w:val="000000" w:themeColor="text1"/>
          <w:sz w:val="24"/>
          <w:szCs w:val="24"/>
        </w:rPr>
        <w:t xml:space="preserve">artnerships team and provision of online tutoring </w:t>
      </w:r>
      <w:r w:rsidRPr="001D704A">
        <w:rPr>
          <w:rFonts w:ascii="Times New Roman" w:hAnsi="Times New Roman" w:cs="Times New Roman"/>
          <w:iCs/>
          <w:color w:val="000000" w:themeColor="text1"/>
          <w:sz w:val="24"/>
          <w:szCs w:val="24"/>
        </w:rPr>
        <w:t>by</w:t>
      </w:r>
      <w:r w:rsidR="00C77D95" w:rsidRPr="001D704A">
        <w:rPr>
          <w:rFonts w:ascii="Times New Roman" w:hAnsi="Times New Roman" w:cs="Times New Roman"/>
          <w:iCs/>
          <w:color w:val="000000" w:themeColor="text1"/>
          <w:sz w:val="24"/>
          <w:szCs w:val="24"/>
        </w:rPr>
        <w:t xml:space="preserve"> MultiLit</w:t>
      </w:r>
      <w:r w:rsidRPr="001D704A">
        <w:rPr>
          <w:rFonts w:ascii="Times New Roman" w:hAnsi="Times New Roman" w:cs="Times New Roman"/>
          <w:iCs/>
          <w:color w:val="000000" w:themeColor="text1"/>
          <w:sz w:val="24"/>
          <w:szCs w:val="24"/>
        </w:rPr>
        <w:t>’s</w:t>
      </w:r>
      <w:r w:rsidR="00C77D95" w:rsidRPr="001D704A">
        <w:rPr>
          <w:rFonts w:ascii="Times New Roman" w:hAnsi="Times New Roman" w:cs="Times New Roman"/>
          <w:iCs/>
          <w:color w:val="000000" w:themeColor="text1"/>
          <w:sz w:val="24"/>
          <w:szCs w:val="24"/>
        </w:rPr>
        <w:t xml:space="preserve"> literacy centres for students who need them but cannot access additional support in their school setting</w:t>
      </w:r>
      <w:r w:rsidRPr="001D704A">
        <w:rPr>
          <w:rFonts w:ascii="Times New Roman" w:hAnsi="Times New Roman" w:cs="Times New Roman"/>
          <w:iCs/>
          <w:color w:val="000000" w:themeColor="text1"/>
          <w:sz w:val="24"/>
          <w:szCs w:val="24"/>
        </w:rPr>
        <w:t>s</w:t>
      </w:r>
      <w:r w:rsidR="00C77D95" w:rsidRPr="001D704A">
        <w:rPr>
          <w:rFonts w:ascii="Times New Roman" w:hAnsi="Times New Roman" w:cs="Times New Roman"/>
          <w:iCs/>
          <w:color w:val="000000" w:themeColor="text1"/>
          <w:sz w:val="24"/>
          <w:szCs w:val="24"/>
        </w:rPr>
        <w:t xml:space="preserve">. This will assist rural and remote schools to access skills and expertise not usually available in the local community. The department will liaise closely with MultiLit in their design of an appropriate methodology to select suitable primary schools to participate in the program. </w:t>
      </w:r>
    </w:p>
    <w:p w14:paraId="6A735717" w14:textId="77777777" w:rsidR="00C77D95" w:rsidRPr="001D704A" w:rsidRDefault="00C77D95" w:rsidP="00123EB1">
      <w:pPr>
        <w:rPr>
          <w:rFonts w:ascii="Times New Roman" w:hAnsi="Times New Roman" w:cs="Times New Roman"/>
          <w:iCs/>
          <w:color w:val="000000" w:themeColor="text1"/>
          <w:sz w:val="24"/>
          <w:szCs w:val="24"/>
        </w:rPr>
      </w:pPr>
    </w:p>
    <w:p w14:paraId="65E10C82" w14:textId="4928BADC" w:rsidR="00C77D95" w:rsidRPr="001D704A" w:rsidRDefault="0082019D"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br w:type="column"/>
      </w:r>
      <w:r w:rsidR="00C77D95" w:rsidRPr="001D704A">
        <w:rPr>
          <w:rFonts w:ascii="Times New Roman" w:hAnsi="Times New Roman" w:cs="Times New Roman"/>
          <w:iCs/>
          <w:color w:val="000000" w:themeColor="text1"/>
          <w:sz w:val="24"/>
          <w:szCs w:val="24"/>
        </w:rPr>
        <w:lastRenderedPageBreak/>
        <w:t>Payments will be staggered over the length of the funding agreement to ensure deliverables are met</w:t>
      </w:r>
      <w:r w:rsidR="00FB5B3B" w:rsidRPr="001D704A">
        <w:rPr>
          <w:rFonts w:ascii="Times New Roman" w:hAnsi="Times New Roman" w:cs="Times New Roman"/>
          <w:iCs/>
          <w:color w:val="000000" w:themeColor="text1"/>
          <w:sz w:val="24"/>
          <w:szCs w:val="24"/>
        </w:rPr>
        <w:t>. T</w:t>
      </w:r>
      <w:r w:rsidR="00C77D95" w:rsidRPr="001D704A">
        <w:rPr>
          <w:rFonts w:ascii="Times New Roman" w:hAnsi="Times New Roman" w:cs="Times New Roman"/>
          <w:iCs/>
          <w:color w:val="000000" w:themeColor="text1"/>
          <w:sz w:val="24"/>
          <w:szCs w:val="24"/>
        </w:rPr>
        <w:t xml:space="preserve">he Community Grants Hub, part of the Department of Social Services, </w:t>
      </w:r>
      <w:r w:rsidR="00FB5B3B" w:rsidRPr="001D704A">
        <w:rPr>
          <w:rFonts w:ascii="Times New Roman" w:hAnsi="Times New Roman" w:cs="Times New Roman"/>
          <w:iCs/>
          <w:color w:val="000000" w:themeColor="text1"/>
          <w:sz w:val="24"/>
          <w:szCs w:val="24"/>
        </w:rPr>
        <w:t xml:space="preserve">will be </w:t>
      </w:r>
      <w:r w:rsidR="00C77D95" w:rsidRPr="001D704A">
        <w:rPr>
          <w:rFonts w:ascii="Times New Roman" w:hAnsi="Times New Roman" w:cs="Times New Roman"/>
          <w:iCs/>
          <w:color w:val="000000" w:themeColor="text1"/>
          <w:sz w:val="24"/>
          <w:szCs w:val="24"/>
        </w:rPr>
        <w:t xml:space="preserve">responsible for administering the grant. The accompanying grant agreement will contain a clause requiring MultiLit to engage with school leadership teams and school communities to gain their support and agreement to participate in the </w:t>
      </w:r>
      <w:r w:rsidR="00FB5B3B" w:rsidRPr="001D704A">
        <w:rPr>
          <w:rFonts w:ascii="Times New Roman" w:hAnsi="Times New Roman" w:cs="Times New Roman"/>
          <w:iCs/>
          <w:color w:val="000000" w:themeColor="text1"/>
          <w:sz w:val="24"/>
          <w:szCs w:val="24"/>
        </w:rPr>
        <w:t>p</w:t>
      </w:r>
      <w:r w:rsidR="00C77D95" w:rsidRPr="001D704A">
        <w:rPr>
          <w:rFonts w:ascii="Times New Roman" w:hAnsi="Times New Roman" w:cs="Times New Roman"/>
          <w:iCs/>
          <w:color w:val="000000" w:themeColor="text1"/>
          <w:sz w:val="24"/>
          <w:szCs w:val="24"/>
        </w:rPr>
        <w:t xml:space="preserve">rogram. </w:t>
      </w:r>
    </w:p>
    <w:p w14:paraId="09272CF2" w14:textId="08D74E8F" w:rsidR="004C5D5A" w:rsidRPr="001D704A" w:rsidRDefault="004C5D5A" w:rsidP="00123EB1">
      <w:pPr>
        <w:rPr>
          <w:rFonts w:ascii="Times New Roman" w:hAnsi="Times New Roman" w:cs="Times New Roman"/>
          <w:sz w:val="24"/>
          <w:szCs w:val="24"/>
        </w:rPr>
      </w:pPr>
      <w:r w:rsidRPr="001D704A">
        <w:rPr>
          <w:rFonts w:ascii="Times New Roman" w:hAnsi="Times New Roman" w:cs="Times New Roman"/>
          <w:color w:val="000000"/>
          <w:sz w:val="24"/>
          <w:szCs w:val="24"/>
        </w:rPr>
        <w:t> </w:t>
      </w:r>
    </w:p>
    <w:p w14:paraId="3EF3E288" w14:textId="53AEAB3A" w:rsidR="004C5D5A" w:rsidRPr="001D704A" w:rsidRDefault="004C5D5A" w:rsidP="00123EB1">
      <w:pPr>
        <w:rPr>
          <w:rFonts w:ascii="Times New Roman" w:hAnsi="Times New Roman" w:cs="Times New Roman"/>
          <w:sz w:val="24"/>
          <w:szCs w:val="24"/>
        </w:rPr>
      </w:pPr>
      <w:r w:rsidRPr="001D704A">
        <w:rPr>
          <w:rFonts w:ascii="Times New Roman" w:hAnsi="Times New Roman" w:cs="Times New Roman"/>
          <w:color w:val="000000"/>
          <w:sz w:val="24"/>
          <w:szCs w:val="24"/>
        </w:rPr>
        <w:t xml:space="preserve">The grant to MultiLit will be administered in accordance with the Commonwealth resource management framework. In addition to the grant opportunity guidelines developed in accordance with the CGRGs and the publication of the grant awarded on the GrantConnect website, this will include compliance with the </w:t>
      </w:r>
      <w:r w:rsidRPr="001D704A">
        <w:rPr>
          <w:rFonts w:ascii="Times New Roman" w:hAnsi="Times New Roman" w:cs="Times New Roman"/>
          <w:i/>
          <w:iCs/>
          <w:color w:val="000000"/>
          <w:sz w:val="24"/>
          <w:szCs w:val="24"/>
        </w:rPr>
        <w:t>Public Governance, Performance</w:t>
      </w:r>
      <w:r w:rsidRPr="001D704A">
        <w:rPr>
          <w:rFonts w:ascii="Times New Roman" w:hAnsi="Times New Roman" w:cs="Times New Roman"/>
          <w:color w:val="000000"/>
          <w:sz w:val="24"/>
          <w:szCs w:val="24"/>
        </w:rPr>
        <w:t xml:space="preserve"> </w:t>
      </w:r>
      <w:r w:rsidRPr="001D704A">
        <w:rPr>
          <w:rFonts w:ascii="Times New Roman" w:hAnsi="Times New Roman" w:cs="Times New Roman"/>
          <w:i/>
          <w:iCs/>
          <w:color w:val="000000"/>
          <w:sz w:val="24"/>
          <w:szCs w:val="24"/>
        </w:rPr>
        <w:t xml:space="preserve">and Accountability Act 2013 </w:t>
      </w:r>
      <w:r w:rsidRPr="001D704A">
        <w:rPr>
          <w:rFonts w:ascii="Times New Roman" w:hAnsi="Times New Roman" w:cs="Times New Roman"/>
          <w:color w:val="000000"/>
          <w:sz w:val="24"/>
          <w:szCs w:val="24"/>
        </w:rPr>
        <w:t xml:space="preserve">(PGPA Act), the CGRGs, the department’s Accountable Authority Instructions and any other relevant financial delegations. </w:t>
      </w:r>
    </w:p>
    <w:p w14:paraId="05A9BA6F" w14:textId="77777777" w:rsidR="00C77D95" w:rsidRPr="001D704A" w:rsidRDefault="00C77D95" w:rsidP="00123EB1">
      <w:pPr>
        <w:rPr>
          <w:rFonts w:ascii="Times New Roman" w:hAnsi="Times New Roman" w:cs="Times New Roman"/>
          <w:iCs/>
          <w:color w:val="000000" w:themeColor="text1"/>
          <w:sz w:val="24"/>
          <w:szCs w:val="24"/>
        </w:rPr>
      </w:pPr>
    </w:p>
    <w:p w14:paraId="5B61FAAE" w14:textId="6B11435D"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Independent review will not be available </w:t>
      </w:r>
      <w:r w:rsidR="00FB5B3B" w:rsidRPr="001D704A">
        <w:rPr>
          <w:rFonts w:ascii="Times New Roman" w:hAnsi="Times New Roman" w:cs="Times New Roman"/>
          <w:iCs/>
          <w:color w:val="000000" w:themeColor="text1"/>
          <w:sz w:val="24"/>
          <w:szCs w:val="24"/>
        </w:rPr>
        <w:t xml:space="preserve">in relation to grant funding decision </w:t>
      </w:r>
      <w:r w:rsidRPr="001D704A">
        <w:rPr>
          <w:rFonts w:ascii="Times New Roman" w:hAnsi="Times New Roman" w:cs="Times New Roman"/>
          <w:iCs/>
          <w:color w:val="000000" w:themeColor="text1"/>
          <w:sz w:val="24"/>
          <w:szCs w:val="24"/>
        </w:rPr>
        <w:t xml:space="preserve">as this grant will be closed, non-competitive and for a specific purpose and entity. MultiLit has been directly selected because of its proven success in improving student outcomes. A 2019 study found that low-progress students, including Indigenous students, made an estimated gain of eight months in reading accuracy and 13 months in phonological recoding following </w:t>
      </w:r>
      <w:r w:rsidR="00FB5B3B" w:rsidRPr="001D704A">
        <w:rPr>
          <w:rFonts w:ascii="Times New Roman" w:hAnsi="Times New Roman" w:cs="Times New Roman"/>
          <w:iCs/>
          <w:color w:val="000000" w:themeColor="text1"/>
          <w:sz w:val="24"/>
          <w:szCs w:val="24"/>
        </w:rPr>
        <w:t>the</w:t>
      </w:r>
      <w:r w:rsidRPr="001D704A">
        <w:rPr>
          <w:rFonts w:ascii="Times New Roman" w:hAnsi="Times New Roman" w:cs="Times New Roman"/>
          <w:iCs/>
          <w:color w:val="000000" w:themeColor="text1"/>
          <w:sz w:val="24"/>
          <w:szCs w:val="24"/>
        </w:rPr>
        <w:t xml:space="preserve"> </w:t>
      </w:r>
      <w:r w:rsidRPr="001D704A">
        <w:rPr>
          <w:rFonts w:ascii="Times New Roman" w:hAnsi="Times New Roman" w:cs="Times New Roman"/>
          <w:iCs/>
          <w:color w:val="000000" w:themeColor="text1"/>
          <w:sz w:val="24"/>
          <w:szCs w:val="24"/>
        </w:rPr>
        <w:br/>
        <w:t xml:space="preserve">18-week MultiLit programs. </w:t>
      </w:r>
    </w:p>
    <w:p w14:paraId="58DAD48E" w14:textId="77777777" w:rsidR="00C77D95" w:rsidRPr="001D704A" w:rsidRDefault="00C77D95" w:rsidP="00123EB1">
      <w:pPr>
        <w:rPr>
          <w:rFonts w:ascii="Times New Roman" w:hAnsi="Times New Roman" w:cs="Times New Roman"/>
          <w:iCs/>
          <w:color w:val="000000" w:themeColor="text1"/>
          <w:sz w:val="24"/>
          <w:szCs w:val="24"/>
        </w:rPr>
      </w:pPr>
    </w:p>
    <w:p w14:paraId="5E192247" w14:textId="5A802483"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grant decision, once made, will be final and not subject to merits review. This is partly because the grant involves an allocation of a finite resource to MultiLit and overturning the decision to allocate funding to another party would affect the funding that has already been allocated to MultiLit and announced publicly. The Administrative Review Council </w:t>
      </w:r>
      <w:r w:rsidR="00FC3041" w:rsidRPr="001D704A">
        <w:rPr>
          <w:rFonts w:ascii="Times New Roman" w:hAnsi="Times New Roman" w:cs="Times New Roman"/>
          <w:iCs/>
          <w:color w:val="000000" w:themeColor="text1"/>
          <w:sz w:val="24"/>
          <w:szCs w:val="24"/>
        </w:rPr>
        <w:t xml:space="preserve">(ARC) </w:t>
      </w:r>
      <w:r w:rsidRPr="001D704A">
        <w:rPr>
          <w:rFonts w:ascii="Times New Roman" w:hAnsi="Times New Roman" w:cs="Times New Roman"/>
          <w:iCs/>
          <w:color w:val="000000" w:themeColor="text1"/>
          <w:sz w:val="24"/>
          <w:szCs w:val="24"/>
        </w:rPr>
        <w:t xml:space="preserve">has recognised that it is justifiable to exclude merits review in relation to decisions of this nature (see paragraphs 4.11 to 4.16 of the guide, </w:t>
      </w:r>
      <w:r w:rsidRPr="001D704A">
        <w:rPr>
          <w:rFonts w:ascii="Times New Roman" w:hAnsi="Times New Roman" w:cs="Times New Roman"/>
          <w:i/>
          <w:iCs/>
          <w:color w:val="000000" w:themeColor="text1"/>
          <w:sz w:val="24"/>
          <w:szCs w:val="24"/>
        </w:rPr>
        <w:t>What decisions should be subject to merit review?</w:t>
      </w:r>
      <w:r w:rsidRPr="001D704A">
        <w:rPr>
          <w:rFonts w:ascii="Times New Roman" w:hAnsi="Times New Roman" w:cs="Times New Roman"/>
          <w:iCs/>
          <w:color w:val="000000" w:themeColor="text1"/>
          <w:sz w:val="24"/>
          <w:szCs w:val="24"/>
        </w:rPr>
        <w:t xml:space="preserve">). </w:t>
      </w:r>
    </w:p>
    <w:p w14:paraId="0544DDB5" w14:textId="77777777" w:rsidR="00C77D95" w:rsidRPr="001D704A" w:rsidRDefault="00C77D95" w:rsidP="00123EB1">
      <w:pPr>
        <w:rPr>
          <w:rFonts w:ascii="Times New Roman" w:hAnsi="Times New Roman" w:cs="Times New Roman"/>
          <w:iCs/>
          <w:color w:val="000000" w:themeColor="text1"/>
          <w:sz w:val="24"/>
          <w:szCs w:val="24"/>
        </w:rPr>
      </w:pPr>
    </w:p>
    <w:p w14:paraId="3DFA090C" w14:textId="49B5E630" w:rsidR="00C77D95" w:rsidRPr="001D704A" w:rsidRDefault="00C77D9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Consultation has taken place with the National Indigenous Australians Agency </w:t>
      </w:r>
      <w:r w:rsidR="00FB5B3B" w:rsidRPr="001D704A">
        <w:rPr>
          <w:rFonts w:ascii="Times New Roman" w:hAnsi="Times New Roman" w:cs="Times New Roman"/>
          <w:iCs/>
          <w:color w:val="000000" w:themeColor="text1"/>
          <w:sz w:val="24"/>
          <w:szCs w:val="24"/>
        </w:rPr>
        <w:t xml:space="preserve">(NIAA) </w:t>
      </w:r>
      <w:r w:rsidRPr="001D704A">
        <w:rPr>
          <w:rFonts w:ascii="Times New Roman" w:hAnsi="Times New Roman" w:cs="Times New Roman"/>
          <w:iCs/>
          <w:color w:val="000000" w:themeColor="text1"/>
          <w:sz w:val="24"/>
          <w:szCs w:val="24"/>
        </w:rPr>
        <w:t>and within the department. The department will work with Multilit on the development and implementation of the program including how the organisation will consult with Aboriginal and Torres Strait Islander communities and school leaders.</w:t>
      </w:r>
    </w:p>
    <w:p w14:paraId="3C39F637" w14:textId="77777777" w:rsidR="00C77D95" w:rsidRPr="001D704A" w:rsidRDefault="00C77D95" w:rsidP="00123EB1">
      <w:pPr>
        <w:rPr>
          <w:rFonts w:ascii="Times New Roman" w:hAnsi="Times New Roman" w:cs="Times New Roman"/>
          <w:iCs/>
          <w:color w:val="000000" w:themeColor="text1"/>
          <w:sz w:val="24"/>
          <w:szCs w:val="24"/>
        </w:rPr>
      </w:pPr>
    </w:p>
    <w:p w14:paraId="16A76231" w14:textId="36139DA0"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Funding of $8 million over four years from 2021-22 will come from Program 1.5: Early Learning and School</w:t>
      </w:r>
      <w:r w:rsidR="00FB5B3B" w:rsidRPr="001D704A">
        <w:rPr>
          <w:rFonts w:ascii="Times New Roman" w:hAnsi="Times New Roman" w:cs="Times New Roman"/>
          <w:sz w:val="24"/>
          <w:szCs w:val="24"/>
        </w:rPr>
        <w:t>s</w:t>
      </w:r>
      <w:r w:rsidRPr="001D704A">
        <w:rPr>
          <w:rFonts w:ascii="Times New Roman" w:hAnsi="Times New Roman" w:cs="Times New Roman"/>
          <w:sz w:val="24"/>
          <w:szCs w:val="24"/>
        </w:rPr>
        <w:t xml:space="preserve"> Support, which is part of Outcome 1. Details </w:t>
      </w:r>
      <w:r w:rsidR="00FB5B3B" w:rsidRPr="001D704A">
        <w:rPr>
          <w:rFonts w:ascii="Times New Roman" w:hAnsi="Times New Roman" w:cs="Times New Roman"/>
          <w:sz w:val="24"/>
          <w:szCs w:val="24"/>
        </w:rPr>
        <w:t xml:space="preserve">are expected to </w:t>
      </w:r>
      <w:r w:rsidRPr="001D704A">
        <w:rPr>
          <w:rFonts w:ascii="Times New Roman" w:hAnsi="Times New Roman" w:cs="Times New Roman"/>
          <w:sz w:val="24"/>
          <w:szCs w:val="24"/>
        </w:rPr>
        <w:t xml:space="preserve">be included in the 2021-22 Mid-Year Economic and Fiscal Outlook and </w:t>
      </w:r>
      <w:r w:rsidR="00FB5B3B" w:rsidRPr="001D704A">
        <w:rPr>
          <w:rFonts w:ascii="Times New Roman" w:hAnsi="Times New Roman" w:cs="Times New Roman"/>
          <w:sz w:val="24"/>
          <w:szCs w:val="24"/>
        </w:rPr>
        <w:t xml:space="preserve">the 2021-22 </w:t>
      </w:r>
      <w:r w:rsidRPr="001D704A">
        <w:rPr>
          <w:rFonts w:ascii="Times New Roman" w:hAnsi="Times New Roman" w:cs="Times New Roman"/>
          <w:sz w:val="24"/>
          <w:szCs w:val="24"/>
        </w:rPr>
        <w:t>Portfolio Additional Estimates Statements.</w:t>
      </w:r>
    </w:p>
    <w:p w14:paraId="2E6EACD8" w14:textId="77777777" w:rsidR="00C77D95" w:rsidRPr="001D704A" w:rsidRDefault="00C77D95" w:rsidP="00123EB1">
      <w:pPr>
        <w:rPr>
          <w:rFonts w:ascii="Times New Roman" w:hAnsi="Times New Roman" w:cs="Times New Roman"/>
          <w:sz w:val="24"/>
          <w:szCs w:val="24"/>
        </w:rPr>
      </w:pPr>
    </w:p>
    <w:p w14:paraId="66E9B967"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Noting that it is not a comprehensive statement of relevant constitutional considerations, the purpose of the item references the following powers of the Constitution: </w:t>
      </w:r>
    </w:p>
    <w:p w14:paraId="2F7A8394" w14:textId="77777777" w:rsidR="00C77D95" w:rsidRPr="001D704A" w:rsidRDefault="00C77D95" w:rsidP="00123EB1">
      <w:pPr>
        <w:pStyle w:val="ListParagraph"/>
        <w:numPr>
          <w:ilvl w:val="0"/>
          <w:numId w:val="25"/>
        </w:numPr>
        <w:tabs>
          <w:tab w:val="num" w:pos="709"/>
        </w:tabs>
        <w:spacing w:after="0" w:line="240" w:lineRule="auto"/>
        <w:ind w:left="714" w:hanging="357"/>
        <w:rPr>
          <w:rFonts w:ascii="Times New Roman" w:hAnsi="Times New Roman"/>
          <w:sz w:val="24"/>
          <w:szCs w:val="24"/>
        </w:rPr>
      </w:pPr>
      <w:r w:rsidRPr="001D704A">
        <w:rPr>
          <w:rFonts w:ascii="Times New Roman" w:hAnsi="Times New Roman"/>
          <w:sz w:val="24"/>
          <w:szCs w:val="24"/>
        </w:rPr>
        <w:t>the race power (section 51(xxvi);</w:t>
      </w:r>
    </w:p>
    <w:p w14:paraId="0A169278" w14:textId="77777777" w:rsidR="00C77D95" w:rsidRPr="001D704A" w:rsidRDefault="00C77D95" w:rsidP="00123EB1">
      <w:pPr>
        <w:pStyle w:val="ListParagraph"/>
        <w:numPr>
          <w:ilvl w:val="0"/>
          <w:numId w:val="25"/>
        </w:numPr>
        <w:tabs>
          <w:tab w:val="num" w:pos="709"/>
        </w:tabs>
        <w:spacing w:after="0" w:line="240" w:lineRule="auto"/>
        <w:ind w:left="714" w:hanging="357"/>
        <w:rPr>
          <w:rFonts w:ascii="Times New Roman" w:hAnsi="Times New Roman"/>
          <w:sz w:val="24"/>
          <w:szCs w:val="24"/>
        </w:rPr>
      </w:pPr>
      <w:r w:rsidRPr="001D704A">
        <w:rPr>
          <w:rFonts w:ascii="Times New Roman" w:hAnsi="Times New Roman"/>
          <w:sz w:val="24"/>
          <w:szCs w:val="24"/>
        </w:rPr>
        <w:t xml:space="preserve">the external affairs power (section 51(xxix)); and </w:t>
      </w:r>
    </w:p>
    <w:p w14:paraId="1EFDC6EF" w14:textId="77777777" w:rsidR="00C77D95" w:rsidRPr="001D704A" w:rsidRDefault="00C77D95" w:rsidP="00123EB1">
      <w:pPr>
        <w:pStyle w:val="ListParagraph"/>
        <w:numPr>
          <w:ilvl w:val="0"/>
          <w:numId w:val="25"/>
        </w:numPr>
        <w:tabs>
          <w:tab w:val="num" w:pos="709"/>
        </w:tabs>
        <w:spacing w:after="0" w:line="240" w:lineRule="auto"/>
        <w:ind w:left="714" w:hanging="357"/>
        <w:rPr>
          <w:rFonts w:ascii="Times New Roman" w:hAnsi="Times New Roman"/>
          <w:sz w:val="24"/>
          <w:szCs w:val="24"/>
        </w:rPr>
      </w:pPr>
      <w:r w:rsidRPr="001D704A">
        <w:rPr>
          <w:rFonts w:ascii="Times New Roman" w:hAnsi="Times New Roman"/>
          <w:sz w:val="24"/>
          <w:szCs w:val="24"/>
        </w:rPr>
        <w:t xml:space="preserve">the territories power (section 122). </w:t>
      </w:r>
    </w:p>
    <w:p w14:paraId="08C5814A" w14:textId="77777777" w:rsidR="00C77D95" w:rsidRPr="001D704A" w:rsidRDefault="00C77D95" w:rsidP="00123EB1">
      <w:pPr>
        <w:rPr>
          <w:rFonts w:ascii="Times New Roman" w:hAnsi="Times New Roman" w:cs="Times New Roman"/>
          <w:sz w:val="24"/>
          <w:szCs w:val="24"/>
        </w:rPr>
      </w:pPr>
    </w:p>
    <w:p w14:paraId="1BFDABC8" w14:textId="77777777" w:rsidR="00C77D95" w:rsidRPr="001D704A" w:rsidRDefault="00C77D95"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Race power</w:t>
      </w:r>
    </w:p>
    <w:p w14:paraId="6DB3DE76" w14:textId="77777777" w:rsidR="00C77D95" w:rsidRPr="001D704A" w:rsidRDefault="00C77D95" w:rsidP="00123EB1">
      <w:pPr>
        <w:rPr>
          <w:rFonts w:ascii="Times New Roman" w:hAnsi="Times New Roman" w:cs="Times New Roman"/>
          <w:sz w:val="24"/>
          <w:szCs w:val="24"/>
        </w:rPr>
      </w:pPr>
    </w:p>
    <w:p w14:paraId="286A47A9"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104BDC5D" w14:textId="77777777" w:rsidR="00C77D95" w:rsidRPr="001D704A" w:rsidRDefault="00C77D95" w:rsidP="00123EB1">
      <w:pPr>
        <w:rPr>
          <w:rFonts w:ascii="Times New Roman" w:hAnsi="Times New Roman" w:cs="Times New Roman"/>
          <w:sz w:val="24"/>
          <w:szCs w:val="24"/>
        </w:rPr>
      </w:pPr>
    </w:p>
    <w:p w14:paraId="49519794"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lastRenderedPageBreak/>
        <w:t>The race power in section 51(xxvi) supports special measures for the benefit of a particular race including Aboriginal and Torres Strait Islander Peoples.</w:t>
      </w:r>
    </w:p>
    <w:p w14:paraId="5A30E0A8" w14:textId="77777777" w:rsidR="00C77D95" w:rsidRPr="001D704A" w:rsidRDefault="00C77D95" w:rsidP="00123EB1">
      <w:pPr>
        <w:rPr>
          <w:rFonts w:ascii="Times New Roman" w:hAnsi="Times New Roman" w:cs="Times New Roman"/>
          <w:sz w:val="24"/>
          <w:szCs w:val="24"/>
        </w:rPr>
      </w:pPr>
    </w:p>
    <w:p w14:paraId="20276958" w14:textId="42F760B9"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FB5B3B" w:rsidRPr="001D704A">
        <w:rPr>
          <w:rFonts w:ascii="Times New Roman" w:hAnsi="Times New Roman" w:cs="Times New Roman"/>
          <w:sz w:val="24"/>
          <w:szCs w:val="24"/>
        </w:rPr>
        <w:t>p</w:t>
      </w:r>
      <w:r w:rsidRPr="001D704A">
        <w:rPr>
          <w:rFonts w:ascii="Times New Roman" w:hAnsi="Times New Roman" w:cs="Times New Roman"/>
          <w:sz w:val="24"/>
          <w:szCs w:val="24"/>
        </w:rPr>
        <w:t>rogram aims to address the gap in literacy between Indigenous and non-Indigenous primary school students.</w:t>
      </w:r>
    </w:p>
    <w:p w14:paraId="2301266B" w14:textId="77777777" w:rsidR="00C77D95" w:rsidRPr="001D704A" w:rsidRDefault="00C77D95" w:rsidP="00123EB1">
      <w:pPr>
        <w:rPr>
          <w:rFonts w:ascii="Times New Roman" w:hAnsi="Times New Roman" w:cs="Times New Roman"/>
          <w:sz w:val="24"/>
          <w:szCs w:val="24"/>
        </w:rPr>
      </w:pPr>
    </w:p>
    <w:p w14:paraId="7E2B9B5A" w14:textId="77777777" w:rsidR="00C77D95" w:rsidRPr="001D704A" w:rsidRDefault="00C77D95"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External affairs power</w:t>
      </w:r>
    </w:p>
    <w:p w14:paraId="69F3CCA5" w14:textId="77777777" w:rsidR="00C77D95" w:rsidRPr="001D704A" w:rsidRDefault="00C77D95" w:rsidP="00123EB1">
      <w:pPr>
        <w:rPr>
          <w:rFonts w:ascii="Times New Roman" w:hAnsi="Times New Roman" w:cs="Times New Roman"/>
          <w:sz w:val="24"/>
          <w:szCs w:val="24"/>
        </w:rPr>
      </w:pPr>
    </w:p>
    <w:p w14:paraId="48FEC702"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7125753C" w14:textId="77777777" w:rsidR="00C77D95" w:rsidRPr="001D704A" w:rsidRDefault="00C77D95" w:rsidP="00123EB1">
      <w:pPr>
        <w:rPr>
          <w:rFonts w:ascii="Times New Roman" w:hAnsi="Times New Roman" w:cs="Times New Roman"/>
          <w:sz w:val="24"/>
          <w:szCs w:val="24"/>
        </w:rPr>
      </w:pPr>
    </w:p>
    <w:p w14:paraId="54C2F53D" w14:textId="036A0B21"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Australia has relevant obligations relating to the </w:t>
      </w:r>
      <w:r w:rsidRPr="001D704A">
        <w:rPr>
          <w:rFonts w:ascii="Times New Roman" w:hAnsi="Times New Roman" w:cs="Times New Roman"/>
          <w:i/>
          <w:sz w:val="24"/>
          <w:szCs w:val="24"/>
        </w:rPr>
        <w:t>Convention on the Rights of the Child</w:t>
      </w:r>
      <w:r w:rsidRPr="001D704A">
        <w:rPr>
          <w:rFonts w:ascii="Times New Roman" w:hAnsi="Times New Roman" w:cs="Times New Roman"/>
          <w:sz w:val="24"/>
          <w:szCs w:val="24"/>
        </w:rPr>
        <w:t xml:space="preserve"> (CRC) and the</w:t>
      </w:r>
      <w:r w:rsidRPr="001D704A">
        <w:rPr>
          <w:rFonts w:ascii="Times New Roman" w:hAnsi="Times New Roman" w:cs="Times New Roman"/>
          <w:i/>
          <w:iCs/>
          <w:sz w:val="24"/>
          <w:szCs w:val="24"/>
        </w:rPr>
        <w:t xml:space="preserve"> </w:t>
      </w:r>
      <w:r w:rsidRPr="001D704A">
        <w:rPr>
          <w:rFonts w:ascii="Times New Roman" w:hAnsi="Times New Roman" w:cs="Times New Roman"/>
          <w:i/>
          <w:sz w:val="24"/>
          <w:szCs w:val="24"/>
        </w:rPr>
        <w:t>International Co</w:t>
      </w:r>
      <w:r w:rsidR="00FB5B3B" w:rsidRPr="001D704A">
        <w:rPr>
          <w:rFonts w:ascii="Times New Roman" w:hAnsi="Times New Roman" w:cs="Times New Roman"/>
          <w:i/>
          <w:sz w:val="24"/>
          <w:szCs w:val="24"/>
        </w:rPr>
        <w:t>venant</w:t>
      </w:r>
      <w:r w:rsidRPr="001D704A">
        <w:rPr>
          <w:rFonts w:ascii="Times New Roman" w:hAnsi="Times New Roman" w:cs="Times New Roman"/>
          <w:i/>
          <w:sz w:val="24"/>
          <w:szCs w:val="24"/>
        </w:rPr>
        <w:t xml:space="preserve"> on Economic, Social and Cultural Rights</w:t>
      </w:r>
      <w:r w:rsidRPr="001D704A">
        <w:rPr>
          <w:rFonts w:ascii="Times New Roman" w:hAnsi="Times New Roman" w:cs="Times New Roman"/>
          <w:sz w:val="24"/>
          <w:szCs w:val="24"/>
        </w:rPr>
        <w:t xml:space="preserve"> (ICESCR). </w:t>
      </w:r>
    </w:p>
    <w:p w14:paraId="56470032" w14:textId="77777777" w:rsidR="00C77D95" w:rsidRPr="001D704A" w:rsidRDefault="00C77D95" w:rsidP="00123EB1">
      <w:pPr>
        <w:rPr>
          <w:rFonts w:ascii="Times New Roman" w:hAnsi="Times New Roman" w:cs="Times New Roman"/>
          <w:sz w:val="24"/>
          <w:szCs w:val="24"/>
        </w:rPr>
      </w:pPr>
    </w:p>
    <w:p w14:paraId="7CDF7299"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Article 4 of the CRC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233C6220" w14:textId="77777777" w:rsidR="00C77D95" w:rsidRPr="001D704A" w:rsidRDefault="00C77D95" w:rsidP="00123EB1">
      <w:pPr>
        <w:rPr>
          <w:rFonts w:ascii="Times New Roman" w:hAnsi="Times New Roman" w:cs="Times New Roman"/>
          <w:sz w:val="24"/>
          <w:szCs w:val="24"/>
        </w:rPr>
      </w:pPr>
    </w:p>
    <w:p w14:paraId="5E8D39EB" w14:textId="0B8AAF54"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These rights include ‘the right of the child to education’ (Article 28 of the CRC).</w:t>
      </w:r>
    </w:p>
    <w:p w14:paraId="6AF3D378" w14:textId="77777777" w:rsidR="00C77D95" w:rsidRPr="001D704A" w:rsidRDefault="00C77D95" w:rsidP="00123EB1">
      <w:pPr>
        <w:rPr>
          <w:rFonts w:ascii="Times New Roman" w:hAnsi="Times New Roman" w:cs="Times New Roman"/>
          <w:sz w:val="24"/>
          <w:szCs w:val="24"/>
        </w:rPr>
      </w:pPr>
    </w:p>
    <w:p w14:paraId="778A41FE" w14:textId="287DAE3E"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29 of the CRC provides that ‘States Parties agreed that the education of the child shall be directed to ... [t]he development of the child’s personality, talents and mental and physical abilities to their fullest potential’. </w:t>
      </w:r>
    </w:p>
    <w:p w14:paraId="33AA4B6C" w14:textId="77777777" w:rsidR="00C77D95" w:rsidRPr="001D704A" w:rsidRDefault="00C77D95" w:rsidP="00123EB1">
      <w:pPr>
        <w:rPr>
          <w:rFonts w:ascii="Times New Roman" w:hAnsi="Times New Roman" w:cs="Times New Roman"/>
          <w:sz w:val="24"/>
          <w:szCs w:val="24"/>
        </w:rPr>
      </w:pPr>
    </w:p>
    <w:p w14:paraId="0E129E6B" w14:textId="0B6E7C36"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Article 2(1) of the ICESCR provides that ‘</w:t>
      </w:r>
      <w:r w:rsidR="006762AD" w:rsidRPr="001D704A">
        <w:rPr>
          <w:rFonts w:ascii="Times New Roman" w:hAnsi="Times New Roman" w:cs="Times New Roman"/>
          <w:sz w:val="24"/>
          <w:szCs w:val="24"/>
        </w:rPr>
        <w:t>[e]</w:t>
      </w:r>
      <w:r w:rsidRPr="001D704A">
        <w:rPr>
          <w:rFonts w:ascii="Times New Roman" w:hAnsi="Times New Roman" w:cs="Times New Roman"/>
          <w:sz w:val="24"/>
          <w:szCs w:val="24"/>
        </w:rPr>
        <w:t>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7B542D22" w14:textId="77777777" w:rsidR="00C77D95" w:rsidRPr="001D704A" w:rsidRDefault="00C77D95" w:rsidP="00123EB1">
      <w:pPr>
        <w:rPr>
          <w:rFonts w:ascii="Times New Roman" w:hAnsi="Times New Roman" w:cs="Times New Roman"/>
          <w:sz w:val="24"/>
          <w:szCs w:val="24"/>
        </w:rPr>
      </w:pPr>
    </w:p>
    <w:p w14:paraId="67546F61" w14:textId="6FEED721"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13(2)(a) of the ICESCR provides that </w:t>
      </w:r>
      <w:r w:rsidR="006762AD" w:rsidRPr="001D704A">
        <w:rPr>
          <w:rFonts w:ascii="Times New Roman" w:hAnsi="Times New Roman" w:cs="Times New Roman"/>
          <w:sz w:val="24"/>
          <w:szCs w:val="24"/>
        </w:rPr>
        <w:t xml:space="preserve">the </w:t>
      </w:r>
      <w:r w:rsidRPr="001D704A">
        <w:rPr>
          <w:rFonts w:ascii="Times New Roman" w:hAnsi="Times New Roman" w:cs="Times New Roman"/>
          <w:sz w:val="24"/>
          <w:szCs w:val="24"/>
        </w:rPr>
        <w:t>‘States Parties</w:t>
      </w:r>
      <w:r w:rsidR="006762AD" w:rsidRPr="001D704A">
        <w:rPr>
          <w:rFonts w:ascii="Times New Roman" w:hAnsi="Times New Roman" w:cs="Times New Roman"/>
          <w:sz w:val="24"/>
          <w:szCs w:val="24"/>
        </w:rPr>
        <w:t xml:space="preserve"> </w:t>
      </w:r>
      <w:r w:rsidRPr="001D704A">
        <w:rPr>
          <w:rFonts w:ascii="Times New Roman" w:hAnsi="Times New Roman" w:cs="Times New Roman"/>
          <w:sz w:val="24"/>
          <w:szCs w:val="24"/>
        </w:rPr>
        <w:t>…</w:t>
      </w:r>
      <w:r w:rsidR="006762AD" w:rsidRPr="001D704A">
        <w:rPr>
          <w:rFonts w:ascii="Times New Roman" w:hAnsi="Times New Roman" w:cs="Times New Roman"/>
          <w:sz w:val="24"/>
          <w:szCs w:val="24"/>
        </w:rPr>
        <w:t xml:space="preserve"> </w:t>
      </w:r>
      <w:r w:rsidRPr="001D704A">
        <w:rPr>
          <w:rFonts w:ascii="Times New Roman" w:hAnsi="Times New Roman" w:cs="Times New Roman"/>
          <w:sz w:val="24"/>
          <w:szCs w:val="24"/>
        </w:rPr>
        <w:t>recognize that, with a view to achieving the full realization of this right</w:t>
      </w:r>
      <w:r w:rsidR="006762AD" w:rsidRPr="001D704A">
        <w:rPr>
          <w:rFonts w:ascii="Times New Roman" w:hAnsi="Times New Roman" w:cs="Times New Roman"/>
          <w:sz w:val="24"/>
          <w:szCs w:val="24"/>
        </w:rPr>
        <w:t xml:space="preserve"> </w:t>
      </w:r>
      <w:r w:rsidRPr="001D704A">
        <w:rPr>
          <w:rFonts w:ascii="Times New Roman" w:hAnsi="Times New Roman" w:cs="Times New Roman"/>
          <w:sz w:val="24"/>
          <w:szCs w:val="24"/>
        </w:rPr>
        <w:t>…</w:t>
      </w:r>
      <w:r w:rsidR="006762AD" w:rsidRPr="001D704A">
        <w:rPr>
          <w:rFonts w:ascii="Times New Roman" w:hAnsi="Times New Roman" w:cs="Times New Roman"/>
          <w:sz w:val="24"/>
          <w:szCs w:val="24"/>
        </w:rPr>
        <w:t xml:space="preserve"> </w:t>
      </w:r>
      <w:r w:rsidRPr="001D704A">
        <w:rPr>
          <w:rFonts w:ascii="Times New Roman" w:hAnsi="Times New Roman" w:cs="Times New Roman"/>
          <w:sz w:val="24"/>
          <w:szCs w:val="24"/>
        </w:rPr>
        <w:t>[p]rimary education shall be compulsory and available free to all.’</w:t>
      </w:r>
    </w:p>
    <w:p w14:paraId="2D41CA29" w14:textId="77777777" w:rsidR="00C77D95" w:rsidRPr="001D704A" w:rsidRDefault="00C77D95" w:rsidP="00123EB1">
      <w:pPr>
        <w:rPr>
          <w:rFonts w:ascii="Times New Roman" w:hAnsi="Times New Roman" w:cs="Times New Roman"/>
          <w:sz w:val="24"/>
          <w:szCs w:val="24"/>
        </w:rPr>
      </w:pPr>
    </w:p>
    <w:p w14:paraId="4FF54C47" w14:textId="7616252F"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6762AD"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promotes the objectives of Articles 28(1) and 29 of the CRC and Article 13(2)(a) of the ICESCR as it is directed at a basic learning need of Indigenous children in primary schools by methods appropriate to those children. The </w:t>
      </w:r>
      <w:r w:rsidR="006762AD" w:rsidRPr="001D704A">
        <w:rPr>
          <w:rFonts w:ascii="Times New Roman" w:hAnsi="Times New Roman" w:cs="Times New Roman"/>
          <w:sz w:val="24"/>
          <w:szCs w:val="24"/>
        </w:rPr>
        <w:t>p</w:t>
      </w:r>
      <w:r w:rsidRPr="001D704A">
        <w:rPr>
          <w:rFonts w:ascii="Times New Roman" w:hAnsi="Times New Roman" w:cs="Times New Roman"/>
          <w:sz w:val="24"/>
          <w:szCs w:val="24"/>
        </w:rPr>
        <w:t>rogram is also directed at core educational activities that are central to the development of the talents and abilities of children.</w:t>
      </w:r>
    </w:p>
    <w:p w14:paraId="107C2147" w14:textId="77777777" w:rsidR="00C77D95" w:rsidRPr="001D704A" w:rsidRDefault="00C77D95" w:rsidP="00123EB1">
      <w:pPr>
        <w:rPr>
          <w:rFonts w:ascii="Times New Roman" w:hAnsi="Times New Roman" w:cs="Times New Roman"/>
          <w:sz w:val="24"/>
          <w:szCs w:val="24"/>
        </w:rPr>
      </w:pPr>
    </w:p>
    <w:p w14:paraId="05156056" w14:textId="77777777" w:rsidR="00C77D95" w:rsidRPr="001D704A" w:rsidRDefault="00C77D95" w:rsidP="00123EB1">
      <w:pPr>
        <w:rPr>
          <w:rFonts w:ascii="Times New Roman" w:hAnsi="Times New Roman" w:cs="Times New Roman"/>
          <w:sz w:val="24"/>
          <w:szCs w:val="24"/>
          <w:u w:val="single"/>
        </w:rPr>
      </w:pPr>
      <w:r w:rsidRPr="001D704A">
        <w:rPr>
          <w:rFonts w:ascii="Times New Roman" w:hAnsi="Times New Roman" w:cs="Times New Roman"/>
          <w:sz w:val="24"/>
          <w:szCs w:val="24"/>
          <w:u w:val="single"/>
        </w:rPr>
        <w:t>Territories power</w:t>
      </w:r>
    </w:p>
    <w:p w14:paraId="201D77EB" w14:textId="77777777" w:rsidR="00C77D95" w:rsidRPr="001D704A" w:rsidRDefault="00C77D95" w:rsidP="00123EB1">
      <w:pPr>
        <w:rPr>
          <w:rFonts w:ascii="Times New Roman" w:hAnsi="Times New Roman" w:cs="Times New Roman"/>
          <w:sz w:val="24"/>
          <w:szCs w:val="24"/>
        </w:rPr>
      </w:pPr>
    </w:p>
    <w:p w14:paraId="258E4073" w14:textId="77777777"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122 of the Constitution empowers the Parliament to make laws ‘for the government of any territory’. </w:t>
      </w:r>
    </w:p>
    <w:p w14:paraId="5D4B3997" w14:textId="77777777" w:rsidR="00C77D95" w:rsidRPr="001D704A" w:rsidRDefault="00C77D95" w:rsidP="00123EB1">
      <w:pPr>
        <w:rPr>
          <w:rFonts w:ascii="Times New Roman" w:hAnsi="Times New Roman" w:cs="Times New Roman"/>
          <w:sz w:val="24"/>
          <w:szCs w:val="24"/>
        </w:rPr>
      </w:pPr>
    </w:p>
    <w:p w14:paraId="29ED5071" w14:textId="317B1979" w:rsidR="00C77D95" w:rsidRPr="001D704A" w:rsidRDefault="00C77D95" w:rsidP="00123EB1">
      <w:pPr>
        <w:rPr>
          <w:rFonts w:ascii="Times New Roman" w:hAnsi="Times New Roman" w:cs="Times New Roman"/>
          <w:sz w:val="24"/>
          <w:szCs w:val="24"/>
        </w:rPr>
      </w:pPr>
      <w:r w:rsidRPr="001D704A">
        <w:rPr>
          <w:rFonts w:ascii="Times New Roman" w:hAnsi="Times New Roman" w:cs="Times New Roman"/>
          <w:sz w:val="24"/>
          <w:szCs w:val="24"/>
        </w:rPr>
        <w:t xml:space="preserve">Given the target group, it is anticipated that the </w:t>
      </w:r>
      <w:r w:rsidR="006762AD" w:rsidRPr="001D704A">
        <w:rPr>
          <w:rFonts w:ascii="Times New Roman" w:hAnsi="Times New Roman" w:cs="Times New Roman"/>
          <w:sz w:val="24"/>
          <w:szCs w:val="24"/>
        </w:rPr>
        <w:t>p</w:t>
      </w:r>
      <w:r w:rsidRPr="001D704A">
        <w:rPr>
          <w:rFonts w:ascii="Times New Roman" w:hAnsi="Times New Roman" w:cs="Times New Roman"/>
          <w:sz w:val="24"/>
          <w:szCs w:val="24"/>
        </w:rPr>
        <w:t>rogram will have substantial operation in the Northern Territory.</w:t>
      </w:r>
    </w:p>
    <w:p w14:paraId="73E4E356" w14:textId="77777777" w:rsidR="00C77D95" w:rsidRPr="001D704A" w:rsidRDefault="00C77D95" w:rsidP="00123EB1">
      <w:pPr>
        <w:rPr>
          <w:rFonts w:ascii="Times New Roman" w:hAnsi="Times New Roman" w:cs="Times New Roman"/>
          <w:sz w:val="24"/>
          <w:szCs w:val="24"/>
        </w:rPr>
      </w:pPr>
    </w:p>
    <w:p w14:paraId="2382C704" w14:textId="6F0F42DE" w:rsidR="000057D2" w:rsidRPr="001D704A" w:rsidRDefault="00417CD5"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table item</w:t>
      </w:r>
      <w:r w:rsidR="00B020B6" w:rsidRPr="001D704A">
        <w:rPr>
          <w:rFonts w:ascii="Times New Roman" w:hAnsi="Times New Roman" w:cs="Times New Roman"/>
          <w:b/>
          <w:iCs/>
          <w:color w:val="000000" w:themeColor="text1"/>
          <w:sz w:val="24"/>
          <w:szCs w:val="24"/>
        </w:rPr>
        <w:t xml:space="preserve"> 54</w:t>
      </w:r>
      <w:r w:rsidRPr="001D704A">
        <w:rPr>
          <w:rFonts w:ascii="Times New Roman" w:hAnsi="Times New Roman" w:cs="Times New Roman"/>
          <w:iCs/>
          <w:color w:val="000000" w:themeColor="text1"/>
          <w:sz w:val="24"/>
          <w:szCs w:val="24"/>
        </w:rPr>
        <w:t xml:space="preserve"> establishes legislative authority for the Government to </w:t>
      </w:r>
      <w:r w:rsidR="002065BB" w:rsidRPr="001D704A">
        <w:rPr>
          <w:rFonts w:ascii="Times New Roman" w:hAnsi="Times New Roman" w:cs="Times New Roman"/>
          <w:iCs/>
          <w:color w:val="000000" w:themeColor="text1"/>
          <w:sz w:val="24"/>
          <w:szCs w:val="24"/>
        </w:rPr>
        <w:t xml:space="preserve">provide a </w:t>
      </w:r>
      <w:r w:rsidR="009A65CF" w:rsidRPr="001D704A">
        <w:rPr>
          <w:rFonts w:ascii="Times New Roman" w:hAnsi="Times New Roman" w:cs="Times New Roman"/>
          <w:iCs/>
          <w:color w:val="000000" w:themeColor="text1"/>
          <w:sz w:val="24"/>
          <w:szCs w:val="24"/>
        </w:rPr>
        <w:t>g</w:t>
      </w:r>
      <w:r w:rsidR="002065BB" w:rsidRPr="001D704A">
        <w:rPr>
          <w:rFonts w:ascii="Times New Roman" w:hAnsi="Times New Roman" w:cs="Times New Roman"/>
          <w:iCs/>
          <w:color w:val="000000" w:themeColor="text1"/>
          <w:sz w:val="24"/>
          <w:szCs w:val="24"/>
        </w:rPr>
        <w:t xml:space="preserve">rant </w:t>
      </w:r>
      <w:r w:rsidR="00207872" w:rsidRPr="001D704A">
        <w:rPr>
          <w:rFonts w:ascii="Times New Roman" w:hAnsi="Times New Roman" w:cs="Times New Roman"/>
          <w:iCs/>
          <w:color w:val="000000" w:themeColor="text1"/>
          <w:sz w:val="24"/>
          <w:szCs w:val="24"/>
        </w:rPr>
        <w:t xml:space="preserve">to Together for Humanity </w:t>
      </w:r>
      <w:r w:rsidR="006717CB" w:rsidRPr="001D704A">
        <w:rPr>
          <w:rFonts w:ascii="Times New Roman" w:hAnsi="Times New Roman" w:cs="Times New Roman"/>
          <w:iCs/>
          <w:color w:val="000000" w:themeColor="text1"/>
          <w:sz w:val="24"/>
          <w:szCs w:val="24"/>
        </w:rPr>
        <w:t xml:space="preserve">Foundation </w:t>
      </w:r>
      <w:r w:rsidR="00207872" w:rsidRPr="001D704A">
        <w:rPr>
          <w:rFonts w:ascii="Times New Roman" w:hAnsi="Times New Roman" w:cs="Times New Roman"/>
          <w:iCs/>
          <w:color w:val="000000" w:themeColor="text1"/>
          <w:sz w:val="24"/>
          <w:szCs w:val="24"/>
        </w:rPr>
        <w:t>Limited</w:t>
      </w:r>
      <w:r w:rsidR="00207872" w:rsidRPr="001D704A">
        <w:rPr>
          <w:rFonts w:ascii="Times New Roman" w:hAnsi="Times New Roman"/>
          <w:sz w:val="24"/>
          <w:szCs w:val="24"/>
        </w:rPr>
        <w:t xml:space="preserve"> </w:t>
      </w:r>
      <w:r w:rsidR="00E574D6" w:rsidRPr="001D704A">
        <w:rPr>
          <w:rFonts w:ascii="Times New Roman" w:hAnsi="Times New Roman"/>
          <w:sz w:val="24"/>
          <w:szCs w:val="24"/>
        </w:rPr>
        <w:t xml:space="preserve">(TFH) </w:t>
      </w:r>
      <w:r w:rsidR="006717CB" w:rsidRPr="001D704A">
        <w:rPr>
          <w:rFonts w:ascii="Times New Roman" w:hAnsi="Times New Roman"/>
          <w:sz w:val="24"/>
          <w:szCs w:val="24"/>
        </w:rPr>
        <w:t>to deliver</w:t>
      </w:r>
      <w:r w:rsidR="000057D2" w:rsidRPr="001D704A">
        <w:rPr>
          <w:rFonts w:ascii="Times New Roman" w:hAnsi="Times New Roman" w:cs="Times New Roman"/>
          <w:iCs/>
          <w:color w:val="000000" w:themeColor="text1"/>
          <w:sz w:val="24"/>
          <w:szCs w:val="24"/>
        </w:rPr>
        <w:t xml:space="preserve"> the </w:t>
      </w:r>
      <w:r w:rsidR="006717CB" w:rsidRPr="001D704A">
        <w:rPr>
          <w:rFonts w:ascii="Times New Roman" w:hAnsi="Times New Roman" w:cs="Times New Roman"/>
          <w:iCs/>
          <w:color w:val="000000" w:themeColor="text1"/>
          <w:sz w:val="24"/>
          <w:szCs w:val="24"/>
        </w:rPr>
        <w:t xml:space="preserve">Inclusion Education for </w:t>
      </w:r>
      <w:r w:rsidR="000057D2" w:rsidRPr="001D704A">
        <w:rPr>
          <w:rFonts w:ascii="Times New Roman" w:hAnsi="Times New Roman" w:cs="Times New Roman"/>
          <w:iCs/>
          <w:color w:val="000000" w:themeColor="text1"/>
          <w:sz w:val="24"/>
          <w:szCs w:val="24"/>
        </w:rPr>
        <w:t>Conn</w:t>
      </w:r>
      <w:r w:rsidR="00E574D6" w:rsidRPr="001D704A">
        <w:rPr>
          <w:rFonts w:ascii="Times New Roman" w:hAnsi="Times New Roman" w:cs="Times New Roman"/>
          <w:iCs/>
          <w:color w:val="000000" w:themeColor="text1"/>
          <w:sz w:val="24"/>
          <w:szCs w:val="24"/>
        </w:rPr>
        <w:t xml:space="preserve">ected </w:t>
      </w:r>
      <w:r w:rsidR="000057D2" w:rsidRPr="001D704A">
        <w:rPr>
          <w:rFonts w:ascii="Times New Roman" w:hAnsi="Times New Roman" w:cs="Times New Roman"/>
          <w:iCs/>
          <w:color w:val="000000" w:themeColor="text1"/>
          <w:sz w:val="24"/>
          <w:szCs w:val="24"/>
        </w:rPr>
        <w:t xml:space="preserve">Youth and Communities </w:t>
      </w:r>
      <w:r w:rsidR="006717CB" w:rsidRPr="001D704A">
        <w:rPr>
          <w:rFonts w:ascii="Times New Roman" w:hAnsi="Times New Roman" w:cs="Times New Roman"/>
          <w:iCs/>
          <w:color w:val="000000" w:themeColor="text1"/>
          <w:sz w:val="24"/>
          <w:szCs w:val="24"/>
        </w:rPr>
        <w:t>Initiative</w:t>
      </w:r>
      <w:r w:rsidR="000057D2" w:rsidRPr="001D704A">
        <w:rPr>
          <w:rFonts w:ascii="Times New Roman" w:hAnsi="Times New Roman" w:cs="Times New Roman"/>
          <w:iCs/>
          <w:color w:val="000000" w:themeColor="text1"/>
          <w:sz w:val="24"/>
          <w:szCs w:val="24"/>
        </w:rPr>
        <w:t xml:space="preserve"> (the </w:t>
      </w:r>
      <w:r w:rsidR="00E574D6" w:rsidRPr="001D704A">
        <w:rPr>
          <w:rFonts w:ascii="Times New Roman" w:hAnsi="Times New Roman" w:cs="Times New Roman"/>
          <w:iCs/>
          <w:color w:val="000000" w:themeColor="text1"/>
          <w:sz w:val="24"/>
          <w:szCs w:val="24"/>
        </w:rPr>
        <w:t>p</w:t>
      </w:r>
      <w:r w:rsidR="000057D2" w:rsidRPr="001D704A">
        <w:rPr>
          <w:rFonts w:ascii="Times New Roman" w:hAnsi="Times New Roman" w:cs="Times New Roman"/>
          <w:iCs/>
          <w:color w:val="000000" w:themeColor="text1"/>
          <w:sz w:val="24"/>
          <w:szCs w:val="24"/>
        </w:rPr>
        <w:t xml:space="preserve">rogram). </w:t>
      </w:r>
    </w:p>
    <w:p w14:paraId="6B199F1F" w14:textId="77777777" w:rsidR="00E574D6" w:rsidRPr="001D704A" w:rsidRDefault="00E574D6" w:rsidP="00123EB1">
      <w:pPr>
        <w:rPr>
          <w:rFonts w:ascii="Times New Roman" w:hAnsi="Times New Roman" w:cs="Times New Roman"/>
          <w:iCs/>
          <w:color w:val="000000" w:themeColor="text1"/>
          <w:sz w:val="24"/>
          <w:szCs w:val="24"/>
        </w:rPr>
      </w:pPr>
    </w:p>
    <w:p w14:paraId="54E6B2C6" w14:textId="00270057" w:rsidR="00097503" w:rsidRPr="001D704A" w:rsidRDefault="00097503"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TFH is a multi-faith, inclusive, educational community organisation that works with schools to foster intercultural understanding and help students learn how to deal with differences. Since 2002, TFH has supported more than 400,000 young people and teachers in school communities across Austral</w:t>
      </w:r>
      <w:r w:rsidR="002C1381" w:rsidRPr="001D704A">
        <w:rPr>
          <w:rFonts w:ascii="Times New Roman" w:hAnsi="Times New Roman" w:cs="Times New Roman"/>
          <w:bCs/>
          <w:iCs/>
          <w:color w:val="000000" w:themeColor="text1"/>
          <w:sz w:val="24"/>
          <w:szCs w:val="24"/>
        </w:rPr>
        <w:t>ia to manage cultural diversity</w:t>
      </w:r>
      <w:r w:rsidRPr="001D704A">
        <w:rPr>
          <w:rFonts w:ascii="Times New Roman" w:hAnsi="Times New Roman" w:cs="Times New Roman"/>
          <w:bCs/>
          <w:iCs/>
          <w:color w:val="000000" w:themeColor="text1"/>
          <w:sz w:val="24"/>
          <w:szCs w:val="24"/>
        </w:rPr>
        <w:t>.</w:t>
      </w:r>
    </w:p>
    <w:p w14:paraId="54DF63C5" w14:textId="77777777" w:rsidR="00097503" w:rsidRPr="001D704A" w:rsidRDefault="00097503" w:rsidP="00123EB1">
      <w:pPr>
        <w:rPr>
          <w:rFonts w:ascii="Times New Roman" w:hAnsi="Times New Roman" w:cs="Times New Roman"/>
          <w:bCs/>
          <w:iCs/>
          <w:color w:val="000000" w:themeColor="text1"/>
          <w:sz w:val="24"/>
          <w:szCs w:val="24"/>
        </w:rPr>
      </w:pPr>
    </w:p>
    <w:p w14:paraId="50FA4AB8" w14:textId="474C062D" w:rsidR="00B722E7" w:rsidRPr="001D704A" w:rsidRDefault="000057D2"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w:t>
      </w:r>
      <w:r w:rsidR="00E574D6" w:rsidRPr="001D704A">
        <w:rPr>
          <w:rFonts w:ascii="Times New Roman" w:hAnsi="Times New Roman" w:cs="Times New Roman"/>
          <w:iCs/>
          <w:color w:val="000000" w:themeColor="text1"/>
          <w:sz w:val="24"/>
          <w:szCs w:val="24"/>
        </w:rPr>
        <w:t xml:space="preserve">grant </w:t>
      </w:r>
      <w:r w:rsidRPr="001D704A">
        <w:rPr>
          <w:rFonts w:ascii="Times New Roman" w:hAnsi="Times New Roman" w:cs="Times New Roman"/>
          <w:iCs/>
          <w:color w:val="000000" w:themeColor="text1"/>
          <w:sz w:val="24"/>
          <w:szCs w:val="24"/>
        </w:rPr>
        <w:t xml:space="preserve">funding will enable TFH to increase the scope and impact of its existing </w:t>
      </w:r>
      <w:r w:rsidR="00E574D6" w:rsidRPr="001D704A">
        <w:rPr>
          <w:rFonts w:ascii="Times New Roman" w:hAnsi="Times New Roman" w:cs="Times New Roman"/>
          <w:iCs/>
          <w:color w:val="000000" w:themeColor="text1"/>
          <w:sz w:val="24"/>
          <w:szCs w:val="24"/>
        </w:rPr>
        <w:t xml:space="preserve">program, which includes </w:t>
      </w:r>
      <w:r w:rsidRPr="001D704A">
        <w:rPr>
          <w:rFonts w:ascii="Times New Roman" w:hAnsi="Times New Roman" w:cs="Times New Roman"/>
          <w:iCs/>
          <w:color w:val="000000" w:themeColor="text1"/>
          <w:sz w:val="24"/>
          <w:szCs w:val="24"/>
        </w:rPr>
        <w:t xml:space="preserve">a number of initiatives such as </w:t>
      </w:r>
      <w:r w:rsidR="00097503"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xml:space="preserve">chool </w:t>
      </w:r>
      <w:r w:rsidR="00097503"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artnership</w:t>
      </w:r>
      <w:r w:rsidR="00097503"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professional development for teachers, online resources, student-led summits, and national awards celebrating achievements in civics and citizenship with a focus on fostering interfaith and intercultural understanding to support social cohesion.</w:t>
      </w:r>
      <w:r w:rsidR="001355C5" w:rsidRPr="001D704A">
        <w:rPr>
          <w:rFonts w:ascii="Times New Roman" w:hAnsi="Times New Roman" w:cs="Times New Roman"/>
          <w:iCs/>
          <w:color w:val="000000" w:themeColor="text1"/>
          <w:sz w:val="24"/>
          <w:szCs w:val="24"/>
        </w:rPr>
        <w:t xml:space="preserve"> Some elements of the program will be delivered face-to-face and other elements online</w:t>
      </w:r>
      <w:r w:rsidR="003631EE" w:rsidRPr="001D704A">
        <w:rPr>
          <w:rFonts w:ascii="Times New Roman" w:hAnsi="Times New Roman" w:cs="Times New Roman"/>
          <w:iCs/>
          <w:color w:val="000000" w:themeColor="text1"/>
          <w:sz w:val="24"/>
          <w:szCs w:val="24"/>
        </w:rPr>
        <w:t>.</w:t>
      </w:r>
    </w:p>
    <w:p w14:paraId="79F7B134" w14:textId="77777777" w:rsidR="00D86811" w:rsidRPr="001D704A" w:rsidRDefault="00D86811" w:rsidP="00123EB1">
      <w:pPr>
        <w:rPr>
          <w:rFonts w:ascii="Times New Roman" w:hAnsi="Times New Roman" w:cs="Times New Roman"/>
          <w:bCs/>
          <w:iCs/>
          <w:color w:val="000000" w:themeColor="text1"/>
          <w:sz w:val="24"/>
          <w:szCs w:val="24"/>
        </w:rPr>
      </w:pPr>
    </w:p>
    <w:p w14:paraId="28A4279D" w14:textId="77777777" w:rsidR="000057D2" w:rsidRPr="001D704A" w:rsidRDefault="000057D2"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 xml:space="preserve">TFH has seen positive results in transforming attitudes and behaviours. The </w:t>
      </w:r>
      <w:r w:rsidR="00A550AB" w:rsidRPr="001D704A">
        <w:rPr>
          <w:rFonts w:ascii="Times New Roman" w:hAnsi="Times New Roman" w:cs="Times New Roman"/>
          <w:bCs/>
          <w:iCs/>
          <w:color w:val="000000" w:themeColor="text1"/>
          <w:sz w:val="24"/>
          <w:szCs w:val="24"/>
        </w:rPr>
        <w:t>p</w:t>
      </w:r>
      <w:r w:rsidRPr="001D704A">
        <w:rPr>
          <w:rFonts w:ascii="Times New Roman" w:hAnsi="Times New Roman" w:cs="Times New Roman"/>
          <w:bCs/>
          <w:iCs/>
          <w:color w:val="000000" w:themeColor="text1"/>
          <w:sz w:val="24"/>
          <w:szCs w:val="24"/>
        </w:rPr>
        <w:t xml:space="preserve">rogram contributes to developing resilience in young people when faced with extremism and encouraging them to embrace shared Australian values and to have empathy for those who are different. </w:t>
      </w:r>
    </w:p>
    <w:p w14:paraId="3C907BB1" w14:textId="77777777" w:rsidR="00A550AB" w:rsidRPr="001D704A" w:rsidRDefault="00A550AB" w:rsidP="00123EB1">
      <w:pPr>
        <w:rPr>
          <w:rFonts w:ascii="Times New Roman" w:hAnsi="Times New Roman" w:cs="Times New Roman"/>
          <w:bCs/>
          <w:iCs/>
          <w:color w:val="000000" w:themeColor="text1"/>
          <w:sz w:val="24"/>
          <w:szCs w:val="24"/>
        </w:rPr>
      </w:pPr>
    </w:p>
    <w:p w14:paraId="0DE5FDFC" w14:textId="77777777" w:rsidR="000057D2" w:rsidRPr="001D704A" w:rsidRDefault="000057D2"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 xml:space="preserve">Specific objectives of the program are </w:t>
      </w:r>
      <w:r w:rsidR="00A550AB" w:rsidRPr="001D704A">
        <w:rPr>
          <w:rFonts w:ascii="Times New Roman" w:hAnsi="Times New Roman" w:cs="Times New Roman"/>
          <w:bCs/>
          <w:iCs/>
          <w:color w:val="000000" w:themeColor="text1"/>
          <w:sz w:val="24"/>
          <w:szCs w:val="24"/>
        </w:rPr>
        <w:t>that</w:t>
      </w:r>
      <w:r w:rsidRPr="001D704A">
        <w:rPr>
          <w:rFonts w:ascii="Times New Roman" w:hAnsi="Times New Roman" w:cs="Times New Roman"/>
          <w:bCs/>
          <w:iCs/>
          <w:color w:val="000000" w:themeColor="text1"/>
          <w:sz w:val="24"/>
          <w:szCs w:val="24"/>
        </w:rPr>
        <w:t>:</w:t>
      </w:r>
    </w:p>
    <w:p w14:paraId="4B4D675D" w14:textId="77777777" w:rsidR="000057D2" w:rsidRPr="001D704A" w:rsidRDefault="00A550AB"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s</w:t>
      </w:r>
      <w:r w:rsidR="000057D2" w:rsidRPr="001D704A">
        <w:rPr>
          <w:rFonts w:ascii="Times New Roman" w:hAnsi="Times New Roman" w:cs="Times New Roman"/>
          <w:bCs/>
          <w:iCs/>
          <w:color w:val="000000" w:themeColor="text1"/>
          <w:sz w:val="24"/>
          <w:szCs w:val="24"/>
        </w:rPr>
        <w:t>tudents</w:t>
      </w:r>
      <w:r w:rsidR="000057D2" w:rsidRPr="001D704A">
        <w:rPr>
          <w:rFonts w:ascii="Times New Roman" w:hAnsi="Times New Roman" w:cs="Times New Roman"/>
          <w:iCs/>
          <w:color w:val="000000" w:themeColor="text1"/>
          <w:sz w:val="24"/>
          <w:szCs w:val="24"/>
        </w:rPr>
        <w:t xml:space="preserve"> are aware and accepting of their multiple identities and communities, have resilience to deal with prejudice, reject stereotypes, and build and model respectf</w:t>
      </w:r>
      <w:r w:rsidRPr="001D704A">
        <w:rPr>
          <w:rFonts w:ascii="Times New Roman" w:hAnsi="Times New Roman" w:cs="Times New Roman"/>
          <w:iCs/>
          <w:color w:val="000000" w:themeColor="text1"/>
          <w:sz w:val="24"/>
          <w:szCs w:val="24"/>
        </w:rPr>
        <w:t>ul intercultural relationships;</w:t>
      </w:r>
    </w:p>
    <w:p w14:paraId="73834B2D" w14:textId="61846626" w:rsidR="000057D2" w:rsidRPr="001D704A" w:rsidRDefault="00A550AB"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t</w:t>
      </w:r>
      <w:r w:rsidR="000057D2" w:rsidRPr="001D704A">
        <w:rPr>
          <w:rFonts w:ascii="Times New Roman" w:hAnsi="Times New Roman" w:cs="Times New Roman"/>
          <w:bCs/>
          <w:iCs/>
          <w:color w:val="000000" w:themeColor="text1"/>
          <w:sz w:val="24"/>
          <w:szCs w:val="24"/>
        </w:rPr>
        <w:t>eachers and other educators</w:t>
      </w:r>
      <w:r w:rsidR="000057D2" w:rsidRPr="001D704A">
        <w:rPr>
          <w:rFonts w:ascii="Times New Roman" w:hAnsi="Times New Roman" w:cs="Times New Roman"/>
          <w:iCs/>
          <w:color w:val="000000" w:themeColor="text1"/>
          <w:sz w:val="24"/>
          <w:szCs w:val="24"/>
        </w:rPr>
        <w:t xml:space="preserve"> effectively apply </w:t>
      </w:r>
      <w:r w:rsidR="00213480" w:rsidRPr="001D704A">
        <w:rPr>
          <w:rFonts w:ascii="Times New Roman" w:hAnsi="Times New Roman" w:cs="Times New Roman"/>
          <w:iCs/>
          <w:color w:val="000000" w:themeColor="text1"/>
          <w:sz w:val="24"/>
          <w:szCs w:val="24"/>
        </w:rPr>
        <w:t>i</w:t>
      </w:r>
      <w:r w:rsidR="000057D2" w:rsidRPr="001D704A">
        <w:rPr>
          <w:rFonts w:ascii="Times New Roman" w:hAnsi="Times New Roman" w:cs="Times New Roman"/>
          <w:iCs/>
          <w:color w:val="000000" w:themeColor="text1"/>
          <w:sz w:val="24"/>
          <w:szCs w:val="24"/>
        </w:rPr>
        <w:t xml:space="preserve">ntercultural </w:t>
      </w:r>
      <w:r w:rsidR="00213480" w:rsidRPr="001D704A">
        <w:rPr>
          <w:rFonts w:ascii="Times New Roman" w:hAnsi="Times New Roman" w:cs="Times New Roman"/>
          <w:iCs/>
          <w:color w:val="000000" w:themeColor="text1"/>
          <w:sz w:val="24"/>
          <w:szCs w:val="24"/>
        </w:rPr>
        <w:t>u</w:t>
      </w:r>
      <w:r w:rsidR="000057D2" w:rsidRPr="001D704A">
        <w:rPr>
          <w:rFonts w:ascii="Times New Roman" w:hAnsi="Times New Roman" w:cs="Times New Roman"/>
          <w:iCs/>
          <w:color w:val="000000" w:themeColor="text1"/>
          <w:sz w:val="24"/>
          <w:szCs w:val="24"/>
        </w:rPr>
        <w:t xml:space="preserve">nderstanding dispositions, knowledge, skills </w:t>
      </w:r>
      <w:r w:rsidRPr="001D704A">
        <w:rPr>
          <w:rFonts w:ascii="Times New Roman" w:hAnsi="Times New Roman" w:cs="Times New Roman"/>
          <w:iCs/>
          <w:color w:val="000000" w:themeColor="text1"/>
          <w:sz w:val="24"/>
          <w:szCs w:val="24"/>
        </w:rPr>
        <w:t>and resources in their schools;</w:t>
      </w:r>
    </w:p>
    <w:p w14:paraId="0EE7E8E0" w14:textId="77777777" w:rsidR="000057D2" w:rsidRPr="001D704A" w:rsidRDefault="000057D2"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Australian school communities</w:t>
      </w:r>
      <w:r w:rsidRPr="001D704A">
        <w:rPr>
          <w:rFonts w:ascii="Times New Roman" w:hAnsi="Times New Roman" w:cs="Times New Roman"/>
          <w:iCs/>
          <w:color w:val="000000" w:themeColor="text1"/>
          <w:sz w:val="24"/>
          <w:szCs w:val="24"/>
        </w:rPr>
        <w:t xml:space="preserve"> are inclusive of d</w:t>
      </w:r>
      <w:r w:rsidR="00A550AB" w:rsidRPr="001D704A">
        <w:rPr>
          <w:rFonts w:ascii="Times New Roman" w:hAnsi="Times New Roman" w:cs="Times New Roman"/>
          <w:iCs/>
          <w:color w:val="000000" w:themeColor="text1"/>
          <w:sz w:val="24"/>
          <w:szCs w:val="24"/>
        </w:rPr>
        <w:t>iversity of culture and belief; and</w:t>
      </w:r>
    </w:p>
    <w:p w14:paraId="71DD7FA9" w14:textId="77777777" w:rsidR="000057D2" w:rsidRPr="001D704A" w:rsidRDefault="00A550AB"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p</w:t>
      </w:r>
      <w:r w:rsidR="000057D2" w:rsidRPr="001D704A">
        <w:rPr>
          <w:rFonts w:ascii="Times New Roman" w:hAnsi="Times New Roman" w:cs="Times New Roman"/>
          <w:bCs/>
          <w:iCs/>
          <w:color w:val="000000" w:themeColor="text1"/>
          <w:sz w:val="24"/>
          <w:szCs w:val="24"/>
        </w:rPr>
        <w:t>arents, carers and other school community members</w:t>
      </w:r>
      <w:r w:rsidR="000057D2" w:rsidRPr="001D704A">
        <w:rPr>
          <w:rFonts w:ascii="Times New Roman" w:hAnsi="Times New Roman" w:cs="Times New Roman"/>
          <w:iCs/>
          <w:color w:val="000000" w:themeColor="text1"/>
          <w:sz w:val="24"/>
          <w:szCs w:val="24"/>
        </w:rPr>
        <w:t xml:space="preserve"> have a feeling of belonging together and being connected with culturally diverse people. </w:t>
      </w:r>
    </w:p>
    <w:p w14:paraId="59776FA1" w14:textId="77777777" w:rsidR="00A550AB" w:rsidRPr="001D704A" w:rsidRDefault="00A550AB" w:rsidP="00123EB1">
      <w:pPr>
        <w:rPr>
          <w:rFonts w:ascii="Times New Roman" w:hAnsi="Times New Roman" w:cs="Times New Roman"/>
          <w:bCs/>
          <w:iCs/>
          <w:color w:val="000000" w:themeColor="text1"/>
          <w:sz w:val="24"/>
          <w:szCs w:val="24"/>
          <w:u w:val="single"/>
        </w:rPr>
      </w:pPr>
    </w:p>
    <w:p w14:paraId="5602496E" w14:textId="77777777" w:rsidR="000057D2" w:rsidRPr="001D704A" w:rsidRDefault="000057D2" w:rsidP="00123EB1">
      <w:pPr>
        <w:rPr>
          <w:rFonts w:ascii="Times New Roman" w:hAnsi="Times New Roman" w:cs="Times New Roman"/>
          <w:bCs/>
          <w:iCs/>
          <w:color w:val="000000" w:themeColor="text1"/>
          <w:sz w:val="24"/>
          <w:szCs w:val="24"/>
          <w:u w:val="single"/>
        </w:rPr>
      </w:pPr>
      <w:r w:rsidRPr="001D704A">
        <w:rPr>
          <w:rFonts w:ascii="Times New Roman" w:hAnsi="Times New Roman" w:cs="Times New Roman"/>
          <w:iCs/>
          <w:color w:val="000000" w:themeColor="text1"/>
          <w:sz w:val="24"/>
          <w:szCs w:val="24"/>
        </w:rPr>
        <w:t xml:space="preserve">The </w:t>
      </w:r>
      <w:r w:rsidR="00A550AB" w:rsidRPr="001D704A">
        <w:rPr>
          <w:rFonts w:ascii="Times New Roman" w:hAnsi="Times New Roman" w:cs="Times New Roman"/>
          <w:iCs/>
          <w:color w:val="000000" w:themeColor="text1"/>
          <w:sz w:val="24"/>
          <w:szCs w:val="24"/>
        </w:rPr>
        <w:t xml:space="preserve">grant </w:t>
      </w:r>
      <w:r w:rsidRPr="001D704A">
        <w:rPr>
          <w:rFonts w:ascii="Times New Roman" w:hAnsi="Times New Roman" w:cs="Times New Roman"/>
          <w:iCs/>
          <w:color w:val="000000" w:themeColor="text1"/>
          <w:sz w:val="24"/>
          <w:szCs w:val="24"/>
        </w:rPr>
        <w:t>funding will support the following deliverables (to commence in early 2022):</w:t>
      </w:r>
    </w:p>
    <w:p w14:paraId="30C7E7EA" w14:textId="39411EF3" w:rsidR="000057D2" w:rsidRPr="001D704A" w:rsidRDefault="000057D2"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 xml:space="preserve">100 schools across Australia </w:t>
      </w:r>
      <w:r w:rsidR="00213480" w:rsidRPr="001D704A">
        <w:rPr>
          <w:rFonts w:ascii="Times New Roman" w:hAnsi="Times New Roman"/>
          <w:iCs/>
          <w:color w:val="000000" w:themeColor="text1"/>
          <w:sz w:val="24"/>
          <w:szCs w:val="24"/>
        </w:rPr>
        <w:t xml:space="preserve">(with a reach of at least 50,000 students) </w:t>
      </w:r>
      <w:r w:rsidRPr="001D704A">
        <w:rPr>
          <w:rFonts w:ascii="Times New Roman" w:hAnsi="Times New Roman"/>
          <w:iCs/>
          <w:color w:val="000000" w:themeColor="text1"/>
          <w:sz w:val="24"/>
          <w:szCs w:val="24"/>
        </w:rPr>
        <w:t xml:space="preserve">will participate in </w:t>
      </w:r>
      <w:r w:rsidR="00213480" w:rsidRPr="001D704A">
        <w:rPr>
          <w:rFonts w:ascii="Times New Roman" w:hAnsi="Times New Roman"/>
          <w:iCs/>
          <w:color w:val="000000" w:themeColor="text1"/>
          <w:sz w:val="24"/>
          <w:szCs w:val="24"/>
        </w:rPr>
        <w:t>the</w:t>
      </w:r>
      <w:r w:rsidRPr="001D704A">
        <w:rPr>
          <w:rFonts w:ascii="Times New Roman" w:hAnsi="Times New Roman"/>
          <w:iCs/>
          <w:color w:val="000000" w:themeColor="text1"/>
          <w:sz w:val="24"/>
          <w:szCs w:val="24"/>
        </w:rPr>
        <w:t xml:space="preserve"> Intercultural Understanding Partnership (ICUP), which provides grants and advice to school communities to transform their school cult</w:t>
      </w:r>
      <w:r w:rsidR="00A550AB" w:rsidRPr="001D704A">
        <w:rPr>
          <w:rFonts w:ascii="Times New Roman" w:hAnsi="Times New Roman"/>
          <w:iCs/>
          <w:color w:val="000000" w:themeColor="text1"/>
          <w:sz w:val="24"/>
          <w:szCs w:val="24"/>
        </w:rPr>
        <w:t>ures with place</w:t>
      </w:r>
      <w:r w:rsidR="00213480" w:rsidRPr="001D704A">
        <w:rPr>
          <w:rFonts w:ascii="Times New Roman" w:hAnsi="Times New Roman"/>
          <w:iCs/>
          <w:color w:val="000000" w:themeColor="text1"/>
          <w:sz w:val="24"/>
          <w:szCs w:val="24"/>
        </w:rPr>
        <w:noBreakHyphen/>
      </w:r>
      <w:r w:rsidR="00A550AB" w:rsidRPr="001D704A">
        <w:rPr>
          <w:rFonts w:ascii="Times New Roman" w:hAnsi="Times New Roman"/>
          <w:iCs/>
          <w:color w:val="000000" w:themeColor="text1"/>
          <w:sz w:val="24"/>
          <w:szCs w:val="24"/>
        </w:rPr>
        <w:t>based solutions;</w:t>
      </w:r>
    </w:p>
    <w:p w14:paraId="0018C584" w14:textId="21298E69" w:rsidR="000057D2" w:rsidRPr="001D704A" w:rsidRDefault="000057D2"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15,000 students and parents will participate in cross-cultural programs that bring them in contact with p</w:t>
      </w:r>
      <w:r w:rsidR="00A550AB" w:rsidRPr="001D704A">
        <w:rPr>
          <w:rFonts w:ascii="Times New Roman" w:hAnsi="Times New Roman"/>
          <w:iCs/>
          <w:color w:val="000000" w:themeColor="text1"/>
          <w:sz w:val="24"/>
          <w:szCs w:val="24"/>
        </w:rPr>
        <w:t>eople from diverse backgrounds;</w:t>
      </w:r>
    </w:p>
    <w:p w14:paraId="515E13B2" w14:textId="592018F9" w:rsidR="000057D2" w:rsidRPr="001D704A" w:rsidRDefault="000057D2"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5</w:t>
      </w:r>
      <w:r w:rsidR="001355C5" w:rsidRPr="001D704A">
        <w:rPr>
          <w:rFonts w:ascii="Times New Roman" w:hAnsi="Times New Roman"/>
          <w:iCs/>
          <w:color w:val="000000" w:themeColor="text1"/>
          <w:sz w:val="24"/>
          <w:szCs w:val="24"/>
        </w:rPr>
        <w:t>,</w:t>
      </w:r>
      <w:r w:rsidRPr="001D704A">
        <w:rPr>
          <w:rFonts w:ascii="Times New Roman" w:hAnsi="Times New Roman"/>
          <w:iCs/>
          <w:color w:val="000000" w:themeColor="text1"/>
          <w:sz w:val="24"/>
          <w:szCs w:val="24"/>
        </w:rPr>
        <w:t>000 teachers (includi</w:t>
      </w:r>
      <w:r w:rsidR="00A550AB" w:rsidRPr="001D704A">
        <w:rPr>
          <w:rFonts w:ascii="Times New Roman" w:hAnsi="Times New Roman"/>
          <w:iCs/>
          <w:color w:val="000000" w:themeColor="text1"/>
          <w:sz w:val="24"/>
          <w:szCs w:val="24"/>
        </w:rPr>
        <w:t>ng pre-service teachers in u</w:t>
      </w:r>
      <w:r w:rsidRPr="001D704A">
        <w:rPr>
          <w:rFonts w:ascii="Times New Roman" w:hAnsi="Times New Roman"/>
          <w:iCs/>
          <w:color w:val="000000" w:themeColor="text1"/>
          <w:sz w:val="24"/>
          <w:szCs w:val="24"/>
        </w:rPr>
        <w:t>niversities) will participa</w:t>
      </w:r>
      <w:r w:rsidR="00A550AB" w:rsidRPr="001D704A">
        <w:rPr>
          <w:rFonts w:ascii="Times New Roman" w:hAnsi="Times New Roman"/>
          <w:iCs/>
          <w:color w:val="000000" w:themeColor="text1"/>
          <w:sz w:val="24"/>
          <w:szCs w:val="24"/>
        </w:rPr>
        <w:t xml:space="preserve">te in professional development; </w:t>
      </w:r>
    </w:p>
    <w:p w14:paraId="21267D17" w14:textId="77777777" w:rsidR="000057D2" w:rsidRPr="001D704A" w:rsidRDefault="00A550AB"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a</w:t>
      </w:r>
      <w:r w:rsidR="000057D2" w:rsidRPr="001D704A">
        <w:rPr>
          <w:rFonts w:ascii="Times New Roman" w:hAnsi="Times New Roman"/>
          <w:iCs/>
          <w:color w:val="000000" w:themeColor="text1"/>
          <w:sz w:val="24"/>
          <w:szCs w:val="24"/>
        </w:rPr>
        <w:t xml:space="preserve"> National Award for Excellence will be established to recognise 50 hi</w:t>
      </w:r>
      <w:r w:rsidRPr="001D704A">
        <w:rPr>
          <w:rFonts w:ascii="Times New Roman" w:hAnsi="Times New Roman"/>
          <w:iCs/>
          <w:color w:val="000000" w:themeColor="text1"/>
          <w:sz w:val="24"/>
          <w:szCs w:val="24"/>
        </w:rPr>
        <w:t>gh school student champions of ‘unity citizenship’</w:t>
      </w:r>
      <w:r w:rsidR="000057D2" w:rsidRPr="001D704A">
        <w:rPr>
          <w:rFonts w:ascii="Times New Roman" w:hAnsi="Times New Roman"/>
          <w:iCs/>
          <w:color w:val="000000" w:themeColor="text1"/>
          <w:sz w:val="24"/>
          <w:szCs w:val="24"/>
        </w:rPr>
        <w:t xml:space="preserve"> and 30 teachers, te</w:t>
      </w:r>
      <w:r w:rsidRPr="001D704A">
        <w:rPr>
          <w:rFonts w:ascii="Times New Roman" w:hAnsi="Times New Roman"/>
          <w:iCs/>
          <w:color w:val="000000" w:themeColor="text1"/>
          <w:sz w:val="24"/>
          <w:szCs w:val="24"/>
        </w:rPr>
        <w:t xml:space="preserve">ams, or schools; </w:t>
      </w:r>
    </w:p>
    <w:p w14:paraId="5C99B245" w14:textId="77777777" w:rsidR="000057D2" w:rsidRPr="001D704A" w:rsidRDefault="00A550AB"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fo</w:t>
      </w:r>
      <w:r w:rsidR="000057D2" w:rsidRPr="001D704A">
        <w:rPr>
          <w:rFonts w:ascii="Times New Roman" w:hAnsi="Times New Roman"/>
          <w:iCs/>
          <w:color w:val="000000" w:themeColor="text1"/>
          <w:sz w:val="24"/>
          <w:szCs w:val="24"/>
        </w:rPr>
        <w:t>ur annual youth-led, religious and political leaders summits (one each year from 2022 to 2025) will enable students from different schools across the country to meet and discuss issues of identity, inclusion and societal cohesion with pol</w:t>
      </w:r>
      <w:r w:rsidRPr="001D704A">
        <w:rPr>
          <w:rFonts w:ascii="Times New Roman" w:hAnsi="Times New Roman"/>
          <w:iCs/>
          <w:color w:val="000000" w:themeColor="text1"/>
          <w:sz w:val="24"/>
          <w:szCs w:val="24"/>
        </w:rPr>
        <w:t xml:space="preserve">iticians and community leaders; </w:t>
      </w:r>
    </w:p>
    <w:p w14:paraId="0F58F5E2" w14:textId="77777777" w:rsidR="000057D2" w:rsidRPr="001D704A" w:rsidRDefault="00A550AB"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t>s</w:t>
      </w:r>
      <w:r w:rsidR="000057D2" w:rsidRPr="001D704A">
        <w:rPr>
          <w:rFonts w:ascii="Times New Roman" w:hAnsi="Times New Roman"/>
          <w:iCs/>
          <w:color w:val="000000" w:themeColor="text1"/>
          <w:sz w:val="24"/>
          <w:szCs w:val="24"/>
        </w:rPr>
        <w:t>tudents and teachers across Australia (40,000 minimum) will participate in online programs, drawing on learnings and resources</w:t>
      </w:r>
      <w:r w:rsidRPr="001D704A">
        <w:rPr>
          <w:rFonts w:ascii="Times New Roman" w:hAnsi="Times New Roman"/>
          <w:iCs/>
          <w:color w:val="000000" w:themeColor="text1"/>
          <w:sz w:val="24"/>
          <w:szCs w:val="24"/>
        </w:rPr>
        <w:t xml:space="preserve"> from the above activities; and </w:t>
      </w:r>
    </w:p>
    <w:p w14:paraId="62DD9965" w14:textId="77777777" w:rsidR="000057D2" w:rsidRPr="001D704A" w:rsidRDefault="00A550AB" w:rsidP="00123EB1">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1D704A">
        <w:rPr>
          <w:rFonts w:ascii="Times New Roman" w:hAnsi="Times New Roman"/>
          <w:iCs/>
          <w:color w:val="000000" w:themeColor="text1"/>
          <w:sz w:val="24"/>
          <w:szCs w:val="24"/>
        </w:rPr>
        <w:lastRenderedPageBreak/>
        <w:t>a</w:t>
      </w:r>
      <w:r w:rsidR="000057D2" w:rsidRPr="001D704A">
        <w:rPr>
          <w:rFonts w:ascii="Times New Roman" w:hAnsi="Times New Roman"/>
          <w:iCs/>
          <w:color w:val="000000" w:themeColor="text1"/>
          <w:sz w:val="24"/>
          <w:szCs w:val="24"/>
        </w:rPr>
        <w:t xml:space="preserve">n action research project consisting of </w:t>
      </w:r>
      <w:r w:rsidRPr="001D704A">
        <w:rPr>
          <w:rFonts w:ascii="Times New Roman" w:hAnsi="Times New Roman"/>
          <w:iCs/>
          <w:color w:val="000000" w:themeColor="text1"/>
          <w:sz w:val="24"/>
          <w:szCs w:val="24"/>
        </w:rPr>
        <w:t>the above activities</w:t>
      </w:r>
      <w:r w:rsidR="000057D2" w:rsidRPr="001D704A">
        <w:rPr>
          <w:rFonts w:ascii="Times New Roman" w:hAnsi="Times New Roman"/>
          <w:iCs/>
          <w:color w:val="000000" w:themeColor="text1"/>
          <w:sz w:val="24"/>
          <w:szCs w:val="24"/>
        </w:rPr>
        <w:t xml:space="preserve"> and academic work will inform the practice of fostering social cohesion. </w:t>
      </w:r>
    </w:p>
    <w:p w14:paraId="6A529DAB" w14:textId="77777777" w:rsidR="000057D2" w:rsidRPr="001D704A" w:rsidRDefault="000057D2" w:rsidP="00123EB1">
      <w:pPr>
        <w:rPr>
          <w:rFonts w:ascii="Times New Roman" w:hAnsi="Times New Roman" w:cs="Times New Roman"/>
          <w:iCs/>
          <w:color w:val="000000" w:themeColor="text1"/>
          <w:sz w:val="24"/>
          <w:szCs w:val="24"/>
        </w:rPr>
      </w:pPr>
    </w:p>
    <w:p w14:paraId="54DF142E" w14:textId="33BCF0DA" w:rsidR="000057D2" w:rsidRPr="001D704A" w:rsidRDefault="000057D2"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Schools across all states and territories will be invited to participate in the </w:t>
      </w:r>
      <w:r w:rsidR="0030029F"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xml:space="preserve">chool </w:t>
      </w:r>
      <w:r w:rsidR="00A550AB" w:rsidRPr="001D704A">
        <w:rPr>
          <w:rFonts w:ascii="Times New Roman" w:hAnsi="Times New Roman" w:cs="Times New Roman"/>
          <w:iCs/>
          <w:color w:val="000000" w:themeColor="text1"/>
          <w:sz w:val="24"/>
          <w:szCs w:val="24"/>
        </w:rPr>
        <w:t>ICUP</w:t>
      </w:r>
      <w:r w:rsidRPr="001D704A">
        <w:rPr>
          <w:rFonts w:ascii="Times New Roman" w:hAnsi="Times New Roman" w:cs="Times New Roman"/>
          <w:iCs/>
          <w:color w:val="000000" w:themeColor="text1"/>
          <w:sz w:val="24"/>
          <w:szCs w:val="24"/>
        </w:rPr>
        <w:t xml:space="preserve">. TFH </w:t>
      </w:r>
      <w:r w:rsidR="00342954" w:rsidRPr="001D704A">
        <w:rPr>
          <w:rFonts w:ascii="Times New Roman" w:hAnsi="Times New Roman" w:cs="Times New Roman"/>
          <w:iCs/>
          <w:color w:val="000000" w:themeColor="text1"/>
          <w:sz w:val="24"/>
          <w:szCs w:val="24"/>
        </w:rPr>
        <w:t xml:space="preserve">will </w:t>
      </w:r>
      <w:r w:rsidRPr="001D704A">
        <w:rPr>
          <w:rFonts w:ascii="Times New Roman" w:hAnsi="Times New Roman" w:cs="Times New Roman"/>
          <w:iCs/>
          <w:color w:val="000000" w:themeColor="text1"/>
          <w:sz w:val="24"/>
          <w:szCs w:val="24"/>
        </w:rPr>
        <w:t>assess the</w:t>
      </w:r>
      <w:r w:rsidR="00342954" w:rsidRPr="001D704A">
        <w:rPr>
          <w:rFonts w:ascii="Times New Roman" w:hAnsi="Times New Roman" w:cs="Times New Roman"/>
          <w:iCs/>
          <w:color w:val="000000" w:themeColor="text1"/>
          <w:sz w:val="24"/>
          <w:szCs w:val="24"/>
        </w:rPr>
        <w:t>ir</w:t>
      </w:r>
      <w:r w:rsidRPr="001D704A">
        <w:rPr>
          <w:rFonts w:ascii="Times New Roman" w:hAnsi="Times New Roman" w:cs="Times New Roman"/>
          <w:iCs/>
          <w:color w:val="000000" w:themeColor="text1"/>
          <w:sz w:val="24"/>
          <w:szCs w:val="24"/>
        </w:rPr>
        <w:t xml:space="preserve"> expressions of interest based on both need and potential benefit, prioritising projects that would facilitate sustained long-term cultural change within their school community. A TFH ICUP facilitator in the relevant state or territory </w:t>
      </w:r>
      <w:r w:rsidR="00342954" w:rsidRPr="001D704A">
        <w:rPr>
          <w:rFonts w:ascii="Times New Roman" w:hAnsi="Times New Roman" w:cs="Times New Roman"/>
          <w:iCs/>
          <w:color w:val="000000" w:themeColor="text1"/>
          <w:sz w:val="24"/>
          <w:szCs w:val="24"/>
        </w:rPr>
        <w:t xml:space="preserve">will </w:t>
      </w:r>
      <w:r w:rsidRPr="001D704A">
        <w:rPr>
          <w:rFonts w:ascii="Times New Roman" w:hAnsi="Times New Roman" w:cs="Times New Roman"/>
          <w:iCs/>
          <w:color w:val="000000" w:themeColor="text1"/>
          <w:sz w:val="24"/>
          <w:szCs w:val="24"/>
        </w:rPr>
        <w:t>work closely with the selected school community over 12-18 months to ensure project aims are realised.</w:t>
      </w:r>
    </w:p>
    <w:p w14:paraId="0D160061" w14:textId="77777777" w:rsidR="00A550AB" w:rsidRPr="001D704A" w:rsidRDefault="00A550AB" w:rsidP="00123EB1">
      <w:pPr>
        <w:rPr>
          <w:rFonts w:ascii="Times New Roman" w:hAnsi="Times New Roman" w:cs="Times New Roman"/>
          <w:iCs/>
          <w:color w:val="000000" w:themeColor="text1"/>
          <w:sz w:val="24"/>
          <w:szCs w:val="24"/>
        </w:rPr>
      </w:pPr>
    </w:p>
    <w:p w14:paraId="201950A6" w14:textId="4D5920A1" w:rsidR="000057D2" w:rsidRPr="001D704A" w:rsidRDefault="000057D2"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To assist in </w:t>
      </w:r>
      <w:r w:rsidR="00342954" w:rsidRPr="001D704A">
        <w:rPr>
          <w:rFonts w:ascii="Times New Roman" w:hAnsi="Times New Roman" w:cs="Times New Roman"/>
          <w:iCs/>
          <w:color w:val="000000" w:themeColor="text1"/>
          <w:sz w:val="24"/>
          <w:szCs w:val="24"/>
        </w:rPr>
        <w:t xml:space="preserve">the </w:t>
      </w:r>
      <w:r w:rsidRPr="001D704A">
        <w:rPr>
          <w:rFonts w:ascii="Times New Roman" w:hAnsi="Times New Roman" w:cs="Times New Roman"/>
          <w:iCs/>
          <w:color w:val="000000" w:themeColor="text1"/>
          <w:sz w:val="24"/>
          <w:szCs w:val="24"/>
        </w:rPr>
        <w:t xml:space="preserve">program delivery, TFH </w:t>
      </w:r>
      <w:r w:rsidR="00342954" w:rsidRPr="001D704A">
        <w:rPr>
          <w:rFonts w:ascii="Times New Roman" w:hAnsi="Times New Roman" w:cs="Times New Roman"/>
          <w:iCs/>
          <w:color w:val="000000" w:themeColor="text1"/>
          <w:sz w:val="24"/>
          <w:szCs w:val="24"/>
        </w:rPr>
        <w:t xml:space="preserve">will </w:t>
      </w:r>
      <w:r w:rsidRPr="001D704A">
        <w:rPr>
          <w:rFonts w:ascii="Times New Roman" w:hAnsi="Times New Roman" w:cs="Times New Roman"/>
          <w:iCs/>
          <w:color w:val="000000" w:themeColor="text1"/>
          <w:sz w:val="24"/>
          <w:szCs w:val="24"/>
        </w:rPr>
        <w:t>partner with school communities and other like</w:t>
      </w:r>
      <w:r w:rsidR="00342954" w:rsidRPr="001D704A">
        <w:rPr>
          <w:rFonts w:ascii="Times New Roman" w:hAnsi="Times New Roman" w:cs="Times New Roman"/>
          <w:iCs/>
          <w:color w:val="000000" w:themeColor="text1"/>
          <w:sz w:val="24"/>
          <w:szCs w:val="24"/>
        </w:rPr>
        <w:noBreakHyphen/>
      </w:r>
      <w:r w:rsidRPr="001D704A">
        <w:rPr>
          <w:rFonts w:ascii="Times New Roman" w:hAnsi="Times New Roman" w:cs="Times New Roman"/>
          <w:iCs/>
          <w:color w:val="000000" w:themeColor="text1"/>
          <w:sz w:val="24"/>
          <w:szCs w:val="24"/>
        </w:rPr>
        <w:t>minded organisations, such as the Jewish Christian Muslim Association in Victoria, the Abraham Institute in South Australia, the Museum of Freedom and Tolerance in Western Australia</w:t>
      </w:r>
      <w:r w:rsidR="0030029F"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and Scripture Union in Queensland.</w:t>
      </w:r>
    </w:p>
    <w:p w14:paraId="0637A7C1" w14:textId="77777777" w:rsidR="00A550AB" w:rsidRPr="001D704A" w:rsidRDefault="00A550AB" w:rsidP="00123EB1">
      <w:pPr>
        <w:rPr>
          <w:rFonts w:ascii="Times New Roman" w:hAnsi="Times New Roman" w:cs="Times New Roman"/>
          <w:bCs/>
          <w:iCs/>
          <w:color w:val="000000" w:themeColor="text1"/>
          <w:sz w:val="24"/>
          <w:szCs w:val="24"/>
        </w:rPr>
      </w:pPr>
    </w:p>
    <w:p w14:paraId="202B5A7A" w14:textId="77777777" w:rsidR="000057D2" w:rsidRPr="001D704A" w:rsidRDefault="000057D2"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The program will be delivered to schools, students and parents across metropolitan, regional and remote Australia to support social cohesion.</w:t>
      </w:r>
      <w:r w:rsidR="004A69CE" w:rsidRPr="001D704A">
        <w:rPr>
          <w:rFonts w:ascii="Times New Roman" w:hAnsi="Times New Roman" w:cs="Times New Roman"/>
          <w:bCs/>
          <w:iCs/>
          <w:color w:val="000000" w:themeColor="text1"/>
          <w:sz w:val="24"/>
          <w:szCs w:val="24"/>
        </w:rPr>
        <w:t xml:space="preserve"> </w:t>
      </w:r>
      <w:r w:rsidRPr="001D704A">
        <w:rPr>
          <w:rFonts w:ascii="Times New Roman" w:hAnsi="Times New Roman" w:cs="Times New Roman"/>
          <w:bCs/>
          <w:iCs/>
          <w:color w:val="000000" w:themeColor="text1"/>
          <w:sz w:val="24"/>
          <w:szCs w:val="24"/>
        </w:rPr>
        <w:t>While the terms of the grant are yet to be agreed, the program has historically identified groups in need who may be prioritised for support. These include:</w:t>
      </w:r>
    </w:p>
    <w:p w14:paraId="3A3AB91C" w14:textId="77777777" w:rsidR="000057D2" w:rsidRPr="001D704A" w:rsidRDefault="004A69CE"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s</w:t>
      </w:r>
      <w:r w:rsidR="000057D2" w:rsidRPr="001D704A">
        <w:rPr>
          <w:rFonts w:ascii="Times New Roman" w:hAnsi="Times New Roman" w:cs="Times New Roman"/>
          <w:iCs/>
          <w:color w:val="000000" w:themeColor="text1"/>
          <w:sz w:val="24"/>
          <w:szCs w:val="24"/>
        </w:rPr>
        <w:t>chool communities in regional and remote areas;</w:t>
      </w:r>
    </w:p>
    <w:p w14:paraId="79DC4940" w14:textId="42F33B96" w:rsidR="000057D2" w:rsidRPr="001D704A" w:rsidRDefault="00342954"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school </w:t>
      </w:r>
      <w:r w:rsidR="004A69CE" w:rsidRPr="001D704A">
        <w:rPr>
          <w:rFonts w:ascii="Times New Roman" w:hAnsi="Times New Roman" w:cs="Times New Roman"/>
          <w:iCs/>
          <w:color w:val="000000" w:themeColor="text1"/>
          <w:sz w:val="24"/>
          <w:szCs w:val="24"/>
        </w:rPr>
        <w:t>c</w:t>
      </w:r>
      <w:r w:rsidR="000057D2" w:rsidRPr="001D704A">
        <w:rPr>
          <w:rFonts w:ascii="Times New Roman" w:hAnsi="Times New Roman" w:cs="Times New Roman"/>
          <w:iCs/>
          <w:color w:val="000000" w:themeColor="text1"/>
          <w:sz w:val="24"/>
          <w:szCs w:val="24"/>
        </w:rPr>
        <w:t xml:space="preserve">ommunities in geographical areas identified as being of greatest need; </w:t>
      </w:r>
    </w:p>
    <w:p w14:paraId="12F3138A" w14:textId="77777777" w:rsidR="000057D2" w:rsidRPr="001D704A" w:rsidRDefault="004A69CE"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s</w:t>
      </w:r>
      <w:r w:rsidR="000057D2" w:rsidRPr="001D704A">
        <w:rPr>
          <w:rFonts w:ascii="Times New Roman" w:hAnsi="Times New Roman" w:cs="Times New Roman"/>
          <w:iCs/>
          <w:color w:val="000000" w:themeColor="text1"/>
          <w:sz w:val="24"/>
          <w:szCs w:val="24"/>
        </w:rPr>
        <w:t>chool communities in areas of low diversity; and</w:t>
      </w:r>
    </w:p>
    <w:p w14:paraId="12414F35" w14:textId="1DC94DBD" w:rsidR="000057D2" w:rsidRPr="001D704A" w:rsidRDefault="004A69CE"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s</w:t>
      </w:r>
      <w:r w:rsidR="000057D2" w:rsidRPr="001D704A">
        <w:rPr>
          <w:rFonts w:ascii="Times New Roman" w:hAnsi="Times New Roman" w:cs="Times New Roman"/>
          <w:iCs/>
          <w:color w:val="000000" w:themeColor="text1"/>
          <w:sz w:val="24"/>
          <w:szCs w:val="24"/>
        </w:rPr>
        <w:t xml:space="preserve">chool communities with high refugee or migrant population who are at risk of feeling disconnected from </w:t>
      </w:r>
      <w:r w:rsidR="00342954" w:rsidRPr="001D704A">
        <w:rPr>
          <w:rFonts w:ascii="Times New Roman" w:hAnsi="Times New Roman" w:cs="Times New Roman"/>
          <w:iCs/>
          <w:color w:val="000000" w:themeColor="text1"/>
          <w:sz w:val="24"/>
          <w:szCs w:val="24"/>
        </w:rPr>
        <w:t xml:space="preserve">the </w:t>
      </w:r>
      <w:r w:rsidR="000057D2" w:rsidRPr="001D704A">
        <w:rPr>
          <w:rFonts w:ascii="Times New Roman" w:hAnsi="Times New Roman" w:cs="Times New Roman"/>
          <w:iCs/>
          <w:color w:val="000000" w:themeColor="text1"/>
          <w:sz w:val="24"/>
          <w:szCs w:val="24"/>
        </w:rPr>
        <w:t xml:space="preserve">Australian society and experiencing discrimination. </w:t>
      </w:r>
    </w:p>
    <w:p w14:paraId="6E884EF6" w14:textId="77777777" w:rsidR="004A69CE" w:rsidRPr="001D704A" w:rsidRDefault="004A69CE" w:rsidP="00123EB1">
      <w:pPr>
        <w:rPr>
          <w:rFonts w:ascii="Times New Roman" w:hAnsi="Times New Roman" w:cs="Times New Roman"/>
          <w:iCs/>
          <w:color w:val="000000" w:themeColor="text1"/>
          <w:sz w:val="24"/>
          <w:szCs w:val="24"/>
        </w:rPr>
      </w:pPr>
      <w:bookmarkStart w:id="0" w:name="_Hlk57373339"/>
      <w:r w:rsidRPr="001D704A">
        <w:rPr>
          <w:rFonts w:ascii="Times New Roman" w:hAnsi="Times New Roman" w:cs="Times New Roman"/>
          <w:iCs/>
          <w:color w:val="000000" w:themeColor="text1"/>
          <w:sz w:val="24"/>
          <w:szCs w:val="24"/>
        </w:rPr>
        <w:t xml:space="preserve"> </w:t>
      </w:r>
    </w:p>
    <w:p w14:paraId="7E4A21BC" w14:textId="60113FAF" w:rsidR="00D7448D" w:rsidRPr="001D704A" w:rsidRDefault="00D7448D"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 xml:space="preserve">Government funding will be supplemented by community in-kind contributions (one dollar in cash or in-kind for every two dollars of </w:t>
      </w:r>
      <w:r w:rsidR="00342954" w:rsidRPr="001D704A">
        <w:rPr>
          <w:rFonts w:ascii="Times New Roman" w:hAnsi="Times New Roman" w:cs="Times New Roman"/>
          <w:bCs/>
          <w:iCs/>
          <w:color w:val="000000" w:themeColor="text1"/>
          <w:sz w:val="24"/>
          <w:szCs w:val="24"/>
        </w:rPr>
        <w:t>g</w:t>
      </w:r>
      <w:r w:rsidRPr="001D704A">
        <w:rPr>
          <w:rFonts w:ascii="Times New Roman" w:hAnsi="Times New Roman" w:cs="Times New Roman"/>
          <w:bCs/>
          <w:iCs/>
          <w:color w:val="000000" w:themeColor="text1"/>
          <w:sz w:val="24"/>
          <w:szCs w:val="24"/>
        </w:rPr>
        <w:t>overnment funding), allowing TFH to expand its existing Australian Curriculum</w:t>
      </w:r>
      <w:r w:rsidR="00342954" w:rsidRPr="001D704A">
        <w:rPr>
          <w:rFonts w:ascii="Times New Roman" w:hAnsi="Times New Roman" w:cs="Times New Roman"/>
          <w:bCs/>
          <w:iCs/>
          <w:color w:val="000000" w:themeColor="text1"/>
          <w:sz w:val="24"/>
          <w:szCs w:val="24"/>
        </w:rPr>
        <w:t xml:space="preserve"> </w:t>
      </w:r>
      <w:r w:rsidRPr="001D704A">
        <w:rPr>
          <w:rFonts w:ascii="Times New Roman" w:hAnsi="Times New Roman" w:cs="Times New Roman"/>
          <w:bCs/>
          <w:iCs/>
          <w:color w:val="000000" w:themeColor="text1"/>
          <w:sz w:val="24"/>
          <w:szCs w:val="24"/>
        </w:rPr>
        <w:t>aligned programs and support more schools and organisations.</w:t>
      </w:r>
    </w:p>
    <w:p w14:paraId="7CFD1890" w14:textId="77777777" w:rsidR="00D7448D" w:rsidRPr="001D704A" w:rsidRDefault="00D7448D" w:rsidP="00123EB1">
      <w:pPr>
        <w:rPr>
          <w:rFonts w:ascii="Times New Roman" w:hAnsi="Times New Roman" w:cs="Times New Roman"/>
          <w:iCs/>
          <w:color w:val="000000" w:themeColor="text1"/>
          <w:sz w:val="24"/>
          <w:szCs w:val="24"/>
        </w:rPr>
      </w:pPr>
    </w:p>
    <w:p w14:paraId="14A4427A" w14:textId="7ECEC100" w:rsidR="004A69CE" w:rsidRPr="001D704A" w:rsidRDefault="004A69CE"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grant to TFH will be </w:t>
      </w:r>
      <w:r w:rsidR="002E77BC" w:rsidRPr="001D704A">
        <w:rPr>
          <w:rFonts w:ascii="Times New Roman" w:hAnsi="Times New Roman" w:cs="Times New Roman"/>
          <w:iCs/>
          <w:color w:val="000000" w:themeColor="text1"/>
          <w:sz w:val="24"/>
          <w:szCs w:val="24"/>
        </w:rPr>
        <w:t>administered</w:t>
      </w:r>
      <w:r w:rsidRPr="001D704A">
        <w:rPr>
          <w:rFonts w:ascii="Times New Roman" w:hAnsi="Times New Roman" w:cs="Times New Roman"/>
          <w:iCs/>
          <w:color w:val="000000" w:themeColor="text1"/>
          <w:sz w:val="24"/>
          <w:szCs w:val="24"/>
        </w:rPr>
        <w:t xml:space="preserve"> in accordance with the Commonwealth </w:t>
      </w:r>
      <w:r w:rsidR="002E77BC" w:rsidRPr="001D704A">
        <w:rPr>
          <w:rFonts w:ascii="Times New Roman" w:hAnsi="Times New Roman" w:cs="Times New Roman"/>
          <w:iCs/>
          <w:color w:val="000000" w:themeColor="text1"/>
          <w:sz w:val="24"/>
          <w:szCs w:val="24"/>
        </w:rPr>
        <w:t>resource management</w:t>
      </w:r>
      <w:r w:rsidRPr="001D704A">
        <w:rPr>
          <w:rFonts w:ascii="Times New Roman" w:hAnsi="Times New Roman" w:cs="Times New Roman"/>
          <w:iCs/>
          <w:color w:val="000000" w:themeColor="text1"/>
          <w:sz w:val="24"/>
          <w:szCs w:val="24"/>
        </w:rPr>
        <w:t xml:space="preserve"> framework</w:t>
      </w:r>
      <w:r w:rsidR="007F7D20" w:rsidRPr="001D704A">
        <w:rPr>
          <w:rFonts w:ascii="Times New Roman" w:hAnsi="Times New Roman" w:cs="Times New Roman"/>
          <w:sz w:val="24"/>
          <w:szCs w:val="24"/>
        </w:rPr>
        <w:t>. In addition to the grant opportunity guidelines developed in accordance with the CGRGs and the publication of the grant awarded on the GrantConnect website, this will include compliance with</w:t>
      </w:r>
      <w:r w:rsidRPr="001D704A">
        <w:rPr>
          <w:rFonts w:ascii="Times New Roman" w:hAnsi="Times New Roman" w:cs="Times New Roman"/>
          <w:iCs/>
          <w:color w:val="000000" w:themeColor="text1"/>
          <w:sz w:val="24"/>
          <w:szCs w:val="24"/>
        </w:rPr>
        <w:t xml:space="preserve"> </w:t>
      </w:r>
      <w:r w:rsidR="002E77BC" w:rsidRPr="001D704A">
        <w:rPr>
          <w:rFonts w:ascii="Times New Roman" w:hAnsi="Times New Roman" w:cs="Times New Roman"/>
          <w:iCs/>
          <w:color w:val="000000" w:themeColor="text1"/>
          <w:sz w:val="24"/>
          <w:szCs w:val="24"/>
        </w:rPr>
        <w:t>the</w:t>
      </w:r>
      <w:r w:rsidR="002E77BC" w:rsidRPr="001D704A">
        <w:rPr>
          <w:rFonts w:ascii="Times New Roman" w:hAnsi="Times New Roman" w:cs="Times New Roman"/>
          <w:i/>
          <w:iCs/>
          <w:color w:val="000000" w:themeColor="text1"/>
          <w:sz w:val="24"/>
          <w:szCs w:val="24"/>
        </w:rPr>
        <w:t xml:space="preserve"> </w:t>
      </w:r>
      <w:r w:rsidR="002E77BC" w:rsidRPr="001D704A">
        <w:rPr>
          <w:rFonts w:ascii="Times New Roman" w:hAnsi="Times New Roman" w:cs="Times New Roman"/>
          <w:iCs/>
          <w:color w:val="000000" w:themeColor="text1"/>
          <w:sz w:val="24"/>
          <w:szCs w:val="24"/>
        </w:rPr>
        <w:t xml:space="preserve">PGPA Act, </w:t>
      </w:r>
      <w:r w:rsidRPr="001D704A">
        <w:rPr>
          <w:rFonts w:ascii="Times New Roman" w:hAnsi="Times New Roman" w:cs="Times New Roman"/>
          <w:iCs/>
          <w:color w:val="000000" w:themeColor="text1"/>
          <w:sz w:val="24"/>
          <w:szCs w:val="24"/>
        </w:rPr>
        <w:t xml:space="preserve">the </w:t>
      </w:r>
      <w:r w:rsidR="00FC3041" w:rsidRPr="001D704A">
        <w:rPr>
          <w:rFonts w:ascii="Times New Roman" w:hAnsi="Times New Roman" w:cs="Times New Roman"/>
          <w:iCs/>
          <w:color w:val="000000" w:themeColor="text1"/>
          <w:sz w:val="24"/>
          <w:szCs w:val="24"/>
        </w:rPr>
        <w:t>CGRGs</w:t>
      </w:r>
      <w:r w:rsidR="002E77BC" w:rsidRPr="001D704A">
        <w:rPr>
          <w:rFonts w:ascii="Times New Roman" w:hAnsi="Times New Roman" w:cs="Times New Roman"/>
          <w:iCs/>
          <w:color w:val="000000" w:themeColor="text1"/>
          <w:sz w:val="24"/>
          <w:szCs w:val="24"/>
        </w:rPr>
        <w:t xml:space="preserve">, </w:t>
      </w:r>
      <w:r w:rsidR="00E119D4" w:rsidRPr="001D704A">
        <w:rPr>
          <w:rFonts w:ascii="Times New Roman" w:hAnsi="Times New Roman" w:cs="Times New Roman"/>
          <w:iCs/>
          <w:color w:val="000000" w:themeColor="text1"/>
          <w:sz w:val="24"/>
          <w:szCs w:val="24"/>
        </w:rPr>
        <w:t xml:space="preserve">the </w:t>
      </w:r>
      <w:r w:rsidR="00304BA6" w:rsidRPr="001D704A">
        <w:rPr>
          <w:rFonts w:ascii="Times New Roman" w:hAnsi="Times New Roman" w:cs="Times New Roman"/>
          <w:iCs/>
          <w:color w:val="000000" w:themeColor="text1"/>
          <w:sz w:val="24"/>
          <w:szCs w:val="24"/>
        </w:rPr>
        <w:t>d</w:t>
      </w:r>
      <w:r w:rsidRPr="001D704A">
        <w:rPr>
          <w:rFonts w:ascii="Times New Roman" w:hAnsi="Times New Roman" w:cs="Times New Roman"/>
          <w:iCs/>
          <w:color w:val="000000" w:themeColor="text1"/>
          <w:sz w:val="24"/>
          <w:szCs w:val="24"/>
        </w:rPr>
        <w:t xml:space="preserve">epartment’s </w:t>
      </w:r>
      <w:r w:rsidR="002E77BC" w:rsidRPr="001D704A">
        <w:rPr>
          <w:rFonts w:ascii="Times New Roman" w:hAnsi="Times New Roman" w:cs="Times New Roman"/>
          <w:iCs/>
          <w:color w:val="000000" w:themeColor="text1"/>
          <w:sz w:val="24"/>
          <w:szCs w:val="24"/>
        </w:rPr>
        <w:t>Accountable Authority</w:t>
      </w:r>
      <w:r w:rsidRPr="001D704A">
        <w:rPr>
          <w:rFonts w:ascii="Times New Roman" w:hAnsi="Times New Roman" w:cs="Times New Roman"/>
          <w:iCs/>
          <w:color w:val="000000" w:themeColor="text1"/>
          <w:sz w:val="24"/>
          <w:szCs w:val="24"/>
        </w:rPr>
        <w:t xml:space="preserve"> Instructions and </w:t>
      </w:r>
      <w:r w:rsidR="007E7EA5" w:rsidRPr="001D704A">
        <w:rPr>
          <w:rFonts w:ascii="Times New Roman" w:hAnsi="Times New Roman" w:cs="Times New Roman"/>
          <w:iCs/>
          <w:color w:val="000000" w:themeColor="text1"/>
          <w:sz w:val="24"/>
          <w:szCs w:val="24"/>
        </w:rPr>
        <w:t xml:space="preserve">any other </w:t>
      </w:r>
      <w:r w:rsidR="002E77BC" w:rsidRPr="001D704A">
        <w:rPr>
          <w:rFonts w:ascii="Times New Roman" w:hAnsi="Times New Roman" w:cs="Times New Roman"/>
          <w:iCs/>
          <w:color w:val="000000" w:themeColor="text1"/>
          <w:sz w:val="24"/>
          <w:szCs w:val="24"/>
        </w:rPr>
        <w:t>relevant financial d</w:t>
      </w:r>
      <w:r w:rsidRPr="001D704A">
        <w:rPr>
          <w:rFonts w:ascii="Times New Roman" w:hAnsi="Times New Roman" w:cs="Times New Roman"/>
          <w:iCs/>
          <w:color w:val="000000" w:themeColor="text1"/>
          <w:sz w:val="24"/>
          <w:szCs w:val="24"/>
        </w:rPr>
        <w:t>elegations.</w:t>
      </w:r>
    </w:p>
    <w:p w14:paraId="7C970707" w14:textId="77777777" w:rsidR="00D7448D" w:rsidRPr="001D704A" w:rsidRDefault="00D7448D" w:rsidP="00123EB1">
      <w:pPr>
        <w:rPr>
          <w:rFonts w:ascii="Times New Roman" w:hAnsi="Times New Roman" w:cs="Times New Roman"/>
          <w:iCs/>
          <w:color w:val="000000" w:themeColor="text1"/>
          <w:sz w:val="24"/>
          <w:szCs w:val="24"/>
        </w:rPr>
      </w:pPr>
    </w:p>
    <w:p w14:paraId="52DB7738" w14:textId="561214CC" w:rsidR="004A69CE" w:rsidRPr="001D704A" w:rsidRDefault="00227FB4"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decision </w:t>
      </w:r>
      <w:r w:rsidR="004A69CE" w:rsidRPr="001D704A">
        <w:rPr>
          <w:rFonts w:ascii="Times New Roman" w:hAnsi="Times New Roman" w:cs="Times New Roman"/>
          <w:iCs/>
          <w:color w:val="000000" w:themeColor="text1"/>
          <w:sz w:val="24"/>
          <w:szCs w:val="24"/>
        </w:rPr>
        <w:t xml:space="preserve">maker for the grant will be a </w:t>
      </w:r>
      <w:r w:rsidR="003200CA" w:rsidRPr="001D704A">
        <w:rPr>
          <w:rFonts w:ascii="Times New Roman" w:hAnsi="Times New Roman" w:cs="Times New Roman"/>
          <w:iCs/>
          <w:color w:val="000000" w:themeColor="text1"/>
          <w:sz w:val="24"/>
          <w:szCs w:val="24"/>
        </w:rPr>
        <w:t xml:space="preserve">departmental </w:t>
      </w:r>
      <w:r w:rsidR="004A69CE" w:rsidRPr="001D704A">
        <w:rPr>
          <w:rFonts w:ascii="Times New Roman" w:hAnsi="Times New Roman" w:cs="Times New Roman"/>
          <w:iCs/>
          <w:color w:val="000000" w:themeColor="text1"/>
          <w:sz w:val="24"/>
          <w:szCs w:val="24"/>
        </w:rPr>
        <w:t xml:space="preserve">delegate </w:t>
      </w:r>
      <w:r w:rsidR="006957C1" w:rsidRPr="001D704A">
        <w:rPr>
          <w:rFonts w:ascii="Times New Roman" w:hAnsi="Times New Roman" w:cs="Times New Roman"/>
          <w:iCs/>
          <w:color w:val="000000" w:themeColor="text1"/>
          <w:sz w:val="24"/>
          <w:szCs w:val="24"/>
        </w:rPr>
        <w:t>of the Secretary</w:t>
      </w:r>
      <w:r w:rsidR="002C1381" w:rsidRPr="001D704A">
        <w:rPr>
          <w:rFonts w:ascii="Times New Roman" w:hAnsi="Times New Roman" w:cs="Times New Roman"/>
          <w:iCs/>
          <w:color w:val="000000" w:themeColor="text1"/>
          <w:sz w:val="24"/>
          <w:szCs w:val="24"/>
        </w:rPr>
        <w:t xml:space="preserve"> of the department</w:t>
      </w:r>
      <w:r w:rsidR="004A69CE" w:rsidRPr="001D704A">
        <w:rPr>
          <w:rFonts w:ascii="Times New Roman" w:hAnsi="Times New Roman" w:cs="Times New Roman"/>
          <w:iCs/>
          <w:color w:val="000000" w:themeColor="text1"/>
          <w:sz w:val="24"/>
          <w:szCs w:val="24"/>
        </w:rPr>
        <w:t>.</w:t>
      </w:r>
      <w:r w:rsidR="003200CA" w:rsidRPr="001D704A">
        <w:rPr>
          <w:rFonts w:ascii="Times New Roman" w:hAnsi="Times New Roman" w:cs="Times New Roman"/>
          <w:iCs/>
          <w:color w:val="000000" w:themeColor="text1"/>
          <w:sz w:val="24"/>
          <w:szCs w:val="24"/>
        </w:rPr>
        <w:t xml:space="preserve"> </w:t>
      </w:r>
      <w:bookmarkEnd w:id="0"/>
      <w:r w:rsidR="004A69CE" w:rsidRPr="001D704A">
        <w:rPr>
          <w:rFonts w:ascii="Times New Roman" w:hAnsi="Times New Roman" w:cs="Times New Roman"/>
          <w:iCs/>
          <w:color w:val="000000" w:themeColor="text1"/>
          <w:sz w:val="24"/>
          <w:szCs w:val="24"/>
        </w:rPr>
        <w:t>Information about th</w:t>
      </w:r>
      <w:r w:rsidR="003200CA" w:rsidRPr="001D704A">
        <w:rPr>
          <w:rFonts w:ascii="Times New Roman" w:hAnsi="Times New Roman" w:cs="Times New Roman"/>
          <w:iCs/>
          <w:color w:val="000000" w:themeColor="text1"/>
          <w:sz w:val="24"/>
          <w:szCs w:val="24"/>
        </w:rPr>
        <w:t>is closed non-competitive</w:t>
      </w:r>
      <w:r w:rsidR="004A69CE" w:rsidRPr="001D704A">
        <w:rPr>
          <w:rFonts w:ascii="Times New Roman" w:hAnsi="Times New Roman" w:cs="Times New Roman"/>
          <w:iCs/>
          <w:color w:val="000000" w:themeColor="text1"/>
          <w:sz w:val="24"/>
          <w:szCs w:val="24"/>
        </w:rPr>
        <w:t xml:space="preserve"> grant opportunity</w:t>
      </w:r>
      <w:r w:rsidR="003200CA" w:rsidRPr="001D704A">
        <w:rPr>
          <w:rFonts w:ascii="Times New Roman" w:hAnsi="Times New Roman" w:cs="Times New Roman"/>
          <w:iCs/>
          <w:color w:val="000000" w:themeColor="text1"/>
          <w:sz w:val="24"/>
          <w:szCs w:val="24"/>
        </w:rPr>
        <w:t>, including t</w:t>
      </w:r>
      <w:r w:rsidR="002C1381" w:rsidRPr="001D704A">
        <w:rPr>
          <w:rFonts w:ascii="Times New Roman" w:hAnsi="Times New Roman" w:cs="Times New Roman"/>
          <w:iCs/>
          <w:color w:val="000000" w:themeColor="text1"/>
          <w:sz w:val="24"/>
          <w:szCs w:val="24"/>
        </w:rPr>
        <w:t>he grant opportunity guidelines</w:t>
      </w:r>
      <w:r w:rsidR="004A69CE" w:rsidRPr="001D704A">
        <w:rPr>
          <w:rFonts w:ascii="Times New Roman" w:hAnsi="Times New Roman" w:cs="Times New Roman"/>
          <w:iCs/>
          <w:color w:val="000000" w:themeColor="text1"/>
          <w:sz w:val="24"/>
          <w:szCs w:val="24"/>
        </w:rPr>
        <w:t xml:space="preserve"> and the </w:t>
      </w:r>
      <w:r w:rsidR="003200CA" w:rsidRPr="001D704A">
        <w:rPr>
          <w:rFonts w:ascii="Times New Roman" w:hAnsi="Times New Roman" w:cs="Times New Roman"/>
          <w:iCs/>
          <w:color w:val="000000" w:themeColor="text1"/>
          <w:sz w:val="24"/>
          <w:szCs w:val="24"/>
        </w:rPr>
        <w:t xml:space="preserve">award of the </w:t>
      </w:r>
      <w:r w:rsidR="004A69CE" w:rsidRPr="001D704A">
        <w:rPr>
          <w:rFonts w:ascii="Times New Roman" w:hAnsi="Times New Roman" w:cs="Times New Roman"/>
          <w:iCs/>
          <w:color w:val="000000" w:themeColor="text1"/>
          <w:sz w:val="24"/>
          <w:szCs w:val="24"/>
        </w:rPr>
        <w:t>grant</w:t>
      </w:r>
      <w:r w:rsidRPr="001D704A">
        <w:rPr>
          <w:rFonts w:ascii="Times New Roman" w:hAnsi="Times New Roman" w:cs="Times New Roman"/>
          <w:iCs/>
          <w:color w:val="000000" w:themeColor="text1"/>
          <w:sz w:val="24"/>
          <w:szCs w:val="24"/>
        </w:rPr>
        <w:t>,</w:t>
      </w:r>
      <w:r w:rsidR="004A69CE" w:rsidRPr="001D704A">
        <w:rPr>
          <w:rFonts w:ascii="Times New Roman" w:hAnsi="Times New Roman" w:cs="Times New Roman"/>
          <w:iCs/>
          <w:color w:val="000000" w:themeColor="text1"/>
          <w:sz w:val="24"/>
          <w:szCs w:val="24"/>
        </w:rPr>
        <w:t xml:space="preserve"> will be made available on the GrantConnect website at </w:t>
      </w:r>
      <w:r w:rsidR="007E7EA5" w:rsidRPr="001D704A">
        <w:rPr>
          <w:rFonts w:ascii="Times New Roman" w:hAnsi="Times New Roman" w:cs="Times New Roman"/>
          <w:iCs/>
          <w:color w:val="000000" w:themeColor="text1"/>
          <w:sz w:val="24"/>
          <w:szCs w:val="24"/>
          <w:u w:val="single"/>
        </w:rPr>
        <w:t>www.grants.gov.au</w:t>
      </w:r>
      <w:r w:rsidR="004A69CE" w:rsidRPr="001D704A">
        <w:rPr>
          <w:rFonts w:ascii="Times New Roman" w:hAnsi="Times New Roman" w:cs="Times New Roman"/>
          <w:iCs/>
          <w:color w:val="000000" w:themeColor="text1"/>
          <w:sz w:val="24"/>
          <w:szCs w:val="24"/>
        </w:rPr>
        <w:t>.</w:t>
      </w:r>
      <w:r w:rsidR="00304BA6" w:rsidRPr="001D704A">
        <w:rPr>
          <w:rFonts w:ascii="Times New Roman" w:hAnsi="Times New Roman" w:cs="Times New Roman"/>
          <w:iCs/>
          <w:color w:val="000000" w:themeColor="text1"/>
          <w:sz w:val="24"/>
          <w:szCs w:val="24"/>
        </w:rPr>
        <w:t xml:space="preserve"> </w:t>
      </w:r>
    </w:p>
    <w:p w14:paraId="59D0CAED" w14:textId="082DE4A4" w:rsidR="007E7EA5" w:rsidRPr="001D704A" w:rsidRDefault="007E7EA5" w:rsidP="00123EB1">
      <w:pPr>
        <w:rPr>
          <w:rFonts w:ascii="Times New Roman" w:hAnsi="Times New Roman" w:cs="Times New Roman"/>
          <w:iCs/>
          <w:color w:val="000000" w:themeColor="text1"/>
          <w:sz w:val="24"/>
          <w:szCs w:val="24"/>
        </w:rPr>
      </w:pPr>
    </w:p>
    <w:p w14:paraId="7AA9F373" w14:textId="53BB6444" w:rsidR="007E7EA5" w:rsidRPr="001D704A" w:rsidRDefault="007E7EA5" w:rsidP="00123EB1">
      <w:pPr>
        <w:rPr>
          <w:rFonts w:ascii="Times New Roman" w:hAnsi="Times New Roman" w:cs="Times New Roman"/>
          <w:sz w:val="24"/>
          <w:szCs w:val="24"/>
        </w:rPr>
      </w:pPr>
      <w:r w:rsidRPr="001D704A">
        <w:rPr>
          <w:rFonts w:ascii="Times New Roman" w:hAnsi="Times New Roman" w:cs="Times New Roman"/>
          <w:sz w:val="24"/>
          <w:szCs w:val="24"/>
        </w:rPr>
        <w:t>It is necessary and appropriate to delegate the power to make decisions relating to the Commonwealth expenditure on the program to an appropriate financial delegate that has responsibility for overseeing the area of the department with responsibility for the program. To ensure knowledge of the program context, the SES Band 1 official that has been delegated the power to make decisions relating to the expenditure on the program is the Assistant Secretary, Teaching Practice Branch, Improving Student Outcomes Division, Schools and Youth Group. The Teaching Practice Branch is responsible for administering the funding agreement for the program. As a</w:t>
      </w:r>
      <w:r w:rsidR="00B355A7" w:rsidRPr="001D704A">
        <w:rPr>
          <w:rFonts w:ascii="Times New Roman" w:hAnsi="Times New Roman" w:cs="Times New Roman"/>
          <w:sz w:val="24"/>
          <w:szCs w:val="24"/>
        </w:rPr>
        <w:t>n SES</w:t>
      </w:r>
      <w:r w:rsidRPr="001D704A">
        <w:rPr>
          <w:rFonts w:ascii="Times New Roman" w:hAnsi="Times New Roman" w:cs="Times New Roman"/>
          <w:sz w:val="24"/>
          <w:szCs w:val="24"/>
        </w:rPr>
        <w:t xml:space="preserve"> officer overseeing the </w:t>
      </w:r>
      <w:r w:rsidR="00B355A7"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the Assistant Secretary, Teaching Practice Branch has relevant understanding of the policy context under which the </w:t>
      </w:r>
      <w:r w:rsidR="00B355A7" w:rsidRPr="001D704A">
        <w:rPr>
          <w:rFonts w:ascii="Times New Roman" w:hAnsi="Times New Roman" w:cs="Times New Roman"/>
          <w:sz w:val="24"/>
          <w:szCs w:val="24"/>
        </w:rPr>
        <w:t>p</w:t>
      </w:r>
      <w:r w:rsidRPr="001D704A">
        <w:rPr>
          <w:rFonts w:ascii="Times New Roman" w:hAnsi="Times New Roman" w:cs="Times New Roman"/>
          <w:sz w:val="24"/>
          <w:szCs w:val="24"/>
        </w:rPr>
        <w:t>rogram operates.</w:t>
      </w:r>
    </w:p>
    <w:p w14:paraId="63A923D2" w14:textId="77777777" w:rsidR="007E7EA5" w:rsidRPr="001D704A" w:rsidRDefault="007E7EA5" w:rsidP="00123EB1">
      <w:pPr>
        <w:rPr>
          <w:rFonts w:ascii="Times New Roman" w:hAnsi="Times New Roman" w:cs="Times New Roman"/>
          <w:iCs/>
          <w:color w:val="000000" w:themeColor="text1"/>
          <w:sz w:val="24"/>
          <w:szCs w:val="24"/>
        </w:rPr>
      </w:pPr>
    </w:p>
    <w:p w14:paraId="7A276F58" w14:textId="0DA71D34" w:rsidR="004A69CE" w:rsidRPr="001D704A" w:rsidRDefault="004A69CE"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TFH </w:t>
      </w:r>
      <w:r w:rsidR="00304BA6" w:rsidRPr="001D704A">
        <w:rPr>
          <w:rFonts w:ascii="Times New Roman" w:hAnsi="Times New Roman" w:cs="Times New Roman"/>
          <w:iCs/>
          <w:color w:val="000000" w:themeColor="text1"/>
          <w:sz w:val="24"/>
          <w:szCs w:val="24"/>
        </w:rPr>
        <w:t>was</w:t>
      </w:r>
      <w:r w:rsidRPr="001D704A">
        <w:rPr>
          <w:rFonts w:ascii="Times New Roman" w:hAnsi="Times New Roman" w:cs="Times New Roman"/>
          <w:iCs/>
          <w:color w:val="000000" w:themeColor="text1"/>
          <w:sz w:val="24"/>
          <w:szCs w:val="24"/>
        </w:rPr>
        <w:t xml:space="preserve"> </w:t>
      </w:r>
      <w:r w:rsidR="003200CA" w:rsidRPr="001D704A">
        <w:rPr>
          <w:rFonts w:ascii="Times New Roman" w:hAnsi="Times New Roman" w:cs="Times New Roman"/>
          <w:iCs/>
          <w:color w:val="000000" w:themeColor="text1"/>
          <w:sz w:val="24"/>
          <w:szCs w:val="24"/>
        </w:rPr>
        <w:t xml:space="preserve">directly </w:t>
      </w:r>
      <w:r w:rsidRPr="001D704A">
        <w:rPr>
          <w:rFonts w:ascii="Times New Roman" w:hAnsi="Times New Roman" w:cs="Times New Roman"/>
          <w:iCs/>
          <w:color w:val="000000" w:themeColor="text1"/>
          <w:sz w:val="24"/>
          <w:szCs w:val="24"/>
        </w:rPr>
        <w:t>selected to receive this grant through the 2021</w:t>
      </w:r>
      <w:r w:rsidR="00B722E7"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22 Budget</w:t>
      </w:r>
      <w:r w:rsidR="003200CA" w:rsidRPr="001D704A">
        <w:rPr>
          <w:rFonts w:ascii="Times New Roman" w:hAnsi="Times New Roman" w:cs="Times New Roman"/>
          <w:bCs/>
          <w:iCs/>
          <w:color w:val="000000" w:themeColor="text1"/>
          <w:sz w:val="24"/>
          <w:szCs w:val="24"/>
        </w:rPr>
        <w:t xml:space="preserve"> because of its program’s proven outcomes in </w:t>
      </w:r>
      <w:r w:rsidR="003200CA" w:rsidRPr="001D704A">
        <w:rPr>
          <w:rFonts w:ascii="Times New Roman" w:hAnsi="Times New Roman" w:cs="Times New Roman"/>
          <w:iCs/>
          <w:color w:val="000000" w:themeColor="text1"/>
          <w:sz w:val="24"/>
          <w:szCs w:val="24"/>
        </w:rPr>
        <w:t xml:space="preserve">fostering social cohesion and improving racial and religious tolerance. </w:t>
      </w:r>
      <w:r w:rsidRPr="001D704A">
        <w:rPr>
          <w:rFonts w:ascii="Times New Roman" w:hAnsi="Times New Roman" w:cs="Times New Roman"/>
          <w:iCs/>
          <w:color w:val="000000" w:themeColor="text1"/>
          <w:sz w:val="24"/>
          <w:szCs w:val="24"/>
        </w:rPr>
        <w:t xml:space="preserve">There </w:t>
      </w:r>
      <w:r w:rsidR="00304BA6" w:rsidRPr="001D704A">
        <w:rPr>
          <w:rFonts w:ascii="Times New Roman" w:hAnsi="Times New Roman" w:cs="Times New Roman"/>
          <w:iCs/>
          <w:color w:val="000000" w:themeColor="text1"/>
          <w:sz w:val="24"/>
          <w:szCs w:val="24"/>
        </w:rPr>
        <w:t>is</w:t>
      </w:r>
      <w:r w:rsidRPr="001D704A">
        <w:rPr>
          <w:rFonts w:ascii="Times New Roman" w:hAnsi="Times New Roman" w:cs="Times New Roman"/>
          <w:iCs/>
          <w:color w:val="000000" w:themeColor="text1"/>
          <w:sz w:val="24"/>
          <w:szCs w:val="24"/>
        </w:rPr>
        <w:t xml:space="preserve"> no scope for selection of other organisations and therefore no requirement for an independent review of decisions. </w:t>
      </w:r>
    </w:p>
    <w:p w14:paraId="55E76CB1" w14:textId="77777777" w:rsidR="00304BA6" w:rsidRPr="001D704A" w:rsidRDefault="00304BA6" w:rsidP="00123EB1">
      <w:pPr>
        <w:rPr>
          <w:rFonts w:ascii="Times New Roman" w:hAnsi="Times New Roman" w:cs="Times New Roman"/>
          <w:iCs/>
          <w:color w:val="000000" w:themeColor="text1"/>
          <w:sz w:val="24"/>
          <w:szCs w:val="24"/>
        </w:rPr>
      </w:pPr>
    </w:p>
    <w:p w14:paraId="20499886" w14:textId="013EEA91" w:rsidR="004A69CE" w:rsidRPr="001D704A" w:rsidRDefault="00304BA6"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Funding decisions made in connection with the grant are not considered appropriate for independent merits review as these decisions relate to </w:t>
      </w:r>
      <w:r w:rsidR="004A69CE" w:rsidRPr="001D704A">
        <w:rPr>
          <w:rFonts w:ascii="Times New Roman" w:hAnsi="Times New Roman" w:cs="Times New Roman"/>
          <w:iCs/>
          <w:color w:val="000000" w:themeColor="text1"/>
          <w:sz w:val="24"/>
          <w:szCs w:val="24"/>
        </w:rPr>
        <w:t xml:space="preserve">an allocation of a finite resource to TFH and overturning the decision to allocate funding to another party would affect the allocation that has already been made. The </w:t>
      </w:r>
      <w:r w:rsidR="00580E93" w:rsidRPr="001D704A">
        <w:rPr>
          <w:rFonts w:ascii="Times New Roman" w:hAnsi="Times New Roman" w:cs="Times New Roman"/>
          <w:iCs/>
          <w:color w:val="000000" w:themeColor="text1"/>
          <w:sz w:val="24"/>
          <w:szCs w:val="24"/>
        </w:rPr>
        <w:t>ARC</w:t>
      </w:r>
      <w:r w:rsidR="004A69CE" w:rsidRPr="001D704A">
        <w:rPr>
          <w:rFonts w:ascii="Times New Roman" w:hAnsi="Times New Roman" w:cs="Times New Roman"/>
          <w:iCs/>
          <w:color w:val="000000" w:themeColor="text1"/>
          <w:sz w:val="24"/>
          <w:szCs w:val="24"/>
        </w:rPr>
        <w:t xml:space="preserve"> has recognised that it is justifiable to exclude merits review in relation to decisions of this nature (see </w:t>
      </w:r>
      <w:r w:rsidRPr="001D704A">
        <w:rPr>
          <w:rFonts w:ascii="Times New Roman" w:hAnsi="Times New Roman" w:cs="Times New Roman"/>
          <w:iCs/>
          <w:color w:val="000000" w:themeColor="text1"/>
          <w:sz w:val="24"/>
          <w:szCs w:val="24"/>
        </w:rPr>
        <w:t>paragraphs</w:t>
      </w:r>
      <w:r w:rsidR="004A69CE" w:rsidRPr="001D704A">
        <w:rPr>
          <w:rFonts w:ascii="Times New Roman" w:hAnsi="Times New Roman" w:cs="Times New Roman"/>
          <w:iCs/>
          <w:color w:val="000000" w:themeColor="text1"/>
          <w:sz w:val="24"/>
          <w:szCs w:val="24"/>
        </w:rPr>
        <w:t xml:space="preserve"> 4.11 to 4.16 of the </w:t>
      </w:r>
      <w:r w:rsidRPr="001D704A">
        <w:rPr>
          <w:rFonts w:ascii="Times New Roman" w:hAnsi="Times New Roman" w:cs="Times New Roman"/>
          <w:iCs/>
          <w:color w:val="000000" w:themeColor="text1"/>
          <w:sz w:val="24"/>
          <w:szCs w:val="24"/>
        </w:rPr>
        <w:t>guide,</w:t>
      </w:r>
      <w:r w:rsidR="004A69CE" w:rsidRPr="001D704A">
        <w:rPr>
          <w:rFonts w:ascii="Times New Roman" w:hAnsi="Times New Roman" w:cs="Times New Roman"/>
          <w:iCs/>
          <w:color w:val="000000" w:themeColor="text1"/>
          <w:sz w:val="24"/>
          <w:szCs w:val="24"/>
        </w:rPr>
        <w:t xml:space="preserve"> </w:t>
      </w:r>
      <w:r w:rsidR="004A69CE" w:rsidRPr="001D704A">
        <w:rPr>
          <w:rFonts w:ascii="Times New Roman" w:hAnsi="Times New Roman" w:cs="Times New Roman"/>
          <w:i/>
          <w:iCs/>
          <w:color w:val="000000" w:themeColor="text1"/>
          <w:sz w:val="24"/>
          <w:szCs w:val="24"/>
        </w:rPr>
        <w:t>What decisions should be subject to merit review?</w:t>
      </w:r>
      <w:r w:rsidR="004A69CE" w:rsidRPr="001D704A">
        <w:rPr>
          <w:rFonts w:ascii="Times New Roman" w:hAnsi="Times New Roman" w:cs="Times New Roman"/>
          <w:iCs/>
          <w:color w:val="000000" w:themeColor="text1"/>
          <w:sz w:val="24"/>
          <w:szCs w:val="24"/>
        </w:rPr>
        <w:t xml:space="preserve">). </w:t>
      </w:r>
    </w:p>
    <w:p w14:paraId="426D0720" w14:textId="77777777" w:rsidR="00304BA6" w:rsidRPr="001D704A" w:rsidRDefault="00304BA6" w:rsidP="00123EB1">
      <w:pPr>
        <w:rPr>
          <w:rFonts w:ascii="Times New Roman" w:hAnsi="Times New Roman" w:cs="Times New Roman"/>
          <w:iCs/>
          <w:color w:val="000000" w:themeColor="text1"/>
          <w:sz w:val="24"/>
          <w:szCs w:val="24"/>
        </w:rPr>
      </w:pPr>
    </w:p>
    <w:p w14:paraId="6BB7242C" w14:textId="77777777" w:rsidR="004A69CE" w:rsidRPr="001D704A" w:rsidRDefault="004A69CE" w:rsidP="00123EB1">
      <w:pPr>
        <w:rPr>
          <w:rFonts w:ascii="Times New Roman" w:hAnsi="Times New Roman" w:cs="Times New Roman"/>
          <w:b/>
          <w:iCs/>
          <w:color w:val="000000" w:themeColor="text1"/>
          <w:sz w:val="24"/>
          <w:szCs w:val="24"/>
        </w:rPr>
      </w:pPr>
      <w:r w:rsidRPr="001D704A">
        <w:rPr>
          <w:rFonts w:ascii="Times New Roman" w:hAnsi="Times New Roman" w:cs="Times New Roman"/>
          <w:iCs/>
          <w:color w:val="000000" w:themeColor="text1"/>
          <w:sz w:val="24"/>
          <w:szCs w:val="24"/>
        </w:rPr>
        <w:t>Further, re-making a decision after entry into an agreement is legally complex, impractical and would result in delays in implementation. Given TFH’s demonstrated experience in program delivery and its historical record of government funding, it is not reasonably foreseeable nor envisaged that any other organisation would receive funding in relation to this initiative.</w:t>
      </w:r>
    </w:p>
    <w:p w14:paraId="6BF3AC1C" w14:textId="77777777" w:rsidR="00B53C09" w:rsidRPr="001D704A" w:rsidRDefault="00B53C09" w:rsidP="00123EB1">
      <w:pPr>
        <w:rPr>
          <w:rFonts w:ascii="Times New Roman" w:hAnsi="Times New Roman" w:cs="Times New Roman"/>
          <w:iCs/>
          <w:color w:val="000000" w:themeColor="text1"/>
          <w:sz w:val="24"/>
          <w:szCs w:val="24"/>
        </w:rPr>
      </w:pPr>
    </w:p>
    <w:p w14:paraId="7E1E9F63" w14:textId="72F60796" w:rsidR="002A515F" w:rsidRPr="001D704A" w:rsidRDefault="002A515F" w:rsidP="00123EB1">
      <w:pPr>
        <w:rPr>
          <w:rFonts w:ascii="Times New Roman" w:hAnsi="Times New Roman" w:cs="Times New Roman"/>
          <w:iCs/>
          <w:color w:val="000000" w:themeColor="text1"/>
          <w:sz w:val="24"/>
          <w:szCs w:val="24"/>
        </w:rPr>
      </w:pPr>
      <w:bookmarkStart w:id="1" w:name="_Hlk57371828"/>
      <w:r w:rsidRPr="001D704A">
        <w:rPr>
          <w:rFonts w:ascii="Times New Roman" w:hAnsi="Times New Roman" w:cs="Times New Roman"/>
          <w:iCs/>
          <w:color w:val="000000" w:themeColor="text1"/>
          <w:sz w:val="24"/>
          <w:szCs w:val="24"/>
        </w:rPr>
        <w:t xml:space="preserve">TFH submitted a proposal to the Government </w:t>
      </w:r>
      <w:r w:rsidR="00230F56" w:rsidRPr="001D704A">
        <w:rPr>
          <w:rFonts w:ascii="Times New Roman" w:hAnsi="Times New Roman" w:cs="Times New Roman"/>
          <w:iCs/>
          <w:color w:val="000000" w:themeColor="text1"/>
          <w:sz w:val="24"/>
          <w:szCs w:val="24"/>
        </w:rPr>
        <w:t xml:space="preserve">ahead of the 2021-22 Budget </w:t>
      </w:r>
      <w:r w:rsidRPr="001D704A">
        <w:rPr>
          <w:rFonts w:ascii="Times New Roman" w:hAnsi="Times New Roman" w:cs="Times New Roman"/>
          <w:iCs/>
          <w:color w:val="000000" w:themeColor="text1"/>
          <w:sz w:val="24"/>
          <w:szCs w:val="24"/>
        </w:rPr>
        <w:t xml:space="preserve">outlining the program objectives, scope, deliverables and benefits. The proposal is publicly available on the Department of the Treasury’s website at </w:t>
      </w:r>
      <w:r w:rsidRPr="001D704A">
        <w:rPr>
          <w:rFonts w:ascii="Times New Roman" w:hAnsi="Times New Roman" w:cs="Times New Roman"/>
          <w:iCs/>
          <w:color w:val="000000" w:themeColor="text1"/>
          <w:sz w:val="24"/>
          <w:szCs w:val="24"/>
          <w:u w:val="single"/>
        </w:rPr>
        <w:t>https://treasury.gov.au/sites/default/files/2021-05/171663_together_for_humanity.pdf</w:t>
      </w:r>
      <w:r w:rsidRPr="001D704A">
        <w:rPr>
          <w:rFonts w:ascii="Times New Roman" w:hAnsi="Times New Roman" w:cs="Times New Roman"/>
          <w:iCs/>
          <w:color w:val="000000" w:themeColor="text1"/>
          <w:sz w:val="24"/>
          <w:szCs w:val="24"/>
        </w:rPr>
        <w:t>.</w:t>
      </w:r>
    </w:p>
    <w:p w14:paraId="77D5847C" w14:textId="77777777" w:rsidR="002A515F" w:rsidRPr="001D704A" w:rsidRDefault="002A515F" w:rsidP="00123EB1">
      <w:pPr>
        <w:rPr>
          <w:rFonts w:ascii="Times New Roman" w:hAnsi="Times New Roman" w:cs="Times New Roman"/>
          <w:iCs/>
          <w:color w:val="000000" w:themeColor="text1"/>
          <w:sz w:val="24"/>
          <w:szCs w:val="24"/>
        </w:rPr>
      </w:pPr>
    </w:p>
    <w:bookmarkEnd w:id="1"/>
    <w:p w14:paraId="55487C10" w14:textId="5E9EF8A3" w:rsidR="002A515F" w:rsidRPr="001D704A" w:rsidRDefault="002A515F"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Given TFH’s position as a leading Australian organisation in its work to promote social cohesion and intercultural understanding, and its historical record of successful </w:t>
      </w:r>
      <w:r w:rsidR="00230F56" w:rsidRPr="001D704A">
        <w:rPr>
          <w:rFonts w:ascii="Times New Roman" w:hAnsi="Times New Roman" w:cs="Times New Roman"/>
          <w:iCs/>
          <w:color w:val="000000" w:themeColor="text1"/>
          <w:sz w:val="24"/>
          <w:szCs w:val="24"/>
        </w:rPr>
        <w:t xml:space="preserve">program </w:t>
      </w:r>
      <w:r w:rsidRPr="001D704A">
        <w:rPr>
          <w:rFonts w:ascii="Times New Roman" w:hAnsi="Times New Roman" w:cs="Times New Roman"/>
          <w:iCs/>
          <w:color w:val="000000" w:themeColor="text1"/>
          <w:sz w:val="24"/>
          <w:szCs w:val="24"/>
        </w:rPr>
        <w:t xml:space="preserve">delivery </w:t>
      </w:r>
      <w:r w:rsidR="00230F56" w:rsidRPr="001D704A">
        <w:rPr>
          <w:rFonts w:ascii="Times New Roman" w:hAnsi="Times New Roman" w:cs="Times New Roman"/>
          <w:iCs/>
          <w:color w:val="000000" w:themeColor="text1"/>
          <w:sz w:val="24"/>
          <w:szCs w:val="24"/>
        </w:rPr>
        <w:t xml:space="preserve">using </w:t>
      </w:r>
      <w:r w:rsidRPr="001D704A">
        <w:rPr>
          <w:rFonts w:ascii="Times New Roman" w:hAnsi="Times New Roman" w:cs="Times New Roman"/>
          <w:iCs/>
          <w:color w:val="000000" w:themeColor="text1"/>
          <w:sz w:val="24"/>
          <w:szCs w:val="24"/>
        </w:rPr>
        <w:t>government funding</w:t>
      </w:r>
      <w:r w:rsidR="00B75C4A" w:rsidRPr="001D704A">
        <w:rPr>
          <w:rFonts w:ascii="Times New Roman" w:hAnsi="Times New Roman" w:cs="Times New Roman"/>
          <w:iCs/>
          <w:color w:val="000000" w:themeColor="text1"/>
          <w:sz w:val="24"/>
          <w:szCs w:val="24"/>
        </w:rPr>
        <w:t xml:space="preserve">, consultation occurred within </w:t>
      </w:r>
      <w:r w:rsidR="00230F56" w:rsidRPr="001D704A">
        <w:rPr>
          <w:rFonts w:ascii="Times New Roman" w:hAnsi="Times New Roman" w:cs="Times New Roman"/>
          <w:iCs/>
          <w:color w:val="000000" w:themeColor="text1"/>
          <w:sz w:val="24"/>
          <w:szCs w:val="24"/>
        </w:rPr>
        <w:t>g</w:t>
      </w:r>
      <w:r w:rsidRPr="001D704A">
        <w:rPr>
          <w:rFonts w:ascii="Times New Roman" w:hAnsi="Times New Roman" w:cs="Times New Roman"/>
          <w:iCs/>
          <w:color w:val="000000" w:themeColor="text1"/>
          <w:sz w:val="24"/>
          <w:szCs w:val="24"/>
        </w:rPr>
        <w:t xml:space="preserve">overnment only. </w:t>
      </w:r>
    </w:p>
    <w:p w14:paraId="58CC44C2" w14:textId="77777777" w:rsidR="002A515F" w:rsidRPr="001D704A" w:rsidRDefault="002A515F" w:rsidP="00123EB1">
      <w:pPr>
        <w:rPr>
          <w:rFonts w:ascii="Times New Roman" w:hAnsi="Times New Roman" w:cs="Times New Roman"/>
          <w:iCs/>
          <w:color w:val="000000" w:themeColor="text1"/>
          <w:sz w:val="24"/>
          <w:szCs w:val="24"/>
        </w:rPr>
      </w:pPr>
    </w:p>
    <w:p w14:paraId="2F76A33D" w14:textId="77777777" w:rsidR="00592339" w:rsidRPr="001D704A" w:rsidRDefault="00592339" w:rsidP="00123EB1">
      <w:pPr>
        <w:rPr>
          <w:rFonts w:ascii="Times New Roman" w:hAnsi="Times New Roman" w:cs="Times New Roman"/>
          <w:sz w:val="24"/>
          <w:szCs w:val="24"/>
          <w:lang w:val="en-US"/>
        </w:rPr>
      </w:pPr>
      <w:r w:rsidRPr="001D704A">
        <w:rPr>
          <w:rFonts w:ascii="Times New Roman" w:hAnsi="Times New Roman" w:cs="Times New Roman"/>
          <w:sz w:val="24"/>
          <w:szCs w:val="24"/>
          <w:lang w:val="en-US"/>
        </w:rPr>
        <w:t xml:space="preserve">Funding of $8.1 million for the </w:t>
      </w:r>
      <w:r w:rsidR="005146C4" w:rsidRPr="001D704A">
        <w:rPr>
          <w:rFonts w:ascii="Times New Roman" w:hAnsi="Times New Roman" w:cs="Times New Roman"/>
          <w:sz w:val="24"/>
          <w:szCs w:val="24"/>
          <w:lang w:val="en-US"/>
        </w:rPr>
        <w:t xml:space="preserve">grant to TFH </w:t>
      </w:r>
      <w:r w:rsidRPr="001D704A">
        <w:rPr>
          <w:rFonts w:ascii="Times New Roman" w:hAnsi="Times New Roman" w:cs="Times New Roman"/>
          <w:sz w:val="24"/>
          <w:szCs w:val="24"/>
          <w:lang w:val="en-US"/>
        </w:rPr>
        <w:t>was included in the 2021-22 Budget under the measure ‘</w:t>
      </w:r>
      <w:r w:rsidRPr="001D704A">
        <w:rPr>
          <w:rFonts w:ascii="Times New Roman" w:hAnsi="Times New Roman" w:cs="Times New Roman"/>
          <w:sz w:val="24"/>
          <w:szCs w:val="24"/>
        </w:rPr>
        <w:t>Schools and Youth — supporting students, teachers and young Australians</w:t>
      </w:r>
      <w:r w:rsidRPr="001D704A">
        <w:rPr>
          <w:rFonts w:ascii="Times New Roman" w:hAnsi="Times New Roman" w:cs="Times New Roman"/>
          <w:sz w:val="24"/>
          <w:szCs w:val="24"/>
          <w:lang w:val="en-US"/>
        </w:rPr>
        <w:t xml:space="preserve">’ for a period of four years commencing in 2021-22. Details are set out in </w:t>
      </w:r>
      <w:r w:rsidRPr="001D704A">
        <w:rPr>
          <w:rFonts w:ascii="Times New Roman" w:hAnsi="Times New Roman" w:cs="Times New Roman"/>
          <w:i/>
          <w:iCs/>
          <w:sz w:val="24"/>
          <w:szCs w:val="24"/>
          <w:lang w:val="en-US"/>
        </w:rPr>
        <w:t xml:space="preserve">Budget 2021-22, Budget Measures, Budget Paper No. 2 2021-22 </w:t>
      </w:r>
      <w:r w:rsidRPr="001D704A">
        <w:rPr>
          <w:rFonts w:ascii="Times New Roman" w:hAnsi="Times New Roman" w:cs="Times New Roman"/>
          <w:sz w:val="24"/>
          <w:szCs w:val="24"/>
          <w:lang w:val="en-US"/>
        </w:rPr>
        <w:t>at pages 78 to 80.</w:t>
      </w:r>
    </w:p>
    <w:p w14:paraId="7561300D" w14:textId="77777777" w:rsidR="00592339" w:rsidRPr="001D704A" w:rsidRDefault="00592339" w:rsidP="00123EB1">
      <w:pPr>
        <w:rPr>
          <w:rFonts w:ascii="Times New Roman" w:hAnsi="Times New Roman" w:cs="Times New Roman"/>
          <w:sz w:val="24"/>
          <w:szCs w:val="24"/>
          <w:lang w:val="en-US"/>
        </w:rPr>
      </w:pPr>
    </w:p>
    <w:p w14:paraId="2C7D5B35" w14:textId="24EA3205" w:rsidR="00592339" w:rsidRPr="001D704A" w:rsidRDefault="00592339" w:rsidP="00123EB1">
      <w:pPr>
        <w:rPr>
          <w:rFonts w:ascii="Times New Roman" w:hAnsi="Times New Roman" w:cs="Times New Roman"/>
          <w:b/>
          <w:sz w:val="24"/>
          <w:szCs w:val="24"/>
        </w:rPr>
      </w:pPr>
      <w:r w:rsidRPr="001D704A">
        <w:rPr>
          <w:rFonts w:ascii="Times New Roman" w:hAnsi="Times New Roman" w:cs="Times New Roman"/>
          <w:sz w:val="24"/>
          <w:szCs w:val="24"/>
        </w:rPr>
        <w:t xml:space="preserve">Funding for </w:t>
      </w:r>
      <w:r w:rsidR="005146C4" w:rsidRPr="001D704A">
        <w:rPr>
          <w:rFonts w:ascii="Times New Roman" w:hAnsi="Times New Roman" w:cs="Times New Roman"/>
          <w:sz w:val="24"/>
          <w:szCs w:val="24"/>
        </w:rPr>
        <w:t xml:space="preserve">the </w:t>
      </w:r>
      <w:r w:rsidR="00230F56" w:rsidRPr="001D704A">
        <w:rPr>
          <w:rFonts w:ascii="Times New Roman" w:hAnsi="Times New Roman" w:cs="Times New Roman"/>
          <w:sz w:val="24"/>
          <w:szCs w:val="24"/>
        </w:rPr>
        <w:t>item</w:t>
      </w:r>
      <w:r w:rsidR="005146C4" w:rsidRPr="001D704A">
        <w:rPr>
          <w:rFonts w:ascii="Times New Roman" w:hAnsi="Times New Roman" w:cs="Times New Roman"/>
          <w:sz w:val="24"/>
          <w:szCs w:val="24"/>
        </w:rPr>
        <w:t xml:space="preserve"> </w:t>
      </w:r>
      <w:r w:rsidRPr="001D704A">
        <w:rPr>
          <w:rFonts w:ascii="Times New Roman" w:hAnsi="Times New Roman" w:cs="Times New Roman"/>
          <w:sz w:val="24"/>
          <w:szCs w:val="24"/>
        </w:rPr>
        <w:t xml:space="preserve">will come from Program 1.5: Early Learning </w:t>
      </w:r>
      <w:r w:rsidR="00230F56" w:rsidRPr="001D704A">
        <w:rPr>
          <w:rFonts w:ascii="Times New Roman" w:hAnsi="Times New Roman" w:cs="Times New Roman"/>
          <w:sz w:val="24"/>
          <w:szCs w:val="24"/>
        </w:rPr>
        <w:t xml:space="preserve">and </w:t>
      </w:r>
      <w:r w:rsidRPr="001D704A">
        <w:rPr>
          <w:rFonts w:ascii="Times New Roman" w:hAnsi="Times New Roman" w:cs="Times New Roman"/>
          <w:sz w:val="24"/>
          <w:szCs w:val="24"/>
        </w:rPr>
        <w:t xml:space="preserve">Schools Support, which is part of Outcome 1. Details are set out in the </w:t>
      </w:r>
      <w:r w:rsidRPr="001D704A">
        <w:rPr>
          <w:rFonts w:ascii="Times New Roman" w:hAnsi="Times New Roman" w:cs="Times New Roman"/>
          <w:i/>
          <w:sz w:val="24"/>
          <w:szCs w:val="24"/>
        </w:rPr>
        <w:t>Portfolio Budget Statements 2021-22, Budget Related Paper No. 1.4, Education, Skills and Employment</w:t>
      </w:r>
      <w:r w:rsidR="00230F56" w:rsidRPr="001D704A">
        <w:rPr>
          <w:rFonts w:ascii="Times New Roman" w:hAnsi="Times New Roman" w:cs="Times New Roman"/>
          <w:i/>
          <w:sz w:val="24"/>
          <w:szCs w:val="24"/>
        </w:rPr>
        <w:t xml:space="preserve"> Portfolio</w:t>
      </w:r>
      <w:r w:rsidRPr="001D704A">
        <w:rPr>
          <w:rFonts w:ascii="Times New Roman" w:hAnsi="Times New Roman" w:cs="Times New Roman"/>
          <w:i/>
          <w:sz w:val="24"/>
          <w:szCs w:val="24"/>
        </w:rPr>
        <w:t xml:space="preserve"> </w:t>
      </w:r>
      <w:r w:rsidRPr="001D704A">
        <w:rPr>
          <w:rFonts w:ascii="Times New Roman" w:hAnsi="Times New Roman" w:cs="Times New Roman"/>
          <w:sz w:val="24"/>
          <w:szCs w:val="24"/>
        </w:rPr>
        <w:t>at page</w:t>
      </w:r>
      <w:r w:rsidR="00A75F11" w:rsidRPr="001D704A">
        <w:rPr>
          <w:rFonts w:ascii="Times New Roman" w:hAnsi="Times New Roman" w:cs="Times New Roman"/>
          <w:sz w:val="24"/>
          <w:szCs w:val="24"/>
        </w:rPr>
        <w:t>s</w:t>
      </w:r>
      <w:r w:rsidRPr="001D704A">
        <w:rPr>
          <w:rFonts w:ascii="Times New Roman" w:hAnsi="Times New Roman" w:cs="Times New Roman"/>
          <w:sz w:val="24"/>
          <w:szCs w:val="24"/>
        </w:rPr>
        <w:t xml:space="preserve"> </w:t>
      </w:r>
      <w:r w:rsidR="00A75F11" w:rsidRPr="001D704A">
        <w:rPr>
          <w:rFonts w:ascii="Times New Roman" w:hAnsi="Times New Roman" w:cs="Times New Roman"/>
          <w:sz w:val="24"/>
          <w:szCs w:val="24"/>
        </w:rPr>
        <w:t>12 and</w:t>
      </w:r>
      <w:r w:rsidR="001A7531" w:rsidRPr="001D704A">
        <w:rPr>
          <w:rFonts w:ascii="Times New Roman" w:hAnsi="Times New Roman" w:cs="Times New Roman"/>
          <w:sz w:val="24"/>
          <w:szCs w:val="24"/>
        </w:rPr>
        <w:t> </w:t>
      </w:r>
      <w:r w:rsidR="00230F56" w:rsidRPr="001D704A">
        <w:rPr>
          <w:rFonts w:ascii="Times New Roman" w:hAnsi="Times New Roman" w:cs="Times New Roman"/>
          <w:sz w:val="24"/>
          <w:szCs w:val="24"/>
        </w:rPr>
        <w:t>45</w:t>
      </w:r>
      <w:r w:rsidRPr="001D704A">
        <w:rPr>
          <w:rFonts w:ascii="Times New Roman" w:hAnsi="Times New Roman" w:cs="Times New Roman"/>
          <w:sz w:val="24"/>
          <w:szCs w:val="24"/>
        </w:rPr>
        <w:t>.</w:t>
      </w:r>
    </w:p>
    <w:p w14:paraId="6020DD17" w14:textId="77777777" w:rsidR="005D619F" w:rsidRPr="001D704A" w:rsidRDefault="005D619F" w:rsidP="00123EB1">
      <w:pPr>
        <w:rPr>
          <w:rFonts w:ascii="Times New Roman" w:hAnsi="Times New Roman" w:cs="Times New Roman"/>
          <w:sz w:val="24"/>
          <w:szCs w:val="24"/>
        </w:rPr>
      </w:pPr>
    </w:p>
    <w:p w14:paraId="67CE9737" w14:textId="77777777" w:rsidR="000061A0" w:rsidRPr="001D704A" w:rsidRDefault="000061A0" w:rsidP="00123EB1">
      <w:pPr>
        <w:rPr>
          <w:rFonts w:ascii="Times New Roman" w:hAnsi="Times New Roman" w:cs="Times New Roman"/>
          <w:sz w:val="24"/>
          <w:szCs w:val="24"/>
        </w:rPr>
      </w:pPr>
      <w:r w:rsidRPr="001D704A">
        <w:rPr>
          <w:rFonts w:ascii="Times New Roman" w:hAnsi="Times New Roman" w:cs="Times New Roman"/>
          <w:sz w:val="24"/>
          <w:szCs w:val="24"/>
        </w:rPr>
        <w:t>Noting that it is not a comprehensive statement of relevant constitutional considerations, the purpose of the item references the following powers of the Constitution:</w:t>
      </w:r>
    </w:p>
    <w:p w14:paraId="0DF14F52" w14:textId="77777777" w:rsidR="00CC53F2" w:rsidRPr="001D704A" w:rsidRDefault="00CC53F2"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the communications power (section 51(v));</w:t>
      </w:r>
    </w:p>
    <w:p w14:paraId="6CFEA4D1" w14:textId="77777777" w:rsidR="00CC53F2" w:rsidRPr="001D704A" w:rsidRDefault="00CC53F2"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the aliens power (section 51(xix));</w:t>
      </w:r>
    </w:p>
    <w:p w14:paraId="66074FB2" w14:textId="2B4FA57C" w:rsidR="00CC53F2" w:rsidRPr="001D704A" w:rsidRDefault="00CC53F2"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the race power (section 51(xxvi));</w:t>
      </w:r>
    </w:p>
    <w:p w14:paraId="79B90CB7" w14:textId="7042B67B" w:rsidR="00CC53F2" w:rsidRPr="001D704A" w:rsidRDefault="00CC53F2"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 xml:space="preserve">the immigration power (section 51(xxvii)); </w:t>
      </w:r>
    </w:p>
    <w:p w14:paraId="7B8C0D57" w14:textId="1C7EDA91" w:rsidR="000061A0" w:rsidRPr="001D704A" w:rsidRDefault="000061A0"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the external affairs power (section 51(xxix));</w:t>
      </w:r>
      <w:r w:rsidR="00CC53F2" w:rsidRPr="001D704A">
        <w:rPr>
          <w:rFonts w:ascii="Times New Roman" w:hAnsi="Times New Roman"/>
          <w:sz w:val="24"/>
          <w:szCs w:val="24"/>
        </w:rPr>
        <w:t xml:space="preserve"> and</w:t>
      </w:r>
    </w:p>
    <w:p w14:paraId="46E8C62E" w14:textId="4A5F88D7" w:rsidR="000061A0" w:rsidRPr="001D704A" w:rsidRDefault="000061A0" w:rsidP="00123EB1">
      <w:pPr>
        <w:pStyle w:val="ListParagraph"/>
        <w:numPr>
          <w:ilvl w:val="0"/>
          <w:numId w:val="32"/>
        </w:numPr>
        <w:spacing w:after="0" w:line="240" w:lineRule="auto"/>
        <w:ind w:left="714" w:hanging="357"/>
        <w:rPr>
          <w:rFonts w:ascii="Times New Roman" w:hAnsi="Times New Roman"/>
          <w:sz w:val="24"/>
          <w:szCs w:val="24"/>
        </w:rPr>
      </w:pPr>
      <w:r w:rsidRPr="001D704A">
        <w:rPr>
          <w:rFonts w:ascii="Times New Roman" w:hAnsi="Times New Roman"/>
          <w:sz w:val="24"/>
          <w:szCs w:val="24"/>
        </w:rPr>
        <w:t>the express incidental power and the executive power (sections 51(xxxix) and 61), including the nationhood aspect</w:t>
      </w:r>
      <w:r w:rsidR="00CC53F2" w:rsidRPr="001D704A">
        <w:rPr>
          <w:rFonts w:ascii="Times New Roman" w:hAnsi="Times New Roman"/>
          <w:sz w:val="24"/>
          <w:szCs w:val="24"/>
        </w:rPr>
        <w:t>.</w:t>
      </w:r>
    </w:p>
    <w:p w14:paraId="0020E937" w14:textId="77777777" w:rsidR="002065BB" w:rsidRPr="001D704A" w:rsidRDefault="002065BB" w:rsidP="00123EB1">
      <w:pPr>
        <w:rPr>
          <w:rFonts w:ascii="Times New Roman" w:hAnsi="Times New Roman" w:cs="Times New Roman"/>
          <w:sz w:val="24"/>
          <w:szCs w:val="24"/>
        </w:rPr>
      </w:pPr>
    </w:p>
    <w:p w14:paraId="218337B0" w14:textId="7D142B74" w:rsidR="004B391A" w:rsidRPr="001D704A" w:rsidRDefault="0082019D"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br w:type="column"/>
      </w:r>
      <w:r w:rsidR="004B391A" w:rsidRPr="001D704A">
        <w:rPr>
          <w:rFonts w:ascii="Times New Roman" w:hAnsi="Times New Roman" w:cs="Times New Roman"/>
          <w:i/>
          <w:sz w:val="24"/>
          <w:szCs w:val="24"/>
          <w:u w:val="single"/>
        </w:rPr>
        <w:lastRenderedPageBreak/>
        <w:t>Communications power</w:t>
      </w:r>
    </w:p>
    <w:p w14:paraId="41FC2FE8" w14:textId="77777777" w:rsidR="004B391A" w:rsidRPr="001D704A" w:rsidRDefault="004B391A" w:rsidP="00123EB1">
      <w:pPr>
        <w:rPr>
          <w:rFonts w:ascii="Times New Roman" w:hAnsi="Times New Roman" w:cs="Times New Roman"/>
          <w:sz w:val="24"/>
          <w:szCs w:val="24"/>
        </w:rPr>
      </w:pPr>
    </w:p>
    <w:p w14:paraId="02C6B060" w14:textId="77777777" w:rsidR="004B391A" w:rsidRPr="001D704A" w:rsidRDefault="004B391A"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1B69053B" w14:textId="77777777" w:rsidR="004B391A" w:rsidRPr="001D704A" w:rsidRDefault="004B391A" w:rsidP="00123EB1">
      <w:pPr>
        <w:rPr>
          <w:rFonts w:ascii="Times New Roman" w:hAnsi="Times New Roman" w:cs="Times New Roman"/>
          <w:sz w:val="24"/>
          <w:szCs w:val="24"/>
        </w:rPr>
      </w:pPr>
    </w:p>
    <w:p w14:paraId="26FA5E50" w14:textId="77777777" w:rsidR="004B391A" w:rsidRPr="001D704A" w:rsidRDefault="004B391A" w:rsidP="00123EB1">
      <w:pPr>
        <w:rPr>
          <w:rFonts w:ascii="Times New Roman" w:hAnsi="Times New Roman" w:cs="Times New Roman"/>
          <w:sz w:val="24"/>
          <w:szCs w:val="24"/>
        </w:rPr>
      </w:pPr>
      <w:r w:rsidRPr="001D704A">
        <w:rPr>
          <w:rFonts w:ascii="Times New Roman" w:hAnsi="Times New Roman" w:cs="Times New Roman"/>
          <w:sz w:val="24"/>
          <w:szCs w:val="24"/>
        </w:rPr>
        <w:t>Some of the expenditure in relation to the program may facilitate online learning or other measures to facilitate online communications. The program includes an online program as well as other activities that are to be delivered online or developed for online use.</w:t>
      </w:r>
    </w:p>
    <w:p w14:paraId="06A98B3D" w14:textId="77777777" w:rsidR="004B391A" w:rsidRPr="001D704A" w:rsidRDefault="004B391A" w:rsidP="00123EB1">
      <w:pPr>
        <w:rPr>
          <w:rFonts w:ascii="Times New Roman" w:hAnsi="Times New Roman" w:cs="Times New Roman"/>
          <w:i/>
          <w:sz w:val="24"/>
          <w:szCs w:val="24"/>
          <w:u w:val="single"/>
        </w:rPr>
      </w:pPr>
    </w:p>
    <w:p w14:paraId="5189BD21" w14:textId="69102A99" w:rsidR="004B391A" w:rsidRPr="001D704A" w:rsidRDefault="004B391A"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Aliens power and immigration power</w:t>
      </w:r>
    </w:p>
    <w:p w14:paraId="2C296FBC" w14:textId="77777777" w:rsidR="004B391A" w:rsidRPr="001D704A" w:rsidRDefault="004B391A" w:rsidP="00123EB1">
      <w:pPr>
        <w:rPr>
          <w:rFonts w:ascii="Times New Roman" w:hAnsi="Times New Roman" w:cs="Times New Roman"/>
          <w:i/>
          <w:sz w:val="24"/>
          <w:szCs w:val="24"/>
          <w:u w:val="single"/>
        </w:rPr>
      </w:pPr>
    </w:p>
    <w:p w14:paraId="4CB0437B" w14:textId="77777777" w:rsidR="004B391A" w:rsidRPr="001D704A" w:rsidRDefault="004B391A" w:rsidP="00123EB1">
      <w:pPr>
        <w:rPr>
          <w:rFonts w:ascii="Times New Roman" w:hAnsi="Times New Roman" w:cs="Times New Roman"/>
          <w:sz w:val="24"/>
          <w:szCs w:val="24"/>
        </w:rPr>
      </w:pPr>
      <w:r w:rsidRPr="001D704A">
        <w:rPr>
          <w:rFonts w:ascii="Times New Roman" w:hAnsi="Times New Roman" w:cs="Times New Roman"/>
          <w:sz w:val="24"/>
          <w:szCs w:val="24"/>
        </w:rPr>
        <w:t>Section 51(xix) of the Constitution empowers the Parliament to make laws with respect to ‘naturalization and aliens’. Additionally, section 51(xxvii) empowers the Parliament to make laws with respect to ‘immigration and emigration’.</w:t>
      </w:r>
    </w:p>
    <w:p w14:paraId="2119AAC4" w14:textId="77777777" w:rsidR="004B391A" w:rsidRPr="001D704A" w:rsidRDefault="004B391A" w:rsidP="00123EB1">
      <w:pPr>
        <w:rPr>
          <w:rFonts w:ascii="Times New Roman" w:hAnsi="Times New Roman" w:cs="Times New Roman"/>
          <w:sz w:val="24"/>
          <w:szCs w:val="24"/>
        </w:rPr>
      </w:pPr>
    </w:p>
    <w:p w14:paraId="70B8D5F3" w14:textId="0C4A6407" w:rsidR="004B391A" w:rsidRPr="001D704A" w:rsidRDefault="004B391A" w:rsidP="00123EB1">
      <w:pPr>
        <w:rPr>
          <w:rFonts w:ascii="Times New Roman" w:hAnsi="Times New Roman" w:cs="Times New Roman"/>
          <w:sz w:val="24"/>
          <w:szCs w:val="24"/>
        </w:rPr>
      </w:pPr>
      <w:r w:rsidRPr="001D704A">
        <w:rPr>
          <w:rFonts w:ascii="Times New Roman" w:hAnsi="Times New Roman" w:cs="Times New Roman"/>
          <w:sz w:val="24"/>
          <w:szCs w:val="24"/>
        </w:rPr>
        <w:t xml:space="preserve">The program will include activities directed </w:t>
      </w:r>
      <w:r w:rsidR="00E13FB6" w:rsidRPr="001D704A">
        <w:rPr>
          <w:rFonts w:ascii="Times New Roman" w:hAnsi="Times New Roman" w:cs="Times New Roman"/>
          <w:sz w:val="24"/>
          <w:szCs w:val="24"/>
        </w:rPr>
        <w:t>to</w:t>
      </w:r>
      <w:r w:rsidRPr="001D704A">
        <w:rPr>
          <w:rFonts w:ascii="Times New Roman" w:hAnsi="Times New Roman" w:cs="Times New Roman"/>
          <w:sz w:val="24"/>
          <w:szCs w:val="24"/>
        </w:rPr>
        <w:t xml:space="preserve"> assist</w:t>
      </w:r>
      <w:r w:rsidR="00A553D2" w:rsidRPr="001D704A">
        <w:rPr>
          <w:rFonts w:ascii="Times New Roman" w:hAnsi="Times New Roman" w:cs="Times New Roman"/>
          <w:sz w:val="24"/>
          <w:szCs w:val="24"/>
        </w:rPr>
        <w:t>ing</w:t>
      </w:r>
      <w:r w:rsidRPr="001D704A">
        <w:rPr>
          <w:rFonts w:ascii="Times New Roman" w:hAnsi="Times New Roman" w:cs="Times New Roman"/>
          <w:sz w:val="24"/>
          <w:szCs w:val="24"/>
        </w:rPr>
        <w:t xml:space="preserve"> newly arrived migrants and non</w:t>
      </w:r>
      <w:r w:rsidR="00A553D2" w:rsidRPr="001D704A">
        <w:rPr>
          <w:rFonts w:ascii="Times New Roman" w:hAnsi="Times New Roman" w:cs="Times New Roman"/>
          <w:sz w:val="24"/>
          <w:szCs w:val="24"/>
        </w:rPr>
        <w:noBreakHyphen/>
      </w:r>
      <w:r w:rsidRPr="001D704A">
        <w:rPr>
          <w:rFonts w:ascii="Times New Roman" w:hAnsi="Times New Roman" w:cs="Times New Roman"/>
          <w:sz w:val="24"/>
          <w:szCs w:val="24"/>
        </w:rPr>
        <w:t xml:space="preserve">citizens to enter into and participate in their communities. </w:t>
      </w:r>
    </w:p>
    <w:p w14:paraId="2E6F54F2" w14:textId="77777777" w:rsidR="004B391A" w:rsidRPr="001D704A" w:rsidRDefault="004B391A" w:rsidP="00123EB1">
      <w:pPr>
        <w:rPr>
          <w:rFonts w:ascii="Times New Roman" w:hAnsi="Times New Roman" w:cs="Times New Roman"/>
          <w:i/>
          <w:sz w:val="24"/>
          <w:szCs w:val="24"/>
          <w:u w:val="single"/>
        </w:rPr>
      </w:pPr>
    </w:p>
    <w:p w14:paraId="0685CBD5" w14:textId="77777777" w:rsidR="00A553D2" w:rsidRPr="001D704A" w:rsidRDefault="00A553D2" w:rsidP="00123EB1">
      <w:pPr>
        <w:rPr>
          <w:rFonts w:ascii="Times New Roman" w:hAnsi="Times New Roman" w:cs="Times New Roman"/>
          <w:sz w:val="24"/>
          <w:szCs w:val="24"/>
        </w:rPr>
      </w:pPr>
      <w:r w:rsidRPr="001D704A">
        <w:rPr>
          <w:rFonts w:ascii="Times New Roman" w:hAnsi="Times New Roman" w:cs="Times New Roman"/>
          <w:i/>
          <w:sz w:val="24"/>
          <w:szCs w:val="24"/>
          <w:u w:val="single"/>
        </w:rPr>
        <w:t>Race power</w:t>
      </w:r>
    </w:p>
    <w:p w14:paraId="55E94C05" w14:textId="77777777" w:rsidR="00A553D2" w:rsidRPr="001D704A" w:rsidRDefault="00A553D2" w:rsidP="00123EB1">
      <w:pPr>
        <w:rPr>
          <w:rFonts w:ascii="Times New Roman" w:hAnsi="Times New Roman" w:cs="Times New Roman"/>
          <w:sz w:val="24"/>
          <w:szCs w:val="24"/>
        </w:rPr>
      </w:pPr>
    </w:p>
    <w:p w14:paraId="72164B02" w14:textId="77777777" w:rsidR="00A553D2" w:rsidRPr="001D704A" w:rsidRDefault="00A553D2"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5C487AD8" w14:textId="77777777" w:rsidR="00A553D2" w:rsidRPr="001D704A" w:rsidRDefault="00A553D2" w:rsidP="00123EB1">
      <w:pPr>
        <w:rPr>
          <w:rFonts w:ascii="Times New Roman" w:hAnsi="Times New Roman" w:cs="Times New Roman"/>
          <w:sz w:val="24"/>
          <w:szCs w:val="24"/>
        </w:rPr>
      </w:pPr>
    </w:p>
    <w:p w14:paraId="639D98B1" w14:textId="77777777" w:rsidR="00A553D2" w:rsidRPr="001D704A" w:rsidRDefault="00A553D2" w:rsidP="00123EB1">
      <w:pPr>
        <w:rPr>
          <w:rFonts w:ascii="Times New Roman" w:hAnsi="Times New Roman" w:cs="Times New Roman"/>
          <w:sz w:val="24"/>
          <w:szCs w:val="24"/>
        </w:rPr>
      </w:pPr>
      <w:r w:rsidRPr="001D704A">
        <w:rPr>
          <w:rFonts w:ascii="Times New Roman" w:hAnsi="Times New Roman" w:cs="Times New Roman"/>
          <w:sz w:val="24"/>
          <w:szCs w:val="24"/>
        </w:rPr>
        <w:t xml:space="preserve">The program incorporates activities that focus on promoting tolerance and acceptance of different (and specific) racial groups which are designed to benefit these racial groups by promoting an inclusive and respective community. </w:t>
      </w:r>
    </w:p>
    <w:p w14:paraId="6F333353" w14:textId="77777777" w:rsidR="00A553D2" w:rsidRPr="001D704A" w:rsidRDefault="00A553D2" w:rsidP="00123EB1">
      <w:pPr>
        <w:rPr>
          <w:rFonts w:ascii="Times New Roman" w:hAnsi="Times New Roman" w:cs="Times New Roman"/>
          <w:i/>
          <w:sz w:val="24"/>
          <w:szCs w:val="24"/>
          <w:u w:val="single"/>
        </w:rPr>
      </w:pPr>
    </w:p>
    <w:p w14:paraId="099FA5E5" w14:textId="7D4C3250" w:rsidR="00B60805" w:rsidRPr="001D704A" w:rsidRDefault="00546C98"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External affairs power</w:t>
      </w:r>
    </w:p>
    <w:p w14:paraId="4CABFD89" w14:textId="77777777" w:rsidR="00B60805" w:rsidRPr="001D704A" w:rsidRDefault="00B60805" w:rsidP="00123EB1">
      <w:pPr>
        <w:rPr>
          <w:rFonts w:ascii="Times New Roman" w:hAnsi="Times New Roman" w:cs="Times New Roman"/>
          <w:i/>
          <w:sz w:val="24"/>
          <w:szCs w:val="24"/>
          <w:u w:val="single"/>
        </w:rPr>
      </w:pPr>
    </w:p>
    <w:p w14:paraId="7D2A5396" w14:textId="77777777"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BD5A8D0" w14:textId="77777777" w:rsidR="00546C98" w:rsidRPr="001D704A" w:rsidRDefault="00546C98" w:rsidP="00123EB1">
      <w:pPr>
        <w:rPr>
          <w:rFonts w:ascii="Times New Roman" w:hAnsi="Times New Roman" w:cs="Times New Roman"/>
          <w:sz w:val="24"/>
          <w:szCs w:val="24"/>
        </w:rPr>
      </w:pPr>
    </w:p>
    <w:p w14:paraId="2EBA0F34" w14:textId="0B3E903F"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 xml:space="preserve">Australia has obligations relating to </w:t>
      </w:r>
      <w:r w:rsidR="00826E8E" w:rsidRPr="001D704A">
        <w:rPr>
          <w:rFonts w:ascii="Times New Roman" w:hAnsi="Times New Roman" w:cs="Times New Roman"/>
          <w:iCs/>
          <w:sz w:val="24"/>
          <w:szCs w:val="24"/>
        </w:rPr>
        <w:t>the</w:t>
      </w:r>
      <w:r w:rsidR="00826E8E" w:rsidRPr="001D704A">
        <w:rPr>
          <w:rFonts w:ascii="Times New Roman" w:hAnsi="Times New Roman" w:cs="Times New Roman"/>
          <w:i/>
          <w:iCs/>
          <w:sz w:val="24"/>
          <w:szCs w:val="24"/>
        </w:rPr>
        <w:t xml:space="preserve"> </w:t>
      </w:r>
      <w:r w:rsidRPr="001D704A">
        <w:rPr>
          <w:rFonts w:ascii="Times New Roman" w:hAnsi="Times New Roman" w:cs="Times New Roman"/>
          <w:sz w:val="24"/>
          <w:szCs w:val="24"/>
        </w:rPr>
        <w:t>CRC, the</w:t>
      </w:r>
      <w:r w:rsidRPr="001D704A">
        <w:rPr>
          <w:rFonts w:ascii="Times New Roman" w:hAnsi="Times New Roman" w:cs="Times New Roman"/>
          <w:iCs/>
          <w:sz w:val="24"/>
          <w:szCs w:val="24"/>
        </w:rPr>
        <w:t xml:space="preserve"> </w:t>
      </w:r>
      <w:r w:rsidRPr="001D704A">
        <w:rPr>
          <w:rFonts w:ascii="Times New Roman" w:hAnsi="Times New Roman" w:cs="Times New Roman"/>
          <w:i/>
          <w:iCs/>
          <w:sz w:val="24"/>
          <w:szCs w:val="24"/>
        </w:rPr>
        <w:t>International Convention on the Elimination of All Forms of Racial Discrimination</w:t>
      </w:r>
      <w:r w:rsidRPr="001D704A">
        <w:rPr>
          <w:rFonts w:ascii="Times New Roman" w:hAnsi="Times New Roman" w:cs="Times New Roman"/>
          <w:sz w:val="24"/>
          <w:szCs w:val="24"/>
        </w:rPr>
        <w:t xml:space="preserve"> (ICERD), the </w:t>
      </w:r>
      <w:r w:rsidRPr="001D704A">
        <w:rPr>
          <w:rFonts w:ascii="Times New Roman" w:hAnsi="Times New Roman" w:cs="Times New Roman"/>
          <w:i/>
          <w:iCs/>
          <w:sz w:val="24"/>
          <w:szCs w:val="24"/>
        </w:rPr>
        <w:t>International Covenant on Civil and Political Rights</w:t>
      </w:r>
      <w:r w:rsidRPr="001D704A">
        <w:rPr>
          <w:rFonts w:ascii="Times New Roman" w:hAnsi="Times New Roman" w:cs="Times New Roman"/>
          <w:sz w:val="24"/>
          <w:szCs w:val="24"/>
        </w:rPr>
        <w:t xml:space="preserve"> (ICCPR) and the</w:t>
      </w:r>
      <w:r w:rsidR="00E375D4" w:rsidRPr="001D704A">
        <w:rPr>
          <w:rFonts w:ascii="Times New Roman" w:hAnsi="Times New Roman" w:cs="Times New Roman"/>
          <w:sz w:val="24"/>
          <w:szCs w:val="24"/>
        </w:rPr>
        <w:t xml:space="preserve"> </w:t>
      </w:r>
      <w:r w:rsidRPr="001D704A">
        <w:rPr>
          <w:rFonts w:ascii="Times New Roman" w:hAnsi="Times New Roman" w:cs="Times New Roman"/>
          <w:sz w:val="24"/>
          <w:szCs w:val="24"/>
        </w:rPr>
        <w:t>ICESCR.</w:t>
      </w:r>
    </w:p>
    <w:p w14:paraId="32E5F6FD" w14:textId="77777777" w:rsidR="00546C98" w:rsidRPr="001D704A" w:rsidRDefault="00546C98" w:rsidP="00123EB1">
      <w:pPr>
        <w:rPr>
          <w:rFonts w:ascii="Times New Roman" w:hAnsi="Times New Roman" w:cs="Times New Roman"/>
          <w:sz w:val="24"/>
          <w:szCs w:val="24"/>
        </w:rPr>
      </w:pPr>
    </w:p>
    <w:p w14:paraId="3B410B1F" w14:textId="18B08C66" w:rsidR="00B60805" w:rsidRPr="001D704A" w:rsidRDefault="00A553D2" w:rsidP="00123EB1">
      <w:pPr>
        <w:rPr>
          <w:rFonts w:ascii="Times New Roman" w:hAnsi="Times New Roman" w:cs="Times New Roman"/>
          <w:sz w:val="24"/>
          <w:szCs w:val="24"/>
        </w:rPr>
      </w:pPr>
      <w:r w:rsidRPr="001D704A">
        <w:rPr>
          <w:rFonts w:ascii="Times New Roman" w:hAnsi="Times New Roman" w:cs="Times New Roman"/>
          <w:sz w:val="24"/>
          <w:szCs w:val="24"/>
        </w:rPr>
        <w:t>ICERD</w:t>
      </w:r>
    </w:p>
    <w:p w14:paraId="0DAD58A7" w14:textId="77777777" w:rsidR="00A553D2" w:rsidRPr="001D704A" w:rsidRDefault="00A553D2" w:rsidP="00123EB1">
      <w:pPr>
        <w:rPr>
          <w:rFonts w:ascii="Times New Roman" w:hAnsi="Times New Roman" w:cs="Times New Roman"/>
          <w:sz w:val="24"/>
          <w:szCs w:val="24"/>
        </w:rPr>
      </w:pPr>
    </w:p>
    <w:p w14:paraId="49547B7A" w14:textId="34FD0FD7"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Article 2 of the ICERD requires State</w:t>
      </w:r>
      <w:r w:rsidR="00A553D2" w:rsidRPr="001D704A">
        <w:rPr>
          <w:rFonts w:ascii="Times New Roman" w:hAnsi="Times New Roman" w:cs="Times New Roman"/>
          <w:sz w:val="24"/>
          <w:szCs w:val="24"/>
        </w:rPr>
        <w:t>s</w:t>
      </w:r>
      <w:r w:rsidRPr="001D704A">
        <w:rPr>
          <w:rFonts w:ascii="Times New Roman" w:hAnsi="Times New Roman" w:cs="Times New Roman"/>
          <w:sz w:val="24"/>
          <w:szCs w:val="24"/>
        </w:rPr>
        <w:t xml:space="preserve"> Parties to condemn racial discrimination and undertake ‘to pursue by all appropriate means … a policy of eliminating racial discrimination in all its forms and promoting understanding among all races’. </w:t>
      </w:r>
    </w:p>
    <w:p w14:paraId="4911E1A5" w14:textId="77777777" w:rsidR="00546C98" w:rsidRPr="001D704A" w:rsidRDefault="00546C98" w:rsidP="00123EB1">
      <w:pPr>
        <w:rPr>
          <w:rFonts w:ascii="Times New Roman" w:hAnsi="Times New Roman" w:cs="Times New Roman"/>
          <w:sz w:val="24"/>
          <w:szCs w:val="24"/>
        </w:rPr>
      </w:pPr>
    </w:p>
    <w:p w14:paraId="4E0A471D" w14:textId="3B8AFA51"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Article 7 requires State</w:t>
      </w:r>
      <w:r w:rsidR="00A553D2" w:rsidRPr="001D704A">
        <w:rPr>
          <w:rFonts w:ascii="Times New Roman" w:hAnsi="Times New Roman" w:cs="Times New Roman"/>
          <w:sz w:val="24"/>
          <w:szCs w:val="24"/>
        </w:rPr>
        <w:t>s</w:t>
      </w:r>
      <w:r w:rsidRPr="001D704A">
        <w:rPr>
          <w:rFonts w:ascii="Times New Roman" w:hAnsi="Times New Roman" w:cs="Times New Roman"/>
          <w:sz w:val="24"/>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w:t>
      </w:r>
    </w:p>
    <w:p w14:paraId="7B570B02" w14:textId="77777777" w:rsidR="00546C98" w:rsidRPr="001D704A" w:rsidRDefault="00546C98" w:rsidP="00123EB1">
      <w:pPr>
        <w:rPr>
          <w:rFonts w:ascii="Times New Roman" w:hAnsi="Times New Roman" w:cs="Times New Roman"/>
          <w:sz w:val="24"/>
          <w:szCs w:val="24"/>
        </w:rPr>
      </w:pPr>
    </w:p>
    <w:p w14:paraId="554E4602" w14:textId="6F405D36" w:rsidR="00546C98" w:rsidRPr="001D704A" w:rsidRDefault="0082019D" w:rsidP="00123EB1">
      <w:pPr>
        <w:rPr>
          <w:rFonts w:ascii="Times New Roman" w:hAnsi="Times New Roman" w:cs="Times New Roman"/>
          <w:sz w:val="24"/>
          <w:szCs w:val="24"/>
        </w:rPr>
      </w:pPr>
      <w:r w:rsidRPr="001D704A">
        <w:rPr>
          <w:rFonts w:ascii="Times New Roman" w:hAnsi="Times New Roman" w:cs="Times New Roman"/>
          <w:sz w:val="24"/>
          <w:szCs w:val="24"/>
        </w:rPr>
        <w:br w:type="column"/>
      </w:r>
      <w:r w:rsidR="00B60805" w:rsidRPr="001D704A">
        <w:rPr>
          <w:rFonts w:ascii="Times New Roman" w:hAnsi="Times New Roman" w:cs="Times New Roman"/>
          <w:sz w:val="24"/>
          <w:szCs w:val="24"/>
        </w:rPr>
        <w:lastRenderedPageBreak/>
        <w:t xml:space="preserve">The </w:t>
      </w:r>
      <w:r w:rsidR="00A553D2" w:rsidRPr="001D704A">
        <w:rPr>
          <w:rFonts w:ascii="Times New Roman" w:hAnsi="Times New Roman" w:cs="Times New Roman"/>
          <w:sz w:val="24"/>
          <w:szCs w:val="24"/>
        </w:rPr>
        <w:t>p</w:t>
      </w:r>
      <w:r w:rsidR="00B60805" w:rsidRPr="001D704A">
        <w:rPr>
          <w:rFonts w:ascii="Times New Roman" w:hAnsi="Times New Roman" w:cs="Times New Roman"/>
          <w:sz w:val="24"/>
          <w:szCs w:val="24"/>
        </w:rPr>
        <w:t xml:space="preserve">rogram promotes the objectives of </w:t>
      </w:r>
      <w:r w:rsidR="00A553D2" w:rsidRPr="001D704A">
        <w:rPr>
          <w:rFonts w:ascii="Times New Roman" w:hAnsi="Times New Roman" w:cs="Times New Roman"/>
          <w:sz w:val="24"/>
          <w:szCs w:val="24"/>
        </w:rPr>
        <w:t>A</w:t>
      </w:r>
      <w:r w:rsidR="00B60805" w:rsidRPr="001D704A">
        <w:rPr>
          <w:rFonts w:ascii="Times New Roman" w:hAnsi="Times New Roman" w:cs="Times New Roman"/>
          <w:sz w:val="24"/>
          <w:szCs w:val="24"/>
        </w:rPr>
        <w:t xml:space="preserve">rticles 2 and 7 of the ICERD through a variety of activities directed </w:t>
      </w:r>
      <w:r w:rsidR="00A553D2" w:rsidRPr="001D704A">
        <w:rPr>
          <w:rFonts w:ascii="Times New Roman" w:hAnsi="Times New Roman" w:cs="Times New Roman"/>
          <w:sz w:val="24"/>
          <w:szCs w:val="24"/>
        </w:rPr>
        <w:t>t</w:t>
      </w:r>
      <w:r w:rsidR="001A7531" w:rsidRPr="001D704A">
        <w:rPr>
          <w:rFonts w:ascii="Times New Roman" w:hAnsi="Times New Roman" w:cs="Times New Roman"/>
          <w:sz w:val="24"/>
          <w:szCs w:val="24"/>
        </w:rPr>
        <w:t>o</w:t>
      </w:r>
      <w:r w:rsidR="00A553D2" w:rsidRPr="001D704A">
        <w:rPr>
          <w:rFonts w:ascii="Times New Roman" w:hAnsi="Times New Roman" w:cs="Times New Roman"/>
          <w:sz w:val="24"/>
          <w:szCs w:val="24"/>
        </w:rPr>
        <w:t xml:space="preserve"> </w:t>
      </w:r>
      <w:r w:rsidR="00B60805" w:rsidRPr="001D704A">
        <w:rPr>
          <w:rFonts w:ascii="Times New Roman" w:hAnsi="Times New Roman" w:cs="Times New Roman"/>
          <w:sz w:val="24"/>
          <w:szCs w:val="24"/>
        </w:rPr>
        <w:t>preventing racial discrimination and promoting tolerance between different racial groups</w:t>
      </w:r>
      <w:r w:rsidR="00A553D2" w:rsidRPr="001D704A">
        <w:rPr>
          <w:rFonts w:ascii="Times New Roman" w:hAnsi="Times New Roman" w:cs="Times New Roman"/>
          <w:sz w:val="24"/>
          <w:szCs w:val="24"/>
        </w:rPr>
        <w:t>. F</w:t>
      </w:r>
      <w:r w:rsidR="00B60805" w:rsidRPr="001D704A">
        <w:rPr>
          <w:rFonts w:ascii="Times New Roman" w:hAnsi="Times New Roman" w:cs="Times New Roman"/>
          <w:sz w:val="24"/>
          <w:szCs w:val="24"/>
        </w:rPr>
        <w:t xml:space="preserve">or example, the </w:t>
      </w:r>
      <w:r w:rsidR="00A553D2" w:rsidRPr="001D704A">
        <w:rPr>
          <w:rFonts w:ascii="Times New Roman" w:hAnsi="Times New Roman" w:cs="Times New Roman"/>
          <w:sz w:val="24"/>
          <w:szCs w:val="24"/>
        </w:rPr>
        <w:t>ICUP</w:t>
      </w:r>
      <w:r w:rsidR="00B60805" w:rsidRPr="001D704A">
        <w:rPr>
          <w:rFonts w:ascii="Times New Roman" w:hAnsi="Times New Roman" w:cs="Times New Roman"/>
          <w:sz w:val="24"/>
          <w:szCs w:val="24"/>
        </w:rPr>
        <w:t xml:space="preserve"> aims to transform schools so that they are more culturally competent and inclusive. </w:t>
      </w:r>
    </w:p>
    <w:p w14:paraId="36E0A55A" w14:textId="77777777"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 xml:space="preserve"> </w:t>
      </w:r>
    </w:p>
    <w:p w14:paraId="64A3E73A" w14:textId="7495E33D" w:rsidR="00546C98" w:rsidRPr="001D704A" w:rsidRDefault="00A553D2" w:rsidP="00123EB1">
      <w:pPr>
        <w:rPr>
          <w:rFonts w:ascii="Times New Roman" w:hAnsi="Times New Roman" w:cs="Times New Roman"/>
          <w:sz w:val="24"/>
          <w:szCs w:val="24"/>
        </w:rPr>
      </w:pPr>
      <w:r w:rsidRPr="001D704A">
        <w:rPr>
          <w:rFonts w:ascii="Times New Roman" w:hAnsi="Times New Roman" w:cs="Times New Roman"/>
          <w:sz w:val="24"/>
          <w:szCs w:val="24"/>
        </w:rPr>
        <w:t>ICCPR</w:t>
      </w:r>
    </w:p>
    <w:p w14:paraId="353B9D16" w14:textId="77777777" w:rsidR="00A553D2" w:rsidRPr="001D704A" w:rsidRDefault="00A553D2" w:rsidP="00123EB1">
      <w:pPr>
        <w:rPr>
          <w:rFonts w:ascii="Times New Roman" w:hAnsi="Times New Roman" w:cs="Times New Roman"/>
          <w:sz w:val="24"/>
          <w:szCs w:val="24"/>
        </w:rPr>
      </w:pPr>
    </w:p>
    <w:p w14:paraId="7EEA97D9" w14:textId="78553A0E"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2 of the ICCPR requires </w:t>
      </w:r>
      <w:r w:rsidR="00A553D2" w:rsidRPr="001D704A">
        <w:rPr>
          <w:rFonts w:ascii="Times New Roman" w:hAnsi="Times New Roman" w:cs="Times New Roman"/>
          <w:sz w:val="24"/>
          <w:szCs w:val="24"/>
        </w:rPr>
        <w:t xml:space="preserve">the </w:t>
      </w:r>
      <w:r w:rsidRPr="001D704A">
        <w:rPr>
          <w:rFonts w:ascii="Times New Roman" w:hAnsi="Times New Roman" w:cs="Times New Roman"/>
          <w:sz w:val="24"/>
          <w:szCs w:val="24"/>
        </w:rPr>
        <w:t>States Parties to take measures to give effect to the rights recognised in the ICCPR.</w:t>
      </w:r>
    </w:p>
    <w:p w14:paraId="08D062BC" w14:textId="77777777" w:rsidR="00546C98" w:rsidRPr="001D704A" w:rsidRDefault="00546C98" w:rsidP="00123EB1">
      <w:pPr>
        <w:rPr>
          <w:rFonts w:ascii="Times New Roman" w:hAnsi="Times New Roman" w:cs="Times New Roman"/>
          <w:sz w:val="24"/>
          <w:szCs w:val="24"/>
        </w:rPr>
      </w:pPr>
    </w:p>
    <w:p w14:paraId="3D68865C" w14:textId="01163B65"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Article 18(1) of the ICCPR provides that ‘</w:t>
      </w:r>
      <w:r w:rsidR="00123EB1" w:rsidRPr="001D704A">
        <w:rPr>
          <w:rFonts w:ascii="Times New Roman" w:hAnsi="Times New Roman" w:cs="Times New Roman"/>
          <w:sz w:val="24"/>
          <w:szCs w:val="24"/>
        </w:rPr>
        <w:t>e</w:t>
      </w:r>
      <w:r w:rsidRPr="001D704A">
        <w:rPr>
          <w:rFonts w:ascii="Times New Roman" w:hAnsi="Times New Roman" w:cs="Times New Roman"/>
          <w:sz w:val="24"/>
          <w:szCs w:val="24"/>
        </w:rPr>
        <w:t>veryone shall have the right to freedom of thought, conscience and religion. This right shall include freedom to have or adopt a religion or belief of his choice, and freedom, either individually or in community with others in public or private, to manifest his religion or belief in worship, observance, practice and teaching.’</w:t>
      </w:r>
    </w:p>
    <w:p w14:paraId="620D90C4" w14:textId="77777777" w:rsidR="00A553D2" w:rsidRPr="001D704A" w:rsidRDefault="00A553D2" w:rsidP="00123EB1">
      <w:pPr>
        <w:rPr>
          <w:rFonts w:ascii="Times New Roman" w:hAnsi="Times New Roman" w:cs="Times New Roman"/>
          <w:sz w:val="24"/>
          <w:szCs w:val="24"/>
        </w:rPr>
      </w:pPr>
    </w:p>
    <w:p w14:paraId="6DF75CDF" w14:textId="77777777"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Further, Article 27 of the ICCPR provides that ‘minorities shall not be denied the right, in community with the other members of their group, to enjoy their own culture, to profess and practise their own religion, or to use their own language’.</w:t>
      </w:r>
    </w:p>
    <w:p w14:paraId="45B2D4F7" w14:textId="77777777" w:rsidR="00546C98" w:rsidRPr="001D704A" w:rsidRDefault="00546C98" w:rsidP="00123EB1">
      <w:pPr>
        <w:rPr>
          <w:rFonts w:ascii="Times New Roman" w:hAnsi="Times New Roman" w:cs="Times New Roman"/>
          <w:sz w:val="24"/>
          <w:szCs w:val="24"/>
        </w:rPr>
      </w:pPr>
    </w:p>
    <w:p w14:paraId="78A0EE9B" w14:textId="18908D7B" w:rsidR="00B60805" w:rsidRPr="001D704A" w:rsidRDefault="00546C98" w:rsidP="00123EB1">
      <w:pPr>
        <w:rPr>
          <w:rFonts w:ascii="Times New Roman" w:hAnsi="Times New Roman" w:cs="Times New Roman"/>
          <w:sz w:val="24"/>
          <w:szCs w:val="24"/>
        </w:rPr>
      </w:pPr>
      <w:r w:rsidRPr="001D704A">
        <w:rPr>
          <w:rFonts w:ascii="Times New Roman" w:hAnsi="Times New Roman" w:cs="Times New Roman"/>
          <w:sz w:val="24"/>
          <w:szCs w:val="24"/>
        </w:rPr>
        <w:t>The p</w:t>
      </w:r>
      <w:r w:rsidR="00B60805" w:rsidRPr="001D704A">
        <w:rPr>
          <w:rFonts w:ascii="Times New Roman" w:hAnsi="Times New Roman" w:cs="Times New Roman"/>
          <w:sz w:val="24"/>
          <w:szCs w:val="24"/>
        </w:rPr>
        <w:t xml:space="preserve">rogram activities are focused on preventing religious and racial discrimination, promoting tolerance and respect, and educating and providing services to children </w:t>
      </w:r>
      <w:r w:rsidR="00A553D2" w:rsidRPr="001D704A">
        <w:rPr>
          <w:rFonts w:ascii="Times New Roman" w:hAnsi="Times New Roman" w:cs="Times New Roman"/>
          <w:sz w:val="24"/>
          <w:szCs w:val="24"/>
        </w:rPr>
        <w:t>i</w:t>
      </w:r>
      <w:r w:rsidR="00B60805" w:rsidRPr="001D704A">
        <w:rPr>
          <w:rFonts w:ascii="Times New Roman" w:hAnsi="Times New Roman" w:cs="Times New Roman"/>
          <w:sz w:val="24"/>
          <w:szCs w:val="24"/>
        </w:rPr>
        <w:t>n relation to a number of relevant matters, including multiculturalism.</w:t>
      </w:r>
      <w:r w:rsidR="00A553D2" w:rsidRPr="001D704A" w:rsidDel="00A553D2">
        <w:rPr>
          <w:rFonts w:ascii="Times New Roman" w:hAnsi="Times New Roman" w:cs="Times New Roman"/>
          <w:sz w:val="24"/>
          <w:szCs w:val="24"/>
        </w:rPr>
        <w:t xml:space="preserve"> </w:t>
      </w:r>
    </w:p>
    <w:p w14:paraId="50EE9935" w14:textId="77777777" w:rsidR="00546C98" w:rsidRPr="001D704A" w:rsidRDefault="00546C98" w:rsidP="00123EB1">
      <w:pPr>
        <w:rPr>
          <w:rFonts w:ascii="Times New Roman" w:hAnsi="Times New Roman" w:cs="Times New Roman"/>
          <w:sz w:val="24"/>
          <w:szCs w:val="24"/>
        </w:rPr>
      </w:pPr>
    </w:p>
    <w:p w14:paraId="6C786B7B" w14:textId="47EC523D" w:rsidR="00B60805" w:rsidRPr="001D704A" w:rsidRDefault="00A553D2" w:rsidP="00123EB1">
      <w:pPr>
        <w:rPr>
          <w:rFonts w:ascii="Times New Roman" w:hAnsi="Times New Roman" w:cs="Times New Roman"/>
          <w:i/>
          <w:iCs/>
          <w:sz w:val="24"/>
          <w:szCs w:val="24"/>
        </w:rPr>
      </w:pPr>
      <w:r w:rsidRPr="001D704A">
        <w:rPr>
          <w:rFonts w:ascii="Times New Roman" w:hAnsi="Times New Roman" w:cs="Times New Roman"/>
          <w:iCs/>
          <w:sz w:val="24"/>
          <w:szCs w:val="24"/>
        </w:rPr>
        <w:t>CRC and ICESCR</w:t>
      </w:r>
    </w:p>
    <w:p w14:paraId="62C036BB" w14:textId="77777777" w:rsidR="00546C98" w:rsidRPr="001D704A" w:rsidRDefault="00546C98" w:rsidP="00123EB1">
      <w:pPr>
        <w:rPr>
          <w:rFonts w:ascii="Times New Roman" w:hAnsi="Times New Roman" w:cs="Times New Roman"/>
          <w:i/>
          <w:sz w:val="24"/>
          <w:szCs w:val="24"/>
        </w:rPr>
      </w:pPr>
    </w:p>
    <w:p w14:paraId="03009741" w14:textId="501BDBC8" w:rsidR="00B60805" w:rsidRPr="001D704A" w:rsidRDefault="00B60805" w:rsidP="00123EB1">
      <w:pPr>
        <w:rPr>
          <w:rFonts w:ascii="Times New Roman" w:hAnsi="Times New Roman" w:cs="Times New Roman"/>
          <w:sz w:val="24"/>
          <w:szCs w:val="24"/>
          <w:lang w:val="en-US"/>
        </w:rPr>
      </w:pPr>
      <w:r w:rsidRPr="001D704A">
        <w:rPr>
          <w:rFonts w:ascii="Times New Roman" w:hAnsi="Times New Roman" w:cs="Times New Roman"/>
          <w:sz w:val="24"/>
          <w:szCs w:val="24"/>
          <w:lang w:val="en-US"/>
        </w:rPr>
        <w:t>Article 4 of the CRC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48B73AA1" w14:textId="77777777" w:rsidR="00546C98" w:rsidRPr="001D704A" w:rsidRDefault="00546C98" w:rsidP="00123EB1">
      <w:pPr>
        <w:rPr>
          <w:rFonts w:ascii="Times New Roman" w:hAnsi="Times New Roman" w:cs="Times New Roman"/>
          <w:sz w:val="24"/>
          <w:szCs w:val="24"/>
          <w:lang w:val="en-US"/>
        </w:rPr>
      </w:pPr>
    </w:p>
    <w:p w14:paraId="38511E2A" w14:textId="0A58B01E" w:rsidR="00B60805" w:rsidRPr="001D704A" w:rsidRDefault="00B60805" w:rsidP="00123EB1">
      <w:pPr>
        <w:rPr>
          <w:rFonts w:ascii="Times New Roman" w:hAnsi="Times New Roman" w:cs="Times New Roman"/>
          <w:sz w:val="24"/>
          <w:szCs w:val="24"/>
          <w:lang w:val="en-US"/>
        </w:rPr>
      </w:pPr>
      <w:r w:rsidRPr="001D704A">
        <w:rPr>
          <w:rFonts w:ascii="Times New Roman" w:hAnsi="Times New Roman" w:cs="Times New Roman"/>
          <w:sz w:val="24"/>
          <w:szCs w:val="24"/>
          <w:lang w:val="en-US"/>
        </w:rPr>
        <w:t xml:space="preserve">Article 29 of the CRC is concerned with the right to education and obliges </w:t>
      </w:r>
      <w:r w:rsidR="00E13FB6" w:rsidRPr="001D704A">
        <w:rPr>
          <w:rFonts w:ascii="Times New Roman" w:hAnsi="Times New Roman" w:cs="Times New Roman"/>
          <w:sz w:val="24"/>
          <w:szCs w:val="24"/>
          <w:lang w:val="en-US"/>
        </w:rPr>
        <w:t>States P</w:t>
      </w:r>
      <w:r w:rsidRPr="001D704A">
        <w:rPr>
          <w:rFonts w:ascii="Times New Roman" w:hAnsi="Times New Roman" w:cs="Times New Roman"/>
          <w:sz w:val="24"/>
          <w:szCs w:val="24"/>
          <w:lang w:val="en-US"/>
        </w:rPr>
        <w:t>arties to direct education towards (amongst other things):</w:t>
      </w:r>
    </w:p>
    <w:p w14:paraId="1AFEFC6A" w14:textId="77777777" w:rsidR="00B60805" w:rsidRPr="001D704A" w:rsidRDefault="00B60805" w:rsidP="00123EB1">
      <w:pPr>
        <w:numPr>
          <w:ilvl w:val="2"/>
          <w:numId w:val="33"/>
        </w:numPr>
        <w:rPr>
          <w:rFonts w:ascii="Times New Roman" w:hAnsi="Times New Roman" w:cs="Times New Roman"/>
          <w:sz w:val="24"/>
          <w:szCs w:val="24"/>
          <w:lang w:val="en-US"/>
        </w:rPr>
      </w:pPr>
      <w:r w:rsidRPr="001D704A">
        <w:rPr>
          <w:rFonts w:ascii="Times New Roman" w:hAnsi="Times New Roman" w:cs="Times New Roman"/>
          <w:sz w:val="24"/>
          <w:szCs w:val="24"/>
          <w:lang w:val="en-US"/>
        </w:rPr>
        <w:t>the development of the child’s personality, talent and mental and physical abilities to their fullest potential (Article 29(1)(a));</w:t>
      </w:r>
    </w:p>
    <w:p w14:paraId="4326291A" w14:textId="77777777" w:rsidR="00B60805" w:rsidRPr="001D704A" w:rsidRDefault="00B60805" w:rsidP="00123EB1">
      <w:pPr>
        <w:numPr>
          <w:ilvl w:val="2"/>
          <w:numId w:val="33"/>
        </w:numPr>
        <w:rPr>
          <w:rFonts w:ascii="Times New Roman" w:hAnsi="Times New Roman" w:cs="Times New Roman"/>
          <w:sz w:val="24"/>
          <w:szCs w:val="24"/>
          <w:lang w:val="en-US"/>
        </w:rPr>
      </w:pPr>
      <w:r w:rsidRPr="001D704A">
        <w:rPr>
          <w:rFonts w:ascii="Times New Roman" w:hAnsi="Times New Roman" w:cs="Times New Roman"/>
          <w:sz w:val="24"/>
          <w:szCs w:val="24"/>
          <w:lang w:val="en-US"/>
        </w:rPr>
        <w:t>the development of respect for human rights and fundamental freedoms, and for the principles enshrined in the Charter of the United Nations (Article 29(1)(b)); and</w:t>
      </w:r>
    </w:p>
    <w:p w14:paraId="2A03A5EF" w14:textId="07691C4F" w:rsidR="00B60805" w:rsidRPr="001D704A" w:rsidRDefault="00B60805" w:rsidP="00123EB1">
      <w:pPr>
        <w:numPr>
          <w:ilvl w:val="2"/>
          <w:numId w:val="33"/>
        </w:numPr>
        <w:rPr>
          <w:rFonts w:ascii="Times New Roman" w:hAnsi="Times New Roman" w:cs="Times New Roman"/>
          <w:sz w:val="24"/>
          <w:szCs w:val="24"/>
          <w:lang w:val="en-US"/>
        </w:rPr>
      </w:pPr>
      <w:r w:rsidRPr="001D704A">
        <w:rPr>
          <w:rFonts w:ascii="Times New Roman" w:hAnsi="Times New Roman" w:cs="Times New Roman"/>
          <w:sz w:val="24"/>
          <w:szCs w:val="24"/>
          <w:lang w:val="en-US"/>
        </w:rPr>
        <w:t>the development of respect for the child</w:t>
      </w:r>
      <w:r w:rsidR="00E13FB6" w:rsidRPr="001D704A">
        <w:rPr>
          <w:rFonts w:ascii="Times New Roman" w:hAnsi="Times New Roman" w:cs="Times New Roman"/>
          <w:sz w:val="24"/>
          <w:szCs w:val="24"/>
          <w:lang w:val="en-US"/>
        </w:rPr>
        <w:t>’</w:t>
      </w:r>
      <w:r w:rsidRPr="001D704A">
        <w:rPr>
          <w:rFonts w:ascii="Times New Roman" w:hAnsi="Times New Roman" w:cs="Times New Roman"/>
          <w:sz w:val="24"/>
          <w:szCs w:val="24"/>
          <w:lang w:val="en-US"/>
        </w:rPr>
        <w:t>s …  cultural identity, language and values, for the national values of the country in which the child is living, the country from which he or she may originate, and for civilizations different from his or her own (Article 29(1)(c)).</w:t>
      </w:r>
    </w:p>
    <w:p w14:paraId="69019358" w14:textId="77777777" w:rsidR="00546C98" w:rsidRPr="001D704A" w:rsidRDefault="00546C98" w:rsidP="00123EB1">
      <w:pPr>
        <w:rPr>
          <w:rFonts w:ascii="Times New Roman" w:hAnsi="Times New Roman" w:cs="Times New Roman"/>
          <w:sz w:val="24"/>
          <w:szCs w:val="24"/>
          <w:lang w:val="en-US"/>
        </w:rPr>
      </w:pPr>
    </w:p>
    <w:p w14:paraId="7C7E88C8" w14:textId="666FB905" w:rsidR="00B60805" w:rsidRPr="001D704A" w:rsidRDefault="00B60805" w:rsidP="00123EB1">
      <w:pPr>
        <w:rPr>
          <w:rFonts w:ascii="Times New Roman" w:hAnsi="Times New Roman" w:cs="Times New Roman"/>
          <w:sz w:val="24"/>
          <w:szCs w:val="24"/>
          <w:lang w:val="en-US"/>
        </w:rPr>
      </w:pPr>
      <w:r w:rsidRPr="001D704A">
        <w:rPr>
          <w:rFonts w:ascii="Times New Roman" w:hAnsi="Times New Roman" w:cs="Times New Roman"/>
          <w:sz w:val="24"/>
          <w:szCs w:val="24"/>
          <w:lang w:val="en-US"/>
        </w:rPr>
        <w:t>Article 2(1) of the ICESCR provides that ‘</w:t>
      </w:r>
      <w:r w:rsidR="00E13FB6" w:rsidRPr="001D704A">
        <w:rPr>
          <w:rFonts w:ascii="Times New Roman" w:hAnsi="Times New Roman" w:cs="Times New Roman"/>
          <w:sz w:val="24"/>
          <w:szCs w:val="24"/>
          <w:lang w:val="en-US"/>
        </w:rPr>
        <w:t>[e]</w:t>
      </w:r>
      <w:r w:rsidRPr="001D704A">
        <w:rPr>
          <w:rFonts w:ascii="Times New Roman" w:hAnsi="Times New Roman" w:cs="Times New Roman"/>
          <w:sz w:val="24"/>
          <w:szCs w:val="24"/>
          <w:lang w:val="en-US"/>
        </w:rPr>
        <w:t>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36C43C47" w14:textId="77777777" w:rsidR="00E13FB6" w:rsidRPr="001D704A" w:rsidRDefault="00E13FB6" w:rsidP="00123EB1">
      <w:pPr>
        <w:rPr>
          <w:rFonts w:ascii="Times New Roman" w:hAnsi="Times New Roman" w:cs="Times New Roman"/>
          <w:sz w:val="24"/>
          <w:szCs w:val="24"/>
          <w:lang w:val="en-US"/>
        </w:rPr>
      </w:pPr>
    </w:p>
    <w:p w14:paraId="5ACE2845" w14:textId="6734F246" w:rsidR="00B60805" w:rsidRPr="001D704A" w:rsidRDefault="0082019D" w:rsidP="00123EB1">
      <w:pPr>
        <w:rPr>
          <w:rFonts w:ascii="Times New Roman" w:hAnsi="Times New Roman" w:cs="Times New Roman"/>
          <w:sz w:val="24"/>
          <w:szCs w:val="24"/>
        </w:rPr>
      </w:pPr>
      <w:r w:rsidRPr="001D704A">
        <w:rPr>
          <w:rFonts w:ascii="Times New Roman" w:hAnsi="Times New Roman" w:cs="Times New Roman"/>
          <w:sz w:val="24"/>
          <w:szCs w:val="24"/>
          <w:lang w:val="en-US"/>
        </w:rPr>
        <w:br w:type="column"/>
      </w:r>
      <w:r w:rsidR="00B60805" w:rsidRPr="001D704A">
        <w:rPr>
          <w:rFonts w:ascii="Times New Roman" w:hAnsi="Times New Roman" w:cs="Times New Roman"/>
          <w:sz w:val="24"/>
          <w:szCs w:val="24"/>
          <w:lang w:val="en-US"/>
        </w:rPr>
        <w:lastRenderedPageBreak/>
        <w:t xml:space="preserve">Consistent with Article 29 of the CRC, Article 13(1) of </w:t>
      </w:r>
      <w:r w:rsidR="00E13FB6" w:rsidRPr="001D704A">
        <w:rPr>
          <w:rFonts w:ascii="Times New Roman" w:hAnsi="Times New Roman" w:cs="Times New Roman"/>
          <w:sz w:val="24"/>
          <w:szCs w:val="24"/>
          <w:lang w:val="en-US"/>
        </w:rPr>
        <w:t xml:space="preserve">the </w:t>
      </w:r>
      <w:r w:rsidR="00B60805" w:rsidRPr="001D704A">
        <w:rPr>
          <w:rFonts w:ascii="Times New Roman" w:hAnsi="Times New Roman" w:cs="Times New Roman"/>
          <w:sz w:val="24"/>
          <w:szCs w:val="24"/>
          <w:lang w:val="en-US"/>
        </w:rPr>
        <w:t>ICESCR is directed to the right to education.</w:t>
      </w:r>
      <w:r w:rsidR="00E13FB6" w:rsidRPr="001D704A">
        <w:rPr>
          <w:rFonts w:ascii="Times New Roman" w:hAnsi="Times New Roman" w:cs="Times New Roman"/>
          <w:sz w:val="24"/>
          <w:szCs w:val="24"/>
          <w:lang w:val="en-US"/>
        </w:rPr>
        <w:t xml:space="preserve"> It states that </w:t>
      </w:r>
      <w:r w:rsidR="00B60805" w:rsidRPr="001D704A">
        <w:rPr>
          <w:rFonts w:ascii="Times New Roman" w:hAnsi="Times New Roman" w:cs="Times New Roman"/>
          <w:sz w:val="24"/>
          <w:szCs w:val="24"/>
        </w:rPr>
        <w:t>‘</w:t>
      </w:r>
      <w:r w:rsidR="00E13FB6" w:rsidRPr="001D704A">
        <w:rPr>
          <w:rFonts w:ascii="Times New Roman" w:hAnsi="Times New Roman" w:cs="Times New Roman"/>
          <w:sz w:val="24"/>
          <w:szCs w:val="24"/>
        </w:rPr>
        <w:t>[t]</w:t>
      </w:r>
      <w:r w:rsidR="00B60805" w:rsidRPr="001D704A">
        <w:rPr>
          <w:rFonts w:ascii="Times New Roman" w:hAnsi="Times New Roman" w:cs="Times New Roman"/>
          <w:sz w:val="24"/>
          <w:szCs w:val="24"/>
        </w:rPr>
        <w: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31EBBAB4" w14:textId="77777777" w:rsidR="00546C98" w:rsidRPr="001D704A" w:rsidRDefault="00546C98" w:rsidP="00123EB1">
      <w:pPr>
        <w:rPr>
          <w:rFonts w:ascii="Times New Roman" w:hAnsi="Times New Roman" w:cs="Times New Roman"/>
          <w:sz w:val="24"/>
          <w:szCs w:val="24"/>
        </w:rPr>
      </w:pPr>
    </w:p>
    <w:p w14:paraId="3B666ADA" w14:textId="3F0928EE"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546C98"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activities are primarily aimed at school students and focus on fostering respect, tolerance and understanding of different cultures and religion and support students to exercise. Many of the activities take place in school settings and include </w:t>
      </w:r>
      <w:r w:rsidR="00E13FB6" w:rsidRPr="001D704A">
        <w:rPr>
          <w:rFonts w:ascii="Times New Roman" w:hAnsi="Times New Roman" w:cs="Times New Roman"/>
          <w:sz w:val="24"/>
          <w:szCs w:val="24"/>
        </w:rPr>
        <w:t>s</w:t>
      </w:r>
      <w:r w:rsidRPr="001D704A">
        <w:rPr>
          <w:rFonts w:ascii="Times New Roman" w:hAnsi="Times New Roman" w:cs="Times New Roman"/>
          <w:sz w:val="24"/>
          <w:szCs w:val="24"/>
        </w:rPr>
        <w:t xml:space="preserve">chool </w:t>
      </w:r>
      <w:r w:rsidR="00E13FB6" w:rsidRPr="001D704A">
        <w:rPr>
          <w:rFonts w:ascii="Times New Roman" w:hAnsi="Times New Roman" w:cs="Times New Roman"/>
          <w:sz w:val="24"/>
          <w:szCs w:val="24"/>
        </w:rPr>
        <w:t>p</w:t>
      </w:r>
      <w:r w:rsidRPr="001D704A">
        <w:rPr>
          <w:rFonts w:ascii="Times New Roman" w:hAnsi="Times New Roman" w:cs="Times New Roman"/>
          <w:sz w:val="24"/>
          <w:szCs w:val="24"/>
        </w:rPr>
        <w:t>artnership</w:t>
      </w:r>
      <w:r w:rsidR="00E13FB6" w:rsidRPr="001D704A">
        <w:rPr>
          <w:rFonts w:ascii="Times New Roman" w:hAnsi="Times New Roman" w:cs="Times New Roman"/>
          <w:sz w:val="24"/>
          <w:szCs w:val="24"/>
        </w:rPr>
        <w:t>s</w:t>
      </w:r>
      <w:r w:rsidRPr="001D704A">
        <w:rPr>
          <w:rFonts w:ascii="Times New Roman" w:hAnsi="Times New Roman" w:cs="Times New Roman"/>
          <w:sz w:val="24"/>
          <w:szCs w:val="24"/>
        </w:rPr>
        <w:t xml:space="preserve"> and a teacher professional learning course to train teachers on practical approaches to working in diverse classrooms and creating culturally competent students. </w:t>
      </w:r>
    </w:p>
    <w:p w14:paraId="631DF067" w14:textId="77777777" w:rsidR="00546C98" w:rsidRPr="001D704A" w:rsidRDefault="00546C98" w:rsidP="00123EB1">
      <w:pPr>
        <w:rPr>
          <w:rFonts w:ascii="Times New Roman" w:hAnsi="Times New Roman" w:cs="Times New Roman"/>
          <w:sz w:val="24"/>
          <w:szCs w:val="24"/>
        </w:rPr>
      </w:pPr>
    </w:p>
    <w:p w14:paraId="0E9C9D00" w14:textId="77777777" w:rsidR="00B60805" w:rsidRPr="001D704A" w:rsidRDefault="00B60805"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The express incidenta</w:t>
      </w:r>
      <w:r w:rsidR="00546C98" w:rsidRPr="001D704A">
        <w:rPr>
          <w:rFonts w:ascii="Times New Roman" w:hAnsi="Times New Roman" w:cs="Times New Roman"/>
          <w:i/>
          <w:sz w:val="24"/>
          <w:szCs w:val="24"/>
          <w:u w:val="single"/>
        </w:rPr>
        <w:t>l power and the executive power</w:t>
      </w:r>
      <w:r w:rsidRPr="001D704A">
        <w:rPr>
          <w:rFonts w:ascii="Times New Roman" w:hAnsi="Times New Roman" w:cs="Times New Roman"/>
          <w:i/>
          <w:sz w:val="24"/>
          <w:szCs w:val="24"/>
          <w:u w:val="single"/>
        </w:rPr>
        <w:t>, including the nationhood aspect</w:t>
      </w:r>
    </w:p>
    <w:p w14:paraId="293FCCF6" w14:textId="77777777" w:rsidR="00C40FD3" w:rsidRPr="001D704A" w:rsidRDefault="00C40FD3" w:rsidP="00123EB1">
      <w:pPr>
        <w:rPr>
          <w:rFonts w:ascii="Times New Roman" w:hAnsi="Times New Roman" w:cs="Times New Roman"/>
          <w:i/>
          <w:sz w:val="24"/>
          <w:szCs w:val="24"/>
          <w:u w:val="single"/>
        </w:rPr>
      </w:pPr>
    </w:p>
    <w:p w14:paraId="0FA6C98B" w14:textId="77777777" w:rsidR="00B60805" w:rsidRPr="001D704A" w:rsidRDefault="00B60805" w:rsidP="00123EB1">
      <w:pPr>
        <w:rPr>
          <w:rFonts w:ascii="Times New Roman" w:hAnsi="Times New Roman" w:cs="Times New Roman"/>
          <w:sz w:val="24"/>
          <w:szCs w:val="24"/>
        </w:rPr>
      </w:pPr>
      <w:r w:rsidRPr="001D704A">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0C8E9A9D" w14:textId="77777777" w:rsidR="00546C98" w:rsidRPr="001D704A" w:rsidRDefault="00546C98" w:rsidP="00123EB1">
      <w:pPr>
        <w:rPr>
          <w:rFonts w:ascii="Times New Roman" w:hAnsi="Times New Roman" w:cs="Times New Roman"/>
          <w:sz w:val="24"/>
          <w:szCs w:val="24"/>
        </w:rPr>
      </w:pPr>
    </w:p>
    <w:p w14:paraId="55CE2697" w14:textId="77777777" w:rsidR="00B60805" w:rsidRPr="001D704A" w:rsidRDefault="00546C98" w:rsidP="00123EB1">
      <w:pPr>
        <w:rPr>
          <w:rFonts w:ascii="Times New Roman" w:hAnsi="Times New Roman" w:cs="Times New Roman"/>
          <w:sz w:val="24"/>
          <w:szCs w:val="24"/>
        </w:rPr>
      </w:pPr>
      <w:r w:rsidRPr="001D704A">
        <w:rPr>
          <w:rFonts w:ascii="Times New Roman" w:hAnsi="Times New Roman" w:cs="Times New Roman"/>
          <w:sz w:val="24"/>
          <w:szCs w:val="24"/>
        </w:rPr>
        <w:t>The p</w:t>
      </w:r>
      <w:r w:rsidR="00B60805" w:rsidRPr="001D704A">
        <w:rPr>
          <w:rFonts w:ascii="Times New Roman" w:hAnsi="Times New Roman" w:cs="Times New Roman"/>
          <w:sz w:val="24"/>
          <w:szCs w:val="24"/>
        </w:rPr>
        <w:t xml:space="preserve">rogram includes the following relevant aspects: </w:t>
      </w:r>
    </w:p>
    <w:p w14:paraId="60AB597A" w14:textId="77777777" w:rsidR="00B60805" w:rsidRPr="001D704A" w:rsidRDefault="00B60805" w:rsidP="00123EB1">
      <w:pPr>
        <w:numPr>
          <w:ilvl w:val="0"/>
          <w:numId w:val="35"/>
        </w:numPr>
        <w:rPr>
          <w:rFonts w:ascii="Times New Roman" w:hAnsi="Times New Roman" w:cs="Times New Roman"/>
          <w:sz w:val="24"/>
          <w:szCs w:val="24"/>
        </w:rPr>
      </w:pPr>
      <w:r w:rsidRPr="001D704A">
        <w:rPr>
          <w:rFonts w:ascii="Times New Roman" w:hAnsi="Times New Roman" w:cs="Times New Roman"/>
          <w:sz w:val="24"/>
          <w:szCs w:val="24"/>
        </w:rPr>
        <w:t>research activities into social cohesion;</w:t>
      </w:r>
    </w:p>
    <w:p w14:paraId="2894895E" w14:textId="77777777" w:rsidR="00B60805" w:rsidRPr="001D704A" w:rsidRDefault="00B60805" w:rsidP="00123EB1">
      <w:pPr>
        <w:numPr>
          <w:ilvl w:val="0"/>
          <w:numId w:val="35"/>
        </w:numPr>
        <w:rPr>
          <w:rFonts w:ascii="Times New Roman" w:hAnsi="Times New Roman" w:cs="Times New Roman"/>
          <w:sz w:val="24"/>
          <w:szCs w:val="24"/>
        </w:rPr>
      </w:pPr>
      <w:r w:rsidRPr="001D704A">
        <w:rPr>
          <w:rFonts w:ascii="Times New Roman" w:hAnsi="Times New Roman" w:cs="Times New Roman"/>
          <w:sz w:val="24"/>
          <w:szCs w:val="24"/>
        </w:rPr>
        <w:t>educational activities directed to educating young people (in particular) in relation to Australian civics and citizenship; and</w:t>
      </w:r>
    </w:p>
    <w:p w14:paraId="6566B223" w14:textId="77777777" w:rsidR="00B60805" w:rsidRPr="001D704A" w:rsidRDefault="00B60805" w:rsidP="00123EB1">
      <w:pPr>
        <w:numPr>
          <w:ilvl w:val="0"/>
          <w:numId w:val="35"/>
        </w:numPr>
        <w:rPr>
          <w:rFonts w:ascii="Times New Roman" w:hAnsi="Times New Roman" w:cs="Times New Roman"/>
          <w:sz w:val="24"/>
          <w:szCs w:val="24"/>
        </w:rPr>
      </w:pPr>
      <w:r w:rsidRPr="001D704A">
        <w:rPr>
          <w:rFonts w:ascii="Times New Roman" w:hAnsi="Times New Roman" w:cs="Times New Roman"/>
          <w:sz w:val="24"/>
          <w:szCs w:val="24"/>
        </w:rPr>
        <w:t xml:space="preserve">activities that are directed to reducing racial, cultural and religious intolerance and strengthening social cohesion between different groups, community harmony and cross-cultural understanding, to counter potential radicalisation and violence based on racial, ethnic, religious or cultural differences. </w:t>
      </w:r>
    </w:p>
    <w:p w14:paraId="2FCCE47F" w14:textId="77777777" w:rsidR="00546C98" w:rsidRPr="001D704A" w:rsidRDefault="00546C98" w:rsidP="00123EB1">
      <w:pPr>
        <w:rPr>
          <w:rFonts w:ascii="Times New Roman" w:hAnsi="Times New Roman" w:cs="Times New Roman"/>
          <w:sz w:val="24"/>
          <w:szCs w:val="24"/>
        </w:rPr>
      </w:pPr>
    </w:p>
    <w:p w14:paraId="37C97387" w14:textId="77777777" w:rsidR="00411489" w:rsidRPr="001D704A" w:rsidRDefault="00411489" w:rsidP="00123EB1">
      <w:pPr>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Item 2 – Part 4 of Schedule 1AB (table item 222, column headed “Program”)</w:t>
      </w:r>
    </w:p>
    <w:p w14:paraId="4661D61D" w14:textId="77777777" w:rsidR="00411489" w:rsidRPr="001D704A" w:rsidRDefault="00411489" w:rsidP="00123EB1">
      <w:pPr>
        <w:rPr>
          <w:rFonts w:ascii="Times New Roman" w:hAnsi="Times New Roman" w:cs="Times New Roman"/>
          <w:b/>
          <w:color w:val="000000" w:themeColor="text1"/>
          <w:sz w:val="24"/>
          <w:szCs w:val="24"/>
        </w:rPr>
      </w:pPr>
    </w:p>
    <w:p w14:paraId="325FE8BC" w14:textId="7DAAEFEA"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 222 in Part 4 of Schedule 1AB establishes legislative authority for government spending on the Flexible Literacy Remote Primary Schools Program, which funds training for teachers at remote primary schools to enable them to adopt explicit instruction teaching methods in relation to literacy, numeracy and science to improve the skills and knowledge of students in remote locations, particularly Aboriginal and Torres Strait Islander students.</w:t>
      </w:r>
    </w:p>
    <w:p w14:paraId="247031BD" w14:textId="77777777" w:rsidR="00411489" w:rsidRPr="001D704A" w:rsidRDefault="00411489" w:rsidP="00123EB1">
      <w:pPr>
        <w:rPr>
          <w:rFonts w:ascii="Times New Roman" w:hAnsi="Times New Roman" w:cs="Times New Roman"/>
          <w:color w:val="000000" w:themeColor="text1"/>
          <w:sz w:val="24"/>
          <w:szCs w:val="24"/>
        </w:rPr>
      </w:pPr>
    </w:p>
    <w:p w14:paraId="7F30F766"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program received funding of $5.8 million over four years from 2020-21 as part of the Students Support Package in the 2020-21 Budget, to include numeracy and science in up to 10 remote and very remote schools. More recently, the Government has committed additional funding of $5 million over four years from 2021-22, as part of Closing the Gap initiatives, for the program to increase teacher pedagogical skills in literacy from 10 to 20 schools. </w:t>
      </w:r>
    </w:p>
    <w:p w14:paraId="148FF8CC" w14:textId="77777777" w:rsidR="00411489" w:rsidRPr="001D704A" w:rsidRDefault="00411489" w:rsidP="00123EB1">
      <w:pPr>
        <w:rPr>
          <w:rFonts w:ascii="Times New Roman" w:hAnsi="Times New Roman" w:cs="Times New Roman"/>
          <w:color w:val="000000" w:themeColor="text1"/>
          <w:sz w:val="24"/>
          <w:szCs w:val="24"/>
        </w:rPr>
      </w:pPr>
    </w:p>
    <w:p w14:paraId="72485D95"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To facilitate this expansion, the participating schools will no longer be limited to remote and very remote locations but rather be selected on the basis of educational disadvantage, particularly targeting Aboriginal and Torres Strait Islander students. The below amendments </w:t>
      </w:r>
      <w:r w:rsidRPr="001D704A">
        <w:rPr>
          <w:rFonts w:ascii="Times New Roman" w:hAnsi="Times New Roman" w:cs="Times New Roman"/>
          <w:color w:val="000000" w:themeColor="text1"/>
          <w:sz w:val="24"/>
          <w:szCs w:val="24"/>
        </w:rPr>
        <w:lastRenderedPageBreak/>
        <w:t xml:space="preserve">to table item 222 give effect to this expansion in focus and geography of the program, with an associated change to the program name.  </w:t>
      </w:r>
    </w:p>
    <w:p w14:paraId="5D3B152A" w14:textId="77777777" w:rsidR="00411489" w:rsidRPr="001D704A" w:rsidRDefault="00411489" w:rsidP="00123EB1">
      <w:pPr>
        <w:rPr>
          <w:rFonts w:ascii="Times New Roman" w:hAnsi="Times New Roman" w:cs="Times New Roman"/>
          <w:color w:val="000000" w:themeColor="text1"/>
          <w:sz w:val="24"/>
          <w:szCs w:val="24"/>
        </w:rPr>
      </w:pPr>
    </w:p>
    <w:p w14:paraId="3EA7C5CC"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Item 2 updates program name in column headed “Program” of table item 222. The new program name “Explicit Instruction Teaching Program” will more accurately reflect the expanded scope and nature of the program. For clarity, the Explicit Instruction Teaching Program is a continuation of the Flexible Literacy Remote Primary Schools Program (albeit in an expanded form).</w:t>
      </w:r>
    </w:p>
    <w:p w14:paraId="455BFF45" w14:textId="77777777" w:rsidR="00411489" w:rsidRPr="001D704A" w:rsidRDefault="00411489" w:rsidP="00123EB1">
      <w:pPr>
        <w:rPr>
          <w:rFonts w:ascii="Times New Roman" w:hAnsi="Times New Roman" w:cs="Times New Roman"/>
          <w:b/>
          <w:color w:val="000000" w:themeColor="text1"/>
          <w:sz w:val="24"/>
          <w:szCs w:val="24"/>
        </w:rPr>
      </w:pPr>
    </w:p>
    <w:p w14:paraId="755CE3F0" w14:textId="77777777" w:rsidR="00411489" w:rsidRPr="001D704A" w:rsidRDefault="00411489" w:rsidP="00123EB1">
      <w:pPr>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Item 3 – Part 4 of Schedule 1AB (table item 222, column headed “Objective(s)”)</w:t>
      </w:r>
    </w:p>
    <w:p w14:paraId="07A16148" w14:textId="77777777" w:rsidR="00411489" w:rsidRPr="001D704A" w:rsidRDefault="00411489" w:rsidP="00123EB1">
      <w:pPr>
        <w:rPr>
          <w:rFonts w:ascii="Times New Roman" w:hAnsi="Times New Roman" w:cs="Times New Roman"/>
          <w:b/>
          <w:color w:val="000000" w:themeColor="text1"/>
          <w:sz w:val="24"/>
          <w:szCs w:val="24"/>
        </w:rPr>
      </w:pPr>
    </w:p>
    <w:p w14:paraId="551DBAA2" w14:textId="77777777" w:rsidR="00411489" w:rsidRPr="001D704A" w:rsidRDefault="00411489" w:rsidP="00123EB1">
      <w:pPr>
        <w:rPr>
          <w:rFonts w:ascii="Times New Roman" w:hAnsi="Times New Roman" w:cs="Times New Roman"/>
          <w:iCs/>
          <w:color w:val="000000" w:themeColor="text1"/>
          <w:sz w:val="24"/>
          <w:szCs w:val="24"/>
        </w:rPr>
      </w:pPr>
      <w:r w:rsidRPr="001D704A">
        <w:rPr>
          <w:rFonts w:ascii="Times New Roman" w:hAnsi="Times New Roman" w:cs="Times New Roman"/>
          <w:color w:val="000000" w:themeColor="text1"/>
          <w:sz w:val="24"/>
          <w:szCs w:val="24"/>
        </w:rPr>
        <w:t xml:space="preserve">Item 3 omits “at remote” from column headed “Objective(s)” of table item 222 and substitutes “at educationally disadvantaged”. This amendment removes the limitation on participating schools to be located in remote and very remote geographical areas only and refocuses the program on educationally disadvantaged primary schools.  </w:t>
      </w:r>
    </w:p>
    <w:p w14:paraId="708DAA85" w14:textId="77777777" w:rsidR="00411489" w:rsidRPr="001D704A" w:rsidRDefault="00411489" w:rsidP="00123EB1">
      <w:pPr>
        <w:rPr>
          <w:rFonts w:ascii="Times New Roman" w:hAnsi="Times New Roman" w:cs="Times New Roman"/>
          <w:b/>
          <w:color w:val="000000" w:themeColor="text1"/>
          <w:sz w:val="24"/>
          <w:szCs w:val="24"/>
        </w:rPr>
      </w:pPr>
    </w:p>
    <w:p w14:paraId="05D3B013" w14:textId="77777777" w:rsidR="00411489" w:rsidRPr="001D704A" w:rsidRDefault="00411489" w:rsidP="00123EB1">
      <w:pPr>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Item 4 – Part 4 of Schedule 1AB (table item 222, column headed “Objective(s)”)</w:t>
      </w:r>
    </w:p>
    <w:p w14:paraId="251670D7" w14:textId="77777777" w:rsidR="00411489" w:rsidRPr="001D704A" w:rsidRDefault="00411489" w:rsidP="00123EB1">
      <w:pPr>
        <w:rPr>
          <w:rFonts w:ascii="Times New Roman" w:hAnsi="Times New Roman" w:cs="Times New Roman"/>
          <w:b/>
          <w:color w:val="000000" w:themeColor="text1"/>
          <w:sz w:val="24"/>
          <w:szCs w:val="24"/>
        </w:rPr>
      </w:pPr>
    </w:p>
    <w:p w14:paraId="68F3BAD3" w14:textId="77777777" w:rsidR="00411489" w:rsidRPr="001D704A" w:rsidRDefault="00411489" w:rsidP="00123EB1">
      <w:pPr>
        <w:ind w:right="-46"/>
        <w:rPr>
          <w:rFonts w:ascii="Times New Roman" w:hAnsi="Times New Roman" w:cs="Times New Roman"/>
          <w:iCs/>
          <w:color w:val="000000" w:themeColor="text1"/>
          <w:sz w:val="24"/>
          <w:szCs w:val="24"/>
        </w:rPr>
      </w:pPr>
      <w:r w:rsidRPr="001D704A">
        <w:rPr>
          <w:rFonts w:ascii="Times New Roman" w:hAnsi="Times New Roman" w:cs="Times New Roman"/>
          <w:color w:val="000000" w:themeColor="text1"/>
          <w:sz w:val="24"/>
          <w:szCs w:val="24"/>
        </w:rPr>
        <w:t>Item 4 omits “in remote locations (particularly Aboriginal and Torres Strait Islander students) in the areas of literacy, numeracy and science” from column headed “Objective(s)” of table item 222 and substitutes “(particularly Aboriginal and Torres Strait Islander students)”. This amendment removes the limitation on participating students to be located in remote and very remote geographical areas only and refocuses the program on students facing educational disadvantage, particularly Aboriginal and Torres Strait Islander students.</w:t>
      </w:r>
    </w:p>
    <w:p w14:paraId="69531EDF" w14:textId="77777777" w:rsidR="00411489" w:rsidRPr="001D704A" w:rsidRDefault="00411489" w:rsidP="00123EB1">
      <w:pPr>
        <w:ind w:right="-46"/>
        <w:rPr>
          <w:rFonts w:ascii="Times New Roman" w:hAnsi="Times New Roman" w:cs="Times New Roman"/>
          <w:iCs/>
          <w:sz w:val="24"/>
          <w:szCs w:val="24"/>
        </w:rPr>
      </w:pPr>
    </w:p>
    <w:p w14:paraId="34D43245"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Explicit Instruction Teaching Program (the program) aims to improve the literacy, numeracy and science outcomes of students and increase teacher pedagogical skills in primary schools through imparting Direct Instruction and Explicit Direct Instruction teaching methodologies to primary school teachers. Since 2015, Good to Great Schools Australia (GGSA) has received Australian Government funding to deliver its teacher training program to remote schools in the Northern Territory, Western Australia and Queensland. GGSA delivers an online, self-paced Mastery Teaching Program for teachers, teacher assistants and school leaders and offers participating schools online coaching, feedback sessions and data monitoring services.</w:t>
      </w:r>
    </w:p>
    <w:p w14:paraId="4B995210" w14:textId="77777777" w:rsidR="00411489" w:rsidRPr="001D704A" w:rsidRDefault="00411489" w:rsidP="00123EB1">
      <w:pPr>
        <w:rPr>
          <w:rFonts w:ascii="Times New Roman" w:hAnsi="Times New Roman" w:cs="Times New Roman"/>
          <w:color w:val="000000" w:themeColor="text1"/>
          <w:sz w:val="24"/>
          <w:szCs w:val="24"/>
        </w:rPr>
      </w:pPr>
    </w:p>
    <w:p w14:paraId="53EE1736"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As part of addressing Target 5 of </w:t>
      </w:r>
      <w:r w:rsidRPr="001D704A">
        <w:rPr>
          <w:rFonts w:ascii="Times New Roman" w:hAnsi="Times New Roman" w:cs="Times New Roman"/>
          <w:sz w:val="24"/>
          <w:szCs w:val="24"/>
        </w:rPr>
        <w:t xml:space="preserve">the </w:t>
      </w:r>
      <w:r w:rsidRPr="001D704A">
        <w:rPr>
          <w:rFonts w:ascii="Times New Roman" w:hAnsi="Times New Roman" w:cs="Times New Roman"/>
          <w:i/>
          <w:sz w:val="24"/>
          <w:szCs w:val="24"/>
        </w:rPr>
        <w:t>National Agreement on Closing the Gap</w:t>
      </w:r>
      <w:r w:rsidRPr="001D704A">
        <w:rPr>
          <w:rFonts w:ascii="Times New Roman" w:hAnsi="Times New Roman" w:cs="Times New Roman"/>
          <w:color w:val="000000" w:themeColor="text1"/>
          <w:sz w:val="24"/>
          <w:szCs w:val="24"/>
        </w:rPr>
        <w:t xml:space="preserve">, the Australian Government has committed an additional $5 million over four years from 2021-22 to expand the literacy arm of the program from 10 to 20 schools (beginning from Term 1, 2022). This funding was jointly announced on 5 August 2021 by the Minister for Education and Youth, the Hon Alan Tudge MP, the Minister for Indigenous Australians, the Hon Ken Wyatt AM MP, and the Minister for Regionalisation, Regional Communications and Regional Education, Senator the Hon Bridget McKenzie. The media release is available at </w:t>
      </w:r>
      <w:hyperlink r:id="rId15" w:history="1">
        <w:r w:rsidRPr="001D704A">
          <w:rPr>
            <w:rFonts w:ascii="Times New Roman" w:hAnsi="Times New Roman" w:cs="Times New Roman"/>
            <w:color w:val="000000" w:themeColor="text1"/>
            <w:sz w:val="24"/>
            <w:szCs w:val="24"/>
            <w:u w:val="single"/>
          </w:rPr>
          <w:t>https://ministers.dese.gov.au/tudge/closing-gap-school-education</w:t>
        </w:r>
      </w:hyperlink>
      <w:r w:rsidRPr="001D704A">
        <w:rPr>
          <w:rFonts w:ascii="Times New Roman" w:hAnsi="Times New Roman" w:cs="Times New Roman"/>
          <w:color w:val="000000" w:themeColor="text1"/>
          <w:sz w:val="24"/>
          <w:szCs w:val="24"/>
        </w:rPr>
        <w:t xml:space="preserve">. </w:t>
      </w:r>
    </w:p>
    <w:p w14:paraId="6FFD65EE" w14:textId="77777777" w:rsidR="00411489" w:rsidRPr="001D704A" w:rsidRDefault="00411489" w:rsidP="00123EB1">
      <w:pPr>
        <w:rPr>
          <w:rFonts w:ascii="Times New Roman" w:hAnsi="Times New Roman" w:cs="Times New Roman"/>
          <w:color w:val="000000" w:themeColor="text1"/>
          <w:sz w:val="24"/>
          <w:szCs w:val="24"/>
        </w:rPr>
      </w:pPr>
    </w:p>
    <w:p w14:paraId="673C4A34" w14:textId="77777777" w:rsidR="00411489" w:rsidRPr="001D704A" w:rsidRDefault="00411489" w:rsidP="00123EB1">
      <w:pPr>
        <w:rPr>
          <w:rFonts w:ascii="Times New Roman" w:hAnsi="Times New Roman" w:cs="Times New Roman"/>
          <w:sz w:val="24"/>
          <w:szCs w:val="24"/>
        </w:rPr>
      </w:pPr>
      <w:r w:rsidRPr="001D704A">
        <w:rPr>
          <w:rFonts w:ascii="Times New Roman" w:hAnsi="Times New Roman" w:cs="Times New Roman"/>
          <w:color w:val="000000" w:themeColor="text1"/>
          <w:sz w:val="24"/>
          <w:szCs w:val="24"/>
        </w:rPr>
        <w:t>To facilitate this expansion, the program will be refocused from remote and very remote schools to schools in areas of educational disadvantage, particularly targeting Aboriginal and Torres Strait Islander students. This will provide GGSA with a broader pool of schools to engage with and optimise the program’s success.</w:t>
      </w:r>
    </w:p>
    <w:p w14:paraId="0EF798B7" w14:textId="77777777" w:rsidR="00411489" w:rsidRPr="001D704A" w:rsidRDefault="00411489" w:rsidP="00123EB1">
      <w:pPr>
        <w:rPr>
          <w:rFonts w:ascii="Times New Roman" w:hAnsi="Times New Roman" w:cs="Times New Roman"/>
          <w:color w:val="000000" w:themeColor="text1"/>
          <w:sz w:val="24"/>
          <w:szCs w:val="24"/>
        </w:rPr>
      </w:pPr>
    </w:p>
    <w:p w14:paraId="4BAA6691"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lastRenderedPageBreak/>
        <w:t>GGSA is a not-for-profit organisation that has been operating in Australia’s education sector for over a decade developing and implementing innovative education improvement services through co-design with students, families, teachers, school education systems and educational experts. Through strategic partnerships and collaborating with experts in large school implementations, GGSA’s education model of school improvement is based on extensive research supported by international evidence.</w:t>
      </w:r>
    </w:p>
    <w:p w14:paraId="632DAA75" w14:textId="77777777" w:rsidR="00411489" w:rsidRPr="001D704A" w:rsidRDefault="00411489" w:rsidP="00123EB1">
      <w:pPr>
        <w:rPr>
          <w:rFonts w:ascii="Times New Roman" w:hAnsi="Times New Roman" w:cs="Times New Roman"/>
          <w:color w:val="000000" w:themeColor="text1"/>
          <w:sz w:val="24"/>
          <w:szCs w:val="24"/>
        </w:rPr>
      </w:pPr>
    </w:p>
    <w:p w14:paraId="69F125EA" w14:textId="32ABEC6B"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Being delivered in remote and very remote locations, the program has been implemented in schools with a high percentage of Indigenous students. The program has allowed for the exploration of implementation approaches to embed the explicit instruction teaching method in remote schools which supports the Government’s commitment to closing the national achievement gap and</w:t>
      </w:r>
      <w:r w:rsidR="00E9238A" w:rsidRPr="001D704A">
        <w:rPr>
          <w:rFonts w:ascii="Times New Roman" w:hAnsi="Times New Roman" w:cs="Times New Roman"/>
          <w:color w:val="000000" w:themeColor="text1"/>
          <w:sz w:val="24"/>
          <w:szCs w:val="24"/>
        </w:rPr>
        <w:t xml:space="preserve"> to</w:t>
      </w:r>
      <w:r w:rsidRPr="001D704A">
        <w:rPr>
          <w:rFonts w:ascii="Times New Roman" w:hAnsi="Times New Roman" w:cs="Times New Roman"/>
          <w:color w:val="000000" w:themeColor="text1"/>
          <w:sz w:val="24"/>
          <w:szCs w:val="24"/>
        </w:rPr>
        <w:t xml:space="preserve"> evidence-based teaching methods.</w:t>
      </w:r>
    </w:p>
    <w:p w14:paraId="634872EC" w14:textId="77777777" w:rsidR="00411489" w:rsidRPr="001D704A" w:rsidRDefault="00411489" w:rsidP="00123EB1">
      <w:pPr>
        <w:rPr>
          <w:rFonts w:ascii="Times New Roman" w:hAnsi="Times New Roman" w:cs="Times New Roman"/>
          <w:color w:val="000000" w:themeColor="text1"/>
          <w:sz w:val="24"/>
          <w:szCs w:val="24"/>
        </w:rPr>
      </w:pPr>
    </w:p>
    <w:p w14:paraId="6D6DBDAB"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There is a critical achievement gap between Indigenous and non-Indigenous students, as identified in recent research published by the Centre for Independent Studies. NAPLAN data shows that Indigenous students are, on average, more than two years behind their non</w:t>
      </w:r>
      <w:r w:rsidRPr="001D704A">
        <w:rPr>
          <w:rFonts w:ascii="Times New Roman" w:hAnsi="Times New Roman" w:cs="Times New Roman"/>
          <w:color w:val="000000" w:themeColor="text1"/>
          <w:sz w:val="24"/>
          <w:szCs w:val="24"/>
        </w:rPr>
        <w:noBreakHyphen/>
        <w:t>Indigenous peers in Year 3 and the gap grows over time.</w:t>
      </w:r>
    </w:p>
    <w:p w14:paraId="26124594" w14:textId="77777777" w:rsidR="00411489" w:rsidRPr="001D704A" w:rsidRDefault="00411489" w:rsidP="00123EB1">
      <w:pPr>
        <w:rPr>
          <w:rFonts w:ascii="Times New Roman" w:hAnsi="Times New Roman" w:cs="Times New Roman"/>
          <w:color w:val="000000" w:themeColor="text1"/>
          <w:sz w:val="24"/>
          <w:szCs w:val="24"/>
        </w:rPr>
      </w:pPr>
    </w:p>
    <w:p w14:paraId="26040D5E"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critical gap is not solely a factor of remote schools. In order to scale up the program, GGSA should be enabled to support schools in areas facing educational disadvantage with significant populations of Indigenous students, rather than be restricted to only working with schools from a particular geographic area.</w:t>
      </w:r>
    </w:p>
    <w:p w14:paraId="04819762" w14:textId="77777777" w:rsidR="00411489" w:rsidRPr="001D704A" w:rsidRDefault="00411489" w:rsidP="00123EB1">
      <w:pPr>
        <w:rPr>
          <w:rFonts w:ascii="Times New Roman" w:hAnsi="Times New Roman" w:cs="Times New Roman"/>
          <w:color w:val="000000" w:themeColor="text1"/>
          <w:sz w:val="24"/>
          <w:szCs w:val="24"/>
        </w:rPr>
      </w:pPr>
    </w:p>
    <w:p w14:paraId="7A9941F8"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 one-off, ad hoc grant agreement is currently in place for the delivery of the GGSA pilot program. The grant activity (program delivery) is due to cease at the end of the 2023 school year, with a final report due in August 2024. This grant limits GGSA to delivering the program in up to 10 remote or very remote schools. </w:t>
      </w:r>
    </w:p>
    <w:p w14:paraId="6484D036" w14:textId="77777777" w:rsidR="00411489" w:rsidRPr="001D704A" w:rsidRDefault="00411489" w:rsidP="00123EB1">
      <w:pPr>
        <w:rPr>
          <w:rFonts w:ascii="Times New Roman" w:hAnsi="Times New Roman" w:cs="Times New Roman"/>
          <w:color w:val="000000" w:themeColor="text1"/>
          <w:sz w:val="24"/>
          <w:szCs w:val="24"/>
        </w:rPr>
      </w:pPr>
    </w:p>
    <w:p w14:paraId="5634910A"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Expenditure for the expanded program will be provided through a variation to the existing grant, managed in collaboration with the Community Grants Hub. The grant variation will be negotiated with GGSA for the expenditure and scope of the new activity. The grant expenditure decisions will be made by a delegate of the Secretary of the department, in line with appropriate financial delegations. Revised grant opportunity guidelines will detail the expectations of the program and will be made publicly available on the departmental website.</w:t>
      </w:r>
    </w:p>
    <w:p w14:paraId="39AD1C47" w14:textId="77777777" w:rsidR="00411489" w:rsidRPr="001D704A" w:rsidRDefault="00411489" w:rsidP="00123EB1">
      <w:pPr>
        <w:rPr>
          <w:rFonts w:ascii="Times New Roman" w:hAnsi="Times New Roman" w:cs="Times New Roman"/>
          <w:color w:val="000000" w:themeColor="text1"/>
          <w:sz w:val="24"/>
          <w:szCs w:val="24"/>
        </w:rPr>
      </w:pPr>
    </w:p>
    <w:p w14:paraId="41229BFF" w14:textId="2E6547FB"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grant decision, once made, will be final and not subject to merits review, as the grant involves an allocation of a finite resource to GGSA and overturning the decision to allocate funding to another party would affect the funding that has already been allocated to GGSA and announced publicly. The </w:t>
      </w:r>
      <w:r w:rsidR="00580E93" w:rsidRPr="001D704A">
        <w:rPr>
          <w:rFonts w:ascii="Times New Roman" w:hAnsi="Times New Roman" w:cs="Times New Roman"/>
          <w:color w:val="000000" w:themeColor="text1"/>
          <w:sz w:val="24"/>
          <w:szCs w:val="24"/>
        </w:rPr>
        <w:t>ARC</w:t>
      </w:r>
      <w:r w:rsidRPr="001D704A">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4.16 of the guide, </w:t>
      </w:r>
      <w:r w:rsidRPr="001D704A">
        <w:rPr>
          <w:rFonts w:ascii="Times New Roman" w:hAnsi="Times New Roman" w:cs="Times New Roman"/>
          <w:i/>
          <w:color w:val="000000" w:themeColor="text1"/>
          <w:sz w:val="24"/>
          <w:szCs w:val="24"/>
        </w:rPr>
        <w:t>What decisions should be subject to merit review?</w:t>
      </w:r>
      <w:r w:rsidRPr="001D704A">
        <w:rPr>
          <w:rFonts w:ascii="Times New Roman" w:hAnsi="Times New Roman" w:cs="Times New Roman"/>
          <w:color w:val="000000" w:themeColor="text1"/>
          <w:sz w:val="24"/>
          <w:szCs w:val="24"/>
        </w:rPr>
        <w:t>).</w:t>
      </w:r>
    </w:p>
    <w:p w14:paraId="67C7550F" w14:textId="77777777" w:rsidR="00411489" w:rsidRPr="001D704A" w:rsidRDefault="00411489" w:rsidP="00123EB1">
      <w:pPr>
        <w:rPr>
          <w:rFonts w:ascii="Times New Roman" w:hAnsi="Times New Roman" w:cs="Times New Roman"/>
          <w:color w:val="000000" w:themeColor="text1"/>
          <w:sz w:val="24"/>
          <w:szCs w:val="24"/>
        </w:rPr>
      </w:pPr>
    </w:p>
    <w:p w14:paraId="65170EF7" w14:textId="12B6C65F"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department has commen</w:t>
      </w:r>
      <w:r w:rsidR="00826E8E" w:rsidRPr="001D704A">
        <w:rPr>
          <w:rFonts w:ascii="Times New Roman" w:hAnsi="Times New Roman" w:cs="Times New Roman"/>
          <w:color w:val="000000" w:themeColor="text1"/>
          <w:sz w:val="24"/>
          <w:szCs w:val="24"/>
        </w:rPr>
        <w:t xml:space="preserve">ced consultation with the </w:t>
      </w:r>
      <w:r w:rsidRPr="001D704A">
        <w:rPr>
          <w:rFonts w:ascii="Times New Roman" w:hAnsi="Times New Roman" w:cs="Times New Roman"/>
          <w:color w:val="000000" w:themeColor="text1"/>
          <w:sz w:val="24"/>
          <w:szCs w:val="24"/>
        </w:rPr>
        <w:t xml:space="preserve">NIAA, </w:t>
      </w:r>
      <w:r w:rsidR="00826E8E" w:rsidRPr="001D704A">
        <w:rPr>
          <w:rFonts w:ascii="Times New Roman" w:hAnsi="Times New Roman" w:cs="Times New Roman"/>
          <w:color w:val="000000" w:themeColor="text1"/>
          <w:sz w:val="24"/>
          <w:szCs w:val="24"/>
        </w:rPr>
        <w:t xml:space="preserve">which leads the </w:t>
      </w:r>
      <w:r w:rsidRPr="001D704A">
        <w:rPr>
          <w:rFonts w:ascii="Times New Roman" w:hAnsi="Times New Roman" w:cs="Times New Roman"/>
          <w:color w:val="000000" w:themeColor="text1"/>
          <w:sz w:val="24"/>
          <w:szCs w:val="24"/>
        </w:rPr>
        <w:t>develop</w:t>
      </w:r>
      <w:r w:rsidR="00826E8E" w:rsidRPr="001D704A">
        <w:rPr>
          <w:rFonts w:ascii="Times New Roman" w:hAnsi="Times New Roman" w:cs="Times New Roman"/>
          <w:color w:val="000000" w:themeColor="text1"/>
          <w:sz w:val="24"/>
          <w:szCs w:val="24"/>
        </w:rPr>
        <w:t>ment</w:t>
      </w:r>
      <w:r w:rsidRPr="001D704A">
        <w:rPr>
          <w:rFonts w:ascii="Times New Roman" w:hAnsi="Times New Roman" w:cs="Times New Roman"/>
          <w:color w:val="000000" w:themeColor="text1"/>
          <w:sz w:val="24"/>
          <w:szCs w:val="24"/>
        </w:rPr>
        <w:t xml:space="preserve"> and implement</w:t>
      </w:r>
      <w:r w:rsidR="00826E8E" w:rsidRPr="001D704A">
        <w:rPr>
          <w:rFonts w:ascii="Times New Roman" w:hAnsi="Times New Roman" w:cs="Times New Roman"/>
          <w:color w:val="000000" w:themeColor="text1"/>
          <w:sz w:val="24"/>
          <w:szCs w:val="24"/>
        </w:rPr>
        <w:t>ation of</w:t>
      </w:r>
      <w:r w:rsidRPr="001D704A">
        <w:rPr>
          <w:rFonts w:ascii="Times New Roman" w:hAnsi="Times New Roman" w:cs="Times New Roman"/>
          <w:color w:val="000000" w:themeColor="text1"/>
          <w:sz w:val="24"/>
          <w:szCs w:val="24"/>
        </w:rPr>
        <w:t xml:space="preserve"> Australia’s Closing the Gap measures, and will continue to work with the NIAA in the development of the program.</w:t>
      </w:r>
    </w:p>
    <w:p w14:paraId="146E6703" w14:textId="77777777" w:rsidR="00411489" w:rsidRPr="001D704A" w:rsidRDefault="00411489" w:rsidP="00123EB1">
      <w:pPr>
        <w:rPr>
          <w:rFonts w:ascii="Times New Roman" w:hAnsi="Times New Roman" w:cs="Times New Roman"/>
          <w:color w:val="000000" w:themeColor="text1"/>
          <w:sz w:val="24"/>
          <w:szCs w:val="24"/>
        </w:rPr>
      </w:pPr>
    </w:p>
    <w:p w14:paraId="6A729CF4"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department will also continue to consult with GGSA on the design and development of the program, including around changes to the policy parameters and in scaling up to ten additional schools. </w:t>
      </w:r>
    </w:p>
    <w:p w14:paraId="49FC25B1" w14:textId="77777777" w:rsidR="00411489" w:rsidRPr="001D704A" w:rsidRDefault="00411489" w:rsidP="00123EB1">
      <w:pPr>
        <w:rPr>
          <w:rFonts w:ascii="Times New Roman" w:hAnsi="Times New Roman" w:cs="Times New Roman"/>
          <w:color w:val="000000" w:themeColor="text1"/>
          <w:sz w:val="24"/>
          <w:szCs w:val="24"/>
        </w:rPr>
      </w:pPr>
    </w:p>
    <w:p w14:paraId="693EC41A"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grant agreement will contain a clause requiring GGSA to engage with school leadership teams to gain school community support and agreement to participate in the pilot of the program. GGSA has also advised that it has commenced discussions with a number of schools who may be interested in participating in the program and that a number of schools are looking to undertake a needs analysis regarding the program.</w:t>
      </w:r>
    </w:p>
    <w:p w14:paraId="27F5FA41" w14:textId="77777777" w:rsidR="00411489" w:rsidRPr="001D704A" w:rsidRDefault="00411489" w:rsidP="00123EB1">
      <w:pPr>
        <w:rPr>
          <w:rFonts w:ascii="Times New Roman" w:hAnsi="Times New Roman" w:cs="Times New Roman"/>
          <w:color w:val="000000" w:themeColor="text1"/>
          <w:sz w:val="24"/>
          <w:szCs w:val="24"/>
        </w:rPr>
      </w:pPr>
    </w:p>
    <w:p w14:paraId="228E5D2B" w14:textId="2974F61D"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Total funding of $</w:t>
      </w:r>
      <w:r w:rsidR="00147A42" w:rsidRPr="001D704A">
        <w:rPr>
          <w:rFonts w:ascii="Times New Roman" w:hAnsi="Times New Roman" w:cs="Times New Roman"/>
          <w:color w:val="000000" w:themeColor="text1"/>
          <w:sz w:val="24"/>
          <w:szCs w:val="24"/>
        </w:rPr>
        <w:t>9.9</w:t>
      </w:r>
      <w:r w:rsidRPr="001D704A">
        <w:rPr>
          <w:rFonts w:ascii="Times New Roman" w:hAnsi="Times New Roman" w:cs="Times New Roman"/>
          <w:color w:val="000000" w:themeColor="text1"/>
          <w:sz w:val="24"/>
          <w:szCs w:val="24"/>
        </w:rPr>
        <w:t xml:space="preserve"> million over four years commencing from 2021-22 will be available for the program. This comprises funding for the program included in the 2020-21 Budget under the measure ‘Students Support Package’ and additional funding which is expected to be included in the 2021-22 Mid-Year Economic and Fiscal Outlook.</w:t>
      </w:r>
    </w:p>
    <w:p w14:paraId="4A98EE06" w14:textId="77777777" w:rsidR="00411489" w:rsidRPr="001D704A" w:rsidRDefault="00411489" w:rsidP="00123EB1">
      <w:pPr>
        <w:rPr>
          <w:rFonts w:ascii="Times New Roman" w:hAnsi="Times New Roman" w:cs="Times New Roman"/>
          <w:color w:val="000000" w:themeColor="text1"/>
          <w:sz w:val="24"/>
          <w:szCs w:val="24"/>
        </w:rPr>
      </w:pPr>
    </w:p>
    <w:p w14:paraId="67F026E2"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Funding for this item comes from sub-program Students Support Package under Program 1.5: Early Learning and Schools Support, which is part of Outcome 1. Details are set out in the </w:t>
      </w:r>
      <w:r w:rsidRPr="001D704A">
        <w:rPr>
          <w:rFonts w:ascii="Times New Roman" w:hAnsi="Times New Roman" w:cs="Times New Roman"/>
          <w:i/>
          <w:color w:val="000000" w:themeColor="text1"/>
          <w:sz w:val="24"/>
          <w:szCs w:val="24"/>
        </w:rPr>
        <w:t>Portfolio Budget Statements 2021-22, Budget Related Paper No. 1.4, Education, Skills and Employment Portfolio</w:t>
      </w:r>
      <w:r w:rsidRPr="001D704A">
        <w:rPr>
          <w:rFonts w:ascii="Times New Roman" w:hAnsi="Times New Roman" w:cs="Times New Roman"/>
          <w:color w:val="000000" w:themeColor="text1"/>
          <w:sz w:val="24"/>
          <w:szCs w:val="24"/>
        </w:rPr>
        <w:t xml:space="preserve"> at page 45.</w:t>
      </w:r>
    </w:p>
    <w:p w14:paraId="0310899E" w14:textId="77777777" w:rsidR="00411489" w:rsidRPr="001D704A" w:rsidRDefault="00411489" w:rsidP="00123EB1">
      <w:pPr>
        <w:rPr>
          <w:rFonts w:ascii="Times New Roman" w:hAnsi="Times New Roman" w:cs="Times New Roman"/>
          <w:color w:val="000000" w:themeColor="text1"/>
          <w:sz w:val="24"/>
          <w:szCs w:val="24"/>
        </w:rPr>
      </w:pPr>
    </w:p>
    <w:p w14:paraId="2162923F"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Noting that it is not a comprehensive statement of relevant constitutional considerations, the objective of this item references the following powers of the Constitution:</w:t>
      </w:r>
    </w:p>
    <w:p w14:paraId="5D9150D4" w14:textId="77777777" w:rsidR="00411489" w:rsidRPr="001D704A" w:rsidRDefault="00411489"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the external affairs power (section 51(xxix));</w:t>
      </w:r>
    </w:p>
    <w:p w14:paraId="2AD6BBF8" w14:textId="77777777" w:rsidR="00411489" w:rsidRPr="001D704A" w:rsidRDefault="00411489"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the race power (section 51(xxvi)); and</w:t>
      </w:r>
    </w:p>
    <w:p w14:paraId="0AF5E29A" w14:textId="77777777" w:rsidR="00411489" w:rsidRPr="001D704A" w:rsidRDefault="00411489"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the territories power (section 122).</w:t>
      </w:r>
    </w:p>
    <w:p w14:paraId="1602E8B1" w14:textId="77777777" w:rsidR="00411489" w:rsidRPr="001D704A" w:rsidRDefault="00411489" w:rsidP="00123EB1">
      <w:pPr>
        <w:rPr>
          <w:rFonts w:ascii="Times New Roman" w:hAnsi="Times New Roman" w:cs="Times New Roman"/>
          <w:color w:val="000000" w:themeColor="text1"/>
          <w:sz w:val="24"/>
          <w:szCs w:val="24"/>
        </w:rPr>
      </w:pPr>
    </w:p>
    <w:p w14:paraId="08A5915E" w14:textId="77777777" w:rsidR="00411489" w:rsidRPr="001D704A" w:rsidRDefault="00411489"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External affairs power</w:t>
      </w:r>
    </w:p>
    <w:p w14:paraId="52C66610" w14:textId="77777777" w:rsidR="00411489" w:rsidRPr="001D704A" w:rsidRDefault="00411489" w:rsidP="00123EB1">
      <w:pPr>
        <w:rPr>
          <w:rFonts w:ascii="Times New Roman" w:hAnsi="Times New Roman" w:cs="Times New Roman"/>
          <w:color w:val="000000" w:themeColor="text1"/>
          <w:sz w:val="24"/>
          <w:szCs w:val="24"/>
        </w:rPr>
      </w:pPr>
    </w:p>
    <w:p w14:paraId="20466661"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47D266AA" w14:textId="77777777" w:rsidR="00411489" w:rsidRPr="001D704A" w:rsidRDefault="00411489" w:rsidP="00123EB1">
      <w:pPr>
        <w:rPr>
          <w:rFonts w:ascii="Times New Roman" w:hAnsi="Times New Roman" w:cs="Times New Roman"/>
          <w:color w:val="000000" w:themeColor="text1"/>
          <w:sz w:val="24"/>
          <w:szCs w:val="24"/>
        </w:rPr>
      </w:pPr>
    </w:p>
    <w:p w14:paraId="7EAD84F4" w14:textId="21E1FEC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Australia is a party to the CR</w:t>
      </w:r>
      <w:r w:rsidR="00826E8E" w:rsidRPr="001D704A">
        <w:rPr>
          <w:rFonts w:ascii="Times New Roman" w:hAnsi="Times New Roman" w:cs="Times New Roman"/>
          <w:color w:val="000000" w:themeColor="text1"/>
          <w:sz w:val="24"/>
          <w:szCs w:val="24"/>
        </w:rPr>
        <w:t>C</w:t>
      </w:r>
      <w:r w:rsidRPr="001D704A">
        <w:rPr>
          <w:rFonts w:ascii="Times New Roman" w:hAnsi="Times New Roman" w:cs="Times New Roman"/>
          <w:color w:val="000000" w:themeColor="text1"/>
          <w:sz w:val="24"/>
          <w:szCs w:val="24"/>
        </w:rPr>
        <w:t>.</w:t>
      </w:r>
      <w:r w:rsidR="00E375D4"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color w:val="000000" w:themeColor="text1"/>
          <w:sz w:val="24"/>
          <w:szCs w:val="24"/>
        </w:rPr>
        <w:t xml:space="preserve">Article 4 of the CRC provides that States Parties to the Convention will undertake all appropriate legislative, administrative, and other measures for the implementation of the rights recognised in the Convention. </w:t>
      </w:r>
    </w:p>
    <w:p w14:paraId="61D27B8D" w14:textId="77777777" w:rsidR="00411489" w:rsidRPr="001D704A" w:rsidRDefault="00411489" w:rsidP="00123EB1">
      <w:pPr>
        <w:rPr>
          <w:rFonts w:ascii="Times New Roman" w:hAnsi="Times New Roman" w:cs="Times New Roman"/>
          <w:color w:val="000000" w:themeColor="text1"/>
          <w:sz w:val="24"/>
          <w:szCs w:val="24"/>
        </w:rPr>
      </w:pPr>
    </w:p>
    <w:p w14:paraId="62DAB440"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28(1) of the CRC provides that States Parties recognise the right of the child to education, and with a view to achieving this right progressively and on the basis of equal opportunity.</w:t>
      </w:r>
      <w:r w:rsidRPr="001D704A" w:rsidDel="00BA2479">
        <w:rPr>
          <w:rFonts w:ascii="Times New Roman" w:hAnsi="Times New Roman" w:cs="Times New Roman"/>
          <w:color w:val="000000" w:themeColor="text1"/>
          <w:sz w:val="24"/>
          <w:szCs w:val="24"/>
        </w:rPr>
        <w:t xml:space="preserve"> </w:t>
      </w:r>
    </w:p>
    <w:p w14:paraId="7B41E7E5" w14:textId="77777777" w:rsidR="00411489" w:rsidRPr="001D704A" w:rsidRDefault="00411489" w:rsidP="00123EB1">
      <w:pPr>
        <w:rPr>
          <w:rFonts w:ascii="Times New Roman" w:hAnsi="Times New Roman" w:cs="Times New Roman"/>
          <w:color w:val="000000" w:themeColor="text1"/>
          <w:sz w:val="24"/>
          <w:szCs w:val="24"/>
        </w:rPr>
      </w:pPr>
    </w:p>
    <w:p w14:paraId="2A6A2491"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29 of the CRC provides that States Parties agree that the education of the child shall be directed to ‘... [t]he development of the child’s personality, talents and mental and physical abilities to their fullest potential’.</w:t>
      </w:r>
    </w:p>
    <w:p w14:paraId="4509A990" w14:textId="77777777" w:rsidR="00411489" w:rsidRPr="001D704A" w:rsidRDefault="00411489" w:rsidP="00123EB1">
      <w:pPr>
        <w:rPr>
          <w:rFonts w:ascii="Times New Roman" w:hAnsi="Times New Roman" w:cs="Times New Roman"/>
          <w:color w:val="000000" w:themeColor="text1"/>
          <w:sz w:val="24"/>
          <w:szCs w:val="24"/>
        </w:rPr>
      </w:pPr>
    </w:p>
    <w:p w14:paraId="7DFD0903" w14:textId="54CB4D95"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Australia is also a party to the</w:t>
      </w:r>
      <w:r w:rsidR="00E375D4"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color w:val="000000" w:themeColor="text1"/>
          <w:sz w:val="24"/>
          <w:szCs w:val="24"/>
        </w:rPr>
        <w:t>ICESCR.</w:t>
      </w:r>
      <w:r w:rsidR="00E375D4"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color w:val="000000" w:themeColor="text1"/>
          <w:sz w:val="24"/>
          <w:szCs w:val="24"/>
        </w:rPr>
        <w:t xml:space="preserve">Article 2(1) of the ICESCR provides that each State Party to the Covenant undertakes to take steps to achieve progressively the full realisation of the rights recognised in the Covenant. </w:t>
      </w:r>
    </w:p>
    <w:p w14:paraId="166C2AB8" w14:textId="77777777" w:rsidR="00E375D4" w:rsidRPr="001D704A" w:rsidRDefault="00E375D4" w:rsidP="00123EB1">
      <w:pPr>
        <w:rPr>
          <w:rFonts w:ascii="Times New Roman" w:hAnsi="Times New Roman" w:cs="Times New Roman"/>
          <w:color w:val="000000" w:themeColor="text1"/>
          <w:sz w:val="24"/>
          <w:szCs w:val="24"/>
        </w:rPr>
      </w:pPr>
    </w:p>
    <w:p w14:paraId="6F4FC5A1"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13(2)(a) of the ICESCR provides that the States Parties ‘… recognize that, with a view to achieving the full realization of this right … [p]rimary education shall be compulsory and available free to all’.</w:t>
      </w:r>
    </w:p>
    <w:p w14:paraId="625DA6E6" w14:textId="77777777" w:rsidR="00411489" w:rsidRPr="001D704A" w:rsidRDefault="00411489" w:rsidP="00123EB1">
      <w:pPr>
        <w:rPr>
          <w:rFonts w:ascii="Times New Roman" w:hAnsi="Times New Roman" w:cs="Times New Roman"/>
          <w:color w:val="000000" w:themeColor="text1"/>
          <w:sz w:val="24"/>
          <w:szCs w:val="24"/>
        </w:rPr>
      </w:pPr>
    </w:p>
    <w:p w14:paraId="3DD8B7AC" w14:textId="1EBBF62A" w:rsidR="00411489" w:rsidRPr="001D704A" w:rsidRDefault="0082019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br w:type="column"/>
      </w:r>
      <w:r w:rsidR="00411489" w:rsidRPr="001D704A">
        <w:rPr>
          <w:rFonts w:ascii="Times New Roman" w:hAnsi="Times New Roman" w:cs="Times New Roman"/>
          <w:color w:val="000000" w:themeColor="text1"/>
          <w:sz w:val="24"/>
          <w:szCs w:val="24"/>
        </w:rPr>
        <w:t>The p</w:t>
      </w:r>
      <w:r w:rsidR="00E375D4" w:rsidRPr="001D704A">
        <w:rPr>
          <w:rFonts w:ascii="Times New Roman" w:hAnsi="Times New Roman" w:cs="Times New Roman"/>
          <w:color w:val="000000" w:themeColor="text1"/>
          <w:sz w:val="24"/>
          <w:szCs w:val="24"/>
        </w:rPr>
        <w:t xml:space="preserve">rogram is directed </w:t>
      </w:r>
      <w:r w:rsidR="00411489" w:rsidRPr="001D704A">
        <w:rPr>
          <w:rFonts w:ascii="Times New Roman" w:hAnsi="Times New Roman" w:cs="Times New Roman"/>
          <w:color w:val="000000" w:themeColor="text1"/>
          <w:sz w:val="24"/>
          <w:szCs w:val="24"/>
        </w:rPr>
        <w:t>t</w:t>
      </w:r>
      <w:r w:rsidR="00E375D4" w:rsidRPr="001D704A">
        <w:rPr>
          <w:rFonts w:ascii="Times New Roman" w:hAnsi="Times New Roman" w:cs="Times New Roman"/>
          <w:color w:val="000000" w:themeColor="text1"/>
          <w:sz w:val="24"/>
          <w:szCs w:val="24"/>
        </w:rPr>
        <w:t>o</w:t>
      </w:r>
      <w:r w:rsidR="00411489" w:rsidRPr="001D704A">
        <w:rPr>
          <w:rFonts w:ascii="Times New Roman" w:hAnsi="Times New Roman" w:cs="Times New Roman"/>
          <w:color w:val="000000" w:themeColor="text1"/>
          <w:sz w:val="24"/>
          <w:szCs w:val="24"/>
        </w:rPr>
        <w:t xml:space="preserve"> a basic learning need of children in primary schools by methods appropriate to those children in educationally disadvantaged schools where basic learning may be less accessible. The program is also directed t</w:t>
      </w:r>
      <w:r w:rsidR="00E375D4" w:rsidRPr="001D704A">
        <w:rPr>
          <w:rFonts w:ascii="Times New Roman" w:hAnsi="Times New Roman" w:cs="Times New Roman"/>
          <w:color w:val="000000" w:themeColor="text1"/>
          <w:sz w:val="24"/>
          <w:szCs w:val="24"/>
        </w:rPr>
        <w:t>o</w:t>
      </w:r>
      <w:r w:rsidR="00411489" w:rsidRPr="001D704A">
        <w:rPr>
          <w:rFonts w:ascii="Times New Roman" w:hAnsi="Times New Roman" w:cs="Times New Roman"/>
          <w:color w:val="000000" w:themeColor="text1"/>
          <w:sz w:val="24"/>
          <w:szCs w:val="24"/>
        </w:rPr>
        <w:t xml:space="preserve"> core educational activities that are central to the development of the talents and abilities of children.</w:t>
      </w:r>
    </w:p>
    <w:p w14:paraId="3E0B0D76" w14:textId="77777777" w:rsidR="00411489" w:rsidRPr="001D704A" w:rsidRDefault="00411489" w:rsidP="00123EB1">
      <w:pPr>
        <w:rPr>
          <w:rFonts w:ascii="Times New Roman" w:hAnsi="Times New Roman" w:cs="Times New Roman"/>
          <w:color w:val="000000" w:themeColor="text1"/>
          <w:sz w:val="24"/>
          <w:szCs w:val="24"/>
        </w:rPr>
      </w:pPr>
    </w:p>
    <w:p w14:paraId="491048C0" w14:textId="77777777" w:rsidR="00411489" w:rsidRPr="001D704A" w:rsidRDefault="00411489"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 xml:space="preserve">Race power </w:t>
      </w:r>
    </w:p>
    <w:p w14:paraId="10C3C246" w14:textId="77777777" w:rsidR="00411489" w:rsidRPr="001D704A" w:rsidRDefault="00411489" w:rsidP="00123EB1">
      <w:pPr>
        <w:rPr>
          <w:rFonts w:ascii="Times New Roman" w:hAnsi="Times New Roman" w:cs="Times New Roman"/>
          <w:color w:val="000000" w:themeColor="text1"/>
          <w:sz w:val="24"/>
          <w:szCs w:val="24"/>
        </w:rPr>
      </w:pPr>
    </w:p>
    <w:p w14:paraId="4100A6B6"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laws’. </w:t>
      </w:r>
    </w:p>
    <w:p w14:paraId="51085F32" w14:textId="77777777" w:rsidR="00411489" w:rsidRPr="001D704A" w:rsidRDefault="00411489" w:rsidP="00123EB1">
      <w:pPr>
        <w:rPr>
          <w:rFonts w:ascii="Times New Roman" w:hAnsi="Times New Roman" w:cs="Times New Roman"/>
          <w:color w:val="000000" w:themeColor="text1"/>
          <w:sz w:val="24"/>
          <w:szCs w:val="24"/>
        </w:rPr>
      </w:pPr>
    </w:p>
    <w:p w14:paraId="4938DB27"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program will target educationally disadvantaged schools, with a particular focus on Indigenous students, to address the gaps in literacy, numeracy and science outcomes. There will continue to be a high proportion of Indigenous students in the program.</w:t>
      </w:r>
    </w:p>
    <w:p w14:paraId="253C46C7" w14:textId="77777777" w:rsidR="00411489" w:rsidRPr="001D704A" w:rsidRDefault="00411489" w:rsidP="00123EB1">
      <w:pPr>
        <w:rPr>
          <w:rFonts w:ascii="Times New Roman" w:hAnsi="Times New Roman" w:cs="Times New Roman"/>
          <w:color w:val="000000" w:themeColor="text1"/>
          <w:sz w:val="24"/>
          <w:szCs w:val="24"/>
        </w:rPr>
      </w:pPr>
    </w:p>
    <w:p w14:paraId="14741171" w14:textId="77777777" w:rsidR="00411489" w:rsidRPr="001D704A" w:rsidRDefault="00411489"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Territories power</w:t>
      </w:r>
    </w:p>
    <w:p w14:paraId="43CDEB06" w14:textId="77777777" w:rsidR="00411489" w:rsidRPr="001D704A" w:rsidRDefault="00411489" w:rsidP="00123EB1">
      <w:pPr>
        <w:rPr>
          <w:rFonts w:ascii="Times New Roman" w:hAnsi="Times New Roman" w:cs="Times New Roman"/>
          <w:color w:val="000000" w:themeColor="text1"/>
          <w:sz w:val="24"/>
          <w:szCs w:val="24"/>
        </w:rPr>
      </w:pPr>
    </w:p>
    <w:p w14:paraId="4DBE3040"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Section 122 of the Constitution empowers the Parliament to ‘make laws for the government of any territory’. </w:t>
      </w:r>
    </w:p>
    <w:p w14:paraId="144DF6BF" w14:textId="77777777" w:rsidR="00411489" w:rsidRPr="001D704A" w:rsidRDefault="00411489" w:rsidP="00123EB1">
      <w:pPr>
        <w:rPr>
          <w:rFonts w:ascii="Times New Roman" w:hAnsi="Times New Roman" w:cs="Times New Roman"/>
          <w:color w:val="000000" w:themeColor="text1"/>
          <w:sz w:val="24"/>
          <w:szCs w:val="24"/>
        </w:rPr>
      </w:pPr>
    </w:p>
    <w:p w14:paraId="0DFFBBA8"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Given the target group, it is anticipated that the program will continue to operate in the Northern Territory.</w:t>
      </w:r>
    </w:p>
    <w:p w14:paraId="717CC2A6" w14:textId="77777777" w:rsidR="00411489" w:rsidRPr="001D704A" w:rsidRDefault="00411489" w:rsidP="00123EB1">
      <w:pPr>
        <w:rPr>
          <w:rFonts w:ascii="Times New Roman" w:hAnsi="Times New Roman" w:cs="Times New Roman"/>
          <w:b/>
          <w:color w:val="000000" w:themeColor="text1"/>
          <w:sz w:val="24"/>
          <w:szCs w:val="24"/>
        </w:rPr>
      </w:pPr>
    </w:p>
    <w:p w14:paraId="78D92332" w14:textId="14FAB84B" w:rsidR="004C5A11" w:rsidRPr="001D704A" w:rsidRDefault="004C5A11" w:rsidP="00123EB1">
      <w:pPr>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Item 5 – In the appropriate position in Part 4 of Schedule 1AB (table)</w:t>
      </w:r>
    </w:p>
    <w:p w14:paraId="3D2829E7" w14:textId="77777777" w:rsidR="004C5A11" w:rsidRPr="001D704A" w:rsidRDefault="004C5A11" w:rsidP="00123EB1">
      <w:pPr>
        <w:ind w:right="-46"/>
        <w:rPr>
          <w:rFonts w:ascii="Times New Roman" w:hAnsi="Times New Roman" w:cs="Times New Roman"/>
          <w:iCs/>
          <w:sz w:val="24"/>
          <w:szCs w:val="24"/>
        </w:rPr>
      </w:pPr>
    </w:p>
    <w:p w14:paraId="48DC5CC2"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item adds five new table items to Part 4 of Schedule 1AB to establish legislative authority for government spending on activities administered by the department.</w:t>
      </w:r>
    </w:p>
    <w:p w14:paraId="5F6CC4E5" w14:textId="4A5CAD69" w:rsidR="0094798E" w:rsidRPr="001D704A" w:rsidRDefault="0094798E" w:rsidP="00123EB1">
      <w:pPr>
        <w:rPr>
          <w:rFonts w:ascii="Times New Roman" w:hAnsi="Times New Roman" w:cs="Times New Roman"/>
          <w:b/>
          <w:color w:val="000000" w:themeColor="text1"/>
          <w:sz w:val="24"/>
          <w:szCs w:val="24"/>
        </w:rPr>
      </w:pPr>
    </w:p>
    <w:p w14:paraId="7E096540" w14:textId="70C507CE" w:rsidR="00481408" w:rsidRPr="001D704A" w:rsidRDefault="00481408"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 xml:space="preserve">table item </w:t>
      </w:r>
      <w:r w:rsidR="00CB2C60" w:rsidRPr="001D704A">
        <w:rPr>
          <w:rFonts w:ascii="Times New Roman" w:hAnsi="Times New Roman" w:cs="Times New Roman"/>
          <w:b/>
          <w:iCs/>
          <w:color w:val="000000" w:themeColor="text1"/>
          <w:sz w:val="24"/>
          <w:szCs w:val="24"/>
        </w:rPr>
        <w:t>516</w:t>
      </w:r>
      <w:r w:rsidRPr="001D704A">
        <w:rPr>
          <w:rFonts w:ascii="Times New Roman" w:hAnsi="Times New Roman" w:cs="Times New Roman"/>
          <w:iCs/>
          <w:color w:val="000000" w:themeColor="text1"/>
          <w:sz w:val="24"/>
          <w:szCs w:val="24"/>
        </w:rPr>
        <w:t xml:space="preserve"> establishes legislative authority for government spending on the </w:t>
      </w:r>
      <w:r w:rsidR="00B53F21" w:rsidRPr="001D704A">
        <w:rPr>
          <w:rFonts w:ascii="Times New Roman" w:hAnsi="Times New Roman" w:cs="Times New Roman"/>
          <w:iCs/>
          <w:color w:val="000000" w:themeColor="text1"/>
          <w:sz w:val="24"/>
          <w:szCs w:val="24"/>
        </w:rPr>
        <w:t xml:space="preserve">development, implementation and maintenance of the </w:t>
      </w:r>
      <w:r w:rsidRPr="001D704A">
        <w:rPr>
          <w:rFonts w:ascii="Times New Roman" w:hAnsi="Times New Roman" w:cs="Times New Roman"/>
          <w:iCs/>
          <w:color w:val="000000" w:themeColor="text1"/>
          <w:sz w:val="24"/>
          <w:szCs w:val="24"/>
        </w:rPr>
        <w:t xml:space="preserve">Online Formative Assessment Initiative (the Initiative), which will </w:t>
      </w:r>
      <w:r w:rsidR="00B53F21" w:rsidRPr="001D704A">
        <w:rPr>
          <w:rFonts w:ascii="Times New Roman" w:hAnsi="Times New Roman" w:cs="Times New Roman"/>
          <w:sz w:val="24"/>
          <w:szCs w:val="24"/>
        </w:rPr>
        <w:t>facilitate access to online teaching resources, tools, student assessments, professional learning and other support for teachers</w:t>
      </w:r>
      <w:r w:rsidRPr="001D704A">
        <w:rPr>
          <w:rFonts w:ascii="Times New Roman" w:hAnsi="Times New Roman" w:cs="Times New Roman"/>
          <w:sz w:val="24"/>
          <w:szCs w:val="24"/>
        </w:rPr>
        <w:t>.</w:t>
      </w:r>
    </w:p>
    <w:p w14:paraId="497E56FD" w14:textId="77777777" w:rsidR="00481408" w:rsidRPr="001D704A" w:rsidRDefault="00481408" w:rsidP="00123EB1">
      <w:pPr>
        <w:rPr>
          <w:rFonts w:ascii="Times New Roman" w:hAnsi="Times New Roman" w:cs="Times New Roman"/>
          <w:sz w:val="24"/>
          <w:szCs w:val="24"/>
        </w:rPr>
      </w:pPr>
    </w:p>
    <w:p w14:paraId="0EDC02CD" w14:textId="787E4B95" w:rsidR="00481408" w:rsidRPr="001D704A" w:rsidRDefault="00481408" w:rsidP="00123EB1">
      <w:pPr>
        <w:rPr>
          <w:rFonts w:ascii="Times New Roman" w:hAnsi="Times New Roman" w:cs="Times New Roman"/>
          <w:i/>
          <w:sz w:val="24"/>
          <w:szCs w:val="24"/>
        </w:rPr>
      </w:pPr>
      <w:r w:rsidRPr="001D704A">
        <w:rPr>
          <w:rFonts w:ascii="Times New Roman" w:hAnsi="Times New Roman" w:cs="Times New Roman"/>
          <w:sz w:val="24"/>
          <w:szCs w:val="24"/>
        </w:rPr>
        <w:t xml:space="preserve">The objective of the Initiative is to ensure that teachers have the appropriate tools, resources and expertise to use formative assessments to help them understand how their individual students are learning, which addresses recommendations 6 and 11 of the </w:t>
      </w:r>
      <w:r w:rsidR="00B53F21" w:rsidRPr="001D704A">
        <w:rPr>
          <w:rFonts w:ascii="Times New Roman" w:hAnsi="Times New Roman" w:cs="Times New Roman"/>
          <w:i/>
          <w:sz w:val="24"/>
          <w:szCs w:val="24"/>
        </w:rPr>
        <w:t xml:space="preserve">Report of the Review to Achieve Educational Excellence in Australian Schools: </w:t>
      </w:r>
      <w:r w:rsidRPr="001D704A">
        <w:rPr>
          <w:rFonts w:ascii="Times New Roman" w:hAnsi="Times New Roman" w:cs="Times New Roman"/>
          <w:i/>
          <w:sz w:val="24"/>
          <w:szCs w:val="24"/>
        </w:rPr>
        <w:t xml:space="preserve">Through Growth to Achievement: </w:t>
      </w:r>
      <w:r w:rsidRPr="001D704A">
        <w:rPr>
          <w:rFonts w:ascii="Times New Roman" w:hAnsi="Times New Roman" w:cs="Times New Roman"/>
          <w:sz w:val="24"/>
          <w:szCs w:val="24"/>
        </w:rPr>
        <w:t>(Excellence Review)</w:t>
      </w:r>
      <w:r w:rsidRPr="001D704A">
        <w:rPr>
          <w:rFonts w:ascii="Times New Roman" w:hAnsi="Times New Roman" w:cs="Times New Roman"/>
          <w:i/>
          <w:sz w:val="24"/>
          <w:szCs w:val="24"/>
        </w:rPr>
        <w:t xml:space="preserve">. </w:t>
      </w:r>
      <w:r w:rsidRPr="001D704A">
        <w:rPr>
          <w:rFonts w:ascii="Times New Roman" w:hAnsi="Times New Roman" w:cs="Times New Roman"/>
          <w:sz w:val="24"/>
          <w:szCs w:val="24"/>
        </w:rPr>
        <w:t>The Excellence review is available at</w:t>
      </w:r>
    </w:p>
    <w:p w14:paraId="2964329D" w14:textId="4AB398B3" w:rsidR="00481408" w:rsidRPr="001D704A" w:rsidRDefault="00B53F21" w:rsidP="00123EB1">
      <w:pPr>
        <w:rPr>
          <w:rFonts w:ascii="Times New Roman" w:hAnsi="Times New Roman" w:cs="Times New Roman"/>
          <w:sz w:val="24"/>
          <w:szCs w:val="24"/>
        </w:rPr>
      </w:pPr>
      <w:r w:rsidRPr="001D704A">
        <w:rPr>
          <w:rFonts w:ascii="Times New Roman" w:hAnsi="Times New Roman" w:cs="Times New Roman"/>
          <w:sz w:val="24"/>
          <w:szCs w:val="24"/>
          <w:u w:val="single"/>
        </w:rPr>
        <w:t>https://www.dese.gov.au/quality-schools-package/resources/through-growth-achievement-report-review-achieve-educational-excellence-australian-schools</w:t>
      </w:r>
      <w:r w:rsidRPr="001D704A">
        <w:rPr>
          <w:rFonts w:ascii="Times New Roman" w:hAnsi="Times New Roman" w:cs="Times New Roman"/>
          <w:sz w:val="24"/>
          <w:szCs w:val="24"/>
        </w:rPr>
        <w:t>)</w:t>
      </w:r>
      <w:r w:rsidR="00481408" w:rsidRPr="001D704A">
        <w:rPr>
          <w:rFonts w:ascii="Times New Roman" w:hAnsi="Times New Roman" w:cs="Times New Roman"/>
          <w:sz w:val="24"/>
          <w:szCs w:val="24"/>
        </w:rPr>
        <w:t>.</w:t>
      </w:r>
    </w:p>
    <w:p w14:paraId="03F67719" w14:textId="77777777" w:rsidR="00481408" w:rsidRPr="001D704A" w:rsidRDefault="00481408" w:rsidP="00123EB1">
      <w:pPr>
        <w:rPr>
          <w:rFonts w:ascii="Times New Roman" w:hAnsi="Times New Roman" w:cs="Times New Roman"/>
          <w:sz w:val="24"/>
          <w:szCs w:val="24"/>
        </w:rPr>
      </w:pPr>
    </w:p>
    <w:p w14:paraId="2143A731" w14:textId="5BC3A46D" w:rsidR="00481408" w:rsidRPr="001D704A" w:rsidRDefault="00481408" w:rsidP="00123EB1">
      <w:pPr>
        <w:rPr>
          <w:rFonts w:ascii="Times New Roman" w:hAnsi="Times New Roman" w:cs="Times New Roman"/>
          <w:sz w:val="24"/>
          <w:szCs w:val="24"/>
        </w:rPr>
      </w:pPr>
      <w:r w:rsidRPr="001D704A">
        <w:rPr>
          <w:rFonts w:ascii="Times New Roman" w:hAnsi="Times New Roman" w:cs="Times New Roman"/>
          <w:sz w:val="24"/>
          <w:szCs w:val="24"/>
        </w:rPr>
        <w:t>The Initiative aims to support teachers to monitor individual student progress and identify individual student learning needs by providing access to an online system currently known as the Teaching Tools Network. The proposed system will assist teachers to identify what skills and knowledge a student already possesses, what each student needs to learn next, and what resources will be most useful to support that student’s progress. Us</w:t>
      </w:r>
      <w:r w:rsidR="00A64C46" w:rsidRPr="001D704A">
        <w:rPr>
          <w:rFonts w:ascii="Times New Roman" w:hAnsi="Times New Roman" w:cs="Times New Roman"/>
          <w:sz w:val="24"/>
          <w:szCs w:val="24"/>
        </w:rPr>
        <w:t>e of</w:t>
      </w:r>
      <w:r w:rsidRPr="001D704A">
        <w:rPr>
          <w:rFonts w:ascii="Times New Roman" w:hAnsi="Times New Roman" w:cs="Times New Roman"/>
          <w:sz w:val="24"/>
          <w:szCs w:val="24"/>
        </w:rPr>
        <w:t xml:space="preserve"> this system will provide teachers with the information and tools they need to adapt their teaching practice to meet their student’s needs. Students will also have access to information about their own learning progress.</w:t>
      </w:r>
    </w:p>
    <w:p w14:paraId="3B71C39D" w14:textId="77777777" w:rsidR="00481408" w:rsidRPr="001D704A" w:rsidRDefault="00481408" w:rsidP="00123EB1">
      <w:pPr>
        <w:rPr>
          <w:rFonts w:ascii="Times New Roman" w:hAnsi="Times New Roman" w:cs="Times New Roman"/>
          <w:bCs/>
          <w:sz w:val="24"/>
          <w:szCs w:val="24"/>
        </w:rPr>
      </w:pPr>
    </w:p>
    <w:p w14:paraId="166A3C73" w14:textId="1E1E1D02" w:rsidR="00481408" w:rsidRPr="001D704A" w:rsidRDefault="00481408" w:rsidP="00123EB1">
      <w:pPr>
        <w:rPr>
          <w:rFonts w:ascii="Times New Roman" w:hAnsi="Times New Roman" w:cs="Times New Roman"/>
          <w:sz w:val="24"/>
          <w:szCs w:val="24"/>
        </w:rPr>
      </w:pPr>
      <w:r w:rsidRPr="001D704A">
        <w:rPr>
          <w:rFonts w:ascii="Times New Roman" w:hAnsi="Times New Roman" w:cs="Times New Roman"/>
          <w:bCs/>
          <w:sz w:val="24"/>
          <w:szCs w:val="24"/>
        </w:rPr>
        <w:t xml:space="preserve">The Initiative was </w:t>
      </w:r>
      <w:r w:rsidR="00A64C46" w:rsidRPr="001D704A">
        <w:rPr>
          <w:rFonts w:ascii="Times New Roman" w:hAnsi="Times New Roman" w:cs="Times New Roman"/>
          <w:bCs/>
          <w:sz w:val="24"/>
          <w:szCs w:val="24"/>
        </w:rPr>
        <w:t>part</w:t>
      </w:r>
      <w:r w:rsidRPr="001D704A">
        <w:rPr>
          <w:rFonts w:ascii="Times New Roman" w:hAnsi="Times New Roman" w:cs="Times New Roman"/>
          <w:bCs/>
          <w:sz w:val="24"/>
          <w:szCs w:val="24"/>
        </w:rPr>
        <w:t xml:space="preserve"> of a wider agreement between all states, territories and the Commonwealth at the end of 2018, where</w:t>
      </w:r>
      <w:r w:rsidR="00A64C46" w:rsidRPr="001D704A">
        <w:rPr>
          <w:rFonts w:ascii="Times New Roman" w:hAnsi="Times New Roman" w:cs="Times New Roman"/>
          <w:bCs/>
          <w:sz w:val="24"/>
          <w:szCs w:val="24"/>
        </w:rPr>
        <w:t>by</w:t>
      </w:r>
      <w:r w:rsidRPr="001D704A">
        <w:rPr>
          <w:rFonts w:ascii="Times New Roman" w:hAnsi="Times New Roman" w:cs="Times New Roman"/>
          <w:bCs/>
          <w:sz w:val="24"/>
          <w:szCs w:val="24"/>
        </w:rPr>
        <w:t xml:space="preserve"> all jurisdictions have committed to providing financial contributions to the ‘learning progressions and online formative assessment’ </w:t>
      </w:r>
      <w:r w:rsidR="00A64C46" w:rsidRPr="001D704A">
        <w:rPr>
          <w:rFonts w:ascii="Times New Roman" w:hAnsi="Times New Roman" w:cs="Times New Roman"/>
          <w:bCs/>
          <w:sz w:val="24"/>
          <w:szCs w:val="24"/>
        </w:rPr>
        <w:t>n</w:t>
      </w:r>
      <w:r w:rsidRPr="001D704A">
        <w:rPr>
          <w:rFonts w:ascii="Times New Roman" w:hAnsi="Times New Roman" w:cs="Times New Roman"/>
          <w:bCs/>
          <w:sz w:val="24"/>
          <w:szCs w:val="24"/>
        </w:rPr>
        <w:t xml:space="preserve">ational </w:t>
      </w:r>
      <w:r w:rsidR="00A64C46" w:rsidRPr="001D704A">
        <w:rPr>
          <w:rFonts w:ascii="Times New Roman" w:hAnsi="Times New Roman" w:cs="Times New Roman"/>
          <w:bCs/>
          <w:sz w:val="24"/>
          <w:szCs w:val="24"/>
        </w:rPr>
        <w:t>policy in</w:t>
      </w:r>
      <w:r w:rsidRPr="001D704A">
        <w:rPr>
          <w:rFonts w:ascii="Times New Roman" w:hAnsi="Times New Roman" w:cs="Times New Roman"/>
          <w:bCs/>
          <w:sz w:val="24"/>
          <w:szCs w:val="24"/>
        </w:rPr>
        <w:t xml:space="preserve">itiative </w:t>
      </w:r>
      <w:r w:rsidR="00A64C46" w:rsidRPr="001D704A">
        <w:rPr>
          <w:rFonts w:ascii="Times New Roman" w:hAnsi="Times New Roman" w:cs="Times New Roman"/>
          <w:bCs/>
          <w:sz w:val="24"/>
          <w:szCs w:val="24"/>
        </w:rPr>
        <w:t xml:space="preserve">under </w:t>
      </w:r>
      <w:r w:rsidRPr="001D704A">
        <w:rPr>
          <w:rFonts w:ascii="Times New Roman" w:hAnsi="Times New Roman" w:cs="Times New Roman"/>
          <w:bCs/>
          <w:sz w:val="24"/>
          <w:szCs w:val="24"/>
        </w:rPr>
        <w:t xml:space="preserve">the </w:t>
      </w:r>
      <w:r w:rsidRPr="001D704A">
        <w:rPr>
          <w:rFonts w:ascii="Times New Roman" w:hAnsi="Times New Roman" w:cs="Times New Roman"/>
          <w:bCs/>
          <w:i/>
          <w:sz w:val="24"/>
          <w:szCs w:val="24"/>
        </w:rPr>
        <w:t>National School Reform Agreement</w:t>
      </w:r>
      <w:r w:rsidR="00A64C46" w:rsidRPr="001D704A">
        <w:rPr>
          <w:rFonts w:ascii="Times New Roman" w:hAnsi="Times New Roman" w:cs="Times New Roman"/>
          <w:bCs/>
          <w:sz w:val="24"/>
          <w:szCs w:val="24"/>
        </w:rPr>
        <w:t xml:space="preserve"> (NSRA)</w:t>
      </w:r>
      <w:r w:rsidRPr="001D704A">
        <w:rPr>
          <w:rFonts w:ascii="Times New Roman" w:hAnsi="Times New Roman" w:cs="Times New Roman"/>
          <w:bCs/>
          <w:sz w:val="24"/>
          <w:szCs w:val="24"/>
        </w:rPr>
        <w:t xml:space="preserve">. </w:t>
      </w:r>
    </w:p>
    <w:p w14:paraId="049DB629" w14:textId="77777777" w:rsidR="00481408" w:rsidRPr="001D704A" w:rsidRDefault="00481408" w:rsidP="00123EB1">
      <w:pPr>
        <w:rPr>
          <w:rFonts w:ascii="Times New Roman" w:hAnsi="Times New Roman" w:cs="Times New Roman"/>
          <w:bCs/>
          <w:sz w:val="24"/>
          <w:szCs w:val="24"/>
        </w:rPr>
      </w:pPr>
    </w:p>
    <w:p w14:paraId="31620715" w14:textId="6656987B"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Reflecting the longstanding practice of collaboration between all government levels to deliver school education, the </w:t>
      </w:r>
      <w:r w:rsidR="00A64C46" w:rsidRPr="001D704A">
        <w:rPr>
          <w:rFonts w:ascii="Times New Roman" w:hAnsi="Times New Roman" w:cs="Times New Roman"/>
          <w:bCs/>
          <w:sz w:val="24"/>
          <w:szCs w:val="24"/>
        </w:rPr>
        <w:t>NSRA</w:t>
      </w:r>
      <w:r w:rsidRPr="001D704A">
        <w:rPr>
          <w:rFonts w:ascii="Times New Roman" w:hAnsi="Times New Roman" w:cs="Times New Roman"/>
          <w:bCs/>
          <w:sz w:val="24"/>
          <w:szCs w:val="24"/>
        </w:rPr>
        <w:t xml:space="preserve"> sets out eight national policy initiatives against three reform directions that the Commonwealth, states and territories have agreed to implement across a five</w:t>
      </w:r>
      <w:r w:rsidR="00A64C46" w:rsidRPr="001D704A">
        <w:rPr>
          <w:rFonts w:ascii="Times New Roman" w:hAnsi="Times New Roman" w:cs="Times New Roman"/>
          <w:bCs/>
          <w:sz w:val="24"/>
          <w:szCs w:val="24"/>
        </w:rPr>
        <w:t>-</w:t>
      </w:r>
      <w:r w:rsidRPr="001D704A">
        <w:rPr>
          <w:rFonts w:ascii="Times New Roman" w:hAnsi="Times New Roman" w:cs="Times New Roman"/>
          <w:bCs/>
          <w:sz w:val="24"/>
          <w:szCs w:val="24"/>
        </w:rPr>
        <w:t>year period to December 2023. The Initiative delivers on two of the national policy initiatives against one reform direction</w:t>
      </w:r>
      <w:r w:rsidR="00A64C46" w:rsidRPr="001D704A">
        <w:rPr>
          <w:rFonts w:ascii="Times New Roman" w:hAnsi="Times New Roman" w:cs="Times New Roman"/>
          <w:bCs/>
          <w:sz w:val="24"/>
          <w:szCs w:val="24"/>
        </w:rPr>
        <w:t>:</w:t>
      </w:r>
      <w:r w:rsidRPr="001D704A">
        <w:rPr>
          <w:rFonts w:ascii="Times New Roman" w:hAnsi="Times New Roman" w:cs="Times New Roman"/>
          <w:bCs/>
          <w:sz w:val="24"/>
          <w:szCs w:val="24"/>
        </w:rPr>
        <w:t xml:space="preserve"> to support students, student learning and student achievement by enhancing the Australian Curriculum to support teacher assessment of student attainment and growth against clear descriptors. </w:t>
      </w:r>
    </w:p>
    <w:p w14:paraId="18B66F59" w14:textId="77777777" w:rsidR="00481408" w:rsidRPr="001D704A" w:rsidRDefault="00481408" w:rsidP="00123EB1">
      <w:pPr>
        <w:rPr>
          <w:rFonts w:ascii="Times New Roman" w:hAnsi="Times New Roman" w:cs="Times New Roman"/>
          <w:bCs/>
          <w:sz w:val="24"/>
          <w:szCs w:val="24"/>
        </w:rPr>
      </w:pPr>
    </w:p>
    <w:p w14:paraId="29DA5E15" w14:textId="1A8BF15C"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In 2018</w:t>
      </w:r>
      <w:r w:rsidR="00A64C46" w:rsidRPr="001D704A">
        <w:rPr>
          <w:rFonts w:ascii="Times New Roman" w:hAnsi="Times New Roman" w:cs="Times New Roman"/>
          <w:bCs/>
          <w:sz w:val="24"/>
          <w:szCs w:val="24"/>
        </w:rPr>
        <w:t>,</w:t>
      </w:r>
      <w:r w:rsidRPr="001D704A">
        <w:rPr>
          <w:rFonts w:ascii="Times New Roman" w:hAnsi="Times New Roman" w:cs="Times New Roman"/>
          <w:bCs/>
          <w:sz w:val="24"/>
          <w:szCs w:val="24"/>
        </w:rPr>
        <w:t xml:space="preserve"> all Education Ministers agreed that the Initiative would be an initiative of the Education Council, being a forum of</w:t>
      </w:r>
      <w:r w:rsidRPr="001D704A">
        <w:rPr>
          <w:rFonts w:ascii="Times New Roman" w:hAnsi="Times New Roman" w:cs="Times New Roman"/>
          <w:sz w:val="24"/>
          <w:szCs w:val="24"/>
        </w:rPr>
        <w:t xml:space="preserve"> </w:t>
      </w:r>
      <w:r w:rsidR="00E8679C" w:rsidRPr="001D704A">
        <w:rPr>
          <w:rFonts w:ascii="Times New Roman" w:hAnsi="Times New Roman" w:cs="Times New Roman"/>
          <w:sz w:val="24"/>
          <w:szCs w:val="24"/>
        </w:rPr>
        <w:t xml:space="preserve">the </w:t>
      </w:r>
      <w:r w:rsidRPr="001D704A">
        <w:rPr>
          <w:rFonts w:ascii="Times New Roman" w:hAnsi="Times New Roman" w:cs="Times New Roman"/>
          <w:bCs/>
          <w:sz w:val="24"/>
          <w:szCs w:val="24"/>
        </w:rPr>
        <w:t xml:space="preserve">Commonwealth and state and territory ministers with responsibility for education. They also agreed that the development of the Initiative would be based on the Digital Transformation Agency’s </w:t>
      </w:r>
      <w:r w:rsidR="00E8679C" w:rsidRPr="001D704A">
        <w:rPr>
          <w:rFonts w:ascii="Times New Roman" w:hAnsi="Times New Roman" w:cs="Times New Roman"/>
          <w:bCs/>
          <w:sz w:val="24"/>
          <w:szCs w:val="24"/>
        </w:rPr>
        <w:t>s</w:t>
      </w:r>
      <w:r w:rsidRPr="001D704A">
        <w:rPr>
          <w:rFonts w:ascii="Times New Roman" w:hAnsi="Times New Roman" w:cs="Times New Roman"/>
          <w:bCs/>
          <w:sz w:val="24"/>
          <w:szCs w:val="24"/>
        </w:rPr>
        <w:t xml:space="preserve">ervice </w:t>
      </w:r>
      <w:r w:rsidR="00E8679C" w:rsidRPr="001D704A">
        <w:rPr>
          <w:rFonts w:ascii="Times New Roman" w:hAnsi="Times New Roman" w:cs="Times New Roman"/>
          <w:bCs/>
          <w:sz w:val="24"/>
          <w:szCs w:val="24"/>
        </w:rPr>
        <w:t>d</w:t>
      </w:r>
      <w:r w:rsidRPr="001D704A">
        <w:rPr>
          <w:rFonts w:ascii="Times New Roman" w:hAnsi="Times New Roman" w:cs="Times New Roman"/>
          <w:bCs/>
          <w:sz w:val="24"/>
          <w:szCs w:val="24"/>
        </w:rPr>
        <w:t xml:space="preserve">esign and </w:t>
      </w:r>
      <w:r w:rsidR="00E8679C" w:rsidRPr="001D704A">
        <w:rPr>
          <w:rFonts w:ascii="Times New Roman" w:hAnsi="Times New Roman" w:cs="Times New Roman"/>
          <w:bCs/>
          <w:sz w:val="24"/>
          <w:szCs w:val="24"/>
        </w:rPr>
        <w:t>d</w:t>
      </w:r>
      <w:r w:rsidRPr="001D704A">
        <w:rPr>
          <w:rFonts w:ascii="Times New Roman" w:hAnsi="Times New Roman" w:cs="Times New Roman"/>
          <w:bCs/>
          <w:sz w:val="24"/>
          <w:szCs w:val="24"/>
        </w:rPr>
        <w:t xml:space="preserve">elivery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rocess which outlines four phases for</w:t>
      </w:r>
      <w:r w:rsidR="00E8679C" w:rsidRPr="001D704A">
        <w:rPr>
          <w:rFonts w:ascii="Times New Roman" w:hAnsi="Times New Roman" w:cs="Times New Roman"/>
          <w:bCs/>
          <w:sz w:val="24"/>
          <w:szCs w:val="24"/>
        </w:rPr>
        <w:t xml:space="preserve"> the delivery of an IT solution:</w:t>
      </w:r>
      <w:r w:rsidRPr="001D704A">
        <w:rPr>
          <w:rFonts w:ascii="Times New Roman" w:hAnsi="Times New Roman" w:cs="Times New Roman"/>
          <w:bCs/>
          <w:sz w:val="24"/>
          <w:szCs w:val="24"/>
        </w:rPr>
        <w:t xml:space="preserve"> Discovery, Alpha, Beta and Live</w:t>
      </w:r>
      <w:r w:rsidR="00E8679C" w:rsidRPr="001D704A">
        <w:rPr>
          <w:rFonts w:ascii="Times New Roman" w:hAnsi="Times New Roman" w:cs="Times New Roman"/>
          <w:bCs/>
          <w:sz w:val="24"/>
          <w:szCs w:val="24"/>
        </w:rPr>
        <w:t>. Th</w:t>
      </w:r>
      <w:r w:rsidRPr="001D704A">
        <w:rPr>
          <w:rFonts w:ascii="Times New Roman" w:hAnsi="Times New Roman" w:cs="Times New Roman"/>
          <w:bCs/>
          <w:sz w:val="24"/>
          <w:szCs w:val="24"/>
        </w:rPr>
        <w:t xml:space="preserve">e Initiative would not progress from one phase to the next without </w:t>
      </w:r>
      <w:r w:rsidR="00E8679C" w:rsidRPr="001D704A">
        <w:rPr>
          <w:rFonts w:ascii="Times New Roman" w:hAnsi="Times New Roman" w:cs="Times New Roman"/>
          <w:bCs/>
          <w:sz w:val="24"/>
          <w:szCs w:val="24"/>
        </w:rPr>
        <w:t xml:space="preserve">the </w:t>
      </w:r>
      <w:r w:rsidRPr="001D704A">
        <w:rPr>
          <w:rFonts w:ascii="Times New Roman" w:hAnsi="Times New Roman" w:cs="Times New Roman"/>
          <w:bCs/>
          <w:sz w:val="24"/>
          <w:szCs w:val="24"/>
        </w:rPr>
        <w:t xml:space="preserve">agreement of Education Ministers. </w:t>
      </w:r>
    </w:p>
    <w:p w14:paraId="395820AC" w14:textId="77777777" w:rsidR="00481408" w:rsidRPr="001D704A" w:rsidRDefault="00481408" w:rsidP="00123EB1">
      <w:pPr>
        <w:rPr>
          <w:rFonts w:ascii="Times New Roman" w:hAnsi="Times New Roman" w:cs="Times New Roman"/>
          <w:bCs/>
          <w:sz w:val="24"/>
          <w:szCs w:val="24"/>
        </w:rPr>
      </w:pPr>
    </w:p>
    <w:p w14:paraId="04EA468C" w14:textId="5776426B"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The Discovery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hase of the Initiative began in May 2019 and involved developing a deep understanding of users and their needs</w:t>
      </w:r>
      <w:r w:rsidR="00E8679C" w:rsidRPr="001D704A">
        <w:rPr>
          <w:rFonts w:ascii="Times New Roman" w:hAnsi="Times New Roman" w:cs="Times New Roman"/>
          <w:bCs/>
          <w:sz w:val="24"/>
          <w:szCs w:val="24"/>
        </w:rPr>
        <w:t>,</w:t>
      </w:r>
      <w:r w:rsidRPr="001D704A">
        <w:rPr>
          <w:rFonts w:ascii="Times New Roman" w:hAnsi="Times New Roman" w:cs="Times New Roman"/>
          <w:bCs/>
          <w:sz w:val="24"/>
          <w:szCs w:val="24"/>
        </w:rPr>
        <w:t xml:space="preserve"> as well as potential solutions to identified pain points. The findings of the Discovery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 xml:space="preserve">hase were reported to Education Ministers in December 2019. </w:t>
      </w:r>
    </w:p>
    <w:p w14:paraId="2AA11717" w14:textId="77777777" w:rsidR="00481408" w:rsidRPr="001D704A" w:rsidRDefault="00481408" w:rsidP="00123EB1">
      <w:pPr>
        <w:rPr>
          <w:rFonts w:ascii="Times New Roman" w:hAnsi="Times New Roman" w:cs="Times New Roman"/>
          <w:bCs/>
          <w:sz w:val="24"/>
          <w:szCs w:val="24"/>
        </w:rPr>
      </w:pPr>
    </w:p>
    <w:p w14:paraId="00FFA9F9" w14:textId="613242FD"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The Education Ministers </w:t>
      </w:r>
      <w:r w:rsidR="00E8679C" w:rsidRPr="001D704A">
        <w:rPr>
          <w:rFonts w:ascii="Times New Roman" w:hAnsi="Times New Roman" w:cs="Times New Roman"/>
          <w:bCs/>
          <w:sz w:val="24"/>
          <w:szCs w:val="24"/>
        </w:rPr>
        <w:t xml:space="preserve">then </w:t>
      </w:r>
      <w:r w:rsidRPr="001D704A">
        <w:rPr>
          <w:rFonts w:ascii="Times New Roman" w:hAnsi="Times New Roman" w:cs="Times New Roman"/>
          <w:bCs/>
          <w:sz w:val="24"/>
          <w:szCs w:val="24"/>
        </w:rPr>
        <w:t xml:space="preserve">agreed to proceed to an Alpha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hase that started in 2020</w:t>
      </w:r>
      <w:r w:rsidR="00E8679C" w:rsidRPr="001D704A">
        <w:rPr>
          <w:rFonts w:ascii="Times New Roman" w:hAnsi="Times New Roman" w:cs="Times New Roman"/>
          <w:bCs/>
          <w:sz w:val="24"/>
          <w:szCs w:val="24"/>
        </w:rPr>
        <w:t xml:space="preserve"> and </w:t>
      </w:r>
      <w:r w:rsidRPr="001D704A">
        <w:rPr>
          <w:rFonts w:ascii="Times New Roman" w:hAnsi="Times New Roman" w:cs="Times New Roman"/>
          <w:bCs/>
          <w:sz w:val="24"/>
          <w:szCs w:val="24"/>
        </w:rPr>
        <w:t xml:space="preserve">included the development of a prototype and testing with users. In July 2021, Education Ministers agreed that the Initiative should proceed to its Beta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hase. Th</w:t>
      </w:r>
      <w:r w:rsidR="00E8679C" w:rsidRPr="001D704A">
        <w:rPr>
          <w:rFonts w:ascii="Times New Roman" w:hAnsi="Times New Roman" w:cs="Times New Roman"/>
          <w:bCs/>
          <w:sz w:val="24"/>
          <w:szCs w:val="24"/>
        </w:rPr>
        <w:t>is ph</w:t>
      </w:r>
      <w:r w:rsidRPr="001D704A">
        <w:rPr>
          <w:rFonts w:ascii="Times New Roman" w:hAnsi="Times New Roman" w:cs="Times New Roman"/>
          <w:bCs/>
          <w:sz w:val="24"/>
          <w:szCs w:val="24"/>
        </w:rPr>
        <w:t>ase will consider, develop and trial the proposed solution with the aim of progressively roll</w:t>
      </w:r>
      <w:r w:rsidR="00E8679C" w:rsidRPr="001D704A">
        <w:rPr>
          <w:rFonts w:ascii="Times New Roman" w:hAnsi="Times New Roman" w:cs="Times New Roman"/>
          <w:bCs/>
          <w:sz w:val="24"/>
          <w:szCs w:val="24"/>
        </w:rPr>
        <w:t>ing it</w:t>
      </w:r>
      <w:r w:rsidRPr="001D704A">
        <w:rPr>
          <w:rFonts w:ascii="Times New Roman" w:hAnsi="Times New Roman" w:cs="Times New Roman"/>
          <w:bCs/>
          <w:sz w:val="24"/>
          <w:szCs w:val="24"/>
        </w:rPr>
        <w:t xml:space="preserve"> out in Australian schools from 2023. The Initiative’s Beta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 xml:space="preserve">hase will be led by the South Australian department responsible for school education and will be financially supported by the Commonwealth and all states and territories using the standard cost sharing arrangements for education initiatives. </w:t>
      </w:r>
    </w:p>
    <w:p w14:paraId="6B28560C" w14:textId="77777777" w:rsidR="00481408" w:rsidRPr="001D704A" w:rsidRDefault="00481408" w:rsidP="00123EB1">
      <w:pPr>
        <w:rPr>
          <w:rFonts w:ascii="Times New Roman" w:hAnsi="Times New Roman" w:cs="Times New Roman"/>
          <w:bCs/>
          <w:sz w:val="24"/>
          <w:szCs w:val="24"/>
        </w:rPr>
      </w:pPr>
    </w:p>
    <w:p w14:paraId="057A0B17" w14:textId="7A5E5BB1"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Table item</w:t>
      </w:r>
      <w:r w:rsidR="00E8679C" w:rsidRPr="001D704A">
        <w:rPr>
          <w:rFonts w:ascii="Times New Roman" w:hAnsi="Times New Roman" w:cs="Times New Roman"/>
          <w:bCs/>
          <w:sz w:val="24"/>
          <w:szCs w:val="24"/>
        </w:rPr>
        <w:t xml:space="preserve"> 516</w:t>
      </w:r>
      <w:r w:rsidRPr="001D704A">
        <w:rPr>
          <w:rFonts w:ascii="Times New Roman" w:hAnsi="Times New Roman" w:cs="Times New Roman"/>
          <w:bCs/>
          <w:sz w:val="24"/>
          <w:szCs w:val="24"/>
        </w:rPr>
        <w:t xml:space="preserve"> will provide legislative authority for the Commonwealth’s existing commitment of funding towards the Beta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hase</w:t>
      </w:r>
      <w:r w:rsidR="00E8679C" w:rsidRPr="001D704A">
        <w:rPr>
          <w:rFonts w:ascii="Times New Roman" w:hAnsi="Times New Roman" w:cs="Times New Roman"/>
          <w:bCs/>
          <w:sz w:val="24"/>
          <w:szCs w:val="24"/>
        </w:rPr>
        <w:t>,</w:t>
      </w:r>
      <w:r w:rsidRPr="001D704A">
        <w:rPr>
          <w:rFonts w:ascii="Times New Roman" w:hAnsi="Times New Roman" w:cs="Times New Roman"/>
          <w:bCs/>
          <w:sz w:val="24"/>
          <w:szCs w:val="24"/>
        </w:rPr>
        <w:t xml:space="preserve"> as well as any potential future commitments of Commonwealth funding for the implementation and maintenance of the system which is built. It is intended that the system will make information about students’ learning progress and achievement visible to the students, teachers and school leaders in a meaningful and accessible format including:</w:t>
      </w:r>
    </w:p>
    <w:p w14:paraId="3608329E" w14:textId="38ADB95C" w:rsidR="00481408" w:rsidRPr="001D704A" w:rsidRDefault="00E8679C" w:rsidP="00123EB1">
      <w:pPr>
        <w:numPr>
          <w:ilvl w:val="0"/>
          <w:numId w:val="43"/>
        </w:numPr>
        <w:rPr>
          <w:rFonts w:ascii="Times New Roman" w:hAnsi="Times New Roman" w:cs="Times New Roman"/>
          <w:bCs/>
          <w:sz w:val="24"/>
          <w:szCs w:val="24"/>
        </w:rPr>
      </w:pPr>
      <w:r w:rsidRPr="001D704A">
        <w:rPr>
          <w:rFonts w:ascii="Times New Roman" w:hAnsi="Times New Roman" w:cs="Times New Roman"/>
          <w:bCs/>
          <w:sz w:val="24"/>
          <w:szCs w:val="24"/>
        </w:rPr>
        <w:t xml:space="preserve">a user </w:t>
      </w:r>
      <w:r w:rsidR="00481408" w:rsidRPr="001D704A">
        <w:rPr>
          <w:rFonts w:ascii="Times New Roman" w:hAnsi="Times New Roman" w:cs="Times New Roman"/>
          <w:bCs/>
          <w:sz w:val="24"/>
          <w:szCs w:val="24"/>
        </w:rPr>
        <w:t>friendly dashboard for teachers and students that incorporates data visualisation and feedback tools for formative assessment;</w:t>
      </w:r>
    </w:p>
    <w:p w14:paraId="738AB941" w14:textId="46B43D73" w:rsidR="00481408" w:rsidRPr="001D704A" w:rsidRDefault="00481408" w:rsidP="00123EB1">
      <w:pPr>
        <w:numPr>
          <w:ilvl w:val="0"/>
          <w:numId w:val="43"/>
        </w:numPr>
        <w:rPr>
          <w:rFonts w:ascii="Times New Roman" w:hAnsi="Times New Roman" w:cs="Times New Roman"/>
          <w:bCs/>
          <w:sz w:val="24"/>
          <w:szCs w:val="24"/>
        </w:rPr>
      </w:pPr>
      <w:r w:rsidRPr="001D704A">
        <w:rPr>
          <w:rFonts w:ascii="Times New Roman" w:hAnsi="Times New Roman" w:cs="Times New Roman"/>
          <w:bCs/>
          <w:sz w:val="24"/>
          <w:szCs w:val="24"/>
        </w:rPr>
        <w:t>access to useful observational evidence that will help in the design of a teaching plan</w:t>
      </w:r>
      <w:r w:rsidR="00E8679C" w:rsidRPr="001D704A">
        <w:rPr>
          <w:rFonts w:ascii="Times New Roman" w:hAnsi="Times New Roman" w:cs="Times New Roman"/>
          <w:bCs/>
          <w:sz w:val="24"/>
          <w:szCs w:val="24"/>
        </w:rPr>
        <w:t>;</w:t>
      </w:r>
    </w:p>
    <w:p w14:paraId="2BF1D4FF" w14:textId="77777777" w:rsidR="00481408" w:rsidRPr="001D704A" w:rsidRDefault="00481408" w:rsidP="00123EB1">
      <w:pPr>
        <w:numPr>
          <w:ilvl w:val="0"/>
          <w:numId w:val="43"/>
        </w:numPr>
        <w:rPr>
          <w:rFonts w:ascii="Times New Roman" w:hAnsi="Times New Roman" w:cs="Times New Roman"/>
          <w:bCs/>
          <w:sz w:val="24"/>
          <w:szCs w:val="24"/>
        </w:rPr>
      </w:pPr>
      <w:r w:rsidRPr="001D704A">
        <w:rPr>
          <w:rFonts w:ascii="Times New Roman" w:hAnsi="Times New Roman" w:cs="Times New Roman"/>
          <w:bCs/>
          <w:sz w:val="24"/>
          <w:szCs w:val="24"/>
        </w:rPr>
        <w:t>access to useful digital resources for both students and teachers; and</w:t>
      </w:r>
    </w:p>
    <w:p w14:paraId="77850124" w14:textId="77777777" w:rsidR="00481408" w:rsidRPr="001D704A" w:rsidRDefault="00481408" w:rsidP="00123EB1">
      <w:pPr>
        <w:numPr>
          <w:ilvl w:val="0"/>
          <w:numId w:val="43"/>
        </w:numPr>
        <w:rPr>
          <w:rFonts w:ascii="Times New Roman" w:hAnsi="Times New Roman" w:cs="Times New Roman"/>
          <w:bCs/>
          <w:sz w:val="24"/>
          <w:szCs w:val="24"/>
        </w:rPr>
      </w:pPr>
      <w:r w:rsidRPr="001D704A">
        <w:rPr>
          <w:rFonts w:ascii="Times New Roman" w:hAnsi="Times New Roman" w:cs="Times New Roman"/>
          <w:bCs/>
          <w:sz w:val="24"/>
          <w:szCs w:val="24"/>
        </w:rPr>
        <w:t>a suite of professional development options for teachers and school leaders to support and assist effective implementation.</w:t>
      </w:r>
    </w:p>
    <w:p w14:paraId="4489BF5C" w14:textId="77777777" w:rsidR="00481408" w:rsidRPr="001D704A" w:rsidRDefault="00481408" w:rsidP="00123EB1">
      <w:pPr>
        <w:rPr>
          <w:rFonts w:ascii="Times New Roman" w:hAnsi="Times New Roman" w:cs="Times New Roman"/>
          <w:bCs/>
          <w:sz w:val="24"/>
          <w:szCs w:val="24"/>
        </w:rPr>
      </w:pPr>
    </w:p>
    <w:p w14:paraId="737EFADE" w14:textId="178BD78F"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In the longer term, it is intended that the Initiative will build on current good practice and support the collection of empirical evidence about effective formative assessment practices, as well as valuable classroom observations, insights and suggestions from teachers and students. When bundled together, all elements of the Initiative will create an empirical evidence base of effective practices available to teachers across Australia.</w:t>
      </w:r>
    </w:p>
    <w:p w14:paraId="696B1DAB" w14:textId="77777777" w:rsidR="00481408" w:rsidRPr="001D704A" w:rsidRDefault="00481408" w:rsidP="00123EB1">
      <w:pPr>
        <w:rPr>
          <w:rFonts w:ascii="Times New Roman" w:hAnsi="Times New Roman" w:cs="Times New Roman"/>
          <w:bCs/>
          <w:sz w:val="24"/>
          <w:szCs w:val="24"/>
        </w:rPr>
      </w:pPr>
    </w:p>
    <w:p w14:paraId="4D5E0F3F" w14:textId="71DD06B4"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The Initiative is jointly funded by the Commonwealth and all states and territories and in this context significant decisions in relation to the development, implementation and maintenance of the Initiative are to be made collectively by the Commonwealth and state and territory ministers with responsibility for education in each jurisdiction. Such decisions are made at the Education Ministers Meeting (EMM). The Australian Government is represented at the EMM by the Minister for Education and Youth. It is intended that </w:t>
      </w:r>
      <w:r w:rsidR="00E8679C" w:rsidRPr="001D704A">
        <w:rPr>
          <w:rFonts w:ascii="Times New Roman" w:hAnsi="Times New Roman" w:cs="Times New Roman"/>
          <w:bCs/>
          <w:sz w:val="24"/>
          <w:szCs w:val="24"/>
        </w:rPr>
        <w:t xml:space="preserve">the </w:t>
      </w:r>
      <w:r w:rsidRPr="001D704A">
        <w:rPr>
          <w:rFonts w:ascii="Times New Roman" w:hAnsi="Times New Roman" w:cs="Times New Roman"/>
          <w:bCs/>
          <w:sz w:val="24"/>
          <w:szCs w:val="24"/>
        </w:rPr>
        <w:t xml:space="preserve">EMM will make decisions in relation to the Initiative with regard to independent advice. </w:t>
      </w:r>
    </w:p>
    <w:p w14:paraId="2C7BD3D5" w14:textId="77777777" w:rsidR="00481408" w:rsidRPr="001D704A" w:rsidRDefault="00481408" w:rsidP="00123EB1">
      <w:pPr>
        <w:rPr>
          <w:rFonts w:ascii="Times New Roman" w:hAnsi="Times New Roman" w:cs="Times New Roman"/>
          <w:bCs/>
          <w:sz w:val="24"/>
          <w:szCs w:val="24"/>
        </w:rPr>
      </w:pPr>
    </w:p>
    <w:p w14:paraId="7A207C66" w14:textId="2EA5D543" w:rsidR="00BF4A48" w:rsidRPr="001D704A" w:rsidRDefault="00BF4A48" w:rsidP="00123EB1">
      <w:pPr>
        <w:rPr>
          <w:rFonts w:ascii="Times New Roman" w:hAnsi="Times New Roman" w:cs="Times New Roman"/>
          <w:sz w:val="24"/>
          <w:szCs w:val="24"/>
        </w:rPr>
      </w:pPr>
      <w:r w:rsidRPr="001D704A">
        <w:rPr>
          <w:rFonts w:ascii="Times New Roman" w:hAnsi="Times New Roman" w:cs="Times New Roman"/>
          <w:sz w:val="24"/>
          <w:szCs w:val="24"/>
        </w:rPr>
        <w:t xml:space="preserve">While all Australian Education Ministers, through the EMM, are responsible for setting the overarching scope, vision and direction of the Initiative, the SES officials of the Improving Student Outcomes Division, Schools and Youth Group in the department are responsible for the decision making process relating to the Commonwealth’s contribution to supporting and executing the direction set by the EMM for the Initiative. To ensure knowledge of the Initiative context, the departmental delegates making decisions in relation to the administration of arrangements for the Commonwealth’s funding contributions for the Beta phase of the Initiative will be the First Assistant Secretary (SES Band 2), Improving Student Outcomes Division, Schools and Youth Group or the Assistant Secretary (SES Band 1), Teaching Practice Branch, Improving Student Outcomes Division, Schools and Youth Group (depending on the significance and quantum of the decision). The Teaching Practice Branch is responsible for administering the Commonwealth’s funding contributions and involvement in the Initiative. As SES officers overseeing this work, these two delegates have relevant understanding of the policy context for the Commonwealth’s contribution to the Initiative. The First Assistant Secretary of the Improving Student Outcomes Division is the Australian Government’s representative on the Initiative’s Project Management Board, which provides for an additional level of oversight. </w:t>
      </w:r>
    </w:p>
    <w:p w14:paraId="48E04849" w14:textId="77777777" w:rsidR="00BF4A48" w:rsidRPr="001D704A" w:rsidRDefault="00BF4A4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 </w:t>
      </w:r>
    </w:p>
    <w:p w14:paraId="257A5418" w14:textId="74E9D012"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South Australia will receive funding contributions from the Commonwealth and all states and territories to support the work involved in establishing the Beta phase, including procuring relevant services from appropriate service providers. South Australia will report on progress of this work regularly to</w:t>
      </w:r>
      <w:r w:rsidR="00E8679C" w:rsidRPr="001D704A">
        <w:rPr>
          <w:rFonts w:ascii="Times New Roman" w:hAnsi="Times New Roman" w:cs="Times New Roman"/>
          <w:bCs/>
          <w:sz w:val="24"/>
          <w:szCs w:val="24"/>
        </w:rPr>
        <w:t xml:space="preserve"> the</w:t>
      </w:r>
      <w:r w:rsidRPr="001D704A">
        <w:rPr>
          <w:rFonts w:ascii="Times New Roman" w:hAnsi="Times New Roman" w:cs="Times New Roman"/>
          <w:bCs/>
          <w:sz w:val="24"/>
          <w:szCs w:val="24"/>
        </w:rPr>
        <w:t xml:space="preserve"> Australian Education Senior Officials Committee and where appropriate or requested to </w:t>
      </w:r>
      <w:r w:rsidR="00E8679C" w:rsidRPr="001D704A">
        <w:rPr>
          <w:rFonts w:ascii="Times New Roman" w:hAnsi="Times New Roman" w:cs="Times New Roman"/>
          <w:bCs/>
          <w:sz w:val="24"/>
          <w:szCs w:val="24"/>
        </w:rPr>
        <w:t xml:space="preserve">the </w:t>
      </w:r>
      <w:r w:rsidRPr="001D704A">
        <w:rPr>
          <w:rFonts w:ascii="Times New Roman" w:hAnsi="Times New Roman" w:cs="Times New Roman"/>
          <w:bCs/>
          <w:sz w:val="24"/>
          <w:szCs w:val="24"/>
        </w:rPr>
        <w:t>EMM.</w:t>
      </w:r>
    </w:p>
    <w:p w14:paraId="60F8DBA8" w14:textId="77777777" w:rsidR="00481408" w:rsidRPr="001D704A" w:rsidRDefault="00481408" w:rsidP="00123EB1">
      <w:pPr>
        <w:rPr>
          <w:rFonts w:ascii="Times New Roman" w:hAnsi="Times New Roman" w:cs="Times New Roman"/>
          <w:bCs/>
          <w:sz w:val="24"/>
          <w:szCs w:val="24"/>
        </w:rPr>
      </w:pPr>
    </w:p>
    <w:p w14:paraId="460FAC0D" w14:textId="2809F2BD"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The department is currently considering what type of arrangement it will enter into with South Australia to support the provision of Commonwealth funding contributions for the Beta </w:t>
      </w:r>
      <w:r w:rsidR="00E8679C" w:rsidRPr="001D704A">
        <w:rPr>
          <w:rFonts w:ascii="Times New Roman" w:hAnsi="Times New Roman" w:cs="Times New Roman"/>
          <w:bCs/>
          <w:sz w:val="24"/>
          <w:szCs w:val="24"/>
        </w:rPr>
        <w:t>p</w:t>
      </w:r>
      <w:r w:rsidRPr="001D704A">
        <w:rPr>
          <w:rFonts w:ascii="Times New Roman" w:hAnsi="Times New Roman" w:cs="Times New Roman"/>
          <w:bCs/>
          <w:sz w:val="24"/>
          <w:szCs w:val="24"/>
        </w:rPr>
        <w:t xml:space="preserve">hase. It is anticipated that decisions in relation to entering into such an arrangement with South Australia will be made by a delegate of the Secretary of the department under the </w:t>
      </w:r>
      <w:r w:rsidRPr="001D704A">
        <w:rPr>
          <w:rFonts w:ascii="Times New Roman" w:hAnsi="Times New Roman" w:cs="Times New Roman"/>
          <w:bCs/>
          <w:i/>
          <w:sz w:val="24"/>
          <w:szCs w:val="24"/>
        </w:rPr>
        <w:t>Financial Framework (Supplementary Powers) Act 1997</w:t>
      </w:r>
      <w:r w:rsidRPr="001D704A">
        <w:rPr>
          <w:rFonts w:ascii="Times New Roman" w:hAnsi="Times New Roman" w:cs="Times New Roman"/>
          <w:bCs/>
          <w:sz w:val="24"/>
          <w:szCs w:val="24"/>
        </w:rPr>
        <w:t>.</w:t>
      </w:r>
    </w:p>
    <w:p w14:paraId="20B1F3BC" w14:textId="2D3ADDCE" w:rsidR="00BF4A48" w:rsidRPr="001D704A" w:rsidRDefault="00BF4A48" w:rsidP="00123EB1">
      <w:pPr>
        <w:rPr>
          <w:rFonts w:ascii="Times New Roman" w:hAnsi="Times New Roman" w:cs="Times New Roman"/>
          <w:bCs/>
          <w:sz w:val="24"/>
          <w:szCs w:val="24"/>
        </w:rPr>
      </w:pPr>
    </w:p>
    <w:p w14:paraId="7EA3F15C" w14:textId="77777777" w:rsidR="00BF4A48" w:rsidRPr="001D704A" w:rsidRDefault="00BF4A48" w:rsidP="00123EB1">
      <w:pPr>
        <w:rPr>
          <w:rFonts w:ascii="Times New Roman" w:hAnsi="Times New Roman" w:cs="Times New Roman"/>
          <w:sz w:val="24"/>
          <w:szCs w:val="24"/>
        </w:rPr>
      </w:pPr>
      <w:r w:rsidRPr="001D704A">
        <w:rPr>
          <w:rFonts w:ascii="Times New Roman" w:hAnsi="Times New Roman" w:cs="Times New Roman"/>
          <w:sz w:val="24"/>
          <w:szCs w:val="24"/>
        </w:rPr>
        <w:t>The relevant arrangements for the Commonwealth’s funding contributions for the Initiative will be administered by the delegates in accordance with the Commonwealth resource management framework, including the PGPA Act</w:t>
      </w:r>
      <w:r w:rsidRPr="001D704A">
        <w:rPr>
          <w:rFonts w:ascii="Times New Roman" w:hAnsi="Times New Roman" w:cs="Times New Roman"/>
          <w:i/>
          <w:iCs/>
          <w:sz w:val="24"/>
          <w:szCs w:val="24"/>
        </w:rPr>
        <w:t xml:space="preserve">, </w:t>
      </w:r>
      <w:r w:rsidRPr="001D704A">
        <w:rPr>
          <w:rFonts w:ascii="Times New Roman" w:hAnsi="Times New Roman" w:cs="Times New Roman"/>
          <w:sz w:val="24"/>
          <w:szCs w:val="24"/>
        </w:rPr>
        <w:t>the CGRGs</w:t>
      </w:r>
      <w:r w:rsidRPr="001D704A">
        <w:rPr>
          <w:rFonts w:ascii="Times New Roman" w:hAnsi="Times New Roman" w:cs="Times New Roman"/>
          <w:i/>
          <w:iCs/>
          <w:sz w:val="24"/>
          <w:szCs w:val="24"/>
        </w:rPr>
        <w:t xml:space="preserve"> </w:t>
      </w:r>
      <w:r w:rsidRPr="001D704A">
        <w:rPr>
          <w:rFonts w:ascii="Times New Roman" w:hAnsi="Times New Roman" w:cs="Times New Roman"/>
          <w:sz w:val="24"/>
          <w:szCs w:val="24"/>
        </w:rPr>
        <w:t xml:space="preserve">and the </w:t>
      </w:r>
      <w:r w:rsidRPr="001D704A">
        <w:rPr>
          <w:rFonts w:ascii="Times New Roman" w:hAnsi="Times New Roman" w:cs="Times New Roman"/>
          <w:i/>
          <w:iCs/>
          <w:sz w:val="24"/>
          <w:szCs w:val="24"/>
        </w:rPr>
        <w:t xml:space="preserve">Commonwealth Procurement Rules </w:t>
      </w:r>
      <w:r w:rsidRPr="001D704A">
        <w:rPr>
          <w:rFonts w:ascii="Times New Roman" w:hAnsi="Times New Roman" w:cs="Times New Roman"/>
          <w:sz w:val="24"/>
          <w:szCs w:val="24"/>
        </w:rPr>
        <w:t xml:space="preserve">(CPRs) as applicable, and the department’s Accountable Authority Instructions and any other relevant financial delegations. </w:t>
      </w:r>
    </w:p>
    <w:p w14:paraId="62483767" w14:textId="77777777" w:rsidR="00481408" w:rsidRPr="001D704A" w:rsidRDefault="00481408" w:rsidP="00123EB1">
      <w:pPr>
        <w:rPr>
          <w:rFonts w:ascii="Times New Roman" w:hAnsi="Times New Roman" w:cs="Times New Roman"/>
          <w:bCs/>
          <w:sz w:val="24"/>
          <w:szCs w:val="24"/>
        </w:rPr>
      </w:pPr>
    </w:p>
    <w:p w14:paraId="07824B9B" w14:textId="16102514"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Decisions taken by </w:t>
      </w:r>
      <w:r w:rsidR="00E8679C" w:rsidRPr="001D704A">
        <w:rPr>
          <w:rFonts w:ascii="Times New Roman" w:hAnsi="Times New Roman" w:cs="Times New Roman"/>
          <w:bCs/>
          <w:sz w:val="24"/>
          <w:szCs w:val="24"/>
        </w:rPr>
        <w:t xml:space="preserve">the </w:t>
      </w:r>
      <w:r w:rsidRPr="001D704A">
        <w:rPr>
          <w:rFonts w:ascii="Times New Roman" w:hAnsi="Times New Roman" w:cs="Times New Roman"/>
          <w:bCs/>
          <w:sz w:val="24"/>
          <w:szCs w:val="24"/>
        </w:rPr>
        <w:t>EMM relating to the Initiative and the provision of Commonwealth funding to South Australia will not be subject to independent review. The Initiative involves an allocation of finite resources. Review (and potential change) of decisions would impact allocations made to other parties and would impede timely and effective implementation of the Initiative. The ARC has recognised that it is justifiable to exclude merits review in relation to decisions of this nature (see paragraph</w:t>
      </w:r>
      <w:r w:rsidR="00E8679C" w:rsidRPr="001D704A">
        <w:rPr>
          <w:rFonts w:ascii="Times New Roman" w:hAnsi="Times New Roman" w:cs="Times New Roman"/>
          <w:bCs/>
          <w:sz w:val="24"/>
          <w:szCs w:val="24"/>
        </w:rPr>
        <w:t>s</w:t>
      </w:r>
      <w:r w:rsidRPr="001D704A">
        <w:rPr>
          <w:rFonts w:ascii="Times New Roman" w:hAnsi="Times New Roman" w:cs="Times New Roman"/>
          <w:bCs/>
          <w:sz w:val="24"/>
          <w:szCs w:val="24"/>
        </w:rPr>
        <w:t xml:space="preserve"> 4.11 to 4.16 of the guide, </w:t>
      </w:r>
      <w:r w:rsidRPr="001D704A">
        <w:rPr>
          <w:rFonts w:ascii="Times New Roman" w:hAnsi="Times New Roman" w:cs="Times New Roman"/>
          <w:bCs/>
          <w:i/>
          <w:sz w:val="24"/>
          <w:szCs w:val="24"/>
        </w:rPr>
        <w:t>What decisions should be subject to merit review?</w:t>
      </w:r>
      <w:r w:rsidRPr="001D704A">
        <w:rPr>
          <w:rFonts w:ascii="Times New Roman" w:hAnsi="Times New Roman" w:cs="Times New Roman"/>
          <w:bCs/>
          <w:sz w:val="24"/>
          <w:szCs w:val="24"/>
        </w:rPr>
        <w:t>).</w:t>
      </w:r>
    </w:p>
    <w:p w14:paraId="2C9B1CFA" w14:textId="77777777" w:rsidR="00481408" w:rsidRPr="001D704A" w:rsidRDefault="00481408" w:rsidP="00123EB1">
      <w:pPr>
        <w:rPr>
          <w:rFonts w:ascii="Times New Roman" w:hAnsi="Times New Roman" w:cs="Times New Roman"/>
          <w:bCs/>
          <w:sz w:val="24"/>
          <w:szCs w:val="24"/>
        </w:rPr>
      </w:pPr>
    </w:p>
    <w:p w14:paraId="2AF02F34" w14:textId="48E7E7F3" w:rsidR="00E40509" w:rsidRPr="001D704A" w:rsidRDefault="00E40509" w:rsidP="00123EB1">
      <w:pPr>
        <w:rPr>
          <w:rFonts w:ascii="Times New Roman" w:hAnsi="Times New Roman" w:cs="Times New Roman"/>
          <w:bCs/>
          <w:sz w:val="24"/>
          <w:szCs w:val="24"/>
        </w:rPr>
      </w:pPr>
      <w:r w:rsidRPr="001D704A">
        <w:rPr>
          <w:rFonts w:ascii="Times New Roman" w:hAnsi="Times New Roman" w:cs="Times New Roman"/>
          <w:bCs/>
          <w:sz w:val="24"/>
          <w:szCs w:val="24"/>
        </w:rPr>
        <w:t>Throughout the different phases of the Initiative, consultation has occurred with teachers, principals, school leaders as well as teacher unions, parents, students, and state and territory government and non-government education sectors. Experts in learning progressions and online formative assessment have also been consulted at each phase.</w:t>
      </w:r>
    </w:p>
    <w:p w14:paraId="7AB49DC4" w14:textId="77777777" w:rsidR="00E40509" w:rsidRPr="001D704A" w:rsidRDefault="00E40509" w:rsidP="00123EB1">
      <w:pPr>
        <w:rPr>
          <w:rFonts w:ascii="Times New Roman" w:hAnsi="Times New Roman" w:cs="Times New Roman"/>
          <w:bCs/>
          <w:sz w:val="24"/>
          <w:szCs w:val="24"/>
        </w:rPr>
      </w:pPr>
    </w:p>
    <w:p w14:paraId="5B4F96C3" w14:textId="2A65423E" w:rsidR="00E40509" w:rsidRPr="001D704A" w:rsidRDefault="00E40509" w:rsidP="00123EB1">
      <w:pPr>
        <w:rPr>
          <w:rFonts w:ascii="Times New Roman" w:hAnsi="Times New Roman" w:cs="Times New Roman"/>
          <w:bCs/>
          <w:sz w:val="24"/>
          <w:szCs w:val="24"/>
        </w:rPr>
      </w:pPr>
      <w:r w:rsidRPr="001D704A">
        <w:rPr>
          <w:rFonts w:ascii="Times New Roman" w:hAnsi="Times New Roman" w:cs="Times New Roman"/>
          <w:bCs/>
          <w:sz w:val="24"/>
          <w:szCs w:val="24"/>
        </w:rPr>
        <w:t>A key part of the Digital Transformation Agency’s service design and delivery process, which the Initiative is using, is the continued role of the user throughout the design and development of the Initiative. In the Discovery phase, consultation occurred with users to get a deep understanding of the problem using a user-centred design and with a desire to own the whole user experience. In the Alpha phase of the Initiative, work continued to understand the user journey, create and test the user story map, and develop from that a minimum viable product addressing the pain points identified in the Discovery phase. In the Beta phase of the Initiative, work on user needs will continue to define and iterate workflows as the eventual solution is developed</w:t>
      </w:r>
      <w:r w:rsidR="00180544" w:rsidRPr="001D704A">
        <w:rPr>
          <w:rFonts w:ascii="Times New Roman" w:hAnsi="Times New Roman" w:cs="Times New Roman"/>
          <w:bCs/>
          <w:sz w:val="24"/>
          <w:szCs w:val="24"/>
        </w:rPr>
        <w:t>. I</w:t>
      </w:r>
      <w:r w:rsidRPr="001D704A">
        <w:rPr>
          <w:rFonts w:ascii="Times New Roman" w:hAnsi="Times New Roman" w:cs="Times New Roman"/>
          <w:bCs/>
          <w:sz w:val="24"/>
          <w:szCs w:val="24"/>
        </w:rPr>
        <w:t xml:space="preserve">f Education Ministers agree to proceed to the Live </w:t>
      </w:r>
      <w:r w:rsidR="00180544" w:rsidRPr="001D704A">
        <w:rPr>
          <w:rFonts w:ascii="Times New Roman" w:hAnsi="Times New Roman" w:cs="Times New Roman"/>
          <w:bCs/>
          <w:sz w:val="24"/>
          <w:szCs w:val="24"/>
        </w:rPr>
        <w:t>p</w:t>
      </w:r>
      <w:r w:rsidRPr="001D704A">
        <w:rPr>
          <w:rFonts w:ascii="Times New Roman" w:hAnsi="Times New Roman" w:cs="Times New Roman"/>
          <w:bCs/>
          <w:sz w:val="24"/>
          <w:szCs w:val="24"/>
        </w:rPr>
        <w:t>hase, user research and performance analysis will continue to plan improvements and additions to the system.</w:t>
      </w:r>
    </w:p>
    <w:p w14:paraId="19BA1BE7" w14:textId="77777777" w:rsidR="00E40509" w:rsidRPr="001D704A" w:rsidRDefault="00E40509" w:rsidP="00123EB1">
      <w:pPr>
        <w:rPr>
          <w:rFonts w:ascii="Times New Roman" w:hAnsi="Times New Roman" w:cs="Times New Roman"/>
          <w:bCs/>
          <w:sz w:val="24"/>
          <w:szCs w:val="24"/>
        </w:rPr>
      </w:pPr>
    </w:p>
    <w:p w14:paraId="16CFA058" w14:textId="35AF1B61" w:rsidR="00E8679C" w:rsidRPr="001D704A" w:rsidRDefault="00CE25FE" w:rsidP="00123EB1">
      <w:pPr>
        <w:rPr>
          <w:rFonts w:ascii="Times New Roman" w:hAnsi="Times New Roman" w:cs="Times New Roman"/>
          <w:sz w:val="24"/>
          <w:szCs w:val="24"/>
          <w:lang w:val="en-GB"/>
        </w:rPr>
      </w:pPr>
      <w:r w:rsidRPr="001D704A">
        <w:rPr>
          <w:rFonts w:ascii="Times New Roman" w:hAnsi="Times New Roman" w:cs="Times New Roman"/>
          <w:bCs/>
          <w:sz w:val="24"/>
          <w:szCs w:val="24"/>
        </w:rPr>
        <w:t xml:space="preserve">The Initiative is a national policy initiative under the NSRA. The </w:t>
      </w:r>
      <w:r w:rsidRPr="001D704A">
        <w:rPr>
          <w:rFonts w:ascii="Times New Roman" w:hAnsi="Times New Roman" w:cs="Times New Roman"/>
          <w:sz w:val="24"/>
          <w:szCs w:val="24"/>
        </w:rPr>
        <w:t xml:space="preserve">NSRA has funding of $35 million over two years from 2021-22. </w:t>
      </w:r>
      <w:r w:rsidR="00E8679C" w:rsidRPr="001D704A">
        <w:rPr>
          <w:rFonts w:ascii="Times New Roman" w:hAnsi="Times New Roman" w:cs="Times New Roman"/>
          <w:sz w:val="24"/>
          <w:szCs w:val="24"/>
          <w:lang w:val="en-GB"/>
        </w:rPr>
        <w:t>Funding for the item will come from Prog</w:t>
      </w:r>
      <w:r w:rsidR="00481408" w:rsidRPr="001D704A">
        <w:rPr>
          <w:rFonts w:ascii="Times New Roman" w:hAnsi="Times New Roman" w:cs="Times New Roman"/>
          <w:bCs/>
          <w:sz w:val="24"/>
          <w:szCs w:val="24"/>
        </w:rPr>
        <w:t xml:space="preserve">ram 1.5: Early Learning and Schools Support, which is part of Outcome 1. </w:t>
      </w:r>
      <w:r w:rsidRPr="001D704A">
        <w:rPr>
          <w:rFonts w:ascii="Times New Roman" w:hAnsi="Times New Roman" w:cs="Times New Roman"/>
          <w:bCs/>
          <w:sz w:val="24"/>
          <w:szCs w:val="24"/>
        </w:rPr>
        <w:t>D</w:t>
      </w:r>
      <w:r w:rsidR="00481408" w:rsidRPr="001D704A">
        <w:rPr>
          <w:rFonts w:ascii="Times New Roman" w:hAnsi="Times New Roman" w:cs="Times New Roman"/>
          <w:bCs/>
          <w:sz w:val="24"/>
          <w:szCs w:val="24"/>
        </w:rPr>
        <w:t xml:space="preserve">etails are set out in the </w:t>
      </w:r>
      <w:r w:rsidR="00481408" w:rsidRPr="001D704A">
        <w:rPr>
          <w:rFonts w:ascii="Times New Roman" w:hAnsi="Times New Roman" w:cs="Times New Roman"/>
          <w:bCs/>
          <w:i/>
          <w:sz w:val="24"/>
          <w:szCs w:val="24"/>
        </w:rPr>
        <w:t>Portfolio Budget Statements 2021-22, Budget Relate</w:t>
      </w:r>
      <w:r w:rsidR="00652CF5" w:rsidRPr="001D704A">
        <w:rPr>
          <w:rFonts w:ascii="Times New Roman" w:hAnsi="Times New Roman" w:cs="Times New Roman"/>
          <w:bCs/>
          <w:i/>
          <w:sz w:val="24"/>
          <w:szCs w:val="24"/>
        </w:rPr>
        <w:t>d</w:t>
      </w:r>
      <w:r w:rsidR="00481408" w:rsidRPr="001D704A">
        <w:rPr>
          <w:rFonts w:ascii="Times New Roman" w:hAnsi="Times New Roman" w:cs="Times New Roman"/>
          <w:bCs/>
          <w:i/>
          <w:sz w:val="24"/>
          <w:szCs w:val="24"/>
        </w:rPr>
        <w:t xml:space="preserve"> Paper No. 1.4, Education, Skills and Employment</w:t>
      </w:r>
      <w:r w:rsidR="00652CF5" w:rsidRPr="001D704A">
        <w:rPr>
          <w:rFonts w:ascii="Times New Roman" w:hAnsi="Times New Roman" w:cs="Times New Roman"/>
          <w:bCs/>
          <w:i/>
          <w:sz w:val="24"/>
          <w:szCs w:val="24"/>
        </w:rPr>
        <w:t xml:space="preserve"> Portfolio</w:t>
      </w:r>
      <w:r w:rsidR="00481408" w:rsidRPr="001D704A">
        <w:rPr>
          <w:rFonts w:ascii="Times New Roman" w:hAnsi="Times New Roman" w:cs="Times New Roman"/>
          <w:bCs/>
          <w:i/>
          <w:sz w:val="24"/>
          <w:szCs w:val="24"/>
        </w:rPr>
        <w:t xml:space="preserve"> </w:t>
      </w:r>
      <w:r w:rsidR="00481408" w:rsidRPr="001D704A">
        <w:rPr>
          <w:rFonts w:ascii="Times New Roman" w:hAnsi="Times New Roman" w:cs="Times New Roman"/>
          <w:bCs/>
          <w:sz w:val="24"/>
          <w:szCs w:val="24"/>
        </w:rPr>
        <w:t>at page 45</w:t>
      </w:r>
      <w:r w:rsidR="00481408" w:rsidRPr="001D704A">
        <w:rPr>
          <w:rFonts w:ascii="Times New Roman" w:hAnsi="Times New Roman" w:cs="Times New Roman"/>
          <w:sz w:val="24"/>
          <w:szCs w:val="24"/>
          <w:lang w:val="en-GB"/>
        </w:rPr>
        <w:t xml:space="preserve">. </w:t>
      </w:r>
    </w:p>
    <w:p w14:paraId="079C70EC" w14:textId="77777777" w:rsidR="00E8679C" w:rsidRPr="001D704A" w:rsidRDefault="00E8679C" w:rsidP="00123EB1">
      <w:pPr>
        <w:rPr>
          <w:rFonts w:ascii="Times New Roman" w:hAnsi="Times New Roman" w:cs="Times New Roman"/>
          <w:sz w:val="24"/>
          <w:szCs w:val="24"/>
          <w:lang w:val="en-GB"/>
        </w:rPr>
      </w:pPr>
    </w:p>
    <w:p w14:paraId="55B367FA" w14:textId="47BA1407" w:rsidR="00481408" w:rsidRPr="001D704A" w:rsidRDefault="00481408" w:rsidP="00123EB1">
      <w:pPr>
        <w:rPr>
          <w:rFonts w:ascii="Times New Roman" w:hAnsi="Times New Roman" w:cs="Times New Roman"/>
          <w:bCs/>
          <w:sz w:val="24"/>
          <w:szCs w:val="24"/>
        </w:rPr>
      </w:pPr>
      <w:r w:rsidRPr="001D704A">
        <w:rPr>
          <w:rFonts w:ascii="Times New Roman" w:hAnsi="Times New Roman" w:cs="Times New Roman"/>
          <w:sz w:val="24"/>
          <w:szCs w:val="24"/>
        </w:rPr>
        <w:t xml:space="preserve">Funding for </w:t>
      </w:r>
      <w:r w:rsidR="00CE25FE" w:rsidRPr="001D704A">
        <w:rPr>
          <w:rFonts w:ascii="Times New Roman" w:hAnsi="Times New Roman" w:cs="Times New Roman"/>
          <w:sz w:val="24"/>
          <w:szCs w:val="24"/>
        </w:rPr>
        <w:t>n</w:t>
      </w:r>
      <w:r w:rsidRPr="001D704A">
        <w:rPr>
          <w:rFonts w:ascii="Times New Roman" w:hAnsi="Times New Roman" w:cs="Times New Roman"/>
          <w:sz w:val="24"/>
          <w:szCs w:val="24"/>
        </w:rPr>
        <w:t xml:space="preserve">ational </w:t>
      </w:r>
      <w:r w:rsidR="00CE25FE" w:rsidRPr="001D704A">
        <w:rPr>
          <w:rFonts w:ascii="Times New Roman" w:hAnsi="Times New Roman" w:cs="Times New Roman"/>
          <w:sz w:val="24"/>
          <w:szCs w:val="24"/>
        </w:rPr>
        <w:t>p</w:t>
      </w:r>
      <w:r w:rsidRPr="001D704A">
        <w:rPr>
          <w:rFonts w:ascii="Times New Roman" w:hAnsi="Times New Roman" w:cs="Times New Roman"/>
          <w:sz w:val="24"/>
          <w:szCs w:val="24"/>
        </w:rPr>
        <w:t xml:space="preserve">olicy </w:t>
      </w:r>
      <w:r w:rsidR="00CE25FE" w:rsidRPr="001D704A">
        <w:rPr>
          <w:rFonts w:ascii="Times New Roman" w:hAnsi="Times New Roman" w:cs="Times New Roman"/>
          <w:sz w:val="24"/>
          <w:szCs w:val="24"/>
        </w:rPr>
        <w:t>i</w:t>
      </w:r>
      <w:r w:rsidRPr="001D704A">
        <w:rPr>
          <w:rFonts w:ascii="Times New Roman" w:hAnsi="Times New Roman" w:cs="Times New Roman"/>
          <w:sz w:val="24"/>
          <w:szCs w:val="24"/>
        </w:rPr>
        <w:t xml:space="preserve">nitiatives </w:t>
      </w:r>
      <w:r w:rsidR="00CE25FE" w:rsidRPr="001D704A">
        <w:rPr>
          <w:rFonts w:ascii="Times New Roman" w:hAnsi="Times New Roman" w:cs="Times New Roman"/>
          <w:sz w:val="24"/>
          <w:szCs w:val="24"/>
        </w:rPr>
        <w:t>i</w:t>
      </w:r>
      <w:r w:rsidRPr="001D704A">
        <w:rPr>
          <w:rFonts w:ascii="Times New Roman" w:hAnsi="Times New Roman" w:cs="Times New Roman"/>
          <w:sz w:val="24"/>
          <w:szCs w:val="24"/>
        </w:rPr>
        <w:t>s not</w:t>
      </w:r>
      <w:r w:rsidR="00CE25FE" w:rsidRPr="001D704A">
        <w:rPr>
          <w:rFonts w:ascii="Times New Roman" w:hAnsi="Times New Roman" w:cs="Times New Roman"/>
          <w:sz w:val="24"/>
          <w:szCs w:val="24"/>
        </w:rPr>
        <w:t>-</w:t>
      </w:r>
      <w:r w:rsidRPr="001D704A">
        <w:rPr>
          <w:rFonts w:ascii="Times New Roman" w:hAnsi="Times New Roman" w:cs="Times New Roman"/>
          <w:sz w:val="24"/>
          <w:szCs w:val="24"/>
        </w:rPr>
        <w:t>for</w:t>
      </w:r>
      <w:r w:rsidR="00CE25FE" w:rsidRPr="001D704A">
        <w:rPr>
          <w:rFonts w:ascii="Times New Roman" w:hAnsi="Times New Roman" w:cs="Times New Roman"/>
          <w:sz w:val="24"/>
          <w:szCs w:val="24"/>
        </w:rPr>
        <w:t>-</w:t>
      </w:r>
      <w:r w:rsidRPr="001D704A">
        <w:rPr>
          <w:rFonts w:ascii="Times New Roman" w:hAnsi="Times New Roman" w:cs="Times New Roman"/>
          <w:sz w:val="24"/>
          <w:szCs w:val="24"/>
        </w:rPr>
        <w:t>publication</w:t>
      </w:r>
      <w:r w:rsidR="00CE25FE" w:rsidRPr="001D704A">
        <w:rPr>
          <w:rFonts w:ascii="Times New Roman" w:hAnsi="Times New Roman" w:cs="Times New Roman"/>
          <w:sz w:val="24"/>
          <w:szCs w:val="24"/>
        </w:rPr>
        <w:t xml:space="preserve"> (</w:t>
      </w:r>
      <w:r w:rsidRPr="001D704A">
        <w:rPr>
          <w:rFonts w:ascii="Times New Roman" w:hAnsi="Times New Roman" w:cs="Times New Roman"/>
          <w:sz w:val="24"/>
          <w:szCs w:val="24"/>
        </w:rPr>
        <w:t>nfp</w:t>
      </w:r>
      <w:r w:rsidR="00CE25FE" w:rsidRPr="001D704A">
        <w:rPr>
          <w:rFonts w:ascii="Times New Roman" w:hAnsi="Times New Roman" w:cs="Times New Roman"/>
          <w:sz w:val="24"/>
          <w:szCs w:val="24"/>
        </w:rPr>
        <w:t>)</w:t>
      </w:r>
      <w:r w:rsidRPr="001D704A">
        <w:rPr>
          <w:rFonts w:ascii="Times New Roman" w:hAnsi="Times New Roman" w:cs="Times New Roman"/>
          <w:sz w:val="24"/>
          <w:szCs w:val="24"/>
        </w:rPr>
        <w:t xml:space="preserve"> due to ongoing negotiations with state</w:t>
      </w:r>
      <w:r w:rsidR="00CE25FE" w:rsidRPr="001D704A">
        <w:rPr>
          <w:rFonts w:ascii="Times New Roman" w:hAnsi="Times New Roman" w:cs="Times New Roman"/>
          <w:sz w:val="24"/>
          <w:szCs w:val="24"/>
        </w:rPr>
        <w:t>s</w:t>
      </w:r>
      <w:r w:rsidRPr="001D704A">
        <w:rPr>
          <w:rFonts w:ascii="Times New Roman" w:hAnsi="Times New Roman" w:cs="Times New Roman"/>
          <w:sz w:val="24"/>
          <w:szCs w:val="24"/>
        </w:rPr>
        <w:t xml:space="preserve"> and territories (clause 46 and Schedule C of the </w:t>
      </w:r>
      <w:r w:rsidR="00CE25FE" w:rsidRPr="001D704A">
        <w:rPr>
          <w:rFonts w:ascii="Times New Roman" w:hAnsi="Times New Roman" w:cs="Times New Roman"/>
          <w:sz w:val="24"/>
          <w:szCs w:val="24"/>
        </w:rPr>
        <w:t>NSRA</w:t>
      </w:r>
      <w:r w:rsidRPr="001D704A">
        <w:rPr>
          <w:rFonts w:ascii="Times New Roman" w:hAnsi="Times New Roman" w:cs="Times New Roman"/>
          <w:sz w:val="24"/>
          <w:szCs w:val="24"/>
        </w:rPr>
        <w:t xml:space="preserve"> refer). The amount of Commonwealth </w:t>
      </w:r>
      <w:r w:rsidR="00CE25FE" w:rsidRPr="001D704A">
        <w:rPr>
          <w:rFonts w:ascii="Times New Roman" w:hAnsi="Times New Roman" w:cs="Times New Roman"/>
          <w:sz w:val="24"/>
          <w:szCs w:val="24"/>
        </w:rPr>
        <w:t xml:space="preserve">expenditure </w:t>
      </w:r>
      <w:r w:rsidRPr="001D704A">
        <w:rPr>
          <w:rFonts w:ascii="Times New Roman" w:hAnsi="Times New Roman" w:cs="Times New Roman"/>
          <w:sz w:val="24"/>
          <w:szCs w:val="24"/>
        </w:rPr>
        <w:t>on th</w:t>
      </w:r>
      <w:r w:rsidR="00CE25FE" w:rsidRPr="001D704A">
        <w:rPr>
          <w:rFonts w:ascii="Times New Roman" w:hAnsi="Times New Roman" w:cs="Times New Roman"/>
          <w:sz w:val="24"/>
          <w:szCs w:val="24"/>
        </w:rPr>
        <w:t>e</w:t>
      </w:r>
      <w:r w:rsidRPr="001D704A">
        <w:rPr>
          <w:rFonts w:ascii="Times New Roman" w:hAnsi="Times New Roman" w:cs="Times New Roman"/>
          <w:sz w:val="24"/>
          <w:szCs w:val="24"/>
        </w:rPr>
        <w:t xml:space="preserve"> Initiative is also commercially sensitive information</w:t>
      </w:r>
      <w:r w:rsidR="004553C5" w:rsidRPr="001D704A">
        <w:rPr>
          <w:rFonts w:ascii="Times New Roman" w:hAnsi="Times New Roman" w:cs="Times New Roman"/>
          <w:sz w:val="24"/>
          <w:szCs w:val="24"/>
        </w:rPr>
        <w:t>.</w:t>
      </w:r>
      <w:r w:rsidRPr="001D704A">
        <w:rPr>
          <w:rFonts w:ascii="Times New Roman" w:hAnsi="Times New Roman" w:cs="Times New Roman"/>
          <w:sz w:val="24"/>
          <w:szCs w:val="24"/>
        </w:rPr>
        <w:t xml:space="preserve"> </w:t>
      </w:r>
      <w:r w:rsidR="004553C5" w:rsidRPr="001D704A">
        <w:rPr>
          <w:rFonts w:ascii="Times New Roman" w:hAnsi="Times New Roman" w:cs="Times New Roman"/>
          <w:sz w:val="24"/>
          <w:szCs w:val="24"/>
        </w:rPr>
        <w:t>The d</w:t>
      </w:r>
      <w:r w:rsidRPr="001D704A">
        <w:rPr>
          <w:rFonts w:ascii="Times New Roman" w:hAnsi="Times New Roman" w:cs="Times New Roman"/>
          <w:sz w:val="24"/>
          <w:szCs w:val="24"/>
        </w:rPr>
        <w:t>isclosure</w:t>
      </w:r>
      <w:r w:rsidR="004553C5" w:rsidRPr="001D704A">
        <w:rPr>
          <w:rFonts w:ascii="Times New Roman" w:hAnsi="Times New Roman" w:cs="Times New Roman"/>
          <w:sz w:val="24"/>
          <w:szCs w:val="24"/>
        </w:rPr>
        <w:t xml:space="preserve"> of this information</w:t>
      </w:r>
      <w:r w:rsidRPr="001D704A">
        <w:rPr>
          <w:rFonts w:ascii="Times New Roman" w:hAnsi="Times New Roman" w:cs="Times New Roman"/>
          <w:sz w:val="24"/>
          <w:szCs w:val="24"/>
        </w:rPr>
        <w:t xml:space="preserve"> could impact on achieving value for money when South Australia procures services needed to establish the next phase of the Initiative. </w:t>
      </w:r>
    </w:p>
    <w:p w14:paraId="5EA8D4C2" w14:textId="77777777" w:rsidR="00481408" w:rsidRPr="001D704A" w:rsidRDefault="00481408" w:rsidP="00123EB1">
      <w:pPr>
        <w:rPr>
          <w:rFonts w:ascii="Times New Roman" w:hAnsi="Times New Roman" w:cs="Times New Roman"/>
          <w:bCs/>
          <w:sz w:val="24"/>
          <w:szCs w:val="24"/>
        </w:rPr>
      </w:pPr>
    </w:p>
    <w:p w14:paraId="0DF708BF" w14:textId="77777777" w:rsidR="00481408" w:rsidRPr="001D704A" w:rsidRDefault="00481408" w:rsidP="00123EB1">
      <w:pPr>
        <w:rPr>
          <w:rFonts w:ascii="Times New Roman" w:hAnsi="Times New Roman" w:cs="Times New Roman"/>
          <w:sz w:val="24"/>
          <w:szCs w:val="24"/>
        </w:rPr>
      </w:pPr>
      <w:r w:rsidRPr="001D704A">
        <w:rPr>
          <w:rFonts w:ascii="Times New Roman" w:hAnsi="Times New Roman" w:cs="Times New Roman"/>
          <w:sz w:val="24"/>
          <w:szCs w:val="24"/>
        </w:rPr>
        <w:t>Noting that it is not a comprehensive statement of relevant constitutional considerations, the objective of the item references the communications power (section 51(v)) of the Constitution.</w:t>
      </w:r>
    </w:p>
    <w:p w14:paraId="59173AF0" w14:textId="77777777" w:rsidR="00481408" w:rsidRPr="001D704A" w:rsidRDefault="00481408" w:rsidP="00123EB1">
      <w:pPr>
        <w:rPr>
          <w:rFonts w:ascii="Times New Roman" w:hAnsi="Times New Roman" w:cs="Times New Roman"/>
          <w:sz w:val="24"/>
          <w:szCs w:val="24"/>
        </w:rPr>
      </w:pPr>
    </w:p>
    <w:p w14:paraId="6B3CE1D3" w14:textId="77777777" w:rsidR="00481408" w:rsidRPr="001D704A" w:rsidRDefault="00481408"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Communications power</w:t>
      </w:r>
    </w:p>
    <w:p w14:paraId="19B05749" w14:textId="77777777" w:rsidR="00481408" w:rsidRPr="001D704A" w:rsidRDefault="00481408" w:rsidP="00123EB1">
      <w:pPr>
        <w:rPr>
          <w:rFonts w:ascii="Times New Roman" w:hAnsi="Times New Roman" w:cs="Times New Roman"/>
          <w:sz w:val="24"/>
          <w:szCs w:val="24"/>
        </w:rPr>
      </w:pPr>
    </w:p>
    <w:p w14:paraId="1D115A46" w14:textId="77777777" w:rsidR="00481408" w:rsidRPr="001D704A" w:rsidRDefault="00481408" w:rsidP="00123EB1">
      <w:pPr>
        <w:rPr>
          <w:rFonts w:ascii="Times New Roman" w:hAnsi="Times New Roman" w:cs="Times New Roman"/>
          <w:sz w:val="24"/>
          <w:szCs w:val="24"/>
        </w:rPr>
      </w:pPr>
      <w:r w:rsidRPr="001D704A">
        <w:rPr>
          <w:rFonts w:ascii="Times New Roman" w:hAnsi="Times New Roman" w:cs="Times New Roman"/>
          <w:sz w:val="24"/>
          <w:szCs w:val="24"/>
        </w:rPr>
        <w:t>Section 51(v) of the Constitution empowers the Parliament to make laws with respect to ‘postal, telegraphic, telephonic and other like services’.</w:t>
      </w:r>
    </w:p>
    <w:p w14:paraId="3DC0DF3C" w14:textId="77777777" w:rsidR="00481408" w:rsidRPr="001D704A" w:rsidRDefault="00481408" w:rsidP="00123EB1">
      <w:pPr>
        <w:rPr>
          <w:rFonts w:ascii="Times New Roman" w:hAnsi="Times New Roman" w:cs="Times New Roman"/>
          <w:sz w:val="24"/>
          <w:szCs w:val="24"/>
        </w:rPr>
      </w:pPr>
    </w:p>
    <w:p w14:paraId="607581DD" w14:textId="2B40D64B" w:rsidR="00481408" w:rsidRPr="001D704A" w:rsidRDefault="00481408" w:rsidP="00123EB1">
      <w:pPr>
        <w:rPr>
          <w:rFonts w:ascii="Times New Roman" w:hAnsi="Times New Roman" w:cs="Times New Roman"/>
          <w:b/>
          <w:color w:val="000000" w:themeColor="text1"/>
          <w:sz w:val="24"/>
          <w:szCs w:val="24"/>
        </w:rPr>
      </w:pPr>
      <w:r w:rsidRPr="001D704A">
        <w:rPr>
          <w:rFonts w:ascii="Times New Roman" w:hAnsi="Times New Roman" w:cs="Times New Roman"/>
          <w:sz w:val="24"/>
          <w:szCs w:val="24"/>
        </w:rPr>
        <w:t>The Initiative is to facilitate access to an online system that integrates teaching resources, tools, student assessments, professional learning and other support.</w:t>
      </w:r>
    </w:p>
    <w:p w14:paraId="0E99B300" w14:textId="77777777" w:rsidR="00481408" w:rsidRPr="001D704A" w:rsidRDefault="00481408" w:rsidP="00123EB1">
      <w:pPr>
        <w:rPr>
          <w:rFonts w:ascii="Times New Roman" w:hAnsi="Times New Roman" w:cs="Times New Roman"/>
          <w:color w:val="000000" w:themeColor="text1"/>
          <w:sz w:val="24"/>
          <w:szCs w:val="24"/>
        </w:rPr>
      </w:pPr>
    </w:p>
    <w:p w14:paraId="411D9008" w14:textId="6317118A" w:rsidR="00B22D95" w:rsidRPr="001D704A" w:rsidRDefault="0082019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br w:type="column"/>
      </w:r>
      <w:r w:rsidR="00B22D95" w:rsidRPr="001D704A">
        <w:rPr>
          <w:rFonts w:ascii="Times New Roman" w:hAnsi="Times New Roman" w:cs="Times New Roman"/>
          <w:color w:val="000000" w:themeColor="text1"/>
          <w:sz w:val="24"/>
          <w:szCs w:val="24"/>
        </w:rPr>
        <w:t xml:space="preserve">New </w:t>
      </w:r>
      <w:r w:rsidR="00B22D95" w:rsidRPr="001D704A">
        <w:rPr>
          <w:rFonts w:ascii="Times New Roman" w:hAnsi="Times New Roman" w:cs="Times New Roman"/>
          <w:b/>
          <w:color w:val="000000" w:themeColor="text1"/>
          <w:sz w:val="24"/>
          <w:szCs w:val="24"/>
        </w:rPr>
        <w:t xml:space="preserve">table item </w:t>
      </w:r>
      <w:r w:rsidR="00436A0A" w:rsidRPr="001D704A">
        <w:rPr>
          <w:rFonts w:ascii="Times New Roman" w:hAnsi="Times New Roman" w:cs="Times New Roman"/>
          <w:b/>
          <w:color w:val="000000" w:themeColor="text1"/>
          <w:sz w:val="24"/>
          <w:szCs w:val="24"/>
        </w:rPr>
        <w:t>517</w:t>
      </w:r>
      <w:r w:rsidR="00B22D95" w:rsidRPr="001D704A">
        <w:rPr>
          <w:rFonts w:ascii="Times New Roman" w:hAnsi="Times New Roman" w:cs="Times New Roman"/>
          <w:b/>
          <w:color w:val="000000" w:themeColor="text1"/>
          <w:sz w:val="24"/>
          <w:szCs w:val="24"/>
        </w:rPr>
        <w:t xml:space="preserve"> </w:t>
      </w:r>
      <w:r w:rsidR="00B22D95" w:rsidRPr="001D704A">
        <w:rPr>
          <w:rFonts w:ascii="Times New Roman" w:hAnsi="Times New Roman" w:cs="Times New Roman"/>
          <w:color w:val="000000" w:themeColor="text1"/>
          <w:sz w:val="24"/>
          <w:szCs w:val="24"/>
        </w:rPr>
        <w:t>establishes legislative authority for government spending on school partnerships to improve educational outcomes for Indigenous students in remote schools. Government funding will incentivise and support large, high performing independent (non</w:t>
      </w:r>
      <w:r w:rsidR="00436A0A" w:rsidRPr="001D704A">
        <w:rPr>
          <w:rFonts w:ascii="Times New Roman" w:hAnsi="Times New Roman" w:cs="Times New Roman"/>
          <w:color w:val="000000" w:themeColor="text1"/>
          <w:sz w:val="24"/>
          <w:szCs w:val="24"/>
        </w:rPr>
        <w:noBreakHyphen/>
      </w:r>
      <w:r w:rsidR="00B22D95" w:rsidRPr="001D704A">
        <w:rPr>
          <w:rFonts w:ascii="Times New Roman" w:hAnsi="Times New Roman" w:cs="Times New Roman"/>
          <w:color w:val="000000" w:themeColor="text1"/>
          <w:sz w:val="24"/>
          <w:szCs w:val="24"/>
        </w:rPr>
        <w:t>government) schools to engage in new formal partnerships with remote</w:t>
      </w:r>
      <w:r w:rsidR="00B76168" w:rsidRPr="001D704A">
        <w:rPr>
          <w:rFonts w:ascii="Times New Roman" w:hAnsi="Times New Roman" w:cs="Times New Roman"/>
          <w:color w:val="000000" w:themeColor="text1"/>
          <w:sz w:val="24"/>
          <w:szCs w:val="24"/>
        </w:rPr>
        <w:t>,</w:t>
      </w:r>
      <w:r w:rsidR="00B22D95" w:rsidRPr="001D704A">
        <w:rPr>
          <w:rFonts w:ascii="Times New Roman" w:hAnsi="Times New Roman" w:cs="Times New Roman"/>
          <w:color w:val="000000" w:themeColor="text1"/>
          <w:sz w:val="24"/>
          <w:szCs w:val="24"/>
        </w:rPr>
        <w:t xml:space="preserve"> majority Indigenous schools, while maintaining consultation with local Aboriginal and Torres Strait Islander communities.</w:t>
      </w:r>
    </w:p>
    <w:p w14:paraId="262B5C73" w14:textId="77777777" w:rsidR="00B22D95" w:rsidRPr="001D704A" w:rsidRDefault="00B22D95" w:rsidP="00123EB1">
      <w:pPr>
        <w:rPr>
          <w:rFonts w:ascii="Times New Roman" w:hAnsi="Times New Roman" w:cs="Times New Roman"/>
          <w:color w:val="000000" w:themeColor="text1"/>
          <w:sz w:val="24"/>
          <w:szCs w:val="24"/>
        </w:rPr>
      </w:pPr>
    </w:p>
    <w:p w14:paraId="68865D93"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These formal partnerships aim to improve the quality of operational management and principal leadership, and increase the reach of effective teacher practices (for example, instructional coaching to teachers to lift the quality of pedagogy in remote schools). These partnerships will address key issues such as workforce shortages through enabling and encouraging teacher transfers.</w:t>
      </w:r>
    </w:p>
    <w:p w14:paraId="05C0BA48" w14:textId="77777777" w:rsidR="00B22D95" w:rsidRPr="001D704A" w:rsidRDefault="00B22D95" w:rsidP="00123EB1">
      <w:pPr>
        <w:rPr>
          <w:rFonts w:ascii="Times New Roman" w:hAnsi="Times New Roman" w:cs="Times New Roman"/>
          <w:color w:val="000000" w:themeColor="text1"/>
          <w:sz w:val="24"/>
          <w:szCs w:val="24"/>
        </w:rPr>
      </w:pPr>
    </w:p>
    <w:p w14:paraId="4DB70285"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Funding allocated through the </w:t>
      </w:r>
      <w:r w:rsidRPr="001D704A">
        <w:rPr>
          <w:rFonts w:ascii="Times New Roman" w:eastAsia="Calibri" w:hAnsi="Times New Roman" w:cs="Times New Roman"/>
          <w:color w:val="000000" w:themeColor="text1"/>
          <w:sz w:val="24"/>
          <w:szCs w:val="24"/>
        </w:rPr>
        <w:t>Remote School Partnerships fund</w:t>
      </w:r>
      <w:r w:rsidRPr="001D704A">
        <w:rPr>
          <w:rFonts w:ascii="Times New Roman" w:hAnsi="Times New Roman" w:cs="Times New Roman"/>
          <w:color w:val="000000" w:themeColor="text1"/>
          <w:sz w:val="24"/>
          <w:szCs w:val="24"/>
        </w:rPr>
        <w:t xml:space="preserve"> will also support brokerage activity to promote partnerships in the school sector and may consider opportunities to partner with local further education and training providers and employers, to enhance further education and employment pathways for students.</w:t>
      </w:r>
    </w:p>
    <w:p w14:paraId="00E88229" w14:textId="77777777" w:rsidR="00B22D95" w:rsidRPr="001D704A" w:rsidRDefault="00B22D95" w:rsidP="00123EB1">
      <w:pPr>
        <w:rPr>
          <w:rFonts w:ascii="Times New Roman" w:hAnsi="Times New Roman" w:cs="Times New Roman"/>
          <w:color w:val="000000" w:themeColor="text1"/>
          <w:sz w:val="24"/>
          <w:szCs w:val="24"/>
        </w:rPr>
      </w:pPr>
    </w:p>
    <w:p w14:paraId="72D60A33"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Funding for the initiative was jointly announced on 5 August 2021 by the Minister for Education and Youth, the Hon Alan Tudge MP, the Minister for Indigenous Australians, the Hon Ken Wyatt AM MP, and the Minister for Regionalisation, Regional Communications and Regional Education, Senator the Hon Bridget McKenzie. The media release is available at </w:t>
      </w:r>
      <w:hyperlink r:id="rId16" w:history="1">
        <w:r w:rsidRPr="001D704A">
          <w:rPr>
            <w:rFonts w:ascii="Times New Roman" w:hAnsi="Times New Roman" w:cs="Times New Roman"/>
            <w:color w:val="000000" w:themeColor="text1"/>
            <w:sz w:val="24"/>
            <w:szCs w:val="24"/>
            <w:u w:val="single"/>
          </w:rPr>
          <w:t>https://ministers.dese.gov.au/tudge/closing-gap-school-education</w:t>
        </w:r>
      </w:hyperlink>
      <w:r w:rsidRPr="001D704A">
        <w:rPr>
          <w:rFonts w:ascii="Times New Roman" w:hAnsi="Times New Roman" w:cs="Times New Roman"/>
          <w:color w:val="000000" w:themeColor="text1"/>
          <w:sz w:val="24"/>
          <w:szCs w:val="24"/>
        </w:rPr>
        <w:t xml:space="preserve">. </w:t>
      </w:r>
    </w:p>
    <w:p w14:paraId="18524649" w14:textId="77777777" w:rsidR="00B22D95" w:rsidRPr="001D704A" w:rsidRDefault="00B22D95" w:rsidP="00123EB1">
      <w:pPr>
        <w:rPr>
          <w:rFonts w:ascii="Times New Roman" w:hAnsi="Times New Roman" w:cs="Times New Roman"/>
          <w:color w:val="000000" w:themeColor="text1"/>
          <w:sz w:val="24"/>
          <w:szCs w:val="24"/>
        </w:rPr>
      </w:pPr>
    </w:p>
    <w:p w14:paraId="275F11FF" w14:textId="4C2EC8FE" w:rsidR="00B22D95" w:rsidRPr="001D704A" w:rsidRDefault="00B22D95" w:rsidP="00123EB1">
      <w:pPr>
        <w:textAlignment w:val="baseline"/>
        <w:rPr>
          <w:rFonts w:ascii="Times New Roman" w:eastAsia="Times New Roman" w:hAnsi="Times New Roman" w:cs="Times New Roman"/>
          <w:sz w:val="24"/>
          <w:szCs w:val="24"/>
          <w:lang w:eastAsia="en-AU"/>
        </w:rPr>
      </w:pPr>
      <w:r w:rsidRPr="001D704A">
        <w:rPr>
          <w:rFonts w:ascii="Times New Roman" w:hAnsi="Times New Roman" w:cs="Times New Roman"/>
          <w:color w:val="000000" w:themeColor="text1"/>
          <w:sz w:val="24"/>
          <w:szCs w:val="24"/>
        </w:rPr>
        <w:t xml:space="preserve">The school partnerships initiative contributes toward achieving Target 5 — by 2031, increase the proportion of Aboriginal and Torres Strait Islander people (age 20-24) attaining Year 12 or equivalent qualification to 96 per cent —  of </w:t>
      </w:r>
      <w:r w:rsidRPr="001D704A">
        <w:rPr>
          <w:rFonts w:ascii="Times New Roman" w:hAnsi="Times New Roman" w:cs="Times New Roman"/>
          <w:sz w:val="24"/>
          <w:szCs w:val="24"/>
        </w:rPr>
        <w:t xml:space="preserve">the </w:t>
      </w:r>
      <w:r w:rsidRPr="001D704A">
        <w:rPr>
          <w:rFonts w:ascii="Times New Roman" w:hAnsi="Times New Roman" w:cs="Times New Roman"/>
          <w:i/>
          <w:sz w:val="24"/>
          <w:szCs w:val="24"/>
        </w:rPr>
        <w:t>National Agreement on Closing the Gap</w:t>
      </w:r>
      <w:r w:rsidRPr="001D704A">
        <w:rPr>
          <w:rFonts w:ascii="Times New Roman" w:hAnsi="Times New Roman" w:cs="Times New Roman"/>
          <w:color w:val="000000" w:themeColor="text1"/>
          <w:sz w:val="24"/>
          <w:szCs w:val="24"/>
        </w:rPr>
        <w:t>.</w:t>
      </w:r>
      <w:r w:rsidRPr="001D704A">
        <w:rPr>
          <w:rFonts w:ascii="Times New Roman" w:eastAsia="Times New Roman" w:hAnsi="Times New Roman" w:cs="Times New Roman"/>
          <w:sz w:val="24"/>
          <w:szCs w:val="24"/>
          <w:lang w:eastAsia="en-AU"/>
        </w:rPr>
        <w:t xml:space="preserve"> According to </w:t>
      </w:r>
      <w:r w:rsidRPr="001D704A">
        <w:rPr>
          <w:rFonts w:ascii="Times New Roman" w:eastAsia="Times New Roman" w:hAnsi="Times New Roman" w:cs="Times New Roman"/>
          <w:i/>
          <w:sz w:val="24"/>
          <w:szCs w:val="24"/>
          <w:lang w:eastAsia="en-AU"/>
        </w:rPr>
        <w:t>Closing the Gap Report 2020</w:t>
      </w:r>
      <w:r w:rsidRPr="001D704A">
        <w:rPr>
          <w:rFonts w:ascii="Times New Roman" w:eastAsia="Times New Roman" w:hAnsi="Times New Roman" w:cs="Times New Roman"/>
          <w:sz w:val="24"/>
          <w:szCs w:val="24"/>
          <w:lang w:eastAsia="en-AU"/>
        </w:rPr>
        <w:t xml:space="preserve"> (the annual report to Parliament on progress in Closing the Gap), the proportion of Aboriginal and Torres Strait Islander people aged 20-24 years attaining Year 12 or equivalent level of education decreases with remoteness. The Year 12 attainment rate is 85 per cent in Major Cities compared with 38 per cent in Very Remote areas. </w:t>
      </w:r>
    </w:p>
    <w:p w14:paraId="05423550" w14:textId="77777777" w:rsidR="00B22D95" w:rsidRPr="001D704A" w:rsidRDefault="00B22D95" w:rsidP="00123EB1">
      <w:pPr>
        <w:textAlignment w:val="baseline"/>
        <w:rPr>
          <w:rFonts w:ascii="Times New Roman" w:eastAsia="Times New Roman" w:hAnsi="Times New Roman" w:cs="Times New Roman"/>
          <w:sz w:val="24"/>
          <w:szCs w:val="24"/>
          <w:lang w:eastAsia="en-AU"/>
        </w:rPr>
      </w:pPr>
    </w:p>
    <w:p w14:paraId="5803F116" w14:textId="77777777" w:rsidR="00B22D95" w:rsidRPr="001D704A" w:rsidRDefault="00B22D95" w:rsidP="00123EB1">
      <w:pPr>
        <w:textAlignment w:val="baseline"/>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The initiative will support an estimated 2,000 Aboriginal and Torres Strait Islander students and 10 schools. The Australian Institute of Health and Welfare modelling suggests that the trend for Year 12 or equivalent attainment will reach 85 per cent by 2031, resulting in a shortfall of more than 10,000 students. Funding for the initiative will ultimately improve Aboriginal and Torres Strait Islander student attendance, achievement and attainment outcomes as the key drivers that will support a higher trajectory for Year 12 attainment over the next decade. </w:t>
      </w:r>
    </w:p>
    <w:p w14:paraId="2A44CD95" w14:textId="77777777" w:rsidR="00B22D95" w:rsidRPr="001D704A" w:rsidRDefault="00B22D95" w:rsidP="00123EB1">
      <w:pPr>
        <w:rPr>
          <w:rFonts w:ascii="Times New Roman" w:hAnsi="Times New Roman" w:cs="Times New Roman"/>
          <w:color w:val="000000" w:themeColor="text1"/>
          <w:sz w:val="24"/>
          <w:szCs w:val="24"/>
        </w:rPr>
      </w:pPr>
    </w:p>
    <w:p w14:paraId="2C8F98E2"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initiative builds on the success of existing school partnerships, such as those between Wesley College and Yiramalay School in Kimberley and between Haileybury College and Haileybury Rendall School in Darwin. The cost of these engagements is a barrier to more independent schools engaging in these impactful city-country partnerships.</w:t>
      </w:r>
    </w:p>
    <w:p w14:paraId="1BE8E215" w14:textId="77777777" w:rsidR="00B22D95" w:rsidRPr="001D704A" w:rsidRDefault="00B22D95" w:rsidP="00123EB1">
      <w:pPr>
        <w:textAlignment w:val="baseline"/>
        <w:rPr>
          <w:rFonts w:eastAsia="Times New Roman" w:cstheme="minorHAnsi"/>
          <w:lang w:eastAsia="en-AU"/>
        </w:rPr>
      </w:pPr>
    </w:p>
    <w:p w14:paraId="5035FA26"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These partnerships have shown that this model is a strong mechanism to lift outcomes in remote schools which will accelerate progress toward Year 12 or equivalent attainment through:</w:t>
      </w:r>
    </w:p>
    <w:p w14:paraId="41CA5853"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improving principal leadership and operational management;</w:t>
      </w:r>
    </w:p>
    <w:p w14:paraId="0AAB3DCD"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addressing workforce shortages through teacher transfers;  </w:t>
      </w:r>
    </w:p>
    <w:p w14:paraId="666E862F"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providing pedagogical leadership to teachers to lift the quality of teaching in remote schools; and</w:t>
      </w:r>
    </w:p>
    <w:p w14:paraId="391EB96D"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subsidising ongoing operating expenses through donations and fee revenue at the metropolitan campus. </w:t>
      </w:r>
    </w:p>
    <w:p w14:paraId="6ABC6A34" w14:textId="77777777" w:rsidR="00B22D95" w:rsidRPr="001D704A" w:rsidRDefault="00B22D95" w:rsidP="00123EB1">
      <w:pPr>
        <w:ind w:left="780"/>
        <w:textAlignment w:val="baseline"/>
        <w:rPr>
          <w:rFonts w:ascii="Times New Roman" w:hAnsi="Times New Roman" w:cs="Times New Roman"/>
          <w:color w:val="000000" w:themeColor="text1"/>
          <w:sz w:val="24"/>
          <w:szCs w:val="24"/>
        </w:rPr>
      </w:pPr>
      <w:r w:rsidRPr="001D704A">
        <w:rPr>
          <w:rFonts w:eastAsia="Times New Roman"/>
          <w:lang w:eastAsia="en-AU"/>
        </w:rPr>
        <w:t> </w:t>
      </w:r>
    </w:p>
    <w:p w14:paraId="59434466"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To be successful in improving student outcomes, attendance and engagement to accelerate progress toward Target 5, partnerships will need to be enduring. As such, to apply for funding, schools must: </w:t>
      </w:r>
    </w:p>
    <w:p w14:paraId="04A3F265"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provide a business plan to underpin their proposed partnership, with a demonstrated need, a clear plan to lift school outcomes, and a pathway to sustainability to embed the success of partnerships over longer term;  </w:t>
      </w:r>
    </w:p>
    <w:p w14:paraId="2096D167"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provide evidence of sustained consultation and involvement by local Aboriginal and Torres Strait Islander communities; </w:t>
      </w:r>
    </w:p>
    <w:p w14:paraId="54EC258C"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agree to detailed acquittal of expenditure associated with the Remote School Partnerships fund; </w:t>
      </w:r>
    </w:p>
    <w:p w14:paraId="0269507E"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demonstrate support of the appropriate state or territory government; and </w:t>
      </w:r>
    </w:p>
    <w:p w14:paraId="1D41A314"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demonstrate the ability to capture and report on student outcomes, attendance, engagement and Year 12 attainment rates as part of annual reporting requirements. </w:t>
      </w:r>
    </w:p>
    <w:p w14:paraId="7A19FDAC" w14:textId="77777777" w:rsidR="00B22D95" w:rsidRPr="001D704A" w:rsidRDefault="00B22D95" w:rsidP="00123EB1">
      <w:pPr>
        <w:ind w:left="720"/>
        <w:textAlignment w:val="baseline"/>
        <w:rPr>
          <w:rFonts w:eastAsia="Times New Roman" w:cstheme="minorHAnsi"/>
          <w:lang w:eastAsia="en-AU"/>
        </w:rPr>
      </w:pPr>
      <w:r w:rsidRPr="001D704A">
        <w:rPr>
          <w:rFonts w:eastAsia="Times New Roman" w:cstheme="minorHAnsi"/>
          <w:lang w:eastAsia="en-AU"/>
        </w:rPr>
        <w:t> </w:t>
      </w:r>
    </w:p>
    <w:p w14:paraId="5225A44C"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Participating schools will be expected to report annually on Aboriginal and Torres Strait Islander student outcomes, attendance, engagement and Year 12 attainment rates to inform an evaluation of the initiative.</w:t>
      </w:r>
    </w:p>
    <w:p w14:paraId="091CD858" w14:textId="77777777" w:rsidR="00B22D95" w:rsidRPr="001D704A" w:rsidRDefault="00B22D95" w:rsidP="00123EB1">
      <w:pPr>
        <w:rPr>
          <w:rFonts w:ascii="Times New Roman" w:hAnsi="Times New Roman" w:cs="Times New Roman"/>
          <w:color w:val="000000" w:themeColor="text1"/>
          <w:sz w:val="24"/>
          <w:szCs w:val="24"/>
        </w:rPr>
      </w:pPr>
    </w:p>
    <w:p w14:paraId="32A46E8D"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w:t>
      </w:r>
      <w:r w:rsidRPr="001D704A">
        <w:rPr>
          <w:rFonts w:ascii="Times New Roman" w:eastAsia="Calibri" w:hAnsi="Times New Roman" w:cs="Times New Roman"/>
          <w:color w:val="000000" w:themeColor="text1"/>
          <w:sz w:val="24"/>
          <w:szCs w:val="24"/>
        </w:rPr>
        <w:t xml:space="preserve"> Remote School Partnerships</w:t>
      </w:r>
      <w:r w:rsidRPr="001D704A">
        <w:rPr>
          <w:rFonts w:ascii="Times New Roman" w:hAnsi="Times New Roman" w:cs="Times New Roman"/>
          <w:color w:val="000000" w:themeColor="text1"/>
          <w:sz w:val="24"/>
          <w:szCs w:val="24"/>
        </w:rPr>
        <w:t xml:space="preserve"> fund will also support brokerage activity to promote partnerships in the school sector, facilitate linkages between participating schools, and support the schools to reach formal partnership agreements. Such brokerage may also consider opportunities to partner with local further education and training providers and employers, to enhance further education and employment pathways for students. This role will vary in different locations depending on local requirements and is likely to include the approved authorities for non-government schools and association of independent schools as well as local traditional owners and Indigenous elders.</w:t>
      </w:r>
    </w:p>
    <w:p w14:paraId="6931F51B"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 </w:t>
      </w:r>
    </w:p>
    <w:p w14:paraId="3C94FD80" w14:textId="77777777" w:rsidR="00B22D95" w:rsidRPr="001D704A" w:rsidRDefault="00B22D95" w:rsidP="00123EB1">
      <w:pPr>
        <w:tabs>
          <w:tab w:val="left" w:pos="680"/>
        </w:tabs>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Input One – Brokerage Activity ($3.8 million)</w:t>
      </w:r>
    </w:p>
    <w:p w14:paraId="3ACDF888" w14:textId="77777777" w:rsidR="00B22D95" w:rsidRPr="001D704A" w:rsidRDefault="00B22D95" w:rsidP="00123EB1">
      <w:pPr>
        <w:tabs>
          <w:tab w:val="left" w:pos="680"/>
        </w:tabs>
        <w:rPr>
          <w:rFonts w:ascii="Times New Roman" w:hAnsi="Times New Roman" w:cs="Times New Roman"/>
          <w:color w:val="000000" w:themeColor="text1"/>
          <w:sz w:val="24"/>
          <w:szCs w:val="24"/>
        </w:rPr>
      </w:pPr>
    </w:p>
    <w:p w14:paraId="0AC45BDE" w14:textId="77777777" w:rsidR="00B22D95" w:rsidRPr="001D704A" w:rsidRDefault="00B22D95" w:rsidP="00123EB1">
      <w:pPr>
        <w:tabs>
          <w:tab w:val="left" w:pos="680"/>
        </w:tabs>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 broker may be employed through a third-party arrangement to support the schools to reach formal partnership agreements and consider opportunities to partner with local further education and training providers and employers, to enhance further education and employment pathways for students.</w:t>
      </w:r>
    </w:p>
    <w:p w14:paraId="2A04FAB0" w14:textId="77777777" w:rsidR="00B22D95" w:rsidRPr="001D704A" w:rsidRDefault="00B22D95" w:rsidP="00123EB1">
      <w:pPr>
        <w:tabs>
          <w:tab w:val="left" w:pos="680"/>
        </w:tabs>
        <w:rPr>
          <w:rFonts w:ascii="Times New Roman" w:hAnsi="Times New Roman" w:cs="Times New Roman"/>
          <w:color w:val="000000" w:themeColor="text1"/>
          <w:sz w:val="24"/>
          <w:szCs w:val="24"/>
        </w:rPr>
      </w:pPr>
    </w:p>
    <w:p w14:paraId="1C11FDC4" w14:textId="77777777" w:rsidR="00B22D95" w:rsidRPr="001D704A" w:rsidRDefault="00B22D95" w:rsidP="00123EB1">
      <w:pPr>
        <w:tabs>
          <w:tab w:val="left" w:pos="680"/>
        </w:tabs>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Funding under this input will include (per partnership):</w:t>
      </w:r>
    </w:p>
    <w:p w14:paraId="79411B25"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brokerage activity to promote formal partnerships in the school sector, partner with local education and training providers and employers, consult local Aboriginal and Torres Strait Islander communities with the support of the appropriate state or territory government; </w:t>
      </w:r>
    </w:p>
    <w:p w14:paraId="51BB5D91"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locality allowance; and </w:t>
      </w:r>
    </w:p>
    <w:p w14:paraId="1C0158B9" w14:textId="77777777" w:rsidR="00B22D95" w:rsidRPr="001D704A" w:rsidRDefault="00B22D95" w:rsidP="00123EB1">
      <w:pPr>
        <w:pStyle w:val="ListParagraph"/>
        <w:numPr>
          <w:ilvl w:val="0"/>
          <w:numId w:val="19"/>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2-3 return airfares each year out of isolated localities.</w:t>
      </w:r>
    </w:p>
    <w:p w14:paraId="7AB56AE6" w14:textId="77777777" w:rsidR="00B22D95" w:rsidRPr="001D704A" w:rsidRDefault="00B22D95" w:rsidP="00123EB1">
      <w:pPr>
        <w:tabs>
          <w:tab w:val="left" w:pos="680"/>
        </w:tabs>
        <w:rPr>
          <w:rStyle w:val="normaltextrun"/>
          <w:rFonts w:ascii="Times New Roman" w:hAnsi="Times New Roman" w:cs="Times New Roman"/>
          <w:color w:val="FF0000"/>
          <w:sz w:val="24"/>
          <w:szCs w:val="24"/>
        </w:rPr>
      </w:pPr>
    </w:p>
    <w:p w14:paraId="1CD2F484" w14:textId="0A33264B" w:rsidR="00B22D95" w:rsidRPr="001D704A" w:rsidRDefault="00B22D95" w:rsidP="00123EB1">
      <w:pPr>
        <w:tabs>
          <w:tab w:val="left" w:pos="680"/>
        </w:tabs>
        <w:rPr>
          <w:rStyle w:val="normaltextrun"/>
          <w:rFonts w:ascii="Times New Roman" w:eastAsia="Calibri" w:hAnsi="Times New Roman" w:cs="Times New Roman"/>
          <w:sz w:val="24"/>
          <w:szCs w:val="24"/>
          <w:lang w:eastAsia="en-AU"/>
        </w:rPr>
      </w:pPr>
      <w:r w:rsidRPr="001D704A">
        <w:rPr>
          <w:rStyle w:val="normaltextrun"/>
          <w:rFonts w:ascii="Times New Roman" w:eastAsia="Calibri" w:hAnsi="Times New Roman" w:cs="Times New Roman"/>
          <w:sz w:val="24"/>
          <w:szCs w:val="24"/>
          <w:lang w:eastAsia="en-AU"/>
        </w:rPr>
        <w:t>The process for awarding the grant for brokerage activity through the third</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party broker will be conducted in accordance with the CGRGs, including in relation to publishing information about the outcome of the selection process. Final sign</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off on successful grantees and grant amounts to be awarded for the third</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 xml:space="preserve">party broker role will be </w:t>
      </w:r>
      <w:r w:rsidR="00DB77BA" w:rsidRPr="001D704A">
        <w:rPr>
          <w:rStyle w:val="normaltextrun"/>
          <w:rFonts w:ascii="Times New Roman" w:eastAsia="Calibri" w:hAnsi="Times New Roman" w:cs="Times New Roman"/>
          <w:sz w:val="24"/>
          <w:szCs w:val="24"/>
          <w:lang w:eastAsia="en-AU"/>
        </w:rPr>
        <w:t>provided by</w:t>
      </w:r>
      <w:r w:rsidRPr="001D704A">
        <w:rPr>
          <w:rStyle w:val="normaltextrun"/>
          <w:rFonts w:ascii="Times New Roman" w:eastAsia="Calibri" w:hAnsi="Times New Roman" w:cs="Times New Roman"/>
          <w:sz w:val="24"/>
          <w:szCs w:val="24"/>
          <w:lang w:eastAsia="en-AU"/>
        </w:rPr>
        <w:t xml:space="preserve"> the department, in consultation with the NIAA</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 xml:space="preserve"> </w:t>
      </w:r>
      <w:r w:rsidR="00DB77BA" w:rsidRPr="001D704A">
        <w:rPr>
          <w:rStyle w:val="normaltextrun"/>
          <w:rFonts w:ascii="Times New Roman" w:eastAsia="Calibri" w:hAnsi="Times New Roman" w:cs="Times New Roman"/>
          <w:sz w:val="24"/>
          <w:szCs w:val="24"/>
          <w:lang w:eastAsia="en-AU"/>
        </w:rPr>
        <w:t>and</w:t>
      </w:r>
      <w:r w:rsidRPr="001D704A">
        <w:rPr>
          <w:rStyle w:val="normaltextrun"/>
          <w:rFonts w:ascii="Times New Roman" w:eastAsia="Calibri" w:hAnsi="Times New Roman" w:cs="Times New Roman"/>
          <w:sz w:val="24"/>
          <w:szCs w:val="24"/>
          <w:lang w:eastAsia="en-AU"/>
        </w:rPr>
        <w:t xml:space="preserve"> a reporting mechanism </w:t>
      </w:r>
      <w:r w:rsidR="00DB77BA" w:rsidRPr="001D704A">
        <w:rPr>
          <w:rStyle w:val="normaltextrun"/>
          <w:rFonts w:ascii="Times New Roman" w:eastAsia="Calibri" w:hAnsi="Times New Roman" w:cs="Times New Roman"/>
          <w:sz w:val="24"/>
          <w:szCs w:val="24"/>
          <w:lang w:eastAsia="en-AU"/>
        </w:rPr>
        <w:t xml:space="preserve">will be </w:t>
      </w:r>
      <w:r w:rsidRPr="001D704A">
        <w:rPr>
          <w:rStyle w:val="normaltextrun"/>
          <w:rFonts w:ascii="Times New Roman" w:eastAsia="Calibri" w:hAnsi="Times New Roman" w:cs="Times New Roman"/>
          <w:sz w:val="24"/>
          <w:szCs w:val="24"/>
          <w:lang w:eastAsia="en-AU"/>
        </w:rPr>
        <w:t>established for the Minister for Education and Youth and the Minister for Indigenous Australians.</w:t>
      </w:r>
    </w:p>
    <w:p w14:paraId="63FB2246" w14:textId="77777777" w:rsidR="00B22D95" w:rsidRPr="001D704A" w:rsidRDefault="00B22D95" w:rsidP="00123EB1">
      <w:pPr>
        <w:tabs>
          <w:tab w:val="left" w:pos="680"/>
        </w:tabs>
        <w:rPr>
          <w:rStyle w:val="normaltextrun"/>
          <w:rFonts w:ascii="Times New Roman" w:eastAsia="Calibri" w:hAnsi="Times New Roman" w:cs="Times New Roman"/>
          <w:sz w:val="24"/>
          <w:szCs w:val="24"/>
          <w:lang w:eastAsia="en-AU"/>
        </w:rPr>
      </w:pPr>
    </w:p>
    <w:p w14:paraId="345ECBB8" w14:textId="4FE68F1E" w:rsidR="00B22D95" w:rsidRPr="001D704A" w:rsidRDefault="00B22D95" w:rsidP="00123EB1">
      <w:pPr>
        <w:tabs>
          <w:tab w:val="left" w:pos="680"/>
        </w:tabs>
        <w:rPr>
          <w:rStyle w:val="normaltextrun"/>
          <w:rFonts w:ascii="Times New Roman" w:eastAsia="Calibri" w:hAnsi="Times New Roman" w:cs="Times New Roman"/>
          <w:sz w:val="24"/>
          <w:szCs w:val="24"/>
          <w:lang w:eastAsia="en-AU"/>
        </w:rPr>
      </w:pPr>
      <w:r w:rsidRPr="001D704A">
        <w:rPr>
          <w:rStyle w:val="normaltextrun"/>
          <w:rFonts w:ascii="Times New Roman" w:eastAsia="Calibri" w:hAnsi="Times New Roman" w:cs="Times New Roman"/>
          <w:sz w:val="24"/>
          <w:szCs w:val="24"/>
          <w:lang w:eastAsia="en-AU"/>
        </w:rPr>
        <w:t>The third</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 xml:space="preserve">party broker will be responsible for administering </w:t>
      </w:r>
      <w:r w:rsidR="00B6482A" w:rsidRPr="001D704A">
        <w:rPr>
          <w:rStyle w:val="normaltextrun"/>
          <w:rFonts w:ascii="Times New Roman" w:eastAsia="Calibri" w:hAnsi="Times New Roman" w:cs="Times New Roman"/>
          <w:sz w:val="24"/>
          <w:szCs w:val="24"/>
          <w:lang w:eastAsia="en-AU"/>
        </w:rPr>
        <w:t>i</w:t>
      </w:r>
      <w:r w:rsidRPr="001D704A">
        <w:rPr>
          <w:rStyle w:val="normaltextrun"/>
          <w:rFonts w:ascii="Times New Roman" w:eastAsia="Calibri" w:hAnsi="Times New Roman" w:cs="Times New Roman"/>
          <w:sz w:val="24"/>
          <w:szCs w:val="24"/>
          <w:lang w:eastAsia="en-AU"/>
        </w:rPr>
        <w:t xml:space="preserve">nput </w:t>
      </w:r>
      <w:r w:rsidR="00B6482A" w:rsidRPr="001D704A">
        <w:rPr>
          <w:rStyle w:val="normaltextrun"/>
          <w:rFonts w:ascii="Times New Roman" w:eastAsia="Calibri" w:hAnsi="Times New Roman" w:cs="Times New Roman"/>
          <w:sz w:val="24"/>
          <w:szCs w:val="24"/>
          <w:lang w:eastAsia="en-AU"/>
        </w:rPr>
        <w:t>t</w:t>
      </w:r>
      <w:r w:rsidRPr="001D704A">
        <w:rPr>
          <w:rStyle w:val="normaltextrun"/>
          <w:rFonts w:ascii="Times New Roman" w:eastAsia="Calibri" w:hAnsi="Times New Roman" w:cs="Times New Roman"/>
          <w:sz w:val="24"/>
          <w:szCs w:val="24"/>
          <w:lang w:eastAsia="en-AU"/>
        </w:rPr>
        <w:t xml:space="preserve">wo and </w:t>
      </w:r>
      <w:r w:rsidR="00B6482A" w:rsidRPr="001D704A">
        <w:rPr>
          <w:rStyle w:val="normaltextrun"/>
          <w:rFonts w:ascii="Times New Roman" w:eastAsia="Calibri" w:hAnsi="Times New Roman" w:cs="Times New Roman"/>
          <w:sz w:val="24"/>
          <w:szCs w:val="24"/>
          <w:lang w:eastAsia="en-AU"/>
        </w:rPr>
        <w:t>i</w:t>
      </w:r>
      <w:r w:rsidRPr="001D704A">
        <w:rPr>
          <w:rStyle w:val="normaltextrun"/>
          <w:rFonts w:ascii="Times New Roman" w:eastAsia="Calibri" w:hAnsi="Times New Roman" w:cs="Times New Roman"/>
          <w:sz w:val="24"/>
          <w:szCs w:val="24"/>
          <w:lang w:eastAsia="en-AU"/>
        </w:rPr>
        <w:t xml:space="preserve">nput </w:t>
      </w:r>
      <w:r w:rsidR="00B6482A" w:rsidRPr="001D704A">
        <w:rPr>
          <w:rStyle w:val="normaltextrun"/>
          <w:rFonts w:ascii="Times New Roman" w:eastAsia="Calibri" w:hAnsi="Times New Roman" w:cs="Times New Roman"/>
          <w:sz w:val="24"/>
          <w:szCs w:val="24"/>
          <w:lang w:eastAsia="en-AU"/>
        </w:rPr>
        <w:t>t</w:t>
      </w:r>
      <w:r w:rsidRPr="001D704A">
        <w:rPr>
          <w:rStyle w:val="normaltextrun"/>
          <w:rFonts w:ascii="Times New Roman" w:eastAsia="Calibri" w:hAnsi="Times New Roman" w:cs="Times New Roman"/>
          <w:sz w:val="24"/>
          <w:szCs w:val="24"/>
          <w:lang w:eastAsia="en-AU"/>
        </w:rPr>
        <w:t xml:space="preserve">hree and the requirements for these inputs will be outlined in the </w:t>
      </w:r>
      <w:r w:rsidR="00352A53" w:rsidRPr="001D704A">
        <w:rPr>
          <w:rStyle w:val="normaltextrun"/>
          <w:rFonts w:ascii="Times New Roman" w:eastAsia="Calibri" w:hAnsi="Times New Roman" w:cs="Times New Roman"/>
          <w:sz w:val="24"/>
          <w:szCs w:val="24"/>
          <w:lang w:eastAsia="en-AU"/>
        </w:rPr>
        <w:t>grant opportunity guidelines</w:t>
      </w:r>
      <w:r w:rsidRPr="001D704A">
        <w:rPr>
          <w:rStyle w:val="normaltextrun"/>
          <w:rFonts w:ascii="Times New Roman" w:eastAsia="Calibri" w:hAnsi="Times New Roman" w:cs="Times New Roman"/>
          <w:sz w:val="24"/>
          <w:szCs w:val="24"/>
          <w:lang w:eastAsia="en-AU"/>
        </w:rPr>
        <w:t>, with the Minister (or departmental delegate) responsible for the final sign</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off</w:t>
      </w:r>
      <w:r w:rsidR="00DB77BA" w:rsidRPr="001D704A">
        <w:rPr>
          <w:rStyle w:val="normaltextrun"/>
          <w:rFonts w:ascii="Times New Roman" w:eastAsia="Calibri" w:hAnsi="Times New Roman" w:cs="Times New Roman"/>
          <w:sz w:val="24"/>
          <w:szCs w:val="24"/>
          <w:lang w:eastAsia="en-AU"/>
        </w:rPr>
        <w:t xml:space="preserve"> </w:t>
      </w:r>
      <w:r w:rsidRPr="001D704A">
        <w:rPr>
          <w:rStyle w:val="normaltextrun"/>
          <w:rFonts w:ascii="Times New Roman" w:eastAsia="Calibri" w:hAnsi="Times New Roman" w:cs="Times New Roman"/>
          <w:sz w:val="24"/>
          <w:szCs w:val="24"/>
          <w:lang w:eastAsia="en-AU"/>
        </w:rPr>
        <w:t xml:space="preserve">on recipients of these inputs. This will include </w:t>
      </w:r>
      <w:r w:rsidR="00DB77BA" w:rsidRPr="001D704A">
        <w:rPr>
          <w:rStyle w:val="normaltextrun"/>
          <w:rFonts w:ascii="Times New Roman" w:eastAsia="Calibri" w:hAnsi="Times New Roman" w:cs="Times New Roman"/>
          <w:sz w:val="24"/>
          <w:szCs w:val="24"/>
          <w:lang w:eastAsia="en-AU"/>
        </w:rPr>
        <w:t>m</w:t>
      </w:r>
      <w:r w:rsidRPr="001D704A">
        <w:rPr>
          <w:rStyle w:val="normaltextrun"/>
          <w:rFonts w:ascii="Times New Roman" w:eastAsia="Calibri" w:hAnsi="Times New Roman" w:cs="Times New Roman"/>
          <w:sz w:val="24"/>
          <w:szCs w:val="24"/>
          <w:lang w:eastAsia="en-AU"/>
        </w:rPr>
        <w:t>inisterial sign</w:t>
      </w:r>
      <w:r w:rsidR="00DB77BA" w:rsidRPr="001D704A">
        <w:rPr>
          <w:rStyle w:val="normaltextrun"/>
          <w:rFonts w:ascii="Times New Roman" w:eastAsia="Calibri" w:hAnsi="Times New Roman" w:cs="Times New Roman"/>
          <w:sz w:val="24"/>
          <w:szCs w:val="24"/>
          <w:lang w:eastAsia="en-AU"/>
        </w:rPr>
        <w:t>-</w:t>
      </w:r>
      <w:r w:rsidRPr="001D704A">
        <w:rPr>
          <w:rStyle w:val="normaltextrun"/>
          <w:rFonts w:ascii="Times New Roman" w:eastAsia="Calibri" w:hAnsi="Times New Roman" w:cs="Times New Roman"/>
          <w:sz w:val="24"/>
          <w:szCs w:val="24"/>
          <w:lang w:eastAsia="en-AU"/>
        </w:rPr>
        <w:t xml:space="preserve">off on the establishment of partnerships. </w:t>
      </w:r>
    </w:p>
    <w:p w14:paraId="33BA2816" w14:textId="77777777" w:rsidR="00B22D95" w:rsidRPr="001D704A" w:rsidRDefault="00B22D95" w:rsidP="00123EB1">
      <w:pPr>
        <w:tabs>
          <w:tab w:val="left" w:pos="680"/>
        </w:tabs>
        <w:rPr>
          <w:rStyle w:val="normaltextrun"/>
          <w:rFonts w:ascii="Times New Roman" w:eastAsia="Calibri" w:hAnsi="Times New Roman" w:cs="Times New Roman"/>
          <w:sz w:val="24"/>
          <w:szCs w:val="24"/>
          <w:lang w:eastAsia="en-AU"/>
        </w:rPr>
      </w:pPr>
    </w:p>
    <w:p w14:paraId="07A0B075" w14:textId="64FA98F6" w:rsidR="00B22D95" w:rsidRPr="001D704A" w:rsidRDefault="00B6482A" w:rsidP="00123EB1">
      <w:pPr>
        <w:tabs>
          <w:tab w:val="left" w:pos="680"/>
        </w:tabs>
        <w:rPr>
          <w:rStyle w:val="normaltextrun"/>
          <w:rFonts w:ascii="Times New Roman" w:eastAsia="Calibri" w:hAnsi="Times New Roman" w:cs="Times New Roman"/>
          <w:sz w:val="24"/>
          <w:szCs w:val="24"/>
          <w:lang w:eastAsia="en-AU"/>
        </w:rPr>
      </w:pPr>
      <w:r w:rsidRPr="001D704A">
        <w:rPr>
          <w:rStyle w:val="normaltextrun"/>
          <w:rFonts w:ascii="Times New Roman" w:eastAsia="Calibri" w:hAnsi="Times New Roman" w:cs="Times New Roman"/>
          <w:sz w:val="24"/>
          <w:szCs w:val="24"/>
          <w:lang w:eastAsia="en-AU"/>
        </w:rPr>
        <w:t>In addition to the m</w:t>
      </w:r>
      <w:r w:rsidR="00B22D95" w:rsidRPr="001D704A">
        <w:rPr>
          <w:rStyle w:val="normaltextrun"/>
          <w:rFonts w:ascii="Times New Roman" w:eastAsia="Calibri" w:hAnsi="Times New Roman" w:cs="Times New Roman"/>
          <w:sz w:val="24"/>
          <w:szCs w:val="24"/>
          <w:lang w:eastAsia="en-AU"/>
        </w:rPr>
        <w:t>inisterial sign</w:t>
      </w:r>
      <w:r w:rsidRPr="001D704A">
        <w:rPr>
          <w:rStyle w:val="normaltextrun"/>
          <w:rFonts w:ascii="Times New Roman" w:eastAsia="Calibri" w:hAnsi="Times New Roman" w:cs="Times New Roman"/>
          <w:sz w:val="24"/>
          <w:szCs w:val="24"/>
          <w:lang w:eastAsia="en-AU"/>
        </w:rPr>
        <w:t>-</w:t>
      </w:r>
      <w:r w:rsidR="00B22D95" w:rsidRPr="001D704A">
        <w:rPr>
          <w:rStyle w:val="normaltextrun"/>
          <w:rFonts w:ascii="Times New Roman" w:eastAsia="Calibri" w:hAnsi="Times New Roman" w:cs="Times New Roman"/>
          <w:sz w:val="24"/>
          <w:szCs w:val="24"/>
          <w:lang w:eastAsia="en-AU"/>
        </w:rPr>
        <w:t>off on partnerships, a reporting mechanism will be outlined for the third</w:t>
      </w:r>
      <w:r w:rsidRPr="001D704A">
        <w:rPr>
          <w:rStyle w:val="normaltextrun"/>
          <w:rFonts w:ascii="Times New Roman" w:eastAsia="Calibri" w:hAnsi="Times New Roman" w:cs="Times New Roman"/>
          <w:sz w:val="24"/>
          <w:szCs w:val="24"/>
          <w:lang w:eastAsia="en-AU"/>
        </w:rPr>
        <w:t>-</w:t>
      </w:r>
      <w:r w:rsidR="00B22D95" w:rsidRPr="001D704A">
        <w:rPr>
          <w:rStyle w:val="normaltextrun"/>
          <w:rFonts w:ascii="Times New Roman" w:eastAsia="Calibri" w:hAnsi="Times New Roman" w:cs="Times New Roman"/>
          <w:sz w:val="24"/>
          <w:szCs w:val="24"/>
          <w:lang w:eastAsia="en-AU"/>
        </w:rPr>
        <w:t xml:space="preserve">party broker in the </w:t>
      </w:r>
      <w:r w:rsidRPr="001D704A">
        <w:rPr>
          <w:rStyle w:val="normaltextrun"/>
          <w:rFonts w:ascii="Times New Roman" w:eastAsia="Calibri" w:hAnsi="Times New Roman" w:cs="Times New Roman"/>
          <w:sz w:val="24"/>
          <w:szCs w:val="24"/>
          <w:lang w:eastAsia="en-AU"/>
        </w:rPr>
        <w:t>g</w:t>
      </w:r>
      <w:r w:rsidR="00B22D95" w:rsidRPr="001D704A">
        <w:rPr>
          <w:rStyle w:val="normaltextrun"/>
          <w:rFonts w:ascii="Times New Roman" w:eastAsia="Calibri" w:hAnsi="Times New Roman" w:cs="Times New Roman"/>
          <w:sz w:val="24"/>
          <w:szCs w:val="24"/>
          <w:lang w:eastAsia="en-AU"/>
        </w:rPr>
        <w:t xml:space="preserve">rant </w:t>
      </w:r>
      <w:r w:rsidRPr="001D704A">
        <w:rPr>
          <w:rStyle w:val="normaltextrun"/>
          <w:rFonts w:ascii="Times New Roman" w:eastAsia="Calibri" w:hAnsi="Times New Roman" w:cs="Times New Roman"/>
          <w:sz w:val="24"/>
          <w:szCs w:val="24"/>
          <w:lang w:eastAsia="en-AU"/>
        </w:rPr>
        <w:t>opportunity g</w:t>
      </w:r>
      <w:r w:rsidR="00B22D95" w:rsidRPr="001D704A">
        <w:rPr>
          <w:rStyle w:val="normaltextrun"/>
          <w:rFonts w:ascii="Times New Roman" w:eastAsia="Calibri" w:hAnsi="Times New Roman" w:cs="Times New Roman"/>
          <w:sz w:val="24"/>
          <w:szCs w:val="24"/>
          <w:lang w:eastAsia="en-AU"/>
        </w:rPr>
        <w:t xml:space="preserve">uidelines to ensure transparency and accountability for the funding that is administered for partnership activity under inputs </w:t>
      </w:r>
      <w:r w:rsidRPr="001D704A">
        <w:rPr>
          <w:rStyle w:val="normaltextrun"/>
          <w:rFonts w:ascii="Times New Roman" w:eastAsia="Calibri" w:hAnsi="Times New Roman" w:cs="Times New Roman"/>
          <w:sz w:val="24"/>
          <w:szCs w:val="24"/>
          <w:lang w:eastAsia="en-AU"/>
        </w:rPr>
        <w:t>two and th</w:t>
      </w:r>
      <w:r w:rsidR="00B22D95" w:rsidRPr="001D704A">
        <w:rPr>
          <w:rStyle w:val="normaltextrun"/>
          <w:rFonts w:ascii="Times New Roman" w:eastAsia="Calibri" w:hAnsi="Times New Roman" w:cs="Times New Roman"/>
          <w:sz w:val="24"/>
          <w:szCs w:val="24"/>
          <w:lang w:eastAsia="en-AU"/>
        </w:rPr>
        <w:t>ree.</w:t>
      </w:r>
    </w:p>
    <w:p w14:paraId="3A9E3186" w14:textId="77777777" w:rsidR="00B22D95" w:rsidRPr="001D704A" w:rsidRDefault="00B22D95" w:rsidP="00123EB1">
      <w:pPr>
        <w:rPr>
          <w:rFonts w:ascii="Times New Roman" w:hAnsi="Times New Roman"/>
          <w:color w:val="000000" w:themeColor="text1"/>
          <w:sz w:val="24"/>
          <w:szCs w:val="24"/>
        </w:rPr>
      </w:pPr>
    </w:p>
    <w:p w14:paraId="61DEC449" w14:textId="4D47CFF2" w:rsidR="00B22D95" w:rsidRPr="001D704A" w:rsidRDefault="00B22D95" w:rsidP="00123EB1">
      <w:pPr>
        <w:tabs>
          <w:tab w:val="left" w:pos="680"/>
        </w:tabs>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Input Two – Teacher Transfers ($1.7 million)</w:t>
      </w:r>
    </w:p>
    <w:p w14:paraId="3A1CFFDC" w14:textId="77777777" w:rsidR="00B22D95" w:rsidRPr="001D704A" w:rsidRDefault="00B22D95" w:rsidP="00123EB1">
      <w:pPr>
        <w:tabs>
          <w:tab w:val="left" w:pos="680"/>
        </w:tabs>
        <w:rPr>
          <w:rFonts w:ascii="Times New Roman" w:hAnsi="Times New Roman" w:cs="Times New Roman"/>
          <w:i/>
          <w:color w:val="000000" w:themeColor="text1"/>
          <w:sz w:val="24"/>
          <w:szCs w:val="24"/>
          <w:u w:val="single"/>
        </w:rPr>
      </w:pPr>
    </w:p>
    <w:p w14:paraId="05905E83" w14:textId="77777777" w:rsidR="00B22D95" w:rsidRPr="001D704A" w:rsidRDefault="00B22D95" w:rsidP="00123EB1">
      <w:pPr>
        <w:pStyle w:val="paragraph"/>
        <w:spacing w:before="0" w:beforeAutospacing="0" w:after="0" w:afterAutospacing="0"/>
        <w:textAlignment w:val="baseline"/>
        <w:rPr>
          <w:rStyle w:val="normaltextrun"/>
          <w:rFonts w:eastAsia="Calibri"/>
        </w:rPr>
      </w:pPr>
      <w:r w:rsidRPr="001D704A">
        <w:rPr>
          <w:rStyle w:val="normaltextrun"/>
          <w:rFonts w:eastAsia="Calibri"/>
        </w:rPr>
        <w:t>This input will address workforce shortages through teacher transfers. Funding will include (per partnership):</w:t>
      </w:r>
    </w:p>
    <w:p w14:paraId="0E8674ED" w14:textId="77777777" w:rsidR="00B22D95" w:rsidRPr="001D704A" w:rsidRDefault="00B22D95"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teacher salaries for up to 2 teachers per remote school; and</w:t>
      </w:r>
    </w:p>
    <w:p w14:paraId="57405774" w14:textId="77777777" w:rsidR="00B22D95" w:rsidRPr="001D704A" w:rsidRDefault="00B22D95" w:rsidP="00123EB1">
      <w:pPr>
        <w:pStyle w:val="ListParagraph"/>
        <w:numPr>
          <w:ilvl w:val="0"/>
          <w:numId w:val="37"/>
        </w:numPr>
        <w:tabs>
          <w:tab w:val="left" w:pos="680"/>
        </w:tabs>
        <w:spacing w:after="0" w:line="240" w:lineRule="auto"/>
        <w:contextualSpacing/>
        <w:rPr>
          <w:rFonts w:ascii="Times New Roman" w:hAnsi="Times New Roman"/>
          <w:b/>
          <w:iCs/>
          <w:sz w:val="24"/>
          <w:szCs w:val="24"/>
        </w:rPr>
      </w:pPr>
      <w:r w:rsidRPr="001D704A">
        <w:rPr>
          <w:rFonts w:ascii="Times New Roman" w:hAnsi="Times New Roman"/>
          <w:bCs/>
          <w:iCs/>
          <w:sz w:val="24"/>
          <w:szCs w:val="24"/>
        </w:rPr>
        <w:t>locality allowance.</w:t>
      </w:r>
    </w:p>
    <w:p w14:paraId="5A67CF30" w14:textId="77777777" w:rsidR="00B22D95" w:rsidRPr="001D704A" w:rsidRDefault="00B22D95" w:rsidP="00123EB1">
      <w:pPr>
        <w:tabs>
          <w:tab w:val="left" w:pos="680"/>
        </w:tabs>
        <w:rPr>
          <w:rFonts w:ascii="Times New Roman" w:hAnsi="Times New Roman" w:cs="Times New Roman"/>
          <w:b/>
          <w:iCs/>
          <w:sz w:val="24"/>
          <w:szCs w:val="24"/>
        </w:rPr>
      </w:pPr>
    </w:p>
    <w:p w14:paraId="5B843A4E" w14:textId="77777777" w:rsidR="00B22D95" w:rsidRPr="001D704A" w:rsidRDefault="00B22D95" w:rsidP="00123EB1">
      <w:pPr>
        <w:tabs>
          <w:tab w:val="left" w:pos="680"/>
        </w:tabs>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Input Three – Administration and Shared Services ($19.3 million)</w:t>
      </w:r>
    </w:p>
    <w:p w14:paraId="7ABDA251" w14:textId="77777777" w:rsidR="00B22D95" w:rsidRPr="001D704A" w:rsidRDefault="00B22D95" w:rsidP="00123EB1">
      <w:pPr>
        <w:tabs>
          <w:tab w:val="left" w:pos="680"/>
        </w:tabs>
        <w:rPr>
          <w:rFonts w:ascii="Times New Roman" w:hAnsi="Times New Roman" w:cs="Times New Roman"/>
          <w:i/>
          <w:color w:val="000000" w:themeColor="text1"/>
          <w:sz w:val="24"/>
          <w:szCs w:val="24"/>
          <w:u w:val="single"/>
        </w:rPr>
      </w:pPr>
    </w:p>
    <w:p w14:paraId="5808F16A" w14:textId="77777777" w:rsidR="00B22D95" w:rsidRPr="001D704A" w:rsidRDefault="00B22D95" w:rsidP="00123EB1">
      <w:pPr>
        <w:pStyle w:val="paragraph"/>
        <w:spacing w:before="0" w:beforeAutospacing="0" w:after="0" w:afterAutospacing="0"/>
        <w:textAlignment w:val="baseline"/>
        <w:rPr>
          <w:rStyle w:val="normaltextrun"/>
          <w:rFonts w:eastAsiaTheme="minorHAnsi"/>
          <w:color w:val="000000" w:themeColor="text1"/>
          <w:lang w:eastAsia="en-US"/>
        </w:rPr>
      </w:pPr>
      <w:r w:rsidRPr="001D704A">
        <w:rPr>
          <w:rStyle w:val="normaltextrun"/>
          <w:rFonts w:eastAsia="Calibri"/>
        </w:rPr>
        <w:t xml:space="preserve">These costs include the expansion of IT equipment and services, administration improvements, teaching resources for teachers and support staff and the administration of the partnerships, including support for the school to build a sustainable partnership model to </w:t>
      </w:r>
      <w:r w:rsidRPr="001D704A">
        <w:rPr>
          <w:rStyle w:val="normaltextrun"/>
          <w:rFonts w:eastAsiaTheme="minorHAnsi"/>
          <w:color w:val="000000" w:themeColor="text1"/>
          <w:lang w:eastAsia="en-US"/>
        </w:rPr>
        <w:t xml:space="preserve">support students beyond the initial three years of funding, as well as associated evaluation costs. </w:t>
      </w:r>
    </w:p>
    <w:p w14:paraId="6A22503D" w14:textId="77777777" w:rsidR="00B22D95" w:rsidRPr="001D704A" w:rsidRDefault="00B22D95" w:rsidP="00123EB1">
      <w:pPr>
        <w:textAlignment w:val="baseline"/>
        <w:rPr>
          <w:rStyle w:val="normaltextrun"/>
          <w:rFonts w:ascii="Times New Roman" w:hAnsi="Times New Roman" w:cs="Times New Roman"/>
          <w:color w:val="000000" w:themeColor="text1"/>
          <w:sz w:val="24"/>
          <w:szCs w:val="24"/>
        </w:rPr>
      </w:pPr>
    </w:p>
    <w:p w14:paraId="416D211B" w14:textId="3CCA522F" w:rsidR="00B22D95" w:rsidRPr="001D704A" w:rsidRDefault="00B22D95" w:rsidP="00123EB1">
      <w:pPr>
        <w:rPr>
          <w:rStyle w:val="normaltextrun"/>
          <w:rFonts w:ascii="Times New Roman" w:hAnsi="Times New Roman" w:cs="Times New Roman"/>
          <w:color w:val="000000" w:themeColor="text1"/>
          <w:sz w:val="24"/>
          <w:szCs w:val="24"/>
        </w:rPr>
      </w:pPr>
      <w:r w:rsidRPr="001D704A">
        <w:rPr>
          <w:rStyle w:val="normaltextrun"/>
          <w:rFonts w:ascii="Times New Roman" w:hAnsi="Times New Roman" w:cs="Times New Roman"/>
          <w:color w:val="000000" w:themeColor="text1"/>
          <w:sz w:val="24"/>
          <w:szCs w:val="24"/>
        </w:rPr>
        <w:t>Partnerships will be selected through a competitive process established by the department in consultation with the NIAA and administered by the third</w:t>
      </w:r>
      <w:r w:rsidR="00E33DB0" w:rsidRPr="001D704A">
        <w:rPr>
          <w:rStyle w:val="normaltextrun"/>
          <w:rFonts w:ascii="Times New Roman" w:hAnsi="Times New Roman" w:cs="Times New Roman"/>
          <w:color w:val="000000" w:themeColor="text1"/>
          <w:sz w:val="24"/>
          <w:szCs w:val="24"/>
        </w:rPr>
        <w:t>-</w:t>
      </w:r>
      <w:r w:rsidRPr="001D704A">
        <w:rPr>
          <w:rStyle w:val="normaltextrun"/>
          <w:rFonts w:ascii="Times New Roman" w:hAnsi="Times New Roman" w:cs="Times New Roman"/>
          <w:color w:val="000000" w:themeColor="text1"/>
          <w:sz w:val="24"/>
          <w:szCs w:val="24"/>
        </w:rPr>
        <w:t xml:space="preserve">party broker. To achieve this end, </w:t>
      </w:r>
      <w:r w:rsidR="00662C9F" w:rsidRPr="001D704A">
        <w:rPr>
          <w:rStyle w:val="normaltextrun"/>
          <w:rFonts w:ascii="Times New Roman" w:hAnsi="Times New Roman" w:cs="Times New Roman"/>
          <w:color w:val="000000" w:themeColor="text1"/>
          <w:sz w:val="24"/>
          <w:szCs w:val="24"/>
        </w:rPr>
        <w:t xml:space="preserve">grant opportunity guidelines </w:t>
      </w:r>
      <w:r w:rsidRPr="001D704A">
        <w:rPr>
          <w:rStyle w:val="normaltextrun"/>
          <w:rFonts w:ascii="Times New Roman" w:hAnsi="Times New Roman" w:cs="Times New Roman"/>
          <w:color w:val="000000" w:themeColor="text1"/>
          <w:sz w:val="24"/>
          <w:szCs w:val="24"/>
        </w:rPr>
        <w:t>will be prepared by the department in consultation with the NIAA</w:t>
      </w:r>
      <w:r w:rsidR="00C95D63" w:rsidRPr="001D704A">
        <w:rPr>
          <w:rStyle w:val="normaltextrun"/>
          <w:rFonts w:ascii="Times New Roman" w:hAnsi="Times New Roman" w:cs="Times New Roman"/>
          <w:color w:val="000000" w:themeColor="text1"/>
          <w:sz w:val="24"/>
          <w:szCs w:val="24"/>
        </w:rPr>
        <w:t>. The guidelines</w:t>
      </w:r>
      <w:r w:rsidRPr="001D704A">
        <w:rPr>
          <w:rStyle w:val="normaltextrun"/>
          <w:rFonts w:ascii="Times New Roman" w:hAnsi="Times New Roman" w:cs="Times New Roman"/>
          <w:color w:val="000000" w:themeColor="text1"/>
          <w:sz w:val="24"/>
          <w:szCs w:val="24"/>
        </w:rPr>
        <w:t xml:space="preserve"> will outline the selection criteria for the third</w:t>
      </w:r>
      <w:r w:rsidR="00E33DB0" w:rsidRPr="001D704A">
        <w:rPr>
          <w:rStyle w:val="normaltextrun"/>
          <w:rFonts w:ascii="Times New Roman" w:hAnsi="Times New Roman" w:cs="Times New Roman"/>
          <w:color w:val="000000" w:themeColor="text1"/>
          <w:sz w:val="24"/>
          <w:szCs w:val="24"/>
        </w:rPr>
        <w:t>-</w:t>
      </w:r>
      <w:r w:rsidRPr="001D704A">
        <w:rPr>
          <w:rStyle w:val="normaltextrun"/>
          <w:rFonts w:ascii="Times New Roman" w:hAnsi="Times New Roman" w:cs="Times New Roman"/>
          <w:color w:val="000000" w:themeColor="text1"/>
          <w:sz w:val="24"/>
          <w:szCs w:val="24"/>
        </w:rPr>
        <w:t>party broker to identify potential partnerships and submit partnership agreements</w:t>
      </w:r>
      <w:r w:rsidR="00C95D63" w:rsidRPr="001D704A">
        <w:rPr>
          <w:rStyle w:val="normaltextrun"/>
          <w:rFonts w:ascii="Times New Roman" w:hAnsi="Times New Roman" w:cs="Times New Roman"/>
          <w:color w:val="000000" w:themeColor="text1"/>
          <w:sz w:val="24"/>
          <w:szCs w:val="24"/>
        </w:rPr>
        <w:t xml:space="preserve"> setting </w:t>
      </w:r>
      <w:r w:rsidR="00E33DB0" w:rsidRPr="001D704A">
        <w:rPr>
          <w:rStyle w:val="normaltextrun"/>
          <w:rFonts w:ascii="Times New Roman" w:hAnsi="Times New Roman" w:cs="Times New Roman"/>
          <w:color w:val="000000" w:themeColor="text1"/>
          <w:sz w:val="24"/>
          <w:szCs w:val="24"/>
        </w:rPr>
        <w:t>out</w:t>
      </w:r>
      <w:r w:rsidRPr="001D704A">
        <w:rPr>
          <w:rStyle w:val="normaltextrun"/>
          <w:rFonts w:ascii="Times New Roman" w:hAnsi="Times New Roman" w:cs="Times New Roman"/>
          <w:color w:val="000000" w:themeColor="text1"/>
          <w:sz w:val="24"/>
          <w:szCs w:val="24"/>
        </w:rPr>
        <w:t xml:space="preserve"> the goals, milestones and funding of the partnership for </w:t>
      </w:r>
      <w:r w:rsidR="00E33DB0" w:rsidRPr="001D704A">
        <w:rPr>
          <w:rStyle w:val="normaltextrun"/>
          <w:rFonts w:ascii="Times New Roman" w:hAnsi="Times New Roman" w:cs="Times New Roman"/>
          <w:color w:val="000000" w:themeColor="text1"/>
          <w:sz w:val="24"/>
          <w:szCs w:val="24"/>
        </w:rPr>
        <w:t>the m</w:t>
      </w:r>
      <w:r w:rsidRPr="001D704A">
        <w:rPr>
          <w:rStyle w:val="normaltextrun"/>
          <w:rFonts w:ascii="Times New Roman" w:hAnsi="Times New Roman" w:cs="Times New Roman"/>
          <w:color w:val="000000" w:themeColor="text1"/>
          <w:sz w:val="24"/>
          <w:szCs w:val="24"/>
        </w:rPr>
        <w:t>inisterial sign</w:t>
      </w:r>
      <w:r w:rsidR="00E33DB0" w:rsidRPr="001D704A">
        <w:rPr>
          <w:rStyle w:val="normaltextrun"/>
          <w:rFonts w:ascii="Times New Roman" w:hAnsi="Times New Roman" w:cs="Times New Roman"/>
          <w:color w:val="000000" w:themeColor="text1"/>
          <w:sz w:val="24"/>
          <w:szCs w:val="24"/>
        </w:rPr>
        <w:t>-</w:t>
      </w:r>
      <w:r w:rsidRPr="001D704A">
        <w:rPr>
          <w:rStyle w:val="normaltextrun"/>
          <w:rFonts w:ascii="Times New Roman" w:hAnsi="Times New Roman" w:cs="Times New Roman"/>
          <w:color w:val="000000" w:themeColor="text1"/>
          <w:sz w:val="24"/>
          <w:szCs w:val="24"/>
        </w:rPr>
        <w:t xml:space="preserve">off. Once </w:t>
      </w:r>
      <w:r w:rsidR="00E33DB0" w:rsidRPr="001D704A">
        <w:rPr>
          <w:rStyle w:val="normaltextrun"/>
          <w:rFonts w:ascii="Times New Roman" w:hAnsi="Times New Roman" w:cs="Times New Roman"/>
          <w:color w:val="000000" w:themeColor="text1"/>
          <w:sz w:val="24"/>
          <w:szCs w:val="24"/>
        </w:rPr>
        <w:t>the m</w:t>
      </w:r>
      <w:r w:rsidRPr="001D704A">
        <w:rPr>
          <w:rStyle w:val="normaltextrun"/>
          <w:rFonts w:ascii="Times New Roman" w:hAnsi="Times New Roman" w:cs="Times New Roman"/>
          <w:color w:val="000000" w:themeColor="text1"/>
          <w:sz w:val="24"/>
          <w:szCs w:val="24"/>
        </w:rPr>
        <w:t>inisterial sign</w:t>
      </w:r>
      <w:r w:rsidR="00E33DB0" w:rsidRPr="001D704A">
        <w:rPr>
          <w:rStyle w:val="normaltextrun"/>
          <w:rFonts w:ascii="Times New Roman" w:hAnsi="Times New Roman" w:cs="Times New Roman"/>
          <w:color w:val="000000" w:themeColor="text1"/>
          <w:sz w:val="24"/>
          <w:szCs w:val="24"/>
        </w:rPr>
        <w:t>-</w:t>
      </w:r>
      <w:r w:rsidRPr="001D704A">
        <w:rPr>
          <w:rStyle w:val="normaltextrun"/>
          <w:rFonts w:ascii="Times New Roman" w:hAnsi="Times New Roman" w:cs="Times New Roman"/>
          <w:color w:val="000000" w:themeColor="text1"/>
          <w:sz w:val="24"/>
          <w:szCs w:val="24"/>
        </w:rPr>
        <w:t>off is received</w:t>
      </w:r>
      <w:r w:rsidR="00E33DB0" w:rsidRPr="001D704A">
        <w:rPr>
          <w:rStyle w:val="normaltextrun"/>
          <w:rFonts w:ascii="Times New Roman" w:hAnsi="Times New Roman" w:cs="Times New Roman"/>
          <w:color w:val="000000" w:themeColor="text1"/>
          <w:sz w:val="24"/>
          <w:szCs w:val="24"/>
        </w:rPr>
        <w:t>,</w:t>
      </w:r>
      <w:r w:rsidRPr="001D704A">
        <w:rPr>
          <w:rStyle w:val="normaltextrun"/>
          <w:rFonts w:ascii="Times New Roman" w:hAnsi="Times New Roman" w:cs="Times New Roman"/>
          <w:color w:val="000000" w:themeColor="text1"/>
          <w:sz w:val="24"/>
          <w:szCs w:val="24"/>
        </w:rPr>
        <w:t xml:space="preserve"> the Community Grants Hub will administer funding to the third-party broker to administer funding for partnerships.</w:t>
      </w:r>
    </w:p>
    <w:p w14:paraId="38BFB9DB" w14:textId="3C1BF194" w:rsidR="00500B55" w:rsidRPr="001D704A" w:rsidRDefault="00500B55" w:rsidP="00123EB1">
      <w:pPr>
        <w:rPr>
          <w:rStyle w:val="normaltextrun"/>
          <w:rFonts w:ascii="Times New Roman" w:hAnsi="Times New Roman" w:cs="Times New Roman"/>
          <w:color w:val="000000" w:themeColor="text1"/>
          <w:sz w:val="24"/>
          <w:szCs w:val="24"/>
        </w:rPr>
      </w:pPr>
    </w:p>
    <w:p w14:paraId="764D321B" w14:textId="0D3A468E" w:rsidR="00500B55" w:rsidRPr="001D704A" w:rsidRDefault="00500B55" w:rsidP="00123EB1">
      <w:pPr>
        <w:rPr>
          <w:rFonts w:ascii="Times New Roman" w:hAnsi="Times New Roman" w:cs="Times New Roman"/>
          <w:sz w:val="24"/>
          <w:szCs w:val="24"/>
        </w:rPr>
      </w:pPr>
      <w:r w:rsidRPr="001D704A">
        <w:rPr>
          <w:rFonts w:ascii="Times New Roman" w:hAnsi="Times New Roman" w:cs="Times New Roman"/>
          <w:sz w:val="24"/>
          <w:szCs w:val="24"/>
        </w:rPr>
        <w:t xml:space="preserve">To support the efficient and effective administration of the </w:t>
      </w:r>
      <w:r w:rsidR="00BE2D98" w:rsidRPr="001D704A">
        <w:rPr>
          <w:rFonts w:ascii="Times New Roman" w:hAnsi="Times New Roman" w:cs="Times New Roman"/>
          <w:sz w:val="24"/>
          <w:szCs w:val="24"/>
        </w:rPr>
        <w:t>p</w:t>
      </w:r>
      <w:r w:rsidRPr="001D704A">
        <w:rPr>
          <w:rFonts w:ascii="Times New Roman" w:hAnsi="Times New Roman" w:cs="Times New Roman"/>
          <w:sz w:val="24"/>
          <w:szCs w:val="24"/>
        </w:rPr>
        <w:t>artnerships</w:t>
      </w:r>
      <w:r w:rsidR="00BE2D98" w:rsidRPr="001D704A">
        <w:rPr>
          <w:rFonts w:ascii="Times New Roman" w:hAnsi="Times New Roman" w:cs="Times New Roman"/>
          <w:sz w:val="24"/>
          <w:szCs w:val="24"/>
        </w:rPr>
        <w:t>,</w:t>
      </w:r>
      <w:r w:rsidRPr="001D704A">
        <w:rPr>
          <w:rFonts w:ascii="Times New Roman" w:hAnsi="Times New Roman" w:cs="Times New Roman"/>
          <w:sz w:val="24"/>
          <w:szCs w:val="24"/>
        </w:rPr>
        <w:t xml:space="preserve"> it is necessary and appropriate that decisions in relation to the Commonwealth </w:t>
      </w:r>
      <w:r w:rsidR="00BE2D98" w:rsidRPr="001D704A">
        <w:rPr>
          <w:rFonts w:ascii="Times New Roman" w:hAnsi="Times New Roman" w:cs="Times New Roman"/>
          <w:sz w:val="24"/>
          <w:szCs w:val="24"/>
        </w:rPr>
        <w:t xml:space="preserve">expenditure </w:t>
      </w:r>
      <w:r w:rsidRPr="001D704A">
        <w:rPr>
          <w:rFonts w:ascii="Times New Roman" w:hAnsi="Times New Roman" w:cs="Times New Roman"/>
          <w:sz w:val="24"/>
          <w:szCs w:val="24"/>
        </w:rPr>
        <w:t>and involvement in the</w:t>
      </w:r>
      <w:r w:rsidR="00C90DC4" w:rsidRPr="001D704A">
        <w:rPr>
          <w:rFonts w:ascii="Times New Roman" w:hAnsi="Times New Roman" w:cs="Times New Roman"/>
          <w:sz w:val="24"/>
          <w:szCs w:val="24"/>
        </w:rPr>
        <w:t>m</w:t>
      </w:r>
      <w:r w:rsidRPr="001D704A">
        <w:rPr>
          <w:rFonts w:ascii="Times New Roman" w:hAnsi="Times New Roman" w:cs="Times New Roman"/>
          <w:sz w:val="24"/>
          <w:szCs w:val="24"/>
        </w:rPr>
        <w:t xml:space="preserve"> be taken by the delegate with responsibility for oversight of the area of the department responsible for this program.</w:t>
      </w:r>
      <w:r w:rsidRPr="001D704A">
        <w:rPr>
          <w:rFonts w:ascii="Times New Roman" w:hAnsi="Times New Roman" w:cs="Times New Roman"/>
          <w:b/>
          <w:bCs/>
          <w:sz w:val="24"/>
          <w:szCs w:val="24"/>
        </w:rPr>
        <w:t xml:space="preserve"> </w:t>
      </w:r>
      <w:r w:rsidRPr="001D704A">
        <w:rPr>
          <w:rFonts w:ascii="Times New Roman" w:hAnsi="Times New Roman" w:cs="Times New Roman"/>
          <w:sz w:val="24"/>
          <w:szCs w:val="24"/>
        </w:rPr>
        <w:t>The First Assistant Secretary (SES Band 2), Improving Student Outcomes Division, and the Assistant Secretary (SES Band 1), Student Engagement and Wellbeing Branch, Improving Student Outcomes Division, will be the delegates for th</w:t>
      </w:r>
      <w:r w:rsidR="000116CA" w:rsidRPr="001D704A">
        <w:rPr>
          <w:rFonts w:ascii="Times New Roman" w:hAnsi="Times New Roman" w:cs="Times New Roman"/>
          <w:sz w:val="24"/>
          <w:szCs w:val="24"/>
        </w:rPr>
        <w:t>is</w:t>
      </w:r>
      <w:r w:rsidRPr="001D704A">
        <w:rPr>
          <w:rFonts w:ascii="Times New Roman" w:hAnsi="Times New Roman" w:cs="Times New Roman"/>
          <w:sz w:val="24"/>
          <w:szCs w:val="24"/>
        </w:rPr>
        <w:t xml:space="preserve"> program. These delegates were chosen as they have relevant understanding of the policy context within which the program is intended to operate. </w:t>
      </w:r>
    </w:p>
    <w:p w14:paraId="0A88309F" w14:textId="77777777" w:rsidR="00500B55" w:rsidRPr="001D704A" w:rsidRDefault="00500B55" w:rsidP="00123EB1">
      <w:pPr>
        <w:ind w:left="720"/>
        <w:rPr>
          <w:rFonts w:ascii="Times New Roman" w:hAnsi="Times New Roman" w:cs="Times New Roman"/>
          <w:sz w:val="24"/>
          <w:szCs w:val="24"/>
        </w:rPr>
      </w:pPr>
      <w:r w:rsidRPr="001D704A">
        <w:rPr>
          <w:rFonts w:ascii="Times New Roman" w:hAnsi="Times New Roman" w:cs="Times New Roman"/>
          <w:sz w:val="24"/>
          <w:szCs w:val="24"/>
        </w:rPr>
        <w:t> </w:t>
      </w:r>
    </w:p>
    <w:p w14:paraId="25BDEC26" w14:textId="67A27200" w:rsidR="00500B55" w:rsidRPr="001D704A" w:rsidRDefault="00500B55"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0116CA" w:rsidRPr="001D704A">
        <w:rPr>
          <w:rFonts w:ascii="Times New Roman" w:hAnsi="Times New Roman" w:cs="Times New Roman"/>
          <w:sz w:val="24"/>
          <w:szCs w:val="24"/>
        </w:rPr>
        <w:t>p</w:t>
      </w:r>
      <w:r w:rsidRPr="001D704A">
        <w:rPr>
          <w:rFonts w:ascii="Times New Roman" w:hAnsi="Times New Roman" w:cs="Times New Roman"/>
          <w:sz w:val="24"/>
          <w:szCs w:val="24"/>
        </w:rPr>
        <w:t xml:space="preserve">artnerships will be administered in accordance with the Commonwealth resource management framework. In addition to the CGRGs and grant opportunity guidelines (made available via GrantConnect), this will include compliance with the PGPA Act, the department’s Accountable Authority Instructions and any other relevant financial delegations. The delegate will also be subject to the APS Code of Conduct, and there will be systems of risk management and internal controls imposed to ensure only organisations that demonstrate their ability to administer </w:t>
      </w:r>
      <w:r w:rsidR="000116CA" w:rsidRPr="001D704A">
        <w:rPr>
          <w:rFonts w:ascii="Times New Roman" w:hAnsi="Times New Roman" w:cs="Times New Roman"/>
          <w:sz w:val="24"/>
          <w:szCs w:val="24"/>
        </w:rPr>
        <w:t xml:space="preserve">the </w:t>
      </w:r>
      <w:r w:rsidRPr="001D704A">
        <w:rPr>
          <w:rFonts w:ascii="Times New Roman" w:hAnsi="Times New Roman" w:cs="Times New Roman"/>
          <w:sz w:val="24"/>
          <w:szCs w:val="24"/>
        </w:rPr>
        <w:t xml:space="preserve">Commonwealth funding appropriately will be considered as potential recipients. </w:t>
      </w:r>
    </w:p>
    <w:p w14:paraId="170F7E6E" w14:textId="77777777" w:rsidR="00500B55" w:rsidRPr="001D704A" w:rsidRDefault="00500B55" w:rsidP="00123EB1">
      <w:pPr>
        <w:rPr>
          <w:rStyle w:val="normaltextrun"/>
          <w:rFonts w:ascii="Times New Roman" w:hAnsi="Times New Roman" w:cs="Times New Roman"/>
          <w:color w:val="000000" w:themeColor="text1"/>
          <w:sz w:val="24"/>
          <w:szCs w:val="24"/>
        </w:rPr>
      </w:pPr>
    </w:p>
    <w:p w14:paraId="2342654F" w14:textId="5AB4A1F2" w:rsidR="00B22D95" w:rsidRPr="001D704A" w:rsidRDefault="00B22D95" w:rsidP="00123EB1">
      <w:pPr>
        <w:tabs>
          <w:tab w:val="left" w:pos="680"/>
        </w:tabs>
        <w:rPr>
          <w:rStyle w:val="normaltextrun"/>
          <w:rFonts w:ascii="Times New Roman" w:hAnsi="Times New Roman" w:cs="Times New Roman"/>
          <w:sz w:val="24"/>
          <w:szCs w:val="24"/>
        </w:rPr>
      </w:pPr>
      <w:r w:rsidRPr="001D704A">
        <w:rPr>
          <w:rStyle w:val="normaltextrun"/>
          <w:rFonts w:ascii="Times New Roman" w:hAnsi="Times New Roman" w:cs="Times New Roman"/>
          <w:color w:val="000000" w:themeColor="text1"/>
          <w:sz w:val="24"/>
          <w:szCs w:val="24"/>
        </w:rPr>
        <w:t xml:space="preserve">The department will invite applications from non-government schools or organisations to develop partnerships between non-government schools and remote schools with majority Aboriginal </w:t>
      </w:r>
      <w:r w:rsidRPr="001D704A">
        <w:rPr>
          <w:rStyle w:val="normaltextrun"/>
          <w:rFonts w:ascii="Times New Roman" w:hAnsi="Times New Roman" w:cs="Times New Roman"/>
          <w:sz w:val="24"/>
          <w:szCs w:val="24"/>
        </w:rPr>
        <w:t>and</w:t>
      </w:r>
      <w:r w:rsidRPr="001D704A">
        <w:rPr>
          <w:rStyle w:val="normaltextrun"/>
          <w:rFonts w:ascii="Times New Roman" w:hAnsi="Times New Roman" w:cs="Times New Roman"/>
          <w:color w:val="000000" w:themeColor="text1"/>
          <w:sz w:val="24"/>
          <w:szCs w:val="24"/>
        </w:rPr>
        <w:t xml:space="preserve"> Torres Strait Islander students. Applications </w:t>
      </w:r>
      <w:r w:rsidRPr="001D704A">
        <w:rPr>
          <w:rStyle w:val="normaltextrun"/>
          <w:rFonts w:ascii="Times New Roman" w:hAnsi="Times New Roman" w:cs="Times New Roman"/>
          <w:sz w:val="24"/>
          <w:szCs w:val="24"/>
        </w:rPr>
        <w:t>will</w:t>
      </w:r>
      <w:r w:rsidRPr="001D704A">
        <w:rPr>
          <w:rStyle w:val="normaltextrun"/>
          <w:rFonts w:ascii="Times New Roman" w:hAnsi="Times New Roman" w:cs="Times New Roman"/>
          <w:color w:val="000000" w:themeColor="text1"/>
          <w:sz w:val="24"/>
          <w:szCs w:val="24"/>
        </w:rPr>
        <w:t xml:space="preserve"> be assessed against agreed criteria, including demonstrated need, a clear plan to lift school outcomes, and a pathway to sustainability and independence. Applicants will be required to provide evidence of </w:t>
      </w:r>
      <w:r w:rsidRPr="001D704A">
        <w:rPr>
          <w:rStyle w:val="normaltextrun"/>
          <w:rFonts w:ascii="Times New Roman" w:hAnsi="Times New Roman" w:cs="Times New Roman"/>
          <w:sz w:val="24"/>
          <w:szCs w:val="24"/>
        </w:rPr>
        <w:t xml:space="preserve">sustained consultation with local Aboriginal and Torres Strait Islander communities, and support of the appropriate state or territory government. It is envisaged that the selection committee responsible for selecting the grantee schools would comprise not only representatives from the department and </w:t>
      </w:r>
      <w:r w:rsidR="00C95D63" w:rsidRPr="001D704A">
        <w:rPr>
          <w:rStyle w:val="normaltextrun"/>
          <w:rFonts w:ascii="Times New Roman" w:hAnsi="Times New Roman" w:cs="Times New Roman"/>
          <w:sz w:val="24"/>
          <w:szCs w:val="24"/>
        </w:rPr>
        <w:t xml:space="preserve">the </w:t>
      </w:r>
      <w:r w:rsidRPr="001D704A">
        <w:rPr>
          <w:rStyle w:val="normaltextrun"/>
          <w:rFonts w:ascii="Times New Roman" w:hAnsi="Times New Roman" w:cs="Times New Roman"/>
          <w:sz w:val="24"/>
          <w:szCs w:val="24"/>
        </w:rPr>
        <w:t xml:space="preserve">NIAA but also representatives from approved education bodies, for example, Independent Schools Australia, and state and territory education departments. </w:t>
      </w:r>
    </w:p>
    <w:p w14:paraId="453543CB" w14:textId="77777777" w:rsidR="00B22D95" w:rsidRPr="001D704A" w:rsidRDefault="00B22D95" w:rsidP="00123EB1">
      <w:pPr>
        <w:tabs>
          <w:tab w:val="left" w:pos="680"/>
        </w:tabs>
        <w:rPr>
          <w:rStyle w:val="normaltextrun"/>
          <w:rFonts w:ascii="Times New Roman" w:hAnsi="Times New Roman" w:cs="Times New Roman"/>
          <w:sz w:val="24"/>
          <w:szCs w:val="24"/>
        </w:rPr>
      </w:pPr>
    </w:p>
    <w:p w14:paraId="62428F3B" w14:textId="77777777" w:rsidR="00B22D95" w:rsidRPr="001D704A" w:rsidRDefault="00B22D95" w:rsidP="00123EB1">
      <w:pPr>
        <w:tabs>
          <w:tab w:val="left" w:pos="680"/>
        </w:tabs>
        <w:rPr>
          <w:rFonts w:ascii="Times New Roman" w:hAnsi="Times New Roman" w:cs="Times New Roman"/>
          <w:sz w:val="24"/>
          <w:szCs w:val="24"/>
        </w:rPr>
      </w:pPr>
      <w:r w:rsidRPr="001D704A">
        <w:rPr>
          <w:rFonts w:ascii="Times New Roman" w:hAnsi="Times New Roman" w:cs="Times New Roman"/>
          <w:sz w:val="24"/>
          <w:szCs w:val="24"/>
        </w:rPr>
        <w:t xml:space="preserve">Under the </w:t>
      </w:r>
      <w:r w:rsidRPr="001D704A">
        <w:rPr>
          <w:rFonts w:ascii="Times New Roman" w:hAnsi="Times New Roman" w:cs="Times New Roman"/>
          <w:i/>
          <w:sz w:val="24"/>
          <w:szCs w:val="24"/>
        </w:rPr>
        <w:t>National Agreement on Closing the Gap</w:t>
      </w:r>
      <w:r w:rsidRPr="001D704A">
        <w:rPr>
          <w:rFonts w:ascii="Times New Roman" w:hAnsi="Times New Roman" w:cs="Times New Roman"/>
          <w:sz w:val="24"/>
          <w:szCs w:val="24"/>
        </w:rPr>
        <w:t xml:space="preserve">, the Australian Government is required to submit an implementation plan which sets out the Commonwealth’s efforts in achieving the targets in the National Agreement (both existing actions as well as new investment and areas of future work). The school partnerships initiative is part of a broader package of measures supporting the </w:t>
      </w:r>
      <w:r w:rsidRPr="001D704A">
        <w:rPr>
          <w:rFonts w:ascii="Times New Roman" w:hAnsi="Times New Roman" w:cs="Times New Roman"/>
          <w:i/>
          <w:sz w:val="24"/>
          <w:szCs w:val="24"/>
        </w:rPr>
        <w:t>Closing the Gap Implementation Plan</w:t>
      </w:r>
      <w:r w:rsidRPr="001D704A">
        <w:rPr>
          <w:rFonts w:ascii="Times New Roman" w:hAnsi="Times New Roman" w:cs="Times New Roman"/>
          <w:sz w:val="24"/>
          <w:szCs w:val="24"/>
        </w:rPr>
        <w:t xml:space="preserve"> that will be monitored by the Joint Council on Closing the Gap.</w:t>
      </w:r>
    </w:p>
    <w:p w14:paraId="656FEDAE" w14:textId="77777777" w:rsidR="00B22D95" w:rsidRPr="001D704A" w:rsidRDefault="00B22D95" w:rsidP="00123EB1">
      <w:pPr>
        <w:rPr>
          <w:rFonts w:ascii="Times New Roman" w:eastAsia="Times New Roman" w:hAnsi="Times New Roman" w:cs="Times New Roman"/>
          <w:sz w:val="24"/>
          <w:szCs w:val="24"/>
          <w:lang w:eastAsia="en-AU"/>
        </w:rPr>
      </w:pPr>
    </w:p>
    <w:p w14:paraId="59126041" w14:textId="658E331B" w:rsidR="00B22D95" w:rsidRPr="001D704A" w:rsidRDefault="00B22D95"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 xml:space="preserve">It is expected </w:t>
      </w:r>
      <w:r w:rsidR="00662C9F" w:rsidRPr="001D704A">
        <w:rPr>
          <w:rFonts w:ascii="Times New Roman" w:eastAsia="Times New Roman" w:hAnsi="Times New Roman" w:cs="Times New Roman"/>
          <w:sz w:val="24"/>
          <w:szCs w:val="24"/>
          <w:lang w:eastAsia="en-AU"/>
        </w:rPr>
        <w:t xml:space="preserve">that a finite number of schools </w:t>
      </w:r>
      <w:r w:rsidRPr="001D704A">
        <w:rPr>
          <w:rFonts w:ascii="Times New Roman" w:eastAsia="Times New Roman" w:hAnsi="Times New Roman" w:cs="Times New Roman"/>
          <w:sz w:val="24"/>
          <w:szCs w:val="24"/>
          <w:lang w:eastAsia="en-AU"/>
        </w:rPr>
        <w:t xml:space="preserve">will benefit from this </w:t>
      </w:r>
      <w:r w:rsidR="008322A9" w:rsidRPr="001D704A">
        <w:rPr>
          <w:rFonts w:ascii="Times New Roman" w:eastAsia="Times New Roman" w:hAnsi="Times New Roman" w:cs="Times New Roman"/>
          <w:sz w:val="24"/>
          <w:szCs w:val="24"/>
          <w:lang w:eastAsia="en-AU"/>
        </w:rPr>
        <w:t>initiative</w:t>
      </w:r>
      <w:r w:rsidRPr="001D704A">
        <w:rPr>
          <w:rFonts w:ascii="Times New Roman" w:eastAsia="Times New Roman" w:hAnsi="Times New Roman" w:cs="Times New Roman"/>
          <w:sz w:val="24"/>
          <w:szCs w:val="24"/>
          <w:lang w:eastAsia="en-AU"/>
        </w:rPr>
        <w:t xml:space="preserve">, with the decision to provide grants to eligible schools not subject to independent merits review. In order for a remote school to be eligible for grant funding under the program, the level of need will need to be high. Overturning a decision to allocate funding to one school would affect an allocation already made to another school in need. Merits review would also cause delays in channelling funds to the </w:t>
      </w:r>
      <w:r w:rsidR="008322A9" w:rsidRPr="001D704A">
        <w:rPr>
          <w:rFonts w:ascii="Times New Roman" w:eastAsia="Times New Roman" w:hAnsi="Times New Roman" w:cs="Times New Roman"/>
          <w:sz w:val="24"/>
          <w:szCs w:val="24"/>
          <w:lang w:eastAsia="en-AU"/>
        </w:rPr>
        <w:t>initiative</w:t>
      </w:r>
      <w:r w:rsidRPr="001D704A">
        <w:rPr>
          <w:rFonts w:ascii="Times New Roman" w:eastAsia="Times New Roman" w:hAnsi="Times New Roman" w:cs="Times New Roman"/>
          <w:sz w:val="24"/>
          <w:szCs w:val="24"/>
          <w:lang w:eastAsia="en-AU"/>
        </w:rPr>
        <w:t xml:space="preserve">. The </w:t>
      </w:r>
      <w:r w:rsidR="00580E93" w:rsidRPr="001D704A">
        <w:rPr>
          <w:rFonts w:ascii="Times New Roman" w:eastAsia="Times New Roman" w:hAnsi="Times New Roman" w:cs="Times New Roman"/>
          <w:sz w:val="24"/>
          <w:szCs w:val="24"/>
          <w:lang w:eastAsia="en-AU"/>
        </w:rPr>
        <w:t>ARC</w:t>
      </w:r>
      <w:r w:rsidRPr="001D704A">
        <w:rPr>
          <w:rFonts w:ascii="Times New Roman" w:eastAsia="Times New Roman" w:hAnsi="Times New Roman" w:cs="Times New Roman"/>
          <w:sz w:val="24"/>
          <w:szCs w:val="24"/>
          <w:lang w:eastAsia="en-AU"/>
        </w:rPr>
        <w:t xml:space="preserve"> has recognised that it is justifiable to exclude merits review in relation to decisions of this nature (paragraphs 4.11 to 4.19 of the guide, </w:t>
      </w:r>
      <w:r w:rsidRPr="001D704A">
        <w:rPr>
          <w:rFonts w:ascii="Times New Roman" w:eastAsia="Times New Roman" w:hAnsi="Times New Roman" w:cs="Times New Roman"/>
          <w:i/>
          <w:sz w:val="24"/>
          <w:szCs w:val="24"/>
          <w:lang w:eastAsia="en-AU"/>
        </w:rPr>
        <w:t>What decisions should be subject to merit review?</w:t>
      </w:r>
      <w:r w:rsidRPr="001D704A">
        <w:rPr>
          <w:rFonts w:ascii="Times New Roman" w:eastAsia="Times New Roman" w:hAnsi="Times New Roman" w:cs="Times New Roman"/>
          <w:sz w:val="24"/>
          <w:szCs w:val="24"/>
          <w:lang w:eastAsia="en-AU"/>
        </w:rPr>
        <w:t>)</w:t>
      </w:r>
    </w:p>
    <w:p w14:paraId="310378F4" w14:textId="77777777" w:rsidR="00B22D95" w:rsidRPr="001D704A" w:rsidRDefault="00B22D95" w:rsidP="00123EB1">
      <w:pPr>
        <w:tabs>
          <w:tab w:val="left" w:pos="680"/>
        </w:tabs>
        <w:rPr>
          <w:rFonts w:ascii="Times New Roman" w:eastAsia="Times New Roman" w:hAnsi="Times New Roman" w:cs="Times New Roman"/>
          <w:sz w:val="24"/>
          <w:szCs w:val="24"/>
          <w:lang w:eastAsia="en-AU"/>
        </w:rPr>
      </w:pPr>
    </w:p>
    <w:p w14:paraId="6D43EC39" w14:textId="538D6C32" w:rsidR="00B22D95" w:rsidRPr="001D704A" w:rsidRDefault="00B22D95"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 xml:space="preserve">Consultation has taken place with </w:t>
      </w:r>
      <w:r w:rsidR="00C95D63" w:rsidRPr="001D704A">
        <w:rPr>
          <w:rFonts w:ascii="Times New Roman" w:eastAsia="Times New Roman" w:hAnsi="Times New Roman" w:cs="Times New Roman"/>
          <w:sz w:val="24"/>
          <w:szCs w:val="24"/>
          <w:lang w:eastAsia="en-AU"/>
        </w:rPr>
        <w:t xml:space="preserve">the </w:t>
      </w:r>
      <w:r w:rsidRPr="001D704A">
        <w:rPr>
          <w:rFonts w:ascii="Times New Roman" w:eastAsia="Times New Roman" w:hAnsi="Times New Roman" w:cs="Times New Roman"/>
          <w:sz w:val="24"/>
          <w:szCs w:val="24"/>
          <w:lang w:eastAsia="en-AU"/>
        </w:rPr>
        <w:t xml:space="preserve">NIAA and within the department. The department has engaged with a small number of external non-government stakeholders who have experience in school partnerships to inform implementation of this </w:t>
      </w:r>
      <w:r w:rsidR="008322A9" w:rsidRPr="001D704A">
        <w:rPr>
          <w:rFonts w:ascii="Times New Roman" w:eastAsia="Times New Roman" w:hAnsi="Times New Roman" w:cs="Times New Roman"/>
          <w:sz w:val="24"/>
          <w:szCs w:val="24"/>
          <w:lang w:eastAsia="en-AU"/>
        </w:rPr>
        <w:t>initiative</w:t>
      </w:r>
      <w:r w:rsidRPr="001D704A">
        <w:rPr>
          <w:rFonts w:ascii="Times New Roman" w:eastAsia="Times New Roman" w:hAnsi="Times New Roman" w:cs="Times New Roman"/>
          <w:sz w:val="24"/>
          <w:szCs w:val="24"/>
          <w:lang w:eastAsia="en-AU"/>
        </w:rPr>
        <w:t>.</w:t>
      </w:r>
    </w:p>
    <w:p w14:paraId="61CA40C3" w14:textId="77777777" w:rsidR="00B22D95" w:rsidRPr="001D704A" w:rsidRDefault="00B22D95" w:rsidP="00123EB1">
      <w:pPr>
        <w:tabs>
          <w:tab w:val="left" w:pos="680"/>
        </w:tabs>
        <w:rPr>
          <w:rFonts w:ascii="Times New Roman" w:eastAsia="Times New Roman" w:hAnsi="Times New Roman" w:cs="Times New Roman"/>
          <w:sz w:val="24"/>
          <w:szCs w:val="24"/>
          <w:lang w:eastAsia="en-AU"/>
        </w:rPr>
      </w:pPr>
    </w:p>
    <w:p w14:paraId="04665F6B" w14:textId="77777777" w:rsidR="00B22D95" w:rsidRPr="001D704A" w:rsidRDefault="00B22D95"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Funding of $25.9 million over four years from 2021-22 for the school partnerships initiative is expected to be included in the 2021-22 Mid-Year Economic and Fiscal Outlook and 2021</w:t>
      </w:r>
      <w:r w:rsidRPr="001D704A">
        <w:rPr>
          <w:rFonts w:ascii="Times New Roman" w:eastAsia="Times New Roman" w:hAnsi="Times New Roman" w:cs="Times New Roman"/>
          <w:sz w:val="24"/>
          <w:szCs w:val="24"/>
          <w:lang w:eastAsia="en-AU"/>
        </w:rPr>
        <w:noBreakHyphen/>
        <w:t xml:space="preserve">22 Portfolio Additional Estimates Statements. Funding for this item will come from </w:t>
      </w:r>
      <w:r w:rsidRPr="001D704A">
        <w:rPr>
          <w:rFonts w:ascii="Times New Roman" w:hAnsi="Times New Roman" w:cs="Times New Roman"/>
          <w:color w:val="000000" w:themeColor="text1"/>
          <w:sz w:val="24"/>
          <w:szCs w:val="24"/>
        </w:rPr>
        <w:t>Program 1.5: Early Learning and Schools Support, which is part of Outcome 1.</w:t>
      </w:r>
    </w:p>
    <w:p w14:paraId="666745DD" w14:textId="77777777" w:rsidR="00B22D95" w:rsidRPr="001D704A" w:rsidRDefault="00B22D95" w:rsidP="00123EB1">
      <w:pPr>
        <w:tabs>
          <w:tab w:val="left" w:pos="680"/>
        </w:tabs>
        <w:rPr>
          <w:rFonts w:ascii="Times New Roman" w:eastAsia="Times New Roman" w:hAnsi="Times New Roman" w:cs="Times New Roman"/>
          <w:sz w:val="24"/>
          <w:szCs w:val="24"/>
          <w:lang w:eastAsia="en-AU"/>
        </w:rPr>
      </w:pPr>
    </w:p>
    <w:p w14:paraId="22F01FC1" w14:textId="77777777" w:rsidR="00B22D95" w:rsidRPr="001D704A" w:rsidRDefault="00B22D95"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Noting that it is not a comprehensive statement of relevant constitutional considerations, the objective of the item references the following powers of the Constitution:</w:t>
      </w:r>
    </w:p>
    <w:p w14:paraId="70FEFB3D" w14:textId="77777777" w:rsidR="00B22D95" w:rsidRPr="001D704A" w:rsidRDefault="00B22D95"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the race power (section 51(xxvi));</w:t>
      </w:r>
    </w:p>
    <w:p w14:paraId="00F941FC" w14:textId="77777777" w:rsidR="00B22D95" w:rsidRPr="001D704A" w:rsidRDefault="00B22D95"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the external affairs power (section 51(xxix)); and</w:t>
      </w:r>
    </w:p>
    <w:p w14:paraId="75650688" w14:textId="77777777" w:rsidR="00B22D95" w:rsidRPr="001D704A" w:rsidRDefault="00B22D95"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the territories power (section 122).</w:t>
      </w:r>
    </w:p>
    <w:p w14:paraId="3FB89322" w14:textId="77777777" w:rsidR="00B22D95" w:rsidRPr="001D704A" w:rsidRDefault="00B22D95" w:rsidP="00123EB1">
      <w:pPr>
        <w:rPr>
          <w:rFonts w:ascii="Times New Roman" w:hAnsi="Times New Roman" w:cs="Times New Roman"/>
          <w:color w:val="000000" w:themeColor="text1"/>
          <w:sz w:val="24"/>
          <w:szCs w:val="24"/>
        </w:rPr>
      </w:pPr>
    </w:p>
    <w:p w14:paraId="26F14ACE" w14:textId="77777777" w:rsidR="00B22D95" w:rsidRPr="001D704A" w:rsidRDefault="00B22D95" w:rsidP="00123EB1">
      <w:pPr>
        <w:pStyle w:val="BodyText"/>
        <w:rPr>
          <w:i/>
          <w:sz w:val="24"/>
          <w:szCs w:val="24"/>
          <w:u w:val="single"/>
        </w:rPr>
      </w:pPr>
      <w:r w:rsidRPr="001D704A">
        <w:rPr>
          <w:i/>
          <w:sz w:val="24"/>
          <w:szCs w:val="24"/>
          <w:u w:val="single"/>
        </w:rPr>
        <w:t xml:space="preserve">Race power </w:t>
      </w:r>
    </w:p>
    <w:p w14:paraId="11CF974E" w14:textId="77777777" w:rsidR="00B22D95" w:rsidRPr="001D704A" w:rsidRDefault="00B22D95" w:rsidP="00123EB1">
      <w:pPr>
        <w:pStyle w:val="BodyText"/>
        <w:rPr>
          <w:sz w:val="24"/>
          <w:szCs w:val="24"/>
        </w:rPr>
      </w:pPr>
    </w:p>
    <w:p w14:paraId="63EC5656" w14:textId="77777777" w:rsidR="00B22D95" w:rsidRPr="001D704A" w:rsidRDefault="00B22D95" w:rsidP="00123EB1">
      <w:pPr>
        <w:rPr>
          <w:rFonts w:ascii="Times New Roman" w:hAnsi="Times New Roman" w:cs="Times New Roman"/>
          <w:sz w:val="24"/>
          <w:szCs w:val="24"/>
        </w:rPr>
      </w:pPr>
      <w:r w:rsidRPr="001D704A">
        <w:rPr>
          <w:rFonts w:ascii="Times New Roman" w:hAnsi="Times New Roman" w:cs="Times New Roman"/>
          <w:sz w:val="24"/>
          <w:szCs w:val="24"/>
        </w:rPr>
        <w:t>Section 51(xxvi) of the Constitution empowers the Parliament to make laws with respect to ‘the people of any race for whom it is deemed necessary to make special laws’.</w:t>
      </w:r>
    </w:p>
    <w:p w14:paraId="7CB91A9F" w14:textId="77777777" w:rsidR="00B22D95" w:rsidRPr="001D704A" w:rsidRDefault="00B22D95" w:rsidP="00123EB1">
      <w:pPr>
        <w:rPr>
          <w:rFonts w:ascii="Times New Roman" w:hAnsi="Times New Roman" w:cs="Times New Roman"/>
          <w:sz w:val="24"/>
          <w:szCs w:val="24"/>
        </w:rPr>
      </w:pPr>
    </w:p>
    <w:p w14:paraId="643F4FDA" w14:textId="77777777" w:rsidR="00B22D95" w:rsidRPr="001D704A" w:rsidRDefault="00B22D95" w:rsidP="00123EB1">
      <w:pPr>
        <w:pStyle w:val="NumberLevel1"/>
        <w:numPr>
          <w:ilvl w:val="0"/>
          <w:numId w:val="0"/>
        </w:numPr>
        <w:spacing w:before="0" w:after="0" w:line="240" w:lineRule="auto"/>
        <w:rPr>
          <w:rFonts w:ascii="Times New Roman" w:hAnsi="Times New Roman" w:cs="Times New Roman"/>
          <w:sz w:val="24"/>
          <w:szCs w:val="24"/>
        </w:rPr>
      </w:pPr>
      <w:r w:rsidRPr="001D704A">
        <w:rPr>
          <w:rFonts w:ascii="Times New Roman" w:hAnsi="Times New Roman" w:cs="Times New Roman"/>
          <w:sz w:val="24"/>
          <w:szCs w:val="24"/>
        </w:rPr>
        <w:t xml:space="preserve">The initiative will fund high performing independent schools so they can engage in formal partnerships with remote majority Indigenous schools to improve the operations of and the education provided by the remote school, particularly in relation to teaching. This will benefit the Indigenous students targeted by this initiative. </w:t>
      </w:r>
    </w:p>
    <w:p w14:paraId="6BE75567" w14:textId="77777777" w:rsidR="00B22D95" w:rsidRPr="001D704A" w:rsidRDefault="00B22D95" w:rsidP="00123EB1">
      <w:pPr>
        <w:pStyle w:val="NumberLevel1"/>
        <w:numPr>
          <w:ilvl w:val="0"/>
          <w:numId w:val="0"/>
        </w:numPr>
        <w:spacing w:before="0" w:after="0" w:line="240" w:lineRule="auto"/>
        <w:rPr>
          <w:rFonts w:ascii="Times New Roman" w:hAnsi="Times New Roman" w:cs="Times New Roman"/>
          <w:sz w:val="24"/>
          <w:szCs w:val="24"/>
        </w:rPr>
      </w:pPr>
    </w:p>
    <w:p w14:paraId="24C4503F" w14:textId="77777777" w:rsidR="00B22D95" w:rsidRPr="001D704A" w:rsidRDefault="00B22D95" w:rsidP="00123EB1">
      <w:pPr>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External affairs power</w:t>
      </w:r>
    </w:p>
    <w:p w14:paraId="1A47563C" w14:textId="77777777" w:rsidR="00B22D95" w:rsidRPr="001D704A" w:rsidRDefault="00B22D95" w:rsidP="00123EB1">
      <w:pPr>
        <w:rPr>
          <w:rFonts w:ascii="Times New Roman" w:hAnsi="Times New Roman" w:cs="Times New Roman"/>
          <w:color w:val="000000" w:themeColor="text1"/>
          <w:sz w:val="24"/>
          <w:szCs w:val="24"/>
        </w:rPr>
      </w:pPr>
    </w:p>
    <w:p w14:paraId="3DC3EB01" w14:textId="02996651"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Section 51(xxix) of the Constitution empowers the Parliame</w:t>
      </w:r>
      <w:r w:rsidR="008322A9" w:rsidRPr="001D704A">
        <w:rPr>
          <w:rFonts w:ascii="Times New Roman" w:hAnsi="Times New Roman" w:cs="Times New Roman"/>
          <w:color w:val="000000" w:themeColor="text1"/>
          <w:sz w:val="24"/>
          <w:szCs w:val="24"/>
        </w:rPr>
        <w:t xml:space="preserve">nt to make laws with respect to </w:t>
      </w:r>
      <w:r w:rsidRPr="001D704A">
        <w:rPr>
          <w:rFonts w:ascii="Times New Roman" w:hAnsi="Times New Roman" w:cs="Times New Roman"/>
          <w:color w:val="000000" w:themeColor="text1"/>
          <w:sz w:val="24"/>
          <w:szCs w:val="24"/>
        </w:rPr>
        <w:t xml:space="preserve">‘external affairs’. The external affairs power supports legislation implementing Australia’s obligations under treaties to which it is a party. </w:t>
      </w:r>
    </w:p>
    <w:p w14:paraId="201B497A" w14:textId="77777777" w:rsidR="00B22D95" w:rsidRPr="001D704A" w:rsidRDefault="00B22D95" w:rsidP="00123EB1">
      <w:pPr>
        <w:rPr>
          <w:rFonts w:ascii="Times New Roman" w:hAnsi="Times New Roman" w:cs="Times New Roman"/>
          <w:color w:val="000000" w:themeColor="text1"/>
          <w:sz w:val="24"/>
          <w:szCs w:val="24"/>
        </w:rPr>
      </w:pPr>
    </w:p>
    <w:p w14:paraId="51DE8511" w14:textId="20E65FCD" w:rsidR="00B22D95" w:rsidRPr="001D704A" w:rsidRDefault="00B22D95" w:rsidP="00123EB1">
      <w:pPr>
        <w:pStyle w:val="BodyText"/>
        <w:rPr>
          <w:sz w:val="24"/>
          <w:szCs w:val="24"/>
        </w:rPr>
      </w:pPr>
      <w:r w:rsidRPr="001D704A">
        <w:rPr>
          <w:sz w:val="24"/>
          <w:szCs w:val="24"/>
        </w:rPr>
        <w:t>Australia has obligations relating to the CRC and the</w:t>
      </w:r>
      <w:r w:rsidRPr="001D704A">
        <w:rPr>
          <w:i/>
          <w:iCs/>
          <w:sz w:val="24"/>
          <w:szCs w:val="24"/>
        </w:rPr>
        <w:t xml:space="preserve"> </w:t>
      </w:r>
      <w:r w:rsidRPr="001D704A">
        <w:rPr>
          <w:sz w:val="24"/>
          <w:szCs w:val="24"/>
        </w:rPr>
        <w:t xml:space="preserve">ICESCR. </w:t>
      </w:r>
    </w:p>
    <w:p w14:paraId="60A3BC68" w14:textId="77777777" w:rsidR="00B22D95" w:rsidRPr="001D704A" w:rsidRDefault="00B22D95" w:rsidP="00123EB1">
      <w:pPr>
        <w:pStyle w:val="BodyText"/>
        <w:rPr>
          <w:sz w:val="24"/>
          <w:szCs w:val="24"/>
        </w:rPr>
      </w:pPr>
    </w:p>
    <w:p w14:paraId="047FDCD1"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4 of the CRC provides that States Parties to the Convention will undertake all appropriate legislative, administrative, and other measures for the implementation of the rights recognised in the Convention. </w:t>
      </w:r>
    </w:p>
    <w:p w14:paraId="3846FB25" w14:textId="77777777" w:rsidR="00B22D95" w:rsidRPr="001D704A" w:rsidRDefault="00B22D95" w:rsidP="00123EB1">
      <w:pPr>
        <w:rPr>
          <w:rFonts w:ascii="Times New Roman" w:hAnsi="Times New Roman" w:cs="Times New Roman"/>
          <w:color w:val="000000" w:themeColor="text1"/>
          <w:sz w:val="24"/>
          <w:szCs w:val="24"/>
        </w:rPr>
      </w:pPr>
    </w:p>
    <w:p w14:paraId="161D7D48"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28(1) of the CRC provides that States Parties recognise the right of the child to education, and with a view to achieving this right progressively and on the basis of equal opportunity.</w:t>
      </w:r>
      <w:r w:rsidRPr="001D704A" w:rsidDel="00BA2479">
        <w:rPr>
          <w:rFonts w:ascii="Times New Roman" w:hAnsi="Times New Roman" w:cs="Times New Roman"/>
          <w:color w:val="000000" w:themeColor="text1"/>
          <w:sz w:val="24"/>
          <w:szCs w:val="24"/>
        </w:rPr>
        <w:t xml:space="preserve"> </w:t>
      </w:r>
    </w:p>
    <w:p w14:paraId="045BE789" w14:textId="77777777" w:rsidR="00B22D95" w:rsidRPr="001D704A" w:rsidRDefault="00B22D95" w:rsidP="00123EB1">
      <w:pPr>
        <w:rPr>
          <w:rFonts w:ascii="Times New Roman" w:hAnsi="Times New Roman" w:cs="Times New Roman"/>
          <w:color w:val="000000" w:themeColor="text1"/>
          <w:sz w:val="24"/>
          <w:szCs w:val="24"/>
        </w:rPr>
      </w:pPr>
    </w:p>
    <w:p w14:paraId="54CE24F8"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29 of the CRC provides that States Parties agree that the education of the child shall be directed to ‘... [t]he development of the child’s personality, talents and mental and physical abilities to their fullest potential’.</w:t>
      </w:r>
    </w:p>
    <w:p w14:paraId="036D32C3" w14:textId="77777777" w:rsidR="00B22D95" w:rsidRPr="001D704A" w:rsidRDefault="00B22D95" w:rsidP="00123EB1">
      <w:pPr>
        <w:rPr>
          <w:rFonts w:ascii="Times New Roman" w:hAnsi="Times New Roman" w:cs="Times New Roman"/>
          <w:color w:val="000000" w:themeColor="text1"/>
          <w:sz w:val="24"/>
          <w:szCs w:val="24"/>
        </w:rPr>
      </w:pPr>
    </w:p>
    <w:p w14:paraId="0F410F33"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2(1) of the ICESCR provides that each State Party to the Covenant undertakes to take steps to achieve progressively the full realisation of the rights recognised in the Covenant.</w:t>
      </w:r>
    </w:p>
    <w:p w14:paraId="4DF0DF62"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 </w:t>
      </w:r>
    </w:p>
    <w:p w14:paraId="2CB693DC"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13(2)(a) of the ICESCR provides that the States Parties ‘… recognize that, with a view to achieving the full realization of this right … [p]rimary education shall be compulsory and available free to all’.</w:t>
      </w:r>
    </w:p>
    <w:p w14:paraId="73532FEB" w14:textId="77777777" w:rsidR="00B22D95" w:rsidRPr="001D704A" w:rsidRDefault="00B22D95" w:rsidP="00123EB1">
      <w:pPr>
        <w:rPr>
          <w:rFonts w:ascii="Times New Roman" w:hAnsi="Times New Roman" w:cs="Times New Roman"/>
          <w:color w:val="000000" w:themeColor="text1"/>
          <w:sz w:val="24"/>
          <w:szCs w:val="24"/>
        </w:rPr>
      </w:pPr>
    </w:p>
    <w:p w14:paraId="596231C5" w14:textId="4DDC2217" w:rsidR="00B22D95" w:rsidRPr="001D704A" w:rsidRDefault="00B22D95" w:rsidP="00123EB1">
      <w:pPr>
        <w:pStyle w:val="BodyText"/>
        <w:rPr>
          <w:sz w:val="24"/>
          <w:szCs w:val="24"/>
        </w:rPr>
      </w:pPr>
      <w:r w:rsidRPr="001D704A">
        <w:rPr>
          <w:sz w:val="24"/>
          <w:szCs w:val="24"/>
        </w:rPr>
        <w:t>The above provisions of the CRC and ICESCR are engaged by the initiative as it is directed t</w:t>
      </w:r>
      <w:r w:rsidR="008322A9" w:rsidRPr="001D704A">
        <w:rPr>
          <w:sz w:val="24"/>
          <w:szCs w:val="24"/>
        </w:rPr>
        <w:t>o</w:t>
      </w:r>
      <w:r w:rsidRPr="001D704A">
        <w:rPr>
          <w:sz w:val="24"/>
          <w:szCs w:val="24"/>
        </w:rPr>
        <w:t xml:space="preserve"> improving the quality and consistency of education provided to students at the participating schools.</w:t>
      </w:r>
    </w:p>
    <w:p w14:paraId="271C45E2" w14:textId="77777777" w:rsidR="00B22D95" w:rsidRPr="001D704A" w:rsidRDefault="00B22D95" w:rsidP="00123EB1">
      <w:pPr>
        <w:pStyle w:val="BodyText"/>
        <w:rPr>
          <w:sz w:val="24"/>
          <w:szCs w:val="24"/>
        </w:rPr>
      </w:pPr>
    </w:p>
    <w:p w14:paraId="02B1B77D" w14:textId="77777777" w:rsidR="00B22D95" w:rsidRPr="001D704A" w:rsidRDefault="00B22D95" w:rsidP="00123EB1">
      <w:pPr>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Territories power</w:t>
      </w:r>
    </w:p>
    <w:p w14:paraId="76D8D55A" w14:textId="77777777" w:rsidR="00B22D95" w:rsidRPr="001D704A" w:rsidRDefault="00B22D95" w:rsidP="00123EB1">
      <w:pPr>
        <w:rPr>
          <w:rFonts w:ascii="Times New Roman" w:hAnsi="Times New Roman" w:cs="Times New Roman"/>
          <w:iCs/>
          <w:color w:val="000000" w:themeColor="text1"/>
          <w:sz w:val="24"/>
          <w:szCs w:val="24"/>
          <w:u w:val="single"/>
        </w:rPr>
      </w:pPr>
    </w:p>
    <w:p w14:paraId="777DDE92" w14:textId="77777777" w:rsidR="00B22D95" w:rsidRPr="001D704A" w:rsidRDefault="00B22D95" w:rsidP="00123EB1">
      <w:pPr>
        <w:rPr>
          <w:rFonts w:ascii="Times New Roman" w:hAnsi="Times New Roman" w:cs="Times New Roman"/>
          <w:color w:val="000000" w:themeColor="text1"/>
          <w:sz w:val="24"/>
          <w:szCs w:val="24"/>
        </w:rPr>
      </w:pPr>
      <w:r w:rsidRPr="001D704A">
        <w:rPr>
          <w:rFonts w:ascii="Times New Roman" w:hAnsi="Times New Roman" w:cs="Times New Roman"/>
          <w:sz w:val="24"/>
          <w:szCs w:val="24"/>
        </w:rPr>
        <w:t>Section 122 of the Constitution empowers the Parliament to ‘make laws for the government of any territory’</w:t>
      </w:r>
    </w:p>
    <w:p w14:paraId="32D08824" w14:textId="77777777" w:rsidR="00B22D95" w:rsidRPr="001D704A" w:rsidRDefault="00B22D95" w:rsidP="00123EB1">
      <w:pPr>
        <w:pStyle w:val="NumberLevel1"/>
        <w:numPr>
          <w:ilvl w:val="0"/>
          <w:numId w:val="0"/>
        </w:numPr>
        <w:spacing w:before="0" w:after="0" w:line="240" w:lineRule="auto"/>
        <w:rPr>
          <w:rFonts w:ascii="Times New Roman" w:hAnsi="Times New Roman" w:cs="Times New Roman"/>
          <w:sz w:val="24"/>
          <w:szCs w:val="24"/>
        </w:rPr>
      </w:pPr>
    </w:p>
    <w:p w14:paraId="2A930570" w14:textId="77777777" w:rsidR="00B22D95" w:rsidRPr="001D704A" w:rsidRDefault="00B22D95" w:rsidP="00123EB1">
      <w:pPr>
        <w:rPr>
          <w:rFonts w:ascii="Times New Roman" w:hAnsi="Times New Roman" w:cs="Times New Roman"/>
          <w:sz w:val="24"/>
          <w:szCs w:val="24"/>
        </w:rPr>
      </w:pPr>
      <w:r w:rsidRPr="001D704A">
        <w:rPr>
          <w:rFonts w:ascii="Times New Roman" w:hAnsi="Times New Roman" w:cs="Times New Roman"/>
          <w:sz w:val="24"/>
          <w:szCs w:val="24"/>
        </w:rPr>
        <w:t xml:space="preserve">Given the initiative’s focus on remote </w:t>
      </w:r>
      <w:bookmarkStart w:id="2" w:name="_Hlk78872207"/>
      <w:r w:rsidRPr="001D704A">
        <w:rPr>
          <w:rFonts w:ascii="Times New Roman" w:hAnsi="Times New Roman" w:cs="Times New Roman"/>
          <w:sz w:val="24"/>
          <w:szCs w:val="24"/>
        </w:rPr>
        <w:t>majority Indigenous schools, it is likely that the initiative will have participating schools in the Northern Territory.</w:t>
      </w:r>
      <w:bookmarkEnd w:id="2"/>
    </w:p>
    <w:p w14:paraId="1AB4A738" w14:textId="77777777" w:rsidR="00B22D95" w:rsidRPr="001D704A" w:rsidRDefault="00B22D95" w:rsidP="00123EB1">
      <w:pPr>
        <w:rPr>
          <w:rFonts w:ascii="Times New Roman" w:hAnsi="Times New Roman" w:cs="Times New Roman"/>
          <w:sz w:val="24"/>
          <w:szCs w:val="24"/>
        </w:rPr>
      </w:pPr>
    </w:p>
    <w:p w14:paraId="3A129B32" w14:textId="045DB105"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New </w:t>
      </w:r>
      <w:r w:rsidRPr="001D704A">
        <w:rPr>
          <w:rFonts w:ascii="Times New Roman" w:hAnsi="Times New Roman" w:cs="Times New Roman"/>
          <w:b/>
          <w:color w:val="000000" w:themeColor="text1"/>
          <w:sz w:val="24"/>
          <w:szCs w:val="24"/>
        </w:rPr>
        <w:t xml:space="preserve">table item </w:t>
      </w:r>
      <w:r w:rsidR="004D58B5" w:rsidRPr="001D704A">
        <w:rPr>
          <w:rFonts w:ascii="Times New Roman" w:hAnsi="Times New Roman" w:cs="Times New Roman"/>
          <w:b/>
          <w:color w:val="000000" w:themeColor="text1"/>
          <w:sz w:val="24"/>
          <w:szCs w:val="24"/>
        </w:rPr>
        <w:t>518</w:t>
      </w:r>
      <w:r w:rsidRPr="001D704A">
        <w:rPr>
          <w:rFonts w:ascii="Times New Roman" w:hAnsi="Times New Roman" w:cs="Times New Roman"/>
          <w:b/>
          <w:color w:val="000000" w:themeColor="text1"/>
          <w:sz w:val="24"/>
          <w:szCs w:val="24"/>
        </w:rPr>
        <w:t xml:space="preserve"> </w:t>
      </w:r>
      <w:r w:rsidRPr="001D704A">
        <w:rPr>
          <w:rFonts w:ascii="Times New Roman" w:hAnsi="Times New Roman" w:cs="Times New Roman"/>
          <w:color w:val="000000" w:themeColor="text1"/>
          <w:sz w:val="24"/>
          <w:szCs w:val="24"/>
        </w:rPr>
        <w:t>establishes legislative authority for government spending on incentives to increase the number of skilled migrants who can contribute to the Australian workforce at an appropriate skill level, by funding the development, promotion and provision of skills assessments, employability assessments and skills training (the project).</w:t>
      </w:r>
    </w:p>
    <w:p w14:paraId="76D89B63" w14:textId="77777777" w:rsidR="004C5A11" w:rsidRPr="001D704A" w:rsidRDefault="004C5A11" w:rsidP="00123EB1">
      <w:pPr>
        <w:rPr>
          <w:rFonts w:ascii="Times New Roman" w:hAnsi="Times New Roman" w:cs="Times New Roman"/>
          <w:color w:val="000000" w:themeColor="text1"/>
          <w:sz w:val="24"/>
          <w:szCs w:val="24"/>
        </w:rPr>
      </w:pPr>
    </w:p>
    <w:p w14:paraId="6ECE1714"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project will target particular cohorts of migrants who have a qualification and/or skills directly relevant to priority occupations identified by the National Skills Commission (NSC). Priority occupations may include those listed on the NSC’s Skills Priority List (SPL) that are both in shortage and, depending on the cohort, in strong demand, or they may be in soft, moderate or strong future demand. The scope of the project will also include any occupations that the NSC has identified as important in a skilled migration context (for example, occupations ‘not elsewhere classified’ in the Australian and New Zealand Standard Classification of Occupations (ANZSCO) that have data available to support supplementary analysis, such as registered nurses, medical practitioners, and software and application programmers.</w:t>
      </w:r>
    </w:p>
    <w:p w14:paraId="73584CAE" w14:textId="77777777" w:rsidR="004C5A11" w:rsidRPr="001D704A" w:rsidRDefault="004C5A11" w:rsidP="00123EB1">
      <w:pPr>
        <w:rPr>
          <w:rFonts w:ascii="Times New Roman" w:hAnsi="Times New Roman" w:cs="Times New Roman"/>
          <w:color w:val="000000" w:themeColor="text1"/>
          <w:sz w:val="24"/>
          <w:szCs w:val="24"/>
        </w:rPr>
      </w:pPr>
    </w:p>
    <w:p w14:paraId="1D829724"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overall policy objective of the project is to increase the number of onshore migrants with unrecognised or under-recognised skills who are available to contribute to the Australian workforce. The project will target three specific cohorts of skilled migrants to improve these individuals’ prospects of gaining employment in priority occupations in Australia. These cohorts include:</w:t>
      </w:r>
    </w:p>
    <w:p w14:paraId="35ECF128" w14:textId="77777777" w:rsidR="004C5A11" w:rsidRPr="001D704A" w:rsidRDefault="004C5A11" w:rsidP="00123EB1">
      <w:pPr>
        <w:pStyle w:val="ListParagraph"/>
        <w:numPr>
          <w:ilvl w:val="0"/>
          <w:numId w:val="38"/>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onshore migrants in priority occupations with an active skills assessment application;</w:t>
      </w:r>
    </w:p>
    <w:p w14:paraId="5DEC6465" w14:textId="77777777" w:rsidR="004C5A11" w:rsidRPr="001D704A" w:rsidRDefault="004C5A11" w:rsidP="00123EB1">
      <w:pPr>
        <w:pStyle w:val="ListParagraph"/>
        <w:numPr>
          <w:ilvl w:val="0"/>
          <w:numId w:val="38"/>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onshore migrants on a non-skilled visa with qualifications in priority occupations who have not had a skills assessment; and</w:t>
      </w:r>
    </w:p>
    <w:p w14:paraId="50D460DD" w14:textId="77777777" w:rsidR="004C5A11" w:rsidRPr="001D704A" w:rsidRDefault="004C5A11" w:rsidP="00123EB1">
      <w:pPr>
        <w:pStyle w:val="ListParagraph"/>
        <w:numPr>
          <w:ilvl w:val="0"/>
          <w:numId w:val="38"/>
        </w:numPr>
        <w:spacing w:after="0" w:line="240" w:lineRule="auto"/>
        <w:ind w:left="714" w:hanging="357"/>
        <w:rPr>
          <w:rFonts w:ascii="Times New Roman" w:hAnsi="Times New Roman"/>
          <w:color w:val="000000" w:themeColor="text1"/>
          <w:sz w:val="24"/>
          <w:szCs w:val="24"/>
        </w:rPr>
      </w:pPr>
      <w:r w:rsidRPr="001D704A">
        <w:rPr>
          <w:rFonts w:ascii="Times New Roman" w:hAnsi="Times New Roman"/>
          <w:color w:val="000000" w:themeColor="text1"/>
          <w:sz w:val="24"/>
          <w:szCs w:val="24"/>
        </w:rPr>
        <w:t>onshore migrants with a previous successful skills assessment outcome who are working below their skill level.</w:t>
      </w:r>
    </w:p>
    <w:p w14:paraId="7E94E6E2" w14:textId="77777777" w:rsidR="004C5A11" w:rsidRPr="001D704A" w:rsidRDefault="004C5A11" w:rsidP="00123EB1">
      <w:pPr>
        <w:rPr>
          <w:rFonts w:ascii="Times New Roman" w:hAnsi="Times New Roman"/>
          <w:color w:val="000000" w:themeColor="text1"/>
          <w:sz w:val="24"/>
          <w:szCs w:val="24"/>
        </w:rPr>
      </w:pPr>
    </w:p>
    <w:p w14:paraId="316A5BD2" w14:textId="0A706EB5"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Table item </w:t>
      </w:r>
      <w:r w:rsidR="001C7801" w:rsidRPr="001D704A">
        <w:rPr>
          <w:rFonts w:ascii="Times New Roman" w:hAnsi="Times New Roman"/>
          <w:color w:val="000000" w:themeColor="text1"/>
          <w:sz w:val="24"/>
          <w:szCs w:val="24"/>
        </w:rPr>
        <w:t>518</w:t>
      </w:r>
      <w:r w:rsidRPr="001D704A">
        <w:rPr>
          <w:rFonts w:ascii="Times New Roman" w:hAnsi="Times New Roman"/>
          <w:color w:val="000000" w:themeColor="text1"/>
          <w:sz w:val="24"/>
          <w:szCs w:val="24"/>
        </w:rPr>
        <w:t xml:space="preserve"> establishes legislative authority for government spending related to the second and third cohorts of migrants listed above. </w:t>
      </w:r>
    </w:p>
    <w:p w14:paraId="58515A89" w14:textId="77777777" w:rsidR="004C5A11" w:rsidRPr="001D704A" w:rsidRDefault="004C5A11" w:rsidP="00123EB1">
      <w:pPr>
        <w:rPr>
          <w:rFonts w:ascii="Times New Roman" w:hAnsi="Times New Roman"/>
          <w:color w:val="000000" w:themeColor="text1"/>
          <w:sz w:val="24"/>
          <w:szCs w:val="24"/>
        </w:rPr>
      </w:pPr>
    </w:p>
    <w:p w14:paraId="440B0C0A" w14:textId="77777777"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In this explanatory statement, the term ‘assessing authority’ means an entity that has been prescribed as the relevant assessing authority for specified occupations under the migration legislation (see section 2.26B of the </w:t>
      </w:r>
      <w:r w:rsidRPr="001D704A">
        <w:rPr>
          <w:rFonts w:ascii="Times New Roman" w:hAnsi="Times New Roman"/>
          <w:i/>
          <w:color w:val="000000" w:themeColor="text1"/>
          <w:sz w:val="24"/>
          <w:szCs w:val="24"/>
        </w:rPr>
        <w:t>Migration Regulations 1994</w:t>
      </w:r>
      <w:r w:rsidRPr="001D704A">
        <w:rPr>
          <w:rFonts w:ascii="Times New Roman" w:hAnsi="Times New Roman"/>
          <w:color w:val="000000" w:themeColor="text1"/>
          <w:sz w:val="24"/>
          <w:szCs w:val="24"/>
        </w:rPr>
        <w:t>). Assessing authorities include peak bodies (such as the Australian Computer Society), registration bodies (such as the Australian Dental Council) and government organisations (such as the Australian Institute for Teaching and School Leadership). The Trades Recognition Australia (TRA) within the department is the assessing authority for some vocational education and training occupations, such as chefs, electricians and welders with the technical and practical components of the skills assessment outsourced to registered training organisations.</w:t>
      </w:r>
    </w:p>
    <w:p w14:paraId="76D9C667" w14:textId="77777777" w:rsidR="004C5A11" w:rsidRPr="001D704A" w:rsidRDefault="004C5A11" w:rsidP="00123EB1">
      <w:pPr>
        <w:rPr>
          <w:rFonts w:ascii="Times New Roman" w:hAnsi="Times New Roman"/>
          <w:color w:val="000000" w:themeColor="text1"/>
          <w:sz w:val="24"/>
          <w:szCs w:val="24"/>
        </w:rPr>
      </w:pPr>
    </w:p>
    <w:p w14:paraId="1B9D5767" w14:textId="77777777"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olor w:val="000000" w:themeColor="text1"/>
          <w:sz w:val="24"/>
          <w:szCs w:val="24"/>
        </w:rPr>
        <w:t>The department will establish contracts with assessing authorities to support the delivery of the project. This includes:</w:t>
      </w:r>
    </w:p>
    <w:p w14:paraId="7E2ED92A" w14:textId="77777777" w:rsidR="004C5A11" w:rsidRPr="001D704A" w:rsidRDefault="004C5A11" w:rsidP="00123EB1">
      <w:pPr>
        <w:pStyle w:val="ListParagraph"/>
        <w:numPr>
          <w:ilvl w:val="0"/>
          <w:numId w:val="19"/>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undertaking free skills assessments for those migrants who do not require skills assessments as a condition of their visa but whose employment prospects in a priority occupation may improve as a result of having one; and</w:t>
      </w:r>
    </w:p>
    <w:p w14:paraId="664E1CC9" w14:textId="77777777" w:rsidR="004C5A11" w:rsidRPr="001D704A" w:rsidRDefault="004C5A11" w:rsidP="00123EB1">
      <w:pPr>
        <w:pStyle w:val="ListParagraph"/>
        <w:numPr>
          <w:ilvl w:val="0"/>
          <w:numId w:val="19"/>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offering a free employability assessment to skilled migrants who have already received a suitable skills assessment outcome and are working beneath their skill level, and subsidised training if required.</w:t>
      </w:r>
    </w:p>
    <w:p w14:paraId="5DB34706" w14:textId="77777777" w:rsidR="004C5A11" w:rsidRPr="001D704A" w:rsidRDefault="004C5A11" w:rsidP="00123EB1">
      <w:pPr>
        <w:rPr>
          <w:rFonts w:ascii="Times New Roman" w:hAnsi="Times New Roman" w:cs="Times New Roman"/>
          <w:color w:val="000000" w:themeColor="text1"/>
          <w:sz w:val="24"/>
          <w:szCs w:val="24"/>
        </w:rPr>
      </w:pPr>
    </w:p>
    <w:p w14:paraId="41B8A29F" w14:textId="1963A7EF" w:rsidR="004C5A11" w:rsidRPr="001D704A" w:rsidRDefault="0082019D"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br w:type="column"/>
      </w:r>
      <w:r w:rsidR="004C5A11" w:rsidRPr="001D704A">
        <w:rPr>
          <w:rFonts w:ascii="Times New Roman" w:hAnsi="Times New Roman" w:cs="Times New Roman"/>
          <w:i/>
          <w:color w:val="000000" w:themeColor="text1"/>
          <w:sz w:val="24"/>
          <w:szCs w:val="24"/>
          <w:u w:val="single"/>
        </w:rPr>
        <w:t>Free, fast-tracked skills assessments for migrants without a prior skills assessment</w:t>
      </w:r>
    </w:p>
    <w:p w14:paraId="634387C0" w14:textId="77777777" w:rsidR="004C5A11" w:rsidRPr="001D704A" w:rsidRDefault="004C5A11" w:rsidP="00123EB1">
      <w:pPr>
        <w:rPr>
          <w:rFonts w:ascii="Times New Roman" w:hAnsi="Times New Roman" w:cs="Times New Roman"/>
          <w:color w:val="000000" w:themeColor="text1"/>
          <w:sz w:val="24"/>
          <w:szCs w:val="24"/>
        </w:rPr>
      </w:pPr>
    </w:p>
    <w:p w14:paraId="30BBB05C"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Under this project initiative, migrants who have come to Australia through a non-skilled visa pathway but who have skills, training and/or experience in priority occupations will be given an opportunity to undergo a free, fast-tracked skills assessment.</w:t>
      </w:r>
    </w:p>
    <w:p w14:paraId="2B698A92" w14:textId="77777777" w:rsidR="004C5A11" w:rsidRPr="001D704A" w:rsidRDefault="004C5A11" w:rsidP="00123EB1">
      <w:pPr>
        <w:rPr>
          <w:rFonts w:ascii="Times New Roman" w:hAnsi="Times New Roman" w:cs="Times New Roman"/>
          <w:color w:val="000000" w:themeColor="text1"/>
          <w:sz w:val="24"/>
          <w:szCs w:val="24"/>
        </w:rPr>
      </w:pPr>
    </w:p>
    <w:p w14:paraId="0AF5D204"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project initiative is expected to particularly benefit migrants who have skills or qualifications in a priority occupation, but who are potentially employed below their skill level or not in a priority occupation. Providing these individuals with a free, fast-tracked skills assessment will help to increase these individuals’ prospects of obtaining employment in a priority occupation in Australia at a level commensurate with their skills and qualifications.</w:t>
      </w:r>
    </w:p>
    <w:p w14:paraId="1386A82A" w14:textId="77777777" w:rsidR="004C5A11" w:rsidRPr="001D704A" w:rsidRDefault="004C5A11" w:rsidP="00123EB1">
      <w:pPr>
        <w:rPr>
          <w:rFonts w:ascii="Times New Roman" w:hAnsi="Times New Roman" w:cs="Times New Roman"/>
          <w:color w:val="000000" w:themeColor="text1"/>
          <w:sz w:val="24"/>
          <w:szCs w:val="24"/>
        </w:rPr>
      </w:pPr>
    </w:p>
    <w:p w14:paraId="2FEE1C64"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To support this project initiative, the department will establish contracts with relevant assessing authorities to deliver these fast-tracked skills assessments and cover the cost of the skills assessments. Assessing authorities will be required to deliver these assessments within an average of three weeks after the applicant has provided ‘decision ready’ documentation.</w:t>
      </w:r>
    </w:p>
    <w:p w14:paraId="5CC3E698" w14:textId="77777777" w:rsidR="004C5A11" w:rsidRPr="001D704A" w:rsidRDefault="004C5A11" w:rsidP="00123EB1">
      <w:pPr>
        <w:rPr>
          <w:rFonts w:ascii="Times New Roman" w:hAnsi="Times New Roman" w:cs="Times New Roman"/>
          <w:color w:val="000000" w:themeColor="text1"/>
          <w:sz w:val="24"/>
          <w:szCs w:val="24"/>
        </w:rPr>
      </w:pPr>
    </w:p>
    <w:p w14:paraId="62722CE2" w14:textId="22FF1365"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project initiative will be promoted via targeted communications by multicultural organisations and the Department of Home Affairs</w:t>
      </w:r>
      <w:r w:rsidR="001C7801" w:rsidRPr="001D704A">
        <w:rPr>
          <w:rFonts w:ascii="Times New Roman" w:hAnsi="Times New Roman" w:cs="Times New Roman"/>
          <w:color w:val="000000" w:themeColor="text1"/>
          <w:sz w:val="24"/>
          <w:szCs w:val="24"/>
        </w:rPr>
        <w:t xml:space="preserve"> (Home Affairs)</w:t>
      </w:r>
      <w:r w:rsidRPr="001D704A">
        <w:rPr>
          <w:rFonts w:ascii="Times New Roman" w:hAnsi="Times New Roman" w:cs="Times New Roman"/>
          <w:color w:val="000000" w:themeColor="text1"/>
          <w:sz w:val="24"/>
          <w:szCs w:val="24"/>
        </w:rPr>
        <w:t>, and is intended to operate from November 2021 until 30 June 2024 (including project evaluation toward the end of this period).</w:t>
      </w:r>
    </w:p>
    <w:p w14:paraId="5130C7DF" w14:textId="77777777" w:rsidR="004C5A11" w:rsidRPr="001D704A" w:rsidRDefault="004C5A11" w:rsidP="00123EB1">
      <w:pPr>
        <w:rPr>
          <w:rFonts w:ascii="Times New Roman" w:hAnsi="Times New Roman" w:cs="Times New Roman"/>
          <w:color w:val="000000" w:themeColor="text1"/>
          <w:sz w:val="24"/>
          <w:szCs w:val="24"/>
        </w:rPr>
      </w:pPr>
    </w:p>
    <w:p w14:paraId="577093D2" w14:textId="77777777" w:rsidR="004C5A11" w:rsidRPr="001D704A" w:rsidRDefault="004C5A11"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Free employability assessment for migrants who have previously received a successful skills assessment outcome for a priority occupation but are working below their skill level (pilot)</w:t>
      </w:r>
    </w:p>
    <w:p w14:paraId="14E3C904" w14:textId="77777777" w:rsidR="004C5A11" w:rsidRPr="001D704A" w:rsidRDefault="004C5A11" w:rsidP="00123EB1">
      <w:pPr>
        <w:rPr>
          <w:rFonts w:ascii="Times New Roman" w:hAnsi="Times New Roman" w:cs="Times New Roman"/>
          <w:color w:val="000000" w:themeColor="text1"/>
          <w:sz w:val="24"/>
          <w:szCs w:val="24"/>
        </w:rPr>
      </w:pPr>
    </w:p>
    <w:p w14:paraId="01A35D3F"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Under this pilot, migrants with a previous successful skills assessment within the previous three years who are working below their skill level will be offered a free employability assessment, tailored career advice and a coaching session. They will receive a plan that details their employment goals and identifies their attributes, skills, qualifications, as well as any skill gaps. This may include employability skills (such as teamwork, problem solving and workplace English including writing, reading and oral communication) that have prevented them from securing employment in Australia commensurate with their skill level. </w:t>
      </w:r>
    </w:p>
    <w:p w14:paraId="733CF59A" w14:textId="77777777" w:rsidR="004C5A11" w:rsidRPr="001D704A" w:rsidRDefault="004C5A11" w:rsidP="00123EB1">
      <w:pPr>
        <w:rPr>
          <w:rFonts w:ascii="Times New Roman" w:hAnsi="Times New Roman" w:cs="Times New Roman"/>
          <w:color w:val="000000" w:themeColor="text1"/>
          <w:sz w:val="24"/>
          <w:szCs w:val="24"/>
        </w:rPr>
      </w:pPr>
    </w:p>
    <w:p w14:paraId="04A70C3C"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To support this pilot, relevant assessing authorities will be contracted to reach out to the applicants on their database who have previously completed a successful skills assessment.  Migrants who self-identify as working below their skill level will be invited to register their interest in an assessment at no cost and potential training opportunity at minimal cost to improve their skilled employment prospects.</w:t>
      </w:r>
    </w:p>
    <w:p w14:paraId="178D1F68" w14:textId="77777777" w:rsidR="004C5A11" w:rsidRPr="001D704A" w:rsidRDefault="004C5A11" w:rsidP="00123EB1">
      <w:pPr>
        <w:rPr>
          <w:rFonts w:ascii="Times New Roman" w:hAnsi="Times New Roman" w:cs="Times New Roman"/>
          <w:color w:val="000000" w:themeColor="text1"/>
          <w:sz w:val="24"/>
          <w:szCs w:val="24"/>
        </w:rPr>
      </w:pPr>
    </w:p>
    <w:p w14:paraId="1BFAA8CF" w14:textId="2CD3D366"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An employability tool will be developed to focus on assessing the core competency levels for occupations in Australia, such as teamwork, problem solving and oral communication. The tool will identify skill gaps and recommend necessary training to upskill and improve overall employability of applicants. The tool will be supported by a rigorous employability assessment methodology and may involve the identification of an existing Australian or international tool suitable for a fit-for-purpose modification particularly suited to skilled migrants.</w:t>
      </w:r>
    </w:p>
    <w:p w14:paraId="7A2AC05F" w14:textId="77777777" w:rsidR="004C5A11" w:rsidRPr="001D704A" w:rsidRDefault="004C5A11" w:rsidP="00123EB1">
      <w:pPr>
        <w:rPr>
          <w:rFonts w:ascii="Times New Roman" w:hAnsi="Times New Roman" w:cs="Times New Roman"/>
          <w:color w:val="000000" w:themeColor="text1"/>
          <w:sz w:val="24"/>
          <w:szCs w:val="24"/>
        </w:rPr>
      </w:pPr>
    </w:p>
    <w:p w14:paraId="5522FF09"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Once the tool is developed and tested, a suitable approved organisation will be contracted to undertake assessments for eligible applicants. If any skill gaps are identified in the assessment, a registered training organisation/s will be contracted to provide the gap training required. This pilot initiative is intended to be available for applicants from February 2022 until 30 June 2023.</w:t>
      </w:r>
    </w:p>
    <w:p w14:paraId="3A9EE64B" w14:textId="77777777" w:rsidR="004C5A11" w:rsidRPr="001D704A" w:rsidRDefault="004C5A11" w:rsidP="00123EB1">
      <w:pPr>
        <w:rPr>
          <w:rFonts w:ascii="Times New Roman" w:hAnsi="Times New Roman" w:cs="Times New Roman"/>
          <w:color w:val="000000" w:themeColor="text1"/>
          <w:sz w:val="24"/>
          <w:szCs w:val="24"/>
        </w:rPr>
      </w:pPr>
    </w:p>
    <w:p w14:paraId="7CF5A5E8" w14:textId="241EA620"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department will manage a procurement process to support the delivery of various initiatives under this project. Procurement will be conducted via limited tender where the department will contract with assessing authorities to deliver fast-tracked skills assessments and refer skilled migrants to further training opportunities as required. The department will also procure services for the development of an employability assessment tool, and to design and deliver ‘gap skills’ training services.</w:t>
      </w:r>
      <w:r w:rsidR="00781EE6"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color w:val="000000" w:themeColor="text1"/>
          <w:sz w:val="24"/>
          <w:szCs w:val="24"/>
        </w:rPr>
        <w:t>The project will be evaluated in late 2023, and any extensions of the project will be determined following that evaluation process.</w:t>
      </w:r>
    </w:p>
    <w:p w14:paraId="76EAAD3D" w14:textId="77777777" w:rsidR="004C5A11" w:rsidRPr="001D704A" w:rsidRDefault="004C5A11" w:rsidP="00123EB1">
      <w:pPr>
        <w:rPr>
          <w:rFonts w:ascii="Times New Roman" w:hAnsi="Times New Roman" w:cs="Times New Roman"/>
          <w:color w:val="000000" w:themeColor="text1"/>
          <w:sz w:val="24"/>
          <w:szCs w:val="24"/>
        </w:rPr>
      </w:pPr>
    </w:p>
    <w:p w14:paraId="2404F606"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Operational guidelines will be made available to the contracted assessing authorities on the departmental website. Assessing authorities will be contractually required to adhere to these operational guidelines in delivering the services to support this project.</w:t>
      </w:r>
    </w:p>
    <w:p w14:paraId="6D5EF734" w14:textId="77777777" w:rsidR="004C5A11" w:rsidRPr="001D704A" w:rsidRDefault="004C5A11" w:rsidP="00123EB1">
      <w:pPr>
        <w:rPr>
          <w:rFonts w:ascii="Times New Roman" w:hAnsi="Times New Roman" w:cs="Times New Roman"/>
          <w:color w:val="000000" w:themeColor="text1"/>
          <w:sz w:val="24"/>
          <w:szCs w:val="24"/>
        </w:rPr>
      </w:pPr>
    </w:p>
    <w:p w14:paraId="6F3E7A7A" w14:textId="0D5DD801"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Following the procurement process, final spending decisions will be made by the Secretary of the department or an appropriate delegate of the Secretary. Final contracts will be reported on AusTender in accordance with the CPRs.</w:t>
      </w:r>
    </w:p>
    <w:p w14:paraId="643462EC" w14:textId="348F5575" w:rsidR="0050498D" w:rsidRPr="001D704A" w:rsidRDefault="0050498D" w:rsidP="00123EB1">
      <w:pPr>
        <w:rPr>
          <w:rFonts w:ascii="Times New Roman" w:hAnsi="Times New Roman" w:cs="Times New Roman"/>
          <w:color w:val="000000" w:themeColor="text1"/>
          <w:sz w:val="24"/>
          <w:szCs w:val="24"/>
        </w:rPr>
      </w:pPr>
    </w:p>
    <w:p w14:paraId="299089BD" w14:textId="5F5C024E" w:rsidR="0050498D" w:rsidRPr="001D704A" w:rsidRDefault="0050498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project is primarily aimed at increasing the number of skilled workers in the Australian workforce. This will be achieved by identifying and offering free and fast-tracked skills and employability assessments to eligible migrants, and engaging providers to support the delivery of this work through a number of procurement processes. Of the expected contracts that will be established to deliver the project, only two are estimated to exceed $1 million if application demand levels require it. The delegate has been identified in the operational guidelines for the project as the person occupying the position of the relevant Assistant Secretary (SES Band 1), Skills and Training Group in the department. </w:t>
      </w:r>
    </w:p>
    <w:p w14:paraId="2900DD0C" w14:textId="77777777" w:rsidR="0050498D" w:rsidRPr="001D704A" w:rsidRDefault="0050498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w:t>
      </w:r>
    </w:p>
    <w:p w14:paraId="212CD07B" w14:textId="77777777" w:rsidR="0050498D" w:rsidRPr="001D704A" w:rsidRDefault="0050498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delegation level is suitable and appropriate in the context of the project, where the individual contracts the department expects to enter into with various parties for the delivery of the services will be relatively low-value and non-contentious. The nomination of a delegate holding this particular position in the department will also ensure that the decision maker has appropriate experience, background and understanding of the skills assessment space to make spending decisions for the delivery of skills and employability assessments in relation to this project. </w:t>
      </w:r>
    </w:p>
    <w:p w14:paraId="4F46BE39" w14:textId="77777777" w:rsidR="0050498D" w:rsidRPr="001D704A" w:rsidRDefault="0050498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w:t>
      </w:r>
    </w:p>
    <w:p w14:paraId="67FC6BBE" w14:textId="77777777" w:rsidR="0050498D" w:rsidRPr="001D704A" w:rsidRDefault="0050498D"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delegate will make each decision about entering into arrangements and committing relevant monies in a manner consistent with the PGPA Act, the CGRGs, the CPRs and the department’s Accountable Authority Instructions. </w:t>
      </w:r>
    </w:p>
    <w:p w14:paraId="79CE267E" w14:textId="77777777" w:rsidR="0050498D" w:rsidRPr="001D704A" w:rsidRDefault="0050498D" w:rsidP="00123EB1">
      <w:pPr>
        <w:rPr>
          <w:rFonts w:ascii="Times New Roman" w:hAnsi="Times New Roman" w:cs="Times New Roman"/>
          <w:color w:val="000000" w:themeColor="text1"/>
          <w:sz w:val="24"/>
          <w:szCs w:val="24"/>
        </w:rPr>
      </w:pPr>
    </w:p>
    <w:p w14:paraId="163170BE" w14:textId="077E42BA"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Procurement decisions made in connection with the delivery of the project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C232EF" w:rsidRPr="001D704A">
        <w:rPr>
          <w:rFonts w:ascii="Times New Roman" w:hAnsi="Times New Roman" w:cs="Times New Roman"/>
          <w:color w:val="000000" w:themeColor="text1"/>
          <w:sz w:val="24"/>
          <w:szCs w:val="24"/>
        </w:rPr>
        <w:t>ARC</w:t>
      </w:r>
      <w:r w:rsidRPr="001D704A">
        <w:rPr>
          <w:rFonts w:ascii="Times New Roman" w:hAnsi="Times New Roman" w:cs="Times New Roman"/>
          <w:color w:val="000000" w:themeColor="text1"/>
          <w:sz w:val="24"/>
          <w:szCs w:val="24"/>
        </w:rPr>
        <w:t xml:space="preserve"> has recognised that it is justifiable to exclude merits review in relation to decisions of this nature (see paragraphs 4.11 to 4.19 of the guide, </w:t>
      </w:r>
      <w:r w:rsidRPr="001D704A">
        <w:rPr>
          <w:rFonts w:ascii="Times New Roman" w:hAnsi="Times New Roman" w:cs="Times New Roman"/>
          <w:i/>
          <w:color w:val="000000" w:themeColor="text1"/>
          <w:sz w:val="24"/>
          <w:szCs w:val="24"/>
        </w:rPr>
        <w:t>What decisions should be subject to merit review?</w:t>
      </w:r>
      <w:r w:rsidRPr="001D704A">
        <w:rPr>
          <w:rFonts w:ascii="Times New Roman" w:hAnsi="Times New Roman" w:cs="Times New Roman"/>
          <w:color w:val="000000" w:themeColor="text1"/>
          <w:sz w:val="24"/>
          <w:szCs w:val="24"/>
        </w:rPr>
        <w:t xml:space="preserve">). </w:t>
      </w:r>
    </w:p>
    <w:p w14:paraId="01BEEA84" w14:textId="77777777" w:rsidR="004C5A11" w:rsidRPr="001D704A" w:rsidRDefault="004C5A11" w:rsidP="00123EB1">
      <w:pPr>
        <w:rPr>
          <w:rFonts w:ascii="Times New Roman" w:hAnsi="Times New Roman" w:cs="Times New Roman"/>
          <w:color w:val="000000" w:themeColor="text1"/>
          <w:sz w:val="24"/>
          <w:szCs w:val="24"/>
        </w:rPr>
      </w:pPr>
    </w:p>
    <w:p w14:paraId="143773FE"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re-making of a procurement decision after entry into a contractual arrangement with a successful provider is legally complex, impractical, and could result in delays to the delivery of the project. The </w:t>
      </w:r>
      <w:r w:rsidRPr="001D704A">
        <w:rPr>
          <w:rFonts w:ascii="Times New Roman" w:hAnsi="Times New Roman" w:cs="Times New Roman"/>
          <w:i/>
          <w:color w:val="000000" w:themeColor="text1"/>
          <w:sz w:val="24"/>
          <w:szCs w:val="24"/>
        </w:rPr>
        <w:t>Government Procurement (Judicial Review) Act 2018</w:t>
      </w:r>
      <w:r w:rsidRPr="001D704A">
        <w:rPr>
          <w:rFonts w:ascii="Times New Roman" w:hAnsi="Times New Roman" w:cs="Times New Roman"/>
          <w:color w:val="000000" w:themeColor="text1"/>
          <w:sz w:val="24"/>
          <w:szCs w:val="24"/>
        </w:rPr>
        <w:t xml:space="preserve"> enables providers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2E6986EE" w14:textId="77777777" w:rsidR="004C5A11" w:rsidRPr="001D704A" w:rsidRDefault="004C5A11" w:rsidP="00123EB1">
      <w:pPr>
        <w:rPr>
          <w:rFonts w:ascii="Times New Roman" w:hAnsi="Times New Roman" w:cs="Times New Roman"/>
          <w:color w:val="000000" w:themeColor="text1"/>
          <w:sz w:val="24"/>
          <w:szCs w:val="24"/>
        </w:rPr>
      </w:pPr>
    </w:p>
    <w:p w14:paraId="216A3706"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Contracted assessing authorities will be required to provide individuals who undergo a free skills assessment with access to a review process that complies with the </w:t>
      </w:r>
      <w:r w:rsidRPr="001D704A">
        <w:rPr>
          <w:rFonts w:ascii="Times New Roman" w:hAnsi="Times New Roman" w:cs="Times New Roman"/>
          <w:i/>
          <w:color w:val="000000" w:themeColor="text1"/>
          <w:sz w:val="24"/>
          <w:szCs w:val="24"/>
        </w:rPr>
        <w:t>Guidelines for Skilled Migration Assessing Authorities 2021</w:t>
      </w:r>
      <w:r w:rsidRPr="001D704A">
        <w:rPr>
          <w:rFonts w:ascii="Times New Roman" w:hAnsi="Times New Roman" w:cs="Times New Roman"/>
          <w:color w:val="000000" w:themeColor="text1"/>
          <w:sz w:val="24"/>
          <w:szCs w:val="24"/>
        </w:rPr>
        <w:t xml:space="preserve">. Similarly, providers delivering employability assessments will be contractually required to provide individuals who undergo such an assessment with access to the review processes in accordance with operational guidelines.  </w:t>
      </w:r>
    </w:p>
    <w:p w14:paraId="02CD9D80" w14:textId="77777777" w:rsidR="004C5A11" w:rsidRPr="001D704A" w:rsidRDefault="004C5A11" w:rsidP="00123EB1">
      <w:pPr>
        <w:rPr>
          <w:rFonts w:ascii="Times New Roman" w:hAnsi="Times New Roman" w:cs="Times New Roman"/>
          <w:color w:val="000000" w:themeColor="text1"/>
          <w:sz w:val="24"/>
          <w:szCs w:val="24"/>
        </w:rPr>
      </w:pPr>
    </w:p>
    <w:p w14:paraId="251FF372" w14:textId="77777777"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department has consulted the following parties to support the delivery of the project:</w:t>
      </w:r>
    </w:p>
    <w:p w14:paraId="55CB1BE1" w14:textId="77777777" w:rsidR="004C5A11" w:rsidRPr="001D704A" w:rsidRDefault="004C5A11" w:rsidP="00123EB1">
      <w:pPr>
        <w:pStyle w:val="ListParagraph"/>
        <w:numPr>
          <w:ilvl w:val="0"/>
          <w:numId w:val="39"/>
        </w:numPr>
        <w:spacing w:after="0" w:line="240" w:lineRule="auto"/>
        <w:contextualSpacing/>
        <w:rPr>
          <w:rFonts w:ascii="Times New Roman" w:eastAsiaTheme="minorEastAsia" w:hAnsi="Times New Roman"/>
          <w:sz w:val="24"/>
          <w:szCs w:val="24"/>
        </w:rPr>
      </w:pPr>
      <w:r w:rsidRPr="001D704A">
        <w:rPr>
          <w:rFonts w:ascii="Times New Roman" w:eastAsiaTheme="minorEastAsia" w:hAnsi="Times New Roman"/>
          <w:sz w:val="24"/>
          <w:szCs w:val="24"/>
        </w:rPr>
        <w:t>delivery partners:</w:t>
      </w:r>
    </w:p>
    <w:p w14:paraId="6BF971CF" w14:textId="106E03F9" w:rsidR="004C5A11" w:rsidRPr="001D704A" w:rsidRDefault="004C5A11" w:rsidP="00123EB1">
      <w:pPr>
        <w:pStyle w:val="ListParagraph"/>
        <w:numPr>
          <w:ilvl w:val="1"/>
          <w:numId w:val="39"/>
        </w:numPr>
        <w:spacing w:after="0" w:line="240" w:lineRule="auto"/>
        <w:contextualSpacing/>
        <w:rPr>
          <w:rFonts w:ascii="Times New Roman" w:hAnsi="Times New Roman"/>
          <w:sz w:val="24"/>
          <w:szCs w:val="24"/>
        </w:rPr>
      </w:pPr>
      <w:r w:rsidRPr="001D704A">
        <w:rPr>
          <w:rFonts w:ascii="Times New Roman" w:eastAsiaTheme="minorEastAsia" w:hAnsi="Times New Roman"/>
          <w:sz w:val="24"/>
          <w:szCs w:val="24"/>
        </w:rPr>
        <w:t xml:space="preserve">Home Affairs on the project design and delivery (in particular, to investigate the capacity for Home Affairs to reduce skilled visa application timeframes to complement the project using data held by Home Affairs); and </w:t>
      </w:r>
    </w:p>
    <w:p w14:paraId="5B9001B1" w14:textId="77777777" w:rsidR="004C5A11" w:rsidRPr="001D704A" w:rsidRDefault="004C5A11" w:rsidP="00123EB1">
      <w:pPr>
        <w:pStyle w:val="ListParagraph"/>
        <w:numPr>
          <w:ilvl w:val="1"/>
          <w:numId w:val="39"/>
        </w:numPr>
        <w:spacing w:after="0" w:line="240" w:lineRule="auto"/>
        <w:contextualSpacing/>
        <w:rPr>
          <w:rFonts w:ascii="Times New Roman" w:hAnsi="Times New Roman"/>
          <w:sz w:val="24"/>
          <w:szCs w:val="24"/>
        </w:rPr>
      </w:pPr>
      <w:r w:rsidRPr="001D704A">
        <w:rPr>
          <w:rFonts w:ascii="Times New Roman" w:eastAsiaTheme="minorEastAsia" w:hAnsi="Times New Roman"/>
          <w:sz w:val="24"/>
          <w:szCs w:val="24"/>
        </w:rPr>
        <w:t xml:space="preserve">the NSC on the project design around priority occupations. </w:t>
      </w:r>
    </w:p>
    <w:p w14:paraId="3E9DC7EE" w14:textId="77777777" w:rsidR="004C5A11" w:rsidRPr="001D704A" w:rsidRDefault="004C5A11" w:rsidP="00123EB1">
      <w:pPr>
        <w:pStyle w:val="ListParagraph"/>
        <w:numPr>
          <w:ilvl w:val="0"/>
          <w:numId w:val="39"/>
        </w:numPr>
        <w:spacing w:after="0" w:line="240" w:lineRule="auto"/>
        <w:contextualSpacing/>
        <w:rPr>
          <w:rFonts w:ascii="Times New Roman" w:hAnsi="Times New Roman"/>
          <w:sz w:val="24"/>
          <w:szCs w:val="24"/>
        </w:rPr>
      </w:pPr>
      <w:r w:rsidRPr="001D704A">
        <w:rPr>
          <w:rFonts w:ascii="Times New Roman" w:eastAsiaTheme="minorEastAsia" w:hAnsi="Times New Roman"/>
          <w:sz w:val="24"/>
          <w:szCs w:val="24"/>
        </w:rPr>
        <w:t>external stakeholders:</w:t>
      </w:r>
    </w:p>
    <w:p w14:paraId="460BCD21" w14:textId="77777777" w:rsidR="004C5A11" w:rsidRPr="001D704A" w:rsidRDefault="004C5A11" w:rsidP="00123EB1">
      <w:pPr>
        <w:pStyle w:val="ListParagraph"/>
        <w:numPr>
          <w:ilvl w:val="1"/>
          <w:numId w:val="39"/>
        </w:numPr>
        <w:spacing w:after="0" w:line="240" w:lineRule="auto"/>
        <w:contextualSpacing/>
        <w:rPr>
          <w:rFonts w:ascii="Times New Roman" w:eastAsiaTheme="minorEastAsia" w:hAnsi="Times New Roman"/>
          <w:sz w:val="24"/>
          <w:szCs w:val="24"/>
        </w:rPr>
      </w:pPr>
      <w:r w:rsidRPr="001D704A">
        <w:rPr>
          <w:rFonts w:ascii="Times New Roman" w:eastAsiaTheme="minorEastAsia" w:hAnsi="Times New Roman"/>
          <w:sz w:val="24"/>
          <w:szCs w:val="24"/>
        </w:rPr>
        <w:t>a small group of four current assessing authorities to identify blockages to delivering skills assessments in shorter timeframes and to test design ideas. This group was supportive of the project and agreed that they could theoretically be delivered as intended; and</w:t>
      </w:r>
    </w:p>
    <w:p w14:paraId="4DC93265" w14:textId="77777777" w:rsidR="004C5A11" w:rsidRPr="001D704A" w:rsidRDefault="004C5A11" w:rsidP="00123EB1">
      <w:pPr>
        <w:pStyle w:val="ListParagraph"/>
        <w:numPr>
          <w:ilvl w:val="1"/>
          <w:numId w:val="39"/>
        </w:numPr>
        <w:spacing w:after="0" w:line="240" w:lineRule="auto"/>
        <w:contextualSpacing/>
        <w:rPr>
          <w:rFonts w:ascii="Times New Roman" w:eastAsiaTheme="minorEastAsia" w:hAnsi="Times New Roman"/>
          <w:sz w:val="24"/>
          <w:szCs w:val="24"/>
        </w:rPr>
      </w:pPr>
      <w:r w:rsidRPr="001D704A">
        <w:rPr>
          <w:rFonts w:ascii="Times New Roman" w:eastAsiaTheme="minorEastAsia" w:hAnsi="Times New Roman"/>
          <w:sz w:val="24"/>
          <w:szCs w:val="24"/>
        </w:rPr>
        <w:t>existing organisations that develop digital learning, badging and micro</w:t>
      </w:r>
      <w:r w:rsidRPr="001D704A">
        <w:rPr>
          <w:rFonts w:ascii="Times New Roman" w:eastAsiaTheme="minorEastAsia" w:hAnsi="Times New Roman"/>
          <w:sz w:val="24"/>
          <w:szCs w:val="24"/>
        </w:rPr>
        <w:noBreakHyphen/>
        <w:t>credentials products, to ascertain delivery possibilities for employability assessments within industry. These organisations focused on the digital badging and micro-credentials part of the third cohort of migrants and were able to demonstrate how these activities could be delivered practically.</w:t>
      </w:r>
    </w:p>
    <w:p w14:paraId="3A9F2A81" w14:textId="77777777" w:rsidR="004C5A11" w:rsidRPr="001D704A" w:rsidRDefault="004C5A11" w:rsidP="00123EB1">
      <w:pPr>
        <w:tabs>
          <w:tab w:val="left" w:pos="680"/>
        </w:tabs>
        <w:rPr>
          <w:rFonts w:ascii="Times New Roman" w:eastAsia="Times New Roman" w:hAnsi="Times New Roman" w:cs="Times New Roman"/>
          <w:sz w:val="24"/>
          <w:szCs w:val="24"/>
          <w:lang w:eastAsia="en-AU"/>
        </w:rPr>
      </w:pPr>
    </w:p>
    <w:p w14:paraId="072E5A3A" w14:textId="435F3B38" w:rsidR="004C5A11" w:rsidRPr="001D704A" w:rsidRDefault="004C5A11"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Funding of $19.</w:t>
      </w:r>
      <w:r w:rsidR="001C7801" w:rsidRPr="001D704A">
        <w:rPr>
          <w:rFonts w:ascii="Times New Roman" w:eastAsia="Times New Roman" w:hAnsi="Times New Roman" w:cs="Times New Roman"/>
          <w:sz w:val="24"/>
          <w:szCs w:val="24"/>
          <w:lang w:eastAsia="en-AU"/>
        </w:rPr>
        <w:t>7</w:t>
      </w:r>
      <w:r w:rsidRPr="001D704A">
        <w:rPr>
          <w:rFonts w:ascii="Times New Roman" w:eastAsia="Times New Roman" w:hAnsi="Times New Roman" w:cs="Times New Roman"/>
          <w:sz w:val="24"/>
          <w:szCs w:val="24"/>
          <w:lang w:eastAsia="en-AU"/>
        </w:rPr>
        <w:t xml:space="preserve"> million over three years from 2021-22 for the project is expected to be included in the 2021-22 Mid-Year Economic and Fiscal Outlook and 2021</w:t>
      </w:r>
      <w:r w:rsidRPr="001D704A">
        <w:rPr>
          <w:rFonts w:ascii="Times New Roman" w:eastAsia="Times New Roman" w:hAnsi="Times New Roman" w:cs="Times New Roman"/>
          <w:sz w:val="24"/>
          <w:szCs w:val="24"/>
          <w:lang w:eastAsia="en-AU"/>
        </w:rPr>
        <w:noBreakHyphen/>
        <w:t xml:space="preserve">22 Portfolio Additional Estimates Statements. Funding for this item will come from </w:t>
      </w:r>
      <w:r w:rsidRPr="001D704A">
        <w:rPr>
          <w:rFonts w:ascii="Times New Roman" w:hAnsi="Times New Roman" w:cs="Times New Roman"/>
          <w:color w:val="000000" w:themeColor="text1"/>
          <w:sz w:val="24"/>
          <w:szCs w:val="24"/>
        </w:rPr>
        <w:t>Program 3.1: Building Skills and Capability, which is part of Outcome 3.</w:t>
      </w:r>
    </w:p>
    <w:p w14:paraId="184821DD" w14:textId="77777777" w:rsidR="004C5A11" w:rsidRPr="001D704A" w:rsidRDefault="004C5A11" w:rsidP="00123EB1">
      <w:pPr>
        <w:tabs>
          <w:tab w:val="left" w:pos="680"/>
        </w:tabs>
        <w:rPr>
          <w:rFonts w:ascii="Times New Roman" w:eastAsia="Times New Roman" w:hAnsi="Times New Roman" w:cs="Times New Roman"/>
          <w:sz w:val="24"/>
          <w:szCs w:val="24"/>
          <w:lang w:eastAsia="en-AU"/>
        </w:rPr>
      </w:pPr>
    </w:p>
    <w:p w14:paraId="2247D701" w14:textId="77777777" w:rsidR="004C5A11" w:rsidRPr="001D704A" w:rsidRDefault="004C5A11" w:rsidP="00123EB1">
      <w:pPr>
        <w:tabs>
          <w:tab w:val="left" w:pos="680"/>
        </w:tabs>
        <w:rPr>
          <w:rFonts w:ascii="Times New Roman" w:eastAsia="Times New Roman" w:hAnsi="Times New Roman" w:cs="Times New Roman"/>
          <w:sz w:val="24"/>
          <w:szCs w:val="24"/>
          <w:lang w:eastAsia="en-AU"/>
        </w:rPr>
      </w:pPr>
      <w:r w:rsidRPr="001D704A">
        <w:rPr>
          <w:rFonts w:ascii="Times New Roman" w:eastAsia="Times New Roman" w:hAnsi="Times New Roman" w:cs="Times New Roman"/>
          <w:sz w:val="24"/>
          <w:szCs w:val="24"/>
          <w:lang w:eastAsia="en-AU"/>
        </w:rPr>
        <w:t>Noting that it is not a comprehensive statement of relevant constitutional considerations, the objective of the item references the following powers of the Constitution:</w:t>
      </w:r>
    </w:p>
    <w:p w14:paraId="39101249" w14:textId="77777777" w:rsidR="004C5A11" w:rsidRPr="001D704A" w:rsidRDefault="004C5A11"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the aliens power (section 51(xix)); and</w:t>
      </w:r>
    </w:p>
    <w:p w14:paraId="389A5AF4" w14:textId="77777777" w:rsidR="004C5A11" w:rsidRPr="001D704A" w:rsidRDefault="004C5A11" w:rsidP="00123EB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1D704A">
        <w:rPr>
          <w:rFonts w:ascii="Times New Roman" w:hAnsi="Times New Roman"/>
          <w:bCs/>
          <w:iCs/>
          <w:sz w:val="24"/>
          <w:szCs w:val="24"/>
        </w:rPr>
        <w:t>the immigration power (section 51(xxvii)).</w:t>
      </w:r>
    </w:p>
    <w:p w14:paraId="14A013B7" w14:textId="77777777" w:rsidR="004C5A11" w:rsidRPr="001D704A" w:rsidRDefault="004C5A11" w:rsidP="00123EB1">
      <w:pPr>
        <w:rPr>
          <w:rFonts w:ascii="Times New Roman" w:hAnsi="Times New Roman" w:cs="Times New Roman"/>
          <w:color w:val="000000" w:themeColor="text1"/>
          <w:sz w:val="24"/>
          <w:szCs w:val="24"/>
        </w:rPr>
      </w:pPr>
    </w:p>
    <w:p w14:paraId="5C211B7C" w14:textId="77777777" w:rsidR="004C5A11" w:rsidRPr="001D704A" w:rsidRDefault="004C5A11" w:rsidP="00123EB1">
      <w:pPr>
        <w:pStyle w:val="BodyText"/>
        <w:rPr>
          <w:i/>
          <w:sz w:val="24"/>
          <w:szCs w:val="24"/>
          <w:u w:val="single"/>
        </w:rPr>
      </w:pPr>
      <w:r w:rsidRPr="001D704A">
        <w:rPr>
          <w:i/>
          <w:sz w:val="24"/>
          <w:szCs w:val="24"/>
          <w:u w:val="single"/>
        </w:rPr>
        <w:t xml:space="preserve">Aliens power </w:t>
      </w:r>
    </w:p>
    <w:p w14:paraId="7D28533D" w14:textId="77777777" w:rsidR="004C5A11" w:rsidRPr="001D704A" w:rsidRDefault="004C5A11" w:rsidP="00123EB1">
      <w:pPr>
        <w:pStyle w:val="BodyText"/>
        <w:rPr>
          <w:sz w:val="24"/>
          <w:szCs w:val="24"/>
        </w:rPr>
      </w:pPr>
    </w:p>
    <w:p w14:paraId="0F0E3A48" w14:textId="77777777" w:rsidR="004C5A11" w:rsidRPr="001D704A" w:rsidRDefault="004C5A11"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51(xix) of the Constitution empowers the Parliament to make laws with respect to ‘naturalisation and aliens.’ </w:t>
      </w:r>
    </w:p>
    <w:p w14:paraId="2FDE9E05" w14:textId="77777777" w:rsidR="004C5A11" w:rsidRPr="001D704A" w:rsidRDefault="004C5A11" w:rsidP="00123EB1">
      <w:pPr>
        <w:rPr>
          <w:rFonts w:ascii="Times New Roman" w:hAnsi="Times New Roman" w:cs="Times New Roman"/>
          <w:sz w:val="24"/>
          <w:szCs w:val="24"/>
        </w:rPr>
      </w:pPr>
    </w:p>
    <w:p w14:paraId="0A60F2B2" w14:textId="77777777" w:rsidR="004C5A11" w:rsidRPr="001D704A" w:rsidRDefault="004C5A11" w:rsidP="00123EB1">
      <w:pPr>
        <w:rPr>
          <w:rFonts w:ascii="Times New Roman" w:hAnsi="Times New Roman" w:cs="Times New Roman"/>
          <w:sz w:val="24"/>
          <w:szCs w:val="24"/>
        </w:rPr>
      </w:pPr>
      <w:r w:rsidRPr="001D704A">
        <w:rPr>
          <w:rFonts w:ascii="Times New Roman" w:hAnsi="Times New Roman" w:cs="Times New Roman"/>
          <w:sz w:val="24"/>
          <w:szCs w:val="24"/>
        </w:rPr>
        <w:t xml:space="preserve">The target groups for this project are particular cohorts of migrants, who are ‘aliens’ for the purposes of section 51(xix) of the Constitution. The project will provide benefit to migrants by supporting and improving their employment prospects. This will help migrants to contribute to the Australian workforce at an appropriate skill level, through the provision of skills assessments, employability assessments and skills gap training.  </w:t>
      </w:r>
    </w:p>
    <w:p w14:paraId="444B5814" w14:textId="77777777" w:rsidR="004C5A11" w:rsidRPr="001D704A" w:rsidRDefault="004C5A11" w:rsidP="00123EB1"/>
    <w:p w14:paraId="197EC0B3" w14:textId="10CC55A5" w:rsidR="004C5A11" w:rsidRPr="001D704A" w:rsidRDefault="004C5A11" w:rsidP="00123EB1">
      <w:pPr>
        <w:pStyle w:val="BodyText"/>
        <w:rPr>
          <w:i/>
          <w:sz w:val="24"/>
          <w:szCs w:val="24"/>
          <w:u w:val="single"/>
        </w:rPr>
      </w:pPr>
      <w:r w:rsidRPr="001D704A">
        <w:rPr>
          <w:i/>
          <w:sz w:val="24"/>
          <w:szCs w:val="24"/>
          <w:u w:val="single"/>
        </w:rPr>
        <w:t>Immigration and emigration power</w:t>
      </w:r>
    </w:p>
    <w:p w14:paraId="2EB346CE" w14:textId="77777777" w:rsidR="004C5A11" w:rsidRPr="001D704A" w:rsidRDefault="004C5A11" w:rsidP="00123EB1">
      <w:pPr>
        <w:pStyle w:val="BodyText"/>
        <w:rPr>
          <w:i/>
          <w:sz w:val="24"/>
          <w:szCs w:val="24"/>
          <w:u w:val="single"/>
        </w:rPr>
      </w:pPr>
    </w:p>
    <w:p w14:paraId="2EB01405" w14:textId="77777777" w:rsidR="004C5A11" w:rsidRPr="001D704A" w:rsidRDefault="004C5A11" w:rsidP="00123EB1">
      <w:pPr>
        <w:rPr>
          <w:rFonts w:ascii="Times New Roman" w:hAnsi="Times New Roman" w:cs="Times New Roman"/>
          <w:sz w:val="24"/>
          <w:szCs w:val="24"/>
        </w:rPr>
      </w:pPr>
      <w:r w:rsidRPr="001D704A">
        <w:rPr>
          <w:rFonts w:ascii="Times New Roman" w:hAnsi="Times New Roman" w:cs="Times New Roman"/>
          <w:sz w:val="24"/>
          <w:szCs w:val="24"/>
        </w:rPr>
        <w:t>Section 51(xxvii) empowers the Parliament to make laws with respect to ‘immigration and emigration’.</w:t>
      </w:r>
    </w:p>
    <w:p w14:paraId="33FCCCB9" w14:textId="77777777" w:rsidR="004C5A11" w:rsidRPr="001D704A" w:rsidRDefault="004C5A11" w:rsidP="00123EB1">
      <w:pPr>
        <w:rPr>
          <w:rFonts w:ascii="Times New Roman" w:hAnsi="Times New Roman" w:cs="Times New Roman"/>
          <w:sz w:val="24"/>
          <w:szCs w:val="24"/>
        </w:rPr>
      </w:pPr>
    </w:p>
    <w:p w14:paraId="3C636E15" w14:textId="0446A4EF" w:rsidR="00546C98" w:rsidRPr="001D704A" w:rsidRDefault="004C5A11" w:rsidP="00123EB1">
      <w:pPr>
        <w:rPr>
          <w:rFonts w:ascii="Times New Roman" w:hAnsi="Times New Roman" w:cs="Times New Roman"/>
          <w:sz w:val="24"/>
          <w:szCs w:val="24"/>
        </w:rPr>
      </w:pPr>
      <w:r w:rsidRPr="001D704A">
        <w:rPr>
          <w:rFonts w:ascii="Times New Roman" w:hAnsi="Times New Roman" w:cs="Times New Roman"/>
          <w:sz w:val="24"/>
          <w:szCs w:val="24"/>
        </w:rPr>
        <w:t xml:space="preserve">The target groups for this project are particular cohorts of migrants. The project will provide benefit to migrants by supporting and improving their employment prospects. This will help migrants to contribute to the Australian workforce at an appropriate skill level, through the provision of skills assessments, employability assessments and skills gap training.  </w:t>
      </w:r>
    </w:p>
    <w:p w14:paraId="7EAD8DD5" w14:textId="77777777" w:rsidR="002065BB" w:rsidRPr="001D704A" w:rsidRDefault="002065BB" w:rsidP="00123EB1">
      <w:pPr>
        <w:rPr>
          <w:rFonts w:ascii="Times New Roman" w:hAnsi="Times New Roman" w:cs="Times New Roman"/>
          <w:sz w:val="24"/>
          <w:szCs w:val="24"/>
        </w:rPr>
      </w:pPr>
    </w:p>
    <w:p w14:paraId="12CA2207" w14:textId="0051EA36"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 xml:space="preserve">table item </w:t>
      </w:r>
      <w:r w:rsidR="004B105F" w:rsidRPr="001D704A">
        <w:rPr>
          <w:rFonts w:ascii="Times New Roman" w:hAnsi="Times New Roman" w:cs="Times New Roman"/>
          <w:b/>
          <w:iCs/>
          <w:color w:val="000000" w:themeColor="text1"/>
          <w:sz w:val="24"/>
          <w:szCs w:val="24"/>
        </w:rPr>
        <w:t>519</w:t>
      </w:r>
      <w:r w:rsidRPr="001D704A">
        <w:rPr>
          <w:rFonts w:ascii="Times New Roman" w:hAnsi="Times New Roman" w:cs="Times New Roman"/>
          <w:iCs/>
          <w:color w:val="000000" w:themeColor="text1"/>
          <w:sz w:val="24"/>
          <w:szCs w:val="24"/>
        </w:rPr>
        <w:t xml:space="preserve"> establishes (and renews) legislative authority for government spending on the Skills for Education and Employment Program (</w:t>
      </w:r>
      <w:r w:rsidR="00BA3DD7" w:rsidRPr="001D704A">
        <w:rPr>
          <w:rFonts w:ascii="Times New Roman" w:hAnsi="Times New Roman" w:cs="Times New Roman"/>
          <w:iCs/>
          <w:color w:val="000000" w:themeColor="text1"/>
          <w:sz w:val="24"/>
          <w:szCs w:val="24"/>
        </w:rPr>
        <w:t xml:space="preserve">the </w:t>
      </w:r>
      <w:r w:rsidR="004B105F"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w:t>
      </w:r>
      <w:r w:rsidR="004B105F"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which </w:t>
      </w:r>
      <w:r w:rsidRPr="001D704A">
        <w:rPr>
          <w:rFonts w:ascii="Times New Roman" w:hAnsi="Times New Roman" w:cs="Times New Roman"/>
          <w:sz w:val="24"/>
          <w:szCs w:val="24"/>
        </w:rPr>
        <w:t>provides language, literacy, numeracy</w:t>
      </w:r>
      <w:r w:rsidR="004B105F" w:rsidRPr="001D704A">
        <w:rPr>
          <w:rFonts w:ascii="Times New Roman" w:hAnsi="Times New Roman" w:cs="Times New Roman"/>
          <w:sz w:val="24"/>
          <w:szCs w:val="24"/>
        </w:rPr>
        <w:t xml:space="preserve"> and digital skills</w:t>
      </w:r>
      <w:r w:rsidRPr="001D704A">
        <w:rPr>
          <w:rFonts w:ascii="Times New Roman" w:hAnsi="Times New Roman" w:cs="Times New Roman"/>
          <w:sz w:val="24"/>
          <w:szCs w:val="24"/>
        </w:rPr>
        <w:t xml:space="preserve"> training to eligible job seekers, boosting their prospects for further education and employment opportunities. </w:t>
      </w:r>
    </w:p>
    <w:p w14:paraId="6F881931" w14:textId="77777777" w:rsidR="00044CD6" w:rsidRPr="001D704A" w:rsidRDefault="00044CD6" w:rsidP="00123EB1">
      <w:pPr>
        <w:rPr>
          <w:rFonts w:ascii="Times New Roman" w:hAnsi="Times New Roman" w:cs="Times New Roman"/>
          <w:sz w:val="24"/>
          <w:szCs w:val="24"/>
        </w:rPr>
      </w:pPr>
    </w:p>
    <w:p w14:paraId="533B64E9" w14:textId="7D5F25CC"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4B105F" w:rsidRPr="001D704A">
        <w:rPr>
          <w:rFonts w:ascii="Times New Roman" w:hAnsi="Times New Roman" w:cs="Times New Roman"/>
          <w:sz w:val="24"/>
          <w:szCs w:val="24"/>
        </w:rPr>
        <w:t>p</w:t>
      </w:r>
      <w:r w:rsidRPr="001D704A">
        <w:rPr>
          <w:rFonts w:ascii="Times New Roman" w:hAnsi="Times New Roman" w:cs="Times New Roman"/>
          <w:sz w:val="24"/>
          <w:szCs w:val="24"/>
        </w:rPr>
        <w:t>rogram was established in 2002 when the Literacy and Numeracy program was amalgamated with the Advance</w:t>
      </w:r>
      <w:r w:rsidR="004B105F" w:rsidRPr="001D704A">
        <w:rPr>
          <w:rFonts w:ascii="Times New Roman" w:hAnsi="Times New Roman" w:cs="Times New Roman"/>
          <w:sz w:val="24"/>
          <w:szCs w:val="24"/>
        </w:rPr>
        <w:t>d</w:t>
      </w:r>
      <w:r w:rsidRPr="001D704A">
        <w:rPr>
          <w:rFonts w:ascii="Times New Roman" w:hAnsi="Times New Roman" w:cs="Times New Roman"/>
          <w:sz w:val="24"/>
          <w:szCs w:val="24"/>
        </w:rPr>
        <w:t xml:space="preserve"> English for Migrant</w:t>
      </w:r>
      <w:r w:rsidR="004B105F" w:rsidRPr="001D704A">
        <w:rPr>
          <w:rFonts w:ascii="Times New Roman" w:hAnsi="Times New Roman" w:cs="Times New Roman"/>
          <w:sz w:val="24"/>
          <w:szCs w:val="24"/>
        </w:rPr>
        <w:t>s</w:t>
      </w:r>
      <w:r w:rsidRPr="001D704A">
        <w:rPr>
          <w:rFonts w:ascii="Times New Roman" w:hAnsi="Times New Roman" w:cs="Times New Roman"/>
          <w:sz w:val="24"/>
          <w:szCs w:val="24"/>
        </w:rPr>
        <w:t xml:space="preserve"> Program. </w:t>
      </w:r>
      <w:r w:rsidR="004B105F" w:rsidRPr="001D704A">
        <w:rPr>
          <w:rFonts w:ascii="Times New Roman" w:hAnsi="Times New Roman" w:cs="Times New Roman"/>
          <w:sz w:val="24"/>
          <w:szCs w:val="24"/>
        </w:rPr>
        <w:t>The current p</w:t>
      </w:r>
      <w:r w:rsidRPr="001D704A">
        <w:rPr>
          <w:rFonts w:ascii="Times New Roman" w:hAnsi="Times New Roman" w:cs="Times New Roman"/>
          <w:sz w:val="24"/>
          <w:szCs w:val="24"/>
        </w:rPr>
        <w:t>rogram is delivered to job seekers who</w:t>
      </w:r>
      <w:r w:rsidR="004B105F" w:rsidRPr="001D704A">
        <w:rPr>
          <w:rFonts w:ascii="Times New Roman" w:hAnsi="Times New Roman" w:cs="Times New Roman"/>
          <w:sz w:val="24"/>
          <w:szCs w:val="24"/>
        </w:rPr>
        <w:t xml:space="preserve"> are</w:t>
      </w:r>
      <w:r w:rsidRPr="001D704A">
        <w:rPr>
          <w:rFonts w:ascii="Times New Roman" w:hAnsi="Times New Roman" w:cs="Times New Roman"/>
          <w:sz w:val="24"/>
          <w:szCs w:val="24"/>
        </w:rPr>
        <w:t>:</w:t>
      </w:r>
    </w:p>
    <w:p w14:paraId="289B1F14" w14:textId="1663BA8D" w:rsidR="00044CD6" w:rsidRPr="001D704A" w:rsidRDefault="004B105F"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of</w:t>
      </w:r>
      <w:r w:rsidR="00044CD6" w:rsidRPr="001D704A">
        <w:rPr>
          <w:rFonts w:ascii="Times New Roman" w:hAnsi="Times New Roman" w:cs="Times New Roman"/>
          <w:bCs/>
          <w:sz w:val="24"/>
          <w:szCs w:val="24"/>
        </w:rPr>
        <w:t xml:space="preserve"> working age (15 years to age pension</w:t>
      </w:r>
      <w:r w:rsidRPr="001D704A">
        <w:rPr>
          <w:rFonts w:ascii="Times New Roman" w:hAnsi="Times New Roman" w:cs="Times New Roman"/>
          <w:bCs/>
          <w:sz w:val="24"/>
          <w:szCs w:val="24"/>
        </w:rPr>
        <w:t xml:space="preserve"> age</w:t>
      </w:r>
      <w:r w:rsidR="00044CD6" w:rsidRPr="001D704A">
        <w:rPr>
          <w:rFonts w:ascii="Times New Roman" w:hAnsi="Times New Roman" w:cs="Times New Roman"/>
          <w:bCs/>
          <w:sz w:val="24"/>
          <w:szCs w:val="24"/>
        </w:rPr>
        <w:t>);</w:t>
      </w:r>
    </w:p>
    <w:p w14:paraId="62041356" w14:textId="20D70F15"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registered as job seekers;</w:t>
      </w:r>
    </w:p>
    <w:p w14:paraId="5166B89C" w14:textId="0A46EAFA"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not studying full-time or participating in the New Enterprise Incentive Scheme or the Adult Migrant </w:t>
      </w:r>
      <w:r w:rsidR="004B105F" w:rsidRPr="001D704A">
        <w:rPr>
          <w:rFonts w:ascii="Times New Roman" w:hAnsi="Times New Roman" w:cs="Times New Roman"/>
          <w:bCs/>
          <w:sz w:val="24"/>
          <w:szCs w:val="24"/>
        </w:rPr>
        <w:t xml:space="preserve">English </w:t>
      </w:r>
      <w:r w:rsidRPr="001D704A">
        <w:rPr>
          <w:rFonts w:ascii="Times New Roman" w:hAnsi="Times New Roman" w:cs="Times New Roman"/>
          <w:bCs/>
          <w:sz w:val="24"/>
          <w:szCs w:val="24"/>
        </w:rPr>
        <w:t>Program;</w:t>
      </w:r>
    </w:p>
    <w:p w14:paraId="6CC527DD" w14:textId="0C65217E"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deemed suitable for the </w:t>
      </w:r>
      <w:r w:rsidR="004B105F" w:rsidRPr="001D704A">
        <w:rPr>
          <w:rFonts w:ascii="Times New Roman" w:hAnsi="Times New Roman" w:cs="Times New Roman"/>
          <w:bCs/>
          <w:sz w:val="24"/>
          <w:szCs w:val="24"/>
        </w:rPr>
        <w:t>p</w:t>
      </w:r>
      <w:r w:rsidRPr="001D704A">
        <w:rPr>
          <w:rFonts w:ascii="Times New Roman" w:hAnsi="Times New Roman" w:cs="Times New Roman"/>
          <w:bCs/>
          <w:sz w:val="24"/>
          <w:szCs w:val="24"/>
        </w:rPr>
        <w:t>rogram with a capacity to benefit; and</w:t>
      </w:r>
    </w:p>
    <w:p w14:paraId="62973867" w14:textId="799CACC2"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Australian citizens or permanent residents, or otherwise have working rights in Australia.</w:t>
      </w:r>
    </w:p>
    <w:p w14:paraId="5E5BAFA4" w14:textId="77777777" w:rsidR="00044CD6" w:rsidRPr="001D704A" w:rsidRDefault="00044CD6" w:rsidP="00123EB1">
      <w:pPr>
        <w:rPr>
          <w:rFonts w:ascii="Times New Roman" w:hAnsi="Times New Roman" w:cs="Times New Roman"/>
          <w:sz w:val="24"/>
          <w:szCs w:val="24"/>
        </w:rPr>
      </w:pPr>
    </w:p>
    <w:p w14:paraId="7E6E19D0" w14:textId="4C67FFE6"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current </w:t>
      </w:r>
      <w:r w:rsidR="0008501F" w:rsidRPr="001D704A">
        <w:rPr>
          <w:rFonts w:ascii="Times New Roman" w:hAnsi="Times New Roman" w:cs="Times New Roman"/>
          <w:sz w:val="24"/>
          <w:szCs w:val="24"/>
        </w:rPr>
        <w:t>p</w:t>
      </w:r>
      <w:r w:rsidRPr="001D704A">
        <w:rPr>
          <w:rFonts w:ascii="Times New Roman" w:hAnsi="Times New Roman" w:cs="Times New Roman"/>
          <w:sz w:val="24"/>
          <w:szCs w:val="24"/>
        </w:rPr>
        <w:t>rogram caters to various groups, including Aboriginal and Torres Strait Islander people, young people, people with disability, mature age</w:t>
      </w:r>
      <w:r w:rsidR="001E4E99" w:rsidRPr="001D704A">
        <w:rPr>
          <w:rFonts w:ascii="Times New Roman" w:hAnsi="Times New Roman" w:cs="Times New Roman"/>
          <w:sz w:val="24"/>
          <w:szCs w:val="24"/>
        </w:rPr>
        <w:t>d</w:t>
      </w:r>
      <w:r w:rsidRPr="001D704A">
        <w:rPr>
          <w:rFonts w:ascii="Times New Roman" w:hAnsi="Times New Roman" w:cs="Times New Roman"/>
          <w:sz w:val="24"/>
          <w:szCs w:val="24"/>
        </w:rPr>
        <w:t xml:space="preserve"> people and people from culturally and linguistically diverse backgrounds. Eligible job seekers are presently referred to the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by Services Australia, as well as by </w:t>
      </w:r>
      <w:r w:rsidR="001E4E99" w:rsidRPr="001D704A">
        <w:rPr>
          <w:rFonts w:ascii="Times New Roman" w:hAnsi="Times New Roman" w:cs="Times New Roman"/>
          <w:sz w:val="24"/>
          <w:szCs w:val="24"/>
        </w:rPr>
        <w:t xml:space="preserve">the </w:t>
      </w:r>
      <w:r w:rsidRPr="001D704A">
        <w:rPr>
          <w:rFonts w:ascii="Times New Roman" w:hAnsi="Times New Roman" w:cs="Times New Roman"/>
          <w:sz w:val="24"/>
          <w:szCs w:val="24"/>
        </w:rPr>
        <w:t xml:space="preserve">Community Development Program, Disability Employment Services, jobactive, ParentsNext and Transition to Work providers. </w:t>
      </w:r>
    </w:p>
    <w:p w14:paraId="60E14EB3" w14:textId="77777777" w:rsidR="00044CD6" w:rsidRPr="001D704A" w:rsidRDefault="00044CD6" w:rsidP="00123EB1">
      <w:pPr>
        <w:rPr>
          <w:rFonts w:ascii="Times New Roman" w:hAnsi="Times New Roman" w:cs="Times New Roman"/>
          <w:sz w:val="24"/>
          <w:szCs w:val="24"/>
        </w:rPr>
      </w:pPr>
    </w:p>
    <w:p w14:paraId="3E9518E5" w14:textId="55E201D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The department has procured the services of 20 registered training organisations to de</w:t>
      </w:r>
      <w:r w:rsidR="001E4E99" w:rsidRPr="001D704A">
        <w:rPr>
          <w:rFonts w:ascii="Times New Roman" w:hAnsi="Times New Roman" w:cs="Times New Roman"/>
          <w:sz w:val="24"/>
          <w:szCs w:val="24"/>
        </w:rPr>
        <w:t>liver the current p</w:t>
      </w:r>
      <w:r w:rsidRPr="001D704A">
        <w:rPr>
          <w:rFonts w:ascii="Times New Roman" w:hAnsi="Times New Roman" w:cs="Times New Roman"/>
          <w:sz w:val="24"/>
          <w:szCs w:val="24"/>
        </w:rPr>
        <w:t xml:space="preserve">rogram in 58 contract regions that span the whole of Australia. These registered training organisations provide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rogram participants with training (currently capped at 650 hours)</w:t>
      </w:r>
      <w:r w:rsidR="001E4E99" w:rsidRPr="001D704A">
        <w:rPr>
          <w:rFonts w:ascii="Times New Roman" w:hAnsi="Times New Roman" w:cs="Times New Roman"/>
          <w:sz w:val="24"/>
          <w:szCs w:val="24"/>
        </w:rPr>
        <w:t xml:space="preserve"> and</w:t>
      </w:r>
      <w:r w:rsidRPr="001D704A">
        <w:rPr>
          <w:rFonts w:ascii="Times New Roman" w:hAnsi="Times New Roman" w:cs="Times New Roman"/>
          <w:sz w:val="24"/>
          <w:szCs w:val="24"/>
        </w:rPr>
        <w:t xml:space="preserve"> assess</w:t>
      </w:r>
      <w:r w:rsidR="001E4E99" w:rsidRPr="001D704A">
        <w:rPr>
          <w:rFonts w:ascii="Times New Roman" w:hAnsi="Times New Roman" w:cs="Times New Roman"/>
          <w:sz w:val="24"/>
          <w:szCs w:val="24"/>
        </w:rPr>
        <w:t xml:space="preserve"> p</w:t>
      </w:r>
      <w:r w:rsidRPr="001D704A">
        <w:rPr>
          <w:rFonts w:ascii="Times New Roman" w:hAnsi="Times New Roman" w:cs="Times New Roman"/>
          <w:sz w:val="24"/>
          <w:szCs w:val="24"/>
        </w:rPr>
        <w:t>rogram participants against, and suppor</w:t>
      </w:r>
      <w:r w:rsidR="001E4E99" w:rsidRPr="001D704A">
        <w:rPr>
          <w:rFonts w:ascii="Times New Roman" w:hAnsi="Times New Roman" w:cs="Times New Roman"/>
          <w:sz w:val="24"/>
          <w:szCs w:val="24"/>
        </w:rPr>
        <w:t>t them</w:t>
      </w:r>
      <w:r w:rsidRPr="001D704A">
        <w:rPr>
          <w:rFonts w:ascii="Times New Roman" w:hAnsi="Times New Roman" w:cs="Times New Roman"/>
          <w:sz w:val="24"/>
          <w:szCs w:val="24"/>
        </w:rPr>
        <w:t xml:space="preserve"> through, the Australian Core Skills Framework. Contracted registered training organisations also provide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rogra</w:t>
      </w:r>
      <w:r w:rsidR="001E4E99" w:rsidRPr="001D704A">
        <w:rPr>
          <w:rFonts w:ascii="Times New Roman" w:hAnsi="Times New Roman" w:cs="Times New Roman"/>
          <w:sz w:val="24"/>
          <w:szCs w:val="24"/>
        </w:rPr>
        <w:t>m participants with a v</w:t>
      </w:r>
      <w:r w:rsidRPr="001D704A">
        <w:rPr>
          <w:rFonts w:ascii="Times New Roman" w:hAnsi="Times New Roman" w:cs="Times New Roman"/>
          <w:sz w:val="24"/>
          <w:szCs w:val="24"/>
        </w:rPr>
        <w:t xml:space="preserve">ocational </w:t>
      </w:r>
      <w:r w:rsidR="001E4E99" w:rsidRPr="001D704A">
        <w:rPr>
          <w:rFonts w:ascii="Times New Roman" w:hAnsi="Times New Roman" w:cs="Times New Roman"/>
          <w:sz w:val="24"/>
          <w:szCs w:val="24"/>
        </w:rPr>
        <w:t>e</w:t>
      </w:r>
      <w:r w:rsidRPr="001D704A">
        <w:rPr>
          <w:rFonts w:ascii="Times New Roman" w:hAnsi="Times New Roman" w:cs="Times New Roman"/>
          <w:sz w:val="24"/>
          <w:szCs w:val="24"/>
        </w:rPr>
        <w:t xml:space="preserve">ducation and </w:t>
      </w:r>
      <w:r w:rsidR="001E4E99" w:rsidRPr="001D704A">
        <w:rPr>
          <w:rFonts w:ascii="Times New Roman" w:hAnsi="Times New Roman" w:cs="Times New Roman"/>
          <w:sz w:val="24"/>
          <w:szCs w:val="24"/>
        </w:rPr>
        <w:t>t</w:t>
      </w:r>
      <w:r w:rsidRPr="001D704A">
        <w:rPr>
          <w:rFonts w:ascii="Times New Roman" w:hAnsi="Times New Roman" w:cs="Times New Roman"/>
          <w:sz w:val="24"/>
          <w:szCs w:val="24"/>
        </w:rPr>
        <w:t xml:space="preserve">raining (VET) qualification (up to Certificate III level) or a VET statement of attainment. The department has also procured the services of an additional provider, who quality assures the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rogram.</w:t>
      </w:r>
    </w:p>
    <w:p w14:paraId="78E8EA4C" w14:textId="77777777" w:rsidR="00044CD6" w:rsidRPr="001D704A" w:rsidRDefault="00044CD6" w:rsidP="00123EB1">
      <w:pPr>
        <w:rPr>
          <w:rFonts w:ascii="Times New Roman" w:hAnsi="Times New Roman" w:cs="Times New Roman"/>
          <w:sz w:val="24"/>
          <w:szCs w:val="24"/>
        </w:rPr>
      </w:pPr>
    </w:p>
    <w:p w14:paraId="1A714F09" w14:textId="03EFBE28"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In the 2021-22 Budget, the Government announced that it would increase </w:t>
      </w:r>
      <w:r w:rsidR="001E4E99" w:rsidRPr="001D704A">
        <w:rPr>
          <w:rFonts w:ascii="Times New Roman" w:hAnsi="Times New Roman" w:cs="Times New Roman"/>
          <w:sz w:val="24"/>
          <w:szCs w:val="24"/>
        </w:rPr>
        <w:t>its</w:t>
      </w:r>
      <w:r w:rsidRPr="001D704A">
        <w:rPr>
          <w:rFonts w:ascii="Times New Roman" w:hAnsi="Times New Roman" w:cs="Times New Roman"/>
          <w:sz w:val="24"/>
          <w:szCs w:val="24"/>
        </w:rPr>
        <w:t xml:space="preserve"> investment in the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over five years, allowing places in the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rogram to be ‘uncapped’. This mean</w:t>
      </w:r>
      <w:r w:rsidR="001E4E99" w:rsidRPr="001D704A">
        <w:rPr>
          <w:rFonts w:ascii="Times New Roman" w:hAnsi="Times New Roman" w:cs="Times New Roman"/>
          <w:sz w:val="24"/>
          <w:szCs w:val="24"/>
        </w:rPr>
        <w:t>s</w:t>
      </w:r>
      <w:r w:rsidR="00794620" w:rsidRPr="001D704A">
        <w:rPr>
          <w:rFonts w:ascii="Times New Roman" w:hAnsi="Times New Roman" w:cs="Times New Roman"/>
          <w:sz w:val="24"/>
          <w:szCs w:val="24"/>
        </w:rPr>
        <w:t xml:space="preserve"> that</w:t>
      </w:r>
      <w:r w:rsidRPr="001D704A">
        <w:rPr>
          <w:rFonts w:ascii="Times New Roman" w:hAnsi="Times New Roman" w:cs="Times New Roman"/>
          <w:sz w:val="24"/>
          <w:szCs w:val="24"/>
        </w:rPr>
        <w:t xml:space="preserve"> from 1 July 2021 all registered job seekers, regardless of whether they receive income support, have been able to participate in the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rogram. This also means that from 1</w:t>
      </w:r>
      <w:r w:rsidR="001E4E99" w:rsidRPr="001D704A">
        <w:rPr>
          <w:rFonts w:ascii="Times New Roman" w:hAnsi="Times New Roman" w:cs="Times New Roman"/>
          <w:sz w:val="24"/>
          <w:szCs w:val="24"/>
        </w:rPr>
        <w:t> </w:t>
      </w:r>
      <w:r w:rsidRPr="001D704A">
        <w:rPr>
          <w:rFonts w:ascii="Times New Roman" w:hAnsi="Times New Roman" w:cs="Times New Roman"/>
          <w:sz w:val="24"/>
          <w:szCs w:val="24"/>
        </w:rPr>
        <w:t>January</w:t>
      </w:r>
      <w:r w:rsidR="001E4E99" w:rsidRPr="001D704A">
        <w:rPr>
          <w:rFonts w:ascii="Times New Roman" w:hAnsi="Times New Roman" w:cs="Times New Roman"/>
          <w:sz w:val="24"/>
          <w:szCs w:val="24"/>
        </w:rPr>
        <w:t> </w:t>
      </w:r>
      <w:r w:rsidRPr="001D704A">
        <w:rPr>
          <w:rFonts w:ascii="Times New Roman" w:hAnsi="Times New Roman" w:cs="Times New Roman"/>
          <w:sz w:val="24"/>
          <w:szCs w:val="24"/>
        </w:rPr>
        <w:t xml:space="preserve">2022 </w:t>
      </w:r>
      <w:r w:rsidR="001E4E99"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participants will be able to access uncapped hours of training to allow them to complete a VET qualification up to Certificate III level. </w:t>
      </w:r>
    </w:p>
    <w:p w14:paraId="07F1D5A1" w14:textId="77777777" w:rsidR="00044CD6" w:rsidRPr="001D704A" w:rsidRDefault="00044CD6" w:rsidP="00123EB1">
      <w:pPr>
        <w:rPr>
          <w:rFonts w:ascii="Times New Roman" w:hAnsi="Times New Roman" w:cs="Times New Roman"/>
          <w:sz w:val="24"/>
          <w:szCs w:val="24"/>
        </w:rPr>
      </w:pPr>
    </w:p>
    <w:p w14:paraId="639D2E4B" w14:textId="332340AD"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On 11 May 2021,</w:t>
      </w:r>
      <w:r w:rsidRPr="001D704A">
        <w:t xml:space="preserve"> </w:t>
      </w:r>
      <w:r w:rsidRPr="001D704A">
        <w:rPr>
          <w:rFonts w:ascii="Times New Roman" w:hAnsi="Times New Roman" w:cs="Times New Roman"/>
          <w:sz w:val="24"/>
          <w:szCs w:val="24"/>
        </w:rPr>
        <w:t>the Minister for Employment, Workforce, Skills, Small and Family Business, the Hon Stuart Robert MP</w:t>
      </w:r>
      <w:r w:rsidR="001E4E99" w:rsidRPr="001D704A">
        <w:rPr>
          <w:rFonts w:ascii="Times New Roman" w:hAnsi="Times New Roman" w:cs="Times New Roman"/>
          <w:sz w:val="24"/>
          <w:szCs w:val="24"/>
        </w:rPr>
        <w:t>,</w:t>
      </w:r>
      <w:r w:rsidRPr="001D704A">
        <w:rPr>
          <w:rFonts w:ascii="Times New Roman" w:hAnsi="Times New Roman" w:cs="Times New Roman"/>
          <w:sz w:val="24"/>
          <w:szCs w:val="24"/>
        </w:rPr>
        <w:t xml:space="preserve"> also announced that </w:t>
      </w:r>
      <w:r w:rsidR="001E4E99" w:rsidRPr="001D704A">
        <w:rPr>
          <w:rFonts w:ascii="Times New Roman" w:hAnsi="Times New Roman" w:cs="Times New Roman"/>
          <w:sz w:val="24"/>
          <w:szCs w:val="24"/>
        </w:rPr>
        <w:t>the Government</w:t>
      </w:r>
      <w:r w:rsidRPr="001D704A">
        <w:rPr>
          <w:rFonts w:ascii="Times New Roman" w:hAnsi="Times New Roman" w:cs="Times New Roman"/>
          <w:sz w:val="24"/>
          <w:szCs w:val="24"/>
        </w:rPr>
        <w:t xml:space="preserve"> would increase project funding over the next two years to accelerate the inclusion of digital skills training for job seek</w:t>
      </w:r>
      <w:r w:rsidR="001E4E99" w:rsidRPr="001D704A">
        <w:rPr>
          <w:rFonts w:ascii="Times New Roman" w:hAnsi="Times New Roman" w:cs="Times New Roman"/>
          <w:sz w:val="24"/>
          <w:szCs w:val="24"/>
        </w:rPr>
        <w:t>ers in the p</w:t>
      </w:r>
      <w:r w:rsidRPr="001D704A">
        <w:rPr>
          <w:rFonts w:ascii="Times New Roman" w:hAnsi="Times New Roman" w:cs="Times New Roman"/>
          <w:sz w:val="24"/>
          <w:szCs w:val="24"/>
        </w:rPr>
        <w:t xml:space="preserve">rogram. </w:t>
      </w:r>
      <w:r w:rsidR="001E4E99" w:rsidRPr="001D704A">
        <w:rPr>
          <w:rFonts w:ascii="Times New Roman" w:hAnsi="Times New Roman" w:cs="Times New Roman"/>
          <w:sz w:val="24"/>
          <w:szCs w:val="24"/>
        </w:rPr>
        <w:t>M</w:t>
      </w:r>
      <w:r w:rsidRPr="001D704A">
        <w:rPr>
          <w:rFonts w:ascii="Times New Roman" w:hAnsi="Times New Roman" w:cs="Times New Roman"/>
          <w:sz w:val="24"/>
          <w:szCs w:val="24"/>
        </w:rPr>
        <w:t xml:space="preserve">edia release is available at </w:t>
      </w:r>
      <w:r w:rsidRPr="001D704A">
        <w:rPr>
          <w:rFonts w:ascii="Times New Roman" w:hAnsi="Times New Roman" w:cs="Times New Roman"/>
          <w:sz w:val="24"/>
          <w:szCs w:val="24"/>
          <w:u w:val="single"/>
        </w:rPr>
        <w:t>https://ministers.dese.gov.au/robert/securing-our-economic-recovery-keeping-australians-working</w:t>
      </w:r>
      <w:r w:rsidRPr="001D704A">
        <w:rPr>
          <w:rFonts w:ascii="Times New Roman" w:hAnsi="Times New Roman" w:cs="Times New Roman"/>
          <w:sz w:val="24"/>
          <w:szCs w:val="24"/>
        </w:rPr>
        <w:t>.</w:t>
      </w:r>
    </w:p>
    <w:p w14:paraId="2005E4EA" w14:textId="77777777" w:rsidR="00044CD6" w:rsidRPr="001D704A" w:rsidRDefault="00044CD6" w:rsidP="00123EB1">
      <w:pPr>
        <w:rPr>
          <w:rFonts w:ascii="Times New Roman" w:hAnsi="Times New Roman" w:cs="Times New Roman"/>
          <w:sz w:val="24"/>
          <w:szCs w:val="24"/>
        </w:rPr>
      </w:pPr>
    </w:p>
    <w:p w14:paraId="1D2BAD8A" w14:textId="3008C49A"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bCs/>
          <w:sz w:val="24"/>
          <w:szCs w:val="24"/>
        </w:rPr>
        <w:t>Digital literacy is increasingly becoming an essential skill required in most occupations on the critical skills list, as well as for entry level jobs for job seekers. Incorporating digital skills train</w:t>
      </w:r>
      <w:r w:rsidR="001E4E99" w:rsidRPr="001D704A">
        <w:rPr>
          <w:rFonts w:ascii="Times New Roman" w:hAnsi="Times New Roman" w:cs="Times New Roman"/>
          <w:bCs/>
          <w:sz w:val="24"/>
          <w:szCs w:val="24"/>
        </w:rPr>
        <w:t>ing into the p</w:t>
      </w:r>
      <w:r w:rsidRPr="001D704A">
        <w:rPr>
          <w:rFonts w:ascii="Times New Roman" w:hAnsi="Times New Roman" w:cs="Times New Roman"/>
          <w:bCs/>
          <w:sz w:val="24"/>
          <w:szCs w:val="24"/>
        </w:rPr>
        <w:t xml:space="preserve">rogram will ensure job seekers gain digital literacy skills, boosting their prospects for further education and employment opportunities. </w:t>
      </w:r>
      <w:r w:rsidRPr="001D704A">
        <w:rPr>
          <w:rFonts w:ascii="Times New Roman" w:hAnsi="Times New Roman" w:cs="Times New Roman"/>
          <w:sz w:val="24"/>
          <w:szCs w:val="24"/>
        </w:rPr>
        <w:t>Th</w:t>
      </w:r>
      <w:r w:rsidR="001E4E99" w:rsidRPr="001D704A">
        <w:rPr>
          <w:rFonts w:ascii="Times New Roman" w:hAnsi="Times New Roman" w:cs="Times New Roman"/>
          <w:sz w:val="24"/>
          <w:szCs w:val="24"/>
        </w:rPr>
        <w:t xml:space="preserve">e </w:t>
      </w:r>
      <w:r w:rsidRPr="001D704A">
        <w:rPr>
          <w:rFonts w:ascii="Times New Roman" w:hAnsi="Times New Roman" w:cs="Times New Roman"/>
          <w:sz w:val="24"/>
          <w:szCs w:val="24"/>
        </w:rPr>
        <w:t>project</w:t>
      </w:r>
      <w:r w:rsidR="001E4E99" w:rsidRPr="001D704A">
        <w:rPr>
          <w:rFonts w:ascii="Times New Roman" w:hAnsi="Times New Roman" w:cs="Times New Roman"/>
          <w:sz w:val="24"/>
          <w:szCs w:val="24"/>
        </w:rPr>
        <w:t xml:space="preserve"> funding</w:t>
      </w:r>
      <w:r w:rsidRPr="001D704A">
        <w:rPr>
          <w:rFonts w:ascii="Times New Roman" w:hAnsi="Times New Roman" w:cs="Times New Roman"/>
          <w:sz w:val="24"/>
          <w:szCs w:val="24"/>
        </w:rPr>
        <w:t xml:space="preserve"> will </w:t>
      </w:r>
      <w:r w:rsidR="001E4E99" w:rsidRPr="001D704A">
        <w:rPr>
          <w:rFonts w:ascii="Times New Roman" w:hAnsi="Times New Roman" w:cs="Times New Roman"/>
          <w:sz w:val="24"/>
          <w:szCs w:val="24"/>
        </w:rPr>
        <w:t>support</w:t>
      </w:r>
      <w:r w:rsidRPr="001D704A">
        <w:rPr>
          <w:rFonts w:ascii="Times New Roman" w:hAnsi="Times New Roman" w:cs="Times New Roman"/>
          <w:sz w:val="24"/>
          <w:szCs w:val="24"/>
        </w:rPr>
        <w:t>:</w:t>
      </w:r>
    </w:p>
    <w:p w14:paraId="2FAD5A61" w14:textId="3850B5E8"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increasing the number and scale of </w:t>
      </w:r>
      <w:r w:rsidR="001E4E99" w:rsidRPr="001D704A">
        <w:rPr>
          <w:rFonts w:ascii="Times New Roman" w:hAnsi="Times New Roman" w:cs="Times New Roman"/>
          <w:bCs/>
          <w:sz w:val="24"/>
          <w:szCs w:val="24"/>
        </w:rPr>
        <w:t>p</w:t>
      </w:r>
      <w:r w:rsidRPr="001D704A">
        <w:rPr>
          <w:rFonts w:ascii="Times New Roman" w:hAnsi="Times New Roman" w:cs="Times New Roman"/>
          <w:bCs/>
          <w:sz w:val="24"/>
          <w:szCs w:val="24"/>
        </w:rPr>
        <w:t>rojects focused on digital skills delivery, including classroom trials; and</w:t>
      </w:r>
    </w:p>
    <w:p w14:paraId="28710D83" w14:textId="270694BE"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upskilling relevant trainers to better incorporate digital skills into the </w:t>
      </w:r>
      <w:r w:rsidR="001E4E99" w:rsidRPr="001D704A">
        <w:rPr>
          <w:rFonts w:ascii="Times New Roman" w:hAnsi="Times New Roman" w:cs="Times New Roman"/>
          <w:bCs/>
          <w:sz w:val="24"/>
          <w:szCs w:val="24"/>
        </w:rPr>
        <w:t>p</w:t>
      </w:r>
      <w:r w:rsidRPr="001D704A">
        <w:rPr>
          <w:rFonts w:ascii="Times New Roman" w:hAnsi="Times New Roman" w:cs="Times New Roman"/>
          <w:bCs/>
          <w:sz w:val="24"/>
          <w:szCs w:val="24"/>
        </w:rPr>
        <w:t>rogram.</w:t>
      </w:r>
    </w:p>
    <w:p w14:paraId="14201F01" w14:textId="77777777" w:rsidR="00044CD6" w:rsidRPr="001D704A" w:rsidRDefault="00044CD6" w:rsidP="00123EB1">
      <w:pPr>
        <w:rPr>
          <w:rFonts w:ascii="Times New Roman" w:hAnsi="Times New Roman" w:cs="Times New Roman"/>
          <w:sz w:val="24"/>
          <w:szCs w:val="24"/>
        </w:rPr>
      </w:pPr>
    </w:p>
    <w:p w14:paraId="2F52169F" w14:textId="06D8655E" w:rsidR="00044CD6" w:rsidRPr="001D704A" w:rsidRDefault="00044CD6" w:rsidP="00123EB1">
      <w:pPr>
        <w:rPr>
          <w:rFonts w:ascii="Times New Roman" w:hAnsi="Times New Roman" w:cs="Times New Roman"/>
          <w:bCs/>
          <w:sz w:val="24"/>
          <w:szCs w:val="24"/>
        </w:rPr>
      </w:pPr>
      <w:r w:rsidRPr="001D704A">
        <w:rPr>
          <w:rFonts w:ascii="Times New Roman" w:hAnsi="Times New Roman" w:cs="Times New Roman"/>
          <w:bCs/>
          <w:sz w:val="24"/>
          <w:szCs w:val="24"/>
        </w:rPr>
        <w:t xml:space="preserve">In 2016, the department conducted a tender process to select registered training organisations to provide </w:t>
      </w:r>
      <w:r w:rsidR="001E4E99" w:rsidRPr="001D704A">
        <w:rPr>
          <w:rFonts w:ascii="Times New Roman" w:hAnsi="Times New Roman" w:cs="Times New Roman"/>
          <w:bCs/>
          <w:sz w:val="24"/>
          <w:szCs w:val="24"/>
        </w:rPr>
        <w:t>p</w:t>
      </w:r>
      <w:r w:rsidRPr="001D704A">
        <w:rPr>
          <w:rFonts w:ascii="Times New Roman" w:hAnsi="Times New Roman" w:cs="Times New Roman"/>
          <w:bCs/>
          <w:sz w:val="24"/>
          <w:szCs w:val="24"/>
        </w:rPr>
        <w:t xml:space="preserve">rogram services in each contract region. Successful registered training organisations entered into deeds of standing offer with the department to provide </w:t>
      </w:r>
      <w:r w:rsidR="001E4E99" w:rsidRPr="001D704A">
        <w:rPr>
          <w:rFonts w:ascii="Times New Roman" w:hAnsi="Times New Roman" w:cs="Times New Roman"/>
          <w:bCs/>
          <w:sz w:val="24"/>
          <w:szCs w:val="24"/>
        </w:rPr>
        <w:t>p</w:t>
      </w:r>
      <w:r w:rsidRPr="001D704A">
        <w:rPr>
          <w:rFonts w:ascii="Times New Roman" w:hAnsi="Times New Roman" w:cs="Times New Roman"/>
          <w:bCs/>
          <w:sz w:val="24"/>
          <w:szCs w:val="24"/>
        </w:rPr>
        <w:t>rogram services for a period commencing on 1 July 2017 and ending on 20 June 2023. Each of those agreements sets out the specific contract regions in which the relevant registered training organisat</w:t>
      </w:r>
      <w:r w:rsidR="001E4E99" w:rsidRPr="001D704A">
        <w:rPr>
          <w:rFonts w:ascii="Times New Roman" w:hAnsi="Times New Roman" w:cs="Times New Roman"/>
          <w:bCs/>
          <w:sz w:val="24"/>
          <w:szCs w:val="24"/>
        </w:rPr>
        <w:t>ion may be required to provide p</w:t>
      </w:r>
      <w:r w:rsidRPr="001D704A">
        <w:rPr>
          <w:rFonts w:ascii="Times New Roman" w:hAnsi="Times New Roman" w:cs="Times New Roman"/>
          <w:bCs/>
          <w:sz w:val="24"/>
          <w:szCs w:val="24"/>
        </w:rPr>
        <w:t xml:space="preserve">rogram services. </w:t>
      </w:r>
    </w:p>
    <w:p w14:paraId="53A246D9" w14:textId="11485B99" w:rsidR="00CF577A" w:rsidRPr="001D704A" w:rsidRDefault="00CF577A" w:rsidP="00123EB1">
      <w:pPr>
        <w:rPr>
          <w:rFonts w:ascii="Times New Roman" w:hAnsi="Times New Roman" w:cs="Times New Roman"/>
          <w:bCs/>
          <w:sz w:val="24"/>
          <w:szCs w:val="24"/>
        </w:rPr>
      </w:pPr>
    </w:p>
    <w:p w14:paraId="1FEEAA4A" w14:textId="6BEFE16C" w:rsidR="00CF577A" w:rsidRPr="001D704A" w:rsidRDefault="00CF577A" w:rsidP="00123EB1">
      <w:pPr>
        <w:rPr>
          <w:rFonts w:ascii="Times New Roman" w:hAnsi="Times New Roman" w:cs="Times New Roman"/>
          <w:bCs/>
          <w:sz w:val="24"/>
          <w:szCs w:val="24"/>
        </w:rPr>
      </w:pPr>
      <w:r w:rsidRPr="001D704A">
        <w:rPr>
          <w:rFonts w:ascii="Times New Roman" w:hAnsi="Times New Roman" w:cs="Times New Roman"/>
          <w:sz w:val="24"/>
          <w:szCs w:val="24"/>
        </w:rPr>
        <w:t>The final decision maker who entered into those arrangements and committed those monies was the Deputy Secretary, Skills and Training</w:t>
      </w:r>
      <w:r w:rsidR="00444D3D" w:rsidRPr="001D704A">
        <w:rPr>
          <w:rFonts w:ascii="Times New Roman" w:hAnsi="Times New Roman" w:cs="Times New Roman"/>
          <w:sz w:val="24"/>
          <w:szCs w:val="24"/>
        </w:rPr>
        <w:t xml:space="preserve"> Group</w:t>
      </w:r>
      <w:r w:rsidRPr="001D704A">
        <w:rPr>
          <w:rFonts w:ascii="Times New Roman" w:hAnsi="Times New Roman" w:cs="Times New Roman"/>
          <w:sz w:val="24"/>
          <w:szCs w:val="24"/>
        </w:rPr>
        <w:t>, a delegate of the Secretary of the department. That delegate was an SES Band 3 officer with a comprehensive understanding of the</w:t>
      </w:r>
      <w:r w:rsidR="00A70757" w:rsidRPr="001D704A">
        <w:rPr>
          <w:rFonts w:ascii="Times New Roman" w:hAnsi="Times New Roman" w:cs="Times New Roman"/>
          <w:sz w:val="24"/>
          <w:szCs w:val="24"/>
        </w:rPr>
        <w:t xml:space="preserve"> </w:t>
      </w:r>
      <w:r w:rsidRPr="001D704A">
        <w:rPr>
          <w:rFonts w:ascii="Times New Roman" w:hAnsi="Times New Roman" w:cs="Times New Roman"/>
          <w:sz w:val="24"/>
          <w:szCs w:val="24"/>
        </w:rPr>
        <w:t>program objectives and requirements, and a suitable and appropriate decision maker who could promote and safeguard the efficient, effective, economical and ethical management of the relevant public resources. The tender process and subsequent procurement decisions were conducted in a manner consistent with the PGPA Act, the CPRs and the department’s Accountable Authority Instructions. Information about the tender process and the resultant agreements is available on AusTender (</w:t>
      </w:r>
      <w:r w:rsidRPr="001D704A">
        <w:rPr>
          <w:rFonts w:ascii="Times New Roman" w:hAnsi="Times New Roman" w:cs="Times New Roman"/>
          <w:sz w:val="24"/>
          <w:szCs w:val="24"/>
          <w:u w:val="single"/>
        </w:rPr>
        <w:t>www.tenders.gov.au</w:t>
      </w:r>
      <w:r w:rsidRPr="001D704A">
        <w:rPr>
          <w:rFonts w:ascii="Times New Roman" w:hAnsi="Times New Roman" w:cs="Times New Roman"/>
          <w:sz w:val="24"/>
          <w:szCs w:val="24"/>
        </w:rPr>
        <w:t>) (SON ID: SON3422137).</w:t>
      </w:r>
    </w:p>
    <w:p w14:paraId="7B3AA082" w14:textId="77777777" w:rsidR="00044CD6" w:rsidRPr="001D704A" w:rsidRDefault="00044CD6" w:rsidP="00123EB1">
      <w:pPr>
        <w:rPr>
          <w:rFonts w:ascii="Times New Roman" w:hAnsi="Times New Roman" w:cs="Times New Roman"/>
          <w:bCs/>
          <w:sz w:val="24"/>
          <w:szCs w:val="24"/>
        </w:rPr>
      </w:pPr>
    </w:p>
    <w:p w14:paraId="132C97C3" w14:textId="214CAC2C" w:rsidR="00044CD6" w:rsidRPr="001D704A" w:rsidRDefault="0082019D" w:rsidP="00123EB1">
      <w:pPr>
        <w:rPr>
          <w:rFonts w:ascii="Times New Roman" w:hAnsi="Times New Roman" w:cs="Times New Roman"/>
          <w:sz w:val="24"/>
          <w:szCs w:val="24"/>
        </w:rPr>
      </w:pPr>
      <w:r w:rsidRPr="001D704A">
        <w:rPr>
          <w:rFonts w:ascii="Times New Roman" w:hAnsi="Times New Roman" w:cs="Times New Roman"/>
          <w:sz w:val="24"/>
          <w:szCs w:val="24"/>
        </w:rPr>
        <w:t>The department</w:t>
      </w:r>
      <w:r w:rsidR="00044CD6" w:rsidRPr="001D704A">
        <w:rPr>
          <w:rFonts w:ascii="Times New Roman" w:hAnsi="Times New Roman" w:cs="Times New Roman"/>
          <w:sz w:val="24"/>
          <w:szCs w:val="24"/>
        </w:rPr>
        <w:t xml:space="preserve"> </w:t>
      </w:r>
      <w:r w:rsidR="00A70757" w:rsidRPr="001D704A">
        <w:rPr>
          <w:rFonts w:ascii="Times New Roman" w:hAnsi="Times New Roman" w:cs="Times New Roman"/>
          <w:sz w:val="24"/>
          <w:szCs w:val="24"/>
        </w:rPr>
        <w:t xml:space="preserve">intends to </w:t>
      </w:r>
      <w:r w:rsidR="00044CD6" w:rsidRPr="001D704A">
        <w:rPr>
          <w:rFonts w:ascii="Times New Roman" w:hAnsi="Times New Roman" w:cs="Times New Roman"/>
          <w:sz w:val="24"/>
          <w:szCs w:val="24"/>
        </w:rPr>
        <w:t xml:space="preserve">vary these existing agreements to facilitate the incorporation of digital </w:t>
      </w:r>
      <w:r w:rsidR="008F658C" w:rsidRPr="001D704A">
        <w:rPr>
          <w:rFonts w:ascii="Times New Roman" w:hAnsi="Times New Roman" w:cs="Times New Roman"/>
          <w:sz w:val="24"/>
          <w:szCs w:val="24"/>
        </w:rPr>
        <w:t xml:space="preserve">literacy </w:t>
      </w:r>
      <w:r w:rsidR="00044CD6" w:rsidRPr="001D704A">
        <w:rPr>
          <w:rFonts w:ascii="Times New Roman" w:hAnsi="Times New Roman" w:cs="Times New Roman"/>
          <w:sz w:val="24"/>
          <w:szCs w:val="24"/>
        </w:rPr>
        <w:t xml:space="preserve">training </w:t>
      </w:r>
      <w:r w:rsidR="00E119D4" w:rsidRPr="001D704A">
        <w:rPr>
          <w:rFonts w:ascii="Times New Roman" w:hAnsi="Times New Roman" w:cs="Times New Roman"/>
          <w:sz w:val="24"/>
          <w:szCs w:val="24"/>
        </w:rPr>
        <w:t>in</w:t>
      </w:r>
      <w:r w:rsidR="00044CD6" w:rsidRPr="001D704A">
        <w:rPr>
          <w:rFonts w:ascii="Times New Roman" w:hAnsi="Times New Roman" w:cs="Times New Roman"/>
          <w:sz w:val="24"/>
          <w:szCs w:val="24"/>
        </w:rPr>
        <w:t xml:space="preserve">to the </w:t>
      </w:r>
      <w:r w:rsidR="00E119D4" w:rsidRPr="001D704A">
        <w:rPr>
          <w:rFonts w:ascii="Times New Roman" w:hAnsi="Times New Roman" w:cs="Times New Roman"/>
          <w:sz w:val="24"/>
          <w:szCs w:val="24"/>
        </w:rPr>
        <w:t>p</w:t>
      </w:r>
      <w:r w:rsidR="00044CD6" w:rsidRPr="001D704A">
        <w:rPr>
          <w:rFonts w:ascii="Times New Roman" w:hAnsi="Times New Roman" w:cs="Times New Roman"/>
          <w:sz w:val="24"/>
          <w:szCs w:val="24"/>
        </w:rPr>
        <w:t xml:space="preserve">rogram. </w:t>
      </w:r>
      <w:r w:rsidR="008F658C" w:rsidRPr="001D704A">
        <w:rPr>
          <w:rFonts w:ascii="Times New Roman" w:hAnsi="Times New Roman" w:cs="Times New Roman"/>
          <w:color w:val="000000"/>
          <w:sz w:val="24"/>
        </w:rPr>
        <w:t>The decision maker for varying these arrangements would be the Assistant Secretary (SES Band 1), Foundation and Transition Programs Branch as the SES officer who is responsible for the delivery of the program. The final decision maker approving the commitments of money relating to the digital literacy projects would be the First Assistant Secretary (SES Band 2), Apprenticeships and Workforce Skills, as a suitable and appropriate delegate of the Secretary of the department. These variations and decisions would again be conducted in a manner consistent with the PGPA Act, CPRs and the department’s Accountable Authority Instructions.</w:t>
      </w:r>
      <w:r w:rsidRPr="001D704A">
        <w:rPr>
          <w:rFonts w:ascii="Times New Roman" w:hAnsi="Times New Roman" w:cs="Times New Roman"/>
          <w:strike/>
          <w:sz w:val="24"/>
          <w:szCs w:val="24"/>
        </w:rPr>
        <w:t xml:space="preserve"> </w:t>
      </w:r>
    </w:p>
    <w:p w14:paraId="30C6C31F" w14:textId="77777777" w:rsidR="00044CD6" w:rsidRPr="001D704A" w:rsidRDefault="00044CD6" w:rsidP="00123EB1">
      <w:pPr>
        <w:rPr>
          <w:rFonts w:ascii="Times New Roman" w:hAnsi="Times New Roman" w:cs="Times New Roman"/>
          <w:sz w:val="24"/>
          <w:szCs w:val="24"/>
        </w:rPr>
      </w:pPr>
    </w:p>
    <w:p w14:paraId="54384757" w14:textId="5A04AA15"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Once made,</w:t>
      </w:r>
      <w:r w:rsidR="00E119D4" w:rsidRPr="001D704A">
        <w:rPr>
          <w:rFonts w:ascii="Times New Roman" w:hAnsi="Times New Roman" w:cs="Times New Roman"/>
          <w:sz w:val="24"/>
          <w:szCs w:val="24"/>
        </w:rPr>
        <w:t xml:space="preserve"> procurement decisions for the p</w:t>
      </w:r>
      <w:r w:rsidRPr="001D704A">
        <w:rPr>
          <w:rFonts w:ascii="Times New Roman" w:hAnsi="Times New Roman" w:cs="Times New Roman"/>
          <w:sz w:val="24"/>
          <w:szCs w:val="24"/>
        </w:rPr>
        <w:t xml:space="preserve">rogram will be final and not subject to merits review. The ARC takes the view that decisions to provide one-off payments to certain service providers, over other service providers, should be excluded from merits review (see paragraph 4.16 of the guide, </w:t>
      </w:r>
      <w:r w:rsidRPr="001D704A">
        <w:rPr>
          <w:rFonts w:ascii="Times New Roman" w:hAnsi="Times New Roman" w:cs="Times New Roman"/>
          <w:i/>
          <w:iCs/>
          <w:sz w:val="24"/>
          <w:szCs w:val="24"/>
        </w:rPr>
        <w:t>What decisions should be subject to merit review?</w:t>
      </w:r>
      <w:r w:rsidRPr="001D704A">
        <w:rPr>
          <w:rFonts w:ascii="Times New Roman" w:hAnsi="Times New Roman" w:cs="Times New Roman"/>
          <w:sz w:val="24"/>
          <w:szCs w:val="24"/>
        </w:rPr>
        <w:t xml:space="preserve">). </w:t>
      </w:r>
    </w:p>
    <w:p w14:paraId="0E15AE99" w14:textId="77777777" w:rsidR="00044CD6" w:rsidRPr="001D704A" w:rsidRDefault="00044CD6" w:rsidP="00123EB1">
      <w:pPr>
        <w:rPr>
          <w:rFonts w:ascii="Times New Roman" w:hAnsi="Times New Roman" w:cs="Times New Roman"/>
          <w:sz w:val="24"/>
          <w:szCs w:val="24"/>
        </w:rPr>
      </w:pPr>
    </w:p>
    <w:p w14:paraId="70D7DCD3"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iCs/>
          <w:sz w:val="24"/>
          <w:szCs w:val="24"/>
        </w:rPr>
        <w:t xml:space="preserve">Government Procurement (Judicial Review) Act 2018 </w:t>
      </w:r>
      <w:r w:rsidRPr="001D704A">
        <w:rPr>
          <w:rFonts w:ascii="Times New Roman" w:hAnsi="Times New Roman" w:cs="Times New Roman"/>
          <w:sz w:val="24"/>
          <w:szCs w:val="24"/>
        </w:rPr>
        <w:t>enables suppliers to challenge some procurement processes for alleged breaches of certain procurement rules. This legislation might provide some additional avenues of redress (compensation or injunction) for dissatisfied providers or potential providers, depending on the circumstances.</w:t>
      </w:r>
    </w:p>
    <w:p w14:paraId="243F822A" w14:textId="77777777" w:rsidR="00044CD6" w:rsidRPr="001D704A" w:rsidRDefault="00044CD6" w:rsidP="00123EB1">
      <w:pPr>
        <w:rPr>
          <w:rFonts w:ascii="Times New Roman" w:hAnsi="Times New Roman" w:cs="Times New Roman"/>
          <w:sz w:val="24"/>
          <w:szCs w:val="24"/>
        </w:rPr>
      </w:pPr>
    </w:p>
    <w:p w14:paraId="3371544F" w14:textId="1F2F1F01"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iCs/>
          <w:sz w:val="24"/>
          <w:szCs w:val="24"/>
        </w:rPr>
        <w:t>Expert Review of Australia’s Vocational Education and Training System</w:t>
      </w:r>
      <w:r w:rsidR="00E119D4" w:rsidRPr="001D704A">
        <w:rPr>
          <w:rFonts w:ascii="Times New Roman" w:hAnsi="Times New Roman" w:cs="Times New Roman"/>
          <w:sz w:val="24"/>
          <w:szCs w:val="24"/>
        </w:rPr>
        <w:t xml:space="preserve"> </w:t>
      </w:r>
      <w:r w:rsidRPr="001D704A">
        <w:rPr>
          <w:rFonts w:ascii="Times New Roman" w:hAnsi="Times New Roman" w:cs="Times New Roman"/>
          <w:sz w:val="24"/>
          <w:szCs w:val="24"/>
        </w:rPr>
        <w:t xml:space="preserve">(the Joyce Review) highlighted the critical importance for all Australians to have the basic language, literacy, numeracy and digital skills to allow them to participate in modern life. This has been recognised </w:t>
      </w:r>
      <w:r w:rsidR="00F61D0A" w:rsidRPr="001D704A">
        <w:rPr>
          <w:rFonts w:ascii="Times New Roman" w:hAnsi="Times New Roman" w:cs="Times New Roman"/>
          <w:sz w:val="24"/>
          <w:szCs w:val="24"/>
        </w:rPr>
        <w:t>as part of</w:t>
      </w:r>
      <w:r w:rsidRPr="001D704A">
        <w:rPr>
          <w:rFonts w:ascii="Times New Roman" w:hAnsi="Times New Roman" w:cs="Times New Roman"/>
          <w:sz w:val="24"/>
          <w:szCs w:val="24"/>
        </w:rPr>
        <w:t xml:space="preserve"> the </w:t>
      </w:r>
      <w:r w:rsidRPr="001D704A">
        <w:rPr>
          <w:rFonts w:ascii="Times New Roman" w:hAnsi="Times New Roman" w:cs="Times New Roman"/>
          <w:i/>
          <w:sz w:val="24"/>
          <w:szCs w:val="24"/>
        </w:rPr>
        <w:t>Heads of Agreement for Skills Reform</w:t>
      </w:r>
      <w:r w:rsidRPr="001D704A">
        <w:rPr>
          <w:rFonts w:ascii="Times New Roman" w:hAnsi="Times New Roman" w:cs="Times New Roman"/>
          <w:sz w:val="24"/>
          <w:szCs w:val="24"/>
        </w:rPr>
        <w:t>, under which all Australian governments have committed to:</w:t>
      </w:r>
    </w:p>
    <w:p w14:paraId="1DBC2661" w14:textId="77777777"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providing stronger support for foundation skills; and </w:t>
      </w:r>
    </w:p>
    <w:p w14:paraId="56191C3F" w14:textId="77777777" w:rsidR="00044CD6" w:rsidRPr="001D704A" w:rsidRDefault="00044CD6" w:rsidP="00123EB1">
      <w:pPr>
        <w:numPr>
          <w:ilvl w:val="0"/>
          <w:numId w:val="40"/>
        </w:numPr>
        <w:rPr>
          <w:rFonts w:ascii="Times New Roman" w:hAnsi="Times New Roman" w:cs="Times New Roman"/>
          <w:bCs/>
          <w:sz w:val="24"/>
          <w:szCs w:val="24"/>
        </w:rPr>
      </w:pPr>
      <w:r w:rsidRPr="001D704A">
        <w:rPr>
          <w:rFonts w:ascii="Times New Roman" w:hAnsi="Times New Roman" w:cs="Times New Roman"/>
          <w:bCs/>
          <w:sz w:val="24"/>
          <w:szCs w:val="24"/>
        </w:rPr>
        <w:t xml:space="preserve">ensuring access to that support for all Australians with low levels of language, literacy, numeracy and digital skills ability. </w:t>
      </w:r>
    </w:p>
    <w:p w14:paraId="1C5D81E4" w14:textId="77777777" w:rsidR="00044CD6" w:rsidRPr="001D704A" w:rsidRDefault="00044CD6" w:rsidP="00123EB1">
      <w:pPr>
        <w:rPr>
          <w:rFonts w:ascii="Times New Roman" w:hAnsi="Times New Roman" w:cs="Times New Roman"/>
          <w:sz w:val="24"/>
          <w:szCs w:val="24"/>
        </w:rPr>
      </w:pPr>
    </w:p>
    <w:p w14:paraId="02A2140B" w14:textId="35D904E9" w:rsidR="00F61D0A"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Joyce Review conducted far-reaching consultation </w:t>
      </w:r>
      <w:r w:rsidR="00F61D0A" w:rsidRPr="001D704A">
        <w:rPr>
          <w:rFonts w:ascii="Times New Roman" w:hAnsi="Times New Roman" w:cs="Times New Roman"/>
          <w:sz w:val="24"/>
          <w:szCs w:val="24"/>
        </w:rPr>
        <w:t>in 2018-19</w:t>
      </w:r>
      <w:r w:rsidRPr="001D704A">
        <w:rPr>
          <w:rFonts w:ascii="Times New Roman" w:hAnsi="Times New Roman" w:cs="Times New Roman"/>
          <w:sz w:val="24"/>
          <w:szCs w:val="24"/>
        </w:rPr>
        <w:t xml:space="preserve"> and received 192 public submissions from registered training organisations, employers, governments and individuals.</w:t>
      </w:r>
      <w:r w:rsidR="00F61D0A" w:rsidRPr="001D704A">
        <w:rPr>
          <w:rFonts w:ascii="Times New Roman" w:hAnsi="Times New Roman" w:cs="Times New Roman"/>
          <w:sz w:val="24"/>
          <w:szCs w:val="24"/>
        </w:rPr>
        <w:t xml:space="preserve"> The Joyce Review is available at </w:t>
      </w:r>
    </w:p>
    <w:p w14:paraId="1EE798AE" w14:textId="77777777" w:rsidR="00F61D0A" w:rsidRPr="001D704A" w:rsidRDefault="00F61D0A" w:rsidP="00123EB1">
      <w:pPr>
        <w:rPr>
          <w:rFonts w:ascii="Times New Roman" w:hAnsi="Times New Roman" w:cs="Times New Roman"/>
          <w:sz w:val="24"/>
          <w:szCs w:val="24"/>
        </w:rPr>
      </w:pPr>
      <w:r w:rsidRPr="001D704A">
        <w:rPr>
          <w:rFonts w:ascii="Times New Roman" w:hAnsi="Times New Roman" w:cs="Times New Roman"/>
          <w:sz w:val="24"/>
          <w:szCs w:val="24"/>
          <w:u w:val="single"/>
        </w:rPr>
        <w:t>https://www.pmc.gov.au/resource-centre/domestic-policy/vet-review/strengthening-skills-expert-review-australias-vocational-education-and-training-system</w:t>
      </w:r>
      <w:r w:rsidRPr="001D704A">
        <w:rPr>
          <w:rFonts w:ascii="Times New Roman" w:hAnsi="Times New Roman" w:cs="Times New Roman"/>
          <w:sz w:val="24"/>
          <w:szCs w:val="24"/>
        </w:rPr>
        <w:t>.</w:t>
      </w:r>
    </w:p>
    <w:p w14:paraId="019FB8A0" w14:textId="77777777" w:rsidR="00044CD6" w:rsidRPr="001D704A" w:rsidRDefault="00044CD6" w:rsidP="00123EB1">
      <w:pPr>
        <w:rPr>
          <w:rFonts w:ascii="Times New Roman" w:hAnsi="Times New Roman" w:cs="Times New Roman"/>
          <w:sz w:val="24"/>
          <w:szCs w:val="24"/>
        </w:rPr>
      </w:pPr>
    </w:p>
    <w:p w14:paraId="677A8B71" w14:textId="63DA1B80"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Since the 11 May 2021 Budget announcement, the department has </w:t>
      </w:r>
      <w:r w:rsidR="00F61D0A" w:rsidRPr="001D704A">
        <w:rPr>
          <w:rFonts w:ascii="Times New Roman" w:hAnsi="Times New Roman" w:cs="Times New Roman"/>
          <w:sz w:val="24"/>
          <w:szCs w:val="24"/>
        </w:rPr>
        <w:t xml:space="preserve">also </w:t>
      </w:r>
      <w:r w:rsidRPr="001D704A">
        <w:rPr>
          <w:rFonts w:ascii="Times New Roman" w:hAnsi="Times New Roman" w:cs="Times New Roman"/>
          <w:sz w:val="24"/>
          <w:szCs w:val="24"/>
        </w:rPr>
        <w:t>received positive feedback on the acceleration of the incorporation of di</w:t>
      </w:r>
      <w:r w:rsidR="00F61D0A" w:rsidRPr="001D704A">
        <w:rPr>
          <w:rFonts w:ascii="Times New Roman" w:hAnsi="Times New Roman" w:cs="Times New Roman"/>
          <w:sz w:val="24"/>
          <w:szCs w:val="24"/>
        </w:rPr>
        <w:t>gital skills training into the p</w:t>
      </w:r>
      <w:r w:rsidRPr="001D704A">
        <w:rPr>
          <w:rFonts w:ascii="Times New Roman" w:hAnsi="Times New Roman" w:cs="Times New Roman"/>
          <w:sz w:val="24"/>
          <w:szCs w:val="24"/>
        </w:rPr>
        <w:t xml:space="preserve">rogram. </w:t>
      </w:r>
    </w:p>
    <w:p w14:paraId="63446C87" w14:textId="77777777" w:rsidR="00044CD6" w:rsidRPr="001D704A" w:rsidRDefault="00044CD6" w:rsidP="00123EB1">
      <w:pPr>
        <w:rPr>
          <w:rFonts w:ascii="Times New Roman" w:hAnsi="Times New Roman" w:cs="Times New Roman"/>
          <w:sz w:val="24"/>
          <w:szCs w:val="24"/>
        </w:rPr>
      </w:pPr>
    </w:p>
    <w:p w14:paraId="6CD863A2" w14:textId="534113D1"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Since February 2021, the House of Representatives Standing Committee on Employment, Education and Training has been conducting an inquiry into adult literacy and its importance. Much of the evidence heard, as well as submissions received, thus far has also indicated support for the importance of digital literacy skills. </w:t>
      </w:r>
    </w:p>
    <w:p w14:paraId="44733F7A" w14:textId="77777777" w:rsidR="00044CD6" w:rsidRPr="001D704A" w:rsidRDefault="00044CD6" w:rsidP="00123EB1">
      <w:pPr>
        <w:rPr>
          <w:rFonts w:ascii="Times New Roman" w:hAnsi="Times New Roman" w:cs="Times New Roman"/>
          <w:sz w:val="24"/>
          <w:szCs w:val="24"/>
        </w:rPr>
      </w:pPr>
    </w:p>
    <w:p w14:paraId="14570E74" w14:textId="62C9F3E9" w:rsidR="00044CD6" w:rsidRPr="001D704A" w:rsidRDefault="00EC510B" w:rsidP="00123EB1">
      <w:pPr>
        <w:rPr>
          <w:rFonts w:ascii="Times New Roman" w:hAnsi="Times New Roman" w:cs="Times New Roman"/>
          <w:sz w:val="24"/>
          <w:szCs w:val="24"/>
        </w:rPr>
      </w:pPr>
      <w:r w:rsidRPr="001D704A">
        <w:rPr>
          <w:rFonts w:ascii="Times New Roman" w:hAnsi="Times New Roman" w:cs="Times New Roman"/>
          <w:sz w:val="24"/>
          <w:szCs w:val="24"/>
        </w:rPr>
        <w:t>Additional f</w:t>
      </w:r>
      <w:r w:rsidR="00044CD6" w:rsidRPr="001D704A">
        <w:rPr>
          <w:rFonts w:ascii="Times New Roman" w:hAnsi="Times New Roman" w:cs="Times New Roman"/>
          <w:sz w:val="24"/>
          <w:szCs w:val="24"/>
        </w:rPr>
        <w:t>unding</w:t>
      </w:r>
      <w:r w:rsidRPr="001D704A">
        <w:rPr>
          <w:rFonts w:ascii="Times New Roman" w:hAnsi="Times New Roman" w:cs="Times New Roman"/>
          <w:sz w:val="24"/>
          <w:szCs w:val="24"/>
        </w:rPr>
        <w:t xml:space="preserve"> for the program</w:t>
      </w:r>
      <w:r w:rsidR="00044CD6" w:rsidRPr="001D704A">
        <w:rPr>
          <w:rFonts w:ascii="Times New Roman" w:hAnsi="Times New Roman" w:cs="Times New Roman"/>
          <w:sz w:val="24"/>
          <w:szCs w:val="24"/>
        </w:rPr>
        <w:t xml:space="preserve"> of $23.6 million over four years from 2021-22 (and subsequent $12.6 million per year ongoing) was included in the 2021-22 Budget under the measure ‘Stronger Support for Skills Reform’. Details </w:t>
      </w:r>
      <w:r w:rsidR="00044CD6" w:rsidRPr="001D704A">
        <w:rPr>
          <w:rFonts w:ascii="Times New Roman" w:hAnsi="Times New Roman" w:cs="Times New Roman"/>
          <w:iCs/>
          <w:sz w:val="24"/>
          <w:szCs w:val="24"/>
        </w:rPr>
        <w:t xml:space="preserve">are set out in </w:t>
      </w:r>
      <w:r w:rsidR="00044CD6" w:rsidRPr="001D704A">
        <w:rPr>
          <w:rFonts w:ascii="Times New Roman" w:hAnsi="Times New Roman" w:cs="Times New Roman"/>
          <w:i/>
          <w:iCs/>
          <w:sz w:val="24"/>
          <w:szCs w:val="24"/>
        </w:rPr>
        <w:t>Budget 2021-22, Budget Measures, Budget Paper No. 2 2021-22</w:t>
      </w:r>
      <w:r w:rsidR="00044CD6" w:rsidRPr="001D704A">
        <w:rPr>
          <w:rFonts w:ascii="Times New Roman" w:hAnsi="Times New Roman" w:cs="Times New Roman"/>
          <w:iCs/>
          <w:sz w:val="24"/>
          <w:szCs w:val="24"/>
        </w:rPr>
        <w:t xml:space="preserve"> at pages 93 </w:t>
      </w:r>
      <w:r w:rsidR="00F61D0A" w:rsidRPr="001D704A">
        <w:rPr>
          <w:rFonts w:ascii="Times New Roman" w:hAnsi="Times New Roman" w:cs="Times New Roman"/>
          <w:iCs/>
          <w:sz w:val="24"/>
          <w:szCs w:val="24"/>
        </w:rPr>
        <w:t>to</w:t>
      </w:r>
      <w:r w:rsidR="00044CD6" w:rsidRPr="001D704A">
        <w:rPr>
          <w:rFonts w:ascii="Times New Roman" w:hAnsi="Times New Roman" w:cs="Times New Roman"/>
          <w:iCs/>
          <w:sz w:val="24"/>
          <w:szCs w:val="24"/>
        </w:rPr>
        <w:t xml:space="preserve"> 94.</w:t>
      </w:r>
    </w:p>
    <w:p w14:paraId="6AD23787" w14:textId="77777777" w:rsidR="00044CD6" w:rsidRPr="001D704A" w:rsidRDefault="00044CD6" w:rsidP="00123EB1">
      <w:pPr>
        <w:rPr>
          <w:rFonts w:ascii="Times New Roman" w:hAnsi="Times New Roman" w:cs="Times New Roman"/>
          <w:sz w:val="24"/>
          <w:szCs w:val="24"/>
        </w:rPr>
      </w:pPr>
    </w:p>
    <w:p w14:paraId="1DA92983" w14:textId="1229FABE" w:rsidR="00044CD6" w:rsidRPr="001D704A" w:rsidRDefault="00EC510B" w:rsidP="00123EB1">
      <w:pPr>
        <w:rPr>
          <w:rFonts w:ascii="Times New Roman" w:hAnsi="Times New Roman" w:cs="Times New Roman"/>
          <w:sz w:val="24"/>
          <w:szCs w:val="24"/>
        </w:rPr>
      </w:pPr>
      <w:r w:rsidRPr="001D704A">
        <w:rPr>
          <w:rFonts w:ascii="Times New Roman" w:hAnsi="Times New Roman" w:cs="Times New Roman"/>
          <w:sz w:val="24"/>
          <w:szCs w:val="24"/>
        </w:rPr>
        <w:t>Total f</w:t>
      </w:r>
      <w:r w:rsidR="00044CD6" w:rsidRPr="001D704A">
        <w:rPr>
          <w:rFonts w:ascii="Times New Roman" w:hAnsi="Times New Roman" w:cs="Times New Roman"/>
          <w:sz w:val="24"/>
          <w:szCs w:val="24"/>
        </w:rPr>
        <w:t xml:space="preserve">unding </w:t>
      </w:r>
      <w:r w:rsidR="00C51CEC" w:rsidRPr="001D704A">
        <w:rPr>
          <w:rFonts w:ascii="Times New Roman" w:hAnsi="Times New Roman" w:cs="Times New Roman"/>
          <w:sz w:val="24"/>
          <w:szCs w:val="24"/>
        </w:rPr>
        <w:t xml:space="preserve">for the program of </w:t>
      </w:r>
      <w:r w:rsidR="00C51CEC" w:rsidRPr="001D704A">
        <w:rPr>
          <w:rFonts w:ascii="Times New Roman" w:hAnsi="Times New Roman" w:cs="Times New Roman"/>
          <w:sz w:val="24"/>
          <w:szCs w:val="24"/>
          <w:lang w:val="en-GB"/>
        </w:rPr>
        <w:t xml:space="preserve">$512.5 million over four years from 2021-22 </w:t>
      </w:r>
      <w:r w:rsidR="00044CD6" w:rsidRPr="001D704A">
        <w:rPr>
          <w:rFonts w:ascii="Times New Roman" w:hAnsi="Times New Roman" w:cs="Times New Roman"/>
          <w:sz w:val="24"/>
          <w:szCs w:val="24"/>
        </w:rPr>
        <w:t xml:space="preserve">comes from subprogram 3.1.2 </w:t>
      </w:r>
      <w:r w:rsidR="00F61D0A" w:rsidRPr="001D704A">
        <w:rPr>
          <w:rFonts w:ascii="Times New Roman" w:hAnsi="Times New Roman" w:cs="Times New Roman"/>
          <w:sz w:val="24"/>
          <w:szCs w:val="24"/>
        </w:rPr>
        <w:t>‘</w:t>
      </w:r>
      <w:r w:rsidR="00044CD6" w:rsidRPr="001D704A">
        <w:rPr>
          <w:rFonts w:ascii="Times New Roman" w:hAnsi="Times New Roman" w:cs="Times New Roman"/>
          <w:sz w:val="24"/>
          <w:szCs w:val="24"/>
        </w:rPr>
        <w:t>Access to Training</w:t>
      </w:r>
      <w:r w:rsidR="00F61D0A" w:rsidRPr="001D704A">
        <w:rPr>
          <w:rFonts w:ascii="Times New Roman" w:hAnsi="Times New Roman" w:cs="Times New Roman"/>
          <w:sz w:val="24"/>
          <w:szCs w:val="24"/>
        </w:rPr>
        <w:t>’</w:t>
      </w:r>
      <w:r w:rsidR="00044CD6" w:rsidRPr="001D704A">
        <w:rPr>
          <w:rFonts w:ascii="Times New Roman" w:hAnsi="Times New Roman" w:cs="Times New Roman"/>
          <w:sz w:val="24"/>
          <w:szCs w:val="24"/>
        </w:rPr>
        <w:t xml:space="preserve"> under Program</w:t>
      </w:r>
      <w:r w:rsidRPr="001D704A">
        <w:rPr>
          <w:rFonts w:ascii="Times New Roman" w:hAnsi="Times New Roman" w:cs="Times New Roman"/>
          <w:sz w:val="24"/>
          <w:szCs w:val="24"/>
        </w:rPr>
        <w:t> </w:t>
      </w:r>
      <w:r w:rsidR="00044CD6" w:rsidRPr="001D704A">
        <w:rPr>
          <w:rFonts w:ascii="Times New Roman" w:hAnsi="Times New Roman" w:cs="Times New Roman"/>
          <w:sz w:val="24"/>
          <w:szCs w:val="24"/>
        </w:rPr>
        <w:t xml:space="preserve">3.1: Building Skills and Capability, which is part of Outcome 3. Details are set out in the </w:t>
      </w:r>
      <w:r w:rsidR="00044CD6" w:rsidRPr="001D704A">
        <w:rPr>
          <w:rFonts w:ascii="Times New Roman" w:hAnsi="Times New Roman" w:cs="Times New Roman"/>
          <w:i/>
          <w:sz w:val="24"/>
          <w:szCs w:val="24"/>
        </w:rPr>
        <w:t>Portfolio Budget Statements 2021-22</w:t>
      </w:r>
      <w:r w:rsidR="00044CD6" w:rsidRPr="001D704A">
        <w:rPr>
          <w:rFonts w:ascii="Times New Roman" w:hAnsi="Times New Roman" w:cs="Times New Roman"/>
          <w:sz w:val="24"/>
          <w:szCs w:val="24"/>
        </w:rPr>
        <w:t xml:space="preserve">, </w:t>
      </w:r>
      <w:r w:rsidR="00044CD6" w:rsidRPr="001D704A">
        <w:rPr>
          <w:rFonts w:ascii="Times New Roman" w:hAnsi="Times New Roman" w:cs="Times New Roman"/>
          <w:i/>
          <w:sz w:val="24"/>
          <w:szCs w:val="24"/>
        </w:rPr>
        <w:t>Budget Related Paper No. 1.4, Education, Skills and Employment Portfolio</w:t>
      </w:r>
      <w:r w:rsidR="00044CD6" w:rsidRPr="001D704A">
        <w:rPr>
          <w:rFonts w:ascii="Times New Roman" w:hAnsi="Times New Roman" w:cs="Times New Roman"/>
          <w:sz w:val="24"/>
          <w:szCs w:val="24"/>
        </w:rPr>
        <w:t xml:space="preserve"> at page 72.</w:t>
      </w:r>
    </w:p>
    <w:p w14:paraId="7DAA369E" w14:textId="77777777" w:rsidR="00044CD6" w:rsidRPr="001D704A" w:rsidRDefault="00044CD6" w:rsidP="00123EB1">
      <w:pPr>
        <w:rPr>
          <w:rFonts w:ascii="Times New Roman" w:hAnsi="Times New Roman" w:cs="Times New Roman"/>
          <w:sz w:val="24"/>
          <w:szCs w:val="24"/>
        </w:rPr>
      </w:pPr>
    </w:p>
    <w:p w14:paraId="05FE35CD"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Noting that it is not a comprehensive statement of relevant constitutional considerations, the objective of the item references the social welfare power (section 51(xxiiiA)) of the Constitution.</w:t>
      </w:r>
    </w:p>
    <w:p w14:paraId="0462AA41" w14:textId="77777777" w:rsidR="00044CD6" w:rsidRPr="001D704A" w:rsidRDefault="00044CD6" w:rsidP="00123EB1">
      <w:pPr>
        <w:rPr>
          <w:rFonts w:ascii="Times New Roman" w:hAnsi="Times New Roman" w:cs="Times New Roman"/>
          <w:sz w:val="24"/>
          <w:szCs w:val="24"/>
        </w:rPr>
      </w:pPr>
    </w:p>
    <w:p w14:paraId="582A3C9B" w14:textId="77777777" w:rsidR="00044CD6" w:rsidRPr="001D704A" w:rsidRDefault="00044CD6" w:rsidP="00123EB1">
      <w:pPr>
        <w:rPr>
          <w:rFonts w:ascii="Times New Roman" w:hAnsi="Times New Roman" w:cs="Times New Roman"/>
          <w:i/>
          <w:sz w:val="24"/>
          <w:szCs w:val="24"/>
          <w:u w:val="single"/>
        </w:rPr>
      </w:pPr>
      <w:r w:rsidRPr="001D704A">
        <w:rPr>
          <w:rFonts w:ascii="Times New Roman" w:hAnsi="Times New Roman" w:cs="Times New Roman"/>
          <w:i/>
          <w:sz w:val="24"/>
          <w:szCs w:val="24"/>
          <w:u w:val="single"/>
        </w:rPr>
        <w:t>Social welfare power</w:t>
      </w:r>
    </w:p>
    <w:p w14:paraId="6763DA9A" w14:textId="77777777" w:rsidR="00044CD6" w:rsidRPr="001D704A" w:rsidRDefault="00044CD6" w:rsidP="00123EB1">
      <w:pPr>
        <w:rPr>
          <w:rFonts w:ascii="Times New Roman" w:hAnsi="Times New Roman" w:cs="Times New Roman"/>
          <w:sz w:val="24"/>
          <w:szCs w:val="24"/>
        </w:rPr>
      </w:pPr>
    </w:p>
    <w:p w14:paraId="7CC62D0B" w14:textId="7D1F906B"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social welfare power in section 51(xxiiiA) of the Constitution empowers the Parliament to make laws with respect to the provision of certain social welfare benefits including benefits to students. The </w:t>
      </w:r>
      <w:r w:rsidR="00F61D0A" w:rsidRPr="001D704A">
        <w:rPr>
          <w:rFonts w:ascii="Times New Roman" w:hAnsi="Times New Roman" w:cs="Times New Roman"/>
          <w:sz w:val="24"/>
          <w:szCs w:val="24"/>
        </w:rPr>
        <w:t>p</w:t>
      </w:r>
      <w:r w:rsidRPr="001D704A">
        <w:rPr>
          <w:rFonts w:ascii="Times New Roman" w:hAnsi="Times New Roman" w:cs="Times New Roman"/>
          <w:sz w:val="24"/>
          <w:szCs w:val="24"/>
        </w:rPr>
        <w:t>rogram provides formal language, literacy, numeracy and digital skills training at no cost to the individual.</w:t>
      </w:r>
    </w:p>
    <w:p w14:paraId="59BAFCCD" w14:textId="77777777" w:rsidR="00044CD6" w:rsidRPr="001D704A" w:rsidRDefault="00044CD6" w:rsidP="00123EB1">
      <w:pPr>
        <w:rPr>
          <w:rFonts w:ascii="Times New Roman" w:hAnsi="Times New Roman" w:cs="Times New Roman"/>
          <w:sz w:val="24"/>
          <w:szCs w:val="24"/>
        </w:rPr>
      </w:pPr>
    </w:p>
    <w:p w14:paraId="75811D69" w14:textId="0517C30F"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table item</w:t>
      </w:r>
      <w:r w:rsidR="0020048A" w:rsidRPr="001D704A">
        <w:rPr>
          <w:rFonts w:ascii="Times New Roman" w:hAnsi="Times New Roman" w:cs="Times New Roman"/>
          <w:b/>
          <w:iCs/>
          <w:color w:val="000000" w:themeColor="text1"/>
          <w:sz w:val="24"/>
          <w:szCs w:val="24"/>
        </w:rPr>
        <w:t xml:space="preserve"> 520</w:t>
      </w:r>
      <w:r w:rsidRPr="001D704A">
        <w:rPr>
          <w:rFonts w:ascii="Times New Roman" w:hAnsi="Times New Roman" w:cs="Times New Roman"/>
          <w:iCs/>
          <w:color w:val="000000" w:themeColor="text1"/>
          <w:sz w:val="24"/>
          <w:szCs w:val="24"/>
        </w:rPr>
        <w:t xml:space="preserve"> establishes legislative authority for government spending on </w:t>
      </w:r>
      <w:r w:rsidR="0020048A" w:rsidRPr="001D704A">
        <w:rPr>
          <w:rFonts w:ascii="Times New Roman" w:hAnsi="Times New Roman" w:cs="Times New Roman"/>
          <w:iCs/>
          <w:color w:val="000000" w:themeColor="text1"/>
          <w:sz w:val="24"/>
          <w:szCs w:val="24"/>
        </w:rPr>
        <w:t>i</w:t>
      </w:r>
      <w:r w:rsidRPr="001D704A">
        <w:rPr>
          <w:rFonts w:ascii="Times New Roman" w:hAnsi="Times New Roman" w:cs="Times New Roman"/>
          <w:iCs/>
          <w:color w:val="000000" w:themeColor="text1"/>
          <w:sz w:val="24"/>
          <w:szCs w:val="24"/>
        </w:rPr>
        <w:t xml:space="preserve">mprovements to the VET system </w:t>
      </w:r>
      <w:r w:rsidR="0020048A" w:rsidRPr="001D704A">
        <w:rPr>
          <w:rFonts w:ascii="Times New Roman" w:hAnsi="Times New Roman" w:cs="Times New Roman"/>
          <w:iCs/>
          <w:color w:val="000000" w:themeColor="text1"/>
          <w:sz w:val="24"/>
          <w:szCs w:val="24"/>
        </w:rPr>
        <w:t xml:space="preserve">(the program) </w:t>
      </w:r>
      <w:r w:rsidRPr="001D704A">
        <w:rPr>
          <w:rFonts w:ascii="Times New Roman" w:hAnsi="Times New Roman" w:cs="Times New Roman"/>
          <w:iCs/>
          <w:color w:val="000000" w:themeColor="text1"/>
          <w:sz w:val="24"/>
          <w:szCs w:val="24"/>
        </w:rPr>
        <w:t>by enhancing the role of industry through the establishment of new Industry Clusters.</w:t>
      </w:r>
    </w:p>
    <w:p w14:paraId="75523649" w14:textId="77777777" w:rsidR="00044CD6" w:rsidRPr="001D704A" w:rsidRDefault="00044CD6" w:rsidP="00123EB1">
      <w:pPr>
        <w:rPr>
          <w:rFonts w:ascii="Times New Roman" w:hAnsi="Times New Roman" w:cs="Times New Roman"/>
          <w:sz w:val="24"/>
          <w:szCs w:val="24"/>
        </w:rPr>
      </w:pPr>
    </w:p>
    <w:p w14:paraId="6DF97325" w14:textId="2EC43E60"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objective of the </w:t>
      </w:r>
      <w:r w:rsidR="008E054B" w:rsidRPr="001D704A">
        <w:rPr>
          <w:rFonts w:ascii="Times New Roman" w:hAnsi="Times New Roman" w:cs="Times New Roman"/>
          <w:sz w:val="24"/>
          <w:szCs w:val="24"/>
        </w:rPr>
        <w:t xml:space="preserve">program </w:t>
      </w:r>
      <w:r w:rsidRPr="001D704A">
        <w:rPr>
          <w:rFonts w:ascii="Times New Roman" w:hAnsi="Times New Roman" w:cs="Times New Roman"/>
          <w:sz w:val="24"/>
          <w:szCs w:val="24"/>
        </w:rPr>
        <w:t xml:space="preserve">is to strengthen the role of industry in the VET system to further allow qualifications to be aligned to the skills that are in demand by employers, increase workforce productivity, and get more learners into jobs. </w:t>
      </w:r>
    </w:p>
    <w:p w14:paraId="15C3508C" w14:textId="77777777" w:rsidR="00044CD6" w:rsidRPr="001D704A" w:rsidRDefault="00044CD6" w:rsidP="00123EB1">
      <w:pPr>
        <w:rPr>
          <w:rFonts w:ascii="Times New Roman" w:hAnsi="Times New Roman" w:cs="Times New Roman"/>
          <w:sz w:val="24"/>
          <w:szCs w:val="24"/>
        </w:rPr>
      </w:pPr>
    </w:p>
    <w:p w14:paraId="00F5D950" w14:textId="09BFF1AE"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8E054B"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is part of the Australian Government’s commitments under the </w:t>
      </w:r>
      <w:r w:rsidRPr="001D704A">
        <w:rPr>
          <w:rFonts w:ascii="Times New Roman" w:hAnsi="Times New Roman" w:cs="Times New Roman"/>
          <w:i/>
          <w:sz w:val="24"/>
          <w:szCs w:val="24"/>
        </w:rPr>
        <w:t>Heads of Agreement for Skills Reform</w:t>
      </w:r>
      <w:r w:rsidRPr="001D704A">
        <w:rPr>
          <w:rFonts w:ascii="Times New Roman" w:hAnsi="Times New Roman" w:cs="Times New Roman"/>
          <w:sz w:val="24"/>
          <w:szCs w:val="24"/>
        </w:rPr>
        <w:t>, where the Government has committed to supporting improvements to the VET system through the establishment of up to 15 new Industry Clusters. These Industry Clusters will ensure a strong strategic industry voice, drive collaboration across sectors by breaking down silos, address strategic workforce challenges, and improve the speed to market of training package qualifications to meet evolving industry needs.</w:t>
      </w:r>
    </w:p>
    <w:p w14:paraId="729E8C5B" w14:textId="77777777" w:rsidR="00044CD6" w:rsidRPr="001D704A" w:rsidRDefault="00044CD6" w:rsidP="00123EB1">
      <w:pPr>
        <w:rPr>
          <w:rFonts w:ascii="Times New Roman" w:hAnsi="Times New Roman" w:cs="Times New Roman"/>
          <w:sz w:val="24"/>
          <w:szCs w:val="24"/>
        </w:rPr>
      </w:pPr>
    </w:p>
    <w:p w14:paraId="477B6509" w14:textId="5134F1D6"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Through a progressive transition during 2022, Industry Clusters established under the </w:t>
      </w:r>
      <w:r w:rsidR="008E054B"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will replace the existing 67 Industry Reference Committees and six Skills Service Organisations that currently develop training packages, as well as the three Skills Organisation (SO) Pilots. The </w:t>
      </w:r>
      <w:r w:rsidR="008E054B" w:rsidRPr="001D704A">
        <w:rPr>
          <w:rFonts w:ascii="Times New Roman" w:hAnsi="Times New Roman" w:cs="Times New Roman"/>
          <w:sz w:val="24"/>
          <w:szCs w:val="24"/>
        </w:rPr>
        <w:t>p</w:t>
      </w:r>
      <w:r w:rsidRPr="001D704A">
        <w:rPr>
          <w:rFonts w:ascii="Times New Roman" w:hAnsi="Times New Roman" w:cs="Times New Roman"/>
          <w:sz w:val="24"/>
          <w:szCs w:val="24"/>
        </w:rPr>
        <w:t>rogram will support the establishment and ongoing operation of the new Industry Cluster arrangements.</w:t>
      </w:r>
    </w:p>
    <w:p w14:paraId="63DFF7E3" w14:textId="77777777" w:rsidR="00044CD6" w:rsidRPr="001D704A" w:rsidRDefault="00044CD6" w:rsidP="00123EB1">
      <w:pPr>
        <w:rPr>
          <w:rFonts w:ascii="Times New Roman" w:hAnsi="Times New Roman" w:cs="Times New Roman"/>
          <w:sz w:val="24"/>
          <w:szCs w:val="24"/>
        </w:rPr>
      </w:pPr>
    </w:p>
    <w:p w14:paraId="2235B5B4" w14:textId="733B331D"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The establishment of Industry Clusters builds on the 2019-20</w:t>
      </w:r>
      <w:r w:rsidR="008E054B" w:rsidRPr="001D704A">
        <w:rPr>
          <w:rFonts w:ascii="Times New Roman" w:hAnsi="Times New Roman" w:cs="Times New Roman"/>
          <w:sz w:val="24"/>
          <w:szCs w:val="24"/>
        </w:rPr>
        <w:t xml:space="preserve"> Budget</w:t>
      </w:r>
      <w:r w:rsidRPr="001D704A">
        <w:rPr>
          <w:rFonts w:ascii="Times New Roman" w:hAnsi="Times New Roman" w:cs="Times New Roman"/>
          <w:sz w:val="24"/>
          <w:szCs w:val="24"/>
        </w:rPr>
        <w:t xml:space="preserve"> </w:t>
      </w:r>
      <w:r w:rsidR="008E054B" w:rsidRPr="001D704A">
        <w:rPr>
          <w:rFonts w:ascii="Times New Roman" w:hAnsi="Times New Roman" w:cs="Times New Roman"/>
          <w:sz w:val="24"/>
          <w:szCs w:val="24"/>
        </w:rPr>
        <w:t>commitment</w:t>
      </w:r>
      <w:r w:rsidR="008E054B" w:rsidRPr="001D704A">
        <w:rPr>
          <w:rFonts w:ascii="Times New Roman" w:hAnsi="Times New Roman" w:cs="Times New Roman"/>
          <w:i/>
          <w:sz w:val="24"/>
          <w:szCs w:val="24"/>
        </w:rPr>
        <w:t xml:space="preserve"> </w:t>
      </w:r>
      <w:r w:rsidRPr="001D704A">
        <w:rPr>
          <w:rFonts w:ascii="Times New Roman" w:hAnsi="Times New Roman" w:cs="Times New Roman"/>
          <w:i/>
          <w:sz w:val="24"/>
          <w:szCs w:val="24"/>
        </w:rPr>
        <w:t>Skills Package –</w:t>
      </w:r>
      <w:r w:rsidRPr="001D704A">
        <w:rPr>
          <w:rFonts w:ascii="Times New Roman" w:hAnsi="Times New Roman" w:cs="Times New Roman"/>
          <w:sz w:val="24"/>
          <w:szCs w:val="24"/>
        </w:rPr>
        <w:t xml:space="preserve"> </w:t>
      </w:r>
      <w:r w:rsidRPr="001D704A">
        <w:rPr>
          <w:rFonts w:ascii="Times New Roman" w:hAnsi="Times New Roman" w:cs="Times New Roman"/>
          <w:i/>
          <w:sz w:val="24"/>
          <w:szCs w:val="24"/>
        </w:rPr>
        <w:t>Delivering Skills for Today and Tomorrow</w:t>
      </w:r>
      <w:r w:rsidRPr="001D704A">
        <w:rPr>
          <w:rFonts w:ascii="Times New Roman" w:hAnsi="Times New Roman" w:cs="Times New Roman"/>
          <w:sz w:val="24"/>
          <w:szCs w:val="24"/>
        </w:rPr>
        <w:t xml:space="preserve"> to improve the quality of the VET system, and to respond to</w:t>
      </w:r>
      <w:r w:rsidRPr="001D704A">
        <w:t xml:space="preserve"> </w:t>
      </w:r>
      <w:r w:rsidRPr="001D704A">
        <w:rPr>
          <w:rFonts w:ascii="Times New Roman" w:hAnsi="Times New Roman" w:cs="Times New Roman"/>
          <w:sz w:val="24"/>
          <w:szCs w:val="24"/>
        </w:rPr>
        <w:t xml:space="preserve">the </w:t>
      </w:r>
      <w:r w:rsidR="008E054B" w:rsidRPr="001D704A">
        <w:rPr>
          <w:rFonts w:ascii="Times New Roman" w:hAnsi="Times New Roman" w:cs="Times New Roman"/>
          <w:i/>
          <w:iCs/>
          <w:sz w:val="24"/>
          <w:szCs w:val="24"/>
        </w:rPr>
        <w:t>Expert Review of Australia’s Vocational Education and Training System</w:t>
      </w:r>
      <w:r w:rsidR="008E054B" w:rsidRPr="001D704A">
        <w:rPr>
          <w:rFonts w:ascii="Times New Roman" w:hAnsi="Times New Roman" w:cs="Times New Roman"/>
          <w:sz w:val="24"/>
          <w:szCs w:val="24"/>
        </w:rPr>
        <w:t xml:space="preserve"> (the Joyce Review)</w:t>
      </w:r>
      <w:r w:rsidRPr="001D704A">
        <w:rPr>
          <w:rFonts w:ascii="Times New Roman" w:hAnsi="Times New Roman" w:cs="Times New Roman"/>
          <w:sz w:val="24"/>
          <w:szCs w:val="24"/>
        </w:rPr>
        <w:t xml:space="preserve">. </w:t>
      </w:r>
    </w:p>
    <w:p w14:paraId="018885FF" w14:textId="77777777" w:rsidR="00044CD6" w:rsidRPr="001D704A" w:rsidRDefault="00044CD6" w:rsidP="00123EB1">
      <w:pPr>
        <w:rPr>
          <w:rFonts w:ascii="Times New Roman" w:hAnsi="Times New Roman" w:cs="Times New Roman"/>
          <w:sz w:val="24"/>
          <w:szCs w:val="24"/>
        </w:rPr>
      </w:pPr>
    </w:p>
    <w:p w14:paraId="6D8945AD" w14:textId="6909B38C"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three SO Pilots, established in 2020 as part of the Government’s response to the Joyce Review, are trialling new approaches to industry leadership in the VET system. The </w:t>
      </w:r>
      <w:r w:rsidR="006F7E9D" w:rsidRPr="001D704A">
        <w:rPr>
          <w:rFonts w:ascii="Times New Roman" w:hAnsi="Times New Roman" w:cs="Times New Roman"/>
          <w:sz w:val="24"/>
          <w:szCs w:val="24"/>
        </w:rPr>
        <w:t>p</w:t>
      </w:r>
      <w:r w:rsidRPr="001D704A">
        <w:rPr>
          <w:rFonts w:ascii="Times New Roman" w:hAnsi="Times New Roman" w:cs="Times New Roman"/>
          <w:sz w:val="24"/>
          <w:szCs w:val="24"/>
        </w:rPr>
        <w:t>rogram will draw and expand on the SO Pilots’ successes and lessons learnt in establishing the Industry Clusters.</w:t>
      </w:r>
    </w:p>
    <w:p w14:paraId="4642E6F9" w14:textId="77777777" w:rsidR="00044CD6" w:rsidRPr="001D704A" w:rsidRDefault="00044CD6" w:rsidP="00123EB1">
      <w:pPr>
        <w:rPr>
          <w:rFonts w:ascii="Times New Roman" w:hAnsi="Times New Roman" w:cs="Times New Roman"/>
          <w:sz w:val="24"/>
          <w:szCs w:val="24"/>
        </w:rPr>
      </w:pPr>
    </w:p>
    <w:p w14:paraId="597EF874" w14:textId="1F855E63"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Once established, Industry Clusters will ensure industry has a strong, strategic voice, is empowered to address workforce challenges, and works to improve the development and delivery of training.</w:t>
      </w:r>
      <w:r w:rsidR="006F7E9D" w:rsidRPr="001D704A">
        <w:rPr>
          <w:rFonts w:ascii="Times New Roman" w:hAnsi="Times New Roman" w:cs="Times New Roman"/>
          <w:sz w:val="24"/>
          <w:szCs w:val="24"/>
        </w:rPr>
        <w:t xml:space="preserve"> The</w:t>
      </w:r>
      <w:r w:rsidRPr="001D704A">
        <w:rPr>
          <w:rFonts w:ascii="Times New Roman" w:hAnsi="Times New Roman" w:cs="Times New Roman"/>
          <w:sz w:val="24"/>
          <w:szCs w:val="24"/>
        </w:rPr>
        <w:t xml:space="preserve"> Industry Clusters will aim to increase the quality, relevance and responsiveness of the VET system</w:t>
      </w:r>
      <w:r w:rsidR="006F7E9D" w:rsidRPr="001D704A">
        <w:rPr>
          <w:rFonts w:ascii="Times New Roman" w:hAnsi="Times New Roman" w:cs="Times New Roman"/>
          <w:sz w:val="24"/>
          <w:szCs w:val="24"/>
        </w:rPr>
        <w:t xml:space="preserve"> by delivering on a range of functions, including but not limited to:</w:t>
      </w:r>
    </w:p>
    <w:p w14:paraId="7E229A0C" w14:textId="1A80E808" w:rsidR="00044CD6" w:rsidRPr="001D704A" w:rsidRDefault="006F7E9D" w:rsidP="00123EB1">
      <w:pPr>
        <w:pStyle w:val="ListParagraph"/>
        <w:numPr>
          <w:ilvl w:val="0"/>
          <w:numId w:val="49"/>
        </w:numPr>
        <w:spacing w:after="0" w:line="240" w:lineRule="auto"/>
        <w:ind w:left="714" w:hanging="357"/>
        <w:rPr>
          <w:rFonts w:ascii="Times New Roman" w:hAnsi="Times New Roman"/>
          <w:bCs/>
          <w:sz w:val="24"/>
          <w:szCs w:val="24"/>
        </w:rPr>
      </w:pPr>
      <w:r w:rsidRPr="001D704A">
        <w:rPr>
          <w:rFonts w:ascii="Times New Roman" w:hAnsi="Times New Roman"/>
          <w:bCs/>
          <w:sz w:val="24"/>
          <w:szCs w:val="24"/>
        </w:rPr>
        <w:t>w</w:t>
      </w:r>
      <w:r w:rsidR="00044CD6" w:rsidRPr="001D704A">
        <w:rPr>
          <w:rFonts w:ascii="Times New Roman" w:hAnsi="Times New Roman"/>
          <w:bCs/>
          <w:sz w:val="24"/>
          <w:szCs w:val="24"/>
        </w:rPr>
        <w:t xml:space="preserve">orkforce planning including across VET and </w:t>
      </w:r>
      <w:r w:rsidRPr="001D704A">
        <w:rPr>
          <w:rFonts w:ascii="Times New Roman" w:hAnsi="Times New Roman"/>
          <w:bCs/>
          <w:sz w:val="24"/>
          <w:szCs w:val="24"/>
        </w:rPr>
        <w:t>h</w:t>
      </w:r>
      <w:r w:rsidR="00044CD6" w:rsidRPr="001D704A">
        <w:rPr>
          <w:rFonts w:ascii="Times New Roman" w:hAnsi="Times New Roman"/>
          <w:bCs/>
          <w:sz w:val="24"/>
          <w:szCs w:val="24"/>
        </w:rPr>
        <w:t xml:space="preserve">igher </w:t>
      </w:r>
      <w:r w:rsidRPr="001D704A">
        <w:rPr>
          <w:rFonts w:ascii="Times New Roman" w:hAnsi="Times New Roman"/>
          <w:bCs/>
          <w:sz w:val="24"/>
          <w:szCs w:val="24"/>
        </w:rPr>
        <w:t>e</w:t>
      </w:r>
      <w:r w:rsidR="00044CD6" w:rsidRPr="001D704A">
        <w:rPr>
          <w:rFonts w:ascii="Times New Roman" w:hAnsi="Times New Roman"/>
          <w:bCs/>
          <w:sz w:val="24"/>
          <w:szCs w:val="24"/>
        </w:rPr>
        <w:t>ducation</w:t>
      </w:r>
      <w:r w:rsidRPr="001D704A">
        <w:rPr>
          <w:rFonts w:ascii="Times New Roman" w:hAnsi="Times New Roman"/>
          <w:bCs/>
          <w:sz w:val="24"/>
          <w:szCs w:val="24"/>
        </w:rPr>
        <w:t>:</w:t>
      </w:r>
    </w:p>
    <w:p w14:paraId="107CBA85"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identifying current, emerging and future workforce challenges;</w:t>
      </w:r>
    </w:p>
    <w:p w14:paraId="1C0C330C"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developing strategies to address workforce and skills needs;</w:t>
      </w:r>
    </w:p>
    <w:p w14:paraId="1B0F05B7"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prioritising a forward plan for training product development informed by workforce planning; and</w:t>
      </w:r>
    </w:p>
    <w:p w14:paraId="2A5AF35B"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drawing on and informing labour market analysis and other evidence developed by the National Skills Commissioner;</w:t>
      </w:r>
    </w:p>
    <w:p w14:paraId="13B8DABE" w14:textId="186D7E19" w:rsidR="00044CD6" w:rsidRPr="001D704A" w:rsidRDefault="006F7E9D" w:rsidP="00123EB1">
      <w:pPr>
        <w:pStyle w:val="ListParagraph"/>
        <w:numPr>
          <w:ilvl w:val="0"/>
          <w:numId w:val="49"/>
        </w:numPr>
        <w:spacing w:after="0" w:line="240" w:lineRule="auto"/>
        <w:ind w:left="714" w:hanging="357"/>
        <w:rPr>
          <w:rFonts w:ascii="Times New Roman" w:hAnsi="Times New Roman"/>
          <w:bCs/>
          <w:sz w:val="24"/>
          <w:szCs w:val="24"/>
        </w:rPr>
      </w:pPr>
      <w:r w:rsidRPr="001D704A">
        <w:rPr>
          <w:rFonts w:ascii="Times New Roman" w:hAnsi="Times New Roman"/>
          <w:bCs/>
          <w:sz w:val="24"/>
          <w:szCs w:val="24"/>
        </w:rPr>
        <w:t>o</w:t>
      </w:r>
      <w:r w:rsidR="00044CD6" w:rsidRPr="001D704A">
        <w:rPr>
          <w:rFonts w:ascii="Times New Roman" w:hAnsi="Times New Roman"/>
          <w:bCs/>
          <w:sz w:val="24"/>
          <w:szCs w:val="24"/>
        </w:rPr>
        <w:t>ccupational standards and training product development</w:t>
      </w:r>
      <w:r w:rsidRPr="001D704A">
        <w:rPr>
          <w:rFonts w:ascii="Times New Roman" w:hAnsi="Times New Roman"/>
          <w:bCs/>
          <w:sz w:val="24"/>
          <w:szCs w:val="24"/>
        </w:rPr>
        <w:t>:</w:t>
      </w:r>
    </w:p>
    <w:p w14:paraId="35AC5EF3"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developing training products in accordance with relevant legislative requirements and policy guidance; and</w:t>
      </w:r>
    </w:p>
    <w:p w14:paraId="30C36566"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testing new approaches to skills and workforce development;</w:t>
      </w:r>
    </w:p>
    <w:p w14:paraId="03A8F552" w14:textId="610006FA" w:rsidR="00044CD6" w:rsidRPr="001D704A" w:rsidRDefault="006F7E9D" w:rsidP="00123EB1">
      <w:pPr>
        <w:pStyle w:val="ListParagraph"/>
        <w:numPr>
          <w:ilvl w:val="0"/>
          <w:numId w:val="49"/>
        </w:numPr>
        <w:spacing w:after="0" w:line="240" w:lineRule="auto"/>
        <w:ind w:left="714" w:hanging="357"/>
        <w:rPr>
          <w:rFonts w:ascii="Times New Roman" w:hAnsi="Times New Roman"/>
          <w:bCs/>
          <w:sz w:val="24"/>
          <w:szCs w:val="24"/>
        </w:rPr>
      </w:pPr>
      <w:r w:rsidRPr="001D704A">
        <w:rPr>
          <w:rFonts w:ascii="Times New Roman" w:hAnsi="Times New Roman"/>
          <w:bCs/>
          <w:sz w:val="24"/>
          <w:szCs w:val="24"/>
        </w:rPr>
        <w:t>d</w:t>
      </w:r>
      <w:r w:rsidR="00044CD6" w:rsidRPr="001D704A">
        <w:rPr>
          <w:rFonts w:ascii="Times New Roman" w:hAnsi="Times New Roman"/>
          <w:bCs/>
          <w:sz w:val="24"/>
          <w:szCs w:val="24"/>
        </w:rPr>
        <w:t>elivery and promotion</w:t>
      </w:r>
      <w:r w:rsidRPr="001D704A">
        <w:rPr>
          <w:rFonts w:ascii="Times New Roman" w:hAnsi="Times New Roman"/>
          <w:bCs/>
          <w:sz w:val="24"/>
          <w:szCs w:val="24"/>
        </w:rPr>
        <w:t>:</w:t>
      </w:r>
    </w:p>
    <w:p w14:paraId="03D8016A"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building engagement in the national training system;</w:t>
      </w:r>
    </w:p>
    <w:p w14:paraId="10BB02F2"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collaborating with employers and education and training providers;</w:t>
      </w:r>
    </w:p>
    <w:p w14:paraId="716CC3AB"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identifying and promoting relevant career pathways, working with the department’s National Careers Institute; and</w:t>
      </w:r>
    </w:p>
    <w:p w14:paraId="749B7B71"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supporting end-to-end development and delivery of training;</w:t>
      </w:r>
    </w:p>
    <w:p w14:paraId="021103D9" w14:textId="6AD542D9" w:rsidR="00044CD6" w:rsidRPr="001D704A" w:rsidRDefault="006F7E9D" w:rsidP="00123EB1">
      <w:pPr>
        <w:pStyle w:val="ListParagraph"/>
        <w:numPr>
          <w:ilvl w:val="0"/>
          <w:numId w:val="49"/>
        </w:numPr>
        <w:spacing w:after="0" w:line="240" w:lineRule="auto"/>
        <w:ind w:left="714" w:hanging="357"/>
        <w:rPr>
          <w:rFonts w:ascii="Times New Roman" w:hAnsi="Times New Roman"/>
          <w:bCs/>
          <w:sz w:val="24"/>
          <w:szCs w:val="24"/>
        </w:rPr>
      </w:pPr>
      <w:r w:rsidRPr="001D704A">
        <w:rPr>
          <w:rFonts w:ascii="Times New Roman" w:hAnsi="Times New Roman"/>
          <w:bCs/>
          <w:sz w:val="24"/>
          <w:szCs w:val="24"/>
        </w:rPr>
        <w:t>i</w:t>
      </w:r>
      <w:r w:rsidR="00044CD6" w:rsidRPr="001D704A">
        <w:rPr>
          <w:rFonts w:ascii="Times New Roman" w:hAnsi="Times New Roman"/>
          <w:bCs/>
          <w:sz w:val="24"/>
          <w:szCs w:val="24"/>
        </w:rPr>
        <w:t>ndustry stewardship</w:t>
      </w:r>
      <w:r w:rsidRPr="001D704A">
        <w:rPr>
          <w:rFonts w:ascii="Times New Roman" w:hAnsi="Times New Roman"/>
          <w:bCs/>
          <w:sz w:val="24"/>
          <w:szCs w:val="24"/>
        </w:rPr>
        <w:t>:</w:t>
      </w:r>
    </w:p>
    <w:p w14:paraId="61CD5706"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providing intelligence on industry issues;</w:t>
      </w:r>
    </w:p>
    <w:p w14:paraId="1D906E0E"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establishing feedback loops across the training system;</w:t>
      </w:r>
    </w:p>
    <w:p w14:paraId="48DAD6A4"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providing strategic advice to Skills Ministers on workforce and skills needs, policies and standards, and system improvements; and</w:t>
      </w:r>
    </w:p>
    <w:p w14:paraId="0E693D54" w14:textId="77777777" w:rsidR="00044CD6" w:rsidRPr="001D704A" w:rsidRDefault="00044CD6" w:rsidP="00123EB1">
      <w:pPr>
        <w:numPr>
          <w:ilvl w:val="1"/>
          <w:numId w:val="40"/>
        </w:numPr>
        <w:rPr>
          <w:rFonts w:ascii="Times New Roman" w:hAnsi="Times New Roman" w:cs="Times New Roman"/>
          <w:bCs/>
          <w:sz w:val="24"/>
          <w:szCs w:val="24"/>
        </w:rPr>
      </w:pPr>
      <w:r w:rsidRPr="001D704A">
        <w:rPr>
          <w:rFonts w:ascii="Times New Roman" w:hAnsi="Times New Roman" w:cs="Times New Roman"/>
          <w:bCs/>
          <w:sz w:val="24"/>
          <w:szCs w:val="24"/>
        </w:rPr>
        <w:t>working with other Industry Clusters.</w:t>
      </w:r>
    </w:p>
    <w:p w14:paraId="76627AA2" w14:textId="77777777" w:rsidR="00044CD6" w:rsidRPr="001D704A" w:rsidRDefault="00044CD6" w:rsidP="00123EB1">
      <w:pPr>
        <w:rPr>
          <w:rFonts w:ascii="Times New Roman" w:hAnsi="Times New Roman" w:cs="Times New Roman"/>
          <w:sz w:val="24"/>
          <w:szCs w:val="24"/>
        </w:rPr>
      </w:pPr>
    </w:p>
    <w:p w14:paraId="3B077EC1"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department will provide funding for the establishment and operation of Industry Clusters through a grants process. For most Industry Clusters, funding will be provided to entities assessed as having the capacity and capability to operate as an Industry Cluster, including strong arrangements for governance and engagement. </w:t>
      </w:r>
    </w:p>
    <w:p w14:paraId="29968D27" w14:textId="77777777" w:rsidR="00044CD6" w:rsidRPr="001D704A" w:rsidRDefault="00044CD6" w:rsidP="00123EB1">
      <w:pPr>
        <w:rPr>
          <w:rFonts w:ascii="Times New Roman" w:hAnsi="Times New Roman" w:cs="Times New Roman"/>
          <w:sz w:val="24"/>
          <w:szCs w:val="24"/>
        </w:rPr>
      </w:pPr>
    </w:p>
    <w:p w14:paraId="0FB1DF3F"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In the event that such an entity is not assessed as having such capacity and capability for a particular cluster, the department may instead enter into contractual arrangements with other entities for the delivery of services similar to those that would have been provided by an Industry Cluster.</w:t>
      </w:r>
    </w:p>
    <w:p w14:paraId="35CE31B4" w14:textId="77777777" w:rsidR="00044CD6" w:rsidRPr="001D704A" w:rsidRDefault="00044CD6" w:rsidP="00123EB1">
      <w:pPr>
        <w:rPr>
          <w:rFonts w:ascii="Times New Roman" w:hAnsi="Times New Roman" w:cs="Times New Roman"/>
          <w:sz w:val="24"/>
          <w:szCs w:val="24"/>
        </w:rPr>
      </w:pPr>
    </w:p>
    <w:p w14:paraId="0454F325" w14:textId="73EB9162" w:rsidR="00444D3D"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Funding for this item will largely be provided by way of </w:t>
      </w:r>
      <w:r w:rsidR="00444D3D" w:rsidRPr="001D704A">
        <w:rPr>
          <w:rFonts w:ascii="Times New Roman" w:hAnsi="Times New Roman" w:cs="Times New Roman"/>
          <w:sz w:val="24"/>
          <w:szCs w:val="24"/>
        </w:rPr>
        <w:t xml:space="preserve">a </w:t>
      </w:r>
      <w:r w:rsidRPr="001D704A">
        <w:rPr>
          <w:rFonts w:ascii="Times New Roman" w:hAnsi="Times New Roman" w:cs="Times New Roman"/>
          <w:sz w:val="24"/>
          <w:szCs w:val="24"/>
        </w:rPr>
        <w:t xml:space="preserve">grants </w:t>
      </w:r>
      <w:r w:rsidR="00444D3D" w:rsidRPr="001D704A">
        <w:rPr>
          <w:rFonts w:ascii="Times New Roman" w:hAnsi="Times New Roman" w:cs="Times New Roman"/>
          <w:sz w:val="24"/>
          <w:szCs w:val="24"/>
        </w:rPr>
        <w:t>process.</w:t>
      </w:r>
      <w:r w:rsidR="0082019D" w:rsidRPr="001D704A">
        <w:rPr>
          <w:rFonts w:ascii="Times New Roman" w:hAnsi="Times New Roman" w:cs="Times New Roman"/>
          <w:sz w:val="24"/>
          <w:szCs w:val="24"/>
        </w:rPr>
        <w:t xml:space="preserve"> </w:t>
      </w:r>
      <w:r w:rsidR="00444D3D" w:rsidRPr="001D704A">
        <w:rPr>
          <w:rFonts w:ascii="Times New Roman" w:hAnsi="Times New Roman" w:cs="Times New Roman"/>
          <w:sz w:val="24"/>
          <w:szCs w:val="24"/>
        </w:rPr>
        <w:t>The first stage of this process is an open, competitive grants round that opened on 3 December 2021 and will close on 31 March 2022. The second stage of the process will be a closed, non-competitive grants round that will depend on outcomes in the first stage. The grant opportunity guidelines for the first stage are available now on GrantConnect (</w:t>
      </w:r>
      <w:r w:rsidR="00444D3D" w:rsidRPr="001D704A">
        <w:rPr>
          <w:rFonts w:ascii="Times New Roman" w:hAnsi="Times New Roman" w:cs="Times New Roman"/>
          <w:sz w:val="24"/>
          <w:szCs w:val="24"/>
          <w:u w:val="single"/>
        </w:rPr>
        <w:t>www.grants.gov.au/Go/Show?GoUuid=b4bbac70-2d21-4e90-b406-bf3dc6fb80e6&amp;keyword=GO5308</w:t>
      </w:r>
      <w:r w:rsidR="00444D3D" w:rsidRPr="001D704A">
        <w:rPr>
          <w:rFonts w:ascii="Times New Roman" w:hAnsi="Times New Roman" w:cs="Times New Roman"/>
          <w:sz w:val="24"/>
          <w:szCs w:val="24"/>
        </w:rPr>
        <w:t xml:space="preserve">). </w:t>
      </w:r>
    </w:p>
    <w:p w14:paraId="4A0075A8" w14:textId="77777777" w:rsidR="00444D3D" w:rsidRPr="001D704A" w:rsidRDefault="00444D3D" w:rsidP="00123EB1">
      <w:pPr>
        <w:rPr>
          <w:rFonts w:ascii="Times New Roman" w:hAnsi="Times New Roman" w:cs="Times New Roman"/>
          <w:sz w:val="24"/>
          <w:szCs w:val="24"/>
        </w:rPr>
      </w:pPr>
      <w:r w:rsidRPr="001D704A">
        <w:rPr>
          <w:rFonts w:ascii="Times New Roman" w:hAnsi="Times New Roman" w:cs="Times New Roman"/>
          <w:sz w:val="24"/>
          <w:szCs w:val="24"/>
        </w:rPr>
        <w:t> </w:t>
      </w:r>
    </w:p>
    <w:p w14:paraId="0EAE961C" w14:textId="48449E66" w:rsidR="00444D3D" w:rsidRPr="001D704A" w:rsidRDefault="00444D3D" w:rsidP="00123EB1">
      <w:pPr>
        <w:rPr>
          <w:rFonts w:ascii="Times New Roman" w:hAnsi="Times New Roman" w:cs="Times New Roman"/>
          <w:sz w:val="24"/>
          <w:szCs w:val="24"/>
        </w:rPr>
      </w:pPr>
      <w:r w:rsidRPr="001D704A">
        <w:rPr>
          <w:rFonts w:ascii="Times New Roman" w:hAnsi="Times New Roman" w:cs="Times New Roman"/>
          <w:sz w:val="24"/>
          <w:szCs w:val="24"/>
        </w:rPr>
        <w:t xml:space="preserve">Given the complexity and significance of this work, the final decision maker who will enter into arrangements and commit relevant monies will be the Deputy Secretary (SES Band 3), Skills and Training Group, a delegate of the Secretary of the department. An evaluation committee made up of public officials, with various expertise in the skills and training sector will consider applications and oversee relevant evaluations for the grants process. This committee will consider and assess applications against assessment criteria and provide advice to the delegate on recommended successful applicants. This delegation is suitable and appropriate in the context of the program: the delegate is an SES Band 3 officer with extensive experience and a comprehensive understanding of the skills and training sector, including insights gained as the current Chair of the Skills Senior Officials’ Network. This experience will be critical in the making of final decisions, as the new Industry Clusters will operate within the national training system in accordance with policies and standards set by </w:t>
      </w:r>
      <w:r w:rsidR="00AE5E9E" w:rsidRPr="001D704A">
        <w:rPr>
          <w:rFonts w:ascii="Times New Roman" w:hAnsi="Times New Roman" w:cs="Times New Roman"/>
          <w:sz w:val="24"/>
          <w:szCs w:val="24"/>
        </w:rPr>
        <w:t xml:space="preserve">the </w:t>
      </w:r>
      <w:r w:rsidRPr="001D704A">
        <w:rPr>
          <w:rFonts w:ascii="Times New Roman" w:hAnsi="Times New Roman" w:cs="Times New Roman"/>
          <w:sz w:val="24"/>
          <w:szCs w:val="24"/>
        </w:rPr>
        <w:t xml:space="preserve">Skills Ministers from all Australian governments. The seniority of the delegate also ensures they are suitable and appropriate to promote and safeguard the efficient, effective, economical and ethical management of the relevant public resources. </w:t>
      </w:r>
    </w:p>
    <w:p w14:paraId="5AC16F1C" w14:textId="77777777" w:rsidR="00444D3D" w:rsidRPr="001D704A" w:rsidRDefault="00444D3D" w:rsidP="00123EB1">
      <w:pPr>
        <w:rPr>
          <w:rFonts w:ascii="Times New Roman" w:hAnsi="Times New Roman" w:cs="Times New Roman"/>
          <w:sz w:val="24"/>
          <w:szCs w:val="24"/>
        </w:rPr>
      </w:pPr>
      <w:r w:rsidRPr="001D704A">
        <w:rPr>
          <w:rFonts w:ascii="Times New Roman" w:hAnsi="Times New Roman" w:cs="Times New Roman"/>
          <w:sz w:val="24"/>
          <w:szCs w:val="24"/>
        </w:rPr>
        <w:t> </w:t>
      </w:r>
    </w:p>
    <w:p w14:paraId="49D07530" w14:textId="76F9F404" w:rsidR="00444D3D" w:rsidRPr="001D704A" w:rsidRDefault="00444D3D" w:rsidP="00123EB1">
      <w:pPr>
        <w:rPr>
          <w:rFonts w:ascii="Times New Roman" w:hAnsi="Times New Roman" w:cs="Times New Roman"/>
          <w:sz w:val="24"/>
          <w:szCs w:val="24"/>
        </w:rPr>
      </w:pPr>
      <w:r w:rsidRPr="001D704A">
        <w:rPr>
          <w:rFonts w:ascii="Times New Roman" w:hAnsi="Times New Roman" w:cs="Times New Roman"/>
          <w:sz w:val="24"/>
          <w:szCs w:val="24"/>
        </w:rPr>
        <w:t xml:space="preserve">This grants process and final decisions about entering into arrangements and committing relevant monies will be conducted and made in a manner consistent with the PGPA Act, the CGRGs, and the department’s Accountable Authority Instructions. </w:t>
      </w:r>
    </w:p>
    <w:p w14:paraId="77213FE2" w14:textId="77777777" w:rsidR="00444D3D" w:rsidRPr="001D704A" w:rsidRDefault="00444D3D" w:rsidP="00123EB1">
      <w:pPr>
        <w:rPr>
          <w:rFonts w:ascii="Times New Roman" w:hAnsi="Times New Roman" w:cs="Times New Roman"/>
          <w:sz w:val="24"/>
          <w:szCs w:val="24"/>
        </w:rPr>
      </w:pPr>
    </w:p>
    <w:p w14:paraId="6BF2527F" w14:textId="2D7BF30D"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Any services procured in relation to the </w:t>
      </w:r>
      <w:r w:rsidR="00BB7573"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would be procured in a manner consistent with the PGPA Act and the CPRs, as well as the department’s Accountable Authority Instructions and delegations on the expenditure of relevant monies. A range of procurement methods may be used, including open or limited tenders. The selection of which procurement method to use would depend on the activity. </w:t>
      </w:r>
    </w:p>
    <w:p w14:paraId="4A53BDE2" w14:textId="77777777" w:rsidR="00044CD6" w:rsidRPr="001D704A" w:rsidRDefault="00044CD6" w:rsidP="00123EB1">
      <w:pPr>
        <w:rPr>
          <w:rFonts w:ascii="Times New Roman" w:hAnsi="Times New Roman" w:cs="Times New Roman"/>
          <w:sz w:val="24"/>
          <w:szCs w:val="24"/>
        </w:rPr>
      </w:pPr>
    </w:p>
    <w:p w14:paraId="09A868BD" w14:textId="5E48D1A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Final spending decisions would be made by the Secretary of the department or an appropriate delegate. Procurement decisions would be based on achieving appropriate coverage, representation and support for all industries nationally and on value for money, including capability and capacity to deliver, price and risk considerations. Information on any tender(s) and the resultant contract(s) would be made available on AusTender (</w:t>
      </w:r>
      <w:r w:rsidRPr="001D704A">
        <w:rPr>
          <w:rFonts w:ascii="Times New Roman" w:hAnsi="Times New Roman" w:cs="Times New Roman"/>
          <w:sz w:val="24"/>
          <w:szCs w:val="24"/>
          <w:u w:val="single"/>
        </w:rPr>
        <w:t>www.tenders.gov.au</w:t>
      </w:r>
      <w:r w:rsidRPr="001D704A">
        <w:rPr>
          <w:rFonts w:ascii="Times New Roman" w:hAnsi="Times New Roman" w:cs="Times New Roman"/>
          <w:sz w:val="24"/>
          <w:szCs w:val="24"/>
        </w:rPr>
        <w:t xml:space="preserve">) once the contract(s) </w:t>
      </w:r>
      <w:r w:rsidR="00BB7573" w:rsidRPr="001D704A">
        <w:rPr>
          <w:rFonts w:ascii="Times New Roman" w:hAnsi="Times New Roman" w:cs="Times New Roman"/>
          <w:sz w:val="24"/>
          <w:szCs w:val="24"/>
        </w:rPr>
        <w:t>are</w:t>
      </w:r>
      <w:r w:rsidRPr="001D704A">
        <w:rPr>
          <w:rFonts w:ascii="Times New Roman" w:hAnsi="Times New Roman" w:cs="Times New Roman"/>
          <w:sz w:val="24"/>
          <w:szCs w:val="24"/>
        </w:rPr>
        <w:t xml:space="preserve"> signed.</w:t>
      </w:r>
    </w:p>
    <w:p w14:paraId="1CC6C1C6" w14:textId="77777777" w:rsidR="00044CD6" w:rsidRPr="001D704A" w:rsidRDefault="00044CD6" w:rsidP="00123EB1">
      <w:pPr>
        <w:rPr>
          <w:rFonts w:ascii="Times New Roman" w:hAnsi="Times New Roman" w:cs="Times New Roman"/>
          <w:sz w:val="24"/>
          <w:szCs w:val="24"/>
        </w:rPr>
      </w:pPr>
    </w:p>
    <w:p w14:paraId="10049BBB"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The department would provide an opportunity for suppliers and tenderers to make complaints if they wished, and to seek and receive feedback. Those complaints and inquiries would be able to be made at any time during the procurement process, and would be handled in accordance with probity requirements.</w:t>
      </w:r>
    </w:p>
    <w:p w14:paraId="1BD6FD66" w14:textId="77777777" w:rsidR="00044CD6" w:rsidRPr="001D704A" w:rsidRDefault="00044CD6" w:rsidP="00123EB1">
      <w:pPr>
        <w:rPr>
          <w:rFonts w:ascii="Times New Roman" w:hAnsi="Times New Roman" w:cs="Times New Roman"/>
          <w:sz w:val="24"/>
          <w:szCs w:val="24"/>
        </w:rPr>
      </w:pPr>
    </w:p>
    <w:p w14:paraId="21C3E8D4"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Decisions to grant funding to Industry Clusters, once made, will be final and not subject to independent merits review. This is because those decisions will involve:</w:t>
      </w:r>
    </w:p>
    <w:p w14:paraId="73C7DE63" w14:textId="77777777" w:rsidR="00044CD6" w:rsidRPr="001D704A" w:rsidRDefault="00044CD6" w:rsidP="00123EB1">
      <w:pPr>
        <w:numPr>
          <w:ilvl w:val="0"/>
          <w:numId w:val="41"/>
        </w:numPr>
        <w:rPr>
          <w:rFonts w:ascii="Times New Roman" w:hAnsi="Times New Roman" w:cs="Times New Roman"/>
          <w:sz w:val="24"/>
          <w:szCs w:val="24"/>
        </w:rPr>
      </w:pPr>
      <w:r w:rsidRPr="001D704A">
        <w:rPr>
          <w:rFonts w:ascii="Times New Roman" w:hAnsi="Times New Roman" w:cs="Times New Roman"/>
          <w:sz w:val="24"/>
          <w:szCs w:val="24"/>
        </w:rPr>
        <w:t>the allocation of a finite resource, from which all potential claims for the share of the resource cannot be met; and</w:t>
      </w:r>
    </w:p>
    <w:p w14:paraId="55AB5FD8" w14:textId="77777777" w:rsidR="00044CD6" w:rsidRPr="001D704A" w:rsidRDefault="00044CD6" w:rsidP="00123EB1">
      <w:pPr>
        <w:numPr>
          <w:ilvl w:val="0"/>
          <w:numId w:val="41"/>
        </w:numPr>
        <w:rPr>
          <w:rFonts w:ascii="Times New Roman" w:hAnsi="Times New Roman" w:cs="Times New Roman"/>
          <w:sz w:val="24"/>
          <w:szCs w:val="24"/>
        </w:rPr>
      </w:pPr>
      <w:r w:rsidRPr="001D704A">
        <w:rPr>
          <w:rFonts w:ascii="Times New Roman" w:hAnsi="Times New Roman" w:cs="Times New Roman"/>
          <w:sz w:val="24"/>
          <w:szCs w:val="24"/>
        </w:rPr>
        <w:t xml:space="preserve">an allocation that has already been made to another party that would be affected by overturning the original decision. </w:t>
      </w:r>
    </w:p>
    <w:p w14:paraId="2A88C041" w14:textId="77777777" w:rsidR="00044CD6" w:rsidRPr="001D704A" w:rsidRDefault="00044CD6" w:rsidP="00123EB1">
      <w:pPr>
        <w:rPr>
          <w:rFonts w:ascii="Times New Roman" w:hAnsi="Times New Roman" w:cs="Times New Roman"/>
          <w:sz w:val="24"/>
          <w:szCs w:val="24"/>
        </w:rPr>
      </w:pPr>
    </w:p>
    <w:p w14:paraId="5B444ED6" w14:textId="02DAA9E0"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ARC has recognised that it is justifiable to exclude merits review in relation to decisions of this nature (see paragraphs 4.11 to 4.14 of the guide, </w:t>
      </w:r>
      <w:r w:rsidRPr="001D704A">
        <w:rPr>
          <w:rFonts w:ascii="Times New Roman" w:hAnsi="Times New Roman" w:cs="Times New Roman"/>
          <w:i/>
          <w:iCs/>
          <w:sz w:val="24"/>
          <w:szCs w:val="24"/>
        </w:rPr>
        <w:t>What decisions should be subject to merit review?</w:t>
      </w:r>
      <w:r w:rsidRPr="001D704A">
        <w:rPr>
          <w:rFonts w:ascii="Times New Roman" w:hAnsi="Times New Roman" w:cs="Times New Roman"/>
          <w:sz w:val="24"/>
          <w:szCs w:val="24"/>
        </w:rPr>
        <w:t xml:space="preserve">). </w:t>
      </w:r>
    </w:p>
    <w:p w14:paraId="66913DAF" w14:textId="77777777" w:rsidR="00044CD6" w:rsidRPr="001D704A" w:rsidRDefault="00044CD6" w:rsidP="00123EB1">
      <w:pPr>
        <w:rPr>
          <w:rFonts w:ascii="Times New Roman" w:hAnsi="Times New Roman" w:cs="Times New Roman"/>
          <w:sz w:val="24"/>
          <w:szCs w:val="24"/>
        </w:rPr>
      </w:pPr>
    </w:p>
    <w:p w14:paraId="6CF84986" w14:textId="22F92000"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Similarly, any procurement decisions, once made, will be final and not subject to merits review. The ARC takes the view that decisions to provide one-off payments to certain service providers, over other service providers, should be excluded from merits review (see paragraph 4.16 of the guide, </w:t>
      </w:r>
      <w:r w:rsidRPr="001D704A">
        <w:rPr>
          <w:rFonts w:ascii="Times New Roman" w:hAnsi="Times New Roman" w:cs="Times New Roman"/>
          <w:i/>
          <w:iCs/>
          <w:sz w:val="24"/>
          <w:szCs w:val="24"/>
        </w:rPr>
        <w:t>What decisions should be subject to merit review?</w:t>
      </w:r>
      <w:r w:rsidRPr="001D704A">
        <w:rPr>
          <w:rFonts w:ascii="Times New Roman" w:hAnsi="Times New Roman" w:cs="Times New Roman"/>
          <w:sz w:val="24"/>
          <w:szCs w:val="24"/>
        </w:rPr>
        <w:t xml:space="preserve">). </w:t>
      </w:r>
    </w:p>
    <w:p w14:paraId="0C29898D" w14:textId="77777777" w:rsidR="00044CD6" w:rsidRPr="001D704A" w:rsidRDefault="00044CD6" w:rsidP="00123EB1">
      <w:pPr>
        <w:rPr>
          <w:rFonts w:ascii="Times New Roman" w:hAnsi="Times New Roman" w:cs="Times New Roman"/>
          <w:sz w:val="24"/>
          <w:szCs w:val="24"/>
        </w:rPr>
      </w:pPr>
    </w:p>
    <w:p w14:paraId="308EA10B"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iCs/>
          <w:sz w:val="24"/>
          <w:szCs w:val="24"/>
        </w:rPr>
        <w:t xml:space="preserve">Government Procurement (Judicial Review) Act 2018 </w:t>
      </w:r>
      <w:r w:rsidRPr="001D704A">
        <w:rPr>
          <w:rFonts w:ascii="Times New Roman" w:hAnsi="Times New Roman" w:cs="Times New Roman"/>
          <w:sz w:val="24"/>
          <w:szCs w:val="24"/>
        </w:rPr>
        <w:t>enables suppliers to challenge some procurement processes for alleged breaches of certain procurement rules. This legislation might provide some additional avenues of redress (compensation or injunction) for dissatisfied providers or potential providers, depending on the circumstances.</w:t>
      </w:r>
    </w:p>
    <w:p w14:paraId="6AC4ED06" w14:textId="77777777" w:rsidR="00044CD6" w:rsidRPr="001D704A" w:rsidRDefault="00044CD6" w:rsidP="00123EB1">
      <w:pPr>
        <w:rPr>
          <w:rFonts w:ascii="Times New Roman" w:hAnsi="Times New Roman" w:cs="Times New Roman"/>
          <w:sz w:val="24"/>
          <w:szCs w:val="24"/>
        </w:rPr>
      </w:pPr>
    </w:p>
    <w:p w14:paraId="1FC5EAB4" w14:textId="784737BD"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As detailed above, the establishment of Industry Clusters builds on the Government’s 2019</w:t>
      </w:r>
      <w:r w:rsidRPr="001D704A">
        <w:rPr>
          <w:rFonts w:ascii="Times New Roman" w:hAnsi="Times New Roman" w:cs="Times New Roman"/>
          <w:sz w:val="24"/>
          <w:szCs w:val="24"/>
        </w:rPr>
        <w:noBreakHyphen/>
        <w:t>20</w:t>
      </w:r>
      <w:r w:rsidR="00BB7573" w:rsidRPr="001D704A">
        <w:rPr>
          <w:rFonts w:ascii="Times New Roman" w:hAnsi="Times New Roman" w:cs="Times New Roman"/>
          <w:sz w:val="24"/>
          <w:szCs w:val="24"/>
        </w:rPr>
        <w:t xml:space="preserve"> Budget commitment</w:t>
      </w:r>
      <w:r w:rsidRPr="001D704A">
        <w:rPr>
          <w:rFonts w:ascii="Times New Roman" w:hAnsi="Times New Roman" w:cs="Times New Roman"/>
          <w:sz w:val="24"/>
          <w:szCs w:val="24"/>
        </w:rPr>
        <w:t xml:space="preserve"> </w:t>
      </w:r>
      <w:r w:rsidR="00BB7573" w:rsidRPr="001D704A">
        <w:rPr>
          <w:rFonts w:ascii="Times New Roman" w:hAnsi="Times New Roman" w:cs="Times New Roman"/>
          <w:i/>
          <w:sz w:val="24"/>
          <w:szCs w:val="24"/>
        </w:rPr>
        <w:t>Skills Package –</w:t>
      </w:r>
      <w:r w:rsidR="00BB7573" w:rsidRPr="001D704A">
        <w:rPr>
          <w:rFonts w:ascii="Times New Roman" w:hAnsi="Times New Roman" w:cs="Times New Roman"/>
          <w:sz w:val="24"/>
          <w:szCs w:val="24"/>
        </w:rPr>
        <w:t xml:space="preserve"> </w:t>
      </w:r>
      <w:r w:rsidR="00BB7573" w:rsidRPr="001D704A">
        <w:rPr>
          <w:rFonts w:ascii="Times New Roman" w:hAnsi="Times New Roman" w:cs="Times New Roman"/>
          <w:i/>
          <w:sz w:val="24"/>
          <w:szCs w:val="24"/>
        </w:rPr>
        <w:t>Delivering Skills for Today and Tomorrow</w:t>
      </w:r>
      <w:r w:rsidRPr="001D704A">
        <w:rPr>
          <w:rFonts w:ascii="Times New Roman" w:hAnsi="Times New Roman" w:cs="Times New Roman"/>
          <w:sz w:val="24"/>
          <w:szCs w:val="24"/>
        </w:rPr>
        <w:t xml:space="preserve"> to improve the quality of the VET system, and to respond to the Joyce Review. The Joyce Review conducted far</w:t>
      </w:r>
      <w:r w:rsidRPr="001D704A">
        <w:rPr>
          <w:rFonts w:ascii="Times New Roman" w:hAnsi="Times New Roman" w:cs="Times New Roman"/>
          <w:sz w:val="24"/>
          <w:szCs w:val="24"/>
        </w:rPr>
        <w:noBreakHyphen/>
        <w:t xml:space="preserve">reaching consultation </w:t>
      </w:r>
      <w:r w:rsidR="00BB7573" w:rsidRPr="001D704A">
        <w:rPr>
          <w:rFonts w:ascii="Times New Roman" w:hAnsi="Times New Roman" w:cs="Times New Roman"/>
          <w:sz w:val="24"/>
          <w:szCs w:val="24"/>
        </w:rPr>
        <w:t>in</w:t>
      </w:r>
      <w:r w:rsidRPr="001D704A">
        <w:rPr>
          <w:rFonts w:ascii="Times New Roman" w:hAnsi="Times New Roman" w:cs="Times New Roman"/>
          <w:sz w:val="24"/>
          <w:szCs w:val="24"/>
        </w:rPr>
        <w:t xml:space="preserve"> 2018-19 and received 192 public submissions from training organisations, employers, governments and individuals. </w:t>
      </w:r>
    </w:p>
    <w:p w14:paraId="06C9C80C" w14:textId="77777777" w:rsidR="00044CD6" w:rsidRPr="001D704A" w:rsidRDefault="00044CD6" w:rsidP="00123EB1">
      <w:pPr>
        <w:rPr>
          <w:rFonts w:ascii="Times New Roman" w:hAnsi="Times New Roman" w:cs="Times New Roman"/>
          <w:sz w:val="24"/>
          <w:szCs w:val="24"/>
        </w:rPr>
      </w:pPr>
    </w:p>
    <w:p w14:paraId="060C20DF"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Between September and December 2019, key stakeholders – employers, unions, peak bodies and representatives within the existing system – participated in a national co</w:t>
      </w:r>
      <w:r w:rsidRPr="001D704A">
        <w:rPr>
          <w:rFonts w:ascii="Times New Roman" w:hAnsi="Times New Roman" w:cs="Times New Roman"/>
          <w:sz w:val="24"/>
          <w:szCs w:val="24"/>
        </w:rPr>
        <w:noBreakHyphen/>
        <w:t>design on improvements to the</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VET</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system. To inform the co-design, a discussion paper calling for submissions was published on 26</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September</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2019 and closed on 22</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November</w:t>
      </w:r>
      <w:r w:rsidRPr="001D704A">
        <w:rPr>
          <w:rFonts w:ascii="Times New Roman" w:hAnsi="Times New Roman" w:cs="Times New Roman" w:hint="eastAsia"/>
          <w:sz w:val="24"/>
          <w:szCs w:val="24"/>
        </w:rPr>
        <w:t> </w:t>
      </w:r>
      <w:r w:rsidRPr="001D704A">
        <w:rPr>
          <w:rFonts w:ascii="Times New Roman" w:hAnsi="Times New Roman" w:cs="Times New Roman"/>
          <w:sz w:val="24"/>
          <w:szCs w:val="24"/>
        </w:rPr>
        <w:t xml:space="preserve">2019. A total of 40 submissions were received. To complement the discussion paper, over 500 people participated in 13 workshops and two small business roundtables across Australia. </w:t>
      </w:r>
    </w:p>
    <w:p w14:paraId="1A55BA72" w14:textId="77777777" w:rsidR="00044CD6" w:rsidRPr="001D704A" w:rsidRDefault="00044CD6" w:rsidP="00123EB1">
      <w:pPr>
        <w:rPr>
          <w:rFonts w:ascii="Times New Roman" w:hAnsi="Times New Roman" w:cs="Times New Roman"/>
          <w:sz w:val="24"/>
          <w:szCs w:val="24"/>
        </w:rPr>
      </w:pPr>
    </w:p>
    <w:p w14:paraId="2DAB592C" w14:textId="52FBA512" w:rsidR="00BB7573"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Between November 2020 and April 2021, key stakeholders were again consulted through surveys, online workshops and webinars, and meetings. Submissions were also invited </w:t>
      </w:r>
      <w:r w:rsidR="00BB7573" w:rsidRPr="001D704A">
        <w:rPr>
          <w:rFonts w:ascii="Times New Roman" w:hAnsi="Times New Roman" w:cs="Times New Roman"/>
          <w:sz w:val="24"/>
          <w:szCs w:val="24"/>
        </w:rPr>
        <w:t>on the</w:t>
      </w:r>
      <w:r w:rsidRPr="001D704A">
        <w:rPr>
          <w:rFonts w:ascii="Times New Roman" w:hAnsi="Times New Roman" w:cs="Times New Roman"/>
          <w:sz w:val="24"/>
          <w:szCs w:val="24"/>
        </w:rPr>
        <w:t xml:space="preserve"> </w:t>
      </w:r>
      <w:r w:rsidR="00BB7573" w:rsidRPr="001D704A">
        <w:rPr>
          <w:rFonts w:ascii="Times New Roman" w:hAnsi="Times New Roman" w:cs="Times New Roman"/>
          <w:i/>
          <w:sz w:val="24"/>
          <w:szCs w:val="24"/>
        </w:rPr>
        <w:t>Improving</w:t>
      </w:r>
      <w:r w:rsidR="00BB7573" w:rsidRPr="001D704A">
        <w:rPr>
          <w:rFonts w:ascii="Times New Roman" w:hAnsi="Times New Roman" w:cs="Times New Roman"/>
          <w:i/>
          <w:iCs/>
          <w:sz w:val="24"/>
          <w:szCs w:val="24"/>
        </w:rPr>
        <w:t xml:space="preserve"> industry engagement and reforming qualifications in Vocational Education and Training</w:t>
      </w:r>
      <w:r w:rsidR="00BB7573" w:rsidRPr="001D704A">
        <w:rPr>
          <w:rFonts w:ascii="Times New Roman" w:hAnsi="Times New Roman" w:cs="Times New Roman"/>
          <w:sz w:val="24"/>
          <w:szCs w:val="24"/>
        </w:rPr>
        <w:t xml:space="preserve"> discussion paper</w:t>
      </w:r>
      <w:r w:rsidRPr="001D704A">
        <w:rPr>
          <w:rFonts w:ascii="Times New Roman" w:hAnsi="Times New Roman" w:cs="Times New Roman"/>
          <w:sz w:val="24"/>
          <w:szCs w:val="24"/>
        </w:rPr>
        <w:t xml:space="preserve">. </w:t>
      </w:r>
    </w:p>
    <w:p w14:paraId="77F63305" w14:textId="77777777" w:rsidR="00BB7573" w:rsidRPr="001D704A" w:rsidRDefault="00BB7573" w:rsidP="00123EB1">
      <w:pPr>
        <w:rPr>
          <w:rFonts w:ascii="Times New Roman" w:hAnsi="Times New Roman" w:cs="Times New Roman"/>
          <w:sz w:val="24"/>
          <w:szCs w:val="24"/>
        </w:rPr>
      </w:pPr>
    </w:p>
    <w:p w14:paraId="65DE5A10" w14:textId="37EC1BE0"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Key findings from those consultations included that:</w:t>
      </w:r>
    </w:p>
    <w:p w14:paraId="1E320FED" w14:textId="77777777" w:rsidR="00044CD6" w:rsidRPr="001D704A" w:rsidRDefault="00044CD6" w:rsidP="00123EB1">
      <w:pPr>
        <w:numPr>
          <w:ilvl w:val="0"/>
          <w:numId w:val="42"/>
        </w:numPr>
        <w:rPr>
          <w:rFonts w:ascii="Times New Roman" w:hAnsi="Times New Roman" w:cs="Times New Roman"/>
          <w:sz w:val="24"/>
          <w:szCs w:val="24"/>
        </w:rPr>
      </w:pPr>
      <w:r w:rsidRPr="001D704A">
        <w:rPr>
          <w:rFonts w:ascii="Times New Roman" w:hAnsi="Times New Roman" w:cs="Times New Roman"/>
          <w:sz w:val="24"/>
          <w:szCs w:val="24"/>
        </w:rPr>
        <w:t>training packages are not responsive enough to the needs of industry;</w:t>
      </w:r>
    </w:p>
    <w:p w14:paraId="0199B119" w14:textId="77777777" w:rsidR="00044CD6" w:rsidRPr="001D704A" w:rsidRDefault="00044CD6" w:rsidP="00123EB1">
      <w:pPr>
        <w:numPr>
          <w:ilvl w:val="0"/>
          <w:numId w:val="42"/>
        </w:numPr>
        <w:rPr>
          <w:rFonts w:ascii="Times New Roman" w:hAnsi="Times New Roman" w:cs="Times New Roman"/>
          <w:sz w:val="24"/>
          <w:szCs w:val="24"/>
        </w:rPr>
      </w:pPr>
      <w:r w:rsidRPr="001D704A">
        <w:rPr>
          <w:rFonts w:ascii="Times New Roman" w:hAnsi="Times New Roman" w:cs="Times New Roman"/>
          <w:sz w:val="24"/>
          <w:szCs w:val="24"/>
        </w:rPr>
        <w:t>a smaller number of industry clusters, with greater accountability and responsibility, is needed to drive improvements to training package quality and speed to market;</w:t>
      </w:r>
    </w:p>
    <w:p w14:paraId="002BAFD4" w14:textId="77777777" w:rsidR="00044CD6" w:rsidRPr="001D704A" w:rsidRDefault="00044CD6" w:rsidP="00123EB1">
      <w:pPr>
        <w:numPr>
          <w:ilvl w:val="0"/>
          <w:numId w:val="42"/>
        </w:numPr>
        <w:rPr>
          <w:rFonts w:ascii="Times New Roman" w:hAnsi="Times New Roman" w:cs="Times New Roman"/>
          <w:sz w:val="24"/>
          <w:szCs w:val="24"/>
        </w:rPr>
      </w:pPr>
      <w:r w:rsidRPr="001D704A">
        <w:rPr>
          <w:rFonts w:ascii="Times New Roman" w:hAnsi="Times New Roman" w:cs="Times New Roman"/>
          <w:sz w:val="24"/>
          <w:szCs w:val="24"/>
        </w:rPr>
        <w:t>there are high levels of connection between training packages, indicating the benefit of greater collaboration; and</w:t>
      </w:r>
    </w:p>
    <w:p w14:paraId="2704FDC8" w14:textId="77777777" w:rsidR="00044CD6" w:rsidRPr="001D704A" w:rsidRDefault="00044CD6" w:rsidP="00123EB1">
      <w:pPr>
        <w:numPr>
          <w:ilvl w:val="0"/>
          <w:numId w:val="42"/>
        </w:numPr>
        <w:rPr>
          <w:rFonts w:ascii="Times New Roman" w:hAnsi="Times New Roman" w:cs="Times New Roman"/>
          <w:sz w:val="24"/>
          <w:szCs w:val="24"/>
        </w:rPr>
      </w:pPr>
      <w:r w:rsidRPr="001D704A">
        <w:rPr>
          <w:rFonts w:ascii="Times New Roman" w:hAnsi="Times New Roman" w:cs="Times New Roman"/>
          <w:sz w:val="24"/>
          <w:szCs w:val="24"/>
        </w:rPr>
        <w:t>training package approval should focus on whether standards are met, rather than the content of qualifications.</w:t>
      </w:r>
    </w:p>
    <w:p w14:paraId="0588B59E" w14:textId="77777777" w:rsidR="00044CD6" w:rsidRPr="001D704A" w:rsidRDefault="00044CD6" w:rsidP="00123EB1">
      <w:pPr>
        <w:rPr>
          <w:rFonts w:ascii="Times New Roman" w:hAnsi="Times New Roman" w:cs="Times New Roman"/>
          <w:sz w:val="24"/>
          <w:szCs w:val="24"/>
        </w:rPr>
      </w:pPr>
    </w:p>
    <w:p w14:paraId="68AC0ED7"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Consultation supported the need for reform, finding that the current model for developing training packages is not responsive enough to the needs of industry. Stakeholders were supportive of establishing a smaller number of industry clusters, with greater accountability and responsibility to drive improvement to training package quality and market responsiveness.</w:t>
      </w:r>
    </w:p>
    <w:p w14:paraId="2BC240E6" w14:textId="77777777" w:rsidR="00044CD6" w:rsidRPr="001D704A" w:rsidRDefault="00044CD6" w:rsidP="00123EB1">
      <w:pPr>
        <w:rPr>
          <w:rFonts w:ascii="Times New Roman" w:hAnsi="Times New Roman" w:cs="Times New Roman"/>
          <w:sz w:val="24"/>
          <w:szCs w:val="24"/>
        </w:rPr>
      </w:pPr>
    </w:p>
    <w:p w14:paraId="56407585"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In June 2021, at the request of Skills Ministers, a Transition Advisory Group was established to provide expert advice to support the implementation of the new industry engagement arrangements and minimise disruption to the VET system. The Group included representatives from governments, industry and unions, and met from June to August 2021. The Group provided advice on a range of elements relating to the design, implementation and transition to the new industry engagement arrangements. </w:t>
      </w:r>
      <w:r w:rsidRPr="001D704A" w:rsidDel="00157489">
        <w:rPr>
          <w:rFonts w:ascii="Times New Roman" w:hAnsi="Times New Roman" w:cs="Times New Roman"/>
          <w:sz w:val="24"/>
          <w:szCs w:val="24"/>
        </w:rPr>
        <w:t xml:space="preserve"> </w:t>
      </w:r>
    </w:p>
    <w:p w14:paraId="01E9517A" w14:textId="77777777" w:rsidR="00044CD6" w:rsidRPr="001D704A" w:rsidRDefault="00044CD6" w:rsidP="00123EB1">
      <w:pPr>
        <w:rPr>
          <w:rFonts w:ascii="Times New Roman" w:hAnsi="Times New Roman" w:cs="Times New Roman"/>
          <w:sz w:val="24"/>
          <w:szCs w:val="24"/>
        </w:rPr>
      </w:pPr>
    </w:p>
    <w:p w14:paraId="6EE766D8" w14:textId="2227500A" w:rsidR="00044CD6" w:rsidRPr="001D704A" w:rsidRDefault="00EB5789" w:rsidP="00123EB1">
      <w:pPr>
        <w:ind w:right="-46"/>
        <w:rPr>
          <w:rFonts w:ascii="Times New Roman" w:hAnsi="Times New Roman" w:cs="Times New Roman"/>
          <w:sz w:val="24"/>
          <w:szCs w:val="24"/>
        </w:rPr>
      </w:pPr>
      <w:r w:rsidRPr="001D704A">
        <w:rPr>
          <w:rFonts w:ascii="Times New Roman" w:hAnsi="Times New Roman" w:cs="Times New Roman"/>
          <w:iCs/>
          <w:color w:val="000000" w:themeColor="text1"/>
          <w:sz w:val="24"/>
          <w:szCs w:val="24"/>
        </w:rPr>
        <w:t>A</w:t>
      </w:r>
      <w:r w:rsidR="00BA3DD7" w:rsidRPr="001D704A">
        <w:rPr>
          <w:rFonts w:ascii="Times New Roman" w:hAnsi="Times New Roman" w:cs="Times New Roman"/>
          <w:iCs/>
          <w:color w:val="000000" w:themeColor="text1"/>
          <w:sz w:val="24"/>
          <w:szCs w:val="24"/>
        </w:rPr>
        <w:t xml:space="preserve">dditional funding </w:t>
      </w:r>
      <w:r w:rsidRPr="001D704A">
        <w:rPr>
          <w:rFonts w:ascii="Times New Roman" w:hAnsi="Times New Roman" w:cs="Times New Roman"/>
          <w:iCs/>
          <w:color w:val="000000" w:themeColor="text1"/>
          <w:sz w:val="24"/>
          <w:szCs w:val="24"/>
        </w:rPr>
        <w:t xml:space="preserve">for the program </w:t>
      </w:r>
      <w:r w:rsidR="00BA3DD7" w:rsidRPr="001D704A">
        <w:rPr>
          <w:rFonts w:ascii="Times New Roman" w:hAnsi="Times New Roman" w:cs="Times New Roman"/>
          <w:iCs/>
          <w:color w:val="000000" w:themeColor="text1"/>
          <w:sz w:val="24"/>
          <w:szCs w:val="24"/>
        </w:rPr>
        <w:t>of $149.2 million over four years from 2021-22</w:t>
      </w:r>
      <w:r w:rsidR="00044CD6" w:rsidRPr="001D704A">
        <w:rPr>
          <w:rFonts w:ascii="Times New Roman" w:hAnsi="Times New Roman" w:cs="Times New Roman"/>
          <w:sz w:val="24"/>
          <w:szCs w:val="24"/>
        </w:rPr>
        <w:t xml:space="preserve"> was included in the 2021-22 Budget under the measure ‘Stronger Support for Skills Reform’. Details </w:t>
      </w:r>
      <w:r w:rsidR="00044CD6" w:rsidRPr="001D704A">
        <w:rPr>
          <w:rFonts w:ascii="Times New Roman" w:hAnsi="Times New Roman" w:cs="Times New Roman"/>
          <w:iCs/>
          <w:sz w:val="24"/>
          <w:szCs w:val="24"/>
        </w:rPr>
        <w:t xml:space="preserve">are set out in </w:t>
      </w:r>
      <w:r w:rsidR="00044CD6" w:rsidRPr="001D704A">
        <w:rPr>
          <w:rFonts w:ascii="Times New Roman" w:hAnsi="Times New Roman" w:cs="Times New Roman"/>
          <w:i/>
          <w:iCs/>
          <w:sz w:val="24"/>
          <w:szCs w:val="24"/>
        </w:rPr>
        <w:t>Budget 2021-22, Budget Measures, Budget Paper No. 2 2021-22</w:t>
      </w:r>
      <w:r w:rsidR="00044CD6" w:rsidRPr="001D704A">
        <w:rPr>
          <w:rFonts w:ascii="Times New Roman" w:hAnsi="Times New Roman" w:cs="Times New Roman"/>
          <w:iCs/>
          <w:sz w:val="24"/>
          <w:szCs w:val="24"/>
        </w:rPr>
        <w:t xml:space="preserve"> at pages 93 </w:t>
      </w:r>
      <w:r w:rsidRPr="001D704A">
        <w:rPr>
          <w:rFonts w:ascii="Times New Roman" w:hAnsi="Times New Roman" w:cs="Times New Roman"/>
          <w:iCs/>
          <w:sz w:val="24"/>
          <w:szCs w:val="24"/>
        </w:rPr>
        <w:t>to</w:t>
      </w:r>
      <w:r w:rsidR="00044CD6" w:rsidRPr="001D704A">
        <w:rPr>
          <w:rFonts w:ascii="Times New Roman" w:hAnsi="Times New Roman" w:cs="Times New Roman"/>
          <w:iCs/>
          <w:sz w:val="24"/>
          <w:szCs w:val="24"/>
        </w:rPr>
        <w:t xml:space="preserve"> 94.</w:t>
      </w:r>
    </w:p>
    <w:p w14:paraId="3E616F25" w14:textId="77777777" w:rsidR="00044CD6" w:rsidRPr="001D704A" w:rsidRDefault="00044CD6" w:rsidP="00123EB1">
      <w:pPr>
        <w:rPr>
          <w:rFonts w:ascii="Times New Roman" w:hAnsi="Times New Roman" w:cs="Times New Roman"/>
          <w:sz w:val="24"/>
          <w:szCs w:val="24"/>
        </w:rPr>
      </w:pPr>
    </w:p>
    <w:p w14:paraId="3AF1C6F8" w14:textId="1496EA84" w:rsidR="00044CD6" w:rsidRPr="001D704A" w:rsidRDefault="00EB5789"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Total funding for the program of </w:t>
      </w:r>
      <w:r w:rsidRPr="001D704A">
        <w:rPr>
          <w:rFonts w:ascii="Times New Roman" w:hAnsi="Times New Roman" w:cs="Times New Roman"/>
          <w:sz w:val="24"/>
          <w:szCs w:val="24"/>
          <w:lang w:val="en-GB"/>
        </w:rPr>
        <w:t>$292.5 million over four years from 2021-22</w:t>
      </w:r>
      <w:r w:rsidR="00044CD6" w:rsidRPr="001D704A">
        <w:rPr>
          <w:rFonts w:ascii="Times New Roman" w:hAnsi="Times New Roman" w:cs="Times New Roman"/>
          <w:sz w:val="24"/>
          <w:szCs w:val="24"/>
        </w:rPr>
        <w:t xml:space="preserve"> comes from subprogram 3.1.3</w:t>
      </w:r>
      <w:r w:rsidRPr="001D704A">
        <w:rPr>
          <w:rFonts w:ascii="Times New Roman" w:hAnsi="Times New Roman" w:cs="Times New Roman"/>
          <w:sz w:val="24"/>
          <w:szCs w:val="24"/>
        </w:rPr>
        <w:t xml:space="preserve"> ‘</w:t>
      </w:r>
      <w:r w:rsidR="00044CD6" w:rsidRPr="001D704A">
        <w:rPr>
          <w:rFonts w:ascii="Times New Roman" w:hAnsi="Times New Roman" w:cs="Times New Roman"/>
          <w:sz w:val="24"/>
          <w:szCs w:val="24"/>
        </w:rPr>
        <w:t>Support for the National Training System</w:t>
      </w:r>
      <w:r w:rsidRPr="001D704A">
        <w:rPr>
          <w:rFonts w:ascii="Times New Roman" w:hAnsi="Times New Roman" w:cs="Times New Roman"/>
          <w:sz w:val="24"/>
          <w:szCs w:val="24"/>
        </w:rPr>
        <w:t>’</w:t>
      </w:r>
      <w:r w:rsidR="00044CD6" w:rsidRPr="001D704A">
        <w:rPr>
          <w:rFonts w:ascii="Times New Roman" w:hAnsi="Times New Roman" w:cs="Times New Roman"/>
          <w:sz w:val="24"/>
          <w:szCs w:val="24"/>
        </w:rPr>
        <w:t xml:space="preserve"> under Program 3.1</w:t>
      </w:r>
      <w:r w:rsidRPr="001D704A">
        <w:rPr>
          <w:rFonts w:ascii="Times New Roman" w:hAnsi="Times New Roman" w:cs="Times New Roman"/>
          <w:sz w:val="24"/>
          <w:szCs w:val="24"/>
        </w:rPr>
        <w:t>:</w:t>
      </w:r>
      <w:r w:rsidR="00044CD6" w:rsidRPr="001D704A">
        <w:rPr>
          <w:rFonts w:ascii="Times New Roman" w:hAnsi="Times New Roman" w:cs="Times New Roman"/>
          <w:sz w:val="24"/>
          <w:szCs w:val="24"/>
        </w:rPr>
        <w:t xml:space="preserve"> Building Skills and Capability, which is part of Outcome 3. Details are set out in the </w:t>
      </w:r>
      <w:r w:rsidR="00044CD6" w:rsidRPr="001D704A">
        <w:rPr>
          <w:rFonts w:ascii="Times New Roman" w:hAnsi="Times New Roman" w:cs="Times New Roman"/>
          <w:i/>
          <w:sz w:val="24"/>
          <w:szCs w:val="24"/>
        </w:rPr>
        <w:t>Portfolio Budget Statements 2021-22, Budget Related Paper No. 1.4, Education, Skills and Employment Portfolio</w:t>
      </w:r>
      <w:r w:rsidR="00044CD6" w:rsidRPr="001D704A">
        <w:rPr>
          <w:rFonts w:ascii="Times New Roman" w:hAnsi="Times New Roman" w:cs="Times New Roman"/>
          <w:sz w:val="24"/>
          <w:szCs w:val="24"/>
        </w:rPr>
        <w:t xml:space="preserve"> at page 73. </w:t>
      </w:r>
    </w:p>
    <w:p w14:paraId="686ADA7A" w14:textId="77777777" w:rsidR="00044CD6" w:rsidRPr="001D704A" w:rsidRDefault="00044CD6" w:rsidP="00123EB1">
      <w:pPr>
        <w:rPr>
          <w:rFonts w:ascii="Times New Roman" w:hAnsi="Times New Roman" w:cs="Times New Roman"/>
          <w:sz w:val="24"/>
          <w:szCs w:val="24"/>
        </w:rPr>
      </w:pPr>
    </w:p>
    <w:p w14:paraId="664C77F9"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Noting that it is not a comprehensive statement of relevant constitutional considerations, the objective of the item references the external affairs power (section 51(xxix)) of the Constitution.</w:t>
      </w:r>
    </w:p>
    <w:p w14:paraId="1EA37CC0" w14:textId="77777777" w:rsidR="00044CD6" w:rsidRPr="001D704A" w:rsidRDefault="00044CD6" w:rsidP="00123EB1">
      <w:pPr>
        <w:rPr>
          <w:rFonts w:ascii="Times New Roman" w:hAnsi="Times New Roman" w:cs="Times New Roman"/>
          <w:sz w:val="24"/>
          <w:szCs w:val="24"/>
        </w:rPr>
      </w:pPr>
    </w:p>
    <w:p w14:paraId="00F59DCE" w14:textId="77777777" w:rsidR="00044CD6" w:rsidRPr="001D704A" w:rsidRDefault="00044CD6" w:rsidP="00123EB1">
      <w:pPr>
        <w:rPr>
          <w:rFonts w:ascii="Times New Roman" w:hAnsi="Times New Roman" w:cs="Times New Roman"/>
          <w:bCs/>
          <w:i/>
          <w:iCs/>
          <w:sz w:val="24"/>
          <w:szCs w:val="24"/>
          <w:u w:val="single"/>
        </w:rPr>
      </w:pPr>
      <w:r w:rsidRPr="001D704A">
        <w:rPr>
          <w:rFonts w:ascii="Times New Roman" w:hAnsi="Times New Roman" w:cs="Times New Roman"/>
          <w:bCs/>
          <w:i/>
          <w:iCs/>
          <w:sz w:val="24"/>
          <w:szCs w:val="24"/>
          <w:u w:val="single"/>
        </w:rPr>
        <w:t>External affairs power</w:t>
      </w:r>
    </w:p>
    <w:p w14:paraId="69B3A952" w14:textId="77777777" w:rsidR="00044CD6" w:rsidRPr="001D704A" w:rsidRDefault="00044CD6" w:rsidP="00123EB1">
      <w:pPr>
        <w:rPr>
          <w:rFonts w:ascii="Times New Roman" w:hAnsi="Times New Roman" w:cs="Times New Roman"/>
          <w:b/>
          <w:bCs/>
          <w:i/>
          <w:iCs/>
          <w:sz w:val="24"/>
          <w:szCs w:val="24"/>
        </w:rPr>
      </w:pPr>
    </w:p>
    <w:p w14:paraId="2C73A58E"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6BA2F3B4" w14:textId="77777777" w:rsidR="00044CD6" w:rsidRPr="001D704A" w:rsidRDefault="00044CD6" w:rsidP="00123EB1">
      <w:pPr>
        <w:rPr>
          <w:rFonts w:ascii="Times New Roman" w:hAnsi="Times New Roman" w:cs="Times New Roman"/>
          <w:sz w:val="24"/>
          <w:szCs w:val="24"/>
        </w:rPr>
      </w:pPr>
    </w:p>
    <w:p w14:paraId="5A604C98" w14:textId="5C634491" w:rsidR="00044CD6" w:rsidRPr="001D704A" w:rsidRDefault="00044CD6" w:rsidP="00123EB1">
      <w:pPr>
        <w:rPr>
          <w:rFonts w:ascii="Times New Roman" w:eastAsia="Calibri" w:hAnsi="Times New Roman"/>
          <w:sz w:val="24"/>
          <w:szCs w:val="24"/>
        </w:rPr>
      </w:pPr>
      <w:r w:rsidRPr="001D704A">
        <w:rPr>
          <w:rFonts w:ascii="Times New Roman" w:hAnsi="Times New Roman" w:cs="Times New Roman"/>
          <w:sz w:val="24"/>
          <w:szCs w:val="24"/>
        </w:rPr>
        <w:t xml:space="preserve">Australia has relevant obligations relating to </w:t>
      </w:r>
      <w:r w:rsidRPr="001D704A">
        <w:rPr>
          <w:rFonts w:ascii="Times New Roman" w:hAnsi="Times New Roman"/>
          <w:sz w:val="24"/>
          <w:szCs w:val="24"/>
        </w:rPr>
        <w:t>the ICESCR,</w:t>
      </w:r>
      <w:r w:rsidRPr="001D704A">
        <w:rPr>
          <w:rFonts w:ascii="Times New Roman" w:hAnsi="Times New Roman" w:cs="Times New Roman"/>
          <w:sz w:val="24"/>
          <w:szCs w:val="24"/>
        </w:rPr>
        <w:t xml:space="preserve"> </w:t>
      </w:r>
      <w:r w:rsidR="00BF6F1B" w:rsidRPr="001D704A">
        <w:rPr>
          <w:rFonts w:ascii="Times New Roman" w:hAnsi="Times New Roman" w:cs="Times New Roman"/>
          <w:sz w:val="24"/>
          <w:szCs w:val="24"/>
        </w:rPr>
        <w:t xml:space="preserve">the </w:t>
      </w:r>
      <w:r w:rsidRPr="001D704A">
        <w:rPr>
          <w:rFonts w:ascii="Times New Roman" w:hAnsi="Times New Roman" w:cs="Times New Roman"/>
          <w:sz w:val="24"/>
          <w:szCs w:val="24"/>
        </w:rPr>
        <w:t xml:space="preserve">ILO Convention 122, and </w:t>
      </w:r>
      <w:r w:rsidRPr="001D704A">
        <w:rPr>
          <w:rFonts w:ascii="Times New Roman" w:hAnsi="Times New Roman"/>
          <w:sz w:val="24"/>
          <w:szCs w:val="24"/>
        </w:rPr>
        <w:t>the ILO Convention 142</w:t>
      </w:r>
      <w:r w:rsidRPr="001D704A">
        <w:rPr>
          <w:rFonts w:ascii="Times New Roman" w:eastAsia="Calibri" w:hAnsi="Times New Roman"/>
          <w:sz w:val="24"/>
          <w:szCs w:val="24"/>
        </w:rPr>
        <w:t>.</w:t>
      </w:r>
    </w:p>
    <w:p w14:paraId="3B674766" w14:textId="77777777" w:rsidR="00044CD6" w:rsidRPr="001D704A" w:rsidRDefault="00044CD6" w:rsidP="00123EB1">
      <w:pPr>
        <w:rPr>
          <w:rFonts w:ascii="Times New Roman" w:hAnsi="Times New Roman" w:cs="Times New Roman"/>
          <w:sz w:val="24"/>
          <w:szCs w:val="24"/>
        </w:rPr>
      </w:pPr>
    </w:p>
    <w:p w14:paraId="042AF3BE" w14:textId="2AB3CD99"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2 of the ICESCR requires </w:t>
      </w:r>
      <w:r w:rsidR="00BF6F1B" w:rsidRPr="001D704A">
        <w:rPr>
          <w:rFonts w:ascii="Times New Roman" w:hAnsi="Times New Roman" w:cs="Times New Roman"/>
          <w:sz w:val="24"/>
          <w:szCs w:val="24"/>
        </w:rPr>
        <w:t xml:space="preserve">the </w:t>
      </w:r>
      <w:r w:rsidRPr="001D704A">
        <w:rPr>
          <w:rFonts w:ascii="Times New Roman" w:hAnsi="Times New Roman" w:cs="Times New Roman"/>
          <w:sz w:val="24"/>
          <w:szCs w:val="24"/>
        </w:rPr>
        <w:t>States Parties to take steps to achieve the ‘full realization’ of the rights enumerated within the ICESCR, including the right to work guaranteed by Article 6 of the ICESCR through the provision of ‘technical and vocational guidance and training programmes, policies and techniques’.</w:t>
      </w:r>
    </w:p>
    <w:p w14:paraId="7ED571C6" w14:textId="77777777" w:rsidR="00044CD6" w:rsidRPr="001D704A" w:rsidRDefault="00044CD6" w:rsidP="00123EB1">
      <w:pPr>
        <w:rPr>
          <w:rFonts w:ascii="Times New Roman" w:hAnsi="Times New Roman" w:cs="Times New Roman"/>
          <w:sz w:val="24"/>
          <w:szCs w:val="24"/>
        </w:rPr>
      </w:pPr>
    </w:p>
    <w:p w14:paraId="5D7AAA25"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1(1) of the ILO Convention 122 requires each Member to pursue ‘an active policy designed to promote full, productive and freely chosen employment.’ Article 1(2) specifies that this policy shall aim to ensure that (among other things) ‘there is work for all who are available for and seeking work’. Article 2 further requires Members to ‘decide on and keep under review … the measures adopted for attaining the objectives specified in Article 1’, and to ‘take such steps as may be needed … for the application of these measures’. </w:t>
      </w:r>
    </w:p>
    <w:p w14:paraId="45DE38F7" w14:textId="77777777" w:rsidR="00044CD6" w:rsidRPr="001D704A" w:rsidRDefault="00044CD6" w:rsidP="00123EB1">
      <w:pPr>
        <w:rPr>
          <w:rFonts w:ascii="Times New Roman" w:hAnsi="Times New Roman" w:cs="Times New Roman"/>
          <w:sz w:val="24"/>
          <w:szCs w:val="24"/>
        </w:rPr>
      </w:pPr>
    </w:p>
    <w:p w14:paraId="793C284E" w14:textId="77777777"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Article 1(1) of the ILO Convention 142 requires each Member to develop and adopt ‘comprehensive and co-ordinated policies and programmes of vocational training’. Article 2 requires each Member to establish and develop ‘open, flexible and complementary systems of general, technical and vocational education, educational and vocational guidance and vocational training’. Article 4 requires each Member to gradually extend, adapt and harmonise ‘vocational training systems to meet the needs for vocational training throughout life of both young persons and adults in all sectors of the economy and branches of economic activity and at all levels of skill and responsibility’.</w:t>
      </w:r>
    </w:p>
    <w:p w14:paraId="13E32A9B" w14:textId="77777777" w:rsidR="00044CD6" w:rsidRPr="001D704A" w:rsidRDefault="00044CD6" w:rsidP="00123EB1">
      <w:pPr>
        <w:rPr>
          <w:rFonts w:ascii="Times New Roman" w:hAnsi="Times New Roman" w:cs="Times New Roman"/>
          <w:sz w:val="24"/>
          <w:szCs w:val="24"/>
        </w:rPr>
      </w:pPr>
    </w:p>
    <w:p w14:paraId="0CE62FF0" w14:textId="1F5CC116" w:rsidR="00044CD6" w:rsidRPr="001D704A" w:rsidRDefault="00044CD6" w:rsidP="00123EB1">
      <w:pPr>
        <w:rPr>
          <w:rFonts w:ascii="Times New Roman" w:hAnsi="Times New Roman" w:cs="Times New Roman"/>
          <w:sz w:val="24"/>
          <w:szCs w:val="24"/>
        </w:rPr>
      </w:pPr>
      <w:r w:rsidRPr="001D704A">
        <w:rPr>
          <w:rFonts w:ascii="Times New Roman" w:hAnsi="Times New Roman" w:cs="Times New Roman"/>
          <w:sz w:val="24"/>
          <w:szCs w:val="24"/>
        </w:rPr>
        <w:t xml:space="preserve">Funding for Industry Clusters under the </w:t>
      </w:r>
      <w:r w:rsidR="00BF6F1B"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w:t>
      </w:r>
      <w:r w:rsidR="00BF6F1B" w:rsidRPr="001D704A">
        <w:rPr>
          <w:rFonts w:ascii="Times New Roman" w:hAnsi="Times New Roman" w:cs="Times New Roman"/>
          <w:sz w:val="24"/>
          <w:szCs w:val="24"/>
        </w:rPr>
        <w:t xml:space="preserve">is directed </w:t>
      </w:r>
      <w:r w:rsidRPr="001D704A">
        <w:rPr>
          <w:rFonts w:ascii="Times New Roman" w:hAnsi="Times New Roman" w:cs="Times New Roman"/>
          <w:sz w:val="24"/>
          <w:szCs w:val="24"/>
        </w:rPr>
        <w:t>t</w:t>
      </w:r>
      <w:r w:rsidR="00BF6F1B" w:rsidRPr="001D704A">
        <w:rPr>
          <w:rFonts w:ascii="Times New Roman" w:hAnsi="Times New Roman" w:cs="Times New Roman"/>
          <w:sz w:val="24"/>
          <w:szCs w:val="24"/>
        </w:rPr>
        <w:t>o</w:t>
      </w:r>
      <w:r w:rsidRPr="001D704A">
        <w:rPr>
          <w:rFonts w:ascii="Times New Roman" w:hAnsi="Times New Roman" w:cs="Times New Roman"/>
          <w:sz w:val="24"/>
          <w:szCs w:val="24"/>
        </w:rPr>
        <w:t xml:space="preserve"> improving the development and quality of VET training package qualifications and thereby helping job</w:t>
      </w:r>
      <w:r w:rsidR="00BF6F1B" w:rsidRPr="001D704A">
        <w:rPr>
          <w:rFonts w:ascii="Times New Roman" w:hAnsi="Times New Roman" w:cs="Times New Roman"/>
          <w:sz w:val="24"/>
          <w:szCs w:val="24"/>
        </w:rPr>
        <w:t xml:space="preserve"> </w:t>
      </w:r>
      <w:r w:rsidRPr="001D704A">
        <w:rPr>
          <w:rFonts w:ascii="Times New Roman" w:hAnsi="Times New Roman" w:cs="Times New Roman"/>
          <w:sz w:val="24"/>
          <w:szCs w:val="24"/>
        </w:rPr>
        <w:t xml:space="preserve">seekers to find employment. </w:t>
      </w:r>
    </w:p>
    <w:p w14:paraId="75C9C36E" w14:textId="77777777" w:rsidR="00044CD6" w:rsidRPr="001D704A" w:rsidRDefault="00044CD6" w:rsidP="00123EB1">
      <w:pPr>
        <w:rPr>
          <w:rFonts w:ascii="Times New Roman" w:hAnsi="Times New Roman" w:cs="Times New Roman"/>
          <w:sz w:val="24"/>
          <w:szCs w:val="24"/>
        </w:rPr>
      </w:pPr>
    </w:p>
    <w:p w14:paraId="63271FEF" w14:textId="77777777" w:rsidR="002065BB" w:rsidRPr="001D704A" w:rsidRDefault="002065BB" w:rsidP="00123EB1">
      <w:pPr>
        <w:rPr>
          <w:rFonts w:ascii="Times New Roman" w:hAnsi="Times New Roman" w:cs="Times New Roman"/>
          <w:sz w:val="24"/>
          <w:szCs w:val="24"/>
        </w:rPr>
      </w:pPr>
    </w:p>
    <w:p w14:paraId="3C5932A9" w14:textId="7A75FC26" w:rsidR="00FC3041" w:rsidRPr="001D704A" w:rsidRDefault="00FC3041" w:rsidP="00123EB1">
      <w:pPr>
        <w:rPr>
          <w:rFonts w:ascii="Times New Roman" w:hAnsi="Times New Roman" w:cs="Times New Roman"/>
          <w:sz w:val="24"/>
          <w:szCs w:val="24"/>
        </w:rPr>
      </w:pPr>
    </w:p>
    <w:p w14:paraId="14B28184" w14:textId="77777777" w:rsidR="003A1F50" w:rsidRPr="001D704A" w:rsidRDefault="003A1F50" w:rsidP="00123EB1">
      <w:pPr>
        <w:rPr>
          <w:rFonts w:ascii="Times New Roman" w:hAnsi="Times New Roman" w:cs="Times New Roman"/>
          <w:sz w:val="24"/>
          <w:szCs w:val="24"/>
        </w:rPr>
        <w:sectPr w:rsidR="003A1F50" w:rsidRPr="001D704A" w:rsidSect="009245B8">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1F1F57D5" w14:textId="77777777" w:rsidR="007910C5" w:rsidRPr="001D704A" w:rsidRDefault="007910C5" w:rsidP="00123EB1">
      <w:pPr>
        <w:contextualSpacing/>
        <w:jc w:val="center"/>
        <w:rPr>
          <w:rFonts w:ascii="Times New Roman" w:eastAsia="Times New Roman" w:hAnsi="Times New Roman" w:cs="Times New Roman"/>
          <w:b/>
          <w:bCs/>
          <w:sz w:val="24"/>
          <w:szCs w:val="24"/>
        </w:rPr>
      </w:pPr>
      <w:r w:rsidRPr="001D704A">
        <w:rPr>
          <w:rFonts w:ascii="Times New Roman" w:eastAsia="Times New Roman" w:hAnsi="Times New Roman" w:cs="Times New Roman"/>
          <w:b/>
          <w:bCs/>
          <w:sz w:val="24"/>
          <w:szCs w:val="24"/>
        </w:rPr>
        <w:t>Statement of Compatibility with Human Rights</w:t>
      </w:r>
    </w:p>
    <w:p w14:paraId="107946AC" w14:textId="77777777" w:rsidR="00CC41AF" w:rsidRPr="001D704A" w:rsidRDefault="00CC41AF" w:rsidP="00123EB1">
      <w:pPr>
        <w:contextualSpacing/>
        <w:jc w:val="center"/>
        <w:rPr>
          <w:rFonts w:ascii="Times New Roman" w:eastAsia="Times New Roman" w:hAnsi="Times New Roman" w:cs="Times New Roman"/>
          <w:b/>
          <w:bCs/>
          <w:sz w:val="24"/>
          <w:szCs w:val="24"/>
        </w:rPr>
      </w:pPr>
    </w:p>
    <w:p w14:paraId="1798E21E" w14:textId="77777777" w:rsidR="007910C5" w:rsidRPr="001D704A" w:rsidRDefault="007910C5" w:rsidP="00123EB1">
      <w:pPr>
        <w:pStyle w:val="paranumbering0"/>
        <w:spacing w:before="0" w:beforeAutospacing="0" w:after="0" w:afterAutospacing="0"/>
        <w:contextualSpacing/>
        <w:jc w:val="center"/>
      </w:pPr>
      <w:r w:rsidRPr="001D704A">
        <w:t xml:space="preserve">Prepared in accordance with Part 3 of the </w:t>
      </w:r>
      <w:r w:rsidRPr="001D704A">
        <w:rPr>
          <w:i/>
        </w:rPr>
        <w:t>Human Rights (Parliamentary Scrutiny) Act 2011</w:t>
      </w:r>
    </w:p>
    <w:p w14:paraId="5F276420" w14:textId="77777777" w:rsidR="007910C5" w:rsidRPr="001D704A" w:rsidRDefault="007910C5" w:rsidP="00123EB1">
      <w:pPr>
        <w:pStyle w:val="paranumbering0"/>
        <w:spacing w:before="0" w:beforeAutospacing="0" w:after="0" w:afterAutospacing="0"/>
        <w:contextualSpacing/>
      </w:pPr>
    </w:p>
    <w:p w14:paraId="0539078E" w14:textId="77777777" w:rsidR="00337D61" w:rsidRPr="001D704A" w:rsidRDefault="00337D61" w:rsidP="00123EB1">
      <w:pPr>
        <w:pStyle w:val="paranumbering0"/>
        <w:spacing w:before="0" w:beforeAutospacing="0" w:after="0" w:afterAutospacing="0"/>
        <w:contextualSpacing/>
        <w:rPr>
          <w:b/>
          <w:i/>
        </w:rPr>
      </w:pPr>
      <w:r w:rsidRPr="001D704A">
        <w:rPr>
          <w:b/>
          <w:i/>
        </w:rPr>
        <w:t xml:space="preserve">Financial Framework (Supplementary Powers) Amendment </w:t>
      </w:r>
      <w:r w:rsidRPr="001D704A">
        <w:rPr>
          <w:b/>
          <w:i/>
          <w:iCs/>
        </w:rPr>
        <w:t>(</w:t>
      </w:r>
      <w:r w:rsidR="004032FE" w:rsidRPr="001D704A">
        <w:rPr>
          <w:b/>
          <w:i/>
          <w:iCs/>
        </w:rPr>
        <w:t>Education, Skills and Employment</w:t>
      </w:r>
      <w:r w:rsidRPr="001D704A">
        <w:rPr>
          <w:b/>
          <w:i/>
          <w:iCs/>
        </w:rPr>
        <w:t xml:space="preserve"> Measures No. </w:t>
      </w:r>
      <w:r w:rsidR="004032FE" w:rsidRPr="001D704A">
        <w:rPr>
          <w:b/>
          <w:i/>
          <w:iCs/>
        </w:rPr>
        <w:t>4</w:t>
      </w:r>
      <w:r w:rsidRPr="001D704A">
        <w:rPr>
          <w:b/>
          <w:i/>
          <w:iCs/>
        </w:rPr>
        <w:t xml:space="preserve">) </w:t>
      </w:r>
      <w:r w:rsidR="008E74E3" w:rsidRPr="001D704A">
        <w:rPr>
          <w:b/>
          <w:i/>
        </w:rPr>
        <w:t>Regulations 2021</w:t>
      </w:r>
    </w:p>
    <w:p w14:paraId="77E38396" w14:textId="77777777" w:rsidR="00337D61" w:rsidRPr="001D704A" w:rsidRDefault="00337D61" w:rsidP="00123EB1">
      <w:pPr>
        <w:pStyle w:val="paranumbering0"/>
        <w:spacing w:before="0" w:beforeAutospacing="0" w:after="0" w:afterAutospacing="0"/>
        <w:contextualSpacing/>
      </w:pPr>
    </w:p>
    <w:p w14:paraId="6E3C09C0" w14:textId="77777777" w:rsidR="00337D61" w:rsidRPr="001D704A" w:rsidRDefault="00337D61" w:rsidP="00123EB1">
      <w:pPr>
        <w:pStyle w:val="paranumbering0"/>
        <w:spacing w:before="0" w:beforeAutospacing="0" w:after="0" w:afterAutospacing="0"/>
        <w:contextualSpacing/>
      </w:pPr>
      <w:r w:rsidRPr="001D704A">
        <w:t xml:space="preserve">This disallowable legislative instrument is compatible with the human rights and freedoms recognised or declared in the international instruments listed in section 3 of the </w:t>
      </w:r>
      <w:r w:rsidRPr="001D704A">
        <w:rPr>
          <w:i/>
        </w:rPr>
        <w:t>Human Rights (Parliamentary Scrutiny) Act 2011.</w:t>
      </w:r>
    </w:p>
    <w:p w14:paraId="104EF91F" w14:textId="77777777" w:rsidR="00337D61" w:rsidRPr="001D704A" w:rsidRDefault="00337D61" w:rsidP="00123EB1">
      <w:pPr>
        <w:pStyle w:val="paranumbering0"/>
        <w:spacing w:before="0" w:beforeAutospacing="0" w:after="0" w:afterAutospacing="0"/>
        <w:contextualSpacing/>
      </w:pPr>
    </w:p>
    <w:p w14:paraId="40B7E32B" w14:textId="77777777" w:rsidR="00337D61" w:rsidRPr="001D704A" w:rsidRDefault="00337D61" w:rsidP="00123EB1">
      <w:pPr>
        <w:pStyle w:val="paranumbering0"/>
        <w:spacing w:before="0" w:beforeAutospacing="0" w:after="0" w:afterAutospacing="0"/>
        <w:contextualSpacing/>
        <w:rPr>
          <w:b/>
        </w:rPr>
      </w:pPr>
      <w:r w:rsidRPr="001D704A">
        <w:rPr>
          <w:b/>
        </w:rPr>
        <w:t>Overview of the legislative instrument</w:t>
      </w:r>
    </w:p>
    <w:p w14:paraId="6992B858" w14:textId="77777777" w:rsidR="00337D61" w:rsidRPr="001D704A" w:rsidRDefault="00337D61" w:rsidP="00123EB1">
      <w:pPr>
        <w:pStyle w:val="paranumbering0"/>
        <w:spacing w:before="0" w:beforeAutospacing="0" w:after="0" w:afterAutospacing="0"/>
        <w:contextualSpacing/>
      </w:pPr>
    </w:p>
    <w:p w14:paraId="3CB6EC00" w14:textId="77777777" w:rsidR="00337D61" w:rsidRPr="001D704A" w:rsidRDefault="00337D61" w:rsidP="00123EB1">
      <w:pPr>
        <w:pStyle w:val="paranumbering0"/>
        <w:spacing w:before="0" w:beforeAutospacing="0" w:after="0" w:afterAutospacing="0"/>
        <w:contextualSpacing/>
      </w:pPr>
      <w:r w:rsidRPr="001D704A">
        <w:t xml:space="preserve">Section 32B of the </w:t>
      </w:r>
      <w:r w:rsidRPr="001D704A">
        <w:rPr>
          <w:i/>
        </w:rPr>
        <w:t>Financial Framework (Supplementary Powers) Act 1997</w:t>
      </w:r>
      <w:r w:rsidRPr="001D704A">
        <w:t xml:space="preserve"> (the FF(SP) Act) authorises the Commonwealth to make, vary and administer arrangements and grants specified in the </w:t>
      </w:r>
      <w:r w:rsidRPr="001D704A">
        <w:rPr>
          <w:i/>
        </w:rPr>
        <w:t xml:space="preserve">Financial Framework (Supplementary Powers) Regulations 1997 </w:t>
      </w:r>
      <w:r w:rsidRPr="001D704A">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1D704A">
        <w:t>The powers in the FF(SP) Act to make, vary or administer arrangements or grants may be exercised on behalf of the Commonwealth by</w:t>
      </w:r>
      <w:r w:rsidRPr="001D704A">
        <w:t xml:space="preserve"> Ministers and the accountable authorities of non</w:t>
      </w:r>
      <w:r w:rsidRPr="001D704A">
        <w:noBreakHyphen/>
        <w:t xml:space="preserve">corporate Commonwealth entities, as defined under section 12 of the </w:t>
      </w:r>
      <w:r w:rsidRPr="001D704A">
        <w:rPr>
          <w:i/>
        </w:rPr>
        <w:t>Public Governance, Performance and Accountability Act 2013</w:t>
      </w:r>
      <w:r w:rsidRPr="001D704A">
        <w:t>.</w:t>
      </w:r>
    </w:p>
    <w:p w14:paraId="50888248" w14:textId="77777777" w:rsidR="00337D61" w:rsidRPr="001D704A" w:rsidRDefault="00337D61" w:rsidP="00123EB1">
      <w:pPr>
        <w:rPr>
          <w:rFonts w:ascii="Times New Roman" w:hAnsi="Times New Roman" w:cs="Times New Roman"/>
          <w:sz w:val="24"/>
          <w:szCs w:val="24"/>
        </w:rPr>
      </w:pPr>
    </w:p>
    <w:p w14:paraId="1FFAEC89" w14:textId="77777777" w:rsidR="00A45686" w:rsidRPr="001D704A" w:rsidRDefault="00B43F57" w:rsidP="00123EB1">
      <w:pPr>
        <w:ind w:right="-46"/>
        <w:rPr>
          <w:rFonts w:ascii="Times New Roman" w:hAnsi="Times New Roman" w:cs="Times New Roman"/>
          <w:color w:val="000000" w:themeColor="text1"/>
          <w:sz w:val="24"/>
          <w:szCs w:val="24"/>
        </w:rPr>
      </w:pPr>
      <w:r w:rsidRPr="001D704A">
        <w:rPr>
          <w:rFonts w:ascii="Times New Roman" w:hAnsi="Times New Roman" w:cs="Times New Roman"/>
          <w:sz w:val="24"/>
          <w:szCs w:val="24"/>
        </w:rPr>
        <w:t xml:space="preserve">The </w:t>
      </w:r>
      <w:r w:rsidRPr="001D704A">
        <w:rPr>
          <w:rFonts w:ascii="Times New Roman" w:hAnsi="Times New Roman" w:cs="Times New Roman"/>
          <w:i/>
          <w:sz w:val="24"/>
          <w:szCs w:val="24"/>
        </w:rPr>
        <w:t>Financial Framework (Supplementary Powers) Amendment (</w:t>
      </w:r>
      <w:r w:rsidR="004032FE" w:rsidRPr="001D704A">
        <w:rPr>
          <w:rFonts w:ascii="Times New Roman" w:hAnsi="Times New Roman" w:cs="Times New Roman"/>
          <w:i/>
          <w:sz w:val="24"/>
          <w:szCs w:val="24"/>
        </w:rPr>
        <w:t>Education, Skills and Employment</w:t>
      </w:r>
      <w:r w:rsidR="00C82D1A" w:rsidRPr="001D704A">
        <w:rPr>
          <w:rFonts w:ascii="Times New Roman" w:hAnsi="Times New Roman" w:cs="Times New Roman"/>
          <w:i/>
          <w:sz w:val="24"/>
          <w:szCs w:val="24"/>
        </w:rPr>
        <w:t xml:space="preserve"> Measures </w:t>
      </w:r>
      <w:r w:rsidR="00EB61B1" w:rsidRPr="001D704A">
        <w:rPr>
          <w:rFonts w:ascii="Times New Roman" w:hAnsi="Times New Roman" w:cs="Times New Roman"/>
          <w:i/>
          <w:sz w:val="24"/>
          <w:szCs w:val="24"/>
        </w:rPr>
        <w:t xml:space="preserve">No. </w:t>
      </w:r>
      <w:r w:rsidR="004032FE" w:rsidRPr="001D704A">
        <w:rPr>
          <w:rFonts w:ascii="Times New Roman" w:hAnsi="Times New Roman" w:cs="Times New Roman"/>
          <w:i/>
          <w:sz w:val="24"/>
          <w:szCs w:val="24"/>
        </w:rPr>
        <w:t>4</w:t>
      </w:r>
      <w:r w:rsidR="008E74E3" w:rsidRPr="001D704A">
        <w:rPr>
          <w:rFonts w:ascii="Times New Roman" w:hAnsi="Times New Roman" w:cs="Times New Roman"/>
          <w:i/>
          <w:sz w:val="24"/>
          <w:szCs w:val="24"/>
        </w:rPr>
        <w:t xml:space="preserve">) Regulations 2021 </w:t>
      </w:r>
      <w:r w:rsidR="0088291C" w:rsidRPr="001D704A">
        <w:rPr>
          <w:rFonts w:ascii="Times New Roman" w:hAnsi="Times New Roman" w:cs="Times New Roman"/>
          <w:sz w:val="24"/>
          <w:szCs w:val="24"/>
        </w:rPr>
        <w:t>amend Schedule 1AB to the FF(SP) Regulations to establish legislative authority for government spending on certain activities administered by the Department</w:t>
      </w:r>
      <w:r w:rsidR="00A45686" w:rsidRPr="001D704A">
        <w:rPr>
          <w:rFonts w:ascii="Times New Roman" w:hAnsi="Times New Roman" w:cs="Times New Roman"/>
          <w:color w:val="000000" w:themeColor="text1"/>
          <w:sz w:val="24"/>
          <w:szCs w:val="24"/>
        </w:rPr>
        <w:t xml:space="preserve"> of </w:t>
      </w:r>
      <w:r w:rsidR="004032FE" w:rsidRPr="001D704A">
        <w:rPr>
          <w:rFonts w:ascii="Times New Roman" w:hAnsi="Times New Roman" w:cs="Times New Roman"/>
          <w:color w:val="000000" w:themeColor="text1"/>
          <w:sz w:val="24"/>
          <w:szCs w:val="24"/>
        </w:rPr>
        <w:t>Education, Skills and Employment</w:t>
      </w:r>
      <w:r w:rsidR="00A45686" w:rsidRPr="001D704A">
        <w:rPr>
          <w:rFonts w:ascii="Times New Roman" w:hAnsi="Times New Roman" w:cs="Times New Roman"/>
          <w:color w:val="000000" w:themeColor="text1"/>
          <w:sz w:val="24"/>
          <w:szCs w:val="24"/>
        </w:rPr>
        <w:t xml:space="preserve"> (the department).</w:t>
      </w:r>
    </w:p>
    <w:p w14:paraId="7850F837" w14:textId="77777777" w:rsidR="00B812C2" w:rsidRPr="001D704A" w:rsidRDefault="00B812C2" w:rsidP="00123EB1">
      <w:pPr>
        <w:ind w:right="-46"/>
        <w:rPr>
          <w:rFonts w:ascii="Times New Roman" w:hAnsi="Times New Roman" w:cs="Times New Roman"/>
          <w:color w:val="000000" w:themeColor="text1"/>
          <w:sz w:val="24"/>
          <w:szCs w:val="24"/>
        </w:rPr>
      </w:pPr>
    </w:p>
    <w:p w14:paraId="554F5BE0" w14:textId="77777777" w:rsidR="00B812C2" w:rsidRPr="001D704A" w:rsidRDefault="00B812C2"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This disallowable legislative instrument makes the following amendments to Part 3 of Schedule 1AB:</w:t>
      </w:r>
    </w:p>
    <w:p w14:paraId="0DFFEED1" w14:textId="23733293" w:rsidR="00662C9F" w:rsidRPr="001D704A" w:rsidRDefault="00662C9F"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adds table item</w:t>
      </w:r>
      <w:r w:rsidR="00566926" w:rsidRPr="001D704A">
        <w:rPr>
          <w:rFonts w:ascii="Times New Roman" w:hAnsi="Times New Roman"/>
          <w:color w:val="000000" w:themeColor="text1"/>
          <w:sz w:val="24"/>
          <w:szCs w:val="24"/>
        </w:rPr>
        <w:t xml:space="preserve"> 53</w:t>
      </w:r>
      <w:r w:rsidRPr="001D704A">
        <w:rPr>
          <w:rFonts w:ascii="Times New Roman" w:hAnsi="Times New Roman"/>
          <w:color w:val="000000" w:themeColor="text1"/>
          <w:sz w:val="24"/>
          <w:szCs w:val="24"/>
        </w:rPr>
        <w:t xml:space="preserve"> ‘</w:t>
      </w:r>
      <w:r w:rsidRPr="001D704A">
        <w:rPr>
          <w:rFonts w:ascii="Times New Roman" w:hAnsi="Times New Roman"/>
          <w:sz w:val="24"/>
          <w:szCs w:val="24"/>
          <w:lang w:val="en-GB"/>
        </w:rPr>
        <w:t>Grant to MultiLit Pty Limited’; and</w:t>
      </w:r>
    </w:p>
    <w:p w14:paraId="58BB3A56" w14:textId="40CF2C32" w:rsidR="00B812C2" w:rsidRPr="001D704A" w:rsidRDefault="00B812C2"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adds table item</w:t>
      </w:r>
      <w:r w:rsidR="00566926" w:rsidRPr="001D704A">
        <w:rPr>
          <w:rFonts w:ascii="Times New Roman" w:hAnsi="Times New Roman"/>
          <w:color w:val="000000" w:themeColor="text1"/>
          <w:sz w:val="24"/>
          <w:szCs w:val="24"/>
        </w:rPr>
        <w:t xml:space="preserve"> 54</w:t>
      </w:r>
      <w:r w:rsidR="00B76212" w:rsidRPr="001D704A">
        <w:rPr>
          <w:rFonts w:ascii="Times New Roman" w:hAnsi="Times New Roman"/>
          <w:color w:val="000000" w:themeColor="text1"/>
          <w:sz w:val="24"/>
          <w:szCs w:val="24"/>
        </w:rPr>
        <w:t xml:space="preserve"> </w:t>
      </w:r>
      <w:r w:rsidRPr="001D704A">
        <w:rPr>
          <w:rFonts w:ascii="Times New Roman" w:hAnsi="Times New Roman"/>
          <w:color w:val="000000" w:themeColor="text1"/>
          <w:sz w:val="24"/>
          <w:szCs w:val="24"/>
        </w:rPr>
        <w:t>‘</w:t>
      </w:r>
      <w:r w:rsidRPr="001D704A">
        <w:rPr>
          <w:rFonts w:ascii="Times New Roman" w:hAnsi="Times New Roman"/>
          <w:sz w:val="24"/>
          <w:szCs w:val="24"/>
          <w:lang w:val="en-GB"/>
        </w:rPr>
        <w:t>Grant to Together for Humanity Foundation Limited’.</w:t>
      </w:r>
    </w:p>
    <w:p w14:paraId="44D36B73" w14:textId="0EE91CD0" w:rsidR="004C5A11" w:rsidRPr="001D704A" w:rsidRDefault="004C5A11" w:rsidP="00123EB1">
      <w:pPr>
        <w:rPr>
          <w:rFonts w:ascii="Times New Roman" w:hAnsi="Times New Roman"/>
          <w:color w:val="000000" w:themeColor="text1"/>
          <w:sz w:val="24"/>
          <w:szCs w:val="24"/>
        </w:rPr>
      </w:pPr>
    </w:p>
    <w:p w14:paraId="2E24C351" w14:textId="5E79E951" w:rsidR="004C5A11" w:rsidRPr="001D704A" w:rsidRDefault="004C5A11"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This disallowable legislative instrument </w:t>
      </w:r>
      <w:r w:rsidR="00377AFA" w:rsidRPr="001D704A">
        <w:rPr>
          <w:rFonts w:ascii="Times New Roman" w:hAnsi="Times New Roman" w:cs="Times New Roman"/>
          <w:color w:val="000000" w:themeColor="text1"/>
          <w:sz w:val="24"/>
          <w:szCs w:val="24"/>
        </w:rPr>
        <w:t xml:space="preserve">also </w:t>
      </w:r>
      <w:r w:rsidRPr="001D704A">
        <w:rPr>
          <w:rFonts w:ascii="Times New Roman" w:hAnsi="Times New Roman" w:cs="Times New Roman"/>
          <w:color w:val="000000" w:themeColor="text1"/>
          <w:sz w:val="24"/>
          <w:szCs w:val="24"/>
        </w:rPr>
        <w:t>makes the following amendments to Part 4 of Schedule 1AB:</w:t>
      </w:r>
    </w:p>
    <w:p w14:paraId="0BD10F2D" w14:textId="77777777" w:rsidR="00377AFA" w:rsidRPr="001D704A" w:rsidRDefault="00377AFA"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amends table item 222 ‘</w:t>
      </w:r>
      <w:r w:rsidRPr="001D704A">
        <w:rPr>
          <w:rFonts w:ascii="Times New Roman" w:hAnsi="Times New Roman"/>
          <w:sz w:val="24"/>
          <w:szCs w:val="24"/>
          <w:lang w:val="en-GB"/>
        </w:rPr>
        <w:t>Explicit Instruction Teaching Program’;</w:t>
      </w:r>
    </w:p>
    <w:p w14:paraId="35CA21AB" w14:textId="55086A2F" w:rsidR="00377AFA" w:rsidRPr="001D704A" w:rsidRDefault="00377AFA" w:rsidP="00123EB1">
      <w:pPr>
        <w:numPr>
          <w:ilvl w:val="0"/>
          <w:numId w:val="20"/>
        </w:numPr>
        <w:ind w:right="-46"/>
        <w:rPr>
          <w:rFonts w:ascii="Times New Roman" w:hAnsi="Times New Roman" w:cs="Times New Roman"/>
          <w:sz w:val="24"/>
          <w:szCs w:val="24"/>
          <w:lang w:val="en-GB"/>
        </w:rPr>
      </w:pPr>
      <w:r w:rsidRPr="001D704A">
        <w:rPr>
          <w:rFonts w:ascii="Times New Roman" w:hAnsi="Times New Roman"/>
          <w:color w:val="000000" w:themeColor="text1"/>
          <w:sz w:val="24"/>
          <w:szCs w:val="24"/>
        </w:rPr>
        <w:t>adds table item</w:t>
      </w:r>
      <w:r w:rsidR="00566926" w:rsidRPr="001D704A">
        <w:rPr>
          <w:rFonts w:ascii="Times New Roman" w:hAnsi="Times New Roman"/>
          <w:color w:val="000000" w:themeColor="text1"/>
          <w:sz w:val="24"/>
          <w:szCs w:val="24"/>
        </w:rPr>
        <w:t xml:space="preserve"> 516</w:t>
      </w:r>
      <w:r w:rsidRPr="001D704A">
        <w:rPr>
          <w:rFonts w:ascii="Times New Roman" w:hAnsi="Times New Roman" w:cs="Times New Roman"/>
          <w:sz w:val="24"/>
          <w:szCs w:val="24"/>
          <w:lang w:val="en-GB"/>
        </w:rPr>
        <w:t xml:space="preserve"> ‘Online Formative Assessment Initiative’;</w:t>
      </w:r>
    </w:p>
    <w:p w14:paraId="0299F289" w14:textId="0AE7E9B5" w:rsidR="00662C9F" w:rsidRPr="001D704A" w:rsidRDefault="00662C9F"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adds table item </w:t>
      </w:r>
      <w:r w:rsidR="00566926" w:rsidRPr="001D704A">
        <w:rPr>
          <w:rFonts w:ascii="Times New Roman" w:hAnsi="Times New Roman"/>
          <w:color w:val="000000" w:themeColor="text1"/>
          <w:sz w:val="24"/>
          <w:szCs w:val="24"/>
        </w:rPr>
        <w:t>517</w:t>
      </w:r>
      <w:r w:rsidRPr="001D704A">
        <w:rPr>
          <w:rFonts w:ascii="Times New Roman" w:hAnsi="Times New Roman"/>
          <w:color w:val="000000" w:themeColor="text1"/>
          <w:sz w:val="24"/>
          <w:szCs w:val="24"/>
        </w:rPr>
        <w:t xml:space="preserve"> ‘</w:t>
      </w:r>
      <w:r w:rsidRPr="001D704A">
        <w:rPr>
          <w:rFonts w:ascii="Times New Roman" w:hAnsi="Times New Roman"/>
          <w:sz w:val="24"/>
          <w:szCs w:val="24"/>
          <w:lang w:val="en-GB"/>
        </w:rPr>
        <w:t>School Partnerships to Improve Educational Outcomes for Indigenous Students in Remote Schools’;</w:t>
      </w:r>
    </w:p>
    <w:p w14:paraId="51CAF845" w14:textId="356C0D55" w:rsidR="00EA17DC" w:rsidRPr="001D704A" w:rsidRDefault="004C5A11" w:rsidP="00123EB1">
      <w:pPr>
        <w:numPr>
          <w:ilvl w:val="0"/>
          <w:numId w:val="19"/>
        </w:numPr>
        <w:ind w:right="-46"/>
        <w:rPr>
          <w:rFonts w:ascii="Times New Roman" w:hAnsi="Times New Roman" w:cs="Times New Roman"/>
          <w:b/>
          <w:sz w:val="24"/>
          <w:szCs w:val="24"/>
          <w:lang w:val="en-GB"/>
        </w:rPr>
      </w:pPr>
      <w:r w:rsidRPr="001D704A">
        <w:rPr>
          <w:rFonts w:ascii="Times New Roman" w:hAnsi="Times New Roman"/>
          <w:color w:val="000000" w:themeColor="text1"/>
          <w:sz w:val="24"/>
          <w:szCs w:val="24"/>
        </w:rPr>
        <w:t>adds table item</w:t>
      </w:r>
      <w:r w:rsidR="00566926" w:rsidRPr="001D704A">
        <w:rPr>
          <w:rFonts w:ascii="Times New Roman" w:hAnsi="Times New Roman"/>
          <w:color w:val="000000" w:themeColor="text1"/>
          <w:sz w:val="24"/>
          <w:szCs w:val="24"/>
        </w:rPr>
        <w:t xml:space="preserve"> 518</w:t>
      </w:r>
      <w:r w:rsidRPr="001D704A">
        <w:rPr>
          <w:rFonts w:ascii="Times New Roman" w:hAnsi="Times New Roman"/>
          <w:color w:val="000000" w:themeColor="text1"/>
          <w:sz w:val="24"/>
          <w:szCs w:val="24"/>
        </w:rPr>
        <w:t xml:space="preserve"> ‘</w:t>
      </w:r>
      <w:r w:rsidRPr="001D704A">
        <w:rPr>
          <w:rFonts w:ascii="Times New Roman" w:hAnsi="Times New Roman"/>
          <w:sz w:val="24"/>
          <w:szCs w:val="24"/>
          <w:lang w:val="en-GB"/>
        </w:rPr>
        <w:t>Migra</w:t>
      </w:r>
      <w:r w:rsidR="00377AFA" w:rsidRPr="001D704A">
        <w:rPr>
          <w:rFonts w:ascii="Times New Roman" w:hAnsi="Times New Roman"/>
          <w:sz w:val="24"/>
          <w:szCs w:val="24"/>
          <w:lang w:val="en-GB"/>
        </w:rPr>
        <w:t>nt</w:t>
      </w:r>
      <w:r w:rsidRPr="001D704A">
        <w:rPr>
          <w:rFonts w:ascii="Times New Roman" w:hAnsi="Times New Roman"/>
          <w:sz w:val="24"/>
          <w:szCs w:val="24"/>
          <w:lang w:val="en-GB"/>
        </w:rPr>
        <w:t xml:space="preserve"> Skills Incentives’;</w:t>
      </w:r>
      <w:r w:rsidR="00EA17DC" w:rsidRPr="001D704A">
        <w:rPr>
          <w:rFonts w:ascii="Times New Roman" w:hAnsi="Times New Roman"/>
          <w:b/>
          <w:color w:val="000000" w:themeColor="text1"/>
          <w:sz w:val="24"/>
          <w:szCs w:val="24"/>
        </w:rPr>
        <w:t xml:space="preserve"> </w:t>
      </w:r>
    </w:p>
    <w:p w14:paraId="165D5330" w14:textId="221EBB62" w:rsidR="00EA17DC" w:rsidRPr="001D704A" w:rsidRDefault="00EA17DC" w:rsidP="00123EB1">
      <w:pPr>
        <w:numPr>
          <w:ilvl w:val="0"/>
          <w:numId w:val="19"/>
        </w:numPr>
        <w:ind w:right="-46"/>
        <w:rPr>
          <w:rFonts w:ascii="Times New Roman" w:hAnsi="Times New Roman" w:cs="Times New Roman"/>
          <w:sz w:val="24"/>
          <w:szCs w:val="24"/>
          <w:lang w:val="en-GB"/>
        </w:rPr>
      </w:pPr>
      <w:r w:rsidRPr="001D704A">
        <w:rPr>
          <w:rFonts w:ascii="Times New Roman" w:hAnsi="Times New Roman"/>
          <w:color w:val="000000" w:themeColor="text1"/>
          <w:sz w:val="24"/>
          <w:szCs w:val="24"/>
        </w:rPr>
        <w:t xml:space="preserve">adds table item </w:t>
      </w:r>
      <w:r w:rsidR="00566926" w:rsidRPr="001D704A">
        <w:rPr>
          <w:rFonts w:ascii="Times New Roman" w:hAnsi="Times New Roman"/>
          <w:color w:val="000000" w:themeColor="text1"/>
          <w:sz w:val="24"/>
          <w:szCs w:val="24"/>
        </w:rPr>
        <w:t>519</w:t>
      </w:r>
      <w:r w:rsidRPr="001D704A">
        <w:rPr>
          <w:rFonts w:ascii="Times New Roman" w:hAnsi="Times New Roman" w:cs="Times New Roman"/>
          <w:sz w:val="24"/>
          <w:szCs w:val="24"/>
          <w:lang w:val="en-GB"/>
        </w:rPr>
        <w:t xml:space="preserve"> ‘Skills for Education and Employment Program’;</w:t>
      </w:r>
      <w:r w:rsidR="00377AFA" w:rsidRPr="001D704A">
        <w:rPr>
          <w:rFonts w:ascii="Times New Roman" w:hAnsi="Times New Roman" w:cs="Times New Roman"/>
          <w:sz w:val="24"/>
          <w:szCs w:val="24"/>
          <w:lang w:val="en-GB"/>
        </w:rPr>
        <w:t xml:space="preserve"> and</w:t>
      </w:r>
    </w:p>
    <w:p w14:paraId="154D1AC1" w14:textId="1D7CD24A" w:rsidR="00EA17DC" w:rsidRPr="001D704A" w:rsidRDefault="00EA17DC" w:rsidP="00123EB1">
      <w:pPr>
        <w:numPr>
          <w:ilvl w:val="0"/>
          <w:numId w:val="19"/>
        </w:numPr>
        <w:ind w:right="-46"/>
        <w:rPr>
          <w:rFonts w:ascii="Times New Roman" w:hAnsi="Times New Roman" w:cs="Times New Roman"/>
          <w:sz w:val="24"/>
          <w:szCs w:val="24"/>
          <w:lang w:val="en-GB"/>
        </w:rPr>
      </w:pPr>
      <w:r w:rsidRPr="001D704A">
        <w:rPr>
          <w:rFonts w:ascii="Times New Roman" w:hAnsi="Times New Roman"/>
          <w:color w:val="000000" w:themeColor="text1"/>
          <w:sz w:val="24"/>
          <w:szCs w:val="24"/>
        </w:rPr>
        <w:t xml:space="preserve">adds table item </w:t>
      </w:r>
      <w:r w:rsidR="00566926" w:rsidRPr="001D704A">
        <w:rPr>
          <w:rFonts w:ascii="Times New Roman" w:hAnsi="Times New Roman"/>
          <w:color w:val="000000" w:themeColor="text1"/>
          <w:sz w:val="24"/>
          <w:szCs w:val="24"/>
        </w:rPr>
        <w:t>520</w:t>
      </w:r>
      <w:r w:rsidRPr="001D704A">
        <w:rPr>
          <w:rFonts w:ascii="Times New Roman" w:hAnsi="Times New Roman" w:cs="Times New Roman"/>
          <w:sz w:val="24"/>
          <w:szCs w:val="24"/>
          <w:lang w:val="en-GB"/>
        </w:rPr>
        <w:t xml:space="preserve"> ‘VET system improvements’</w:t>
      </w:r>
      <w:r w:rsidR="00377AFA" w:rsidRPr="001D704A">
        <w:rPr>
          <w:rFonts w:ascii="Times New Roman" w:hAnsi="Times New Roman" w:cs="Times New Roman"/>
          <w:sz w:val="24"/>
          <w:szCs w:val="24"/>
          <w:lang w:val="en-GB"/>
        </w:rPr>
        <w:t>.</w:t>
      </w:r>
      <w:r w:rsidRPr="001D704A">
        <w:rPr>
          <w:rFonts w:ascii="Times New Roman" w:hAnsi="Times New Roman" w:cs="Times New Roman"/>
          <w:sz w:val="24"/>
          <w:szCs w:val="24"/>
          <w:lang w:val="en-GB"/>
        </w:rPr>
        <w:t xml:space="preserve"> </w:t>
      </w:r>
    </w:p>
    <w:p w14:paraId="20030007" w14:textId="77777777" w:rsidR="004C5A11" w:rsidRPr="001D704A" w:rsidRDefault="004C5A11" w:rsidP="00123EB1">
      <w:pPr>
        <w:rPr>
          <w:rFonts w:ascii="Times New Roman" w:hAnsi="Times New Roman"/>
          <w:color w:val="000000" w:themeColor="text1"/>
          <w:sz w:val="24"/>
          <w:szCs w:val="24"/>
        </w:rPr>
      </w:pPr>
    </w:p>
    <w:p w14:paraId="7ED98DE2" w14:textId="5E18F78A" w:rsidR="00662C9F" w:rsidRPr="001D704A" w:rsidRDefault="00662C9F"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 xml:space="preserve">Table item </w:t>
      </w:r>
      <w:r w:rsidR="00566926" w:rsidRPr="001D704A">
        <w:rPr>
          <w:rFonts w:ascii="Times New Roman" w:hAnsi="Times New Roman" w:cs="Times New Roman"/>
          <w:i/>
          <w:color w:val="000000" w:themeColor="text1"/>
          <w:sz w:val="24"/>
          <w:szCs w:val="24"/>
          <w:u w:val="single"/>
        </w:rPr>
        <w:t>53</w:t>
      </w:r>
      <w:r w:rsidRPr="001D704A">
        <w:rPr>
          <w:rFonts w:ascii="Times New Roman" w:hAnsi="Times New Roman" w:cs="Times New Roman"/>
          <w:i/>
          <w:color w:val="000000" w:themeColor="text1"/>
          <w:sz w:val="24"/>
          <w:szCs w:val="24"/>
          <w:u w:val="single"/>
        </w:rPr>
        <w:t xml:space="preserve"> – Grant to MultiLit Pty Limited</w:t>
      </w:r>
    </w:p>
    <w:p w14:paraId="7B252097" w14:textId="77777777" w:rsidR="00662C9F" w:rsidRPr="001D704A" w:rsidRDefault="00662C9F" w:rsidP="00123EB1">
      <w:pPr>
        <w:ind w:right="-46"/>
        <w:rPr>
          <w:rFonts w:ascii="Times New Roman" w:hAnsi="Times New Roman" w:cs="Times New Roman"/>
          <w:color w:val="000000" w:themeColor="text1"/>
          <w:sz w:val="24"/>
          <w:szCs w:val="24"/>
        </w:rPr>
      </w:pPr>
    </w:p>
    <w:p w14:paraId="5A604D0C" w14:textId="07F402DF" w:rsidR="00662C9F" w:rsidRPr="001D704A" w:rsidRDefault="00662C9F" w:rsidP="00123EB1">
      <w:pPr>
        <w:ind w:right="-46"/>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New table item </w:t>
      </w:r>
      <w:r w:rsidR="00566926" w:rsidRPr="001D704A">
        <w:rPr>
          <w:rFonts w:ascii="Times New Roman" w:hAnsi="Times New Roman" w:cs="Times New Roman"/>
          <w:iCs/>
          <w:color w:val="000000" w:themeColor="text1"/>
          <w:sz w:val="24"/>
          <w:szCs w:val="24"/>
        </w:rPr>
        <w:t>53</w:t>
      </w:r>
      <w:r w:rsidRPr="001D704A">
        <w:rPr>
          <w:rFonts w:ascii="Times New Roman" w:hAnsi="Times New Roman" w:cs="Times New Roman"/>
          <w:iCs/>
          <w:color w:val="000000" w:themeColor="text1"/>
          <w:sz w:val="24"/>
          <w:szCs w:val="24"/>
        </w:rPr>
        <w:t xml:space="preserve"> establishes legislative authority for the Government to provide a </w:t>
      </w:r>
      <w:r w:rsidR="00E16D0E" w:rsidRPr="001D704A">
        <w:rPr>
          <w:rFonts w:ascii="Times New Roman" w:hAnsi="Times New Roman" w:cs="Times New Roman"/>
          <w:iCs/>
          <w:color w:val="000000" w:themeColor="text1"/>
          <w:sz w:val="24"/>
          <w:szCs w:val="24"/>
        </w:rPr>
        <w:t>g</w:t>
      </w:r>
      <w:r w:rsidRPr="001D704A">
        <w:rPr>
          <w:rFonts w:ascii="Times New Roman" w:hAnsi="Times New Roman" w:cs="Times New Roman"/>
          <w:iCs/>
          <w:color w:val="000000" w:themeColor="text1"/>
          <w:sz w:val="24"/>
          <w:szCs w:val="24"/>
        </w:rPr>
        <w:t>rant to MultiLit Pty Limited</w:t>
      </w:r>
      <w:r w:rsidRPr="001D704A">
        <w:rPr>
          <w:rFonts w:ascii="Times New Roman" w:hAnsi="Times New Roman" w:cs="Times New Roman"/>
          <w:color w:val="000000" w:themeColor="text1"/>
          <w:sz w:val="24"/>
          <w:szCs w:val="24"/>
        </w:rPr>
        <w:t xml:space="preserve"> </w:t>
      </w:r>
      <w:r w:rsidR="00E16D0E" w:rsidRPr="001D704A">
        <w:rPr>
          <w:rFonts w:ascii="Times New Roman" w:hAnsi="Times New Roman" w:cs="Times New Roman"/>
          <w:color w:val="000000" w:themeColor="text1"/>
          <w:sz w:val="24"/>
          <w:szCs w:val="24"/>
        </w:rPr>
        <w:t>for the</w:t>
      </w:r>
      <w:r w:rsidRPr="001D704A">
        <w:rPr>
          <w:rFonts w:ascii="Times New Roman" w:hAnsi="Times New Roman" w:cs="Times New Roman"/>
          <w:iCs/>
          <w:color w:val="000000" w:themeColor="text1"/>
          <w:sz w:val="24"/>
          <w:szCs w:val="24"/>
        </w:rPr>
        <w:t xml:space="preserve"> deliver</w:t>
      </w:r>
      <w:r w:rsidR="00E16D0E" w:rsidRPr="001D704A">
        <w:rPr>
          <w:rFonts w:ascii="Times New Roman" w:hAnsi="Times New Roman" w:cs="Times New Roman"/>
          <w:iCs/>
          <w:color w:val="000000" w:themeColor="text1"/>
          <w:sz w:val="24"/>
          <w:szCs w:val="24"/>
        </w:rPr>
        <w:t>y of its</w:t>
      </w:r>
      <w:r w:rsidRPr="001D704A">
        <w:rPr>
          <w:rFonts w:ascii="Times New Roman" w:hAnsi="Times New Roman" w:cs="Times New Roman"/>
          <w:iCs/>
          <w:color w:val="000000" w:themeColor="text1"/>
          <w:sz w:val="24"/>
          <w:szCs w:val="24"/>
        </w:rPr>
        <w:t xml:space="preserve"> phonics-based programs to support literacy outcomes </w:t>
      </w:r>
      <w:r w:rsidR="00E16D0E" w:rsidRPr="001D704A">
        <w:rPr>
          <w:rFonts w:ascii="Times New Roman" w:hAnsi="Times New Roman" w:cs="Times New Roman"/>
          <w:iCs/>
          <w:color w:val="000000" w:themeColor="text1"/>
          <w:sz w:val="24"/>
          <w:szCs w:val="24"/>
        </w:rPr>
        <w:t xml:space="preserve">for students, </w:t>
      </w:r>
      <w:r w:rsidRPr="001D704A">
        <w:rPr>
          <w:rFonts w:ascii="Times New Roman" w:hAnsi="Times New Roman" w:cs="Times New Roman"/>
          <w:iCs/>
          <w:color w:val="000000" w:themeColor="text1"/>
          <w:sz w:val="24"/>
          <w:szCs w:val="24"/>
        </w:rPr>
        <w:t>particularly Aboriginal and Torres</w:t>
      </w:r>
      <w:r w:rsidR="00E16D0E" w:rsidRPr="001D704A">
        <w:rPr>
          <w:rFonts w:ascii="Times New Roman" w:hAnsi="Times New Roman" w:cs="Times New Roman"/>
          <w:iCs/>
          <w:color w:val="000000" w:themeColor="text1"/>
          <w:sz w:val="24"/>
          <w:szCs w:val="24"/>
        </w:rPr>
        <w:t xml:space="preserve"> Strait Islander students (the p</w:t>
      </w:r>
      <w:r w:rsidRPr="001D704A">
        <w:rPr>
          <w:rFonts w:ascii="Times New Roman" w:hAnsi="Times New Roman" w:cs="Times New Roman"/>
          <w:iCs/>
          <w:color w:val="000000" w:themeColor="text1"/>
          <w:sz w:val="24"/>
          <w:szCs w:val="24"/>
        </w:rPr>
        <w:t>rogram).</w:t>
      </w:r>
    </w:p>
    <w:p w14:paraId="3B789981" w14:textId="77777777" w:rsidR="00662C9F" w:rsidRPr="001D704A" w:rsidRDefault="00662C9F" w:rsidP="00123EB1">
      <w:pPr>
        <w:ind w:right="-46"/>
        <w:rPr>
          <w:rFonts w:ascii="Times New Roman" w:hAnsi="Times New Roman" w:cs="Times New Roman"/>
          <w:color w:val="000000" w:themeColor="text1"/>
          <w:sz w:val="24"/>
          <w:szCs w:val="24"/>
        </w:rPr>
      </w:pPr>
    </w:p>
    <w:p w14:paraId="1E37C33B" w14:textId="06B15D77" w:rsidR="00662C9F" w:rsidRPr="001D704A" w:rsidRDefault="00662C9F" w:rsidP="00123EB1">
      <w:pPr>
        <w:ind w:right="-46"/>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w:t>
      </w:r>
      <w:r w:rsidR="00E16D0E"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 xml:space="preserve">rogram will be a key activity that contributes to the </w:t>
      </w:r>
      <w:r w:rsidR="00E16D0E" w:rsidRPr="001D704A">
        <w:rPr>
          <w:rFonts w:ascii="Times New Roman" w:hAnsi="Times New Roman" w:cs="Times New Roman"/>
          <w:i/>
          <w:iCs/>
          <w:color w:val="000000" w:themeColor="text1"/>
          <w:sz w:val="24"/>
          <w:szCs w:val="24"/>
        </w:rPr>
        <w:t>Commonwealth</w:t>
      </w:r>
      <w:r w:rsidRPr="001D704A">
        <w:rPr>
          <w:rFonts w:ascii="Times New Roman" w:hAnsi="Times New Roman" w:cs="Times New Roman"/>
          <w:i/>
          <w:iCs/>
          <w:color w:val="000000" w:themeColor="text1"/>
          <w:sz w:val="24"/>
          <w:szCs w:val="24"/>
        </w:rPr>
        <w:t xml:space="preserve"> Closing the Gap Implementation Plan</w:t>
      </w:r>
      <w:r w:rsidRPr="001D704A">
        <w:rPr>
          <w:rFonts w:ascii="Times New Roman" w:hAnsi="Times New Roman" w:cs="Times New Roman"/>
          <w:iCs/>
          <w:color w:val="000000" w:themeColor="text1"/>
          <w:sz w:val="24"/>
          <w:szCs w:val="24"/>
        </w:rPr>
        <w:t xml:space="preserve"> as part of a broader package of measures. The </w:t>
      </w:r>
      <w:r w:rsidR="00E16D0E"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rogram will enable targeted efforts to improve student outcomes</w:t>
      </w:r>
      <w:r w:rsidR="00E16D0E"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to accelerate progress toward </w:t>
      </w:r>
      <w:r w:rsidR="00E16D0E" w:rsidRPr="001D704A">
        <w:rPr>
          <w:rFonts w:ascii="Times New Roman" w:hAnsi="Times New Roman" w:cs="Times New Roman"/>
          <w:iCs/>
          <w:color w:val="000000" w:themeColor="text1"/>
          <w:sz w:val="24"/>
          <w:szCs w:val="24"/>
        </w:rPr>
        <w:t xml:space="preserve">Target 5 of the </w:t>
      </w:r>
      <w:r w:rsidRPr="001D704A">
        <w:rPr>
          <w:rFonts w:ascii="Times New Roman" w:hAnsi="Times New Roman" w:cs="Times New Roman"/>
          <w:i/>
          <w:iCs/>
          <w:color w:val="000000" w:themeColor="text1"/>
          <w:sz w:val="24"/>
          <w:szCs w:val="24"/>
        </w:rPr>
        <w:t>National Agreement on Closing the Gap</w:t>
      </w:r>
      <w:r w:rsidRPr="001D704A">
        <w:rPr>
          <w:rFonts w:ascii="Times New Roman" w:hAnsi="Times New Roman" w:cs="Times New Roman"/>
          <w:iCs/>
          <w:color w:val="000000" w:themeColor="text1"/>
          <w:sz w:val="24"/>
          <w:szCs w:val="24"/>
        </w:rPr>
        <w:t xml:space="preserve"> </w:t>
      </w:r>
      <w:r w:rsidR="00E16D0E" w:rsidRPr="001D704A">
        <w:rPr>
          <w:rFonts w:ascii="Times New Roman" w:hAnsi="Times New Roman" w:cs="Times New Roman"/>
          <w:iCs/>
          <w:color w:val="000000" w:themeColor="text1"/>
          <w:sz w:val="24"/>
          <w:szCs w:val="24"/>
        </w:rPr>
        <w:t xml:space="preserve">(by 2013, increase the proportion of Aboriginal and Torres Strait Islander people (age 20-24) attaining Year 12 or </w:t>
      </w:r>
      <w:r w:rsidRPr="001D704A">
        <w:rPr>
          <w:rFonts w:ascii="Times New Roman" w:hAnsi="Times New Roman" w:cs="Times New Roman"/>
          <w:iCs/>
          <w:color w:val="000000" w:themeColor="text1"/>
          <w:sz w:val="24"/>
          <w:szCs w:val="24"/>
        </w:rPr>
        <w:t>equivalent</w:t>
      </w:r>
      <w:r w:rsidR="00E16D0E" w:rsidRPr="001D704A">
        <w:rPr>
          <w:rFonts w:ascii="Times New Roman" w:hAnsi="Times New Roman" w:cs="Times New Roman"/>
          <w:iCs/>
          <w:color w:val="000000" w:themeColor="text1"/>
          <w:sz w:val="24"/>
          <w:szCs w:val="24"/>
        </w:rPr>
        <w:t xml:space="preserve"> qualification to 96 per cent).</w:t>
      </w:r>
    </w:p>
    <w:p w14:paraId="65557F29" w14:textId="77777777" w:rsidR="00E16D0E" w:rsidRPr="001D704A" w:rsidRDefault="00E16D0E" w:rsidP="00123EB1">
      <w:pPr>
        <w:ind w:right="-46"/>
        <w:rPr>
          <w:rFonts w:ascii="Times New Roman" w:hAnsi="Times New Roman" w:cs="Times New Roman"/>
          <w:iCs/>
          <w:color w:val="000000" w:themeColor="text1"/>
          <w:sz w:val="24"/>
          <w:szCs w:val="24"/>
        </w:rPr>
      </w:pPr>
    </w:p>
    <w:p w14:paraId="5C49602F" w14:textId="2521D36A" w:rsidR="00662C9F" w:rsidRPr="001D704A" w:rsidRDefault="00E16D0E" w:rsidP="00123EB1">
      <w:pPr>
        <w:ind w:right="-46"/>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The p</w:t>
      </w:r>
      <w:r w:rsidR="00662C9F" w:rsidRPr="001D704A">
        <w:rPr>
          <w:rFonts w:ascii="Times New Roman" w:hAnsi="Times New Roman" w:cs="Times New Roman"/>
          <w:iCs/>
          <w:color w:val="000000" w:themeColor="text1"/>
          <w:sz w:val="24"/>
          <w:szCs w:val="24"/>
        </w:rPr>
        <w:t>rogram</w:t>
      </w:r>
      <w:r w:rsidR="0040031D" w:rsidRPr="001D704A">
        <w:rPr>
          <w:rFonts w:ascii="Times New Roman" w:hAnsi="Times New Roman" w:cs="Times New Roman"/>
          <w:iCs/>
          <w:color w:val="000000" w:themeColor="text1"/>
          <w:sz w:val="24"/>
          <w:szCs w:val="24"/>
        </w:rPr>
        <w:t xml:space="preserve"> </w:t>
      </w:r>
      <w:r w:rsidR="00662C9F" w:rsidRPr="001D704A">
        <w:rPr>
          <w:rFonts w:ascii="Times New Roman" w:hAnsi="Times New Roman" w:cs="Times New Roman"/>
          <w:iCs/>
          <w:color w:val="000000" w:themeColor="text1"/>
          <w:sz w:val="24"/>
          <w:szCs w:val="24"/>
        </w:rPr>
        <w:t>will use verified tools to identify student knowledge and skill gaps, and then addresses these with direct, systematic and intensive teachin</w:t>
      </w:r>
      <w:r w:rsidRPr="001D704A">
        <w:rPr>
          <w:rFonts w:ascii="Times New Roman" w:hAnsi="Times New Roman" w:cs="Times New Roman"/>
          <w:iCs/>
          <w:color w:val="000000" w:themeColor="text1"/>
          <w:sz w:val="24"/>
          <w:szCs w:val="24"/>
        </w:rPr>
        <w:t>g of the requisite skills. The p</w:t>
      </w:r>
      <w:r w:rsidR="00662C9F" w:rsidRPr="001D704A">
        <w:rPr>
          <w:rFonts w:ascii="Times New Roman" w:hAnsi="Times New Roman" w:cs="Times New Roman"/>
          <w:iCs/>
          <w:color w:val="000000" w:themeColor="text1"/>
          <w:sz w:val="24"/>
          <w:szCs w:val="24"/>
        </w:rPr>
        <w:t>rogram comprises four components: InitiaLit</w:t>
      </w:r>
      <w:r w:rsidRPr="001D704A">
        <w:rPr>
          <w:rFonts w:ascii="Times New Roman" w:hAnsi="Times New Roman" w:cs="Times New Roman"/>
          <w:iCs/>
          <w:color w:val="000000" w:themeColor="text1"/>
          <w:sz w:val="24"/>
          <w:szCs w:val="24"/>
        </w:rPr>
        <w:t xml:space="preserve"> for students</w:t>
      </w:r>
      <w:r w:rsidR="00662C9F" w:rsidRPr="001D704A">
        <w:rPr>
          <w:rFonts w:ascii="Times New Roman" w:hAnsi="Times New Roman" w:cs="Times New Roman"/>
          <w:iCs/>
          <w:color w:val="000000" w:themeColor="text1"/>
          <w:sz w:val="24"/>
          <w:szCs w:val="24"/>
        </w:rPr>
        <w:t xml:space="preserve"> in Foundation to Year 3, MacqLit for students in Year</w:t>
      </w:r>
      <w:r w:rsidRPr="001D704A">
        <w:rPr>
          <w:rFonts w:ascii="Times New Roman" w:hAnsi="Times New Roman" w:cs="Times New Roman"/>
          <w:iCs/>
          <w:color w:val="000000" w:themeColor="text1"/>
          <w:sz w:val="24"/>
          <w:szCs w:val="24"/>
        </w:rPr>
        <w:t>s</w:t>
      </w:r>
      <w:r w:rsidR="00662C9F" w:rsidRPr="001D704A">
        <w:rPr>
          <w:rFonts w:ascii="Times New Roman" w:hAnsi="Times New Roman" w:cs="Times New Roman"/>
          <w:iCs/>
          <w:color w:val="000000" w:themeColor="text1"/>
          <w:sz w:val="24"/>
          <w:szCs w:val="24"/>
        </w:rPr>
        <w:t xml:space="preserve"> 4 to Year 6, and MiniLit Sage and LanguageLift available for students who need extra support.  </w:t>
      </w:r>
    </w:p>
    <w:p w14:paraId="05FBDC4B" w14:textId="77777777" w:rsidR="00662C9F" w:rsidRPr="001D704A" w:rsidRDefault="00662C9F" w:rsidP="00123EB1">
      <w:pPr>
        <w:ind w:right="-46"/>
        <w:rPr>
          <w:rFonts w:ascii="Times New Roman" w:hAnsi="Times New Roman" w:cs="Times New Roman"/>
          <w:iCs/>
          <w:color w:val="000000" w:themeColor="text1"/>
          <w:sz w:val="24"/>
          <w:szCs w:val="24"/>
        </w:rPr>
      </w:pPr>
    </w:p>
    <w:p w14:paraId="6FCEA36E" w14:textId="001EB562" w:rsidR="00662C9F" w:rsidRPr="001D704A" w:rsidRDefault="00662C9F" w:rsidP="00123EB1">
      <w:pPr>
        <w:ind w:right="-46"/>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Funding will be provided to support </w:t>
      </w:r>
      <w:r w:rsidR="00E16D0E" w:rsidRPr="001D704A">
        <w:rPr>
          <w:rFonts w:ascii="Times New Roman" w:hAnsi="Times New Roman" w:cs="Times New Roman"/>
          <w:iCs/>
          <w:color w:val="000000" w:themeColor="text1"/>
          <w:sz w:val="24"/>
          <w:szCs w:val="24"/>
        </w:rPr>
        <w:t>MultiLit (</w:t>
      </w:r>
      <w:r w:rsidRPr="001D704A">
        <w:rPr>
          <w:rFonts w:ascii="Times New Roman" w:hAnsi="Times New Roman" w:cs="Times New Roman"/>
          <w:iCs/>
          <w:color w:val="000000" w:themeColor="text1"/>
          <w:sz w:val="24"/>
          <w:szCs w:val="24"/>
        </w:rPr>
        <w:t>Making Up Lost Time in Literacy</w:t>
      </w:r>
      <w:r w:rsidR="00E16D0E"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to </w:t>
      </w:r>
      <w:r w:rsidR="00E16D0E" w:rsidRPr="001D704A">
        <w:rPr>
          <w:rFonts w:ascii="Times New Roman" w:hAnsi="Times New Roman" w:cs="Times New Roman"/>
          <w:iCs/>
          <w:color w:val="000000" w:themeColor="text1"/>
          <w:sz w:val="24"/>
          <w:szCs w:val="24"/>
        </w:rPr>
        <w:t>deliver t</w:t>
      </w:r>
      <w:r w:rsidRPr="001D704A">
        <w:rPr>
          <w:rFonts w:ascii="Times New Roman" w:hAnsi="Times New Roman" w:cs="Times New Roman"/>
          <w:iCs/>
          <w:color w:val="000000" w:themeColor="text1"/>
          <w:sz w:val="24"/>
          <w:szCs w:val="24"/>
        </w:rPr>
        <w:t xml:space="preserve">hese literacy programs to an estimated 40 majority Indigenous schools, with a focus on schools in remote areas. </w:t>
      </w:r>
    </w:p>
    <w:p w14:paraId="6560B2DD" w14:textId="77777777" w:rsidR="00662C9F" w:rsidRPr="001D704A" w:rsidRDefault="00662C9F" w:rsidP="00123EB1">
      <w:pPr>
        <w:ind w:right="-46"/>
        <w:rPr>
          <w:rFonts w:ascii="Times New Roman" w:hAnsi="Times New Roman" w:cs="Times New Roman"/>
          <w:iCs/>
          <w:color w:val="000000" w:themeColor="text1"/>
          <w:sz w:val="24"/>
          <w:szCs w:val="24"/>
        </w:rPr>
      </w:pPr>
    </w:p>
    <w:p w14:paraId="49BAA486" w14:textId="77777777" w:rsidR="00662C9F" w:rsidRPr="001D704A" w:rsidRDefault="00662C9F"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18467329" w14:textId="77777777" w:rsidR="00662C9F" w:rsidRPr="001D704A" w:rsidRDefault="00662C9F" w:rsidP="00123EB1">
      <w:pPr>
        <w:ind w:right="-46"/>
        <w:rPr>
          <w:rFonts w:ascii="Times New Roman" w:hAnsi="Times New Roman" w:cs="Times New Roman"/>
          <w:color w:val="000000" w:themeColor="text1"/>
          <w:sz w:val="24"/>
          <w:szCs w:val="24"/>
        </w:rPr>
      </w:pPr>
    </w:p>
    <w:p w14:paraId="61BCB480" w14:textId="6A2B2F4E" w:rsidR="00662C9F" w:rsidRPr="001D704A" w:rsidRDefault="00662C9F"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 xml:space="preserve">able item </w:t>
      </w:r>
      <w:r w:rsidR="00755EE9" w:rsidRPr="001D704A">
        <w:rPr>
          <w:rFonts w:ascii="Times New Roman" w:hAnsi="Times New Roman" w:cs="Times New Roman"/>
          <w:color w:val="000000" w:themeColor="text1"/>
          <w:sz w:val="24"/>
          <w:szCs w:val="24"/>
        </w:rPr>
        <w:t>53</w:t>
      </w:r>
      <w:r w:rsidRPr="001D704A">
        <w:rPr>
          <w:rFonts w:ascii="Times New Roman" w:eastAsia="Times New Roman" w:hAnsi="Times New Roman" w:cs="Times New Roman"/>
          <w:color w:val="000000"/>
          <w:sz w:val="24"/>
          <w:szCs w:val="24"/>
          <w:lang w:eastAsia="en-AU"/>
        </w:rPr>
        <w:t xml:space="preserve"> engages the following right:</w:t>
      </w:r>
    </w:p>
    <w:p w14:paraId="1F656CB7" w14:textId="79592EB3" w:rsidR="00662C9F" w:rsidRPr="001D704A" w:rsidRDefault="00662C9F" w:rsidP="00123EB1">
      <w:pPr>
        <w:pStyle w:val="ListParagraph"/>
        <w:numPr>
          <w:ilvl w:val="0"/>
          <w:numId w:val="26"/>
        </w:numPr>
        <w:spacing w:after="0" w:line="240" w:lineRule="auto"/>
        <w:ind w:right="-46"/>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the right to education – Articles 28 and 29 of the </w:t>
      </w:r>
      <w:r w:rsidRPr="001D704A">
        <w:rPr>
          <w:rFonts w:ascii="Times New Roman" w:hAnsi="Times New Roman"/>
          <w:i/>
          <w:color w:val="000000" w:themeColor="text1"/>
          <w:sz w:val="24"/>
          <w:szCs w:val="24"/>
        </w:rPr>
        <w:t>Convention on the Rights of the Child</w:t>
      </w:r>
      <w:r w:rsidRPr="001D704A">
        <w:rPr>
          <w:rFonts w:ascii="Times New Roman" w:hAnsi="Times New Roman"/>
          <w:color w:val="000000" w:themeColor="text1"/>
          <w:sz w:val="24"/>
          <w:szCs w:val="24"/>
        </w:rPr>
        <w:t xml:space="preserve"> (CRC), read with Article 4</w:t>
      </w:r>
      <w:r w:rsidR="008357DA" w:rsidRPr="001D704A">
        <w:rPr>
          <w:rFonts w:ascii="Times New Roman" w:hAnsi="Times New Roman"/>
          <w:color w:val="000000" w:themeColor="text1"/>
          <w:sz w:val="24"/>
          <w:szCs w:val="24"/>
        </w:rPr>
        <w:t>,</w:t>
      </w:r>
      <w:r w:rsidRPr="001D704A">
        <w:rPr>
          <w:rFonts w:ascii="Times New Roman" w:hAnsi="Times New Roman"/>
          <w:color w:val="000000" w:themeColor="text1"/>
          <w:sz w:val="24"/>
          <w:szCs w:val="24"/>
        </w:rPr>
        <w:t xml:space="preserve"> and Article 13 of the </w:t>
      </w:r>
      <w:r w:rsidRPr="001D704A">
        <w:rPr>
          <w:rFonts w:ascii="Times New Roman" w:hAnsi="Times New Roman"/>
          <w:i/>
          <w:color w:val="000000" w:themeColor="text1"/>
          <w:sz w:val="24"/>
          <w:szCs w:val="24"/>
        </w:rPr>
        <w:t xml:space="preserve">International Covenant </w:t>
      </w:r>
      <w:r w:rsidR="008357DA" w:rsidRPr="001D704A">
        <w:rPr>
          <w:rFonts w:ascii="Times New Roman" w:hAnsi="Times New Roman"/>
          <w:i/>
          <w:color w:val="000000" w:themeColor="text1"/>
          <w:sz w:val="24"/>
          <w:szCs w:val="24"/>
        </w:rPr>
        <w:t>on</w:t>
      </w:r>
      <w:r w:rsidRPr="001D704A">
        <w:rPr>
          <w:rFonts w:ascii="Times New Roman" w:hAnsi="Times New Roman"/>
          <w:i/>
          <w:color w:val="000000" w:themeColor="text1"/>
          <w:sz w:val="24"/>
          <w:szCs w:val="24"/>
        </w:rPr>
        <w:t xml:space="preserve"> Economic, Social and Cultural Rights</w:t>
      </w:r>
      <w:r w:rsidRPr="001D704A">
        <w:rPr>
          <w:rFonts w:ascii="Times New Roman" w:hAnsi="Times New Roman"/>
          <w:color w:val="000000" w:themeColor="text1"/>
          <w:sz w:val="24"/>
          <w:szCs w:val="24"/>
        </w:rPr>
        <w:t xml:space="preserve"> (ICESCR), read with Article 2.</w:t>
      </w:r>
    </w:p>
    <w:p w14:paraId="110876A2" w14:textId="77777777" w:rsidR="00662C9F" w:rsidRPr="001D704A" w:rsidRDefault="00662C9F" w:rsidP="00123EB1">
      <w:pPr>
        <w:ind w:right="-46"/>
        <w:rPr>
          <w:rFonts w:ascii="Times New Roman" w:hAnsi="Times New Roman" w:cs="Times New Roman"/>
          <w:color w:val="000000" w:themeColor="text1"/>
          <w:sz w:val="24"/>
          <w:szCs w:val="24"/>
        </w:rPr>
      </w:pPr>
    </w:p>
    <w:p w14:paraId="0CBBE9A4" w14:textId="77777777" w:rsidR="00662C9F" w:rsidRPr="001D704A" w:rsidRDefault="00662C9F" w:rsidP="00123EB1">
      <w:pPr>
        <w:ind w:right="-46"/>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Right to education</w:t>
      </w:r>
    </w:p>
    <w:p w14:paraId="1FFEE251" w14:textId="77777777" w:rsidR="00662C9F" w:rsidRPr="001D704A" w:rsidRDefault="00662C9F" w:rsidP="00123EB1">
      <w:pPr>
        <w:ind w:right="-46"/>
        <w:rPr>
          <w:rFonts w:ascii="Times New Roman" w:hAnsi="Times New Roman" w:cs="Times New Roman"/>
          <w:color w:val="000000" w:themeColor="text1"/>
          <w:sz w:val="24"/>
          <w:szCs w:val="24"/>
        </w:rPr>
      </w:pPr>
    </w:p>
    <w:p w14:paraId="295C0D84" w14:textId="77777777"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4B7F4A28" w14:textId="77777777" w:rsidR="00662C9F" w:rsidRPr="001D704A" w:rsidRDefault="00662C9F" w:rsidP="00123EB1">
      <w:pPr>
        <w:ind w:right="-46"/>
        <w:rPr>
          <w:rFonts w:ascii="Times New Roman" w:hAnsi="Times New Roman" w:cs="Times New Roman"/>
          <w:color w:val="000000" w:themeColor="text1"/>
          <w:sz w:val="24"/>
          <w:szCs w:val="24"/>
        </w:rPr>
      </w:pPr>
    </w:p>
    <w:p w14:paraId="6D4CCC20" w14:textId="391B4C0B"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29(1)(a) of the CRC provides that ‘States Parties agree that the education of the child shall be directed to</w:t>
      </w:r>
      <w:r w:rsidR="008357DA"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color w:val="000000" w:themeColor="text1"/>
          <w:sz w:val="24"/>
          <w:szCs w:val="24"/>
        </w:rPr>
        <w:t>… the development of the child</w:t>
      </w:r>
      <w:r w:rsidR="008357DA" w:rsidRPr="001D704A">
        <w:rPr>
          <w:rFonts w:ascii="Times New Roman" w:hAnsi="Times New Roman" w:cs="Times New Roman"/>
          <w:color w:val="000000" w:themeColor="text1"/>
          <w:sz w:val="24"/>
          <w:szCs w:val="24"/>
        </w:rPr>
        <w:t>’</w:t>
      </w:r>
      <w:r w:rsidRPr="001D704A">
        <w:rPr>
          <w:rFonts w:ascii="Times New Roman" w:hAnsi="Times New Roman" w:cs="Times New Roman"/>
          <w:color w:val="000000" w:themeColor="text1"/>
          <w:sz w:val="24"/>
          <w:szCs w:val="24"/>
        </w:rPr>
        <w:t xml:space="preserve">s personality, talents and mental and physical abilities to their fullest potential’. </w:t>
      </w:r>
    </w:p>
    <w:p w14:paraId="363FE189" w14:textId="77777777" w:rsidR="00662C9F" w:rsidRPr="001D704A" w:rsidRDefault="00662C9F" w:rsidP="00123EB1">
      <w:pPr>
        <w:ind w:right="-46"/>
        <w:rPr>
          <w:rFonts w:ascii="Times New Roman" w:hAnsi="Times New Roman" w:cs="Times New Roman"/>
          <w:color w:val="000000" w:themeColor="text1"/>
          <w:sz w:val="24"/>
          <w:szCs w:val="24"/>
        </w:rPr>
      </w:pPr>
    </w:p>
    <w:p w14:paraId="4BBC0CA0" w14:textId="4E2D618D"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2 of the ICESCR requires </w:t>
      </w:r>
      <w:r w:rsidR="008357DA" w:rsidRPr="001D704A">
        <w:rPr>
          <w:rFonts w:ascii="Times New Roman" w:hAnsi="Times New Roman" w:cs="Times New Roman"/>
          <w:color w:val="000000" w:themeColor="text1"/>
          <w:sz w:val="24"/>
          <w:szCs w:val="24"/>
        </w:rPr>
        <w:t xml:space="preserve">the </w:t>
      </w:r>
      <w:r w:rsidRPr="001D704A">
        <w:rPr>
          <w:rFonts w:ascii="Times New Roman" w:hAnsi="Times New Roman" w:cs="Times New Roman"/>
          <w:color w:val="000000" w:themeColor="text1"/>
          <w:sz w:val="24"/>
          <w:szCs w:val="24"/>
        </w:rPr>
        <w:t>States Parties to take steps to progressively achieve the full realisation of the rights recognised in the ICESCR by all appropriate means. Article</w:t>
      </w:r>
      <w:r w:rsidR="008357DA" w:rsidRPr="001D704A">
        <w:rPr>
          <w:rFonts w:ascii="Times New Roman" w:hAnsi="Times New Roman" w:cs="Times New Roman"/>
          <w:color w:val="000000" w:themeColor="text1"/>
          <w:sz w:val="24"/>
          <w:szCs w:val="24"/>
        </w:rPr>
        <w:t> </w:t>
      </w:r>
      <w:r w:rsidRPr="001D704A">
        <w:rPr>
          <w:rFonts w:ascii="Times New Roman" w:hAnsi="Times New Roman" w:cs="Times New Roman"/>
          <w:color w:val="000000" w:themeColor="text1"/>
          <w:sz w:val="24"/>
          <w:szCs w:val="24"/>
        </w:rPr>
        <w:t>13(2)(a) of the ICESCR relates to the right of everyone to primary education that is compulsory and free.</w:t>
      </w:r>
    </w:p>
    <w:p w14:paraId="083D3763" w14:textId="77777777" w:rsidR="00662C9F" w:rsidRPr="001D704A" w:rsidRDefault="00662C9F" w:rsidP="00123EB1">
      <w:pPr>
        <w:ind w:right="-46"/>
        <w:rPr>
          <w:rFonts w:ascii="Times New Roman" w:hAnsi="Times New Roman" w:cs="Times New Roman"/>
          <w:color w:val="000000" w:themeColor="text1"/>
          <w:sz w:val="24"/>
          <w:szCs w:val="24"/>
        </w:rPr>
      </w:pPr>
    </w:p>
    <w:p w14:paraId="2F827B9A" w14:textId="120F45ED"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755EE9" w:rsidRPr="001D704A">
        <w:rPr>
          <w:rFonts w:ascii="Times New Roman" w:hAnsi="Times New Roman" w:cs="Times New Roman"/>
          <w:color w:val="000000" w:themeColor="text1"/>
          <w:sz w:val="24"/>
          <w:szCs w:val="24"/>
        </w:rPr>
        <w:t>53</w:t>
      </w:r>
      <w:r w:rsidRPr="001D704A">
        <w:rPr>
          <w:rFonts w:ascii="Times New Roman" w:hAnsi="Times New Roman" w:cs="Times New Roman"/>
          <w:color w:val="000000" w:themeColor="text1"/>
          <w:sz w:val="24"/>
          <w:szCs w:val="24"/>
        </w:rPr>
        <w:t xml:space="preserve"> supports the right to education as it is directed at a basic learning need of Indigenous primary schools by methods appropriate to those children. Table item </w:t>
      </w:r>
      <w:r w:rsidR="00755EE9" w:rsidRPr="001D704A">
        <w:rPr>
          <w:rFonts w:ascii="Times New Roman" w:hAnsi="Times New Roman" w:cs="Times New Roman"/>
          <w:color w:val="000000" w:themeColor="text1"/>
          <w:sz w:val="24"/>
          <w:szCs w:val="24"/>
        </w:rPr>
        <w:t xml:space="preserve">53 </w:t>
      </w:r>
      <w:r w:rsidRPr="001D704A">
        <w:rPr>
          <w:rFonts w:ascii="Times New Roman" w:hAnsi="Times New Roman" w:cs="Times New Roman"/>
          <w:color w:val="000000" w:themeColor="text1"/>
          <w:sz w:val="24"/>
          <w:szCs w:val="24"/>
        </w:rPr>
        <w:t>is also directed at core educational activities that are central to the development of the talents and abilities of children.</w:t>
      </w:r>
    </w:p>
    <w:p w14:paraId="3BCC83FC" w14:textId="77777777" w:rsidR="00662C9F" w:rsidRPr="001D704A" w:rsidRDefault="00662C9F" w:rsidP="00123EB1">
      <w:pPr>
        <w:ind w:right="-46"/>
        <w:rPr>
          <w:rFonts w:ascii="Times New Roman" w:hAnsi="Times New Roman" w:cs="Times New Roman"/>
          <w:color w:val="000000" w:themeColor="text1"/>
          <w:sz w:val="24"/>
          <w:szCs w:val="24"/>
        </w:rPr>
      </w:pPr>
    </w:p>
    <w:p w14:paraId="2FF02780" w14:textId="77777777"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2B2821E2" w14:textId="77777777" w:rsidR="00662C9F" w:rsidRPr="001D704A" w:rsidRDefault="00662C9F" w:rsidP="00123EB1">
      <w:pPr>
        <w:ind w:right="-46"/>
        <w:rPr>
          <w:rFonts w:ascii="Times New Roman" w:hAnsi="Times New Roman" w:cs="Times New Roman"/>
          <w:color w:val="000000" w:themeColor="text1"/>
          <w:sz w:val="24"/>
          <w:szCs w:val="24"/>
        </w:rPr>
      </w:pPr>
    </w:p>
    <w:p w14:paraId="3DA8A069" w14:textId="31D4547C"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w:t>
      </w:r>
      <w:r w:rsidR="00755EE9" w:rsidRPr="001D704A">
        <w:rPr>
          <w:rFonts w:ascii="Times New Roman" w:hAnsi="Times New Roman" w:cs="Times New Roman"/>
          <w:color w:val="000000" w:themeColor="text1"/>
          <w:sz w:val="24"/>
          <w:szCs w:val="24"/>
        </w:rPr>
        <w:t xml:space="preserve"> 53</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091EB6A9" w14:textId="77777777" w:rsidR="00662C9F" w:rsidRPr="001D704A" w:rsidRDefault="00662C9F" w:rsidP="00123EB1">
      <w:pPr>
        <w:ind w:right="-46"/>
        <w:rPr>
          <w:rFonts w:ascii="Times New Roman" w:hAnsi="Times New Roman" w:cs="Times New Roman"/>
          <w:color w:val="000000" w:themeColor="text1"/>
          <w:sz w:val="24"/>
          <w:szCs w:val="24"/>
        </w:rPr>
      </w:pPr>
    </w:p>
    <w:p w14:paraId="5E32D896" w14:textId="3A1FA392" w:rsidR="00B812C2" w:rsidRPr="001D704A" w:rsidRDefault="00F01257"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 xml:space="preserve">Table item </w:t>
      </w:r>
      <w:r w:rsidR="00FB69AA" w:rsidRPr="001D704A">
        <w:rPr>
          <w:rFonts w:ascii="Times New Roman" w:hAnsi="Times New Roman" w:cs="Times New Roman"/>
          <w:i/>
          <w:color w:val="000000" w:themeColor="text1"/>
          <w:sz w:val="24"/>
          <w:szCs w:val="24"/>
          <w:u w:val="single"/>
        </w:rPr>
        <w:t>54</w:t>
      </w:r>
      <w:r w:rsidRPr="001D704A">
        <w:rPr>
          <w:rFonts w:ascii="Times New Roman" w:hAnsi="Times New Roman" w:cs="Times New Roman"/>
          <w:i/>
          <w:color w:val="000000" w:themeColor="text1"/>
          <w:sz w:val="24"/>
          <w:szCs w:val="24"/>
          <w:u w:val="single"/>
        </w:rPr>
        <w:t xml:space="preserve"> – </w:t>
      </w:r>
      <w:r w:rsidR="00B812C2" w:rsidRPr="001D704A">
        <w:rPr>
          <w:rFonts w:ascii="Times New Roman" w:hAnsi="Times New Roman" w:cs="Times New Roman"/>
          <w:i/>
          <w:color w:val="000000" w:themeColor="text1"/>
          <w:sz w:val="24"/>
          <w:szCs w:val="24"/>
          <w:u w:val="single"/>
        </w:rPr>
        <w:t xml:space="preserve">Grant to </w:t>
      </w:r>
      <w:r w:rsidR="00B76212" w:rsidRPr="001D704A">
        <w:rPr>
          <w:rFonts w:ascii="Times New Roman" w:hAnsi="Times New Roman" w:cs="Times New Roman"/>
          <w:i/>
          <w:color w:val="000000" w:themeColor="text1"/>
          <w:sz w:val="24"/>
          <w:szCs w:val="24"/>
          <w:u w:val="single"/>
        </w:rPr>
        <w:t xml:space="preserve">Together for Humanity </w:t>
      </w:r>
      <w:r w:rsidR="000126E6" w:rsidRPr="001D704A">
        <w:rPr>
          <w:rFonts w:ascii="Times New Roman" w:hAnsi="Times New Roman" w:cs="Times New Roman"/>
          <w:i/>
          <w:color w:val="000000" w:themeColor="text1"/>
          <w:sz w:val="24"/>
          <w:szCs w:val="24"/>
          <w:u w:val="single"/>
        </w:rPr>
        <w:t xml:space="preserve">Foundation </w:t>
      </w:r>
      <w:r w:rsidR="00B76212" w:rsidRPr="001D704A">
        <w:rPr>
          <w:rFonts w:ascii="Times New Roman" w:hAnsi="Times New Roman" w:cs="Times New Roman"/>
          <w:i/>
          <w:color w:val="000000" w:themeColor="text1"/>
          <w:sz w:val="24"/>
          <w:szCs w:val="24"/>
          <w:u w:val="single"/>
        </w:rPr>
        <w:t xml:space="preserve">Limited </w:t>
      </w:r>
    </w:p>
    <w:p w14:paraId="5FABD120" w14:textId="77777777" w:rsidR="00B812C2" w:rsidRPr="001D704A" w:rsidRDefault="00B812C2" w:rsidP="00123EB1">
      <w:pPr>
        <w:ind w:right="-46"/>
        <w:rPr>
          <w:rFonts w:ascii="Times New Roman" w:hAnsi="Times New Roman" w:cs="Times New Roman"/>
          <w:color w:val="000000" w:themeColor="text1"/>
          <w:sz w:val="24"/>
          <w:szCs w:val="24"/>
        </w:rPr>
      </w:pPr>
    </w:p>
    <w:p w14:paraId="5D82A246" w14:textId="3F516164" w:rsidR="00B722E7" w:rsidRPr="001D704A" w:rsidRDefault="000A2DC4"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T</w:t>
      </w:r>
      <w:r w:rsidR="009F6240" w:rsidRPr="001D704A">
        <w:rPr>
          <w:rFonts w:ascii="Times New Roman" w:hAnsi="Times New Roman" w:cs="Times New Roman"/>
          <w:iCs/>
          <w:color w:val="000000" w:themeColor="text1"/>
          <w:sz w:val="24"/>
          <w:szCs w:val="24"/>
        </w:rPr>
        <w:t xml:space="preserve">able item </w:t>
      </w:r>
      <w:r w:rsidR="00FB69AA" w:rsidRPr="001D704A">
        <w:rPr>
          <w:rFonts w:ascii="Times New Roman" w:hAnsi="Times New Roman" w:cs="Times New Roman"/>
          <w:iCs/>
          <w:color w:val="000000" w:themeColor="text1"/>
          <w:sz w:val="24"/>
          <w:szCs w:val="24"/>
        </w:rPr>
        <w:t>54</w:t>
      </w:r>
      <w:r w:rsidR="009F6240" w:rsidRPr="001D704A">
        <w:rPr>
          <w:rFonts w:ascii="Times New Roman" w:hAnsi="Times New Roman" w:cs="Times New Roman"/>
          <w:iCs/>
          <w:color w:val="000000" w:themeColor="text1"/>
          <w:sz w:val="24"/>
          <w:szCs w:val="24"/>
        </w:rPr>
        <w:t xml:space="preserve"> establishes legislative authority </w:t>
      </w:r>
      <w:r w:rsidR="00B722E7" w:rsidRPr="001D704A">
        <w:rPr>
          <w:rFonts w:ascii="Times New Roman" w:hAnsi="Times New Roman" w:cs="Times New Roman"/>
          <w:iCs/>
          <w:color w:val="000000" w:themeColor="text1"/>
          <w:sz w:val="24"/>
          <w:szCs w:val="24"/>
        </w:rPr>
        <w:t xml:space="preserve">for the Government to provide a </w:t>
      </w:r>
      <w:r w:rsidRPr="001D704A">
        <w:rPr>
          <w:rFonts w:ascii="Times New Roman" w:hAnsi="Times New Roman" w:cs="Times New Roman"/>
          <w:iCs/>
          <w:color w:val="000000" w:themeColor="text1"/>
          <w:sz w:val="24"/>
          <w:szCs w:val="24"/>
        </w:rPr>
        <w:t>g</w:t>
      </w:r>
      <w:r w:rsidR="00B722E7" w:rsidRPr="001D704A">
        <w:rPr>
          <w:rFonts w:ascii="Times New Roman" w:hAnsi="Times New Roman" w:cs="Times New Roman"/>
          <w:iCs/>
          <w:color w:val="000000" w:themeColor="text1"/>
          <w:sz w:val="24"/>
          <w:szCs w:val="24"/>
        </w:rPr>
        <w:t xml:space="preserve">rant to Together for Humanity </w:t>
      </w:r>
      <w:r w:rsidRPr="001D704A">
        <w:rPr>
          <w:rFonts w:ascii="Times New Roman" w:hAnsi="Times New Roman" w:cs="Times New Roman"/>
          <w:iCs/>
          <w:color w:val="000000" w:themeColor="text1"/>
          <w:sz w:val="24"/>
          <w:szCs w:val="24"/>
        </w:rPr>
        <w:t xml:space="preserve">Foundation </w:t>
      </w:r>
      <w:r w:rsidR="00B722E7" w:rsidRPr="001D704A">
        <w:rPr>
          <w:rFonts w:ascii="Times New Roman" w:hAnsi="Times New Roman" w:cs="Times New Roman"/>
          <w:iCs/>
          <w:color w:val="000000" w:themeColor="text1"/>
          <w:sz w:val="24"/>
          <w:szCs w:val="24"/>
        </w:rPr>
        <w:t>Limited</w:t>
      </w:r>
      <w:r w:rsidR="00B722E7" w:rsidRPr="001D704A">
        <w:rPr>
          <w:rFonts w:ascii="Times New Roman" w:hAnsi="Times New Roman"/>
          <w:szCs w:val="20"/>
        </w:rPr>
        <w:t xml:space="preserve"> (TFH) </w:t>
      </w:r>
      <w:r w:rsidRPr="001D704A">
        <w:rPr>
          <w:rFonts w:ascii="Times New Roman" w:hAnsi="Times New Roman"/>
          <w:szCs w:val="20"/>
        </w:rPr>
        <w:t>to deliver</w:t>
      </w:r>
      <w:r w:rsidR="00B722E7" w:rsidRPr="001D704A">
        <w:rPr>
          <w:rFonts w:ascii="Times New Roman" w:hAnsi="Times New Roman" w:cs="Times New Roman"/>
          <w:iCs/>
          <w:color w:val="000000" w:themeColor="text1"/>
          <w:sz w:val="24"/>
          <w:szCs w:val="24"/>
        </w:rPr>
        <w:t xml:space="preserve"> the </w:t>
      </w:r>
      <w:r w:rsidRPr="001D704A">
        <w:rPr>
          <w:rFonts w:ascii="Times New Roman" w:hAnsi="Times New Roman" w:cs="Times New Roman"/>
          <w:iCs/>
          <w:color w:val="000000" w:themeColor="text1"/>
          <w:sz w:val="24"/>
          <w:szCs w:val="24"/>
        </w:rPr>
        <w:t xml:space="preserve">Inclusion Education for </w:t>
      </w:r>
      <w:r w:rsidR="00B722E7" w:rsidRPr="001D704A">
        <w:rPr>
          <w:rFonts w:ascii="Times New Roman" w:hAnsi="Times New Roman" w:cs="Times New Roman"/>
          <w:iCs/>
          <w:color w:val="000000" w:themeColor="text1"/>
          <w:sz w:val="24"/>
          <w:szCs w:val="24"/>
        </w:rPr>
        <w:t xml:space="preserve">Connected Youth and Communities </w:t>
      </w:r>
      <w:r w:rsidRPr="001D704A">
        <w:rPr>
          <w:rFonts w:ascii="Times New Roman" w:hAnsi="Times New Roman" w:cs="Times New Roman"/>
          <w:iCs/>
          <w:color w:val="000000" w:themeColor="text1"/>
          <w:sz w:val="24"/>
          <w:szCs w:val="24"/>
        </w:rPr>
        <w:t>Initiative</w:t>
      </w:r>
      <w:r w:rsidR="00B722E7" w:rsidRPr="001D704A">
        <w:rPr>
          <w:rFonts w:ascii="Times New Roman" w:hAnsi="Times New Roman" w:cs="Times New Roman"/>
          <w:iCs/>
          <w:color w:val="000000" w:themeColor="text1"/>
          <w:sz w:val="24"/>
          <w:szCs w:val="24"/>
        </w:rPr>
        <w:t xml:space="preserve"> (the program). </w:t>
      </w:r>
    </w:p>
    <w:p w14:paraId="7798359D" w14:textId="77777777" w:rsidR="00B722E7" w:rsidRPr="001D704A" w:rsidRDefault="00B722E7" w:rsidP="00123EB1">
      <w:pPr>
        <w:rPr>
          <w:rFonts w:ascii="Times New Roman" w:hAnsi="Times New Roman" w:cs="Times New Roman"/>
          <w:iCs/>
          <w:color w:val="000000" w:themeColor="text1"/>
          <w:sz w:val="24"/>
          <w:szCs w:val="24"/>
        </w:rPr>
      </w:pPr>
    </w:p>
    <w:p w14:paraId="254DAE3D" w14:textId="64E3D0ED" w:rsidR="00B722E7" w:rsidRPr="001D704A" w:rsidRDefault="00B722E7" w:rsidP="00123EB1">
      <w:pPr>
        <w:rPr>
          <w:rFonts w:ascii="Times New Roman" w:hAnsi="Times New Roman" w:cs="Times New Roman"/>
          <w:iCs/>
          <w:color w:val="000000" w:themeColor="text1"/>
          <w:sz w:val="24"/>
          <w:szCs w:val="24"/>
        </w:rPr>
      </w:pPr>
      <w:r w:rsidRPr="001D704A">
        <w:rPr>
          <w:rFonts w:ascii="Times New Roman" w:hAnsi="Times New Roman" w:cs="Times New Roman"/>
          <w:iCs/>
          <w:color w:val="000000" w:themeColor="text1"/>
          <w:sz w:val="24"/>
          <w:szCs w:val="24"/>
        </w:rPr>
        <w:t xml:space="preserve">The grant funding will enable TFH to increase the scope and impact of its existing program, which includes a number of initiatives such as </w:t>
      </w:r>
      <w:r w:rsidR="000A2DC4"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xml:space="preserve">chool </w:t>
      </w:r>
      <w:r w:rsidR="000A2DC4" w:rsidRPr="001D704A">
        <w:rPr>
          <w:rFonts w:ascii="Times New Roman" w:hAnsi="Times New Roman" w:cs="Times New Roman"/>
          <w:iCs/>
          <w:color w:val="000000" w:themeColor="text1"/>
          <w:sz w:val="24"/>
          <w:szCs w:val="24"/>
        </w:rPr>
        <w:t>p</w:t>
      </w:r>
      <w:r w:rsidRPr="001D704A">
        <w:rPr>
          <w:rFonts w:ascii="Times New Roman" w:hAnsi="Times New Roman" w:cs="Times New Roman"/>
          <w:iCs/>
          <w:color w:val="000000" w:themeColor="text1"/>
          <w:sz w:val="24"/>
          <w:szCs w:val="24"/>
        </w:rPr>
        <w:t>artnership</w:t>
      </w:r>
      <w:r w:rsidR="000A2DC4" w:rsidRPr="001D704A">
        <w:rPr>
          <w:rFonts w:ascii="Times New Roman" w:hAnsi="Times New Roman" w:cs="Times New Roman"/>
          <w:iCs/>
          <w:color w:val="000000" w:themeColor="text1"/>
          <w:sz w:val="24"/>
          <w:szCs w:val="24"/>
        </w:rPr>
        <w:t>s</w:t>
      </w:r>
      <w:r w:rsidRPr="001D704A">
        <w:rPr>
          <w:rFonts w:ascii="Times New Roman" w:hAnsi="Times New Roman" w:cs="Times New Roman"/>
          <w:iCs/>
          <w:color w:val="000000" w:themeColor="text1"/>
          <w:sz w:val="24"/>
          <w:szCs w:val="24"/>
        </w:rPr>
        <w:t>, professional development for teachers, online resources, student-led summits, and national awards celebrating achievements in civics and citizenship with a focus on fostering interfaith and intercultural understanding to support social cohesion.</w:t>
      </w:r>
    </w:p>
    <w:p w14:paraId="30222AB6" w14:textId="31187405" w:rsidR="00B722E7" w:rsidRPr="001D704A" w:rsidRDefault="00B722E7" w:rsidP="00123EB1">
      <w:pPr>
        <w:rPr>
          <w:rFonts w:ascii="Times New Roman" w:hAnsi="Times New Roman" w:cs="Times New Roman"/>
          <w:iCs/>
          <w:color w:val="000000" w:themeColor="text1"/>
          <w:sz w:val="24"/>
          <w:szCs w:val="24"/>
        </w:rPr>
      </w:pPr>
    </w:p>
    <w:p w14:paraId="6D333CD7" w14:textId="2631CD6F" w:rsidR="000A2DC4" w:rsidRPr="001D704A" w:rsidRDefault="000A2DC4"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The program will be delivered to schools, students and parents across metropolitan, regional and remote Australia to support social cohesion. Specific objectives of the program are that:</w:t>
      </w:r>
    </w:p>
    <w:p w14:paraId="61B1F6AB" w14:textId="77777777" w:rsidR="000A2DC4" w:rsidRPr="001D704A" w:rsidRDefault="000A2DC4"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students</w:t>
      </w:r>
      <w:r w:rsidRPr="001D704A">
        <w:rPr>
          <w:rFonts w:ascii="Times New Roman" w:hAnsi="Times New Roman" w:cs="Times New Roman"/>
          <w:iCs/>
          <w:color w:val="000000" w:themeColor="text1"/>
          <w:sz w:val="24"/>
          <w:szCs w:val="24"/>
        </w:rPr>
        <w:t xml:space="preserve"> are aware and accepting of their multiple identities and communities, have resilience to deal with prejudice, reject stereotypes, and build and model respectful intercultural relationships;</w:t>
      </w:r>
    </w:p>
    <w:p w14:paraId="0350F3FD" w14:textId="77777777" w:rsidR="000A2DC4" w:rsidRPr="001D704A" w:rsidRDefault="000A2DC4"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teachers and other educators</w:t>
      </w:r>
      <w:r w:rsidRPr="001D704A">
        <w:rPr>
          <w:rFonts w:ascii="Times New Roman" w:hAnsi="Times New Roman" w:cs="Times New Roman"/>
          <w:iCs/>
          <w:color w:val="000000" w:themeColor="text1"/>
          <w:sz w:val="24"/>
          <w:szCs w:val="24"/>
        </w:rPr>
        <w:t xml:space="preserve"> effectively apply intercultural understanding dispositions, knowledge, skills and resources in their schools;</w:t>
      </w:r>
    </w:p>
    <w:p w14:paraId="53ACD9AC" w14:textId="77777777" w:rsidR="000A2DC4" w:rsidRPr="001D704A" w:rsidRDefault="000A2DC4"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Australian school communities</w:t>
      </w:r>
      <w:r w:rsidRPr="001D704A">
        <w:rPr>
          <w:rFonts w:ascii="Times New Roman" w:hAnsi="Times New Roman" w:cs="Times New Roman"/>
          <w:iCs/>
          <w:color w:val="000000" w:themeColor="text1"/>
          <w:sz w:val="24"/>
          <w:szCs w:val="24"/>
        </w:rPr>
        <w:t xml:space="preserve"> are inclusive of diversity of culture and belief; and</w:t>
      </w:r>
    </w:p>
    <w:p w14:paraId="29276E22" w14:textId="77777777" w:rsidR="000A2DC4" w:rsidRPr="001D704A" w:rsidRDefault="000A2DC4" w:rsidP="00123EB1">
      <w:pPr>
        <w:numPr>
          <w:ilvl w:val="0"/>
          <w:numId w:val="28"/>
        </w:numPr>
        <w:rPr>
          <w:rFonts w:ascii="Times New Roman" w:hAnsi="Times New Roman" w:cs="Times New Roman"/>
          <w:iCs/>
          <w:color w:val="000000" w:themeColor="text1"/>
          <w:sz w:val="24"/>
          <w:szCs w:val="24"/>
        </w:rPr>
      </w:pPr>
      <w:r w:rsidRPr="001D704A">
        <w:rPr>
          <w:rFonts w:ascii="Times New Roman" w:hAnsi="Times New Roman" w:cs="Times New Roman"/>
          <w:bCs/>
          <w:iCs/>
          <w:color w:val="000000" w:themeColor="text1"/>
          <w:sz w:val="24"/>
          <w:szCs w:val="24"/>
        </w:rPr>
        <w:t>parents, carers and other school community members</w:t>
      </w:r>
      <w:r w:rsidRPr="001D704A">
        <w:rPr>
          <w:rFonts w:ascii="Times New Roman" w:hAnsi="Times New Roman" w:cs="Times New Roman"/>
          <w:iCs/>
          <w:color w:val="000000" w:themeColor="text1"/>
          <w:sz w:val="24"/>
          <w:szCs w:val="24"/>
        </w:rPr>
        <w:t xml:space="preserve"> have a feeling of belonging together and being connected with culturally diverse people. </w:t>
      </w:r>
    </w:p>
    <w:p w14:paraId="1227ABD3" w14:textId="310382A0" w:rsidR="000A2DC4" w:rsidRPr="001D704A" w:rsidRDefault="000A2DC4" w:rsidP="00123EB1">
      <w:pPr>
        <w:rPr>
          <w:rFonts w:ascii="Times New Roman" w:hAnsi="Times New Roman" w:cs="Times New Roman"/>
          <w:iCs/>
          <w:color w:val="000000" w:themeColor="text1"/>
          <w:sz w:val="24"/>
          <w:szCs w:val="24"/>
        </w:rPr>
      </w:pPr>
    </w:p>
    <w:p w14:paraId="0FF65777" w14:textId="77777777" w:rsidR="000A2DC4" w:rsidRPr="001D704A" w:rsidRDefault="000A2DC4" w:rsidP="00123EB1">
      <w:pPr>
        <w:rPr>
          <w:rFonts w:ascii="Times New Roman" w:hAnsi="Times New Roman" w:cs="Times New Roman"/>
          <w:bCs/>
          <w:iCs/>
          <w:color w:val="000000" w:themeColor="text1"/>
          <w:sz w:val="24"/>
          <w:szCs w:val="24"/>
        </w:rPr>
      </w:pPr>
      <w:r w:rsidRPr="001D704A">
        <w:rPr>
          <w:rFonts w:ascii="Times New Roman" w:hAnsi="Times New Roman" w:cs="Times New Roman"/>
          <w:bCs/>
          <w:iCs/>
          <w:color w:val="000000" w:themeColor="text1"/>
          <w:sz w:val="24"/>
          <w:szCs w:val="24"/>
        </w:rPr>
        <w:t xml:space="preserve">TFH has seen positive results in transforming attitudes and behaviours. The program contributes to developing resilience in young people when faced with extremism and encouraging them to embrace shared Australian values and to have empathy for those who are different. </w:t>
      </w:r>
    </w:p>
    <w:p w14:paraId="06C8E3B7" w14:textId="77777777" w:rsidR="009F6240" w:rsidRPr="001D704A" w:rsidRDefault="009F6240" w:rsidP="00123EB1">
      <w:pPr>
        <w:ind w:right="-46"/>
        <w:rPr>
          <w:rFonts w:ascii="Times New Roman" w:hAnsi="Times New Roman" w:cs="Times New Roman"/>
          <w:iCs/>
          <w:color w:val="000000" w:themeColor="text1"/>
          <w:sz w:val="24"/>
          <w:szCs w:val="24"/>
        </w:rPr>
      </w:pPr>
    </w:p>
    <w:p w14:paraId="63D4AAAA" w14:textId="77777777" w:rsidR="00B812C2" w:rsidRPr="001D704A" w:rsidRDefault="00B812C2"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70A41BA7" w14:textId="77777777" w:rsidR="00B812C2" w:rsidRPr="001D704A" w:rsidRDefault="00B812C2" w:rsidP="00123EB1">
      <w:pPr>
        <w:ind w:right="-46"/>
        <w:rPr>
          <w:rFonts w:ascii="Times New Roman" w:hAnsi="Times New Roman" w:cs="Times New Roman"/>
          <w:color w:val="000000" w:themeColor="text1"/>
          <w:sz w:val="24"/>
          <w:szCs w:val="24"/>
        </w:rPr>
      </w:pPr>
    </w:p>
    <w:p w14:paraId="62C5D9C4" w14:textId="2DE8D041" w:rsidR="00B812C2" w:rsidRPr="001D704A" w:rsidRDefault="00B812C2"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 xml:space="preserve">able item </w:t>
      </w:r>
      <w:r w:rsidR="00FB69AA" w:rsidRPr="001D704A">
        <w:rPr>
          <w:rFonts w:ascii="Times New Roman" w:hAnsi="Times New Roman" w:cs="Times New Roman"/>
          <w:color w:val="000000" w:themeColor="text1"/>
          <w:sz w:val="24"/>
          <w:szCs w:val="24"/>
        </w:rPr>
        <w:t>54</w:t>
      </w:r>
      <w:r w:rsidRPr="001D704A">
        <w:rPr>
          <w:rFonts w:ascii="Times New Roman" w:eastAsia="Times New Roman" w:hAnsi="Times New Roman" w:cs="Times New Roman"/>
          <w:color w:val="000000"/>
          <w:sz w:val="24"/>
          <w:szCs w:val="24"/>
          <w:lang w:eastAsia="en-AU"/>
        </w:rPr>
        <w:t xml:space="preserve"> engages the following right</w:t>
      </w:r>
      <w:r w:rsidR="009B3BE2" w:rsidRPr="001D704A">
        <w:rPr>
          <w:rFonts w:ascii="Times New Roman" w:eastAsia="Times New Roman" w:hAnsi="Times New Roman" w:cs="Times New Roman"/>
          <w:color w:val="000000"/>
          <w:sz w:val="24"/>
          <w:szCs w:val="24"/>
          <w:lang w:eastAsia="en-AU"/>
        </w:rPr>
        <w:t>s</w:t>
      </w:r>
      <w:r w:rsidRPr="001D704A">
        <w:rPr>
          <w:rFonts w:ascii="Times New Roman" w:eastAsia="Times New Roman" w:hAnsi="Times New Roman" w:cs="Times New Roman"/>
          <w:color w:val="000000"/>
          <w:sz w:val="24"/>
          <w:szCs w:val="24"/>
          <w:lang w:eastAsia="en-AU"/>
        </w:rPr>
        <w:t>:</w:t>
      </w:r>
    </w:p>
    <w:p w14:paraId="5B401708" w14:textId="77777777" w:rsidR="009B3BE2" w:rsidRPr="001D704A" w:rsidRDefault="009B3BE2" w:rsidP="00123EB1">
      <w:pPr>
        <w:numPr>
          <w:ilvl w:val="0"/>
          <w:numId w:val="36"/>
        </w:numPr>
        <w:ind w:right="-46"/>
        <w:rPr>
          <w:rFonts w:ascii="Times New Roman" w:eastAsia="Calibri" w:hAnsi="Times New Roman" w:cs="Times New Roman"/>
          <w:color w:val="000000" w:themeColor="text1"/>
          <w:sz w:val="24"/>
          <w:szCs w:val="24"/>
        </w:rPr>
      </w:pPr>
      <w:r w:rsidRPr="001D704A">
        <w:rPr>
          <w:rFonts w:ascii="Times New Roman" w:eastAsia="Calibri" w:hAnsi="Times New Roman" w:cs="Times New Roman"/>
          <w:color w:val="000000" w:themeColor="text1"/>
          <w:sz w:val="24"/>
          <w:szCs w:val="24"/>
        </w:rPr>
        <w:t xml:space="preserve">the right to enjoy culture – Articles 18 and 27 of the </w:t>
      </w:r>
      <w:r w:rsidRPr="001D704A">
        <w:rPr>
          <w:rFonts w:ascii="Times New Roman" w:eastAsia="Calibri" w:hAnsi="Times New Roman" w:cs="Times New Roman"/>
          <w:i/>
          <w:iCs/>
          <w:color w:val="000000" w:themeColor="text1"/>
          <w:sz w:val="24"/>
          <w:szCs w:val="24"/>
        </w:rPr>
        <w:t>International Covenant on Civil and Political Rights</w:t>
      </w:r>
      <w:r w:rsidRPr="001D704A">
        <w:rPr>
          <w:rFonts w:ascii="Times New Roman" w:eastAsia="Calibri" w:hAnsi="Times New Roman" w:cs="Times New Roman"/>
          <w:color w:val="000000" w:themeColor="text1"/>
          <w:sz w:val="24"/>
          <w:szCs w:val="24"/>
        </w:rPr>
        <w:t xml:space="preserve"> (ICCPR), read with Article 2;</w:t>
      </w:r>
    </w:p>
    <w:p w14:paraId="44C07E26" w14:textId="39940250" w:rsidR="009B3BE2" w:rsidRPr="001D704A" w:rsidRDefault="009B3BE2" w:rsidP="00123EB1">
      <w:pPr>
        <w:numPr>
          <w:ilvl w:val="0"/>
          <w:numId w:val="36"/>
        </w:numPr>
        <w:ind w:right="-46"/>
        <w:rPr>
          <w:rFonts w:ascii="Times New Roman" w:eastAsia="Calibri" w:hAnsi="Times New Roman" w:cs="Times New Roman"/>
          <w:color w:val="000000" w:themeColor="text1"/>
          <w:sz w:val="24"/>
          <w:szCs w:val="24"/>
        </w:rPr>
      </w:pPr>
      <w:r w:rsidRPr="001D704A">
        <w:rPr>
          <w:rFonts w:ascii="Times New Roman" w:eastAsia="Calibri" w:hAnsi="Times New Roman" w:cs="Times New Roman"/>
          <w:color w:val="000000" w:themeColor="text1"/>
          <w:sz w:val="24"/>
          <w:szCs w:val="24"/>
        </w:rPr>
        <w:t xml:space="preserve">the right to equality and non-discrimination – Article 7 of the </w:t>
      </w:r>
      <w:r w:rsidRPr="001D704A">
        <w:rPr>
          <w:rFonts w:ascii="Times New Roman" w:eastAsia="Calibri" w:hAnsi="Times New Roman" w:cs="Times New Roman"/>
          <w:i/>
          <w:iCs/>
          <w:color w:val="000000" w:themeColor="text1"/>
          <w:sz w:val="24"/>
          <w:szCs w:val="24"/>
        </w:rPr>
        <w:t>International Convention on the Elimination of All Forms of Racial Discrimination</w:t>
      </w:r>
      <w:r w:rsidRPr="001D704A">
        <w:rPr>
          <w:rFonts w:ascii="Times New Roman" w:eastAsia="Calibri" w:hAnsi="Times New Roman" w:cs="Times New Roman"/>
          <w:color w:val="000000" w:themeColor="text1"/>
          <w:sz w:val="24"/>
          <w:szCs w:val="24"/>
        </w:rPr>
        <w:t xml:space="preserve"> (ICERD)</w:t>
      </w:r>
      <w:r w:rsidR="002C5277" w:rsidRPr="001D704A">
        <w:rPr>
          <w:rFonts w:ascii="Times New Roman" w:eastAsia="Calibri" w:hAnsi="Times New Roman" w:cs="Times New Roman"/>
          <w:color w:val="000000" w:themeColor="text1"/>
          <w:sz w:val="24"/>
          <w:szCs w:val="24"/>
        </w:rPr>
        <w:t>, read with Article 2</w:t>
      </w:r>
      <w:r w:rsidRPr="001D704A">
        <w:rPr>
          <w:rFonts w:ascii="Times New Roman" w:eastAsia="Calibri" w:hAnsi="Times New Roman" w:cs="Times New Roman"/>
          <w:color w:val="000000" w:themeColor="text1"/>
          <w:sz w:val="24"/>
          <w:szCs w:val="24"/>
        </w:rPr>
        <w:t>; and</w:t>
      </w:r>
    </w:p>
    <w:p w14:paraId="27B45564" w14:textId="2EBF3103" w:rsidR="009B3BE2" w:rsidRPr="001D704A" w:rsidRDefault="009B3BE2" w:rsidP="00123EB1">
      <w:pPr>
        <w:numPr>
          <w:ilvl w:val="0"/>
          <w:numId w:val="36"/>
        </w:numPr>
        <w:ind w:right="-46"/>
        <w:rPr>
          <w:rFonts w:ascii="Times New Roman" w:eastAsia="Calibri" w:hAnsi="Times New Roman" w:cs="Times New Roman"/>
          <w:color w:val="000000" w:themeColor="text1"/>
          <w:sz w:val="24"/>
          <w:szCs w:val="24"/>
        </w:rPr>
      </w:pPr>
      <w:r w:rsidRPr="001D704A">
        <w:rPr>
          <w:rFonts w:ascii="Times New Roman" w:eastAsia="Calibri" w:hAnsi="Times New Roman" w:cs="Times New Roman"/>
          <w:color w:val="000000" w:themeColor="text1"/>
          <w:sz w:val="24"/>
          <w:szCs w:val="24"/>
        </w:rPr>
        <w:t xml:space="preserve">the right to </w:t>
      </w:r>
      <w:r w:rsidR="00431275" w:rsidRPr="001D704A">
        <w:rPr>
          <w:rFonts w:ascii="Times New Roman" w:eastAsia="Calibri" w:hAnsi="Times New Roman" w:cs="Times New Roman"/>
          <w:color w:val="000000" w:themeColor="text1"/>
          <w:sz w:val="24"/>
          <w:szCs w:val="24"/>
        </w:rPr>
        <w:t>e</w:t>
      </w:r>
      <w:r w:rsidRPr="001D704A">
        <w:rPr>
          <w:rFonts w:ascii="Times New Roman" w:eastAsia="Calibri" w:hAnsi="Times New Roman" w:cs="Times New Roman"/>
          <w:color w:val="000000" w:themeColor="text1"/>
          <w:sz w:val="24"/>
          <w:szCs w:val="24"/>
        </w:rPr>
        <w:t xml:space="preserve">ducation – Article 29 of the CRC, read with Article </w:t>
      </w:r>
      <w:r w:rsidR="005858EA" w:rsidRPr="001D704A">
        <w:rPr>
          <w:rFonts w:ascii="Times New Roman" w:eastAsia="Calibri" w:hAnsi="Times New Roman" w:cs="Times New Roman"/>
          <w:color w:val="000000" w:themeColor="text1"/>
          <w:sz w:val="24"/>
          <w:szCs w:val="24"/>
        </w:rPr>
        <w:t>4</w:t>
      </w:r>
      <w:r w:rsidRPr="001D704A">
        <w:rPr>
          <w:rFonts w:ascii="Times New Roman" w:eastAsia="Calibri" w:hAnsi="Times New Roman" w:cs="Times New Roman"/>
          <w:color w:val="000000" w:themeColor="text1"/>
          <w:sz w:val="24"/>
          <w:szCs w:val="24"/>
        </w:rPr>
        <w:t>.</w:t>
      </w:r>
    </w:p>
    <w:p w14:paraId="4C3CB226" w14:textId="77777777" w:rsidR="00B812C2" w:rsidRPr="001D704A" w:rsidRDefault="00B812C2" w:rsidP="00123EB1">
      <w:pPr>
        <w:ind w:right="-46"/>
        <w:rPr>
          <w:rFonts w:ascii="Times New Roman" w:hAnsi="Times New Roman" w:cs="Times New Roman"/>
          <w:color w:val="000000" w:themeColor="text1"/>
          <w:sz w:val="24"/>
          <w:szCs w:val="24"/>
        </w:rPr>
      </w:pPr>
    </w:p>
    <w:p w14:paraId="4F8B26F5" w14:textId="77777777" w:rsidR="007544E1" w:rsidRPr="001D704A" w:rsidRDefault="007544E1" w:rsidP="00123EB1">
      <w:pPr>
        <w:ind w:right="-46"/>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 xml:space="preserve">Right to </w:t>
      </w:r>
      <w:r w:rsidR="009B3BE2" w:rsidRPr="001D704A">
        <w:rPr>
          <w:rFonts w:ascii="Times New Roman" w:hAnsi="Times New Roman" w:cs="Times New Roman"/>
          <w:i/>
          <w:iCs/>
          <w:color w:val="000000" w:themeColor="text1"/>
          <w:sz w:val="24"/>
          <w:szCs w:val="24"/>
          <w:u w:val="single"/>
        </w:rPr>
        <w:t>enjoy culture</w:t>
      </w:r>
    </w:p>
    <w:p w14:paraId="286265F6" w14:textId="77777777" w:rsidR="007544E1" w:rsidRPr="001D704A" w:rsidRDefault="007544E1" w:rsidP="00123EB1">
      <w:pPr>
        <w:ind w:right="-46"/>
        <w:rPr>
          <w:rFonts w:ascii="Times New Roman" w:hAnsi="Times New Roman" w:cs="Times New Roman"/>
          <w:color w:val="000000" w:themeColor="text1"/>
          <w:sz w:val="24"/>
          <w:szCs w:val="24"/>
        </w:rPr>
      </w:pPr>
    </w:p>
    <w:p w14:paraId="7F8B9914" w14:textId="67AFF0AE" w:rsidR="009B3BE2" w:rsidRPr="001D704A" w:rsidRDefault="009B3BE2"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2 of the ICCPR requires </w:t>
      </w:r>
      <w:r w:rsidR="00431275" w:rsidRPr="001D704A">
        <w:rPr>
          <w:rFonts w:ascii="Times New Roman" w:hAnsi="Times New Roman" w:cs="Times New Roman"/>
          <w:color w:val="000000" w:themeColor="text1"/>
          <w:sz w:val="24"/>
          <w:szCs w:val="24"/>
        </w:rPr>
        <w:t xml:space="preserve">the </w:t>
      </w:r>
      <w:r w:rsidRPr="001D704A">
        <w:rPr>
          <w:rFonts w:ascii="Times New Roman" w:hAnsi="Times New Roman" w:cs="Times New Roman"/>
          <w:color w:val="000000" w:themeColor="text1"/>
          <w:sz w:val="24"/>
          <w:szCs w:val="24"/>
        </w:rPr>
        <w:t>State</w:t>
      </w:r>
      <w:r w:rsidR="00431275" w:rsidRPr="001D704A">
        <w:rPr>
          <w:rFonts w:ascii="Times New Roman" w:hAnsi="Times New Roman" w:cs="Times New Roman"/>
          <w:color w:val="000000" w:themeColor="text1"/>
          <w:sz w:val="24"/>
          <w:szCs w:val="24"/>
        </w:rPr>
        <w:t>s</w:t>
      </w:r>
      <w:r w:rsidRPr="001D704A">
        <w:rPr>
          <w:rFonts w:ascii="Times New Roman" w:hAnsi="Times New Roman" w:cs="Times New Roman"/>
          <w:color w:val="000000" w:themeColor="text1"/>
          <w:sz w:val="24"/>
          <w:szCs w:val="24"/>
        </w:rPr>
        <w:t xml:space="preserve"> Parties ‘to adopt such legislative or other measures as may be necessary to give effect to the rights recognized in the present Covenant’.</w:t>
      </w:r>
    </w:p>
    <w:p w14:paraId="297C9119" w14:textId="77777777" w:rsidR="009B3BE2" w:rsidRPr="001D704A" w:rsidRDefault="009B3BE2" w:rsidP="00123EB1">
      <w:pPr>
        <w:ind w:right="-46"/>
        <w:rPr>
          <w:rFonts w:ascii="Times New Roman" w:hAnsi="Times New Roman" w:cs="Times New Roman"/>
          <w:color w:val="000000" w:themeColor="text1"/>
          <w:sz w:val="24"/>
          <w:szCs w:val="24"/>
        </w:rPr>
      </w:pPr>
    </w:p>
    <w:p w14:paraId="68E1C29E" w14:textId="77777777" w:rsidR="00431275" w:rsidRPr="001D704A" w:rsidRDefault="00431275" w:rsidP="00123EB1">
      <w:pPr>
        <w:rPr>
          <w:rFonts w:ascii="Times New Roman" w:hAnsi="Times New Roman" w:cs="Times New Roman"/>
          <w:sz w:val="24"/>
          <w:szCs w:val="24"/>
        </w:rPr>
      </w:pPr>
      <w:r w:rsidRPr="001D704A">
        <w:rPr>
          <w:rFonts w:ascii="Times New Roman" w:hAnsi="Times New Roman" w:cs="Times New Roman"/>
          <w:sz w:val="24"/>
          <w:szCs w:val="24"/>
        </w:rPr>
        <w:t>Article 18(1) of the ICCPR provides that ‘[e]veryone shall have the right to freedom of thought, conscience and religion. This right shall include freedom to have or adopt a religion or belief of his choice, and freedom, either individually or in community with others in public or private, to manifest his religion or belief in worship, observance, practice and teaching.’</w:t>
      </w:r>
    </w:p>
    <w:p w14:paraId="25EA5335" w14:textId="77777777" w:rsidR="00431275" w:rsidRPr="001D704A" w:rsidRDefault="00431275" w:rsidP="00123EB1">
      <w:pPr>
        <w:ind w:right="-46"/>
        <w:rPr>
          <w:rFonts w:ascii="Times New Roman" w:hAnsi="Times New Roman" w:cs="Times New Roman"/>
          <w:color w:val="000000" w:themeColor="text1"/>
          <w:sz w:val="24"/>
          <w:szCs w:val="24"/>
        </w:rPr>
      </w:pPr>
    </w:p>
    <w:p w14:paraId="2AD7373D" w14:textId="16932475" w:rsidR="009B3BE2" w:rsidRPr="001D704A" w:rsidRDefault="009B3BE2"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27 of the ICCPR provides that ‘minorities shall not be denied the right, in community with the other members of their group, to enjoy their own culture, to profess and practise their own religion, or to use their own language’. </w:t>
      </w:r>
    </w:p>
    <w:p w14:paraId="1D6ED9C2" w14:textId="77777777" w:rsidR="009B3BE2" w:rsidRPr="001D704A" w:rsidRDefault="009B3BE2" w:rsidP="00123EB1">
      <w:pPr>
        <w:ind w:right="-46"/>
        <w:rPr>
          <w:rFonts w:ascii="Times New Roman" w:hAnsi="Times New Roman" w:cs="Times New Roman"/>
          <w:color w:val="000000" w:themeColor="text1"/>
          <w:sz w:val="24"/>
          <w:szCs w:val="24"/>
        </w:rPr>
      </w:pPr>
    </w:p>
    <w:p w14:paraId="40A49C9A" w14:textId="48C9D523" w:rsidR="009B3BE2" w:rsidRPr="001D704A" w:rsidRDefault="00431275"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S</w:t>
      </w:r>
      <w:r w:rsidR="009B3BE2" w:rsidRPr="001D704A">
        <w:rPr>
          <w:rFonts w:ascii="Times New Roman" w:hAnsi="Times New Roman" w:cs="Times New Roman"/>
          <w:color w:val="000000" w:themeColor="text1"/>
          <w:sz w:val="24"/>
          <w:szCs w:val="24"/>
        </w:rPr>
        <w:t xml:space="preserve">ignificant parts of the program are directed toward activities that promote understanding and respect for cultures and cultural practices as well as religions and religious practices. </w:t>
      </w:r>
      <w:r w:rsidRPr="001D704A">
        <w:rPr>
          <w:rFonts w:ascii="Times New Roman" w:hAnsi="Times New Roman" w:cs="Times New Roman"/>
          <w:color w:val="000000" w:themeColor="text1"/>
          <w:sz w:val="24"/>
          <w:szCs w:val="24"/>
        </w:rPr>
        <w:t>An i</w:t>
      </w:r>
      <w:r w:rsidR="009B3BE2" w:rsidRPr="001D704A">
        <w:rPr>
          <w:rFonts w:ascii="Times New Roman" w:hAnsi="Times New Roman" w:cs="Times New Roman"/>
          <w:color w:val="000000" w:themeColor="text1"/>
          <w:sz w:val="24"/>
          <w:szCs w:val="24"/>
        </w:rPr>
        <w:t>ncrease in understanding, acceptance and tolerance will foster an inclusive society in which individuals are comfortable to exercise the right</w:t>
      </w:r>
      <w:r w:rsidRPr="001D704A">
        <w:rPr>
          <w:rFonts w:ascii="Times New Roman" w:hAnsi="Times New Roman" w:cs="Times New Roman"/>
          <w:color w:val="000000" w:themeColor="text1"/>
          <w:sz w:val="24"/>
          <w:szCs w:val="24"/>
        </w:rPr>
        <w:t xml:space="preserve"> to enjoy their culture</w:t>
      </w:r>
      <w:r w:rsidR="009B3BE2" w:rsidRPr="001D704A">
        <w:rPr>
          <w:rFonts w:ascii="Times New Roman" w:hAnsi="Times New Roman" w:cs="Times New Roman"/>
          <w:color w:val="000000" w:themeColor="text1"/>
          <w:sz w:val="24"/>
          <w:szCs w:val="24"/>
        </w:rPr>
        <w:t>.</w:t>
      </w:r>
    </w:p>
    <w:p w14:paraId="48DAC294" w14:textId="77777777" w:rsidR="00431275" w:rsidRPr="001D704A" w:rsidRDefault="00431275" w:rsidP="00123EB1">
      <w:pPr>
        <w:ind w:right="-46"/>
        <w:rPr>
          <w:rFonts w:ascii="Times New Roman" w:hAnsi="Times New Roman" w:cs="Times New Roman"/>
          <w:color w:val="000000" w:themeColor="text1"/>
          <w:sz w:val="24"/>
          <w:szCs w:val="24"/>
        </w:rPr>
      </w:pPr>
    </w:p>
    <w:p w14:paraId="06189179" w14:textId="77777777" w:rsidR="00C82E4E" w:rsidRPr="001D704A" w:rsidRDefault="00C82E4E" w:rsidP="00123EB1">
      <w:pPr>
        <w:ind w:right="-46"/>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Right to equality and non-discrimination</w:t>
      </w:r>
    </w:p>
    <w:p w14:paraId="7791740B" w14:textId="77777777" w:rsidR="00C82E4E" w:rsidRPr="001D704A" w:rsidRDefault="00C82E4E" w:rsidP="00123EB1">
      <w:pPr>
        <w:ind w:right="-46"/>
        <w:rPr>
          <w:rFonts w:ascii="Times New Roman" w:hAnsi="Times New Roman" w:cs="Times New Roman"/>
          <w:color w:val="000000" w:themeColor="text1"/>
          <w:sz w:val="24"/>
          <w:szCs w:val="24"/>
        </w:rPr>
      </w:pPr>
    </w:p>
    <w:p w14:paraId="16321895" w14:textId="3CEE7195" w:rsidR="00C82E4E" w:rsidRPr="001D704A" w:rsidRDefault="00C82E4E"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 of the ICERD requires State</w:t>
      </w:r>
      <w:r w:rsidR="002C5277" w:rsidRPr="001D704A">
        <w:rPr>
          <w:rFonts w:ascii="Times New Roman" w:hAnsi="Times New Roman" w:cs="Times New Roman"/>
          <w:color w:val="000000" w:themeColor="text1"/>
          <w:sz w:val="24"/>
          <w:szCs w:val="24"/>
        </w:rPr>
        <w:t>s</w:t>
      </w:r>
      <w:r w:rsidRPr="001D704A">
        <w:rPr>
          <w:rFonts w:ascii="Times New Roman" w:hAnsi="Times New Roman" w:cs="Times New Roman"/>
          <w:color w:val="000000" w:themeColor="text1"/>
          <w:sz w:val="24"/>
          <w:szCs w:val="24"/>
        </w:rPr>
        <w:t xml:space="preserve"> Parties to condemn racial discrimination and undertake ‘to pursue by all appropriate means … a policy of eliminating racial discrimination in all its forms and promoting understanding among all races’. </w:t>
      </w:r>
    </w:p>
    <w:p w14:paraId="1AE5C168" w14:textId="77777777" w:rsidR="00C82E4E" w:rsidRPr="001D704A" w:rsidRDefault="00C82E4E" w:rsidP="00123EB1">
      <w:pPr>
        <w:ind w:right="-46"/>
        <w:rPr>
          <w:rFonts w:ascii="Times New Roman" w:hAnsi="Times New Roman" w:cs="Times New Roman"/>
          <w:color w:val="000000" w:themeColor="text1"/>
          <w:sz w:val="24"/>
          <w:szCs w:val="24"/>
        </w:rPr>
      </w:pPr>
    </w:p>
    <w:p w14:paraId="7B396BE0" w14:textId="79777586" w:rsidR="00C82E4E" w:rsidRPr="001D704A" w:rsidRDefault="00C82E4E"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7 requires State</w:t>
      </w:r>
      <w:r w:rsidR="002C5277" w:rsidRPr="001D704A">
        <w:rPr>
          <w:rFonts w:ascii="Times New Roman" w:hAnsi="Times New Roman" w:cs="Times New Roman"/>
          <w:color w:val="000000" w:themeColor="text1"/>
          <w:sz w:val="24"/>
          <w:szCs w:val="24"/>
        </w:rPr>
        <w:t>s</w:t>
      </w:r>
      <w:r w:rsidRPr="001D704A">
        <w:rPr>
          <w:rFonts w:ascii="Times New Roman" w:hAnsi="Times New Roman" w:cs="Times New Roman"/>
          <w:color w:val="000000" w:themeColor="text1"/>
          <w:sz w:val="24"/>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w:t>
      </w:r>
    </w:p>
    <w:p w14:paraId="64EC59F2" w14:textId="77777777" w:rsidR="00C82E4E" w:rsidRPr="001D704A" w:rsidRDefault="00C82E4E" w:rsidP="00123EB1">
      <w:pPr>
        <w:ind w:right="-46"/>
        <w:rPr>
          <w:rFonts w:ascii="Times New Roman" w:hAnsi="Times New Roman" w:cs="Times New Roman"/>
          <w:color w:val="000000" w:themeColor="text1"/>
          <w:sz w:val="24"/>
          <w:szCs w:val="24"/>
        </w:rPr>
      </w:pPr>
    </w:p>
    <w:p w14:paraId="5A439691" w14:textId="5EA4A18B" w:rsidR="00C82E4E" w:rsidRPr="001D704A" w:rsidRDefault="00AA5F9C"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 p</w:t>
      </w:r>
      <w:r w:rsidR="00C82E4E" w:rsidRPr="001D704A">
        <w:rPr>
          <w:rFonts w:ascii="Times New Roman" w:hAnsi="Times New Roman" w:cs="Times New Roman"/>
          <w:color w:val="000000" w:themeColor="text1"/>
          <w:sz w:val="24"/>
          <w:szCs w:val="24"/>
        </w:rPr>
        <w:t>rogram incorporat</w:t>
      </w:r>
      <w:r w:rsidR="002C5277" w:rsidRPr="001D704A">
        <w:rPr>
          <w:rFonts w:ascii="Times New Roman" w:hAnsi="Times New Roman" w:cs="Times New Roman"/>
          <w:color w:val="000000" w:themeColor="text1"/>
          <w:sz w:val="24"/>
          <w:szCs w:val="24"/>
        </w:rPr>
        <w:t>es</w:t>
      </w:r>
      <w:r w:rsidR="00C82E4E" w:rsidRPr="001D704A">
        <w:rPr>
          <w:rFonts w:ascii="Times New Roman" w:hAnsi="Times New Roman" w:cs="Times New Roman"/>
          <w:color w:val="000000" w:themeColor="text1"/>
          <w:sz w:val="24"/>
          <w:szCs w:val="24"/>
        </w:rPr>
        <w:t xml:space="preserve"> a number of activities to promote religious tolerance and acceptance through education and partnership activities. </w:t>
      </w:r>
    </w:p>
    <w:p w14:paraId="6DF429F7" w14:textId="77777777" w:rsidR="007544E1" w:rsidRPr="001D704A" w:rsidRDefault="007544E1" w:rsidP="00123EB1">
      <w:pPr>
        <w:ind w:right="-46"/>
        <w:rPr>
          <w:rFonts w:ascii="Times New Roman" w:hAnsi="Times New Roman" w:cs="Times New Roman"/>
          <w:color w:val="000000" w:themeColor="text1"/>
          <w:sz w:val="24"/>
          <w:szCs w:val="24"/>
        </w:rPr>
      </w:pPr>
    </w:p>
    <w:p w14:paraId="4AFADB25" w14:textId="77777777" w:rsidR="00C82E4E" w:rsidRPr="001D704A" w:rsidRDefault="00C82E4E" w:rsidP="00123EB1">
      <w:pPr>
        <w:ind w:right="-46"/>
        <w:rPr>
          <w:rFonts w:ascii="Times New Roman" w:hAnsi="Times New Roman" w:cs="Times New Roman"/>
          <w:i/>
          <w:iCs/>
          <w:color w:val="000000" w:themeColor="text1"/>
          <w:sz w:val="24"/>
          <w:szCs w:val="24"/>
          <w:u w:val="single"/>
        </w:rPr>
      </w:pPr>
      <w:r w:rsidRPr="001D704A">
        <w:rPr>
          <w:rFonts w:ascii="Times New Roman" w:hAnsi="Times New Roman" w:cs="Times New Roman"/>
          <w:i/>
          <w:iCs/>
          <w:color w:val="000000" w:themeColor="text1"/>
          <w:sz w:val="24"/>
          <w:szCs w:val="24"/>
          <w:u w:val="single"/>
        </w:rPr>
        <w:t>Right to education</w:t>
      </w:r>
    </w:p>
    <w:p w14:paraId="14B6025F" w14:textId="77777777" w:rsidR="00C82E4E" w:rsidRPr="001D704A" w:rsidRDefault="00C82E4E" w:rsidP="00123EB1">
      <w:pPr>
        <w:ind w:right="-46"/>
        <w:rPr>
          <w:rFonts w:ascii="Times New Roman" w:hAnsi="Times New Roman" w:cs="Times New Roman"/>
          <w:i/>
          <w:iCs/>
          <w:color w:val="000000" w:themeColor="text1"/>
          <w:sz w:val="24"/>
          <w:szCs w:val="24"/>
          <w:u w:val="single"/>
        </w:rPr>
      </w:pPr>
    </w:p>
    <w:p w14:paraId="07F62721" w14:textId="7DB687D8" w:rsidR="00C82E4E" w:rsidRPr="001D704A" w:rsidRDefault="00C82E4E"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4 of the CRC requires State</w:t>
      </w:r>
      <w:r w:rsidR="002C5277" w:rsidRPr="001D704A">
        <w:rPr>
          <w:rFonts w:ascii="Times New Roman" w:hAnsi="Times New Roman" w:cs="Times New Roman"/>
          <w:color w:val="000000" w:themeColor="text1"/>
          <w:sz w:val="24"/>
          <w:szCs w:val="24"/>
        </w:rPr>
        <w:t>s</w:t>
      </w:r>
      <w:r w:rsidRPr="001D704A">
        <w:rPr>
          <w:rFonts w:ascii="Times New Roman" w:hAnsi="Times New Roman" w:cs="Times New Roman"/>
          <w:color w:val="000000" w:themeColor="text1"/>
          <w:sz w:val="24"/>
          <w:szCs w:val="24"/>
        </w:rPr>
        <w:t xml:space="preserve"> Parties to undertake all appropriate legislative, administrative, and other measures for the implementation of the rights recognised in the CRC. </w:t>
      </w:r>
    </w:p>
    <w:p w14:paraId="0947DEDB" w14:textId="77777777" w:rsidR="00C82E4E" w:rsidRPr="001D704A" w:rsidRDefault="00C82E4E" w:rsidP="00123EB1">
      <w:pPr>
        <w:ind w:right="-46"/>
        <w:rPr>
          <w:rFonts w:ascii="Times New Roman" w:hAnsi="Times New Roman" w:cs="Times New Roman"/>
          <w:color w:val="000000" w:themeColor="text1"/>
          <w:sz w:val="24"/>
          <w:szCs w:val="24"/>
        </w:rPr>
      </w:pPr>
    </w:p>
    <w:p w14:paraId="253D1E13" w14:textId="1E6CCE57" w:rsidR="00C82E4E" w:rsidRPr="001D704A" w:rsidRDefault="00C82E4E"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Article 29 of </w:t>
      </w:r>
      <w:r w:rsidR="008357DA" w:rsidRPr="001D704A">
        <w:rPr>
          <w:rFonts w:ascii="Times New Roman" w:hAnsi="Times New Roman" w:cs="Times New Roman"/>
          <w:color w:val="000000" w:themeColor="text1"/>
          <w:sz w:val="24"/>
          <w:szCs w:val="24"/>
        </w:rPr>
        <w:t xml:space="preserve">the </w:t>
      </w:r>
      <w:r w:rsidRPr="001D704A">
        <w:rPr>
          <w:rFonts w:ascii="Times New Roman" w:hAnsi="Times New Roman" w:cs="Times New Roman"/>
          <w:color w:val="000000" w:themeColor="text1"/>
          <w:sz w:val="24"/>
          <w:szCs w:val="24"/>
        </w:rPr>
        <w:t>CRC is concerned with the right to education. Article 29(1)(c) relevantly includes an obligation to direct education to the development of respect for the child</w:t>
      </w:r>
      <w:r w:rsidR="002C5277" w:rsidRPr="001D704A">
        <w:rPr>
          <w:rFonts w:ascii="Times New Roman" w:hAnsi="Times New Roman" w:cs="Times New Roman"/>
          <w:color w:val="000000" w:themeColor="text1"/>
          <w:sz w:val="24"/>
          <w:szCs w:val="24"/>
        </w:rPr>
        <w:t>’</w:t>
      </w:r>
      <w:r w:rsidRPr="001D704A">
        <w:rPr>
          <w:rFonts w:ascii="Times New Roman" w:hAnsi="Times New Roman" w:cs="Times New Roman"/>
          <w:color w:val="000000" w:themeColor="text1"/>
          <w:sz w:val="24"/>
          <w:szCs w:val="24"/>
        </w:rPr>
        <w:t>s …  cultural identity, language and values, for the national values of the country in which the child is living, the country from which he or she may originate, and for civili</w:t>
      </w:r>
      <w:r w:rsidR="002C5277" w:rsidRPr="001D704A">
        <w:rPr>
          <w:rFonts w:ascii="Times New Roman" w:hAnsi="Times New Roman" w:cs="Times New Roman"/>
          <w:color w:val="000000" w:themeColor="text1"/>
          <w:sz w:val="24"/>
          <w:szCs w:val="24"/>
        </w:rPr>
        <w:t>s</w:t>
      </w:r>
      <w:r w:rsidRPr="001D704A">
        <w:rPr>
          <w:rFonts w:ascii="Times New Roman" w:hAnsi="Times New Roman" w:cs="Times New Roman"/>
          <w:color w:val="000000" w:themeColor="text1"/>
          <w:sz w:val="24"/>
          <w:szCs w:val="24"/>
        </w:rPr>
        <w:t>ations different from his or her own.</w:t>
      </w:r>
    </w:p>
    <w:p w14:paraId="34B78051" w14:textId="77777777" w:rsidR="00C82E4E" w:rsidRPr="001D704A" w:rsidRDefault="00C82E4E" w:rsidP="00123EB1">
      <w:pPr>
        <w:ind w:right="-46"/>
        <w:rPr>
          <w:rFonts w:ascii="Times New Roman" w:hAnsi="Times New Roman" w:cs="Times New Roman"/>
          <w:color w:val="000000" w:themeColor="text1"/>
          <w:sz w:val="24"/>
          <w:szCs w:val="24"/>
        </w:rPr>
      </w:pPr>
    </w:p>
    <w:p w14:paraId="7EC26CDA" w14:textId="4B3D66CF" w:rsidR="00C82E4E" w:rsidRPr="001D704A" w:rsidRDefault="00C82E4E" w:rsidP="00123EB1">
      <w:pPr>
        <w:ind w:right="-46"/>
        <w:rPr>
          <w:rFonts w:ascii="Times New Roman" w:hAnsi="Times New Roman" w:cs="Times New Roman"/>
          <w:bCs/>
          <w:color w:val="000000" w:themeColor="text1"/>
          <w:sz w:val="24"/>
          <w:szCs w:val="24"/>
        </w:rPr>
      </w:pPr>
      <w:r w:rsidRPr="001D704A">
        <w:rPr>
          <w:rFonts w:ascii="Times New Roman" w:hAnsi="Times New Roman" w:cs="Times New Roman"/>
          <w:bCs/>
          <w:color w:val="000000" w:themeColor="text1"/>
          <w:sz w:val="24"/>
          <w:szCs w:val="24"/>
        </w:rPr>
        <w:t>The program focuses on educating and promoting tolerance and acceptance of different cultural and religious practice amongst school students.</w:t>
      </w:r>
    </w:p>
    <w:p w14:paraId="03D6E7B4" w14:textId="77777777" w:rsidR="00C82E4E" w:rsidRPr="001D704A" w:rsidRDefault="00C82E4E" w:rsidP="00123EB1">
      <w:pPr>
        <w:ind w:right="-46"/>
        <w:rPr>
          <w:rFonts w:ascii="Times New Roman" w:hAnsi="Times New Roman" w:cs="Times New Roman"/>
          <w:color w:val="000000" w:themeColor="text1"/>
          <w:sz w:val="24"/>
          <w:szCs w:val="24"/>
        </w:rPr>
      </w:pPr>
    </w:p>
    <w:p w14:paraId="66838548" w14:textId="77777777" w:rsidR="00B812C2" w:rsidRPr="001D704A" w:rsidRDefault="00B812C2"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5E9D1164" w14:textId="77777777" w:rsidR="00B812C2" w:rsidRPr="001D704A" w:rsidRDefault="00B812C2" w:rsidP="00123EB1">
      <w:pPr>
        <w:ind w:right="-46"/>
        <w:rPr>
          <w:rFonts w:ascii="Times New Roman" w:hAnsi="Times New Roman" w:cs="Times New Roman"/>
          <w:color w:val="000000" w:themeColor="text1"/>
          <w:sz w:val="24"/>
          <w:szCs w:val="24"/>
        </w:rPr>
      </w:pPr>
    </w:p>
    <w:p w14:paraId="4AB11B4B" w14:textId="2D10D4D7" w:rsidR="00B812C2" w:rsidRPr="001D704A" w:rsidRDefault="00B812C2"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FB69AA" w:rsidRPr="001D704A">
        <w:rPr>
          <w:rFonts w:ascii="Times New Roman" w:hAnsi="Times New Roman" w:cs="Times New Roman"/>
          <w:color w:val="000000" w:themeColor="text1"/>
          <w:sz w:val="24"/>
          <w:szCs w:val="24"/>
        </w:rPr>
        <w:t>54</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12CCF96F" w14:textId="77777777" w:rsidR="00F01257" w:rsidRPr="001D704A" w:rsidRDefault="00F01257" w:rsidP="00123EB1">
      <w:pPr>
        <w:ind w:right="-46"/>
        <w:rPr>
          <w:rFonts w:ascii="Times New Roman" w:hAnsi="Times New Roman" w:cs="Times New Roman"/>
          <w:color w:val="000000" w:themeColor="text1"/>
          <w:sz w:val="24"/>
          <w:szCs w:val="24"/>
        </w:rPr>
      </w:pPr>
    </w:p>
    <w:p w14:paraId="13AE7204" w14:textId="77777777" w:rsidR="00411489" w:rsidRPr="001D704A" w:rsidRDefault="00411489"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Table item 222 – Explicit Instruction Teaching Program</w:t>
      </w:r>
    </w:p>
    <w:p w14:paraId="2658BBF3" w14:textId="77777777" w:rsidR="00411489" w:rsidRPr="001D704A" w:rsidRDefault="00411489" w:rsidP="00123EB1">
      <w:pPr>
        <w:ind w:right="-46"/>
        <w:rPr>
          <w:rFonts w:ascii="Times New Roman" w:hAnsi="Times New Roman" w:cs="Times New Roman"/>
          <w:i/>
          <w:color w:val="000000" w:themeColor="text1"/>
          <w:sz w:val="24"/>
          <w:szCs w:val="24"/>
          <w:u w:val="single"/>
        </w:rPr>
      </w:pPr>
    </w:p>
    <w:p w14:paraId="352F3178" w14:textId="2C81CFB0"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222 establishes legislative authority for government spending on the </w:t>
      </w:r>
      <w:r w:rsidR="00147A42" w:rsidRPr="001D704A">
        <w:rPr>
          <w:rFonts w:ascii="Times New Roman" w:hAnsi="Times New Roman" w:cs="Times New Roman"/>
          <w:color w:val="000000" w:themeColor="text1"/>
          <w:sz w:val="24"/>
          <w:szCs w:val="24"/>
        </w:rPr>
        <w:t>Explicit Instruction Teaching Program</w:t>
      </w:r>
      <w:r w:rsidRPr="001D704A">
        <w:rPr>
          <w:rFonts w:ascii="Times New Roman" w:hAnsi="Times New Roman" w:cs="Times New Roman"/>
          <w:color w:val="000000" w:themeColor="text1"/>
          <w:sz w:val="24"/>
          <w:szCs w:val="24"/>
        </w:rPr>
        <w:t>, which funds training for teachers at remote primary schools to enable them to adopt explicit instruction teaching methods in relation to literacy, numeracy and science to improve the skills and knowledge of students in remote locations, particularly Aboriginal and Torres Strait Islander students.</w:t>
      </w:r>
    </w:p>
    <w:p w14:paraId="6E899A6A" w14:textId="77777777" w:rsidR="00411489" w:rsidRPr="001D704A" w:rsidRDefault="00411489" w:rsidP="00123EB1">
      <w:pPr>
        <w:rPr>
          <w:rFonts w:ascii="Times New Roman" w:hAnsi="Times New Roman" w:cs="Times New Roman"/>
          <w:color w:val="000000" w:themeColor="text1"/>
          <w:sz w:val="24"/>
          <w:szCs w:val="24"/>
        </w:rPr>
      </w:pPr>
    </w:p>
    <w:p w14:paraId="2FF5BBD6"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The program received funding of $5.8 million over four years from 2020-21 as part of the Students Support Package in the 2020-21 Budget, to include numeracy and science in up to 10 remote and very remote schools. More recently, the Government has committed additional funding of $5 million over four years from 2021-22, as part of Closing the Gap initiatives, for the program to increase teacher pedagogical skills in literacy from 10 to 20 schools. </w:t>
      </w:r>
    </w:p>
    <w:p w14:paraId="0133C6CE" w14:textId="77777777" w:rsidR="00411489" w:rsidRPr="001D704A" w:rsidRDefault="00411489" w:rsidP="00123EB1">
      <w:pPr>
        <w:rPr>
          <w:rFonts w:ascii="Times New Roman" w:hAnsi="Times New Roman" w:cs="Times New Roman"/>
          <w:color w:val="000000" w:themeColor="text1"/>
          <w:sz w:val="24"/>
          <w:szCs w:val="24"/>
        </w:rPr>
      </w:pPr>
    </w:p>
    <w:p w14:paraId="3A5E79F2"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To facilitate this expansion, the participating schools will no longer be limited to remote and very remote locations but rather be selected on the basis of educational disadvantage, particularly targeting Aboriginal and Torres Strait Islander students. The amendments to table item 222 give effect to this expansion in focus and geography of the program, with an associated change to the program name. For clarity, the Explicit Instruction Teaching Program is a continuation of the Flexible Literacy Remote Primary Schools Program (albeit in an expanded form).</w:t>
      </w:r>
    </w:p>
    <w:p w14:paraId="5578F9BA" w14:textId="77777777" w:rsidR="00411489" w:rsidRPr="001D704A" w:rsidRDefault="00411489" w:rsidP="00123EB1">
      <w:pPr>
        <w:ind w:right="-46"/>
        <w:rPr>
          <w:rFonts w:ascii="Times New Roman" w:hAnsi="Times New Roman" w:cs="Times New Roman"/>
          <w:i/>
          <w:color w:val="000000" w:themeColor="text1"/>
          <w:sz w:val="24"/>
          <w:szCs w:val="24"/>
          <w:u w:val="single"/>
        </w:rPr>
      </w:pPr>
    </w:p>
    <w:p w14:paraId="1D113E72" w14:textId="77777777" w:rsidR="00411489" w:rsidRPr="001D704A" w:rsidRDefault="00411489"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39956824" w14:textId="77777777" w:rsidR="00411489" w:rsidRPr="001D704A" w:rsidRDefault="00411489" w:rsidP="00123EB1">
      <w:pPr>
        <w:ind w:right="-46"/>
        <w:rPr>
          <w:rFonts w:ascii="Times New Roman" w:hAnsi="Times New Roman" w:cs="Times New Roman"/>
          <w:color w:val="000000" w:themeColor="text1"/>
          <w:sz w:val="24"/>
          <w:szCs w:val="24"/>
        </w:rPr>
      </w:pPr>
    </w:p>
    <w:p w14:paraId="33C906EB" w14:textId="77777777" w:rsidR="00411489" w:rsidRPr="001D704A" w:rsidRDefault="00411489"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able item 222</w:t>
      </w:r>
      <w:r w:rsidRPr="001D704A">
        <w:rPr>
          <w:rFonts w:ascii="Times New Roman" w:eastAsia="Times New Roman" w:hAnsi="Times New Roman" w:cs="Times New Roman"/>
          <w:color w:val="000000"/>
          <w:sz w:val="24"/>
          <w:szCs w:val="24"/>
          <w:lang w:eastAsia="en-AU"/>
        </w:rPr>
        <w:t xml:space="preserve"> engages the following right:</w:t>
      </w:r>
    </w:p>
    <w:p w14:paraId="421B370B" w14:textId="41876EC2" w:rsidR="00411489" w:rsidRPr="001D704A" w:rsidRDefault="00411489"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right to education – Article 13 of the </w:t>
      </w:r>
      <w:r w:rsidR="00D80C98" w:rsidRPr="001D704A">
        <w:rPr>
          <w:rFonts w:ascii="Times New Roman" w:hAnsi="Times New Roman"/>
          <w:color w:val="000000" w:themeColor="text1"/>
          <w:sz w:val="24"/>
          <w:szCs w:val="24"/>
        </w:rPr>
        <w:t>ICESCR</w:t>
      </w:r>
      <w:r w:rsidRPr="001D704A">
        <w:rPr>
          <w:rFonts w:ascii="Times New Roman" w:hAnsi="Times New Roman"/>
          <w:color w:val="000000" w:themeColor="text1"/>
          <w:sz w:val="24"/>
          <w:szCs w:val="24"/>
        </w:rPr>
        <w:t>, read with Article 2, and Articles 28 and 29 of the CRC, read with Article 4.</w:t>
      </w:r>
    </w:p>
    <w:p w14:paraId="291B7A63" w14:textId="77777777" w:rsidR="00411489" w:rsidRPr="001D704A" w:rsidRDefault="00411489" w:rsidP="00123EB1">
      <w:pPr>
        <w:rPr>
          <w:rFonts w:ascii="Times New Roman" w:hAnsi="Times New Roman" w:cs="Times New Roman"/>
          <w:i/>
          <w:iCs/>
          <w:sz w:val="24"/>
          <w:szCs w:val="24"/>
        </w:rPr>
      </w:pPr>
    </w:p>
    <w:p w14:paraId="1E32F631" w14:textId="77777777" w:rsidR="00411489" w:rsidRPr="001D704A" w:rsidRDefault="00411489" w:rsidP="00123EB1">
      <w:pPr>
        <w:rPr>
          <w:rFonts w:ascii="Times New Roman" w:hAnsi="Times New Roman" w:cs="Times New Roman"/>
          <w:i/>
          <w:iCs/>
          <w:sz w:val="24"/>
          <w:szCs w:val="24"/>
          <w:u w:val="single"/>
        </w:rPr>
      </w:pPr>
      <w:r w:rsidRPr="001D704A">
        <w:rPr>
          <w:rFonts w:ascii="Times New Roman" w:hAnsi="Times New Roman" w:cs="Times New Roman"/>
          <w:i/>
          <w:iCs/>
          <w:sz w:val="24"/>
          <w:szCs w:val="24"/>
          <w:u w:val="single"/>
        </w:rPr>
        <w:t>Right to education</w:t>
      </w:r>
    </w:p>
    <w:p w14:paraId="241B818E" w14:textId="77777777" w:rsidR="00411489" w:rsidRPr="001D704A" w:rsidRDefault="00411489" w:rsidP="00123EB1">
      <w:pPr>
        <w:rPr>
          <w:rFonts w:ascii="Times New Roman" w:hAnsi="Times New Roman" w:cs="Times New Roman"/>
          <w:sz w:val="24"/>
          <w:szCs w:val="24"/>
        </w:rPr>
      </w:pPr>
    </w:p>
    <w:p w14:paraId="4E45F090" w14:textId="77777777" w:rsidR="00411489" w:rsidRPr="001D704A" w:rsidRDefault="00411489"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6C2AA531" w14:textId="77777777" w:rsidR="00411489" w:rsidRPr="001D704A" w:rsidRDefault="00411489" w:rsidP="00123EB1">
      <w:pPr>
        <w:rPr>
          <w:rFonts w:ascii="Times New Roman" w:hAnsi="Times New Roman" w:cs="Times New Roman"/>
          <w:sz w:val="24"/>
          <w:szCs w:val="24"/>
        </w:rPr>
      </w:pPr>
    </w:p>
    <w:p w14:paraId="3B1043AF" w14:textId="77777777" w:rsidR="00411489" w:rsidRPr="001D704A" w:rsidRDefault="00411489"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29(1)(a) of the CRC provides that States Parties agree that the education of the child shall be directed to ‘... [t]he development of the child’s personality, talents and mental and physical abilities to their fullest potential’.</w:t>
      </w:r>
    </w:p>
    <w:p w14:paraId="7A016637" w14:textId="77777777" w:rsidR="00411489" w:rsidRPr="001D704A" w:rsidRDefault="00411489" w:rsidP="00123EB1">
      <w:pPr>
        <w:rPr>
          <w:rFonts w:ascii="Times New Roman" w:hAnsi="Times New Roman" w:cs="Times New Roman"/>
          <w:sz w:val="24"/>
          <w:szCs w:val="24"/>
        </w:rPr>
      </w:pPr>
    </w:p>
    <w:p w14:paraId="22BB3D6D" w14:textId="77777777" w:rsidR="00411489" w:rsidRPr="001D704A" w:rsidRDefault="00411489" w:rsidP="00123EB1">
      <w:pPr>
        <w:rPr>
          <w:rFonts w:ascii="Times New Roman" w:hAnsi="Times New Roman" w:cs="Times New Roman"/>
          <w:sz w:val="24"/>
          <w:szCs w:val="24"/>
        </w:rPr>
      </w:pPr>
      <w:r w:rsidRPr="001D704A">
        <w:rPr>
          <w:rFonts w:ascii="Times New Roman" w:hAnsi="Times New Roman" w:cs="Times New Roman"/>
          <w:sz w:val="24"/>
          <w:szCs w:val="24"/>
        </w:rPr>
        <w:t>Article 2 of the ICESCR requires the States Parties to take steps to progressively achieve the full realisation of the rights recognised in the ICESCR by all appropriate means.</w:t>
      </w:r>
    </w:p>
    <w:p w14:paraId="04303261" w14:textId="77777777" w:rsidR="00411489" w:rsidRPr="001D704A" w:rsidRDefault="00411489" w:rsidP="00123EB1">
      <w:pPr>
        <w:rPr>
          <w:rFonts w:ascii="Times New Roman" w:hAnsi="Times New Roman" w:cs="Times New Roman"/>
          <w:sz w:val="24"/>
          <w:szCs w:val="24"/>
        </w:rPr>
      </w:pPr>
    </w:p>
    <w:p w14:paraId="4809540F" w14:textId="77777777" w:rsidR="00411489" w:rsidRPr="001D704A" w:rsidRDefault="00411489" w:rsidP="00123EB1">
      <w:pPr>
        <w:rPr>
          <w:rFonts w:ascii="Times New Roman" w:hAnsi="Times New Roman" w:cs="Times New Roman"/>
          <w:sz w:val="24"/>
          <w:szCs w:val="24"/>
        </w:rPr>
      </w:pPr>
      <w:r w:rsidRPr="001D704A">
        <w:rPr>
          <w:rFonts w:ascii="Times New Roman" w:hAnsi="Times New Roman" w:cs="Times New Roman"/>
          <w:sz w:val="24"/>
          <w:szCs w:val="24"/>
        </w:rPr>
        <w:t>Article 13(2)(a) of the ICESCR relates to the right of everyone to primary education that is compulsory and free.</w:t>
      </w:r>
    </w:p>
    <w:p w14:paraId="28EA8C5B" w14:textId="77777777" w:rsidR="00411489" w:rsidRPr="001D704A" w:rsidRDefault="00411489" w:rsidP="00123EB1">
      <w:pPr>
        <w:rPr>
          <w:rFonts w:ascii="Times New Roman" w:hAnsi="Times New Roman" w:cs="Times New Roman"/>
          <w:sz w:val="24"/>
          <w:szCs w:val="24"/>
        </w:rPr>
      </w:pPr>
    </w:p>
    <w:p w14:paraId="49174EC8" w14:textId="4A18371E" w:rsidR="00411489" w:rsidRPr="001D704A" w:rsidRDefault="00411489" w:rsidP="00123EB1">
      <w:pPr>
        <w:rPr>
          <w:rFonts w:ascii="Times New Roman" w:hAnsi="Times New Roman" w:cs="Times New Roman"/>
          <w:sz w:val="24"/>
          <w:szCs w:val="24"/>
        </w:rPr>
      </w:pPr>
      <w:r w:rsidRPr="001D704A">
        <w:rPr>
          <w:rFonts w:ascii="Times New Roman" w:hAnsi="Times New Roman" w:cs="Times New Roman"/>
          <w:sz w:val="24"/>
          <w:szCs w:val="24"/>
        </w:rPr>
        <w:t>Table item 222 supports the right to education</w:t>
      </w:r>
      <w:r w:rsidR="00D80C98" w:rsidRPr="001D704A">
        <w:rPr>
          <w:rFonts w:ascii="Times New Roman" w:hAnsi="Times New Roman" w:cs="Times New Roman"/>
          <w:sz w:val="24"/>
          <w:szCs w:val="24"/>
        </w:rPr>
        <w:t xml:space="preserve"> </w:t>
      </w:r>
      <w:r w:rsidRPr="001D704A">
        <w:rPr>
          <w:rFonts w:ascii="Times New Roman" w:hAnsi="Times New Roman" w:cs="Times New Roman"/>
          <w:sz w:val="24"/>
          <w:szCs w:val="24"/>
        </w:rPr>
        <w:t>as it is directed at a basic learning need of children (particularly Indigenous students) in primary schools in educationally disadvantaged areas by methods appropriate to those</w:t>
      </w:r>
      <w:r w:rsidRPr="001D704A">
        <w:rPr>
          <w:rFonts w:ascii="Times New Roman" w:hAnsi="Times New Roman" w:cs="Times New Roman"/>
          <w:spacing w:val="-13"/>
          <w:sz w:val="24"/>
          <w:szCs w:val="24"/>
        </w:rPr>
        <w:t xml:space="preserve"> </w:t>
      </w:r>
      <w:r w:rsidRPr="001D704A">
        <w:rPr>
          <w:rFonts w:ascii="Times New Roman" w:hAnsi="Times New Roman" w:cs="Times New Roman"/>
          <w:sz w:val="24"/>
          <w:szCs w:val="24"/>
        </w:rPr>
        <w:t>children. This table item is also directed at core educational activities that are central to the development of the talents and abilities of</w:t>
      </w:r>
      <w:r w:rsidRPr="001D704A">
        <w:rPr>
          <w:rFonts w:ascii="Times New Roman" w:hAnsi="Times New Roman" w:cs="Times New Roman"/>
          <w:spacing w:val="-3"/>
          <w:sz w:val="24"/>
          <w:szCs w:val="24"/>
        </w:rPr>
        <w:t xml:space="preserve"> </w:t>
      </w:r>
      <w:r w:rsidRPr="001D704A">
        <w:rPr>
          <w:rFonts w:ascii="Times New Roman" w:hAnsi="Times New Roman" w:cs="Times New Roman"/>
          <w:sz w:val="24"/>
          <w:szCs w:val="24"/>
        </w:rPr>
        <w:t>children.</w:t>
      </w:r>
    </w:p>
    <w:p w14:paraId="1E3632B0" w14:textId="77777777" w:rsidR="00411489" w:rsidRPr="001D704A" w:rsidRDefault="00411489" w:rsidP="00123EB1">
      <w:pPr>
        <w:ind w:right="-46"/>
        <w:rPr>
          <w:rFonts w:ascii="Times New Roman" w:eastAsia="Times New Roman" w:hAnsi="Times New Roman" w:cs="Times New Roman"/>
          <w:color w:val="000000"/>
          <w:sz w:val="24"/>
          <w:szCs w:val="24"/>
          <w:lang w:eastAsia="en-AU"/>
        </w:rPr>
      </w:pPr>
    </w:p>
    <w:p w14:paraId="20435039" w14:textId="77777777" w:rsidR="00411489" w:rsidRPr="001D704A" w:rsidRDefault="00411489"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51695CB8" w14:textId="77777777" w:rsidR="00411489" w:rsidRPr="001D704A" w:rsidRDefault="00411489" w:rsidP="00123EB1">
      <w:pPr>
        <w:ind w:right="-46"/>
        <w:rPr>
          <w:rFonts w:ascii="Times New Roman" w:hAnsi="Times New Roman" w:cs="Times New Roman"/>
          <w:color w:val="000000" w:themeColor="text1"/>
          <w:sz w:val="24"/>
          <w:szCs w:val="24"/>
        </w:rPr>
      </w:pPr>
    </w:p>
    <w:p w14:paraId="5216D9A8" w14:textId="218CA274" w:rsidR="00411489" w:rsidRPr="001D704A" w:rsidRDefault="00411489"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 222 is compatible with human rights because it promotes the protection of human rights.</w:t>
      </w:r>
    </w:p>
    <w:p w14:paraId="2B40F2B1" w14:textId="78D96FD2" w:rsidR="00380C94" w:rsidRPr="001D704A" w:rsidRDefault="00380C94" w:rsidP="00123EB1">
      <w:pPr>
        <w:ind w:right="-46"/>
        <w:rPr>
          <w:rFonts w:ascii="Times New Roman" w:hAnsi="Times New Roman" w:cs="Times New Roman"/>
          <w:color w:val="000000" w:themeColor="text1"/>
          <w:sz w:val="24"/>
          <w:szCs w:val="24"/>
        </w:rPr>
      </w:pPr>
    </w:p>
    <w:p w14:paraId="1EFAAD25" w14:textId="77777777" w:rsidR="00844BAB" w:rsidRPr="001D704A" w:rsidRDefault="00844BAB" w:rsidP="00123EB1">
      <w:pPr>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br w:type="page"/>
      </w:r>
    </w:p>
    <w:p w14:paraId="1F9A3E16" w14:textId="1F0F09E1" w:rsidR="00380C94" w:rsidRPr="001D704A" w:rsidRDefault="00380C94"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 xml:space="preserve">Table item 516 – Online Formative Assessment Initiative </w:t>
      </w:r>
    </w:p>
    <w:p w14:paraId="7B4C9619" w14:textId="77777777" w:rsidR="00380C94" w:rsidRPr="001D704A" w:rsidRDefault="00380C94" w:rsidP="00123EB1">
      <w:pPr>
        <w:ind w:right="-46"/>
        <w:rPr>
          <w:rFonts w:ascii="Times New Roman" w:hAnsi="Times New Roman" w:cs="Times New Roman"/>
          <w:color w:val="000000" w:themeColor="text1"/>
          <w:sz w:val="24"/>
          <w:szCs w:val="24"/>
        </w:rPr>
      </w:pPr>
    </w:p>
    <w:p w14:paraId="7D881439" w14:textId="77777777" w:rsidR="00380C94" w:rsidRPr="001D704A" w:rsidRDefault="00380C94" w:rsidP="00123EB1">
      <w:pPr>
        <w:tabs>
          <w:tab w:val="left" w:pos="936"/>
        </w:tabs>
        <w:rPr>
          <w:rFonts w:ascii="Times New Roman" w:hAnsi="Times New Roman" w:cs="Times New Roman"/>
          <w:sz w:val="24"/>
          <w:szCs w:val="24"/>
        </w:rPr>
      </w:pPr>
      <w:r w:rsidRPr="001D704A">
        <w:rPr>
          <w:rFonts w:ascii="Times New Roman" w:hAnsi="Times New Roman" w:cs="Times New Roman"/>
          <w:sz w:val="24"/>
          <w:szCs w:val="24"/>
        </w:rPr>
        <w:t>Table item 516 establishes legislative authority for government spending n the development, implementation and maintenance of the Online Formative Assessment Initiative (the Initiative), which would facilitate access to online teaching resources, tools, student assessments, professional learning and other support for teachers.</w:t>
      </w:r>
    </w:p>
    <w:p w14:paraId="4427418E" w14:textId="2D284912" w:rsidR="00380C94" w:rsidRPr="001D704A" w:rsidRDefault="00380C94" w:rsidP="00123EB1">
      <w:pPr>
        <w:rPr>
          <w:rFonts w:ascii="Times New Roman" w:hAnsi="Times New Roman" w:cs="Times New Roman"/>
          <w:sz w:val="24"/>
          <w:szCs w:val="24"/>
        </w:rPr>
      </w:pPr>
    </w:p>
    <w:p w14:paraId="050723F6" w14:textId="1D5D3CE9" w:rsidR="00380C94" w:rsidRPr="001D704A" w:rsidRDefault="00380C94" w:rsidP="00123EB1">
      <w:pPr>
        <w:rPr>
          <w:rFonts w:ascii="Times New Roman" w:hAnsi="Times New Roman" w:cs="Times New Roman"/>
          <w:sz w:val="24"/>
          <w:szCs w:val="24"/>
        </w:rPr>
      </w:pPr>
      <w:r w:rsidRPr="001D704A">
        <w:rPr>
          <w:rFonts w:ascii="Times New Roman" w:hAnsi="Times New Roman" w:cs="Times New Roman"/>
          <w:sz w:val="24"/>
          <w:szCs w:val="24"/>
        </w:rPr>
        <w:t>The Initiative aims to support teachers to monitor individual student progress and identify individual student learning needs by providing access to an online system currently known as the Teaching Tools Network. The proposed system will assist teachers to identify what skills and knowledge a student already possesses, what each student needs to learn next, and what resources will be most useful to support that student’s progress. Us</w:t>
      </w:r>
      <w:r w:rsidR="009D5F25" w:rsidRPr="001D704A">
        <w:rPr>
          <w:rFonts w:ascii="Times New Roman" w:hAnsi="Times New Roman" w:cs="Times New Roman"/>
          <w:sz w:val="24"/>
          <w:szCs w:val="24"/>
        </w:rPr>
        <w:t xml:space="preserve">e of </w:t>
      </w:r>
      <w:r w:rsidRPr="001D704A">
        <w:rPr>
          <w:rFonts w:ascii="Times New Roman" w:hAnsi="Times New Roman" w:cs="Times New Roman"/>
          <w:sz w:val="24"/>
          <w:szCs w:val="24"/>
        </w:rPr>
        <w:t>this system will provide teachers with the information and tools they need to adapt their teaching practice to meet their student’s needs. Students will also have access to information about their own learning progress.</w:t>
      </w:r>
    </w:p>
    <w:p w14:paraId="7DFB5195" w14:textId="77777777" w:rsidR="00380C94" w:rsidRPr="001D704A" w:rsidRDefault="00380C94" w:rsidP="00123EB1">
      <w:pPr>
        <w:rPr>
          <w:rFonts w:ascii="Times New Roman" w:hAnsi="Times New Roman" w:cs="Times New Roman"/>
          <w:bCs/>
          <w:sz w:val="24"/>
          <w:szCs w:val="24"/>
        </w:rPr>
      </w:pPr>
    </w:p>
    <w:p w14:paraId="2D75AA54" w14:textId="072B8EF0" w:rsidR="00380C94" w:rsidRPr="001D704A" w:rsidRDefault="00380C94" w:rsidP="00123EB1">
      <w:pPr>
        <w:rPr>
          <w:rFonts w:ascii="Times New Roman" w:hAnsi="Times New Roman" w:cs="Times New Roman"/>
          <w:sz w:val="24"/>
          <w:szCs w:val="24"/>
        </w:rPr>
      </w:pPr>
      <w:r w:rsidRPr="001D704A">
        <w:rPr>
          <w:rFonts w:ascii="Times New Roman" w:hAnsi="Times New Roman" w:cs="Times New Roman"/>
          <w:bCs/>
          <w:sz w:val="24"/>
          <w:szCs w:val="24"/>
        </w:rPr>
        <w:t xml:space="preserve">The Initiative was part of a wider agreement between all states, territories and the Commonwealth at the end of 2018, whereby all jurisdictions have committed to providing financial contributions to the ‘learning progressions and online formative assessment’ </w:t>
      </w:r>
      <w:r w:rsidR="009D5F25" w:rsidRPr="001D704A">
        <w:rPr>
          <w:rFonts w:ascii="Times New Roman" w:hAnsi="Times New Roman" w:cs="Times New Roman"/>
          <w:bCs/>
          <w:sz w:val="24"/>
          <w:szCs w:val="24"/>
        </w:rPr>
        <w:t>n</w:t>
      </w:r>
      <w:r w:rsidRPr="001D704A">
        <w:rPr>
          <w:rFonts w:ascii="Times New Roman" w:hAnsi="Times New Roman" w:cs="Times New Roman"/>
          <w:bCs/>
          <w:sz w:val="24"/>
          <w:szCs w:val="24"/>
        </w:rPr>
        <w:t xml:space="preserve">ational </w:t>
      </w:r>
      <w:r w:rsidR="009D5F25" w:rsidRPr="001D704A">
        <w:rPr>
          <w:rFonts w:ascii="Times New Roman" w:hAnsi="Times New Roman" w:cs="Times New Roman"/>
          <w:bCs/>
          <w:sz w:val="24"/>
          <w:szCs w:val="24"/>
        </w:rPr>
        <w:t>policy</w:t>
      </w:r>
      <w:r w:rsidRPr="001D704A">
        <w:rPr>
          <w:rFonts w:ascii="Times New Roman" w:hAnsi="Times New Roman" w:cs="Times New Roman"/>
          <w:bCs/>
          <w:sz w:val="24"/>
          <w:szCs w:val="24"/>
        </w:rPr>
        <w:t xml:space="preserve"> </w:t>
      </w:r>
      <w:r w:rsidR="009D5F25" w:rsidRPr="001D704A">
        <w:rPr>
          <w:rFonts w:ascii="Times New Roman" w:hAnsi="Times New Roman" w:cs="Times New Roman"/>
          <w:bCs/>
          <w:sz w:val="24"/>
          <w:szCs w:val="24"/>
        </w:rPr>
        <w:t>i</w:t>
      </w:r>
      <w:r w:rsidRPr="001D704A">
        <w:rPr>
          <w:rFonts w:ascii="Times New Roman" w:hAnsi="Times New Roman" w:cs="Times New Roman"/>
          <w:bCs/>
          <w:sz w:val="24"/>
          <w:szCs w:val="24"/>
        </w:rPr>
        <w:t xml:space="preserve">nitiative </w:t>
      </w:r>
      <w:r w:rsidR="009D5F25" w:rsidRPr="001D704A">
        <w:rPr>
          <w:rFonts w:ascii="Times New Roman" w:hAnsi="Times New Roman" w:cs="Times New Roman"/>
          <w:bCs/>
          <w:sz w:val="24"/>
          <w:szCs w:val="24"/>
        </w:rPr>
        <w:t>under</w:t>
      </w:r>
      <w:r w:rsidRPr="001D704A">
        <w:rPr>
          <w:rFonts w:ascii="Times New Roman" w:hAnsi="Times New Roman" w:cs="Times New Roman"/>
          <w:bCs/>
          <w:sz w:val="24"/>
          <w:szCs w:val="24"/>
        </w:rPr>
        <w:t xml:space="preserve"> the </w:t>
      </w:r>
      <w:r w:rsidRPr="001D704A">
        <w:rPr>
          <w:rFonts w:ascii="Times New Roman" w:hAnsi="Times New Roman" w:cs="Times New Roman"/>
          <w:bCs/>
          <w:i/>
          <w:sz w:val="24"/>
          <w:szCs w:val="24"/>
        </w:rPr>
        <w:t>National School Reform Agreement</w:t>
      </w:r>
      <w:r w:rsidRPr="001D704A">
        <w:rPr>
          <w:rFonts w:ascii="Times New Roman" w:hAnsi="Times New Roman" w:cs="Times New Roman"/>
          <w:bCs/>
          <w:sz w:val="24"/>
          <w:szCs w:val="24"/>
        </w:rPr>
        <w:t xml:space="preserve">. </w:t>
      </w:r>
    </w:p>
    <w:p w14:paraId="1FFF1D2E" w14:textId="77777777" w:rsidR="00380C94" w:rsidRPr="001D704A" w:rsidRDefault="00380C94" w:rsidP="00123EB1">
      <w:pPr>
        <w:ind w:right="-46"/>
        <w:rPr>
          <w:rFonts w:ascii="Times New Roman" w:hAnsi="Times New Roman" w:cs="Times New Roman"/>
          <w:color w:val="000000" w:themeColor="text1"/>
          <w:sz w:val="24"/>
          <w:szCs w:val="24"/>
        </w:rPr>
      </w:pPr>
    </w:p>
    <w:p w14:paraId="177E206C" w14:textId="77777777" w:rsidR="00380C94" w:rsidRPr="001D704A" w:rsidRDefault="00380C94"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5CAE8A34" w14:textId="77777777" w:rsidR="00380C94" w:rsidRPr="001D704A" w:rsidRDefault="00380C94" w:rsidP="00123EB1">
      <w:pPr>
        <w:ind w:right="-46"/>
        <w:rPr>
          <w:rFonts w:ascii="Times New Roman" w:hAnsi="Times New Roman" w:cs="Times New Roman"/>
          <w:color w:val="000000" w:themeColor="text1"/>
          <w:sz w:val="24"/>
          <w:szCs w:val="24"/>
        </w:rPr>
      </w:pPr>
    </w:p>
    <w:p w14:paraId="2EF8C4DC" w14:textId="4BEF60F4" w:rsidR="00380C94" w:rsidRPr="001D704A" w:rsidRDefault="00380C94"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 xml:space="preserve">able item </w:t>
      </w:r>
      <w:r w:rsidR="009D5F25" w:rsidRPr="001D704A">
        <w:rPr>
          <w:rFonts w:ascii="Times New Roman" w:hAnsi="Times New Roman" w:cs="Times New Roman"/>
          <w:color w:val="000000" w:themeColor="text1"/>
          <w:sz w:val="24"/>
          <w:szCs w:val="24"/>
        </w:rPr>
        <w:t>516</w:t>
      </w:r>
      <w:r w:rsidRPr="001D704A">
        <w:rPr>
          <w:rFonts w:ascii="Times New Roman" w:eastAsia="Times New Roman" w:hAnsi="Times New Roman" w:cs="Times New Roman"/>
          <w:color w:val="000000"/>
          <w:sz w:val="24"/>
          <w:szCs w:val="24"/>
          <w:lang w:eastAsia="en-AU"/>
        </w:rPr>
        <w:t xml:space="preserve"> engages the following right:</w:t>
      </w:r>
    </w:p>
    <w:p w14:paraId="18A4E8D7" w14:textId="13834EAA" w:rsidR="00380C94" w:rsidRPr="001D704A" w:rsidRDefault="00380C94" w:rsidP="00123EB1">
      <w:pPr>
        <w:numPr>
          <w:ilvl w:val="0"/>
          <w:numId w:val="48"/>
        </w:num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 xml:space="preserve">the right to education – Articles 28 and 29 of the </w:t>
      </w:r>
      <w:r w:rsidR="009D5F25" w:rsidRPr="001D704A">
        <w:rPr>
          <w:rFonts w:ascii="Times New Roman" w:eastAsia="Times New Roman" w:hAnsi="Times New Roman" w:cs="Times New Roman"/>
          <w:color w:val="000000"/>
          <w:sz w:val="24"/>
          <w:szCs w:val="24"/>
          <w:lang w:eastAsia="en-AU"/>
        </w:rPr>
        <w:t>CRC</w:t>
      </w:r>
      <w:r w:rsidRPr="001D704A">
        <w:rPr>
          <w:rFonts w:ascii="Times New Roman" w:eastAsia="Times New Roman" w:hAnsi="Times New Roman" w:cs="Times New Roman"/>
          <w:color w:val="000000"/>
          <w:sz w:val="24"/>
          <w:szCs w:val="24"/>
          <w:lang w:eastAsia="en-AU"/>
        </w:rPr>
        <w:t xml:space="preserve">, read with Article 4, and Article 13 of </w:t>
      </w:r>
      <w:r w:rsidRPr="001D704A">
        <w:rPr>
          <w:rFonts w:ascii="Times New Roman" w:eastAsia="Times New Roman" w:hAnsi="Times New Roman" w:cs="Times New Roman"/>
          <w:iCs/>
          <w:color w:val="000000"/>
          <w:sz w:val="24"/>
          <w:szCs w:val="24"/>
          <w:lang w:eastAsia="en-AU"/>
        </w:rPr>
        <w:t>the ICESCR</w:t>
      </w:r>
      <w:r w:rsidRPr="001D704A">
        <w:rPr>
          <w:rFonts w:ascii="Times New Roman" w:eastAsia="Times New Roman" w:hAnsi="Times New Roman" w:cs="Times New Roman"/>
          <w:color w:val="000000"/>
          <w:sz w:val="24"/>
          <w:szCs w:val="24"/>
          <w:lang w:eastAsia="en-AU"/>
        </w:rPr>
        <w:t xml:space="preserve">, read with Article 2. </w:t>
      </w:r>
    </w:p>
    <w:p w14:paraId="09854D6F"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p>
    <w:p w14:paraId="59F8602F" w14:textId="77777777" w:rsidR="00380C94" w:rsidRPr="001D704A" w:rsidRDefault="00380C94" w:rsidP="00123EB1">
      <w:pPr>
        <w:ind w:right="-46"/>
        <w:rPr>
          <w:rFonts w:ascii="Times New Roman" w:eastAsia="Times New Roman" w:hAnsi="Times New Roman" w:cs="Times New Roman"/>
          <w:i/>
          <w:iCs/>
          <w:color w:val="000000"/>
          <w:sz w:val="24"/>
          <w:szCs w:val="24"/>
          <w:u w:val="single"/>
          <w:lang w:eastAsia="en-AU"/>
        </w:rPr>
      </w:pPr>
      <w:r w:rsidRPr="001D704A">
        <w:rPr>
          <w:rFonts w:ascii="Times New Roman" w:eastAsia="Times New Roman" w:hAnsi="Times New Roman" w:cs="Times New Roman"/>
          <w:i/>
          <w:iCs/>
          <w:color w:val="000000"/>
          <w:sz w:val="24"/>
          <w:szCs w:val="24"/>
          <w:u w:val="single"/>
          <w:lang w:eastAsia="en-AU"/>
        </w:rPr>
        <w:t>Right to education</w:t>
      </w:r>
    </w:p>
    <w:p w14:paraId="288EC225"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p>
    <w:p w14:paraId="07BABB78"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21B69CA6"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p>
    <w:p w14:paraId="75A44CAA" w14:textId="13290731" w:rsidR="00380C94" w:rsidRPr="001D704A" w:rsidRDefault="00380C94"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Article 29(1)(a) of the CRC provides that ‘States Parties agree that the education of the child shall be directed to… the development of the child</w:t>
      </w:r>
      <w:r w:rsidR="009D5F25" w:rsidRPr="001D704A">
        <w:rPr>
          <w:rFonts w:ascii="Times New Roman" w:eastAsia="Times New Roman" w:hAnsi="Times New Roman" w:cs="Times New Roman"/>
          <w:color w:val="000000"/>
          <w:sz w:val="24"/>
          <w:szCs w:val="24"/>
          <w:lang w:eastAsia="en-AU"/>
        </w:rPr>
        <w:t>’</w:t>
      </w:r>
      <w:r w:rsidRPr="001D704A">
        <w:rPr>
          <w:rFonts w:ascii="Times New Roman" w:eastAsia="Times New Roman" w:hAnsi="Times New Roman" w:cs="Times New Roman"/>
          <w:color w:val="000000"/>
          <w:sz w:val="24"/>
          <w:szCs w:val="24"/>
          <w:lang w:eastAsia="en-AU"/>
        </w:rPr>
        <w:t xml:space="preserve">s personality, talents and mental and physical abilities to their fullest potential’. </w:t>
      </w:r>
    </w:p>
    <w:p w14:paraId="3B1E1716"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p>
    <w:p w14:paraId="0C686E41" w14:textId="1B7BB67E" w:rsidR="00380C94" w:rsidRPr="001D704A" w:rsidRDefault="00380C94"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 xml:space="preserve">Article 2 of the ICESCR requires </w:t>
      </w:r>
      <w:r w:rsidR="009D5F25" w:rsidRPr="001D704A">
        <w:rPr>
          <w:rFonts w:ascii="Times New Roman" w:eastAsia="Times New Roman" w:hAnsi="Times New Roman" w:cs="Times New Roman"/>
          <w:color w:val="000000"/>
          <w:sz w:val="24"/>
          <w:szCs w:val="24"/>
          <w:lang w:eastAsia="en-AU"/>
        </w:rPr>
        <w:t xml:space="preserve">the </w:t>
      </w:r>
      <w:r w:rsidRPr="001D704A">
        <w:rPr>
          <w:rFonts w:ascii="Times New Roman" w:eastAsia="Times New Roman" w:hAnsi="Times New Roman" w:cs="Times New Roman"/>
          <w:color w:val="000000"/>
          <w:sz w:val="24"/>
          <w:szCs w:val="24"/>
          <w:lang w:eastAsia="en-AU"/>
        </w:rPr>
        <w:t>States Parties to take steps to progressively achieve the full realisation of the rights recognised in the ICESCR by all appropriate means. Article 13(2)(a) of the ICESCR relates to the right of everyone to primary education that is compulsory and free.</w:t>
      </w:r>
    </w:p>
    <w:p w14:paraId="1D5A5D20" w14:textId="77777777" w:rsidR="00380C94" w:rsidRPr="001D704A" w:rsidRDefault="00380C94" w:rsidP="00123EB1">
      <w:pPr>
        <w:ind w:right="-46"/>
        <w:rPr>
          <w:rFonts w:ascii="Times New Roman" w:eastAsia="Times New Roman" w:hAnsi="Times New Roman" w:cs="Times New Roman"/>
          <w:color w:val="000000"/>
          <w:sz w:val="24"/>
          <w:szCs w:val="24"/>
          <w:lang w:eastAsia="en-AU"/>
        </w:rPr>
      </w:pPr>
    </w:p>
    <w:p w14:paraId="2EB3603B" w14:textId="61D859EA" w:rsidR="00380C94" w:rsidRPr="001D704A" w:rsidRDefault="00380C94" w:rsidP="00123EB1">
      <w:pPr>
        <w:ind w:right="-46"/>
        <w:rPr>
          <w:rFonts w:ascii="Times New Roman" w:eastAsia="Times New Roman" w:hAnsi="Times New Roman" w:cs="Times New Roman"/>
          <w:b/>
          <w:color w:val="000000"/>
          <w:sz w:val="24"/>
          <w:szCs w:val="24"/>
          <w:lang w:eastAsia="en-AU"/>
        </w:rPr>
      </w:pPr>
      <w:r w:rsidRPr="001D704A">
        <w:rPr>
          <w:rFonts w:ascii="Times New Roman" w:eastAsia="Times New Roman" w:hAnsi="Times New Roman" w:cs="Times New Roman"/>
          <w:color w:val="000000"/>
          <w:sz w:val="24"/>
          <w:szCs w:val="24"/>
          <w:lang w:eastAsia="en-AU"/>
        </w:rPr>
        <w:t xml:space="preserve">Table item </w:t>
      </w:r>
      <w:r w:rsidR="009D5F25" w:rsidRPr="001D704A">
        <w:rPr>
          <w:rFonts w:ascii="Times New Roman" w:eastAsia="Times New Roman" w:hAnsi="Times New Roman" w:cs="Times New Roman"/>
          <w:color w:val="000000"/>
          <w:sz w:val="24"/>
          <w:szCs w:val="24"/>
          <w:lang w:eastAsia="en-AU"/>
        </w:rPr>
        <w:t>516</w:t>
      </w:r>
      <w:r w:rsidRPr="001D704A">
        <w:rPr>
          <w:rFonts w:ascii="Times New Roman" w:eastAsia="Times New Roman" w:hAnsi="Times New Roman" w:cs="Times New Roman"/>
          <w:color w:val="000000"/>
          <w:sz w:val="24"/>
          <w:szCs w:val="24"/>
          <w:lang w:eastAsia="en-AU"/>
        </w:rPr>
        <w:t xml:space="preserve"> supports the right to education by seeking to develop the individual talents and abilities of children by facilitating online access to data and resources teachers need to identify the needs of their students and then adapt their practice to meet those needs.</w:t>
      </w:r>
      <w:r w:rsidRPr="001D704A">
        <w:rPr>
          <w:rFonts w:ascii="Times New Roman" w:eastAsia="Times New Roman" w:hAnsi="Times New Roman" w:cs="Times New Roman"/>
          <w:b/>
          <w:color w:val="000000"/>
          <w:sz w:val="24"/>
          <w:szCs w:val="24"/>
          <w:lang w:eastAsia="en-AU"/>
        </w:rPr>
        <w:t xml:space="preserve"> </w:t>
      </w:r>
    </w:p>
    <w:p w14:paraId="327F757A" w14:textId="77777777" w:rsidR="00380C94" w:rsidRPr="001D704A" w:rsidRDefault="00380C94" w:rsidP="00123EB1">
      <w:pPr>
        <w:ind w:right="-46"/>
        <w:rPr>
          <w:rFonts w:ascii="Calibri" w:eastAsia="Times New Roman" w:hAnsi="Calibri" w:cs="Calibri"/>
          <w:color w:val="000000"/>
          <w:lang w:eastAsia="en-AU"/>
        </w:rPr>
      </w:pPr>
    </w:p>
    <w:p w14:paraId="5ECA8C14" w14:textId="77777777" w:rsidR="00380C94" w:rsidRPr="001D704A" w:rsidRDefault="00380C94"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1B6CD567" w14:textId="77777777" w:rsidR="00380C94" w:rsidRPr="001D704A" w:rsidRDefault="00380C94" w:rsidP="00123EB1">
      <w:pPr>
        <w:ind w:right="-46"/>
        <w:rPr>
          <w:rFonts w:ascii="Times New Roman" w:hAnsi="Times New Roman" w:cs="Times New Roman"/>
          <w:color w:val="000000" w:themeColor="text1"/>
          <w:sz w:val="24"/>
          <w:szCs w:val="24"/>
        </w:rPr>
      </w:pPr>
    </w:p>
    <w:p w14:paraId="48A3C8CB" w14:textId="19083A43" w:rsidR="00380C94" w:rsidRPr="001D704A" w:rsidRDefault="00380C94"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9D5F25" w:rsidRPr="001D704A">
        <w:rPr>
          <w:rFonts w:ascii="Times New Roman" w:hAnsi="Times New Roman" w:cs="Times New Roman"/>
          <w:color w:val="000000" w:themeColor="text1"/>
          <w:sz w:val="24"/>
          <w:szCs w:val="24"/>
        </w:rPr>
        <w:t>516</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48EAB67A" w14:textId="77777777" w:rsidR="00411489" w:rsidRPr="001D704A" w:rsidRDefault="00411489" w:rsidP="00123EB1">
      <w:pPr>
        <w:ind w:right="-46"/>
        <w:rPr>
          <w:rFonts w:ascii="Times New Roman" w:hAnsi="Times New Roman" w:cs="Times New Roman"/>
          <w:i/>
          <w:color w:val="000000" w:themeColor="text1"/>
          <w:sz w:val="24"/>
          <w:szCs w:val="24"/>
          <w:u w:val="single"/>
        </w:rPr>
      </w:pPr>
    </w:p>
    <w:p w14:paraId="45A241ED" w14:textId="26B5A2B2" w:rsidR="00662C9F" w:rsidRPr="001D704A" w:rsidRDefault="00662C9F" w:rsidP="00123EB1">
      <w:pPr>
        <w:ind w:right="-46"/>
        <w:rPr>
          <w:rFonts w:ascii="Times New Roman" w:hAnsi="Times New Roman" w:cs="Times New Roman"/>
          <w:i/>
          <w:color w:val="000000" w:themeColor="text1"/>
          <w:sz w:val="24"/>
          <w:szCs w:val="24"/>
        </w:rPr>
      </w:pPr>
      <w:r w:rsidRPr="001D704A">
        <w:rPr>
          <w:rFonts w:ascii="Times New Roman" w:hAnsi="Times New Roman" w:cs="Times New Roman"/>
          <w:i/>
          <w:color w:val="000000" w:themeColor="text1"/>
          <w:sz w:val="24"/>
          <w:szCs w:val="24"/>
          <w:u w:val="single"/>
        </w:rPr>
        <w:t>Table item</w:t>
      </w:r>
      <w:r w:rsidR="008068AC" w:rsidRPr="001D704A">
        <w:rPr>
          <w:rFonts w:ascii="Times New Roman" w:hAnsi="Times New Roman" w:cs="Times New Roman"/>
          <w:i/>
          <w:color w:val="000000" w:themeColor="text1"/>
          <w:sz w:val="24"/>
          <w:szCs w:val="24"/>
          <w:u w:val="single"/>
        </w:rPr>
        <w:t xml:space="preserve"> 517</w:t>
      </w:r>
      <w:r w:rsidRPr="001D704A">
        <w:rPr>
          <w:rFonts w:ascii="Times New Roman" w:hAnsi="Times New Roman" w:cs="Times New Roman"/>
          <w:i/>
          <w:color w:val="000000" w:themeColor="text1"/>
          <w:sz w:val="24"/>
          <w:szCs w:val="24"/>
          <w:u w:val="single"/>
        </w:rPr>
        <w:t xml:space="preserve"> – </w:t>
      </w:r>
      <w:r w:rsidRPr="001D704A">
        <w:rPr>
          <w:rFonts w:ascii="Times New Roman" w:hAnsi="Times New Roman"/>
          <w:i/>
          <w:sz w:val="24"/>
          <w:szCs w:val="24"/>
          <w:u w:val="single"/>
          <w:lang w:val="en-GB"/>
        </w:rPr>
        <w:t>School Partnerships to Improve Educational Outcomes for Indigenous Students in Remote Schools</w:t>
      </w:r>
    </w:p>
    <w:p w14:paraId="7CC7FFF4" w14:textId="77777777" w:rsidR="00662C9F" w:rsidRPr="001D704A" w:rsidRDefault="00662C9F" w:rsidP="00123EB1">
      <w:pPr>
        <w:ind w:right="-46"/>
        <w:rPr>
          <w:rFonts w:ascii="Times New Roman" w:hAnsi="Times New Roman" w:cs="Times New Roman"/>
          <w:i/>
          <w:color w:val="000000" w:themeColor="text1"/>
          <w:sz w:val="24"/>
          <w:szCs w:val="24"/>
          <w:u w:val="single"/>
        </w:rPr>
      </w:pPr>
    </w:p>
    <w:p w14:paraId="1FB33232" w14:textId="2C7888ED" w:rsidR="00662C9F" w:rsidRPr="001D704A" w:rsidRDefault="00662C9F"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w:t>
      </w:r>
      <w:r w:rsidR="00BF33B6" w:rsidRPr="001D704A">
        <w:rPr>
          <w:rFonts w:ascii="Times New Roman" w:hAnsi="Times New Roman" w:cs="Times New Roman"/>
          <w:color w:val="000000" w:themeColor="text1"/>
          <w:sz w:val="24"/>
          <w:szCs w:val="24"/>
        </w:rPr>
        <w:t xml:space="preserve"> 517</w:t>
      </w:r>
      <w:r w:rsidRPr="001D704A">
        <w:rPr>
          <w:rFonts w:ascii="Times New Roman" w:hAnsi="Times New Roman" w:cs="Times New Roman"/>
          <w:color w:val="000000" w:themeColor="text1"/>
          <w:sz w:val="24"/>
          <w:szCs w:val="24"/>
        </w:rPr>
        <w:t xml:space="preserve"> establishes legislative authority for government spending on school partnerships to improve educational outcomes for Indigenous students in remote schools. Government funding will incentivise and support large, high performing independent (non</w:t>
      </w:r>
      <w:r w:rsidRPr="001D704A">
        <w:rPr>
          <w:rFonts w:ascii="Times New Roman" w:hAnsi="Times New Roman" w:cs="Times New Roman"/>
          <w:color w:val="000000" w:themeColor="text1"/>
          <w:sz w:val="24"/>
          <w:szCs w:val="24"/>
        </w:rPr>
        <w:noBreakHyphen/>
        <w:t>government) schools to engage in new formal partnerships with remote</w:t>
      </w:r>
      <w:r w:rsidR="00BF33B6" w:rsidRPr="001D704A">
        <w:rPr>
          <w:rFonts w:ascii="Times New Roman" w:hAnsi="Times New Roman" w:cs="Times New Roman"/>
          <w:color w:val="000000" w:themeColor="text1"/>
          <w:sz w:val="24"/>
          <w:szCs w:val="24"/>
        </w:rPr>
        <w:t>,</w:t>
      </w:r>
      <w:r w:rsidRPr="001D704A">
        <w:rPr>
          <w:rFonts w:ascii="Times New Roman" w:hAnsi="Times New Roman" w:cs="Times New Roman"/>
          <w:color w:val="000000" w:themeColor="text1"/>
          <w:sz w:val="24"/>
          <w:szCs w:val="24"/>
        </w:rPr>
        <w:t xml:space="preserve"> majority Indigenous schools, while maintaining consultation with local Aboriginal and Torres Strait Islander communities.</w:t>
      </w:r>
    </w:p>
    <w:p w14:paraId="38997A10" w14:textId="77777777" w:rsidR="00662C9F" w:rsidRPr="001D704A" w:rsidRDefault="00662C9F" w:rsidP="00123EB1">
      <w:pPr>
        <w:rPr>
          <w:rFonts w:ascii="Times New Roman" w:hAnsi="Times New Roman" w:cs="Times New Roman"/>
          <w:color w:val="000000" w:themeColor="text1"/>
          <w:sz w:val="24"/>
          <w:szCs w:val="24"/>
        </w:rPr>
      </w:pPr>
    </w:p>
    <w:p w14:paraId="72EC7FBE" w14:textId="77777777" w:rsidR="00662C9F" w:rsidRPr="001D704A" w:rsidRDefault="00662C9F"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These formal partnerships aim to improve the quality of operational management and principal leadership, and increase the reach of effective teacher practices (for example, instructional coaching to teachers to lift the quality of pedagogy in remote schools). These partnerships will address key issues such as workforce shortages through enabling and encouraging teacher transfers.</w:t>
      </w:r>
    </w:p>
    <w:p w14:paraId="75ED843F" w14:textId="77777777" w:rsidR="00662C9F" w:rsidRPr="001D704A" w:rsidRDefault="00662C9F" w:rsidP="00123EB1">
      <w:pPr>
        <w:rPr>
          <w:rFonts w:ascii="Times New Roman" w:hAnsi="Times New Roman" w:cs="Times New Roman"/>
          <w:color w:val="000000" w:themeColor="text1"/>
          <w:sz w:val="24"/>
          <w:szCs w:val="24"/>
        </w:rPr>
      </w:pPr>
    </w:p>
    <w:p w14:paraId="33F75834" w14:textId="77777777" w:rsidR="00662C9F" w:rsidRPr="001D704A" w:rsidRDefault="00662C9F"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Funding allocated through the </w:t>
      </w:r>
      <w:r w:rsidRPr="001D704A">
        <w:rPr>
          <w:rFonts w:ascii="Times New Roman" w:eastAsia="Calibri" w:hAnsi="Times New Roman" w:cs="Times New Roman"/>
          <w:color w:val="000000" w:themeColor="text1"/>
          <w:sz w:val="24"/>
          <w:szCs w:val="24"/>
        </w:rPr>
        <w:t>Remote School Partnerships fund</w:t>
      </w:r>
      <w:r w:rsidRPr="001D704A">
        <w:rPr>
          <w:rFonts w:ascii="Times New Roman" w:hAnsi="Times New Roman" w:cs="Times New Roman"/>
          <w:color w:val="000000" w:themeColor="text1"/>
          <w:sz w:val="24"/>
          <w:szCs w:val="24"/>
        </w:rPr>
        <w:t xml:space="preserve"> will also support brokerage activity to promote partnerships in the school sector and may consider opportunities to partner with local further education and training providers and employers, to enhance further education and employment pathways for students.</w:t>
      </w:r>
    </w:p>
    <w:p w14:paraId="32FF8B59" w14:textId="77777777" w:rsidR="00662C9F" w:rsidRPr="001D704A" w:rsidRDefault="00662C9F" w:rsidP="00123EB1">
      <w:pPr>
        <w:ind w:right="-46"/>
        <w:rPr>
          <w:rFonts w:ascii="Times New Roman" w:hAnsi="Times New Roman" w:cs="Times New Roman"/>
          <w:i/>
          <w:color w:val="000000" w:themeColor="text1"/>
          <w:sz w:val="24"/>
          <w:szCs w:val="24"/>
          <w:u w:val="single"/>
        </w:rPr>
      </w:pPr>
    </w:p>
    <w:p w14:paraId="1091A19D" w14:textId="77777777" w:rsidR="00662C9F" w:rsidRPr="001D704A" w:rsidRDefault="00662C9F"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3DF1B411" w14:textId="77777777" w:rsidR="00662C9F" w:rsidRPr="001D704A" w:rsidRDefault="00662C9F" w:rsidP="00123EB1">
      <w:pPr>
        <w:ind w:right="-46"/>
        <w:rPr>
          <w:rFonts w:ascii="Times New Roman" w:hAnsi="Times New Roman" w:cs="Times New Roman"/>
          <w:color w:val="000000" w:themeColor="text1"/>
          <w:sz w:val="24"/>
          <w:szCs w:val="24"/>
        </w:rPr>
      </w:pPr>
    </w:p>
    <w:p w14:paraId="7C95B435" w14:textId="150810AF" w:rsidR="00662C9F" w:rsidRPr="001D704A" w:rsidRDefault="00662C9F"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able item</w:t>
      </w:r>
      <w:r w:rsidR="002B090B" w:rsidRPr="001D704A">
        <w:rPr>
          <w:rFonts w:ascii="Times New Roman" w:hAnsi="Times New Roman" w:cs="Times New Roman"/>
          <w:color w:val="000000" w:themeColor="text1"/>
          <w:sz w:val="24"/>
          <w:szCs w:val="24"/>
        </w:rPr>
        <w:t xml:space="preserve"> 517</w:t>
      </w:r>
      <w:r w:rsidRPr="001D704A">
        <w:rPr>
          <w:rFonts w:ascii="Times New Roman" w:eastAsia="Times New Roman" w:hAnsi="Times New Roman" w:cs="Times New Roman"/>
          <w:color w:val="000000"/>
          <w:sz w:val="24"/>
          <w:szCs w:val="24"/>
          <w:lang w:eastAsia="en-AU"/>
        </w:rPr>
        <w:t xml:space="preserve"> engages the following right:</w:t>
      </w:r>
    </w:p>
    <w:p w14:paraId="162F52C3" w14:textId="07340978" w:rsidR="00662C9F" w:rsidRPr="001D704A" w:rsidRDefault="00662C9F"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right to education – Article 13 of the ICESCR, read with Article 2, and Articles 28 and 29 of the CRC, read with Article 4.</w:t>
      </w:r>
    </w:p>
    <w:p w14:paraId="3086BFE8" w14:textId="77777777" w:rsidR="00662C9F" w:rsidRPr="001D704A" w:rsidRDefault="00662C9F" w:rsidP="00123EB1">
      <w:pPr>
        <w:rPr>
          <w:rFonts w:ascii="Times New Roman" w:hAnsi="Times New Roman" w:cs="Times New Roman"/>
          <w:i/>
          <w:iCs/>
          <w:sz w:val="24"/>
          <w:szCs w:val="24"/>
        </w:rPr>
      </w:pPr>
    </w:p>
    <w:p w14:paraId="3C7D028B" w14:textId="77777777" w:rsidR="00662C9F" w:rsidRPr="001D704A" w:rsidRDefault="00662C9F" w:rsidP="00123EB1">
      <w:pPr>
        <w:rPr>
          <w:rFonts w:ascii="Times New Roman" w:hAnsi="Times New Roman" w:cs="Times New Roman"/>
          <w:i/>
          <w:iCs/>
          <w:sz w:val="24"/>
          <w:szCs w:val="24"/>
          <w:u w:val="single"/>
        </w:rPr>
      </w:pPr>
      <w:r w:rsidRPr="001D704A">
        <w:rPr>
          <w:rFonts w:ascii="Times New Roman" w:hAnsi="Times New Roman" w:cs="Times New Roman"/>
          <w:i/>
          <w:iCs/>
          <w:sz w:val="24"/>
          <w:szCs w:val="24"/>
          <w:u w:val="single"/>
        </w:rPr>
        <w:t>Right to education</w:t>
      </w:r>
    </w:p>
    <w:p w14:paraId="22D7717A" w14:textId="77777777" w:rsidR="00662C9F" w:rsidRPr="001D704A" w:rsidRDefault="00662C9F" w:rsidP="00123EB1">
      <w:pPr>
        <w:rPr>
          <w:rFonts w:ascii="Times New Roman" w:hAnsi="Times New Roman" w:cs="Times New Roman"/>
          <w:sz w:val="24"/>
          <w:szCs w:val="24"/>
        </w:rPr>
      </w:pPr>
    </w:p>
    <w:p w14:paraId="3E292D23" w14:textId="77777777" w:rsidR="00662C9F" w:rsidRPr="001D704A" w:rsidRDefault="00662C9F"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4CB56D0F" w14:textId="77777777" w:rsidR="00662C9F" w:rsidRPr="001D704A" w:rsidRDefault="00662C9F" w:rsidP="00123EB1">
      <w:pPr>
        <w:rPr>
          <w:rFonts w:ascii="Times New Roman" w:hAnsi="Times New Roman" w:cs="Times New Roman"/>
          <w:sz w:val="24"/>
          <w:szCs w:val="24"/>
        </w:rPr>
      </w:pPr>
    </w:p>
    <w:p w14:paraId="6725AE04" w14:textId="77777777" w:rsidR="00662C9F" w:rsidRPr="001D704A" w:rsidRDefault="00662C9F"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Article 29(1)(a) of the CRC provides that States Parties agree that the education of the child shall be directed to ‘... [t]he development of the child’s personality, talents and mental and physical abilities to their fullest potential’.</w:t>
      </w:r>
    </w:p>
    <w:p w14:paraId="2B91B9EE" w14:textId="77777777" w:rsidR="00662C9F" w:rsidRPr="001D704A" w:rsidRDefault="00662C9F" w:rsidP="00123EB1">
      <w:pPr>
        <w:rPr>
          <w:rFonts w:ascii="Times New Roman" w:hAnsi="Times New Roman" w:cs="Times New Roman"/>
          <w:sz w:val="24"/>
          <w:szCs w:val="24"/>
        </w:rPr>
      </w:pPr>
    </w:p>
    <w:p w14:paraId="10969736" w14:textId="77777777" w:rsidR="00662C9F" w:rsidRPr="001D704A" w:rsidRDefault="00662C9F" w:rsidP="00123EB1">
      <w:pPr>
        <w:rPr>
          <w:rFonts w:ascii="Times New Roman" w:hAnsi="Times New Roman" w:cs="Times New Roman"/>
          <w:sz w:val="24"/>
          <w:szCs w:val="24"/>
        </w:rPr>
      </w:pPr>
      <w:r w:rsidRPr="001D704A">
        <w:rPr>
          <w:rFonts w:ascii="Times New Roman" w:hAnsi="Times New Roman" w:cs="Times New Roman"/>
          <w:sz w:val="24"/>
          <w:szCs w:val="24"/>
        </w:rPr>
        <w:t>Article 2 of the ICESCR requires the States Parties to take steps to progressively achieve the full realisation of the rights recognised in the ICESCR by all appropriate means.</w:t>
      </w:r>
    </w:p>
    <w:p w14:paraId="7C33AB7C" w14:textId="77777777" w:rsidR="00662C9F" w:rsidRPr="001D704A" w:rsidRDefault="00662C9F" w:rsidP="00123EB1">
      <w:pPr>
        <w:rPr>
          <w:rFonts w:ascii="Times New Roman" w:hAnsi="Times New Roman" w:cs="Times New Roman"/>
          <w:sz w:val="24"/>
          <w:szCs w:val="24"/>
        </w:rPr>
      </w:pPr>
    </w:p>
    <w:p w14:paraId="6546AF14" w14:textId="77777777" w:rsidR="00662C9F" w:rsidRPr="001D704A" w:rsidRDefault="00662C9F" w:rsidP="00123EB1">
      <w:pPr>
        <w:rPr>
          <w:rFonts w:ascii="Times New Roman" w:hAnsi="Times New Roman" w:cs="Times New Roman"/>
          <w:sz w:val="24"/>
          <w:szCs w:val="24"/>
        </w:rPr>
      </w:pPr>
      <w:r w:rsidRPr="001D704A">
        <w:rPr>
          <w:rFonts w:ascii="Times New Roman" w:hAnsi="Times New Roman" w:cs="Times New Roman"/>
          <w:sz w:val="24"/>
          <w:szCs w:val="24"/>
        </w:rPr>
        <w:t>Article 13(2)(a) of the ICESCR relates to the right of everyone to primary education that is compulsory and free.</w:t>
      </w:r>
    </w:p>
    <w:p w14:paraId="63B775FE" w14:textId="77777777" w:rsidR="00662C9F" w:rsidRPr="001D704A" w:rsidRDefault="00662C9F" w:rsidP="00123EB1">
      <w:pPr>
        <w:rPr>
          <w:rFonts w:ascii="Times New Roman" w:hAnsi="Times New Roman" w:cs="Times New Roman"/>
          <w:sz w:val="24"/>
          <w:szCs w:val="24"/>
        </w:rPr>
      </w:pPr>
    </w:p>
    <w:p w14:paraId="1036886A" w14:textId="10CB5FDF" w:rsidR="00662C9F" w:rsidRPr="001D704A" w:rsidRDefault="00662C9F" w:rsidP="00123EB1">
      <w:pPr>
        <w:rPr>
          <w:rFonts w:ascii="Times New Roman" w:hAnsi="Times New Roman" w:cs="Times New Roman"/>
          <w:sz w:val="24"/>
          <w:szCs w:val="24"/>
        </w:rPr>
      </w:pPr>
      <w:r w:rsidRPr="001D704A">
        <w:rPr>
          <w:rFonts w:ascii="Times New Roman" w:hAnsi="Times New Roman" w:cs="Times New Roman"/>
          <w:sz w:val="24"/>
          <w:szCs w:val="24"/>
        </w:rPr>
        <w:t>Table item</w:t>
      </w:r>
      <w:r w:rsidR="002B090B" w:rsidRPr="001D704A">
        <w:rPr>
          <w:rFonts w:ascii="Times New Roman" w:hAnsi="Times New Roman" w:cs="Times New Roman"/>
          <w:sz w:val="24"/>
          <w:szCs w:val="24"/>
        </w:rPr>
        <w:t xml:space="preserve"> 517</w:t>
      </w:r>
      <w:r w:rsidRPr="001D704A">
        <w:rPr>
          <w:rFonts w:ascii="Times New Roman" w:hAnsi="Times New Roman" w:cs="Times New Roman"/>
          <w:sz w:val="24"/>
          <w:szCs w:val="24"/>
        </w:rPr>
        <w:t xml:space="preserve"> supports the right to education as the </w:t>
      </w:r>
      <w:r w:rsidR="002B090B" w:rsidRPr="001D704A">
        <w:rPr>
          <w:rFonts w:ascii="Times New Roman" w:hAnsi="Times New Roman" w:cs="Times New Roman"/>
          <w:sz w:val="24"/>
          <w:szCs w:val="24"/>
        </w:rPr>
        <w:t>initiative</w:t>
      </w:r>
      <w:r w:rsidRPr="001D704A">
        <w:rPr>
          <w:rFonts w:ascii="Times New Roman" w:hAnsi="Times New Roman" w:cs="Times New Roman"/>
          <w:sz w:val="24"/>
          <w:szCs w:val="24"/>
        </w:rPr>
        <w:t xml:space="preserve"> will provide funding to high performing independent schools so they can engage in formal partnerships with remote</w:t>
      </w:r>
      <w:r w:rsidR="002B090B" w:rsidRPr="001D704A">
        <w:rPr>
          <w:rFonts w:ascii="Times New Roman" w:hAnsi="Times New Roman" w:cs="Times New Roman"/>
          <w:sz w:val="24"/>
          <w:szCs w:val="24"/>
        </w:rPr>
        <w:t>,</w:t>
      </w:r>
      <w:r w:rsidRPr="001D704A">
        <w:rPr>
          <w:rFonts w:ascii="Times New Roman" w:hAnsi="Times New Roman" w:cs="Times New Roman"/>
          <w:sz w:val="24"/>
          <w:szCs w:val="24"/>
        </w:rPr>
        <w:t xml:space="preserve"> majority Indigenous schools, to improve the operations of and the education provided by the remote school, particularly in relation to teaching. This will benefit the Indigenous students targeted by this </w:t>
      </w:r>
      <w:r w:rsidR="002B090B" w:rsidRPr="001D704A">
        <w:rPr>
          <w:rFonts w:ascii="Times New Roman" w:hAnsi="Times New Roman" w:cs="Times New Roman"/>
          <w:sz w:val="24"/>
          <w:szCs w:val="24"/>
        </w:rPr>
        <w:t>initiative</w:t>
      </w:r>
      <w:r w:rsidRPr="001D704A">
        <w:rPr>
          <w:rFonts w:ascii="Times New Roman" w:hAnsi="Times New Roman" w:cs="Times New Roman"/>
          <w:sz w:val="24"/>
          <w:szCs w:val="24"/>
        </w:rPr>
        <w:t>.</w:t>
      </w:r>
    </w:p>
    <w:p w14:paraId="171BF6A5" w14:textId="77777777" w:rsidR="00662C9F" w:rsidRPr="001D704A" w:rsidRDefault="00662C9F" w:rsidP="00123EB1">
      <w:pPr>
        <w:ind w:right="-46"/>
        <w:rPr>
          <w:rFonts w:ascii="Times New Roman" w:eastAsia="Times New Roman" w:hAnsi="Times New Roman" w:cs="Times New Roman"/>
          <w:color w:val="000000"/>
          <w:sz w:val="24"/>
          <w:szCs w:val="24"/>
          <w:lang w:eastAsia="en-AU"/>
        </w:rPr>
      </w:pPr>
    </w:p>
    <w:p w14:paraId="26D1CAE5" w14:textId="62BFAF64"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59617A72" w14:textId="77777777" w:rsidR="00662C9F" w:rsidRPr="001D704A" w:rsidRDefault="00662C9F" w:rsidP="00123EB1">
      <w:pPr>
        <w:ind w:right="-46"/>
        <w:rPr>
          <w:rFonts w:ascii="Times New Roman" w:hAnsi="Times New Roman" w:cs="Times New Roman"/>
          <w:color w:val="000000" w:themeColor="text1"/>
          <w:sz w:val="24"/>
          <w:szCs w:val="24"/>
        </w:rPr>
      </w:pPr>
    </w:p>
    <w:p w14:paraId="0BA35DA8" w14:textId="0B2EBE20" w:rsidR="00662C9F" w:rsidRPr="001D704A" w:rsidRDefault="00662C9F"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2B090B" w:rsidRPr="001D704A">
        <w:rPr>
          <w:rFonts w:ascii="Times New Roman" w:hAnsi="Times New Roman" w:cs="Times New Roman"/>
          <w:color w:val="000000" w:themeColor="text1"/>
          <w:sz w:val="24"/>
          <w:szCs w:val="24"/>
        </w:rPr>
        <w:t>517</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72F988C9" w14:textId="77777777" w:rsidR="00662C9F" w:rsidRPr="001D704A" w:rsidRDefault="00662C9F" w:rsidP="00123EB1">
      <w:pPr>
        <w:ind w:right="-46"/>
        <w:rPr>
          <w:rFonts w:ascii="Times New Roman" w:hAnsi="Times New Roman" w:cs="Times New Roman"/>
          <w:i/>
          <w:color w:val="000000" w:themeColor="text1"/>
          <w:sz w:val="24"/>
          <w:szCs w:val="24"/>
          <w:u w:val="single"/>
        </w:rPr>
      </w:pPr>
    </w:p>
    <w:p w14:paraId="2D8ECCE2" w14:textId="6E3B5B45" w:rsidR="004C5A11" w:rsidRPr="001D704A" w:rsidRDefault="004C5A11" w:rsidP="00123EB1">
      <w:pPr>
        <w:ind w:right="-46"/>
        <w:rPr>
          <w:rFonts w:ascii="Times New Roman" w:hAnsi="Times New Roman" w:cs="Times New Roman"/>
          <w:i/>
          <w:color w:val="000000" w:themeColor="text1"/>
          <w:sz w:val="24"/>
          <w:szCs w:val="24"/>
        </w:rPr>
      </w:pPr>
      <w:r w:rsidRPr="001D704A">
        <w:rPr>
          <w:rFonts w:ascii="Times New Roman" w:hAnsi="Times New Roman" w:cs="Times New Roman"/>
          <w:i/>
          <w:color w:val="000000" w:themeColor="text1"/>
          <w:sz w:val="24"/>
          <w:szCs w:val="24"/>
          <w:u w:val="single"/>
        </w:rPr>
        <w:t xml:space="preserve">Table item </w:t>
      </w:r>
      <w:r w:rsidR="008D2311" w:rsidRPr="001D704A">
        <w:rPr>
          <w:rFonts w:ascii="Times New Roman" w:hAnsi="Times New Roman" w:cs="Times New Roman"/>
          <w:i/>
          <w:color w:val="000000" w:themeColor="text1"/>
          <w:sz w:val="24"/>
          <w:szCs w:val="24"/>
          <w:u w:val="single"/>
        </w:rPr>
        <w:t>518</w:t>
      </w:r>
      <w:r w:rsidRPr="001D704A">
        <w:rPr>
          <w:rFonts w:ascii="Times New Roman" w:hAnsi="Times New Roman" w:cs="Times New Roman"/>
          <w:i/>
          <w:color w:val="000000" w:themeColor="text1"/>
          <w:sz w:val="24"/>
          <w:szCs w:val="24"/>
          <w:u w:val="single"/>
        </w:rPr>
        <w:t xml:space="preserve"> – </w:t>
      </w:r>
      <w:r w:rsidRPr="001D704A">
        <w:rPr>
          <w:rFonts w:ascii="Times New Roman" w:hAnsi="Times New Roman"/>
          <w:i/>
          <w:sz w:val="24"/>
          <w:szCs w:val="24"/>
          <w:u w:val="single"/>
          <w:lang w:val="en-GB"/>
        </w:rPr>
        <w:t>Migra</w:t>
      </w:r>
      <w:r w:rsidR="008D2311" w:rsidRPr="001D704A">
        <w:rPr>
          <w:rFonts w:ascii="Times New Roman" w:hAnsi="Times New Roman"/>
          <w:i/>
          <w:sz w:val="24"/>
          <w:szCs w:val="24"/>
          <w:u w:val="single"/>
          <w:lang w:val="en-GB"/>
        </w:rPr>
        <w:t>nt</w:t>
      </w:r>
      <w:r w:rsidRPr="001D704A">
        <w:rPr>
          <w:rFonts w:ascii="Times New Roman" w:hAnsi="Times New Roman"/>
          <w:i/>
          <w:sz w:val="24"/>
          <w:szCs w:val="24"/>
          <w:u w:val="single"/>
          <w:lang w:val="en-GB"/>
        </w:rPr>
        <w:t xml:space="preserve"> Skills Incentives</w:t>
      </w:r>
    </w:p>
    <w:p w14:paraId="5A56B871" w14:textId="77777777" w:rsidR="004C5A11" w:rsidRPr="001D704A" w:rsidRDefault="004C5A11" w:rsidP="00123EB1">
      <w:pPr>
        <w:ind w:right="-46"/>
        <w:rPr>
          <w:rFonts w:ascii="Times New Roman" w:hAnsi="Times New Roman" w:cs="Times New Roman"/>
          <w:i/>
          <w:color w:val="000000" w:themeColor="text1"/>
          <w:sz w:val="24"/>
          <w:szCs w:val="24"/>
          <w:u w:val="single"/>
        </w:rPr>
      </w:pPr>
    </w:p>
    <w:p w14:paraId="4BEEA5AF" w14:textId="6830154E" w:rsidR="004C5A11" w:rsidRPr="001D704A" w:rsidRDefault="004C5A11" w:rsidP="00123EB1">
      <w:pPr>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w:t>
      </w:r>
      <w:r w:rsidR="00BA12A8" w:rsidRPr="001D704A">
        <w:rPr>
          <w:rFonts w:ascii="Times New Roman" w:hAnsi="Times New Roman" w:cs="Times New Roman"/>
          <w:color w:val="000000" w:themeColor="text1"/>
          <w:sz w:val="24"/>
          <w:szCs w:val="24"/>
        </w:rPr>
        <w:t xml:space="preserve"> 518</w:t>
      </w:r>
      <w:r w:rsidRPr="001D704A">
        <w:rPr>
          <w:rFonts w:ascii="Times New Roman" w:hAnsi="Times New Roman" w:cs="Times New Roman"/>
          <w:color w:val="000000" w:themeColor="text1"/>
          <w:sz w:val="24"/>
          <w:szCs w:val="24"/>
        </w:rPr>
        <w:t xml:space="preserve"> establishes legislative authority for government spending on incentives to increase the number of skilled migrants who can contribute to the Australian workforce at an appropriate skill level, by funding the development, promotion and provision of skills assessments, employability assessments and skills training (the project).</w:t>
      </w:r>
    </w:p>
    <w:p w14:paraId="1D57143A" w14:textId="77777777" w:rsidR="004C5A11" w:rsidRPr="001D704A" w:rsidRDefault="004C5A11" w:rsidP="00123EB1">
      <w:pPr>
        <w:rPr>
          <w:rFonts w:ascii="Times New Roman" w:hAnsi="Times New Roman" w:cs="Times New Roman"/>
          <w:color w:val="000000" w:themeColor="text1"/>
          <w:sz w:val="24"/>
          <w:szCs w:val="24"/>
        </w:rPr>
      </w:pPr>
    </w:p>
    <w:p w14:paraId="30AFACE5" w14:textId="77777777"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s="Times New Roman"/>
          <w:color w:val="000000" w:themeColor="text1"/>
          <w:sz w:val="24"/>
          <w:szCs w:val="24"/>
        </w:rPr>
        <w:t xml:space="preserve">The project will target particular cohorts of migrants who have a qualification and/or skills directly relevant to priority occupations identified by the National Skills Commission (NSC). Priority occupations may include those listed on the NSC’s Skills Priority List (SPL) that are both in shortage and, depending on the cohort, in strong demand, or they may be in soft, moderate or strong future demand. The overall policy objective of the project is to increase the number of onshore migrants with unrecognised or under-recognised skills who are available to contribute to the Australian workforce. </w:t>
      </w:r>
    </w:p>
    <w:p w14:paraId="5E888D07" w14:textId="77777777" w:rsidR="004C5A11" w:rsidRPr="001D704A" w:rsidRDefault="004C5A11" w:rsidP="00123EB1">
      <w:pPr>
        <w:rPr>
          <w:rFonts w:ascii="Times New Roman" w:hAnsi="Times New Roman"/>
          <w:color w:val="000000" w:themeColor="text1"/>
          <w:sz w:val="24"/>
          <w:szCs w:val="24"/>
        </w:rPr>
      </w:pPr>
    </w:p>
    <w:p w14:paraId="37973C74" w14:textId="77777777"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In this statement of compatibility with human rights, the term ‘assessing authority’ means an entity that has been prescribed as the relevant assessing authority for specified occupations under the migration legislation (see section 2.26B of the </w:t>
      </w:r>
      <w:r w:rsidRPr="001D704A">
        <w:rPr>
          <w:rFonts w:ascii="Times New Roman" w:hAnsi="Times New Roman"/>
          <w:i/>
          <w:color w:val="000000" w:themeColor="text1"/>
          <w:sz w:val="24"/>
          <w:szCs w:val="24"/>
        </w:rPr>
        <w:t>Migration Regulations 1994</w:t>
      </w:r>
      <w:r w:rsidRPr="001D704A">
        <w:rPr>
          <w:rFonts w:ascii="Times New Roman" w:hAnsi="Times New Roman"/>
          <w:color w:val="000000" w:themeColor="text1"/>
          <w:sz w:val="24"/>
          <w:szCs w:val="24"/>
        </w:rPr>
        <w:t xml:space="preserve">). Assessing authorities include peak bodies (such as the Australian Computer Society), registration bodies (such as the Australian Dental Council) and government organisations (such as the Australian Institute for Teaching and School Leadership). </w:t>
      </w:r>
    </w:p>
    <w:p w14:paraId="3FF71218" w14:textId="77777777" w:rsidR="004C5A11" w:rsidRPr="001D704A" w:rsidRDefault="004C5A11" w:rsidP="00123EB1">
      <w:pPr>
        <w:rPr>
          <w:rFonts w:ascii="Times New Roman" w:hAnsi="Times New Roman"/>
          <w:color w:val="000000" w:themeColor="text1"/>
          <w:sz w:val="24"/>
          <w:szCs w:val="24"/>
        </w:rPr>
      </w:pPr>
    </w:p>
    <w:p w14:paraId="047E0867" w14:textId="77777777" w:rsidR="004C5A11" w:rsidRPr="001D704A" w:rsidRDefault="004C5A11" w:rsidP="00123EB1">
      <w:pPr>
        <w:rPr>
          <w:rFonts w:ascii="Times New Roman" w:hAnsi="Times New Roman"/>
          <w:color w:val="000000" w:themeColor="text1"/>
          <w:sz w:val="24"/>
          <w:szCs w:val="24"/>
        </w:rPr>
      </w:pPr>
      <w:r w:rsidRPr="001D704A">
        <w:rPr>
          <w:rFonts w:ascii="Times New Roman" w:hAnsi="Times New Roman"/>
          <w:color w:val="000000" w:themeColor="text1"/>
          <w:sz w:val="24"/>
          <w:szCs w:val="24"/>
        </w:rPr>
        <w:t>The department will establish contracts with assessing authorities to support the delivery of the project. This includes:</w:t>
      </w:r>
    </w:p>
    <w:p w14:paraId="7214F72F" w14:textId="77777777" w:rsidR="004C5A11" w:rsidRPr="001D704A" w:rsidRDefault="004C5A11" w:rsidP="00123EB1">
      <w:pPr>
        <w:pStyle w:val="ListParagraph"/>
        <w:numPr>
          <w:ilvl w:val="0"/>
          <w:numId w:val="19"/>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undertaking free skills assessments for those migrants who do not require skills assessments as a condition of their visa but whose employment prospects in a priority occupation may improve as a result of having one; and</w:t>
      </w:r>
    </w:p>
    <w:p w14:paraId="295BC6E1" w14:textId="77777777" w:rsidR="004C5A11" w:rsidRPr="001D704A" w:rsidRDefault="004C5A11" w:rsidP="00123EB1">
      <w:pPr>
        <w:pStyle w:val="ListParagraph"/>
        <w:numPr>
          <w:ilvl w:val="0"/>
          <w:numId w:val="19"/>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offering a free employability assessment to skilled migrants who have already received a suitable skills assessment outcome and are working beneath their skill level, and subsidised training if required.</w:t>
      </w:r>
    </w:p>
    <w:p w14:paraId="40E96281" w14:textId="77777777" w:rsidR="004C5A11" w:rsidRPr="001D704A" w:rsidRDefault="004C5A11" w:rsidP="00123EB1">
      <w:pPr>
        <w:ind w:right="-46"/>
        <w:rPr>
          <w:rFonts w:ascii="Times New Roman" w:hAnsi="Times New Roman" w:cs="Times New Roman"/>
          <w:i/>
          <w:color w:val="000000" w:themeColor="text1"/>
          <w:sz w:val="24"/>
          <w:szCs w:val="24"/>
          <w:u w:val="single"/>
        </w:rPr>
      </w:pPr>
    </w:p>
    <w:p w14:paraId="5474D49D" w14:textId="77777777" w:rsidR="004C5A11" w:rsidRPr="001D704A" w:rsidRDefault="004C5A11"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210D7E80" w14:textId="77777777" w:rsidR="004C5A11" w:rsidRPr="001D704A" w:rsidRDefault="004C5A11" w:rsidP="00123EB1">
      <w:pPr>
        <w:ind w:right="-46"/>
        <w:rPr>
          <w:rFonts w:ascii="Times New Roman" w:hAnsi="Times New Roman" w:cs="Times New Roman"/>
          <w:color w:val="000000" w:themeColor="text1"/>
          <w:sz w:val="24"/>
          <w:szCs w:val="24"/>
        </w:rPr>
      </w:pPr>
    </w:p>
    <w:p w14:paraId="1DBACAD2" w14:textId="7D96657C" w:rsidR="004C5A11" w:rsidRPr="001D704A" w:rsidRDefault="004C5A11"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 xml:space="preserve">able item </w:t>
      </w:r>
      <w:r w:rsidR="00FB6C25" w:rsidRPr="001D704A">
        <w:rPr>
          <w:rFonts w:ascii="Times New Roman" w:hAnsi="Times New Roman" w:cs="Times New Roman"/>
          <w:color w:val="000000" w:themeColor="text1"/>
          <w:sz w:val="24"/>
          <w:szCs w:val="24"/>
        </w:rPr>
        <w:t>518</w:t>
      </w:r>
      <w:r w:rsidRPr="001D704A">
        <w:rPr>
          <w:rFonts w:ascii="Times New Roman" w:eastAsia="Times New Roman" w:hAnsi="Times New Roman" w:cs="Times New Roman"/>
          <w:color w:val="000000"/>
          <w:sz w:val="24"/>
          <w:szCs w:val="24"/>
          <w:lang w:eastAsia="en-AU"/>
        </w:rPr>
        <w:t xml:space="preserve"> engages the following right:</w:t>
      </w:r>
    </w:p>
    <w:p w14:paraId="2203975C" w14:textId="47E460B9" w:rsidR="004C5A11" w:rsidRPr="001D704A" w:rsidRDefault="004C5A11" w:rsidP="00123EB1">
      <w:pPr>
        <w:pStyle w:val="ListParagraph"/>
        <w:numPr>
          <w:ilvl w:val="0"/>
          <w:numId w:val="20"/>
        </w:numPr>
        <w:spacing w:after="0" w:line="240" w:lineRule="auto"/>
        <w:rPr>
          <w:rFonts w:ascii="Times New Roman" w:hAnsi="Times New Roman"/>
          <w:color w:val="000000" w:themeColor="text1"/>
          <w:sz w:val="24"/>
          <w:szCs w:val="24"/>
        </w:rPr>
      </w:pPr>
      <w:r w:rsidRPr="001D704A">
        <w:rPr>
          <w:rFonts w:ascii="Times New Roman" w:hAnsi="Times New Roman"/>
          <w:color w:val="000000" w:themeColor="text1"/>
          <w:sz w:val="24"/>
          <w:szCs w:val="24"/>
        </w:rPr>
        <w:t xml:space="preserve">right to work – Article 6 of the ICESCR, read with Article 2, and Article 1 of the International Labour Organization’s </w:t>
      </w:r>
      <w:r w:rsidRPr="001D704A">
        <w:rPr>
          <w:rFonts w:ascii="Times New Roman" w:hAnsi="Times New Roman"/>
          <w:i/>
          <w:color w:val="000000" w:themeColor="text1"/>
          <w:sz w:val="24"/>
          <w:szCs w:val="24"/>
        </w:rPr>
        <w:t>Convention concerning Employment Policy</w:t>
      </w:r>
      <w:r w:rsidRPr="001D704A">
        <w:rPr>
          <w:rFonts w:ascii="Times New Roman" w:hAnsi="Times New Roman"/>
          <w:color w:val="000000" w:themeColor="text1"/>
          <w:sz w:val="24"/>
          <w:szCs w:val="24"/>
        </w:rPr>
        <w:t xml:space="preserve"> (ILO Convention 122).</w:t>
      </w:r>
    </w:p>
    <w:p w14:paraId="7ED25951" w14:textId="77777777" w:rsidR="004C5A11" w:rsidRPr="001D704A" w:rsidRDefault="004C5A11" w:rsidP="00123EB1">
      <w:pPr>
        <w:rPr>
          <w:rFonts w:ascii="Times New Roman" w:hAnsi="Times New Roman" w:cs="Times New Roman"/>
          <w:i/>
          <w:iCs/>
          <w:sz w:val="24"/>
          <w:szCs w:val="24"/>
        </w:rPr>
      </w:pPr>
    </w:p>
    <w:p w14:paraId="66B981C4" w14:textId="77777777" w:rsidR="004C5A11" w:rsidRPr="001D704A" w:rsidRDefault="004C5A11" w:rsidP="00123EB1">
      <w:pPr>
        <w:rPr>
          <w:rFonts w:ascii="Times New Roman" w:hAnsi="Times New Roman" w:cs="Times New Roman"/>
          <w:i/>
          <w:iCs/>
          <w:sz w:val="24"/>
          <w:szCs w:val="24"/>
          <w:u w:val="single"/>
        </w:rPr>
      </w:pPr>
      <w:r w:rsidRPr="001D704A">
        <w:rPr>
          <w:rFonts w:ascii="Times New Roman" w:hAnsi="Times New Roman" w:cs="Times New Roman"/>
          <w:i/>
          <w:iCs/>
          <w:sz w:val="24"/>
          <w:szCs w:val="24"/>
          <w:u w:val="single"/>
        </w:rPr>
        <w:t>Right to work</w:t>
      </w:r>
    </w:p>
    <w:p w14:paraId="75B43A74" w14:textId="77777777" w:rsidR="004C5A11" w:rsidRPr="001D704A" w:rsidRDefault="004C5A11" w:rsidP="00123EB1">
      <w:pPr>
        <w:rPr>
          <w:rFonts w:ascii="Times New Roman" w:hAnsi="Times New Roman" w:cs="Times New Roman"/>
          <w:sz w:val="24"/>
          <w:szCs w:val="24"/>
        </w:rPr>
      </w:pPr>
    </w:p>
    <w:p w14:paraId="1E3376D1" w14:textId="77777777" w:rsidR="004C5A11" w:rsidRPr="001D704A" w:rsidRDefault="004C5A11" w:rsidP="00123EB1">
      <w:pPr>
        <w:rPr>
          <w:rFonts w:ascii="Times New Roman" w:hAnsi="Times New Roman" w:cs="Times New Roman"/>
          <w:sz w:val="24"/>
          <w:szCs w:val="24"/>
        </w:rPr>
      </w:pPr>
      <w:r w:rsidRPr="001D704A">
        <w:rPr>
          <w:rFonts w:ascii="Times New Roman" w:hAnsi="Times New Roman" w:cs="Times New Roman"/>
          <w:sz w:val="24"/>
          <w:szCs w:val="24"/>
        </w:rPr>
        <w:t xml:space="preserve">Article 2(1) of the ICESCR provides that each State Party to the ICESCR undertakes to take steps to progressively achieve the full realisation of the rights recognised in the ICESCR by all appropriate means, including particularly the adoption of legislative measures. </w:t>
      </w:r>
    </w:p>
    <w:p w14:paraId="37620160" w14:textId="77777777" w:rsidR="004C5A11" w:rsidRPr="001D704A" w:rsidRDefault="004C5A11" w:rsidP="00123EB1">
      <w:pPr>
        <w:rPr>
          <w:rFonts w:ascii="Times New Roman" w:hAnsi="Times New Roman" w:cs="Times New Roman"/>
          <w:sz w:val="24"/>
          <w:szCs w:val="24"/>
        </w:rPr>
      </w:pPr>
    </w:p>
    <w:p w14:paraId="45DB845C" w14:textId="77777777" w:rsidR="004C5A11" w:rsidRPr="001D704A" w:rsidRDefault="004C5A11" w:rsidP="00123EB1">
      <w:pPr>
        <w:rPr>
          <w:rFonts w:ascii="Times New Roman" w:hAnsi="Times New Roman" w:cs="Times New Roman"/>
          <w:sz w:val="24"/>
          <w:szCs w:val="24"/>
        </w:rPr>
      </w:pPr>
      <w:r w:rsidRPr="001D704A">
        <w:rPr>
          <w:rFonts w:ascii="Times New Roman" w:hAnsi="Times New Roman"/>
          <w:sz w:val="24"/>
          <w:szCs w:val="24"/>
        </w:rPr>
        <w:t xml:space="preserve">Article 6(1) of the ICESCR provides that the States Parties to the ICESCR recognise the right to work. </w:t>
      </w:r>
      <w:r w:rsidRPr="001D704A">
        <w:rPr>
          <w:rFonts w:ascii="Times New Roman" w:hAnsi="Times New Roman" w:cs="Times New Roman"/>
          <w:sz w:val="24"/>
          <w:szCs w:val="24"/>
        </w:rPr>
        <w:t>Article 6(2) of the ICESCR sets out the steps to be taken by the States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11719803" w14:textId="77777777" w:rsidR="004C5A11" w:rsidRPr="001D704A" w:rsidRDefault="004C5A11" w:rsidP="00123EB1">
      <w:pPr>
        <w:rPr>
          <w:rFonts w:ascii="Times New Roman" w:hAnsi="Times New Roman" w:cs="Times New Roman"/>
          <w:sz w:val="24"/>
          <w:szCs w:val="24"/>
        </w:rPr>
      </w:pPr>
    </w:p>
    <w:p w14:paraId="4DE175B8" w14:textId="77777777" w:rsidR="004C5A11" w:rsidRPr="001D704A" w:rsidRDefault="004C5A11" w:rsidP="00123EB1">
      <w:pPr>
        <w:keepNext/>
        <w:rPr>
          <w:rFonts w:ascii="Times New Roman" w:hAnsi="Times New Roman"/>
          <w:sz w:val="24"/>
          <w:szCs w:val="24"/>
        </w:rPr>
      </w:pPr>
      <w:r w:rsidRPr="001D704A">
        <w:rPr>
          <w:rFonts w:ascii="Times New Roman" w:hAnsi="Times New Roman"/>
          <w:sz w:val="24"/>
          <w:szCs w:val="24"/>
        </w:rPr>
        <w:t xml:space="preserve">Article 1(1) of the ILO Convention 122 provides that, with a view to stimulating economic growth and development, raising levels of living standards, meeting workforce requirements and overcoming unemployment and underemployment, each Member shall declare and pursue, as a major goal, an active policy designed to promote full, productive and freely chosen employment. That policy should, among other things, be aimed at ensuring that there is work for all who are available and seeking work; such work is as productive as possible; and there is freedom of employment and the fullest possible opportunity for each worker to engage in work for which he is qualified and skilled to do. </w:t>
      </w:r>
    </w:p>
    <w:p w14:paraId="5D6DEA62" w14:textId="77777777" w:rsidR="004C5A11" w:rsidRPr="001D704A" w:rsidRDefault="004C5A11" w:rsidP="00123EB1">
      <w:pPr>
        <w:keepNext/>
        <w:rPr>
          <w:rFonts w:ascii="Times New Roman" w:hAnsi="Times New Roman"/>
          <w:sz w:val="24"/>
          <w:szCs w:val="24"/>
        </w:rPr>
      </w:pPr>
      <w:r w:rsidRPr="001D704A">
        <w:rPr>
          <w:rFonts w:ascii="Times New Roman" w:hAnsi="Times New Roman"/>
          <w:sz w:val="24"/>
          <w:szCs w:val="24"/>
        </w:rPr>
        <w:t xml:space="preserve"> </w:t>
      </w:r>
    </w:p>
    <w:p w14:paraId="5CC5A9EF" w14:textId="564D3CAB" w:rsidR="004C5A11" w:rsidRPr="001D704A" w:rsidRDefault="004C5A11" w:rsidP="00123EB1">
      <w:pPr>
        <w:rPr>
          <w:rFonts w:ascii="Times New Roman" w:hAnsi="Times New Roman"/>
          <w:sz w:val="24"/>
          <w:szCs w:val="24"/>
        </w:rPr>
      </w:pPr>
      <w:r w:rsidRPr="001D704A">
        <w:rPr>
          <w:rFonts w:ascii="Times New Roman" w:hAnsi="Times New Roman"/>
          <w:sz w:val="24"/>
          <w:szCs w:val="24"/>
        </w:rPr>
        <w:t xml:space="preserve">Table item </w:t>
      </w:r>
      <w:r w:rsidR="00FB6C25" w:rsidRPr="001D704A">
        <w:rPr>
          <w:rFonts w:ascii="Times New Roman" w:hAnsi="Times New Roman"/>
          <w:sz w:val="24"/>
          <w:szCs w:val="24"/>
        </w:rPr>
        <w:t>518</w:t>
      </w:r>
      <w:r w:rsidRPr="001D704A">
        <w:rPr>
          <w:rFonts w:ascii="Times New Roman" w:hAnsi="Times New Roman"/>
          <w:sz w:val="24"/>
          <w:szCs w:val="24"/>
        </w:rPr>
        <w:t xml:space="preserve"> promotes the right to work as expressed in the relevant Articles of the treaties above by providing particular classes of individuals – in this case, migrants with particular skills relevant to priority occupations – with the opportunity to overcome underemployment, freely access employment opportunities for which they are appropriately qualified, and therefore potentially improve their overall standards of living. </w:t>
      </w:r>
    </w:p>
    <w:p w14:paraId="26152B17" w14:textId="77777777" w:rsidR="004C5A11" w:rsidRPr="001D704A" w:rsidRDefault="004C5A11" w:rsidP="00123EB1">
      <w:pPr>
        <w:rPr>
          <w:rFonts w:ascii="Times New Roman" w:hAnsi="Times New Roman"/>
          <w:sz w:val="24"/>
          <w:szCs w:val="24"/>
        </w:rPr>
      </w:pPr>
    </w:p>
    <w:p w14:paraId="1522CF19" w14:textId="77777777" w:rsidR="004C5A11" w:rsidRPr="001D704A" w:rsidRDefault="004C5A11" w:rsidP="00123EB1">
      <w:pPr>
        <w:rPr>
          <w:rFonts w:ascii="Times New Roman" w:hAnsi="Times New Roman"/>
          <w:sz w:val="24"/>
          <w:szCs w:val="24"/>
        </w:rPr>
      </w:pPr>
      <w:r w:rsidRPr="001D704A">
        <w:rPr>
          <w:rFonts w:ascii="Times New Roman" w:hAnsi="Times New Roman"/>
          <w:sz w:val="24"/>
          <w:szCs w:val="24"/>
        </w:rPr>
        <w:t xml:space="preserve">This measure will also contribute to a broader policy aimed at stimulating economic growth and development by supporting eligible individuals to participate as productively as possible in the workforce. This includes, as Article 6 of the ICESCR envisions, providing individuals with access to additional vocational training that complements their existing skills and qualifications to improve their overall employment prospects.  </w:t>
      </w:r>
    </w:p>
    <w:p w14:paraId="736FBF55" w14:textId="77777777" w:rsidR="004C5A11" w:rsidRPr="001D704A" w:rsidRDefault="004C5A11" w:rsidP="00123EB1">
      <w:pPr>
        <w:rPr>
          <w:rFonts w:ascii="Times New Roman" w:hAnsi="Times New Roman" w:cs="Times New Roman"/>
          <w:sz w:val="24"/>
          <w:szCs w:val="24"/>
        </w:rPr>
      </w:pPr>
    </w:p>
    <w:p w14:paraId="210C0423" w14:textId="77777777" w:rsidR="004C5A11" w:rsidRPr="001D704A" w:rsidRDefault="004C5A11"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650767B0" w14:textId="77777777" w:rsidR="004C5A11" w:rsidRPr="001D704A" w:rsidRDefault="004C5A11" w:rsidP="00123EB1">
      <w:pPr>
        <w:ind w:right="-46"/>
        <w:rPr>
          <w:rFonts w:ascii="Times New Roman" w:hAnsi="Times New Roman" w:cs="Times New Roman"/>
          <w:color w:val="000000" w:themeColor="text1"/>
          <w:sz w:val="24"/>
          <w:szCs w:val="24"/>
        </w:rPr>
      </w:pPr>
    </w:p>
    <w:p w14:paraId="6821B4E2" w14:textId="744E8F77" w:rsidR="004C5A11" w:rsidRPr="001D704A" w:rsidRDefault="004C5A11"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FB6C25" w:rsidRPr="001D704A">
        <w:rPr>
          <w:rFonts w:ascii="Times New Roman" w:hAnsi="Times New Roman" w:cs="Times New Roman"/>
          <w:color w:val="000000" w:themeColor="text1"/>
          <w:sz w:val="24"/>
          <w:szCs w:val="24"/>
        </w:rPr>
        <w:t>518</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2C4D169F" w14:textId="669038FD" w:rsidR="00337D61" w:rsidRPr="001D704A" w:rsidRDefault="00337D61" w:rsidP="00123EB1">
      <w:pPr>
        <w:ind w:right="-46"/>
        <w:rPr>
          <w:rFonts w:ascii="Times New Roman" w:hAnsi="Times New Roman" w:cs="Times New Roman"/>
          <w:color w:val="000000" w:themeColor="text1"/>
          <w:sz w:val="24"/>
          <w:szCs w:val="24"/>
        </w:rPr>
      </w:pPr>
    </w:p>
    <w:p w14:paraId="73B85009" w14:textId="2E66C91C" w:rsidR="00EA17DC" w:rsidRPr="001D704A" w:rsidRDefault="00EA17DC"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Table item</w:t>
      </w:r>
      <w:r w:rsidR="00794620" w:rsidRPr="001D704A">
        <w:rPr>
          <w:rFonts w:ascii="Times New Roman" w:hAnsi="Times New Roman" w:cs="Times New Roman"/>
          <w:i/>
          <w:color w:val="000000" w:themeColor="text1"/>
          <w:sz w:val="24"/>
          <w:szCs w:val="24"/>
          <w:u w:val="single"/>
        </w:rPr>
        <w:t xml:space="preserve"> 519</w:t>
      </w:r>
      <w:r w:rsidRPr="001D704A">
        <w:rPr>
          <w:rFonts w:ascii="Times New Roman" w:hAnsi="Times New Roman" w:cs="Times New Roman"/>
          <w:i/>
          <w:color w:val="000000" w:themeColor="text1"/>
          <w:sz w:val="24"/>
          <w:szCs w:val="24"/>
          <w:u w:val="single"/>
        </w:rPr>
        <w:t xml:space="preserve"> – Skills for Education and Employment Program</w:t>
      </w:r>
    </w:p>
    <w:p w14:paraId="00E36056" w14:textId="77777777" w:rsidR="00EA17DC" w:rsidRPr="001D704A" w:rsidRDefault="00EA17DC" w:rsidP="00123EB1">
      <w:pPr>
        <w:ind w:right="-46"/>
        <w:rPr>
          <w:rFonts w:ascii="Times New Roman" w:hAnsi="Times New Roman" w:cs="Times New Roman"/>
          <w:color w:val="000000" w:themeColor="text1"/>
          <w:sz w:val="24"/>
          <w:szCs w:val="24"/>
          <w:u w:val="single"/>
        </w:rPr>
      </w:pPr>
    </w:p>
    <w:p w14:paraId="2DF3687C" w14:textId="6684B89B" w:rsidR="00EA17DC" w:rsidRPr="001D704A" w:rsidRDefault="00EA17DC"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New </w:t>
      </w:r>
      <w:r w:rsidRPr="001D704A">
        <w:rPr>
          <w:rFonts w:ascii="Times New Roman" w:hAnsi="Times New Roman" w:cs="Times New Roman"/>
          <w:b/>
          <w:iCs/>
          <w:color w:val="000000" w:themeColor="text1"/>
          <w:sz w:val="24"/>
          <w:szCs w:val="24"/>
        </w:rPr>
        <w:t xml:space="preserve">table item </w:t>
      </w:r>
      <w:r w:rsidR="00794620" w:rsidRPr="001D704A">
        <w:rPr>
          <w:rFonts w:ascii="Times New Roman" w:hAnsi="Times New Roman" w:cs="Times New Roman"/>
          <w:b/>
          <w:iCs/>
          <w:color w:val="000000" w:themeColor="text1"/>
          <w:sz w:val="24"/>
          <w:szCs w:val="24"/>
        </w:rPr>
        <w:t>519</w:t>
      </w:r>
      <w:r w:rsidRPr="001D704A">
        <w:rPr>
          <w:rFonts w:ascii="Times New Roman" w:hAnsi="Times New Roman" w:cs="Times New Roman"/>
          <w:iCs/>
          <w:color w:val="000000" w:themeColor="text1"/>
          <w:sz w:val="24"/>
          <w:szCs w:val="24"/>
        </w:rPr>
        <w:t xml:space="preserve"> establishes (and renews) legislative authority for government spending on the Skills for Education and Employment Program (</w:t>
      </w:r>
      <w:r w:rsidR="00794620" w:rsidRPr="001D704A">
        <w:rPr>
          <w:rFonts w:ascii="Times New Roman" w:hAnsi="Times New Roman" w:cs="Times New Roman"/>
          <w:iCs/>
          <w:color w:val="000000" w:themeColor="text1"/>
          <w:sz w:val="24"/>
          <w:szCs w:val="24"/>
        </w:rPr>
        <w:t>the p</w:t>
      </w:r>
      <w:r w:rsidRPr="001D704A">
        <w:rPr>
          <w:rFonts w:ascii="Times New Roman" w:hAnsi="Times New Roman" w:cs="Times New Roman"/>
          <w:iCs/>
          <w:color w:val="000000" w:themeColor="text1"/>
          <w:sz w:val="24"/>
          <w:szCs w:val="24"/>
        </w:rPr>
        <w:t>rogram)</w:t>
      </w:r>
      <w:r w:rsidR="00794620" w:rsidRPr="001D704A">
        <w:rPr>
          <w:rFonts w:ascii="Times New Roman" w:hAnsi="Times New Roman" w:cs="Times New Roman"/>
          <w:iCs/>
          <w:color w:val="000000" w:themeColor="text1"/>
          <w:sz w:val="24"/>
          <w:szCs w:val="24"/>
        </w:rPr>
        <w:t>,</w:t>
      </w:r>
      <w:r w:rsidRPr="001D704A">
        <w:rPr>
          <w:rFonts w:ascii="Times New Roman" w:hAnsi="Times New Roman" w:cs="Times New Roman"/>
          <w:iCs/>
          <w:color w:val="000000" w:themeColor="text1"/>
          <w:sz w:val="24"/>
          <w:szCs w:val="24"/>
        </w:rPr>
        <w:t xml:space="preserve"> which </w:t>
      </w:r>
      <w:r w:rsidRPr="001D704A">
        <w:rPr>
          <w:rFonts w:ascii="Times New Roman" w:hAnsi="Times New Roman" w:cs="Times New Roman"/>
          <w:sz w:val="24"/>
          <w:szCs w:val="24"/>
        </w:rPr>
        <w:t xml:space="preserve">provides language, literacy, numeracy </w:t>
      </w:r>
      <w:r w:rsidR="00794620" w:rsidRPr="001D704A">
        <w:rPr>
          <w:rFonts w:ascii="Times New Roman" w:hAnsi="Times New Roman" w:cs="Times New Roman"/>
          <w:sz w:val="24"/>
          <w:szCs w:val="24"/>
        </w:rPr>
        <w:t xml:space="preserve">and digital skills </w:t>
      </w:r>
      <w:r w:rsidRPr="001D704A">
        <w:rPr>
          <w:rFonts w:ascii="Times New Roman" w:hAnsi="Times New Roman" w:cs="Times New Roman"/>
          <w:sz w:val="24"/>
          <w:szCs w:val="24"/>
        </w:rPr>
        <w:t xml:space="preserve">training to eligible job seekers, boosting their prospects for further education and employment opportunities. </w:t>
      </w:r>
    </w:p>
    <w:p w14:paraId="6DFC1B16" w14:textId="77777777" w:rsidR="00EA17DC" w:rsidRPr="001D704A" w:rsidRDefault="00EA17DC" w:rsidP="00123EB1">
      <w:pPr>
        <w:rPr>
          <w:rFonts w:ascii="Times New Roman" w:hAnsi="Times New Roman" w:cs="Times New Roman"/>
          <w:sz w:val="24"/>
          <w:szCs w:val="24"/>
        </w:rPr>
      </w:pPr>
    </w:p>
    <w:p w14:paraId="74CF3464" w14:textId="4AE3FDA8" w:rsidR="00EA17DC" w:rsidRPr="001D704A" w:rsidRDefault="00EA17DC" w:rsidP="00123EB1">
      <w:pPr>
        <w:rPr>
          <w:rFonts w:ascii="Times New Roman" w:hAnsi="Times New Roman" w:cs="Times New Roman"/>
          <w:sz w:val="24"/>
          <w:szCs w:val="24"/>
        </w:rPr>
      </w:pPr>
      <w:r w:rsidRPr="001D704A">
        <w:rPr>
          <w:rFonts w:ascii="Times New Roman" w:hAnsi="Times New Roman" w:cs="Times New Roman"/>
          <w:sz w:val="24"/>
          <w:szCs w:val="24"/>
        </w:rPr>
        <w:t xml:space="preserve">The </w:t>
      </w:r>
      <w:r w:rsidR="00794620" w:rsidRPr="001D704A">
        <w:rPr>
          <w:rFonts w:ascii="Times New Roman" w:hAnsi="Times New Roman" w:cs="Times New Roman"/>
          <w:sz w:val="24"/>
          <w:szCs w:val="24"/>
        </w:rPr>
        <w:t>p</w:t>
      </w:r>
      <w:r w:rsidRPr="001D704A">
        <w:rPr>
          <w:rFonts w:ascii="Times New Roman" w:hAnsi="Times New Roman" w:cs="Times New Roman"/>
          <w:sz w:val="24"/>
          <w:szCs w:val="24"/>
        </w:rPr>
        <w:t>rogram was established in 2002 when the Literacy and Numeracy program was amalgamated with the Advance</w:t>
      </w:r>
      <w:r w:rsidR="00794620" w:rsidRPr="001D704A">
        <w:rPr>
          <w:rFonts w:ascii="Times New Roman" w:hAnsi="Times New Roman" w:cs="Times New Roman"/>
          <w:sz w:val="24"/>
          <w:szCs w:val="24"/>
        </w:rPr>
        <w:t>d</w:t>
      </w:r>
      <w:r w:rsidRPr="001D704A">
        <w:rPr>
          <w:rFonts w:ascii="Times New Roman" w:hAnsi="Times New Roman" w:cs="Times New Roman"/>
          <w:sz w:val="24"/>
          <w:szCs w:val="24"/>
        </w:rPr>
        <w:t xml:space="preserve"> English for Migrant</w:t>
      </w:r>
      <w:r w:rsidR="00794620" w:rsidRPr="001D704A">
        <w:rPr>
          <w:rFonts w:ascii="Times New Roman" w:hAnsi="Times New Roman" w:cs="Times New Roman"/>
          <w:sz w:val="24"/>
          <w:szCs w:val="24"/>
        </w:rPr>
        <w:t>s</w:t>
      </w:r>
      <w:r w:rsidRPr="001D704A">
        <w:rPr>
          <w:rFonts w:ascii="Times New Roman" w:hAnsi="Times New Roman" w:cs="Times New Roman"/>
          <w:sz w:val="24"/>
          <w:szCs w:val="24"/>
        </w:rPr>
        <w:t xml:space="preserve"> Program. The current </w:t>
      </w:r>
      <w:r w:rsidR="00794620" w:rsidRPr="001D704A">
        <w:rPr>
          <w:rFonts w:ascii="Times New Roman" w:hAnsi="Times New Roman" w:cs="Times New Roman"/>
          <w:sz w:val="24"/>
          <w:szCs w:val="24"/>
        </w:rPr>
        <w:t>p</w:t>
      </w:r>
      <w:r w:rsidRPr="001D704A">
        <w:rPr>
          <w:rFonts w:ascii="Times New Roman" w:hAnsi="Times New Roman" w:cs="Times New Roman"/>
          <w:sz w:val="24"/>
          <w:szCs w:val="24"/>
        </w:rPr>
        <w:t>rogram caters to various groups, including Aboriginal and Torres Strait Islander people, young people, people with disability, mature aged people</w:t>
      </w:r>
      <w:r w:rsidR="00794620" w:rsidRPr="001D704A">
        <w:rPr>
          <w:rFonts w:ascii="Times New Roman" w:hAnsi="Times New Roman" w:cs="Times New Roman"/>
          <w:sz w:val="24"/>
          <w:szCs w:val="24"/>
        </w:rPr>
        <w:t>,</w:t>
      </w:r>
      <w:r w:rsidRPr="001D704A">
        <w:rPr>
          <w:rFonts w:ascii="Times New Roman" w:hAnsi="Times New Roman" w:cs="Times New Roman"/>
          <w:sz w:val="24"/>
          <w:szCs w:val="24"/>
        </w:rPr>
        <w:t xml:space="preserve"> and people from culturally and linguistically diverse backgrounds. Eligible job seekers are presently referred to the </w:t>
      </w:r>
      <w:r w:rsidR="00794620"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by Services Australia, as well as by </w:t>
      </w:r>
      <w:r w:rsidR="00794620" w:rsidRPr="001D704A">
        <w:rPr>
          <w:rFonts w:ascii="Times New Roman" w:hAnsi="Times New Roman" w:cs="Times New Roman"/>
          <w:sz w:val="24"/>
          <w:szCs w:val="24"/>
        </w:rPr>
        <w:t xml:space="preserve">the </w:t>
      </w:r>
      <w:r w:rsidRPr="001D704A">
        <w:rPr>
          <w:rFonts w:ascii="Times New Roman" w:hAnsi="Times New Roman" w:cs="Times New Roman"/>
          <w:sz w:val="24"/>
          <w:szCs w:val="24"/>
        </w:rPr>
        <w:t xml:space="preserve">Community Development Program, Disability Employment Services, jobactive, ParentsNext and Transition to Work providers. </w:t>
      </w:r>
    </w:p>
    <w:p w14:paraId="4C19E5A0" w14:textId="77777777" w:rsidR="00EA17DC" w:rsidRPr="001D704A" w:rsidRDefault="00EA17DC" w:rsidP="00123EB1">
      <w:pPr>
        <w:rPr>
          <w:rFonts w:ascii="Times New Roman" w:hAnsi="Times New Roman" w:cs="Times New Roman"/>
          <w:sz w:val="24"/>
          <w:szCs w:val="24"/>
        </w:rPr>
      </w:pPr>
    </w:p>
    <w:p w14:paraId="0B983F7E" w14:textId="5B343311" w:rsidR="00EA17DC" w:rsidRPr="001D704A" w:rsidRDefault="00EA17DC" w:rsidP="00123EB1">
      <w:pPr>
        <w:rPr>
          <w:rFonts w:ascii="Times New Roman" w:hAnsi="Times New Roman" w:cs="Times New Roman"/>
          <w:color w:val="000000" w:themeColor="text1"/>
          <w:sz w:val="24"/>
          <w:szCs w:val="24"/>
        </w:rPr>
      </w:pPr>
      <w:r w:rsidRPr="001D704A">
        <w:rPr>
          <w:rFonts w:ascii="Times New Roman" w:hAnsi="Times New Roman" w:cs="Times New Roman"/>
          <w:sz w:val="24"/>
          <w:szCs w:val="24"/>
        </w:rPr>
        <w:t>In the 2021-22 Budget, the Government announced that it would increase</w:t>
      </w:r>
      <w:r w:rsidR="00794620" w:rsidRPr="001D704A">
        <w:rPr>
          <w:rFonts w:ascii="Times New Roman" w:hAnsi="Times New Roman" w:cs="Times New Roman"/>
          <w:sz w:val="24"/>
          <w:szCs w:val="24"/>
        </w:rPr>
        <w:t xml:space="preserve"> its</w:t>
      </w:r>
      <w:r w:rsidRPr="001D704A">
        <w:rPr>
          <w:rFonts w:ascii="Times New Roman" w:hAnsi="Times New Roman" w:cs="Times New Roman"/>
          <w:sz w:val="24"/>
          <w:szCs w:val="24"/>
        </w:rPr>
        <w:t xml:space="preserve"> investment in the </w:t>
      </w:r>
      <w:r w:rsidR="00794620"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over five years, allowing places in the </w:t>
      </w:r>
      <w:r w:rsidR="00794620" w:rsidRPr="001D704A">
        <w:rPr>
          <w:rFonts w:ascii="Times New Roman" w:hAnsi="Times New Roman" w:cs="Times New Roman"/>
          <w:sz w:val="24"/>
          <w:szCs w:val="24"/>
        </w:rPr>
        <w:t>p</w:t>
      </w:r>
      <w:r w:rsidRPr="001D704A">
        <w:rPr>
          <w:rFonts w:ascii="Times New Roman" w:hAnsi="Times New Roman" w:cs="Times New Roman"/>
          <w:sz w:val="24"/>
          <w:szCs w:val="24"/>
        </w:rPr>
        <w:t>rogram to be ‘uncapped’. The Government</w:t>
      </w:r>
      <w:r w:rsidR="00794620" w:rsidRPr="001D704A">
        <w:rPr>
          <w:rFonts w:ascii="Times New Roman" w:hAnsi="Times New Roman" w:cs="Times New Roman"/>
          <w:sz w:val="24"/>
          <w:szCs w:val="24"/>
        </w:rPr>
        <w:t xml:space="preserve"> further</w:t>
      </w:r>
      <w:r w:rsidRPr="001D704A">
        <w:rPr>
          <w:rFonts w:ascii="Times New Roman" w:hAnsi="Times New Roman" w:cs="Times New Roman"/>
          <w:sz w:val="24"/>
          <w:szCs w:val="24"/>
        </w:rPr>
        <w:t xml:space="preserve"> announced that it would increase project funding over the next two years to accelerate the inclusion of digital skills training</w:t>
      </w:r>
      <w:r w:rsidR="00794620" w:rsidRPr="001D704A">
        <w:rPr>
          <w:rFonts w:ascii="Times New Roman" w:hAnsi="Times New Roman" w:cs="Times New Roman"/>
          <w:sz w:val="24"/>
          <w:szCs w:val="24"/>
        </w:rPr>
        <w:t xml:space="preserve"> for job seekers in the p</w:t>
      </w:r>
      <w:r w:rsidRPr="001D704A">
        <w:rPr>
          <w:rFonts w:ascii="Times New Roman" w:hAnsi="Times New Roman" w:cs="Times New Roman"/>
          <w:sz w:val="24"/>
          <w:szCs w:val="24"/>
        </w:rPr>
        <w:t>rogram.</w:t>
      </w:r>
      <w:r w:rsidR="00794620" w:rsidRPr="001D704A">
        <w:rPr>
          <w:rFonts w:ascii="Times New Roman" w:hAnsi="Times New Roman" w:cs="Times New Roman"/>
          <w:sz w:val="24"/>
          <w:szCs w:val="24"/>
        </w:rPr>
        <w:t xml:space="preserve"> </w:t>
      </w:r>
      <w:r w:rsidRPr="001D704A">
        <w:rPr>
          <w:rFonts w:ascii="Times New Roman" w:hAnsi="Times New Roman" w:cs="Times New Roman"/>
          <w:bCs/>
          <w:sz w:val="24"/>
          <w:szCs w:val="24"/>
        </w:rPr>
        <w:t xml:space="preserve">Digital literacy is increasingly becoming an essential skill required in most occupations on the critical skills list, as well as for entry level jobs for job seekers. Incorporating digital skills training into the </w:t>
      </w:r>
      <w:r w:rsidR="00794620" w:rsidRPr="001D704A">
        <w:rPr>
          <w:rFonts w:ascii="Times New Roman" w:hAnsi="Times New Roman" w:cs="Times New Roman"/>
          <w:bCs/>
          <w:sz w:val="24"/>
          <w:szCs w:val="24"/>
        </w:rPr>
        <w:t>p</w:t>
      </w:r>
      <w:r w:rsidRPr="001D704A">
        <w:rPr>
          <w:rFonts w:ascii="Times New Roman" w:hAnsi="Times New Roman" w:cs="Times New Roman"/>
          <w:bCs/>
          <w:sz w:val="24"/>
          <w:szCs w:val="24"/>
        </w:rPr>
        <w:t xml:space="preserve">rogram will ensure job seekers gain digital literacy skills, boosting their prospects for further education and employment opportunities. </w:t>
      </w:r>
    </w:p>
    <w:p w14:paraId="6AC87121" w14:textId="77777777" w:rsidR="00EA17DC" w:rsidRPr="001D704A" w:rsidRDefault="00EA17DC" w:rsidP="00123EB1">
      <w:pPr>
        <w:ind w:right="-46"/>
        <w:rPr>
          <w:rFonts w:ascii="Times New Roman" w:hAnsi="Times New Roman" w:cs="Times New Roman"/>
          <w:color w:val="000000" w:themeColor="text1"/>
          <w:sz w:val="24"/>
          <w:szCs w:val="24"/>
          <w:u w:val="single"/>
        </w:rPr>
      </w:pPr>
    </w:p>
    <w:p w14:paraId="26A8ED36" w14:textId="77777777" w:rsidR="00EA17DC" w:rsidRPr="001D704A" w:rsidRDefault="00EA17DC"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39A0EB96" w14:textId="77777777" w:rsidR="00EA17DC" w:rsidRPr="001D704A" w:rsidRDefault="00EA17DC" w:rsidP="00123EB1">
      <w:pPr>
        <w:ind w:right="-46"/>
        <w:rPr>
          <w:rFonts w:ascii="Times New Roman" w:hAnsi="Times New Roman" w:cs="Times New Roman"/>
          <w:color w:val="000000" w:themeColor="text1"/>
          <w:sz w:val="24"/>
          <w:szCs w:val="24"/>
        </w:rPr>
      </w:pPr>
    </w:p>
    <w:p w14:paraId="6D7AB175" w14:textId="042CECD8" w:rsidR="00EA17DC" w:rsidRPr="001D704A" w:rsidRDefault="00EA17DC" w:rsidP="00123EB1">
      <w:pPr>
        <w:ind w:right="-46"/>
        <w:rPr>
          <w:rFonts w:ascii="Times New Roman" w:eastAsia="Times New Roman" w:hAnsi="Times New Roman" w:cs="Times New Roman"/>
          <w:color w:val="000000"/>
          <w:sz w:val="24"/>
          <w:szCs w:val="24"/>
          <w:lang w:eastAsia="en-AU"/>
        </w:rPr>
      </w:pPr>
      <w:r w:rsidRPr="001D704A">
        <w:rPr>
          <w:rFonts w:ascii="Times New Roman" w:eastAsia="Times New Roman" w:hAnsi="Times New Roman" w:cs="Times New Roman"/>
          <w:color w:val="000000"/>
          <w:sz w:val="24"/>
          <w:szCs w:val="24"/>
          <w:lang w:eastAsia="en-AU"/>
        </w:rPr>
        <w:t>T</w:t>
      </w:r>
      <w:r w:rsidRPr="001D704A">
        <w:rPr>
          <w:rFonts w:ascii="Times New Roman" w:hAnsi="Times New Roman" w:cs="Times New Roman"/>
          <w:color w:val="000000" w:themeColor="text1"/>
          <w:sz w:val="24"/>
          <w:szCs w:val="24"/>
        </w:rPr>
        <w:t xml:space="preserve">able item </w:t>
      </w:r>
      <w:r w:rsidR="00EC510B" w:rsidRPr="001D704A">
        <w:rPr>
          <w:rFonts w:ascii="Times New Roman" w:hAnsi="Times New Roman" w:cs="Times New Roman"/>
          <w:color w:val="000000" w:themeColor="text1"/>
          <w:sz w:val="24"/>
          <w:szCs w:val="24"/>
        </w:rPr>
        <w:t>519</w:t>
      </w:r>
      <w:r w:rsidRPr="001D704A">
        <w:rPr>
          <w:rFonts w:ascii="Times New Roman" w:eastAsia="Times New Roman" w:hAnsi="Times New Roman" w:cs="Times New Roman"/>
          <w:color w:val="000000"/>
          <w:sz w:val="24"/>
          <w:szCs w:val="24"/>
          <w:lang w:eastAsia="en-AU"/>
        </w:rPr>
        <w:t xml:space="preserve"> engages the following rights:</w:t>
      </w:r>
    </w:p>
    <w:p w14:paraId="16F6B8C9" w14:textId="52D9831E" w:rsidR="00EA17DC" w:rsidRPr="001D704A" w:rsidRDefault="00EA17DC" w:rsidP="00123EB1">
      <w:pPr>
        <w:numPr>
          <w:ilvl w:val="0"/>
          <w:numId w:val="44"/>
        </w:num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the right to education – Article 13 of the</w:t>
      </w:r>
      <w:r w:rsidRPr="001D704A">
        <w:rPr>
          <w:rFonts w:cstheme="minorHAnsi"/>
        </w:rPr>
        <w:t xml:space="preserve"> </w:t>
      </w:r>
      <w:r w:rsidRPr="001D704A">
        <w:rPr>
          <w:rFonts w:ascii="Times New Roman" w:eastAsia="Times New Roman" w:hAnsi="Times New Roman" w:cs="Times New Roman"/>
          <w:bCs/>
          <w:sz w:val="24"/>
          <w:szCs w:val="24"/>
          <w:lang w:eastAsia="en-AU"/>
        </w:rPr>
        <w:t>ICESCR, read with Article 2</w:t>
      </w:r>
      <w:r w:rsidR="00EC510B" w:rsidRPr="001D704A">
        <w:rPr>
          <w:rFonts w:ascii="Times New Roman" w:eastAsia="Times New Roman" w:hAnsi="Times New Roman" w:cs="Times New Roman"/>
          <w:bCs/>
          <w:sz w:val="24"/>
          <w:szCs w:val="24"/>
          <w:lang w:eastAsia="en-AU"/>
        </w:rPr>
        <w:t>,</w:t>
      </w:r>
      <w:r w:rsidRPr="001D704A">
        <w:rPr>
          <w:rFonts w:ascii="Times New Roman" w:eastAsia="Times New Roman" w:hAnsi="Times New Roman" w:cs="Times New Roman"/>
          <w:bCs/>
          <w:sz w:val="24"/>
          <w:szCs w:val="24"/>
          <w:lang w:eastAsia="en-AU"/>
        </w:rPr>
        <w:t xml:space="preserve"> and Article 1 of the International Labour Organization’s </w:t>
      </w:r>
      <w:r w:rsidRPr="001D704A">
        <w:rPr>
          <w:rFonts w:ascii="Times New Roman" w:eastAsia="Times New Roman" w:hAnsi="Times New Roman" w:cs="Times New Roman"/>
          <w:bCs/>
          <w:i/>
          <w:sz w:val="24"/>
          <w:szCs w:val="24"/>
          <w:lang w:eastAsia="en-AU"/>
        </w:rPr>
        <w:t>Convention concerning Vocational Guidance and Vocational Training in the Development of Human Resources</w:t>
      </w:r>
      <w:r w:rsidRPr="001D704A">
        <w:rPr>
          <w:rFonts w:ascii="Times New Roman" w:eastAsia="Times New Roman" w:hAnsi="Times New Roman" w:cs="Times New Roman"/>
          <w:bCs/>
          <w:sz w:val="24"/>
          <w:szCs w:val="24"/>
          <w:lang w:eastAsia="en-AU"/>
        </w:rPr>
        <w:t xml:space="preserve"> (ILO Convention 142); and</w:t>
      </w:r>
    </w:p>
    <w:p w14:paraId="121BC46C" w14:textId="12F7683E" w:rsidR="00EA17DC" w:rsidRPr="001D704A" w:rsidRDefault="00EA17DC" w:rsidP="00123EB1">
      <w:pPr>
        <w:numPr>
          <w:ilvl w:val="0"/>
          <w:numId w:val="44"/>
        </w:num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 xml:space="preserve">the right to work – Article 6 of the ICESCR and Article 1 of </w:t>
      </w:r>
      <w:r w:rsidR="00991958" w:rsidRPr="001D704A">
        <w:rPr>
          <w:rFonts w:ascii="Times New Roman" w:eastAsia="Times New Roman" w:hAnsi="Times New Roman" w:cs="Times New Roman"/>
          <w:bCs/>
          <w:sz w:val="24"/>
          <w:szCs w:val="24"/>
          <w:lang w:eastAsia="en-AU"/>
        </w:rPr>
        <w:t xml:space="preserve">the </w:t>
      </w:r>
      <w:r w:rsidRPr="001D704A">
        <w:rPr>
          <w:rFonts w:ascii="Times New Roman" w:eastAsia="Times New Roman" w:hAnsi="Times New Roman" w:cs="Times New Roman"/>
          <w:bCs/>
          <w:sz w:val="24"/>
          <w:szCs w:val="24"/>
          <w:lang w:eastAsia="en-AU"/>
        </w:rPr>
        <w:t>ILO Convention 122.</w:t>
      </w:r>
    </w:p>
    <w:p w14:paraId="4E4B2F10"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35594BC2" w14:textId="77777777" w:rsidR="00EA17DC" w:rsidRPr="001D704A" w:rsidRDefault="00EA17DC" w:rsidP="00123EB1">
      <w:pPr>
        <w:spacing w:after="160" w:line="259" w:lineRule="auto"/>
        <w:contextualSpacing/>
        <w:rPr>
          <w:rFonts w:ascii="Times New Roman" w:eastAsia="Times New Roman" w:hAnsi="Times New Roman" w:cs="Times New Roman"/>
          <w:bCs/>
          <w:i/>
          <w:sz w:val="24"/>
          <w:szCs w:val="24"/>
          <w:u w:val="single"/>
          <w:lang w:eastAsia="en-AU"/>
        </w:rPr>
      </w:pPr>
      <w:r w:rsidRPr="001D704A">
        <w:rPr>
          <w:rFonts w:ascii="Times New Roman" w:eastAsia="Times New Roman" w:hAnsi="Times New Roman" w:cs="Times New Roman"/>
          <w:bCs/>
          <w:i/>
          <w:sz w:val="24"/>
          <w:szCs w:val="24"/>
          <w:u w:val="single"/>
          <w:lang w:eastAsia="en-AU"/>
        </w:rPr>
        <w:t>Right to education</w:t>
      </w:r>
    </w:p>
    <w:p w14:paraId="3DBC2E3D"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7746AF0D"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6DB67E34"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0D149418" w14:textId="29CEA4D5"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 xml:space="preserve">Article 13(1) of the ICESCR provides that </w:t>
      </w:r>
      <w:r w:rsidR="009243EC" w:rsidRPr="001D704A">
        <w:rPr>
          <w:rFonts w:ascii="Times New Roman" w:eastAsia="Times New Roman" w:hAnsi="Times New Roman" w:cs="Times New Roman"/>
          <w:bCs/>
          <w:sz w:val="24"/>
          <w:szCs w:val="24"/>
          <w:lang w:eastAsia="en-AU"/>
        </w:rPr>
        <w:t xml:space="preserve">the </w:t>
      </w:r>
      <w:r w:rsidRPr="001D704A">
        <w:rPr>
          <w:rFonts w:ascii="Times New Roman" w:eastAsia="Times New Roman" w:hAnsi="Times New Roman" w:cs="Times New Roman"/>
          <w:bCs/>
          <w:sz w:val="24"/>
          <w:szCs w:val="24"/>
          <w:lang w:eastAsia="en-AU"/>
        </w:rPr>
        <w:t>States P</w:t>
      </w:r>
      <w:r w:rsidR="009243EC" w:rsidRPr="001D704A">
        <w:rPr>
          <w:rFonts w:ascii="Times New Roman" w:eastAsia="Times New Roman" w:hAnsi="Times New Roman" w:cs="Times New Roman"/>
          <w:bCs/>
          <w:sz w:val="24"/>
          <w:szCs w:val="24"/>
          <w:lang w:eastAsia="en-AU"/>
        </w:rPr>
        <w:t>arties to the treaty</w:t>
      </w:r>
      <w:r w:rsidRPr="001D704A">
        <w:rPr>
          <w:rFonts w:ascii="Times New Roman" w:eastAsia="Times New Roman" w:hAnsi="Times New Roman" w:cs="Times New Roman"/>
          <w:bCs/>
          <w:sz w:val="24"/>
          <w:szCs w:val="24"/>
          <w:lang w:eastAsia="en-AU"/>
        </w:rPr>
        <w:t>:</w:t>
      </w:r>
    </w:p>
    <w:p w14:paraId="6982124A" w14:textId="0F386F67" w:rsidR="00EA17DC" w:rsidRPr="001D704A" w:rsidRDefault="00EA17DC" w:rsidP="00123EB1">
      <w:pPr>
        <w:numPr>
          <w:ilvl w:val="0"/>
          <w:numId w:val="44"/>
        </w:num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recognise the right of everyone to education;</w:t>
      </w:r>
    </w:p>
    <w:p w14:paraId="3E049C37" w14:textId="77777777" w:rsidR="00EA17DC" w:rsidRPr="001D704A" w:rsidRDefault="00EA17DC" w:rsidP="00123EB1">
      <w:pPr>
        <w:numPr>
          <w:ilvl w:val="0"/>
          <w:numId w:val="44"/>
        </w:num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agree that education shall be directed to the full development of the human personality and the sense of its dignity, and shall strengthen the respect for human rights and fundamental freedoms;</w:t>
      </w:r>
    </w:p>
    <w:p w14:paraId="51E9C312" w14:textId="77777777" w:rsidR="00EA17DC" w:rsidRPr="001D704A" w:rsidRDefault="00EA17DC" w:rsidP="00123EB1">
      <w:pPr>
        <w:numPr>
          <w:ilvl w:val="0"/>
          <w:numId w:val="44"/>
        </w:num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agree that education shall enable all persons to participate effectively in a free society, promote understanding, tolerance and friendship among all the nations and all racial, ethnic or religious groups, and further the activities of the United Nations for the maintenance of peace.</w:t>
      </w:r>
    </w:p>
    <w:p w14:paraId="0FED6242"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20DF33DA"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13(2)(b) of the ICESCR provides that vocational education in its different forms, including technical and vocational secondary education, shall be made generally available and accessible to all by every appropriate means, and in particular by the progressive introduction of free education.</w:t>
      </w:r>
    </w:p>
    <w:p w14:paraId="2DD4FCAD"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5EEE4174"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13(2)(c) of the ICESCR provides that higher education shall be made equally accessible to all, on the basis of capacity, by every appropriate means, and in particular by the progressive introduction of free education.</w:t>
      </w:r>
    </w:p>
    <w:p w14:paraId="7551D95A"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600C4635" w14:textId="5BCA0C96"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1(1) of the ILO Convention 142 provides that each Member shall adopt and develop comprehensive and coordinated policies and programs of vocational guidance and vocational training, closely linked with employment.</w:t>
      </w:r>
    </w:p>
    <w:p w14:paraId="51EE4A7A"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3DAC0163" w14:textId="31300D59"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Table item</w:t>
      </w:r>
      <w:r w:rsidR="009243EC" w:rsidRPr="001D704A">
        <w:rPr>
          <w:rFonts w:ascii="Times New Roman" w:eastAsia="Times New Roman" w:hAnsi="Times New Roman" w:cs="Times New Roman"/>
          <w:bCs/>
          <w:sz w:val="24"/>
          <w:szCs w:val="24"/>
          <w:lang w:eastAsia="en-AU"/>
        </w:rPr>
        <w:t xml:space="preserve"> 519</w:t>
      </w:r>
      <w:r w:rsidRPr="001D704A">
        <w:rPr>
          <w:rFonts w:ascii="Times New Roman" w:eastAsia="Times New Roman" w:hAnsi="Times New Roman" w:cs="Times New Roman"/>
          <w:bCs/>
          <w:sz w:val="24"/>
          <w:szCs w:val="24"/>
          <w:lang w:eastAsia="en-AU"/>
        </w:rPr>
        <w:t xml:space="preserve"> promotes the right to education by providing formal language, literacy, numeracy and digital skills training at no cost to the individual, in turn boosting the individual’s prospects for further education and employment opportunities.</w:t>
      </w:r>
    </w:p>
    <w:p w14:paraId="0ABE0F5B"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385FC81D" w14:textId="77777777" w:rsidR="00EA17DC" w:rsidRPr="001D704A" w:rsidRDefault="00EA17DC" w:rsidP="00123EB1">
      <w:pPr>
        <w:rPr>
          <w:rFonts w:ascii="Times New Roman" w:hAnsi="Times New Roman"/>
          <w:sz w:val="24"/>
          <w:szCs w:val="24"/>
        </w:rPr>
      </w:pPr>
      <w:r w:rsidRPr="001D704A">
        <w:rPr>
          <w:rFonts w:ascii="Times New Roman" w:hAnsi="Times New Roman"/>
          <w:i/>
          <w:sz w:val="24"/>
          <w:szCs w:val="24"/>
          <w:u w:val="single"/>
        </w:rPr>
        <w:t>Right to work</w:t>
      </w:r>
    </w:p>
    <w:p w14:paraId="4D8CC0E6" w14:textId="77777777" w:rsidR="00EA17DC" w:rsidRPr="001D704A" w:rsidRDefault="00EA17DC" w:rsidP="00123EB1">
      <w:pPr>
        <w:spacing w:after="160" w:line="259" w:lineRule="auto"/>
        <w:contextualSpacing/>
        <w:rPr>
          <w:rFonts w:ascii="Times New Roman" w:eastAsia="Times New Roman" w:hAnsi="Times New Roman" w:cs="Times New Roman"/>
          <w:bCs/>
          <w:i/>
          <w:sz w:val="24"/>
          <w:szCs w:val="24"/>
          <w:lang w:eastAsia="en-AU"/>
        </w:rPr>
      </w:pPr>
    </w:p>
    <w:p w14:paraId="2BD11285" w14:textId="1EFEF6A6" w:rsidR="00EA17DC" w:rsidRPr="001D704A" w:rsidRDefault="00EA17DC" w:rsidP="00123EB1">
      <w:pPr>
        <w:spacing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 xml:space="preserve">Table item </w:t>
      </w:r>
      <w:r w:rsidR="00991958" w:rsidRPr="001D704A">
        <w:rPr>
          <w:rFonts w:ascii="Times New Roman" w:eastAsia="Times New Roman" w:hAnsi="Times New Roman" w:cs="Times New Roman"/>
          <w:bCs/>
          <w:sz w:val="24"/>
          <w:szCs w:val="24"/>
          <w:lang w:eastAsia="en-AU"/>
        </w:rPr>
        <w:t>519</w:t>
      </w:r>
      <w:r w:rsidRPr="001D704A">
        <w:rPr>
          <w:rFonts w:ascii="Times New Roman" w:eastAsia="Times New Roman" w:hAnsi="Times New Roman" w:cs="Times New Roman"/>
          <w:bCs/>
          <w:sz w:val="24"/>
          <w:szCs w:val="24"/>
          <w:lang w:eastAsia="en-AU"/>
        </w:rPr>
        <w:t xml:space="preserve"> engages Article 6 of the ICESCR, relevantly:</w:t>
      </w:r>
    </w:p>
    <w:p w14:paraId="0EC03F6D" w14:textId="77777777" w:rsidR="00EA17DC" w:rsidRPr="001D704A" w:rsidRDefault="00EA17DC" w:rsidP="00123EB1">
      <w:pPr>
        <w:pStyle w:val="ListParagraph"/>
        <w:numPr>
          <w:ilvl w:val="0"/>
          <w:numId w:val="46"/>
        </w:numPr>
        <w:spacing w:after="160" w:line="240" w:lineRule="auto"/>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Article 6(1) of the ICESCR provides that the States Parties recognise the right to work; and</w:t>
      </w:r>
    </w:p>
    <w:p w14:paraId="004DFA8A" w14:textId="0228586B" w:rsidR="00EA17DC" w:rsidRPr="001D704A" w:rsidRDefault="00EA17DC" w:rsidP="00123EB1">
      <w:pPr>
        <w:pStyle w:val="ListParagraph"/>
        <w:numPr>
          <w:ilvl w:val="0"/>
          <w:numId w:val="47"/>
        </w:numPr>
        <w:spacing w:after="0" w:line="240" w:lineRule="auto"/>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Article 6(2) of the ICESCR set</w:t>
      </w:r>
      <w:r w:rsidR="00991958" w:rsidRPr="001D704A">
        <w:rPr>
          <w:rFonts w:ascii="Times New Roman" w:eastAsia="Times New Roman" w:hAnsi="Times New Roman"/>
          <w:bCs/>
          <w:sz w:val="24"/>
          <w:szCs w:val="24"/>
          <w:lang w:eastAsia="en-AU"/>
        </w:rPr>
        <w:t>s</w:t>
      </w:r>
      <w:r w:rsidRPr="001D704A">
        <w:rPr>
          <w:rFonts w:ascii="Times New Roman" w:eastAsia="Times New Roman" w:hAnsi="Times New Roman"/>
          <w:bCs/>
          <w:sz w:val="24"/>
          <w:szCs w:val="24"/>
          <w:lang w:eastAsia="en-AU"/>
        </w:rPr>
        <w:t xml:space="preserve"> out the steps to be taken by </w:t>
      </w:r>
      <w:r w:rsidR="00991958" w:rsidRPr="001D704A">
        <w:rPr>
          <w:rFonts w:ascii="Times New Roman" w:eastAsia="Times New Roman" w:hAnsi="Times New Roman"/>
          <w:bCs/>
          <w:sz w:val="24"/>
          <w:szCs w:val="24"/>
          <w:lang w:eastAsia="en-AU"/>
        </w:rPr>
        <w:t xml:space="preserve">the </w:t>
      </w:r>
      <w:r w:rsidRPr="001D704A">
        <w:rPr>
          <w:rFonts w:ascii="Times New Roman" w:eastAsia="Times New Roman" w:hAnsi="Times New Roman"/>
          <w:bCs/>
          <w:sz w:val="24"/>
          <w:szCs w:val="24"/>
          <w:lang w:eastAsia="en-AU"/>
        </w:rPr>
        <w:t xml:space="preserve">States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 </w:t>
      </w:r>
    </w:p>
    <w:p w14:paraId="4A912D9D" w14:textId="77777777" w:rsidR="00EA17DC" w:rsidRPr="001D704A" w:rsidRDefault="00EA17DC" w:rsidP="00123EB1">
      <w:pPr>
        <w:spacing w:after="160"/>
        <w:contextualSpacing/>
        <w:rPr>
          <w:rFonts w:ascii="Times New Roman" w:eastAsia="Times New Roman" w:hAnsi="Times New Roman"/>
          <w:bCs/>
          <w:sz w:val="24"/>
          <w:szCs w:val="24"/>
          <w:lang w:eastAsia="en-AU"/>
        </w:rPr>
      </w:pPr>
    </w:p>
    <w:p w14:paraId="3E8FC3B1" w14:textId="148B9226" w:rsidR="00EA17DC" w:rsidRPr="001D704A" w:rsidRDefault="00EA17DC" w:rsidP="00123EB1">
      <w:pPr>
        <w:spacing w:after="160"/>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 xml:space="preserve">Article 1(1) of the ILO Convention 122 provides that, with a view to stimulating economic growth and development, raising levels of living, meeting workforce requirements and overcoming unemployment and underemployment, each </w:t>
      </w:r>
      <w:r w:rsidR="00991958" w:rsidRPr="001D704A">
        <w:rPr>
          <w:rFonts w:ascii="Times New Roman" w:eastAsia="Times New Roman" w:hAnsi="Times New Roman"/>
          <w:bCs/>
          <w:sz w:val="24"/>
          <w:szCs w:val="24"/>
          <w:lang w:eastAsia="en-AU"/>
        </w:rPr>
        <w:t>M</w:t>
      </w:r>
      <w:r w:rsidRPr="001D704A">
        <w:rPr>
          <w:rFonts w:ascii="Times New Roman" w:eastAsia="Times New Roman" w:hAnsi="Times New Roman"/>
          <w:bCs/>
          <w:sz w:val="24"/>
          <w:szCs w:val="24"/>
          <w:lang w:eastAsia="en-AU"/>
        </w:rPr>
        <w:t>ember shall declare and pursue, as a major goal, an active policy designed to promote full, productive and freely chosen employment.</w:t>
      </w:r>
    </w:p>
    <w:p w14:paraId="2C53357E"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0F37F499" w14:textId="73253CC2" w:rsidR="00EA17DC" w:rsidRPr="001D704A" w:rsidRDefault="00EA17DC" w:rsidP="00123EB1">
      <w:pPr>
        <w:spacing w:after="160"/>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Table item</w:t>
      </w:r>
      <w:r w:rsidR="00991958" w:rsidRPr="001D704A">
        <w:rPr>
          <w:rFonts w:ascii="Times New Roman" w:eastAsia="Times New Roman" w:hAnsi="Times New Roman"/>
          <w:bCs/>
          <w:sz w:val="24"/>
          <w:szCs w:val="24"/>
          <w:lang w:eastAsia="en-AU"/>
        </w:rPr>
        <w:t xml:space="preserve"> 519 </w:t>
      </w:r>
      <w:r w:rsidRPr="001D704A">
        <w:rPr>
          <w:rFonts w:ascii="Times New Roman" w:eastAsia="Times New Roman" w:hAnsi="Times New Roman"/>
          <w:bCs/>
          <w:sz w:val="24"/>
          <w:szCs w:val="24"/>
          <w:lang w:eastAsia="en-AU"/>
        </w:rPr>
        <w:t>promotes the right to work by providing formal language, literacy, numeracy and digital skills training at no cost to the individual, in turn boosting the individual’s prospects for further education and employment opportunities.</w:t>
      </w:r>
    </w:p>
    <w:p w14:paraId="70AF528B" w14:textId="77777777" w:rsidR="00EA17DC" w:rsidRPr="001D704A" w:rsidRDefault="00EA17DC" w:rsidP="00123EB1">
      <w:pPr>
        <w:ind w:right="-46"/>
        <w:rPr>
          <w:rFonts w:ascii="Times New Roman" w:hAnsi="Times New Roman" w:cs="Times New Roman"/>
          <w:b/>
          <w:color w:val="000000" w:themeColor="text1"/>
          <w:sz w:val="24"/>
          <w:szCs w:val="24"/>
        </w:rPr>
      </w:pPr>
    </w:p>
    <w:p w14:paraId="10FE8AD8" w14:textId="77777777" w:rsidR="00EA17DC" w:rsidRPr="001D704A" w:rsidRDefault="00EA17DC"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10214D20" w14:textId="77777777" w:rsidR="00EA17DC" w:rsidRPr="001D704A" w:rsidRDefault="00EA17DC" w:rsidP="00123EB1">
      <w:pPr>
        <w:ind w:right="-46"/>
        <w:rPr>
          <w:rFonts w:ascii="Times New Roman" w:hAnsi="Times New Roman" w:cs="Times New Roman"/>
          <w:color w:val="000000" w:themeColor="text1"/>
          <w:sz w:val="24"/>
          <w:szCs w:val="24"/>
        </w:rPr>
      </w:pPr>
    </w:p>
    <w:p w14:paraId="68987121" w14:textId="3A5C19BC" w:rsidR="00EA17DC" w:rsidRPr="001D704A" w:rsidRDefault="00EA17DC"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w:t>
      </w:r>
      <w:r w:rsidR="00991958" w:rsidRPr="001D704A">
        <w:rPr>
          <w:rFonts w:ascii="Times New Roman" w:hAnsi="Times New Roman" w:cs="Times New Roman"/>
          <w:color w:val="000000" w:themeColor="text1"/>
          <w:sz w:val="24"/>
          <w:szCs w:val="24"/>
        </w:rPr>
        <w:t xml:space="preserve"> 519</w:t>
      </w:r>
      <w:r w:rsidRPr="001D704A">
        <w:rPr>
          <w:rFonts w:ascii="Times New Roman" w:hAnsi="Times New Roman" w:cs="Times New Roman"/>
          <w:color w:val="000000" w:themeColor="text1"/>
          <w:sz w:val="24"/>
          <w:szCs w:val="24"/>
        </w:rPr>
        <w:t xml:space="preserve"> is compatible with human rights because it promotes the protection of human rights.</w:t>
      </w:r>
    </w:p>
    <w:p w14:paraId="3B38FB25" w14:textId="77777777" w:rsidR="00EA17DC" w:rsidRPr="001D704A" w:rsidRDefault="00EA17DC" w:rsidP="00123EB1">
      <w:pPr>
        <w:ind w:right="-46"/>
        <w:rPr>
          <w:rFonts w:ascii="Times New Roman" w:hAnsi="Times New Roman" w:cs="Times New Roman"/>
          <w:i/>
          <w:color w:val="000000" w:themeColor="text1"/>
          <w:sz w:val="24"/>
          <w:szCs w:val="24"/>
          <w:u w:val="single"/>
        </w:rPr>
      </w:pPr>
    </w:p>
    <w:p w14:paraId="14079376" w14:textId="36EEDE64" w:rsidR="00EA17DC" w:rsidRPr="001D704A" w:rsidRDefault="00EA17DC" w:rsidP="00123EB1">
      <w:pPr>
        <w:ind w:right="-46"/>
        <w:rPr>
          <w:rFonts w:ascii="Times New Roman" w:hAnsi="Times New Roman" w:cs="Times New Roman"/>
          <w:i/>
          <w:color w:val="000000" w:themeColor="text1"/>
          <w:sz w:val="24"/>
          <w:szCs w:val="24"/>
          <w:u w:val="single"/>
        </w:rPr>
      </w:pPr>
      <w:r w:rsidRPr="001D704A">
        <w:rPr>
          <w:rFonts w:ascii="Times New Roman" w:hAnsi="Times New Roman" w:cs="Times New Roman"/>
          <w:i/>
          <w:color w:val="000000" w:themeColor="text1"/>
          <w:sz w:val="24"/>
          <w:szCs w:val="24"/>
          <w:u w:val="single"/>
        </w:rPr>
        <w:t xml:space="preserve">Table item </w:t>
      </w:r>
      <w:r w:rsidR="00844BAB" w:rsidRPr="001D704A">
        <w:rPr>
          <w:rFonts w:ascii="Times New Roman" w:hAnsi="Times New Roman" w:cs="Times New Roman"/>
          <w:i/>
          <w:color w:val="000000" w:themeColor="text1"/>
          <w:sz w:val="24"/>
          <w:szCs w:val="24"/>
          <w:u w:val="single"/>
        </w:rPr>
        <w:t>520</w:t>
      </w:r>
      <w:r w:rsidRPr="001D704A">
        <w:rPr>
          <w:rFonts w:ascii="Times New Roman" w:hAnsi="Times New Roman" w:cs="Times New Roman"/>
          <w:i/>
          <w:color w:val="000000" w:themeColor="text1"/>
          <w:sz w:val="24"/>
          <w:szCs w:val="24"/>
          <w:u w:val="single"/>
        </w:rPr>
        <w:t xml:space="preserve"> – VET system improvements</w:t>
      </w:r>
    </w:p>
    <w:p w14:paraId="01B0C141" w14:textId="77777777" w:rsidR="00EA17DC" w:rsidRPr="001D704A" w:rsidRDefault="00EA17DC" w:rsidP="00123EB1">
      <w:pPr>
        <w:ind w:right="-46"/>
        <w:rPr>
          <w:rFonts w:ascii="Times New Roman" w:hAnsi="Times New Roman" w:cs="Times New Roman"/>
          <w:color w:val="000000" w:themeColor="text1"/>
          <w:sz w:val="24"/>
          <w:szCs w:val="24"/>
        </w:rPr>
      </w:pPr>
    </w:p>
    <w:p w14:paraId="74F2949B" w14:textId="6F2D00CA" w:rsidR="00EA17DC" w:rsidRPr="001D704A" w:rsidRDefault="00EA17DC" w:rsidP="00123EB1">
      <w:pPr>
        <w:rPr>
          <w:rFonts w:ascii="Times New Roman" w:hAnsi="Times New Roman" w:cs="Times New Roman"/>
          <w:sz w:val="24"/>
          <w:szCs w:val="24"/>
        </w:rPr>
      </w:pPr>
      <w:r w:rsidRPr="001D704A">
        <w:rPr>
          <w:rFonts w:ascii="Times New Roman" w:hAnsi="Times New Roman" w:cs="Times New Roman"/>
          <w:iCs/>
          <w:color w:val="000000" w:themeColor="text1"/>
          <w:sz w:val="24"/>
          <w:szCs w:val="24"/>
        </w:rPr>
        <w:t xml:space="preserve">New table item </w:t>
      </w:r>
      <w:r w:rsidR="00844BAB" w:rsidRPr="001D704A">
        <w:rPr>
          <w:rFonts w:ascii="Times New Roman" w:hAnsi="Times New Roman" w:cs="Times New Roman"/>
          <w:iCs/>
          <w:color w:val="000000" w:themeColor="text1"/>
          <w:sz w:val="24"/>
          <w:szCs w:val="24"/>
        </w:rPr>
        <w:t>520</w:t>
      </w:r>
      <w:r w:rsidRPr="001D704A">
        <w:rPr>
          <w:rFonts w:ascii="Times New Roman" w:hAnsi="Times New Roman" w:cs="Times New Roman"/>
          <w:iCs/>
          <w:color w:val="000000" w:themeColor="text1"/>
          <w:sz w:val="24"/>
          <w:szCs w:val="24"/>
        </w:rPr>
        <w:t xml:space="preserve"> establishes legislative authority for government spending on improvements to the </w:t>
      </w:r>
      <w:r w:rsidR="00844BAB" w:rsidRPr="001D704A">
        <w:rPr>
          <w:rFonts w:ascii="Times New Roman" w:hAnsi="Times New Roman" w:cs="Times New Roman"/>
          <w:iCs/>
          <w:color w:val="000000" w:themeColor="text1"/>
          <w:sz w:val="24"/>
          <w:szCs w:val="24"/>
        </w:rPr>
        <w:t>v</w:t>
      </w:r>
      <w:r w:rsidRPr="001D704A">
        <w:rPr>
          <w:rFonts w:ascii="Times New Roman" w:hAnsi="Times New Roman" w:cs="Times New Roman"/>
          <w:iCs/>
          <w:color w:val="000000" w:themeColor="text1"/>
          <w:sz w:val="24"/>
          <w:szCs w:val="24"/>
        </w:rPr>
        <w:t xml:space="preserve">ocational </w:t>
      </w:r>
      <w:r w:rsidR="00844BAB" w:rsidRPr="001D704A">
        <w:rPr>
          <w:rFonts w:ascii="Times New Roman" w:hAnsi="Times New Roman" w:cs="Times New Roman"/>
          <w:iCs/>
          <w:color w:val="000000" w:themeColor="text1"/>
          <w:sz w:val="24"/>
          <w:szCs w:val="24"/>
        </w:rPr>
        <w:t>e</w:t>
      </w:r>
      <w:r w:rsidRPr="001D704A">
        <w:rPr>
          <w:rFonts w:ascii="Times New Roman" w:hAnsi="Times New Roman" w:cs="Times New Roman"/>
          <w:iCs/>
          <w:color w:val="000000" w:themeColor="text1"/>
          <w:sz w:val="24"/>
          <w:szCs w:val="24"/>
        </w:rPr>
        <w:t xml:space="preserve">ducation and </w:t>
      </w:r>
      <w:r w:rsidR="00844BAB" w:rsidRPr="001D704A">
        <w:rPr>
          <w:rFonts w:ascii="Times New Roman" w:hAnsi="Times New Roman" w:cs="Times New Roman"/>
          <w:iCs/>
          <w:color w:val="000000" w:themeColor="text1"/>
          <w:sz w:val="24"/>
          <w:szCs w:val="24"/>
        </w:rPr>
        <w:t>t</w:t>
      </w:r>
      <w:r w:rsidRPr="001D704A">
        <w:rPr>
          <w:rFonts w:ascii="Times New Roman" w:hAnsi="Times New Roman" w:cs="Times New Roman"/>
          <w:iCs/>
          <w:color w:val="000000" w:themeColor="text1"/>
          <w:sz w:val="24"/>
          <w:szCs w:val="24"/>
        </w:rPr>
        <w:t xml:space="preserve">raining (VET) system </w:t>
      </w:r>
      <w:r w:rsidR="00844BAB" w:rsidRPr="001D704A">
        <w:rPr>
          <w:rFonts w:ascii="Times New Roman" w:hAnsi="Times New Roman" w:cs="Times New Roman"/>
          <w:iCs/>
          <w:color w:val="000000" w:themeColor="text1"/>
          <w:sz w:val="24"/>
          <w:szCs w:val="24"/>
        </w:rPr>
        <w:t xml:space="preserve">(the program) </w:t>
      </w:r>
      <w:r w:rsidRPr="001D704A">
        <w:rPr>
          <w:rFonts w:ascii="Times New Roman" w:hAnsi="Times New Roman" w:cs="Times New Roman"/>
          <w:iCs/>
          <w:color w:val="000000" w:themeColor="text1"/>
          <w:sz w:val="24"/>
          <w:szCs w:val="24"/>
        </w:rPr>
        <w:t>by enhancing the role of industry through the establishment of new Industry Clusters.</w:t>
      </w:r>
    </w:p>
    <w:p w14:paraId="193BEEC8" w14:textId="77777777" w:rsidR="00EA17DC" w:rsidRPr="001D704A" w:rsidRDefault="00EA17DC" w:rsidP="00123EB1">
      <w:pPr>
        <w:rPr>
          <w:rFonts w:ascii="Times New Roman" w:hAnsi="Times New Roman" w:cs="Times New Roman"/>
          <w:sz w:val="24"/>
          <w:szCs w:val="24"/>
        </w:rPr>
      </w:pPr>
    </w:p>
    <w:p w14:paraId="26FFBE03" w14:textId="64B2DD4B" w:rsidR="00EA17DC" w:rsidRPr="001D704A" w:rsidRDefault="00EA17DC" w:rsidP="00123EB1">
      <w:pPr>
        <w:rPr>
          <w:rFonts w:ascii="Times New Roman" w:hAnsi="Times New Roman" w:cs="Times New Roman"/>
          <w:sz w:val="24"/>
          <w:szCs w:val="24"/>
        </w:rPr>
      </w:pPr>
      <w:r w:rsidRPr="001D704A">
        <w:rPr>
          <w:rFonts w:ascii="Times New Roman" w:hAnsi="Times New Roman" w:cs="Times New Roman"/>
          <w:sz w:val="24"/>
          <w:szCs w:val="24"/>
        </w:rPr>
        <w:t xml:space="preserve">The objective of the </w:t>
      </w:r>
      <w:r w:rsidR="00844BAB" w:rsidRPr="001D704A">
        <w:rPr>
          <w:rFonts w:ascii="Times New Roman" w:hAnsi="Times New Roman" w:cs="Times New Roman"/>
          <w:sz w:val="24"/>
          <w:szCs w:val="24"/>
        </w:rPr>
        <w:t>program</w:t>
      </w:r>
      <w:r w:rsidRPr="001D704A">
        <w:rPr>
          <w:rFonts w:ascii="Times New Roman" w:hAnsi="Times New Roman" w:cs="Times New Roman"/>
          <w:sz w:val="24"/>
          <w:szCs w:val="24"/>
        </w:rPr>
        <w:t xml:space="preserve"> is to strengthen the role of industry in the VET system to further allow qualifications to be aligned to the skills that are in demand by employers, increase workforce productivity, and get more learners into jobs. The </w:t>
      </w:r>
      <w:r w:rsidR="00844BAB" w:rsidRPr="001D704A">
        <w:rPr>
          <w:rFonts w:ascii="Times New Roman" w:hAnsi="Times New Roman" w:cs="Times New Roman"/>
          <w:sz w:val="24"/>
          <w:szCs w:val="24"/>
        </w:rPr>
        <w:t>p</w:t>
      </w:r>
      <w:r w:rsidRPr="001D704A">
        <w:rPr>
          <w:rFonts w:ascii="Times New Roman" w:hAnsi="Times New Roman" w:cs="Times New Roman"/>
          <w:sz w:val="24"/>
          <w:szCs w:val="24"/>
        </w:rPr>
        <w:t xml:space="preserve">rogram is part of the Australian Government’s commitments under the </w:t>
      </w:r>
      <w:r w:rsidRPr="001D704A">
        <w:rPr>
          <w:rFonts w:ascii="Times New Roman" w:hAnsi="Times New Roman" w:cs="Times New Roman"/>
          <w:i/>
          <w:sz w:val="24"/>
          <w:szCs w:val="24"/>
        </w:rPr>
        <w:t>Heads of Agreement for Skills Reform</w:t>
      </w:r>
      <w:r w:rsidRPr="001D704A">
        <w:rPr>
          <w:rFonts w:ascii="Times New Roman" w:hAnsi="Times New Roman" w:cs="Times New Roman"/>
          <w:sz w:val="24"/>
          <w:szCs w:val="24"/>
        </w:rPr>
        <w:t>, where the Government has committed to supporting improvements to the VET system through the establishment of up to 15 new Industry Clusters. These Industry Clusters will ensure a strong strategic industry voice, drive collaboration across sectors by breaking down silos, address strategic workforce challenges, and improve the speed to market of training package qualifications to meet evolving industry needs.</w:t>
      </w:r>
    </w:p>
    <w:p w14:paraId="3C294F7C" w14:textId="77777777" w:rsidR="00EA17DC" w:rsidRPr="001D704A" w:rsidRDefault="00EA17DC" w:rsidP="00123EB1">
      <w:pPr>
        <w:rPr>
          <w:rFonts w:ascii="Times New Roman" w:hAnsi="Times New Roman" w:cs="Times New Roman"/>
          <w:sz w:val="24"/>
          <w:szCs w:val="24"/>
        </w:rPr>
      </w:pPr>
    </w:p>
    <w:p w14:paraId="17DB0C16" w14:textId="5CB8CD72" w:rsidR="00EA17DC" w:rsidRPr="001D704A" w:rsidRDefault="00EA17DC" w:rsidP="00123EB1">
      <w:pPr>
        <w:rPr>
          <w:rFonts w:ascii="Times New Roman" w:hAnsi="Times New Roman" w:cs="Times New Roman"/>
          <w:sz w:val="24"/>
          <w:szCs w:val="24"/>
        </w:rPr>
      </w:pPr>
      <w:r w:rsidRPr="001D704A">
        <w:rPr>
          <w:rFonts w:ascii="Times New Roman" w:hAnsi="Times New Roman" w:cs="Times New Roman"/>
          <w:sz w:val="24"/>
          <w:szCs w:val="24"/>
        </w:rPr>
        <w:t xml:space="preserve">Through a progressive transition during 2022, Industry Clusters established </w:t>
      </w:r>
      <w:r w:rsidR="00844BAB" w:rsidRPr="001D704A">
        <w:rPr>
          <w:rFonts w:ascii="Times New Roman" w:hAnsi="Times New Roman" w:cs="Times New Roman"/>
          <w:sz w:val="24"/>
          <w:szCs w:val="24"/>
        </w:rPr>
        <w:t>under the p</w:t>
      </w:r>
      <w:r w:rsidRPr="001D704A">
        <w:rPr>
          <w:rFonts w:ascii="Times New Roman" w:hAnsi="Times New Roman" w:cs="Times New Roman"/>
          <w:sz w:val="24"/>
          <w:szCs w:val="24"/>
        </w:rPr>
        <w:t xml:space="preserve">rogram will replace the existing 67 Industry Reference Committees and six Skills Service Organisations that currently develop training packages, as well as the three Skills Organisation (SO) Pilots. The </w:t>
      </w:r>
      <w:r w:rsidR="00844BAB" w:rsidRPr="001D704A">
        <w:rPr>
          <w:rFonts w:ascii="Times New Roman" w:hAnsi="Times New Roman" w:cs="Times New Roman"/>
          <w:sz w:val="24"/>
          <w:szCs w:val="24"/>
        </w:rPr>
        <w:t>p</w:t>
      </w:r>
      <w:r w:rsidRPr="001D704A">
        <w:rPr>
          <w:rFonts w:ascii="Times New Roman" w:hAnsi="Times New Roman" w:cs="Times New Roman"/>
          <w:sz w:val="24"/>
          <w:szCs w:val="24"/>
        </w:rPr>
        <w:t>rogram will support the establishment and ongoing operation of the new Industry Cluster arrangements.</w:t>
      </w:r>
    </w:p>
    <w:p w14:paraId="496B58C5" w14:textId="77777777" w:rsidR="00EA17DC" w:rsidRPr="001D704A" w:rsidRDefault="00EA17DC" w:rsidP="00123EB1">
      <w:pPr>
        <w:ind w:right="-46"/>
        <w:rPr>
          <w:rFonts w:ascii="Times New Roman" w:hAnsi="Times New Roman" w:cs="Times New Roman"/>
          <w:color w:val="000000" w:themeColor="text1"/>
          <w:sz w:val="24"/>
          <w:szCs w:val="24"/>
        </w:rPr>
      </w:pPr>
    </w:p>
    <w:p w14:paraId="2AC3A8C2" w14:textId="77777777" w:rsidR="003D2802" w:rsidRPr="001D704A" w:rsidRDefault="003D2802" w:rsidP="00123EB1">
      <w:pPr>
        <w:rPr>
          <w:rFonts w:ascii="Times New Roman" w:hAnsi="Times New Roman" w:cs="Times New Roman"/>
          <w:sz w:val="24"/>
          <w:szCs w:val="24"/>
        </w:rPr>
      </w:pPr>
    </w:p>
    <w:p w14:paraId="0F5C0C1D" w14:textId="77777777" w:rsidR="003D2802" w:rsidRPr="001D704A" w:rsidRDefault="003D2802" w:rsidP="00123EB1">
      <w:pPr>
        <w:rPr>
          <w:rFonts w:ascii="Times New Roman" w:hAnsi="Times New Roman" w:cs="Times New Roman"/>
          <w:sz w:val="24"/>
          <w:szCs w:val="24"/>
        </w:rPr>
      </w:pPr>
      <w:r w:rsidRPr="001D704A">
        <w:rPr>
          <w:rFonts w:ascii="Times New Roman" w:hAnsi="Times New Roman" w:cs="Times New Roman"/>
          <w:sz w:val="24"/>
          <w:szCs w:val="24"/>
        </w:rPr>
        <w:br w:type="page"/>
      </w:r>
    </w:p>
    <w:p w14:paraId="39481E91" w14:textId="2F2DE94D" w:rsidR="00844BAB" w:rsidRPr="001D704A" w:rsidRDefault="00844BAB" w:rsidP="00123EB1">
      <w:pPr>
        <w:rPr>
          <w:rFonts w:ascii="Times New Roman" w:hAnsi="Times New Roman" w:cs="Times New Roman"/>
          <w:sz w:val="24"/>
          <w:szCs w:val="24"/>
        </w:rPr>
      </w:pPr>
      <w:r w:rsidRPr="001D704A">
        <w:rPr>
          <w:rFonts w:ascii="Times New Roman" w:hAnsi="Times New Roman" w:cs="Times New Roman"/>
          <w:sz w:val="24"/>
          <w:szCs w:val="24"/>
        </w:rPr>
        <w:t>Industry Clusters w</w:t>
      </w:r>
      <w:r w:rsidR="003D2802" w:rsidRPr="001D704A">
        <w:rPr>
          <w:rFonts w:ascii="Times New Roman" w:hAnsi="Times New Roman" w:cs="Times New Roman"/>
          <w:sz w:val="24"/>
          <w:szCs w:val="24"/>
        </w:rPr>
        <w:t>ill</w:t>
      </w:r>
      <w:r w:rsidRPr="001D704A">
        <w:rPr>
          <w:rFonts w:ascii="Times New Roman" w:hAnsi="Times New Roman" w:cs="Times New Roman"/>
          <w:sz w:val="24"/>
          <w:szCs w:val="24"/>
        </w:rPr>
        <w:t xml:space="preserve"> aim to increase the quality, relevance and responsiveness of the VET system, including but not limited to the following functions:</w:t>
      </w:r>
    </w:p>
    <w:p w14:paraId="1EC96A2F" w14:textId="77777777" w:rsidR="00844BAB" w:rsidRPr="001D704A" w:rsidRDefault="00844BAB" w:rsidP="00123EB1">
      <w:pPr>
        <w:pStyle w:val="ListParagraph"/>
        <w:numPr>
          <w:ilvl w:val="0"/>
          <w:numId w:val="50"/>
        </w:numPr>
        <w:spacing w:after="0" w:line="240" w:lineRule="auto"/>
        <w:ind w:left="777" w:hanging="357"/>
        <w:contextualSpacing/>
        <w:rPr>
          <w:rFonts w:ascii="Times New Roman" w:hAnsi="Times New Roman"/>
          <w:sz w:val="24"/>
          <w:szCs w:val="24"/>
        </w:rPr>
      </w:pPr>
      <w:r w:rsidRPr="001D704A">
        <w:rPr>
          <w:rFonts w:ascii="Times New Roman" w:hAnsi="Times New Roman"/>
          <w:sz w:val="24"/>
          <w:szCs w:val="24"/>
        </w:rPr>
        <w:t>workforce planning including across VET and higher education;</w:t>
      </w:r>
    </w:p>
    <w:p w14:paraId="2FFB47D2" w14:textId="77777777" w:rsidR="00844BAB" w:rsidRPr="001D704A" w:rsidRDefault="00844BAB" w:rsidP="00123EB1">
      <w:pPr>
        <w:pStyle w:val="ListParagraph"/>
        <w:numPr>
          <w:ilvl w:val="0"/>
          <w:numId w:val="50"/>
        </w:numPr>
        <w:spacing w:after="0" w:line="240" w:lineRule="auto"/>
        <w:ind w:left="777" w:hanging="357"/>
        <w:contextualSpacing/>
        <w:rPr>
          <w:rFonts w:ascii="Times New Roman" w:hAnsi="Times New Roman"/>
          <w:sz w:val="24"/>
          <w:szCs w:val="24"/>
        </w:rPr>
      </w:pPr>
      <w:r w:rsidRPr="001D704A">
        <w:rPr>
          <w:rFonts w:ascii="Times New Roman" w:hAnsi="Times New Roman"/>
          <w:sz w:val="24"/>
          <w:szCs w:val="24"/>
        </w:rPr>
        <w:t>occupational standards and training product development;</w:t>
      </w:r>
    </w:p>
    <w:p w14:paraId="55FF0659" w14:textId="77777777" w:rsidR="00844BAB" w:rsidRPr="001D704A" w:rsidRDefault="00844BAB" w:rsidP="00123EB1">
      <w:pPr>
        <w:pStyle w:val="ListParagraph"/>
        <w:numPr>
          <w:ilvl w:val="0"/>
          <w:numId w:val="50"/>
        </w:numPr>
        <w:spacing w:after="0" w:line="240" w:lineRule="auto"/>
        <w:ind w:left="777" w:hanging="357"/>
        <w:contextualSpacing/>
        <w:rPr>
          <w:rFonts w:ascii="Times New Roman" w:hAnsi="Times New Roman"/>
          <w:sz w:val="24"/>
          <w:szCs w:val="24"/>
        </w:rPr>
      </w:pPr>
      <w:r w:rsidRPr="001D704A">
        <w:rPr>
          <w:rFonts w:ascii="Times New Roman" w:hAnsi="Times New Roman"/>
          <w:sz w:val="24"/>
          <w:szCs w:val="24"/>
        </w:rPr>
        <w:t>delivery and promotion of training; and</w:t>
      </w:r>
    </w:p>
    <w:p w14:paraId="33A373FA" w14:textId="77777777" w:rsidR="00844BAB" w:rsidRPr="001D704A" w:rsidRDefault="00844BAB" w:rsidP="00123EB1">
      <w:pPr>
        <w:pStyle w:val="ListParagraph"/>
        <w:numPr>
          <w:ilvl w:val="0"/>
          <w:numId w:val="50"/>
        </w:numPr>
        <w:spacing w:after="0" w:line="240" w:lineRule="auto"/>
        <w:ind w:left="777" w:hanging="357"/>
        <w:contextualSpacing/>
        <w:rPr>
          <w:rFonts w:ascii="Times New Roman" w:hAnsi="Times New Roman"/>
          <w:sz w:val="24"/>
          <w:szCs w:val="24"/>
        </w:rPr>
      </w:pPr>
      <w:r w:rsidRPr="001D704A">
        <w:rPr>
          <w:rFonts w:ascii="Times New Roman" w:hAnsi="Times New Roman"/>
          <w:sz w:val="24"/>
          <w:szCs w:val="24"/>
        </w:rPr>
        <w:t>industry stewardship.</w:t>
      </w:r>
    </w:p>
    <w:p w14:paraId="0A42A8E6" w14:textId="77777777" w:rsidR="00844BAB" w:rsidRPr="001D704A" w:rsidRDefault="00844BAB" w:rsidP="00123EB1">
      <w:pPr>
        <w:ind w:right="-46"/>
        <w:rPr>
          <w:rFonts w:ascii="Times New Roman" w:hAnsi="Times New Roman" w:cs="Times New Roman"/>
          <w:b/>
          <w:color w:val="000000" w:themeColor="text1"/>
          <w:sz w:val="24"/>
          <w:szCs w:val="24"/>
        </w:rPr>
      </w:pPr>
    </w:p>
    <w:p w14:paraId="221A5A78" w14:textId="092C79A0" w:rsidR="00EA17DC" w:rsidRPr="001D704A" w:rsidRDefault="00EA17DC" w:rsidP="00123EB1">
      <w:pPr>
        <w:ind w:right="-46"/>
        <w:rPr>
          <w:rFonts w:ascii="Times New Roman" w:hAnsi="Times New Roman" w:cs="Times New Roman"/>
          <w:b/>
          <w:color w:val="000000" w:themeColor="text1"/>
          <w:sz w:val="24"/>
          <w:szCs w:val="24"/>
        </w:rPr>
      </w:pPr>
      <w:r w:rsidRPr="001D704A">
        <w:rPr>
          <w:rFonts w:ascii="Times New Roman" w:hAnsi="Times New Roman" w:cs="Times New Roman"/>
          <w:b/>
          <w:color w:val="000000" w:themeColor="text1"/>
          <w:sz w:val="24"/>
          <w:szCs w:val="24"/>
        </w:rPr>
        <w:t>Human rights implications</w:t>
      </w:r>
    </w:p>
    <w:p w14:paraId="680D7167" w14:textId="77777777" w:rsidR="00EA17DC" w:rsidRPr="001D704A" w:rsidRDefault="00EA17DC" w:rsidP="00123EB1">
      <w:pPr>
        <w:ind w:right="-46"/>
        <w:rPr>
          <w:rFonts w:ascii="Times New Roman" w:hAnsi="Times New Roman" w:cs="Times New Roman"/>
          <w:color w:val="000000" w:themeColor="text1"/>
          <w:sz w:val="24"/>
          <w:szCs w:val="24"/>
        </w:rPr>
      </w:pPr>
    </w:p>
    <w:p w14:paraId="66C46504" w14:textId="0C4B9EC6" w:rsidR="00EA17DC" w:rsidRPr="001D704A" w:rsidRDefault="00EA17DC"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Table item</w:t>
      </w:r>
      <w:r w:rsidR="003D2802" w:rsidRPr="001D704A">
        <w:rPr>
          <w:rFonts w:ascii="Times New Roman" w:hAnsi="Times New Roman" w:cs="Times New Roman"/>
          <w:color w:val="000000" w:themeColor="text1"/>
          <w:sz w:val="24"/>
          <w:szCs w:val="24"/>
        </w:rPr>
        <w:t xml:space="preserve"> 520</w:t>
      </w:r>
      <w:r w:rsidRPr="001D704A">
        <w:rPr>
          <w:rFonts w:ascii="Times New Roman" w:hAnsi="Times New Roman" w:cs="Times New Roman"/>
          <w:color w:val="000000" w:themeColor="text1"/>
          <w:sz w:val="24"/>
          <w:szCs w:val="24"/>
        </w:rPr>
        <w:t xml:space="preserve"> engages the following rights:</w:t>
      </w:r>
    </w:p>
    <w:p w14:paraId="17643A2D" w14:textId="0FBE59BA" w:rsidR="00EA17DC" w:rsidRPr="001D704A" w:rsidRDefault="00EA17DC" w:rsidP="00123EB1">
      <w:pPr>
        <w:numPr>
          <w:ilvl w:val="0"/>
          <w:numId w:val="44"/>
        </w:numPr>
        <w:ind w:right="-46"/>
        <w:rPr>
          <w:rFonts w:ascii="Times New Roman" w:hAnsi="Times New Roman" w:cs="Times New Roman"/>
          <w:bCs/>
          <w:color w:val="000000" w:themeColor="text1"/>
          <w:sz w:val="24"/>
          <w:szCs w:val="24"/>
        </w:rPr>
      </w:pPr>
      <w:r w:rsidRPr="001D704A">
        <w:rPr>
          <w:rFonts w:ascii="Times New Roman" w:hAnsi="Times New Roman" w:cs="Times New Roman"/>
          <w:bCs/>
          <w:color w:val="000000" w:themeColor="text1"/>
          <w:sz w:val="24"/>
          <w:szCs w:val="24"/>
        </w:rPr>
        <w:t>the right to education – Article 13 of the</w:t>
      </w:r>
      <w:r w:rsidRPr="001D704A">
        <w:rPr>
          <w:rFonts w:ascii="Times New Roman" w:hAnsi="Times New Roman" w:cs="Times New Roman"/>
          <w:color w:val="000000" w:themeColor="text1"/>
          <w:sz w:val="24"/>
          <w:szCs w:val="24"/>
        </w:rPr>
        <w:t xml:space="preserve"> </w:t>
      </w:r>
      <w:r w:rsidRPr="001D704A">
        <w:rPr>
          <w:rFonts w:ascii="Times New Roman" w:hAnsi="Times New Roman" w:cs="Times New Roman"/>
          <w:bCs/>
          <w:color w:val="000000" w:themeColor="text1"/>
          <w:sz w:val="24"/>
          <w:szCs w:val="24"/>
        </w:rPr>
        <w:t>ICESCR, read with Article 2</w:t>
      </w:r>
      <w:r w:rsidR="003D2802" w:rsidRPr="001D704A">
        <w:rPr>
          <w:rFonts w:ascii="Times New Roman" w:hAnsi="Times New Roman" w:cs="Times New Roman"/>
          <w:bCs/>
          <w:color w:val="000000" w:themeColor="text1"/>
          <w:sz w:val="24"/>
          <w:szCs w:val="24"/>
        </w:rPr>
        <w:t>,</w:t>
      </w:r>
      <w:r w:rsidRPr="001D704A">
        <w:rPr>
          <w:rFonts w:ascii="Times New Roman" w:hAnsi="Times New Roman" w:cs="Times New Roman"/>
          <w:bCs/>
          <w:color w:val="000000" w:themeColor="text1"/>
          <w:sz w:val="24"/>
          <w:szCs w:val="24"/>
        </w:rPr>
        <w:t xml:space="preserve"> and Article 1 of the ILO Convention 142; and</w:t>
      </w:r>
    </w:p>
    <w:p w14:paraId="7B187D27" w14:textId="77777777" w:rsidR="00EA17DC" w:rsidRPr="001D704A" w:rsidRDefault="00EA17DC" w:rsidP="00123EB1">
      <w:pPr>
        <w:pStyle w:val="ListParagraph"/>
        <w:numPr>
          <w:ilvl w:val="0"/>
          <w:numId w:val="44"/>
        </w:numPr>
        <w:spacing w:after="0" w:line="240" w:lineRule="auto"/>
        <w:ind w:right="-46"/>
        <w:rPr>
          <w:rFonts w:ascii="Times New Roman" w:hAnsi="Times New Roman"/>
          <w:color w:val="000000" w:themeColor="text1"/>
          <w:sz w:val="24"/>
          <w:szCs w:val="24"/>
        </w:rPr>
      </w:pPr>
      <w:r w:rsidRPr="001D704A">
        <w:rPr>
          <w:rFonts w:ascii="Times New Roman" w:hAnsi="Times New Roman"/>
          <w:bCs/>
          <w:color w:val="000000" w:themeColor="text1"/>
          <w:sz w:val="24"/>
          <w:szCs w:val="24"/>
        </w:rPr>
        <w:t>the right to work – Article 6 of the ICESCR and Article 1 of the ILO Convention 122.</w:t>
      </w:r>
    </w:p>
    <w:p w14:paraId="758632D5" w14:textId="77777777" w:rsidR="00EA17DC" w:rsidRPr="001D704A" w:rsidRDefault="00EA17DC" w:rsidP="00123EB1">
      <w:pPr>
        <w:ind w:right="-46"/>
        <w:rPr>
          <w:rFonts w:ascii="Times New Roman" w:hAnsi="Times New Roman" w:cs="Times New Roman"/>
          <w:color w:val="000000" w:themeColor="text1"/>
          <w:sz w:val="24"/>
          <w:szCs w:val="24"/>
        </w:rPr>
      </w:pPr>
    </w:p>
    <w:p w14:paraId="38590459" w14:textId="77777777" w:rsidR="00EA17DC" w:rsidRPr="001D704A" w:rsidRDefault="00EA17DC" w:rsidP="00123EB1">
      <w:pPr>
        <w:spacing w:after="160" w:line="259" w:lineRule="auto"/>
        <w:contextualSpacing/>
        <w:rPr>
          <w:rFonts w:ascii="Times New Roman" w:eastAsia="Times New Roman" w:hAnsi="Times New Roman" w:cs="Times New Roman"/>
          <w:bCs/>
          <w:i/>
          <w:sz w:val="24"/>
          <w:szCs w:val="24"/>
          <w:u w:val="single"/>
          <w:lang w:eastAsia="en-AU"/>
        </w:rPr>
      </w:pPr>
      <w:r w:rsidRPr="001D704A">
        <w:rPr>
          <w:rFonts w:ascii="Times New Roman" w:eastAsia="Times New Roman" w:hAnsi="Times New Roman" w:cs="Times New Roman"/>
          <w:bCs/>
          <w:i/>
          <w:sz w:val="24"/>
          <w:szCs w:val="24"/>
          <w:u w:val="single"/>
          <w:lang w:eastAsia="en-AU"/>
        </w:rPr>
        <w:t>Right to education</w:t>
      </w:r>
    </w:p>
    <w:p w14:paraId="4A08A49F"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48A03CE1"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464C6AC4"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7CA8B1AC" w14:textId="731113C3"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 xml:space="preserve">Article 13(1) of the ICESCR provides that </w:t>
      </w:r>
      <w:r w:rsidR="003D2802" w:rsidRPr="001D704A">
        <w:rPr>
          <w:rFonts w:ascii="Times New Roman" w:eastAsia="Times New Roman" w:hAnsi="Times New Roman" w:cs="Times New Roman"/>
          <w:bCs/>
          <w:sz w:val="24"/>
          <w:szCs w:val="24"/>
          <w:lang w:eastAsia="en-AU"/>
        </w:rPr>
        <w:t xml:space="preserve">the </w:t>
      </w:r>
      <w:r w:rsidRPr="001D704A">
        <w:rPr>
          <w:rFonts w:ascii="Times New Roman" w:eastAsia="Times New Roman" w:hAnsi="Times New Roman" w:cs="Times New Roman"/>
          <w:bCs/>
          <w:sz w:val="24"/>
          <w:szCs w:val="24"/>
          <w:lang w:eastAsia="en-AU"/>
        </w:rPr>
        <w:t>States Parties to the treaty:</w:t>
      </w:r>
    </w:p>
    <w:p w14:paraId="6EB516D5" w14:textId="48DF9A17" w:rsidR="00EA17DC" w:rsidRPr="001D704A" w:rsidRDefault="00EA17DC" w:rsidP="00123EB1">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recognise the right of everyone to education;</w:t>
      </w:r>
    </w:p>
    <w:p w14:paraId="3439D341" w14:textId="77777777" w:rsidR="00EA17DC" w:rsidRPr="001D704A" w:rsidRDefault="00EA17DC" w:rsidP="00123EB1">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agree that education shall be directed to the full development of the human personality and the sense of its dignity, and shall strengthen the respect for human rights and fundamental freedoms;</w:t>
      </w:r>
    </w:p>
    <w:p w14:paraId="296A316B" w14:textId="77777777" w:rsidR="00EA17DC" w:rsidRPr="001D704A" w:rsidRDefault="00EA17DC" w:rsidP="00123EB1">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agree that education shall enable all persons to participate effectively in a free society, promote understanding, tolerance and friendship among all the nations and all racial, ethnic or religious groups, and further the activities of the United Nations for the maintenance of peace.</w:t>
      </w:r>
    </w:p>
    <w:p w14:paraId="69F69050"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330B40FA"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13(2)(b) of the ICESCR provides that vocational education in its different forms, including technical and vocational secondary education, shall be made generally available and accessible to all by every appropriate means, and in particular by the progressive introduction of free education.</w:t>
      </w:r>
    </w:p>
    <w:p w14:paraId="51C89095"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165F9533"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13(2)(c) of the ICESCR provides that higher education shall be made equally accessible to all, on the basis of capacity, by every appropriate means, and in particular by the progressive introduction of free education.</w:t>
      </w:r>
    </w:p>
    <w:p w14:paraId="6BEB7CAC"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441AC6B3" w14:textId="3D73A9BE"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Article 1(1) of the ILO Convention 142 provides that each Member shall adopt and develop comprehensive and coordinated policies and programs of vocational guidance and vocational training, closely linked with employment.</w:t>
      </w:r>
    </w:p>
    <w:p w14:paraId="52459060"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51C09A6D" w14:textId="354F69B1"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Table item</w:t>
      </w:r>
      <w:r w:rsidR="003D2802" w:rsidRPr="001D704A">
        <w:rPr>
          <w:rFonts w:ascii="Times New Roman" w:eastAsia="Times New Roman" w:hAnsi="Times New Roman" w:cs="Times New Roman"/>
          <w:bCs/>
          <w:sz w:val="24"/>
          <w:szCs w:val="24"/>
          <w:lang w:eastAsia="en-AU"/>
        </w:rPr>
        <w:t xml:space="preserve"> 520</w:t>
      </w:r>
      <w:r w:rsidRPr="001D704A">
        <w:rPr>
          <w:rFonts w:ascii="Times New Roman" w:eastAsia="Times New Roman" w:hAnsi="Times New Roman" w:cs="Times New Roman"/>
          <w:bCs/>
          <w:sz w:val="24"/>
          <w:szCs w:val="24"/>
          <w:lang w:eastAsia="en-AU"/>
        </w:rPr>
        <w:t xml:space="preserve"> promotes the right to education by improving industry-led methods of qualification</w:t>
      </w:r>
      <w:r w:rsidR="003D2802" w:rsidRPr="001D704A">
        <w:rPr>
          <w:rFonts w:ascii="Times New Roman" w:eastAsia="Times New Roman" w:hAnsi="Times New Roman" w:cs="Times New Roman"/>
          <w:bCs/>
          <w:sz w:val="24"/>
          <w:szCs w:val="24"/>
          <w:lang w:eastAsia="en-AU"/>
        </w:rPr>
        <w:t>s</w:t>
      </w:r>
      <w:r w:rsidRPr="001D704A">
        <w:rPr>
          <w:rFonts w:ascii="Times New Roman" w:eastAsia="Times New Roman" w:hAnsi="Times New Roman" w:cs="Times New Roman"/>
          <w:bCs/>
          <w:sz w:val="24"/>
          <w:szCs w:val="24"/>
          <w:lang w:eastAsia="en-AU"/>
        </w:rPr>
        <w:t xml:space="preserve"> development and assessment, which will improve links between training providers and industry, ensuring students receive training that equips them will the skills required by employers.</w:t>
      </w:r>
    </w:p>
    <w:p w14:paraId="64F1227C" w14:textId="77777777" w:rsidR="00EA17DC" w:rsidRPr="001D704A" w:rsidRDefault="00EA17DC" w:rsidP="00123EB1">
      <w:pPr>
        <w:spacing w:after="160"/>
        <w:contextualSpacing/>
        <w:rPr>
          <w:rFonts w:ascii="Times New Roman" w:eastAsia="Times New Roman" w:hAnsi="Times New Roman" w:cs="Times New Roman"/>
          <w:bCs/>
          <w:sz w:val="24"/>
          <w:szCs w:val="24"/>
          <w:lang w:eastAsia="en-AU"/>
        </w:rPr>
      </w:pPr>
    </w:p>
    <w:p w14:paraId="11C4D58D" w14:textId="77777777" w:rsidR="00EA17DC" w:rsidRPr="001D704A" w:rsidRDefault="00EA17DC" w:rsidP="00123EB1">
      <w:pPr>
        <w:rPr>
          <w:rFonts w:ascii="Times New Roman" w:hAnsi="Times New Roman"/>
          <w:sz w:val="24"/>
          <w:szCs w:val="24"/>
        </w:rPr>
      </w:pPr>
      <w:r w:rsidRPr="001D704A">
        <w:rPr>
          <w:rFonts w:ascii="Times New Roman" w:hAnsi="Times New Roman"/>
          <w:i/>
          <w:sz w:val="24"/>
          <w:szCs w:val="24"/>
          <w:u w:val="single"/>
        </w:rPr>
        <w:t>Right to work</w:t>
      </w:r>
    </w:p>
    <w:p w14:paraId="47414848"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2E7EC5A1" w14:textId="40DCE91C" w:rsidR="00EA17DC" w:rsidRPr="001D704A" w:rsidRDefault="00EA17DC" w:rsidP="00123EB1">
      <w:pPr>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Table item</w:t>
      </w:r>
      <w:r w:rsidR="003D2802" w:rsidRPr="001D704A">
        <w:rPr>
          <w:rFonts w:ascii="Times New Roman" w:eastAsia="Times New Roman" w:hAnsi="Times New Roman" w:cs="Times New Roman"/>
          <w:bCs/>
          <w:sz w:val="24"/>
          <w:szCs w:val="24"/>
          <w:lang w:eastAsia="en-AU"/>
        </w:rPr>
        <w:t xml:space="preserve"> 520</w:t>
      </w:r>
      <w:r w:rsidRPr="001D704A">
        <w:rPr>
          <w:rFonts w:ascii="Times New Roman" w:eastAsia="Times New Roman" w:hAnsi="Times New Roman" w:cs="Times New Roman"/>
          <w:bCs/>
          <w:sz w:val="24"/>
          <w:szCs w:val="24"/>
          <w:lang w:eastAsia="en-AU"/>
        </w:rPr>
        <w:t xml:space="preserve"> engages Article 6 of the ICESCR, relevantly:</w:t>
      </w:r>
    </w:p>
    <w:p w14:paraId="5070724D" w14:textId="1103DFDD" w:rsidR="00EA17DC" w:rsidRPr="001D704A" w:rsidRDefault="00EA17DC" w:rsidP="00123EB1">
      <w:pPr>
        <w:pStyle w:val="ListParagraph"/>
        <w:numPr>
          <w:ilvl w:val="0"/>
          <w:numId w:val="45"/>
        </w:numPr>
        <w:spacing w:after="160" w:line="240" w:lineRule="auto"/>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 xml:space="preserve">Article 6(1) of the ICESCR provides that </w:t>
      </w:r>
      <w:r w:rsidR="003D2802" w:rsidRPr="001D704A">
        <w:rPr>
          <w:rFonts w:ascii="Times New Roman" w:eastAsia="Times New Roman" w:hAnsi="Times New Roman"/>
          <w:bCs/>
          <w:sz w:val="24"/>
          <w:szCs w:val="24"/>
          <w:lang w:eastAsia="en-AU"/>
        </w:rPr>
        <w:t xml:space="preserve">the </w:t>
      </w:r>
      <w:r w:rsidRPr="001D704A">
        <w:rPr>
          <w:rFonts w:ascii="Times New Roman" w:eastAsia="Times New Roman" w:hAnsi="Times New Roman"/>
          <w:bCs/>
          <w:sz w:val="24"/>
          <w:szCs w:val="24"/>
          <w:lang w:eastAsia="en-AU"/>
        </w:rPr>
        <w:t>States Parties recognise the right to work; and</w:t>
      </w:r>
    </w:p>
    <w:p w14:paraId="04DDD263" w14:textId="2DDCD6B6" w:rsidR="00EA17DC" w:rsidRPr="001D704A" w:rsidRDefault="00EA17DC" w:rsidP="00123EB1">
      <w:pPr>
        <w:pStyle w:val="ListParagraph"/>
        <w:numPr>
          <w:ilvl w:val="0"/>
          <w:numId w:val="45"/>
        </w:numPr>
        <w:spacing w:after="0" w:line="240" w:lineRule="auto"/>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 xml:space="preserve">Article 6(2) of the ICESCR sets out the steps to be taken by </w:t>
      </w:r>
      <w:r w:rsidR="003D2802" w:rsidRPr="001D704A">
        <w:rPr>
          <w:rFonts w:ascii="Times New Roman" w:eastAsia="Times New Roman" w:hAnsi="Times New Roman"/>
          <w:bCs/>
          <w:sz w:val="24"/>
          <w:szCs w:val="24"/>
          <w:lang w:eastAsia="en-AU"/>
        </w:rPr>
        <w:t xml:space="preserve">the </w:t>
      </w:r>
      <w:r w:rsidRPr="001D704A">
        <w:rPr>
          <w:rFonts w:ascii="Times New Roman" w:eastAsia="Times New Roman" w:hAnsi="Times New Roman"/>
          <w:bCs/>
          <w:sz w:val="24"/>
          <w:szCs w:val="24"/>
          <w:lang w:eastAsia="en-AU"/>
        </w:rPr>
        <w:t xml:space="preserve">States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 </w:t>
      </w:r>
    </w:p>
    <w:p w14:paraId="4CDCCE58" w14:textId="77777777" w:rsidR="00EA17DC" w:rsidRPr="001D704A" w:rsidRDefault="00EA17DC" w:rsidP="00123EB1">
      <w:pPr>
        <w:spacing w:after="160" w:line="259" w:lineRule="auto"/>
        <w:contextualSpacing/>
        <w:rPr>
          <w:rFonts w:ascii="Times New Roman" w:eastAsia="Times New Roman" w:hAnsi="Times New Roman"/>
          <w:bCs/>
          <w:sz w:val="24"/>
          <w:szCs w:val="24"/>
          <w:lang w:eastAsia="en-AU"/>
        </w:rPr>
      </w:pPr>
    </w:p>
    <w:p w14:paraId="4DE4F084" w14:textId="11D671E4" w:rsidR="00EA17DC" w:rsidRPr="001D704A" w:rsidRDefault="00EA17DC" w:rsidP="00123EB1">
      <w:pPr>
        <w:spacing w:after="160"/>
        <w:contextualSpacing/>
        <w:rPr>
          <w:rFonts w:ascii="Times New Roman" w:eastAsia="Times New Roman" w:hAnsi="Times New Roman"/>
          <w:bCs/>
          <w:sz w:val="24"/>
          <w:szCs w:val="24"/>
          <w:lang w:eastAsia="en-AU"/>
        </w:rPr>
      </w:pPr>
      <w:r w:rsidRPr="001D704A">
        <w:rPr>
          <w:rFonts w:ascii="Times New Roman" w:eastAsia="Times New Roman" w:hAnsi="Times New Roman"/>
          <w:bCs/>
          <w:sz w:val="24"/>
          <w:szCs w:val="24"/>
          <w:lang w:eastAsia="en-AU"/>
        </w:rPr>
        <w:t xml:space="preserve">Article 1(1) of </w:t>
      </w:r>
      <w:r w:rsidR="003D2802" w:rsidRPr="001D704A">
        <w:rPr>
          <w:rFonts w:ascii="Times New Roman" w:eastAsia="Times New Roman" w:hAnsi="Times New Roman"/>
          <w:bCs/>
          <w:sz w:val="24"/>
          <w:szCs w:val="24"/>
          <w:lang w:eastAsia="en-AU"/>
        </w:rPr>
        <w:t xml:space="preserve">the </w:t>
      </w:r>
      <w:r w:rsidRPr="001D704A">
        <w:rPr>
          <w:rFonts w:ascii="Times New Roman" w:eastAsia="Times New Roman" w:hAnsi="Times New Roman"/>
          <w:bCs/>
          <w:sz w:val="24"/>
          <w:szCs w:val="24"/>
          <w:lang w:eastAsia="en-AU"/>
        </w:rPr>
        <w:t>ILO Convention</w:t>
      </w:r>
      <w:r w:rsidR="003D2802" w:rsidRPr="001D704A">
        <w:rPr>
          <w:rFonts w:ascii="Times New Roman" w:eastAsia="Times New Roman" w:hAnsi="Times New Roman"/>
          <w:bCs/>
          <w:sz w:val="24"/>
          <w:szCs w:val="24"/>
          <w:lang w:eastAsia="en-AU"/>
        </w:rPr>
        <w:t xml:space="preserve"> </w:t>
      </w:r>
      <w:r w:rsidRPr="001D704A">
        <w:rPr>
          <w:rFonts w:ascii="Times New Roman" w:eastAsia="Times New Roman" w:hAnsi="Times New Roman"/>
          <w:bCs/>
          <w:sz w:val="24"/>
          <w:szCs w:val="24"/>
          <w:lang w:eastAsia="en-AU"/>
        </w:rPr>
        <w:t>122 provides that, with a view to stimulating economic growth and development, raising levels of living, meeting workforce requirements and overcoming unemployment and underemployment, each Member shall declare and pursue, as a major goal, an active policy designed to promote full, productive and freely chosen employment.</w:t>
      </w:r>
    </w:p>
    <w:p w14:paraId="62EBDD08" w14:textId="77777777" w:rsidR="00EA17DC" w:rsidRPr="001D704A" w:rsidRDefault="00EA17DC" w:rsidP="00123EB1">
      <w:pPr>
        <w:spacing w:after="160" w:line="259" w:lineRule="auto"/>
        <w:contextualSpacing/>
        <w:rPr>
          <w:rFonts w:ascii="Times New Roman" w:eastAsia="Times New Roman" w:hAnsi="Times New Roman" w:cs="Times New Roman"/>
          <w:bCs/>
          <w:sz w:val="24"/>
          <w:szCs w:val="24"/>
          <w:lang w:eastAsia="en-AU"/>
        </w:rPr>
      </w:pPr>
    </w:p>
    <w:p w14:paraId="0D8B5706" w14:textId="2A201196" w:rsidR="00EA17DC" w:rsidRPr="001D704A" w:rsidRDefault="00EA17DC" w:rsidP="00123EB1">
      <w:pPr>
        <w:spacing w:after="160"/>
        <w:contextualSpacing/>
        <w:rPr>
          <w:rFonts w:ascii="Times New Roman" w:eastAsia="Times New Roman" w:hAnsi="Times New Roman" w:cs="Times New Roman"/>
          <w:bCs/>
          <w:sz w:val="24"/>
          <w:szCs w:val="24"/>
          <w:lang w:eastAsia="en-AU"/>
        </w:rPr>
      </w:pPr>
      <w:r w:rsidRPr="001D704A">
        <w:rPr>
          <w:rFonts w:ascii="Times New Roman" w:eastAsia="Times New Roman" w:hAnsi="Times New Roman" w:cs="Times New Roman"/>
          <w:bCs/>
          <w:sz w:val="24"/>
          <w:szCs w:val="24"/>
          <w:lang w:eastAsia="en-AU"/>
        </w:rPr>
        <w:t xml:space="preserve">The </w:t>
      </w:r>
      <w:r w:rsidR="003D2802" w:rsidRPr="001D704A">
        <w:rPr>
          <w:rFonts w:ascii="Times New Roman" w:eastAsia="Times New Roman" w:hAnsi="Times New Roman" w:cs="Times New Roman"/>
          <w:bCs/>
          <w:sz w:val="24"/>
          <w:szCs w:val="24"/>
          <w:lang w:eastAsia="en-AU"/>
        </w:rPr>
        <w:t>p</w:t>
      </w:r>
      <w:r w:rsidRPr="001D704A">
        <w:rPr>
          <w:rFonts w:ascii="Times New Roman" w:eastAsia="Times New Roman" w:hAnsi="Times New Roman" w:cs="Times New Roman"/>
          <w:bCs/>
          <w:sz w:val="24"/>
          <w:szCs w:val="24"/>
          <w:lang w:eastAsia="en-AU"/>
        </w:rPr>
        <w:t>rogram aims to improve the quality, relevance and responsiveness of the VET system by strengthening industry’s voice, driving collaboration across sectors, addressing strategic workforce challenges, and improving the speed to market of training package qualifications to meet evolving industry needs. This will mean qualifications are aligned to the skills that are in demand by employers, increase workforce productivity, and get more learners into jobs, in turn promoting the right to work.</w:t>
      </w:r>
    </w:p>
    <w:p w14:paraId="35962FDC" w14:textId="77777777" w:rsidR="00EA17DC" w:rsidRPr="001D704A" w:rsidRDefault="00EA17DC" w:rsidP="00123EB1">
      <w:pPr>
        <w:ind w:right="-46"/>
        <w:rPr>
          <w:rFonts w:ascii="Times New Roman" w:hAnsi="Times New Roman" w:cs="Times New Roman"/>
          <w:b/>
          <w:color w:val="000000" w:themeColor="text1"/>
          <w:sz w:val="24"/>
          <w:szCs w:val="24"/>
        </w:rPr>
      </w:pPr>
    </w:p>
    <w:p w14:paraId="5DB6EAFA" w14:textId="77777777" w:rsidR="00EA17DC" w:rsidRPr="001D704A" w:rsidRDefault="00EA17DC" w:rsidP="00123EB1">
      <w:pPr>
        <w:ind w:right="-46"/>
        <w:rPr>
          <w:rFonts w:ascii="Times New Roman" w:hAnsi="Times New Roman" w:cs="Times New Roman"/>
          <w:color w:val="000000" w:themeColor="text1"/>
          <w:sz w:val="24"/>
          <w:szCs w:val="24"/>
        </w:rPr>
      </w:pPr>
      <w:r w:rsidRPr="001D704A">
        <w:rPr>
          <w:rFonts w:ascii="Times New Roman" w:hAnsi="Times New Roman" w:cs="Times New Roman"/>
          <w:b/>
          <w:color w:val="000000" w:themeColor="text1"/>
          <w:sz w:val="24"/>
          <w:szCs w:val="24"/>
        </w:rPr>
        <w:t>Conclusion</w:t>
      </w:r>
    </w:p>
    <w:p w14:paraId="4D6173C7" w14:textId="77777777" w:rsidR="00EA17DC" w:rsidRPr="001D704A" w:rsidRDefault="00EA17DC" w:rsidP="00123EB1">
      <w:pPr>
        <w:ind w:right="-46"/>
        <w:rPr>
          <w:rFonts w:ascii="Times New Roman" w:hAnsi="Times New Roman" w:cs="Times New Roman"/>
          <w:color w:val="000000" w:themeColor="text1"/>
          <w:sz w:val="24"/>
          <w:szCs w:val="24"/>
        </w:rPr>
      </w:pPr>
    </w:p>
    <w:p w14:paraId="597C0AB1" w14:textId="77777777" w:rsidR="003D2802" w:rsidRPr="001D704A" w:rsidRDefault="00EA17DC" w:rsidP="00123EB1">
      <w:pPr>
        <w:ind w:right="-46"/>
        <w:rPr>
          <w:rFonts w:ascii="Times New Roman" w:hAnsi="Times New Roman" w:cs="Times New Roman"/>
          <w:color w:val="000000" w:themeColor="text1"/>
          <w:sz w:val="24"/>
          <w:szCs w:val="24"/>
        </w:rPr>
      </w:pPr>
      <w:r w:rsidRPr="001D704A">
        <w:rPr>
          <w:rFonts w:ascii="Times New Roman" w:hAnsi="Times New Roman" w:cs="Times New Roman"/>
          <w:color w:val="000000" w:themeColor="text1"/>
          <w:sz w:val="24"/>
          <w:szCs w:val="24"/>
        </w:rPr>
        <w:t xml:space="preserve">Table item </w:t>
      </w:r>
      <w:r w:rsidR="003D2802" w:rsidRPr="001D704A">
        <w:rPr>
          <w:rFonts w:ascii="Times New Roman" w:hAnsi="Times New Roman" w:cs="Times New Roman"/>
          <w:color w:val="000000" w:themeColor="text1"/>
          <w:sz w:val="24"/>
          <w:szCs w:val="24"/>
        </w:rPr>
        <w:t>520</w:t>
      </w:r>
      <w:r w:rsidRPr="001D704A">
        <w:rPr>
          <w:rFonts w:ascii="Times New Roman" w:hAnsi="Times New Roman" w:cs="Times New Roman"/>
          <w:color w:val="000000" w:themeColor="text1"/>
          <w:sz w:val="24"/>
          <w:szCs w:val="24"/>
        </w:rPr>
        <w:t xml:space="preserve"> </w:t>
      </w:r>
      <w:r w:rsidR="003D2802" w:rsidRPr="001D704A">
        <w:rPr>
          <w:rFonts w:ascii="Times New Roman" w:hAnsi="Times New Roman" w:cs="Times New Roman"/>
          <w:color w:val="000000" w:themeColor="text1"/>
          <w:sz w:val="24"/>
          <w:szCs w:val="24"/>
        </w:rPr>
        <w:t>is compatible with human rights because it promotes the protection of human rights.</w:t>
      </w:r>
    </w:p>
    <w:p w14:paraId="2EA375E8" w14:textId="26C11CD6" w:rsidR="00EA17DC" w:rsidRPr="001D704A" w:rsidRDefault="00EA17DC" w:rsidP="00123EB1">
      <w:pPr>
        <w:ind w:right="-46"/>
        <w:rPr>
          <w:rFonts w:ascii="Times New Roman" w:hAnsi="Times New Roman" w:cs="Times New Roman"/>
          <w:color w:val="000000" w:themeColor="text1"/>
          <w:sz w:val="24"/>
          <w:szCs w:val="24"/>
        </w:rPr>
      </w:pPr>
    </w:p>
    <w:p w14:paraId="580E94CC" w14:textId="494FD954" w:rsidR="00FC3041" w:rsidRPr="001D704A" w:rsidRDefault="00FC3041" w:rsidP="00123EB1">
      <w:pPr>
        <w:ind w:right="-46"/>
        <w:rPr>
          <w:rFonts w:ascii="Times New Roman" w:hAnsi="Times New Roman" w:cs="Times New Roman"/>
          <w:color w:val="000000" w:themeColor="text1"/>
          <w:sz w:val="24"/>
          <w:szCs w:val="24"/>
        </w:rPr>
      </w:pPr>
    </w:p>
    <w:p w14:paraId="4348A24E" w14:textId="05BA212F" w:rsidR="00FC3041" w:rsidRPr="001D704A" w:rsidRDefault="00FC3041" w:rsidP="00123EB1">
      <w:pPr>
        <w:ind w:right="-46"/>
        <w:rPr>
          <w:rFonts w:ascii="Times New Roman" w:hAnsi="Times New Roman" w:cs="Times New Roman"/>
          <w:color w:val="000000" w:themeColor="text1"/>
          <w:sz w:val="24"/>
          <w:szCs w:val="24"/>
        </w:rPr>
      </w:pPr>
    </w:p>
    <w:p w14:paraId="54876692" w14:textId="77777777" w:rsidR="00FC3041" w:rsidRPr="001D704A" w:rsidRDefault="00FC3041" w:rsidP="00123EB1">
      <w:pPr>
        <w:ind w:right="-46"/>
        <w:rPr>
          <w:rFonts w:ascii="Times New Roman" w:hAnsi="Times New Roman" w:cs="Times New Roman"/>
          <w:color w:val="000000" w:themeColor="text1"/>
          <w:sz w:val="24"/>
          <w:szCs w:val="24"/>
        </w:rPr>
      </w:pPr>
    </w:p>
    <w:p w14:paraId="45E72BEF" w14:textId="77777777" w:rsidR="004C5A11" w:rsidRPr="001D704A" w:rsidRDefault="004C5A11" w:rsidP="00123EB1">
      <w:pPr>
        <w:ind w:right="-46"/>
        <w:rPr>
          <w:rFonts w:ascii="Times New Roman" w:hAnsi="Times New Roman" w:cs="Times New Roman"/>
          <w:color w:val="000000" w:themeColor="text1"/>
          <w:sz w:val="24"/>
          <w:szCs w:val="24"/>
        </w:rPr>
      </w:pPr>
    </w:p>
    <w:p w14:paraId="24699FB0" w14:textId="77777777" w:rsidR="00337D61" w:rsidRPr="001D704A" w:rsidRDefault="00337D61" w:rsidP="00123EB1">
      <w:pPr>
        <w:pStyle w:val="paranumbering0"/>
        <w:spacing w:before="0" w:beforeAutospacing="0" w:after="0" w:afterAutospacing="0"/>
        <w:contextualSpacing/>
        <w:jc w:val="center"/>
        <w:rPr>
          <w:b/>
        </w:rPr>
      </w:pPr>
      <w:r w:rsidRPr="001D704A">
        <w:rPr>
          <w:b/>
        </w:rPr>
        <w:t xml:space="preserve">Senator the Hon </w:t>
      </w:r>
      <w:r w:rsidR="000E4DED" w:rsidRPr="001D704A">
        <w:rPr>
          <w:b/>
        </w:rPr>
        <w:t>Simon Birmingham</w:t>
      </w:r>
    </w:p>
    <w:p w14:paraId="031FF92F" w14:textId="77777777" w:rsidR="00E5121D" w:rsidRPr="0026506D" w:rsidRDefault="00337D61" w:rsidP="00123EB1">
      <w:pPr>
        <w:contextualSpacing/>
        <w:jc w:val="center"/>
        <w:rPr>
          <w:rFonts w:ascii="Times New Roman" w:hAnsi="Times New Roman" w:cs="Times New Roman"/>
          <w:b/>
          <w:sz w:val="24"/>
          <w:szCs w:val="24"/>
          <w:lang w:eastAsia="en-AU"/>
        </w:rPr>
      </w:pPr>
      <w:r w:rsidRPr="001D704A">
        <w:rPr>
          <w:rFonts w:ascii="Times New Roman" w:hAnsi="Times New Roman" w:cs="Times New Roman"/>
          <w:b/>
          <w:sz w:val="24"/>
          <w:szCs w:val="24"/>
        </w:rPr>
        <w:t>Minister for Finance</w:t>
      </w:r>
      <w:bookmarkStart w:id="3" w:name="_GoBack"/>
      <w:bookmarkEnd w:id="3"/>
    </w:p>
    <w:sectPr w:rsidR="00E5121D" w:rsidRPr="0026506D" w:rsidSect="00FD7AE1">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D9A9" w14:textId="77777777" w:rsidR="00660191" w:rsidRDefault="00660191" w:rsidP="005C0CB4">
      <w:r>
        <w:separator/>
      </w:r>
    </w:p>
  </w:endnote>
  <w:endnote w:type="continuationSeparator" w:id="0">
    <w:p w14:paraId="5C8477EF" w14:textId="77777777" w:rsidR="00660191" w:rsidRDefault="00660191" w:rsidP="005C0CB4">
      <w:r>
        <w:continuationSeparator/>
      </w:r>
    </w:p>
  </w:endnote>
  <w:endnote w:type="continuationNotice" w:id="1">
    <w:p w14:paraId="72C9246E" w14:textId="77777777" w:rsidR="00660191" w:rsidRDefault="00660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8960" w14:textId="77777777" w:rsidR="00660191" w:rsidRDefault="00660191" w:rsidP="005C0CB4">
      <w:r>
        <w:separator/>
      </w:r>
    </w:p>
  </w:footnote>
  <w:footnote w:type="continuationSeparator" w:id="0">
    <w:p w14:paraId="72FC2C38" w14:textId="77777777" w:rsidR="00660191" w:rsidRDefault="00660191" w:rsidP="005C0CB4">
      <w:r>
        <w:continuationSeparator/>
      </w:r>
    </w:p>
  </w:footnote>
  <w:footnote w:type="continuationNotice" w:id="1">
    <w:p w14:paraId="6830E17B" w14:textId="77777777" w:rsidR="00660191" w:rsidRDefault="006601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95AA419" w14:textId="2E713A96" w:rsidR="00660191" w:rsidRPr="002413C2" w:rsidRDefault="00660191">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D704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5562F18" w14:textId="77777777" w:rsidR="00660191" w:rsidRDefault="00660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D01" w14:textId="21C7F93A" w:rsidR="00660191" w:rsidRDefault="00660191">
    <w:pPr>
      <w:pStyle w:val="Header"/>
      <w:jc w:val="center"/>
    </w:pPr>
    <w:r>
      <w:rPr>
        <w:noProof/>
        <w:lang w:eastAsia="en-AU"/>
      </w:rPr>
      <mc:AlternateContent>
        <mc:Choice Requires="wps">
          <w:drawing>
            <wp:anchor distT="0" distB="0" distL="114300" distR="114300" simplePos="0" relativeHeight="251660288" behindDoc="0" locked="1" layoutInCell="0" allowOverlap="1" wp14:anchorId="049764AA" wp14:editId="0FB0E68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548DA" w14:textId="77777777" w:rsidR="00660191" w:rsidRPr="0063345B" w:rsidRDefault="00660191"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9764AA" id="_x0000_t202" coordsize="21600,21600" o:spt="202" path="m,l,21600r21600,l21600,xe">
              <v:stroke joinstyle="miter"/>
              <v:path gradientshapeok="t" o:connecttype="rect"/>
            </v:shapetype>
            <v:shape id="janusSEAL SC H_FirstPage" o:spid="_x0000_s1026"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" o:allowincell="f" filled="f" stroked="f" strokeweight=".5pt">
              <v:textbox style="mso-fit-shape-to-text:t">
                <w:txbxContent>
                  <w:p w14:paraId="395548DA" w14:textId="77777777" w:rsidR="00660191" w:rsidRPr="0063345B" w:rsidRDefault="00660191"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5511" w14:textId="77777777" w:rsidR="00660191" w:rsidRDefault="006601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EFD8" w14:textId="647535A3" w:rsidR="00660191" w:rsidRPr="00335886" w:rsidRDefault="00660191">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1BCCE992" wp14:editId="1F293F9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B9926" w14:textId="77777777" w:rsidR="00660191" w:rsidRPr="0063345B" w:rsidRDefault="00660191"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CCE992" id="_x0000_t202" coordsize="21600,21600" o:spt="202" path="m,l,21600r21600,l21600,xe">
              <v:stroke joinstyle="miter"/>
              <v:path gradientshapeok="t" o:connecttype="rect"/>
            </v:shapetype>
            <v:shape id="janusSEAL SC Header_S_2" o:spid="_x0000_s1027"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rP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27Pd07a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of5rPqQIAAFIFAAAOAAAAAAAAAAAAAAAA&#10;AC4CAABkcnMvZTJvRG9jLnhtbFBLAQItABQABgAIAAAAIQBpS/Fj2wAAAAQBAAAPAAAAAAAAAAAA&#10;AAAAAAMFAABkcnMvZG93bnJldi54bWxQSwUGAAAAAAQABADzAAAACwYAAAAA&#10;" o:allowincell="f" filled="f" stroked="f" strokeweight=".5pt">
              <v:textbox style="mso-fit-shape-to-text:t">
                <w:txbxContent>
                  <w:p w14:paraId="6C9B9926" w14:textId="77777777" w:rsidR="00660191" w:rsidRPr="0063345B" w:rsidRDefault="00660191"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1D704A">
          <w:rPr>
            <w:rFonts w:ascii="Times New Roman" w:hAnsi="Times New Roman" w:cs="Times New Roman"/>
            <w:noProof/>
            <w:sz w:val="24"/>
            <w:szCs w:val="24"/>
          </w:rPr>
          <w:t>12</w:t>
        </w:r>
        <w:r w:rsidRPr="00335886">
          <w:rPr>
            <w:rFonts w:ascii="Times New Roman" w:hAnsi="Times New Roman" w:cs="Times New Roman"/>
            <w:noProof/>
            <w:sz w:val="24"/>
            <w:szCs w:val="24"/>
          </w:rPr>
          <w:fldChar w:fldCharType="end"/>
        </w:r>
      </w:sdtContent>
    </w:sdt>
  </w:p>
  <w:p w14:paraId="04A82769" w14:textId="77777777" w:rsidR="00660191" w:rsidRDefault="00660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9DA5" w14:textId="77777777" w:rsidR="00660191" w:rsidRPr="00335886" w:rsidRDefault="00660191"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0C792427" wp14:editId="1E6CAAA9">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439A" w14:textId="77777777" w:rsidR="00660191" w:rsidRPr="001849BD" w:rsidRDefault="00660191"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792427"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cW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sYFxarAgAAVwUAAA4AAAAAAAAAAAAA&#10;AAAALgIAAGRycy9lMm9Eb2MueG1sUEsBAi0AFAAGAAgAAAAhAGlL8WPbAAAABAEAAA8AAAAAAAAA&#10;AAAAAAAABQUAAGRycy9kb3ducmV2LnhtbFBLBQYAAAAABAAEAPMAAAANBgAAAAA=&#10;" o:allowincell="f" filled="f" stroked="f" strokeweight=".5pt">
              <v:textbox style="mso-fit-shape-to-text:t">
                <w:txbxContent>
                  <w:p w14:paraId="021F439A" w14:textId="77777777" w:rsidR="00660191" w:rsidRPr="001849BD" w:rsidRDefault="00660191"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DBE7BF6" w14:textId="77777777" w:rsidR="00660191" w:rsidRDefault="0066019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EFC21CB" w14:textId="6F7B86D2" w:rsidR="00660191" w:rsidRPr="00FD7AE1" w:rsidRDefault="00660191">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49DBDB9A" wp14:editId="1284845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84F94" w14:textId="77777777" w:rsidR="00660191" w:rsidRPr="001849BD" w:rsidRDefault="0066019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BDB9A"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yG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Jzq3Mn8GNrUEmIEro+iqgrfXxNh7omEW4BLm297BUnAJ2MqjhFEp9fc/3Tt7gAS0&#10;GDUwWxkWMPwY8c8CWjeJ4tiNoj/E4ymQj/S5ZnuuEft6KQGDyOfmRWdveS8WWtaP8Aks3JugIoLC&#10;yxm2vbi03bzDJ0LZYuGNYPgUsWuxUdSF7hF/aB+JVsems4DlrexnkKRveq+zdZ5GLfYWOtA3pkO5&#10;wxR4cAcYXM/I8ZNxP8P52Vu9fIXzXwA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SOFyGqQIAAFIFAAAOAAAAAAAAAAAAAAAA&#10;AC4CAABkcnMvZTJvRG9jLnhtbFBLAQItABQABgAIAAAAIQBpS/Fj2wAAAAQBAAAPAAAAAAAAAAAA&#10;AAAAAAMFAABkcnMvZG93bnJldi54bWxQSwUGAAAAAAQABADzAAAACwYAAAAA&#10;" o:allowincell="f" filled="f" stroked="f" strokeweight=".5pt">
                  <v:textbox style="mso-fit-shape-to-text:t">
                    <w:txbxContent>
                      <w:p w14:paraId="01E84F94" w14:textId="77777777" w:rsidR="00500B55" w:rsidRPr="001849BD" w:rsidRDefault="00500B5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23EB1">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59A952B2" w14:textId="77777777" w:rsidR="00660191" w:rsidRDefault="00660191"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40E1" w14:textId="77777777" w:rsidR="00660191" w:rsidRPr="00C2546D" w:rsidRDefault="00660191"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00D64FA2" wp14:editId="38B9B2A6">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45271" w14:textId="77777777" w:rsidR="00660191" w:rsidRPr="001849BD" w:rsidRDefault="00660191"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D64FA2"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15A45271" w14:textId="77777777" w:rsidR="00500B55" w:rsidRPr="001849BD" w:rsidRDefault="00500B5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DC6E7E8" w14:textId="77777777" w:rsidR="00660191" w:rsidRDefault="006601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574AF"/>
    <w:multiLevelType w:val="hybridMultilevel"/>
    <w:tmpl w:val="4B24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8942894"/>
    <w:multiLevelType w:val="hybridMultilevel"/>
    <w:tmpl w:val="25ACC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03630"/>
    <w:multiLevelType w:val="hybridMultilevel"/>
    <w:tmpl w:val="030A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8934A6B"/>
    <w:multiLevelType w:val="multilevel"/>
    <w:tmpl w:val="05B0A610"/>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sz w:val="2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0A6B33"/>
    <w:multiLevelType w:val="hybridMultilevel"/>
    <w:tmpl w:val="A3CA2F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39C12DA"/>
    <w:multiLevelType w:val="hybridMultilevel"/>
    <w:tmpl w:val="BE4E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26099"/>
    <w:multiLevelType w:val="hybridMultilevel"/>
    <w:tmpl w:val="200828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845274"/>
    <w:multiLevelType w:val="hybridMultilevel"/>
    <w:tmpl w:val="F554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845DDA"/>
    <w:multiLevelType w:val="hybridMultilevel"/>
    <w:tmpl w:val="D408F848"/>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701D9"/>
    <w:multiLevelType w:val="hybridMultilevel"/>
    <w:tmpl w:val="0832B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7A518A"/>
    <w:multiLevelType w:val="hybridMultilevel"/>
    <w:tmpl w:val="C5ACF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D3454"/>
    <w:multiLevelType w:val="hybridMultilevel"/>
    <w:tmpl w:val="70BC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614B70"/>
    <w:multiLevelType w:val="hybridMultilevel"/>
    <w:tmpl w:val="9E3C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B31BC"/>
    <w:multiLevelType w:val="hybridMultilevel"/>
    <w:tmpl w:val="794CF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767C1F"/>
    <w:multiLevelType w:val="hybridMultilevel"/>
    <w:tmpl w:val="EC78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D71510"/>
    <w:multiLevelType w:val="hybridMultilevel"/>
    <w:tmpl w:val="983227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52485D73"/>
    <w:multiLevelType w:val="hybridMultilevel"/>
    <w:tmpl w:val="9294AA76"/>
    <w:lvl w:ilvl="0" w:tplc="F66633F2">
      <w:start w:val="1"/>
      <w:numFmt w:val="bullet"/>
      <w:lvlText w:val=""/>
      <w:lvlJc w:val="left"/>
      <w:pPr>
        <w:ind w:left="720" w:hanging="360"/>
      </w:pPr>
      <w:rPr>
        <w:rFonts w:ascii="Symbol" w:hAnsi="Symbol" w:hint="default"/>
      </w:rPr>
    </w:lvl>
    <w:lvl w:ilvl="1" w:tplc="37F2CEC8">
      <w:start w:val="1"/>
      <w:numFmt w:val="bullet"/>
      <w:lvlText w:val="o"/>
      <w:lvlJc w:val="left"/>
      <w:pPr>
        <w:ind w:left="1440" w:hanging="360"/>
      </w:pPr>
      <w:rPr>
        <w:rFonts w:ascii="Courier New" w:hAnsi="Courier New" w:hint="default"/>
      </w:rPr>
    </w:lvl>
    <w:lvl w:ilvl="2" w:tplc="5AB65DA2">
      <w:start w:val="1"/>
      <w:numFmt w:val="bullet"/>
      <w:lvlText w:val=""/>
      <w:lvlJc w:val="left"/>
      <w:pPr>
        <w:ind w:left="2160" w:hanging="360"/>
      </w:pPr>
      <w:rPr>
        <w:rFonts w:ascii="Wingdings" w:hAnsi="Wingdings" w:hint="default"/>
      </w:rPr>
    </w:lvl>
    <w:lvl w:ilvl="3" w:tplc="8AAA3B76">
      <w:start w:val="1"/>
      <w:numFmt w:val="bullet"/>
      <w:lvlText w:val=""/>
      <w:lvlJc w:val="left"/>
      <w:pPr>
        <w:ind w:left="2880" w:hanging="360"/>
      </w:pPr>
      <w:rPr>
        <w:rFonts w:ascii="Symbol" w:hAnsi="Symbol" w:hint="default"/>
      </w:rPr>
    </w:lvl>
    <w:lvl w:ilvl="4" w:tplc="82A46FC8">
      <w:start w:val="1"/>
      <w:numFmt w:val="bullet"/>
      <w:lvlText w:val="o"/>
      <w:lvlJc w:val="left"/>
      <w:pPr>
        <w:ind w:left="3600" w:hanging="360"/>
      </w:pPr>
      <w:rPr>
        <w:rFonts w:ascii="Courier New" w:hAnsi="Courier New" w:hint="default"/>
      </w:rPr>
    </w:lvl>
    <w:lvl w:ilvl="5" w:tplc="E82A431A">
      <w:start w:val="1"/>
      <w:numFmt w:val="bullet"/>
      <w:lvlText w:val=""/>
      <w:lvlJc w:val="left"/>
      <w:pPr>
        <w:ind w:left="4320" w:hanging="360"/>
      </w:pPr>
      <w:rPr>
        <w:rFonts w:ascii="Wingdings" w:hAnsi="Wingdings" w:hint="default"/>
      </w:rPr>
    </w:lvl>
    <w:lvl w:ilvl="6" w:tplc="9B04763E">
      <w:start w:val="1"/>
      <w:numFmt w:val="bullet"/>
      <w:lvlText w:val=""/>
      <w:lvlJc w:val="left"/>
      <w:pPr>
        <w:ind w:left="5040" w:hanging="360"/>
      </w:pPr>
      <w:rPr>
        <w:rFonts w:ascii="Symbol" w:hAnsi="Symbol" w:hint="default"/>
      </w:rPr>
    </w:lvl>
    <w:lvl w:ilvl="7" w:tplc="83CA788A">
      <w:start w:val="1"/>
      <w:numFmt w:val="bullet"/>
      <w:lvlText w:val="o"/>
      <w:lvlJc w:val="left"/>
      <w:pPr>
        <w:ind w:left="5760" w:hanging="360"/>
      </w:pPr>
      <w:rPr>
        <w:rFonts w:ascii="Courier New" w:hAnsi="Courier New" w:hint="default"/>
      </w:rPr>
    </w:lvl>
    <w:lvl w:ilvl="8" w:tplc="C982089E">
      <w:start w:val="1"/>
      <w:numFmt w:val="bullet"/>
      <w:lvlText w:val=""/>
      <w:lvlJc w:val="left"/>
      <w:pPr>
        <w:ind w:left="6480" w:hanging="360"/>
      </w:pPr>
      <w:rPr>
        <w:rFonts w:ascii="Wingdings" w:hAnsi="Wingdings" w:hint="default"/>
      </w:rPr>
    </w:lvl>
  </w:abstractNum>
  <w:abstractNum w:abstractNumId="35"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DB0EAC"/>
    <w:multiLevelType w:val="hybridMultilevel"/>
    <w:tmpl w:val="C36212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A55F4B"/>
    <w:multiLevelType w:val="hybridMultilevel"/>
    <w:tmpl w:val="3446C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F54FC"/>
    <w:multiLevelType w:val="hybridMultilevel"/>
    <w:tmpl w:val="0B6E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C930D7"/>
    <w:multiLevelType w:val="hybridMultilevel"/>
    <w:tmpl w:val="88107478"/>
    <w:lvl w:ilvl="0" w:tplc="C74EB9B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701877"/>
    <w:multiLevelType w:val="hybridMultilevel"/>
    <w:tmpl w:val="95489788"/>
    <w:lvl w:ilvl="0" w:tplc="BD1A184C">
      <w:start w:val="1"/>
      <w:numFmt w:val="bullet"/>
      <w:lvlText w:val=""/>
      <w:lvlJc w:val="left"/>
      <w:pPr>
        <w:ind w:left="720" w:hanging="360"/>
      </w:pPr>
      <w:rPr>
        <w:rFonts w:ascii="Symbol" w:hAnsi="Symbol" w:hint="default"/>
      </w:rPr>
    </w:lvl>
    <w:lvl w:ilvl="1" w:tplc="7BF26202">
      <w:start w:val="1"/>
      <w:numFmt w:val="bullet"/>
      <w:lvlText w:val="o"/>
      <w:lvlJc w:val="left"/>
      <w:pPr>
        <w:ind w:left="1440" w:hanging="360"/>
      </w:pPr>
      <w:rPr>
        <w:rFonts w:ascii="Courier New" w:hAnsi="Courier New" w:hint="default"/>
      </w:rPr>
    </w:lvl>
    <w:lvl w:ilvl="2" w:tplc="67A0FE84">
      <w:start w:val="1"/>
      <w:numFmt w:val="bullet"/>
      <w:lvlText w:val=""/>
      <w:lvlJc w:val="left"/>
      <w:pPr>
        <w:ind w:left="2160" w:hanging="360"/>
      </w:pPr>
      <w:rPr>
        <w:rFonts w:ascii="Wingdings" w:hAnsi="Wingdings" w:hint="default"/>
      </w:rPr>
    </w:lvl>
    <w:lvl w:ilvl="3" w:tplc="D0107B9A">
      <w:start w:val="1"/>
      <w:numFmt w:val="bullet"/>
      <w:lvlText w:val=""/>
      <w:lvlJc w:val="left"/>
      <w:pPr>
        <w:ind w:left="2880" w:hanging="360"/>
      </w:pPr>
      <w:rPr>
        <w:rFonts w:ascii="Symbol" w:hAnsi="Symbol" w:hint="default"/>
      </w:rPr>
    </w:lvl>
    <w:lvl w:ilvl="4" w:tplc="4FFA86AA">
      <w:start w:val="1"/>
      <w:numFmt w:val="bullet"/>
      <w:lvlText w:val="o"/>
      <w:lvlJc w:val="left"/>
      <w:pPr>
        <w:ind w:left="3600" w:hanging="360"/>
      </w:pPr>
      <w:rPr>
        <w:rFonts w:ascii="Courier New" w:hAnsi="Courier New" w:hint="default"/>
      </w:rPr>
    </w:lvl>
    <w:lvl w:ilvl="5" w:tplc="BB2C0DDC">
      <w:start w:val="1"/>
      <w:numFmt w:val="bullet"/>
      <w:lvlText w:val=""/>
      <w:lvlJc w:val="left"/>
      <w:pPr>
        <w:ind w:left="4320" w:hanging="360"/>
      </w:pPr>
      <w:rPr>
        <w:rFonts w:ascii="Wingdings" w:hAnsi="Wingdings" w:hint="default"/>
      </w:rPr>
    </w:lvl>
    <w:lvl w:ilvl="6" w:tplc="2ABE1950">
      <w:start w:val="1"/>
      <w:numFmt w:val="bullet"/>
      <w:lvlText w:val=""/>
      <w:lvlJc w:val="left"/>
      <w:pPr>
        <w:ind w:left="5040" w:hanging="360"/>
      </w:pPr>
      <w:rPr>
        <w:rFonts w:ascii="Symbol" w:hAnsi="Symbol" w:hint="default"/>
      </w:rPr>
    </w:lvl>
    <w:lvl w:ilvl="7" w:tplc="8DB25782">
      <w:start w:val="1"/>
      <w:numFmt w:val="bullet"/>
      <w:lvlText w:val="o"/>
      <w:lvlJc w:val="left"/>
      <w:pPr>
        <w:ind w:left="5760" w:hanging="360"/>
      </w:pPr>
      <w:rPr>
        <w:rFonts w:ascii="Courier New" w:hAnsi="Courier New" w:hint="default"/>
      </w:rPr>
    </w:lvl>
    <w:lvl w:ilvl="8" w:tplc="8898911E">
      <w:start w:val="1"/>
      <w:numFmt w:val="bullet"/>
      <w:lvlText w:val=""/>
      <w:lvlJc w:val="left"/>
      <w:pPr>
        <w:ind w:left="6480" w:hanging="360"/>
      </w:pPr>
      <w:rPr>
        <w:rFonts w:ascii="Wingdings" w:hAnsi="Wingdings" w:hint="default"/>
      </w:rPr>
    </w:lvl>
  </w:abstractNum>
  <w:abstractNum w:abstractNumId="42"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C4338B"/>
    <w:multiLevelType w:val="hybridMultilevel"/>
    <w:tmpl w:val="200CC6A2"/>
    <w:lvl w:ilvl="0" w:tplc="D31A1212">
      <w:start w:val="1"/>
      <w:numFmt w:val="bullet"/>
      <w:lvlText w:val=""/>
      <w:lvlJc w:val="left"/>
      <w:pPr>
        <w:ind w:left="720" w:hanging="360"/>
      </w:pPr>
      <w:rPr>
        <w:rFonts w:ascii="Symbol" w:hAnsi="Symbol" w:hint="default"/>
      </w:rPr>
    </w:lvl>
    <w:lvl w:ilvl="1" w:tplc="B2561B76">
      <w:start w:val="1"/>
      <w:numFmt w:val="bullet"/>
      <w:lvlText w:val="o"/>
      <w:lvlJc w:val="left"/>
      <w:pPr>
        <w:ind w:left="1440" w:hanging="360"/>
      </w:pPr>
      <w:rPr>
        <w:rFonts w:ascii="Courier New" w:hAnsi="Courier New" w:hint="default"/>
      </w:rPr>
    </w:lvl>
    <w:lvl w:ilvl="2" w:tplc="E1484100">
      <w:start w:val="1"/>
      <w:numFmt w:val="bullet"/>
      <w:lvlText w:val=""/>
      <w:lvlJc w:val="left"/>
      <w:pPr>
        <w:ind w:left="2160" w:hanging="360"/>
      </w:pPr>
      <w:rPr>
        <w:rFonts w:ascii="Wingdings" w:hAnsi="Wingdings" w:hint="default"/>
      </w:rPr>
    </w:lvl>
    <w:lvl w:ilvl="3" w:tplc="03286DFC">
      <w:start w:val="1"/>
      <w:numFmt w:val="bullet"/>
      <w:lvlText w:val=""/>
      <w:lvlJc w:val="left"/>
      <w:pPr>
        <w:ind w:left="2880" w:hanging="360"/>
      </w:pPr>
      <w:rPr>
        <w:rFonts w:ascii="Symbol" w:hAnsi="Symbol" w:hint="default"/>
      </w:rPr>
    </w:lvl>
    <w:lvl w:ilvl="4" w:tplc="CBA29C30">
      <w:start w:val="1"/>
      <w:numFmt w:val="bullet"/>
      <w:lvlText w:val="o"/>
      <w:lvlJc w:val="left"/>
      <w:pPr>
        <w:ind w:left="3600" w:hanging="360"/>
      </w:pPr>
      <w:rPr>
        <w:rFonts w:ascii="Courier New" w:hAnsi="Courier New" w:hint="default"/>
      </w:rPr>
    </w:lvl>
    <w:lvl w:ilvl="5" w:tplc="79CAD08E">
      <w:start w:val="1"/>
      <w:numFmt w:val="bullet"/>
      <w:lvlText w:val=""/>
      <w:lvlJc w:val="left"/>
      <w:pPr>
        <w:ind w:left="4320" w:hanging="360"/>
      </w:pPr>
      <w:rPr>
        <w:rFonts w:ascii="Wingdings" w:hAnsi="Wingdings" w:hint="default"/>
      </w:rPr>
    </w:lvl>
    <w:lvl w:ilvl="6" w:tplc="5A667046">
      <w:start w:val="1"/>
      <w:numFmt w:val="bullet"/>
      <w:lvlText w:val=""/>
      <w:lvlJc w:val="left"/>
      <w:pPr>
        <w:ind w:left="5040" w:hanging="360"/>
      </w:pPr>
      <w:rPr>
        <w:rFonts w:ascii="Symbol" w:hAnsi="Symbol" w:hint="default"/>
      </w:rPr>
    </w:lvl>
    <w:lvl w:ilvl="7" w:tplc="9E98C0C2">
      <w:start w:val="1"/>
      <w:numFmt w:val="bullet"/>
      <w:lvlText w:val="o"/>
      <w:lvlJc w:val="left"/>
      <w:pPr>
        <w:ind w:left="5760" w:hanging="360"/>
      </w:pPr>
      <w:rPr>
        <w:rFonts w:ascii="Courier New" w:hAnsi="Courier New" w:hint="default"/>
      </w:rPr>
    </w:lvl>
    <w:lvl w:ilvl="8" w:tplc="4AA65632">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F6CA1"/>
    <w:multiLevelType w:val="hybridMultilevel"/>
    <w:tmpl w:val="560A3F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A72A49"/>
    <w:multiLevelType w:val="hybridMultilevel"/>
    <w:tmpl w:val="D35E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44"/>
  </w:num>
  <w:num w:numId="5">
    <w:abstractNumId w:val="14"/>
  </w:num>
  <w:num w:numId="6">
    <w:abstractNumId w:val="10"/>
  </w:num>
  <w:num w:numId="7">
    <w:abstractNumId w:val="29"/>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40"/>
  </w:num>
  <w:num w:numId="11">
    <w:abstractNumId w:val="3"/>
  </w:num>
  <w:num w:numId="12">
    <w:abstractNumId w:val="13"/>
  </w:num>
  <w:num w:numId="13">
    <w:abstractNumId w:val="23"/>
  </w:num>
  <w:num w:numId="14">
    <w:abstractNumId w:val="47"/>
  </w:num>
  <w:num w:numId="15">
    <w:abstractNumId w:val="31"/>
  </w:num>
  <w:num w:numId="16">
    <w:abstractNumId w:val="27"/>
  </w:num>
  <w:num w:numId="17">
    <w:abstractNumId w:val="16"/>
  </w:num>
  <w:num w:numId="18">
    <w:abstractNumId w:val="42"/>
  </w:num>
  <w:num w:numId="19">
    <w:abstractNumId w:val="4"/>
  </w:num>
  <w:num w:numId="20">
    <w:abstractNumId w:val="45"/>
  </w:num>
  <w:num w:numId="21">
    <w:abstractNumId w:val="24"/>
  </w:num>
  <w:num w:numId="22">
    <w:abstractNumId w:val="2"/>
  </w:num>
  <w:num w:numId="23">
    <w:abstractNumId w:val="4"/>
  </w:num>
  <w:num w:numId="24">
    <w:abstractNumId w:val="12"/>
  </w:num>
  <w:num w:numId="25">
    <w:abstractNumId w:val="20"/>
  </w:num>
  <w:num w:numId="26">
    <w:abstractNumId w:val="5"/>
  </w:num>
  <w:num w:numId="27">
    <w:abstractNumId w:val="48"/>
  </w:num>
  <w:num w:numId="28">
    <w:abstractNumId w:val="41"/>
  </w:num>
  <w:num w:numId="29">
    <w:abstractNumId w:val="43"/>
  </w:num>
  <w:num w:numId="30">
    <w:abstractNumId w:val="35"/>
  </w:num>
  <w:num w:numId="31">
    <w:abstractNumId w:val="22"/>
  </w:num>
  <w:num w:numId="32">
    <w:abstractNumId w:val="32"/>
  </w:num>
  <w:num w:numId="33">
    <w:abstractNumId w:val="15"/>
  </w:num>
  <w:num w:numId="34">
    <w:abstractNumId w:val="39"/>
  </w:num>
  <w:num w:numId="35">
    <w:abstractNumId w:val="38"/>
  </w:num>
  <w:num w:numId="36">
    <w:abstractNumId w:val="28"/>
  </w:num>
  <w:num w:numId="37">
    <w:abstractNumId w:val="8"/>
  </w:num>
  <w:num w:numId="38">
    <w:abstractNumId w:val="46"/>
  </w:num>
  <w:num w:numId="39">
    <w:abstractNumId w:val="34"/>
  </w:num>
  <w:num w:numId="40">
    <w:abstractNumId w:val="30"/>
  </w:num>
  <w:num w:numId="41">
    <w:abstractNumId w:val="33"/>
  </w:num>
  <w:num w:numId="42">
    <w:abstractNumId w:val="25"/>
  </w:num>
  <w:num w:numId="43">
    <w:abstractNumId w:val="37"/>
  </w:num>
  <w:num w:numId="44">
    <w:abstractNumId w:val="21"/>
  </w:num>
  <w:num w:numId="45">
    <w:abstractNumId w:val="36"/>
  </w:num>
  <w:num w:numId="46">
    <w:abstractNumId w:val="19"/>
  </w:num>
  <w:num w:numId="47">
    <w:abstractNumId w:val="9"/>
  </w:num>
  <w:num w:numId="48">
    <w:abstractNumId w:val="18"/>
  </w:num>
  <w:num w:numId="49">
    <w:abstractNumId w:val="26"/>
  </w:num>
  <w:num w:numId="5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C61"/>
    <w:rsid w:val="00003EDC"/>
    <w:rsid w:val="00005751"/>
    <w:rsid w:val="000057D2"/>
    <w:rsid w:val="000061A0"/>
    <w:rsid w:val="00007107"/>
    <w:rsid w:val="000073F4"/>
    <w:rsid w:val="00010278"/>
    <w:rsid w:val="00010603"/>
    <w:rsid w:val="0001089C"/>
    <w:rsid w:val="000116CA"/>
    <w:rsid w:val="00011C68"/>
    <w:rsid w:val="000126E6"/>
    <w:rsid w:val="000139C2"/>
    <w:rsid w:val="00014980"/>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2435"/>
    <w:rsid w:val="000338FB"/>
    <w:rsid w:val="00034F58"/>
    <w:rsid w:val="00035773"/>
    <w:rsid w:val="00035C82"/>
    <w:rsid w:val="00037403"/>
    <w:rsid w:val="00037861"/>
    <w:rsid w:val="00037D09"/>
    <w:rsid w:val="0004130C"/>
    <w:rsid w:val="00042114"/>
    <w:rsid w:val="00042494"/>
    <w:rsid w:val="00043BFD"/>
    <w:rsid w:val="00043C47"/>
    <w:rsid w:val="00044A67"/>
    <w:rsid w:val="00044CD6"/>
    <w:rsid w:val="0004615A"/>
    <w:rsid w:val="00046A79"/>
    <w:rsid w:val="000471AB"/>
    <w:rsid w:val="0005132F"/>
    <w:rsid w:val="00052E15"/>
    <w:rsid w:val="00055BC9"/>
    <w:rsid w:val="00060EBB"/>
    <w:rsid w:val="00061BBF"/>
    <w:rsid w:val="00061C0B"/>
    <w:rsid w:val="00063F63"/>
    <w:rsid w:val="00065FEF"/>
    <w:rsid w:val="0006677C"/>
    <w:rsid w:val="000710CB"/>
    <w:rsid w:val="00071AD1"/>
    <w:rsid w:val="00072030"/>
    <w:rsid w:val="000721EA"/>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1F6E"/>
    <w:rsid w:val="000846C6"/>
    <w:rsid w:val="0008501F"/>
    <w:rsid w:val="000863F9"/>
    <w:rsid w:val="00086ADE"/>
    <w:rsid w:val="0009022C"/>
    <w:rsid w:val="0009193A"/>
    <w:rsid w:val="00091F0B"/>
    <w:rsid w:val="00093674"/>
    <w:rsid w:val="00094626"/>
    <w:rsid w:val="00094AD4"/>
    <w:rsid w:val="00094D33"/>
    <w:rsid w:val="00097503"/>
    <w:rsid w:val="000979C6"/>
    <w:rsid w:val="000A034D"/>
    <w:rsid w:val="000A15A6"/>
    <w:rsid w:val="000A2592"/>
    <w:rsid w:val="000A268A"/>
    <w:rsid w:val="000A2DC4"/>
    <w:rsid w:val="000A3B36"/>
    <w:rsid w:val="000A4674"/>
    <w:rsid w:val="000B1CE0"/>
    <w:rsid w:val="000B2F8B"/>
    <w:rsid w:val="000B40FA"/>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6DE1"/>
    <w:rsid w:val="00107690"/>
    <w:rsid w:val="00110958"/>
    <w:rsid w:val="00113B0F"/>
    <w:rsid w:val="00113FCD"/>
    <w:rsid w:val="00117B84"/>
    <w:rsid w:val="00120C04"/>
    <w:rsid w:val="00120DFA"/>
    <w:rsid w:val="00121598"/>
    <w:rsid w:val="00121E69"/>
    <w:rsid w:val="00121F37"/>
    <w:rsid w:val="00122FDB"/>
    <w:rsid w:val="001231AD"/>
    <w:rsid w:val="0012335D"/>
    <w:rsid w:val="00123EB1"/>
    <w:rsid w:val="00124D4D"/>
    <w:rsid w:val="001252A2"/>
    <w:rsid w:val="00126BC5"/>
    <w:rsid w:val="00126D6A"/>
    <w:rsid w:val="0013041D"/>
    <w:rsid w:val="00130AD1"/>
    <w:rsid w:val="001323E2"/>
    <w:rsid w:val="00132A50"/>
    <w:rsid w:val="00133A85"/>
    <w:rsid w:val="00133D3D"/>
    <w:rsid w:val="00134392"/>
    <w:rsid w:val="001355C5"/>
    <w:rsid w:val="00135768"/>
    <w:rsid w:val="00137118"/>
    <w:rsid w:val="00137F6C"/>
    <w:rsid w:val="00137F78"/>
    <w:rsid w:val="00140C9C"/>
    <w:rsid w:val="00141253"/>
    <w:rsid w:val="001415F3"/>
    <w:rsid w:val="00142AF1"/>
    <w:rsid w:val="00143577"/>
    <w:rsid w:val="00143A4C"/>
    <w:rsid w:val="00143BA2"/>
    <w:rsid w:val="001442FF"/>
    <w:rsid w:val="001444AC"/>
    <w:rsid w:val="00144943"/>
    <w:rsid w:val="00147A42"/>
    <w:rsid w:val="00147CEF"/>
    <w:rsid w:val="001500B1"/>
    <w:rsid w:val="00151197"/>
    <w:rsid w:val="001536AC"/>
    <w:rsid w:val="001537AE"/>
    <w:rsid w:val="00156757"/>
    <w:rsid w:val="00156DB3"/>
    <w:rsid w:val="001577A0"/>
    <w:rsid w:val="001612AB"/>
    <w:rsid w:val="001614DA"/>
    <w:rsid w:val="001615F4"/>
    <w:rsid w:val="00165450"/>
    <w:rsid w:val="001657E5"/>
    <w:rsid w:val="00166297"/>
    <w:rsid w:val="00166AF4"/>
    <w:rsid w:val="001720DC"/>
    <w:rsid w:val="001726E9"/>
    <w:rsid w:val="00172E76"/>
    <w:rsid w:val="00173234"/>
    <w:rsid w:val="0017352E"/>
    <w:rsid w:val="00174018"/>
    <w:rsid w:val="001745CD"/>
    <w:rsid w:val="00174743"/>
    <w:rsid w:val="00176299"/>
    <w:rsid w:val="00177340"/>
    <w:rsid w:val="00180544"/>
    <w:rsid w:val="00180C7A"/>
    <w:rsid w:val="0018257B"/>
    <w:rsid w:val="00182605"/>
    <w:rsid w:val="001849BD"/>
    <w:rsid w:val="001854B1"/>
    <w:rsid w:val="00186F64"/>
    <w:rsid w:val="001912D9"/>
    <w:rsid w:val="0019213F"/>
    <w:rsid w:val="001921C1"/>
    <w:rsid w:val="00193663"/>
    <w:rsid w:val="0019528D"/>
    <w:rsid w:val="00196339"/>
    <w:rsid w:val="001963AB"/>
    <w:rsid w:val="0019729A"/>
    <w:rsid w:val="00197CC6"/>
    <w:rsid w:val="001A4B3C"/>
    <w:rsid w:val="001A562A"/>
    <w:rsid w:val="001A7531"/>
    <w:rsid w:val="001B0F44"/>
    <w:rsid w:val="001B1927"/>
    <w:rsid w:val="001B5058"/>
    <w:rsid w:val="001B6673"/>
    <w:rsid w:val="001C102F"/>
    <w:rsid w:val="001C26C3"/>
    <w:rsid w:val="001C2B65"/>
    <w:rsid w:val="001C307F"/>
    <w:rsid w:val="001C4A60"/>
    <w:rsid w:val="001C56DA"/>
    <w:rsid w:val="001C5F35"/>
    <w:rsid w:val="001C6EF0"/>
    <w:rsid w:val="001C7801"/>
    <w:rsid w:val="001C7EDC"/>
    <w:rsid w:val="001D3888"/>
    <w:rsid w:val="001D3D2C"/>
    <w:rsid w:val="001D55F3"/>
    <w:rsid w:val="001D595F"/>
    <w:rsid w:val="001D59EE"/>
    <w:rsid w:val="001D704A"/>
    <w:rsid w:val="001D719E"/>
    <w:rsid w:val="001D7965"/>
    <w:rsid w:val="001E0EFE"/>
    <w:rsid w:val="001E1C36"/>
    <w:rsid w:val="001E224C"/>
    <w:rsid w:val="001E245C"/>
    <w:rsid w:val="001E2BA8"/>
    <w:rsid w:val="001E39AC"/>
    <w:rsid w:val="001E4E99"/>
    <w:rsid w:val="001E5FF6"/>
    <w:rsid w:val="001E6763"/>
    <w:rsid w:val="001E6D20"/>
    <w:rsid w:val="001F2936"/>
    <w:rsid w:val="001F2E1B"/>
    <w:rsid w:val="001F434E"/>
    <w:rsid w:val="001F4BC9"/>
    <w:rsid w:val="001F4EDA"/>
    <w:rsid w:val="001F5801"/>
    <w:rsid w:val="001F58DD"/>
    <w:rsid w:val="001F5B3D"/>
    <w:rsid w:val="001F5BEC"/>
    <w:rsid w:val="001F5E74"/>
    <w:rsid w:val="001F6A4C"/>
    <w:rsid w:val="0020048A"/>
    <w:rsid w:val="00200722"/>
    <w:rsid w:val="00200D8B"/>
    <w:rsid w:val="002028A0"/>
    <w:rsid w:val="00202FDB"/>
    <w:rsid w:val="00203D2A"/>
    <w:rsid w:val="00205447"/>
    <w:rsid w:val="00205511"/>
    <w:rsid w:val="00206182"/>
    <w:rsid w:val="0020656F"/>
    <w:rsid w:val="002065BB"/>
    <w:rsid w:val="00206771"/>
    <w:rsid w:val="00207872"/>
    <w:rsid w:val="00211FD0"/>
    <w:rsid w:val="00212D79"/>
    <w:rsid w:val="00213480"/>
    <w:rsid w:val="0021456E"/>
    <w:rsid w:val="002159B0"/>
    <w:rsid w:val="002161E5"/>
    <w:rsid w:val="0021663B"/>
    <w:rsid w:val="00216BE2"/>
    <w:rsid w:val="002176D6"/>
    <w:rsid w:val="00222AB4"/>
    <w:rsid w:val="00226623"/>
    <w:rsid w:val="00226E9A"/>
    <w:rsid w:val="00227FB4"/>
    <w:rsid w:val="002304F3"/>
    <w:rsid w:val="00230F56"/>
    <w:rsid w:val="0023270C"/>
    <w:rsid w:val="00234406"/>
    <w:rsid w:val="00234F43"/>
    <w:rsid w:val="00235E4C"/>
    <w:rsid w:val="0023723F"/>
    <w:rsid w:val="00237331"/>
    <w:rsid w:val="00237D9E"/>
    <w:rsid w:val="002413C2"/>
    <w:rsid w:val="00242506"/>
    <w:rsid w:val="00242786"/>
    <w:rsid w:val="00243B2B"/>
    <w:rsid w:val="00244AB8"/>
    <w:rsid w:val="0025079F"/>
    <w:rsid w:val="0025104A"/>
    <w:rsid w:val="002522E9"/>
    <w:rsid w:val="0025326D"/>
    <w:rsid w:val="0025388F"/>
    <w:rsid w:val="00254699"/>
    <w:rsid w:val="00254774"/>
    <w:rsid w:val="00255E25"/>
    <w:rsid w:val="00261D10"/>
    <w:rsid w:val="00262498"/>
    <w:rsid w:val="00263FF7"/>
    <w:rsid w:val="00264131"/>
    <w:rsid w:val="0026506D"/>
    <w:rsid w:val="00265668"/>
    <w:rsid w:val="0026691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6BA"/>
    <w:rsid w:val="002839DB"/>
    <w:rsid w:val="002841CD"/>
    <w:rsid w:val="00285F2B"/>
    <w:rsid w:val="00287E8C"/>
    <w:rsid w:val="00290554"/>
    <w:rsid w:val="002935DE"/>
    <w:rsid w:val="00294A57"/>
    <w:rsid w:val="00295A4B"/>
    <w:rsid w:val="0029623D"/>
    <w:rsid w:val="00296A81"/>
    <w:rsid w:val="00296E93"/>
    <w:rsid w:val="0029758A"/>
    <w:rsid w:val="002A042F"/>
    <w:rsid w:val="002A04D5"/>
    <w:rsid w:val="002A092D"/>
    <w:rsid w:val="002A0ED5"/>
    <w:rsid w:val="002A2F92"/>
    <w:rsid w:val="002A323A"/>
    <w:rsid w:val="002A515F"/>
    <w:rsid w:val="002A538D"/>
    <w:rsid w:val="002A69DA"/>
    <w:rsid w:val="002A6FC3"/>
    <w:rsid w:val="002A753A"/>
    <w:rsid w:val="002A78C6"/>
    <w:rsid w:val="002B090B"/>
    <w:rsid w:val="002B2B59"/>
    <w:rsid w:val="002B32CF"/>
    <w:rsid w:val="002B5C17"/>
    <w:rsid w:val="002B609F"/>
    <w:rsid w:val="002B7238"/>
    <w:rsid w:val="002C0C3F"/>
    <w:rsid w:val="002C1381"/>
    <w:rsid w:val="002C2625"/>
    <w:rsid w:val="002C3329"/>
    <w:rsid w:val="002C4490"/>
    <w:rsid w:val="002C44AF"/>
    <w:rsid w:val="002C525A"/>
    <w:rsid w:val="002C5277"/>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4619"/>
    <w:rsid w:val="002E58E3"/>
    <w:rsid w:val="002E69B3"/>
    <w:rsid w:val="002E6E31"/>
    <w:rsid w:val="002E77BC"/>
    <w:rsid w:val="002F0561"/>
    <w:rsid w:val="002F0CBD"/>
    <w:rsid w:val="002F34FA"/>
    <w:rsid w:val="002F3650"/>
    <w:rsid w:val="002F4B6D"/>
    <w:rsid w:val="002F5ABD"/>
    <w:rsid w:val="002F5D53"/>
    <w:rsid w:val="002F60F4"/>
    <w:rsid w:val="002F6940"/>
    <w:rsid w:val="002F6E07"/>
    <w:rsid w:val="002F7884"/>
    <w:rsid w:val="0030029F"/>
    <w:rsid w:val="003023AA"/>
    <w:rsid w:val="0030258E"/>
    <w:rsid w:val="0030264B"/>
    <w:rsid w:val="00302B01"/>
    <w:rsid w:val="00303A96"/>
    <w:rsid w:val="00304BA6"/>
    <w:rsid w:val="003058C5"/>
    <w:rsid w:val="00305B8B"/>
    <w:rsid w:val="00306BAC"/>
    <w:rsid w:val="003108AE"/>
    <w:rsid w:val="0031159C"/>
    <w:rsid w:val="00313B68"/>
    <w:rsid w:val="00313E3E"/>
    <w:rsid w:val="00314EE8"/>
    <w:rsid w:val="003179A8"/>
    <w:rsid w:val="003200CA"/>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5C2E"/>
    <w:rsid w:val="00336083"/>
    <w:rsid w:val="003372E0"/>
    <w:rsid w:val="00337D61"/>
    <w:rsid w:val="00341BD7"/>
    <w:rsid w:val="00342911"/>
    <w:rsid w:val="00342954"/>
    <w:rsid w:val="00343190"/>
    <w:rsid w:val="00343D04"/>
    <w:rsid w:val="0034415A"/>
    <w:rsid w:val="00344C3A"/>
    <w:rsid w:val="00344EF7"/>
    <w:rsid w:val="00345CB2"/>
    <w:rsid w:val="00352A53"/>
    <w:rsid w:val="003543BD"/>
    <w:rsid w:val="00354A32"/>
    <w:rsid w:val="0035530D"/>
    <w:rsid w:val="00355F29"/>
    <w:rsid w:val="003561E5"/>
    <w:rsid w:val="00360573"/>
    <w:rsid w:val="003631EE"/>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7AFA"/>
    <w:rsid w:val="0038019D"/>
    <w:rsid w:val="00380C94"/>
    <w:rsid w:val="003810F0"/>
    <w:rsid w:val="0038160D"/>
    <w:rsid w:val="003818C1"/>
    <w:rsid w:val="00382002"/>
    <w:rsid w:val="003848B4"/>
    <w:rsid w:val="00386AE8"/>
    <w:rsid w:val="00391557"/>
    <w:rsid w:val="00391B3A"/>
    <w:rsid w:val="00393CFC"/>
    <w:rsid w:val="00394292"/>
    <w:rsid w:val="00394A2B"/>
    <w:rsid w:val="003954B8"/>
    <w:rsid w:val="00396B97"/>
    <w:rsid w:val="00396E17"/>
    <w:rsid w:val="00397314"/>
    <w:rsid w:val="0039745A"/>
    <w:rsid w:val="00397897"/>
    <w:rsid w:val="00397A93"/>
    <w:rsid w:val="003A125E"/>
    <w:rsid w:val="003A1F50"/>
    <w:rsid w:val="003A40E9"/>
    <w:rsid w:val="003A44FF"/>
    <w:rsid w:val="003A4572"/>
    <w:rsid w:val="003A525A"/>
    <w:rsid w:val="003A7FEC"/>
    <w:rsid w:val="003B0CC0"/>
    <w:rsid w:val="003B0F7D"/>
    <w:rsid w:val="003B0F89"/>
    <w:rsid w:val="003B338D"/>
    <w:rsid w:val="003B55E3"/>
    <w:rsid w:val="003B76A3"/>
    <w:rsid w:val="003B77FA"/>
    <w:rsid w:val="003B7ABF"/>
    <w:rsid w:val="003B7D7C"/>
    <w:rsid w:val="003C1C42"/>
    <w:rsid w:val="003C3C30"/>
    <w:rsid w:val="003C4367"/>
    <w:rsid w:val="003C4598"/>
    <w:rsid w:val="003C5224"/>
    <w:rsid w:val="003C5B24"/>
    <w:rsid w:val="003C665F"/>
    <w:rsid w:val="003C7D71"/>
    <w:rsid w:val="003D0AF1"/>
    <w:rsid w:val="003D2802"/>
    <w:rsid w:val="003D2DDC"/>
    <w:rsid w:val="003D40FC"/>
    <w:rsid w:val="003D4673"/>
    <w:rsid w:val="003D4BC6"/>
    <w:rsid w:val="003D6FE3"/>
    <w:rsid w:val="003D71E0"/>
    <w:rsid w:val="003D7E5C"/>
    <w:rsid w:val="003E05F0"/>
    <w:rsid w:val="003E09D2"/>
    <w:rsid w:val="003E11FD"/>
    <w:rsid w:val="003E178A"/>
    <w:rsid w:val="003E17B0"/>
    <w:rsid w:val="003E31DA"/>
    <w:rsid w:val="003E33D4"/>
    <w:rsid w:val="003E4AE9"/>
    <w:rsid w:val="003E594E"/>
    <w:rsid w:val="003E79E7"/>
    <w:rsid w:val="003F2E6A"/>
    <w:rsid w:val="003F3FA4"/>
    <w:rsid w:val="003F4E1B"/>
    <w:rsid w:val="003F6B78"/>
    <w:rsid w:val="0040031D"/>
    <w:rsid w:val="00400AE0"/>
    <w:rsid w:val="00402950"/>
    <w:rsid w:val="004032FE"/>
    <w:rsid w:val="00404634"/>
    <w:rsid w:val="0040559B"/>
    <w:rsid w:val="00405DAA"/>
    <w:rsid w:val="004061E8"/>
    <w:rsid w:val="0040719A"/>
    <w:rsid w:val="00411489"/>
    <w:rsid w:val="00412725"/>
    <w:rsid w:val="004142D9"/>
    <w:rsid w:val="0041514F"/>
    <w:rsid w:val="00416522"/>
    <w:rsid w:val="00416A66"/>
    <w:rsid w:val="00417CD5"/>
    <w:rsid w:val="00417F39"/>
    <w:rsid w:val="00422169"/>
    <w:rsid w:val="00422DEA"/>
    <w:rsid w:val="00424FEB"/>
    <w:rsid w:val="004253D1"/>
    <w:rsid w:val="00426A4A"/>
    <w:rsid w:val="00426B13"/>
    <w:rsid w:val="00427054"/>
    <w:rsid w:val="0043010C"/>
    <w:rsid w:val="004308EE"/>
    <w:rsid w:val="00431275"/>
    <w:rsid w:val="00431C41"/>
    <w:rsid w:val="004327FA"/>
    <w:rsid w:val="004336F5"/>
    <w:rsid w:val="0043389A"/>
    <w:rsid w:val="0043492E"/>
    <w:rsid w:val="00436304"/>
    <w:rsid w:val="00436A0A"/>
    <w:rsid w:val="00436A8C"/>
    <w:rsid w:val="00440DDD"/>
    <w:rsid w:val="00440DFD"/>
    <w:rsid w:val="00441BF7"/>
    <w:rsid w:val="004422C9"/>
    <w:rsid w:val="0044251A"/>
    <w:rsid w:val="004427C0"/>
    <w:rsid w:val="00442F3F"/>
    <w:rsid w:val="00444D3D"/>
    <w:rsid w:val="004455F5"/>
    <w:rsid w:val="00445E00"/>
    <w:rsid w:val="00446718"/>
    <w:rsid w:val="00446E37"/>
    <w:rsid w:val="0045072B"/>
    <w:rsid w:val="00450AE2"/>
    <w:rsid w:val="00450F48"/>
    <w:rsid w:val="004513C5"/>
    <w:rsid w:val="0045216D"/>
    <w:rsid w:val="00453720"/>
    <w:rsid w:val="00453F4A"/>
    <w:rsid w:val="004553C5"/>
    <w:rsid w:val="00457E6B"/>
    <w:rsid w:val="0046002F"/>
    <w:rsid w:val="00461261"/>
    <w:rsid w:val="00461630"/>
    <w:rsid w:val="00462001"/>
    <w:rsid w:val="004627AB"/>
    <w:rsid w:val="00462932"/>
    <w:rsid w:val="00472E87"/>
    <w:rsid w:val="00474C8F"/>
    <w:rsid w:val="00475182"/>
    <w:rsid w:val="0047725E"/>
    <w:rsid w:val="004779B2"/>
    <w:rsid w:val="00481408"/>
    <w:rsid w:val="0048153F"/>
    <w:rsid w:val="0048326E"/>
    <w:rsid w:val="00483E19"/>
    <w:rsid w:val="004841DD"/>
    <w:rsid w:val="0048471E"/>
    <w:rsid w:val="00484920"/>
    <w:rsid w:val="00486705"/>
    <w:rsid w:val="00487D66"/>
    <w:rsid w:val="0049124E"/>
    <w:rsid w:val="00492358"/>
    <w:rsid w:val="0049261F"/>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9CE"/>
    <w:rsid w:val="004A6FA6"/>
    <w:rsid w:val="004A79B0"/>
    <w:rsid w:val="004B061A"/>
    <w:rsid w:val="004B0BB9"/>
    <w:rsid w:val="004B105F"/>
    <w:rsid w:val="004B1170"/>
    <w:rsid w:val="004B1FB3"/>
    <w:rsid w:val="004B208A"/>
    <w:rsid w:val="004B24D7"/>
    <w:rsid w:val="004B2552"/>
    <w:rsid w:val="004B35E1"/>
    <w:rsid w:val="004B3771"/>
    <w:rsid w:val="004B391A"/>
    <w:rsid w:val="004B3BCB"/>
    <w:rsid w:val="004B57AB"/>
    <w:rsid w:val="004B6064"/>
    <w:rsid w:val="004B61D2"/>
    <w:rsid w:val="004B6664"/>
    <w:rsid w:val="004C065B"/>
    <w:rsid w:val="004C203D"/>
    <w:rsid w:val="004C49C6"/>
    <w:rsid w:val="004C5A11"/>
    <w:rsid w:val="004C5BDF"/>
    <w:rsid w:val="004C5D5A"/>
    <w:rsid w:val="004C6484"/>
    <w:rsid w:val="004C7851"/>
    <w:rsid w:val="004D06AD"/>
    <w:rsid w:val="004D1271"/>
    <w:rsid w:val="004D1B07"/>
    <w:rsid w:val="004D1E72"/>
    <w:rsid w:val="004D39A7"/>
    <w:rsid w:val="004D4C0D"/>
    <w:rsid w:val="004D4CBB"/>
    <w:rsid w:val="004D58B5"/>
    <w:rsid w:val="004D5BD7"/>
    <w:rsid w:val="004D5C9F"/>
    <w:rsid w:val="004D780C"/>
    <w:rsid w:val="004E2C5F"/>
    <w:rsid w:val="004E2EA1"/>
    <w:rsid w:val="004E478A"/>
    <w:rsid w:val="004E5F4A"/>
    <w:rsid w:val="004E6450"/>
    <w:rsid w:val="004E7A6D"/>
    <w:rsid w:val="004F1251"/>
    <w:rsid w:val="004F1627"/>
    <w:rsid w:val="004F1753"/>
    <w:rsid w:val="004F1818"/>
    <w:rsid w:val="004F24BA"/>
    <w:rsid w:val="004F4A5C"/>
    <w:rsid w:val="004F5011"/>
    <w:rsid w:val="004F5623"/>
    <w:rsid w:val="004F5D22"/>
    <w:rsid w:val="004F5D86"/>
    <w:rsid w:val="004F7165"/>
    <w:rsid w:val="005001CD"/>
    <w:rsid w:val="00500AB7"/>
    <w:rsid w:val="00500B55"/>
    <w:rsid w:val="00500FDA"/>
    <w:rsid w:val="005025C6"/>
    <w:rsid w:val="0050458A"/>
    <w:rsid w:val="005045CE"/>
    <w:rsid w:val="0050498D"/>
    <w:rsid w:val="00504A63"/>
    <w:rsid w:val="00504D30"/>
    <w:rsid w:val="00505F6C"/>
    <w:rsid w:val="0050681C"/>
    <w:rsid w:val="00510380"/>
    <w:rsid w:val="00510A3A"/>
    <w:rsid w:val="005113BC"/>
    <w:rsid w:val="00512191"/>
    <w:rsid w:val="00512573"/>
    <w:rsid w:val="0051277B"/>
    <w:rsid w:val="00513539"/>
    <w:rsid w:val="005135F2"/>
    <w:rsid w:val="00514426"/>
    <w:rsid w:val="005146C4"/>
    <w:rsid w:val="0051663C"/>
    <w:rsid w:val="00516AA7"/>
    <w:rsid w:val="005202B4"/>
    <w:rsid w:val="005222D5"/>
    <w:rsid w:val="00522855"/>
    <w:rsid w:val="00523D8F"/>
    <w:rsid w:val="00525B0F"/>
    <w:rsid w:val="005260AE"/>
    <w:rsid w:val="0052772B"/>
    <w:rsid w:val="00530F33"/>
    <w:rsid w:val="00532DBB"/>
    <w:rsid w:val="005333F1"/>
    <w:rsid w:val="00533D32"/>
    <w:rsid w:val="0053434C"/>
    <w:rsid w:val="00535777"/>
    <w:rsid w:val="00535D31"/>
    <w:rsid w:val="00536EBE"/>
    <w:rsid w:val="00537111"/>
    <w:rsid w:val="0054042F"/>
    <w:rsid w:val="00540D4C"/>
    <w:rsid w:val="00541246"/>
    <w:rsid w:val="005416B1"/>
    <w:rsid w:val="005429BE"/>
    <w:rsid w:val="005451EF"/>
    <w:rsid w:val="005455F7"/>
    <w:rsid w:val="00546C98"/>
    <w:rsid w:val="00546CE6"/>
    <w:rsid w:val="005470D8"/>
    <w:rsid w:val="0055269D"/>
    <w:rsid w:val="00554501"/>
    <w:rsid w:val="005546DD"/>
    <w:rsid w:val="00555765"/>
    <w:rsid w:val="00555981"/>
    <w:rsid w:val="0056133A"/>
    <w:rsid w:val="00566755"/>
    <w:rsid w:val="00566869"/>
    <w:rsid w:val="00566926"/>
    <w:rsid w:val="00571693"/>
    <w:rsid w:val="00572D82"/>
    <w:rsid w:val="00574A67"/>
    <w:rsid w:val="00574C5D"/>
    <w:rsid w:val="00577551"/>
    <w:rsid w:val="0058018E"/>
    <w:rsid w:val="00580829"/>
    <w:rsid w:val="00580AA1"/>
    <w:rsid w:val="00580E93"/>
    <w:rsid w:val="0058107C"/>
    <w:rsid w:val="00583C25"/>
    <w:rsid w:val="00584F56"/>
    <w:rsid w:val="005858EA"/>
    <w:rsid w:val="00586E95"/>
    <w:rsid w:val="00587277"/>
    <w:rsid w:val="005920B2"/>
    <w:rsid w:val="00592302"/>
    <w:rsid w:val="00592339"/>
    <w:rsid w:val="0059234C"/>
    <w:rsid w:val="00593F5F"/>
    <w:rsid w:val="005954B8"/>
    <w:rsid w:val="00595C60"/>
    <w:rsid w:val="00597844"/>
    <w:rsid w:val="00597EC1"/>
    <w:rsid w:val="005A00B5"/>
    <w:rsid w:val="005A0A3E"/>
    <w:rsid w:val="005A0BCF"/>
    <w:rsid w:val="005A111A"/>
    <w:rsid w:val="005A1EEF"/>
    <w:rsid w:val="005A2B44"/>
    <w:rsid w:val="005A35A0"/>
    <w:rsid w:val="005A47A3"/>
    <w:rsid w:val="005A47AD"/>
    <w:rsid w:val="005A5E39"/>
    <w:rsid w:val="005A6528"/>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354"/>
    <w:rsid w:val="005D2413"/>
    <w:rsid w:val="005D27E5"/>
    <w:rsid w:val="005D2887"/>
    <w:rsid w:val="005D322E"/>
    <w:rsid w:val="005D3984"/>
    <w:rsid w:val="005D5AA8"/>
    <w:rsid w:val="005D619F"/>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3447"/>
    <w:rsid w:val="00614508"/>
    <w:rsid w:val="00614698"/>
    <w:rsid w:val="00616D76"/>
    <w:rsid w:val="006172DE"/>
    <w:rsid w:val="00617EC9"/>
    <w:rsid w:val="006223FD"/>
    <w:rsid w:val="0062254D"/>
    <w:rsid w:val="006233A3"/>
    <w:rsid w:val="00623797"/>
    <w:rsid w:val="00624D0E"/>
    <w:rsid w:val="006252A5"/>
    <w:rsid w:val="0062554E"/>
    <w:rsid w:val="00625A8F"/>
    <w:rsid w:val="00626E04"/>
    <w:rsid w:val="006300A7"/>
    <w:rsid w:val="00630D7A"/>
    <w:rsid w:val="006325B3"/>
    <w:rsid w:val="0063345B"/>
    <w:rsid w:val="00635A3A"/>
    <w:rsid w:val="00635A8D"/>
    <w:rsid w:val="00636AB7"/>
    <w:rsid w:val="00637044"/>
    <w:rsid w:val="00640E7D"/>
    <w:rsid w:val="00642115"/>
    <w:rsid w:val="00644D67"/>
    <w:rsid w:val="00646E69"/>
    <w:rsid w:val="00647898"/>
    <w:rsid w:val="00652CF5"/>
    <w:rsid w:val="00652EAE"/>
    <w:rsid w:val="0065457D"/>
    <w:rsid w:val="006545EA"/>
    <w:rsid w:val="00655E31"/>
    <w:rsid w:val="00656FA6"/>
    <w:rsid w:val="00657458"/>
    <w:rsid w:val="00660191"/>
    <w:rsid w:val="0066114A"/>
    <w:rsid w:val="00662C9F"/>
    <w:rsid w:val="00663576"/>
    <w:rsid w:val="006636A8"/>
    <w:rsid w:val="00664548"/>
    <w:rsid w:val="00664615"/>
    <w:rsid w:val="006650A7"/>
    <w:rsid w:val="006717CB"/>
    <w:rsid w:val="006718D6"/>
    <w:rsid w:val="00673AD4"/>
    <w:rsid w:val="00674D5F"/>
    <w:rsid w:val="006761FE"/>
    <w:rsid w:val="006762AD"/>
    <w:rsid w:val="00677345"/>
    <w:rsid w:val="0067744D"/>
    <w:rsid w:val="0068100F"/>
    <w:rsid w:val="006831A3"/>
    <w:rsid w:val="00683E8B"/>
    <w:rsid w:val="006840E4"/>
    <w:rsid w:val="00684E5F"/>
    <w:rsid w:val="00686160"/>
    <w:rsid w:val="00690B1E"/>
    <w:rsid w:val="006940DA"/>
    <w:rsid w:val="006957C1"/>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C5F63"/>
    <w:rsid w:val="006D1545"/>
    <w:rsid w:val="006D1D14"/>
    <w:rsid w:val="006D22D1"/>
    <w:rsid w:val="006D458E"/>
    <w:rsid w:val="006D4FAC"/>
    <w:rsid w:val="006D4FEE"/>
    <w:rsid w:val="006D55A0"/>
    <w:rsid w:val="006D6307"/>
    <w:rsid w:val="006D748A"/>
    <w:rsid w:val="006E0AC3"/>
    <w:rsid w:val="006E1518"/>
    <w:rsid w:val="006E2264"/>
    <w:rsid w:val="006E3F48"/>
    <w:rsid w:val="006E40C9"/>
    <w:rsid w:val="006E4C5A"/>
    <w:rsid w:val="006E6DD7"/>
    <w:rsid w:val="006F286D"/>
    <w:rsid w:val="006F4F38"/>
    <w:rsid w:val="006F52F4"/>
    <w:rsid w:val="006F5C9A"/>
    <w:rsid w:val="006F7E9D"/>
    <w:rsid w:val="0070011E"/>
    <w:rsid w:val="00701288"/>
    <w:rsid w:val="007025DF"/>
    <w:rsid w:val="00703CCC"/>
    <w:rsid w:val="00704BE2"/>
    <w:rsid w:val="007057D0"/>
    <w:rsid w:val="00705D8F"/>
    <w:rsid w:val="00706D9B"/>
    <w:rsid w:val="00706F42"/>
    <w:rsid w:val="007071A6"/>
    <w:rsid w:val="007078E7"/>
    <w:rsid w:val="00707BBD"/>
    <w:rsid w:val="00707C79"/>
    <w:rsid w:val="00711F15"/>
    <w:rsid w:val="007152CB"/>
    <w:rsid w:val="00715ABC"/>
    <w:rsid w:val="00715D90"/>
    <w:rsid w:val="00715DB1"/>
    <w:rsid w:val="0071720D"/>
    <w:rsid w:val="00720176"/>
    <w:rsid w:val="00721A79"/>
    <w:rsid w:val="007228AF"/>
    <w:rsid w:val="00722FA2"/>
    <w:rsid w:val="00726077"/>
    <w:rsid w:val="007300E5"/>
    <w:rsid w:val="007322D9"/>
    <w:rsid w:val="00732688"/>
    <w:rsid w:val="00732A0F"/>
    <w:rsid w:val="007331DD"/>
    <w:rsid w:val="007359DC"/>
    <w:rsid w:val="00735AFA"/>
    <w:rsid w:val="00735D8A"/>
    <w:rsid w:val="0073609B"/>
    <w:rsid w:val="0073649B"/>
    <w:rsid w:val="007365B7"/>
    <w:rsid w:val="00737805"/>
    <w:rsid w:val="00740A1F"/>
    <w:rsid w:val="0074109A"/>
    <w:rsid w:val="00741235"/>
    <w:rsid w:val="00742FA5"/>
    <w:rsid w:val="007444F1"/>
    <w:rsid w:val="007461D7"/>
    <w:rsid w:val="00747296"/>
    <w:rsid w:val="00747580"/>
    <w:rsid w:val="00752257"/>
    <w:rsid w:val="00752B66"/>
    <w:rsid w:val="00754199"/>
    <w:rsid w:val="007544E1"/>
    <w:rsid w:val="0075465D"/>
    <w:rsid w:val="00755402"/>
    <w:rsid w:val="00755EE9"/>
    <w:rsid w:val="00756B5E"/>
    <w:rsid w:val="007577C6"/>
    <w:rsid w:val="007604F6"/>
    <w:rsid w:val="00760B2B"/>
    <w:rsid w:val="00760CD6"/>
    <w:rsid w:val="007618BF"/>
    <w:rsid w:val="00762420"/>
    <w:rsid w:val="007647A8"/>
    <w:rsid w:val="00765BBC"/>
    <w:rsid w:val="00767CAC"/>
    <w:rsid w:val="007704EB"/>
    <w:rsid w:val="00773179"/>
    <w:rsid w:val="00774F4A"/>
    <w:rsid w:val="00775333"/>
    <w:rsid w:val="007755E0"/>
    <w:rsid w:val="00776D82"/>
    <w:rsid w:val="00777394"/>
    <w:rsid w:val="00777420"/>
    <w:rsid w:val="0077767D"/>
    <w:rsid w:val="0078000C"/>
    <w:rsid w:val="00781EE6"/>
    <w:rsid w:val="0078226C"/>
    <w:rsid w:val="00782776"/>
    <w:rsid w:val="0078338C"/>
    <w:rsid w:val="00783433"/>
    <w:rsid w:val="00783E3E"/>
    <w:rsid w:val="00784AC1"/>
    <w:rsid w:val="00784D79"/>
    <w:rsid w:val="007850E0"/>
    <w:rsid w:val="00786EFE"/>
    <w:rsid w:val="00787385"/>
    <w:rsid w:val="007910C5"/>
    <w:rsid w:val="00791759"/>
    <w:rsid w:val="00793045"/>
    <w:rsid w:val="00793671"/>
    <w:rsid w:val="007943DB"/>
    <w:rsid w:val="00794620"/>
    <w:rsid w:val="007953FA"/>
    <w:rsid w:val="0079546A"/>
    <w:rsid w:val="00795EFC"/>
    <w:rsid w:val="007A2CA4"/>
    <w:rsid w:val="007A6E6E"/>
    <w:rsid w:val="007A764A"/>
    <w:rsid w:val="007B0C18"/>
    <w:rsid w:val="007B0DC8"/>
    <w:rsid w:val="007B1732"/>
    <w:rsid w:val="007B3A2F"/>
    <w:rsid w:val="007B41C1"/>
    <w:rsid w:val="007B452C"/>
    <w:rsid w:val="007B5268"/>
    <w:rsid w:val="007B5EB9"/>
    <w:rsid w:val="007B668F"/>
    <w:rsid w:val="007C015B"/>
    <w:rsid w:val="007C1C3A"/>
    <w:rsid w:val="007C250D"/>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7EA5"/>
    <w:rsid w:val="007F0995"/>
    <w:rsid w:val="007F210C"/>
    <w:rsid w:val="007F4512"/>
    <w:rsid w:val="007F78BE"/>
    <w:rsid w:val="007F7D20"/>
    <w:rsid w:val="00800157"/>
    <w:rsid w:val="00801CC1"/>
    <w:rsid w:val="008023C1"/>
    <w:rsid w:val="008026DC"/>
    <w:rsid w:val="00802CBD"/>
    <w:rsid w:val="00802EAE"/>
    <w:rsid w:val="00804DB5"/>
    <w:rsid w:val="0080557B"/>
    <w:rsid w:val="008068AC"/>
    <w:rsid w:val="00806E7D"/>
    <w:rsid w:val="00807792"/>
    <w:rsid w:val="00810CFD"/>
    <w:rsid w:val="00812CA1"/>
    <w:rsid w:val="00813F58"/>
    <w:rsid w:val="00816681"/>
    <w:rsid w:val="00816D12"/>
    <w:rsid w:val="0082019D"/>
    <w:rsid w:val="00820213"/>
    <w:rsid w:val="00820619"/>
    <w:rsid w:val="008215CA"/>
    <w:rsid w:val="00822A0A"/>
    <w:rsid w:val="00824189"/>
    <w:rsid w:val="008246C7"/>
    <w:rsid w:val="00825E83"/>
    <w:rsid w:val="00825F94"/>
    <w:rsid w:val="00826E8E"/>
    <w:rsid w:val="0082764F"/>
    <w:rsid w:val="008322A9"/>
    <w:rsid w:val="00833486"/>
    <w:rsid w:val="008339E6"/>
    <w:rsid w:val="0083484E"/>
    <w:rsid w:val="008357DA"/>
    <w:rsid w:val="00835A17"/>
    <w:rsid w:val="00836FF1"/>
    <w:rsid w:val="00837734"/>
    <w:rsid w:val="00841564"/>
    <w:rsid w:val="00842451"/>
    <w:rsid w:val="008437F6"/>
    <w:rsid w:val="008439E8"/>
    <w:rsid w:val="008449FA"/>
    <w:rsid w:val="00844BAB"/>
    <w:rsid w:val="008460B8"/>
    <w:rsid w:val="008504AB"/>
    <w:rsid w:val="00850C2F"/>
    <w:rsid w:val="00856A6C"/>
    <w:rsid w:val="00857891"/>
    <w:rsid w:val="00857CD6"/>
    <w:rsid w:val="0086019F"/>
    <w:rsid w:val="00861EFB"/>
    <w:rsid w:val="00863940"/>
    <w:rsid w:val="00863FB0"/>
    <w:rsid w:val="008668D7"/>
    <w:rsid w:val="0087092A"/>
    <w:rsid w:val="00870CDB"/>
    <w:rsid w:val="00874669"/>
    <w:rsid w:val="00875699"/>
    <w:rsid w:val="0087581D"/>
    <w:rsid w:val="00877D0F"/>
    <w:rsid w:val="008810AB"/>
    <w:rsid w:val="0088291C"/>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3A6"/>
    <w:rsid w:val="008C688C"/>
    <w:rsid w:val="008D02C5"/>
    <w:rsid w:val="008D2214"/>
    <w:rsid w:val="008D2311"/>
    <w:rsid w:val="008D3162"/>
    <w:rsid w:val="008D3332"/>
    <w:rsid w:val="008D65AF"/>
    <w:rsid w:val="008E054B"/>
    <w:rsid w:val="008E13E5"/>
    <w:rsid w:val="008E1532"/>
    <w:rsid w:val="008E3AA5"/>
    <w:rsid w:val="008E42B9"/>
    <w:rsid w:val="008E42FB"/>
    <w:rsid w:val="008E74E3"/>
    <w:rsid w:val="008F1674"/>
    <w:rsid w:val="008F1E0B"/>
    <w:rsid w:val="008F1E35"/>
    <w:rsid w:val="008F3757"/>
    <w:rsid w:val="008F37CF"/>
    <w:rsid w:val="008F498C"/>
    <w:rsid w:val="008F4FC9"/>
    <w:rsid w:val="008F5E28"/>
    <w:rsid w:val="008F62CB"/>
    <w:rsid w:val="008F658C"/>
    <w:rsid w:val="008F69AD"/>
    <w:rsid w:val="008F6EDD"/>
    <w:rsid w:val="009019EE"/>
    <w:rsid w:val="00901F6D"/>
    <w:rsid w:val="00902226"/>
    <w:rsid w:val="00902F16"/>
    <w:rsid w:val="00903F4E"/>
    <w:rsid w:val="0090502B"/>
    <w:rsid w:val="009075A8"/>
    <w:rsid w:val="00907F25"/>
    <w:rsid w:val="009118BE"/>
    <w:rsid w:val="00912BD3"/>
    <w:rsid w:val="00913527"/>
    <w:rsid w:val="00914A01"/>
    <w:rsid w:val="0091551B"/>
    <w:rsid w:val="00916C4C"/>
    <w:rsid w:val="00917E75"/>
    <w:rsid w:val="009221D4"/>
    <w:rsid w:val="00923A8A"/>
    <w:rsid w:val="009240D2"/>
    <w:rsid w:val="009243EC"/>
    <w:rsid w:val="009245B8"/>
    <w:rsid w:val="00925DA0"/>
    <w:rsid w:val="009277A2"/>
    <w:rsid w:val="009277B6"/>
    <w:rsid w:val="009303C9"/>
    <w:rsid w:val="00930A27"/>
    <w:rsid w:val="00931EF1"/>
    <w:rsid w:val="00935790"/>
    <w:rsid w:val="00936784"/>
    <w:rsid w:val="00936ED3"/>
    <w:rsid w:val="00940A76"/>
    <w:rsid w:val="00942290"/>
    <w:rsid w:val="00942E1A"/>
    <w:rsid w:val="0094374E"/>
    <w:rsid w:val="00943757"/>
    <w:rsid w:val="00946EFC"/>
    <w:rsid w:val="0094798E"/>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523B"/>
    <w:rsid w:val="00966152"/>
    <w:rsid w:val="009666E0"/>
    <w:rsid w:val="00970CD1"/>
    <w:rsid w:val="00973294"/>
    <w:rsid w:val="00973408"/>
    <w:rsid w:val="009761D7"/>
    <w:rsid w:val="00976919"/>
    <w:rsid w:val="009826F3"/>
    <w:rsid w:val="009834BF"/>
    <w:rsid w:val="00984371"/>
    <w:rsid w:val="0098707D"/>
    <w:rsid w:val="00990408"/>
    <w:rsid w:val="009905C6"/>
    <w:rsid w:val="00991286"/>
    <w:rsid w:val="00991958"/>
    <w:rsid w:val="00991D5C"/>
    <w:rsid w:val="00992A84"/>
    <w:rsid w:val="00992E09"/>
    <w:rsid w:val="0099728F"/>
    <w:rsid w:val="0099730B"/>
    <w:rsid w:val="009A26DF"/>
    <w:rsid w:val="009A2ABC"/>
    <w:rsid w:val="009A2BD8"/>
    <w:rsid w:val="009A397E"/>
    <w:rsid w:val="009A4077"/>
    <w:rsid w:val="009A464D"/>
    <w:rsid w:val="009A59D0"/>
    <w:rsid w:val="009A65CF"/>
    <w:rsid w:val="009A6C4F"/>
    <w:rsid w:val="009A70F5"/>
    <w:rsid w:val="009B02B9"/>
    <w:rsid w:val="009B19B1"/>
    <w:rsid w:val="009B1FA8"/>
    <w:rsid w:val="009B2D33"/>
    <w:rsid w:val="009B3BE2"/>
    <w:rsid w:val="009B41D6"/>
    <w:rsid w:val="009B42E9"/>
    <w:rsid w:val="009C15C3"/>
    <w:rsid w:val="009C3B44"/>
    <w:rsid w:val="009C540B"/>
    <w:rsid w:val="009C609C"/>
    <w:rsid w:val="009C6285"/>
    <w:rsid w:val="009C66FD"/>
    <w:rsid w:val="009D012E"/>
    <w:rsid w:val="009D11F1"/>
    <w:rsid w:val="009D3100"/>
    <w:rsid w:val="009D42F3"/>
    <w:rsid w:val="009D5149"/>
    <w:rsid w:val="009D5F25"/>
    <w:rsid w:val="009D5FDF"/>
    <w:rsid w:val="009D611E"/>
    <w:rsid w:val="009E00EA"/>
    <w:rsid w:val="009E0A4A"/>
    <w:rsid w:val="009E18D6"/>
    <w:rsid w:val="009E1C1A"/>
    <w:rsid w:val="009E5278"/>
    <w:rsid w:val="009E6984"/>
    <w:rsid w:val="009E77AF"/>
    <w:rsid w:val="009E7F24"/>
    <w:rsid w:val="009F0B51"/>
    <w:rsid w:val="009F1577"/>
    <w:rsid w:val="009F32A1"/>
    <w:rsid w:val="009F3A88"/>
    <w:rsid w:val="009F3CB6"/>
    <w:rsid w:val="009F4F11"/>
    <w:rsid w:val="009F5BA4"/>
    <w:rsid w:val="009F61B9"/>
    <w:rsid w:val="009F6240"/>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DF4"/>
    <w:rsid w:val="00A164A8"/>
    <w:rsid w:val="00A16BD2"/>
    <w:rsid w:val="00A21B4E"/>
    <w:rsid w:val="00A2229F"/>
    <w:rsid w:val="00A22927"/>
    <w:rsid w:val="00A245B0"/>
    <w:rsid w:val="00A24730"/>
    <w:rsid w:val="00A25E44"/>
    <w:rsid w:val="00A26548"/>
    <w:rsid w:val="00A30891"/>
    <w:rsid w:val="00A30F12"/>
    <w:rsid w:val="00A3189D"/>
    <w:rsid w:val="00A31FEB"/>
    <w:rsid w:val="00A34606"/>
    <w:rsid w:val="00A35430"/>
    <w:rsid w:val="00A3587A"/>
    <w:rsid w:val="00A426C3"/>
    <w:rsid w:val="00A44260"/>
    <w:rsid w:val="00A446C8"/>
    <w:rsid w:val="00A45686"/>
    <w:rsid w:val="00A460C1"/>
    <w:rsid w:val="00A46D4B"/>
    <w:rsid w:val="00A47667"/>
    <w:rsid w:val="00A5057F"/>
    <w:rsid w:val="00A514FC"/>
    <w:rsid w:val="00A5369D"/>
    <w:rsid w:val="00A550AB"/>
    <w:rsid w:val="00A553D2"/>
    <w:rsid w:val="00A55556"/>
    <w:rsid w:val="00A55B7F"/>
    <w:rsid w:val="00A56D9E"/>
    <w:rsid w:val="00A570A4"/>
    <w:rsid w:val="00A5785C"/>
    <w:rsid w:val="00A601CA"/>
    <w:rsid w:val="00A606A0"/>
    <w:rsid w:val="00A60B15"/>
    <w:rsid w:val="00A622D9"/>
    <w:rsid w:val="00A62AB9"/>
    <w:rsid w:val="00A64247"/>
    <w:rsid w:val="00A64C46"/>
    <w:rsid w:val="00A65610"/>
    <w:rsid w:val="00A657D5"/>
    <w:rsid w:val="00A66AB7"/>
    <w:rsid w:val="00A70757"/>
    <w:rsid w:val="00A72340"/>
    <w:rsid w:val="00A740BD"/>
    <w:rsid w:val="00A751C7"/>
    <w:rsid w:val="00A75CB9"/>
    <w:rsid w:val="00A75F11"/>
    <w:rsid w:val="00A75F37"/>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0CF6"/>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5F9C"/>
    <w:rsid w:val="00AA69FE"/>
    <w:rsid w:val="00AA7037"/>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4813"/>
    <w:rsid w:val="00AD5038"/>
    <w:rsid w:val="00AD51EC"/>
    <w:rsid w:val="00AD650B"/>
    <w:rsid w:val="00AD69DF"/>
    <w:rsid w:val="00AE0680"/>
    <w:rsid w:val="00AE098F"/>
    <w:rsid w:val="00AE0CED"/>
    <w:rsid w:val="00AE0FFE"/>
    <w:rsid w:val="00AE3EAE"/>
    <w:rsid w:val="00AE41CA"/>
    <w:rsid w:val="00AE5E9E"/>
    <w:rsid w:val="00AE627D"/>
    <w:rsid w:val="00AF1E8B"/>
    <w:rsid w:val="00AF2894"/>
    <w:rsid w:val="00AF34E1"/>
    <w:rsid w:val="00AF3799"/>
    <w:rsid w:val="00AF41A8"/>
    <w:rsid w:val="00AF647D"/>
    <w:rsid w:val="00AF64B1"/>
    <w:rsid w:val="00AF675E"/>
    <w:rsid w:val="00B020B6"/>
    <w:rsid w:val="00B0290C"/>
    <w:rsid w:val="00B04DF3"/>
    <w:rsid w:val="00B062F1"/>
    <w:rsid w:val="00B06A9E"/>
    <w:rsid w:val="00B109BE"/>
    <w:rsid w:val="00B109E5"/>
    <w:rsid w:val="00B11319"/>
    <w:rsid w:val="00B13230"/>
    <w:rsid w:val="00B146D2"/>
    <w:rsid w:val="00B16214"/>
    <w:rsid w:val="00B16340"/>
    <w:rsid w:val="00B173BA"/>
    <w:rsid w:val="00B2184F"/>
    <w:rsid w:val="00B22D95"/>
    <w:rsid w:val="00B236E6"/>
    <w:rsid w:val="00B25295"/>
    <w:rsid w:val="00B25530"/>
    <w:rsid w:val="00B25D00"/>
    <w:rsid w:val="00B25D58"/>
    <w:rsid w:val="00B25E52"/>
    <w:rsid w:val="00B2643F"/>
    <w:rsid w:val="00B268C8"/>
    <w:rsid w:val="00B27117"/>
    <w:rsid w:val="00B27A51"/>
    <w:rsid w:val="00B30227"/>
    <w:rsid w:val="00B30F61"/>
    <w:rsid w:val="00B30F74"/>
    <w:rsid w:val="00B32847"/>
    <w:rsid w:val="00B33426"/>
    <w:rsid w:val="00B33C4A"/>
    <w:rsid w:val="00B33F3A"/>
    <w:rsid w:val="00B34492"/>
    <w:rsid w:val="00B34C6E"/>
    <w:rsid w:val="00B355A7"/>
    <w:rsid w:val="00B36704"/>
    <w:rsid w:val="00B36DD1"/>
    <w:rsid w:val="00B40B33"/>
    <w:rsid w:val="00B40D72"/>
    <w:rsid w:val="00B439E3"/>
    <w:rsid w:val="00B43F57"/>
    <w:rsid w:val="00B4450D"/>
    <w:rsid w:val="00B447EE"/>
    <w:rsid w:val="00B45044"/>
    <w:rsid w:val="00B5005D"/>
    <w:rsid w:val="00B529DA"/>
    <w:rsid w:val="00B52B01"/>
    <w:rsid w:val="00B52D75"/>
    <w:rsid w:val="00B536D5"/>
    <w:rsid w:val="00B53C09"/>
    <w:rsid w:val="00B53F21"/>
    <w:rsid w:val="00B548A1"/>
    <w:rsid w:val="00B5549F"/>
    <w:rsid w:val="00B55E8B"/>
    <w:rsid w:val="00B56BAB"/>
    <w:rsid w:val="00B60805"/>
    <w:rsid w:val="00B619E7"/>
    <w:rsid w:val="00B639D6"/>
    <w:rsid w:val="00B6482A"/>
    <w:rsid w:val="00B670A7"/>
    <w:rsid w:val="00B670E2"/>
    <w:rsid w:val="00B70862"/>
    <w:rsid w:val="00B7204C"/>
    <w:rsid w:val="00B722E7"/>
    <w:rsid w:val="00B72816"/>
    <w:rsid w:val="00B74968"/>
    <w:rsid w:val="00B75B47"/>
    <w:rsid w:val="00B75C4A"/>
    <w:rsid w:val="00B76168"/>
    <w:rsid w:val="00B76212"/>
    <w:rsid w:val="00B812C2"/>
    <w:rsid w:val="00B82140"/>
    <w:rsid w:val="00B847E8"/>
    <w:rsid w:val="00B92148"/>
    <w:rsid w:val="00B925CA"/>
    <w:rsid w:val="00B92E60"/>
    <w:rsid w:val="00B92EB8"/>
    <w:rsid w:val="00B93121"/>
    <w:rsid w:val="00B954E1"/>
    <w:rsid w:val="00B95DF3"/>
    <w:rsid w:val="00B96061"/>
    <w:rsid w:val="00B96076"/>
    <w:rsid w:val="00B964DF"/>
    <w:rsid w:val="00B978D3"/>
    <w:rsid w:val="00B97E10"/>
    <w:rsid w:val="00BA032E"/>
    <w:rsid w:val="00BA0881"/>
    <w:rsid w:val="00BA0C45"/>
    <w:rsid w:val="00BA12A8"/>
    <w:rsid w:val="00BA2029"/>
    <w:rsid w:val="00BA28A6"/>
    <w:rsid w:val="00BA31A3"/>
    <w:rsid w:val="00BA3DD7"/>
    <w:rsid w:val="00BA4385"/>
    <w:rsid w:val="00BA4CD4"/>
    <w:rsid w:val="00BA5744"/>
    <w:rsid w:val="00BA580A"/>
    <w:rsid w:val="00BA5964"/>
    <w:rsid w:val="00BA5BF4"/>
    <w:rsid w:val="00BB0D77"/>
    <w:rsid w:val="00BB1B91"/>
    <w:rsid w:val="00BB2F39"/>
    <w:rsid w:val="00BB3180"/>
    <w:rsid w:val="00BB319F"/>
    <w:rsid w:val="00BB375F"/>
    <w:rsid w:val="00BB485E"/>
    <w:rsid w:val="00BB5E71"/>
    <w:rsid w:val="00BB7573"/>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3D99"/>
    <w:rsid w:val="00BD53F6"/>
    <w:rsid w:val="00BD68C0"/>
    <w:rsid w:val="00BD6D3F"/>
    <w:rsid w:val="00BD6FF8"/>
    <w:rsid w:val="00BE01AB"/>
    <w:rsid w:val="00BE1396"/>
    <w:rsid w:val="00BE1FF9"/>
    <w:rsid w:val="00BE2259"/>
    <w:rsid w:val="00BE2D98"/>
    <w:rsid w:val="00BE69C1"/>
    <w:rsid w:val="00BE7192"/>
    <w:rsid w:val="00BF0DCA"/>
    <w:rsid w:val="00BF1467"/>
    <w:rsid w:val="00BF24AA"/>
    <w:rsid w:val="00BF2530"/>
    <w:rsid w:val="00BF2896"/>
    <w:rsid w:val="00BF318E"/>
    <w:rsid w:val="00BF33B6"/>
    <w:rsid w:val="00BF387D"/>
    <w:rsid w:val="00BF4A48"/>
    <w:rsid w:val="00BF5457"/>
    <w:rsid w:val="00BF5E90"/>
    <w:rsid w:val="00BF6743"/>
    <w:rsid w:val="00BF6F1B"/>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32EF"/>
    <w:rsid w:val="00C246D3"/>
    <w:rsid w:val="00C2546D"/>
    <w:rsid w:val="00C26525"/>
    <w:rsid w:val="00C26F61"/>
    <w:rsid w:val="00C270E8"/>
    <w:rsid w:val="00C308BD"/>
    <w:rsid w:val="00C30961"/>
    <w:rsid w:val="00C32255"/>
    <w:rsid w:val="00C32C44"/>
    <w:rsid w:val="00C348E4"/>
    <w:rsid w:val="00C35B92"/>
    <w:rsid w:val="00C36019"/>
    <w:rsid w:val="00C362A9"/>
    <w:rsid w:val="00C40FD3"/>
    <w:rsid w:val="00C41617"/>
    <w:rsid w:val="00C41742"/>
    <w:rsid w:val="00C41805"/>
    <w:rsid w:val="00C419BC"/>
    <w:rsid w:val="00C432C7"/>
    <w:rsid w:val="00C44CC1"/>
    <w:rsid w:val="00C452CA"/>
    <w:rsid w:val="00C4535C"/>
    <w:rsid w:val="00C45C4F"/>
    <w:rsid w:val="00C477A6"/>
    <w:rsid w:val="00C51CEC"/>
    <w:rsid w:val="00C543DD"/>
    <w:rsid w:val="00C54422"/>
    <w:rsid w:val="00C5578A"/>
    <w:rsid w:val="00C574D5"/>
    <w:rsid w:val="00C57A0C"/>
    <w:rsid w:val="00C6108D"/>
    <w:rsid w:val="00C61F5E"/>
    <w:rsid w:val="00C6432D"/>
    <w:rsid w:val="00C654BB"/>
    <w:rsid w:val="00C65DF7"/>
    <w:rsid w:val="00C666B2"/>
    <w:rsid w:val="00C667EA"/>
    <w:rsid w:val="00C66D6C"/>
    <w:rsid w:val="00C674B8"/>
    <w:rsid w:val="00C702A3"/>
    <w:rsid w:val="00C70463"/>
    <w:rsid w:val="00C716C5"/>
    <w:rsid w:val="00C73076"/>
    <w:rsid w:val="00C73210"/>
    <w:rsid w:val="00C73873"/>
    <w:rsid w:val="00C74601"/>
    <w:rsid w:val="00C74FCA"/>
    <w:rsid w:val="00C75898"/>
    <w:rsid w:val="00C75F49"/>
    <w:rsid w:val="00C7624B"/>
    <w:rsid w:val="00C765DD"/>
    <w:rsid w:val="00C772D2"/>
    <w:rsid w:val="00C7793E"/>
    <w:rsid w:val="00C77D95"/>
    <w:rsid w:val="00C80ABD"/>
    <w:rsid w:val="00C82D1A"/>
    <w:rsid w:val="00C82E4E"/>
    <w:rsid w:val="00C8411A"/>
    <w:rsid w:val="00C84878"/>
    <w:rsid w:val="00C85476"/>
    <w:rsid w:val="00C86645"/>
    <w:rsid w:val="00C86F35"/>
    <w:rsid w:val="00C87E49"/>
    <w:rsid w:val="00C9089B"/>
    <w:rsid w:val="00C90DC4"/>
    <w:rsid w:val="00C90EB8"/>
    <w:rsid w:val="00C9267E"/>
    <w:rsid w:val="00C92DDF"/>
    <w:rsid w:val="00C932BD"/>
    <w:rsid w:val="00C93AD3"/>
    <w:rsid w:val="00C93CB6"/>
    <w:rsid w:val="00C94007"/>
    <w:rsid w:val="00C94883"/>
    <w:rsid w:val="00C94F5D"/>
    <w:rsid w:val="00C95537"/>
    <w:rsid w:val="00C95D63"/>
    <w:rsid w:val="00C97B6B"/>
    <w:rsid w:val="00CA0BC0"/>
    <w:rsid w:val="00CA1770"/>
    <w:rsid w:val="00CA1E6B"/>
    <w:rsid w:val="00CA375C"/>
    <w:rsid w:val="00CA3ACE"/>
    <w:rsid w:val="00CA3D29"/>
    <w:rsid w:val="00CA5C49"/>
    <w:rsid w:val="00CA7C29"/>
    <w:rsid w:val="00CB03FC"/>
    <w:rsid w:val="00CB0E3F"/>
    <w:rsid w:val="00CB2C60"/>
    <w:rsid w:val="00CB4FA9"/>
    <w:rsid w:val="00CB6639"/>
    <w:rsid w:val="00CC0267"/>
    <w:rsid w:val="00CC0D00"/>
    <w:rsid w:val="00CC186B"/>
    <w:rsid w:val="00CC3755"/>
    <w:rsid w:val="00CC41AF"/>
    <w:rsid w:val="00CC53F2"/>
    <w:rsid w:val="00CC6B3A"/>
    <w:rsid w:val="00CC6CD2"/>
    <w:rsid w:val="00CD1A3E"/>
    <w:rsid w:val="00CD2185"/>
    <w:rsid w:val="00CD2242"/>
    <w:rsid w:val="00CD4A48"/>
    <w:rsid w:val="00CE0F70"/>
    <w:rsid w:val="00CE165E"/>
    <w:rsid w:val="00CE25FE"/>
    <w:rsid w:val="00CE40C1"/>
    <w:rsid w:val="00CE44F3"/>
    <w:rsid w:val="00CE50DC"/>
    <w:rsid w:val="00CE5160"/>
    <w:rsid w:val="00CE550F"/>
    <w:rsid w:val="00CE7BEB"/>
    <w:rsid w:val="00CF0CA7"/>
    <w:rsid w:val="00CF1F37"/>
    <w:rsid w:val="00CF2D7C"/>
    <w:rsid w:val="00CF4178"/>
    <w:rsid w:val="00CF577A"/>
    <w:rsid w:val="00CF5EB5"/>
    <w:rsid w:val="00CF6FD1"/>
    <w:rsid w:val="00CF7DD9"/>
    <w:rsid w:val="00D01643"/>
    <w:rsid w:val="00D0270C"/>
    <w:rsid w:val="00D05463"/>
    <w:rsid w:val="00D108D4"/>
    <w:rsid w:val="00D11C20"/>
    <w:rsid w:val="00D11C3A"/>
    <w:rsid w:val="00D11F8F"/>
    <w:rsid w:val="00D13438"/>
    <w:rsid w:val="00D14A2A"/>
    <w:rsid w:val="00D1684A"/>
    <w:rsid w:val="00D16D3F"/>
    <w:rsid w:val="00D16F47"/>
    <w:rsid w:val="00D174F5"/>
    <w:rsid w:val="00D20C07"/>
    <w:rsid w:val="00D2184D"/>
    <w:rsid w:val="00D243DC"/>
    <w:rsid w:val="00D262DB"/>
    <w:rsid w:val="00D2630A"/>
    <w:rsid w:val="00D26CB2"/>
    <w:rsid w:val="00D271AF"/>
    <w:rsid w:val="00D27CDD"/>
    <w:rsid w:val="00D30108"/>
    <w:rsid w:val="00D3072E"/>
    <w:rsid w:val="00D30C0B"/>
    <w:rsid w:val="00D325BF"/>
    <w:rsid w:val="00D33C68"/>
    <w:rsid w:val="00D33D40"/>
    <w:rsid w:val="00D367E5"/>
    <w:rsid w:val="00D40950"/>
    <w:rsid w:val="00D40CEC"/>
    <w:rsid w:val="00D40EFF"/>
    <w:rsid w:val="00D41B0B"/>
    <w:rsid w:val="00D41F58"/>
    <w:rsid w:val="00D42404"/>
    <w:rsid w:val="00D43D51"/>
    <w:rsid w:val="00D45E6F"/>
    <w:rsid w:val="00D477DE"/>
    <w:rsid w:val="00D5030D"/>
    <w:rsid w:val="00D507E7"/>
    <w:rsid w:val="00D50DCA"/>
    <w:rsid w:val="00D51BCE"/>
    <w:rsid w:val="00D521E4"/>
    <w:rsid w:val="00D52D75"/>
    <w:rsid w:val="00D54886"/>
    <w:rsid w:val="00D560C3"/>
    <w:rsid w:val="00D56C40"/>
    <w:rsid w:val="00D5725B"/>
    <w:rsid w:val="00D60509"/>
    <w:rsid w:val="00D63B8F"/>
    <w:rsid w:val="00D6563A"/>
    <w:rsid w:val="00D65E0E"/>
    <w:rsid w:val="00D70503"/>
    <w:rsid w:val="00D70B62"/>
    <w:rsid w:val="00D7195D"/>
    <w:rsid w:val="00D74037"/>
    <w:rsid w:val="00D7448D"/>
    <w:rsid w:val="00D750A9"/>
    <w:rsid w:val="00D75BBE"/>
    <w:rsid w:val="00D763C9"/>
    <w:rsid w:val="00D777F8"/>
    <w:rsid w:val="00D77939"/>
    <w:rsid w:val="00D77B8E"/>
    <w:rsid w:val="00D77C39"/>
    <w:rsid w:val="00D800DF"/>
    <w:rsid w:val="00D802AD"/>
    <w:rsid w:val="00D80C98"/>
    <w:rsid w:val="00D8109C"/>
    <w:rsid w:val="00D812AF"/>
    <w:rsid w:val="00D81523"/>
    <w:rsid w:val="00D8171B"/>
    <w:rsid w:val="00D81ED2"/>
    <w:rsid w:val="00D82584"/>
    <w:rsid w:val="00D82BA3"/>
    <w:rsid w:val="00D83590"/>
    <w:rsid w:val="00D8397C"/>
    <w:rsid w:val="00D83AE0"/>
    <w:rsid w:val="00D8547A"/>
    <w:rsid w:val="00D859EA"/>
    <w:rsid w:val="00D86811"/>
    <w:rsid w:val="00D87C8A"/>
    <w:rsid w:val="00D92305"/>
    <w:rsid w:val="00D93975"/>
    <w:rsid w:val="00D939C1"/>
    <w:rsid w:val="00D9414F"/>
    <w:rsid w:val="00D96C44"/>
    <w:rsid w:val="00D96E41"/>
    <w:rsid w:val="00D97150"/>
    <w:rsid w:val="00DA09C3"/>
    <w:rsid w:val="00DA2A59"/>
    <w:rsid w:val="00DA2D8E"/>
    <w:rsid w:val="00DA35BB"/>
    <w:rsid w:val="00DA396D"/>
    <w:rsid w:val="00DA3E62"/>
    <w:rsid w:val="00DA407B"/>
    <w:rsid w:val="00DA407F"/>
    <w:rsid w:val="00DA5630"/>
    <w:rsid w:val="00DA716B"/>
    <w:rsid w:val="00DB03AE"/>
    <w:rsid w:val="00DB08AA"/>
    <w:rsid w:val="00DB0EDD"/>
    <w:rsid w:val="00DB1A30"/>
    <w:rsid w:val="00DB1C54"/>
    <w:rsid w:val="00DB2069"/>
    <w:rsid w:val="00DB5711"/>
    <w:rsid w:val="00DB5C6D"/>
    <w:rsid w:val="00DB678D"/>
    <w:rsid w:val="00DB77BA"/>
    <w:rsid w:val="00DC05BB"/>
    <w:rsid w:val="00DC0AEC"/>
    <w:rsid w:val="00DC16D5"/>
    <w:rsid w:val="00DC2D05"/>
    <w:rsid w:val="00DC3684"/>
    <w:rsid w:val="00DC3926"/>
    <w:rsid w:val="00DC5834"/>
    <w:rsid w:val="00DC5A97"/>
    <w:rsid w:val="00DC5F83"/>
    <w:rsid w:val="00DC6E7E"/>
    <w:rsid w:val="00DC7298"/>
    <w:rsid w:val="00DD3731"/>
    <w:rsid w:val="00DD4194"/>
    <w:rsid w:val="00DD43D6"/>
    <w:rsid w:val="00DD45E3"/>
    <w:rsid w:val="00DD6015"/>
    <w:rsid w:val="00DD74B9"/>
    <w:rsid w:val="00DE29D1"/>
    <w:rsid w:val="00DE76F0"/>
    <w:rsid w:val="00DF13EF"/>
    <w:rsid w:val="00DF2BC5"/>
    <w:rsid w:val="00DF4FE0"/>
    <w:rsid w:val="00DF5115"/>
    <w:rsid w:val="00DF5C1B"/>
    <w:rsid w:val="00DF664A"/>
    <w:rsid w:val="00E00235"/>
    <w:rsid w:val="00E01E68"/>
    <w:rsid w:val="00E0241E"/>
    <w:rsid w:val="00E0246C"/>
    <w:rsid w:val="00E03654"/>
    <w:rsid w:val="00E04C70"/>
    <w:rsid w:val="00E0542B"/>
    <w:rsid w:val="00E05D1F"/>
    <w:rsid w:val="00E07601"/>
    <w:rsid w:val="00E07FF9"/>
    <w:rsid w:val="00E102BB"/>
    <w:rsid w:val="00E106D2"/>
    <w:rsid w:val="00E119D4"/>
    <w:rsid w:val="00E12C56"/>
    <w:rsid w:val="00E135DE"/>
    <w:rsid w:val="00E13FB6"/>
    <w:rsid w:val="00E152B3"/>
    <w:rsid w:val="00E156DE"/>
    <w:rsid w:val="00E16D0E"/>
    <w:rsid w:val="00E17180"/>
    <w:rsid w:val="00E20AD1"/>
    <w:rsid w:val="00E214F4"/>
    <w:rsid w:val="00E21ED7"/>
    <w:rsid w:val="00E22BDA"/>
    <w:rsid w:val="00E22DE8"/>
    <w:rsid w:val="00E23137"/>
    <w:rsid w:val="00E23719"/>
    <w:rsid w:val="00E27028"/>
    <w:rsid w:val="00E275A6"/>
    <w:rsid w:val="00E324AB"/>
    <w:rsid w:val="00E33DB0"/>
    <w:rsid w:val="00E36701"/>
    <w:rsid w:val="00E36890"/>
    <w:rsid w:val="00E3738C"/>
    <w:rsid w:val="00E375D4"/>
    <w:rsid w:val="00E37B24"/>
    <w:rsid w:val="00E40509"/>
    <w:rsid w:val="00E405AB"/>
    <w:rsid w:val="00E411BD"/>
    <w:rsid w:val="00E418AC"/>
    <w:rsid w:val="00E430D9"/>
    <w:rsid w:val="00E440C9"/>
    <w:rsid w:val="00E451E0"/>
    <w:rsid w:val="00E47DC2"/>
    <w:rsid w:val="00E505B7"/>
    <w:rsid w:val="00E50BD4"/>
    <w:rsid w:val="00E5121D"/>
    <w:rsid w:val="00E5125E"/>
    <w:rsid w:val="00E53A92"/>
    <w:rsid w:val="00E5617F"/>
    <w:rsid w:val="00E574D6"/>
    <w:rsid w:val="00E60DA5"/>
    <w:rsid w:val="00E6326F"/>
    <w:rsid w:val="00E66FA7"/>
    <w:rsid w:val="00E70500"/>
    <w:rsid w:val="00E70EF7"/>
    <w:rsid w:val="00E70FFB"/>
    <w:rsid w:val="00E74624"/>
    <w:rsid w:val="00E76040"/>
    <w:rsid w:val="00E776FB"/>
    <w:rsid w:val="00E778F7"/>
    <w:rsid w:val="00E80DF4"/>
    <w:rsid w:val="00E825BB"/>
    <w:rsid w:val="00E83295"/>
    <w:rsid w:val="00E857EE"/>
    <w:rsid w:val="00E8679C"/>
    <w:rsid w:val="00E8728B"/>
    <w:rsid w:val="00E876F3"/>
    <w:rsid w:val="00E91DD6"/>
    <w:rsid w:val="00E9238A"/>
    <w:rsid w:val="00E92DBC"/>
    <w:rsid w:val="00E94AB8"/>
    <w:rsid w:val="00E959C4"/>
    <w:rsid w:val="00EA0686"/>
    <w:rsid w:val="00EA0812"/>
    <w:rsid w:val="00EA17DC"/>
    <w:rsid w:val="00EA2021"/>
    <w:rsid w:val="00EA373E"/>
    <w:rsid w:val="00EA3A6C"/>
    <w:rsid w:val="00EA4748"/>
    <w:rsid w:val="00EA5C8F"/>
    <w:rsid w:val="00EA5E92"/>
    <w:rsid w:val="00EA5FC6"/>
    <w:rsid w:val="00EA7862"/>
    <w:rsid w:val="00EB185A"/>
    <w:rsid w:val="00EB19F5"/>
    <w:rsid w:val="00EB2AF8"/>
    <w:rsid w:val="00EB37C4"/>
    <w:rsid w:val="00EB4CBF"/>
    <w:rsid w:val="00EB5789"/>
    <w:rsid w:val="00EB5E51"/>
    <w:rsid w:val="00EB61B1"/>
    <w:rsid w:val="00EB7E99"/>
    <w:rsid w:val="00EC0D61"/>
    <w:rsid w:val="00EC0D67"/>
    <w:rsid w:val="00EC1024"/>
    <w:rsid w:val="00EC303F"/>
    <w:rsid w:val="00EC30D0"/>
    <w:rsid w:val="00EC4449"/>
    <w:rsid w:val="00EC510B"/>
    <w:rsid w:val="00ED141F"/>
    <w:rsid w:val="00ED24B6"/>
    <w:rsid w:val="00ED385C"/>
    <w:rsid w:val="00ED7FC9"/>
    <w:rsid w:val="00EE25CA"/>
    <w:rsid w:val="00EE2950"/>
    <w:rsid w:val="00EE2B7F"/>
    <w:rsid w:val="00EE2D95"/>
    <w:rsid w:val="00EE3B6D"/>
    <w:rsid w:val="00EE5D50"/>
    <w:rsid w:val="00EE63D3"/>
    <w:rsid w:val="00EE6C36"/>
    <w:rsid w:val="00EE73F0"/>
    <w:rsid w:val="00EE7931"/>
    <w:rsid w:val="00EF24A3"/>
    <w:rsid w:val="00EF4292"/>
    <w:rsid w:val="00EF4A17"/>
    <w:rsid w:val="00EF6790"/>
    <w:rsid w:val="00EF6B01"/>
    <w:rsid w:val="00F01257"/>
    <w:rsid w:val="00F0319F"/>
    <w:rsid w:val="00F03B60"/>
    <w:rsid w:val="00F060F6"/>
    <w:rsid w:val="00F062B7"/>
    <w:rsid w:val="00F11BAF"/>
    <w:rsid w:val="00F12183"/>
    <w:rsid w:val="00F13880"/>
    <w:rsid w:val="00F145F7"/>
    <w:rsid w:val="00F161B0"/>
    <w:rsid w:val="00F1635F"/>
    <w:rsid w:val="00F16F5F"/>
    <w:rsid w:val="00F20214"/>
    <w:rsid w:val="00F203CF"/>
    <w:rsid w:val="00F20F64"/>
    <w:rsid w:val="00F2475F"/>
    <w:rsid w:val="00F2535C"/>
    <w:rsid w:val="00F27150"/>
    <w:rsid w:val="00F27DEA"/>
    <w:rsid w:val="00F30834"/>
    <w:rsid w:val="00F33B63"/>
    <w:rsid w:val="00F33C55"/>
    <w:rsid w:val="00F34492"/>
    <w:rsid w:val="00F35FD0"/>
    <w:rsid w:val="00F3778E"/>
    <w:rsid w:val="00F42EFB"/>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1D0A"/>
    <w:rsid w:val="00F623E8"/>
    <w:rsid w:val="00F62895"/>
    <w:rsid w:val="00F6392C"/>
    <w:rsid w:val="00F646D2"/>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242"/>
    <w:rsid w:val="00FA24E6"/>
    <w:rsid w:val="00FA2BAC"/>
    <w:rsid w:val="00FA31E9"/>
    <w:rsid w:val="00FA3BF9"/>
    <w:rsid w:val="00FA5325"/>
    <w:rsid w:val="00FB3E2E"/>
    <w:rsid w:val="00FB506C"/>
    <w:rsid w:val="00FB5986"/>
    <w:rsid w:val="00FB5B3B"/>
    <w:rsid w:val="00FB69AA"/>
    <w:rsid w:val="00FB6C25"/>
    <w:rsid w:val="00FC245A"/>
    <w:rsid w:val="00FC2C37"/>
    <w:rsid w:val="00FC3041"/>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230B"/>
    <w:rsid w:val="00FF343B"/>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3EA9B"/>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98"/>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leg5er Level 1,We woulNumb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057D2"/>
    <w:rPr>
      <w:sz w:val="20"/>
      <w:szCs w:val="20"/>
    </w:rPr>
  </w:style>
  <w:style w:type="character" w:customStyle="1" w:styleId="FootnoteTextChar">
    <w:name w:val="Footnote Text Char"/>
    <w:basedOn w:val="DefaultParagraphFont"/>
    <w:link w:val="FootnoteText"/>
    <w:uiPriority w:val="99"/>
    <w:semiHidden/>
    <w:rsid w:val="000057D2"/>
    <w:rPr>
      <w:sz w:val="20"/>
      <w:szCs w:val="20"/>
    </w:rPr>
  </w:style>
  <w:style w:type="character" w:styleId="FootnoteReference">
    <w:name w:val="footnote reference"/>
    <w:basedOn w:val="DefaultParagraphFont"/>
    <w:uiPriority w:val="99"/>
    <w:semiHidden/>
    <w:unhideWhenUsed/>
    <w:rsid w:val="000057D2"/>
    <w:rPr>
      <w:vertAlign w:val="superscript"/>
    </w:rPr>
  </w:style>
  <w:style w:type="paragraph" w:customStyle="1" w:styleId="Dot1">
    <w:name w:val="Dot1"/>
    <w:aliases w:val="DOT,[AAAsdDot1"/>
    <w:basedOn w:val="Normal"/>
    <w:uiPriority w:val="2"/>
    <w:qFormat/>
    <w:rsid w:val="00B60805"/>
    <w:pPr>
      <w:numPr>
        <w:ilvl w:val="1"/>
        <w:numId w:val="33"/>
      </w:numPr>
      <w:spacing w:after="140" w:line="280" w:lineRule="atLeast"/>
    </w:pPr>
    <w:rPr>
      <w:rFonts w:ascii="Arial" w:eastAsia="Times New Roman" w:hAnsi="Arial" w:cs="Arial"/>
      <w:lang w:eastAsia="en-AU"/>
    </w:rPr>
  </w:style>
  <w:style w:type="character" w:customStyle="1" w:styleId="normaltextrun">
    <w:name w:val="normaltextrun"/>
    <w:basedOn w:val="DefaultParagraphFont"/>
    <w:rsid w:val="00B22D95"/>
  </w:style>
  <w:style w:type="paragraph" w:customStyle="1" w:styleId="paragraph">
    <w:name w:val="paragraph"/>
    <w:basedOn w:val="Normal"/>
    <w:rsid w:val="00B22D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72762698">
      <w:bodyDiv w:val="1"/>
      <w:marLeft w:val="0"/>
      <w:marRight w:val="0"/>
      <w:marTop w:val="0"/>
      <w:marBottom w:val="0"/>
      <w:divBdr>
        <w:top w:val="none" w:sz="0" w:space="0" w:color="auto"/>
        <w:left w:val="none" w:sz="0" w:space="0" w:color="auto"/>
        <w:bottom w:val="none" w:sz="0" w:space="0" w:color="auto"/>
        <w:right w:val="none" w:sz="0" w:space="0" w:color="auto"/>
      </w:divBdr>
    </w:div>
    <w:div w:id="194002424">
      <w:bodyDiv w:val="1"/>
      <w:marLeft w:val="0"/>
      <w:marRight w:val="0"/>
      <w:marTop w:val="0"/>
      <w:marBottom w:val="0"/>
      <w:divBdr>
        <w:top w:val="none" w:sz="0" w:space="0" w:color="auto"/>
        <w:left w:val="none" w:sz="0" w:space="0" w:color="auto"/>
        <w:bottom w:val="none" w:sz="0" w:space="0" w:color="auto"/>
        <w:right w:val="none" w:sz="0" w:space="0" w:color="auto"/>
      </w:divBdr>
    </w:div>
    <w:div w:id="2168231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08547504">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50355282">
      <w:bodyDiv w:val="1"/>
      <w:marLeft w:val="0"/>
      <w:marRight w:val="0"/>
      <w:marTop w:val="0"/>
      <w:marBottom w:val="0"/>
      <w:divBdr>
        <w:top w:val="none" w:sz="0" w:space="0" w:color="auto"/>
        <w:left w:val="none" w:sz="0" w:space="0" w:color="auto"/>
        <w:bottom w:val="none" w:sz="0" w:space="0" w:color="auto"/>
        <w:right w:val="none" w:sz="0" w:space="0" w:color="auto"/>
      </w:divBdr>
    </w:div>
    <w:div w:id="127783233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657625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90432333">
      <w:bodyDiv w:val="1"/>
      <w:marLeft w:val="0"/>
      <w:marRight w:val="0"/>
      <w:marTop w:val="0"/>
      <w:marBottom w:val="0"/>
      <w:divBdr>
        <w:top w:val="none" w:sz="0" w:space="0" w:color="auto"/>
        <w:left w:val="none" w:sz="0" w:space="0" w:color="auto"/>
        <w:bottom w:val="none" w:sz="0" w:space="0" w:color="auto"/>
        <w:right w:val="none" w:sz="0" w:space="0" w:color="auto"/>
      </w:divBdr>
    </w:div>
    <w:div w:id="18122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s01.safelinks.protection.outlook.com/?url=https%3A%2F%2Fministers.dese.gov.au%2Ftudge%2Fclosing-gap-school-education&amp;data=04%7C01%7C%7Ce492faf13b1948bf383608d957e8b81a%7C8c0aa3fabaaf4713a02e487637cf14be%7C0%7C0%7C637637479298772763%7CUnknown%7CTWFpbGZsb3d8eyJWIjoiMC4wLjAwMDAiLCJQIjoiV2luMzIiLCJBTiI6Ik1haWwiLCJXVCI6Mn0%3D%7C1000&amp;sdata=fTqRzeONKOQ6EwbLpCfqz4y2PV030ZxhYLIdBYgIAds%3D&amp;reserved=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us01.safelinks.protection.outlook.com/?url=https%3A%2F%2Fministers.dese.gov.au%2Ftudge%2Fclosing-gap-school-education&amp;data=04%7C01%7C%7Ce492faf13b1948bf383608d957e8b81a%7C8c0aa3fabaaf4713a02e487637cf14be%7C0%7C0%7C637637479298772763%7CUnknown%7CTWFpbGZsb3d8eyJWIjoiMC4wLjAwMDAiLCJQIjoiV2luMzIiLCJBTiI6Ik1haWwiLCJXVCI6Mn0%3D%7C1000&amp;sdata=fTqRzeONKOQ6EwbLpCfqz4y2PV030ZxhYLIdBYgIAds%3D&amp;reserved=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FIN34055-2137779915-9369</_dlc_DocId>
    <_dlc_DocIdUrl xmlns="79e5d1b8-31fe-4abb-b9ad-c81c29576083">
      <Url>https://f1.prdmgd.finance.gov.au/sites/50034055/_layouts/15/DocIdRedir.aspx?ID=FIN34055-2137779915-9369</Url>
      <Description>FIN34055-2137779915-9369</Description>
    </_dlc_DocIdUrl>
    <Original_x0020_Date_x0020_Created xmlns="82ff9d9b-d3fc-4aad-bc42-9949ee83b81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5.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4D3FF3-3EA4-42F7-A10A-6BEE0FB3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22253</Words>
  <Characters>126846</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Razai-Tazangi, ZhiZhi</cp:lastModifiedBy>
  <cp:revision>22</cp:revision>
  <cp:lastPrinted>2021-05-07T03:13:00Z</cp:lastPrinted>
  <dcterms:created xsi:type="dcterms:W3CDTF">2022-02-03T01:00:00Z</dcterms:created>
  <dcterms:modified xsi:type="dcterms:W3CDTF">2022-04-08T00:08:00Z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0C9A5B0BDE93D5DD8D570D5420E6DC43A4D8F58E</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7D7207106E66A9B61A70DBAD245ADEC81BB173D7</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2021-09-28T06:54:14Z</vt:lpwstr>
  </property>
  <property fmtid="{D5CDD505-2E9C-101B-9397-08002B2CF9AE}" pid="23" name="PM_Hash_Version">
    <vt:lpwstr>2018.0</vt:lpwstr>
  </property>
  <property fmtid="{D5CDD505-2E9C-101B-9397-08002B2CF9AE}" pid="24" name="PM_Hash_Salt_Prev">
    <vt:lpwstr>07DC2C1F043CB8C9EA62B8B8A76065B1</vt:lpwstr>
  </property>
  <property fmtid="{D5CDD505-2E9C-101B-9397-08002B2CF9AE}" pid="25" name="PM_Hash_Salt">
    <vt:lpwstr>5ECD43BD4989F0191EBCF0C31F5E9FCD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b462811b-2e79-450c-8516-cba57cdfa299</vt:lpwstr>
  </property>
  <property fmtid="{D5CDD505-2E9C-101B-9397-08002B2CF9AE}" pid="38" name="gf53def832c84e7cae27ba43c0ddcfb1">
    <vt:lpwstr/>
  </property>
  <property fmtid="{D5CDD505-2E9C-101B-9397-08002B2CF9AE}" pid="39" name="Document">
    <vt:lpwstr/>
  </property>
</Properties>
</file>