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1A69" w14:textId="77777777"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12D24BBF" w14:textId="77777777" w:rsidTr="00FC6D4D">
        <w:trPr>
          <w:cantSplit/>
        </w:trPr>
        <w:tc>
          <w:tcPr>
            <w:tcW w:w="4536" w:type="dxa"/>
          </w:tcPr>
          <w:p w14:paraId="375616D2" w14:textId="199871B5" w:rsidR="004D4D03" w:rsidRDefault="004D4D03">
            <w:pPr>
              <w:pStyle w:val="Heading6"/>
            </w:pPr>
          </w:p>
        </w:tc>
        <w:tc>
          <w:tcPr>
            <w:tcW w:w="4536" w:type="dxa"/>
          </w:tcPr>
          <w:p w14:paraId="7CB6469C" w14:textId="64A3D7B4" w:rsidR="004D4D03" w:rsidRDefault="00B0185F">
            <w:pPr>
              <w:pStyle w:val="CoverNumber"/>
            </w:pPr>
            <w:r>
              <w:fldChar w:fldCharType="begin" w:fldLock="1"/>
            </w:r>
            <w:r>
              <w:instrText xml:space="preserve"> REF DocType \* charformat \* MERGEFORMAT </w:instrText>
            </w:r>
            <w:r>
              <w:fldChar w:fldCharType="separate"/>
            </w:r>
            <w:r w:rsidR="00D81217" w:rsidRPr="00D81217">
              <w:t>ASA</w:t>
            </w:r>
            <w:r>
              <w:fldChar w:fldCharType="end"/>
            </w:r>
            <w:r w:rsidR="004D4D03">
              <w:t xml:space="preserve"> </w:t>
            </w:r>
            <w:bookmarkStart w:id="0" w:name="EDNo"/>
            <w:bookmarkEnd w:id="0"/>
            <w:r w:rsidR="00937B9F">
              <w:fldChar w:fldCharType="begin" w:fldLock="1"/>
            </w:r>
            <w:r w:rsidR="00937B9F">
              <w:instrText xml:space="preserve"> REF DocNo \* charformat \* MERGEFORMAT </w:instrText>
            </w:r>
            <w:r w:rsidR="00937B9F">
              <w:fldChar w:fldCharType="separate"/>
            </w:r>
            <w:r w:rsidR="00D81217" w:rsidRPr="00D81217">
              <w:t>2021-5</w:t>
            </w:r>
            <w:r w:rsidR="00937B9F">
              <w:fldChar w:fldCharType="end"/>
            </w:r>
          </w:p>
          <w:p w14:paraId="77BFC415" w14:textId="44F01003" w:rsidR="004D4D03" w:rsidRDefault="004D4D03">
            <w:pPr>
              <w:pStyle w:val="CoverDate"/>
            </w:pPr>
            <w:r>
              <w:t>(</w:t>
            </w:r>
            <w:bookmarkStart w:id="1" w:name="DocDate"/>
            <w:r w:rsidR="00C60F22">
              <w:t>November</w:t>
            </w:r>
            <w:r w:rsidR="00766217">
              <w:t> 2021</w:t>
            </w:r>
            <w:bookmarkEnd w:id="1"/>
            <w:r>
              <w:t>)</w:t>
            </w:r>
          </w:p>
        </w:tc>
      </w:tr>
    </w:tbl>
    <w:bookmarkStart w:id="2" w:name="DocTypeLong"/>
    <w:p w14:paraId="28B0AA71" w14:textId="2B8A4B9C" w:rsidR="004D4D03" w:rsidRDefault="00B0185F">
      <w:pPr>
        <w:pStyle w:val="CoverTitle"/>
      </w:pPr>
      <w:sdt>
        <w:sdtPr>
          <w:rPr>
            <w:i w:val="0"/>
          </w:rPr>
          <w:id w:val="-1741084569"/>
          <w:lock w:val="contentLocked"/>
          <w:placeholder>
            <w:docPart w:val="DefaultPlaceholder_-1854013440"/>
          </w:placeholder>
          <w:group/>
        </w:sdtPr>
        <w:sdtEndPr/>
        <w:sdtContent>
          <w:r w:rsidR="00766217">
            <w:rPr>
              <w:i w:val="0"/>
            </w:rPr>
            <w:t>Auditing Standard</w:t>
          </w:r>
          <w:bookmarkEnd w:id="2"/>
        </w:sdtContent>
      </w:sdt>
      <w:r w:rsidR="006E419A" w:rsidRPr="000D243E">
        <w:rPr>
          <w:i w:val="0"/>
        </w:rPr>
        <w:t xml:space="preserve"> </w:t>
      </w:r>
      <w:bookmarkStart w:id="3" w:name="DocType"/>
      <w:sdt>
        <w:sdtPr>
          <w:rPr>
            <w:i w:val="0"/>
          </w:rPr>
          <w:id w:val="-1972048683"/>
          <w:lock w:val="contentLocked"/>
          <w:placeholder>
            <w:docPart w:val="DefaultPlaceholder_-1854013440"/>
          </w:placeholder>
          <w:group/>
        </w:sdtPr>
        <w:sdtEndPr/>
        <w:sdtContent>
          <w:r w:rsidR="00766217">
            <w:rPr>
              <w:i w:val="0"/>
            </w:rPr>
            <w:t>ASA</w:t>
          </w:r>
          <w:bookmarkEnd w:id="3"/>
        </w:sdtContent>
      </w:sdt>
      <w:r w:rsidR="004D4D03" w:rsidRPr="000D243E">
        <w:rPr>
          <w:i w:val="0"/>
        </w:rPr>
        <w:t> </w:t>
      </w:r>
      <w:bookmarkStart w:id="4" w:name="DocNo"/>
      <w:sdt>
        <w:sdtPr>
          <w:rPr>
            <w:i w:val="0"/>
          </w:rPr>
          <w:id w:val="1226099327"/>
          <w:lock w:val="contentLocked"/>
          <w:placeholder>
            <w:docPart w:val="DefaultPlaceholder_-1854013440"/>
          </w:placeholder>
          <w:group/>
        </w:sdtPr>
        <w:sdtEndPr/>
        <w:sdtContent>
          <w:r w:rsidR="00766217">
            <w:rPr>
              <w:i w:val="0"/>
            </w:rPr>
            <w:t>2021-5</w:t>
          </w:r>
          <w:bookmarkEnd w:id="4"/>
        </w:sdtContent>
      </w:sdt>
      <w:r w:rsidR="004D4D03" w:rsidRPr="000D243E">
        <w:br/>
      </w:r>
      <w:bookmarkStart w:id="5" w:name="DocTitle"/>
      <w:sdt>
        <w:sdtPr>
          <w:id w:val="-409925438"/>
          <w:lock w:val="contentLocked"/>
          <w:placeholder>
            <w:docPart w:val="DefaultPlaceholder_-1854013440"/>
          </w:placeholder>
          <w:group/>
        </w:sdtPr>
        <w:sdtEndPr/>
        <w:sdtContent>
          <w:r w:rsidR="00766217">
            <w:t>Amendments to Australian Auditing Standards</w:t>
          </w:r>
          <w:bookmarkEnd w:id="5"/>
        </w:sdtContent>
      </w:sdt>
    </w:p>
    <w:p w14:paraId="1C87728A" w14:textId="3658211E" w:rsidR="004D4D03" w:rsidRDefault="00937B9F">
      <w:pPr>
        <w:pStyle w:val="CoverSubTitle"/>
        <w:ind w:right="-142"/>
      </w:pPr>
      <w:r>
        <w:t xml:space="preserve">Issued by the </w:t>
      </w:r>
      <w:r w:rsidR="004D4D03">
        <w:rPr>
          <w:b/>
          <w:bCs/>
        </w:rPr>
        <w:t>Auditing and Assurance Standards Board</w:t>
      </w:r>
    </w:p>
    <w:p w14:paraId="1341E889" w14:textId="77777777" w:rsidR="004D4D03" w:rsidRDefault="00D51EB7">
      <w:pPr>
        <w:sectPr w:rsidR="004D4D03" w:rsidSect="00F8727A">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8240" behindDoc="0" locked="0" layoutInCell="1" allowOverlap="1" wp14:anchorId="23B06B31" wp14:editId="420CF43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B4327" w14:textId="2C2D73B6" w:rsidR="00937B9F" w:rsidRDefault="00937B9F" w:rsidP="00050E71">
      <w:pPr>
        <w:pStyle w:val="Heading5"/>
      </w:pPr>
      <w:r>
        <w:lastRenderedPageBreak/>
        <w:t xml:space="preserve">Obtaining a Copy of 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p>
    <w:p w14:paraId="5B4C2567" w14:textId="2DC62CF3" w:rsidR="00937B9F" w:rsidRDefault="00937B9F" w:rsidP="006014A0">
      <w:pPr>
        <w:pStyle w:val="ParaPlain"/>
      </w:pPr>
      <w:r>
        <w:t xml:space="preserve">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is available on the Auditing and Assurance Standards Board (AUASB) website: www.auasb.gov.au</w:t>
      </w:r>
    </w:p>
    <w:p w14:paraId="1343D289" w14:textId="77777777" w:rsidR="00937B9F" w:rsidRDefault="00937B9F" w:rsidP="00050E71">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937B9F" w14:paraId="7064470D" w14:textId="77777777" w:rsidTr="00050E71">
        <w:tc>
          <w:tcPr>
            <w:tcW w:w="4536" w:type="dxa"/>
            <w:tcMar>
              <w:right w:w="28" w:type="dxa"/>
            </w:tcMar>
          </w:tcPr>
          <w:p w14:paraId="2BF09DC0" w14:textId="77777777" w:rsidR="00937B9F" w:rsidRDefault="00937B9F">
            <w:r>
              <w:t>Auditing and Assurance Standards Board</w:t>
            </w:r>
          </w:p>
          <w:p w14:paraId="48E08945" w14:textId="77777777" w:rsidR="00937B9F" w:rsidRDefault="00937B9F">
            <w:r>
              <w:t>Podium Level 14, 530 Collins Street</w:t>
            </w:r>
          </w:p>
          <w:p w14:paraId="68FEF095" w14:textId="77777777" w:rsidR="00937B9F" w:rsidRDefault="00937B9F">
            <w:r>
              <w:t>Melbourne   Victoria   3000</w:t>
            </w:r>
          </w:p>
          <w:p w14:paraId="17608023" w14:textId="77777777" w:rsidR="00937B9F" w:rsidRDefault="00937B9F">
            <w:r>
              <w:t>AUSTRALIA</w:t>
            </w:r>
          </w:p>
        </w:tc>
        <w:tc>
          <w:tcPr>
            <w:tcW w:w="4536" w:type="dxa"/>
          </w:tcPr>
          <w:p w14:paraId="6C2089CA" w14:textId="77777777" w:rsidR="00937B9F" w:rsidRDefault="00937B9F">
            <w:pPr>
              <w:tabs>
                <w:tab w:val="left" w:pos="743"/>
              </w:tabs>
            </w:pPr>
            <w:r>
              <w:t>Phone:</w:t>
            </w:r>
            <w:r>
              <w:tab/>
              <w:t>(03) 8080 7400</w:t>
            </w:r>
          </w:p>
          <w:p w14:paraId="37530ABC" w14:textId="77777777" w:rsidR="00937B9F" w:rsidRDefault="00937B9F">
            <w:pPr>
              <w:tabs>
                <w:tab w:val="left" w:pos="743"/>
              </w:tabs>
            </w:pPr>
            <w:r>
              <w:t>E-mail:</w:t>
            </w:r>
            <w:r>
              <w:tab/>
              <w:t>enquiries@auasb.gov.au</w:t>
            </w:r>
          </w:p>
          <w:p w14:paraId="07CFADFC" w14:textId="77777777" w:rsidR="00937B9F" w:rsidRDefault="00937B9F" w:rsidP="00050E71">
            <w:pPr>
              <w:spacing w:before="240"/>
              <w:rPr>
                <w:b/>
                <w:bCs/>
              </w:rPr>
            </w:pPr>
            <w:r>
              <w:rPr>
                <w:b/>
                <w:bCs/>
              </w:rPr>
              <w:t>Postal Address:</w:t>
            </w:r>
          </w:p>
          <w:p w14:paraId="45524E4D" w14:textId="77777777" w:rsidR="00937B9F" w:rsidRDefault="00937B9F">
            <w:r>
              <w:t>PO Box 204, Collins Street West</w:t>
            </w:r>
          </w:p>
          <w:p w14:paraId="0192AAD5" w14:textId="77777777" w:rsidR="00937B9F" w:rsidRDefault="00937B9F">
            <w:r>
              <w:t>Melbourne   Victoria   8007</w:t>
            </w:r>
          </w:p>
          <w:p w14:paraId="72B04C19" w14:textId="77777777" w:rsidR="00937B9F" w:rsidRDefault="00937B9F">
            <w:r>
              <w:t>AUSTRALIA</w:t>
            </w:r>
          </w:p>
        </w:tc>
      </w:tr>
    </w:tbl>
    <w:p w14:paraId="5206BFB9" w14:textId="77777777" w:rsidR="00937B9F" w:rsidRDefault="00937B9F" w:rsidP="00050E71">
      <w:pPr>
        <w:pStyle w:val="Heading5"/>
        <w:spacing w:before="6840" w:after="240"/>
      </w:pPr>
      <w:r>
        <w:t>COPYRIGHT</w:t>
      </w:r>
    </w:p>
    <w:p w14:paraId="67F5FBBD" w14:textId="32CB2F6A" w:rsidR="00937B9F" w:rsidRPr="00F740E2" w:rsidRDefault="00937B9F">
      <w:pPr>
        <w:pStyle w:val="ParaPlain"/>
        <w:rPr>
          <w:sz w:val="18"/>
          <w:szCs w:val="18"/>
        </w:rPr>
      </w:pPr>
      <w:bookmarkStart w:id="6" w:name="CopyrightNoIntl"/>
      <w:r w:rsidRPr="00F740E2">
        <w:rPr>
          <w:sz w:val="18"/>
          <w:szCs w:val="18"/>
        </w:rPr>
        <w:t xml:space="preserve">© </w:t>
      </w:r>
      <w:bookmarkStart w:id="7" w:name="Year"/>
      <w:r>
        <w:rPr>
          <w:sz w:val="18"/>
          <w:szCs w:val="18"/>
        </w:rPr>
        <w:t>2021</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w:t>
      </w:r>
      <w:proofErr w:type="gramStart"/>
      <w:r w:rsidRPr="00F740E2">
        <w:rPr>
          <w:sz w:val="18"/>
          <w:szCs w:val="18"/>
        </w:rPr>
        <w:t>graphics</w:t>
      </w:r>
      <w:proofErr w:type="gramEnd"/>
      <w:r w:rsidRPr="00F740E2">
        <w:rPr>
          <w:sz w:val="18"/>
          <w:szCs w:val="18"/>
        </w:rPr>
        <w:t xml:space="preserve">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D81217" w:rsidRPr="00D81217">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14:paraId="62C77233" w14:textId="77E623B5" w:rsidR="00937B9F" w:rsidRPr="00F740E2" w:rsidRDefault="00937B9F">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D81217" w:rsidRPr="00D81217">
        <w:rPr>
          <w:sz w:val="18"/>
          <w:szCs w:val="18"/>
        </w:rPr>
        <w:t>Auditing Standard</w:t>
      </w:r>
      <w:r w:rsidRPr="00F740E2">
        <w:rPr>
          <w:sz w:val="18"/>
          <w:szCs w:val="18"/>
        </w:rPr>
        <w:fldChar w:fldCharType="end"/>
      </w:r>
      <w:r w:rsidRPr="00F740E2">
        <w:rPr>
          <w:sz w:val="18"/>
          <w:szCs w:val="18"/>
        </w:rPr>
        <w:t xml:space="preserve"> may be reproduced, </w:t>
      </w:r>
      <w:proofErr w:type="gramStart"/>
      <w:r w:rsidRPr="00F740E2">
        <w:rPr>
          <w:sz w:val="18"/>
          <w:szCs w:val="18"/>
        </w:rPr>
        <w:t>stored</w:t>
      </w:r>
      <w:proofErr w:type="gramEnd"/>
      <w:r w:rsidRPr="00F740E2">
        <w:rPr>
          <w:sz w:val="18"/>
          <w:szCs w:val="18"/>
        </w:rPr>
        <w:t xml:space="preserve"> or transmitted in any form or by any means without the prior written permission of the AUASB except as permitted by law.</w:t>
      </w:r>
    </w:p>
    <w:bookmarkEnd w:id="6"/>
    <w:p w14:paraId="5C289523" w14:textId="2CE9EBC2" w:rsidR="004D4D03" w:rsidRDefault="004D4D03">
      <w:r>
        <w:t xml:space="preserve">ISSN </w:t>
      </w:r>
      <w:bookmarkStart w:id="10" w:name="ISSN"/>
      <w:r w:rsidR="00937B9F">
        <w:t>1833-4393</w:t>
      </w:r>
      <w:bookmarkEnd w:id="10"/>
    </w:p>
    <w:p w14:paraId="1BEE4F6F" w14:textId="77777777" w:rsidR="004D4D03" w:rsidRDefault="004D4D03" w:rsidP="00FC6D4D">
      <w:pPr>
        <w:pStyle w:val="Heading1"/>
        <w:keepNext w:val="0"/>
        <w:pageBreakBefore/>
      </w:pPr>
      <w:r>
        <w:lastRenderedPageBreak/>
        <w:t>CONTENTS</w:t>
      </w:r>
    </w:p>
    <w:p w14:paraId="206A287F" w14:textId="77777777" w:rsidR="00470C0A" w:rsidRDefault="00470C0A" w:rsidP="00470C0A">
      <w:pPr>
        <w:pStyle w:val="ParaPlain"/>
      </w:pPr>
      <w:r>
        <w:t>PREFACE</w:t>
      </w:r>
    </w:p>
    <w:p w14:paraId="23A05B71" w14:textId="77777777" w:rsidR="004D4D03" w:rsidRDefault="004D4D03" w:rsidP="00935036">
      <w:pPr>
        <w:pStyle w:val="ParaPlain"/>
      </w:pPr>
      <w:r>
        <w:t>AUTHORITY STATEMENT</w:t>
      </w:r>
    </w:p>
    <w:p w14:paraId="59E0C695" w14:textId="7C727A37"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D81217">
        <w:t>AUDITING</w:t>
      </w:r>
      <w:r>
        <w:fldChar w:fldCharType="end"/>
      </w:r>
    </w:p>
    <w:p w14:paraId="1F2F1560" w14:textId="77777777" w:rsidR="004D4D03" w:rsidRDefault="004D4D03" w:rsidP="00231133">
      <w:pPr>
        <w:jc w:val="right"/>
        <w:rPr>
          <w:i/>
          <w:iCs/>
        </w:rPr>
      </w:pPr>
      <w:r>
        <w:rPr>
          <w:i/>
          <w:iCs/>
        </w:rPr>
        <w:t>Paragraphs</w:t>
      </w:r>
    </w:p>
    <w:p w14:paraId="6967F881" w14:textId="430007BB" w:rsidR="003439DB" w:rsidRDefault="003439DB" w:rsidP="003439DB">
      <w:pPr>
        <w:pStyle w:val="TOC2"/>
      </w:pPr>
      <w:bookmarkStart w:id="11" w:name="TOCRange"/>
      <w:r w:rsidRPr="003439DB">
        <w:rPr>
          <w:b/>
        </w:rPr>
        <w:t>Application</w:t>
      </w:r>
      <w:r>
        <w:tab/>
        <w:t>1-2</w:t>
      </w:r>
    </w:p>
    <w:p w14:paraId="4B7CE102" w14:textId="632B8127" w:rsidR="003439DB" w:rsidRDefault="003439DB" w:rsidP="003439DB">
      <w:pPr>
        <w:pStyle w:val="TOC2"/>
      </w:pPr>
      <w:r w:rsidRPr="003439DB">
        <w:rPr>
          <w:b/>
        </w:rPr>
        <w:t>Operative Date</w:t>
      </w:r>
      <w:r>
        <w:tab/>
        <w:t>3</w:t>
      </w:r>
    </w:p>
    <w:p w14:paraId="38C282D5" w14:textId="7346FEC6" w:rsidR="003439DB" w:rsidRDefault="003439DB" w:rsidP="003439DB">
      <w:pPr>
        <w:pStyle w:val="TOC2"/>
      </w:pPr>
      <w:r w:rsidRPr="003439DB">
        <w:rPr>
          <w:b/>
        </w:rPr>
        <w:t>Introduction</w:t>
      </w:r>
    </w:p>
    <w:p w14:paraId="45BF363E" w14:textId="77777777" w:rsidR="003439DB" w:rsidRDefault="003439DB" w:rsidP="003439DB">
      <w:pPr>
        <w:pStyle w:val="TOC2"/>
      </w:pPr>
      <w:r>
        <w:t>Scope of this Auditing Standard</w:t>
      </w:r>
      <w:r>
        <w:tab/>
        <w:t>4</w:t>
      </w:r>
    </w:p>
    <w:p w14:paraId="750429DE" w14:textId="3A9AB3EA" w:rsidR="003439DB" w:rsidRDefault="003439DB" w:rsidP="003439DB">
      <w:pPr>
        <w:pStyle w:val="TOC2"/>
      </w:pPr>
      <w:r w:rsidRPr="003439DB">
        <w:rPr>
          <w:b/>
        </w:rPr>
        <w:t>Objective</w:t>
      </w:r>
      <w:r>
        <w:tab/>
        <w:t>5</w:t>
      </w:r>
    </w:p>
    <w:p w14:paraId="5F0B4B11" w14:textId="5C9BDE46" w:rsidR="003439DB" w:rsidRDefault="003439DB" w:rsidP="003439DB">
      <w:pPr>
        <w:pStyle w:val="TOC2"/>
      </w:pPr>
      <w:r w:rsidRPr="003439DB">
        <w:rPr>
          <w:b/>
        </w:rPr>
        <w:t>Definition</w:t>
      </w:r>
      <w:r>
        <w:tab/>
        <w:t>6</w:t>
      </w:r>
    </w:p>
    <w:p w14:paraId="25EC2645" w14:textId="560DA2DD" w:rsidR="003439DB" w:rsidRDefault="003439DB" w:rsidP="003439DB">
      <w:pPr>
        <w:pStyle w:val="TOC2"/>
      </w:pPr>
      <w:r w:rsidRPr="003439DB">
        <w:rPr>
          <w:b/>
        </w:rPr>
        <w:t>Amendments to Auditing Standards</w:t>
      </w:r>
      <w:r>
        <w:tab/>
        <w:t>7-8</w:t>
      </w:r>
    </w:p>
    <w:p w14:paraId="5B3F86F2" w14:textId="77777777" w:rsidR="003439DB" w:rsidRDefault="003439DB" w:rsidP="003439DB">
      <w:pPr>
        <w:pStyle w:val="TOC2"/>
      </w:pPr>
      <w:r>
        <w:t>Amendments to ASA 101</w:t>
      </w:r>
      <w:r>
        <w:tab/>
        <w:t>9-11</w:t>
      </w:r>
    </w:p>
    <w:p w14:paraId="4BCFB4C4" w14:textId="77777777" w:rsidR="003439DB" w:rsidRDefault="003439DB" w:rsidP="003439DB">
      <w:pPr>
        <w:pStyle w:val="TOC2"/>
      </w:pPr>
      <w:r>
        <w:t>Amendments to ASA 200</w:t>
      </w:r>
      <w:r>
        <w:tab/>
        <w:t>12-17</w:t>
      </w:r>
    </w:p>
    <w:p w14:paraId="1631774B" w14:textId="77777777" w:rsidR="003439DB" w:rsidRDefault="003439DB" w:rsidP="003439DB">
      <w:pPr>
        <w:pStyle w:val="TOC2"/>
      </w:pPr>
      <w:r>
        <w:t>Amendments to ASA 240</w:t>
      </w:r>
      <w:r>
        <w:tab/>
        <w:t>18</w:t>
      </w:r>
    </w:p>
    <w:p w14:paraId="3F341B74" w14:textId="77777777" w:rsidR="003439DB" w:rsidRDefault="003439DB" w:rsidP="003439DB">
      <w:pPr>
        <w:pStyle w:val="TOC2"/>
      </w:pPr>
      <w:r>
        <w:t>Amendments to ASA 330</w:t>
      </w:r>
      <w:r>
        <w:tab/>
        <w:t>19</w:t>
      </w:r>
    </w:p>
    <w:p w14:paraId="2B782E03" w14:textId="77777777" w:rsidR="003439DB" w:rsidRDefault="003439DB" w:rsidP="003439DB">
      <w:pPr>
        <w:pStyle w:val="TOC2"/>
      </w:pPr>
      <w:r>
        <w:t>Amendments to ASA 502</w:t>
      </w:r>
      <w:r>
        <w:tab/>
        <w:t>20-21</w:t>
      </w:r>
    </w:p>
    <w:p w14:paraId="12691B20" w14:textId="77777777" w:rsidR="003439DB" w:rsidRDefault="003439DB" w:rsidP="003439DB">
      <w:pPr>
        <w:pStyle w:val="TOC2"/>
      </w:pPr>
      <w:r>
        <w:t>Amendments to ASA 540</w:t>
      </w:r>
      <w:r>
        <w:tab/>
        <w:t>22</w:t>
      </w:r>
    </w:p>
    <w:p w14:paraId="3A11A042" w14:textId="77777777" w:rsidR="003439DB" w:rsidRDefault="003439DB" w:rsidP="003439DB">
      <w:pPr>
        <w:pStyle w:val="TOC2"/>
      </w:pPr>
      <w:r>
        <w:t>Amendments to ASA 550</w:t>
      </w:r>
      <w:r>
        <w:tab/>
        <w:t>23</w:t>
      </w:r>
    </w:p>
    <w:p w14:paraId="4CCCB419" w14:textId="77777777" w:rsidR="003439DB" w:rsidRDefault="003439DB" w:rsidP="003439DB">
      <w:pPr>
        <w:pStyle w:val="TOC2"/>
      </w:pPr>
      <w:r>
        <w:t>Amendments to ASA 560</w:t>
      </w:r>
      <w:r>
        <w:tab/>
        <w:t>24</w:t>
      </w:r>
    </w:p>
    <w:p w14:paraId="21A6ACED" w14:textId="77777777" w:rsidR="003439DB" w:rsidRDefault="003439DB" w:rsidP="003439DB">
      <w:pPr>
        <w:pStyle w:val="TOC2"/>
      </w:pPr>
      <w:r>
        <w:t>Amendments to ASA 570</w:t>
      </w:r>
      <w:r>
        <w:tab/>
        <w:t>25</w:t>
      </w:r>
    </w:p>
    <w:p w14:paraId="706AA2EB" w14:textId="77777777" w:rsidR="003439DB" w:rsidRDefault="003439DB" w:rsidP="003439DB">
      <w:pPr>
        <w:pStyle w:val="TOC2"/>
      </w:pPr>
      <w:r>
        <w:t>Amendments to ASA 610</w:t>
      </w:r>
      <w:r>
        <w:tab/>
        <w:t>26-30</w:t>
      </w:r>
    </w:p>
    <w:p w14:paraId="7B69B115" w14:textId="77777777" w:rsidR="003439DB" w:rsidRDefault="003439DB" w:rsidP="003439DB">
      <w:pPr>
        <w:pStyle w:val="TOC2"/>
      </w:pPr>
      <w:r>
        <w:t>Amendments to ASA 620</w:t>
      </w:r>
      <w:r>
        <w:tab/>
        <w:t>31</w:t>
      </w:r>
    </w:p>
    <w:p w14:paraId="513CD231" w14:textId="77777777" w:rsidR="003439DB" w:rsidRDefault="003439DB" w:rsidP="003439DB">
      <w:pPr>
        <w:pStyle w:val="TOC2"/>
      </w:pPr>
      <w:r>
        <w:t>Amendments to ASA 710</w:t>
      </w:r>
      <w:r>
        <w:tab/>
        <w:t>32</w:t>
      </w:r>
    </w:p>
    <w:p w14:paraId="54E1DFA2" w14:textId="77777777" w:rsidR="003439DB" w:rsidRDefault="003439DB" w:rsidP="003439DB">
      <w:pPr>
        <w:pStyle w:val="TOC2"/>
      </w:pPr>
      <w:r>
        <w:t>Amendments to ASRE 2415</w:t>
      </w:r>
      <w:r>
        <w:tab/>
        <w:t>33</w:t>
      </w:r>
    </w:p>
    <w:bookmarkEnd w:id="11"/>
    <w:p w14:paraId="6C53D625" w14:textId="5152144E" w:rsidR="004D4D03" w:rsidRDefault="004D4D03" w:rsidP="00FC6D4D">
      <w:pPr>
        <w:pStyle w:val="ContentsItem"/>
      </w:pPr>
    </w:p>
    <w:p w14:paraId="674B3436" w14:textId="77777777" w:rsidR="00DD6627" w:rsidRDefault="00DD6627">
      <w:pPr>
        <w:pStyle w:val="ContentsItem"/>
      </w:pPr>
    </w:p>
    <w:p w14:paraId="4B1EF5AD" w14:textId="77777777" w:rsidR="00237187" w:rsidRDefault="004D4D03" w:rsidP="00237187">
      <w:pPr>
        <w:pStyle w:val="ParaPlain"/>
      </w:pPr>
      <w:r>
        <w:br w:type="page"/>
      </w:r>
    </w:p>
    <w:p w14:paraId="7DC3C390" w14:textId="77777777" w:rsidR="00237187" w:rsidRDefault="00237187" w:rsidP="00237187">
      <w:pPr>
        <w:pStyle w:val="Heading1"/>
      </w:pPr>
      <w:r>
        <w:lastRenderedPageBreak/>
        <w:t>preface</w:t>
      </w:r>
    </w:p>
    <w:p w14:paraId="5A3263B9" w14:textId="33A0912F" w:rsidR="00237187" w:rsidRDefault="004D3084" w:rsidP="004D3084">
      <w:pPr>
        <w:pStyle w:val="Heading4"/>
      </w:pPr>
      <w:r>
        <w:t xml:space="preserve">Reasons for Issuing </w:t>
      </w:r>
      <w:r w:rsidR="00B0185F">
        <w:fldChar w:fldCharType="begin" w:fldLock="1"/>
      </w:r>
      <w:r w:rsidR="00B0185F">
        <w:instrText xml:space="preserve"> REF DocType \* charformat \* MERGEFORMAT </w:instrText>
      </w:r>
      <w:r w:rsidR="00B0185F">
        <w:fldChar w:fldCharType="separate"/>
      </w:r>
      <w:r w:rsidR="00D81217" w:rsidRPr="00D81217">
        <w:t>ASA</w:t>
      </w:r>
      <w:r w:rsidR="00B0185F">
        <w:fldChar w:fldCharType="end"/>
      </w:r>
      <w:r>
        <w:t xml:space="preserve"> </w:t>
      </w:r>
      <w:r>
        <w:fldChar w:fldCharType="begin" w:fldLock="1"/>
      </w:r>
      <w:r w:rsidR="00937B9F">
        <w:instrText>DocNo \* charformat</w:instrText>
      </w:r>
      <w:r>
        <w:fldChar w:fldCharType="separate"/>
      </w:r>
      <w:r w:rsidR="00D81217" w:rsidRPr="00D81217">
        <w:t>2021-5</w:t>
      </w:r>
      <w:r>
        <w:fldChar w:fldCharType="end"/>
      </w:r>
    </w:p>
    <w:p w14:paraId="5A288626" w14:textId="032F68BD" w:rsidR="00766217" w:rsidRDefault="00766217" w:rsidP="004D3084">
      <w:pPr>
        <w:pStyle w:val="ParaPlain"/>
      </w:pPr>
      <w:r>
        <w:t>The A</w:t>
      </w:r>
      <w:bookmarkStart w:id="12" w:name="CorpsAct"/>
      <w:bookmarkEnd w:id="12"/>
      <w:r>
        <w:t>UASB</w:t>
      </w:r>
      <w:r w:rsidR="00937B9F">
        <w:t xml:space="preserve"> issues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w:t>
      </w:r>
      <w:r w:rsidR="00B0185F">
        <w:fldChar w:fldCharType="begin" w:fldLock="1"/>
      </w:r>
      <w:r w:rsidR="00B0185F">
        <w:instrText xml:space="preserve"> REF DocType \* charformat </w:instrText>
      </w:r>
      <w:r w:rsidR="00B0185F">
        <w:fldChar w:fldCharType="separate"/>
      </w:r>
      <w:r w:rsidR="00D81217" w:rsidRPr="00D81217">
        <w:t>ASA</w:t>
      </w:r>
      <w:r w:rsidR="00B0185F">
        <w:fldChar w:fldCharType="end"/>
      </w:r>
      <w:r>
        <w:t> </w:t>
      </w:r>
      <w:r w:rsidR="00B0185F">
        <w:fldChar w:fldCharType="begin" w:fldLock="1"/>
      </w:r>
      <w:r w:rsidR="00B0185F">
        <w:instrText xml:space="preserve"> REF DocNo \* charformat </w:instrText>
      </w:r>
      <w:r w:rsidR="00B0185F">
        <w:fldChar w:fldCharType="separate"/>
      </w:r>
      <w:r w:rsidR="00D81217" w:rsidRPr="00D81217">
        <w:t>2021-5</w:t>
      </w:r>
      <w:r w:rsidR="00B0185F">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D81217" w:rsidRPr="00D81217">
        <w:rPr>
          <w:i/>
        </w:rPr>
        <w:t>Amendments to Australian Auditing Standards</w:t>
      </w:r>
      <w:r w:rsidRPr="001133B4">
        <w:rPr>
          <w:i/>
        </w:rPr>
        <w:fldChar w:fldCharType="end"/>
      </w:r>
      <w:r>
        <w:t xml:space="preserve"> pursuant to the requirements of the legislative provisions and the Strategic Direction explained below.</w:t>
      </w:r>
    </w:p>
    <w:p w14:paraId="5FAF46C1" w14:textId="77777777" w:rsidR="00766217" w:rsidRPr="004D3084" w:rsidRDefault="00766217" w:rsidP="004D3084">
      <w:pPr>
        <w:pStyle w:val="ParaPlain"/>
      </w:pPr>
      <w:r>
        <w:t xml:space="preserve">The AUASB is a </w:t>
      </w:r>
      <w:proofErr w:type="spellStart"/>
      <w:r>
        <w:t>non corporate</w:t>
      </w:r>
      <w:proofErr w:type="spellEnd"/>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w:t>
      </w:r>
    </w:p>
    <w:p w14:paraId="623A49FB" w14:textId="77777777" w:rsidR="00766217" w:rsidRDefault="00766217"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7135034A" w14:textId="3C532A12" w:rsidR="00FB492A" w:rsidRDefault="00937B9F" w:rsidP="00417D52">
      <w:pPr>
        <w:pStyle w:val="Heading4"/>
        <w:keepNext w:val="0"/>
      </w:pPr>
      <w:r>
        <w:t>Main Features</w:t>
      </w:r>
    </w:p>
    <w:p w14:paraId="19CC174F" w14:textId="617B747B" w:rsidR="00F96FD6" w:rsidRDefault="00937B9F" w:rsidP="00F96FD6">
      <w:pPr>
        <w:pStyle w:val="ParaPlain"/>
      </w:pPr>
      <w:r w:rsidRPr="005F4DCA">
        <w:t xml:space="preserve">This </w:t>
      </w:r>
      <w:r w:rsidR="0046624A" w:rsidRPr="005F4DCA">
        <w:fldChar w:fldCharType="begin" w:fldLock="1"/>
      </w:r>
      <w:r w:rsidR="0046624A" w:rsidRPr="005F4DCA">
        <w:instrText xml:space="preserve"> REF DocTypeLong \* charformat </w:instrText>
      </w:r>
      <w:r w:rsidR="005F4DCA">
        <w:instrText xml:space="preserve"> \* MERGEFORMAT </w:instrText>
      </w:r>
      <w:r w:rsidR="0046624A" w:rsidRPr="005F4DCA">
        <w:fldChar w:fldCharType="separate"/>
      </w:r>
      <w:r w:rsidR="00D81217" w:rsidRPr="005F4DCA">
        <w:t>Auditing Standard</w:t>
      </w:r>
      <w:r w:rsidR="0046624A" w:rsidRPr="005F4DCA">
        <w:fldChar w:fldCharType="end"/>
      </w:r>
      <w:r w:rsidR="00F96FD6" w:rsidRPr="005F4DCA">
        <w:t xml:space="preserve"> makes amendments to the </w:t>
      </w:r>
      <w:r w:rsidR="005078D3" w:rsidRPr="0097683C">
        <w:t xml:space="preserve">requirements and application &amp; other explanatory material </w:t>
      </w:r>
      <w:r w:rsidR="005078D3" w:rsidRPr="005F4DCA">
        <w:t xml:space="preserve">of the following </w:t>
      </w:r>
      <w:r w:rsidR="00F96FD6" w:rsidRPr="005F4DCA">
        <w:t xml:space="preserve">Auditing </w:t>
      </w:r>
      <w:bookmarkStart w:id="13" w:name="Plural1"/>
      <w:r w:rsidR="00D81217" w:rsidRPr="0012539A">
        <w:t>Standards</w:t>
      </w:r>
      <w:bookmarkEnd w:id="13"/>
      <w:r w:rsidR="00F96FD6" w:rsidRPr="0012539A">
        <w:t>:</w:t>
      </w:r>
    </w:p>
    <w:p w14:paraId="221EF5AB" w14:textId="380422C4" w:rsidR="00D81217" w:rsidRDefault="00D81217" w:rsidP="00C453E0">
      <w:pPr>
        <w:pStyle w:val="AusParaLevel1"/>
        <w:spacing w:after="120"/>
      </w:pPr>
      <w:bookmarkStart w:id="14" w:name="AmendListPreface"/>
      <w:r>
        <w:t>ASA 101</w:t>
      </w:r>
      <w:r>
        <w:tab/>
      </w:r>
      <w:r w:rsidRPr="00D81217">
        <w:rPr>
          <w:i/>
        </w:rPr>
        <w:t>Preamble to AUASB Standards</w:t>
      </w:r>
      <w:r>
        <w:t xml:space="preserve"> (</w:t>
      </w:r>
      <w:r w:rsidR="00B20288">
        <w:t xml:space="preserve">Issued </w:t>
      </w:r>
      <w:r>
        <w:t>7 September 2021)</w:t>
      </w:r>
    </w:p>
    <w:p w14:paraId="1DD286BB" w14:textId="03029D53" w:rsidR="00D81217" w:rsidRDefault="00D81217" w:rsidP="00C453E0">
      <w:pPr>
        <w:pStyle w:val="AusParaLevel1"/>
        <w:spacing w:after="120"/>
      </w:pPr>
      <w:r>
        <w:t>ASA 200</w:t>
      </w:r>
      <w:r>
        <w:tab/>
      </w:r>
      <w:r w:rsidRPr="00D81217">
        <w:rPr>
          <w:i/>
        </w:rPr>
        <w:t>Overall Objectives of the Independent Auditor and the Conduct of an Audit in Accordance with Australian Auditing Standards</w:t>
      </w:r>
      <w:r>
        <w:t xml:space="preserve"> (</w:t>
      </w:r>
      <w:r w:rsidR="00B20288">
        <w:t xml:space="preserve">Issued </w:t>
      </w:r>
      <w:r>
        <w:t>27 October 2009</w:t>
      </w:r>
      <w:r w:rsidR="00B20288">
        <w:t xml:space="preserve"> and amended to </w:t>
      </w:r>
      <w:r w:rsidR="00670F1D">
        <w:t>7 September 2021</w:t>
      </w:r>
      <w:r>
        <w:t>)</w:t>
      </w:r>
    </w:p>
    <w:p w14:paraId="447FA74C" w14:textId="23DCA5BA" w:rsidR="00D81217" w:rsidRDefault="00D81217" w:rsidP="00C453E0">
      <w:pPr>
        <w:pStyle w:val="AusParaLevel1"/>
        <w:spacing w:after="120"/>
      </w:pPr>
      <w:r>
        <w:t>ASA 240</w:t>
      </w:r>
      <w:r>
        <w:tab/>
      </w:r>
      <w:r w:rsidRPr="00D81217">
        <w:rPr>
          <w:i/>
        </w:rPr>
        <w:t>The Auditor's Responsibilities Relating to Fraud in an Audit of a Financial Report</w:t>
      </w:r>
      <w:r>
        <w:t xml:space="preserve"> (</w:t>
      </w:r>
      <w:r w:rsidR="00474FB1">
        <w:t xml:space="preserve">Issued </w:t>
      </w:r>
      <w:r>
        <w:t>27 October 2009</w:t>
      </w:r>
      <w:r w:rsidR="00474FB1">
        <w:t xml:space="preserve"> and amended to 30 June 2020</w:t>
      </w:r>
      <w:r>
        <w:t>)</w:t>
      </w:r>
    </w:p>
    <w:p w14:paraId="2D0EE379" w14:textId="47B71347" w:rsidR="00D81217" w:rsidRDefault="00D81217" w:rsidP="00C453E0">
      <w:pPr>
        <w:pStyle w:val="AusParaLevel1"/>
        <w:spacing w:after="120"/>
      </w:pPr>
      <w:r>
        <w:t>ASA 330</w:t>
      </w:r>
      <w:r>
        <w:tab/>
      </w:r>
      <w:r w:rsidRPr="00D81217">
        <w:rPr>
          <w:i/>
        </w:rPr>
        <w:t>The Auditor's Responses to Assessed Risks</w:t>
      </w:r>
      <w:r>
        <w:t xml:space="preserve"> (</w:t>
      </w:r>
      <w:r w:rsidR="00D96AE1">
        <w:t xml:space="preserve">Issued </w:t>
      </w:r>
      <w:r>
        <w:t>27 October 2009</w:t>
      </w:r>
      <w:r w:rsidR="00D96AE1">
        <w:t xml:space="preserve"> and amended to </w:t>
      </w:r>
      <w:r w:rsidR="005625B6">
        <w:t>1</w:t>
      </w:r>
      <w:r w:rsidR="008369A6">
        <w:t> </w:t>
      </w:r>
      <w:r w:rsidR="005625B6">
        <w:t>December 2015</w:t>
      </w:r>
      <w:r>
        <w:t>)</w:t>
      </w:r>
    </w:p>
    <w:p w14:paraId="556B696D" w14:textId="0E4DC2F8" w:rsidR="00404CDD" w:rsidRDefault="00404CDD" w:rsidP="00C453E0">
      <w:pPr>
        <w:pStyle w:val="AusParaLevel1"/>
        <w:spacing w:after="120"/>
      </w:pPr>
      <w:r>
        <w:t>ASA 502</w:t>
      </w:r>
      <w:r>
        <w:tab/>
      </w:r>
      <w:r w:rsidRPr="00404CDD">
        <w:rPr>
          <w:i/>
          <w:iCs/>
        </w:rPr>
        <w:t>Audit Evidence ─ Specific Considerations for Litigation and Claims</w:t>
      </w:r>
      <w:r>
        <w:t xml:space="preserve"> (Issued 27</w:t>
      </w:r>
      <w:r w:rsidR="001C6EC4">
        <w:t> </w:t>
      </w:r>
      <w:r>
        <w:t>October 2009 and amended to 1 July 2013)</w:t>
      </w:r>
    </w:p>
    <w:p w14:paraId="4A4C09E7" w14:textId="3F2C1DDD" w:rsidR="00D81217" w:rsidRDefault="00D81217" w:rsidP="00C453E0">
      <w:pPr>
        <w:pStyle w:val="AusParaLevel1"/>
        <w:spacing w:after="120"/>
      </w:pPr>
      <w:r>
        <w:t>ASA 540</w:t>
      </w:r>
      <w:r>
        <w:tab/>
      </w:r>
      <w:r w:rsidRPr="00D81217">
        <w:rPr>
          <w:i/>
        </w:rPr>
        <w:t>Auditing Accounting Estimates and Related Disclosures</w:t>
      </w:r>
      <w:r>
        <w:t xml:space="preserve"> (</w:t>
      </w:r>
      <w:r w:rsidR="008D4DBC">
        <w:t xml:space="preserve">Issued </w:t>
      </w:r>
      <w:r>
        <w:t>5 December 2018)</w:t>
      </w:r>
    </w:p>
    <w:p w14:paraId="71C45850" w14:textId="2DAAF662" w:rsidR="00D81217" w:rsidRDefault="00D81217" w:rsidP="00C453E0">
      <w:pPr>
        <w:pStyle w:val="AusParaLevel1"/>
        <w:spacing w:after="120"/>
      </w:pPr>
      <w:r>
        <w:t>ASA 550</w:t>
      </w:r>
      <w:r>
        <w:tab/>
      </w:r>
      <w:r w:rsidRPr="00D81217">
        <w:rPr>
          <w:i/>
        </w:rPr>
        <w:t>Related Parties</w:t>
      </w:r>
      <w:r>
        <w:t xml:space="preserve"> (</w:t>
      </w:r>
      <w:r w:rsidR="00535284">
        <w:t xml:space="preserve">Issued </w:t>
      </w:r>
      <w:r>
        <w:t>27 October 2009</w:t>
      </w:r>
      <w:r w:rsidR="00535284">
        <w:t xml:space="preserve"> and amended to 11 November 2013</w:t>
      </w:r>
      <w:r>
        <w:t>)</w:t>
      </w:r>
    </w:p>
    <w:p w14:paraId="161F82CE" w14:textId="3ED4A1A1" w:rsidR="00D81217" w:rsidRDefault="00D81217" w:rsidP="00C453E0">
      <w:pPr>
        <w:pStyle w:val="AusParaLevel1"/>
        <w:spacing w:after="120"/>
      </w:pPr>
      <w:r>
        <w:t>ASA 560</w:t>
      </w:r>
      <w:r>
        <w:tab/>
      </w:r>
      <w:r w:rsidRPr="00D81217">
        <w:rPr>
          <w:i/>
        </w:rPr>
        <w:t>Subsequent Events</w:t>
      </w:r>
      <w:r>
        <w:t xml:space="preserve"> (</w:t>
      </w:r>
      <w:r w:rsidR="002B36A3">
        <w:t xml:space="preserve">Issued </w:t>
      </w:r>
      <w:r>
        <w:t>27 October 2009</w:t>
      </w:r>
      <w:r w:rsidR="002B36A3">
        <w:t xml:space="preserve"> and amended to </w:t>
      </w:r>
      <w:r w:rsidR="00247422">
        <w:t>7 September 2021</w:t>
      </w:r>
      <w:r>
        <w:t>)</w:t>
      </w:r>
    </w:p>
    <w:p w14:paraId="7E497D51" w14:textId="6C8636EA" w:rsidR="006676E7" w:rsidRDefault="006676E7" w:rsidP="00C453E0">
      <w:pPr>
        <w:pStyle w:val="AusParaLevel1"/>
        <w:spacing w:after="120"/>
      </w:pPr>
      <w:r>
        <w:t>ASA 570</w:t>
      </w:r>
      <w:r>
        <w:tab/>
      </w:r>
      <w:r w:rsidRPr="007E5D00">
        <w:rPr>
          <w:i/>
          <w:iCs/>
        </w:rPr>
        <w:t>Going Concern</w:t>
      </w:r>
      <w:r>
        <w:t xml:space="preserve"> (Issued 1 December 2015 and amended to 30 June 2020)</w:t>
      </w:r>
    </w:p>
    <w:p w14:paraId="11D704A9" w14:textId="2C60695A" w:rsidR="00D81217" w:rsidRDefault="00D81217" w:rsidP="00C453E0">
      <w:pPr>
        <w:pStyle w:val="AusParaLevel1"/>
        <w:spacing w:after="120"/>
      </w:pPr>
      <w:r>
        <w:t>ASA 610</w:t>
      </w:r>
      <w:r>
        <w:tab/>
      </w:r>
      <w:r w:rsidRPr="00D81217">
        <w:rPr>
          <w:i/>
        </w:rPr>
        <w:t>Using the Work of Internal Auditors</w:t>
      </w:r>
      <w:r>
        <w:t xml:space="preserve"> (</w:t>
      </w:r>
      <w:r w:rsidR="001A5A4A">
        <w:t xml:space="preserve">Issued </w:t>
      </w:r>
      <w:r>
        <w:t>11 November 2013)</w:t>
      </w:r>
    </w:p>
    <w:p w14:paraId="584F72B1" w14:textId="1E279ACE" w:rsidR="00D81217" w:rsidRDefault="00D81217" w:rsidP="00C453E0">
      <w:pPr>
        <w:pStyle w:val="AusParaLevel1"/>
        <w:spacing w:after="120"/>
      </w:pPr>
      <w:r>
        <w:t>ASA 620</w:t>
      </w:r>
      <w:r>
        <w:tab/>
      </w:r>
      <w:r w:rsidRPr="00D81217">
        <w:rPr>
          <w:i/>
        </w:rPr>
        <w:t>Using the Work of an Auditor’s Expert</w:t>
      </w:r>
      <w:r>
        <w:t xml:space="preserve"> (</w:t>
      </w:r>
      <w:r w:rsidR="00F70C13">
        <w:t xml:space="preserve">Issued </w:t>
      </w:r>
      <w:r>
        <w:t>27 October 2009</w:t>
      </w:r>
      <w:r w:rsidR="00F70C13">
        <w:t xml:space="preserve"> and amended to 30 June 2020</w:t>
      </w:r>
      <w:r>
        <w:t>)</w:t>
      </w:r>
    </w:p>
    <w:p w14:paraId="21C00FAF" w14:textId="47417511" w:rsidR="00D81217" w:rsidRDefault="00D81217" w:rsidP="00C453E0">
      <w:pPr>
        <w:pStyle w:val="AusParaLevel1"/>
        <w:spacing w:after="120"/>
      </w:pPr>
      <w:r>
        <w:t>ASA 710</w:t>
      </w:r>
      <w:r>
        <w:tab/>
      </w:r>
      <w:r w:rsidRPr="00D81217">
        <w:rPr>
          <w:i/>
        </w:rPr>
        <w:t>Comparative Information-Corresponding Figures and Comparative Financial Reports</w:t>
      </w:r>
      <w:r>
        <w:t xml:space="preserve"> (</w:t>
      </w:r>
      <w:r w:rsidR="00AD051F">
        <w:t xml:space="preserve">Issued </w:t>
      </w:r>
      <w:r>
        <w:t>27 October 2009</w:t>
      </w:r>
      <w:r w:rsidR="00AD051F">
        <w:t xml:space="preserve"> and amended to 30 June 2020</w:t>
      </w:r>
      <w:r>
        <w:t>)</w:t>
      </w:r>
    </w:p>
    <w:p w14:paraId="50E2576D" w14:textId="100729BE" w:rsidR="009D2D2C" w:rsidRDefault="009D2D2C" w:rsidP="001B094E">
      <w:pPr>
        <w:pStyle w:val="AusParaLevel1"/>
      </w:pPr>
      <w:r>
        <w:t>ASRE 2415</w:t>
      </w:r>
      <w:r>
        <w:tab/>
      </w:r>
      <w:r w:rsidR="00DB1218" w:rsidRPr="00CA6452">
        <w:rPr>
          <w:i/>
          <w:iCs/>
        </w:rPr>
        <w:t>Review of a Financial Report: Company Limited by Guarantee or an Entity Reporting under the ACNC Act or Other Applicable Legislation or Regulation</w:t>
      </w:r>
      <w:r w:rsidR="00CB38E1">
        <w:t xml:space="preserve"> (Issued </w:t>
      </w:r>
      <w:r w:rsidR="00BF32A3">
        <w:t>30</w:t>
      </w:r>
      <w:r w:rsidR="00CA6452">
        <w:t> </w:t>
      </w:r>
      <w:r w:rsidR="00BF32A3">
        <w:t>June</w:t>
      </w:r>
      <w:r w:rsidR="00CA6452">
        <w:t xml:space="preserve"> 2010 </w:t>
      </w:r>
      <w:r w:rsidR="00BF32A3">
        <w:t xml:space="preserve">and amended to </w:t>
      </w:r>
      <w:r w:rsidR="00B2769C">
        <w:t>1 July 2013)</w:t>
      </w:r>
    </w:p>
    <w:bookmarkEnd w:id="14"/>
    <w:p w14:paraId="31FA1B42" w14:textId="45BBB717" w:rsidR="00AD0284" w:rsidRDefault="00B36814" w:rsidP="00AD0284">
      <w:pPr>
        <w:pStyle w:val="ParaPlain"/>
      </w:pPr>
      <w:r w:rsidRPr="00B36814">
        <w:t xml:space="preserve">The amendments </w:t>
      </w:r>
      <w:r w:rsidR="004A7111" w:rsidRPr="004A7111">
        <w:t>represent editorial corrections to revise minor inaccuracies, including misspellings and numbering or grammatical mistakes</w:t>
      </w:r>
      <w:r w:rsidRPr="00B36814">
        <w:t>.</w:t>
      </w:r>
    </w:p>
    <w:p w14:paraId="545F9655"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14:paraId="72171278" w14:textId="7A4ED72C" w:rsidR="00766217" w:rsidRDefault="00766217">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w:t>
      </w:r>
      <w:r w:rsidR="00B0185F">
        <w:fldChar w:fldCharType="begin" w:fldLock="1"/>
      </w:r>
      <w:r w:rsidR="00B0185F">
        <w:instrText xml:space="preserve"> REF DocType \* charformat </w:instrText>
      </w:r>
      <w:r w:rsidR="00B0185F">
        <w:fldChar w:fldCharType="separate"/>
      </w:r>
      <w:r w:rsidR="00D81217" w:rsidRPr="00D81217">
        <w:t>ASA</w:t>
      </w:r>
      <w:r w:rsidR="00B0185F">
        <w:fldChar w:fldCharType="end"/>
      </w:r>
      <w:r>
        <w:t> </w:t>
      </w:r>
      <w:r w:rsidR="00B0185F">
        <w:fldChar w:fldCharType="begin" w:fldLock="1"/>
      </w:r>
      <w:r w:rsidR="00B0185F">
        <w:instrText xml:space="preserve"> REF DocNo \* charformat </w:instrText>
      </w:r>
      <w:r w:rsidR="00B0185F">
        <w:fldChar w:fldCharType="separate"/>
      </w:r>
      <w:r w:rsidR="00D81217" w:rsidRPr="00D81217">
        <w:t>2021-5</w:t>
      </w:r>
      <w:r w:rsidR="00B0185F">
        <w:fldChar w:fldCharType="end"/>
      </w:r>
      <w:r>
        <w:t xml:space="preserve"> </w:t>
      </w:r>
      <w:r>
        <w:rPr>
          <w:i/>
          <w:iCs/>
        </w:rPr>
        <w:fldChar w:fldCharType="begin" w:fldLock="1"/>
      </w:r>
      <w:r>
        <w:rPr>
          <w:i/>
          <w:iCs/>
        </w:rPr>
        <w:instrText xml:space="preserve"> REF DocTitle \* charformat </w:instrText>
      </w:r>
      <w:r>
        <w:rPr>
          <w:i/>
          <w:iCs/>
        </w:rPr>
        <w:fldChar w:fldCharType="separate"/>
      </w:r>
      <w:r w:rsidR="00D81217" w:rsidRPr="00D81217">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088DEAC8" w14:textId="2E537664" w:rsidR="00937B9F" w:rsidRDefault="00937B9F" w:rsidP="00050E71">
      <w:pPr>
        <w:pStyle w:val="ParaPlain"/>
        <w:tabs>
          <w:tab w:val="right" w:pos="9072"/>
        </w:tabs>
        <w:spacing w:before="1800"/>
      </w:pPr>
      <w:r>
        <w:t>Dated</w:t>
      </w:r>
      <w:r w:rsidRPr="00E17D5F">
        <w:t>:</w:t>
      </w:r>
      <w:bookmarkStart w:id="16" w:name="MakeDate"/>
      <w:r w:rsidRPr="00E17D5F">
        <w:t xml:space="preserve"> </w:t>
      </w:r>
      <w:bookmarkEnd w:id="16"/>
      <w:r w:rsidR="00FB5650" w:rsidRPr="00E17D5F">
        <w:t>5</w:t>
      </w:r>
      <w:r w:rsidR="006E1141" w:rsidRPr="00E17D5F">
        <w:t xml:space="preserve"> </w:t>
      </w:r>
      <w:r w:rsidR="00F151DD" w:rsidRPr="00E17D5F">
        <w:t>Novem</w:t>
      </w:r>
      <w:r w:rsidR="006E1141" w:rsidRPr="00E17D5F">
        <w:t>ber 2021</w:t>
      </w:r>
      <w:r w:rsidR="006E1141">
        <w:t xml:space="preserve"> </w:t>
      </w:r>
      <w:r>
        <w:tab/>
      </w:r>
      <w:r w:rsidR="006E1141">
        <w:t>W R Edge</w:t>
      </w:r>
      <w:r>
        <w:br/>
      </w:r>
      <w:r>
        <w:tab/>
        <w:t>Chair - AUASB</w:t>
      </w:r>
    </w:p>
    <w:p w14:paraId="154740A0" w14:textId="77777777" w:rsidR="00097BDA" w:rsidRDefault="00097BDA"/>
    <w:p w14:paraId="6986FD2F"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7" w:name="DocTypeIntlLong"/>
      <w:r w:rsidR="00766217">
        <w:t>Auditing</w:t>
      </w:r>
      <w:bookmarkEnd w:id="17"/>
    </w:p>
    <w:p w14:paraId="7AABE3B7" w14:textId="5735FE08" w:rsidR="00E9491E" w:rsidRDefault="00E9491E" w:rsidP="00050E71">
      <w:pPr>
        <w:pStyle w:val="ParaPlain"/>
      </w:pPr>
      <w:r>
        <w:t xml:space="preserve">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has been made for Australian legislative purposes and accordingly there is no equivalent International Standard on </w:t>
      </w:r>
      <w:r w:rsidR="00B0185F">
        <w:fldChar w:fldCharType="begin" w:fldLock="1"/>
      </w:r>
      <w:r w:rsidR="00B0185F">
        <w:instrText xml:space="preserve"> REF DocTypeIntlLong \* charfo</w:instrText>
      </w:r>
      <w:r w:rsidR="00B0185F">
        <w:instrText xml:space="preserve">rmat </w:instrText>
      </w:r>
      <w:r w:rsidR="00B0185F">
        <w:fldChar w:fldCharType="separate"/>
      </w:r>
      <w:r w:rsidR="00D81217">
        <w:t>Auditing</w:t>
      </w:r>
      <w:r w:rsidR="00B0185F">
        <w:fldChar w:fldCharType="end"/>
      </w:r>
      <w:r>
        <w:t xml:space="preserve"> (</w:t>
      </w:r>
      <w:bookmarkStart w:id="18" w:name="DocTypeIntl"/>
      <w:r w:rsidR="00766217">
        <w:t>ISA</w:t>
      </w:r>
      <w:bookmarkEnd w:id="18"/>
      <w:r>
        <w:t>) issued by the International Auditing and Assurance Standards Board (IAASB), an independent standard</w:t>
      </w:r>
      <w:r>
        <w:noBreakHyphen/>
        <w:t>setting board of the International Federation of Accountants (IFAC).</w:t>
      </w:r>
    </w:p>
    <w:p w14:paraId="2F4BD60C" w14:textId="77777777" w:rsidR="000010DD" w:rsidRDefault="000010DD"/>
    <w:p w14:paraId="0B5F59DD" w14:textId="77777777" w:rsidR="004D4D03" w:rsidRDefault="004D4D03">
      <w:pPr>
        <w:sectPr w:rsidR="004D4D03" w:rsidSect="00F8727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14:paraId="64071C0B" w14:textId="0A2FB6F1"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D81217" w:rsidRPr="00D81217">
        <w:t>Auditing Standard</w:t>
      </w:r>
      <w:r w:rsidRPr="003A5223">
        <w:fldChar w:fldCharType="end"/>
      </w:r>
      <w:r w:rsidR="00880310" w:rsidRPr="003A5223">
        <w:t xml:space="preserve"> </w:t>
      </w:r>
      <w:r w:rsidR="00B0185F">
        <w:fldChar w:fldCharType="begin" w:fldLock="1"/>
      </w:r>
      <w:r w:rsidR="00B0185F">
        <w:instrText xml:space="preserve"> REF DocType \* charformat </w:instrText>
      </w:r>
      <w:r w:rsidR="00B0185F">
        <w:fldChar w:fldCharType="separate"/>
      </w:r>
      <w:r w:rsidR="00D81217" w:rsidRPr="00D81217">
        <w:t>ASA</w:t>
      </w:r>
      <w:r w:rsidR="00B0185F">
        <w:fldChar w:fldCharType="end"/>
      </w:r>
      <w:r w:rsidR="00995437" w:rsidRPr="003A5223">
        <w:t> </w:t>
      </w:r>
      <w:r w:rsidR="00B0185F">
        <w:fldChar w:fldCharType="begin" w:fldLock="1"/>
      </w:r>
      <w:r w:rsidR="00B0185F">
        <w:instrText xml:space="preserve"> REF DocNo \* charformat </w:instrText>
      </w:r>
      <w:r w:rsidR="00B0185F">
        <w:fldChar w:fldCharType="separate"/>
      </w:r>
      <w:r w:rsidR="00D81217" w:rsidRPr="00D81217">
        <w:t>2021-5</w:t>
      </w:r>
      <w:r w:rsidR="00B0185F">
        <w:fldChar w:fldCharType="end"/>
      </w:r>
    </w:p>
    <w:p w14:paraId="7FCBCB00" w14:textId="770BE7AD" w:rsidR="004D4D03" w:rsidRDefault="00B0185F">
      <w:pPr>
        <w:pStyle w:val="Heading3"/>
      </w:pPr>
      <w:r>
        <w:fldChar w:fldCharType="begin" w:fldLock="1"/>
      </w:r>
      <w:r>
        <w:instrText xml:space="preserve"> REF DocTitle  \* charformat </w:instrText>
      </w:r>
      <w:r>
        <w:fldChar w:fldCharType="separate"/>
      </w:r>
      <w:r w:rsidR="00D81217">
        <w:t>Amendments to Australian Auditing Standards</w:t>
      </w:r>
      <w:r>
        <w:fldChar w:fldCharType="end"/>
      </w:r>
    </w:p>
    <w:p w14:paraId="4837CC9D" w14:textId="77777777" w:rsidR="004D4D03" w:rsidRDefault="00301C19">
      <w:pPr>
        <w:pStyle w:val="Heading5"/>
      </w:pPr>
      <w:bookmarkStart w:id="19" w:name="TOCStart"/>
      <w:bookmarkEnd w:id="19"/>
      <w:r>
        <w:t>Application</w:t>
      </w:r>
    </w:p>
    <w:p w14:paraId="1FB18891" w14:textId="77777777" w:rsidR="00766217" w:rsidRDefault="00766217" w:rsidP="00960A96">
      <w:pPr>
        <w:pStyle w:val="ParaLevel1"/>
      </w:pPr>
      <w:r>
        <w:t>This Auditing Standard applies to:</w:t>
      </w:r>
    </w:p>
    <w:p w14:paraId="78D0DADE" w14:textId="69FA96FC" w:rsidR="00766217" w:rsidRDefault="00766217" w:rsidP="00766217">
      <w:pPr>
        <w:pStyle w:val="ParaLevel2"/>
        <w:numPr>
          <w:ilvl w:val="0"/>
          <w:numId w:val="10"/>
        </w:numPr>
        <w:ind w:left="1418"/>
      </w:pPr>
      <w:r>
        <w:t xml:space="preserve">an audit </w:t>
      </w:r>
      <w:r w:rsidR="00DF6292">
        <w:t xml:space="preserve">or a review </w:t>
      </w:r>
      <w:r>
        <w:t xml:space="preserve">of a financial report for a financial year, or an audit </w:t>
      </w:r>
      <w:r w:rsidR="004570F8">
        <w:t xml:space="preserve">or a review </w:t>
      </w:r>
      <w:r>
        <w:t xml:space="preserve">of a financial report for a half-year, in accordance with the </w:t>
      </w:r>
      <w:r>
        <w:rPr>
          <w:i/>
        </w:rPr>
        <w:t>Corporations Act 2001</w:t>
      </w:r>
      <w:r>
        <w:t>; and</w:t>
      </w:r>
    </w:p>
    <w:p w14:paraId="7F697FB0" w14:textId="489C978B" w:rsidR="00766217" w:rsidRDefault="00766217" w:rsidP="00766217">
      <w:pPr>
        <w:pStyle w:val="ParaLevel2"/>
        <w:numPr>
          <w:ilvl w:val="0"/>
          <w:numId w:val="10"/>
        </w:numPr>
        <w:ind w:left="1418"/>
      </w:pPr>
      <w:r>
        <w:t xml:space="preserve">an audit </w:t>
      </w:r>
      <w:r w:rsidR="003E103A">
        <w:t xml:space="preserve">or a review </w:t>
      </w:r>
      <w:r>
        <w:t>of a financial report, or a complete set of financial statements, for any other purpose.</w:t>
      </w:r>
    </w:p>
    <w:p w14:paraId="0D548BAF" w14:textId="565D495A" w:rsidR="00766217" w:rsidRDefault="00766217" w:rsidP="00960A96">
      <w:pPr>
        <w:pStyle w:val="ParaLevel1"/>
      </w:pPr>
      <w:r>
        <w:t xml:space="preserve">This Auditing Standard also applies, as appropriate, to an audit </w:t>
      </w:r>
      <w:r w:rsidR="00DF6292">
        <w:t xml:space="preserve">or a review </w:t>
      </w:r>
      <w:r>
        <w:t>of other historical financial information.</w:t>
      </w:r>
    </w:p>
    <w:p w14:paraId="7F7F7F14" w14:textId="77777777" w:rsidR="004D4D03" w:rsidRDefault="0008431E">
      <w:pPr>
        <w:pStyle w:val="Heading5"/>
      </w:pPr>
      <w:r>
        <w:t>Operative</w:t>
      </w:r>
      <w:r w:rsidR="004D4D03">
        <w:t xml:space="preserve"> Date</w:t>
      </w:r>
    </w:p>
    <w:p w14:paraId="593B1F8B" w14:textId="0AAE4B0A" w:rsidR="00766217" w:rsidRPr="0097683C" w:rsidRDefault="00766217" w:rsidP="00960A96">
      <w:pPr>
        <w:pStyle w:val="ParaLevel1"/>
      </w:pPr>
      <w:r>
        <w:t xml:space="preserve">This </w:t>
      </w:r>
      <w:r w:rsidRPr="001E7BF0">
        <w:fldChar w:fldCharType="begin" w:fldLock="1"/>
      </w:r>
      <w:r w:rsidRPr="007354C1">
        <w:instrText xml:space="preserve"> REF DocTypeLong \* charformat</w:instrText>
      </w:r>
      <w:r w:rsidR="007354C1">
        <w:instrText xml:space="preserve"> \* MERGEFORMAT </w:instrText>
      </w:r>
      <w:r w:rsidRPr="001E7BF0">
        <w:fldChar w:fldCharType="separate"/>
      </w:r>
      <w:r w:rsidR="00D81217" w:rsidRPr="007354C1">
        <w:t>Auditing Standard</w:t>
      </w:r>
      <w:r w:rsidRPr="001E7BF0">
        <w:fldChar w:fldCharType="end"/>
      </w:r>
      <w:r>
        <w:t xml:space="preserve"> is operative for </w:t>
      </w:r>
      <w:bookmarkStart w:id="20" w:name="OpDateText"/>
      <w:r w:rsidR="00937B9F">
        <w:t>financial reporting periods commencing on or after</w:t>
      </w:r>
      <w:bookmarkEnd w:id="20"/>
      <w:r>
        <w:t xml:space="preserve"> </w:t>
      </w:r>
      <w:bookmarkStart w:id="21" w:name="OpDate"/>
      <w:r w:rsidR="00D81217" w:rsidRPr="0097683C">
        <w:t>15 December 2021</w:t>
      </w:r>
      <w:bookmarkEnd w:id="21"/>
      <w:r w:rsidRPr="0097683C">
        <w:t>.</w:t>
      </w:r>
    </w:p>
    <w:p w14:paraId="4C360C4F" w14:textId="77777777" w:rsidR="008809E8" w:rsidRPr="0008431E" w:rsidRDefault="008809E8" w:rsidP="0008431E">
      <w:pPr>
        <w:pStyle w:val="Heading5"/>
      </w:pPr>
      <w:r>
        <w:t>Introduction</w:t>
      </w:r>
    </w:p>
    <w:p w14:paraId="5083135B" w14:textId="5B816837" w:rsidR="0008431E" w:rsidRPr="0008431E" w:rsidRDefault="0008431E" w:rsidP="0008431E">
      <w:pPr>
        <w:pStyle w:val="Heading6"/>
      </w:pPr>
      <w:r>
        <w:t xml:space="preserve">Scope of this </w:t>
      </w:r>
      <w:r w:rsidRPr="001E7BF0">
        <w:fldChar w:fldCharType="begin" w:fldLock="1"/>
      </w:r>
      <w:r w:rsidRPr="007354C1">
        <w:instrText xml:space="preserve"> REF DocTypeLong \* charformat</w:instrText>
      </w:r>
      <w:r w:rsidR="007354C1">
        <w:instrText xml:space="preserve"> \* MERGEFORMAT </w:instrText>
      </w:r>
      <w:r w:rsidRPr="001E7BF0">
        <w:fldChar w:fldCharType="separate"/>
      </w:r>
      <w:r w:rsidR="00D81217" w:rsidRPr="007354C1">
        <w:t>Auditing Standard</w:t>
      </w:r>
      <w:r w:rsidRPr="001E7BF0">
        <w:fldChar w:fldCharType="end"/>
      </w:r>
    </w:p>
    <w:p w14:paraId="4F8A7009" w14:textId="09BF68C4" w:rsidR="008809E8" w:rsidRPr="00111C17" w:rsidRDefault="002E0D64" w:rsidP="002E0D64">
      <w:pPr>
        <w:pStyle w:val="ParaLevel1"/>
      </w:pPr>
      <w:r w:rsidRPr="00111C17">
        <w:t xml:space="preserve">This Auditing Standard makes amendments to Australian Auditing Standards. </w:t>
      </w:r>
      <w:r w:rsidR="00293C0B" w:rsidRPr="00293C0B">
        <w:t>The amendments represent editorial corrections to revise minor inaccuracies, including misspellings and numbering or grammatical mistakes</w:t>
      </w:r>
      <w:r w:rsidR="00346D63" w:rsidRPr="00111C17">
        <w:t xml:space="preserve">. </w:t>
      </w:r>
    </w:p>
    <w:p w14:paraId="0CF8EB47" w14:textId="77777777" w:rsidR="00F96FD6" w:rsidRDefault="00F96FD6" w:rsidP="00F96FD6">
      <w:pPr>
        <w:pStyle w:val="Heading5"/>
      </w:pPr>
      <w:r>
        <w:t>Objective</w:t>
      </w:r>
    </w:p>
    <w:p w14:paraId="4466CCBF" w14:textId="3661EA87" w:rsidR="00F96FD6" w:rsidRDefault="00F96FD6" w:rsidP="00F96FD6">
      <w:pPr>
        <w:pStyle w:val="ParaLevel1"/>
      </w:pPr>
      <w:r>
        <w:t xml:space="preserve">The objective of 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is to make amendments to the following Auditing </w:t>
      </w:r>
      <w:bookmarkStart w:id="22" w:name="Plural2"/>
      <w:r w:rsidR="00D81217">
        <w:t>Standards</w:t>
      </w:r>
      <w:bookmarkEnd w:id="22"/>
      <w:r>
        <w:t>:</w:t>
      </w:r>
    </w:p>
    <w:p w14:paraId="135BE553" w14:textId="3680DEC9" w:rsidR="00D81217" w:rsidRDefault="00D81217" w:rsidP="00F96FD6">
      <w:pPr>
        <w:pStyle w:val="ParaLevel2"/>
      </w:pPr>
      <w:bookmarkStart w:id="23" w:name="AmendList"/>
      <w:r>
        <w:t xml:space="preserve">ASA 101 </w:t>
      </w:r>
      <w:r w:rsidRPr="00D81217">
        <w:rPr>
          <w:i/>
        </w:rPr>
        <w:t>Preamble to AUASB Standards</w:t>
      </w:r>
      <w:r>
        <w:t xml:space="preserve"> (</w:t>
      </w:r>
      <w:r w:rsidR="001E7BF0">
        <w:t xml:space="preserve">Issued </w:t>
      </w:r>
      <w:r>
        <w:t>7 September 2021)</w:t>
      </w:r>
    </w:p>
    <w:p w14:paraId="14E9F394" w14:textId="3631F45B" w:rsidR="00D81217" w:rsidRDefault="00D81217" w:rsidP="00F96FD6">
      <w:pPr>
        <w:pStyle w:val="ParaLevel2"/>
      </w:pPr>
      <w:r>
        <w:t xml:space="preserve">ASA 200 </w:t>
      </w:r>
      <w:r w:rsidRPr="00D81217">
        <w:rPr>
          <w:i/>
        </w:rPr>
        <w:t>Overall Objectives of the Independent Auditor and the Conduct of an Audit in Accordance with Australian Auditing Standards</w:t>
      </w:r>
      <w:r>
        <w:t xml:space="preserve"> (</w:t>
      </w:r>
      <w:r w:rsidR="001E7BF0">
        <w:t xml:space="preserve">Issued </w:t>
      </w:r>
      <w:r>
        <w:t>27 October 2009</w:t>
      </w:r>
      <w:r w:rsidR="001E7BF0">
        <w:t xml:space="preserve"> and amended to 7 September 2021</w:t>
      </w:r>
      <w:r>
        <w:t>)</w:t>
      </w:r>
    </w:p>
    <w:p w14:paraId="4CA00085" w14:textId="1E69FF56" w:rsidR="00D81217" w:rsidRDefault="00D81217" w:rsidP="00F96FD6">
      <w:pPr>
        <w:pStyle w:val="ParaLevel2"/>
      </w:pPr>
      <w:r>
        <w:t xml:space="preserve">ASA 240 </w:t>
      </w:r>
      <w:r w:rsidRPr="00D81217">
        <w:rPr>
          <w:i/>
        </w:rPr>
        <w:t>The Auditor's Responsibilities Relating to Fraud in an Audit of a Financial Report</w:t>
      </w:r>
      <w:r>
        <w:t xml:space="preserve"> (</w:t>
      </w:r>
      <w:r w:rsidR="00DC33CB">
        <w:t xml:space="preserve">Issued </w:t>
      </w:r>
      <w:r>
        <w:t>27 October 2009</w:t>
      </w:r>
      <w:r w:rsidR="00DC33CB">
        <w:t xml:space="preserve"> and amended to 30 June 2020</w:t>
      </w:r>
      <w:r>
        <w:t>)</w:t>
      </w:r>
    </w:p>
    <w:p w14:paraId="1CB31F0F" w14:textId="3B889B33" w:rsidR="00D81217" w:rsidRDefault="00D81217" w:rsidP="00F96FD6">
      <w:pPr>
        <w:pStyle w:val="ParaLevel2"/>
      </w:pPr>
      <w:r>
        <w:t xml:space="preserve">ASA 330 </w:t>
      </w:r>
      <w:r w:rsidRPr="00D81217">
        <w:rPr>
          <w:i/>
        </w:rPr>
        <w:t>The Auditor's Responses to Assessed Risks</w:t>
      </w:r>
      <w:r>
        <w:t xml:space="preserve"> (</w:t>
      </w:r>
      <w:r w:rsidR="001C55D9">
        <w:t xml:space="preserve">Issued </w:t>
      </w:r>
      <w:r>
        <w:t>27 October 2009</w:t>
      </w:r>
      <w:r w:rsidR="001C55D9">
        <w:t xml:space="preserve"> and amended to 1 December 2015</w:t>
      </w:r>
      <w:r>
        <w:t>)</w:t>
      </w:r>
    </w:p>
    <w:p w14:paraId="5E55A79E" w14:textId="3C4B7981" w:rsidR="00404CDD" w:rsidRDefault="00404CDD" w:rsidP="00404CDD">
      <w:pPr>
        <w:pStyle w:val="ParaLevel2"/>
      </w:pPr>
      <w:r>
        <w:t xml:space="preserve">ASA 502 </w:t>
      </w:r>
      <w:r w:rsidRPr="00404CDD">
        <w:rPr>
          <w:i/>
          <w:iCs/>
        </w:rPr>
        <w:t>Audit Evidence ─ Specific Considerations for Litigation and Claims</w:t>
      </w:r>
      <w:r>
        <w:t xml:space="preserve"> (Issued 27 October 2009 and amended to 1 July 2013)</w:t>
      </w:r>
    </w:p>
    <w:p w14:paraId="12FBC9A3" w14:textId="058BC6C8" w:rsidR="00D81217" w:rsidRDefault="00D81217" w:rsidP="00F96FD6">
      <w:pPr>
        <w:pStyle w:val="ParaLevel2"/>
      </w:pPr>
      <w:r>
        <w:t xml:space="preserve">ASA 540 </w:t>
      </w:r>
      <w:r w:rsidRPr="00D81217">
        <w:rPr>
          <w:i/>
        </w:rPr>
        <w:t>Auditing Accounting Estimates and Related Disclosures</w:t>
      </w:r>
      <w:r>
        <w:t xml:space="preserve"> (</w:t>
      </w:r>
      <w:r w:rsidR="001C55D9">
        <w:t xml:space="preserve">Issued </w:t>
      </w:r>
      <w:r>
        <w:t>5 December 2018)</w:t>
      </w:r>
    </w:p>
    <w:p w14:paraId="7F434BF6" w14:textId="4AFC73FD" w:rsidR="00D81217" w:rsidRDefault="00D81217" w:rsidP="00F96FD6">
      <w:pPr>
        <w:pStyle w:val="ParaLevel2"/>
      </w:pPr>
      <w:r>
        <w:t xml:space="preserve">ASA 550 </w:t>
      </w:r>
      <w:r w:rsidRPr="00D81217">
        <w:rPr>
          <w:i/>
        </w:rPr>
        <w:t>Related Parties</w:t>
      </w:r>
      <w:r>
        <w:t xml:space="preserve"> (</w:t>
      </w:r>
      <w:r w:rsidR="00107B60">
        <w:t xml:space="preserve">Issued </w:t>
      </w:r>
      <w:r>
        <w:t>27 October 2009</w:t>
      </w:r>
      <w:r w:rsidR="004A1D7F">
        <w:t xml:space="preserve"> and amended to 11 November 2013</w:t>
      </w:r>
      <w:r>
        <w:t>)</w:t>
      </w:r>
    </w:p>
    <w:p w14:paraId="7356D25E" w14:textId="1656F1BB" w:rsidR="00D81217" w:rsidRDefault="00D81217" w:rsidP="00F96FD6">
      <w:pPr>
        <w:pStyle w:val="ParaLevel2"/>
      </w:pPr>
      <w:r>
        <w:t xml:space="preserve">ASA 560 </w:t>
      </w:r>
      <w:r w:rsidRPr="00D81217">
        <w:rPr>
          <w:i/>
        </w:rPr>
        <w:t>Subsequent Events</w:t>
      </w:r>
      <w:r>
        <w:t xml:space="preserve"> (</w:t>
      </w:r>
      <w:r w:rsidR="00212AF4">
        <w:t xml:space="preserve">Issued </w:t>
      </w:r>
      <w:r>
        <w:t>27 October 2009</w:t>
      </w:r>
      <w:r w:rsidR="00212AF4">
        <w:t xml:space="preserve"> and amended to 7 September 2021</w:t>
      </w:r>
      <w:r>
        <w:t>)</w:t>
      </w:r>
    </w:p>
    <w:p w14:paraId="208453D3" w14:textId="2F740E1A" w:rsidR="004C1B39" w:rsidRDefault="004C1B39" w:rsidP="00F96FD6">
      <w:pPr>
        <w:pStyle w:val="ParaLevel2"/>
      </w:pPr>
      <w:r>
        <w:lastRenderedPageBreak/>
        <w:t xml:space="preserve">ASA 570 </w:t>
      </w:r>
      <w:r w:rsidRPr="007E5D00">
        <w:rPr>
          <w:i/>
          <w:iCs/>
        </w:rPr>
        <w:t>Going Concern</w:t>
      </w:r>
      <w:r>
        <w:t xml:space="preserve"> (Issued 1 December 2015 and amended to 30 June 2020)</w:t>
      </w:r>
    </w:p>
    <w:p w14:paraId="4E9857F5" w14:textId="64071EA4" w:rsidR="00D81217" w:rsidRDefault="00D81217" w:rsidP="00F96FD6">
      <w:pPr>
        <w:pStyle w:val="ParaLevel2"/>
      </w:pPr>
      <w:r>
        <w:t xml:space="preserve">ASA 610 </w:t>
      </w:r>
      <w:r w:rsidRPr="00D81217">
        <w:rPr>
          <w:i/>
        </w:rPr>
        <w:t>Using the Work of Internal Auditors</w:t>
      </w:r>
      <w:r>
        <w:t xml:space="preserve"> (</w:t>
      </w:r>
      <w:r w:rsidR="000027CA">
        <w:t xml:space="preserve">Issued </w:t>
      </w:r>
      <w:r>
        <w:t>11 November 2013)</w:t>
      </w:r>
    </w:p>
    <w:p w14:paraId="6F826256" w14:textId="4D873D7A" w:rsidR="00D81217" w:rsidRDefault="00D81217" w:rsidP="00F96FD6">
      <w:pPr>
        <w:pStyle w:val="ParaLevel2"/>
      </w:pPr>
      <w:r>
        <w:t xml:space="preserve">ASA 620 </w:t>
      </w:r>
      <w:r w:rsidRPr="00D81217">
        <w:rPr>
          <w:i/>
        </w:rPr>
        <w:t>Using the Work of an Auditor’s Expert</w:t>
      </w:r>
      <w:r>
        <w:t xml:space="preserve"> (</w:t>
      </w:r>
      <w:r w:rsidR="00F91467">
        <w:t xml:space="preserve">Issued </w:t>
      </w:r>
      <w:r>
        <w:t>27 October 2009</w:t>
      </w:r>
      <w:r w:rsidR="00C14D64">
        <w:t xml:space="preserve"> and amended to 30 June 2020</w:t>
      </w:r>
      <w:r>
        <w:t>)</w:t>
      </w:r>
    </w:p>
    <w:p w14:paraId="61324BA5" w14:textId="5BA773FE" w:rsidR="00D81217" w:rsidRDefault="00D81217" w:rsidP="00F96FD6">
      <w:pPr>
        <w:pStyle w:val="ParaLevel2"/>
      </w:pPr>
      <w:r>
        <w:t xml:space="preserve">ASA 710 </w:t>
      </w:r>
      <w:r w:rsidRPr="00D81217">
        <w:rPr>
          <w:i/>
        </w:rPr>
        <w:t>Comparative Information-Corresponding Figures and Comparative Financial Reports</w:t>
      </w:r>
      <w:r>
        <w:t xml:space="preserve"> (</w:t>
      </w:r>
      <w:r w:rsidR="00C14D64">
        <w:t xml:space="preserve">Issued </w:t>
      </w:r>
      <w:r>
        <w:t>27 October 2009</w:t>
      </w:r>
      <w:r w:rsidR="00C14D64">
        <w:t xml:space="preserve"> and amended to 30 June 2020</w:t>
      </w:r>
      <w:r>
        <w:t>)</w:t>
      </w:r>
    </w:p>
    <w:bookmarkEnd w:id="23"/>
    <w:p w14:paraId="233D4CD4" w14:textId="293F62FA" w:rsidR="00D20EC7" w:rsidRDefault="00D20EC7" w:rsidP="00F96FD6">
      <w:pPr>
        <w:pStyle w:val="ParaLevel2"/>
      </w:pPr>
      <w:r>
        <w:t xml:space="preserve">ASRE 2415 </w:t>
      </w:r>
      <w:r w:rsidR="007472FD">
        <w:rPr>
          <w:i/>
          <w:iCs/>
        </w:rPr>
        <w:t>Review of a Financial Report: Company Limited by Guarantee or an Entity Reporting under the ACNC Act or Other Applicable Legislation or Regulation</w:t>
      </w:r>
      <w:r w:rsidR="00A040E3">
        <w:t xml:space="preserve"> (Issued </w:t>
      </w:r>
      <w:r w:rsidR="0062124F">
        <w:t>30 June 2010 and amended to 1 July 2013)</w:t>
      </w:r>
    </w:p>
    <w:p w14:paraId="7009B13F" w14:textId="77777777" w:rsidR="00F96FD6" w:rsidRDefault="00F96FD6" w:rsidP="00F96FD6">
      <w:pPr>
        <w:pStyle w:val="Heading5"/>
      </w:pPr>
      <w:r>
        <w:t>Definition</w:t>
      </w:r>
    </w:p>
    <w:p w14:paraId="3EE1AFC7" w14:textId="44D4DA50" w:rsidR="00F96FD6" w:rsidRPr="00A840B3" w:rsidRDefault="00F96FD6" w:rsidP="00F96FD6">
      <w:pPr>
        <w:pStyle w:val="ParaLevel1"/>
      </w:pPr>
      <w:r>
        <w:t xml:space="preserve">For the purposes of 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the meanings of terms are set out in each Auditing Standard and in the </w:t>
      </w:r>
      <w:r w:rsidRPr="00A840B3">
        <w:rPr>
          <w:i/>
        </w:rPr>
        <w:t>AUASB Glossary</w:t>
      </w:r>
      <w:r>
        <w:t xml:space="preserve">.  This </w:t>
      </w:r>
      <w:r w:rsidR="00B0185F">
        <w:fldChar w:fldCharType="begin" w:fldLock="1"/>
      </w:r>
      <w:r w:rsidR="00B0185F">
        <w:instrText xml:space="preserve"> REF DocTypeLong \* charformat </w:instrText>
      </w:r>
      <w:r w:rsidR="00B0185F">
        <w:fldChar w:fldCharType="separate"/>
      </w:r>
      <w:r w:rsidR="00D81217" w:rsidRPr="00D81217">
        <w:t>Auditing Standard</w:t>
      </w:r>
      <w:r w:rsidR="00B0185F">
        <w:fldChar w:fldCharType="end"/>
      </w:r>
      <w:r>
        <w:t xml:space="preserve"> does not introduce new definitions.</w:t>
      </w:r>
    </w:p>
    <w:p w14:paraId="732142BA" w14:textId="0A7E2158" w:rsidR="00F96FD6" w:rsidRDefault="00F96FD6" w:rsidP="00F96FD6">
      <w:pPr>
        <w:pStyle w:val="Heading5"/>
      </w:pPr>
      <w:r>
        <w:t xml:space="preserve">Amendments to </w:t>
      </w:r>
      <w:r w:rsidR="004828CC">
        <w:t xml:space="preserve">Auditing </w:t>
      </w:r>
      <w:bookmarkStart w:id="24" w:name="Plural3"/>
      <w:r w:rsidR="00D81217">
        <w:t>Standards</w:t>
      </w:r>
      <w:bookmarkEnd w:id="24"/>
    </w:p>
    <w:p w14:paraId="381D1379" w14:textId="2020295A" w:rsidR="00766217" w:rsidRDefault="00B11457" w:rsidP="00050E71">
      <w:pPr>
        <w:pStyle w:val="ParaLevel1"/>
      </w:pPr>
      <w:bookmarkStart w:id="25" w:name="AmendParasStnd"/>
      <w:r>
        <w:t>Where relevant, t</w:t>
      </w:r>
      <w:r w:rsidR="001439C1">
        <w:t>his Standard uses underlining, striking out and other typographical material to identify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r w:rsidR="00570FF0">
        <w:t xml:space="preserve"> </w:t>
      </w:r>
    </w:p>
    <w:p w14:paraId="0CDF17F2" w14:textId="07106833" w:rsidR="00570FF0" w:rsidRDefault="00091652" w:rsidP="00050E71">
      <w:pPr>
        <w:pStyle w:val="ParaLevel1"/>
      </w:pPr>
      <w:r>
        <w:t xml:space="preserve">Where </w:t>
      </w:r>
      <w:r w:rsidR="00D13D66">
        <w:t>this amending standard inserts or deletes a paragraph</w:t>
      </w:r>
      <w:r>
        <w:t xml:space="preserve"> </w:t>
      </w:r>
      <w:r w:rsidR="00993DEF">
        <w:t>or footnote</w:t>
      </w:r>
      <w:r w:rsidR="0055461D">
        <w:t xml:space="preserve">, as a result </w:t>
      </w:r>
      <w:r w:rsidR="00025454">
        <w:t xml:space="preserve">of that </w:t>
      </w:r>
      <w:r w:rsidR="00ED235C">
        <w:t xml:space="preserve">insertion or deletion </w:t>
      </w:r>
      <w:r w:rsidR="008F2683">
        <w:t xml:space="preserve">relevant paragraph </w:t>
      </w:r>
      <w:r w:rsidR="004D1D30">
        <w:t>number</w:t>
      </w:r>
      <w:r w:rsidR="00687966">
        <w:t>s</w:t>
      </w:r>
      <w:r w:rsidR="004D1D30">
        <w:t>, cross-</w:t>
      </w:r>
      <w:r w:rsidR="008F2683">
        <w:t xml:space="preserve">references and footnotes are updated. </w:t>
      </w:r>
    </w:p>
    <w:p w14:paraId="05381FEB" w14:textId="0532C631" w:rsidR="00F771FF" w:rsidRDefault="00F771FF" w:rsidP="00F771FF">
      <w:pPr>
        <w:pStyle w:val="Heading6"/>
      </w:pPr>
      <w:r>
        <w:t xml:space="preserve">Amendments to </w:t>
      </w:r>
      <w:r w:rsidRPr="007C6DE0">
        <w:t xml:space="preserve">ASA </w:t>
      </w:r>
      <w:r w:rsidR="004D4267" w:rsidRPr="007C6DE0">
        <w:t>101</w:t>
      </w:r>
    </w:p>
    <w:p w14:paraId="3720DE0D" w14:textId="668E6740" w:rsidR="004D4267" w:rsidRDefault="004D4267" w:rsidP="00050E71">
      <w:pPr>
        <w:pStyle w:val="ParaLevel1"/>
      </w:pPr>
      <w:r>
        <w:t xml:space="preserve">Existing footnote 12 </w:t>
      </w:r>
      <w:r w:rsidR="00534D40">
        <w:t xml:space="preserve">in paragraph </w:t>
      </w:r>
      <w:r w:rsidR="005E54D8">
        <w:t>A3</w:t>
      </w:r>
      <w:r w:rsidR="00534D40">
        <w:t xml:space="preserve"> </w:t>
      </w:r>
      <w:r>
        <w:t xml:space="preserve">is amended to read as follows: </w:t>
      </w:r>
    </w:p>
    <w:p w14:paraId="191AB2F2" w14:textId="3BF7D74A" w:rsidR="004D4267" w:rsidRPr="006D47F0" w:rsidRDefault="00433360" w:rsidP="006D47F0">
      <w:pPr>
        <w:pStyle w:val="ParaLevel1"/>
        <w:numPr>
          <w:ilvl w:val="0"/>
          <w:numId w:val="0"/>
        </w:numPr>
        <w:ind w:left="709"/>
      </w:pPr>
      <w:r w:rsidRPr="00433360">
        <w:t>For legislative purposes, ASRE 2410 and ASRE 2415 are included in legislation as “Auditing Standards”</w:t>
      </w:r>
      <w:r w:rsidRPr="00433360">
        <w:rPr>
          <w:strike/>
        </w:rPr>
        <w:t>:</w:t>
      </w:r>
      <w:r w:rsidRPr="00433360">
        <w:rPr>
          <w:u w:val="single"/>
        </w:rPr>
        <w:t>.</w:t>
      </w:r>
    </w:p>
    <w:p w14:paraId="2E0B0D86" w14:textId="574892BA" w:rsidR="006D47F0" w:rsidRDefault="006D47F0" w:rsidP="00050E71">
      <w:pPr>
        <w:pStyle w:val="ParaLevel1"/>
      </w:pPr>
      <w:r>
        <w:t>Existing</w:t>
      </w:r>
      <w:r w:rsidR="003966B7">
        <w:t xml:space="preserve"> footnote </w:t>
      </w:r>
      <w:r w:rsidR="005B0DFC">
        <w:t xml:space="preserve">25 in paragraph A16 is amended to read as follows: </w:t>
      </w:r>
    </w:p>
    <w:p w14:paraId="1631C210" w14:textId="1674BE74" w:rsidR="005B0DFC" w:rsidRDefault="000C0384" w:rsidP="00BB5701">
      <w:pPr>
        <w:pStyle w:val="ParaLevel1"/>
        <w:numPr>
          <w:ilvl w:val="0"/>
          <w:numId w:val="0"/>
        </w:numPr>
        <w:ind w:left="709"/>
      </w:pPr>
      <w:r w:rsidRPr="000C0384">
        <w:t xml:space="preserve">The term “professional judgement” is defined in the AUASB Glossary in the context of different types of AUASB Standards.  For assurance engagements, see </w:t>
      </w:r>
      <w:r w:rsidRPr="008869C9">
        <w:rPr>
          <w:i/>
          <w:iCs/>
        </w:rPr>
        <w:t>Framework for Assurance Engagements</w:t>
      </w:r>
      <w:r w:rsidRPr="000C0384">
        <w:t xml:space="preserve">, paragraphs 56-60.  For related services engagements, see </w:t>
      </w:r>
      <w:r w:rsidRPr="008869C9">
        <w:rPr>
          <w:strike/>
        </w:rPr>
        <w:t>ASRE</w:t>
      </w:r>
      <w:r w:rsidR="008869C9">
        <w:rPr>
          <w:u w:val="single"/>
        </w:rPr>
        <w:t>ASRS</w:t>
      </w:r>
      <w:r w:rsidRPr="000C0384">
        <w:t xml:space="preserve"> 4400, paragraphs 13(j) and 18.</w:t>
      </w:r>
    </w:p>
    <w:p w14:paraId="17BB1D91" w14:textId="26A7F756" w:rsidR="00BB5701" w:rsidRDefault="00BB5701" w:rsidP="00050E71">
      <w:pPr>
        <w:pStyle w:val="ParaLevel1"/>
      </w:pPr>
      <w:r>
        <w:t xml:space="preserve">Existing paragraph </w:t>
      </w:r>
      <w:r w:rsidR="00660BC1">
        <w:t xml:space="preserve">A31 is amended to read as follows: </w:t>
      </w:r>
    </w:p>
    <w:p w14:paraId="30EBD8B2" w14:textId="77777777" w:rsidR="006926D1" w:rsidRDefault="006926D1" w:rsidP="006926D1">
      <w:pPr>
        <w:pStyle w:val="ParaLevel1"/>
        <w:numPr>
          <w:ilvl w:val="0"/>
          <w:numId w:val="0"/>
        </w:numPr>
        <w:ind w:left="709"/>
      </w:pPr>
      <w:r>
        <w:t>The “Application” paragraph in each Auditing Standard that refers to audits or reviews conducted in accordance with the Corporations Act applies specifically to:</w:t>
      </w:r>
    </w:p>
    <w:p w14:paraId="62E4F6EF" w14:textId="6E3220F1" w:rsidR="006926D1" w:rsidRDefault="008640D9" w:rsidP="00626A7D">
      <w:pPr>
        <w:pStyle w:val="ParaLevel1"/>
        <w:numPr>
          <w:ilvl w:val="0"/>
          <w:numId w:val="0"/>
        </w:numPr>
        <w:ind w:left="1418" w:hanging="709"/>
      </w:pPr>
      <w:r w:rsidRPr="005635DB">
        <w:rPr>
          <w:strike/>
        </w:rPr>
        <w:t>(d)</w:t>
      </w:r>
      <w:r w:rsidRPr="005635DB">
        <w:rPr>
          <w:u w:val="single"/>
        </w:rPr>
        <w:t>(a)</w:t>
      </w:r>
      <w:r>
        <w:t xml:space="preserve"> </w:t>
      </w:r>
      <w:r w:rsidR="00733F1A">
        <w:tab/>
      </w:r>
      <w:r w:rsidR="006926D1">
        <w:t xml:space="preserve">an audit or a review conducted under Part 2M.3 of the Act; and </w:t>
      </w:r>
    </w:p>
    <w:p w14:paraId="14C85C83" w14:textId="5F1601A0" w:rsidR="00660BC1" w:rsidRDefault="008640D9" w:rsidP="006926D1">
      <w:pPr>
        <w:pStyle w:val="ParaLevel1"/>
        <w:numPr>
          <w:ilvl w:val="0"/>
          <w:numId w:val="0"/>
        </w:numPr>
        <w:ind w:left="709"/>
      </w:pPr>
      <w:r w:rsidRPr="005635DB">
        <w:rPr>
          <w:strike/>
        </w:rPr>
        <w:t>(e)</w:t>
      </w:r>
      <w:r w:rsidRPr="005635DB">
        <w:rPr>
          <w:u w:val="single"/>
        </w:rPr>
        <w:t>(b)</w:t>
      </w:r>
      <w:r>
        <w:t xml:space="preserve"> </w:t>
      </w:r>
      <w:r w:rsidR="005635DB">
        <w:tab/>
      </w:r>
      <w:r w:rsidR="006926D1">
        <w:t>an audit conducted under Part 7.8 of the Act.</w:t>
      </w:r>
    </w:p>
    <w:p w14:paraId="426C2F58" w14:textId="77777777" w:rsidR="0049163E" w:rsidRDefault="0049163E">
      <w:pPr>
        <w:spacing w:line="240" w:lineRule="auto"/>
        <w:rPr>
          <w:b/>
          <w:iCs/>
          <w:szCs w:val="22"/>
        </w:rPr>
      </w:pPr>
      <w:r>
        <w:br w:type="page"/>
      </w:r>
    </w:p>
    <w:p w14:paraId="7E430601" w14:textId="06C804C8" w:rsidR="00CF061D" w:rsidRDefault="00CF061D" w:rsidP="00CF061D">
      <w:pPr>
        <w:pStyle w:val="Heading6"/>
      </w:pPr>
      <w:r>
        <w:lastRenderedPageBreak/>
        <w:t>Amendments to ASA 200</w:t>
      </w:r>
    </w:p>
    <w:p w14:paraId="400B0E77" w14:textId="43F876BF" w:rsidR="00063410" w:rsidRDefault="00063410" w:rsidP="00050E71">
      <w:pPr>
        <w:pStyle w:val="ParaLevel1"/>
      </w:pPr>
      <w:r>
        <w:t xml:space="preserve">Existing paragraph A3 </w:t>
      </w:r>
      <w:r w:rsidR="00A955C4">
        <w:t xml:space="preserve">is amended to read as follows: </w:t>
      </w:r>
    </w:p>
    <w:p w14:paraId="290C715A" w14:textId="68E39B56" w:rsidR="00EA464F" w:rsidRDefault="00EA464F" w:rsidP="004164FA">
      <w:pPr>
        <w:pStyle w:val="ParaLevel1"/>
        <w:numPr>
          <w:ilvl w:val="0"/>
          <w:numId w:val="0"/>
        </w:numPr>
        <w:ind w:left="709"/>
      </w:pPr>
      <w:r>
        <w:t xml:space="preserve">For the purposes of the </w:t>
      </w:r>
      <w:r w:rsidR="00AF5EA3" w:rsidRPr="000F783C">
        <w:rPr>
          <w:u w:val="single"/>
        </w:rPr>
        <w:t>Australian Auditing Standards</w:t>
      </w:r>
      <w:r w:rsidR="00AF5EA3">
        <w:t xml:space="preserve"> </w:t>
      </w:r>
      <w:r w:rsidRPr="000F783C">
        <w:rPr>
          <w:strike/>
        </w:rPr>
        <w:t>ASAs</w:t>
      </w:r>
      <w:r>
        <w:t xml:space="preserve">, a risk of material misstatement exists when there is a reasonable possibility of: </w:t>
      </w:r>
    </w:p>
    <w:p w14:paraId="5D654EDA" w14:textId="0FD4F405" w:rsidR="00EA464F" w:rsidRDefault="00B07596" w:rsidP="00EA464F">
      <w:pPr>
        <w:pStyle w:val="ParaLevel2"/>
      </w:pPr>
      <w:r>
        <w:t>…</w:t>
      </w:r>
    </w:p>
    <w:p w14:paraId="70DFD7B9" w14:textId="72CDF6B0" w:rsidR="00496A00" w:rsidRDefault="00D827A9" w:rsidP="00050E71">
      <w:pPr>
        <w:pStyle w:val="ParaLevel1"/>
      </w:pPr>
      <w:r>
        <w:t>Existing footnote</w:t>
      </w:r>
      <w:r w:rsidR="00D60BC0">
        <w:t xml:space="preserve"> 19 </w:t>
      </w:r>
      <w:r w:rsidR="00496A00">
        <w:t xml:space="preserve">in paragraph </w:t>
      </w:r>
      <w:r w:rsidR="00993267">
        <w:t>A44</w:t>
      </w:r>
      <w:r w:rsidR="00496A00">
        <w:t xml:space="preserve"> is amended to read as follows: </w:t>
      </w:r>
    </w:p>
    <w:p w14:paraId="37E40554" w14:textId="5EAAA17A" w:rsidR="00DF7D78" w:rsidRDefault="00D303C5" w:rsidP="00667866">
      <w:pPr>
        <w:pStyle w:val="ParaLevel1"/>
        <w:numPr>
          <w:ilvl w:val="0"/>
          <w:numId w:val="0"/>
        </w:numPr>
        <w:ind w:left="709"/>
      </w:pPr>
      <w:r w:rsidRPr="00D303C5">
        <w:t xml:space="preserve">See ASA 315 </w:t>
      </w:r>
      <w:r w:rsidRPr="00031FEA">
        <w:rPr>
          <w:i/>
          <w:iCs/>
        </w:rPr>
        <w:t>Identifying and Assessing the Risks of Material Misstatement</w:t>
      </w:r>
      <w:r w:rsidRPr="001649B1">
        <w:rPr>
          <w:u w:val="single"/>
        </w:rPr>
        <w:t>.</w:t>
      </w:r>
    </w:p>
    <w:p w14:paraId="7A87072F" w14:textId="627CF5AB" w:rsidR="00496A00" w:rsidRDefault="00496A00" w:rsidP="00050E71">
      <w:pPr>
        <w:pStyle w:val="ParaLevel1"/>
      </w:pPr>
      <w:r>
        <w:t xml:space="preserve">Existing footnote 21 in paragraph </w:t>
      </w:r>
      <w:r w:rsidR="00993267">
        <w:t>A46</w:t>
      </w:r>
      <w:r>
        <w:t xml:space="preserve"> is amended to read as follows: </w:t>
      </w:r>
    </w:p>
    <w:p w14:paraId="1F3AFD38" w14:textId="77777777" w:rsidR="00DF7D78" w:rsidRPr="00DF7D78" w:rsidRDefault="00DF7D78" w:rsidP="00DF7D78">
      <w:pPr>
        <w:pStyle w:val="ParaLevel1"/>
        <w:numPr>
          <w:ilvl w:val="0"/>
          <w:numId w:val="0"/>
        </w:numPr>
        <w:ind w:left="709"/>
      </w:pPr>
      <w:r w:rsidRPr="00DF7D78">
        <w:t>See ASA 330, paragraph 6</w:t>
      </w:r>
      <w:r>
        <w:rPr>
          <w:u w:val="single"/>
        </w:rPr>
        <w:t>.</w:t>
      </w:r>
    </w:p>
    <w:p w14:paraId="2DF0580D" w14:textId="4BBB78D2" w:rsidR="00A955C4" w:rsidRDefault="00DF7D78" w:rsidP="00050E71">
      <w:pPr>
        <w:pStyle w:val="ParaLevel1"/>
      </w:pPr>
      <w:r>
        <w:t>Existing</w:t>
      </w:r>
      <w:r w:rsidR="00D827A9">
        <w:t xml:space="preserve"> </w:t>
      </w:r>
      <w:r w:rsidR="00110F0D">
        <w:t xml:space="preserve">paragraph A64 </w:t>
      </w:r>
      <w:r w:rsidR="005950AA">
        <w:t xml:space="preserve">is amended to read as follows: </w:t>
      </w:r>
    </w:p>
    <w:p w14:paraId="4073ACED" w14:textId="77777777" w:rsidR="00575A24" w:rsidRPr="00575A24" w:rsidRDefault="00575A24" w:rsidP="00A767DB">
      <w:pPr>
        <w:pStyle w:val="ParaLevel1"/>
        <w:numPr>
          <w:ilvl w:val="0"/>
          <w:numId w:val="0"/>
        </w:numPr>
        <w:ind w:left="709"/>
      </w:pPr>
      <w:r w:rsidRPr="00575A24">
        <w:t xml:space="preserve">Where necessary, the application and other explanatory material provides further explanation of the requirements of an Auditing Standard and guidance for carrying them out.  In particular, it may: </w:t>
      </w:r>
    </w:p>
    <w:p w14:paraId="30BDE10E" w14:textId="330087AF" w:rsidR="00575A24" w:rsidRPr="00575A24" w:rsidRDefault="00575A24" w:rsidP="005A75EA">
      <w:pPr>
        <w:pStyle w:val="ListBullet"/>
        <w:ind w:left="1418"/>
      </w:pPr>
      <w:r w:rsidRPr="00575A24">
        <w:t xml:space="preserve">Explain more precisely what a requirement means or is intended to cover, including in some </w:t>
      </w:r>
      <w:r w:rsidR="00AA43F0">
        <w:rPr>
          <w:u w:val="single"/>
        </w:rPr>
        <w:t>Auditing Standards</w:t>
      </w:r>
      <w:r w:rsidR="00AA43F0" w:rsidRPr="00F34FE9">
        <w:t xml:space="preserve"> </w:t>
      </w:r>
      <w:r w:rsidRPr="00AA43F0">
        <w:rPr>
          <w:strike/>
        </w:rPr>
        <w:t>ASAs</w:t>
      </w:r>
      <w:r w:rsidRPr="00575A24">
        <w:t xml:space="preserve"> such as ASA 315, why a procedure is required.</w:t>
      </w:r>
    </w:p>
    <w:p w14:paraId="7F6FB192" w14:textId="4D0EE653" w:rsidR="00575A24" w:rsidRPr="00575A24" w:rsidRDefault="00575A24" w:rsidP="005A75EA">
      <w:pPr>
        <w:pStyle w:val="ListBullet"/>
        <w:ind w:left="1418"/>
      </w:pPr>
      <w:r w:rsidRPr="00575A24">
        <w:t xml:space="preserve">Include examples of procedures that may be appropriate in the circumstances. In some </w:t>
      </w:r>
      <w:r w:rsidR="00F34FE9">
        <w:rPr>
          <w:u w:val="single"/>
        </w:rPr>
        <w:t xml:space="preserve">Auditing </w:t>
      </w:r>
      <w:r w:rsidR="00F34FE9" w:rsidRPr="00B8041A">
        <w:rPr>
          <w:u w:val="single"/>
        </w:rPr>
        <w:t>Standards</w:t>
      </w:r>
      <w:r w:rsidR="00B8041A">
        <w:t xml:space="preserve"> </w:t>
      </w:r>
      <w:r w:rsidRPr="00B8041A">
        <w:rPr>
          <w:strike/>
        </w:rPr>
        <w:t>ASAs</w:t>
      </w:r>
      <w:r w:rsidRPr="00575A24">
        <w:t>, such as ASA 315, examples are presented in boxes.</w:t>
      </w:r>
    </w:p>
    <w:p w14:paraId="7216EFD2" w14:textId="0E551A64" w:rsidR="005950AA" w:rsidRDefault="00A767DB" w:rsidP="00A767DB">
      <w:pPr>
        <w:pStyle w:val="ParaLevel1"/>
        <w:numPr>
          <w:ilvl w:val="0"/>
          <w:numId w:val="0"/>
        </w:numPr>
        <w:ind w:left="709"/>
      </w:pPr>
      <w:r>
        <w:t>…</w:t>
      </w:r>
    </w:p>
    <w:p w14:paraId="71E21D9B" w14:textId="35F156A5" w:rsidR="00A767DB" w:rsidRDefault="00AA7A49" w:rsidP="00050E71">
      <w:pPr>
        <w:pStyle w:val="ParaLevel1"/>
      </w:pPr>
      <w:r>
        <w:t xml:space="preserve">Existing paragraph </w:t>
      </w:r>
      <w:r w:rsidR="00F33551">
        <w:t>A69</w:t>
      </w:r>
      <w:r>
        <w:t xml:space="preserve"> is amended to read as follows:</w:t>
      </w:r>
    </w:p>
    <w:p w14:paraId="6F06C1DB" w14:textId="2655754F" w:rsidR="00F33551" w:rsidRDefault="00F33551" w:rsidP="00AA7A49">
      <w:pPr>
        <w:pStyle w:val="ParaLevel1"/>
        <w:numPr>
          <w:ilvl w:val="0"/>
          <w:numId w:val="0"/>
        </w:numPr>
        <w:ind w:left="709"/>
      </w:pPr>
      <w:r w:rsidRPr="00F33551">
        <w:t xml:space="preserve">Scalability considerations have been included in some </w:t>
      </w:r>
      <w:r w:rsidR="00AA0BCE" w:rsidRPr="00AA0BCE">
        <w:rPr>
          <w:u w:val="single"/>
        </w:rPr>
        <w:t>Auditing Standards</w:t>
      </w:r>
      <w:r w:rsidR="00AA0BCE">
        <w:t xml:space="preserve"> </w:t>
      </w:r>
      <w:r w:rsidRPr="00AA0BCE">
        <w:rPr>
          <w:strike/>
        </w:rPr>
        <w:t>ASAs</w:t>
      </w:r>
      <w:r w:rsidRPr="00F33551">
        <w:t xml:space="preserve"> (e.g., ASA</w:t>
      </w:r>
      <w:r w:rsidR="006A6D7B">
        <w:t> </w:t>
      </w:r>
      <w:r w:rsidRPr="00F33551">
        <w:t xml:space="preserve">315), illustrating the application of the requirements to all entities regardless of whether their nature and circumstances are less complex or more complex. Less complex entities are entities for which the characteristics in paragraph </w:t>
      </w:r>
      <w:r w:rsidR="00452DB4" w:rsidRPr="00AA0BCE">
        <w:rPr>
          <w:u w:val="single"/>
        </w:rPr>
        <w:t>A71</w:t>
      </w:r>
      <w:r w:rsidR="00AA0BCE">
        <w:t xml:space="preserve"> </w:t>
      </w:r>
      <w:r w:rsidRPr="00AA0BCE">
        <w:rPr>
          <w:strike/>
        </w:rPr>
        <w:t>A66</w:t>
      </w:r>
      <w:r w:rsidRPr="00F33551">
        <w:t xml:space="preserve"> may apply.</w:t>
      </w:r>
    </w:p>
    <w:p w14:paraId="1077ABD1" w14:textId="2B841F25" w:rsidR="001807A7" w:rsidRDefault="009D611D" w:rsidP="00050E71">
      <w:pPr>
        <w:pStyle w:val="ParaLevel1"/>
      </w:pPr>
      <w:r>
        <w:t xml:space="preserve">Existing paragraph A73 is amended to read as follows: </w:t>
      </w:r>
    </w:p>
    <w:p w14:paraId="027A36D6" w14:textId="7A286DD9" w:rsidR="00B64136" w:rsidRPr="00B64136" w:rsidRDefault="00B64136" w:rsidP="00917FB1">
      <w:pPr>
        <w:pStyle w:val="ParaLevel1"/>
        <w:numPr>
          <w:ilvl w:val="0"/>
          <w:numId w:val="0"/>
        </w:numPr>
        <w:ind w:left="709"/>
      </w:pPr>
      <w:r w:rsidRPr="00B64136">
        <w:t xml:space="preserve">The considerations specific to “automated tools and techniques” included in some </w:t>
      </w:r>
      <w:r w:rsidRPr="00B64136">
        <w:rPr>
          <w:u w:val="single"/>
        </w:rPr>
        <w:t>Auditing Standards</w:t>
      </w:r>
      <w:r>
        <w:t xml:space="preserve"> </w:t>
      </w:r>
      <w:r w:rsidRPr="00B64136">
        <w:rPr>
          <w:strike/>
        </w:rPr>
        <w:t>ASAs</w:t>
      </w:r>
      <w:r w:rsidRPr="00B64136">
        <w:t xml:space="preserve"> (for example, ASA 315) have been developed to explain how the auditor may apply certain requirements when using automated tools and techniques in performing audit procedures.</w:t>
      </w:r>
    </w:p>
    <w:p w14:paraId="06ABA151" w14:textId="2C94053C" w:rsidR="009D611D" w:rsidRDefault="007B10C5" w:rsidP="007B10C5">
      <w:pPr>
        <w:pStyle w:val="Heading6"/>
      </w:pPr>
      <w:r>
        <w:t>Amendments to ASA 240</w:t>
      </w:r>
    </w:p>
    <w:p w14:paraId="45998A84" w14:textId="3134F441" w:rsidR="007B10C5" w:rsidRDefault="002211E6" w:rsidP="00050E71">
      <w:pPr>
        <w:pStyle w:val="ParaLevel1"/>
      </w:pPr>
      <w:r>
        <w:t xml:space="preserve">Existing paragraph </w:t>
      </w:r>
      <w:r w:rsidR="00515563">
        <w:t xml:space="preserve">17 is amended to read as follows: </w:t>
      </w:r>
    </w:p>
    <w:p w14:paraId="16DFBCA0" w14:textId="22789CCA" w:rsidR="00920831" w:rsidRPr="00920831" w:rsidRDefault="00920831" w:rsidP="007D56EF">
      <w:pPr>
        <w:pStyle w:val="ParaLevel1"/>
        <w:numPr>
          <w:ilvl w:val="0"/>
          <w:numId w:val="0"/>
        </w:numPr>
        <w:ind w:left="709"/>
      </w:pPr>
      <w:r w:rsidRPr="00920831">
        <w:t xml:space="preserve">When performing risk assessment procedures and related activities to obtain an understanding of the entity and its environment, the applicable financial reporting framework and the entity’s system of internal control, required by ASA 315, the auditor shall perform the procedures in paragraphs </w:t>
      </w:r>
      <w:r w:rsidR="00A374B7" w:rsidRPr="00A374B7">
        <w:rPr>
          <w:u w:val="single"/>
        </w:rPr>
        <w:t>18-25</w:t>
      </w:r>
      <w:r w:rsidR="00A374B7">
        <w:t xml:space="preserve"> </w:t>
      </w:r>
      <w:r w:rsidRPr="00D1511F">
        <w:rPr>
          <w:strike/>
        </w:rPr>
        <w:t>23</w:t>
      </w:r>
      <w:r w:rsidR="007F2398" w:rsidRPr="00D1511F">
        <w:rPr>
          <w:strike/>
        </w:rPr>
        <w:t>-</w:t>
      </w:r>
      <w:r w:rsidRPr="00D1511F">
        <w:rPr>
          <w:strike/>
        </w:rPr>
        <w:t>43</w:t>
      </w:r>
      <w:r w:rsidRPr="00920831">
        <w:t xml:space="preserve"> of this Auditing Standard to obtain information for use in identifying the risks of material misstatement due to fraud.</w:t>
      </w:r>
    </w:p>
    <w:p w14:paraId="578B3B74" w14:textId="3DE2512C" w:rsidR="00515563" w:rsidRDefault="007C6934" w:rsidP="007C6934">
      <w:pPr>
        <w:pStyle w:val="Heading6"/>
      </w:pPr>
      <w:r>
        <w:t>Amendments to ASA 330</w:t>
      </w:r>
    </w:p>
    <w:p w14:paraId="0FDD8BDA" w14:textId="6A312443" w:rsidR="00BC33FB" w:rsidRDefault="00265529" w:rsidP="00050E71">
      <w:pPr>
        <w:pStyle w:val="ParaLevel1"/>
      </w:pPr>
      <w:r>
        <w:t xml:space="preserve">As a result of the </w:t>
      </w:r>
      <w:r w:rsidR="001F5BAD">
        <w:t xml:space="preserve">paragraph </w:t>
      </w:r>
      <w:r w:rsidR="00103382">
        <w:t>insertion</w:t>
      </w:r>
      <w:r w:rsidR="008D246B">
        <w:t>s</w:t>
      </w:r>
      <w:r w:rsidR="00103382">
        <w:t xml:space="preserve"> </w:t>
      </w:r>
      <w:r w:rsidR="00476E58">
        <w:t xml:space="preserve">by </w:t>
      </w:r>
      <w:r w:rsidR="00553983">
        <w:t>ASA 2020</w:t>
      </w:r>
      <w:r w:rsidR="00735089">
        <w:t>-</w:t>
      </w:r>
      <w:r w:rsidR="00553983">
        <w:t xml:space="preserve">1 </w:t>
      </w:r>
      <w:r w:rsidR="00553983" w:rsidRPr="00553983">
        <w:rPr>
          <w:i/>
          <w:iCs/>
        </w:rPr>
        <w:t>Amendments to Australian Auditing Standards</w:t>
      </w:r>
      <w:r w:rsidR="00553983">
        <w:t xml:space="preserve">, </w:t>
      </w:r>
      <w:r w:rsidR="00EA59F4">
        <w:t xml:space="preserve">subsequent </w:t>
      </w:r>
      <w:r w:rsidR="00CC674F">
        <w:t>paragraphs of this Auditing Standard are re</w:t>
      </w:r>
      <w:r w:rsidR="003F4857">
        <w:t xml:space="preserve">-numbered and references to these paragraphs are updated accordingly. </w:t>
      </w:r>
    </w:p>
    <w:p w14:paraId="738FCA25" w14:textId="3758091B" w:rsidR="00404CDD" w:rsidRDefault="00404CDD" w:rsidP="00BC33FB">
      <w:pPr>
        <w:pStyle w:val="Heading6"/>
      </w:pPr>
      <w:r>
        <w:lastRenderedPageBreak/>
        <w:t xml:space="preserve">Amendments to </w:t>
      </w:r>
      <w:r w:rsidRPr="007C6DE0">
        <w:t>ASA 502</w:t>
      </w:r>
    </w:p>
    <w:p w14:paraId="4762257A" w14:textId="52915E39" w:rsidR="00404CDD" w:rsidRDefault="00404CDD" w:rsidP="00404CDD">
      <w:pPr>
        <w:pStyle w:val="ParaLevel1"/>
      </w:pPr>
      <w:r>
        <w:t xml:space="preserve">The existing paragraph following existing sub-heading “Effective Date” is re-numbered and as a result, subsequent paragraphs of this Auditing Standard are re-numbered and references to these paragraphs are updated accordingly. </w:t>
      </w:r>
    </w:p>
    <w:p w14:paraId="2DD89B2E" w14:textId="557A497B" w:rsidR="007E7C4C" w:rsidRDefault="007E7C4C" w:rsidP="00404CDD">
      <w:pPr>
        <w:pStyle w:val="ParaLevel1"/>
      </w:pPr>
      <w:r>
        <w:t xml:space="preserve">Existing paragraph 5 is amended to read as follows: </w:t>
      </w:r>
    </w:p>
    <w:p w14:paraId="4F61E546" w14:textId="74A6F2FC" w:rsidR="007E7C4C" w:rsidRDefault="004F6141" w:rsidP="000D307E">
      <w:pPr>
        <w:pStyle w:val="ParaLevel1"/>
        <w:numPr>
          <w:ilvl w:val="0"/>
          <w:numId w:val="0"/>
        </w:numPr>
        <w:ind w:left="709"/>
      </w:pPr>
      <w:r>
        <w:t xml:space="preserve">If: </w:t>
      </w:r>
    </w:p>
    <w:p w14:paraId="43C4A97A" w14:textId="00A75A78" w:rsidR="004F6141" w:rsidRPr="000D307E" w:rsidRDefault="008E579E" w:rsidP="00561049">
      <w:pPr>
        <w:pStyle w:val="ParaLevel2"/>
        <w:rPr>
          <w:rStyle w:val="RefParas"/>
          <w:sz w:val="22"/>
        </w:rPr>
      </w:pPr>
      <w:r>
        <w:t xml:space="preserve">management refuses to give the auditor permission to communicate or meet with the entity’s external legal counsel, or the entity’s external legal counsel refuses to respond appropriately to the letter of enquiry, or is prohibited from responding; and </w:t>
      </w:r>
      <w:r w:rsidRPr="00E01E55">
        <w:rPr>
          <w:rStyle w:val="RefParas"/>
        </w:rPr>
        <w:t xml:space="preserve">(Ref: Para. </w:t>
      </w:r>
      <w:proofErr w:type="spellStart"/>
      <w:r w:rsidRPr="00E01E55">
        <w:rPr>
          <w:rStyle w:val="RefParas"/>
        </w:rPr>
        <w:t>Aus</w:t>
      </w:r>
      <w:proofErr w:type="spellEnd"/>
      <w:r w:rsidRPr="00E01E55">
        <w:rPr>
          <w:rStyle w:val="RefParas"/>
        </w:rPr>
        <w:t xml:space="preserve"> </w:t>
      </w:r>
      <w:r w:rsidR="009A4684" w:rsidRPr="00E01E55">
        <w:rPr>
          <w:rStyle w:val="RefParas"/>
          <w:u w:val="single"/>
        </w:rPr>
        <w:t>A</w:t>
      </w:r>
      <w:r w:rsidRPr="00E01E55">
        <w:rPr>
          <w:rStyle w:val="RefParas"/>
        </w:rPr>
        <w:t xml:space="preserve">8.7-Aus </w:t>
      </w:r>
      <w:r w:rsidR="009A4684" w:rsidRPr="00E01E55">
        <w:rPr>
          <w:rStyle w:val="RefParas"/>
          <w:u w:val="single"/>
        </w:rPr>
        <w:t>A</w:t>
      </w:r>
      <w:r w:rsidRPr="00E01E55">
        <w:rPr>
          <w:rStyle w:val="RefParas"/>
        </w:rPr>
        <w:t>8.8)</w:t>
      </w:r>
    </w:p>
    <w:p w14:paraId="2F4659CE" w14:textId="716892EC" w:rsidR="000D307E" w:rsidRPr="00404CDD" w:rsidRDefault="000D307E" w:rsidP="00561049">
      <w:pPr>
        <w:pStyle w:val="ParaLevel2"/>
      </w:pPr>
      <w:r>
        <w:rPr>
          <w:rStyle w:val="RefParas"/>
        </w:rPr>
        <w:t>…</w:t>
      </w:r>
    </w:p>
    <w:p w14:paraId="4656B165" w14:textId="46CE4DE9" w:rsidR="00BC33FB" w:rsidRDefault="00BC33FB" w:rsidP="00BC33FB">
      <w:pPr>
        <w:pStyle w:val="Heading6"/>
      </w:pPr>
      <w:r>
        <w:t>Amendments to ASA 540</w:t>
      </w:r>
    </w:p>
    <w:p w14:paraId="2E50DA2E" w14:textId="7A4903B7" w:rsidR="007C6934" w:rsidRDefault="00654995" w:rsidP="00050E71">
      <w:pPr>
        <w:pStyle w:val="ParaLevel1"/>
      </w:pPr>
      <w:r>
        <w:t xml:space="preserve">Existing paragraph 4 is amended to read as follows: </w:t>
      </w:r>
    </w:p>
    <w:p w14:paraId="76C98275" w14:textId="3C0DC47B" w:rsidR="00917004" w:rsidRPr="00917004" w:rsidRDefault="00917004" w:rsidP="000B7E0F">
      <w:pPr>
        <w:pStyle w:val="ParaLevel1"/>
        <w:numPr>
          <w:ilvl w:val="0"/>
          <w:numId w:val="0"/>
        </w:numPr>
        <w:ind w:left="709"/>
      </w:pPr>
      <w:r w:rsidRPr="00917004">
        <w:t>This Auditing Standard requires a separate assessment of inherent risk for identified risks of material misstatement at the assertion level.</w:t>
      </w:r>
      <w:r w:rsidR="006C18EF" w:rsidRPr="006C18EF">
        <w:rPr>
          <w:vertAlign w:val="superscript"/>
        </w:rPr>
        <w:t>5</w:t>
      </w:r>
      <w:r w:rsidRPr="00917004">
        <w:t xml:space="preserve">  In the context of ASA 540 </w:t>
      </w:r>
      <w:r w:rsidRPr="007C1644">
        <w:rPr>
          <w:strike/>
        </w:rPr>
        <w:t>(Revised)</w:t>
      </w:r>
      <w:r w:rsidRPr="00917004">
        <w:t>, and depending on the nature of a particular accounting estimate, the susceptibility of an assertion to a misstatement that could be material may be subject to or affected by estimation uncertainty, complexity, subjectivity or other inherent risk factors, and the interrelationship among them. As explained in ASA 200,</w:t>
      </w:r>
      <w:r w:rsidR="006775FC" w:rsidRPr="006775FC">
        <w:rPr>
          <w:vertAlign w:val="superscript"/>
        </w:rPr>
        <w:t>6</w:t>
      </w:r>
      <w:r w:rsidRPr="00917004">
        <w:t xml:space="preserve">  inherent risk is higher for some assertions and related classes of transactions, account balances and disclosures than for others. Accordingly, the assessment of inherent risk depends on the degree to which the inherent risk factors affect the likelihood or magnitude of misstatement, and varies on a scale that is referred to in this Auditing Standard as the spectrum of inherent risk. </w:t>
      </w:r>
      <w:r w:rsidRPr="00D764AF">
        <w:rPr>
          <w:rStyle w:val="RefParas"/>
        </w:rPr>
        <w:t>(Ref: Para. A8–A9, A65–A66, Appendix 1)</w:t>
      </w:r>
    </w:p>
    <w:p w14:paraId="16CCD3F5" w14:textId="791881E2" w:rsidR="008B17D1" w:rsidRPr="008B17D1" w:rsidRDefault="008356AD" w:rsidP="008B17D1">
      <w:pPr>
        <w:pStyle w:val="Heading6"/>
      </w:pPr>
      <w:r>
        <w:t xml:space="preserve">Amendments to ASA </w:t>
      </w:r>
      <w:r w:rsidR="003A729B">
        <w:t>550</w:t>
      </w:r>
    </w:p>
    <w:p w14:paraId="59D29990" w14:textId="06A40554" w:rsidR="00AF6B82" w:rsidRPr="00AF6B82" w:rsidRDefault="007B7DB9" w:rsidP="003A729B">
      <w:pPr>
        <w:pStyle w:val="ParaLevel1"/>
      </w:pPr>
      <w:r>
        <w:t xml:space="preserve">Existing </w:t>
      </w:r>
      <w:r w:rsidR="00CD0B70">
        <w:t xml:space="preserve">footnote </w:t>
      </w:r>
      <w:r w:rsidR="00C150F8">
        <w:t xml:space="preserve">11 in paragraph </w:t>
      </w:r>
      <w:r w:rsidR="00102B9C">
        <w:t xml:space="preserve">23 </w:t>
      </w:r>
      <w:r w:rsidR="00744B65">
        <w:t xml:space="preserve">is amended to read as follows: </w:t>
      </w:r>
    </w:p>
    <w:p w14:paraId="3B2D70EA" w14:textId="170006EF" w:rsidR="00744B65" w:rsidRPr="003A729B" w:rsidRDefault="000B2D33" w:rsidP="00773752">
      <w:pPr>
        <w:pStyle w:val="ParaLevel1"/>
        <w:numPr>
          <w:ilvl w:val="0"/>
          <w:numId w:val="0"/>
        </w:numPr>
        <w:ind w:left="709"/>
      </w:pPr>
      <w:r w:rsidRPr="000B2D33">
        <w:t xml:space="preserve">See ASA 240, paragraph </w:t>
      </w:r>
      <w:r w:rsidR="004118D2" w:rsidRPr="00E77DC8">
        <w:rPr>
          <w:u w:val="single"/>
        </w:rPr>
        <w:t>33</w:t>
      </w:r>
      <w:r w:rsidRPr="00E77DC8">
        <w:rPr>
          <w:strike/>
        </w:rPr>
        <w:t>32</w:t>
      </w:r>
      <w:r w:rsidRPr="000B2D33">
        <w:t>(c).</w:t>
      </w:r>
    </w:p>
    <w:p w14:paraId="55948C5A" w14:textId="051555E3" w:rsidR="00DB0BE0" w:rsidRDefault="00DB0BE0" w:rsidP="008F5C87">
      <w:pPr>
        <w:pStyle w:val="Heading6"/>
      </w:pPr>
      <w:r>
        <w:t xml:space="preserve">Amendments to </w:t>
      </w:r>
      <w:r w:rsidRPr="007C6DE0">
        <w:t>ASA 560</w:t>
      </w:r>
    </w:p>
    <w:p w14:paraId="0FFCE7F2" w14:textId="213A1969" w:rsidR="00DB0BE0" w:rsidRPr="00B231A3" w:rsidRDefault="00DB0BE0" w:rsidP="00042C54">
      <w:pPr>
        <w:pStyle w:val="ParaLevel1"/>
      </w:pPr>
      <w:r>
        <w:t xml:space="preserve">As a result of the deletion of </w:t>
      </w:r>
      <w:r w:rsidR="00FC72C5">
        <w:t xml:space="preserve">paragraph </w:t>
      </w:r>
      <w:proofErr w:type="spellStart"/>
      <w:r w:rsidR="00FC72C5">
        <w:t>Aus</w:t>
      </w:r>
      <w:proofErr w:type="spellEnd"/>
      <w:r w:rsidR="00FC72C5">
        <w:t xml:space="preserve"> A3.1</w:t>
      </w:r>
      <w:r w:rsidR="00AC77C7">
        <w:t xml:space="preserve"> by </w:t>
      </w:r>
      <w:r w:rsidR="00AD1F84">
        <w:t xml:space="preserve">paragraph 160 of ASA </w:t>
      </w:r>
      <w:r w:rsidR="002146FA">
        <w:t xml:space="preserve">2015-1 </w:t>
      </w:r>
      <w:r w:rsidR="00A869E2" w:rsidRPr="00042C54">
        <w:rPr>
          <w:i/>
          <w:iCs/>
        </w:rPr>
        <w:t>Amendments to Australian Auditing Standards</w:t>
      </w:r>
      <w:r w:rsidR="00A869E2">
        <w:t xml:space="preserve">, </w:t>
      </w:r>
      <w:r w:rsidR="00955A0B">
        <w:t xml:space="preserve">references to this paragraph </w:t>
      </w:r>
      <w:r w:rsidR="002A4D55">
        <w:t xml:space="preserve">are updated </w:t>
      </w:r>
      <w:r w:rsidR="006E2313">
        <w:t xml:space="preserve">accordingly. </w:t>
      </w:r>
    </w:p>
    <w:p w14:paraId="17B8A98C" w14:textId="1AE55344" w:rsidR="00EB1F37" w:rsidRDefault="00EB1F37" w:rsidP="008F5C87">
      <w:pPr>
        <w:pStyle w:val="Heading6"/>
      </w:pPr>
      <w:r>
        <w:t>Amendments to ASA 570</w:t>
      </w:r>
    </w:p>
    <w:p w14:paraId="6AB80C3A" w14:textId="67668689" w:rsidR="00EB1F37" w:rsidRDefault="001C6A4C" w:rsidP="007E5D00">
      <w:pPr>
        <w:pStyle w:val="Heading7"/>
      </w:pPr>
      <w:r w:rsidRPr="001C6A4C">
        <w:t>Amendments to ASA 5</w:t>
      </w:r>
      <w:r>
        <w:t>70</w:t>
      </w:r>
      <w:r w:rsidRPr="001C6A4C">
        <w:t xml:space="preserve"> Appendix </w:t>
      </w:r>
      <w:r w:rsidR="009C08AE">
        <w:t>2</w:t>
      </w:r>
      <w:r w:rsidRPr="001C6A4C">
        <w:t>: [</w:t>
      </w:r>
      <w:proofErr w:type="spellStart"/>
      <w:r w:rsidRPr="001C6A4C">
        <w:t>Aus</w:t>
      </w:r>
      <w:proofErr w:type="spellEnd"/>
      <w:r w:rsidRPr="001C6A4C">
        <w:t xml:space="preserve">] Illustration </w:t>
      </w:r>
      <w:r w:rsidR="009C08AE">
        <w:t>4</w:t>
      </w:r>
      <w:r w:rsidRPr="001C6A4C">
        <w:t>A</w:t>
      </w:r>
    </w:p>
    <w:p w14:paraId="017019E6" w14:textId="00E1AC5D" w:rsidR="001C6A4C" w:rsidRDefault="000C74B8" w:rsidP="000C74B8">
      <w:pPr>
        <w:pStyle w:val="ParaLevel1"/>
      </w:pPr>
      <w:r>
        <w:t>[</w:t>
      </w:r>
      <w:proofErr w:type="spellStart"/>
      <w:r>
        <w:t>Aus</w:t>
      </w:r>
      <w:proofErr w:type="spellEnd"/>
      <w:r>
        <w:t xml:space="preserve">] Illustration 4A: Example Auditor’s Report for </w:t>
      </w:r>
      <w:r w:rsidR="009A1F4E">
        <w:t>Disclaimer of O</w:t>
      </w:r>
      <w:r>
        <w:t xml:space="preserve">pinion </w:t>
      </w:r>
      <w:r w:rsidR="00A42659">
        <w:t>(Limitation of Scope) Single listed Company-</w:t>
      </w:r>
      <w:r w:rsidRPr="007E5D00">
        <w:rPr>
          <w:i/>
          <w:iCs/>
        </w:rPr>
        <w:t>Corporations Act 2001</w:t>
      </w:r>
      <w:r>
        <w:t xml:space="preserve"> (Fair Presentation Framework), is amended as follows:</w:t>
      </w:r>
    </w:p>
    <w:p w14:paraId="6C9E2B52" w14:textId="39B10BCA" w:rsidR="005B5FB6" w:rsidRDefault="005B5FB6" w:rsidP="007E5D00">
      <w:pPr>
        <w:pStyle w:val="ParaLevel1"/>
        <w:numPr>
          <w:ilvl w:val="0"/>
          <w:numId w:val="0"/>
        </w:numPr>
        <w:ind w:left="709"/>
      </w:pPr>
      <w:r>
        <w:t>INDEPENDENT AUDITOR’S REPORT</w:t>
      </w:r>
    </w:p>
    <w:p w14:paraId="581E129B" w14:textId="6C1F5342" w:rsidR="005B5FB6" w:rsidRDefault="00AF5CA9" w:rsidP="007E5D00">
      <w:pPr>
        <w:pStyle w:val="ParaLevel1"/>
        <w:numPr>
          <w:ilvl w:val="0"/>
          <w:numId w:val="0"/>
        </w:numPr>
        <w:ind w:left="709"/>
      </w:pPr>
      <w:r>
        <w:t>…</w:t>
      </w:r>
    </w:p>
    <w:p w14:paraId="08CA0AE2" w14:textId="60C9444E" w:rsidR="00AF5CA9" w:rsidRPr="007E5D00" w:rsidRDefault="000924C3" w:rsidP="00AF5CA9">
      <w:pPr>
        <w:pStyle w:val="ParaLevel1"/>
        <w:numPr>
          <w:ilvl w:val="0"/>
          <w:numId w:val="0"/>
        </w:numPr>
        <w:ind w:left="709"/>
        <w:rPr>
          <w:b/>
          <w:bCs/>
        </w:rPr>
      </w:pPr>
      <w:r w:rsidRPr="007E5D00">
        <w:rPr>
          <w:b/>
          <w:bCs/>
        </w:rPr>
        <w:t>Auditor’s Responsibilities for the Audit of the Financial Report</w:t>
      </w:r>
    </w:p>
    <w:p w14:paraId="244E581A" w14:textId="6A676C30" w:rsidR="000924C3" w:rsidRPr="007E5D00" w:rsidRDefault="004A3337" w:rsidP="007E5D00">
      <w:pPr>
        <w:pStyle w:val="ParaLevel1"/>
        <w:numPr>
          <w:ilvl w:val="0"/>
          <w:numId w:val="0"/>
        </w:numPr>
        <w:ind w:left="709"/>
      </w:pPr>
      <w:r w:rsidRPr="004A3337">
        <w:t>[</w:t>
      </w:r>
      <w:r w:rsidRPr="007E5D00">
        <w:rPr>
          <w:i/>
          <w:iCs/>
        </w:rPr>
        <w:t xml:space="preserve">Reporting in accordance with ASA </w:t>
      </w:r>
      <w:r w:rsidR="003C37C1" w:rsidRPr="007E5D00">
        <w:rPr>
          <w:i/>
          <w:iCs/>
          <w:strike/>
        </w:rPr>
        <w:t>700</w:t>
      </w:r>
      <w:r w:rsidRPr="007E5D00">
        <w:rPr>
          <w:i/>
          <w:iCs/>
          <w:u w:val="single"/>
        </w:rPr>
        <w:t>705</w:t>
      </w:r>
      <w:r w:rsidRPr="007E5D00">
        <w:rPr>
          <w:i/>
          <w:iCs/>
        </w:rPr>
        <w:t xml:space="preserve"> – see [</w:t>
      </w:r>
      <w:proofErr w:type="spellStart"/>
      <w:r w:rsidRPr="007E5D00">
        <w:rPr>
          <w:i/>
          <w:iCs/>
        </w:rPr>
        <w:t>Aus</w:t>
      </w:r>
      <w:proofErr w:type="spellEnd"/>
      <w:r w:rsidRPr="007E5D00">
        <w:rPr>
          <w:i/>
          <w:iCs/>
        </w:rPr>
        <w:t xml:space="preserve">] Illustration </w:t>
      </w:r>
      <w:r w:rsidR="003C37C1" w:rsidRPr="007E5D00">
        <w:rPr>
          <w:i/>
          <w:iCs/>
          <w:strike/>
        </w:rPr>
        <w:t>1A</w:t>
      </w:r>
      <w:r w:rsidRPr="007E5D00">
        <w:rPr>
          <w:i/>
          <w:iCs/>
          <w:u w:val="single"/>
        </w:rPr>
        <w:t>5</w:t>
      </w:r>
      <w:r w:rsidRPr="007E5D00">
        <w:rPr>
          <w:i/>
          <w:iCs/>
        </w:rPr>
        <w:t xml:space="preserve"> in ASA </w:t>
      </w:r>
      <w:r w:rsidR="003944C8" w:rsidRPr="007E5D00">
        <w:rPr>
          <w:i/>
          <w:iCs/>
          <w:strike/>
        </w:rPr>
        <w:t>700</w:t>
      </w:r>
      <w:r w:rsidRPr="007E5D00">
        <w:rPr>
          <w:i/>
          <w:iCs/>
          <w:u w:val="single"/>
        </w:rPr>
        <w:t>705</w:t>
      </w:r>
      <w:r w:rsidRPr="007E5D00">
        <w:rPr>
          <w:i/>
          <w:iCs/>
        </w:rPr>
        <w:t>.</w:t>
      </w:r>
      <w:r w:rsidRPr="004A3337">
        <w:t>]</w:t>
      </w:r>
    </w:p>
    <w:p w14:paraId="11B1981A" w14:textId="43B5277C" w:rsidR="00654995" w:rsidRDefault="008F5C87" w:rsidP="008F5C87">
      <w:pPr>
        <w:pStyle w:val="Heading6"/>
      </w:pPr>
      <w:r>
        <w:lastRenderedPageBreak/>
        <w:t>Amendments to ASA 610</w:t>
      </w:r>
    </w:p>
    <w:p w14:paraId="55C82CB0" w14:textId="0385DA15" w:rsidR="002652AE" w:rsidRDefault="0057786A" w:rsidP="00050E71">
      <w:pPr>
        <w:pStyle w:val="ParaLevel1"/>
      </w:pPr>
      <w:r>
        <w:t xml:space="preserve">Existing footnote 1 in paragraph 3 is amended to read as follows: </w:t>
      </w:r>
    </w:p>
    <w:p w14:paraId="410C18E4" w14:textId="49CD1658" w:rsidR="0057786A" w:rsidRDefault="00CF1CC6" w:rsidP="0097683C">
      <w:pPr>
        <w:pStyle w:val="ParaLevel1"/>
        <w:numPr>
          <w:ilvl w:val="0"/>
          <w:numId w:val="0"/>
        </w:numPr>
        <w:ind w:left="709"/>
      </w:pPr>
      <w:r w:rsidRPr="0097683C">
        <w:rPr>
          <w:u w:val="single"/>
        </w:rPr>
        <w:t>See</w:t>
      </w:r>
      <w:r>
        <w:t xml:space="preserve"> </w:t>
      </w:r>
      <w:r w:rsidR="00440F6E" w:rsidRPr="00440F6E">
        <w:t xml:space="preserve">ASA 315 </w:t>
      </w:r>
      <w:r w:rsidR="00440F6E" w:rsidRPr="0097683C">
        <w:rPr>
          <w:i/>
          <w:iCs/>
        </w:rPr>
        <w:t>Identifying and Assessing the Risks of Material Misstatement</w:t>
      </w:r>
      <w:r w:rsidR="00440F6E" w:rsidRPr="0097683C">
        <w:rPr>
          <w:i/>
          <w:iCs/>
          <w:strike/>
        </w:rPr>
        <w:t xml:space="preserve"> through Understanding the Entity and Its Environment</w:t>
      </w:r>
      <w:r w:rsidR="00440F6E" w:rsidRPr="0097683C">
        <w:rPr>
          <w:strike/>
        </w:rPr>
        <w:t xml:space="preserve"> (as amended)</w:t>
      </w:r>
      <w:r w:rsidR="00440F6E" w:rsidRPr="00440F6E">
        <w:t>.</w:t>
      </w:r>
    </w:p>
    <w:p w14:paraId="34C65D80" w14:textId="6D9FFB4B" w:rsidR="00440F6E" w:rsidRDefault="004976BB" w:rsidP="00050E71">
      <w:pPr>
        <w:pStyle w:val="ParaLevel1"/>
      </w:pPr>
      <w:r>
        <w:t xml:space="preserve">Existing footnote 3 in paragraph </w:t>
      </w:r>
      <w:r w:rsidR="00C01535">
        <w:t xml:space="preserve">7 is amended to read as follows: </w:t>
      </w:r>
    </w:p>
    <w:p w14:paraId="2D785A64" w14:textId="4C767EDC" w:rsidR="00C01535" w:rsidRDefault="00655D93" w:rsidP="0097683C">
      <w:pPr>
        <w:pStyle w:val="ParaLevel1"/>
        <w:numPr>
          <w:ilvl w:val="0"/>
          <w:numId w:val="0"/>
        </w:numPr>
        <w:ind w:left="709"/>
      </w:pPr>
      <w:r w:rsidRPr="00655D93">
        <w:t>See ASA 315</w:t>
      </w:r>
      <w:r w:rsidRPr="0097683C">
        <w:rPr>
          <w:strike/>
        </w:rPr>
        <w:t xml:space="preserve"> (as amended)</w:t>
      </w:r>
      <w:r w:rsidRPr="00655D93">
        <w:t>, paragraph A118.</w:t>
      </w:r>
    </w:p>
    <w:p w14:paraId="59A0BA37" w14:textId="11BB340A" w:rsidR="008F5C87" w:rsidRDefault="008F3FBE" w:rsidP="00050E71">
      <w:pPr>
        <w:pStyle w:val="ParaLevel1"/>
      </w:pPr>
      <w:r>
        <w:t xml:space="preserve">Existing footnote </w:t>
      </w:r>
      <w:r w:rsidR="00FC0420">
        <w:t xml:space="preserve">13 in paragraph A4 is amended to read as follows: </w:t>
      </w:r>
    </w:p>
    <w:p w14:paraId="30C3BAF5" w14:textId="017166DC" w:rsidR="000174C5" w:rsidRDefault="002C7149" w:rsidP="00855FB6">
      <w:pPr>
        <w:pStyle w:val="ParaLevel1"/>
        <w:numPr>
          <w:ilvl w:val="0"/>
          <w:numId w:val="0"/>
        </w:numPr>
        <w:ind w:left="709"/>
      </w:pPr>
      <w:r w:rsidRPr="002C7149">
        <w:t>See ASA 315</w:t>
      </w:r>
      <w:r w:rsidRPr="00855FB6">
        <w:rPr>
          <w:strike/>
        </w:rPr>
        <w:t xml:space="preserve"> (as amended)</w:t>
      </w:r>
      <w:r w:rsidRPr="002C7149">
        <w:t>, paragraph 14(a).</w:t>
      </w:r>
    </w:p>
    <w:p w14:paraId="2D4E6198" w14:textId="73E06CF3" w:rsidR="00FC0420" w:rsidRDefault="00FC0420" w:rsidP="00050E71">
      <w:pPr>
        <w:pStyle w:val="ParaLevel1"/>
      </w:pPr>
      <w:r>
        <w:t xml:space="preserve">Existing footnote 25 in paragraph A26 is amended to read as follows: </w:t>
      </w:r>
    </w:p>
    <w:p w14:paraId="34F0E0CD" w14:textId="478E24B7" w:rsidR="00855FB6" w:rsidRDefault="00542DEB" w:rsidP="000E28F4">
      <w:pPr>
        <w:pStyle w:val="ParaLevel1"/>
        <w:numPr>
          <w:ilvl w:val="0"/>
          <w:numId w:val="0"/>
        </w:numPr>
        <w:ind w:left="709"/>
      </w:pPr>
      <w:r w:rsidRPr="00C03415">
        <w:t>See ASA 315</w:t>
      </w:r>
      <w:r w:rsidRPr="00542DEB">
        <w:rPr>
          <w:strike/>
        </w:rPr>
        <w:t xml:space="preserve"> (as amended)</w:t>
      </w:r>
      <w:r w:rsidRPr="00C03415">
        <w:t xml:space="preserve">, paragraph </w:t>
      </w:r>
      <w:r w:rsidRPr="00542DEB">
        <w:t>A118</w:t>
      </w:r>
      <w:r w:rsidRPr="00C03415">
        <w:t>.</w:t>
      </w:r>
    </w:p>
    <w:p w14:paraId="332364A9" w14:textId="7031C44C" w:rsidR="004A2CBA" w:rsidRDefault="004A2CBA" w:rsidP="00A040E3">
      <w:pPr>
        <w:pStyle w:val="ParaLevel1"/>
      </w:pPr>
      <w:r>
        <w:t xml:space="preserve">Existing footnote 26 in paragraph </w:t>
      </w:r>
      <w:r w:rsidR="008B3787">
        <w:t xml:space="preserve">A26 is amended to read as follows: </w:t>
      </w:r>
    </w:p>
    <w:p w14:paraId="200E3481" w14:textId="14D56CB0" w:rsidR="008B3787" w:rsidRDefault="00EE47A7" w:rsidP="00EE47A7">
      <w:pPr>
        <w:pStyle w:val="ParaLevel1"/>
        <w:numPr>
          <w:ilvl w:val="0"/>
          <w:numId w:val="0"/>
        </w:numPr>
        <w:ind w:left="709"/>
      </w:pPr>
      <w:r w:rsidRPr="00EE47A7">
        <w:t>See ASA 315</w:t>
      </w:r>
      <w:r w:rsidRPr="00EE47A7">
        <w:rPr>
          <w:strike/>
        </w:rPr>
        <w:t xml:space="preserve"> (as amended)</w:t>
      </w:r>
      <w:r w:rsidRPr="00EE47A7">
        <w:t xml:space="preserve">, paragraph A11 in relation to ASA 240 </w:t>
      </w:r>
      <w:r w:rsidRPr="00EE47A7">
        <w:rPr>
          <w:i/>
          <w:iCs/>
        </w:rPr>
        <w:t>The Auditor’s Responsibilities Relating to Fraud in an Audit of a Financial Report</w:t>
      </w:r>
      <w:r w:rsidRPr="00EE47A7">
        <w:t>.</w:t>
      </w:r>
    </w:p>
    <w:p w14:paraId="12F90878" w14:textId="47A06B5C" w:rsidR="000E28F4" w:rsidRDefault="000E28F4" w:rsidP="000E28F4">
      <w:pPr>
        <w:pStyle w:val="Heading6"/>
      </w:pPr>
      <w:r>
        <w:t>Amendments to ASA 620</w:t>
      </w:r>
    </w:p>
    <w:p w14:paraId="704383AF" w14:textId="1CA15571" w:rsidR="000E28F4" w:rsidRDefault="00D37730" w:rsidP="00050E71">
      <w:pPr>
        <w:pStyle w:val="ParaLevel1"/>
      </w:pPr>
      <w:r>
        <w:t xml:space="preserve">Existing paragraph A4 is amended to read as follows: </w:t>
      </w:r>
    </w:p>
    <w:p w14:paraId="3F42C5A7" w14:textId="77777777" w:rsidR="00A132CA" w:rsidRPr="00C03415" w:rsidRDefault="00A132CA" w:rsidP="00A132CA">
      <w:pPr>
        <w:pStyle w:val="ParaLevel1"/>
        <w:numPr>
          <w:ilvl w:val="0"/>
          <w:numId w:val="0"/>
        </w:numPr>
        <w:ind w:left="709"/>
      </w:pPr>
      <w:r w:rsidRPr="00C03415">
        <w:t xml:space="preserve">An auditor’s expert may be needed to assist the auditor in one or more of the following: </w:t>
      </w:r>
    </w:p>
    <w:p w14:paraId="7FA57D10" w14:textId="2A9E2EAE" w:rsidR="00A132CA" w:rsidRPr="00C03415" w:rsidRDefault="00A132CA" w:rsidP="00A132CA">
      <w:pPr>
        <w:pStyle w:val="ListBullet"/>
        <w:ind w:left="1418"/>
      </w:pPr>
      <w:r w:rsidRPr="00C03415">
        <w:t xml:space="preserve">Obtaining an understanding of the entity and its </w:t>
      </w:r>
      <w:r w:rsidRPr="0069770B">
        <w:t xml:space="preserve">environment, </w:t>
      </w:r>
      <w:r w:rsidRPr="0069770B">
        <w:rPr>
          <w:bCs/>
          <w:iCs/>
        </w:rPr>
        <w:t>the applicable financial reporting framework and the</w:t>
      </w:r>
      <w:r w:rsidRPr="0069770B">
        <w:rPr>
          <w:strike/>
        </w:rPr>
        <w:t>,</w:t>
      </w:r>
      <w:r w:rsidRPr="0069770B">
        <w:t xml:space="preserve"> </w:t>
      </w:r>
      <w:r w:rsidRPr="0069770B">
        <w:rPr>
          <w:bCs/>
          <w:iCs/>
        </w:rPr>
        <w:t>entity’s system of</w:t>
      </w:r>
      <w:r w:rsidRPr="0069770B">
        <w:t xml:space="preserve"> internal</w:t>
      </w:r>
      <w:r w:rsidRPr="00C03415">
        <w:t xml:space="preserve"> control.</w:t>
      </w:r>
    </w:p>
    <w:p w14:paraId="74578014" w14:textId="1535EECC" w:rsidR="00D85204" w:rsidRPr="00D85204" w:rsidRDefault="009D09B4" w:rsidP="00C079B9">
      <w:pPr>
        <w:pStyle w:val="Heading6"/>
      </w:pPr>
      <w:r>
        <w:t xml:space="preserve">Amendments to </w:t>
      </w:r>
      <w:r w:rsidRPr="00AE457E">
        <w:t>ASA 710</w:t>
      </w:r>
    </w:p>
    <w:p w14:paraId="71270FA7" w14:textId="779431C9" w:rsidR="009D09B4" w:rsidRDefault="001103DA" w:rsidP="00050E71">
      <w:pPr>
        <w:pStyle w:val="ParaLevel1"/>
      </w:pPr>
      <w:r>
        <w:t xml:space="preserve">Existing footnote 5 in paragraph </w:t>
      </w:r>
      <w:r w:rsidR="00E17A1F">
        <w:t xml:space="preserve">16 is amended to read as follows: </w:t>
      </w:r>
    </w:p>
    <w:p w14:paraId="0B46DBBE" w14:textId="5C5E3ED0" w:rsidR="004208CD" w:rsidRPr="004208CD" w:rsidRDefault="000B3639" w:rsidP="004208CD">
      <w:pPr>
        <w:pStyle w:val="ParaLevel1"/>
        <w:numPr>
          <w:ilvl w:val="0"/>
          <w:numId w:val="0"/>
        </w:numPr>
        <w:ind w:left="709"/>
      </w:pPr>
      <w:r>
        <w:t xml:space="preserve">See ASA 706 </w:t>
      </w:r>
      <w:r w:rsidRPr="00C079B9">
        <w:rPr>
          <w:i/>
          <w:iCs/>
        </w:rPr>
        <w:t>Emphasis of Matter Paragraphs and Other Matter Paragraphs in the Independent Auditor’s Report</w:t>
      </w:r>
      <w:r>
        <w:t xml:space="preserve">, paragraphs 8 and </w:t>
      </w:r>
      <w:proofErr w:type="spellStart"/>
      <w:r w:rsidR="00303117" w:rsidRPr="00C079B9">
        <w:rPr>
          <w:u w:val="single"/>
        </w:rPr>
        <w:t>Aus</w:t>
      </w:r>
      <w:proofErr w:type="spellEnd"/>
      <w:r w:rsidR="00303117" w:rsidRPr="00C079B9">
        <w:rPr>
          <w:u w:val="single"/>
        </w:rPr>
        <w:t xml:space="preserve"> A8.1</w:t>
      </w:r>
      <w:r w:rsidR="00303117" w:rsidRPr="00C079B9">
        <w:rPr>
          <w:strike/>
        </w:rPr>
        <w:t xml:space="preserve"> </w:t>
      </w:r>
      <w:proofErr w:type="spellStart"/>
      <w:r w:rsidRPr="00C079B9">
        <w:rPr>
          <w:strike/>
        </w:rPr>
        <w:t>Aus</w:t>
      </w:r>
      <w:proofErr w:type="spellEnd"/>
      <w:r w:rsidRPr="00C079B9">
        <w:rPr>
          <w:strike/>
        </w:rPr>
        <w:t xml:space="preserve"> 8.1</w:t>
      </w:r>
      <w:r>
        <w:t>.</w:t>
      </w:r>
    </w:p>
    <w:bookmarkEnd w:id="25"/>
    <w:p w14:paraId="644BA2E2" w14:textId="7E6F9B53" w:rsidR="00F139FE" w:rsidRDefault="00F139FE" w:rsidP="00F139FE">
      <w:pPr>
        <w:pStyle w:val="Heading6"/>
      </w:pPr>
      <w:r>
        <w:t>Amendments to ASRE 2415</w:t>
      </w:r>
    </w:p>
    <w:p w14:paraId="07F40FCF" w14:textId="5EF0D19D" w:rsidR="00D95B31" w:rsidRPr="00D95B31" w:rsidRDefault="00F139FE" w:rsidP="00D95B31">
      <w:pPr>
        <w:pStyle w:val="ParaLevel1"/>
      </w:pPr>
      <w:r>
        <w:t xml:space="preserve">Existing paragraph </w:t>
      </w:r>
      <w:r w:rsidR="00021503">
        <w:t xml:space="preserve">11 </w:t>
      </w:r>
      <w:r w:rsidR="00C85615">
        <w:t>and footnote 4 are deleted.</w:t>
      </w:r>
      <w:r w:rsidR="00021503">
        <w:t xml:space="preserve"> </w:t>
      </w:r>
    </w:p>
    <w:p w14:paraId="4582AA0C" w14:textId="58C11A96" w:rsidR="00254560" w:rsidRPr="00F139FE" w:rsidRDefault="00254560" w:rsidP="00835E16">
      <w:pPr>
        <w:pStyle w:val="ParaIndent"/>
      </w:pPr>
    </w:p>
    <w:p w14:paraId="4E80D0BD" w14:textId="14FBEF8E" w:rsidR="00E47940" w:rsidRDefault="00E47940">
      <w:pPr>
        <w:spacing w:line="240" w:lineRule="auto"/>
      </w:pPr>
      <w:r>
        <w:br w:type="page"/>
      </w:r>
    </w:p>
    <w:p w14:paraId="013A21C6" w14:textId="57C2EF31" w:rsidR="00F54390" w:rsidRPr="00955E47" w:rsidRDefault="00F54390" w:rsidP="00F54390">
      <w:pPr>
        <w:pStyle w:val="Heading4"/>
      </w:pPr>
      <w:r w:rsidRPr="00955E47">
        <w:lastRenderedPageBreak/>
        <w:t>Commencement of the legislative instrument</w:t>
      </w:r>
    </w:p>
    <w:p w14:paraId="2E2E4AB9" w14:textId="6C5F14AC" w:rsidR="00F54390" w:rsidRPr="00955E47" w:rsidRDefault="00F54390" w:rsidP="0097683C">
      <w:pPr>
        <w:pStyle w:val="ParaLevel1"/>
        <w:numPr>
          <w:ilvl w:val="0"/>
          <w:numId w:val="0"/>
        </w:numPr>
      </w:pPr>
      <w:r w:rsidRPr="00955E47">
        <w:t>For legal purposes, each provision of this instrument specified in column 1 of the table commences, or is taken to have commenced in accordance with column 2 of the table.</w:t>
      </w:r>
      <w:r>
        <w:t xml:space="preserve">  </w:t>
      </w:r>
      <w:r w:rsidRPr="00955E47">
        <w:t>Any other statement in column 2 has effect according to its terms.</w:t>
      </w:r>
    </w:p>
    <w:tbl>
      <w:tblPr>
        <w:tblW w:w="9107" w:type="dxa"/>
        <w:tblInd w:w="107" w:type="dxa"/>
        <w:tblCellMar>
          <w:left w:w="0" w:type="dxa"/>
          <w:right w:w="0" w:type="dxa"/>
        </w:tblCellMar>
        <w:tblLook w:val="04A0" w:firstRow="1" w:lastRow="0" w:firstColumn="1" w:lastColumn="0" w:noHBand="0" w:noVBand="1"/>
      </w:tblPr>
      <w:tblGrid>
        <w:gridCol w:w="1934"/>
        <w:gridCol w:w="4353"/>
        <w:gridCol w:w="2820"/>
      </w:tblGrid>
      <w:tr w:rsidR="00F54390" w:rsidRPr="00D340A6" w14:paraId="23224FD6" w14:textId="77777777" w:rsidTr="00050E71">
        <w:trPr>
          <w:trHeight w:val="305"/>
          <w:tblHeader/>
        </w:trPr>
        <w:tc>
          <w:tcPr>
            <w:tcW w:w="9107"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40F571FA" w14:textId="77777777" w:rsidR="00F54390" w:rsidRPr="0097683C" w:rsidRDefault="00F54390" w:rsidP="00050E71">
            <w:pPr>
              <w:rPr>
                <w:rFonts w:eastAsia="Calibri"/>
                <w:b/>
                <w:bCs/>
              </w:rPr>
            </w:pPr>
            <w:r w:rsidRPr="0097683C">
              <w:rPr>
                <w:rFonts w:eastAsia="Calibri"/>
                <w:b/>
                <w:bCs/>
              </w:rPr>
              <w:t>Commencement information</w:t>
            </w:r>
          </w:p>
        </w:tc>
      </w:tr>
      <w:tr w:rsidR="00F54390" w:rsidRPr="00D340A6" w14:paraId="7F6F9522" w14:textId="77777777" w:rsidTr="00050E71">
        <w:trPr>
          <w:trHeight w:val="305"/>
          <w:tblHeader/>
        </w:trPr>
        <w:tc>
          <w:tcPr>
            <w:tcW w:w="1934" w:type="dxa"/>
            <w:tcBorders>
              <w:top w:val="nil"/>
              <w:left w:val="nil"/>
              <w:bottom w:val="single" w:sz="12" w:space="0" w:color="auto"/>
              <w:right w:val="nil"/>
            </w:tcBorders>
            <w:tcMar>
              <w:top w:w="0" w:type="dxa"/>
              <w:left w:w="107" w:type="dxa"/>
              <w:bottom w:w="0" w:type="dxa"/>
              <w:right w:w="107" w:type="dxa"/>
            </w:tcMar>
          </w:tcPr>
          <w:p w14:paraId="765D95F6" w14:textId="77777777" w:rsidR="00F54390" w:rsidRPr="0097683C" w:rsidRDefault="00F54390" w:rsidP="00050E71">
            <w:pPr>
              <w:rPr>
                <w:rFonts w:eastAsia="Calibri"/>
                <w:b/>
                <w:bCs/>
              </w:rPr>
            </w:pPr>
            <w:r w:rsidRPr="0097683C">
              <w:rPr>
                <w:rFonts w:eastAsia="Calibri"/>
                <w:b/>
                <w:bCs/>
              </w:rPr>
              <w:t>Column 1</w:t>
            </w:r>
          </w:p>
        </w:tc>
        <w:tc>
          <w:tcPr>
            <w:tcW w:w="4353" w:type="dxa"/>
            <w:tcBorders>
              <w:top w:val="nil"/>
              <w:left w:val="nil"/>
              <w:bottom w:val="single" w:sz="12" w:space="0" w:color="auto"/>
              <w:right w:val="nil"/>
            </w:tcBorders>
            <w:tcMar>
              <w:top w:w="0" w:type="dxa"/>
              <w:left w:w="107" w:type="dxa"/>
              <w:bottom w:w="0" w:type="dxa"/>
              <w:right w:w="107" w:type="dxa"/>
            </w:tcMar>
          </w:tcPr>
          <w:p w14:paraId="7F4EFAAB" w14:textId="77777777" w:rsidR="00F54390" w:rsidRPr="0097683C" w:rsidRDefault="00F54390" w:rsidP="00050E71">
            <w:pPr>
              <w:rPr>
                <w:rFonts w:eastAsia="Calibri"/>
                <w:b/>
                <w:bCs/>
              </w:rPr>
            </w:pPr>
            <w:r w:rsidRPr="0097683C">
              <w:rPr>
                <w:rFonts w:eastAsia="Calibri"/>
                <w:b/>
                <w:bCs/>
              </w:rPr>
              <w:t>Column 2</w:t>
            </w:r>
          </w:p>
        </w:tc>
        <w:tc>
          <w:tcPr>
            <w:tcW w:w="2820" w:type="dxa"/>
            <w:tcBorders>
              <w:top w:val="nil"/>
              <w:left w:val="nil"/>
              <w:bottom w:val="single" w:sz="12" w:space="0" w:color="auto"/>
              <w:right w:val="nil"/>
            </w:tcBorders>
            <w:tcMar>
              <w:top w:w="0" w:type="dxa"/>
              <w:left w:w="107" w:type="dxa"/>
              <w:bottom w:w="0" w:type="dxa"/>
              <w:right w:w="107" w:type="dxa"/>
            </w:tcMar>
          </w:tcPr>
          <w:p w14:paraId="13F37F84" w14:textId="77777777" w:rsidR="00F54390" w:rsidRPr="0097683C" w:rsidRDefault="00F54390" w:rsidP="00050E71">
            <w:pPr>
              <w:rPr>
                <w:rFonts w:eastAsia="Calibri"/>
                <w:b/>
                <w:bCs/>
              </w:rPr>
            </w:pPr>
            <w:r w:rsidRPr="0097683C">
              <w:rPr>
                <w:rFonts w:eastAsia="Calibri"/>
                <w:b/>
                <w:bCs/>
              </w:rPr>
              <w:t>Column 3</w:t>
            </w:r>
          </w:p>
        </w:tc>
      </w:tr>
      <w:tr w:rsidR="00F54390" w:rsidRPr="00D340A6" w14:paraId="0E9A4A67" w14:textId="77777777" w:rsidTr="00050E71">
        <w:trPr>
          <w:trHeight w:val="305"/>
          <w:tblHeader/>
        </w:trPr>
        <w:tc>
          <w:tcPr>
            <w:tcW w:w="1934" w:type="dxa"/>
            <w:tcBorders>
              <w:top w:val="nil"/>
              <w:left w:val="nil"/>
              <w:bottom w:val="single" w:sz="12" w:space="0" w:color="auto"/>
              <w:right w:val="nil"/>
            </w:tcBorders>
            <w:tcMar>
              <w:top w:w="0" w:type="dxa"/>
              <w:left w:w="107" w:type="dxa"/>
              <w:bottom w:w="0" w:type="dxa"/>
              <w:right w:w="107" w:type="dxa"/>
            </w:tcMar>
            <w:hideMark/>
          </w:tcPr>
          <w:p w14:paraId="76B943AB" w14:textId="77777777" w:rsidR="00F54390" w:rsidRPr="0097683C" w:rsidRDefault="00F54390" w:rsidP="00050E71">
            <w:pPr>
              <w:rPr>
                <w:rFonts w:eastAsia="Calibri"/>
                <w:b/>
                <w:bCs/>
              </w:rPr>
            </w:pPr>
            <w:r w:rsidRPr="0097683C">
              <w:rPr>
                <w:rFonts w:eastAsia="Calibri"/>
                <w:b/>
                <w:bCs/>
              </w:rPr>
              <w:t>Provisions</w:t>
            </w:r>
          </w:p>
        </w:tc>
        <w:tc>
          <w:tcPr>
            <w:tcW w:w="4353" w:type="dxa"/>
            <w:tcBorders>
              <w:top w:val="nil"/>
              <w:left w:val="nil"/>
              <w:bottom w:val="single" w:sz="12" w:space="0" w:color="auto"/>
              <w:right w:val="nil"/>
            </w:tcBorders>
            <w:tcMar>
              <w:top w:w="0" w:type="dxa"/>
              <w:left w:w="107" w:type="dxa"/>
              <w:bottom w:w="0" w:type="dxa"/>
              <w:right w:w="107" w:type="dxa"/>
            </w:tcMar>
            <w:hideMark/>
          </w:tcPr>
          <w:p w14:paraId="3C65DCF3" w14:textId="77777777" w:rsidR="00F54390" w:rsidRPr="0097683C" w:rsidRDefault="00F54390" w:rsidP="00050E71">
            <w:pPr>
              <w:rPr>
                <w:rFonts w:eastAsia="Calibri"/>
                <w:b/>
                <w:bCs/>
              </w:rPr>
            </w:pPr>
            <w:r w:rsidRPr="0097683C">
              <w:rPr>
                <w:rFonts w:eastAsia="Calibri"/>
                <w:b/>
                <w:bCs/>
              </w:rPr>
              <w:t>Commencement</w:t>
            </w:r>
          </w:p>
        </w:tc>
        <w:tc>
          <w:tcPr>
            <w:tcW w:w="2820" w:type="dxa"/>
            <w:tcBorders>
              <w:top w:val="nil"/>
              <w:left w:val="nil"/>
              <w:bottom w:val="single" w:sz="12" w:space="0" w:color="auto"/>
              <w:right w:val="nil"/>
            </w:tcBorders>
            <w:tcMar>
              <w:top w:w="0" w:type="dxa"/>
              <w:left w:w="107" w:type="dxa"/>
              <w:bottom w:w="0" w:type="dxa"/>
              <w:right w:w="107" w:type="dxa"/>
            </w:tcMar>
            <w:hideMark/>
          </w:tcPr>
          <w:p w14:paraId="2ADA2A6C" w14:textId="77777777" w:rsidR="00F54390" w:rsidRPr="0097683C" w:rsidRDefault="00F54390" w:rsidP="00050E71">
            <w:pPr>
              <w:rPr>
                <w:rFonts w:eastAsia="Calibri"/>
                <w:b/>
                <w:bCs/>
              </w:rPr>
            </w:pPr>
            <w:r w:rsidRPr="0097683C">
              <w:rPr>
                <w:rFonts w:eastAsia="Calibri"/>
                <w:b/>
                <w:bCs/>
              </w:rPr>
              <w:t>Date/Details</w:t>
            </w:r>
          </w:p>
        </w:tc>
      </w:tr>
      <w:tr w:rsidR="00F54390" w:rsidRPr="00955E47" w14:paraId="18B8ABE4" w14:textId="77777777" w:rsidTr="00050E71">
        <w:trPr>
          <w:trHeight w:val="550"/>
        </w:trPr>
        <w:tc>
          <w:tcPr>
            <w:tcW w:w="1934" w:type="dxa"/>
            <w:tcBorders>
              <w:top w:val="nil"/>
              <w:left w:val="nil"/>
              <w:bottom w:val="single" w:sz="12" w:space="0" w:color="auto"/>
              <w:right w:val="nil"/>
            </w:tcBorders>
            <w:tcMar>
              <w:top w:w="0" w:type="dxa"/>
              <w:left w:w="107" w:type="dxa"/>
              <w:bottom w:w="0" w:type="dxa"/>
              <w:right w:w="107" w:type="dxa"/>
            </w:tcMar>
            <w:hideMark/>
          </w:tcPr>
          <w:p w14:paraId="50250ABD" w14:textId="77777777" w:rsidR="00F54390" w:rsidRPr="00955E47" w:rsidRDefault="00F54390" w:rsidP="00050E71">
            <w:pPr>
              <w:rPr>
                <w:rFonts w:eastAsia="Calibri"/>
              </w:rPr>
            </w:pPr>
            <w:r w:rsidRPr="00955E47">
              <w:rPr>
                <w:rFonts w:eastAsia="Calibri"/>
              </w:rPr>
              <w:t>The whole of this instrument</w:t>
            </w:r>
          </w:p>
        </w:tc>
        <w:tc>
          <w:tcPr>
            <w:tcW w:w="4353" w:type="dxa"/>
            <w:tcBorders>
              <w:top w:val="nil"/>
              <w:left w:val="nil"/>
              <w:bottom w:val="single" w:sz="12" w:space="0" w:color="auto"/>
              <w:right w:val="nil"/>
            </w:tcBorders>
            <w:tcMar>
              <w:top w:w="0" w:type="dxa"/>
              <w:left w:w="107" w:type="dxa"/>
              <w:bottom w:w="0" w:type="dxa"/>
              <w:right w:w="107" w:type="dxa"/>
            </w:tcMar>
            <w:hideMark/>
          </w:tcPr>
          <w:p w14:paraId="3819CCC7" w14:textId="77777777" w:rsidR="00F54390" w:rsidRPr="00955E47" w:rsidRDefault="00F54390" w:rsidP="00050E71">
            <w:pPr>
              <w:rPr>
                <w:rFonts w:eastAsia="Calibri"/>
              </w:rPr>
            </w:pPr>
            <w:r w:rsidRPr="00955E47">
              <w:rPr>
                <w:rFonts w:eastAsia="Calibri"/>
              </w:rPr>
              <w:t>14 December 2021.</w:t>
            </w:r>
            <w:r>
              <w:rPr>
                <w:rFonts w:eastAsia="Calibri"/>
              </w:rPr>
              <w:t xml:space="preserve">  </w:t>
            </w:r>
          </w:p>
        </w:tc>
        <w:tc>
          <w:tcPr>
            <w:tcW w:w="2820" w:type="dxa"/>
            <w:tcBorders>
              <w:top w:val="nil"/>
              <w:left w:val="nil"/>
              <w:bottom w:val="single" w:sz="12" w:space="0" w:color="auto"/>
              <w:right w:val="nil"/>
            </w:tcBorders>
            <w:tcMar>
              <w:top w:w="0" w:type="dxa"/>
              <w:left w:w="107" w:type="dxa"/>
              <w:bottom w:w="0" w:type="dxa"/>
              <w:right w:w="107" w:type="dxa"/>
            </w:tcMar>
            <w:hideMark/>
          </w:tcPr>
          <w:p w14:paraId="50D1B925" w14:textId="77777777" w:rsidR="00F54390" w:rsidRPr="00955E47" w:rsidRDefault="00F54390" w:rsidP="00050E71">
            <w:pPr>
              <w:rPr>
                <w:rFonts w:eastAsia="Calibri"/>
              </w:rPr>
            </w:pPr>
            <w:r w:rsidRPr="00955E47">
              <w:rPr>
                <w:rFonts w:eastAsia="Calibri"/>
              </w:rPr>
              <w:t>14 December 2021.</w:t>
            </w:r>
            <w:r>
              <w:rPr>
                <w:rFonts w:eastAsia="Calibri"/>
              </w:rPr>
              <w:t xml:space="preserve">  </w:t>
            </w:r>
          </w:p>
        </w:tc>
      </w:tr>
    </w:tbl>
    <w:p w14:paraId="7FA70F6F" w14:textId="16A8FD94" w:rsidR="00F54390" w:rsidRPr="00955E47" w:rsidRDefault="00F54390" w:rsidP="00CF6C13">
      <w:pPr>
        <w:pStyle w:val="ListBullet"/>
        <w:numPr>
          <w:ilvl w:val="0"/>
          <w:numId w:val="0"/>
        </w:numPr>
        <w:ind w:left="709"/>
      </w:pPr>
    </w:p>
    <w:p w14:paraId="03AB8A06" w14:textId="77777777" w:rsidR="00F54390" w:rsidRDefault="00F54390" w:rsidP="0097683C">
      <w:pPr>
        <w:pStyle w:val="ListBullet"/>
        <w:numPr>
          <w:ilvl w:val="0"/>
          <w:numId w:val="0"/>
        </w:numPr>
        <w:spacing w:line="240" w:lineRule="exact"/>
        <w:ind w:left="709" w:hanging="709"/>
      </w:pPr>
      <w:r w:rsidRPr="00955E47">
        <w:t>Note:  This table relates only to the provisions of this instrument as originally made.</w:t>
      </w:r>
      <w:r>
        <w:t xml:space="preserve">  </w:t>
      </w:r>
      <w:r w:rsidRPr="00955E47">
        <w:t>It will not be amended to deal with any later amendments of this instrument.</w:t>
      </w:r>
    </w:p>
    <w:p w14:paraId="3F7CDB25" w14:textId="77777777" w:rsidR="00766217" w:rsidRDefault="00766217" w:rsidP="00766217"/>
    <w:p w14:paraId="7B9ED67D" w14:textId="77777777" w:rsidR="00766217" w:rsidRPr="00DC0A7D" w:rsidRDefault="00766217" w:rsidP="00050E71">
      <w:pPr>
        <w:pStyle w:val="ParaPlain"/>
      </w:pPr>
      <w:bookmarkStart w:id="26" w:name="TOCEnd"/>
      <w:bookmarkEnd w:id="26"/>
    </w:p>
    <w:p w14:paraId="1797611D" w14:textId="77777777" w:rsidR="00766217" w:rsidRDefault="00766217" w:rsidP="00766217"/>
    <w:sectPr w:rsidR="00766217" w:rsidSect="00766217">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84A1" w14:textId="77777777" w:rsidR="00BD2C39" w:rsidRDefault="00BD2C39">
      <w:r>
        <w:separator/>
      </w:r>
    </w:p>
  </w:endnote>
  <w:endnote w:type="continuationSeparator" w:id="0">
    <w:p w14:paraId="3F2C4D1E" w14:textId="77777777" w:rsidR="00BD2C39" w:rsidRDefault="00BD2C39">
      <w:r>
        <w:continuationSeparator/>
      </w:r>
    </w:p>
  </w:endnote>
  <w:endnote w:type="continuationNotice" w:id="1">
    <w:p w14:paraId="440DDE02" w14:textId="77777777" w:rsidR="00BD2C39" w:rsidRDefault="00BD2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5F7" w14:textId="50F141CF" w:rsidR="00A840B3" w:rsidRDefault="00B0185F" w:rsidP="00A13EDD">
    <w:pPr>
      <w:pStyle w:val="Footer"/>
      <w:spacing w:before="200"/>
      <w:rPr>
        <w:rStyle w:val="PageNumber"/>
      </w:rPr>
    </w:pPr>
    <w:r>
      <w:fldChar w:fldCharType="begin" w:fldLock="1"/>
    </w:r>
    <w:r>
      <w:instrText xml:space="preserve"> REF DocType \* charformat \* MERGEFORMAT </w:instrText>
    </w:r>
    <w:r>
      <w:fldChar w:fldCharType="separate"/>
    </w:r>
    <w:r w:rsidR="00D81217" w:rsidRPr="00D81217">
      <w:t>ASA</w:t>
    </w:r>
    <w:r>
      <w:fldChar w:fldCharType="end"/>
    </w:r>
    <w:r w:rsidR="00937B9F" w:rsidRPr="00937B9F">
      <w:t xml:space="preserve"> </w:t>
    </w:r>
    <w:r>
      <w:fldChar w:fldCharType="begin" w:fldLock="1"/>
    </w:r>
    <w:r>
      <w:instrText xml:space="preserve"> REF DocNo \* charformat \* MERGEFORMAT </w:instrText>
    </w:r>
    <w:r>
      <w:fldChar w:fldCharType="separate"/>
    </w:r>
    <w:r w:rsidR="00D81217" w:rsidRPr="00D81217">
      <w:t>2021-5</w:t>
    </w:r>
    <w:r>
      <w:fldChar w:fldCharType="end"/>
    </w:r>
    <w:r w:rsidR="00937B9F" w:rsidRPr="00937B9F">
      <w:tab/>
    </w:r>
    <w:r w:rsidR="00937B9F" w:rsidRPr="00937B9F">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937B9F">
      <w:rPr>
        <w:rStyle w:val="PageNumber"/>
      </w:rPr>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76B9" w14:textId="4758F903" w:rsidR="00A840B3" w:rsidRDefault="00B0185F" w:rsidP="00A13EDD">
    <w:pPr>
      <w:pStyle w:val="Footer"/>
      <w:spacing w:before="200"/>
      <w:rPr>
        <w:rStyle w:val="PageNumber"/>
      </w:rPr>
    </w:pPr>
    <w:r>
      <w:fldChar w:fldCharType="begin" w:fldLock="1"/>
    </w:r>
    <w:r>
      <w:instrText xml:space="preserve"> REF DocType \* charformat \* MERGEFORMAT </w:instrText>
    </w:r>
    <w:r>
      <w:fldChar w:fldCharType="separate"/>
    </w:r>
    <w:r w:rsidR="00D81217" w:rsidRPr="00D81217">
      <w:t>ASA</w:t>
    </w:r>
    <w:r>
      <w:fldChar w:fldCharType="end"/>
    </w:r>
    <w:r w:rsidR="00937B9F" w:rsidRPr="00937B9F">
      <w:t xml:space="preserve"> </w:t>
    </w:r>
    <w:r>
      <w:fldChar w:fldCharType="begin" w:fldLock="1"/>
    </w:r>
    <w:r>
      <w:instrText xml:space="preserve"> REF DocNo \* charformat \* MERGEFORMAT </w:instrText>
    </w:r>
    <w:r>
      <w:fldChar w:fldCharType="separate"/>
    </w:r>
    <w:r w:rsidR="00D81217" w:rsidRPr="00D81217">
      <w:t>2021-5</w:t>
    </w:r>
    <w:r>
      <w:fldChar w:fldCharType="end"/>
    </w:r>
    <w:r w:rsidR="00937B9F" w:rsidRPr="00937B9F">
      <w:tab/>
    </w:r>
    <w:r w:rsidR="00937B9F" w:rsidRPr="00937B9F">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937B9F">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5F9B" w14:textId="77777777" w:rsidR="00BD2C39" w:rsidRDefault="00BD2C39" w:rsidP="00F8727A">
      <w:pPr>
        <w:spacing w:before="240"/>
      </w:pPr>
      <w:r>
        <w:separator/>
      </w:r>
    </w:p>
  </w:footnote>
  <w:footnote w:type="continuationSeparator" w:id="0">
    <w:p w14:paraId="1666A0DD" w14:textId="77777777" w:rsidR="00BD2C39" w:rsidRDefault="00BD2C39" w:rsidP="00F8727A">
      <w:pPr>
        <w:spacing w:before="240"/>
      </w:pPr>
      <w:r>
        <w:continuationSeparator/>
      </w:r>
    </w:p>
  </w:footnote>
  <w:footnote w:type="continuationNotice" w:id="1">
    <w:p w14:paraId="04C49DC8" w14:textId="77777777" w:rsidR="00BD2C39" w:rsidRDefault="00BD2C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3D0" w14:textId="77777777" w:rsidR="00A840B3" w:rsidRDefault="00A840B3">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5416" w14:textId="77777777" w:rsidR="00A840B3" w:rsidRDefault="00A840B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5E2A" w14:textId="390E6E18" w:rsidR="00A840B3" w:rsidRDefault="00B0185F">
    <w:pPr>
      <w:pStyle w:val="Header"/>
      <w:rPr>
        <w:i/>
        <w:iCs/>
      </w:rPr>
    </w:pPr>
    <w:r>
      <w:fldChar w:fldCharType="begin" w:fldLock="1"/>
    </w:r>
    <w:r>
      <w:instrText xml:space="preserve"> REF DocTypeLong \* charformat </w:instrText>
    </w:r>
    <w:r>
      <w:fldChar w:fldCharType="separate"/>
    </w:r>
    <w:r w:rsidR="00D81217" w:rsidRPr="00D81217">
      <w:t>Auditing Standard</w:t>
    </w:r>
    <w:r>
      <w:fldChar w:fldCharType="end"/>
    </w:r>
    <w:r w:rsidR="00A840B3" w:rsidRPr="00C649F8">
      <w:t xml:space="preserve"> </w:t>
    </w:r>
    <w:r>
      <w:fldChar w:fldCharType="begin" w:fldLock="1"/>
    </w:r>
    <w:r>
      <w:instrText xml:space="preserve"> REF DocTy</w:instrText>
    </w:r>
    <w:r>
      <w:instrText xml:space="preserve">pe \* charformat </w:instrText>
    </w:r>
    <w:r>
      <w:fldChar w:fldCharType="separate"/>
    </w:r>
    <w:r w:rsidR="00D81217" w:rsidRPr="00D81217">
      <w:t>ASA</w:t>
    </w:r>
    <w:r>
      <w:fldChar w:fldCharType="end"/>
    </w:r>
    <w:r w:rsidR="00F8727A">
      <w:t> </w:t>
    </w:r>
    <w:r>
      <w:fldChar w:fldCharType="begin" w:fldLock="1"/>
    </w:r>
    <w:r>
      <w:instrText xml:space="preserve"> REF DocNo \* charformat </w:instrText>
    </w:r>
    <w:r>
      <w:fldChar w:fldCharType="separate"/>
    </w:r>
    <w:r w:rsidR="00D81217" w:rsidRPr="00D81217">
      <w:t>2021-5</w:t>
    </w:r>
    <w:r>
      <w:fldChar w:fldCharType="end"/>
    </w:r>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00D81217" w:rsidRPr="00D81217">
      <w:rPr>
        <w:i/>
        <w:iCs/>
      </w:rPr>
      <w:t>Amendments to Australian Auditing Standards</w:t>
    </w:r>
    <w:r w:rsidR="00A840B3" w:rsidRPr="00C649F8">
      <w:fldChar w:fldCharType="end"/>
    </w:r>
  </w:p>
  <w:p w14:paraId="536A342B" w14:textId="77777777" w:rsidR="00A840B3" w:rsidRDefault="00A840B3"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3E32" w14:textId="77777777" w:rsidR="00A840B3" w:rsidRDefault="00A840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748"/>
    <w:multiLevelType w:val="multilevel"/>
    <w:tmpl w:val="259AFFBE"/>
    <w:styleLink w:val="TableNumbers"/>
    <w:lvl w:ilvl="0">
      <w:start w:val="1"/>
      <w:numFmt w:val="none"/>
      <w:suff w:val="nothing"/>
      <w:lvlText w:val=""/>
      <w:lvlJc w:val="left"/>
      <w:pPr>
        <w:ind w:left="0" w:firstLine="0"/>
      </w:pPr>
      <w:rPr>
        <w:rFonts w:hint="default"/>
      </w:rPr>
    </w:lvl>
    <w:lvl w:ilvl="1">
      <w:start w:val="1"/>
      <w:numFmt w:val="lowerLetter"/>
      <w:lvlText w:val="(%2)"/>
      <w:lvlJc w:val="left"/>
      <w:pPr>
        <w:ind w:left="1106" w:hanging="397"/>
      </w:pPr>
      <w:rPr>
        <w:rFonts w:hint="default"/>
      </w:rPr>
    </w:lvl>
    <w:lvl w:ilvl="2">
      <w:start w:val="1"/>
      <w:numFmt w:val="lowerRoman"/>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7320F7E"/>
    <w:multiLevelType w:val="multilevel"/>
    <w:tmpl w:val="259AFFBE"/>
    <w:numStyleLink w:val="TableNumbers"/>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7"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5002F"/>
    <w:multiLevelType w:val="multilevel"/>
    <w:tmpl w:val="259AFFBE"/>
    <w:numStyleLink w:val="TableNumbers"/>
  </w:abstractNum>
  <w:abstractNum w:abstractNumId="9"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653567B0"/>
    <w:multiLevelType w:val="multilevel"/>
    <w:tmpl w:val="259AFFBE"/>
    <w:numStyleLink w:val="TableNumbers"/>
  </w:abstractNum>
  <w:abstractNum w:abstractNumId="11"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10"/>
  </w:num>
  <w:num w:numId="10">
    <w:abstractNumId w:val="9"/>
  </w:num>
  <w:num w:numId="11">
    <w:abstractNumId w:val="6"/>
  </w:num>
  <w:num w:numId="12">
    <w:abstractNumId w:val="7"/>
  </w:num>
  <w:num w:numId="13">
    <w:abstractNumId w:val="11"/>
  </w:num>
  <w:num w:numId="14">
    <w:abstractNumId w:val="4"/>
    <w:lvlOverride w:ilvl="0">
      <w:lvl w:ilvl="0">
        <w:start w:val="1"/>
        <w:numFmt w:val="decimal"/>
        <w:pStyle w:val="ParaLevel1"/>
        <w:lvlText w:val="%1."/>
        <w:lvlJc w:val="left"/>
        <w:pPr>
          <w:tabs>
            <w:tab w:val="num" w:pos="709"/>
          </w:tabs>
          <w:ind w:left="709" w:hanging="709"/>
        </w:pPr>
        <w:rPr>
          <w:rFonts w:hint="default"/>
          <w:i w:val="0"/>
          <w:iCs w:val="0"/>
        </w:rPr>
      </w:lvl>
    </w:lvlOverride>
    <w:lvlOverride w:ilvl="1">
      <w:lvl w:ilvl="1">
        <w:start w:val="1"/>
        <w:numFmt w:val="lowerLetter"/>
        <w:pStyle w:val="ParaLevel2"/>
        <w:lvlText w:val="(%2)"/>
        <w:lvlJc w:val="left"/>
        <w:pPr>
          <w:tabs>
            <w:tab w:val="num" w:pos="1560"/>
          </w:tabs>
          <w:ind w:left="1560"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7"/>
    <w:rsid w:val="000010DD"/>
    <w:rsid w:val="000027CA"/>
    <w:rsid w:val="0000664A"/>
    <w:rsid w:val="000069A5"/>
    <w:rsid w:val="000137EF"/>
    <w:rsid w:val="00015F83"/>
    <w:rsid w:val="000174C5"/>
    <w:rsid w:val="00020F9C"/>
    <w:rsid w:val="00021503"/>
    <w:rsid w:val="00024AB7"/>
    <w:rsid w:val="00025454"/>
    <w:rsid w:val="00031FEA"/>
    <w:rsid w:val="0003290E"/>
    <w:rsid w:val="00035B0C"/>
    <w:rsid w:val="0003697C"/>
    <w:rsid w:val="000421D0"/>
    <w:rsid w:val="00042C54"/>
    <w:rsid w:val="00050E71"/>
    <w:rsid w:val="00052463"/>
    <w:rsid w:val="000611EB"/>
    <w:rsid w:val="00061C75"/>
    <w:rsid w:val="00063410"/>
    <w:rsid w:val="000658E2"/>
    <w:rsid w:val="0008431E"/>
    <w:rsid w:val="00087D11"/>
    <w:rsid w:val="00091652"/>
    <w:rsid w:val="000924C3"/>
    <w:rsid w:val="00097BDA"/>
    <w:rsid w:val="000A2F4F"/>
    <w:rsid w:val="000B1472"/>
    <w:rsid w:val="000B2D33"/>
    <w:rsid w:val="000B3639"/>
    <w:rsid w:val="000B579F"/>
    <w:rsid w:val="000B5E40"/>
    <w:rsid w:val="000B7E0F"/>
    <w:rsid w:val="000C00A1"/>
    <w:rsid w:val="000C0384"/>
    <w:rsid w:val="000C74B8"/>
    <w:rsid w:val="000D0DE1"/>
    <w:rsid w:val="000D0E27"/>
    <w:rsid w:val="000D1A44"/>
    <w:rsid w:val="000D242B"/>
    <w:rsid w:val="000D243E"/>
    <w:rsid w:val="000D307E"/>
    <w:rsid w:val="000D3776"/>
    <w:rsid w:val="000D4E5C"/>
    <w:rsid w:val="000D6B90"/>
    <w:rsid w:val="000D6DE4"/>
    <w:rsid w:val="000D7067"/>
    <w:rsid w:val="000E28F4"/>
    <w:rsid w:val="000F783C"/>
    <w:rsid w:val="001019C4"/>
    <w:rsid w:val="00102B9C"/>
    <w:rsid w:val="00103382"/>
    <w:rsid w:val="00105493"/>
    <w:rsid w:val="00105B19"/>
    <w:rsid w:val="0010619A"/>
    <w:rsid w:val="00107B60"/>
    <w:rsid w:val="001103DA"/>
    <w:rsid w:val="00110835"/>
    <w:rsid w:val="00110F0D"/>
    <w:rsid w:val="00110FC8"/>
    <w:rsid w:val="00111C17"/>
    <w:rsid w:val="001133B4"/>
    <w:rsid w:val="001138B5"/>
    <w:rsid w:val="00115E2C"/>
    <w:rsid w:val="0012058F"/>
    <w:rsid w:val="0012539A"/>
    <w:rsid w:val="00135528"/>
    <w:rsid w:val="001376D2"/>
    <w:rsid w:val="00141F58"/>
    <w:rsid w:val="001439C1"/>
    <w:rsid w:val="001627A5"/>
    <w:rsid w:val="00163DED"/>
    <w:rsid w:val="001649B1"/>
    <w:rsid w:val="001653D3"/>
    <w:rsid w:val="00174A9B"/>
    <w:rsid w:val="001807A7"/>
    <w:rsid w:val="00181DD0"/>
    <w:rsid w:val="00184705"/>
    <w:rsid w:val="00190B7F"/>
    <w:rsid w:val="001913E1"/>
    <w:rsid w:val="00193487"/>
    <w:rsid w:val="001A5A4A"/>
    <w:rsid w:val="001B094E"/>
    <w:rsid w:val="001B5857"/>
    <w:rsid w:val="001C00FE"/>
    <w:rsid w:val="001C257C"/>
    <w:rsid w:val="001C55D9"/>
    <w:rsid w:val="001C671A"/>
    <w:rsid w:val="001C6A39"/>
    <w:rsid w:val="001C6A4C"/>
    <w:rsid w:val="001C6EC4"/>
    <w:rsid w:val="001D088B"/>
    <w:rsid w:val="001E7BF0"/>
    <w:rsid w:val="001F3001"/>
    <w:rsid w:val="001F5BAD"/>
    <w:rsid w:val="001F76B1"/>
    <w:rsid w:val="002018EC"/>
    <w:rsid w:val="00204E33"/>
    <w:rsid w:val="00207EC4"/>
    <w:rsid w:val="00212AF4"/>
    <w:rsid w:val="002146FA"/>
    <w:rsid w:val="00216C02"/>
    <w:rsid w:val="002203D4"/>
    <w:rsid w:val="002211E6"/>
    <w:rsid w:val="00222D31"/>
    <w:rsid w:val="00223C11"/>
    <w:rsid w:val="00225116"/>
    <w:rsid w:val="002252F8"/>
    <w:rsid w:val="00231133"/>
    <w:rsid w:val="00237187"/>
    <w:rsid w:val="0024602C"/>
    <w:rsid w:val="00247422"/>
    <w:rsid w:val="00252433"/>
    <w:rsid w:val="002527FD"/>
    <w:rsid w:val="0025349C"/>
    <w:rsid w:val="00253692"/>
    <w:rsid w:val="00253EF9"/>
    <w:rsid w:val="00254560"/>
    <w:rsid w:val="00257B30"/>
    <w:rsid w:val="00262DBD"/>
    <w:rsid w:val="002652AE"/>
    <w:rsid w:val="00265529"/>
    <w:rsid w:val="00267A2E"/>
    <w:rsid w:val="00270E3E"/>
    <w:rsid w:val="00274FCE"/>
    <w:rsid w:val="00275715"/>
    <w:rsid w:val="00275B74"/>
    <w:rsid w:val="00277A56"/>
    <w:rsid w:val="00287D3A"/>
    <w:rsid w:val="00291C1E"/>
    <w:rsid w:val="00293C0B"/>
    <w:rsid w:val="002970D6"/>
    <w:rsid w:val="002A4D55"/>
    <w:rsid w:val="002B36A3"/>
    <w:rsid w:val="002B491D"/>
    <w:rsid w:val="002C167D"/>
    <w:rsid w:val="002C7149"/>
    <w:rsid w:val="002D3424"/>
    <w:rsid w:val="002D7157"/>
    <w:rsid w:val="002E0045"/>
    <w:rsid w:val="002E02E5"/>
    <w:rsid w:val="002E0D64"/>
    <w:rsid w:val="002E0E74"/>
    <w:rsid w:val="002F6B82"/>
    <w:rsid w:val="00300B07"/>
    <w:rsid w:val="00301C19"/>
    <w:rsid w:val="00303117"/>
    <w:rsid w:val="00306690"/>
    <w:rsid w:val="0031455E"/>
    <w:rsid w:val="00316714"/>
    <w:rsid w:val="00316868"/>
    <w:rsid w:val="00316D36"/>
    <w:rsid w:val="00321E7D"/>
    <w:rsid w:val="00324E2F"/>
    <w:rsid w:val="00325AC9"/>
    <w:rsid w:val="00325CA3"/>
    <w:rsid w:val="00331C6B"/>
    <w:rsid w:val="00334F5D"/>
    <w:rsid w:val="003439DB"/>
    <w:rsid w:val="00346D63"/>
    <w:rsid w:val="003513B6"/>
    <w:rsid w:val="003522A7"/>
    <w:rsid w:val="00352DE1"/>
    <w:rsid w:val="00362E80"/>
    <w:rsid w:val="003663DE"/>
    <w:rsid w:val="00366434"/>
    <w:rsid w:val="003679CE"/>
    <w:rsid w:val="0037659A"/>
    <w:rsid w:val="0037781A"/>
    <w:rsid w:val="003908B6"/>
    <w:rsid w:val="00393045"/>
    <w:rsid w:val="003944C8"/>
    <w:rsid w:val="003966B7"/>
    <w:rsid w:val="003A03DE"/>
    <w:rsid w:val="003A0F68"/>
    <w:rsid w:val="003A27F9"/>
    <w:rsid w:val="003A5223"/>
    <w:rsid w:val="003A729B"/>
    <w:rsid w:val="003B0290"/>
    <w:rsid w:val="003B5CD1"/>
    <w:rsid w:val="003B6552"/>
    <w:rsid w:val="003B6F9C"/>
    <w:rsid w:val="003C1054"/>
    <w:rsid w:val="003C37C1"/>
    <w:rsid w:val="003C3D80"/>
    <w:rsid w:val="003C5AF8"/>
    <w:rsid w:val="003C6173"/>
    <w:rsid w:val="003C66E8"/>
    <w:rsid w:val="003D17A7"/>
    <w:rsid w:val="003D5000"/>
    <w:rsid w:val="003D7EC3"/>
    <w:rsid w:val="003E103A"/>
    <w:rsid w:val="003F43B2"/>
    <w:rsid w:val="003F4852"/>
    <w:rsid w:val="003F4857"/>
    <w:rsid w:val="003F52F5"/>
    <w:rsid w:val="003F6685"/>
    <w:rsid w:val="00404CDD"/>
    <w:rsid w:val="00404E72"/>
    <w:rsid w:val="00404F1C"/>
    <w:rsid w:val="00406205"/>
    <w:rsid w:val="004118D2"/>
    <w:rsid w:val="004123DE"/>
    <w:rsid w:val="00412FB7"/>
    <w:rsid w:val="004164FA"/>
    <w:rsid w:val="0041659B"/>
    <w:rsid w:val="00417D52"/>
    <w:rsid w:val="004208CD"/>
    <w:rsid w:val="004230B8"/>
    <w:rsid w:val="00433360"/>
    <w:rsid w:val="00440F6E"/>
    <w:rsid w:val="00446871"/>
    <w:rsid w:val="00451E52"/>
    <w:rsid w:val="00452DB4"/>
    <w:rsid w:val="00453D65"/>
    <w:rsid w:val="004570F8"/>
    <w:rsid w:val="00457777"/>
    <w:rsid w:val="0046624A"/>
    <w:rsid w:val="00466E48"/>
    <w:rsid w:val="00470C0A"/>
    <w:rsid w:val="00471593"/>
    <w:rsid w:val="00474FB1"/>
    <w:rsid w:val="00476E58"/>
    <w:rsid w:val="004828CC"/>
    <w:rsid w:val="00485897"/>
    <w:rsid w:val="0049163E"/>
    <w:rsid w:val="00493541"/>
    <w:rsid w:val="00494740"/>
    <w:rsid w:val="00496A00"/>
    <w:rsid w:val="004976BB"/>
    <w:rsid w:val="004A003C"/>
    <w:rsid w:val="004A1D7F"/>
    <w:rsid w:val="004A2848"/>
    <w:rsid w:val="004A2CBA"/>
    <w:rsid w:val="004A3337"/>
    <w:rsid w:val="004A41E1"/>
    <w:rsid w:val="004A7111"/>
    <w:rsid w:val="004A78CE"/>
    <w:rsid w:val="004B6A06"/>
    <w:rsid w:val="004B703B"/>
    <w:rsid w:val="004C1B39"/>
    <w:rsid w:val="004C5EE4"/>
    <w:rsid w:val="004C635F"/>
    <w:rsid w:val="004C6639"/>
    <w:rsid w:val="004D1D30"/>
    <w:rsid w:val="004D3084"/>
    <w:rsid w:val="004D4267"/>
    <w:rsid w:val="004D4D03"/>
    <w:rsid w:val="004D5453"/>
    <w:rsid w:val="004D66D9"/>
    <w:rsid w:val="004F360E"/>
    <w:rsid w:val="004F6141"/>
    <w:rsid w:val="005078D3"/>
    <w:rsid w:val="00513291"/>
    <w:rsid w:val="00513383"/>
    <w:rsid w:val="00515563"/>
    <w:rsid w:val="00515CC3"/>
    <w:rsid w:val="00516B32"/>
    <w:rsid w:val="005213D3"/>
    <w:rsid w:val="0052624B"/>
    <w:rsid w:val="00526ED5"/>
    <w:rsid w:val="00531090"/>
    <w:rsid w:val="0053180B"/>
    <w:rsid w:val="00534D40"/>
    <w:rsid w:val="00535284"/>
    <w:rsid w:val="00542DEB"/>
    <w:rsid w:val="00546141"/>
    <w:rsid w:val="00553983"/>
    <w:rsid w:val="0055461D"/>
    <w:rsid w:val="0055781B"/>
    <w:rsid w:val="00561049"/>
    <w:rsid w:val="005625B6"/>
    <w:rsid w:val="0056310C"/>
    <w:rsid w:val="005635DB"/>
    <w:rsid w:val="005647A3"/>
    <w:rsid w:val="005650BA"/>
    <w:rsid w:val="00570FF0"/>
    <w:rsid w:val="00575A24"/>
    <w:rsid w:val="00575E6B"/>
    <w:rsid w:val="0057786A"/>
    <w:rsid w:val="005901CC"/>
    <w:rsid w:val="005906CD"/>
    <w:rsid w:val="00591D2C"/>
    <w:rsid w:val="005950AA"/>
    <w:rsid w:val="005A2218"/>
    <w:rsid w:val="005A75EA"/>
    <w:rsid w:val="005A7AFD"/>
    <w:rsid w:val="005B0DFC"/>
    <w:rsid w:val="005B3730"/>
    <w:rsid w:val="005B3C34"/>
    <w:rsid w:val="005B5FB6"/>
    <w:rsid w:val="005D25A9"/>
    <w:rsid w:val="005E4AF1"/>
    <w:rsid w:val="005E54D8"/>
    <w:rsid w:val="005E6471"/>
    <w:rsid w:val="005F0AF9"/>
    <w:rsid w:val="005F4DCA"/>
    <w:rsid w:val="005F7700"/>
    <w:rsid w:val="006014A0"/>
    <w:rsid w:val="00602764"/>
    <w:rsid w:val="00612441"/>
    <w:rsid w:val="00615A14"/>
    <w:rsid w:val="0062124F"/>
    <w:rsid w:val="00625D30"/>
    <w:rsid w:val="00626A7D"/>
    <w:rsid w:val="006275FF"/>
    <w:rsid w:val="00627868"/>
    <w:rsid w:val="00635B00"/>
    <w:rsid w:val="0063639C"/>
    <w:rsid w:val="006404AE"/>
    <w:rsid w:val="00641825"/>
    <w:rsid w:val="00643057"/>
    <w:rsid w:val="00643692"/>
    <w:rsid w:val="006460BA"/>
    <w:rsid w:val="00654995"/>
    <w:rsid w:val="00655D93"/>
    <w:rsid w:val="00660BC1"/>
    <w:rsid w:val="00661157"/>
    <w:rsid w:val="006667D5"/>
    <w:rsid w:val="006676E7"/>
    <w:rsid w:val="00667866"/>
    <w:rsid w:val="00667FA2"/>
    <w:rsid w:val="00670966"/>
    <w:rsid w:val="00670F1D"/>
    <w:rsid w:val="006775FC"/>
    <w:rsid w:val="00682E02"/>
    <w:rsid w:val="00687966"/>
    <w:rsid w:val="00687B07"/>
    <w:rsid w:val="00690DA0"/>
    <w:rsid w:val="00691744"/>
    <w:rsid w:val="006923C1"/>
    <w:rsid w:val="006926D1"/>
    <w:rsid w:val="0069770B"/>
    <w:rsid w:val="006A1F8C"/>
    <w:rsid w:val="006A6D7B"/>
    <w:rsid w:val="006B1EFA"/>
    <w:rsid w:val="006B57C4"/>
    <w:rsid w:val="006C18EF"/>
    <w:rsid w:val="006C64DC"/>
    <w:rsid w:val="006D18AD"/>
    <w:rsid w:val="006D47F0"/>
    <w:rsid w:val="006E1141"/>
    <w:rsid w:val="006E2313"/>
    <w:rsid w:val="006E419A"/>
    <w:rsid w:val="006E703F"/>
    <w:rsid w:val="00700A94"/>
    <w:rsid w:val="00707C16"/>
    <w:rsid w:val="007141C9"/>
    <w:rsid w:val="00717DC6"/>
    <w:rsid w:val="00722F13"/>
    <w:rsid w:val="00733702"/>
    <w:rsid w:val="00733F1A"/>
    <w:rsid w:val="00735089"/>
    <w:rsid w:val="007354C1"/>
    <w:rsid w:val="00735ECC"/>
    <w:rsid w:val="007449B9"/>
    <w:rsid w:val="00744B65"/>
    <w:rsid w:val="007472FD"/>
    <w:rsid w:val="00766217"/>
    <w:rsid w:val="00773752"/>
    <w:rsid w:val="00776DC5"/>
    <w:rsid w:val="0077771A"/>
    <w:rsid w:val="00782360"/>
    <w:rsid w:val="007833DD"/>
    <w:rsid w:val="00786E8D"/>
    <w:rsid w:val="007A0991"/>
    <w:rsid w:val="007A100C"/>
    <w:rsid w:val="007A137A"/>
    <w:rsid w:val="007A525B"/>
    <w:rsid w:val="007B0BD8"/>
    <w:rsid w:val="007B0D47"/>
    <w:rsid w:val="007B10C5"/>
    <w:rsid w:val="007B5ACC"/>
    <w:rsid w:val="007B60DF"/>
    <w:rsid w:val="007B7DB9"/>
    <w:rsid w:val="007C1644"/>
    <w:rsid w:val="007C4C65"/>
    <w:rsid w:val="007C6934"/>
    <w:rsid w:val="007C6DE0"/>
    <w:rsid w:val="007D04FA"/>
    <w:rsid w:val="007D56EF"/>
    <w:rsid w:val="007E243B"/>
    <w:rsid w:val="007E2A26"/>
    <w:rsid w:val="007E3234"/>
    <w:rsid w:val="007E40EB"/>
    <w:rsid w:val="007E5D00"/>
    <w:rsid w:val="007E7C4C"/>
    <w:rsid w:val="007F0D16"/>
    <w:rsid w:val="007F2070"/>
    <w:rsid w:val="007F2398"/>
    <w:rsid w:val="007F3AF4"/>
    <w:rsid w:val="007F3F0F"/>
    <w:rsid w:val="007F42C4"/>
    <w:rsid w:val="007F5367"/>
    <w:rsid w:val="0080106E"/>
    <w:rsid w:val="00806A9F"/>
    <w:rsid w:val="008071FF"/>
    <w:rsid w:val="0081729A"/>
    <w:rsid w:val="00826438"/>
    <w:rsid w:val="008303AC"/>
    <w:rsid w:val="00834ABD"/>
    <w:rsid w:val="008353CD"/>
    <w:rsid w:val="008356AD"/>
    <w:rsid w:val="00835E16"/>
    <w:rsid w:val="008369A6"/>
    <w:rsid w:val="00841386"/>
    <w:rsid w:val="008519CF"/>
    <w:rsid w:val="00851C67"/>
    <w:rsid w:val="008546BE"/>
    <w:rsid w:val="00855FB6"/>
    <w:rsid w:val="00857A6F"/>
    <w:rsid w:val="008640D9"/>
    <w:rsid w:val="00865A2F"/>
    <w:rsid w:val="00870C18"/>
    <w:rsid w:val="00870C50"/>
    <w:rsid w:val="0087572D"/>
    <w:rsid w:val="008772D3"/>
    <w:rsid w:val="00880310"/>
    <w:rsid w:val="008809E8"/>
    <w:rsid w:val="00883B26"/>
    <w:rsid w:val="008844E4"/>
    <w:rsid w:val="008869C9"/>
    <w:rsid w:val="008A0608"/>
    <w:rsid w:val="008A11F6"/>
    <w:rsid w:val="008A4CD3"/>
    <w:rsid w:val="008B17D1"/>
    <w:rsid w:val="008B3787"/>
    <w:rsid w:val="008B5F8F"/>
    <w:rsid w:val="008B695C"/>
    <w:rsid w:val="008B6960"/>
    <w:rsid w:val="008C2440"/>
    <w:rsid w:val="008D246B"/>
    <w:rsid w:val="008D4DBC"/>
    <w:rsid w:val="008E20A9"/>
    <w:rsid w:val="008E2F18"/>
    <w:rsid w:val="008E386B"/>
    <w:rsid w:val="008E579E"/>
    <w:rsid w:val="008F2683"/>
    <w:rsid w:val="008F2CBF"/>
    <w:rsid w:val="008F3FBE"/>
    <w:rsid w:val="008F418D"/>
    <w:rsid w:val="008F5C87"/>
    <w:rsid w:val="00904241"/>
    <w:rsid w:val="00910828"/>
    <w:rsid w:val="00912D3F"/>
    <w:rsid w:val="00917004"/>
    <w:rsid w:val="00917FB1"/>
    <w:rsid w:val="00920760"/>
    <w:rsid w:val="00920831"/>
    <w:rsid w:val="009236A7"/>
    <w:rsid w:val="00926344"/>
    <w:rsid w:val="00935036"/>
    <w:rsid w:val="00937B9F"/>
    <w:rsid w:val="0094624F"/>
    <w:rsid w:val="00946A86"/>
    <w:rsid w:val="00950644"/>
    <w:rsid w:val="00955A0B"/>
    <w:rsid w:val="00955FC1"/>
    <w:rsid w:val="00956630"/>
    <w:rsid w:val="00957C55"/>
    <w:rsid w:val="00960A96"/>
    <w:rsid w:val="0096158B"/>
    <w:rsid w:val="00961DFB"/>
    <w:rsid w:val="00962B16"/>
    <w:rsid w:val="00963076"/>
    <w:rsid w:val="0097683C"/>
    <w:rsid w:val="009820B2"/>
    <w:rsid w:val="009832E9"/>
    <w:rsid w:val="00986941"/>
    <w:rsid w:val="00993267"/>
    <w:rsid w:val="00993DEF"/>
    <w:rsid w:val="00995437"/>
    <w:rsid w:val="009A1F4E"/>
    <w:rsid w:val="009A4684"/>
    <w:rsid w:val="009A5EA9"/>
    <w:rsid w:val="009A7ECB"/>
    <w:rsid w:val="009C08AE"/>
    <w:rsid w:val="009C471A"/>
    <w:rsid w:val="009D09B4"/>
    <w:rsid w:val="009D2D2C"/>
    <w:rsid w:val="009D611D"/>
    <w:rsid w:val="009D612B"/>
    <w:rsid w:val="009E5045"/>
    <w:rsid w:val="009E7B8D"/>
    <w:rsid w:val="009F566D"/>
    <w:rsid w:val="009F6A28"/>
    <w:rsid w:val="009F6B95"/>
    <w:rsid w:val="00A040E3"/>
    <w:rsid w:val="00A04AC3"/>
    <w:rsid w:val="00A10C19"/>
    <w:rsid w:val="00A132CA"/>
    <w:rsid w:val="00A134B2"/>
    <w:rsid w:val="00A13EDD"/>
    <w:rsid w:val="00A22AC3"/>
    <w:rsid w:val="00A25205"/>
    <w:rsid w:val="00A25DBE"/>
    <w:rsid w:val="00A314D9"/>
    <w:rsid w:val="00A374B7"/>
    <w:rsid w:val="00A425D3"/>
    <w:rsid w:val="00A42659"/>
    <w:rsid w:val="00A45119"/>
    <w:rsid w:val="00A5777C"/>
    <w:rsid w:val="00A57D71"/>
    <w:rsid w:val="00A7281C"/>
    <w:rsid w:val="00A767DB"/>
    <w:rsid w:val="00A840B3"/>
    <w:rsid w:val="00A869E2"/>
    <w:rsid w:val="00A9473D"/>
    <w:rsid w:val="00A955C4"/>
    <w:rsid w:val="00AA0BCE"/>
    <w:rsid w:val="00AA43F0"/>
    <w:rsid w:val="00AA46D1"/>
    <w:rsid w:val="00AA4E84"/>
    <w:rsid w:val="00AA7A49"/>
    <w:rsid w:val="00AB01F7"/>
    <w:rsid w:val="00AB1E97"/>
    <w:rsid w:val="00AB2111"/>
    <w:rsid w:val="00AB2222"/>
    <w:rsid w:val="00AC77C7"/>
    <w:rsid w:val="00AC780D"/>
    <w:rsid w:val="00AD0284"/>
    <w:rsid w:val="00AD051F"/>
    <w:rsid w:val="00AD1C37"/>
    <w:rsid w:val="00AD1F84"/>
    <w:rsid w:val="00AD33BF"/>
    <w:rsid w:val="00AD414F"/>
    <w:rsid w:val="00AE457E"/>
    <w:rsid w:val="00AF2877"/>
    <w:rsid w:val="00AF2EBA"/>
    <w:rsid w:val="00AF2F98"/>
    <w:rsid w:val="00AF2FB4"/>
    <w:rsid w:val="00AF5CA9"/>
    <w:rsid w:val="00AF5EA3"/>
    <w:rsid w:val="00AF5EBB"/>
    <w:rsid w:val="00AF6B82"/>
    <w:rsid w:val="00B01144"/>
    <w:rsid w:val="00B07391"/>
    <w:rsid w:val="00B07596"/>
    <w:rsid w:val="00B11457"/>
    <w:rsid w:val="00B20031"/>
    <w:rsid w:val="00B20288"/>
    <w:rsid w:val="00B231A3"/>
    <w:rsid w:val="00B23714"/>
    <w:rsid w:val="00B24DBA"/>
    <w:rsid w:val="00B2769C"/>
    <w:rsid w:val="00B309B4"/>
    <w:rsid w:val="00B314B2"/>
    <w:rsid w:val="00B36814"/>
    <w:rsid w:val="00B40B0F"/>
    <w:rsid w:val="00B43033"/>
    <w:rsid w:val="00B46B19"/>
    <w:rsid w:val="00B63399"/>
    <w:rsid w:val="00B64136"/>
    <w:rsid w:val="00B64E6E"/>
    <w:rsid w:val="00B74ABB"/>
    <w:rsid w:val="00B75CD4"/>
    <w:rsid w:val="00B8041A"/>
    <w:rsid w:val="00B81575"/>
    <w:rsid w:val="00B81629"/>
    <w:rsid w:val="00B84DA7"/>
    <w:rsid w:val="00B865D4"/>
    <w:rsid w:val="00B916FB"/>
    <w:rsid w:val="00B94781"/>
    <w:rsid w:val="00BA2039"/>
    <w:rsid w:val="00BB21D2"/>
    <w:rsid w:val="00BB5701"/>
    <w:rsid w:val="00BC2851"/>
    <w:rsid w:val="00BC33FB"/>
    <w:rsid w:val="00BC672F"/>
    <w:rsid w:val="00BD2111"/>
    <w:rsid w:val="00BD26C0"/>
    <w:rsid w:val="00BD2C39"/>
    <w:rsid w:val="00BD7327"/>
    <w:rsid w:val="00BD7444"/>
    <w:rsid w:val="00BE2534"/>
    <w:rsid w:val="00BE42CC"/>
    <w:rsid w:val="00BE65DA"/>
    <w:rsid w:val="00BF24C7"/>
    <w:rsid w:val="00BF3284"/>
    <w:rsid w:val="00BF32A3"/>
    <w:rsid w:val="00C01535"/>
    <w:rsid w:val="00C079B9"/>
    <w:rsid w:val="00C14D64"/>
    <w:rsid w:val="00C150F8"/>
    <w:rsid w:val="00C15117"/>
    <w:rsid w:val="00C16159"/>
    <w:rsid w:val="00C2414E"/>
    <w:rsid w:val="00C25B59"/>
    <w:rsid w:val="00C319B8"/>
    <w:rsid w:val="00C31E5D"/>
    <w:rsid w:val="00C44325"/>
    <w:rsid w:val="00C453E0"/>
    <w:rsid w:val="00C54357"/>
    <w:rsid w:val="00C57769"/>
    <w:rsid w:val="00C60F22"/>
    <w:rsid w:val="00C649F8"/>
    <w:rsid w:val="00C65F80"/>
    <w:rsid w:val="00C66EC5"/>
    <w:rsid w:val="00C7181D"/>
    <w:rsid w:val="00C75C33"/>
    <w:rsid w:val="00C85615"/>
    <w:rsid w:val="00C94D97"/>
    <w:rsid w:val="00C9628A"/>
    <w:rsid w:val="00C96744"/>
    <w:rsid w:val="00CA27DF"/>
    <w:rsid w:val="00CA2A34"/>
    <w:rsid w:val="00CA5BBD"/>
    <w:rsid w:val="00CA6452"/>
    <w:rsid w:val="00CA6980"/>
    <w:rsid w:val="00CB38E1"/>
    <w:rsid w:val="00CB5FE5"/>
    <w:rsid w:val="00CC5F22"/>
    <w:rsid w:val="00CC674F"/>
    <w:rsid w:val="00CC7EFB"/>
    <w:rsid w:val="00CD0B70"/>
    <w:rsid w:val="00CD1A22"/>
    <w:rsid w:val="00CD7D09"/>
    <w:rsid w:val="00CE7D13"/>
    <w:rsid w:val="00CF061D"/>
    <w:rsid w:val="00CF1760"/>
    <w:rsid w:val="00CF19AD"/>
    <w:rsid w:val="00CF1CC6"/>
    <w:rsid w:val="00CF2B07"/>
    <w:rsid w:val="00CF370D"/>
    <w:rsid w:val="00CF6C13"/>
    <w:rsid w:val="00CF7BAB"/>
    <w:rsid w:val="00D0132B"/>
    <w:rsid w:val="00D0558B"/>
    <w:rsid w:val="00D057D0"/>
    <w:rsid w:val="00D10031"/>
    <w:rsid w:val="00D13D66"/>
    <w:rsid w:val="00D1511F"/>
    <w:rsid w:val="00D20EC7"/>
    <w:rsid w:val="00D22418"/>
    <w:rsid w:val="00D22F2C"/>
    <w:rsid w:val="00D232FB"/>
    <w:rsid w:val="00D23C63"/>
    <w:rsid w:val="00D303C5"/>
    <w:rsid w:val="00D33087"/>
    <w:rsid w:val="00D340A6"/>
    <w:rsid w:val="00D37730"/>
    <w:rsid w:val="00D45D46"/>
    <w:rsid w:val="00D46A61"/>
    <w:rsid w:val="00D51EB7"/>
    <w:rsid w:val="00D60BC0"/>
    <w:rsid w:val="00D61FF9"/>
    <w:rsid w:val="00D62362"/>
    <w:rsid w:val="00D66EEE"/>
    <w:rsid w:val="00D6750F"/>
    <w:rsid w:val="00D72EEC"/>
    <w:rsid w:val="00D749E7"/>
    <w:rsid w:val="00D7535D"/>
    <w:rsid w:val="00D764AF"/>
    <w:rsid w:val="00D76AC4"/>
    <w:rsid w:val="00D81217"/>
    <w:rsid w:val="00D827A9"/>
    <w:rsid w:val="00D85204"/>
    <w:rsid w:val="00D87202"/>
    <w:rsid w:val="00D92D63"/>
    <w:rsid w:val="00D95B31"/>
    <w:rsid w:val="00D96AE1"/>
    <w:rsid w:val="00DA589C"/>
    <w:rsid w:val="00DA75CC"/>
    <w:rsid w:val="00DB0BE0"/>
    <w:rsid w:val="00DB1218"/>
    <w:rsid w:val="00DC272F"/>
    <w:rsid w:val="00DC33CB"/>
    <w:rsid w:val="00DC4120"/>
    <w:rsid w:val="00DC5DD7"/>
    <w:rsid w:val="00DD26CF"/>
    <w:rsid w:val="00DD54E4"/>
    <w:rsid w:val="00DD6627"/>
    <w:rsid w:val="00DF093E"/>
    <w:rsid w:val="00DF6292"/>
    <w:rsid w:val="00DF7D78"/>
    <w:rsid w:val="00E01E55"/>
    <w:rsid w:val="00E051B5"/>
    <w:rsid w:val="00E07B88"/>
    <w:rsid w:val="00E127B8"/>
    <w:rsid w:val="00E1549D"/>
    <w:rsid w:val="00E16487"/>
    <w:rsid w:val="00E17A1F"/>
    <w:rsid w:val="00E17D5F"/>
    <w:rsid w:val="00E220CB"/>
    <w:rsid w:val="00E22CCE"/>
    <w:rsid w:val="00E30D97"/>
    <w:rsid w:val="00E33D25"/>
    <w:rsid w:val="00E34A9D"/>
    <w:rsid w:val="00E41D2A"/>
    <w:rsid w:val="00E44829"/>
    <w:rsid w:val="00E470B4"/>
    <w:rsid w:val="00E47940"/>
    <w:rsid w:val="00E47F7A"/>
    <w:rsid w:val="00E50216"/>
    <w:rsid w:val="00E53B4F"/>
    <w:rsid w:val="00E54040"/>
    <w:rsid w:val="00E57EB7"/>
    <w:rsid w:val="00E6112F"/>
    <w:rsid w:val="00E71E3D"/>
    <w:rsid w:val="00E77007"/>
    <w:rsid w:val="00E77DC8"/>
    <w:rsid w:val="00E80029"/>
    <w:rsid w:val="00E81DB2"/>
    <w:rsid w:val="00E84C33"/>
    <w:rsid w:val="00E87FAF"/>
    <w:rsid w:val="00E9189A"/>
    <w:rsid w:val="00E9491E"/>
    <w:rsid w:val="00EA464F"/>
    <w:rsid w:val="00EA541F"/>
    <w:rsid w:val="00EA59F4"/>
    <w:rsid w:val="00EB01CF"/>
    <w:rsid w:val="00EB1F37"/>
    <w:rsid w:val="00EB71B5"/>
    <w:rsid w:val="00EC4C4D"/>
    <w:rsid w:val="00ED013D"/>
    <w:rsid w:val="00ED1F9D"/>
    <w:rsid w:val="00ED235C"/>
    <w:rsid w:val="00ED2945"/>
    <w:rsid w:val="00ED453C"/>
    <w:rsid w:val="00EE15C8"/>
    <w:rsid w:val="00EE1F8F"/>
    <w:rsid w:val="00EE3383"/>
    <w:rsid w:val="00EE4258"/>
    <w:rsid w:val="00EE47A7"/>
    <w:rsid w:val="00EF4389"/>
    <w:rsid w:val="00EF5357"/>
    <w:rsid w:val="00F0700A"/>
    <w:rsid w:val="00F139FE"/>
    <w:rsid w:val="00F151DD"/>
    <w:rsid w:val="00F178E2"/>
    <w:rsid w:val="00F27D6D"/>
    <w:rsid w:val="00F33551"/>
    <w:rsid w:val="00F34FE9"/>
    <w:rsid w:val="00F4159F"/>
    <w:rsid w:val="00F423F6"/>
    <w:rsid w:val="00F45376"/>
    <w:rsid w:val="00F46978"/>
    <w:rsid w:val="00F46CBA"/>
    <w:rsid w:val="00F50DA5"/>
    <w:rsid w:val="00F54390"/>
    <w:rsid w:val="00F6417B"/>
    <w:rsid w:val="00F70C13"/>
    <w:rsid w:val="00F7158F"/>
    <w:rsid w:val="00F76CBC"/>
    <w:rsid w:val="00F771FF"/>
    <w:rsid w:val="00F8727A"/>
    <w:rsid w:val="00F87689"/>
    <w:rsid w:val="00F91467"/>
    <w:rsid w:val="00F96FD6"/>
    <w:rsid w:val="00FA6197"/>
    <w:rsid w:val="00FB0DAD"/>
    <w:rsid w:val="00FB492A"/>
    <w:rsid w:val="00FB5650"/>
    <w:rsid w:val="00FB7607"/>
    <w:rsid w:val="00FC0420"/>
    <w:rsid w:val="00FC6D4D"/>
    <w:rsid w:val="00FC72C5"/>
    <w:rsid w:val="00FD7138"/>
    <w:rsid w:val="00FE3778"/>
    <w:rsid w:val="00FE60A3"/>
    <w:rsid w:val="00FE68FE"/>
    <w:rsid w:val="00FE7B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76E94E09"/>
  <w15:docId w15:val="{5DF0CCE0-E5E8-45F4-BC97-2E893CC1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766217"/>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style>
  <w:style w:type="paragraph" w:customStyle="1" w:styleId="TableLevel2">
    <w:name w:val="TableLevel2"/>
    <w:basedOn w:val="ParaPlain"/>
    <w:link w:val="TableLevel2Char"/>
    <w:uiPriority w:val="6"/>
    <w:qFormat/>
    <w:rsid w:val="0037659A"/>
    <w:pPr>
      <w:ind w:left="1106" w:hanging="397"/>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ind w:left="1503" w:hanging="397"/>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sz w:val="22"/>
      <w:lang w:eastAsia="en-US"/>
    </w:rPr>
  </w:style>
  <w:style w:type="character" w:customStyle="1" w:styleId="Heading9Char">
    <w:name w:val="Heading 9 Char"/>
    <w:basedOn w:val="DefaultParagraphFont"/>
    <w:link w:val="Heading9"/>
    <w:semiHidden/>
    <w:rsid w:val="00766217"/>
    <w:rPr>
      <w:rFonts w:cs="Arial"/>
      <w:sz w:val="24"/>
      <w:szCs w:val="22"/>
    </w:rPr>
  </w:style>
  <w:style w:type="character" w:customStyle="1" w:styleId="Heading6Char">
    <w:name w:val="Heading 6 Char"/>
    <w:basedOn w:val="DefaultParagraphFont"/>
    <w:link w:val="Heading6"/>
    <w:rsid w:val="00766217"/>
    <w:rPr>
      <w:b/>
      <w:iCs/>
      <w:sz w:val="22"/>
      <w:szCs w:val="22"/>
      <w:lang w:eastAsia="en-US"/>
    </w:rPr>
  </w:style>
  <w:style w:type="character" w:styleId="PlaceholderText">
    <w:name w:val="Placeholder Text"/>
    <w:basedOn w:val="DefaultParagraphFont"/>
    <w:uiPriority w:val="99"/>
    <w:semiHidden/>
    <w:rsid w:val="00766217"/>
    <w:rPr>
      <w:color w:val="808080"/>
    </w:rPr>
  </w:style>
  <w:style w:type="character" w:customStyle="1" w:styleId="Heading5Char">
    <w:name w:val="Heading 5 Char"/>
    <w:basedOn w:val="DefaultParagraphFont"/>
    <w:link w:val="Heading5"/>
    <w:rsid w:val="00937B9F"/>
    <w:rPr>
      <w:b/>
      <w:bCs/>
      <w:iCs/>
      <w:sz w:val="26"/>
      <w:szCs w:val="26"/>
      <w:lang w:eastAsia="en-US"/>
    </w:rPr>
  </w:style>
  <w:style w:type="character" w:styleId="CommentReference">
    <w:name w:val="annotation reference"/>
    <w:basedOn w:val="DefaultParagraphFont"/>
    <w:semiHidden/>
    <w:unhideWhenUsed/>
    <w:rsid w:val="00223C11"/>
    <w:rPr>
      <w:sz w:val="16"/>
      <w:szCs w:val="16"/>
    </w:rPr>
  </w:style>
  <w:style w:type="paragraph" w:styleId="CommentText">
    <w:name w:val="annotation text"/>
    <w:basedOn w:val="Normal"/>
    <w:link w:val="CommentTextChar"/>
    <w:semiHidden/>
    <w:unhideWhenUsed/>
    <w:rsid w:val="00223C11"/>
    <w:pPr>
      <w:spacing w:line="240" w:lineRule="auto"/>
    </w:pPr>
    <w:rPr>
      <w:sz w:val="20"/>
    </w:rPr>
  </w:style>
  <w:style w:type="character" w:customStyle="1" w:styleId="CommentTextChar">
    <w:name w:val="Comment Text Char"/>
    <w:basedOn w:val="DefaultParagraphFont"/>
    <w:link w:val="CommentText"/>
    <w:semiHidden/>
    <w:rsid w:val="00223C11"/>
    <w:rPr>
      <w:lang w:eastAsia="en-US"/>
    </w:rPr>
  </w:style>
  <w:style w:type="paragraph" w:styleId="CommentSubject">
    <w:name w:val="annotation subject"/>
    <w:basedOn w:val="CommentText"/>
    <w:next w:val="CommentText"/>
    <w:link w:val="CommentSubjectChar"/>
    <w:semiHidden/>
    <w:unhideWhenUsed/>
    <w:rsid w:val="00223C11"/>
    <w:rPr>
      <w:b/>
      <w:bCs/>
    </w:rPr>
  </w:style>
  <w:style w:type="character" w:customStyle="1" w:styleId="CommentSubjectChar">
    <w:name w:val="Comment Subject Char"/>
    <w:basedOn w:val="CommentTextChar"/>
    <w:link w:val="CommentSubject"/>
    <w:semiHidden/>
    <w:rsid w:val="00223C11"/>
    <w:rPr>
      <w:b/>
      <w:bCs/>
      <w:lang w:eastAsia="en-US"/>
    </w:rPr>
  </w:style>
  <w:style w:type="character" w:styleId="UnresolvedMention">
    <w:name w:val="Unresolved Mention"/>
    <w:basedOn w:val="DefaultParagraphFont"/>
    <w:uiPriority w:val="99"/>
    <w:semiHidden/>
    <w:unhideWhenUsed/>
    <w:rsid w:val="00216C02"/>
    <w:rPr>
      <w:color w:val="605E5C"/>
      <w:shd w:val="clear" w:color="auto" w:fill="E1DFDD"/>
    </w:rPr>
  </w:style>
  <w:style w:type="character" w:styleId="FollowedHyperlink">
    <w:name w:val="FollowedHyperlink"/>
    <w:basedOn w:val="DefaultParagraphFont"/>
    <w:semiHidden/>
    <w:unhideWhenUsed/>
    <w:rsid w:val="008B5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D1ACC31-2F29-43AE-B1D9-B609552DAD64}"/>
      </w:docPartPr>
      <w:docPartBody>
        <w:p w:rsidR="00EE286A" w:rsidRDefault="00EC2418">
          <w:r w:rsidRPr="00AB60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18"/>
    <w:rsid w:val="00092D8D"/>
    <w:rsid w:val="00117425"/>
    <w:rsid w:val="00172AB2"/>
    <w:rsid w:val="005837D4"/>
    <w:rsid w:val="006E127D"/>
    <w:rsid w:val="00B1414D"/>
    <w:rsid w:val="00CD679F"/>
    <w:rsid w:val="00D2297D"/>
    <w:rsid w:val="00D5689D"/>
    <w:rsid w:val="00EC2418"/>
    <w:rsid w:val="00EE286A"/>
    <w:rsid w:val="00F11F30"/>
    <w:rsid w:val="00F77A6A"/>
    <w:rsid w:val="00FB2C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4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d36f22-55e0-4a71-b694-5c4938394106">
      <UserInfo>
        <DisplayName>Anne Waters</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E53F1-88A8-464F-B3B3-3E344183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DAE8E-6ED0-48DA-97A5-D398988FBFE7}">
  <ds:schemaRefs>
    <ds:schemaRef ds:uri="http://schemas.microsoft.com/office/2006/metadata/properties"/>
    <ds:schemaRef ds:uri="http://schemas.microsoft.com/office/infopath/2007/PartnerControls"/>
    <ds:schemaRef ds:uri="1dd36f22-55e0-4a71-b694-5c4938394106"/>
  </ds:schemaRefs>
</ds:datastoreItem>
</file>

<file path=customXml/itemProps3.xml><?xml version="1.0" encoding="utf-8"?>
<ds:datastoreItem xmlns:ds="http://schemas.openxmlformats.org/officeDocument/2006/customXml" ds:itemID="{071911AA-4A38-464E-AE00-D2AB2FB912A4}">
  <ds:schemaRefs>
    <ds:schemaRef ds:uri="http://schemas.openxmlformats.org/officeDocument/2006/bibliography"/>
  </ds:schemaRefs>
</ds:datastoreItem>
</file>

<file path=customXml/itemProps4.xml><?xml version="1.0" encoding="utf-8"?>
<ds:datastoreItem xmlns:ds="http://schemas.openxmlformats.org/officeDocument/2006/customXml" ds:itemID="{38974FB0-DC2A-41DC-BDCB-01E7E0E3C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0</TotalTime>
  <Pages>12</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17781</CharactersWithSpaces>
  <SharedDoc>false</SharedDoc>
  <HLinks>
    <vt:vector size="12" baseType="variant">
      <vt:variant>
        <vt:i4>1507439</vt:i4>
      </vt:variant>
      <vt:variant>
        <vt:i4>15</vt:i4>
      </vt:variant>
      <vt:variant>
        <vt:i4>0</vt:i4>
      </vt:variant>
      <vt:variant>
        <vt:i4>5</vt:i4>
      </vt:variant>
      <vt:variant>
        <vt:lpwstr>mailto:enquiries@auasb.gov.au</vt:lpwstr>
      </vt:variant>
      <vt:variant>
        <vt:lpwstr/>
      </vt:variant>
      <vt:variant>
        <vt:i4>1966101</vt:i4>
      </vt:variant>
      <vt:variant>
        <vt:i4>0</vt:i4>
      </vt:variant>
      <vt:variant>
        <vt:i4>0</vt:i4>
      </vt:variant>
      <vt:variant>
        <vt:i4>5</vt:i4>
      </vt:variant>
      <vt:variant>
        <vt:lpwstr>https://www.ifrs.org/content/dam/ifrs/publications/editorial-corrections/english/2020/editorial-corrections-nov-2020.pdf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subject/>
  <dc:creator>Ewe, See-Wen</dc:creator>
  <cp:keywords/>
  <dc:description/>
  <cp:lastModifiedBy>See Wen Ewe</cp:lastModifiedBy>
  <cp:revision>2</cp:revision>
  <cp:lastPrinted>2021-10-22T05:59:00Z</cp:lastPrinted>
  <dcterms:created xsi:type="dcterms:W3CDTF">2021-11-05T05:34:00Z</dcterms:created>
  <dcterms:modified xsi:type="dcterms:W3CDTF">2021-11-05T05:34:00Z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