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54CBA" w14:textId="5499BE4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13FE5EB" wp14:editId="4B643EC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D3CAF" w14:textId="77777777" w:rsidR="005E317F" w:rsidRDefault="005E317F" w:rsidP="005E317F">
      <w:pPr>
        <w:rPr>
          <w:sz w:val="19"/>
        </w:rPr>
      </w:pPr>
    </w:p>
    <w:p w14:paraId="430DD97E" w14:textId="7FCC71B0" w:rsidR="005E317F" w:rsidRPr="00E500D4" w:rsidRDefault="00810E61" w:rsidP="005E317F">
      <w:pPr>
        <w:pStyle w:val="ShortT"/>
      </w:pPr>
      <w:r w:rsidRPr="00810E61">
        <w:t>Other Grants Guidelines (Education) Amendment (Total Funding Amount</w:t>
      </w:r>
      <w:r>
        <w:t>s</w:t>
      </w:r>
      <w:r w:rsidRPr="00810E61">
        <w:t xml:space="preserve">) 2021 </w:t>
      </w:r>
    </w:p>
    <w:p w14:paraId="53E4204A" w14:textId="0985E975" w:rsidR="00810E61" w:rsidRPr="00DA182D" w:rsidRDefault="00810E61" w:rsidP="00810E61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>I,</w:t>
      </w:r>
      <w:r>
        <w:rPr>
          <w:szCs w:val="22"/>
        </w:rPr>
        <w:t xml:space="preserve"> Alan Tudge, Minister for Education and Youth, make the following instrument.</w:t>
      </w:r>
    </w:p>
    <w:p w14:paraId="71B7AA45" w14:textId="35892B70" w:rsidR="00810E61" w:rsidRPr="00001A63" w:rsidRDefault="00810E61" w:rsidP="00810E61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C86DB6">
        <w:rPr>
          <w:szCs w:val="22"/>
        </w:rPr>
        <w:t>8 November 2021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2E0C0EC8" w14:textId="10E1E578" w:rsidR="00810E61" w:rsidRDefault="00810E61" w:rsidP="00810E61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197EFE">
        <w:rPr>
          <w:szCs w:val="22"/>
        </w:rPr>
        <w:t>Alan Tudge</w:t>
      </w:r>
      <w:r w:rsidRPr="00A75FE9">
        <w:rPr>
          <w:szCs w:val="22"/>
        </w:rPr>
        <w:t xml:space="preserve"> </w:t>
      </w:r>
    </w:p>
    <w:p w14:paraId="1F9FCFEC" w14:textId="77777777" w:rsidR="00810E61" w:rsidRPr="000D3FB9" w:rsidRDefault="00810E61" w:rsidP="00810E61">
      <w:pPr>
        <w:pStyle w:val="SignCoverPageEnd"/>
        <w:ind w:right="91"/>
        <w:rPr>
          <w:sz w:val="22"/>
        </w:rPr>
      </w:pPr>
      <w:r w:rsidRPr="00197EFE">
        <w:rPr>
          <w:sz w:val="22"/>
        </w:rPr>
        <w:t>Minister for Education and Youth</w:t>
      </w:r>
    </w:p>
    <w:p w14:paraId="0DC5DC67" w14:textId="77777777" w:rsidR="00B20990" w:rsidRDefault="00B20990" w:rsidP="00B20990"/>
    <w:p w14:paraId="7AA51748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A7B2A61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07F569A2" w14:textId="55AD35A2" w:rsidR="000205FB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0205FB">
        <w:rPr>
          <w:noProof/>
        </w:rPr>
        <w:t>1  Name</w:t>
      </w:r>
      <w:r w:rsidR="000205FB">
        <w:rPr>
          <w:noProof/>
        </w:rPr>
        <w:tab/>
      </w:r>
      <w:r w:rsidR="000205FB">
        <w:rPr>
          <w:noProof/>
        </w:rPr>
        <w:fldChar w:fldCharType="begin"/>
      </w:r>
      <w:r w:rsidR="000205FB">
        <w:rPr>
          <w:noProof/>
        </w:rPr>
        <w:instrText xml:space="preserve"> PAGEREF _Toc85125205 \h </w:instrText>
      </w:r>
      <w:r w:rsidR="000205FB">
        <w:rPr>
          <w:noProof/>
        </w:rPr>
      </w:r>
      <w:r w:rsidR="000205FB">
        <w:rPr>
          <w:noProof/>
        </w:rPr>
        <w:fldChar w:fldCharType="separate"/>
      </w:r>
      <w:r w:rsidR="000205FB">
        <w:rPr>
          <w:noProof/>
        </w:rPr>
        <w:t>1</w:t>
      </w:r>
      <w:r w:rsidR="000205FB">
        <w:rPr>
          <w:noProof/>
        </w:rPr>
        <w:fldChar w:fldCharType="end"/>
      </w:r>
    </w:p>
    <w:p w14:paraId="6CE22D1D" w14:textId="12747853" w:rsidR="000205FB" w:rsidRDefault="000205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_Toc85125206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BE99364" w14:textId="4CC33A08" w:rsidR="000205FB" w:rsidRDefault="000205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_Toc85125207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AC845DD" w14:textId="5081B89E" w:rsidR="000205FB" w:rsidRDefault="000205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_Toc85125208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02CDD4B" w14:textId="13E07E82" w:rsidR="000205FB" w:rsidRDefault="000205F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_Toc85125209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4324DF5" w14:textId="1BB31DD5" w:rsidR="000205FB" w:rsidRDefault="000205F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Other Grants Guidelines (Education) 2012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_Toc85125210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A63D5EF" w14:textId="68E55CF5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531307EA" w14:textId="77777777" w:rsidR="00B20990" w:rsidRDefault="00B20990" w:rsidP="00B20990"/>
    <w:p w14:paraId="1C2390E6" w14:textId="77777777" w:rsidR="00B20990" w:rsidRDefault="00B20990" w:rsidP="00B20990">
      <w:pPr>
        <w:sectPr w:rsidR="00B20990" w:rsidSect="00FC30B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B7A88D2" w14:textId="77777777" w:rsidR="005E317F" w:rsidRPr="009C2562" w:rsidRDefault="005E317F" w:rsidP="005E317F">
      <w:pPr>
        <w:pStyle w:val="ActHead5"/>
      </w:pPr>
      <w:bookmarkStart w:id="1" w:name="_Toc85125205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46DF9BC8" w14:textId="44BB6FFB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r w:rsidR="00D3764E">
        <w:t xml:space="preserve"> </w:t>
      </w:r>
      <w:r w:rsidR="00D3764E" w:rsidRPr="00D3764E">
        <w:rPr>
          <w:i/>
          <w:iCs/>
        </w:rPr>
        <w:t>Other Grants Guidelines (Education) Amendment (Total Funding Amounts) 2021</w:t>
      </w:r>
      <w:r w:rsidRPr="009C2562">
        <w:t>.</w:t>
      </w:r>
    </w:p>
    <w:p w14:paraId="0B682A0A" w14:textId="77777777" w:rsidR="005E317F" w:rsidRDefault="005E317F" w:rsidP="005E317F">
      <w:pPr>
        <w:pStyle w:val="ActHead5"/>
      </w:pPr>
      <w:bookmarkStart w:id="2" w:name="_Toc85125206"/>
      <w:r w:rsidRPr="009C2562">
        <w:rPr>
          <w:rStyle w:val="CharSectno"/>
        </w:rPr>
        <w:t>2</w:t>
      </w:r>
      <w:r w:rsidRPr="009C2562">
        <w:t xml:space="preserve">  Commencement</w:t>
      </w:r>
      <w:bookmarkEnd w:id="2"/>
    </w:p>
    <w:p w14:paraId="36218811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F6DC420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20D1A873" w14:textId="77777777" w:rsidTr="00FC30B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109D231" w14:textId="77777777" w:rsidR="00002BCC" w:rsidRPr="003422B4" w:rsidRDefault="00002BCC" w:rsidP="00FC30BF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599CA273" w14:textId="77777777" w:rsidTr="00FC30B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63806FD" w14:textId="77777777" w:rsidR="00002BCC" w:rsidRPr="003422B4" w:rsidRDefault="00002BCC" w:rsidP="00FC30BF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E70EF20" w14:textId="77777777" w:rsidR="00002BCC" w:rsidRPr="003422B4" w:rsidRDefault="00002BCC" w:rsidP="00FC30BF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D9288F2" w14:textId="77777777" w:rsidR="00002BCC" w:rsidRPr="003422B4" w:rsidRDefault="00002BCC" w:rsidP="00FC30BF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5E305E97" w14:textId="77777777" w:rsidTr="00FC30B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10FD40" w14:textId="77777777" w:rsidR="00002BCC" w:rsidRPr="003422B4" w:rsidRDefault="00002BCC" w:rsidP="00FC30BF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BD07A88" w14:textId="77777777" w:rsidR="00002BCC" w:rsidRPr="003422B4" w:rsidRDefault="00002BCC" w:rsidP="00FC30BF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7F99E08" w14:textId="77777777" w:rsidR="00002BCC" w:rsidRPr="003422B4" w:rsidRDefault="00002BCC" w:rsidP="00FC30BF">
            <w:pPr>
              <w:pStyle w:val="TableHeading"/>
            </w:pPr>
            <w:r w:rsidRPr="003422B4">
              <w:t>Date/Details</w:t>
            </w:r>
          </w:p>
        </w:tc>
      </w:tr>
      <w:tr w:rsidR="00D3764E" w:rsidRPr="003422B4" w14:paraId="2C6A92DF" w14:textId="77777777" w:rsidTr="00FC30B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0A99DDA" w14:textId="2E0FB6AA" w:rsidR="00D3764E" w:rsidRPr="003A6229" w:rsidRDefault="00D3764E" w:rsidP="00D3764E">
            <w:pPr>
              <w:pStyle w:val="Tabletext"/>
              <w:rPr>
                <w:i/>
              </w:rPr>
            </w:pPr>
            <w:r>
              <w:t>The whole of the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6196341" w14:textId="35A8912B" w:rsidR="00D3764E" w:rsidRPr="003A6229" w:rsidRDefault="00D3764E" w:rsidP="00D3764E">
            <w:pPr>
              <w:pStyle w:val="Tabletext"/>
              <w:rPr>
                <w:i/>
              </w:rPr>
            </w:pPr>
            <w:r w:rsidRPr="00914B3F">
              <w:rPr>
                <w:iCs/>
              </w:rPr>
              <w:t>The day after the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016ACA" w14:textId="6258ECE2" w:rsidR="00D3764E" w:rsidRPr="00B43C50" w:rsidRDefault="00D3764E" w:rsidP="00D3764E">
            <w:pPr>
              <w:pStyle w:val="Tabletext"/>
              <w:rPr>
                <w:i/>
              </w:rPr>
            </w:pPr>
          </w:p>
        </w:tc>
      </w:tr>
    </w:tbl>
    <w:p w14:paraId="0F913429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508AC8F5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74C4474" w14:textId="77777777" w:rsidR="005E317F" w:rsidRPr="009C2562" w:rsidRDefault="005E317F" w:rsidP="005E317F">
      <w:pPr>
        <w:pStyle w:val="ActHead5"/>
      </w:pPr>
      <w:bookmarkStart w:id="3" w:name="_Toc85125207"/>
      <w:r w:rsidRPr="009C2562">
        <w:rPr>
          <w:rStyle w:val="CharSectno"/>
        </w:rPr>
        <w:t>3</w:t>
      </w:r>
      <w:r w:rsidRPr="009C2562">
        <w:t xml:space="preserve">  Authority</w:t>
      </w:r>
      <w:bookmarkEnd w:id="3"/>
    </w:p>
    <w:p w14:paraId="43EB1418" w14:textId="0FBDDFC3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>This instrument is made under</w:t>
      </w:r>
      <w:r w:rsidR="009708C3">
        <w:t xml:space="preserve"> </w:t>
      </w:r>
      <w:r w:rsidR="009708C3">
        <w:rPr>
          <w:color w:val="000000"/>
          <w:szCs w:val="22"/>
          <w:shd w:val="clear" w:color="auto" w:fill="FFFFFF"/>
        </w:rPr>
        <w:t>section 238</w:t>
      </w:r>
      <w:r w:rsidR="009708C3">
        <w:rPr>
          <w:color w:val="000000"/>
          <w:szCs w:val="22"/>
          <w:shd w:val="clear" w:color="auto" w:fill="FFFFFF"/>
        </w:rPr>
        <w:noBreakHyphen/>
        <w:t>10 of the</w:t>
      </w:r>
      <w:r w:rsidR="0029288D">
        <w:rPr>
          <w:color w:val="000000"/>
          <w:szCs w:val="22"/>
          <w:shd w:val="clear" w:color="auto" w:fill="FFFFFF"/>
        </w:rPr>
        <w:t xml:space="preserve"> </w:t>
      </w:r>
      <w:r w:rsidR="00527394" w:rsidRPr="00914B3F">
        <w:rPr>
          <w:i/>
          <w:iCs/>
          <w:color w:val="000000"/>
          <w:szCs w:val="22"/>
        </w:rPr>
        <w:t>Higher Education Support Act 2003</w:t>
      </w:r>
      <w:r w:rsidR="009708C3">
        <w:rPr>
          <w:color w:val="000000"/>
          <w:szCs w:val="22"/>
          <w:shd w:val="clear" w:color="auto" w:fill="FFFFFF"/>
        </w:rPr>
        <w:t>.</w:t>
      </w:r>
    </w:p>
    <w:p w14:paraId="568A2F40" w14:textId="77777777" w:rsidR="009059CD" w:rsidRPr="006065DA" w:rsidRDefault="009059CD" w:rsidP="009059CD">
      <w:pPr>
        <w:pStyle w:val="ActHead5"/>
      </w:pPr>
      <w:bookmarkStart w:id="4" w:name="_Toc77857134"/>
      <w:bookmarkStart w:id="5" w:name="_Toc85125208"/>
      <w:r w:rsidRPr="006065DA">
        <w:t>4  Schedules</w:t>
      </w:r>
      <w:bookmarkEnd w:id="4"/>
      <w:bookmarkEnd w:id="5"/>
    </w:p>
    <w:p w14:paraId="0E4391CE" w14:textId="77777777" w:rsidR="009059CD" w:rsidRDefault="009059CD" w:rsidP="009059CD">
      <w:pPr>
        <w:pStyle w:val="subsection"/>
      </w:pPr>
      <w:r w:rsidRPr="006065DA">
        <w:tab/>
      </w:r>
      <w:r w:rsidRPr="006065DA">
        <w:tab/>
        <w:t>Each instrument that is specified in a Schedule to this instrument is amended as set out in the applicable items in the Schedule concerned</w:t>
      </w:r>
      <w:r>
        <w:t>.</w:t>
      </w:r>
    </w:p>
    <w:p w14:paraId="69166F20" w14:textId="77777777" w:rsidR="005E317F" w:rsidRDefault="005E317F" w:rsidP="005E317F">
      <w:pPr>
        <w:pStyle w:val="ActHead6"/>
        <w:pageBreakBefore/>
      </w:pPr>
      <w:bookmarkStart w:id="6" w:name="_Toc85125209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1CB207AD" w14:textId="2AA6B750" w:rsidR="005E317F" w:rsidRDefault="00D3764E" w:rsidP="005E317F">
      <w:pPr>
        <w:pStyle w:val="ActHead9"/>
      </w:pPr>
      <w:bookmarkStart w:id="7" w:name="_Toc85125210"/>
      <w:r w:rsidRPr="00D3764E">
        <w:t>Other Grants Guidelines (Education) 20</w:t>
      </w:r>
      <w:r w:rsidR="00527394">
        <w:t>1</w:t>
      </w:r>
      <w:r w:rsidRPr="00D3764E">
        <w:t>2</w:t>
      </w:r>
      <w:bookmarkEnd w:id="7"/>
    </w:p>
    <w:p w14:paraId="6B5CA715" w14:textId="2C89724D" w:rsidR="005E317F" w:rsidRPr="0063683F" w:rsidRDefault="009059CD" w:rsidP="005E317F">
      <w:pPr>
        <w:pStyle w:val="ItemHead"/>
        <w:rPr>
          <w:rFonts w:cs="Arial"/>
        </w:rPr>
      </w:pPr>
      <w:r w:rsidRPr="0063683F">
        <w:rPr>
          <w:rFonts w:cs="Arial"/>
        </w:rPr>
        <w:t>1</w:t>
      </w:r>
      <w:r w:rsidR="005E317F" w:rsidRPr="0063683F">
        <w:rPr>
          <w:rFonts w:cs="Arial"/>
        </w:rPr>
        <w:t xml:space="preserve">  </w:t>
      </w:r>
      <w:r w:rsidR="004261EE" w:rsidRPr="0063683F">
        <w:rPr>
          <w:rFonts w:cs="Arial"/>
        </w:rPr>
        <w:t>Section</w:t>
      </w:r>
      <w:r w:rsidRPr="0063683F">
        <w:rPr>
          <w:rFonts w:cs="Arial"/>
        </w:rPr>
        <w:t xml:space="preserve"> 1.45</w:t>
      </w:r>
    </w:p>
    <w:p w14:paraId="6854E7E3" w14:textId="7BBF42BA" w:rsidR="004E3DF4" w:rsidRPr="0063683F" w:rsidRDefault="004E3DF4" w:rsidP="004E3DF4">
      <w:pPr>
        <w:pStyle w:val="Item"/>
        <w:rPr>
          <w:rFonts w:ascii="Arial" w:hAnsi="Arial" w:cs="Arial"/>
        </w:rPr>
      </w:pPr>
      <w:r w:rsidRPr="0063683F">
        <w:rPr>
          <w:rFonts w:ascii="Arial" w:hAnsi="Arial" w:cs="Arial"/>
        </w:rPr>
        <w:tab/>
        <w:t>Repeal the section, substitute:</w:t>
      </w:r>
    </w:p>
    <w:p w14:paraId="0FC974FD" w14:textId="08971B70" w:rsidR="004E3DF4" w:rsidRPr="0063683F" w:rsidRDefault="004E3DF4" w:rsidP="004973AC">
      <w:pPr>
        <w:pStyle w:val="Item"/>
        <w:ind w:left="0"/>
        <w:rPr>
          <w:rFonts w:ascii="Arial" w:hAnsi="Arial" w:cs="Arial"/>
        </w:rPr>
      </w:pPr>
      <w:r w:rsidRPr="0063683F">
        <w:rPr>
          <w:rFonts w:ascii="Arial" w:hAnsi="Arial" w:cs="Arial"/>
          <w:b/>
          <w:bCs/>
        </w:rPr>
        <w:t>1.45</w:t>
      </w:r>
      <w:r w:rsidRPr="0063683F">
        <w:rPr>
          <w:rFonts w:ascii="Arial" w:hAnsi="Arial" w:cs="Arial"/>
          <w:b/>
          <w:bCs/>
        </w:rPr>
        <w:tab/>
        <w:t>Total HEPPP (formula-based) funding</w:t>
      </w:r>
    </w:p>
    <w:p w14:paraId="0E7F6B7B" w14:textId="4E3EF4F4" w:rsidR="004973AC" w:rsidRPr="0063683F" w:rsidRDefault="004E3DF4" w:rsidP="00F95BB7">
      <w:pPr>
        <w:pStyle w:val="Item"/>
        <w:spacing w:after="240"/>
        <w:ind w:left="993" w:hanging="993"/>
        <w:rPr>
          <w:rFonts w:ascii="Arial" w:hAnsi="Arial" w:cs="Arial"/>
        </w:rPr>
      </w:pPr>
      <w:r w:rsidRPr="0063683F">
        <w:rPr>
          <w:rFonts w:ascii="Arial" w:hAnsi="Arial" w:cs="Arial"/>
        </w:rPr>
        <w:t>1.45.1</w:t>
      </w:r>
      <w:r w:rsidRPr="0063683F">
        <w:rPr>
          <w:rFonts w:ascii="Arial" w:hAnsi="Arial" w:cs="Arial"/>
        </w:rPr>
        <w:tab/>
      </w:r>
      <w:r w:rsidR="009B768E" w:rsidRPr="0063683F">
        <w:rPr>
          <w:rFonts w:ascii="Arial" w:hAnsi="Arial" w:cs="Arial"/>
        </w:rPr>
        <w:t xml:space="preserve">For the years specified below, the total amount of HEPPP funding available will be as follows: </w:t>
      </w:r>
    </w:p>
    <w:p w14:paraId="48035688" w14:textId="54A2E7B9" w:rsidR="008A51E3" w:rsidRPr="0063683F" w:rsidRDefault="008A51E3" w:rsidP="008A51E3">
      <w:pPr>
        <w:pStyle w:val="Item"/>
        <w:spacing w:before="0"/>
        <w:ind w:left="1429" w:firstLine="11"/>
        <w:rPr>
          <w:rFonts w:ascii="Arial" w:hAnsi="Arial" w:cs="Arial"/>
        </w:rPr>
      </w:pPr>
      <w:r w:rsidRPr="0063683F">
        <w:rPr>
          <w:rFonts w:ascii="Arial" w:hAnsi="Arial" w:cs="Arial"/>
          <w:b/>
          <w:bCs/>
        </w:rPr>
        <w:t>2021</w:t>
      </w:r>
      <w:r w:rsidRPr="0063683F">
        <w:rPr>
          <w:rFonts w:ascii="Arial" w:hAnsi="Arial" w:cs="Arial"/>
        </w:rPr>
        <w:t>: $138,797,515</w:t>
      </w:r>
    </w:p>
    <w:p w14:paraId="431B7340" w14:textId="77777777" w:rsidR="008A51E3" w:rsidRPr="0063683F" w:rsidRDefault="008A51E3" w:rsidP="008A51E3">
      <w:pPr>
        <w:pStyle w:val="Item"/>
        <w:spacing w:before="0"/>
        <w:ind w:left="1418" w:firstLine="11"/>
        <w:rPr>
          <w:rFonts w:ascii="Arial" w:hAnsi="Arial" w:cs="Arial"/>
        </w:rPr>
      </w:pPr>
      <w:r w:rsidRPr="0063683F">
        <w:rPr>
          <w:rFonts w:ascii="Arial" w:hAnsi="Arial" w:cs="Arial"/>
          <w:b/>
          <w:bCs/>
        </w:rPr>
        <w:t>2022</w:t>
      </w:r>
      <w:r w:rsidRPr="0063683F">
        <w:rPr>
          <w:rFonts w:ascii="Arial" w:hAnsi="Arial" w:cs="Arial"/>
        </w:rPr>
        <w:t>: $140,146,842</w:t>
      </w:r>
    </w:p>
    <w:p w14:paraId="18BE8485" w14:textId="25C5FAFB" w:rsidR="008A51E3" w:rsidRPr="0063683F" w:rsidRDefault="008A51E3" w:rsidP="00F95BB7">
      <w:pPr>
        <w:pStyle w:val="Item"/>
        <w:spacing w:before="0" w:after="240"/>
        <w:ind w:left="1407" w:firstLine="11"/>
        <w:rPr>
          <w:rFonts w:ascii="Arial" w:hAnsi="Arial" w:cs="Arial"/>
        </w:rPr>
      </w:pPr>
      <w:r w:rsidRPr="0063683F">
        <w:rPr>
          <w:rFonts w:ascii="Arial" w:hAnsi="Arial" w:cs="Arial"/>
          <w:b/>
          <w:bCs/>
        </w:rPr>
        <w:t>2023</w:t>
      </w:r>
      <w:r w:rsidRPr="0063683F">
        <w:rPr>
          <w:rFonts w:ascii="Arial" w:hAnsi="Arial" w:cs="Arial"/>
        </w:rPr>
        <w:t>: $14</w:t>
      </w:r>
      <w:r w:rsidR="00D42F38">
        <w:rPr>
          <w:rFonts w:ascii="Arial" w:hAnsi="Arial" w:cs="Arial"/>
        </w:rPr>
        <w:t>0,146,842</w:t>
      </w:r>
    </w:p>
    <w:p w14:paraId="7846616E" w14:textId="006795B6" w:rsidR="00F95BB7" w:rsidRPr="0063683F" w:rsidRDefault="00F95BB7" w:rsidP="00F95BB7">
      <w:pPr>
        <w:pStyle w:val="Item"/>
        <w:ind w:left="993" w:hanging="993"/>
        <w:rPr>
          <w:rFonts w:ascii="Arial" w:hAnsi="Arial" w:cs="Arial"/>
        </w:rPr>
      </w:pPr>
      <w:r w:rsidRPr="0063683F">
        <w:rPr>
          <w:rFonts w:ascii="Arial" w:hAnsi="Arial" w:cs="Arial"/>
        </w:rPr>
        <w:t>1.45.3</w:t>
      </w:r>
      <w:r w:rsidRPr="0063683F">
        <w:rPr>
          <w:rFonts w:ascii="Arial" w:hAnsi="Arial" w:cs="Arial"/>
        </w:rPr>
        <w:tab/>
        <w:t>The total amount of HEPPP funding for 2023 is to be adjusted using the method of indexation set out in Part 5-6, Division 198 of the Act.</w:t>
      </w:r>
    </w:p>
    <w:p w14:paraId="1E98CFD6" w14:textId="7793C664" w:rsidR="004973AC" w:rsidRPr="0063683F" w:rsidRDefault="004E3DF4" w:rsidP="009B768E">
      <w:pPr>
        <w:pStyle w:val="Item"/>
        <w:ind w:left="993" w:hanging="993"/>
        <w:rPr>
          <w:rFonts w:ascii="Arial" w:hAnsi="Arial" w:cs="Arial"/>
        </w:rPr>
      </w:pPr>
      <w:r w:rsidRPr="0063683F">
        <w:rPr>
          <w:rFonts w:ascii="Arial" w:hAnsi="Arial" w:cs="Arial"/>
        </w:rPr>
        <w:t>1.45.5</w:t>
      </w:r>
      <w:r w:rsidRPr="0063683F">
        <w:rPr>
          <w:rFonts w:ascii="Arial" w:hAnsi="Arial" w:cs="Arial"/>
        </w:rPr>
        <w:tab/>
      </w:r>
      <w:r w:rsidR="009B768E" w:rsidRPr="0063683F">
        <w:rPr>
          <w:rFonts w:ascii="Arial" w:hAnsi="Arial" w:cs="Arial"/>
          <w:szCs w:val="22"/>
        </w:rPr>
        <w:t>The total amount of HEPPP funds available in 2024 and later years will be determined by the Minister</w:t>
      </w:r>
      <w:r w:rsidR="009B768E" w:rsidRPr="0063683F">
        <w:rPr>
          <w:rFonts w:ascii="Arial" w:hAnsi="Arial" w:cs="Arial"/>
        </w:rPr>
        <w:t>.</w:t>
      </w:r>
    </w:p>
    <w:p w14:paraId="6980FA46" w14:textId="05655ACE" w:rsidR="00224533" w:rsidRPr="0063683F" w:rsidRDefault="00224533" w:rsidP="005E317F">
      <w:pPr>
        <w:pStyle w:val="ItemHead"/>
        <w:rPr>
          <w:rFonts w:cs="Arial"/>
        </w:rPr>
      </w:pPr>
      <w:r w:rsidRPr="0063683F">
        <w:rPr>
          <w:rFonts w:cs="Arial"/>
        </w:rPr>
        <w:t>2  Section 1.47</w:t>
      </w:r>
    </w:p>
    <w:p w14:paraId="7A749DF9" w14:textId="0F1B9EB6" w:rsidR="009C0C3B" w:rsidRPr="0063683F" w:rsidRDefault="00224533" w:rsidP="00224533">
      <w:pPr>
        <w:pStyle w:val="Item"/>
        <w:ind w:left="720" w:hanging="720"/>
        <w:rPr>
          <w:rFonts w:ascii="Arial" w:hAnsi="Arial" w:cs="Arial"/>
        </w:rPr>
      </w:pPr>
      <w:r w:rsidRPr="0063683F">
        <w:rPr>
          <w:rFonts w:ascii="Arial" w:hAnsi="Arial" w:cs="Arial"/>
        </w:rPr>
        <w:tab/>
      </w:r>
      <w:r w:rsidR="009C0C3B" w:rsidRPr="0063683F">
        <w:rPr>
          <w:rFonts w:ascii="Arial" w:hAnsi="Arial" w:cs="Arial"/>
        </w:rPr>
        <w:t>Re</w:t>
      </w:r>
      <w:r w:rsidR="00F95BB7" w:rsidRPr="0063683F">
        <w:rPr>
          <w:rFonts w:ascii="Arial" w:hAnsi="Arial" w:cs="Arial"/>
        </w:rPr>
        <w:t>pe</w:t>
      </w:r>
      <w:r w:rsidR="009C0C3B" w:rsidRPr="0063683F">
        <w:rPr>
          <w:rFonts w:ascii="Arial" w:hAnsi="Arial" w:cs="Arial"/>
        </w:rPr>
        <w:t>al the section, substitute:</w:t>
      </w:r>
    </w:p>
    <w:p w14:paraId="6055BAE7" w14:textId="77777777" w:rsidR="009C0C3B" w:rsidRPr="0063683F" w:rsidRDefault="009C0C3B" w:rsidP="009C0C3B">
      <w:pPr>
        <w:pStyle w:val="Item"/>
        <w:ind w:left="0"/>
        <w:rPr>
          <w:rFonts w:ascii="Arial" w:hAnsi="Arial" w:cs="Arial"/>
          <w:b/>
          <w:bCs/>
        </w:rPr>
      </w:pPr>
      <w:r w:rsidRPr="0063683F">
        <w:rPr>
          <w:rFonts w:ascii="Arial" w:hAnsi="Arial" w:cs="Arial"/>
          <w:b/>
          <w:bCs/>
        </w:rPr>
        <w:t>1.47 Calculation of grant amounts</w:t>
      </w:r>
    </w:p>
    <w:p w14:paraId="53F014EC" w14:textId="77777777" w:rsidR="009C0C3B" w:rsidRPr="0063683F" w:rsidRDefault="009C0C3B" w:rsidP="009C0C3B">
      <w:pPr>
        <w:rPr>
          <w:rFonts w:ascii="Arial" w:hAnsi="Arial" w:cs="Arial"/>
        </w:rPr>
      </w:pPr>
    </w:p>
    <w:p w14:paraId="0FCDAA9B" w14:textId="40E3F0DC" w:rsidR="009C0C3B" w:rsidRPr="0063683F" w:rsidRDefault="009C0C3B" w:rsidP="009C0C3B">
      <w:pPr>
        <w:ind w:left="1100" w:hanging="1100"/>
        <w:rPr>
          <w:rFonts w:ascii="Arial" w:hAnsi="Arial" w:cs="Arial"/>
          <w:color w:val="000000"/>
          <w:szCs w:val="22"/>
        </w:rPr>
      </w:pPr>
      <w:r w:rsidRPr="0063683F">
        <w:rPr>
          <w:rFonts w:ascii="Arial" w:hAnsi="Arial" w:cs="Arial"/>
          <w:color w:val="000000"/>
          <w:szCs w:val="22"/>
        </w:rPr>
        <w:t>1.47.1</w:t>
      </w:r>
      <w:r w:rsidRPr="0063683F">
        <w:rPr>
          <w:rFonts w:ascii="Arial" w:hAnsi="Arial" w:cs="Arial"/>
          <w:color w:val="000000"/>
          <w:szCs w:val="22"/>
        </w:rPr>
        <w:tab/>
      </w:r>
      <w:r w:rsidR="00F95BB7" w:rsidRPr="0063683F">
        <w:rPr>
          <w:rFonts w:ascii="Arial" w:hAnsi="Arial" w:cs="Arial"/>
          <w:color w:val="000000"/>
          <w:szCs w:val="22"/>
        </w:rPr>
        <w:t>Subject to section 1.47A</w:t>
      </w:r>
      <w:r w:rsidR="00AF74C3" w:rsidRPr="0063683F">
        <w:rPr>
          <w:rFonts w:ascii="Arial" w:hAnsi="Arial" w:cs="Arial"/>
          <w:color w:val="000000"/>
          <w:szCs w:val="22"/>
        </w:rPr>
        <w:t xml:space="preserve"> (which deals with a separate method for calculating an amount for the University of Notre Dame Australia for 2021)</w:t>
      </w:r>
      <w:r w:rsidR="00F95BB7" w:rsidRPr="0063683F">
        <w:rPr>
          <w:rFonts w:ascii="Arial" w:hAnsi="Arial" w:cs="Arial"/>
          <w:color w:val="000000"/>
          <w:szCs w:val="22"/>
        </w:rPr>
        <w:t>, g</w:t>
      </w:r>
      <w:r w:rsidRPr="0063683F">
        <w:rPr>
          <w:rFonts w:ascii="Arial" w:hAnsi="Arial" w:cs="Arial"/>
          <w:color w:val="000000"/>
          <w:szCs w:val="22"/>
        </w:rPr>
        <w:t xml:space="preserve">rant amounts for </w:t>
      </w:r>
      <w:r w:rsidR="00AF74C3" w:rsidRPr="0063683F">
        <w:rPr>
          <w:rFonts w:ascii="Arial" w:hAnsi="Arial" w:cs="Arial"/>
          <w:color w:val="000000"/>
          <w:szCs w:val="22"/>
        </w:rPr>
        <w:t xml:space="preserve">an eligible higher education provider, other than the University of Notre Dame Australia in 2021, for </w:t>
      </w:r>
      <w:r w:rsidRPr="0063683F">
        <w:rPr>
          <w:rFonts w:ascii="Arial" w:hAnsi="Arial" w:cs="Arial"/>
          <w:color w:val="000000"/>
          <w:szCs w:val="22"/>
        </w:rPr>
        <w:t>the below years will be calculated using the following formulae:</w:t>
      </w:r>
    </w:p>
    <w:p w14:paraId="6016AE0F" w14:textId="0C715180" w:rsidR="009C0C3B" w:rsidRPr="0063683F" w:rsidRDefault="009C0C3B" w:rsidP="009C0C3B">
      <w:pPr>
        <w:rPr>
          <w:rFonts w:ascii="Arial" w:eastAsiaTheme="minorEastAsia" w:hAnsi="Arial" w:cs="Arial"/>
        </w:rPr>
      </w:pPr>
      <m:oMathPara>
        <m:oMath>
          <m:r>
            <w:rPr>
              <w:rFonts w:ascii="Cambria Math" w:hAnsi="Cambria Math" w:cs="Arial"/>
              <w:sz w:val="20"/>
              <w:szCs w:val="18"/>
            </w:rPr>
            <m:t xml:space="preserve">2021:  </m:t>
          </m:r>
          <m:d>
            <m:dPr>
              <m:ctrlPr>
                <w:rPr>
                  <w:rFonts w:ascii="Cambria Math" w:hAnsi="Cambria Math" w:cs="Arial"/>
                  <w:i/>
                  <w:sz w:val="20"/>
                  <w:szCs w:val="18"/>
                </w:rPr>
              </m:ctrlPr>
            </m:dPr>
            <m:e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18"/>
                    </w:rPr>
                    <m:t>A1×0.75</m:t>
                  </m:r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0"/>
                          <w:szCs w:val="18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0"/>
                          <w:szCs w:val="18"/>
                        </w:rPr>
                        <m:t>C</m:t>
                      </m:r>
                    </m:den>
                  </m:f>
                </m:e>
              </m:d>
            </m:e>
          </m:d>
          <m:r>
            <w:rPr>
              <w:rFonts w:ascii="Cambria Math" w:hAnsi="Cambria Math" w:cs="Arial"/>
              <w:sz w:val="20"/>
              <w:szCs w:val="18"/>
            </w:rPr>
            <m:t xml:space="preserve"> + </m:t>
          </m:r>
          <m:d>
            <m:dPr>
              <m:ctrlPr>
                <w:rPr>
                  <w:rFonts w:ascii="Cambria Math" w:hAnsi="Cambria Math" w:cs="Arial"/>
                  <w:i/>
                  <w:sz w:val="20"/>
                  <w:szCs w:val="18"/>
                </w:rPr>
              </m:ctrlPr>
            </m:dPr>
            <m:e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18"/>
                    </w:rPr>
                    <m:t>A1×0.25</m:t>
                  </m:r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1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0"/>
                          <w:szCs w:val="18"/>
                        </w:rPr>
                        <m:t>0.45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1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18"/>
                                </w:rPr>
                                <m:t>B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18"/>
                                </w:rPr>
                                <m:t>C</m:t>
                              </m:r>
                            </m:den>
                          </m:f>
                        </m:e>
                      </m:d>
                    </m:e>
                  </m:d>
                  <m:r>
                    <w:rPr>
                      <w:rFonts w:ascii="Cambria Math" w:hAnsi="Cambria Math" w:cs="Arial"/>
                      <w:sz w:val="20"/>
                      <w:szCs w:val="18"/>
                    </w:rPr>
                    <m:t xml:space="preserve"> + 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0"/>
                          <w:szCs w:val="18"/>
                        </w:rPr>
                        <m:t>0.45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1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18"/>
                                </w:rPr>
                                <m:t>D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18"/>
                                </w:rPr>
                                <m:t>E</m:t>
                              </m:r>
                            </m:den>
                          </m:f>
                        </m:e>
                      </m:d>
                    </m:e>
                  </m:d>
                  <m:r>
                    <w:rPr>
                      <w:rFonts w:ascii="Cambria Math" w:hAnsi="Cambria Math" w:cs="Arial"/>
                      <w:sz w:val="20"/>
                      <w:szCs w:val="18"/>
                    </w:rPr>
                    <m:t xml:space="preserve"> + 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0"/>
                          <w:szCs w:val="18"/>
                        </w:rPr>
                        <m:t>0.1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1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18"/>
                                </w:rPr>
                                <m:t>F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18"/>
                                </w:rPr>
                                <m:t>G</m:t>
                              </m:r>
                            </m:den>
                          </m:f>
                        </m:e>
                      </m:d>
                    </m:e>
                  </m:d>
                </m:e>
              </m:d>
            </m:e>
          </m:d>
        </m:oMath>
      </m:oMathPara>
    </w:p>
    <w:p w14:paraId="612066AA" w14:textId="77777777" w:rsidR="009C0C3B" w:rsidRPr="0063683F" w:rsidRDefault="009C0C3B" w:rsidP="009C0C3B">
      <w:pPr>
        <w:rPr>
          <w:rFonts w:ascii="Arial" w:eastAsiaTheme="minorEastAsia" w:hAnsi="Arial" w:cs="Arial"/>
        </w:rPr>
      </w:pPr>
    </w:p>
    <w:p w14:paraId="330F7335" w14:textId="77777777" w:rsidR="009C0C3B" w:rsidRPr="0063683F" w:rsidRDefault="009C0C3B" w:rsidP="009C0C3B">
      <w:pPr>
        <w:rPr>
          <w:rFonts w:ascii="Arial" w:eastAsiaTheme="minorEastAsia" w:hAnsi="Arial" w:cs="Arial"/>
        </w:rPr>
      </w:pPr>
      <m:oMathPara>
        <m:oMath>
          <m:r>
            <w:rPr>
              <w:rFonts w:ascii="Cambria Math" w:hAnsi="Cambria Math" w:cs="Arial"/>
              <w:sz w:val="20"/>
              <w:szCs w:val="18"/>
            </w:rPr>
            <m:t xml:space="preserve">2022:  </m:t>
          </m:r>
          <m:d>
            <m:dPr>
              <m:ctrlPr>
                <w:rPr>
                  <w:rFonts w:ascii="Cambria Math" w:hAnsi="Cambria Math" w:cs="Arial"/>
                  <w:i/>
                  <w:sz w:val="20"/>
                  <w:szCs w:val="18"/>
                </w:rPr>
              </m:ctrlPr>
            </m:dPr>
            <m:e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18"/>
                    </w:rPr>
                    <m:t>A×0.5</m:t>
                  </m:r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0"/>
                          <w:szCs w:val="18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0"/>
                          <w:szCs w:val="18"/>
                        </w:rPr>
                        <m:t>C</m:t>
                      </m:r>
                    </m:den>
                  </m:f>
                </m:e>
              </m:d>
            </m:e>
          </m:d>
          <m:r>
            <w:rPr>
              <w:rFonts w:ascii="Cambria Math" w:hAnsi="Cambria Math" w:cs="Arial"/>
              <w:sz w:val="20"/>
              <w:szCs w:val="18"/>
            </w:rPr>
            <m:t xml:space="preserve"> + </m:t>
          </m:r>
          <m:d>
            <m:dPr>
              <m:ctrlPr>
                <w:rPr>
                  <w:rFonts w:ascii="Cambria Math" w:hAnsi="Cambria Math" w:cs="Arial"/>
                  <w:i/>
                  <w:sz w:val="20"/>
                  <w:szCs w:val="18"/>
                </w:rPr>
              </m:ctrlPr>
            </m:dPr>
            <m:e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18"/>
                    </w:rPr>
                    <m:t>A  ×  0.5</m:t>
                  </m:r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1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0"/>
                          <w:szCs w:val="18"/>
                        </w:rPr>
                        <m:t>0.45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1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18"/>
                                </w:rPr>
                                <m:t>B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18"/>
                                </w:rPr>
                                <m:t>C</m:t>
                              </m:r>
                            </m:den>
                          </m:f>
                        </m:e>
                      </m:d>
                    </m:e>
                  </m:d>
                  <m:r>
                    <w:rPr>
                      <w:rFonts w:ascii="Cambria Math" w:hAnsi="Cambria Math" w:cs="Arial"/>
                      <w:sz w:val="20"/>
                      <w:szCs w:val="18"/>
                    </w:rPr>
                    <m:t xml:space="preserve"> + 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0"/>
                          <w:szCs w:val="18"/>
                        </w:rPr>
                        <m:t>0.45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1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18"/>
                                </w:rPr>
                                <m:t>D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18"/>
                                </w:rPr>
                                <m:t>E</m:t>
                              </m:r>
                            </m:den>
                          </m:f>
                        </m:e>
                      </m:d>
                    </m:e>
                  </m:d>
                  <m:r>
                    <w:rPr>
                      <w:rFonts w:ascii="Cambria Math" w:hAnsi="Cambria Math" w:cs="Arial"/>
                      <w:sz w:val="20"/>
                      <w:szCs w:val="18"/>
                    </w:rPr>
                    <m:t xml:space="preserve"> + 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0"/>
                          <w:szCs w:val="18"/>
                        </w:rPr>
                        <m:t>0.1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1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18"/>
                                </w:rPr>
                                <m:t>F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18"/>
                                </w:rPr>
                                <m:t>G</m:t>
                              </m:r>
                            </m:den>
                          </m:f>
                        </m:e>
                      </m:d>
                    </m:e>
                  </m:d>
                </m:e>
              </m:d>
            </m:e>
          </m:d>
        </m:oMath>
      </m:oMathPara>
    </w:p>
    <w:p w14:paraId="72C37DDC" w14:textId="77777777" w:rsidR="009C0C3B" w:rsidRPr="0063683F" w:rsidRDefault="009C0C3B" w:rsidP="009C0C3B">
      <w:pPr>
        <w:rPr>
          <w:rFonts w:ascii="Arial" w:eastAsiaTheme="minorEastAsia" w:hAnsi="Arial" w:cs="Arial"/>
        </w:rPr>
      </w:pPr>
    </w:p>
    <w:p w14:paraId="50C0574F" w14:textId="77777777" w:rsidR="009C0C3B" w:rsidRPr="0063683F" w:rsidRDefault="009C0C3B" w:rsidP="009C0C3B">
      <w:pPr>
        <w:rPr>
          <w:rFonts w:ascii="Arial" w:eastAsiaTheme="minorEastAsia" w:hAnsi="Arial" w:cs="Arial"/>
        </w:rPr>
      </w:pPr>
      <m:oMathPara>
        <m:oMath>
          <m:r>
            <w:rPr>
              <w:rFonts w:ascii="Cambria Math" w:hAnsi="Cambria Math" w:cs="Arial"/>
              <w:sz w:val="20"/>
              <w:szCs w:val="18"/>
            </w:rPr>
            <m:t xml:space="preserve">2023:  </m:t>
          </m:r>
          <m:d>
            <m:dPr>
              <m:ctrlPr>
                <w:rPr>
                  <w:rFonts w:ascii="Cambria Math" w:hAnsi="Cambria Math" w:cs="Arial"/>
                  <w:i/>
                  <w:sz w:val="20"/>
                  <w:szCs w:val="18"/>
                </w:rPr>
              </m:ctrlPr>
            </m:dPr>
            <m:e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18"/>
                    </w:rPr>
                    <m:t>A×0.25</m:t>
                  </m:r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0"/>
                          <w:szCs w:val="18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0"/>
                          <w:szCs w:val="18"/>
                        </w:rPr>
                        <m:t>C</m:t>
                      </m:r>
                    </m:den>
                  </m:f>
                </m:e>
              </m:d>
            </m:e>
          </m:d>
          <m:r>
            <w:rPr>
              <w:rFonts w:ascii="Cambria Math" w:hAnsi="Cambria Math" w:cs="Arial"/>
              <w:sz w:val="20"/>
              <w:szCs w:val="18"/>
            </w:rPr>
            <m:t xml:space="preserve"> + </m:t>
          </m:r>
          <m:d>
            <m:dPr>
              <m:ctrlPr>
                <w:rPr>
                  <w:rFonts w:ascii="Cambria Math" w:hAnsi="Cambria Math" w:cs="Arial"/>
                  <w:i/>
                  <w:sz w:val="20"/>
                  <w:szCs w:val="18"/>
                </w:rPr>
              </m:ctrlPr>
            </m:dPr>
            <m:e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18"/>
                    </w:rPr>
                    <m:t>A×0.75</m:t>
                  </m:r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1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0"/>
                          <w:szCs w:val="18"/>
                        </w:rPr>
                        <m:t>0.45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1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18"/>
                                </w:rPr>
                                <m:t>B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18"/>
                                </w:rPr>
                                <m:t>C</m:t>
                              </m:r>
                            </m:den>
                          </m:f>
                        </m:e>
                      </m:d>
                    </m:e>
                  </m:d>
                  <m:r>
                    <w:rPr>
                      <w:rFonts w:ascii="Cambria Math" w:hAnsi="Cambria Math" w:cs="Arial"/>
                      <w:sz w:val="20"/>
                      <w:szCs w:val="18"/>
                    </w:rPr>
                    <m:t xml:space="preserve"> + 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0"/>
                          <w:szCs w:val="18"/>
                        </w:rPr>
                        <m:t>0.45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1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18"/>
                                </w:rPr>
                                <m:t>D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18"/>
                                </w:rPr>
                                <m:t>E</m:t>
                              </m:r>
                            </m:den>
                          </m:f>
                        </m:e>
                      </m:d>
                    </m:e>
                  </m:d>
                  <m:r>
                    <w:rPr>
                      <w:rFonts w:ascii="Cambria Math" w:hAnsi="Cambria Math" w:cs="Arial"/>
                      <w:sz w:val="20"/>
                      <w:szCs w:val="18"/>
                    </w:rPr>
                    <m:t xml:space="preserve"> + 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0"/>
                          <w:szCs w:val="18"/>
                        </w:rPr>
                        <m:t>0.1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1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18"/>
                                </w:rPr>
                                <m:t>F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18"/>
                                </w:rPr>
                                <m:t>G</m:t>
                              </m:r>
                            </m:den>
                          </m:f>
                        </m:e>
                      </m:d>
                    </m:e>
                  </m:d>
                </m:e>
              </m:d>
            </m:e>
          </m:d>
        </m:oMath>
      </m:oMathPara>
    </w:p>
    <w:p w14:paraId="7DE24B3C" w14:textId="77777777" w:rsidR="009C0C3B" w:rsidRPr="0063683F" w:rsidRDefault="009C0C3B" w:rsidP="009C0C3B">
      <w:pPr>
        <w:rPr>
          <w:rFonts w:ascii="Arial" w:eastAsiaTheme="minorEastAsia" w:hAnsi="Arial" w:cs="Arial"/>
        </w:rPr>
      </w:pPr>
    </w:p>
    <w:p w14:paraId="6D6D3F52" w14:textId="77777777" w:rsidR="009C0C3B" w:rsidRPr="0063683F" w:rsidRDefault="009C0C3B" w:rsidP="009C0C3B">
      <w:pPr>
        <w:rPr>
          <w:rFonts w:ascii="Arial" w:eastAsiaTheme="minorEastAsia" w:hAnsi="Arial" w:cs="Arial"/>
        </w:rPr>
      </w:pPr>
      <m:oMathPara>
        <m:oMath>
          <m:r>
            <w:rPr>
              <w:rFonts w:ascii="Cambria Math" w:hAnsi="Cambria Math" w:cs="Arial"/>
              <w:sz w:val="20"/>
              <w:szCs w:val="18"/>
            </w:rPr>
            <m:t>2024 and later years:    A</m:t>
          </m:r>
          <m:d>
            <m:dPr>
              <m:ctrlPr>
                <w:rPr>
                  <w:rFonts w:ascii="Cambria Math" w:hAnsi="Cambria Math" w:cs="Arial"/>
                  <w:i/>
                  <w:sz w:val="20"/>
                  <w:szCs w:val="18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18"/>
                </w:rPr>
                <m:t>0.45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0"/>
                          <w:szCs w:val="18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0"/>
                          <w:szCs w:val="18"/>
                        </w:rPr>
                        <m:t>C</m:t>
                      </m:r>
                    </m:den>
                  </m:f>
                </m:e>
              </m:d>
              <m:r>
                <w:rPr>
                  <w:rFonts w:ascii="Cambria Math" w:hAnsi="Cambria Math" w:cs="Arial"/>
                  <w:sz w:val="20"/>
                  <w:szCs w:val="18"/>
                </w:rPr>
                <m:t xml:space="preserve"> + 0.45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0"/>
                          <w:szCs w:val="18"/>
                        </w:rPr>
                        <m:t>D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0"/>
                          <w:szCs w:val="18"/>
                        </w:rPr>
                        <m:t>E</m:t>
                      </m:r>
                    </m:den>
                  </m:f>
                </m:e>
              </m:d>
              <m:r>
                <w:rPr>
                  <w:rFonts w:ascii="Cambria Math" w:hAnsi="Cambria Math" w:cs="Arial"/>
                  <w:sz w:val="20"/>
                  <w:szCs w:val="18"/>
                </w:rPr>
                <m:t xml:space="preserve"> +0.1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0"/>
                          <w:szCs w:val="18"/>
                        </w:rPr>
                        <m:t>F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0"/>
                          <w:szCs w:val="18"/>
                        </w:rPr>
                        <m:t>G</m:t>
                      </m:r>
                    </m:den>
                  </m:f>
                </m:e>
              </m:d>
            </m:e>
          </m:d>
        </m:oMath>
      </m:oMathPara>
    </w:p>
    <w:p w14:paraId="132316D1" w14:textId="77777777" w:rsidR="009C0C3B" w:rsidRPr="0063683F" w:rsidRDefault="009C0C3B" w:rsidP="009C0C3B">
      <w:pPr>
        <w:ind w:left="1100" w:hanging="1100"/>
        <w:rPr>
          <w:rFonts w:ascii="Arial" w:eastAsia="Times New Roman" w:hAnsi="Arial" w:cs="Arial"/>
        </w:rPr>
      </w:pPr>
      <w:r w:rsidRPr="0063683F">
        <w:rPr>
          <w:rFonts w:ascii="Arial" w:hAnsi="Arial" w:cs="Arial"/>
        </w:rPr>
        <w:t>Where:</w:t>
      </w:r>
    </w:p>
    <w:p w14:paraId="442F044D" w14:textId="77777777" w:rsidR="009C0C3B" w:rsidRPr="0063683F" w:rsidRDefault="009C0C3B" w:rsidP="009C0C3B">
      <w:pPr>
        <w:ind w:left="1100" w:hanging="1100"/>
        <w:rPr>
          <w:rFonts w:ascii="Arial" w:hAnsi="Arial" w:cs="Arial"/>
          <w:color w:val="000000"/>
          <w:szCs w:val="22"/>
        </w:rPr>
      </w:pPr>
    </w:p>
    <w:p w14:paraId="0CE01016" w14:textId="0A4A0110" w:rsidR="009C0C3B" w:rsidRPr="0063683F" w:rsidRDefault="00F95BB7" w:rsidP="009C0C3B">
      <w:pPr>
        <w:ind w:left="1100" w:hanging="1100"/>
        <w:rPr>
          <w:rFonts w:ascii="Arial" w:hAnsi="Arial" w:cs="Arial"/>
          <w:color w:val="000000"/>
          <w:szCs w:val="22"/>
        </w:rPr>
      </w:pPr>
      <w:r w:rsidRPr="0063683F">
        <w:rPr>
          <w:rFonts w:ascii="Arial" w:hAnsi="Arial" w:cs="Arial"/>
          <w:color w:val="000000"/>
          <w:szCs w:val="22"/>
        </w:rPr>
        <w:t>A1</w:t>
      </w:r>
      <w:r w:rsidRPr="0063683F">
        <w:rPr>
          <w:rFonts w:ascii="Arial" w:hAnsi="Arial" w:cs="Arial"/>
          <w:color w:val="000000"/>
          <w:szCs w:val="22"/>
        </w:rPr>
        <w:tab/>
        <w:t>is $138,009,092;</w:t>
      </w:r>
    </w:p>
    <w:p w14:paraId="5761BACB" w14:textId="77777777" w:rsidR="009C0C3B" w:rsidRPr="0063683F" w:rsidRDefault="009C0C3B" w:rsidP="009C0C3B">
      <w:pPr>
        <w:ind w:left="1100" w:hanging="1100"/>
        <w:rPr>
          <w:rFonts w:ascii="Arial" w:hAnsi="Arial" w:cs="Arial"/>
          <w:color w:val="000000"/>
          <w:szCs w:val="22"/>
        </w:rPr>
      </w:pPr>
    </w:p>
    <w:p w14:paraId="5AC4D689" w14:textId="3F19AF2A" w:rsidR="009C0C3B" w:rsidRPr="0063683F" w:rsidRDefault="009C0C3B" w:rsidP="009C0C3B">
      <w:pPr>
        <w:ind w:left="1100" w:hanging="1100"/>
        <w:rPr>
          <w:rFonts w:ascii="Arial" w:hAnsi="Arial" w:cs="Arial"/>
          <w:color w:val="000000"/>
          <w:szCs w:val="22"/>
        </w:rPr>
      </w:pPr>
      <w:r w:rsidRPr="0063683F">
        <w:rPr>
          <w:rFonts w:ascii="Arial" w:hAnsi="Arial" w:cs="Arial"/>
          <w:color w:val="000000"/>
          <w:szCs w:val="22"/>
        </w:rPr>
        <w:t>A</w:t>
      </w:r>
      <w:r w:rsidRPr="0063683F">
        <w:rPr>
          <w:rFonts w:ascii="Arial" w:hAnsi="Arial" w:cs="Arial"/>
          <w:color w:val="000000"/>
          <w:szCs w:val="22"/>
        </w:rPr>
        <w:tab/>
        <w:t>is the total amount available for the year under the HEPPP (see section 1.45.1);</w:t>
      </w:r>
    </w:p>
    <w:p w14:paraId="4C673A6F" w14:textId="77777777" w:rsidR="009C0C3B" w:rsidRPr="0063683F" w:rsidRDefault="009C0C3B" w:rsidP="009C0C3B">
      <w:pPr>
        <w:ind w:left="1100" w:hanging="1100"/>
        <w:rPr>
          <w:rFonts w:ascii="Arial" w:hAnsi="Arial" w:cs="Arial"/>
          <w:color w:val="000000"/>
          <w:szCs w:val="22"/>
        </w:rPr>
      </w:pPr>
    </w:p>
    <w:p w14:paraId="2F39870C" w14:textId="77777777" w:rsidR="009C0C3B" w:rsidRPr="0063683F" w:rsidRDefault="009C0C3B" w:rsidP="009C0C3B">
      <w:pPr>
        <w:ind w:left="1100" w:hanging="1100"/>
        <w:rPr>
          <w:rFonts w:ascii="Arial" w:hAnsi="Arial" w:cs="Arial"/>
          <w:color w:val="000000"/>
          <w:szCs w:val="22"/>
        </w:rPr>
      </w:pPr>
      <w:r w:rsidRPr="0063683F">
        <w:rPr>
          <w:rFonts w:ascii="Arial" w:hAnsi="Arial" w:cs="Arial"/>
          <w:color w:val="000000"/>
          <w:szCs w:val="22"/>
        </w:rPr>
        <w:lastRenderedPageBreak/>
        <w:t>B</w:t>
      </w:r>
      <w:r w:rsidRPr="0063683F">
        <w:rPr>
          <w:rFonts w:ascii="Arial" w:hAnsi="Arial" w:cs="Arial"/>
          <w:color w:val="000000"/>
          <w:szCs w:val="22"/>
        </w:rPr>
        <w:tab/>
        <w:t>is the total number of domestic undergraduate students from low SES backgrounds enrolled at the relevant higher education provider in the most recent year for which HEIMS data is available;</w:t>
      </w:r>
    </w:p>
    <w:p w14:paraId="4CFE9F37" w14:textId="77777777" w:rsidR="009C0C3B" w:rsidRPr="0063683F" w:rsidRDefault="009C0C3B" w:rsidP="009C0C3B">
      <w:pPr>
        <w:ind w:left="1100" w:hanging="1100"/>
        <w:rPr>
          <w:rFonts w:ascii="Arial" w:hAnsi="Arial" w:cs="Arial"/>
          <w:color w:val="000000"/>
          <w:szCs w:val="22"/>
        </w:rPr>
      </w:pPr>
    </w:p>
    <w:p w14:paraId="5F2EE23C" w14:textId="77777777" w:rsidR="009C0C3B" w:rsidRPr="0063683F" w:rsidRDefault="009C0C3B" w:rsidP="009C0C3B">
      <w:pPr>
        <w:ind w:left="1100" w:hanging="1100"/>
        <w:rPr>
          <w:rFonts w:ascii="Arial" w:hAnsi="Arial" w:cs="Arial"/>
          <w:color w:val="000000"/>
          <w:szCs w:val="22"/>
        </w:rPr>
      </w:pPr>
      <w:r w:rsidRPr="0063683F">
        <w:rPr>
          <w:rFonts w:ascii="Arial" w:hAnsi="Arial" w:cs="Arial"/>
          <w:color w:val="000000"/>
          <w:szCs w:val="22"/>
        </w:rPr>
        <w:t>C</w:t>
      </w:r>
      <w:r w:rsidRPr="0063683F">
        <w:rPr>
          <w:rFonts w:ascii="Arial" w:hAnsi="Arial" w:cs="Arial"/>
          <w:color w:val="000000"/>
          <w:szCs w:val="22"/>
        </w:rPr>
        <w:tab/>
        <w:t>is the total number of domestic undergraduate students from low SES backgrounds enrolled at all Table A providers in the most recent year for which HEIMS data is available;</w:t>
      </w:r>
    </w:p>
    <w:p w14:paraId="24AA0F29" w14:textId="77777777" w:rsidR="009C0C3B" w:rsidRPr="0063683F" w:rsidRDefault="009C0C3B" w:rsidP="009C0C3B">
      <w:pPr>
        <w:ind w:left="1100" w:hanging="1100"/>
        <w:rPr>
          <w:rFonts w:ascii="Arial" w:hAnsi="Arial" w:cs="Arial"/>
          <w:color w:val="000000"/>
          <w:szCs w:val="22"/>
        </w:rPr>
      </w:pPr>
    </w:p>
    <w:p w14:paraId="2B1458EF" w14:textId="77777777" w:rsidR="009C0C3B" w:rsidRPr="0063683F" w:rsidRDefault="009C0C3B" w:rsidP="009C0C3B">
      <w:pPr>
        <w:ind w:left="1100" w:hanging="1100"/>
        <w:rPr>
          <w:rFonts w:ascii="Arial" w:hAnsi="Arial" w:cs="Arial"/>
          <w:color w:val="000000"/>
          <w:szCs w:val="22"/>
        </w:rPr>
      </w:pPr>
      <w:r w:rsidRPr="0063683F">
        <w:rPr>
          <w:rFonts w:ascii="Arial" w:hAnsi="Arial" w:cs="Arial"/>
          <w:color w:val="000000"/>
          <w:szCs w:val="22"/>
        </w:rPr>
        <w:t>D</w:t>
      </w:r>
      <w:r w:rsidRPr="0063683F">
        <w:rPr>
          <w:rFonts w:ascii="Arial" w:hAnsi="Arial" w:cs="Arial"/>
          <w:color w:val="000000"/>
          <w:szCs w:val="22"/>
        </w:rPr>
        <w:tab/>
        <w:t>is the total number of domestic undergraduate students with a permanent residential address in a regional area or a remote area at the time the person first enrols in a course of study with the relevant provider, in the most recent year for which HEIMS data is available;</w:t>
      </w:r>
    </w:p>
    <w:p w14:paraId="46A495C7" w14:textId="77777777" w:rsidR="009C0C3B" w:rsidRPr="0063683F" w:rsidRDefault="009C0C3B" w:rsidP="009C0C3B">
      <w:pPr>
        <w:ind w:left="1100" w:hanging="1100"/>
        <w:rPr>
          <w:rFonts w:ascii="Arial" w:hAnsi="Arial" w:cs="Arial"/>
          <w:color w:val="000000"/>
          <w:szCs w:val="22"/>
        </w:rPr>
      </w:pPr>
    </w:p>
    <w:p w14:paraId="3312BBAD" w14:textId="77777777" w:rsidR="009C0C3B" w:rsidRPr="0063683F" w:rsidRDefault="009C0C3B" w:rsidP="009C0C3B">
      <w:pPr>
        <w:ind w:left="1100" w:hanging="1100"/>
        <w:rPr>
          <w:rFonts w:ascii="Arial" w:hAnsi="Arial" w:cs="Arial"/>
          <w:color w:val="000000"/>
          <w:szCs w:val="22"/>
        </w:rPr>
      </w:pPr>
      <w:r w:rsidRPr="0063683F">
        <w:rPr>
          <w:rFonts w:ascii="Arial" w:hAnsi="Arial" w:cs="Arial"/>
          <w:color w:val="000000"/>
          <w:szCs w:val="22"/>
        </w:rPr>
        <w:t>E</w:t>
      </w:r>
      <w:r w:rsidRPr="0063683F">
        <w:rPr>
          <w:rFonts w:ascii="Arial" w:hAnsi="Arial" w:cs="Arial"/>
          <w:color w:val="000000"/>
          <w:szCs w:val="22"/>
        </w:rPr>
        <w:tab/>
        <w:t>is the total number of domestic undergraduate students at all Table A providers that have a permanent residential address in a regional area or a remote area at the time the person first enrols in a course of study with their provider, in the most recent year for which HEIMS data is available;</w:t>
      </w:r>
    </w:p>
    <w:p w14:paraId="70B6A127" w14:textId="77777777" w:rsidR="009C0C3B" w:rsidRPr="0063683F" w:rsidRDefault="009C0C3B" w:rsidP="009C0C3B">
      <w:pPr>
        <w:ind w:left="1100" w:hanging="1100"/>
        <w:rPr>
          <w:rFonts w:ascii="Arial" w:hAnsi="Arial" w:cs="Arial"/>
          <w:color w:val="000000"/>
          <w:szCs w:val="22"/>
        </w:rPr>
      </w:pPr>
    </w:p>
    <w:p w14:paraId="2951560C" w14:textId="77777777" w:rsidR="009C0C3B" w:rsidRPr="0063683F" w:rsidRDefault="009C0C3B" w:rsidP="009C0C3B">
      <w:pPr>
        <w:ind w:left="1100" w:hanging="1100"/>
        <w:rPr>
          <w:rFonts w:ascii="Arial" w:hAnsi="Arial" w:cs="Arial"/>
          <w:color w:val="000000"/>
          <w:szCs w:val="22"/>
        </w:rPr>
      </w:pPr>
      <w:r w:rsidRPr="0063683F">
        <w:rPr>
          <w:rFonts w:ascii="Arial" w:hAnsi="Arial" w:cs="Arial"/>
          <w:color w:val="000000"/>
          <w:szCs w:val="22"/>
        </w:rPr>
        <w:t>F</w:t>
      </w:r>
      <w:r w:rsidRPr="0063683F">
        <w:rPr>
          <w:rFonts w:ascii="Arial" w:hAnsi="Arial" w:cs="Arial"/>
          <w:color w:val="000000"/>
          <w:szCs w:val="22"/>
        </w:rPr>
        <w:tab/>
        <w:t>is the total number of domestic undergraduate Indigenous persons enrolled at the relevant higher education provider in the most recent year for which HEIMS data is available;</w:t>
      </w:r>
    </w:p>
    <w:p w14:paraId="305ECE05" w14:textId="77777777" w:rsidR="009C0C3B" w:rsidRPr="0063683F" w:rsidRDefault="009C0C3B" w:rsidP="009C0C3B">
      <w:pPr>
        <w:ind w:left="1100" w:hanging="1100"/>
        <w:rPr>
          <w:rFonts w:ascii="Arial" w:hAnsi="Arial" w:cs="Arial"/>
          <w:color w:val="000000"/>
          <w:szCs w:val="22"/>
        </w:rPr>
      </w:pPr>
    </w:p>
    <w:p w14:paraId="4012707B" w14:textId="77777777" w:rsidR="009C0C3B" w:rsidRPr="0063683F" w:rsidRDefault="009C0C3B" w:rsidP="009C0C3B">
      <w:pPr>
        <w:ind w:left="1100" w:hanging="1100"/>
        <w:rPr>
          <w:rFonts w:ascii="Arial" w:hAnsi="Arial" w:cs="Arial"/>
          <w:color w:val="000000"/>
          <w:szCs w:val="22"/>
        </w:rPr>
      </w:pPr>
      <w:r w:rsidRPr="0063683F">
        <w:rPr>
          <w:rFonts w:ascii="Arial" w:hAnsi="Arial" w:cs="Arial"/>
          <w:color w:val="000000"/>
          <w:szCs w:val="22"/>
        </w:rPr>
        <w:t>G</w:t>
      </w:r>
      <w:r w:rsidRPr="0063683F">
        <w:rPr>
          <w:rFonts w:ascii="Arial" w:hAnsi="Arial" w:cs="Arial"/>
          <w:color w:val="000000"/>
          <w:szCs w:val="22"/>
        </w:rPr>
        <w:tab/>
        <w:t>is the total number of domestic undergraduate Indigenous persons enrolled at all Table A providers in the most recent year for which HEIMS data is available;</w:t>
      </w:r>
    </w:p>
    <w:p w14:paraId="1E71F048" w14:textId="77777777" w:rsidR="009C0C3B" w:rsidRPr="0063683F" w:rsidRDefault="009C0C3B" w:rsidP="009C0C3B">
      <w:pPr>
        <w:ind w:left="1100" w:hanging="1100"/>
        <w:rPr>
          <w:rFonts w:ascii="Arial" w:hAnsi="Arial" w:cs="Arial"/>
          <w:color w:val="000000"/>
          <w:szCs w:val="22"/>
        </w:rPr>
      </w:pPr>
    </w:p>
    <w:p w14:paraId="141BCC95" w14:textId="52E073B8" w:rsidR="009C0C3B" w:rsidRPr="0063683F" w:rsidRDefault="009C0C3B" w:rsidP="009C0C3B">
      <w:pPr>
        <w:ind w:left="1100" w:hanging="1100"/>
        <w:rPr>
          <w:rFonts w:ascii="Arial" w:hAnsi="Arial" w:cs="Arial"/>
          <w:color w:val="000000"/>
          <w:szCs w:val="22"/>
        </w:rPr>
      </w:pPr>
      <w:r w:rsidRPr="0063683F">
        <w:rPr>
          <w:rFonts w:ascii="Arial" w:hAnsi="Arial" w:cs="Arial"/>
          <w:color w:val="000000"/>
          <w:szCs w:val="22"/>
        </w:rPr>
        <w:t>1.47.5</w:t>
      </w:r>
      <w:r w:rsidRPr="0063683F">
        <w:rPr>
          <w:rFonts w:ascii="Arial" w:hAnsi="Arial" w:cs="Arial"/>
          <w:color w:val="000000"/>
          <w:szCs w:val="22"/>
        </w:rPr>
        <w:tab/>
        <w:t xml:space="preserve">For the avoidance of doubt, when calculating the grant amount for a year under section 1.47.1, any grant amounts that were rolled over from the previous year under section 41-40 of the Act must not be taken into account. </w:t>
      </w:r>
    </w:p>
    <w:p w14:paraId="07C4496A" w14:textId="77777777" w:rsidR="009C0C3B" w:rsidRPr="0063683F" w:rsidRDefault="009C0C3B" w:rsidP="009C0C3B">
      <w:pPr>
        <w:ind w:left="1100" w:hanging="1100"/>
        <w:rPr>
          <w:rFonts w:ascii="Arial" w:hAnsi="Arial" w:cs="Arial"/>
          <w:color w:val="000000"/>
          <w:szCs w:val="22"/>
        </w:rPr>
      </w:pPr>
    </w:p>
    <w:p w14:paraId="294EA725" w14:textId="41B35B1B" w:rsidR="008A12CE" w:rsidRPr="0063683F" w:rsidRDefault="008A12CE" w:rsidP="008A12CE">
      <w:pPr>
        <w:pStyle w:val="ItemHead"/>
        <w:rPr>
          <w:rFonts w:cs="Arial"/>
        </w:rPr>
      </w:pPr>
      <w:r w:rsidRPr="0063683F">
        <w:rPr>
          <w:rFonts w:cs="Arial"/>
        </w:rPr>
        <w:t>3  Section 1.47A</w:t>
      </w:r>
    </w:p>
    <w:p w14:paraId="4ED0C888" w14:textId="2B2D892A" w:rsidR="008A12CE" w:rsidRPr="0063683F" w:rsidRDefault="008A12CE" w:rsidP="008A12CE">
      <w:pPr>
        <w:pStyle w:val="Item"/>
        <w:ind w:left="720" w:hanging="720"/>
        <w:rPr>
          <w:rFonts w:ascii="Arial" w:hAnsi="Arial" w:cs="Arial"/>
        </w:rPr>
      </w:pPr>
      <w:r w:rsidRPr="0063683F">
        <w:rPr>
          <w:rFonts w:ascii="Arial" w:hAnsi="Arial" w:cs="Arial"/>
        </w:rPr>
        <w:tab/>
        <w:t>After subsection 1.47.15, insert:</w:t>
      </w:r>
    </w:p>
    <w:p w14:paraId="63B068F9" w14:textId="4C933EC8" w:rsidR="00A801A8" w:rsidRPr="0063683F" w:rsidRDefault="00A801A8" w:rsidP="00A801A8">
      <w:pPr>
        <w:pStyle w:val="Item"/>
        <w:spacing w:after="240"/>
        <w:ind w:left="720" w:hanging="720"/>
        <w:rPr>
          <w:rFonts w:ascii="Arial" w:hAnsi="Arial" w:cs="Arial"/>
          <w:b/>
          <w:bCs/>
        </w:rPr>
      </w:pPr>
      <w:r w:rsidRPr="0063683F">
        <w:rPr>
          <w:rFonts w:ascii="Arial" w:hAnsi="Arial" w:cs="Arial"/>
          <w:b/>
          <w:bCs/>
        </w:rPr>
        <w:t xml:space="preserve">1.47A Calculation of 2021 grant amount for </w:t>
      </w:r>
      <w:r w:rsidR="00AF74C3" w:rsidRPr="0063683F">
        <w:rPr>
          <w:rFonts w:ascii="Arial" w:hAnsi="Arial" w:cs="Arial"/>
          <w:b/>
          <w:bCs/>
        </w:rPr>
        <w:t>the University of Notre Dame Australia</w:t>
      </w:r>
    </w:p>
    <w:p w14:paraId="1988A452" w14:textId="735338D4" w:rsidR="00F95BB7" w:rsidRPr="0063683F" w:rsidRDefault="00F95BB7" w:rsidP="00F95BB7">
      <w:pPr>
        <w:ind w:left="1100" w:hanging="1100"/>
        <w:rPr>
          <w:rFonts w:ascii="Arial" w:hAnsi="Arial" w:cs="Arial"/>
          <w:color w:val="000000"/>
          <w:szCs w:val="22"/>
        </w:rPr>
      </w:pPr>
      <w:r w:rsidRPr="0063683F">
        <w:rPr>
          <w:rFonts w:ascii="Arial" w:hAnsi="Arial" w:cs="Arial"/>
          <w:color w:val="000000"/>
          <w:szCs w:val="22"/>
        </w:rPr>
        <w:t>1.47A.1</w:t>
      </w:r>
      <w:r w:rsidRPr="0063683F">
        <w:rPr>
          <w:rFonts w:ascii="Arial" w:hAnsi="Arial" w:cs="Arial"/>
          <w:color w:val="000000"/>
          <w:szCs w:val="22"/>
        </w:rPr>
        <w:tab/>
        <w:t xml:space="preserve">For the year 2021, HEIMS data for the </w:t>
      </w:r>
      <w:r w:rsidR="00AF74C3" w:rsidRPr="0063683F">
        <w:rPr>
          <w:rFonts w:ascii="Arial" w:hAnsi="Arial" w:cs="Arial"/>
          <w:color w:val="000000"/>
          <w:szCs w:val="22"/>
        </w:rPr>
        <w:t xml:space="preserve">University of Notre Dame Australia </w:t>
      </w:r>
      <w:r w:rsidRPr="0063683F">
        <w:rPr>
          <w:rFonts w:ascii="Arial" w:hAnsi="Arial" w:cs="Arial"/>
          <w:color w:val="000000"/>
          <w:szCs w:val="22"/>
        </w:rPr>
        <w:t>is not to be included in the calculation of grant amounts for all other eligible providers under section 1.47.</w:t>
      </w:r>
    </w:p>
    <w:p w14:paraId="2A149131" w14:textId="77777777" w:rsidR="00F95BB7" w:rsidRPr="0063683F" w:rsidRDefault="00F95BB7" w:rsidP="00F95BB7">
      <w:pPr>
        <w:ind w:left="1100" w:hanging="1100"/>
        <w:rPr>
          <w:rFonts w:ascii="Arial" w:hAnsi="Arial" w:cs="Arial"/>
          <w:color w:val="000000"/>
          <w:szCs w:val="22"/>
        </w:rPr>
      </w:pPr>
    </w:p>
    <w:p w14:paraId="1DDA886C" w14:textId="1D14F4A4" w:rsidR="00A801A8" w:rsidRPr="0063683F" w:rsidRDefault="00A801A8" w:rsidP="00F95BB7">
      <w:pPr>
        <w:ind w:left="1100" w:hanging="1100"/>
        <w:rPr>
          <w:rFonts w:ascii="Arial" w:hAnsi="Arial" w:cs="Arial"/>
          <w:color w:val="000000"/>
          <w:szCs w:val="22"/>
        </w:rPr>
      </w:pPr>
      <w:r w:rsidRPr="0063683F">
        <w:rPr>
          <w:rFonts w:ascii="Arial" w:hAnsi="Arial" w:cs="Arial"/>
          <w:color w:val="000000"/>
          <w:szCs w:val="22"/>
        </w:rPr>
        <w:t>1.47A.</w:t>
      </w:r>
      <w:r w:rsidR="00F95BB7" w:rsidRPr="0063683F">
        <w:rPr>
          <w:rFonts w:ascii="Arial" w:hAnsi="Arial" w:cs="Arial"/>
          <w:color w:val="000000"/>
          <w:szCs w:val="22"/>
        </w:rPr>
        <w:t>5</w:t>
      </w:r>
      <w:r w:rsidRPr="0063683F">
        <w:rPr>
          <w:rFonts w:ascii="Arial" w:hAnsi="Arial" w:cs="Arial"/>
          <w:color w:val="000000"/>
          <w:szCs w:val="22"/>
        </w:rPr>
        <w:tab/>
        <w:t xml:space="preserve">For the year 2021, the maximum grant amount for </w:t>
      </w:r>
      <w:r w:rsidR="00AF74C3" w:rsidRPr="0063683F">
        <w:rPr>
          <w:rFonts w:ascii="Arial" w:hAnsi="Arial" w:cs="Arial"/>
          <w:color w:val="000000"/>
          <w:szCs w:val="22"/>
        </w:rPr>
        <w:t xml:space="preserve">the University of Notre Dame Australia </w:t>
      </w:r>
      <w:r w:rsidRPr="0063683F">
        <w:rPr>
          <w:rFonts w:ascii="Arial" w:hAnsi="Arial" w:cs="Arial"/>
          <w:color w:val="000000"/>
          <w:szCs w:val="22"/>
        </w:rPr>
        <w:t xml:space="preserve">is to be </w:t>
      </w:r>
      <w:r w:rsidR="008B00F9" w:rsidRPr="0063683F">
        <w:rPr>
          <w:rFonts w:ascii="Arial" w:hAnsi="Arial" w:cs="Arial"/>
          <w:color w:val="000000"/>
          <w:szCs w:val="22"/>
        </w:rPr>
        <w:t xml:space="preserve">the remainder of the total amount available for the year under HEPPP once the </w:t>
      </w:r>
      <w:r w:rsidR="00F95BB7" w:rsidRPr="0063683F">
        <w:rPr>
          <w:rFonts w:ascii="Arial" w:hAnsi="Arial" w:cs="Arial"/>
          <w:color w:val="000000"/>
          <w:szCs w:val="22"/>
        </w:rPr>
        <w:t>grant amounts for all other eligible providers have been calculated under section 1.47.</w:t>
      </w:r>
    </w:p>
    <w:p w14:paraId="4CB13B57" w14:textId="01D56C37" w:rsidR="005E317F" w:rsidRPr="0063683F" w:rsidRDefault="000205FB" w:rsidP="005E317F">
      <w:pPr>
        <w:pStyle w:val="ItemHead"/>
        <w:rPr>
          <w:rFonts w:cs="Arial"/>
        </w:rPr>
      </w:pPr>
      <w:r w:rsidRPr="0063683F">
        <w:rPr>
          <w:rFonts w:cs="Arial"/>
        </w:rPr>
        <w:t>4</w:t>
      </w:r>
      <w:r w:rsidR="005E317F" w:rsidRPr="0063683F">
        <w:rPr>
          <w:rFonts w:cs="Arial"/>
        </w:rPr>
        <w:t xml:space="preserve">  </w:t>
      </w:r>
      <w:r w:rsidR="004261EE" w:rsidRPr="0063683F">
        <w:rPr>
          <w:rFonts w:cs="Arial"/>
        </w:rPr>
        <w:t>Section</w:t>
      </w:r>
      <w:r w:rsidR="00EB6010" w:rsidRPr="0063683F">
        <w:rPr>
          <w:rFonts w:cs="Arial"/>
        </w:rPr>
        <w:t xml:space="preserve"> 8.15</w:t>
      </w:r>
    </w:p>
    <w:p w14:paraId="70A5BBCE" w14:textId="4B8EA2F9" w:rsidR="00EB6010" w:rsidRPr="0063683F" w:rsidRDefault="005E317F" w:rsidP="00EB6010">
      <w:pPr>
        <w:pStyle w:val="Item"/>
        <w:rPr>
          <w:rFonts w:ascii="Arial" w:hAnsi="Arial" w:cs="Arial"/>
        </w:rPr>
      </w:pPr>
      <w:r w:rsidRPr="0063683F">
        <w:rPr>
          <w:rFonts w:ascii="Arial" w:hAnsi="Arial" w:cs="Arial"/>
        </w:rPr>
        <w:t>Repeal the</w:t>
      </w:r>
      <w:r w:rsidR="00D92F91" w:rsidRPr="0063683F">
        <w:rPr>
          <w:rFonts w:ascii="Arial" w:hAnsi="Arial" w:cs="Arial"/>
        </w:rPr>
        <w:t xml:space="preserve"> </w:t>
      </w:r>
      <w:r w:rsidR="004261EE" w:rsidRPr="0063683F">
        <w:rPr>
          <w:rFonts w:ascii="Arial" w:hAnsi="Arial" w:cs="Arial"/>
        </w:rPr>
        <w:t>section</w:t>
      </w:r>
      <w:r w:rsidR="00D92F91" w:rsidRPr="0063683F">
        <w:rPr>
          <w:rFonts w:ascii="Arial" w:hAnsi="Arial" w:cs="Arial"/>
        </w:rPr>
        <w:t>,</w:t>
      </w:r>
      <w:r w:rsidRPr="0063683F">
        <w:rPr>
          <w:rFonts w:ascii="Arial" w:hAnsi="Arial" w:cs="Arial"/>
        </w:rPr>
        <w:t xml:space="preserve"> substitute:</w:t>
      </w:r>
    </w:p>
    <w:p w14:paraId="6A047141" w14:textId="5DF7BC65" w:rsidR="00EB6010" w:rsidRPr="0063683F" w:rsidRDefault="00D92F91" w:rsidP="00444EA7">
      <w:pPr>
        <w:pStyle w:val="Item"/>
        <w:ind w:left="0"/>
        <w:rPr>
          <w:rFonts w:ascii="Arial" w:hAnsi="Arial" w:cs="Arial"/>
          <w:b/>
          <w:bCs/>
        </w:rPr>
      </w:pPr>
      <w:r w:rsidRPr="0063683F">
        <w:rPr>
          <w:rFonts w:ascii="Arial" w:hAnsi="Arial" w:cs="Arial"/>
          <w:b/>
          <w:bCs/>
        </w:rPr>
        <w:t>8.15</w:t>
      </w:r>
      <w:r w:rsidR="00EB6010" w:rsidRPr="0063683F">
        <w:rPr>
          <w:rFonts w:ascii="Arial" w:hAnsi="Arial" w:cs="Arial"/>
          <w:b/>
          <w:bCs/>
        </w:rPr>
        <w:tab/>
      </w:r>
      <w:r w:rsidRPr="0063683F">
        <w:rPr>
          <w:rFonts w:ascii="Arial" w:hAnsi="Arial" w:cs="Arial"/>
          <w:b/>
          <w:bCs/>
        </w:rPr>
        <w:t>Total NPILF funding</w:t>
      </w:r>
    </w:p>
    <w:p w14:paraId="0E3EAF3B" w14:textId="3C049857" w:rsidR="00EB6010" w:rsidRPr="0063683F" w:rsidRDefault="00D92F91" w:rsidP="00444EA7">
      <w:pPr>
        <w:pStyle w:val="Item"/>
        <w:ind w:left="993" w:hanging="993"/>
        <w:rPr>
          <w:rFonts w:ascii="Arial" w:hAnsi="Arial" w:cs="Arial"/>
        </w:rPr>
      </w:pPr>
      <w:r w:rsidRPr="0063683F">
        <w:rPr>
          <w:rFonts w:ascii="Arial" w:hAnsi="Arial" w:cs="Arial"/>
        </w:rPr>
        <w:lastRenderedPageBreak/>
        <w:t xml:space="preserve">8.15.1 </w:t>
      </w:r>
      <w:r w:rsidR="00EB6010" w:rsidRPr="0063683F">
        <w:rPr>
          <w:rFonts w:ascii="Arial" w:hAnsi="Arial" w:cs="Arial"/>
        </w:rPr>
        <w:tab/>
      </w:r>
      <w:r w:rsidR="009F182D" w:rsidRPr="0063683F">
        <w:rPr>
          <w:rFonts w:ascii="Arial" w:hAnsi="Arial" w:cs="Arial"/>
        </w:rPr>
        <w:t>The amount, being a part of the amount referred to in section 41</w:t>
      </w:r>
      <w:r w:rsidR="009F182D" w:rsidRPr="0063683F">
        <w:rPr>
          <w:rFonts w:ascii="Arial" w:hAnsi="Arial" w:cs="Arial"/>
        </w:rPr>
        <w:noBreakHyphen/>
        <w:t xml:space="preserve">45 of the Act for a year, that will be spent on the program in </w:t>
      </w:r>
      <w:r w:rsidR="00EB6010" w:rsidRPr="0063683F">
        <w:rPr>
          <w:rFonts w:ascii="Arial" w:hAnsi="Arial" w:cs="Arial"/>
        </w:rPr>
        <w:t>2021 is $225</w:t>
      </w:r>
      <w:r w:rsidR="004261EE" w:rsidRPr="0063683F">
        <w:rPr>
          <w:rFonts w:ascii="Arial" w:hAnsi="Arial" w:cs="Arial"/>
        </w:rPr>
        <w:t>,</w:t>
      </w:r>
      <w:r w:rsidR="00EB6010" w:rsidRPr="0063683F">
        <w:rPr>
          <w:rFonts w:ascii="Arial" w:hAnsi="Arial" w:cs="Arial"/>
        </w:rPr>
        <w:t>25</w:t>
      </w:r>
      <w:r w:rsidR="004261EE" w:rsidRPr="0063683F">
        <w:rPr>
          <w:rFonts w:ascii="Arial" w:hAnsi="Arial" w:cs="Arial"/>
        </w:rPr>
        <w:t>0,000</w:t>
      </w:r>
      <w:r w:rsidR="00EB6010" w:rsidRPr="0063683F">
        <w:rPr>
          <w:rFonts w:ascii="Arial" w:hAnsi="Arial" w:cs="Arial"/>
        </w:rPr>
        <w:t>.</w:t>
      </w:r>
      <w:r w:rsidR="00F223BA" w:rsidRPr="0063683F">
        <w:rPr>
          <w:rFonts w:ascii="Arial" w:hAnsi="Arial" w:cs="Arial"/>
        </w:rPr>
        <w:t xml:space="preserve"> </w:t>
      </w:r>
    </w:p>
    <w:p w14:paraId="12B9E976" w14:textId="77777777" w:rsidR="00EB6010" w:rsidRPr="0063683F" w:rsidRDefault="00EB6010" w:rsidP="0063683F">
      <w:pPr>
        <w:pStyle w:val="Item"/>
        <w:spacing w:before="0"/>
        <w:ind w:left="993" w:hanging="993"/>
        <w:rPr>
          <w:rFonts w:ascii="Arial" w:hAnsi="Arial" w:cs="Arial"/>
        </w:rPr>
      </w:pPr>
    </w:p>
    <w:p w14:paraId="612E1DF3" w14:textId="2266D5B7" w:rsidR="003F6F52" w:rsidRPr="0063683F" w:rsidRDefault="00EB6010" w:rsidP="0063683F">
      <w:pPr>
        <w:pStyle w:val="Item"/>
        <w:spacing w:before="0"/>
        <w:ind w:left="993" w:hanging="993"/>
        <w:rPr>
          <w:rFonts w:ascii="Arial" w:hAnsi="Arial" w:cs="Arial"/>
        </w:rPr>
      </w:pPr>
      <w:r w:rsidRPr="0063683F">
        <w:rPr>
          <w:rFonts w:ascii="Arial" w:hAnsi="Arial" w:cs="Arial"/>
        </w:rPr>
        <w:t>8.15.5</w:t>
      </w:r>
      <w:r w:rsidRPr="0063683F">
        <w:rPr>
          <w:rFonts w:ascii="Arial" w:hAnsi="Arial" w:cs="Arial"/>
        </w:rPr>
        <w:tab/>
      </w:r>
      <w:r w:rsidR="009F182D" w:rsidRPr="0063683F">
        <w:rPr>
          <w:rFonts w:ascii="Arial" w:hAnsi="Arial" w:cs="Arial"/>
        </w:rPr>
        <w:t>The amount, being a part of the amount referred to in section 41</w:t>
      </w:r>
      <w:r w:rsidR="009F182D" w:rsidRPr="0063683F">
        <w:rPr>
          <w:rFonts w:ascii="Arial" w:hAnsi="Arial" w:cs="Arial"/>
        </w:rPr>
        <w:noBreakHyphen/>
        <w:t>45 of the Act for a year, that will be spent on the program for the year</w:t>
      </w:r>
      <w:r w:rsidR="008A51E3" w:rsidRPr="0063683F">
        <w:rPr>
          <w:rFonts w:ascii="Arial" w:hAnsi="Arial" w:cs="Arial"/>
        </w:rPr>
        <w:t>s</w:t>
      </w:r>
      <w:r w:rsidR="009F182D" w:rsidRPr="0063683F">
        <w:rPr>
          <w:rFonts w:ascii="Arial" w:hAnsi="Arial" w:cs="Arial"/>
        </w:rPr>
        <w:t xml:space="preserve"> 2022</w:t>
      </w:r>
      <w:r w:rsidR="008A51E3" w:rsidRPr="0063683F">
        <w:rPr>
          <w:rFonts w:ascii="Arial" w:hAnsi="Arial" w:cs="Arial"/>
        </w:rPr>
        <w:t>, 2023 and 2024</w:t>
      </w:r>
      <w:r w:rsidR="009F182D" w:rsidRPr="0063683F">
        <w:rPr>
          <w:rFonts w:ascii="Arial" w:hAnsi="Arial" w:cs="Arial"/>
        </w:rPr>
        <w:t xml:space="preserve"> is the total of all grant amounts calculated in accordance with clause 8.20.</w:t>
      </w:r>
    </w:p>
    <w:p w14:paraId="4B39A8DD" w14:textId="01D0973A" w:rsidR="003223C8" w:rsidRPr="003223C8" w:rsidRDefault="003223C8" w:rsidP="00DC77F7">
      <w:pPr>
        <w:pStyle w:val="Item"/>
        <w:ind w:left="720" w:hanging="720"/>
      </w:pPr>
    </w:p>
    <w:sectPr w:rsidR="003223C8" w:rsidRPr="003223C8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79E46" w14:textId="77777777" w:rsidR="00A801A8" w:rsidRDefault="00A801A8" w:rsidP="0048364F">
      <w:pPr>
        <w:spacing w:line="240" w:lineRule="auto"/>
      </w:pPr>
      <w:r>
        <w:separator/>
      </w:r>
    </w:p>
  </w:endnote>
  <w:endnote w:type="continuationSeparator" w:id="0">
    <w:p w14:paraId="2EAE91AB" w14:textId="77777777" w:rsidR="00A801A8" w:rsidRDefault="00A801A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  <w:embedItalic r:id="rId1" w:fontKey="{A093BA53-A7F1-4D8D-8173-081A2A51B44A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801A8" w14:paraId="66952522" w14:textId="77777777" w:rsidTr="00FC30BF">
      <w:tc>
        <w:tcPr>
          <w:tcW w:w="5000" w:type="pct"/>
        </w:tcPr>
        <w:p w14:paraId="1E7416A3" w14:textId="77777777" w:rsidR="00A801A8" w:rsidRDefault="00A801A8" w:rsidP="00FC30BF">
          <w:pPr>
            <w:rPr>
              <w:sz w:val="18"/>
            </w:rPr>
          </w:pPr>
        </w:p>
      </w:tc>
    </w:tr>
  </w:tbl>
  <w:p w14:paraId="02BE72DB" w14:textId="77777777" w:rsidR="00A801A8" w:rsidRPr="005F1388" w:rsidRDefault="00A801A8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801A8" w14:paraId="601404F0" w14:textId="77777777" w:rsidTr="00FC30BF">
      <w:tc>
        <w:tcPr>
          <w:tcW w:w="5000" w:type="pct"/>
        </w:tcPr>
        <w:p w14:paraId="0A970E80" w14:textId="77777777" w:rsidR="00A801A8" w:rsidRDefault="00A801A8" w:rsidP="00FC30BF">
          <w:pPr>
            <w:rPr>
              <w:sz w:val="18"/>
            </w:rPr>
          </w:pPr>
        </w:p>
      </w:tc>
    </w:tr>
  </w:tbl>
  <w:p w14:paraId="7B0E4D1E" w14:textId="77777777" w:rsidR="00A801A8" w:rsidRPr="006D3667" w:rsidRDefault="00A801A8" w:rsidP="00FC30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B09EA" w14:textId="77777777" w:rsidR="00A801A8" w:rsidRDefault="00A801A8" w:rsidP="00FC30BF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801A8" w14:paraId="363F93F0" w14:textId="77777777" w:rsidTr="00FC30BF">
      <w:tc>
        <w:tcPr>
          <w:tcW w:w="5000" w:type="pct"/>
        </w:tcPr>
        <w:p w14:paraId="760844AD" w14:textId="77777777" w:rsidR="00A801A8" w:rsidRDefault="00A801A8" w:rsidP="00FC30BF">
          <w:pPr>
            <w:rPr>
              <w:sz w:val="18"/>
            </w:rPr>
          </w:pPr>
        </w:p>
      </w:tc>
    </w:tr>
  </w:tbl>
  <w:p w14:paraId="401B3807" w14:textId="77777777" w:rsidR="00A801A8" w:rsidRPr="00486382" w:rsidRDefault="00A801A8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08122" w14:textId="77777777" w:rsidR="00A801A8" w:rsidRPr="00E33C1C" w:rsidRDefault="00A801A8" w:rsidP="00FC30B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A801A8" w14:paraId="14CC380A" w14:textId="77777777" w:rsidTr="00FC30BF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B96C680" w14:textId="77777777" w:rsidR="00A801A8" w:rsidRDefault="00A801A8" w:rsidP="00FC30B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249EB79" w14:textId="77777777" w:rsidR="00A801A8" w:rsidRDefault="00A801A8" w:rsidP="00FC30BF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8DB6C07" w14:textId="77777777" w:rsidR="00A801A8" w:rsidRDefault="00A801A8" w:rsidP="00FC30BF">
          <w:pPr>
            <w:spacing w:line="0" w:lineRule="atLeast"/>
            <w:jc w:val="right"/>
            <w:rPr>
              <w:sz w:val="18"/>
            </w:rPr>
          </w:pPr>
        </w:p>
      </w:tc>
    </w:tr>
    <w:tr w:rsidR="00A801A8" w14:paraId="6E197038" w14:textId="77777777" w:rsidTr="00FC30B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98E95E5" w14:textId="77777777" w:rsidR="00A801A8" w:rsidRDefault="00A801A8" w:rsidP="00FC30BF">
          <w:pPr>
            <w:jc w:val="right"/>
            <w:rPr>
              <w:sz w:val="18"/>
            </w:rPr>
          </w:pPr>
        </w:p>
      </w:tc>
    </w:tr>
  </w:tbl>
  <w:p w14:paraId="60F30243" w14:textId="77777777" w:rsidR="00A801A8" w:rsidRPr="00ED79B6" w:rsidRDefault="00A801A8" w:rsidP="00FC30BF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4FD58" w14:textId="77777777" w:rsidR="00A801A8" w:rsidRPr="00E33C1C" w:rsidRDefault="00A801A8" w:rsidP="00FC30B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A801A8" w14:paraId="599CE723" w14:textId="77777777" w:rsidTr="00FC30B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BE7FABF" w14:textId="77777777" w:rsidR="00A801A8" w:rsidRDefault="00A801A8" w:rsidP="00FC30B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D8B732A" w14:textId="4238047E" w:rsidR="00A801A8" w:rsidRPr="00B20990" w:rsidRDefault="00A801A8" w:rsidP="00FC30BF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86DB6">
            <w:rPr>
              <w:i/>
              <w:noProof/>
              <w:sz w:val="18"/>
            </w:rPr>
            <w:t>Other Grants Guidelines (Education) Amendment (Total Funding Amounts)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9CDDCD0" w14:textId="77777777" w:rsidR="00A801A8" w:rsidRDefault="00A801A8" w:rsidP="00FC30B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801A8" w14:paraId="2B7176BA" w14:textId="77777777" w:rsidTr="00FC30B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35BFFCE" w14:textId="77777777" w:rsidR="00A801A8" w:rsidRDefault="00A801A8" w:rsidP="00FC30BF">
          <w:pPr>
            <w:rPr>
              <w:sz w:val="18"/>
            </w:rPr>
          </w:pPr>
        </w:p>
      </w:tc>
    </w:tr>
  </w:tbl>
  <w:p w14:paraId="3AE47ED5" w14:textId="77777777" w:rsidR="00A801A8" w:rsidRPr="00ED79B6" w:rsidRDefault="00A801A8" w:rsidP="00FC30BF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EB52F" w14:textId="77777777" w:rsidR="00A801A8" w:rsidRPr="00E33C1C" w:rsidRDefault="00A801A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801A8" w14:paraId="511DFD0B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499595" w14:textId="77777777" w:rsidR="00A801A8" w:rsidRDefault="00A801A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FC2FDF" w14:textId="72C73330" w:rsidR="00A801A8" w:rsidRDefault="00A801A8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86DB6">
            <w:rPr>
              <w:i/>
              <w:noProof/>
              <w:sz w:val="18"/>
            </w:rPr>
            <w:t>Other Grants Guidelines (Education) Amendment (Total Funding Amounts)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5C56770" w14:textId="77777777" w:rsidR="00A801A8" w:rsidRDefault="00A801A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A801A8" w14:paraId="2C9FD6E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681622C" w14:textId="77777777" w:rsidR="00A801A8" w:rsidRDefault="00A801A8" w:rsidP="00EE57E8">
          <w:pPr>
            <w:jc w:val="right"/>
            <w:rPr>
              <w:sz w:val="18"/>
            </w:rPr>
          </w:pPr>
        </w:p>
      </w:tc>
    </w:tr>
  </w:tbl>
  <w:p w14:paraId="0B050AA2" w14:textId="77777777" w:rsidR="00A801A8" w:rsidRPr="00ED79B6" w:rsidRDefault="00A801A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E1F91" w14:textId="77777777" w:rsidR="00A801A8" w:rsidRPr="00E33C1C" w:rsidRDefault="00A801A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801A8" w14:paraId="19FC5F02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0DE873" w14:textId="77777777" w:rsidR="00A801A8" w:rsidRDefault="00A801A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9B5766" w14:textId="63F6E620" w:rsidR="00A801A8" w:rsidRDefault="00A801A8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86DB6">
            <w:rPr>
              <w:i/>
              <w:noProof/>
              <w:sz w:val="18"/>
            </w:rPr>
            <w:t>Other Grants Guidelines (Education) Amendment (Total Funding Amounts)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74B2CD" w14:textId="77777777" w:rsidR="00A801A8" w:rsidRDefault="00A801A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801A8" w14:paraId="76707B0F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1D57EDC" w14:textId="77777777" w:rsidR="00A801A8" w:rsidRDefault="00A801A8" w:rsidP="00EE57E8">
          <w:pPr>
            <w:rPr>
              <w:sz w:val="18"/>
            </w:rPr>
          </w:pPr>
        </w:p>
      </w:tc>
    </w:tr>
  </w:tbl>
  <w:p w14:paraId="542DF70C" w14:textId="77777777" w:rsidR="00A801A8" w:rsidRPr="00ED79B6" w:rsidRDefault="00A801A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0050B" w14:textId="77777777" w:rsidR="00A801A8" w:rsidRPr="00E33C1C" w:rsidRDefault="00A801A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801A8" w14:paraId="3121509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FE7003" w14:textId="77777777" w:rsidR="00A801A8" w:rsidRDefault="00A801A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1BD49F" w14:textId="77777777" w:rsidR="00A801A8" w:rsidRDefault="00A801A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B88DB6" w14:textId="77777777" w:rsidR="00A801A8" w:rsidRDefault="00A801A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801A8" w14:paraId="72D4D9A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61C9D8B" w14:textId="7568765B" w:rsidR="00A801A8" w:rsidRDefault="00A801A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Document4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C86DB6">
            <w:rPr>
              <w:i/>
              <w:noProof/>
              <w:sz w:val="18"/>
            </w:rPr>
            <w:t>9/11/2021 3:45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AAEB4AE" w14:textId="77777777" w:rsidR="00A801A8" w:rsidRPr="00ED79B6" w:rsidRDefault="00A801A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0A44F" w14:textId="77777777" w:rsidR="00A801A8" w:rsidRDefault="00A801A8" w:rsidP="0048364F">
      <w:pPr>
        <w:spacing w:line="240" w:lineRule="auto"/>
      </w:pPr>
      <w:r>
        <w:separator/>
      </w:r>
    </w:p>
  </w:footnote>
  <w:footnote w:type="continuationSeparator" w:id="0">
    <w:p w14:paraId="20EAE1F6" w14:textId="77777777" w:rsidR="00A801A8" w:rsidRDefault="00A801A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E2538" w14:textId="77777777" w:rsidR="00A801A8" w:rsidRPr="005F1388" w:rsidRDefault="00A801A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32101" w14:textId="77777777" w:rsidR="00A801A8" w:rsidRPr="005F1388" w:rsidRDefault="00A801A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C96B7" w14:textId="77777777" w:rsidR="00A801A8" w:rsidRPr="005F1388" w:rsidRDefault="00A801A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9B55F" w14:textId="77777777" w:rsidR="00A801A8" w:rsidRPr="00ED79B6" w:rsidRDefault="00A801A8" w:rsidP="00FC30BF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ABD49" w14:textId="77777777" w:rsidR="00A801A8" w:rsidRPr="00ED79B6" w:rsidRDefault="00A801A8" w:rsidP="00FC30BF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7472E" w14:textId="77777777" w:rsidR="00A801A8" w:rsidRPr="00ED79B6" w:rsidRDefault="00A801A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E1943" w14:textId="77777777" w:rsidR="00A801A8" w:rsidRPr="00A961C4" w:rsidRDefault="00A801A8" w:rsidP="0048364F">
    <w:pPr>
      <w:rPr>
        <w:b/>
        <w:sz w:val="20"/>
      </w:rPr>
    </w:pPr>
  </w:p>
  <w:p w14:paraId="7FCBEDC9" w14:textId="77777777" w:rsidR="00A801A8" w:rsidRPr="00A961C4" w:rsidRDefault="00A801A8" w:rsidP="0048364F">
    <w:pPr>
      <w:rPr>
        <w:b/>
        <w:sz w:val="20"/>
      </w:rPr>
    </w:pPr>
  </w:p>
  <w:p w14:paraId="4D6E3F0A" w14:textId="77777777" w:rsidR="00A801A8" w:rsidRPr="00A961C4" w:rsidRDefault="00A801A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52A6B" w14:textId="77777777" w:rsidR="00A801A8" w:rsidRPr="00A961C4" w:rsidRDefault="00A801A8" w:rsidP="0048364F">
    <w:pPr>
      <w:jc w:val="right"/>
      <w:rPr>
        <w:sz w:val="20"/>
      </w:rPr>
    </w:pPr>
  </w:p>
  <w:p w14:paraId="00E932F3" w14:textId="77777777" w:rsidR="00A801A8" w:rsidRPr="00A961C4" w:rsidRDefault="00A801A8" w:rsidP="0048364F">
    <w:pPr>
      <w:jc w:val="right"/>
      <w:rPr>
        <w:b/>
        <w:sz w:val="20"/>
      </w:rPr>
    </w:pPr>
  </w:p>
  <w:p w14:paraId="0D545338" w14:textId="77777777" w:rsidR="00A801A8" w:rsidRPr="00A961C4" w:rsidRDefault="00A801A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68A66C59"/>
    <w:multiLevelType w:val="hybridMultilevel"/>
    <w:tmpl w:val="D930C72E"/>
    <w:lvl w:ilvl="0" w:tplc="D300200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61"/>
    <w:rsid w:val="00000263"/>
    <w:rsid w:val="00002BCC"/>
    <w:rsid w:val="000113BC"/>
    <w:rsid w:val="000136AF"/>
    <w:rsid w:val="000205FB"/>
    <w:rsid w:val="0004044E"/>
    <w:rsid w:val="0005120E"/>
    <w:rsid w:val="00054577"/>
    <w:rsid w:val="000614BF"/>
    <w:rsid w:val="0007169C"/>
    <w:rsid w:val="00077593"/>
    <w:rsid w:val="00083F48"/>
    <w:rsid w:val="00086D23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304DD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1F5D37"/>
    <w:rsid w:val="00201D27"/>
    <w:rsid w:val="0021153A"/>
    <w:rsid w:val="00224533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288D"/>
    <w:rsid w:val="0029489E"/>
    <w:rsid w:val="00297ECB"/>
    <w:rsid w:val="002C152A"/>
    <w:rsid w:val="002D043A"/>
    <w:rsid w:val="0031713F"/>
    <w:rsid w:val="003222D1"/>
    <w:rsid w:val="003223C8"/>
    <w:rsid w:val="0032750F"/>
    <w:rsid w:val="003415D3"/>
    <w:rsid w:val="003442F6"/>
    <w:rsid w:val="00346335"/>
    <w:rsid w:val="00352B0F"/>
    <w:rsid w:val="003561B0"/>
    <w:rsid w:val="00374B59"/>
    <w:rsid w:val="003921D9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0370F"/>
    <w:rsid w:val="004116CD"/>
    <w:rsid w:val="00414ADE"/>
    <w:rsid w:val="00424CA9"/>
    <w:rsid w:val="004257BB"/>
    <w:rsid w:val="004261EE"/>
    <w:rsid w:val="00435C77"/>
    <w:rsid w:val="0044291A"/>
    <w:rsid w:val="00444EA7"/>
    <w:rsid w:val="004600B0"/>
    <w:rsid w:val="00460499"/>
    <w:rsid w:val="00460FBA"/>
    <w:rsid w:val="004736F5"/>
    <w:rsid w:val="00474835"/>
    <w:rsid w:val="004819C7"/>
    <w:rsid w:val="0048364F"/>
    <w:rsid w:val="004877FC"/>
    <w:rsid w:val="00490F2E"/>
    <w:rsid w:val="00496F97"/>
    <w:rsid w:val="004973AC"/>
    <w:rsid w:val="004A53EA"/>
    <w:rsid w:val="004B35E7"/>
    <w:rsid w:val="004E3DF4"/>
    <w:rsid w:val="004F1FAC"/>
    <w:rsid w:val="004F5767"/>
    <w:rsid w:val="004F676E"/>
    <w:rsid w:val="004F71C0"/>
    <w:rsid w:val="00516B8D"/>
    <w:rsid w:val="00527394"/>
    <w:rsid w:val="0052756C"/>
    <w:rsid w:val="00530230"/>
    <w:rsid w:val="00530CC9"/>
    <w:rsid w:val="00531B46"/>
    <w:rsid w:val="00537FBC"/>
    <w:rsid w:val="005404A6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9605C"/>
    <w:rsid w:val="0059775C"/>
    <w:rsid w:val="005B1555"/>
    <w:rsid w:val="005B3521"/>
    <w:rsid w:val="005B4067"/>
    <w:rsid w:val="005C3F41"/>
    <w:rsid w:val="005C4EF0"/>
    <w:rsid w:val="005D5EA1"/>
    <w:rsid w:val="005E098C"/>
    <w:rsid w:val="005E1F8D"/>
    <w:rsid w:val="005E317F"/>
    <w:rsid w:val="005E61D3"/>
    <w:rsid w:val="005E648A"/>
    <w:rsid w:val="005F4477"/>
    <w:rsid w:val="00600219"/>
    <w:rsid w:val="006065DA"/>
    <w:rsid w:val="00606AA4"/>
    <w:rsid w:val="00634889"/>
    <w:rsid w:val="006354F1"/>
    <w:rsid w:val="0063683F"/>
    <w:rsid w:val="00640402"/>
    <w:rsid w:val="00640F78"/>
    <w:rsid w:val="00645195"/>
    <w:rsid w:val="00655D6A"/>
    <w:rsid w:val="00656DE9"/>
    <w:rsid w:val="00661633"/>
    <w:rsid w:val="00672876"/>
    <w:rsid w:val="00677CC2"/>
    <w:rsid w:val="00685F42"/>
    <w:rsid w:val="0069207B"/>
    <w:rsid w:val="006A304E"/>
    <w:rsid w:val="006B7006"/>
    <w:rsid w:val="006C7F8C"/>
    <w:rsid w:val="006D7AB9"/>
    <w:rsid w:val="006E5824"/>
    <w:rsid w:val="00700B2C"/>
    <w:rsid w:val="00713084"/>
    <w:rsid w:val="007142DC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76716"/>
    <w:rsid w:val="00795A26"/>
    <w:rsid w:val="007A6863"/>
    <w:rsid w:val="007B34C9"/>
    <w:rsid w:val="007C078E"/>
    <w:rsid w:val="007C42CC"/>
    <w:rsid w:val="007C78B4"/>
    <w:rsid w:val="007E1F94"/>
    <w:rsid w:val="007E32B6"/>
    <w:rsid w:val="007E486B"/>
    <w:rsid w:val="007E7D4A"/>
    <w:rsid w:val="007F48ED"/>
    <w:rsid w:val="007F5E3F"/>
    <w:rsid w:val="00810E61"/>
    <w:rsid w:val="00812F45"/>
    <w:rsid w:val="008217E8"/>
    <w:rsid w:val="00836FE9"/>
    <w:rsid w:val="0084172C"/>
    <w:rsid w:val="0085175E"/>
    <w:rsid w:val="00856A31"/>
    <w:rsid w:val="00861D94"/>
    <w:rsid w:val="008738B3"/>
    <w:rsid w:val="008754D0"/>
    <w:rsid w:val="00877C69"/>
    <w:rsid w:val="00877D48"/>
    <w:rsid w:val="0088345B"/>
    <w:rsid w:val="008A12CE"/>
    <w:rsid w:val="008A16A5"/>
    <w:rsid w:val="008A51E3"/>
    <w:rsid w:val="008A5C57"/>
    <w:rsid w:val="008A6F03"/>
    <w:rsid w:val="008B00F9"/>
    <w:rsid w:val="008B665A"/>
    <w:rsid w:val="008C0629"/>
    <w:rsid w:val="008D0EE0"/>
    <w:rsid w:val="008D7A27"/>
    <w:rsid w:val="008E4702"/>
    <w:rsid w:val="008E69AA"/>
    <w:rsid w:val="008F4F1C"/>
    <w:rsid w:val="009059CD"/>
    <w:rsid w:val="009069AD"/>
    <w:rsid w:val="00910E64"/>
    <w:rsid w:val="009225D4"/>
    <w:rsid w:val="00922764"/>
    <w:rsid w:val="009278C1"/>
    <w:rsid w:val="00932377"/>
    <w:rsid w:val="009346E3"/>
    <w:rsid w:val="0094523D"/>
    <w:rsid w:val="009708C3"/>
    <w:rsid w:val="00976A63"/>
    <w:rsid w:val="009A30B5"/>
    <w:rsid w:val="009B2490"/>
    <w:rsid w:val="009B50E5"/>
    <w:rsid w:val="009B768E"/>
    <w:rsid w:val="009C0C3B"/>
    <w:rsid w:val="009C3431"/>
    <w:rsid w:val="009C5989"/>
    <w:rsid w:val="009C6A32"/>
    <w:rsid w:val="009C6E38"/>
    <w:rsid w:val="009D08DA"/>
    <w:rsid w:val="009F182D"/>
    <w:rsid w:val="00A06860"/>
    <w:rsid w:val="00A136F5"/>
    <w:rsid w:val="00A231E2"/>
    <w:rsid w:val="00A2550D"/>
    <w:rsid w:val="00A30497"/>
    <w:rsid w:val="00A379BB"/>
    <w:rsid w:val="00A4169B"/>
    <w:rsid w:val="00A50D55"/>
    <w:rsid w:val="00A52FDA"/>
    <w:rsid w:val="00A64912"/>
    <w:rsid w:val="00A70A74"/>
    <w:rsid w:val="00A801A8"/>
    <w:rsid w:val="00A9231A"/>
    <w:rsid w:val="00A95BC7"/>
    <w:rsid w:val="00AA0343"/>
    <w:rsid w:val="00AA78CE"/>
    <w:rsid w:val="00AA7B26"/>
    <w:rsid w:val="00AC767C"/>
    <w:rsid w:val="00AD3467"/>
    <w:rsid w:val="00AD5641"/>
    <w:rsid w:val="00AF29F7"/>
    <w:rsid w:val="00AF33DB"/>
    <w:rsid w:val="00AF74C3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179B"/>
    <w:rsid w:val="00B770D2"/>
    <w:rsid w:val="00B93516"/>
    <w:rsid w:val="00B96776"/>
    <w:rsid w:val="00B973E5"/>
    <w:rsid w:val="00BA47A3"/>
    <w:rsid w:val="00BA5026"/>
    <w:rsid w:val="00BA7B5B"/>
    <w:rsid w:val="00BB0633"/>
    <w:rsid w:val="00BB6E79"/>
    <w:rsid w:val="00BC1072"/>
    <w:rsid w:val="00BE06E1"/>
    <w:rsid w:val="00BE42C5"/>
    <w:rsid w:val="00BE719A"/>
    <w:rsid w:val="00BE720A"/>
    <w:rsid w:val="00BF0723"/>
    <w:rsid w:val="00BF6650"/>
    <w:rsid w:val="00C067E5"/>
    <w:rsid w:val="00C11D59"/>
    <w:rsid w:val="00C164CA"/>
    <w:rsid w:val="00C26051"/>
    <w:rsid w:val="00C42B77"/>
    <w:rsid w:val="00C42BF8"/>
    <w:rsid w:val="00C460AE"/>
    <w:rsid w:val="00C50043"/>
    <w:rsid w:val="00C5015F"/>
    <w:rsid w:val="00C50A0F"/>
    <w:rsid w:val="00C50F4A"/>
    <w:rsid w:val="00C630A1"/>
    <w:rsid w:val="00C72D10"/>
    <w:rsid w:val="00C7573B"/>
    <w:rsid w:val="00C76CF3"/>
    <w:rsid w:val="00C86DB6"/>
    <w:rsid w:val="00C93205"/>
    <w:rsid w:val="00C945DC"/>
    <w:rsid w:val="00CA7844"/>
    <w:rsid w:val="00CB3FFE"/>
    <w:rsid w:val="00CB58EF"/>
    <w:rsid w:val="00CE0A93"/>
    <w:rsid w:val="00CF0BB2"/>
    <w:rsid w:val="00D12B0D"/>
    <w:rsid w:val="00D13441"/>
    <w:rsid w:val="00D243A3"/>
    <w:rsid w:val="00D33440"/>
    <w:rsid w:val="00D3764E"/>
    <w:rsid w:val="00D42F38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92F91"/>
    <w:rsid w:val="00DA2439"/>
    <w:rsid w:val="00DA6F05"/>
    <w:rsid w:val="00DB64FC"/>
    <w:rsid w:val="00DC605C"/>
    <w:rsid w:val="00DC77F7"/>
    <w:rsid w:val="00DD3449"/>
    <w:rsid w:val="00DE149E"/>
    <w:rsid w:val="00DE655B"/>
    <w:rsid w:val="00DF14D7"/>
    <w:rsid w:val="00E034DB"/>
    <w:rsid w:val="00E05704"/>
    <w:rsid w:val="00E12F1A"/>
    <w:rsid w:val="00E22935"/>
    <w:rsid w:val="00E54292"/>
    <w:rsid w:val="00E60191"/>
    <w:rsid w:val="00E74DC7"/>
    <w:rsid w:val="00E8316C"/>
    <w:rsid w:val="00E87699"/>
    <w:rsid w:val="00E92E27"/>
    <w:rsid w:val="00E9586B"/>
    <w:rsid w:val="00E97334"/>
    <w:rsid w:val="00EB3A99"/>
    <w:rsid w:val="00EB6010"/>
    <w:rsid w:val="00EB65F8"/>
    <w:rsid w:val="00ED14D1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223BA"/>
    <w:rsid w:val="00F32FCB"/>
    <w:rsid w:val="00F33523"/>
    <w:rsid w:val="00F677A9"/>
    <w:rsid w:val="00F8121C"/>
    <w:rsid w:val="00F84CF5"/>
    <w:rsid w:val="00F85474"/>
    <w:rsid w:val="00F8612E"/>
    <w:rsid w:val="00F94583"/>
    <w:rsid w:val="00F95BB7"/>
    <w:rsid w:val="00FA420B"/>
    <w:rsid w:val="00FB6AEE"/>
    <w:rsid w:val="00FC30BF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C548AC5"/>
  <w15:docId w15:val="{E1272EEC-5A0C-41FA-81DF-38F56C22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376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64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6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6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64E"/>
    <w:rPr>
      <w:b/>
      <w:bCs/>
    </w:rPr>
  </w:style>
  <w:style w:type="paragraph" w:customStyle="1" w:styleId="item0">
    <w:name w:val="item"/>
    <w:basedOn w:val="Normal"/>
    <w:rsid w:val="005273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A30497"/>
    <w:rPr>
      <w:sz w:val="22"/>
    </w:rPr>
  </w:style>
  <w:style w:type="character" w:styleId="Hyperlink">
    <w:name w:val="Hyperlink"/>
    <w:basedOn w:val="DefaultParagraphFont"/>
    <w:uiPriority w:val="99"/>
    <w:unhideWhenUsed/>
    <w:rsid w:val="00FC30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2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3327\AppData\Local\Temp\1\MicrosoftEdgeDownloads\eb2519d5-f845-41be-9a3e-53db64cd34a0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9CF7EE1-1BE0-40FB-80E7-3F817A54C0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C920727172C444F91B4BB220875CFB3" ma:contentTypeVersion="" ma:contentTypeDescription="PDMS Document Site Content Type" ma:contentTypeScope="" ma:versionID="f680805c0ef42dd51c1f088d11e17b23">
  <xsd:schema xmlns:xsd="http://www.w3.org/2001/XMLSchema" xmlns:xs="http://www.w3.org/2001/XMLSchema" xmlns:p="http://schemas.microsoft.com/office/2006/metadata/properties" xmlns:ns2="D9CF7EE1-1BE0-40FB-80E7-3F817A54C00E" targetNamespace="http://schemas.microsoft.com/office/2006/metadata/properties" ma:root="true" ma:fieldsID="bfe029375854589a6e4e4b70f1924c05" ns2:_="">
    <xsd:import namespace="D9CF7EE1-1BE0-40FB-80E7-3F817A54C00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F7EE1-1BE0-40FB-80E7-3F817A54C00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65527-311B-48A3-A675-FD6C1432E0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1C235E-4448-4A01-9666-AB140C4E3F4C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9CF7EE1-1BE0-40FB-80E7-3F817A54C00E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258C4DF-A0A5-4D22-90FC-BCBAECE54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F7EE1-1BE0-40FB-80E7-3F817A54C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1</TotalTime>
  <Pages>8</Pages>
  <Words>859</Words>
  <Characters>4898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Presneill, Asher</dc:creator>
  <cp:lastModifiedBy>BAKER,Fiona</cp:lastModifiedBy>
  <cp:revision>2</cp:revision>
  <dcterms:created xsi:type="dcterms:W3CDTF">2021-11-09T04:46:00Z</dcterms:created>
  <dcterms:modified xsi:type="dcterms:W3CDTF">2021-11-09T04:46:00Z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0x010100266966F133664895A6EE3632470D45F500CC920727172C444F91B4BB220875CFB3</vt:lpwstr>
  </property>
</Properties>
</file>