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58B3" w14:textId="77777777" w:rsidR="00794146" w:rsidRPr="00E974C1" w:rsidRDefault="00794146" w:rsidP="00794146">
      <w:pPr>
        <w:rPr>
          <w:sz w:val="28"/>
        </w:rPr>
      </w:pPr>
      <w:bookmarkStart w:id="0" w:name="opcCurrentPosition"/>
      <w:bookmarkEnd w:id="0"/>
      <w:r w:rsidRPr="00E974C1">
        <w:rPr>
          <w:noProof/>
          <w:lang w:eastAsia="en-AU"/>
        </w:rPr>
        <w:drawing>
          <wp:inline distT="0" distB="0" distL="0" distR="0" wp14:anchorId="6E88007D" wp14:editId="7287AF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962D" w14:textId="77777777" w:rsidR="00794146" w:rsidRPr="00E974C1" w:rsidRDefault="00794146" w:rsidP="00794146">
      <w:pPr>
        <w:rPr>
          <w:sz w:val="19"/>
        </w:rPr>
      </w:pPr>
    </w:p>
    <w:p w14:paraId="2D6A43AB" w14:textId="77777777" w:rsidR="00794146" w:rsidRPr="00E974C1" w:rsidRDefault="00711F20" w:rsidP="00794146">
      <w:pPr>
        <w:pStyle w:val="ShortT"/>
      </w:pPr>
      <w:r w:rsidRPr="00E974C1">
        <w:t>Australian Charities and Not</w:t>
      </w:r>
      <w:r w:rsidR="004D4FB4">
        <w:noBreakHyphen/>
      </w:r>
      <w:r w:rsidRPr="00E974C1">
        <w:t>for</w:t>
      </w:r>
      <w:r w:rsidR="004D4FB4">
        <w:noBreakHyphen/>
      </w:r>
      <w:r w:rsidRPr="00E974C1">
        <w:t>profits Commission Amendment</w:t>
      </w:r>
      <w:r w:rsidR="008225C6" w:rsidRPr="00E974C1">
        <w:t xml:space="preserve"> (2021 Measures No.</w:t>
      </w:r>
      <w:r w:rsidR="0080341C" w:rsidRPr="00E974C1">
        <w:t> </w:t>
      </w:r>
      <w:r w:rsidR="0049445E" w:rsidRPr="00E974C1">
        <w:t>3</w:t>
      </w:r>
      <w:r w:rsidR="008225C6" w:rsidRPr="00E974C1">
        <w:t xml:space="preserve">) </w:t>
      </w:r>
      <w:r w:rsidR="00841D03" w:rsidRPr="00E974C1">
        <w:t>Regulations 2</w:t>
      </w:r>
      <w:r w:rsidR="008225C6" w:rsidRPr="00E974C1">
        <w:t>021</w:t>
      </w:r>
    </w:p>
    <w:p w14:paraId="60B2D2C2" w14:textId="77777777" w:rsidR="00794146" w:rsidRPr="00E974C1" w:rsidRDefault="00794146" w:rsidP="00794146">
      <w:pPr>
        <w:pStyle w:val="SignCoverPageStart"/>
        <w:spacing w:before="240"/>
        <w:rPr>
          <w:szCs w:val="22"/>
        </w:rPr>
      </w:pPr>
      <w:r w:rsidRPr="00E974C1">
        <w:rPr>
          <w:szCs w:val="22"/>
        </w:rPr>
        <w:t>I, General the Honourable David Hurley AC DSC (</w:t>
      </w:r>
      <w:proofErr w:type="spellStart"/>
      <w:r w:rsidRPr="00E974C1">
        <w:rPr>
          <w:szCs w:val="22"/>
        </w:rPr>
        <w:t>Retd</w:t>
      </w:r>
      <w:proofErr w:type="spellEnd"/>
      <w:r w:rsidRPr="00E974C1">
        <w:rPr>
          <w:szCs w:val="22"/>
        </w:rPr>
        <w:t>), Governor</w:t>
      </w:r>
      <w:r w:rsidR="004D4FB4">
        <w:rPr>
          <w:szCs w:val="22"/>
        </w:rPr>
        <w:noBreakHyphen/>
      </w:r>
      <w:r w:rsidRPr="00E974C1">
        <w:rPr>
          <w:szCs w:val="22"/>
        </w:rPr>
        <w:t>General of the Commonwealth of Australia, acting with the advice of the Federal Executive Council, make the following regulations.</w:t>
      </w:r>
    </w:p>
    <w:p w14:paraId="474C3BEF" w14:textId="402BE9DF" w:rsidR="00794146" w:rsidRPr="00E974C1" w:rsidRDefault="00794146" w:rsidP="00794146">
      <w:pPr>
        <w:keepNext/>
        <w:spacing w:before="720" w:line="240" w:lineRule="atLeast"/>
        <w:ind w:right="397"/>
        <w:jc w:val="both"/>
        <w:rPr>
          <w:szCs w:val="22"/>
        </w:rPr>
      </w:pPr>
      <w:r w:rsidRPr="00E974C1">
        <w:rPr>
          <w:szCs w:val="22"/>
        </w:rPr>
        <w:t xml:space="preserve">Dated </w:t>
      </w:r>
      <w:r w:rsidRPr="00E974C1">
        <w:rPr>
          <w:szCs w:val="22"/>
        </w:rPr>
        <w:fldChar w:fldCharType="begin"/>
      </w:r>
      <w:r w:rsidRPr="00E974C1">
        <w:rPr>
          <w:szCs w:val="22"/>
        </w:rPr>
        <w:instrText xml:space="preserve"> DOCPROPERTY  DateMade </w:instrText>
      </w:r>
      <w:r w:rsidRPr="00E974C1">
        <w:rPr>
          <w:szCs w:val="22"/>
        </w:rPr>
        <w:fldChar w:fldCharType="separate"/>
      </w:r>
      <w:r w:rsidR="00492E0B">
        <w:rPr>
          <w:szCs w:val="22"/>
        </w:rPr>
        <w:t>11 November 2021</w:t>
      </w:r>
      <w:r w:rsidRPr="00E974C1">
        <w:rPr>
          <w:szCs w:val="22"/>
        </w:rPr>
        <w:fldChar w:fldCharType="end"/>
      </w:r>
    </w:p>
    <w:p w14:paraId="52A42966" w14:textId="77777777" w:rsidR="00794146" w:rsidRPr="00E974C1" w:rsidRDefault="00794146" w:rsidP="0079414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74C1">
        <w:rPr>
          <w:szCs w:val="22"/>
        </w:rPr>
        <w:t>David Hurley</w:t>
      </w:r>
    </w:p>
    <w:p w14:paraId="7ED50545" w14:textId="77777777" w:rsidR="00794146" w:rsidRPr="00E974C1" w:rsidRDefault="00794146" w:rsidP="0079414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74C1">
        <w:rPr>
          <w:szCs w:val="22"/>
        </w:rPr>
        <w:t>Governor</w:t>
      </w:r>
      <w:r w:rsidR="004D4FB4">
        <w:rPr>
          <w:szCs w:val="22"/>
        </w:rPr>
        <w:noBreakHyphen/>
      </w:r>
      <w:r w:rsidRPr="00E974C1">
        <w:rPr>
          <w:szCs w:val="22"/>
        </w:rPr>
        <w:t>General</w:t>
      </w:r>
    </w:p>
    <w:p w14:paraId="4D381264" w14:textId="77777777" w:rsidR="00794146" w:rsidRPr="00E974C1" w:rsidRDefault="00794146" w:rsidP="0079414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74C1">
        <w:rPr>
          <w:szCs w:val="22"/>
        </w:rPr>
        <w:t>By His Excellency’s Command</w:t>
      </w:r>
    </w:p>
    <w:p w14:paraId="7B265693" w14:textId="77777777" w:rsidR="00794146" w:rsidRPr="00E974C1" w:rsidRDefault="00794146" w:rsidP="0079414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74C1">
        <w:rPr>
          <w:szCs w:val="22"/>
        </w:rPr>
        <w:t xml:space="preserve">Michael </w:t>
      </w:r>
      <w:proofErr w:type="spellStart"/>
      <w:r w:rsidRPr="00E974C1">
        <w:rPr>
          <w:szCs w:val="22"/>
        </w:rPr>
        <w:t>Sukkar</w:t>
      </w:r>
      <w:proofErr w:type="spellEnd"/>
    </w:p>
    <w:p w14:paraId="08D433DA" w14:textId="77777777" w:rsidR="00794146" w:rsidRPr="00E974C1" w:rsidRDefault="00794146" w:rsidP="00794146">
      <w:pPr>
        <w:pStyle w:val="SignCoverPageEnd"/>
        <w:rPr>
          <w:szCs w:val="22"/>
        </w:rPr>
      </w:pPr>
      <w:r w:rsidRPr="00E974C1">
        <w:rPr>
          <w:szCs w:val="22"/>
        </w:rPr>
        <w:t>Assistant Treasurer, Minister for Housing and Minister for Homelessness, Social and Community Housing</w:t>
      </w:r>
    </w:p>
    <w:p w14:paraId="4FD5DBC8" w14:textId="77777777" w:rsidR="00794146" w:rsidRPr="00E974C1" w:rsidRDefault="00794146" w:rsidP="00794146"/>
    <w:p w14:paraId="5A5D5A3A" w14:textId="77777777" w:rsidR="00794146" w:rsidRPr="00E974C1" w:rsidRDefault="00794146" w:rsidP="00794146"/>
    <w:p w14:paraId="4A5B435A" w14:textId="77777777" w:rsidR="00794146" w:rsidRPr="00E974C1" w:rsidRDefault="00794146" w:rsidP="00794146"/>
    <w:p w14:paraId="2A33BD32" w14:textId="77777777" w:rsidR="00794146" w:rsidRPr="0039080B" w:rsidRDefault="00794146" w:rsidP="00794146">
      <w:pPr>
        <w:pStyle w:val="Header"/>
        <w:tabs>
          <w:tab w:val="clear" w:pos="4150"/>
          <w:tab w:val="clear" w:pos="8307"/>
        </w:tabs>
      </w:pPr>
      <w:r w:rsidRPr="0039080B">
        <w:rPr>
          <w:rStyle w:val="CharAmSchNo"/>
        </w:rPr>
        <w:t xml:space="preserve"> </w:t>
      </w:r>
      <w:r w:rsidRPr="0039080B">
        <w:rPr>
          <w:rStyle w:val="CharAmSchText"/>
        </w:rPr>
        <w:t xml:space="preserve"> </w:t>
      </w:r>
    </w:p>
    <w:p w14:paraId="1DEDF76A" w14:textId="77777777" w:rsidR="00794146" w:rsidRPr="0039080B" w:rsidRDefault="00794146" w:rsidP="00794146">
      <w:pPr>
        <w:pStyle w:val="Header"/>
        <w:tabs>
          <w:tab w:val="clear" w:pos="4150"/>
          <w:tab w:val="clear" w:pos="8307"/>
        </w:tabs>
      </w:pPr>
      <w:r w:rsidRPr="0039080B">
        <w:rPr>
          <w:rStyle w:val="CharAmPartNo"/>
        </w:rPr>
        <w:t xml:space="preserve"> </w:t>
      </w:r>
      <w:r w:rsidRPr="0039080B">
        <w:rPr>
          <w:rStyle w:val="CharAmPartText"/>
        </w:rPr>
        <w:t xml:space="preserve"> </w:t>
      </w:r>
    </w:p>
    <w:p w14:paraId="4D396597" w14:textId="77777777" w:rsidR="00794146" w:rsidRPr="00E974C1" w:rsidRDefault="00794146" w:rsidP="00794146">
      <w:pPr>
        <w:sectPr w:rsidR="00794146" w:rsidRPr="00E974C1" w:rsidSect="00E86E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DFB21A8" w14:textId="77777777" w:rsidR="00794146" w:rsidRPr="00E974C1" w:rsidRDefault="00794146" w:rsidP="00794146">
      <w:pPr>
        <w:outlineLvl w:val="0"/>
        <w:rPr>
          <w:sz w:val="36"/>
        </w:rPr>
      </w:pPr>
      <w:r w:rsidRPr="00E974C1">
        <w:rPr>
          <w:sz w:val="36"/>
        </w:rPr>
        <w:lastRenderedPageBreak/>
        <w:t>Contents</w:t>
      </w:r>
    </w:p>
    <w:p w14:paraId="1646EEAB" w14:textId="4AC2C26A" w:rsidR="00445B4A" w:rsidRDefault="00445B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45B4A">
        <w:rPr>
          <w:noProof/>
        </w:rPr>
        <w:tab/>
      </w:r>
      <w:r w:rsidRPr="00445B4A">
        <w:rPr>
          <w:noProof/>
        </w:rPr>
        <w:fldChar w:fldCharType="begin"/>
      </w:r>
      <w:r w:rsidRPr="00445B4A">
        <w:rPr>
          <w:noProof/>
        </w:rPr>
        <w:instrText xml:space="preserve"> PAGEREF _Toc86660841 \h </w:instrText>
      </w:r>
      <w:r w:rsidRPr="00445B4A">
        <w:rPr>
          <w:noProof/>
        </w:rPr>
      </w:r>
      <w:r w:rsidRPr="00445B4A">
        <w:rPr>
          <w:noProof/>
        </w:rPr>
        <w:fldChar w:fldCharType="separate"/>
      </w:r>
      <w:r w:rsidR="00492E0B">
        <w:rPr>
          <w:noProof/>
        </w:rPr>
        <w:t>1</w:t>
      </w:r>
      <w:r w:rsidRPr="00445B4A">
        <w:rPr>
          <w:noProof/>
        </w:rPr>
        <w:fldChar w:fldCharType="end"/>
      </w:r>
    </w:p>
    <w:p w14:paraId="3A3ED849" w14:textId="7082FDED" w:rsidR="00445B4A" w:rsidRDefault="00445B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45B4A">
        <w:rPr>
          <w:noProof/>
        </w:rPr>
        <w:tab/>
      </w:r>
      <w:r w:rsidRPr="00445B4A">
        <w:rPr>
          <w:noProof/>
        </w:rPr>
        <w:fldChar w:fldCharType="begin"/>
      </w:r>
      <w:r w:rsidRPr="00445B4A">
        <w:rPr>
          <w:noProof/>
        </w:rPr>
        <w:instrText xml:space="preserve"> PAGEREF _Toc86660842 \h </w:instrText>
      </w:r>
      <w:r w:rsidRPr="00445B4A">
        <w:rPr>
          <w:noProof/>
        </w:rPr>
      </w:r>
      <w:r w:rsidRPr="00445B4A">
        <w:rPr>
          <w:noProof/>
        </w:rPr>
        <w:fldChar w:fldCharType="separate"/>
      </w:r>
      <w:r w:rsidR="00492E0B">
        <w:rPr>
          <w:noProof/>
        </w:rPr>
        <w:t>1</w:t>
      </w:r>
      <w:r w:rsidRPr="00445B4A">
        <w:rPr>
          <w:noProof/>
        </w:rPr>
        <w:fldChar w:fldCharType="end"/>
      </w:r>
    </w:p>
    <w:p w14:paraId="17FC2AE9" w14:textId="7D25DDD3" w:rsidR="00445B4A" w:rsidRDefault="00445B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45B4A">
        <w:rPr>
          <w:noProof/>
        </w:rPr>
        <w:tab/>
      </w:r>
      <w:r w:rsidRPr="00445B4A">
        <w:rPr>
          <w:noProof/>
        </w:rPr>
        <w:fldChar w:fldCharType="begin"/>
      </w:r>
      <w:r w:rsidRPr="00445B4A">
        <w:rPr>
          <w:noProof/>
        </w:rPr>
        <w:instrText xml:space="preserve"> PAGEREF _Toc86660843 \h </w:instrText>
      </w:r>
      <w:r w:rsidRPr="00445B4A">
        <w:rPr>
          <w:noProof/>
        </w:rPr>
      </w:r>
      <w:r w:rsidRPr="00445B4A">
        <w:rPr>
          <w:noProof/>
        </w:rPr>
        <w:fldChar w:fldCharType="separate"/>
      </w:r>
      <w:r w:rsidR="00492E0B">
        <w:rPr>
          <w:noProof/>
        </w:rPr>
        <w:t>2</w:t>
      </w:r>
      <w:r w:rsidRPr="00445B4A">
        <w:rPr>
          <w:noProof/>
        </w:rPr>
        <w:fldChar w:fldCharType="end"/>
      </w:r>
    </w:p>
    <w:p w14:paraId="4006DD93" w14:textId="318727A8" w:rsidR="00445B4A" w:rsidRDefault="00445B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45B4A">
        <w:rPr>
          <w:noProof/>
        </w:rPr>
        <w:tab/>
      </w:r>
      <w:r w:rsidRPr="00445B4A">
        <w:rPr>
          <w:noProof/>
        </w:rPr>
        <w:fldChar w:fldCharType="begin"/>
      </w:r>
      <w:r w:rsidRPr="00445B4A">
        <w:rPr>
          <w:noProof/>
        </w:rPr>
        <w:instrText xml:space="preserve"> PAGEREF _Toc86660844 \h </w:instrText>
      </w:r>
      <w:r w:rsidRPr="00445B4A">
        <w:rPr>
          <w:noProof/>
        </w:rPr>
      </w:r>
      <w:r w:rsidRPr="00445B4A">
        <w:rPr>
          <w:noProof/>
        </w:rPr>
        <w:fldChar w:fldCharType="separate"/>
      </w:r>
      <w:r w:rsidR="00492E0B">
        <w:rPr>
          <w:noProof/>
        </w:rPr>
        <w:t>2</w:t>
      </w:r>
      <w:r w:rsidRPr="00445B4A">
        <w:rPr>
          <w:noProof/>
        </w:rPr>
        <w:fldChar w:fldCharType="end"/>
      </w:r>
    </w:p>
    <w:p w14:paraId="626F1B54" w14:textId="5C55DD06" w:rsidR="00445B4A" w:rsidRDefault="00445B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1—Real time reporting of activities on the public register</w:t>
      </w:r>
      <w:r w:rsidRPr="00445B4A">
        <w:rPr>
          <w:b w:val="0"/>
          <w:noProof/>
          <w:sz w:val="18"/>
        </w:rPr>
        <w:tab/>
      </w:r>
      <w:r w:rsidRPr="00445B4A">
        <w:rPr>
          <w:b w:val="0"/>
          <w:noProof/>
          <w:sz w:val="18"/>
        </w:rPr>
        <w:fldChar w:fldCharType="begin"/>
      </w:r>
      <w:r w:rsidRPr="00445B4A">
        <w:rPr>
          <w:b w:val="0"/>
          <w:noProof/>
          <w:sz w:val="18"/>
        </w:rPr>
        <w:instrText xml:space="preserve"> PAGEREF _Toc86660845 \h </w:instrText>
      </w:r>
      <w:r w:rsidRPr="00445B4A">
        <w:rPr>
          <w:b w:val="0"/>
          <w:noProof/>
          <w:sz w:val="18"/>
        </w:rPr>
      </w:r>
      <w:r w:rsidRPr="00445B4A">
        <w:rPr>
          <w:b w:val="0"/>
          <w:noProof/>
          <w:sz w:val="18"/>
        </w:rPr>
        <w:fldChar w:fldCharType="separate"/>
      </w:r>
      <w:r w:rsidR="00492E0B">
        <w:rPr>
          <w:b w:val="0"/>
          <w:noProof/>
          <w:sz w:val="18"/>
        </w:rPr>
        <w:t>3</w:t>
      </w:r>
      <w:r w:rsidRPr="00445B4A">
        <w:rPr>
          <w:b w:val="0"/>
          <w:noProof/>
          <w:sz w:val="18"/>
        </w:rPr>
        <w:fldChar w:fldCharType="end"/>
      </w:r>
    </w:p>
    <w:p w14:paraId="5B7857EE" w14:textId="43C60C75" w:rsidR="00445B4A" w:rsidRDefault="00445B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 w:rsidR="004D4FB4">
        <w:rPr>
          <w:noProof/>
        </w:rPr>
        <w:noBreakHyphen/>
      </w:r>
      <w:r>
        <w:rPr>
          <w:noProof/>
        </w:rPr>
        <w:t>for</w:t>
      </w:r>
      <w:r w:rsidR="004D4FB4">
        <w:rPr>
          <w:noProof/>
        </w:rPr>
        <w:noBreakHyphen/>
      </w:r>
      <w:r>
        <w:rPr>
          <w:noProof/>
        </w:rPr>
        <w:t>profits Commission Regulation 2013</w:t>
      </w:r>
      <w:r w:rsidRPr="00445B4A">
        <w:rPr>
          <w:i w:val="0"/>
          <w:noProof/>
          <w:sz w:val="18"/>
        </w:rPr>
        <w:tab/>
      </w:r>
      <w:r w:rsidRPr="00445B4A">
        <w:rPr>
          <w:i w:val="0"/>
          <w:noProof/>
          <w:sz w:val="18"/>
        </w:rPr>
        <w:fldChar w:fldCharType="begin"/>
      </w:r>
      <w:r w:rsidRPr="00445B4A">
        <w:rPr>
          <w:i w:val="0"/>
          <w:noProof/>
          <w:sz w:val="18"/>
        </w:rPr>
        <w:instrText xml:space="preserve"> PAGEREF _Toc86660846 \h </w:instrText>
      </w:r>
      <w:r w:rsidRPr="00445B4A">
        <w:rPr>
          <w:i w:val="0"/>
          <w:noProof/>
          <w:sz w:val="18"/>
        </w:rPr>
      </w:r>
      <w:r w:rsidRPr="00445B4A">
        <w:rPr>
          <w:i w:val="0"/>
          <w:noProof/>
          <w:sz w:val="18"/>
        </w:rPr>
        <w:fldChar w:fldCharType="separate"/>
      </w:r>
      <w:r w:rsidR="00492E0B">
        <w:rPr>
          <w:i w:val="0"/>
          <w:noProof/>
          <w:sz w:val="18"/>
        </w:rPr>
        <w:t>3</w:t>
      </w:r>
      <w:r w:rsidRPr="00445B4A">
        <w:rPr>
          <w:i w:val="0"/>
          <w:noProof/>
          <w:sz w:val="18"/>
        </w:rPr>
        <w:fldChar w:fldCharType="end"/>
      </w:r>
    </w:p>
    <w:p w14:paraId="32D22D50" w14:textId="597B2298" w:rsidR="00445B4A" w:rsidRDefault="00445B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2—Financial reporting</w:t>
      </w:r>
      <w:r w:rsidRPr="00445B4A">
        <w:rPr>
          <w:b w:val="0"/>
          <w:noProof/>
          <w:sz w:val="18"/>
        </w:rPr>
        <w:tab/>
      </w:r>
      <w:r w:rsidRPr="00445B4A">
        <w:rPr>
          <w:b w:val="0"/>
          <w:noProof/>
          <w:sz w:val="18"/>
        </w:rPr>
        <w:fldChar w:fldCharType="begin"/>
      </w:r>
      <w:r w:rsidRPr="00445B4A">
        <w:rPr>
          <w:b w:val="0"/>
          <w:noProof/>
          <w:sz w:val="18"/>
        </w:rPr>
        <w:instrText xml:space="preserve"> PAGEREF _Toc86660847 \h </w:instrText>
      </w:r>
      <w:r w:rsidRPr="00445B4A">
        <w:rPr>
          <w:b w:val="0"/>
          <w:noProof/>
          <w:sz w:val="18"/>
        </w:rPr>
      </w:r>
      <w:r w:rsidRPr="00445B4A">
        <w:rPr>
          <w:b w:val="0"/>
          <w:noProof/>
          <w:sz w:val="18"/>
        </w:rPr>
        <w:fldChar w:fldCharType="separate"/>
      </w:r>
      <w:r w:rsidR="00492E0B">
        <w:rPr>
          <w:b w:val="0"/>
          <w:noProof/>
          <w:sz w:val="18"/>
        </w:rPr>
        <w:t>4</w:t>
      </w:r>
      <w:r w:rsidRPr="00445B4A">
        <w:rPr>
          <w:b w:val="0"/>
          <w:noProof/>
          <w:sz w:val="18"/>
        </w:rPr>
        <w:fldChar w:fldCharType="end"/>
      </w:r>
    </w:p>
    <w:p w14:paraId="44212676" w14:textId="4D45EB3A" w:rsidR="00445B4A" w:rsidRDefault="00445B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 w:rsidR="004D4FB4">
        <w:rPr>
          <w:noProof/>
        </w:rPr>
        <w:noBreakHyphen/>
      </w:r>
      <w:r>
        <w:rPr>
          <w:noProof/>
        </w:rPr>
        <w:t>for</w:t>
      </w:r>
      <w:r w:rsidR="004D4FB4">
        <w:rPr>
          <w:noProof/>
        </w:rPr>
        <w:noBreakHyphen/>
      </w:r>
      <w:r>
        <w:rPr>
          <w:noProof/>
        </w:rPr>
        <w:t>profits Commission Regulation 2013</w:t>
      </w:r>
      <w:r w:rsidRPr="00445B4A">
        <w:rPr>
          <w:i w:val="0"/>
          <w:noProof/>
          <w:sz w:val="18"/>
        </w:rPr>
        <w:tab/>
      </w:r>
      <w:r w:rsidRPr="00445B4A">
        <w:rPr>
          <w:i w:val="0"/>
          <w:noProof/>
          <w:sz w:val="18"/>
        </w:rPr>
        <w:fldChar w:fldCharType="begin"/>
      </w:r>
      <w:r w:rsidRPr="00445B4A">
        <w:rPr>
          <w:i w:val="0"/>
          <w:noProof/>
          <w:sz w:val="18"/>
        </w:rPr>
        <w:instrText xml:space="preserve"> PAGEREF _Toc86660848 \h </w:instrText>
      </w:r>
      <w:r w:rsidRPr="00445B4A">
        <w:rPr>
          <w:i w:val="0"/>
          <w:noProof/>
          <w:sz w:val="18"/>
        </w:rPr>
      </w:r>
      <w:r w:rsidRPr="00445B4A">
        <w:rPr>
          <w:i w:val="0"/>
          <w:noProof/>
          <w:sz w:val="18"/>
        </w:rPr>
        <w:fldChar w:fldCharType="separate"/>
      </w:r>
      <w:r w:rsidR="00492E0B">
        <w:rPr>
          <w:i w:val="0"/>
          <w:noProof/>
          <w:sz w:val="18"/>
        </w:rPr>
        <w:t>4</w:t>
      </w:r>
      <w:r w:rsidRPr="00445B4A">
        <w:rPr>
          <w:i w:val="0"/>
          <w:noProof/>
          <w:sz w:val="18"/>
        </w:rPr>
        <w:fldChar w:fldCharType="end"/>
      </w:r>
    </w:p>
    <w:p w14:paraId="46CD52E3" w14:textId="4430FDD3" w:rsidR="00445B4A" w:rsidRDefault="00445B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3—Governance standard 3</w:t>
      </w:r>
      <w:r w:rsidRPr="00445B4A">
        <w:rPr>
          <w:b w:val="0"/>
          <w:noProof/>
          <w:sz w:val="18"/>
        </w:rPr>
        <w:tab/>
      </w:r>
      <w:r w:rsidRPr="00445B4A">
        <w:rPr>
          <w:b w:val="0"/>
          <w:noProof/>
          <w:sz w:val="18"/>
        </w:rPr>
        <w:fldChar w:fldCharType="begin"/>
      </w:r>
      <w:r w:rsidRPr="00445B4A">
        <w:rPr>
          <w:b w:val="0"/>
          <w:noProof/>
          <w:sz w:val="18"/>
        </w:rPr>
        <w:instrText xml:space="preserve"> PAGEREF _Toc86660855 \h </w:instrText>
      </w:r>
      <w:r w:rsidRPr="00445B4A">
        <w:rPr>
          <w:b w:val="0"/>
          <w:noProof/>
          <w:sz w:val="18"/>
        </w:rPr>
      </w:r>
      <w:r w:rsidRPr="00445B4A">
        <w:rPr>
          <w:b w:val="0"/>
          <w:noProof/>
          <w:sz w:val="18"/>
        </w:rPr>
        <w:fldChar w:fldCharType="separate"/>
      </w:r>
      <w:r w:rsidR="00492E0B">
        <w:rPr>
          <w:b w:val="0"/>
          <w:noProof/>
          <w:sz w:val="18"/>
        </w:rPr>
        <w:t>6</w:t>
      </w:r>
      <w:r w:rsidRPr="00445B4A">
        <w:rPr>
          <w:b w:val="0"/>
          <w:noProof/>
          <w:sz w:val="18"/>
        </w:rPr>
        <w:fldChar w:fldCharType="end"/>
      </w:r>
    </w:p>
    <w:p w14:paraId="4DF19605" w14:textId="0CD84AA1" w:rsidR="00445B4A" w:rsidRDefault="00445B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 w:rsidR="004D4FB4">
        <w:rPr>
          <w:noProof/>
        </w:rPr>
        <w:noBreakHyphen/>
      </w:r>
      <w:r>
        <w:rPr>
          <w:noProof/>
        </w:rPr>
        <w:t>for</w:t>
      </w:r>
      <w:r w:rsidR="004D4FB4">
        <w:rPr>
          <w:noProof/>
        </w:rPr>
        <w:noBreakHyphen/>
      </w:r>
      <w:r>
        <w:rPr>
          <w:noProof/>
        </w:rPr>
        <w:t>profits Commission Regulation 2013</w:t>
      </w:r>
      <w:r w:rsidRPr="00445B4A">
        <w:rPr>
          <w:i w:val="0"/>
          <w:noProof/>
          <w:sz w:val="18"/>
        </w:rPr>
        <w:tab/>
      </w:r>
      <w:r w:rsidRPr="00445B4A">
        <w:rPr>
          <w:i w:val="0"/>
          <w:noProof/>
          <w:sz w:val="18"/>
        </w:rPr>
        <w:fldChar w:fldCharType="begin"/>
      </w:r>
      <w:r w:rsidRPr="00445B4A">
        <w:rPr>
          <w:i w:val="0"/>
          <w:noProof/>
          <w:sz w:val="18"/>
        </w:rPr>
        <w:instrText xml:space="preserve"> PAGEREF _Toc86660856 \h </w:instrText>
      </w:r>
      <w:r w:rsidRPr="00445B4A">
        <w:rPr>
          <w:i w:val="0"/>
          <w:noProof/>
          <w:sz w:val="18"/>
        </w:rPr>
      </w:r>
      <w:r w:rsidRPr="00445B4A">
        <w:rPr>
          <w:i w:val="0"/>
          <w:noProof/>
          <w:sz w:val="18"/>
        </w:rPr>
        <w:fldChar w:fldCharType="separate"/>
      </w:r>
      <w:r w:rsidR="00492E0B">
        <w:rPr>
          <w:i w:val="0"/>
          <w:noProof/>
          <w:sz w:val="18"/>
        </w:rPr>
        <w:t>6</w:t>
      </w:r>
      <w:r w:rsidRPr="00445B4A">
        <w:rPr>
          <w:i w:val="0"/>
          <w:noProof/>
          <w:sz w:val="18"/>
        </w:rPr>
        <w:fldChar w:fldCharType="end"/>
      </w:r>
    </w:p>
    <w:p w14:paraId="48152990" w14:textId="77777777" w:rsidR="00794146" w:rsidRPr="00E974C1" w:rsidRDefault="00445B4A" w:rsidP="00794146">
      <w:r>
        <w:fldChar w:fldCharType="end"/>
      </w:r>
    </w:p>
    <w:p w14:paraId="6EE85ACB" w14:textId="77777777" w:rsidR="00794146" w:rsidRPr="00E974C1" w:rsidRDefault="00794146" w:rsidP="00794146">
      <w:pPr>
        <w:sectPr w:rsidR="00794146" w:rsidRPr="00E974C1" w:rsidSect="00E86E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F003A6" w14:textId="77777777" w:rsidR="00794146" w:rsidRPr="00E974C1" w:rsidRDefault="00794146" w:rsidP="00794146">
      <w:pPr>
        <w:pStyle w:val="ActHead5"/>
      </w:pPr>
      <w:bookmarkStart w:id="1" w:name="_Toc86660841"/>
      <w:r w:rsidRPr="0039080B">
        <w:rPr>
          <w:rStyle w:val="CharSectno"/>
        </w:rPr>
        <w:lastRenderedPageBreak/>
        <w:t>1</w:t>
      </w:r>
      <w:r w:rsidRPr="00E974C1">
        <w:t xml:space="preserve">  Name</w:t>
      </w:r>
      <w:bookmarkEnd w:id="1"/>
    </w:p>
    <w:p w14:paraId="2CC8D258" w14:textId="77777777" w:rsidR="00794146" w:rsidRPr="00E974C1" w:rsidRDefault="00794146" w:rsidP="00794146">
      <w:pPr>
        <w:pStyle w:val="subsection"/>
      </w:pPr>
      <w:r w:rsidRPr="00E974C1">
        <w:tab/>
      </w:r>
      <w:r w:rsidRPr="00E974C1">
        <w:tab/>
        <w:t xml:space="preserve">This instrument is the </w:t>
      </w:r>
      <w:r w:rsidR="00711F20" w:rsidRPr="00E974C1">
        <w:rPr>
          <w:i/>
        </w:rPr>
        <w:t>Australian Charities and Not</w:t>
      </w:r>
      <w:r w:rsidR="004D4FB4">
        <w:rPr>
          <w:i/>
        </w:rPr>
        <w:noBreakHyphen/>
      </w:r>
      <w:r w:rsidR="00711F20" w:rsidRPr="00E974C1">
        <w:rPr>
          <w:i/>
        </w:rPr>
        <w:t>for</w:t>
      </w:r>
      <w:r w:rsidR="004D4FB4">
        <w:rPr>
          <w:i/>
        </w:rPr>
        <w:noBreakHyphen/>
      </w:r>
      <w:r w:rsidR="00711F20" w:rsidRPr="00E974C1">
        <w:rPr>
          <w:i/>
        </w:rPr>
        <w:t>profits Commission Amendment (2021 Measures No. </w:t>
      </w:r>
      <w:r w:rsidR="0049445E" w:rsidRPr="00E974C1">
        <w:rPr>
          <w:i/>
        </w:rPr>
        <w:t>3</w:t>
      </w:r>
      <w:r w:rsidR="00711F20" w:rsidRPr="00E974C1">
        <w:rPr>
          <w:i/>
        </w:rPr>
        <w:t>) Regulations 2021</w:t>
      </w:r>
      <w:r w:rsidRPr="00E974C1">
        <w:t>.</w:t>
      </w:r>
    </w:p>
    <w:p w14:paraId="2F3A480C" w14:textId="77777777" w:rsidR="00794146" w:rsidRPr="00E974C1" w:rsidRDefault="00794146" w:rsidP="00794146">
      <w:pPr>
        <w:pStyle w:val="ActHead5"/>
      </w:pPr>
      <w:bookmarkStart w:id="2" w:name="_Toc86660842"/>
      <w:r w:rsidRPr="0039080B">
        <w:rPr>
          <w:rStyle w:val="CharSectno"/>
        </w:rPr>
        <w:t>2</w:t>
      </w:r>
      <w:r w:rsidRPr="00E974C1">
        <w:t xml:space="preserve">  Commencement</w:t>
      </w:r>
      <w:bookmarkEnd w:id="2"/>
    </w:p>
    <w:p w14:paraId="69EAB22C" w14:textId="77777777" w:rsidR="00EC0178" w:rsidRPr="00E974C1" w:rsidRDefault="00EC0178" w:rsidP="00AF60A8">
      <w:pPr>
        <w:pStyle w:val="subsection"/>
      </w:pPr>
      <w:r w:rsidRPr="00E974C1">
        <w:tab/>
        <w:t>(1)</w:t>
      </w:r>
      <w:r w:rsidRPr="00E974C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C23C91" w14:textId="77777777" w:rsidR="00EC0178" w:rsidRPr="00E974C1" w:rsidRDefault="00EC0178" w:rsidP="00AF60A8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EC0178" w:rsidRPr="00E974C1" w14:paraId="5F66EED6" w14:textId="77777777" w:rsidTr="00AF60A8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59A66D0" w14:textId="77777777" w:rsidR="00EC0178" w:rsidRPr="00E974C1" w:rsidRDefault="00EC0178" w:rsidP="00AF60A8">
            <w:pPr>
              <w:pStyle w:val="TableHeading"/>
            </w:pPr>
            <w:r w:rsidRPr="00E974C1">
              <w:t>Commencement information</w:t>
            </w:r>
          </w:p>
        </w:tc>
      </w:tr>
      <w:tr w:rsidR="00EC0178" w:rsidRPr="00E974C1" w14:paraId="220F0AB8" w14:textId="77777777" w:rsidTr="00AF60A8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E56734" w14:textId="77777777" w:rsidR="00EC0178" w:rsidRPr="00E974C1" w:rsidRDefault="00EC0178" w:rsidP="00AF60A8">
            <w:pPr>
              <w:pStyle w:val="TableHeading"/>
            </w:pPr>
            <w:r w:rsidRPr="00E974C1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B4F91B" w14:textId="77777777" w:rsidR="00EC0178" w:rsidRPr="00E974C1" w:rsidRDefault="00EC0178" w:rsidP="00AF60A8">
            <w:pPr>
              <w:pStyle w:val="TableHeading"/>
            </w:pPr>
            <w:r w:rsidRPr="00E974C1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2C531A9" w14:textId="77777777" w:rsidR="00EC0178" w:rsidRPr="00E974C1" w:rsidRDefault="00EC0178" w:rsidP="00AF60A8">
            <w:pPr>
              <w:pStyle w:val="TableHeading"/>
            </w:pPr>
            <w:r w:rsidRPr="00E974C1">
              <w:t>Column 3</w:t>
            </w:r>
          </w:p>
        </w:tc>
      </w:tr>
      <w:tr w:rsidR="00EC0178" w:rsidRPr="00E974C1" w14:paraId="2CF5D2DD" w14:textId="77777777" w:rsidTr="00AF60A8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1B0505" w14:textId="77777777" w:rsidR="00EC0178" w:rsidRPr="00E974C1" w:rsidRDefault="00EC0178" w:rsidP="00AF60A8">
            <w:pPr>
              <w:pStyle w:val="TableHeading"/>
            </w:pPr>
            <w:r w:rsidRPr="00E974C1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9C51EE" w14:textId="77777777" w:rsidR="00EC0178" w:rsidRPr="00E974C1" w:rsidRDefault="00EC0178" w:rsidP="00AF60A8">
            <w:pPr>
              <w:pStyle w:val="TableHeading"/>
            </w:pPr>
            <w:r w:rsidRPr="00E974C1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FFEB62" w14:textId="77777777" w:rsidR="00EC0178" w:rsidRPr="00E974C1" w:rsidRDefault="00EC0178" w:rsidP="00AF60A8">
            <w:pPr>
              <w:pStyle w:val="TableHeading"/>
            </w:pPr>
            <w:r w:rsidRPr="00E974C1">
              <w:t>Date/Details</w:t>
            </w:r>
          </w:p>
        </w:tc>
      </w:tr>
      <w:tr w:rsidR="00EC0178" w:rsidRPr="00E974C1" w14:paraId="2F4D1F8E" w14:textId="77777777" w:rsidTr="00AF60A8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A72DF7" w14:textId="77777777" w:rsidR="00EC0178" w:rsidRPr="00E974C1" w:rsidRDefault="00EC0178" w:rsidP="00AF60A8">
            <w:pPr>
              <w:pStyle w:val="Tabletext"/>
            </w:pPr>
            <w:r w:rsidRPr="00E974C1">
              <w:t xml:space="preserve">1.  </w:t>
            </w:r>
            <w:r w:rsidR="00A674BA" w:rsidRPr="00E974C1">
              <w:t>Sections 1</w:t>
            </w:r>
            <w:r w:rsidRPr="00E974C1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9B5A16" w14:textId="77777777" w:rsidR="00EC0178" w:rsidRPr="00E974C1" w:rsidRDefault="00EC0178" w:rsidP="00AF60A8">
            <w:pPr>
              <w:pStyle w:val="Tabletext"/>
            </w:pPr>
            <w:r w:rsidRPr="00E974C1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FDBD37B" w14:textId="39DD90AA" w:rsidR="00EC0178" w:rsidRPr="00E974C1" w:rsidRDefault="000253E6">
            <w:pPr>
              <w:pStyle w:val="Tabletext"/>
            </w:pPr>
            <w:r>
              <w:t>13 November 2021</w:t>
            </w:r>
          </w:p>
        </w:tc>
      </w:tr>
      <w:tr w:rsidR="00EC0178" w:rsidRPr="00E974C1" w14:paraId="0EFE08A0" w14:textId="77777777" w:rsidTr="00AF60A8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C04674" w14:textId="77777777" w:rsidR="00EC0178" w:rsidRPr="00E974C1" w:rsidRDefault="00EC0178">
            <w:pPr>
              <w:pStyle w:val="Tabletext"/>
            </w:pPr>
            <w:r w:rsidRPr="00E974C1">
              <w:t xml:space="preserve">2.  </w:t>
            </w:r>
            <w:r w:rsidR="00A674BA" w:rsidRPr="00E974C1">
              <w:t>Schedules 1</w:t>
            </w:r>
            <w:r w:rsidRPr="00E974C1">
              <w:t xml:space="preserve"> and 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5BAF00" w14:textId="77777777" w:rsidR="00EC0178" w:rsidRPr="00E974C1" w:rsidRDefault="00EC0178">
            <w:pPr>
              <w:pStyle w:val="Tabletext"/>
            </w:pPr>
            <w:r w:rsidRPr="00E974C1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556B31" w14:textId="3029068D" w:rsidR="00EC0178" w:rsidRPr="00E974C1" w:rsidRDefault="000253E6">
            <w:pPr>
              <w:pStyle w:val="Tabletext"/>
            </w:pPr>
            <w:r>
              <w:t>13 November 2021</w:t>
            </w:r>
          </w:p>
        </w:tc>
      </w:tr>
      <w:tr w:rsidR="00EC0178" w:rsidRPr="00E974C1" w14:paraId="411DBA4F" w14:textId="77777777" w:rsidTr="00AF60A8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9DA317" w14:textId="77777777" w:rsidR="00EC0178" w:rsidRPr="00E974C1" w:rsidRDefault="00EC0178">
            <w:pPr>
              <w:pStyle w:val="Tabletext"/>
            </w:pPr>
            <w:r w:rsidRPr="00E974C1">
              <w:t xml:space="preserve">3.  </w:t>
            </w:r>
            <w:r w:rsidR="00477DD6" w:rsidRPr="00E974C1">
              <w:t>Schedule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866F57" w14:textId="77777777" w:rsidR="001E0334" w:rsidRPr="00E974C1" w:rsidRDefault="001E0334">
            <w:pPr>
              <w:pStyle w:val="Tabletext"/>
            </w:pPr>
            <w:r w:rsidRPr="00E974C1">
              <w:t>The later of:</w:t>
            </w:r>
          </w:p>
          <w:p w14:paraId="246A291C" w14:textId="77777777" w:rsidR="001E0334" w:rsidRPr="00E974C1" w:rsidRDefault="001E0334" w:rsidP="00AF60A8">
            <w:pPr>
              <w:pStyle w:val="Tablea"/>
            </w:pPr>
            <w:r w:rsidRPr="00E974C1">
              <w:t xml:space="preserve">(a) the time immediately after the commencement of the </w:t>
            </w:r>
            <w:r w:rsidRPr="00E974C1">
              <w:rPr>
                <w:i/>
              </w:rPr>
              <w:t>Australian Charities and Not</w:t>
            </w:r>
            <w:r w:rsidR="004D4FB4">
              <w:rPr>
                <w:i/>
              </w:rPr>
              <w:noBreakHyphen/>
            </w:r>
            <w:r w:rsidRPr="00E974C1">
              <w:rPr>
                <w:i/>
              </w:rPr>
              <w:t>for</w:t>
            </w:r>
            <w:r w:rsidR="004D4FB4">
              <w:rPr>
                <w:i/>
              </w:rPr>
              <w:noBreakHyphen/>
            </w:r>
            <w:r w:rsidRPr="00E974C1">
              <w:rPr>
                <w:i/>
              </w:rPr>
              <w:t>profits Commission Amendment (2021 Measures No. 2) Regulations 2021</w:t>
            </w:r>
            <w:r w:rsidRPr="00E974C1">
              <w:t>; and</w:t>
            </w:r>
          </w:p>
          <w:p w14:paraId="17B7DC1C" w14:textId="77777777" w:rsidR="001E0334" w:rsidRPr="00E974C1" w:rsidRDefault="001E0334" w:rsidP="00AF60A8">
            <w:pPr>
              <w:pStyle w:val="Tablea"/>
            </w:pPr>
            <w:r w:rsidRPr="00E974C1">
              <w:t>(b) the start of the day after the earlier of:</w:t>
            </w:r>
          </w:p>
          <w:p w14:paraId="0383D5D9" w14:textId="77777777" w:rsidR="001E0334" w:rsidRPr="00E974C1" w:rsidRDefault="001E0334" w:rsidP="001E0334">
            <w:pPr>
              <w:pStyle w:val="Tablei"/>
            </w:pPr>
            <w:r w:rsidRPr="00E974C1">
              <w:t>(</w:t>
            </w:r>
            <w:proofErr w:type="spellStart"/>
            <w:r w:rsidRPr="00E974C1">
              <w:t>i</w:t>
            </w:r>
            <w:proofErr w:type="spellEnd"/>
            <w:r w:rsidRPr="00E974C1">
              <w:t>)</w:t>
            </w:r>
            <w:r w:rsidR="007E6D3F" w:rsidRPr="00E974C1">
              <w:t xml:space="preserve"> </w:t>
            </w:r>
            <w:r w:rsidRPr="00E974C1">
              <w:t>if both Houses of the Parliament pass a resolution approving</w:t>
            </w:r>
            <w:r w:rsidR="00805E08" w:rsidRPr="00E974C1">
              <w:t xml:space="preserve"> this instrument or</w:t>
            </w:r>
            <w:r w:rsidRPr="00E974C1">
              <w:t xml:space="preserve"> </w:t>
            </w:r>
            <w:r w:rsidR="00477DD6" w:rsidRPr="00E974C1">
              <w:t>Schedule 3</w:t>
            </w:r>
            <w:r w:rsidR="000C1A4D" w:rsidRPr="00E974C1">
              <w:t xml:space="preserve"> to </w:t>
            </w:r>
            <w:r w:rsidRPr="00E974C1">
              <w:t>this instrument—the day the resolution is passed by the second House to do so; and</w:t>
            </w:r>
          </w:p>
          <w:p w14:paraId="73AF97BB" w14:textId="77777777" w:rsidR="001E0334" w:rsidRPr="00E974C1" w:rsidRDefault="001E0334" w:rsidP="001E0334">
            <w:pPr>
              <w:pStyle w:val="Tablei"/>
            </w:pPr>
            <w:r w:rsidRPr="00E974C1">
              <w:t>(ii)</w:t>
            </w:r>
            <w:r w:rsidR="007E6D3F" w:rsidRPr="00E974C1">
              <w:t xml:space="preserve"> </w:t>
            </w:r>
            <w:r w:rsidR="00BD4695" w:rsidRPr="00E974C1">
              <w:t xml:space="preserve">the last day </w:t>
            </w:r>
            <w:r w:rsidR="008A38E2" w:rsidRPr="00E974C1">
              <w:t xml:space="preserve">(the </w:t>
            </w:r>
            <w:r w:rsidR="008A38E2" w:rsidRPr="00E974C1">
              <w:rPr>
                <w:b/>
                <w:i/>
              </w:rPr>
              <w:t>final disallowance day</w:t>
            </w:r>
            <w:r w:rsidR="008A38E2" w:rsidRPr="00E974C1">
              <w:t xml:space="preserve">) </w:t>
            </w:r>
            <w:r w:rsidR="00BD4695" w:rsidRPr="00E974C1">
              <w:t xml:space="preserve">on </w:t>
            </w:r>
            <w:r w:rsidR="00F84F91" w:rsidRPr="00E974C1">
              <w:t xml:space="preserve">which a resolution disallowing this instrument, or a provision of it, could be passed by either House of the Parliament as mentioned in </w:t>
            </w:r>
            <w:r w:rsidR="00477DD6" w:rsidRPr="00E974C1">
              <w:t>section 4</w:t>
            </w:r>
            <w:r w:rsidR="00F84F91" w:rsidRPr="00E974C1">
              <w:t xml:space="preserve">2 of the </w:t>
            </w:r>
            <w:r w:rsidR="00F84F91" w:rsidRPr="00E974C1">
              <w:rPr>
                <w:i/>
              </w:rPr>
              <w:t>Legislation Act 2003</w:t>
            </w:r>
            <w:r w:rsidR="00F84F91" w:rsidRPr="00E974C1">
              <w:t>.</w:t>
            </w:r>
          </w:p>
          <w:p w14:paraId="325CE017" w14:textId="77777777" w:rsidR="008A38E2" w:rsidRPr="00E974C1" w:rsidRDefault="001E0334">
            <w:pPr>
              <w:pStyle w:val="Tabletext"/>
            </w:pPr>
            <w:r w:rsidRPr="00E974C1">
              <w:t xml:space="preserve">However, the provisions do not commence at all </w:t>
            </w:r>
            <w:r w:rsidR="008A38E2" w:rsidRPr="00E974C1">
              <w:t>if:</w:t>
            </w:r>
          </w:p>
          <w:p w14:paraId="300D8F46" w14:textId="77777777" w:rsidR="008A38E2" w:rsidRPr="00E974C1" w:rsidRDefault="008A38E2" w:rsidP="008A38E2">
            <w:pPr>
              <w:pStyle w:val="Tablea"/>
            </w:pPr>
            <w:r w:rsidRPr="00E974C1">
              <w:t>(c)</w:t>
            </w:r>
            <w:r w:rsidR="007E6D3F" w:rsidRPr="00E974C1">
              <w:t xml:space="preserve"> </w:t>
            </w:r>
            <w:r w:rsidRPr="00E974C1">
              <w:t xml:space="preserve">the instrument referred to in </w:t>
            </w:r>
            <w:r w:rsidR="00477DD6" w:rsidRPr="00E974C1">
              <w:t>paragraph (</w:t>
            </w:r>
            <w:r w:rsidRPr="00E974C1">
              <w:t>a) of this item does not commence; or</w:t>
            </w:r>
          </w:p>
          <w:p w14:paraId="133E3DC2" w14:textId="77777777" w:rsidR="00EC0178" w:rsidRPr="00E974C1" w:rsidRDefault="008A38E2" w:rsidP="008A38E2">
            <w:pPr>
              <w:pStyle w:val="Tablea"/>
            </w:pPr>
            <w:r w:rsidRPr="00E974C1">
              <w:t>(d)</w:t>
            </w:r>
            <w:r w:rsidR="007E6D3F" w:rsidRPr="00E974C1">
              <w:t xml:space="preserve"> </w:t>
            </w:r>
            <w:r w:rsidRPr="00E974C1">
              <w:t xml:space="preserve">this instrument, or a provision of </w:t>
            </w:r>
            <w:r w:rsidR="00477DD6" w:rsidRPr="00E974C1">
              <w:t>Schedule 3</w:t>
            </w:r>
            <w:r w:rsidRPr="00E974C1">
              <w:t xml:space="preserve"> to this instrument, is disallowed or taken to have been disallowed on or before the final disallowance day.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72266A" w14:textId="77777777" w:rsidR="00EC0178" w:rsidRDefault="00B570E7">
            <w:pPr>
              <w:pStyle w:val="Tabletext"/>
            </w:pPr>
            <w:r>
              <w:t>Never commenced</w:t>
            </w:r>
          </w:p>
          <w:p w14:paraId="55D40056" w14:textId="0EF9DA73" w:rsidR="00B570E7" w:rsidRPr="00E974C1" w:rsidRDefault="00B570E7">
            <w:pPr>
              <w:pStyle w:val="Tabletext"/>
            </w:pPr>
            <w:r>
              <w:t>(paragraph (c) applies)</w:t>
            </w:r>
            <w:bookmarkStart w:id="3" w:name="_GoBack"/>
            <w:bookmarkEnd w:id="3"/>
          </w:p>
        </w:tc>
      </w:tr>
    </w:tbl>
    <w:p w14:paraId="2C814516" w14:textId="77777777" w:rsidR="00EC0178" w:rsidRPr="00E974C1" w:rsidRDefault="00EC0178" w:rsidP="00AF60A8">
      <w:pPr>
        <w:pStyle w:val="notetext"/>
      </w:pPr>
      <w:r w:rsidRPr="00E974C1">
        <w:rPr>
          <w:snapToGrid w:val="0"/>
          <w:lang w:eastAsia="en-US"/>
        </w:rPr>
        <w:t>Note:</w:t>
      </w:r>
      <w:r w:rsidRPr="00E974C1">
        <w:rPr>
          <w:snapToGrid w:val="0"/>
          <w:lang w:eastAsia="en-US"/>
        </w:rPr>
        <w:tab/>
        <w:t xml:space="preserve">This table relates only to the provisions of this </w:t>
      </w:r>
      <w:r w:rsidRPr="00E974C1">
        <w:t xml:space="preserve">instrument </w:t>
      </w:r>
      <w:r w:rsidRPr="00E974C1">
        <w:rPr>
          <w:snapToGrid w:val="0"/>
          <w:lang w:eastAsia="en-US"/>
        </w:rPr>
        <w:t xml:space="preserve">as originally made. It will not be amended to deal with any later amendments of this </w:t>
      </w:r>
      <w:r w:rsidRPr="00E974C1">
        <w:t>instrument</w:t>
      </w:r>
      <w:r w:rsidRPr="00E974C1">
        <w:rPr>
          <w:snapToGrid w:val="0"/>
          <w:lang w:eastAsia="en-US"/>
        </w:rPr>
        <w:t>.</w:t>
      </w:r>
    </w:p>
    <w:p w14:paraId="76443568" w14:textId="77777777" w:rsidR="00EC0178" w:rsidRPr="00E974C1" w:rsidRDefault="00EC0178" w:rsidP="00AF60A8">
      <w:pPr>
        <w:pStyle w:val="subsection"/>
      </w:pPr>
      <w:r w:rsidRPr="00E974C1">
        <w:tab/>
        <w:t>(2)</w:t>
      </w:r>
      <w:r w:rsidRPr="00E974C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C1BD82" w14:textId="77777777" w:rsidR="00794146" w:rsidRPr="00E974C1" w:rsidRDefault="00794146" w:rsidP="00794146">
      <w:pPr>
        <w:pStyle w:val="ActHead5"/>
      </w:pPr>
      <w:bookmarkStart w:id="4" w:name="_Toc86660843"/>
      <w:r w:rsidRPr="0039080B">
        <w:rPr>
          <w:rStyle w:val="CharSectno"/>
        </w:rPr>
        <w:lastRenderedPageBreak/>
        <w:t>3</w:t>
      </w:r>
      <w:r w:rsidRPr="00E974C1">
        <w:t xml:space="preserve">  Authority</w:t>
      </w:r>
      <w:bookmarkEnd w:id="4"/>
    </w:p>
    <w:p w14:paraId="708FFF43" w14:textId="77777777" w:rsidR="00794146" w:rsidRPr="00E974C1" w:rsidRDefault="00794146" w:rsidP="00794146">
      <w:pPr>
        <w:pStyle w:val="subsection"/>
      </w:pPr>
      <w:r w:rsidRPr="00E974C1">
        <w:tab/>
      </w:r>
      <w:r w:rsidRPr="00E974C1">
        <w:tab/>
        <w:t xml:space="preserve">This instrument is made under 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profits Commission Act 2012</w:t>
      </w:r>
      <w:r w:rsidRPr="00E974C1">
        <w:t>.</w:t>
      </w:r>
    </w:p>
    <w:p w14:paraId="5F40A1C7" w14:textId="77777777" w:rsidR="00794146" w:rsidRPr="00E974C1" w:rsidRDefault="00794146" w:rsidP="00794146">
      <w:pPr>
        <w:pStyle w:val="ActHead5"/>
      </w:pPr>
      <w:bookmarkStart w:id="5" w:name="_Toc86660844"/>
      <w:r w:rsidRPr="0039080B">
        <w:rPr>
          <w:rStyle w:val="CharSectno"/>
        </w:rPr>
        <w:t>4</w:t>
      </w:r>
      <w:r w:rsidRPr="00E974C1">
        <w:t xml:space="preserve">  Schedules</w:t>
      </w:r>
      <w:bookmarkEnd w:id="5"/>
    </w:p>
    <w:p w14:paraId="4D8B339F" w14:textId="77777777" w:rsidR="00794146" w:rsidRPr="00E974C1" w:rsidRDefault="00794146" w:rsidP="00794146">
      <w:pPr>
        <w:pStyle w:val="subsection"/>
      </w:pPr>
      <w:r w:rsidRPr="00E974C1">
        <w:tab/>
      </w:r>
      <w:r w:rsidRPr="00E974C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483CEA" w14:textId="77777777" w:rsidR="00794146" w:rsidRPr="00E974C1" w:rsidRDefault="00794146" w:rsidP="00794146">
      <w:pPr>
        <w:pStyle w:val="ActHead6"/>
        <w:pageBreakBefore/>
      </w:pPr>
      <w:bookmarkStart w:id="6" w:name="_Toc86660845"/>
      <w:bookmarkStart w:id="7" w:name="opcAmSched"/>
      <w:r w:rsidRPr="0039080B">
        <w:rPr>
          <w:rStyle w:val="CharAmSchNo"/>
        </w:rPr>
        <w:lastRenderedPageBreak/>
        <w:t>Schedule 1</w:t>
      </w:r>
      <w:r w:rsidRPr="00E974C1">
        <w:t>—</w:t>
      </w:r>
      <w:r w:rsidR="00645B8D" w:rsidRPr="0039080B">
        <w:rPr>
          <w:rStyle w:val="CharAmSchText"/>
        </w:rPr>
        <w:t>Real time reporting of activities on the public register</w:t>
      </w:r>
      <w:bookmarkEnd w:id="6"/>
    </w:p>
    <w:bookmarkEnd w:id="7"/>
    <w:p w14:paraId="1E55DB44" w14:textId="77777777" w:rsidR="00794146" w:rsidRPr="0039080B" w:rsidRDefault="00794146" w:rsidP="00794146">
      <w:pPr>
        <w:pStyle w:val="Header"/>
      </w:pPr>
      <w:r w:rsidRPr="0039080B">
        <w:rPr>
          <w:rStyle w:val="CharAmPartNo"/>
        </w:rPr>
        <w:t xml:space="preserve"> </w:t>
      </w:r>
      <w:r w:rsidRPr="0039080B">
        <w:rPr>
          <w:rStyle w:val="CharAmPartText"/>
        </w:rPr>
        <w:t xml:space="preserve"> </w:t>
      </w:r>
    </w:p>
    <w:p w14:paraId="5EC975BA" w14:textId="77777777" w:rsidR="00794146" w:rsidRPr="00E974C1" w:rsidRDefault="00794146" w:rsidP="00794146">
      <w:pPr>
        <w:pStyle w:val="ActHead9"/>
      </w:pPr>
      <w:bookmarkStart w:id="8" w:name="_Toc86660846"/>
      <w:r w:rsidRPr="00E974C1">
        <w:t>Australian Charities and Not</w:t>
      </w:r>
      <w:r w:rsidR="004D4FB4">
        <w:noBreakHyphen/>
      </w:r>
      <w:r w:rsidRPr="00E974C1">
        <w:t>for</w:t>
      </w:r>
      <w:r w:rsidR="004D4FB4">
        <w:noBreakHyphen/>
      </w:r>
      <w:r w:rsidRPr="00E974C1">
        <w:t>profits Commission Regulation 2013</w:t>
      </w:r>
      <w:bookmarkEnd w:id="8"/>
    </w:p>
    <w:p w14:paraId="71B638FC" w14:textId="77777777" w:rsidR="00940291" w:rsidRPr="00E974C1" w:rsidRDefault="00940291" w:rsidP="00940291">
      <w:pPr>
        <w:pStyle w:val="ItemHead"/>
      </w:pPr>
      <w:r w:rsidRPr="00E974C1">
        <w:t xml:space="preserve">1  </w:t>
      </w:r>
      <w:r w:rsidR="00841D03" w:rsidRPr="00E974C1">
        <w:t>Section 4</w:t>
      </w:r>
      <w:r w:rsidRPr="00E974C1">
        <w:t>0.1 (at the end of the table)</w:t>
      </w:r>
    </w:p>
    <w:p w14:paraId="76B50245" w14:textId="77777777" w:rsidR="00940291" w:rsidRPr="00E974C1" w:rsidRDefault="00940291" w:rsidP="00940291">
      <w:pPr>
        <w:pStyle w:val="Item"/>
      </w:pPr>
      <w:r w:rsidRPr="00E974C1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7"/>
        <w:gridCol w:w="3470"/>
        <w:gridCol w:w="4392"/>
      </w:tblGrid>
      <w:tr w:rsidR="00940291" w:rsidRPr="00E974C1" w14:paraId="644EE715" w14:textId="77777777" w:rsidTr="00940291">
        <w:tc>
          <w:tcPr>
            <w:tcW w:w="391" w:type="pct"/>
            <w:shd w:val="clear" w:color="auto" w:fill="auto"/>
          </w:tcPr>
          <w:p w14:paraId="19251278" w14:textId="77777777" w:rsidR="00940291" w:rsidRPr="00E974C1" w:rsidRDefault="00940291" w:rsidP="00841D03">
            <w:pPr>
              <w:pStyle w:val="Tabletext"/>
            </w:pPr>
            <w:r w:rsidRPr="00E974C1">
              <w:t>1</w:t>
            </w:r>
            <w:r w:rsidR="00711F20" w:rsidRPr="00E974C1">
              <w:t>4</w:t>
            </w:r>
          </w:p>
        </w:tc>
        <w:tc>
          <w:tcPr>
            <w:tcW w:w="2034" w:type="pct"/>
            <w:shd w:val="clear" w:color="auto" w:fill="auto"/>
          </w:tcPr>
          <w:p w14:paraId="3E4253BF" w14:textId="77777777" w:rsidR="00940291" w:rsidRPr="00E974C1" w:rsidRDefault="00940291" w:rsidP="00841D03">
            <w:pPr>
              <w:pStyle w:val="Tabletext"/>
            </w:pPr>
            <w:r w:rsidRPr="00E974C1">
              <w:t>Information about a registered entity’s activities</w:t>
            </w:r>
          </w:p>
        </w:tc>
        <w:tc>
          <w:tcPr>
            <w:tcW w:w="2575" w:type="pct"/>
            <w:shd w:val="clear" w:color="auto" w:fill="auto"/>
          </w:tcPr>
          <w:p w14:paraId="11938B2D" w14:textId="77777777" w:rsidR="00940291" w:rsidRPr="00E974C1" w:rsidRDefault="00940291" w:rsidP="00841D03">
            <w:pPr>
              <w:pStyle w:val="Tabletext"/>
            </w:pPr>
            <w:r w:rsidRPr="00E974C1">
              <w:t>The registered entity has voluntarily disclosed the information to the Commissioner for the purpose of being included on the Register</w:t>
            </w:r>
          </w:p>
        </w:tc>
      </w:tr>
    </w:tbl>
    <w:p w14:paraId="4203F123" w14:textId="77777777" w:rsidR="00EC0178" w:rsidRPr="00E974C1" w:rsidRDefault="00EC0178" w:rsidP="00EC0178">
      <w:pPr>
        <w:pStyle w:val="ActHead6"/>
        <w:pageBreakBefore/>
      </w:pPr>
      <w:bookmarkStart w:id="9" w:name="_Toc86660847"/>
      <w:r w:rsidRPr="0039080B">
        <w:rPr>
          <w:rStyle w:val="CharAmSchNo"/>
        </w:rPr>
        <w:lastRenderedPageBreak/>
        <w:t>Schedule 2</w:t>
      </w:r>
      <w:r w:rsidRPr="00E974C1">
        <w:t>—</w:t>
      </w:r>
      <w:r w:rsidR="009040A9" w:rsidRPr="0039080B">
        <w:rPr>
          <w:rStyle w:val="CharAmSchText"/>
        </w:rPr>
        <w:t>Financial reporting</w:t>
      </w:r>
      <w:bookmarkEnd w:id="9"/>
    </w:p>
    <w:p w14:paraId="2C46A3C2" w14:textId="77777777" w:rsidR="00EC0178" w:rsidRPr="0039080B" w:rsidRDefault="00EC0178" w:rsidP="00EC0178">
      <w:pPr>
        <w:pStyle w:val="Header"/>
      </w:pPr>
      <w:r w:rsidRPr="0039080B">
        <w:rPr>
          <w:rStyle w:val="CharAmPartNo"/>
        </w:rPr>
        <w:t xml:space="preserve"> </w:t>
      </w:r>
      <w:r w:rsidRPr="0039080B">
        <w:rPr>
          <w:rStyle w:val="CharAmPartText"/>
        </w:rPr>
        <w:t xml:space="preserve"> </w:t>
      </w:r>
    </w:p>
    <w:p w14:paraId="2D050D5D" w14:textId="77777777" w:rsidR="00EC0178" w:rsidRPr="00E974C1" w:rsidRDefault="00EC0178" w:rsidP="00EC0178">
      <w:pPr>
        <w:pStyle w:val="ActHead9"/>
      </w:pPr>
      <w:bookmarkStart w:id="10" w:name="_Toc86660848"/>
      <w:r w:rsidRPr="00E974C1">
        <w:t>Australian Charities and Not</w:t>
      </w:r>
      <w:r w:rsidR="004D4FB4">
        <w:noBreakHyphen/>
      </w:r>
      <w:r w:rsidRPr="00E974C1">
        <w:t>for</w:t>
      </w:r>
      <w:r w:rsidR="004D4FB4">
        <w:noBreakHyphen/>
      </w:r>
      <w:r w:rsidRPr="00E974C1">
        <w:t>profits Commission Regulation 2013</w:t>
      </w:r>
      <w:bookmarkEnd w:id="10"/>
    </w:p>
    <w:p w14:paraId="35DE71FE" w14:textId="77777777" w:rsidR="00645B8D" w:rsidRPr="00E974C1" w:rsidRDefault="00645B8D" w:rsidP="00645B8D">
      <w:pPr>
        <w:pStyle w:val="ItemHead"/>
      </w:pPr>
      <w:r w:rsidRPr="00E974C1">
        <w:t>1  Subsection 60.30(2) (after table item 3)</w:t>
      </w:r>
    </w:p>
    <w:p w14:paraId="31C7E282" w14:textId="77777777" w:rsidR="00645B8D" w:rsidRPr="00E974C1" w:rsidRDefault="00645B8D" w:rsidP="00645B8D">
      <w:pPr>
        <w:pStyle w:val="Item"/>
      </w:pPr>
      <w:r w:rsidRPr="00E974C1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1"/>
        <w:gridCol w:w="7748"/>
      </w:tblGrid>
      <w:tr w:rsidR="00645B8D" w:rsidRPr="00E974C1" w14:paraId="06108F69" w14:textId="77777777" w:rsidTr="00AF60A8">
        <w:tc>
          <w:tcPr>
            <w:tcW w:w="458" w:type="pct"/>
            <w:shd w:val="clear" w:color="auto" w:fill="auto"/>
          </w:tcPr>
          <w:p w14:paraId="5C4968C5" w14:textId="77777777" w:rsidR="00645B8D" w:rsidRPr="00E974C1" w:rsidRDefault="00645B8D" w:rsidP="00AF60A8">
            <w:pPr>
              <w:pStyle w:val="Tabletext"/>
            </w:pPr>
            <w:r w:rsidRPr="00E974C1">
              <w:t>4</w:t>
            </w:r>
          </w:p>
        </w:tc>
        <w:tc>
          <w:tcPr>
            <w:tcW w:w="4542" w:type="pct"/>
            <w:shd w:val="clear" w:color="auto" w:fill="auto"/>
          </w:tcPr>
          <w:p w14:paraId="07453BB7" w14:textId="77777777" w:rsidR="00645B8D" w:rsidRPr="00E974C1" w:rsidRDefault="00645B8D" w:rsidP="00AF60A8">
            <w:pPr>
              <w:pStyle w:val="Tabletext"/>
            </w:pPr>
            <w:proofErr w:type="spellStart"/>
            <w:r w:rsidRPr="00E974C1">
              <w:t>AASB</w:t>
            </w:r>
            <w:proofErr w:type="spellEnd"/>
            <w:r w:rsidRPr="00E974C1">
              <w:t xml:space="preserve"> 124, </w:t>
            </w:r>
            <w:r w:rsidRPr="00E974C1">
              <w:rPr>
                <w:i/>
              </w:rPr>
              <w:t>Related Party Disclosures</w:t>
            </w:r>
          </w:p>
        </w:tc>
      </w:tr>
    </w:tbl>
    <w:p w14:paraId="445A5DE6" w14:textId="77777777" w:rsidR="00645B8D" w:rsidRPr="00E974C1" w:rsidRDefault="00645B8D" w:rsidP="00645B8D">
      <w:pPr>
        <w:pStyle w:val="ItemHead"/>
      </w:pPr>
      <w:r w:rsidRPr="00E974C1">
        <w:t xml:space="preserve">2  </w:t>
      </w:r>
      <w:r w:rsidR="005B7CB6" w:rsidRPr="00E974C1">
        <w:t>After s</w:t>
      </w:r>
      <w:r w:rsidRPr="00E974C1">
        <w:t>ubsection 60.30(</w:t>
      </w:r>
      <w:r w:rsidR="005B7CB6" w:rsidRPr="00E974C1">
        <w:t>2</w:t>
      </w:r>
      <w:r w:rsidRPr="00E974C1">
        <w:t>)</w:t>
      </w:r>
    </w:p>
    <w:p w14:paraId="59D12794" w14:textId="77777777" w:rsidR="00645B8D" w:rsidRPr="00E974C1" w:rsidRDefault="00F10D0F" w:rsidP="00645B8D">
      <w:pPr>
        <w:pStyle w:val="Item"/>
      </w:pPr>
      <w:r w:rsidRPr="00E974C1">
        <w:t>Insert:</w:t>
      </w:r>
    </w:p>
    <w:p w14:paraId="47E84F9A" w14:textId="77777777" w:rsidR="004C3C12" w:rsidRPr="00E974C1" w:rsidRDefault="004C3C12" w:rsidP="004C3C12">
      <w:pPr>
        <w:pStyle w:val="subsection"/>
      </w:pPr>
      <w:bookmarkStart w:id="11" w:name="_Hlk86420253"/>
      <w:bookmarkStart w:id="12" w:name="opcCurrentFind"/>
      <w:r w:rsidRPr="00E974C1">
        <w:tab/>
        <w:t>(2A)</w:t>
      </w:r>
      <w:r w:rsidRPr="00E974C1">
        <w:tab/>
        <w:t xml:space="preserve">The registered entity may, under this subsection, also apply accounting standard </w:t>
      </w:r>
      <w:proofErr w:type="spellStart"/>
      <w:r w:rsidRPr="00E974C1">
        <w:t>AASB</w:t>
      </w:r>
      <w:proofErr w:type="spellEnd"/>
      <w:r w:rsidRPr="00E974C1">
        <w:t xml:space="preserve"> 1060, </w:t>
      </w:r>
      <w:r w:rsidRPr="00E974C1">
        <w:rPr>
          <w:i/>
        </w:rPr>
        <w:t>General Purpose Financial Statements – Simplified Disclosures for For</w:t>
      </w:r>
      <w:r w:rsidR="004D4FB4">
        <w:rPr>
          <w:i/>
        </w:rPr>
        <w:noBreakHyphen/>
      </w:r>
      <w:r w:rsidRPr="00E974C1">
        <w:rPr>
          <w:i/>
        </w:rPr>
        <w:t>Profit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 xml:space="preserve">Profit Tier 2 Entities </w:t>
      </w:r>
      <w:r w:rsidRPr="00E974C1">
        <w:t>(</w:t>
      </w:r>
      <w:r w:rsidR="00250B3D" w:rsidRPr="00E974C1">
        <w:t xml:space="preserve">the </w:t>
      </w:r>
      <w:r w:rsidR="00250B3D" w:rsidRPr="00E974C1">
        <w:rPr>
          <w:b/>
          <w:bCs/>
          <w:i/>
          <w:iCs/>
        </w:rPr>
        <w:t>simplified disclosures standard</w:t>
      </w:r>
      <w:r w:rsidRPr="00E974C1">
        <w:t>) in the preparation of the special purpose financial statement. If the registered entity does so, then in the preparation of that statement:</w:t>
      </w:r>
    </w:p>
    <w:p w14:paraId="3642A3EF" w14:textId="77777777" w:rsidR="004C3C12" w:rsidRPr="00E974C1" w:rsidRDefault="004C3C12" w:rsidP="004C3C12">
      <w:pPr>
        <w:pStyle w:val="paragraph"/>
      </w:pPr>
      <w:r w:rsidRPr="00E974C1">
        <w:tab/>
        <w:t>(a)</w:t>
      </w:r>
      <w:r w:rsidRPr="00E974C1">
        <w:tab/>
        <w:t>th</w:t>
      </w:r>
      <w:r w:rsidR="00CE72FF" w:rsidRPr="00E974C1">
        <w:t xml:space="preserve">e </w:t>
      </w:r>
      <w:r w:rsidR="00250B3D" w:rsidRPr="00E974C1">
        <w:rPr>
          <w:bCs/>
          <w:iCs/>
        </w:rPr>
        <w:t>simplified disclosures standard</w:t>
      </w:r>
      <w:r w:rsidRPr="00E974C1">
        <w:t xml:space="preserve"> applies unless the Commissioner allows the registered entity not to comply with part of th</w:t>
      </w:r>
      <w:r w:rsidR="00250B3D" w:rsidRPr="00E974C1">
        <w:t>at</w:t>
      </w:r>
      <w:r w:rsidRPr="00E974C1">
        <w:t xml:space="preserve"> standard; and</w:t>
      </w:r>
    </w:p>
    <w:p w14:paraId="3597CB43" w14:textId="77777777" w:rsidR="004C3C12" w:rsidRPr="00E974C1" w:rsidRDefault="004C3C12" w:rsidP="004C3C12">
      <w:pPr>
        <w:pStyle w:val="paragraph"/>
      </w:pPr>
      <w:r w:rsidRPr="00E974C1">
        <w:tab/>
        <w:t>(b)</w:t>
      </w:r>
      <w:r w:rsidRPr="00E974C1">
        <w:tab/>
        <w:t>th</w:t>
      </w:r>
      <w:r w:rsidR="00CE72FF" w:rsidRPr="00E974C1">
        <w:t xml:space="preserve">e </w:t>
      </w:r>
      <w:r w:rsidR="00250B3D" w:rsidRPr="00E974C1">
        <w:rPr>
          <w:bCs/>
          <w:iCs/>
        </w:rPr>
        <w:t>simplified disclosures standard</w:t>
      </w:r>
      <w:r w:rsidRPr="00E974C1">
        <w:t xml:space="preserve"> applies only to the extent that it deals with matters that are dealt with in an accounting standard mentioned in </w:t>
      </w:r>
      <w:r w:rsidR="009E18CD" w:rsidRPr="00E974C1">
        <w:t>subsection (</w:t>
      </w:r>
      <w:r w:rsidRPr="00E974C1">
        <w:t>2); and</w:t>
      </w:r>
    </w:p>
    <w:p w14:paraId="1B5D8F1A" w14:textId="77777777" w:rsidR="004C3C12" w:rsidRPr="00E974C1" w:rsidRDefault="004C3C12" w:rsidP="004C3C12">
      <w:pPr>
        <w:pStyle w:val="paragraph"/>
      </w:pPr>
      <w:r w:rsidRPr="00E974C1">
        <w:tab/>
        <w:t>(c)</w:t>
      </w:r>
      <w:r w:rsidRPr="00E974C1">
        <w:tab/>
        <w:t xml:space="preserve">an accounting standard mentioned in </w:t>
      </w:r>
      <w:r w:rsidR="009E18CD" w:rsidRPr="00E974C1">
        <w:t>subsection (</w:t>
      </w:r>
      <w:r w:rsidRPr="00E974C1">
        <w:t xml:space="preserve">2) (other than accounting standard </w:t>
      </w:r>
      <w:proofErr w:type="spellStart"/>
      <w:r w:rsidRPr="00E974C1">
        <w:t>AASB</w:t>
      </w:r>
      <w:proofErr w:type="spellEnd"/>
      <w:r w:rsidRPr="00E974C1">
        <w:t xml:space="preserve"> 1054, </w:t>
      </w:r>
      <w:r w:rsidRPr="00E974C1">
        <w:rPr>
          <w:i/>
        </w:rPr>
        <w:t>Australian Additional Disclosures</w:t>
      </w:r>
      <w:r w:rsidRPr="00E974C1">
        <w:t xml:space="preserve">) does not apply in relation to the registered entity to the same extent that </w:t>
      </w:r>
      <w:r w:rsidR="00FD5E34" w:rsidRPr="00E974C1">
        <w:t xml:space="preserve">the </w:t>
      </w:r>
      <w:r w:rsidRPr="00E974C1">
        <w:t xml:space="preserve">standard does not apply to entities preparing general purpose financial statements that apply the </w:t>
      </w:r>
      <w:r w:rsidR="00250B3D" w:rsidRPr="00E974C1">
        <w:rPr>
          <w:bCs/>
          <w:iCs/>
        </w:rPr>
        <w:t>simplified disclosures standard</w:t>
      </w:r>
      <w:r w:rsidRPr="00E974C1">
        <w:t>; and</w:t>
      </w:r>
    </w:p>
    <w:p w14:paraId="6F47900A" w14:textId="77777777" w:rsidR="004C3C12" w:rsidRPr="00E974C1" w:rsidRDefault="004C3C12" w:rsidP="004C3C12">
      <w:pPr>
        <w:pStyle w:val="paragraph"/>
      </w:pPr>
      <w:r w:rsidRPr="00E974C1">
        <w:tab/>
        <w:t>(d)</w:t>
      </w:r>
      <w:r w:rsidRPr="00E974C1">
        <w:tab/>
        <w:t xml:space="preserve">in relation to accounting standard </w:t>
      </w:r>
      <w:proofErr w:type="spellStart"/>
      <w:r w:rsidRPr="00E974C1">
        <w:t>AASB</w:t>
      </w:r>
      <w:proofErr w:type="spellEnd"/>
      <w:r w:rsidRPr="00E974C1">
        <w:t xml:space="preserve"> 1054, </w:t>
      </w:r>
      <w:r w:rsidRPr="00E974C1">
        <w:rPr>
          <w:i/>
        </w:rPr>
        <w:t>Australian Additional Disclosures</w:t>
      </w:r>
      <w:r w:rsidRPr="00E974C1">
        <w:t>—only paragraphs 1 to 6, 9, 9A, 9B</w:t>
      </w:r>
      <w:r w:rsidRPr="00E974C1">
        <w:rPr>
          <w:i/>
        </w:rPr>
        <w:t xml:space="preserve"> </w:t>
      </w:r>
      <w:r w:rsidRPr="00E974C1">
        <w:t>and 17 of that standard apply in relation to the registered entity.</w:t>
      </w:r>
    </w:p>
    <w:bookmarkEnd w:id="11"/>
    <w:p w14:paraId="276DC74C" w14:textId="77777777" w:rsidR="002A1C95" w:rsidRPr="00E974C1" w:rsidRDefault="002A1C95" w:rsidP="002A1C95">
      <w:pPr>
        <w:pStyle w:val="subsection"/>
      </w:pPr>
      <w:r w:rsidRPr="00E974C1">
        <w:tab/>
        <w:t>(</w:t>
      </w:r>
      <w:r w:rsidR="00C63933" w:rsidRPr="00E974C1">
        <w:t>2B</w:t>
      </w:r>
      <w:r w:rsidRPr="00E974C1">
        <w:t>)</w:t>
      </w:r>
      <w:r w:rsidRPr="00E974C1">
        <w:tab/>
      </w:r>
      <w:r w:rsidR="009E18CD" w:rsidRPr="00E974C1">
        <w:t>Subsection (</w:t>
      </w:r>
      <w:r w:rsidR="00E34570" w:rsidRPr="00E974C1">
        <w:t xml:space="preserve">2) or (2A) </w:t>
      </w:r>
      <w:r w:rsidRPr="00E974C1">
        <w:t xml:space="preserve">does not apply in relation to the following entities and accounting standard </w:t>
      </w:r>
      <w:proofErr w:type="spellStart"/>
      <w:r w:rsidRPr="00E974C1">
        <w:t>AASB</w:t>
      </w:r>
      <w:proofErr w:type="spellEnd"/>
      <w:r w:rsidRPr="00E974C1">
        <w:t xml:space="preserve"> 124, </w:t>
      </w:r>
      <w:r w:rsidRPr="00E974C1">
        <w:rPr>
          <w:i/>
        </w:rPr>
        <w:t>Related Party Disclosures</w:t>
      </w:r>
      <w:r w:rsidRPr="00E974C1">
        <w:t>,</w:t>
      </w:r>
      <w:r w:rsidRPr="00E974C1">
        <w:rPr>
          <w:i/>
        </w:rPr>
        <w:t xml:space="preserve"> </w:t>
      </w:r>
      <w:r w:rsidRPr="00E974C1">
        <w:t xml:space="preserve">or accounting standard </w:t>
      </w:r>
      <w:proofErr w:type="spellStart"/>
      <w:r w:rsidRPr="00E974C1">
        <w:t>AASB</w:t>
      </w:r>
      <w:proofErr w:type="spellEnd"/>
      <w:r w:rsidRPr="00E974C1">
        <w:t xml:space="preserve"> 1060, </w:t>
      </w:r>
      <w:r w:rsidRPr="00E974C1">
        <w:rPr>
          <w:i/>
        </w:rPr>
        <w:t>General Purpose Financial Statements – Simplified Disclosures for For</w:t>
      </w:r>
      <w:r w:rsidR="004D4FB4">
        <w:rPr>
          <w:i/>
        </w:rPr>
        <w:noBreakHyphen/>
      </w:r>
      <w:r w:rsidRPr="00E974C1">
        <w:rPr>
          <w:i/>
        </w:rPr>
        <w:t>Profit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 Tier 2 Entities</w:t>
      </w:r>
      <w:r w:rsidRPr="00E974C1">
        <w:t>, to the extent that the standard relates to the disclosure of key management personnel compensation:</w:t>
      </w:r>
    </w:p>
    <w:p w14:paraId="3983653C" w14:textId="77777777" w:rsidR="002A1C95" w:rsidRPr="00E974C1" w:rsidRDefault="002A1C95" w:rsidP="002A1C95">
      <w:pPr>
        <w:pStyle w:val="paragraph"/>
      </w:pPr>
      <w:r w:rsidRPr="00E974C1">
        <w:tab/>
        <w:t>(a)</w:t>
      </w:r>
      <w:r w:rsidRPr="00E974C1">
        <w:tab/>
        <w:t>a medium registered entity;</w:t>
      </w:r>
    </w:p>
    <w:p w14:paraId="00CF723D" w14:textId="77777777" w:rsidR="002A1C95" w:rsidRPr="00E974C1" w:rsidRDefault="002A1C95" w:rsidP="002A1C95">
      <w:pPr>
        <w:pStyle w:val="paragraph"/>
      </w:pPr>
      <w:r w:rsidRPr="00E974C1">
        <w:tab/>
        <w:t>(b)</w:t>
      </w:r>
      <w:r w:rsidRPr="00E974C1">
        <w:tab/>
        <w:t>a large registered entity whose key management personnel consists of only one individual.</w:t>
      </w:r>
    </w:p>
    <w:p w14:paraId="315E2D8E" w14:textId="77777777" w:rsidR="00E34570" w:rsidRPr="00E974C1" w:rsidRDefault="00E34570" w:rsidP="00E34570">
      <w:pPr>
        <w:pStyle w:val="ItemHead"/>
      </w:pPr>
      <w:r w:rsidRPr="00E974C1">
        <w:t>3  Subsection 60.30(3)</w:t>
      </w:r>
    </w:p>
    <w:p w14:paraId="05067E8D" w14:textId="77777777" w:rsidR="00E34570" w:rsidRPr="00E974C1" w:rsidRDefault="00E34570" w:rsidP="00E34570">
      <w:pPr>
        <w:pStyle w:val="Item"/>
      </w:pPr>
      <w:r w:rsidRPr="00E974C1">
        <w:t>Omit “However, subsection”, substitute “Subsection”.</w:t>
      </w:r>
    </w:p>
    <w:p w14:paraId="65319DA8" w14:textId="77777777" w:rsidR="002A1C95" w:rsidRPr="00E974C1" w:rsidRDefault="002A1C95" w:rsidP="002A1C95">
      <w:pPr>
        <w:pStyle w:val="ItemHead"/>
      </w:pPr>
      <w:r w:rsidRPr="00E974C1">
        <w:t>4  At the end of the instrument</w:t>
      </w:r>
    </w:p>
    <w:p w14:paraId="3B7A2197" w14:textId="77777777" w:rsidR="002A1C95" w:rsidRPr="00E974C1" w:rsidRDefault="002A1C95" w:rsidP="002A1C95">
      <w:pPr>
        <w:pStyle w:val="Item"/>
      </w:pPr>
      <w:r w:rsidRPr="00E974C1">
        <w:t>Add:</w:t>
      </w:r>
    </w:p>
    <w:p w14:paraId="5767810F" w14:textId="77777777" w:rsidR="002A1C95" w:rsidRPr="00E974C1" w:rsidRDefault="002A1C95" w:rsidP="002A1C95">
      <w:pPr>
        <w:pStyle w:val="ActHead2"/>
      </w:pPr>
      <w:bookmarkStart w:id="13" w:name="_Toc86660849"/>
      <w:r w:rsidRPr="0039080B">
        <w:rPr>
          <w:rStyle w:val="CharPartNo"/>
        </w:rPr>
        <w:lastRenderedPageBreak/>
        <w:t>Part 8</w:t>
      </w:r>
      <w:r w:rsidR="004D4FB4" w:rsidRPr="0039080B">
        <w:rPr>
          <w:rStyle w:val="CharPartNo"/>
        </w:rPr>
        <w:noBreakHyphen/>
      </w:r>
      <w:r w:rsidRPr="0039080B">
        <w:rPr>
          <w:rStyle w:val="CharPartNo"/>
        </w:rPr>
        <w:t>1</w:t>
      </w:r>
      <w:r w:rsidRPr="00E974C1">
        <w:t>—</w:t>
      </w:r>
      <w:r w:rsidRPr="0039080B">
        <w:rPr>
          <w:rStyle w:val="CharPartText"/>
        </w:rPr>
        <w:t>Core concepts</w:t>
      </w:r>
      <w:bookmarkEnd w:id="13"/>
    </w:p>
    <w:p w14:paraId="38CF092C" w14:textId="77777777" w:rsidR="002A1C95" w:rsidRPr="00E974C1" w:rsidRDefault="002A1C95" w:rsidP="002A1C95">
      <w:pPr>
        <w:pStyle w:val="ActHead3"/>
      </w:pPr>
      <w:bookmarkStart w:id="14" w:name="_Toc86660850"/>
      <w:r w:rsidRPr="0039080B">
        <w:rPr>
          <w:rStyle w:val="CharDivNo"/>
        </w:rPr>
        <w:t>Division 205</w:t>
      </w:r>
      <w:r w:rsidRPr="00E974C1">
        <w:t>—</w:t>
      </w:r>
      <w:r w:rsidRPr="0039080B">
        <w:rPr>
          <w:rStyle w:val="CharDivText"/>
        </w:rPr>
        <w:t>Core concepts</w:t>
      </w:r>
      <w:bookmarkEnd w:id="14"/>
    </w:p>
    <w:p w14:paraId="799FA5F6" w14:textId="77777777" w:rsidR="002A1C95" w:rsidRPr="00E974C1" w:rsidRDefault="002A1C95" w:rsidP="002A1C95">
      <w:pPr>
        <w:pStyle w:val="ActHead5"/>
      </w:pPr>
      <w:bookmarkStart w:id="15" w:name="_Toc86660851"/>
      <w:r w:rsidRPr="0039080B">
        <w:rPr>
          <w:rStyle w:val="CharSectno"/>
        </w:rPr>
        <w:t>205.1</w:t>
      </w:r>
      <w:r w:rsidRPr="00E974C1">
        <w:t xml:space="preserve">  Small and medium registered entities</w:t>
      </w:r>
      <w:bookmarkEnd w:id="15"/>
    </w:p>
    <w:p w14:paraId="7CAECB6B" w14:textId="77777777" w:rsidR="002A1C95" w:rsidRPr="00E974C1" w:rsidRDefault="002A1C95" w:rsidP="002A1C95">
      <w:pPr>
        <w:pStyle w:val="SubsectionHead"/>
      </w:pPr>
      <w:r w:rsidRPr="00E974C1">
        <w:t>Small registered entities</w:t>
      </w:r>
    </w:p>
    <w:p w14:paraId="58BECE37" w14:textId="77777777" w:rsidR="002A1C95" w:rsidRPr="00E974C1" w:rsidRDefault="002A1C95" w:rsidP="002A1C95">
      <w:pPr>
        <w:pStyle w:val="subsection"/>
      </w:pPr>
      <w:r w:rsidRPr="00E974C1">
        <w:tab/>
        <w:t>(1)</w:t>
      </w:r>
      <w:r w:rsidRPr="00E974C1">
        <w:tab/>
        <w:t>For the purposes of subsection 205</w:t>
      </w:r>
      <w:r w:rsidR="004D4FB4">
        <w:noBreakHyphen/>
      </w:r>
      <w:r w:rsidRPr="00E974C1">
        <w:t>25(1) of the Act, the amount of $500,000 is prescribed.</w:t>
      </w:r>
    </w:p>
    <w:p w14:paraId="2AFA080C" w14:textId="77777777" w:rsidR="002A1C95" w:rsidRPr="00E974C1" w:rsidRDefault="002A1C95" w:rsidP="002A1C95">
      <w:pPr>
        <w:pStyle w:val="SubsectionHead"/>
      </w:pPr>
      <w:r w:rsidRPr="00E974C1">
        <w:t>Medium registered entities</w:t>
      </w:r>
    </w:p>
    <w:p w14:paraId="551375B2" w14:textId="77777777" w:rsidR="002A1C95" w:rsidRPr="00E974C1" w:rsidRDefault="002A1C95" w:rsidP="002A1C95">
      <w:pPr>
        <w:pStyle w:val="subsection"/>
      </w:pPr>
      <w:r w:rsidRPr="00E974C1">
        <w:tab/>
        <w:t>(2)</w:t>
      </w:r>
      <w:r w:rsidRPr="00E974C1">
        <w:tab/>
        <w:t>For the purposes of paragraph 205</w:t>
      </w:r>
      <w:r w:rsidR="004D4FB4">
        <w:noBreakHyphen/>
      </w:r>
      <w:r w:rsidRPr="00E974C1">
        <w:t>25(2)(b) of the Act, the amount of $3,000,000 is prescribed.</w:t>
      </w:r>
    </w:p>
    <w:p w14:paraId="6697167D" w14:textId="77777777" w:rsidR="002A1C95" w:rsidRPr="00E974C1" w:rsidRDefault="002A1C95" w:rsidP="002A1C95">
      <w:pPr>
        <w:pStyle w:val="ActHead2"/>
      </w:pPr>
      <w:bookmarkStart w:id="16" w:name="_Toc86660852"/>
      <w:r w:rsidRPr="0039080B">
        <w:rPr>
          <w:rStyle w:val="CharPartNo"/>
        </w:rPr>
        <w:t>Part 9</w:t>
      </w:r>
      <w:r w:rsidRPr="00E974C1">
        <w:t>—</w:t>
      </w:r>
      <w:r w:rsidRPr="0039080B">
        <w:rPr>
          <w:rStyle w:val="CharPartText"/>
        </w:rPr>
        <w:t>Application, saving and transitional provisions</w:t>
      </w:r>
      <w:bookmarkEnd w:id="16"/>
    </w:p>
    <w:p w14:paraId="4D4697AB" w14:textId="77777777" w:rsidR="002A1C95" w:rsidRPr="00E974C1" w:rsidRDefault="002A1C95" w:rsidP="002A1C95">
      <w:pPr>
        <w:pStyle w:val="ActHead3"/>
      </w:pPr>
      <w:bookmarkStart w:id="17" w:name="_Toc86660853"/>
      <w:r w:rsidRPr="0039080B">
        <w:rPr>
          <w:rStyle w:val="CharDivNo"/>
        </w:rPr>
        <w:t>Division 305</w:t>
      </w:r>
      <w:r w:rsidRPr="00E974C1">
        <w:t>—</w:t>
      </w:r>
      <w:r w:rsidRPr="0039080B">
        <w:rPr>
          <w:rStyle w:val="CharDivText"/>
        </w:rPr>
        <w:t>Application, saving and transitional provisions</w:t>
      </w:r>
      <w:bookmarkEnd w:id="17"/>
    </w:p>
    <w:p w14:paraId="2835684B" w14:textId="77777777" w:rsidR="002A1C95" w:rsidRPr="00E974C1" w:rsidRDefault="002A1C95" w:rsidP="002A1C95">
      <w:pPr>
        <w:pStyle w:val="ActHead5"/>
      </w:pPr>
      <w:bookmarkStart w:id="18" w:name="_Toc86660854"/>
      <w:r w:rsidRPr="0039080B">
        <w:rPr>
          <w:rStyle w:val="CharSectno"/>
        </w:rPr>
        <w:t>305.5</w:t>
      </w:r>
      <w:r w:rsidRPr="00E974C1">
        <w:t xml:space="preserve">  Application provisions relating to 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profits Commission Amendment (2021 Measures No. 3) Regulations 2021</w:t>
      </w:r>
      <w:bookmarkEnd w:id="18"/>
    </w:p>
    <w:p w14:paraId="23EED1AD" w14:textId="77777777" w:rsidR="002A1C95" w:rsidRPr="00E974C1" w:rsidRDefault="002A1C95" w:rsidP="002A1C95">
      <w:pPr>
        <w:pStyle w:val="subsection"/>
      </w:pPr>
      <w:r w:rsidRPr="00E974C1">
        <w:tab/>
        <w:t>(1)</w:t>
      </w:r>
      <w:r w:rsidRPr="00E974C1">
        <w:tab/>
        <w:t xml:space="preserve">The amendments of section 60.30 made by Schedule 2 to 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 xml:space="preserve">profits Commission Amendment (2021 Measures No. 3) Regulations 2021 </w:t>
      </w:r>
      <w:r w:rsidRPr="00E974C1">
        <w:t>apply in relation to financial reports required to be given for:</w:t>
      </w:r>
    </w:p>
    <w:p w14:paraId="1BEE97D1" w14:textId="77777777" w:rsidR="002A1C95" w:rsidRPr="00E974C1" w:rsidRDefault="002A1C95" w:rsidP="002A1C95">
      <w:pPr>
        <w:pStyle w:val="paragraph"/>
      </w:pPr>
      <w:r w:rsidRPr="00E974C1">
        <w:tab/>
        <w:t>(a)</w:t>
      </w:r>
      <w:r w:rsidRPr="00E974C1">
        <w:tab/>
        <w:t xml:space="preserve">to the extent that accounting standard </w:t>
      </w:r>
      <w:proofErr w:type="spellStart"/>
      <w:r w:rsidRPr="00E974C1">
        <w:t>AASB</w:t>
      </w:r>
      <w:proofErr w:type="spellEnd"/>
      <w:r w:rsidRPr="00E974C1">
        <w:t xml:space="preserve"> 124, </w:t>
      </w:r>
      <w:r w:rsidRPr="00E974C1">
        <w:rPr>
          <w:i/>
        </w:rPr>
        <w:t>Related Party Disclosures</w:t>
      </w:r>
      <w:r w:rsidRPr="00E974C1">
        <w:t xml:space="preserve">, or accounting standard </w:t>
      </w:r>
      <w:proofErr w:type="spellStart"/>
      <w:r w:rsidRPr="00E974C1">
        <w:t>AASB</w:t>
      </w:r>
      <w:proofErr w:type="spellEnd"/>
      <w:r w:rsidRPr="00E974C1">
        <w:t xml:space="preserve"> 1060, </w:t>
      </w:r>
      <w:r w:rsidRPr="00E974C1">
        <w:rPr>
          <w:i/>
        </w:rPr>
        <w:t>General Purpose Financial Statements – Simplified Disclosures for For</w:t>
      </w:r>
      <w:r w:rsidR="004D4FB4">
        <w:rPr>
          <w:i/>
        </w:rPr>
        <w:noBreakHyphen/>
      </w:r>
      <w:r w:rsidRPr="00E974C1">
        <w:rPr>
          <w:i/>
        </w:rPr>
        <w:t>Profit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 Tier 2 Entities</w:t>
      </w:r>
      <w:r w:rsidRPr="00E974C1">
        <w:t>,</w:t>
      </w:r>
      <w:r w:rsidRPr="00E974C1">
        <w:rPr>
          <w:i/>
        </w:rPr>
        <w:t xml:space="preserve"> </w:t>
      </w:r>
      <w:r w:rsidRPr="00E974C1">
        <w:t>relates to the disclosure of key management personnel compensation—the following:</w:t>
      </w:r>
    </w:p>
    <w:p w14:paraId="2B42E8B8" w14:textId="77777777" w:rsidR="002A1C95" w:rsidRPr="00E974C1" w:rsidRDefault="002A1C95" w:rsidP="002A1C95">
      <w:pPr>
        <w:pStyle w:val="paragraphsub"/>
      </w:pPr>
      <w:r w:rsidRPr="00E974C1">
        <w:tab/>
        <w:t>(</w:t>
      </w:r>
      <w:proofErr w:type="spellStart"/>
      <w:r w:rsidRPr="00E974C1">
        <w:t>i</w:t>
      </w:r>
      <w:proofErr w:type="spellEnd"/>
      <w:r w:rsidRPr="00E974C1">
        <w:t>)</w:t>
      </w:r>
      <w:r w:rsidRPr="00E974C1">
        <w:tab/>
        <w:t>the 2021</w:t>
      </w:r>
      <w:r w:rsidR="004D4FB4">
        <w:noBreakHyphen/>
      </w:r>
      <w:r w:rsidRPr="00E974C1">
        <w:t>22 financial year;</w:t>
      </w:r>
    </w:p>
    <w:p w14:paraId="40E6B2BC" w14:textId="77777777" w:rsidR="002A1C95" w:rsidRPr="00E974C1" w:rsidRDefault="002A1C95" w:rsidP="002A1C95">
      <w:pPr>
        <w:pStyle w:val="paragraphsub"/>
      </w:pPr>
      <w:r w:rsidRPr="00E974C1">
        <w:tab/>
        <w:t>(ii)</w:t>
      </w:r>
      <w:r w:rsidRPr="00E974C1">
        <w:tab/>
        <w:t>each later financial year; or</w:t>
      </w:r>
    </w:p>
    <w:p w14:paraId="6D63B29B" w14:textId="77777777" w:rsidR="002A1C95" w:rsidRPr="00E974C1" w:rsidRDefault="002A1C95" w:rsidP="002A1C95">
      <w:pPr>
        <w:pStyle w:val="paragraph"/>
      </w:pPr>
      <w:r w:rsidRPr="00E974C1">
        <w:tab/>
        <w:t>(b)</w:t>
      </w:r>
      <w:r w:rsidRPr="00E974C1">
        <w:tab/>
      </w:r>
      <w:r w:rsidR="00EE3239" w:rsidRPr="00E974C1">
        <w:t>otherwise</w:t>
      </w:r>
      <w:r w:rsidRPr="00E974C1">
        <w:t>—the following:</w:t>
      </w:r>
    </w:p>
    <w:p w14:paraId="24C7DC1F" w14:textId="77777777" w:rsidR="002A1C95" w:rsidRPr="00E974C1" w:rsidRDefault="002A1C95" w:rsidP="002A1C95">
      <w:pPr>
        <w:pStyle w:val="paragraphsub"/>
      </w:pPr>
      <w:r w:rsidRPr="00E974C1">
        <w:tab/>
        <w:t>(</w:t>
      </w:r>
      <w:proofErr w:type="spellStart"/>
      <w:r w:rsidRPr="00E974C1">
        <w:t>i</w:t>
      </w:r>
      <w:proofErr w:type="spellEnd"/>
      <w:r w:rsidRPr="00E974C1">
        <w:t>)</w:t>
      </w:r>
      <w:r w:rsidRPr="00E974C1">
        <w:tab/>
        <w:t>the 2022</w:t>
      </w:r>
      <w:r w:rsidR="004D4FB4">
        <w:noBreakHyphen/>
      </w:r>
      <w:r w:rsidRPr="00E974C1">
        <w:t>23 financial year;</w:t>
      </w:r>
    </w:p>
    <w:p w14:paraId="225455D3" w14:textId="77777777" w:rsidR="002A1C95" w:rsidRPr="00E974C1" w:rsidRDefault="002A1C95" w:rsidP="002A1C95">
      <w:pPr>
        <w:pStyle w:val="paragraphsub"/>
      </w:pPr>
      <w:r w:rsidRPr="00E974C1">
        <w:tab/>
        <w:t>(ii)</w:t>
      </w:r>
      <w:r w:rsidRPr="00E974C1">
        <w:tab/>
        <w:t>each later financial year.</w:t>
      </w:r>
    </w:p>
    <w:p w14:paraId="186D3AD9" w14:textId="77777777" w:rsidR="002A1C95" w:rsidRPr="00E974C1" w:rsidRDefault="002A1C95" w:rsidP="002A1C95">
      <w:pPr>
        <w:pStyle w:val="subsection"/>
      </w:pPr>
      <w:r w:rsidRPr="00E974C1">
        <w:tab/>
        <w:t>(2)</w:t>
      </w:r>
      <w:r w:rsidRPr="00E974C1">
        <w:tab/>
        <w:t xml:space="preserve">Division 205, as added by Schedule 2 to 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profits Commission Amendment (2021 Measures No. 3) Regulations 2021</w:t>
      </w:r>
      <w:r w:rsidRPr="00E974C1">
        <w:t>, applies in relation to working out whether a registered entity is a small registered entity, a medium registered entity or a large registered entity for the following:</w:t>
      </w:r>
    </w:p>
    <w:p w14:paraId="31775D57" w14:textId="77777777" w:rsidR="002A1C95" w:rsidRPr="00E974C1" w:rsidRDefault="002A1C95" w:rsidP="002A1C95">
      <w:pPr>
        <w:pStyle w:val="paragraph"/>
      </w:pPr>
      <w:r w:rsidRPr="00E974C1">
        <w:tab/>
        <w:t>(a)</w:t>
      </w:r>
      <w:r w:rsidRPr="00E974C1">
        <w:tab/>
        <w:t>the 2021</w:t>
      </w:r>
      <w:r w:rsidR="004D4FB4">
        <w:noBreakHyphen/>
      </w:r>
      <w:r w:rsidRPr="00E974C1">
        <w:t>22 financial year;</w:t>
      </w:r>
    </w:p>
    <w:p w14:paraId="4B44A986" w14:textId="77777777" w:rsidR="002A1C95" w:rsidRPr="00E974C1" w:rsidRDefault="002A1C95" w:rsidP="002A1C95">
      <w:pPr>
        <w:pStyle w:val="paragraph"/>
      </w:pPr>
      <w:r w:rsidRPr="00E974C1">
        <w:tab/>
        <w:t>(b)</w:t>
      </w:r>
      <w:r w:rsidRPr="00E974C1">
        <w:tab/>
        <w:t>each later financial year.</w:t>
      </w:r>
    </w:p>
    <w:p w14:paraId="24284822" w14:textId="77777777" w:rsidR="00645B8D" w:rsidRPr="00E974C1" w:rsidRDefault="00477DD6" w:rsidP="00645B8D">
      <w:pPr>
        <w:pStyle w:val="ActHead6"/>
        <w:pageBreakBefore/>
      </w:pPr>
      <w:bookmarkStart w:id="19" w:name="_Toc86660855"/>
      <w:r w:rsidRPr="0039080B">
        <w:rPr>
          <w:rStyle w:val="CharAmSchNo"/>
        </w:rPr>
        <w:lastRenderedPageBreak/>
        <w:t>Schedule 3</w:t>
      </w:r>
      <w:r w:rsidR="00645B8D" w:rsidRPr="00E974C1">
        <w:t>—</w:t>
      </w:r>
      <w:r w:rsidR="00EF70E5" w:rsidRPr="0039080B">
        <w:rPr>
          <w:rStyle w:val="CharAmSchText"/>
        </w:rPr>
        <w:t>Governance standard 3</w:t>
      </w:r>
      <w:bookmarkEnd w:id="19"/>
    </w:p>
    <w:bookmarkEnd w:id="12"/>
    <w:p w14:paraId="3863FAA6" w14:textId="77777777" w:rsidR="005116E7" w:rsidRPr="0039080B" w:rsidRDefault="005116E7" w:rsidP="005116E7">
      <w:pPr>
        <w:pStyle w:val="Header"/>
      </w:pPr>
      <w:r w:rsidRPr="0039080B">
        <w:rPr>
          <w:rStyle w:val="CharAmPartNo"/>
        </w:rPr>
        <w:t xml:space="preserve"> </w:t>
      </w:r>
      <w:r w:rsidRPr="0039080B">
        <w:rPr>
          <w:rStyle w:val="CharAmPartText"/>
        </w:rPr>
        <w:t xml:space="preserve"> </w:t>
      </w:r>
    </w:p>
    <w:p w14:paraId="6E9371EB" w14:textId="77777777" w:rsidR="000E30BA" w:rsidRPr="00E974C1" w:rsidRDefault="000E30BA" w:rsidP="000E30BA">
      <w:pPr>
        <w:pStyle w:val="ActHead9"/>
      </w:pPr>
      <w:bookmarkStart w:id="20" w:name="_Toc86660856"/>
      <w:r w:rsidRPr="00E974C1">
        <w:t>Australian Charities and Not</w:t>
      </w:r>
      <w:r w:rsidR="004D4FB4">
        <w:noBreakHyphen/>
      </w:r>
      <w:r w:rsidRPr="00E974C1">
        <w:t>for</w:t>
      </w:r>
      <w:r w:rsidR="004D4FB4">
        <w:noBreakHyphen/>
      </w:r>
      <w:r w:rsidRPr="00E974C1">
        <w:t>profits Commission Regulation 2013</w:t>
      </w:r>
      <w:bookmarkEnd w:id="20"/>
    </w:p>
    <w:p w14:paraId="29862661" w14:textId="77777777" w:rsidR="00EF70E5" w:rsidRPr="00E974C1" w:rsidRDefault="0003427B" w:rsidP="0003427B">
      <w:pPr>
        <w:pStyle w:val="ItemHead"/>
      </w:pPr>
      <w:r w:rsidRPr="00E974C1">
        <w:t xml:space="preserve">1  </w:t>
      </w:r>
      <w:r w:rsidR="00477DD6" w:rsidRPr="00E974C1">
        <w:t>Subparagraph 4</w:t>
      </w:r>
      <w:r w:rsidRPr="00E974C1">
        <w:t>5.15(2)(a</w:t>
      </w:r>
      <w:r w:rsidR="00435B8A" w:rsidRPr="00E974C1">
        <w:t>a</w:t>
      </w:r>
      <w:r w:rsidRPr="00E974C1">
        <w:t>)(iv)</w:t>
      </w:r>
    </w:p>
    <w:p w14:paraId="1A7B2132" w14:textId="77777777" w:rsidR="0003427B" w:rsidRPr="00E974C1" w:rsidRDefault="0003427B" w:rsidP="0003427B">
      <w:pPr>
        <w:pStyle w:val="Item"/>
      </w:pPr>
      <w:r w:rsidRPr="00E974C1">
        <w:t>Repeal the subparagraph, substitute:</w:t>
      </w:r>
    </w:p>
    <w:p w14:paraId="00B5395C" w14:textId="77777777" w:rsidR="0003427B" w:rsidRPr="00E974C1" w:rsidRDefault="0003427B" w:rsidP="0003427B">
      <w:pPr>
        <w:pStyle w:val="paragraphsub"/>
      </w:pPr>
      <w:r w:rsidRPr="00E974C1">
        <w:tab/>
        <w:t>(iv)</w:t>
      </w:r>
      <w:r w:rsidRPr="00E974C1">
        <w:tab/>
        <w:t>causing physical harm to an individual; or</w:t>
      </w:r>
    </w:p>
    <w:p w14:paraId="436628C2" w14:textId="77777777" w:rsidR="0003427B" w:rsidRPr="00E974C1" w:rsidRDefault="0003427B" w:rsidP="0003427B">
      <w:pPr>
        <w:pStyle w:val="paragraphsub"/>
      </w:pPr>
      <w:r w:rsidRPr="00E974C1">
        <w:tab/>
        <w:t>(v)</w:t>
      </w:r>
      <w:r w:rsidRPr="00E974C1">
        <w:tab/>
        <w:t>a risk or threat of causing physical harm to an individual; or</w:t>
      </w:r>
    </w:p>
    <w:p w14:paraId="41366601" w14:textId="77777777" w:rsidR="005550CC" w:rsidRPr="00E974C1" w:rsidRDefault="005550CC" w:rsidP="005550CC">
      <w:pPr>
        <w:pStyle w:val="ItemHead"/>
      </w:pPr>
      <w:r w:rsidRPr="00E974C1">
        <w:t xml:space="preserve">2  </w:t>
      </w:r>
      <w:r w:rsidR="00477DD6" w:rsidRPr="00E974C1">
        <w:t>Part 3</w:t>
      </w:r>
      <w:r w:rsidR="004D4FB4">
        <w:noBreakHyphen/>
      </w:r>
      <w:r w:rsidRPr="00E974C1">
        <w:t>1</w:t>
      </w:r>
    </w:p>
    <w:p w14:paraId="5EF41D43" w14:textId="77777777" w:rsidR="005550CC" w:rsidRPr="00E974C1" w:rsidRDefault="005550CC" w:rsidP="005550CC">
      <w:pPr>
        <w:pStyle w:val="Item"/>
      </w:pPr>
      <w:r w:rsidRPr="00E974C1">
        <w:t>Repeal the Part.</w:t>
      </w:r>
    </w:p>
    <w:p w14:paraId="56137891" w14:textId="77777777" w:rsidR="005550CC" w:rsidRPr="00E974C1" w:rsidRDefault="005550CC" w:rsidP="005550CC">
      <w:pPr>
        <w:pStyle w:val="ItemHead"/>
      </w:pPr>
      <w:r w:rsidRPr="00E974C1">
        <w:t xml:space="preserve">3  Before </w:t>
      </w:r>
      <w:r w:rsidR="00477DD6" w:rsidRPr="00E974C1">
        <w:t>section 3</w:t>
      </w:r>
      <w:r w:rsidRPr="00E974C1">
        <w:t>05.</w:t>
      </w:r>
      <w:r w:rsidR="000E6F00" w:rsidRPr="00E974C1">
        <w:t>5</w:t>
      </w:r>
    </w:p>
    <w:p w14:paraId="44053BBA" w14:textId="77777777" w:rsidR="00AF60A8" w:rsidRPr="00E974C1" w:rsidRDefault="00AF60A8" w:rsidP="00AF60A8">
      <w:pPr>
        <w:pStyle w:val="Item"/>
      </w:pPr>
      <w:r w:rsidRPr="00E974C1">
        <w:t>Insert:</w:t>
      </w:r>
    </w:p>
    <w:p w14:paraId="17D11B60" w14:textId="77777777" w:rsidR="00AF60A8" w:rsidRPr="00E974C1" w:rsidRDefault="00AF60A8" w:rsidP="00AF60A8">
      <w:pPr>
        <w:pStyle w:val="ActHead5"/>
        <w:rPr>
          <w:i/>
        </w:rPr>
      </w:pPr>
      <w:bookmarkStart w:id="21" w:name="_Toc86660857"/>
      <w:r w:rsidRPr="0039080B">
        <w:rPr>
          <w:rStyle w:val="CharSectno"/>
        </w:rPr>
        <w:t>305.1</w:t>
      </w:r>
      <w:r w:rsidRPr="00E974C1">
        <w:t xml:space="preserve">  Application of </w:t>
      </w:r>
      <w:r w:rsidR="00E72E49" w:rsidRPr="00E974C1">
        <w:t xml:space="preserve">amendments of </w:t>
      </w:r>
      <w:r w:rsidR="00477DD6" w:rsidRPr="00E974C1">
        <w:t>section 4</w:t>
      </w:r>
      <w:r w:rsidR="00E72E49" w:rsidRPr="00E974C1">
        <w:t>5.15</w:t>
      </w:r>
      <w:bookmarkEnd w:id="21"/>
    </w:p>
    <w:p w14:paraId="4C13EC52" w14:textId="77777777" w:rsidR="00E72E49" w:rsidRPr="00E974C1" w:rsidRDefault="00AF60A8" w:rsidP="00AF60A8">
      <w:pPr>
        <w:pStyle w:val="subsection"/>
      </w:pPr>
      <w:r w:rsidRPr="00E974C1">
        <w:tab/>
      </w:r>
      <w:r w:rsidRPr="00E974C1">
        <w:tab/>
        <w:t xml:space="preserve">The amendments </w:t>
      </w:r>
      <w:r w:rsidR="00E72E49" w:rsidRPr="00E974C1">
        <w:t xml:space="preserve">of </w:t>
      </w:r>
      <w:r w:rsidR="00477DD6" w:rsidRPr="00E974C1">
        <w:t>section 4</w:t>
      </w:r>
      <w:r w:rsidR="00E72E49" w:rsidRPr="00E974C1">
        <w:t xml:space="preserve">5.15 </w:t>
      </w:r>
      <w:r w:rsidRPr="00E974C1">
        <w:t>made by</w:t>
      </w:r>
      <w:r w:rsidR="00E72E49" w:rsidRPr="00E974C1">
        <w:t>:</w:t>
      </w:r>
    </w:p>
    <w:p w14:paraId="335DD357" w14:textId="77777777" w:rsidR="00E72E49" w:rsidRPr="00E974C1" w:rsidRDefault="00E72E49" w:rsidP="00E72E49">
      <w:pPr>
        <w:pStyle w:val="paragraph"/>
      </w:pPr>
      <w:r w:rsidRPr="00E974C1">
        <w:tab/>
        <w:t>(a)</w:t>
      </w:r>
      <w:r w:rsidRPr="00E974C1">
        <w:tab/>
        <w:t xml:space="preserve">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profits Commission Amendment (2021 Measures No. 2) Regulations 2021</w:t>
      </w:r>
      <w:r w:rsidRPr="00E974C1">
        <w:t>; and</w:t>
      </w:r>
    </w:p>
    <w:p w14:paraId="31818A5F" w14:textId="77777777" w:rsidR="00E72E49" w:rsidRPr="00E974C1" w:rsidRDefault="00E72E49" w:rsidP="00E72E49">
      <w:pPr>
        <w:pStyle w:val="paragraph"/>
      </w:pPr>
      <w:r w:rsidRPr="00E974C1">
        <w:tab/>
        <w:t>(b)</w:t>
      </w:r>
      <w:r w:rsidRPr="00E974C1">
        <w:tab/>
      </w:r>
      <w:r w:rsidR="00477DD6" w:rsidRPr="00E974C1">
        <w:t>Schedule 3</w:t>
      </w:r>
      <w:r w:rsidRPr="00E974C1">
        <w:t xml:space="preserve"> to the </w:t>
      </w:r>
      <w:r w:rsidRPr="00E974C1">
        <w:rPr>
          <w:i/>
        </w:rPr>
        <w:t>Australian Charities and Not</w:t>
      </w:r>
      <w:r w:rsidR="004D4FB4">
        <w:rPr>
          <w:i/>
        </w:rPr>
        <w:noBreakHyphen/>
      </w:r>
      <w:r w:rsidRPr="00E974C1">
        <w:rPr>
          <w:i/>
        </w:rPr>
        <w:t>for</w:t>
      </w:r>
      <w:r w:rsidR="004D4FB4">
        <w:rPr>
          <w:i/>
        </w:rPr>
        <w:noBreakHyphen/>
      </w:r>
      <w:r w:rsidRPr="00E974C1">
        <w:rPr>
          <w:i/>
        </w:rPr>
        <w:t>profits Commission Amendment (2021 Measures No. 3) Regulations 2021</w:t>
      </w:r>
      <w:r w:rsidRPr="00E974C1">
        <w:t>;</w:t>
      </w:r>
    </w:p>
    <w:p w14:paraId="51A62937" w14:textId="77777777" w:rsidR="00FD23EA" w:rsidRPr="00E974C1" w:rsidRDefault="00AF60A8" w:rsidP="00163246">
      <w:pPr>
        <w:pStyle w:val="subsection2"/>
      </w:pPr>
      <w:r w:rsidRPr="00E974C1">
        <w:t xml:space="preserve">apply in relation to acts or omissions on or after the day </w:t>
      </w:r>
      <w:r w:rsidR="00E72E49" w:rsidRPr="00E974C1">
        <w:t xml:space="preserve">on which </w:t>
      </w:r>
      <w:r w:rsidRPr="00E974C1">
        <w:t xml:space="preserve">the instrument </w:t>
      </w:r>
      <w:r w:rsidR="00E72E49" w:rsidRPr="00E974C1">
        <w:t xml:space="preserve">referred to in </w:t>
      </w:r>
      <w:r w:rsidR="00477DD6" w:rsidRPr="00E974C1">
        <w:t>paragraph (</w:t>
      </w:r>
      <w:r w:rsidR="00E72E49" w:rsidRPr="00E974C1">
        <w:t xml:space="preserve">a) of this section </w:t>
      </w:r>
      <w:r w:rsidRPr="00E974C1">
        <w:t>commences.</w:t>
      </w:r>
    </w:p>
    <w:sectPr w:rsidR="00FD23EA" w:rsidRPr="00E974C1" w:rsidSect="00E86E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4D0D2" w14:textId="77777777" w:rsidR="00AF60A8" w:rsidRDefault="00AF60A8" w:rsidP="0048364F">
      <w:pPr>
        <w:spacing w:line="240" w:lineRule="auto"/>
      </w:pPr>
      <w:r>
        <w:separator/>
      </w:r>
    </w:p>
  </w:endnote>
  <w:endnote w:type="continuationSeparator" w:id="0">
    <w:p w14:paraId="34F36E0B" w14:textId="77777777" w:rsidR="00AF60A8" w:rsidRDefault="00AF60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ED09" w14:textId="77777777" w:rsidR="00AF60A8" w:rsidRPr="00E86E17" w:rsidRDefault="00E86E17" w:rsidP="00E86E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6E17">
      <w:rPr>
        <w:i/>
        <w:sz w:val="18"/>
      </w:rPr>
      <w:t>OPC65470 -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554D" w14:textId="77777777" w:rsidR="00AF60A8" w:rsidRDefault="00AF60A8" w:rsidP="00E97334"/>
  <w:p w14:paraId="3BFF10E3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29CB" w14:textId="77777777" w:rsidR="00AF60A8" w:rsidRPr="00E86E17" w:rsidRDefault="00E86E17" w:rsidP="00E86E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86E17">
      <w:rPr>
        <w:i/>
        <w:sz w:val="18"/>
      </w:rPr>
      <w:t>OPC65470 -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E8DA" w14:textId="77777777" w:rsidR="00AF60A8" w:rsidRPr="00E33C1C" w:rsidRDefault="00AF60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60A8" w14:paraId="15D580C3" w14:textId="77777777" w:rsidTr="00E11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FBD75F" w14:textId="77777777" w:rsidR="00AF60A8" w:rsidRDefault="00AF60A8" w:rsidP="00841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825219" w14:textId="32FA8172" w:rsidR="00AF60A8" w:rsidRDefault="00AF60A8" w:rsidP="00841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E0B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9442DB" w14:textId="77777777" w:rsidR="00AF60A8" w:rsidRDefault="00AF60A8" w:rsidP="00841D03">
          <w:pPr>
            <w:spacing w:line="0" w:lineRule="atLeast"/>
            <w:jc w:val="right"/>
            <w:rPr>
              <w:sz w:val="18"/>
            </w:rPr>
          </w:pPr>
        </w:p>
      </w:tc>
    </w:tr>
  </w:tbl>
  <w:p w14:paraId="3AB96AF8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F370" w14:textId="77777777" w:rsidR="00AF60A8" w:rsidRPr="00E33C1C" w:rsidRDefault="00AF60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60A8" w14:paraId="2C22A39F" w14:textId="77777777" w:rsidTr="00E118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D0FD9C" w14:textId="77777777" w:rsidR="00AF60A8" w:rsidRDefault="00AF60A8" w:rsidP="00841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9E0F20" w14:textId="6A3BAC2F" w:rsidR="00AF60A8" w:rsidRDefault="00AF60A8" w:rsidP="00841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E0B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B74D70" w14:textId="77777777" w:rsidR="00AF60A8" w:rsidRDefault="00AF60A8" w:rsidP="00841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BCDD3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C171" w14:textId="77777777" w:rsidR="00AF60A8" w:rsidRPr="00E33C1C" w:rsidRDefault="00AF60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60A8" w14:paraId="041BC474" w14:textId="77777777" w:rsidTr="00E11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E80C2E" w14:textId="77777777" w:rsidR="00AF60A8" w:rsidRDefault="00AF60A8" w:rsidP="00841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80B91" w14:textId="3CD63645" w:rsidR="00AF60A8" w:rsidRDefault="00AF60A8" w:rsidP="00841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E0B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507EC3" w14:textId="77777777" w:rsidR="00AF60A8" w:rsidRDefault="00AF60A8" w:rsidP="00841D03">
          <w:pPr>
            <w:spacing w:line="0" w:lineRule="atLeast"/>
            <w:jc w:val="right"/>
            <w:rPr>
              <w:sz w:val="18"/>
            </w:rPr>
          </w:pPr>
        </w:p>
      </w:tc>
    </w:tr>
  </w:tbl>
  <w:p w14:paraId="384C3FCD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D040" w14:textId="77777777" w:rsidR="00AF60A8" w:rsidRPr="00E33C1C" w:rsidRDefault="00AF60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60A8" w14:paraId="40D78E34" w14:textId="77777777" w:rsidTr="00841D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B111F" w14:textId="77777777" w:rsidR="00AF60A8" w:rsidRDefault="00AF60A8" w:rsidP="00841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ACC56D" w14:textId="4F4CF4A3" w:rsidR="00AF60A8" w:rsidRDefault="00AF60A8" w:rsidP="00841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E0B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1EC77B" w14:textId="77777777" w:rsidR="00AF60A8" w:rsidRDefault="00AF60A8" w:rsidP="00841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773689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6D3D" w14:textId="77777777" w:rsidR="00AF60A8" w:rsidRPr="00E33C1C" w:rsidRDefault="00AF60A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60A8" w14:paraId="3309A6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54B172" w14:textId="77777777" w:rsidR="00AF60A8" w:rsidRDefault="00AF60A8" w:rsidP="00841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85F04" w14:textId="41C18081" w:rsidR="00AF60A8" w:rsidRDefault="00AF60A8" w:rsidP="00841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E0B">
            <w:rPr>
              <w:i/>
              <w:sz w:val="18"/>
            </w:rPr>
            <w:t>Australian Charities and Not-for-profits Commission Amendment (2021 Measures No. 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D21F5A" w14:textId="77777777" w:rsidR="00AF60A8" w:rsidRDefault="00AF60A8" w:rsidP="00841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36D8B8" w14:textId="77777777" w:rsidR="00AF60A8" w:rsidRPr="00E86E17" w:rsidRDefault="00E86E17" w:rsidP="00E86E17">
    <w:pPr>
      <w:rPr>
        <w:rFonts w:cs="Times New Roman"/>
        <w:i/>
        <w:sz w:val="18"/>
      </w:rPr>
    </w:pPr>
    <w:r w:rsidRPr="00E86E17">
      <w:rPr>
        <w:rFonts w:cs="Times New Roman"/>
        <w:i/>
        <w:sz w:val="18"/>
      </w:rPr>
      <w:t>OPC65470 -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6166" w14:textId="77777777" w:rsidR="00AF60A8" w:rsidRDefault="00AF60A8" w:rsidP="0048364F">
      <w:pPr>
        <w:spacing w:line="240" w:lineRule="auto"/>
      </w:pPr>
      <w:r>
        <w:separator/>
      </w:r>
    </w:p>
  </w:footnote>
  <w:footnote w:type="continuationSeparator" w:id="0">
    <w:p w14:paraId="6088F180" w14:textId="77777777" w:rsidR="00AF60A8" w:rsidRDefault="00AF60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E808" w14:textId="77777777" w:rsidR="00AF60A8" w:rsidRPr="005F1388" w:rsidRDefault="00AF60A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B2EC" w14:textId="77777777" w:rsidR="00AF60A8" w:rsidRPr="005F1388" w:rsidRDefault="00AF60A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7DF5" w14:textId="77777777" w:rsidR="00AF60A8" w:rsidRPr="005F1388" w:rsidRDefault="00AF60A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5543" w14:textId="77777777" w:rsidR="00AF60A8" w:rsidRPr="00ED79B6" w:rsidRDefault="00AF60A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D97D" w14:textId="77777777" w:rsidR="00AF60A8" w:rsidRPr="00ED79B6" w:rsidRDefault="00AF60A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FD08" w14:textId="77777777" w:rsidR="00AF60A8" w:rsidRPr="00ED79B6" w:rsidRDefault="00AF60A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2640" w14:textId="14DE0BDE" w:rsidR="00AF60A8" w:rsidRPr="00A961C4" w:rsidRDefault="00AF60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70E7">
      <w:rPr>
        <w:b/>
        <w:sz w:val="20"/>
      </w:rPr>
      <w:fldChar w:fldCharType="separate"/>
    </w:r>
    <w:r w:rsidR="00B570E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570E7">
      <w:rPr>
        <w:sz w:val="20"/>
      </w:rPr>
      <w:fldChar w:fldCharType="separate"/>
    </w:r>
    <w:r w:rsidR="00B570E7">
      <w:rPr>
        <w:noProof/>
        <w:sz w:val="20"/>
      </w:rPr>
      <w:t>Financial reporting</w:t>
    </w:r>
    <w:r>
      <w:rPr>
        <w:sz w:val="20"/>
      </w:rPr>
      <w:fldChar w:fldCharType="end"/>
    </w:r>
  </w:p>
  <w:p w14:paraId="2FDC3C05" w14:textId="0B407F0B" w:rsidR="00AF60A8" w:rsidRPr="00A961C4" w:rsidRDefault="00AF60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74C55" w14:textId="77777777" w:rsidR="00AF60A8" w:rsidRPr="00A961C4" w:rsidRDefault="00AF60A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096BC" w14:textId="245E708D" w:rsidR="00AF60A8" w:rsidRPr="00A961C4" w:rsidRDefault="00AF60A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570E7">
      <w:rPr>
        <w:sz w:val="20"/>
      </w:rPr>
      <w:fldChar w:fldCharType="separate"/>
    </w:r>
    <w:r w:rsidR="00B570E7">
      <w:rPr>
        <w:noProof/>
        <w:sz w:val="20"/>
      </w:rPr>
      <w:t>Real time reporting of activities on the public register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570E7">
      <w:rPr>
        <w:b/>
        <w:sz w:val="20"/>
      </w:rPr>
      <w:fldChar w:fldCharType="separate"/>
    </w:r>
    <w:r w:rsidR="00B570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7239358" w14:textId="3CBAB33F" w:rsidR="00AF60A8" w:rsidRPr="00A961C4" w:rsidRDefault="00AF60A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D88A23" w14:textId="77777777" w:rsidR="00AF60A8" w:rsidRPr="00A961C4" w:rsidRDefault="00AF60A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8ED1" w14:textId="77777777" w:rsidR="00AF60A8" w:rsidRPr="00A961C4" w:rsidRDefault="00AF60A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4146"/>
    <w:rsid w:val="00000263"/>
    <w:rsid w:val="000113BC"/>
    <w:rsid w:val="000136AF"/>
    <w:rsid w:val="000253E6"/>
    <w:rsid w:val="00032ECA"/>
    <w:rsid w:val="0003427B"/>
    <w:rsid w:val="00036E24"/>
    <w:rsid w:val="0004044E"/>
    <w:rsid w:val="000463CD"/>
    <w:rsid w:val="00046F47"/>
    <w:rsid w:val="0005120E"/>
    <w:rsid w:val="00054577"/>
    <w:rsid w:val="00060B88"/>
    <w:rsid w:val="000614BF"/>
    <w:rsid w:val="00062F88"/>
    <w:rsid w:val="0007169C"/>
    <w:rsid w:val="00077593"/>
    <w:rsid w:val="00083F48"/>
    <w:rsid w:val="0009128D"/>
    <w:rsid w:val="000A7DF9"/>
    <w:rsid w:val="000C1A4D"/>
    <w:rsid w:val="000D05EF"/>
    <w:rsid w:val="000D5485"/>
    <w:rsid w:val="000E30BA"/>
    <w:rsid w:val="000E6F00"/>
    <w:rsid w:val="000F21C1"/>
    <w:rsid w:val="00105D72"/>
    <w:rsid w:val="0010745C"/>
    <w:rsid w:val="00117277"/>
    <w:rsid w:val="00121D4A"/>
    <w:rsid w:val="00160BD7"/>
    <w:rsid w:val="00163246"/>
    <w:rsid w:val="00163B68"/>
    <w:rsid w:val="001643C9"/>
    <w:rsid w:val="00165568"/>
    <w:rsid w:val="001659A3"/>
    <w:rsid w:val="00166082"/>
    <w:rsid w:val="00166C2F"/>
    <w:rsid w:val="001716C9"/>
    <w:rsid w:val="0017477C"/>
    <w:rsid w:val="00184261"/>
    <w:rsid w:val="00190BA1"/>
    <w:rsid w:val="00190BCE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33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0B3D"/>
    <w:rsid w:val="00261A7E"/>
    <w:rsid w:val="002652F1"/>
    <w:rsid w:val="00266448"/>
    <w:rsid w:val="00285CDD"/>
    <w:rsid w:val="00291167"/>
    <w:rsid w:val="00297ECB"/>
    <w:rsid w:val="002A1C95"/>
    <w:rsid w:val="002C152A"/>
    <w:rsid w:val="002D043A"/>
    <w:rsid w:val="0031713F"/>
    <w:rsid w:val="00321913"/>
    <w:rsid w:val="00324EE6"/>
    <w:rsid w:val="003316DC"/>
    <w:rsid w:val="00332E0D"/>
    <w:rsid w:val="003415D3"/>
    <w:rsid w:val="0034576E"/>
    <w:rsid w:val="00346335"/>
    <w:rsid w:val="00350817"/>
    <w:rsid w:val="00352B0F"/>
    <w:rsid w:val="003561B0"/>
    <w:rsid w:val="0036706F"/>
    <w:rsid w:val="00367960"/>
    <w:rsid w:val="0039080B"/>
    <w:rsid w:val="003A15AC"/>
    <w:rsid w:val="003A56EB"/>
    <w:rsid w:val="003B0627"/>
    <w:rsid w:val="003C5F2B"/>
    <w:rsid w:val="003C6ED9"/>
    <w:rsid w:val="003D0BFE"/>
    <w:rsid w:val="003D5700"/>
    <w:rsid w:val="003D5995"/>
    <w:rsid w:val="003F0F5A"/>
    <w:rsid w:val="003F362C"/>
    <w:rsid w:val="00400A30"/>
    <w:rsid w:val="004022CA"/>
    <w:rsid w:val="004116CD"/>
    <w:rsid w:val="00414ADE"/>
    <w:rsid w:val="00424CA9"/>
    <w:rsid w:val="004257BB"/>
    <w:rsid w:val="004257EC"/>
    <w:rsid w:val="004261D9"/>
    <w:rsid w:val="004355CA"/>
    <w:rsid w:val="00435B8A"/>
    <w:rsid w:val="0044291A"/>
    <w:rsid w:val="00445B4A"/>
    <w:rsid w:val="00460499"/>
    <w:rsid w:val="0046487F"/>
    <w:rsid w:val="00474835"/>
    <w:rsid w:val="00477DD6"/>
    <w:rsid w:val="004819C7"/>
    <w:rsid w:val="0048364F"/>
    <w:rsid w:val="004872D5"/>
    <w:rsid w:val="00490F2E"/>
    <w:rsid w:val="00492E0B"/>
    <w:rsid w:val="0049445E"/>
    <w:rsid w:val="00496DB3"/>
    <w:rsid w:val="00496F97"/>
    <w:rsid w:val="004A09C1"/>
    <w:rsid w:val="004A0DF7"/>
    <w:rsid w:val="004A13A0"/>
    <w:rsid w:val="004A53EA"/>
    <w:rsid w:val="004C3C12"/>
    <w:rsid w:val="004D4FB4"/>
    <w:rsid w:val="004E671D"/>
    <w:rsid w:val="004F1FAC"/>
    <w:rsid w:val="004F676E"/>
    <w:rsid w:val="005116E7"/>
    <w:rsid w:val="00516B8D"/>
    <w:rsid w:val="00525E8E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0CC"/>
    <w:rsid w:val="00557C7A"/>
    <w:rsid w:val="00562A58"/>
    <w:rsid w:val="00581211"/>
    <w:rsid w:val="00584811"/>
    <w:rsid w:val="00586B99"/>
    <w:rsid w:val="0059043C"/>
    <w:rsid w:val="00593AA6"/>
    <w:rsid w:val="00594161"/>
    <w:rsid w:val="00594512"/>
    <w:rsid w:val="00594749"/>
    <w:rsid w:val="005A482B"/>
    <w:rsid w:val="005B4067"/>
    <w:rsid w:val="005B7CB6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5B8D"/>
    <w:rsid w:val="00646E7B"/>
    <w:rsid w:val="00650FA4"/>
    <w:rsid w:val="00655D6A"/>
    <w:rsid w:val="00656DE9"/>
    <w:rsid w:val="00672C89"/>
    <w:rsid w:val="00677CC2"/>
    <w:rsid w:val="00685F42"/>
    <w:rsid w:val="006866A1"/>
    <w:rsid w:val="0069207B"/>
    <w:rsid w:val="006925F4"/>
    <w:rsid w:val="006A4309"/>
    <w:rsid w:val="006A5910"/>
    <w:rsid w:val="006B0E55"/>
    <w:rsid w:val="006B7006"/>
    <w:rsid w:val="006C54EB"/>
    <w:rsid w:val="006C7F8C"/>
    <w:rsid w:val="006D12B2"/>
    <w:rsid w:val="006D7AB9"/>
    <w:rsid w:val="006E2685"/>
    <w:rsid w:val="006F4B45"/>
    <w:rsid w:val="00700B2C"/>
    <w:rsid w:val="00711F20"/>
    <w:rsid w:val="00713084"/>
    <w:rsid w:val="00720FC2"/>
    <w:rsid w:val="00731E00"/>
    <w:rsid w:val="00732E9D"/>
    <w:rsid w:val="0073491A"/>
    <w:rsid w:val="007440B7"/>
    <w:rsid w:val="00747993"/>
    <w:rsid w:val="007526A6"/>
    <w:rsid w:val="007634AD"/>
    <w:rsid w:val="007715C9"/>
    <w:rsid w:val="00774EDD"/>
    <w:rsid w:val="007757EC"/>
    <w:rsid w:val="007839F0"/>
    <w:rsid w:val="0078561E"/>
    <w:rsid w:val="00794146"/>
    <w:rsid w:val="007A115D"/>
    <w:rsid w:val="007A35E6"/>
    <w:rsid w:val="007A6863"/>
    <w:rsid w:val="007C00B3"/>
    <w:rsid w:val="007C7BBD"/>
    <w:rsid w:val="007D45C1"/>
    <w:rsid w:val="007E21CB"/>
    <w:rsid w:val="007E69FE"/>
    <w:rsid w:val="007E6D3F"/>
    <w:rsid w:val="007E7D4A"/>
    <w:rsid w:val="007F48ED"/>
    <w:rsid w:val="007F7947"/>
    <w:rsid w:val="0080341C"/>
    <w:rsid w:val="00805E08"/>
    <w:rsid w:val="00812F45"/>
    <w:rsid w:val="008225C6"/>
    <w:rsid w:val="00823B55"/>
    <w:rsid w:val="00830072"/>
    <w:rsid w:val="00833784"/>
    <w:rsid w:val="0084172C"/>
    <w:rsid w:val="00841D03"/>
    <w:rsid w:val="008520EC"/>
    <w:rsid w:val="0085445D"/>
    <w:rsid w:val="00856A31"/>
    <w:rsid w:val="008654C8"/>
    <w:rsid w:val="008754D0"/>
    <w:rsid w:val="00877D48"/>
    <w:rsid w:val="008816F0"/>
    <w:rsid w:val="0088345B"/>
    <w:rsid w:val="008A16A5"/>
    <w:rsid w:val="008A38E2"/>
    <w:rsid w:val="008B5D42"/>
    <w:rsid w:val="008C2B5D"/>
    <w:rsid w:val="008D0EE0"/>
    <w:rsid w:val="008D5B99"/>
    <w:rsid w:val="008D7A27"/>
    <w:rsid w:val="008E4702"/>
    <w:rsid w:val="008E69AA"/>
    <w:rsid w:val="008F4F1C"/>
    <w:rsid w:val="009040A9"/>
    <w:rsid w:val="00921B92"/>
    <w:rsid w:val="00922764"/>
    <w:rsid w:val="00926886"/>
    <w:rsid w:val="00932377"/>
    <w:rsid w:val="00940291"/>
    <w:rsid w:val="009408EA"/>
    <w:rsid w:val="00943102"/>
    <w:rsid w:val="0094523D"/>
    <w:rsid w:val="00954774"/>
    <w:rsid w:val="009559E6"/>
    <w:rsid w:val="00976A63"/>
    <w:rsid w:val="00983419"/>
    <w:rsid w:val="00994821"/>
    <w:rsid w:val="009B5CDC"/>
    <w:rsid w:val="009C3431"/>
    <w:rsid w:val="009C5989"/>
    <w:rsid w:val="009D08DA"/>
    <w:rsid w:val="009E18CD"/>
    <w:rsid w:val="009E21D1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4BA"/>
    <w:rsid w:val="00A70A74"/>
    <w:rsid w:val="00A90EA8"/>
    <w:rsid w:val="00AA0343"/>
    <w:rsid w:val="00AA2A5C"/>
    <w:rsid w:val="00AB731A"/>
    <w:rsid w:val="00AB78E9"/>
    <w:rsid w:val="00AC062F"/>
    <w:rsid w:val="00AD2653"/>
    <w:rsid w:val="00AD3467"/>
    <w:rsid w:val="00AD5641"/>
    <w:rsid w:val="00AD7252"/>
    <w:rsid w:val="00AE0F9B"/>
    <w:rsid w:val="00AE57DC"/>
    <w:rsid w:val="00AE7F3E"/>
    <w:rsid w:val="00AF55FF"/>
    <w:rsid w:val="00AF60A8"/>
    <w:rsid w:val="00B032D8"/>
    <w:rsid w:val="00B035B3"/>
    <w:rsid w:val="00B16B41"/>
    <w:rsid w:val="00B3059B"/>
    <w:rsid w:val="00B33B3C"/>
    <w:rsid w:val="00B40D74"/>
    <w:rsid w:val="00B52663"/>
    <w:rsid w:val="00B56DCB"/>
    <w:rsid w:val="00B570E7"/>
    <w:rsid w:val="00B5793F"/>
    <w:rsid w:val="00B67F52"/>
    <w:rsid w:val="00B72C1F"/>
    <w:rsid w:val="00B76278"/>
    <w:rsid w:val="00B770D2"/>
    <w:rsid w:val="00B94F68"/>
    <w:rsid w:val="00BA47A3"/>
    <w:rsid w:val="00BA5026"/>
    <w:rsid w:val="00BA5946"/>
    <w:rsid w:val="00BB6E79"/>
    <w:rsid w:val="00BC51C9"/>
    <w:rsid w:val="00BD4695"/>
    <w:rsid w:val="00BD7E96"/>
    <w:rsid w:val="00BE3B31"/>
    <w:rsid w:val="00BE719A"/>
    <w:rsid w:val="00BE720A"/>
    <w:rsid w:val="00BF6650"/>
    <w:rsid w:val="00C067E5"/>
    <w:rsid w:val="00C164CA"/>
    <w:rsid w:val="00C247F1"/>
    <w:rsid w:val="00C42BF8"/>
    <w:rsid w:val="00C460AE"/>
    <w:rsid w:val="00C47497"/>
    <w:rsid w:val="00C50043"/>
    <w:rsid w:val="00C50A0F"/>
    <w:rsid w:val="00C63933"/>
    <w:rsid w:val="00C7573B"/>
    <w:rsid w:val="00C76CF3"/>
    <w:rsid w:val="00CA7844"/>
    <w:rsid w:val="00CB4C8B"/>
    <w:rsid w:val="00CB58EF"/>
    <w:rsid w:val="00CE72FF"/>
    <w:rsid w:val="00CE7D64"/>
    <w:rsid w:val="00CF0BB2"/>
    <w:rsid w:val="00CF0E9D"/>
    <w:rsid w:val="00CF0FC2"/>
    <w:rsid w:val="00D13441"/>
    <w:rsid w:val="00D20665"/>
    <w:rsid w:val="00D24040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22F7"/>
    <w:rsid w:val="00D735CD"/>
    <w:rsid w:val="00D766DF"/>
    <w:rsid w:val="00D95891"/>
    <w:rsid w:val="00DA3D70"/>
    <w:rsid w:val="00DB5CB4"/>
    <w:rsid w:val="00DC6B88"/>
    <w:rsid w:val="00DE149E"/>
    <w:rsid w:val="00E01163"/>
    <w:rsid w:val="00E05704"/>
    <w:rsid w:val="00E1181B"/>
    <w:rsid w:val="00E12F1A"/>
    <w:rsid w:val="00E15561"/>
    <w:rsid w:val="00E21CFB"/>
    <w:rsid w:val="00E22935"/>
    <w:rsid w:val="00E34570"/>
    <w:rsid w:val="00E34EAF"/>
    <w:rsid w:val="00E54292"/>
    <w:rsid w:val="00E60191"/>
    <w:rsid w:val="00E67B0D"/>
    <w:rsid w:val="00E71069"/>
    <w:rsid w:val="00E72E49"/>
    <w:rsid w:val="00E74DC7"/>
    <w:rsid w:val="00E75AB2"/>
    <w:rsid w:val="00E80325"/>
    <w:rsid w:val="00E86E17"/>
    <w:rsid w:val="00E87699"/>
    <w:rsid w:val="00E92AEC"/>
    <w:rsid w:val="00E92E27"/>
    <w:rsid w:val="00E9586B"/>
    <w:rsid w:val="00E97334"/>
    <w:rsid w:val="00E974C1"/>
    <w:rsid w:val="00EA0D36"/>
    <w:rsid w:val="00EA539E"/>
    <w:rsid w:val="00EB03DE"/>
    <w:rsid w:val="00EB42C4"/>
    <w:rsid w:val="00EC0178"/>
    <w:rsid w:val="00ED4928"/>
    <w:rsid w:val="00EE3239"/>
    <w:rsid w:val="00EE3749"/>
    <w:rsid w:val="00EE6190"/>
    <w:rsid w:val="00EF2E3A"/>
    <w:rsid w:val="00EF6402"/>
    <w:rsid w:val="00EF70E5"/>
    <w:rsid w:val="00F025DF"/>
    <w:rsid w:val="00F047E2"/>
    <w:rsid w:val="00F04D57"/>
    <w:rsid w:val="00F078DC"/>
    <w:rsid w:val="00F10D0F"/>
    <w:rsid w:val="00F13E86"/>
    <w:rsid w:val="00F32FCB"/>
    <w:rsid w:val="00F41101"/>
    <w:rsid w:val="00F50305"/>
    <w:rsid w:val="00F6709F"/>
    <w:rsid w:val="00F677A9"/>
    <w:rsid w:val="00F723BD"/>
    <w:rsid w:val="00F732EA"/>
    <w:rsid w:val="00F84CF5"/>
    <w:rsid w:val="00F84F91"/>
    <w:rsid w:val="00F8612E"/>
    <w:rsid w:val="00F91590"/>
    <w:rsid w:val="00FA420B"/>
    <w:rsid w:val="00FD23EA"/>
    <w:rsid w:val="00FD5E34"/>
    <w:rsid w:val="00FD6BD9"/>
    <w:rsid w:val="00FD706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E85F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D4FB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FB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FB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FB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FB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4FB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FB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4FB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4FB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4FB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4FB4"/>
  </w:style>
  <w:style w:type="paragraph" w:customStyle="1" w:styleId="OPCParaBase">
    <w:name w:val="OPCParaBase"/>
    <w:qFormat/>
    <w:rsid w:val="004D4F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4F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4F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4F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4F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4F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4F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4F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4F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4F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4F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4FB4"/>
  </w:style>
  <w:style w:type="paragraph" w:customStyle="1" w:styleId="Blocks">
    <w:name w:val="Blocks"/>
    <w:aliases w:val="bb"/>
    <w:basedOn w:val="OPCParaBase"/>
    <w:qFormat/>
    <w:rsid w:val="004D4F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4F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4F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4FB4"/>
    <w:rPr>
      <w:i/>
    </w:rPr>
  </w:style>
  <w:style w:type="paragraph" w:customStyle="1" w:styleId="BoxList">
    <w:name w:val="BoxList"/>
    <w:aliases w:val="bl"/>
    <w:basedOn w:val="BoxText"/>
    <w:qFormat/>
    <w:rsid w:val="004D4F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4F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4F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4FB4"/>
    <w:pPr>
      <w:ind w:left="1985" w:hanging="851"/>
    </w:pPr>
  </w:style>
  <w:style w:type="character" w:customStyle="1" w:styleId="CharAmPartNo">
    <w:name w:val="CharAmPartNo"/>
    <w:basedOn w:val="OPCCharBase"/>
    <w:qFormat/>
    <w:rsid w:val="004D4FB4"/>
  </w:style>
  <w:style w:type="character" w:customStyle="1" w:styleId="CharAmPartText">
    <w:name w:val="CharAmPartText"/>
    <w:basedOn w:val="OPCCharBase"/>
    <w:qFormat/>
    <w:rsid w:val="004D4FB4"/>
  </w:style>
  <w:style w:type="character" w:customStyle="1" w:styleId="CharAmSchNo">
    <w:name w:val="CharAmSchNo"/>
    <w:basedOn w:val="OPCCharBase"/>
    <w:qFormat/>
    <w:rsid w:val="004D4FB4"/>
  </w:style>
  <w:style w:type="character" w:customStyle="1" w:styleId="CharAmSchText">
    <w:name w:val="CharAmSchText"/>
    <w:basedOn w:val="OPCCharBase"/>
    <w:qFormat/>
    <w:rsid w:val="004D4FB4"/>
  </w:style>
  <w:style w:type="character" w:customStyle="1" w:styleId="CharBoldItalic">
    <w:name w:val="CharBoldItalic"/>
    <w:basedOn w:val="OPCCharBase"/>
    <w:uiPriority w:val="1"/>
    <w:qFormat/>
    <w:rsid w:val="004D4F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4FB4"/>
  </w:style>
  <w:style w:type="character" w:customStyle="1" w:styleId="CharChapText">
    <w:name w:val="CharChapText"/>
    <w:basedOn w:val="OPCCharBase"/>
    <w:uiPriority w:val="1"/>
    <w:qFormat/>
    <w:rsid w:val="004D4FB4"/>
  </w:style>
  <w:style w:type="character" w:customStyle="1" w:styleId="CharDivNo">
    <w:name w:val="CharDivNo"/>
    <w:basedOn w:val="OPCCharBase"/>
    <w:uiPriority w:val="1"/>
    <w:qFormat/>
    <w:rsid w:val="004D4FB4"/>
  </w:style>
  <w:style w:type="character" w:customStyle="1" w:styleId="CharDivText">
    <w:name w:val="CharDivText"/>
    <w:basedOn w:val="OPCCharBase"/>
    <w:uiPriority w:val="1"/>
    <w:qFormat/>
    <w:rsid w:val="004D4FB4"/>
  </w:style>
  <w:style w:type="character" w:customStyle="1" w:styleId="CharItalic">
    <w:name w:val="CharItalic"/>
    <w:basedOn w:val="OPCCharBase"/>
    <w:uiPriority w:val="1"/>
    <w:qFormat/>
    <w:rsid w:val="004D4FB4"/>
    <w:rPr>
      <w:i/>
    </w:rPr>
  </w:style>
  <w:style w:type="character" w:customStyle="1" w:styleId="CharPartNo">
    <w:name w:val="CharPartNo"/>
    <w:basedOn w:val="OPCCharBase"/>
    <w:uiPriority w:val="1"/>
    <w:qFormat/>
    <w:rsid w:val="004D4FB4"/>
  </w:style>
  <w:style w:type="character" w:customStyle="1" w:styleId="CharPartText">
    <w:name w:val="CharPartText"/>
    <w:basedOn w:val="OPCCharBase"/>
    <w:uiPriority w:val="1"/>
    <w:qFormat/>
    <w:rsid w:val="004D4FB4"/>
  </w:style>
  <w:style w:type="character" w:customStyle="1" w:styleId="CharSectno">
    <w:name w:val="CharSectno"/>
    <w:basedOn w:val="OPCCharBase"/>
    <w:qFormat/>
    <w:rsid w:val="004D4FB4"/>
  </w:style>
  <w:style w:type="character" w:customStyle="1" w:styleId="CharSubdNo">
    <w:name w:val="CharSubdNo"/>
    <w:basedOn w:val="OPCCharBase"/>
    <w:uiPriority w:val="1"/>
    <w:qFormat/>
    <w:rsid w:val="004D4FB4"/>
  </w:style>
  <w:style w:type="character" w:customStyle="1" w:styleId="CharSubdText">
    <w:name w:val="CharSubdText"/>
    <w:basedOn w:val="OPCCharBase"/>
    <w:uiPriority w:val="1"/>
    <w:qFormat/>
    <w:rsid w:val="004D4FB4"/>
  </w:style>
  <w:style w:type="paragraph" w:customStyle="1" w:styleId="CTA--">
    <w:name w:val="CTA --"/>
    <w:basedOn w:val="OPCParaBase"/>
    <w:next w:val="Normal"/>
    <w:rsid w:val="004D4F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4F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4F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4F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4F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4F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4F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4F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4F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4F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4F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4F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4F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4F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4F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4F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4F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4F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4F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4F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4F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4F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4F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4F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4F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4F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4F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4F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4F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4F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4F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4F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4F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4F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4F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4F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4F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4F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4F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4F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4F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4F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4F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4F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4F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4F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4F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4F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4F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4F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4F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4F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4F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4F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4F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4FB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4FB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4FB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4FB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4FB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4FB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4FB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4FB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4FB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4F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4F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4F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4F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4F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4F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4F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4F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4FB4"/>
    <w:rPr>
      <w:sz w:val="16"/>
    </w:rPr>
  </w:style>
  <w:style w:type="table" w:customStyle="1" w:styleId="CFlag">
    <w:name w:val="CFlag"/>
    <w:basedOn w:val="TableNormal"/>
    <w:uiPriority w:val="99"/>
    <w:rsid w:val="004D4FB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4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4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4FB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4FB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4F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4F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4F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4FB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4FB4"/>
    <w:pPr>
      <w:spacing w:before="120"/>
    </w:pPr>
  </w:style>
  <w:style w:type="paragraph" w:customStyle="1" w:styleId="CompiledActNo">
    <w:name w:val="CompiledActNo"/>
    <w:basedOn w:val="OPCParaBase"/>
    <w:next w:val="Normal"/>
    <w:rsid w:val="004D4F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4FB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4F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4F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4F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4F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4F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4FB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4F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4F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4F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4F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4F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4F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4F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4F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4F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4FB4"/>
  </w:style>
  <w:style w:type="character" w:customStyle="1" w:styleId="CharSubPartNoCASA">
    <w:name w:val="CharSubPartNo(CASA)"/>
    <w:basedOn w:val="OPCCharBase"/>
    <w:uiPriority w:val="1"/>
    <w:rsid w:val="004D4FB4"/>
  </w:style>
  <w:style w:type="paragraph" w:customStyle="1" w:styleId="ENoteTTIndentHeadingSub">
    <w:name w:val="ENoteTTIndentHeadingSub"/>
    <w:aliases w:val="enTTHis"/>
    <w:basedOn w:val="OPCParaBase"/>
    <w:rsid w:val="004D4F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4F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4F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4F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4F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4FB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4F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4FB4"/>
    <w:rPr>
      <w:sz w:val="22"/>
    </w:rPr>
  </w:style>
  <w:style w:type="paragraph" w:customStyle="1" w:styleId="SOTextNote">
    <w:name w:val="SO TextNote"/>
    <w:aliases w:val="sont"/>
    <w:basedOn w:val="SOText"/>
    <w:qFormat/>
    <w:rsid w:val="004D4F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4F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4FB4"/>
    <w:rPr>
      <w:sz w:val="22"/>
    </w:rPr>
  </w:style>
  <w:style w:type="paragraph" w:customStyle="1" w:styleId="FileName">
    <w:name w:val="FileName"/>
    <w:basedOn w:val="Normal"/>
    <w:rsid w:val="004D4FB4"/>
  </w:style>
  <w:style w:type="paragraph" w:customStyle="1" w:styleId="TableHeading">
    <w:name w:val="TableHeading"/>
    <w:aliases w:val="th"/>
    <w:basedOn w:val="OPCParaBase"/>
    <w:next w:val="Tabletext"/>
    <w:rsid w:val="004D4F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4F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4F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4F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4F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4F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4F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4F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4F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4F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4F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4F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4FB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4FB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FB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4F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4FB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4FB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4FB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4F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4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4FB4"/>
  </w:style>
  <w:style w:type="character" w:customStyle="1" w:styleId="charlegsubtitle1">
    <w:name w:val="charlegsubtitle1"/>
    <w:basedOn w:val="DefaultParagraphFont"/>
    <w:rsid w:val="004D4FB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4FB4"/>
    <w:pPr>
      <w:ind w:left="240" w:hanging="240"/>
    </w:pPr>
  </w:style>
  <w:style w:type="paragraph" w:styleId="Index2">
    <w:name w:val="index 2"/>
    <w:basedOn w:val="Normal"/>
    <w:next w:val="Normal"/>
    <w:autoRedefine/>
    <w:rsid w:val="004D4FB4"/>
    <w:pPr>
      <w:ind w:left="480" w:hanging="240"/>
    </w:pPr>
  </w:style>
  <w:style w:type="paragraph" w:styleId="Index3">
    <w:name w:val="index 3"/>
    <w:basedOn w:val="Normal"/>
    <w:next w:val="Normal"/>
    <w:autoRedefine/>
    <w:rsid w:val="004D4FB4"/>
    <w:pPr>
      <w:ind w:left="720" w:hanging="240"/>
    </w:pPr>
  </w:style>
  <w:style w:type="paragraph" w:styleId="Index4">
    <w:name w:val="index 4"/>
    <w:basedOn w:val="Normal"/>
    <w:next w:val="Normal"/>
    <w:autoRedefine/>
    <w:rsid w:val="004D4FB4"/>
    <w:pPr>
      <w:ind w:left="960" w:hanging="240"/>
    </w:pPr>
  </w:style>
  <w:style w:type="paragraph" w:styleId="Index5">
    <w:name w:val="index 5"/>
    <w:basedOn w:val="Normal"/>
    <w:next w:val="Normal"/>
    <w:autoRedefine/>
    <w:rsid w:val="004D4FB4"/>
    <w:pPr>
      <w:ind w:left="1200" w:hanging="240"/>
    </w:pPr>
  </w:style>
  <w:style w:type="paragraph" w:styleId="Index6">
    <w:name w:val="index 6"/>
    <w:basedOn w:val="Normal"/>
    <w:next w:val="Normal"/>
    <w:autoRedefine/>
    <w:rsid w:val="004D4FB4"/>
    <w:pPr>
      <w:ind w:left="1440" w:hanging="240"/>
    </w:pPr>
  </w:style>
  <w:style w:type="paragraph" w:styleId="Index7">
    <w:name w:val="index 7"/>
    <w:basedOn w:val="Normal"/>
    <w:next w:val="Normal"/>
    <w:autoRedefine/>
    <w:rsid w:val="004D4FB4"/>
    <w:pPr>
      <w:ind w:left="1680" w:hanging="240"/>
    </w:pPr>
  </w:style>
  <w:style w:type="paragraph" w:styleId="Index8">
    <w:name w:val="index 8"/>
    <w:basedOn w:val="Normal"/>
    <w:next w:val="Normal"/>
    <w:autoRedefine/>
    <w:rsid w:val="004D4FB4"/>
    <w:pPr>
      <w:ind w:left="1920" w:hanging="240"/>
    </w:pPr>
  </w:style>
  <w:style w:type="paragraph" w:styleId="Index9">
    <w:name w:val="index 9"/>
    <w:basedOn w:val="Normal"/>
    <w:next w:val="Normal"/>
    <w:autoRedefine/>
    <w:rsid w:val="004D4FB4"/>
    <w:pPr>
      <w:ind w:left="2160" w:hanging="240"/>
    </w:pPr>
  </w:style>
  <w:style w:type="paragraph" w:styleId="NormalIndent">
    <w:name w:val="Normal Indent"/>
    <w:basedOn w:val="Normal"/>
    <w:rsid w:val="004D4FB4"/>
    <w:pPr>
      <w:ind w:left="720"/>
    </w:pPr>
  </w:style>
  <w:style w:type="paragraph" w:styleId="FootnoteText">
    <w:name w:val="footnote text"/>
    <w:basedOn w:val="Normal"/>
    <w:link w:val="FootnoteTextChar"/>
    <w:rsid w:val="004D4F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4FB4"/>
  </w:style>
  <w:style w:type="paragraph" w:styleId="CommentText">
    <w:name w:val="annotation text"/>
    <w:basedOn w:val="Normal"/>
    <w:link w:val="CommentTextChar"/>
    <w:rsid w:val="004D4F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4FB4"/>
  </w:style>
  <w:style w:type="paragraph" w:styleId="IndexHeading">
    <w:name w:val="index heading"/>
    <w:basedOn w:val="Normal"/>
    <w:next w:val="Index1"/>
    <w:rsid w:val="004D4FB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FB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4FB4"/>
    <w:pPr>
      <w:ind w:left="480" w:hanging="480"/>
    </w:pPr>
  </w:style>
  <w:style w:type="paragraph" w:styleId="EnvelopeAddress">
    <w:name w:val="envelope address"/>
    <w:basedOn w:val="Normal"/>
    <w:rsid w:val="004D4F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4FB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4FB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4FB4"/>
    <w:rPr>
      <w:sz w:val="16"/>
      <w:szCs w:val="16"/>
    </w:rPr>
  </w:style>
  <w:style w:type="character" w:styleId="PageNumber">
    <w:name w:val="page number"/>
    <w:basedOn w:val="DefaultParagraphFont"/>
    <w:rsid w:val="004D4FB4"/>
  </w:style>
  <w:style w:type="character" w:styleId="EndnoteReference">
    <w:name w:val="endnote reference"/>
    <w:basedOn w:val="DefaultParagraphFont"/>
    <w:rsid w:val="004D4FB4"/>
    <w:rPr>
      <w:vertAlign w:val="superscript"/>
    </w:rPr>
  </w:style>
  <w:style w:type="paragraph" w:styleId="EndnoteText">
    <w:name w:val="endnote text"/>
    <w:basedOn w:val="Normal"/>
    <w:link w:val="EndnoteTextChar"/>
    <w:rsid w:val="004D4FB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4FB4"/>
  </w:style>
  <w:style w:type="paragraph" w:styleId="TableofAuthorities">
    <w:name w:val="table of authorities"/>
    <w:basedOn w:val="Normal"/>
    <w:next w:val="Normal"/>
    <w:rsid w:val="004D4FB4"/>
    <w:pPr>
      <w:ind w:left="240" w:hanging="240"/>
    </w:pPr>
  </w:style>
  <w:style w:type="paragraph" w:styleId="MacroText">
    <w:name w:val="macro"/>
    <w:link w:val="MacroTextChar"/>
    <w:rsid w:val="004D4F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4FB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4FB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4FB4"/>
    <w:pPr>
      <w:ind w:left="283" w:hanging="283"/>
    </w:pPr>
  </w:style>
  <w:style w:type="paragraph" w:styleId="ListBullet">
    <w:name w:val="List Bullet"/>
    <w:basedOn w:val="Normal"/>
    <w:autoRedefine/>
    <w:rsid w:val="004D4FB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4FB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4FB4"/>
    <w:pPr>
      <w:ind w:left="566" w:hanging="283"/>
    </w:pPr>
  </w:style>
  <w:style w:type="paragraph" w:styleId="List3">
    <w:name w:val="List 3"/>
    <w:basedOn w:val="Normal"/>
    <w:rsid w:val="004D4FB4"/>
    <w:pPr>
      <w:ind w:left="849" w:hanging="283"/>
    </w:pPr>
  </w:style>
  <w:style w:type="paragraph" w:styleId="List4">
    <w:name w:val="List 4"/>
    <w:basedOn w:val="Normal"/>
    <w:rsid w:val="004D4FB4"/>
    <w:pPr>
      <w:ind w:left="1132" w:hanging="283"/>
    </w:pPr>
  </w:style>
  <w:style w:type="paragraph" w:styleId="List5">
    <w:name w:val="List 5"/>
    <w:basedOn w:val="Normal"/>
    <w:rsid w:val="004D4FB4"/>
    <w:pPr>
      <w:ind w:left="1415" w:hanging="283"/>
    </w:pPr>
  </w:style>
  <w:style w:type="paragraph" w:styleId="ListBullet2">
    <w:name w:val="List Bullet 2"/>
    <w:basedOn w:val="Normal"/>
    <w:autoRedefine/>
    <w:rsid w:val="004D4FB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4FB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4FB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4FB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4FB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4FB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4FB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4FB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4FB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4FB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4FB4"/>
    <w:pPr>
      <w:ind w:left="4252"/>
    </w:pPr>
  </w:style>
  <w:style w:type="character" w:customStyle="1" w:styleId="ClosingChar">
    <w:name w:val="Closing Char"/>
    <w:basedOn w:val="DefaultParagraphFont"/>
    <w:link w:val="Closing"/>
    <w:rsid w:val="004D4FB4"/>
    <w:rPr>
      <w:sz w:val="22"/>
    </w:rPr>
  </w:style>
  <w:style w:type="paragraph" w:styleId="Signature">
    <w:name w:val="Signature"/>
    <w:basedOn w:val="Normal"/>
    <w:link w:val="SignatureChar"/>
    <w:rsid w:val="004D4FB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4FB4"/>
    <w:rPr>
      <w:sz w:val="22"/>
    </w:rPr>
  </w:style>
  <w:style w:type="paragraph" w:styleId="BodyText">
    <w:name w:val="Body Text"/>
    <w:basedOn w:val="Normal"/>
    <w:link w:val="BodyTextChar"/>
    <w:rsid w:val="004D4F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FB4"/>
    <w:rPr>
      <w:sz w:val="22"/>
    </w:rPr>
  </w:style>
  <w:style w:type="paragraph" w:styleId="BodyTextIndent">
    <w:name w:val="Body Text Indent"/>
    <w:basedOn w:val="Normal"/>
    <w:link w:val="BodyTextIndentChar"/>
    <w:rsid w:val="004D4F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4FB4"/>
    <w:rPr>
      <w:sz w:val="22"/>
    </w:rPr>
  </w:style>
  <w:style w:type="paragraph" w:styleId="ListContinue">
    <w:name w:val="List Continue"/>
    <w:basedOn w:val="Normal"/>
    <w:rsid w:val="004D4FB4"/>
    <w:pPr>
      <w:spacing w:after="120"/>
      <w:ind w:left="283"/>
    </w:pPr>
  </w:style>
  <w:style w:type="paragraph" w:styleId="ListContinue2">
    <w:name w:val="List Continue 2"/>
    <w:basedOn w:val="Normal"/>
    <w:rsid w:val="004D4FB4"/>
    <w:pPr>
      <w:spacing w:after="120"/>
      <w:ind w:left="566"/>
    </w:pPr>
  </w:style>
  <w:style w:type="paragraph" w:styleId="ListContinue3">
    <w:name w:val="List Continue 3"/>
    <w:basedOn w:val="Normal"/>
    <w:rsid w:val="004D4FB4"/>
    <w:pPr>
      <w:spacing w:after="120"/>
      <w:ind w:left="849"/>
    </w:pPr>
  </w:style>
  <w:style w:type="paragraph" w:styleId="ListContinue4">
    <w:name w:val="List Continue 4"/>
    <w:basedOn w:val="Normal"/>
    <w:rsid w:val="004D4FB4"/>
    <w:pPr>
      <w:spacing w:after="120"/>
      <w:ind w:left="1132"/>
    </w:pPr>
  </w:style>
  <w:style w:type="paragraph" w:styleId="ListContinue5">
    <w:name w:val="List Continue 5"/>
    <w:basedOn w:val="Normal"/>
    <w:rsid w:val="004D4FB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4F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4FB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4F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4FB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4FB4"/>
  </w:style>
  <w:style w:type="character" w:customStyle="1" w:styleId="SalutationChar">
    <w:name w:val="Salutation Char"/>
    <w:basedOn w:val="DefaultParagraphFont"/>
    <w:link w:val="Salutation"/>
    <w:rsid w:val="004D4FB4"/>
    <w:rPr>
      <w:sz w:val="22"/>
    </w:rPr>
  </w:style>
  <w:style w:type="paragraph" w:styleId="Date">
    <w:name w:val="Date"/>
    <w:basedOn w:val="Normal"/>
    <w:next w:val="Normal"/>
    <w:link w:val="DateChar"/>
    <w:rsid w:val="004D4FB4"/>
  </w:style>
  <w:style w:type="character" w:customStyle="1" w:styleId="DateChar">
    <w:name w:val="Date Char"/>
    <w:basedOn w:val="DefaultParagraphFont"/>
    <w:link w:val="Date"/>
    <w:rsid w:val="004D4FB4"/>
    <w:rPr>
      <w:sz w:val="22"/>
    </w:rPr>
  </w:style>
  <w:style w:type="paragraph" w:styleId="BodyTextFirstIndent">
    <w:name w:val="Body Text First Indent"/>
    <w:basedOn w:val="BodyText"/>
    <w:link w:val="BodyTextFirstIndentChar"/>
    <w:rsid w:val="004D4F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4FB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4F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4FB4"/>
    <w:rPr>
      <w:sz w:val="22"/>
    </w:rPr>
  </w:style>
  <w:style w:type="paragraph" w:styleId="BodyText2">
    <w:name w:val="Body Text 2"/>
    <w:basedOn w:val="Normal"/>
    <w:link w:val="BodyText2Char"/>
    <w:rsid w:val="004D4F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4FB4"/>
    <w:rPr>
      <w:sz w:val="22"/>
    </w:rPr>
  </w:style>
  <w:style w:type="paragraph" w:styleId="BodyText3">
    <w:name w:val="Body Text 3"/>
    <w:basedOn w:val="Normal"/>
    <w:link w:val="BodyText3Char"/>
    <w:rsid w:val="004D4F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4FB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4F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4FB4"/>
    <w:rPr>
      <w:sz w:val="22"/>
    </w:rPr>
  </w:style>
  <w:style w:type="paragraph" w:styleId="BodyTextIndent3">
    <w:name w:val="Body Text Indent 3"/>
    <w:basedOn w:val="Normal"/>
    <w:link w:val="BodyTextIndent3Char"/>
    <w:rsid w:val="004D4F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4FB4"/>
    <w:rPr>
      <w:sz w:val="16"/>
      <w:szCs w:val="16"/>
    </w:rPr>
  </w:style>
  <w:style w:type="paragraph" w:styleId="BlockText">
    <w:name w:val="Block Text"/>
    <w:basedOn w:val="Normal"/>
    <w:rsid w:val="004D4FB4"/>
    <w:pPr>
      <w:spacing w:after="120"/>
      <w:ind w:left="1440" w:right="1440"/>
    </w:pPr>
  </w:style>
  <w:style w:type="character" w:styleId="Hyperlink">
    <w:name w:val="Hyperlink"/>
    <w:basedOn w:val="DefaultParagraphFont"/>
    <w:rsid w:val="004D4FB4"/>
    <w:rPr>
      <w:color w:val="0000FF"/>
      <w:u w:val="single"/>
    </w:rPr>
  </w:style>
  <w:style w:type="character" w:styleId="FollowedHyperlink">
    <w:name w:val="FollowedHyperlink"/>
    <w:basedOn w:val="DefaultParagraphFont"/>
    <w:rsid w:val="004D4FB4"/>
    <w:rPr>
      <w:color w:val="800080"/>
      <w:u w:val="single"/>
    </w:rPr>
  </w:style>
  <w:style w:type="character" w:styleId="Strong">
    <w:name w:val="Strong"/>
    <w:basedOn w:val="DefaultParagraphFont"/>
    <w:qFormat/>
    <w:rsid w:val="004D4FB4"/>
    <w:rPr>
      <w:b/>
      <w:bCs/>
    </w:rPr>
  </w:style>
  <w:style w:type="character" w:styleId="Emphasis">
    <w:name w:val="Emphasis"/>
    <w:basedOn w:val="DefaultParagraphFont"/>
    <w:qFormat/>
    <w:rsid w:val="004D4FB4"/>
    <w:rPr>
      <w:i/>
      <w:iCs/>
    </w:rPr>
  </w:style>
  <w:style w:type="paragraph" w:styleId="DocumentMap">
    <w:name w:val="Document Map"/>
    <w:basedOn w:val="Normal"/>
    <w:link w:val="DocumentMapChar"/>
    <w:rsid w:val="004D4FB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4FB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4FB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4FB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4FB4"/>
  </w:style>
  <w:style w:type="character" w:customStyle="1" w:styleId="E-mailSignatureChar">
    <w:name w:val="E-mail Signature Char"/>
    <w:basedOn w:val="DefaultParagraphFont"/>
    <w:link w:val="E-mailSignature"/>
    <w:rsid w:val="004D4FB4"/>
    <w:rPr>
      <w:sz w:val="22"/>
    </w:rPr>
  </w:style>
  <w:style w:type="paragraph" w:styleId="NormalWeb">
    <w:name w:val="Normal (Web)"/>
    <w:basedOn w:val="Normal"/>
    <w:rsid w:val="004D4FB4"/>
  </w:style>
  <w:style w:type="character" w:styleId="HTMLAcronym">
    <w:name w:val="HTML Acronym"/>
    <w:basedOn w:val="DefaultParagraphFont"/>
    <w:rsid w:val="004D4FB4"/>
  </w:style>
  <w:style w:type="paragraph" w:styleId="HTMLAddress">
    <w:name w:val="HTML Address"/>
    <w:basedOn w:val="Normal"/>
    <w:link w:val="HTMLAddressChar"/>
    <w:rsid w:val="004D4F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4FB4"/>
    <w:rPr>
      <w:i/>
      <w:iCs/>
      <w:sz w:val="22"/>
    </w:rPr>
  </w:style>
  <w:style w:type="character" w:styleId="HTMLCite">
    <w:name w:val="HTML Cite"/>
    <w:basedOn w:val="DefaultParagraphFont"/>
    <w:rsid w:val="004D4FB4"/>
    <w:rPr>
      <w:i/>
      <w:iCs/>
    </w:rPr>
  </w:style>
  <w:style w:type="character" w:styleId="HTMLCode">
    <w:name w:val="HTML Code"/>
    <w:basedOn w:val="DefaultParagraphFont"/>
    <w:rsid w:val="004D4F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4FB4"/>
    <w:rPr>
      <w:i/>
      <w:iCs/>
    </w:rPr>
  </w:style>
  <w:style w:type="character" w:styleId="HTMLKeyboard">
    <w:name w:val="HTML Keyboard"/>
    <w:basedOn w:val="DefaultParagraphFont"/>
    <w:rsid w:val="004D4F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4FB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4FB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4FB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4F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4FB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4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FB4"/>
    <w:rPr>
      <w:b/>
      <w:bCs/>
    </w:rPr>
  </w:style>
  <w:style w:type="numbering" w:styleId="1ai">
    <w:name w:val="Outline List 1"/>
    <w:basedOn w:val="NoList"/>
    <w:rsid w:val="004D4FB4"/>
    <w:pPr>
      <w:numPr>
        <w:numId w:val="14"/>
      </w:numPr>
    </w:pPr>
  </w:style>
  <w:style w:type="numbering" w:styleId="111111">
    <w:name w:val="Outline List 2"/>
    <w:basedOn w:val="NoList"/>
    <w:rsid w:val="004D4FB4"/>
    <w:pPr>
      <w:numPr>
        <w:numId w:val="15"/>
      </w:numPr>
    </w:pPr>
  </w:style>
  <w:style w:type="numbering" w:styleId="ArticleSection">
    <w:name w:val="Outline List 3"/>
    <w:basedOn w:val="NoList"/>
    <w:rsid w:val="004D4FB4"/>
    <w:pPr>
      <w:numPr>
        <w:numId w:val="17"/>
      </w:numPr>
    </w:pPr>
  </w:style>
  <w:style w:type="table" w:styleId="TableSimple1">
    <w:name w:val="Table Simple 1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4FB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4FB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4FB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4FB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4FB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4FB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4FB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4FB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4FB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4FB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4F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4FB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4FB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4FB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4FB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4FB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4FB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4FB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4FB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4F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4F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4FB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4FB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4FB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4FB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4FB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4FB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4FB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4FB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4FB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4FB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4FB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4FB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4FB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4FB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4FB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E78C-77B8-45BB-8A8B-CF474061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1393</Words>
  <Characters>7273</Characters>
  <Application>Microsoft Office Word</Application>
  <DocSecurity>0</DocSecurity>
  <PresentationFormat/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Charities and Not-for-profits Commission Amendment (2021 Measures No. 3) Regulations 2021</vt:lpstr>
    </vt:vector>
  </TitlesOfParts>
  <Manager/>
  <Company/>
  <LinksUpToDate>false</LinksUpToDate>
  <CharactersWithSpaces>8558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2021-11-09T23:56:00Z</dcterms:created>
  <dcterms:modified xsi:type="dcterms:W3CDTF">2021-11-29T05:24:00Z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Charities and Not-for-profits Commission Amendment (2021 Measures No. 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November 2021</vt:lpwstr>
  </property>
  <property fmtid="{D5CDD505-2E9C-101B-9397-08002B2CF9AE}" pid="10" name="ID">
    <vt:lpwstr>OPC65470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11 November 2021</vt:lpwstr>
  </property>
</Properties>
</file>