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387F6" w14:textId="77777777" w:rsidR="00FB640B" w:rsidRPr="00005F0C" w:rsidRDefault="0057002B" w:rsidP="00BB0CF2">
      <w:pPr>
        <w:pStyle w:val="ESTitleHeader"/>
      </w:pPr>
      <w:bookmarkStart w:id="0" w:name="_GoBack"/>
      <w:r w:rsidRPr="00005F0C">
        <w:t>EXPLANATORY STATEMENT</w:t>
      </w:r>
    </w:p>
    <w:p w14:paraId="5CB3BE75" w14:textId="77777777" w:rsidR="0057002B" w:rsidRPr="00005F0C" w:rsidRDefault="0057002B" w:rsidP="00BB0CF2">
      <w:pPr>
        <w:pStyle w:val="ESTitleDecisionMaker"/>
      </w:pPr>
      <w:r w:rsidRPr="00005F0C">
        <w:t>Issued by authority of the</w:t>
      </w:r>
      <w:r w:rsidR="00B63DA9" w:rsidRPr="00005F0C">
        <w:rPr>
          <w:rFonts w:ascii="Helvetica Neue" w:hAnsi="Helvetica Neue" w:cstheme="minorBidi"/>
          <w:sz w:val="19"/>
          <w:szCs w:val="19"/>
        </w:rPr>
        <w:t xml:space="preserve"> </w:t>
      </w:r>
      <w:r w:rsidR="00B63DA9" w:rsidRPr="00005F0C">
        <w:t>Minister for Immigration, Citizenship, Migrant Services and Multicultural Affairs</w:t>
      </w:r>
    </w:p>
    <w:p w14:paraId="769E8364" w14:textId="77777777" w:rsidR="0057002B" w:rsidRPr="00005F0C" w:rsidRDefault="0057002B" w:rsidP="00915032">
      <w:pPr>
        <w:spacing w:line="276" w:lineRule="auto"/>
        <w:jc w:val="center"/>
        <w:rPr>
          <w:rFonts w:ascii="Times New Roman" w:hAnsi="Times New Roman" w:cs="Times New Roman"/>
          <w:i/>
        </w:rPr>
      </w:pPr>
      <w:r w:rsidRPr="00005F0C">
        <w:rPr>
          <w:rFonts w:ascii="Times New Roman" w:hAnsi="Times New Roman" w:cs="Times New Roman"/>
          <w:i/>
        </w:rPr>
        <w:t>Migration Regulations 1994</w:t>
      </w:r>
    </w:p>
    <w:p w14:paraId="3A237AF4" w14:textId="7CA09313" w:rsidR="0057002B" w:rsidRPr="00005F0C" w:rsidRDefault="00B63DA9" w:rsidP="00BB0CF2">
      <w:pPr>
        <w:pStyle w:val="ESTitleInstrumentName"/>
      </w:pPr>
      <w:bookmarkStart w:id="1" w:name="Title"/>
      <w:r w:rsidRPr="00005F0C">
        <w:t>Migration (Arrangements for Protection, Refugee and Humanitarian visas) Amendment Instrument (LIN 21/079) 2021</w:t>
      </w:r>
      <w:bookmarkEnd w:id="1"/>
    </w:p>
    <w:p w14:paraId="7E30C492" w14:textId="1D761BCB" w:rsidR="0057002B" w:rsidRPr="00005F0C" w:rsidRDefault="0057002B" w:rsidP="00743C94">
      <w:pPr>
        <w:pStyle w:val="ESPara"/>
        <w:ind w:left="567" w:hanging="567"/>
      </w:pPr>
      <w:r w:rsidRPr="00005F0C">
        <w:t>The inst</w:t>
      </w:r>
      <w:r w:rsidR="00B63DA9" w:rsidRPr="00005F0C">
        <w:t>rument, Departmental reference LIN 21/079</w:t>
      </w:r>
      <w:r w:rsidRPr="00005F0C">
        <w:t xml:space="preserve">, is made under </w:t>
      </w:r>
      <w:r w:rsidR="00B63DA9" w:rsidRPr="00005F0C">
        <w:t xml:space="preserve">subregulation 2.07(5) and item 1402 of Schedule 1 to the </w:t>
      </w:r>
      <w:r w:rsidR="00B63DA9" w:rsidRPr="00005F0C">
        <w:rPr>
          <w:i/>
        </w:rPr>
        <w:t xml:space="preserve">Migration Regulations 1994 </w:t>
      </w:r>
      <w:r w:rsidR="00B63DA9" w:rsidRPr="00005F0C">
        <w:t>(the Regulations)</w:t>
      </w:r>
      <w:r w:rsidRPr="00005F0C">
        <w:t xml:space="preserve">.  </w:t>
      </w:r>
    </w:p>
    <w:p w14:paraId="2FF1FE64" w14:textId="77777777" w:rsidR="00EA12C9" w:rsidRPr="00005F0C" w:rsidRDefault="00EA12C9" w:rsidP="00743C94">
      <w:pPr>
        <w:pStyle w:val="ESPara"/>
        <w:ind w:left="567" w:hanging="567"/>
      </w:pPr>
      <w:r w:rsidRPr="00005F0C">
        <w:t xml:space="preserve">The instrument </w:t>
      </w:r>
      <w:r w:rsidR="00B63DA9" w:rsidRPr="00005F0C">
        <w:t xml:space="preserve">amends </w:t>
      </w:r>
      <w:r w:rsidR="00B63DA9" w:rsidRPr="00005F0C">
        <w:rPr>
          <w:rStyle w:val="LDItal"/>
        </w:rPr>
        <w:t>Migration (Arrangements for Protection, Refugee and Humanitarian Visas) Instrument (LIN 20/169) 2020</w:t>
      </w:r>
      <w:r w:rsidR="00B63DA9" w:rsidRPr="00005F0C">
        <w:rPr>
          <w:rStyle w:val="LDItal"/>
          <w:i w:val="0"/>
        </w:rPr>
        <w:t xml:space="preserve"> (F2020L01420)</w:t>
      </w:r>
      <w:r w:rsidR="00B63DA9" w:rsidRPr="00005F0C">
        <w:rPr>
          <w:rStyle w:val="LDItal"/>
        </w:rPr>
        <w:t xml:space="preserve"> </w:t>
      </w:r>
      <w:r w:rsidRPr="00005F0C">
        <w:t xml:space="preserve">in accordance with subsection 33(3) of the </w:t>
      </w:r>
      <w:r w:rsidRPr="00005F0C">
        <w:rPr>
          <w:i/>
        </w:rPr>
        <w:t>Acts Interpretation Act 1901</w:t>
      </w:r>
      <w:r w:rsidRPr="00005F0C">
        <w:t xml:space="preserve">.  That subsection provides that </w:t>
      </w:r>
      <w:r w:rsidR="00100DFC" w:rsidRPr="00005F0C">
        <w:t>a power to make a legislative instrument includes a power to amend or repeal that instrument in the same manner, and subject to the same conditions, as the power to make the instrument</w:t>
      </w:r>
      <w:r w:rsidR="00BD598E" w:rsidRPr="00005F0C">
        <w:t xml:space="preserve">.  </w:t>
      </w:r>
    </w:p>
    <w:p w14:paraId="71B904C9" w14:textId="54C5B935" w:rsidR="00BD598E" w:rsidRPr="00005F0C" w:rsidRDefault="00AA4557" w:rsidP="00743C94">
      <w:pPr>
        <w:pStyle w:val="ESPara"/>
        <w:ind w:left="567" w:hanging="567"/>
      </w:pPr>
      <w:r w:rsidRPr="00005F0C">
        <w:t xml:space="preserve">The instrument commences </w:t>
      </w:r>
      <w:r w:rsidR="00B63DA9" w:rsidRPr="00005F0C">
        <w:t>on the day after registration</w:t>
      </w:r>
      <w:r w:rsidRPr="00005F0C">
        <w:t>, and i</w:t>
      </w:r>
      <w:r w:rsidR="00BD598E" w:rsidRPr="00005F0C">
        <w:t xml:space="preserve">s a </w:t>
      </w:r>
      <w:r w:rsidRPr="00005F0C">
        <w:t>legislative</w:t>
      </w:r>
      <w:r w:rsidR="00BD598E" w:rsidRPr="00005F0C">
        <w:t xml:space="preserve"> instrument for </w:t>
      </w:r>
      <w:r w:rsidR="00B75478" w:rsidRPr="00005F0C">
        <w:t xml:space="preserve">the </w:t>
      </w:r>
      <w:r w:rsidR="00100DFC" w:rsidRPr="00005F0C">
        <w:rPr>
          <w:i/>
        </w:rPr>
        <w:t>Legislation Act 2003</w:t>
      </w:r>
      <w:r w:rsidR="00100DFC" w:rsidRPr="00005F0C">
        <w:t xml:space="preserve"> (the Legislation Act)</w:t>
      </w:r>
      <w:r w:rsidR="00BD598E" w:rsidRPr="00005F0C">
        <w:t xml:space="preserve">. </w:t>
      </w:r>
      <w:r w:rsidR="00F172FD" w:rsidRPr="00005F0C">
        <w:t xml:space="preserve"> </w:t>
      </w:r>
    </w:p>
    <w:p w14:paraId="61F997A4" w14:textId="77777777" w:rsidR="00EA12C9" w:rsidRPr="00005F0C" w:rsidRDefault="00BD598E" w:rsidP="00100DFC">
      <w:pPr>
        <w:pStyle w:val="ESHeading"/>
      </w:pPr>
      <w:r w:rsidRPr="00005F0C">
        <w:t>Purpose</w:t>
      </w:r>
      <w:r w:rsidR="00BB0CF2" w:rsidRPr="00005F0C">
        <w:t xml:space="preserve"> </w:t>
      </w:r>
    </w:p>
    <w:p w14:paraId="7E2FC075" w14:textId="2F005ECC" w:rsidR="005E3A80" w:rsidRPr="00005F0C" w:rsidRDefault="006559E4" w:rsidP="00D23C46">
      <w:pPr>
        <w:pStyle w:val="ESSubparaHeader"/>
        <w:keepNext w:val="0"/>
      </w:pPr>
      <w:r w:rsidRPr="00005F0C">
        <w:t xml:space="preserve">The instrument </w:t>
      </w:r>
      <w:r w:rsidR="00687FFE" w:rsidRPr="00005F0C">
        <w:t>operates</w:t>
      </w:r>
      <w:r w:rsidR="00363602" w:rsidRPr="00005F0C">
        <w:t xml:space="preserve"> to amend the approved form, place and manner (“the arrangements”) requirements for making an application for a </w:t>
      </w:r>
      <w:r w:rsidR="00B22B64" w:rsidRPr="00005F0C">
        <w:t xml:space="preserve">Refugee and Humanitarian (Class XB) </w:t>
      </w:r>
      <w:r w:rsidR="00631FFA" w:rsidRPr="00005F0C">
        <w:t>V</w:t>
      </w:r>
      <w:r w:rsidR="00B22B64" w:rsidRPr="00005F0C">
        <w:t>isa</w:t>
      </w:r>
      <w:r w:rsidRPr="00005F0C">
        <w:t xml:space="preserve"> </w:t>
      </w:r>
      <w:r w:rsidR="00631FFA" w:rsidRPr="00005F0C">
        <w:t>(Class XB visa)</w:t>
      </w:r>
      <w:r w:rsidR="00363602" w:rsidRPr="00005F0C">
        <w:t xml:space="preserve">. </w:t>
      </w:r>
      <w:r w:rsidR="00631FFA" w:rsidRPr="00005F0C">
        <w:t xml:space="preserve"> </w:t>
      </w:r>
    </w:p>
    <w:p w14:paraId="508CFD8D" w14:textId="15D89536" w:rsidR="005E3A80" w:rsidRPr="00005F0C" w:rsidRDefault="005E3A80" w:rsidP="00743C94">
      <w:pPr>
        <w:pStyle w:val="ESPara"/>
        <w:ind w:left="567" w:hanging="567"/>
      </w:pPr>
      <w:r w:rsidRPr="00005F0C">
        <w:t xml:space="preserve">Item 1402 of Schedule 1 to the Regulations prescribes the requirements that an applicant for a Class XB visa must meet to make a valid visa application.  </w:t>
      </w:r>
      <w:r w:rsidR="00074022" w:rsidRPr="00005F0C">
        <w:t xml:space="preserve">This includes that if an </w:t>
      </w:r>
      <w:r w:rsidRPr="00005F0C">
        <w:t xml:space="preserve">approved form, place and manner for making an application </w:t>
      </w:r>
      <w:r w:rsidR="00074022" w:rsidRPr="00005F0C">
        <w:t>is specified in a legislative</w:t>
      </w:r>
      <w:r w:rsidRPr="00005F0C">
        <w:t xml:space="preserve"> instrument made under subregulation</w:t>
      </w:r>
      <w:r w:rsidR="000E2305" w:rsidRPr="00005F0C">
        <w:t> </w:t>
      </w:r>
      <w:r w:rsidRPr="00005F0C">
        <w:t xml:space="preserve">2.07(5) of the Regulations </w:t>
      </w:r>
      <w:r w:rsidR="00074022" w:rsidRPr="00005F0C">
        <w:t>the application must be made in that way</w:t>
      </w:r>
      <w:r w:rsidR="00E00F8C" w:rsidRPr="00005F0C">
        <w:t xml:space="preserve"> </w:t>
      </w:r>
      <w:r w:rsidR="00AD0326" w:rsidRPr="00005F0C">
        <w:t>(see also subitem</w:t>
      </w:r>
      <w:r w:rsidR="006A5B61" w:rsidRPr="00005F0C">
        <w:t> </w:t>
      </w:r>
      <w:r w:rsidR="00AD0326" w:rsidRPr="00005F0C">
        <w:t>1402(1) and paragraph 1402(3)(a))</w:t>
      </w:r>
      <w:r w:rsidR="00074022" w:rsidRPr="00005F0C">
        <w:t xml:space="preserve">.  </w:t>
      </w:r>
    </w:p>
    <w:p w14:paraId="1F0AF074" w14:textId="5422B7D4" w:rsidR="00743C94" w:rsidRPr="00005F0C" w:rsidRDefault="00204CD2" w:rsidP="00743C94">
      <w:pPr>
        <w:pStyle w:val="ESPara"/>
        <w:ind w:left="567" w:hanging="567"/>
        <w:rPr>
          <w:szCs w:val="24"/>
        </w:rPr>
      </w:pPr>
      <w:r w:rsidRPr="00005F0C">
        <w:rPr>
          <w:szCs w:val="24"/>
        </w:rPr>
        <w:t>Under paragraph 1402(3</w:t>
      </w:r>
      <w:proofErr w:type="gramStart"/>
      <w:r w:rsidRPr="00005F0C">
        <w:rPr>
          <w:szCs w:val="24"/>
        </w:rPr>
        <w:t>)(</w:t>
      </w:r>
      <w:proofErr w:type="gramEnd"/>
      <w:r w:rsidRPr="00005F0C">
        <w:rPr>
          <w:szCs w:val="24"/>
        </w:rPr>
        <w:t xml:space="preserve">b) of Schedule 1 to the Regulations, an applicant for a Class XB visa must be outside Australia, unless they are covered by subitem 1402(3B) of Schedule 1 to the Regulations.  </w:t>
      </w:r>
      <w:r w:rsidR="00743C94" w:rsidRPr="00005F0C">
        <w:rPr>
          <w:szCs w:val="24"/>
        </w:rPr>
        <w:t>This provision</w:t>
      </w:r>
      <w:r w:rsidR="005E3A80" w:rsidRPr="00005F0C">
        <w:rPr>
          <w:szCs w:val="24"/>
        </w:rPr>
        <w:t xml:space="preserve"> was recently inserted by the </w:t>
      </w:r>
      <w:r w:rsidR="005E3A80" w:rsidRPr="00005F0C">
        <w:rPr>
          <w:i/>
          <w:szCs w:val="24"/>
        </w:rPr>
        <w:t>Migration Amendment (Humanitarian Response to Events in Afghanistan) Regulations 2021</w:t>
      </w:r>
      <w:r w:rsidR="005E3A80" w:rsidRPr="00005F0C">
        <w:rPr>
          <w:szCs w:val="24"/>
        </w:rPr>
        <w:t xml:space="preserve"> for the specific purpose of enabling persons evacuated from Afghanistan to Australia commencing in August 2021 to make a</w:t>
      </w:r>
      <w:r w:rsidR="00881503" w:rsidRPr="00005F0C">
        <w:rPr>
          <w:szCs w:val="24"/>
        </w:rPr>
        <w:t xml:space="preserve"> valid</w:t>
      </w:r>
      <w:r w:rsidR="005E3A80" w:rsidRPr="00005F0C">
        <w:rPr>
          <w:szCs w:val="24"/>
        </w:rPr>
        <w:t xml:space="preserve"> application for a </w:t>
      </w:r>
      <w:r w:rsidR="00BC59D0" w:rsidRPr="00005F0C">
        <w:rPr>
          <w:szCs w:val="24"/>
        </w:rPr>
        <w:t>Class XB visa</w:t>
      </w:r>
      <w:r w:rsidR="005E3A80" w:rsidRPr="00005F0C">
        <w:rPr>
          <w:szCs w:val="24"/>
        </w:rPr>
        <w:t xml:space="preserve"> in Australia.  </w:t>
      </w:r>
    </w:p>
    <w:p w14:paraId="697D2A06" w14:textId="6F5344EE" w:rsidR="005E3A80" w:rsidRPr="00005F0C" w:rsidRDefault="005E3A80" w:rsidP="00743C94">
      <w:pPr>
        <w:pStyle w:val="ESPara"/>
        <w:ind w:left="567" w:hanging="567"/>
        <w:rPr>
          <w:szCs w:val="24"/>
        </w:rPr>
      </w:pPr>
      <w:r w:rsidRPr="00005F0C">
        <w:rPr>
          <w:szCs w:val="24"/>
        </w:rPr>
        <w:t xml:space="preserve">Under this </w:t>
      </w:r>
      <w:r w:rsidR="00743C94" w:rsidRPr="00005F0C">
        <w:rPr>
          <w:szCs w:val="24"/>
        </w:rPr>
        <w:t>subitem 1402(3B) of Schedule 1 to the Regulations</w:t>
      </w:r>
      <w:r w:rsidRPr="00005F0C">
        <w:rPr>
          <w:szCs w:val="24"/>
        </w:rPr>
        <w:t>, applications may be made in Australia where, at the time of application, the visa applicant:</w:t>
      </w:r>
    </w:p>
    <w:p w14:paraId="01C226D0" w14:textId="7C82417D" w:rsidR="005E3A80" w:rsidRPr="00005F0C" w:rsidRDefault="005E3A80" w:rsidP="005E3A80">
      <w:pPr>
        <w:pStyle w:val="ESSubparaList"/>
      </w:pPr>
      <w:r w:rsidRPr="00005F0C">
        <w:t xml:space="preserve">holds a Subclass 449 </w:t>
      </w:r>
      <w:r w:rsidR="00B600D7" w:rsidRPr="00005F0C">
        <w:t>(Humanitarian Stay) (Temporary)</w:t>
      </w:r>
      <w:r w:rsidRPr="00005F0C">
        <w:t xml:space="preserve"> visa (Subclass 449 visa) (</w:t>
      </w:r>
      <w:r w:rsidR="00743C94" w:rsidRPr="00005F0C">
        <w:t>paragraph (a)</w:t>
      </w:r>
      <w:r w:rsidRPr="00005F0C">
        <w:t xml:space="preserve">); and </w:t>
      </w:r>
    </w:p>
    <w:p w14:paraId="1057ABFE" w14:textId="680B5CC7" w:rsidR="005E3A80" w:rsidRPr="00005F0C" w:rsidRDefault="005E3A80" w:rsidP="005E3A80">
      <w:pPr>
        <w:pStyle w:val="ESSubparaList"/>
      </w:pPr>
      <w:proofErr w:type="gramStart"/>
      <w:r w:rsidRPr="00005F0C">
        <w:t>is</w:t>
      </w:r>
      <w:proofErr w:type="gramEnd"/>
      <w:r w:rsidRPr="00005F0C">
        <w:t xml:space="preserve"> in a class of persons specified by the Minister in a legislative instrument made under subitem 1402(3C) of Schedule 1 to the Regulations (</w:t>
      </w:r>
      <w:r w:rsidR="00743C94" w:rsidRPr="00005F0C">
        <w:t>paragraph (b)</w:t>
      </w:r>
      <w:r w:rsidRPr="00005F0C">
        <w:t xml:space="preserve">).  </w:t>
      </w:r>
    </w:p>
    <w:p w14:paraId="299BB633" w14:textId="4816EE5E" w:rsidR="005E3A80" w:rsidRPr="00005F0C" w:rsidRDefault="005E3A80" w:rsidP="005B3D29">
      <w:pPr>
        <w:pStyle w:val="ESPara"/>
        <w:ind w:left="567" w:hanging="567"/>
      </w:pPr>
      <w:r w:rsidRPr="00005F0C">
        <w:lastRenderedPageBreak/>
        <w:t xml:space="preserve">The </w:t>
      </w:r>
      <w:r w:rsidR="00743C94" w:rsidRPr="00005F0C">
        <w:rPr>
          <w:szCs w:val="24"/>
        </w:rPr>
        <w:t>purpose</w:t>
      </w:r>
      <w:r w:rsidR="00743C94" w:rsidRPr="00005F0C">
        <w:t xml:space="preserve"> of the instrument is to amend</w:t>
      </w:r>
      <w:r w:rsidR="00074022" w:rsidRPr="00005F0C">
        <w:t xml:space="preserve"> L</w:t>
      </w:r>
      <w:r w:rsidR="007C5902" w:rsidRPr="00005F0C">
        <w:t>I</w:t>
      </w:r>
      <w:r w:rsidR="00074022" w:rsidRPr="00005F0C">
        <w:t xml:space="preserve">N 20/169 to </w:t>
      </w:r>
      <w:r w:rsidRPr="00005F0C">
        <w:t>specify the arrangements for applicants covered by subitem</w:t>
      </w:r>
      <w:r w:rsidR="00FE0169" w:rsidRPr="00005F0C">
        <w:t> </w:t>
      </w:r>
      <w:r w:rsidRPr="00005F0C">
        <w:t xml:space="preserve">1402(3B) of Schedule 1 to the Regulations to make a visa </w:t>
      </w:r>
      <w:r w:rsidR="00466CB5" w:rsidRPr="00005F0C">
        <w:t>application for a Class </w:t>
      </w:r>
      <w:r w:rsidRPr="00005F0C">
        <w:t>XB visa</w:t>
      </w:r>
      <w:r w:rsidR="00743C94" w:rsidRPr="00005F0C">
        <w:t xml:space="preserve">, to specifically provide that these applicants must make their application using form 842 </w:t>
      </w:r>
      <w:r w:rsidR="00FD252A" w:rsidRPr="00005F0C">
        <w:t xml:space="preserve">and </w:t>
      </w:r>
      <w:r w:rsidR="00743C94" w:rsidRPr="00005F0C">
        <w:t>in accordance with the written notice sent by the Department notifying the person that they can make a visa application</w:t>
      </w:r>
      <w:r w:rsidRPr="00005F0C">
        <w:t xml:space="preserve">. </w:t>
      </w:r>
    </w:p>
    <w:p w14:paraId="370A4B7F" w14:textId="65F870C3" w:rsidR="001419C2" w:rsidRPr="00005F0C" w:rsidRDefault="00061DA1" w:rsidP="005B3D29">
      <w:pPr>
        <w:pStyle w:val="ESPara"/>
        <w:ind w:left="567" w:hanging="567"/>
      </w:pPr>
      <w:r w:rsidRPr="00005F0C">
        <w:t xml:space="preserve">The instrument also </w:t>
      </w:r>
      <w:r w:rsidR="00542FCA" w:rsidRPr="00005F0C">
        <w:t xml:space="preserve">amends </w:t>
      </w:r>
      <w:r w:rsidRPr="00005F0C">
        <w:t xml:space="preserve">LIN 20/169 to </w:t>
      </w:r>
      <w:r w:rsidR="00542FCA" w:rsidRPr="00005F0C">
        <w:t xml:space="preserve">update the drafting to align with current standards. </w:t>
      </w:r>
      <w:r w:rsidR="00562F3D" w:rsidRPr="00005F0C">
        <w:t xml:space="preserve"> </w:t>
      </w:r>
      <w:r w:rsidR="00542FCA" w:rsidRPr="00005F0C">
        <w:t xml:space="preserve">The instrument makes minor amendments to </w:t>
      </w:r>
      <w:r w:rsidR="00326288" w:rsidRPr="00005F0C">
        <w:t>sections 7, 9 and 10</w:t>
      </w:r>
      <w:r w:rsidR="00542FCA" w:rsidRPr="00005F0C">
        <w:t xml:space="preserve"> of LIN 20/169</w:t>
      </w:r>
      <w:r w:rsidR="001B10C9" w:rsidRPr="00005F0C">
        <w:t xml:space="preserve">. </w:t>
      </w:r>
      <w:r w:rsidR="00542FCA" w:rsidRPr="00005F0C">
        <w:t xml:space="preserve"> </w:t>
      </w:r>
      <w:r w:rsidR="001B10C9" w:rsidRPr="00005F0C">
        <w:t xml:space="preserve">Those sections specify the arrangements for making an application for a </w:t>
      </w:r>
      <w:r w:rsidR="00317E61" w:rsidRPr="00005F0C">
        <w:t>Protection (Class </w:t>
      </w:r>
      <w:r w:rsidR="000D3AE9" w:rsidRPr="00005F0C">
        <w:t>XA)</w:t>
      </w:r>
      <w:r w:rsidR="00FE0169" w:rsidRPr="00005F0C">
        <w:t xml:space="preserve"> </w:t>
      </w:r>
      <w:r w:rsidR="00AD0326" w:rsidRPr="00005F0C">
        <w:t>V</w:t>
      </w:r>
      <w:r w:rsidR="001B10C9" w:rsidRPr="00005F0C">
        <w:t>isa</w:t>
      </w:r>
      <w:r w:rsidR="000D3AE9" w:rsidRPr="00005F0C">
        <w:t xml:space="preserve">, </w:t>
      </w:r>
      <w:r w:rsidR="001B10C9" w:rsidRPr="00005F0C">
        <w:t xml:space="preserve">a </w:t>
      </w:r>
      <w:r w:rsidR="00317E61" w:rsidRPr="00005F0C">
        <w:t>Temporary Protection (Class </w:t>
      </w:r>
      <w:r w:rsidR="000D3AE9" w:rsidRPr="00005F0C">
        <w:t xml:space="preserve">XD) </w:t>
      </w:r>
      <w:r w:rsidR="00AD0326" w:rsidRPr="00005F0C">
        <w:t>V</w:t>
      </w:r>
      <w:r w:rsidR="00542FCA" w:rsidRPr="00005F0C">
        <w:t>isa and</w:t>
      </w:r>
      <w:r w:rsidR="000D3AE9" w:rsidRPr="00005F0C">
        <w:t xml:space="preserve"> </w:t>
      </w:r>
      <w:r w:rsidR="001B10C9" w:rsidRPr="00005F0C">
        <w:t xml:space="preserve">a </w:t>
      </w:r>
      <w:r w:rsidR="000D3AE9" w:rsidRPr="00005F0C">
        <w:t xml:space="preserve">Safe Haven Enterprise </w:t>
      </w:r>
      <w:r w:rsidR="00317E61" w:rsidRPr="00005F0C">
        <w:t>(Class </w:t>
      </w:r>
      <w:r w:rsidR="000D3AE9" w:rsidRPr="00005F0C">
        <w:t xml:space="preserve">XE) </w:t>
      </w:r>
      <w:r w:rsidR="00AD0326" w:rsidRPr="00005F0C">
        <w:t>V</w:t>
      </w:r>
      <w:r w:rsidR="000D3AE9" w:rsidRPr="00005F0C">
        <w:t>isa</w:t>
      </w:r>
      <w:r w:rsidRPr="00005F0C">
        <w:t xml:space="preserve">. </w:t>
      </w:r>
      <w:r w:rsidR="00A8290D" w:rsidRPr="00005F0C">
        <w:t xml:space="preserve"> </w:t>
      </w:r>
    </w:p>
    <w:p w14:paraId="634160EB" w14:textId="77777777" w:rsidR="008B24C8" w:rsidRPr="00005F0C" w:rsidRDefault="008B24C8" w:rsidP="00100DFC">
      <w:pPr>
        <w:pStyle w:val="ESHeading"/>
      </w:pPr>
      <w:r w:rsidRPr="00005F0C">
        <w:t>Consultation</w:t>
      </w:r>
    </w:p>
    <w:p w14:paraId="5E2FF375" w14:textId="316964BF" w:rsidR="0083155C" w:rsidRPr="00005F0C" w:rsidRDefault="0083155C" w:rsidP="005B3D29">
      <w:pPr>
        <w:pStyle w:val="ESPara"/>
        <w:ind w:left="567" w:hanging="567"/>
      </w:pPr>
      <w:r w:rsidRPr="00005F0C">
        <w:rPr>
          <w:iCs/>
          <w:szCs w:val="24"/>
        </w:rPr>
        <w:t xml:space="preserve">The </w:t>
      </w:r>
      <w:r w:rsidRPr="00005F0C">
        <w:rPr>
          <w:szCs w:val="24"/>
        </w:rPr>
        <w:t>Department</w:t>
      </w:r>
      <w:r w:rsidRPr="00005F0C">
        <w:rPr>
          <w:iCs/>
          <w:szCs w:val="24"/>
        </w:rPr>
        <w:t xml:space="preserve"> </w:t>
      </w:r>
      <w:r w:rsidRPr="00005F0C">
        <w:rPr>
          <w:szCs w:val="24"/>
        </w:rPr>
        <w:t xml:space="preserve">of Home Affairs </w:t>
      </w:r>
      <w:r w:rsidRPr="00005F0C">
        <w:rPr>
          <w:iCs/>
          <w:szCs w:val="24"/>
        </w:rPr>
        <w:t xml:space="preserve">has consulted broadly through the recently formed Ministerial Advisory Panel (the Panel), </w:t>
      </w:r>
      <w:r w:rsidR="00A855EF" w:rsidRPr="00005F0C">
        <w:rPr>
          <w:iCs/>
          <w:szCs w:val="24"/>
        </w:rPr>
        <w:t>t</w:t>
      </w:r>
      <w:r w:rsidRPr="00005F0C">
        <w:rPr>
          <w:iCs/>
          <w:szCs w:val="24"/>
        </w:rPr>
        <w:t xml:space="preserve">he Attorney-General’s Department and Australian Afghan communities.  Topics of consultation have included how best to support the settlement of those who were part of Australia’s evacuation mission out of Afghanistan and have since arrived in Australia on </w:t>
      </w:r>
      <w:r w:rsidRPr="00005F0C">
        <w:rPr>
          <w:szCs w:val="24"/>
        </w:rPr>
        <w:t>Subclass 449 visas</w:t>
      </w:r>
      <w:r w:rsidRPr="00005F0C">
        <w:rPr>
          <w:iCs/>
          <w:szCs w:val="24"/>
        </w:rPr>
        <w:t>.  The Panel is led by the Commonwealth Coordinator</w:t>
      </w:r>
      <w:r w:rsidRPr="00005F0C">
        <w:rPr>
          <w:iCs/>
          <w:szCs w:val="24"/>
        </w:rPr>
        <w:noBreakHyphen/>
        <w:t xml:space="preserve">General for Migrant Services, Alison Larkins and a leading expert in refugee settlement, Paris Aristotle AO.  The panel is supported by Afghan community leaders in Australia, leading refugee advocates and service providers who are recognised for their long-standing experience in refugee settlement and integration issues.  </w:t>
      </w:r>
    </w:p>
    <w:p w14:paraId="709BB268" w14:textId="77777777" w:rsidR="008B24C8" w:rsidRPr="00005F0C" w:rsidRDefault="0083155C" w:rsidP="005B3D29">
      <w:pPr>
        <w:pStyle w:val="ESPara"/>
        <w:ind w:left="567" w:hanging="567"/>
      </w:pPr>
      <w:r w:rsidRPr="00005F0C">
        <w:t xml:space="preserve">The </w:t>
      </w:r>
      <w:r w:rsidRPr="00005F0C">
        <w:rPr>
          <w:szCs w:val="24"/>
        </w:rPr>
        <w:t>Office</w:t>
      </w:r>
      <w:r w:rsidRPr="00005F0C">
        <w:t xml:space="preserve"> of Best Practice Regulation (OBPR) was also consulted and considered that the instrument dealt with matters of a minor or machinery nature and no regulatory impact statement was required.  The OBPR reference number is 44648.</w:t>
      </w:r>
    </w:p>
    <w:p w14:paraId="201836FF" w14:textId="77777777" w:rsidR="00AA4557" w:rsidRPr="00005F0C" w:rsidRDefault="00464080" w:rsidP="00100DFC">
      <w:pPr>
        <w:pStyle w:val="ESHeading"/>
      </w:pPr>
      <w:r w:rsidRPr="00005F0C">
        <w:t>Details</w:t>
      </w:r>
      <w:r w:rsidR="00AA4557" w:rsidRPr="00005F0C">
        <w:t xml:space="preserve"> of the instrument</w:t>
      </w:r>
    </w:p>
    <w:p w14:paraId="5C0287D0" w14:textId="77777777" w:rsidR="00AA4557" w:rsidRPr="00005F0C" w:rsidRDefault="00AA4557" w:rsidP="005B3D29">
      <w:pPr>
        <w:pStyle w:val="ESPara"/>
        <w:ind w:left="567" w:hanging="567"/>
      </w:pPr>
      <w:r w:rsidRPr="00005F0C">
        <w:rPr>
          <w:szCs w:val="24"/>
        </w:rPr>
        <w:t>Section</w:t>
      </w:r>
      <w:r w:rsidRPr="00005F0C">
        <w:t xml:space="preserve"> 1 sets out</w:t>
      </w:r>
      <w:r w:rsidR="00E03DCC" w:rsidRPr="00005F0C">
        <w:t xml:space="preserve"> the name of the instrument. </w:t>
      </w:r>
    </w:p>
    <w:p w14:paraId="682112B9" w14:textId="7CB61C9D" w:rsidR="00AA4557" w:rsidRPr="00005F0C" w:rsidRDefault="00AA4557" w:rsidP="005B3D29">
      <w:pPr>
        <w:pStyle w:val="ESPara"/>
        <w:ind w:left="567" w:hanging="567"/>
      </w:pPr>
      <w:r w:rsidRPr="00005F0C">
        <w:rPr>
          <w:szCs w:val="24"/>
        </w:rPr>
        <w:t>Section</w:t>
      </w:r>
      <w:r w:rsidRPr="00005F0C">
        <w:t xml:space="preserve"> 2 provides for the commencement of the instrument on </w:t>
      </w:r>
      <w:r w:rsidR="00650A6B" w:rsidRPr="00005F0C">
        <w:t>the day after registration</w:t>
      </w:r>
      <w:r w:rsidR="00743C94" w:rsidRPr="00005F0C">
        <w:t xml:space="preserve"> on the Federal Register of Legislation</w:t>
      </w:r>
      <w:r w:rsidRPr="00005F0C">
        <w:t>.</w:t>
      </w:r>
    </w:p>
    <w:p w14:paraId="57D82D14" w14:textId="77777777" w:rsidR="007D5CEE" w:rsidRPr="00005F0C" w:rsidRDefault="00E03DCC" w:rsidP="005B3D29">
      <w:pPr>
        <w:pStyle w:val="ESPara"/>
        <w:ind w:left="567" w:hanging="567"/>
      </w:pPr>
      <w:r w:rsidRPr="00005F0C">
        <w:rPr>
          <w:szCs w:val="24"/>
        </w:rPr>
        <w:t>Section</w:t>
      </w:r>
      <w:r w:rsidRPr="00005F0C">
        <w:t xml:space="preserve"> 3 </w:t>
      </w:r>
      <w:r w:rsidR="007D5CEE" w:rsidRPr="00005F0C">
        <w:t>provides that</w:t>
      </w:r>
      <w:r w:rsidR="00650A6B" w:rsidRPr="00005F0C">
        <w:t xml:space="preserve"> </w:t>
      </w:r>
      <w:r w:rsidR="00650A6B" w:rsidRPr="00005F0C">
        <w:rPr>
          <w:rStyle w:val="LDItal"/>
        </w:rPr>
        <w:t xml:space="preserve">Migration (Arrangements for Protection, Refugee and Humanitarian Visas) Instrument (LIN 20/169) 2020 </w:t>
      </w:r>
      <w:r w:rsidR="00650A6B" w:rsidRPr="00005F0C">
        <w:rPr>
          <w:rStyle w:val="LDItal"/>
          <w:i w:val="0"/>
        </w:rPr>
        <w:t>(F2020L01420)</w:t>
      </w:r>
      <w:r w:rsidR="007D5CEE" w:rsidRPr="00005F0C">
        <w:rPr>
          <w:rStyle w:val="LDItal"/>
          <w:i w:val="0"/>
        </w:rPr>
        <w:t xml:space="preserve"> </w:t>
      </w:r>
      <w:r w:rsidR="007D5CEE" w:rsidRPr="00005F0C">
        <w:t xml:space="preserve">is amended as set out in Schedule 1 to the instrument. </w:t>
      </w:r>
    </w:p>
    <w:p w14:paraId="5267EF04" w14:textId="47114E63" w:rsidR="004F0FCA" w:rsidRPr="00005F0C" w:rsidRDefault="00A3592F">
      <w:pPr>
        <w:pStyle w:val="ESPara"/>
        <w:ind w:left="567" w:hanging="567"/>
      </w:pPr>
      <w:r w:rsidRPr="00005F0C">
        <w:t>Item 1 of Sch</w:t>
      </w:r>
      <w:r w:rsidR="00841244" w:rsidRPr="00005F0C">
        <w:t xml:space="preserve">edule 1 inserts </w:t>
      </w:r>
      <w:r w:rsidRPr="00005F0C">
        <w:t>a definition</w:t>
      </w:r>
      <w:r w:rsidR="00841244" w:rsidRPr="00005F0C">
        <w:t xml:space="preserve"> of</w:t>
      </w:r>
      <w:r w:rsidR="00362164" w:rsidRPr="00005F0C">
        <w:t xml:space="preserve"> ‘written notice’</w:t>
      </w:r>
      <w:r w:rsidRPr="00005F0C">
        <w:t xml:space="preserve"> </w:t>
      </w:r>
      <w:r w:rsidR="00313959" w:rsidRPr="00005F0C">
        <w:t xml:space="preserve">in section 4 </w:t>
      </w:r>
      <w:r w:rsidR="00841244" w:rsidRPr="00005F0C">
        <w:t>of LIN </w:t>
      </w:r>
      <w:r w:rsidR="00E93B97" w:rsidRPr="00005F0C">
        <w:t>20/169</w:t>
      </w:r>
      <w:r w:rsidR="00AD0326" w:rsidRPr="00005F0C">
        <w:t>.  This term supplements</w:t>
      </w:r>
      <w:r w:rsidR="00743C94" w:rsidRPr="00005F0C">
        <w:t xml:space="preserve"> the amendments ma</w:t>
      </w:r>
      <w:r w:rsidR="005B3D29" w:rsidRPr="00005F0C">
        <w:t>d</w:t>
      </w:r>
      <w:r w:rsidR="00743C94" w:rsidRPr="00005F0C">
        <w:t>e to section 8 of LIN 20/169</w:t>
      </w:r>
      <w:r w:rsidR="003F0094" w:rsidRPr="00005F0C">
        <w:t xml:space="preserve">.  </w:t>
      </w:r>
    </w:p>
    <w:p w14:paraId="1D3F2A83" w14:textId="6EB1CABB" w:rsidR="00AD0326" w:rsidRPr="00005F0C" w:rsidRDefault="00AD0326" w:rsidP="009F7703">
      <w:pPr>
        <w:pStyle w:val="ESPara"/>
        <w:ind w:left="567" w:hanging="567"/>
      </w:pPr>
      <w:r w:rsidRPr="00005F0C">
        <w:rPr>
          <w:szCs w:val="24"/>
        </w:rPr>
        <w:t>Item</w:t>
      </w:r>
      <w:r w:rsidRPr="00005F0C">
        <w:t xml:space="preserve"> 2 of Schedule 1 amends section 7 of LIN 20/169 to substitute ‘paper form 866 and posted with correct pre-paid postage amount’ with ‘form 866 and posted with sufficient prepaid postage’.  </w:t>
      </w:r>
      <w:r w:rsidR="005D329F" w:rsidRPr="00005F0C">
        <w:t xml:space="preserve">This reflects that forms do not have to be made on hard-copy paper and can be completed and lodged electronically, without printing to paper.  This amendment </w:t>
      </w:r>
      <w:r w:rsidR="00E00F8C" w:rsidRPr="00005F0C">
        <w:rPr>
          <w:rFonts w:hint="eastAsia"/>
          <w:lang w:eastAsia="zh-CN"/>
        </w:rPr>
        <w:t>also</w:t>
      </w:r>
      <w:r w:rsidR="00E00F8C" w:rsidRPr="00005F0C">
        <w:t xml:space="preserve"> </w:t>
      </w:r>
      <w:r w:rsidR="005D329F" w:rsidRPr="00005F0C">
        <w:t xml:space="preserve">ensures that in the case an applicant pays more than the ‘correct’ postage amount, the application will not be made invalid.  </w:t>
      </w:r>
    </w:p>
    <w:p w14:paraId="2128B59A" w14:textId="77777777" w:rsidR="00AD0326" w:rsidRPr="00005F0C" w:rsidRDefault="00AD0326" w:rsidP="00AD0326">
      <w:pPr>
        <w:pStyle w:val="ESPara"/>
        <w:ind w:left="567" w:hanging="567"/>
      </w:pPr>
      <w:r w:rsidRPr="00005F0C">
        <w:t xml:space="preserve">Item 3 of Schedule 1 amends section 8 of LIN 20/169 to insert the arrangements for making an </w:t>
      </w:r>
      <w:r w:rsidRPr="00005F0C">
        <w:rPr>
          <w:szCs w:val="24"/>
        </w:rPr>
        <w:t>application</w:t>
      </w:r>
      <w:r w:rsidRPr="00005F0C">
        <w:t xml:space="preserve"> for a Class XB visa for an applicant covered by subitem 1402(3B) of Schedule 1 to the Regulations.   </w:t>
      </w:r>
    </w:p>
    <w:p w14:paraId="31CB8F3E" w14:textId="201F4F0D" w:rsidR="00AD0326" w:rsidRPr="00005F0C" w:rsidRDefault="00AD0326" w:rsidP="00AD0326">
      <w:pPr>
        <w:pStyle w:val="ESPara"/>
        <w:ind w:left="567" w:hanging="567"/>
      </w:pPr>
      <w:r w:rsidRPr="00005F0C">
        <w:lastRenderedPageBreak/>
        <w:t xml:space="preserve">This item replaces the table in section 8 of LIN 20/169.  The new table includes a new item, which </w:t>
      </w:r>
      <w:r w:rsidRPr="00005F0C">
        <w:rPr>
          <w:szCs w:val="24"/>
        </w:rPr>
        <w:t>specifies</w:t>
      </w:r>
      <w:r w:rsidRPr="00005F0C">
        <w:t xml:space="preserve"> the arrangements for making an application if the applicant is covered by subitem 1402(3B) of Schedule 1 to the Regulations.  Item 2 of the </w:t>
      </w:r>
      <w:r w:rsidR="005D329F" w:rsidRPr="00005F0C">
        <w:t>amended</w:t>
      </w:r>
      <w:r w:rsidRPr="00005F0C">
        <w:t xml:space="preserve"> table provides that such an applicant must also have received written notice to make an application using the specified form and in the specified manner.  </w:t>
      </w:r>
    </w:p>
    <w:p w14:paraId="7B11B6D3" w14:textId="6C28760B" w:rsidR="00AD0326" w:rsidRPr="00005F0C" w:rsidRDefault="00AD0326" w:rsidP="00AD0326">
      <w:pPr>
        <w:pStyle w:val="ESPara"/>
        <w:ind w:left="567" w:hanging="567"/>
      </w:pPr>
      <w:r w:rsidRPr="00005F0C">
        <w:t xml:space="preserve">This item also makes minor amendments to the arrangements already in place for Class XB visa </w:t>
      </w:r>
      <w:r w:rsidRPr="00005F0C">
        <w:rPr>
          <w:szCs w:val="24"/>
        </w:rPr>
        <w:t>applicants</w:t>
      </w:r>
      <w:r w:rsidRPr="00005F0C">
        <w:t xml:space="preserve"> under LIN 20/169.  The item also updates the table to reflect changes made to other sections of LIN 20/169 and removes reference to ‘paper’ and ‘correct pre-paid postage’, which is replaced with ‘sufficient postage’.  </w:t>
      </w:r>
    </w:p>
    <w:p w14:paraId="12CD009B" w14:textId="52A3E059" w:rsidR="003F0094" w:rsidRPr="00005F0C" w:rsidRDefault="00D900B8" w:rsidP="005B3D29">
      <w:pPr>
        <w:pStyle w:val="ESPara"/>
        <w:ind w:left="567" w:hanging="567"/>
        <w:rPr>
          <w:szCs w:val="24"/>
        </w:rPr>
      </w:pPr>
      <w:r w:rsidRPr="00005F0C">
        <w:rPr>
          <w:szCs w:val="24"/>
        </w:rPr>
        <w:t>Item</w:t>
      </w:r>
      <w:r w:rsidR="008F7955" w:rsidRPr="00005F0C">
        <w:rPr>
          <w:szCs w:val="24"/>
        </w:rPr>
        <w:t>s</w:t>
      </w:r>
      <w:r w:rsidRPr="00005F0C">
        <w:rPr>
          <w:szCs w:val="24"/>
        </w:rPr>
        <w:t xml:space="preserve"> </w:t>
      </w:r>
      <w:r w:rsidR="000D6631" w:rsidRPr="00005F0C">
        <w:rPr>
          <w:szCs w:val="24"/>
        </w:rPr>
        <w:t>4</w:t>
      </w:r>
      <w:r w:rsidR="001B10C9" w:rsidRPr="00005F0C">
        <w:rPr>
          <w:szCs w:val="24"/>
        </w:rPr>
        <w:t xml:space="preserve"> </w:t>
      </w:r>
      <w:r w:rsidRPr="00005F0C">
        <w:rPr>
          <w:szCs w:val="24"/>
        </w:rPr>
        <w:t xml:space="preserve">and </w:t>
      </w:r>
      <w:r w:rsidR="000D6631" w:rsidRPr="00005F0C">
        <w:rPr>
          <w:szCs w:val="24"/>
        </w:rPr>
        <w:t>6</w:t>
      </w:r>
      <w:r w:rsidRPr="00005F0C">
        <w:rPr>
          <w:szCs w:val="24"/>
        </w:rPr>
        <w:t xml:space="preserve"> of Schedule 1 </w:t>
      </w:r>
      <w:r w:rsidR="00841244" w:rsidRPr="00005F0C">
        <w:rPr>
          <w:szCs w:val="24"/>
        </w:rPr>
        <w:t xml:space="preserve">amend LIN 20/169 to </w:t>
      </w:r>
      <w:r w:rsidR="00486582" w:rsidRPr="00005F0C">
        <w:rPr>
          <w:szCs w:val="24"/>
        </w:rPr>
        <w:t>remove reference to ‘paper’</w:t>
      </w:r>
      <w:r w:rsidR="00FF466C" w:rsidRPr="00005F0C">
        <w:rPr>
          <w:szCs w:val="24"/>
        </w:rPr>
        <w:t xml:space="preserve"> in sections</w:t>
      </w:r>
      <w:r w:rsidR="00DA6ECA" w:rsidRPr="00005F0C">
        <w:rPr>
          <w:szCs w:val="24"/>
        </w:rPr>
        <w:t xml:space="preserve"> 9 and 10</w:t>
      </w:r>
      <w:r w:rsidR="00FF466C" w:rsidRPr="00005F0C">
        <w:rPr>
          <w:szCs w:val="24"/>
        </w:rPr>
        <w:t xml:space="preserve"> of LIN 20/169. </w:t>
      </w:r>
      <w:r w:rsidR="00486582" w:rsidRPr="00005F0C">
        <w:rPr>
          <w:szCs w:val="24"/>
        </w:rPr>
        <w:t xml:space="preserve"> </w:t>
      </w:r>
      <w:r w:rsidR="003F0094" w:rsidRPr="00005F0C">
        <w:rPr>
          <w:szCs w:val="24"/>
        </w:rPr>
        <w:t>The word ‘paper’ is</w:t>
      </w:r>
      <w:r w:rsidR="0006088C" w:rsidRPr="00005F0C">
        <w:rPr>
          <w:szCs w:val="24"/>
        </w:rPr>
        <w:t xml:space="preserve"> removed from before ‘form 866’</w:t>
      </w:r>
      <w:r w:rsidR="003F0094" w:rsidRPr="00005F0C">
        <w:rPr>
          <w:szCs w:val="24"/>
        </w:rPr>
        <w:t xml:space="preserve"> and ‘form 1505’ </w:t>
      </w:r>
      <w:r w:rsidR="005D329F" w:rsidRPr="00005F0C">
        <w:rPr>
          <w:szCs w:val="24"/>
        </w:rPr>
        <w:t>for the same reasons as outlined for item 2 of Schedule 1, above.</w:t>
      </w:r>
      <w:r w:rsidR="003F0094" w:rsidRPr="00005F0C">
        <w:rPr>
          <w:szCs w:val="24"/>
        </w:rPr>
        <w:t xml:space="preserve">  </w:t>
      </w:r>
    </w:p>
    <w:p w14:paraId="4F2297D1" w14:textId="23D433E8" w:rsidR="003F0094" w:rsidRPr="00005F0C" w:rsidRDefault="009A39F4" w:rsidP="005B3D29">
      <w:pPr>
        <w:pStyle w:val="ESPara"/>
        <w:ind w:left="567" w:hanging="567"/>
        <w:rPr>
          <w:szCs w:val="24"/>
        </w:rPr>
      </w:pPr>
      <w:r w:rsidRPr="00005F0C">
        <w:rPr>
          <w:szCs w:val="24"/>
        </w:rPr>
        <w:t xml:space="preserve">Items </w:t>
      </w:r>
      <w:r w:rsidR="000D6631" w:rsidRPr="00005F0C">
        <w:rPr>
          <w:szCs w:val="24"/>
        </w:rPr>
        <w:t>5</w:t>
      </w:r>
      <w:r w:rsidRPr="00005F0C">
        <w:rPr>
          <w:szCs w:val="24"/>
        </w:rPr>
        <w:t xml:space="preserve"> and </w:t>
      </w:r>
      <w:r w:rsidR="000D6631" w:rsidRPr="00005F0C">
        <w:rPr>
          <w:szCs w:val="24"/>
        </w:rPr>
        <w:t>7</w:t>
      </w:r>
      <w:r w:rsidR="00E05449" w:rsidRPr="00005F0C">
        <w:rPr>
          <w:szCs w:val="24"/>
        </w:rPr>
        <w:t xml:space="preserve"> of Schedule 1 </w:t>
      </w:r>
      <w:r w:rsidR="00841244" w:rsidRPr="00005F0C">
        <w:rPr>
          <w:szCs w:val="24"/>
        </w:rPr>
        <w:t xml:space="preserve">amend LIN 20/169 to </w:t>
      </w:r>
      <w:r w:rsidR="00E05449" w:rsidRPr="00005F0C">
        <w:rPr>
          <w:szCs w:val="24"/>
        </w:rPr>
        <w:t>substitute ‘correct pre-paid postage amount’ with ‘sufficient prepaid postage’</w:t>
      </w:r>
      <w:r w:rsidR="00FF466C" w:rsidRPr="00005F0C">
        <w:rPr>
          <w:szCs w:val="24"/>
        </w:rPr>
        <w:t xml:space="preserve"> in sections </w:t>
      </w:r>
      <w:r w:rsidR="00FB7F18" w:rsidRPr="00005F0C">
        <w:rPr>
          <w:szCs w:val="24"/>
        </w:rPr>
        <w:t>9 and 10</w:t>
      </w:r>
      <w:r w:rsidR="00FF466C" w:rsidRPr="00005F0C">
        <w:rPr>
          <w:szCs w:val="24"/>
        </w:rPr>
        <w:t xml:space="preserve"> of LIN 20/169</w:t>
      </w:r>
      <w:r w:rsidR="00E05449" w:rsidRPr="00005F0C">
        <w:rPr>
          <w:szCs w:val="24"/>
        </w:rPr>
        <w:t>.</w:t>
      </w:r>
      <w:r w:rsidR="00743C94" w:rsidRPr="00005F0C">
        <w:rPr>
          <w:szCs w:val="24"/>
        </w:rPr>
        <w:t xml:space="preserve"> </w:t>
      </w:r>
      <w:r w:rsidR="009F157E" w:rsidRPr="00005F0C">
        <w:rPr>
          <w:szCs w:val="24"/>
        </w:rPr>
        <w:t xml:space="preserve">This amendment </w:t>
      </w:r>
      <w:r w:rsidR="005D329F" w:rsidRPr="00005F0C">
        <w:rPr>
          <w:szCs w:val="24"/>
        </w:rPr>
        <w:t xml:space="preserve">is made for the same reasons as outlined for item 2 of Schedule 1, above.  </w:t>
      </w:r>
    </w:p>
    <w:p w14:paraId="356D56D6" w14:textId="77777777" w:rsidR="00AA4557" w:rsidRPr="00005F0C" w:rsidRDefault="00AA4557" w:rsidP="00100DFC">
      <w:pPr>
        <w:pStyle w:val="ESHeading"/>
      </w:pPr>
      <w:r w:rsidRPr="00005F0C">
        <w:t xml:space="preserve">Parliamentary scrutiny etc.  </w:t>
      </w:r>
    </w:p>
    <w:p w14:paraId="3EA91341" w14:textId="768EAB33" w:rsidR="00E03DCC" w:rsidRPr="00005F0C" w:rsidRDefault="00C203D1" w:rsidP="005B3D29">
      <w:pPr>
        <w:pStyle w:val="ESPara"/>
        <w:ind w:left="567" w:hanging="567"/>
      </w:pPr>
      <w:r w:rsidRPr="00005F0C">
        <w:t xml:space="preserve">The </w:t>
      </w:r>
      <w:r w:rsidRPr="00005F0C">
        <w:rPr>
          <w:szCs w:val="24"/>
        </w:rPr>
        <w:t>instrument</w:t>
      </w:r>
      <w:r w:rsidRPr="00005F0C">
        <w:t xml:space="preserve"> is exempt from disallowance under section 42 of the Legislation Act. </w:t>
      </w:r>
      <w:r w:rsidR="009A4CDB" w:rsidRPr="00005F0C">
        <w:t xml:space="preserve"> </w:t>
      </w:r>
      <w:r w:rsidRPr="00005F0C">
        <w:t xml:space="preserve">This is because it is an instrument made under subregulation 2.07(5) and item 1402 of Schedule 1 to the Regulations, which is exempt from disallowance under paragraph (b) of item 20 in section 10 of the </w:t>
      </w:r>
      <w:r w:rsidRPr="00005F0C">
        <w:rPr>
          <w:i/>
          <w:iCs/>
        </w:rPr>
        <w:t>Legislation (Exemptions and Other Matters) Regulation 2015</w:t>
      </w:r>
      <w:r w:rsidRPr="00005F0C">
        <w:t xml:space="preserve">. </w:t>
      </w:r>
    </w:p>
    <w:p w14:paraId="77547156" w14:textId="1EA513C3" w:rsidR="00B75478" w:rsidRPr="00005F0C" w:rsidRDefault="00B75478" w:rsidP="005B3D29">
      <w:pPr>
        <w:pStyle w:val="ESPara"/>
        <w:ind w:left="567" w:hanging="567"/>
      </w:pPr>
      <w:r w:rsidRPr="00005F0C">
        <w:t xml:space="preserve">The </w:t>
      </w:r>
      <w:r w:rsidRPr="00005F0C">
        <w:rPr>
          <w:szCs w:val="24"/>
        </w:rPr>
        <w:t>instrument</w:t>
      </w:r>
      <w:r w:rsidRPr="00005F0C">
        <w:t xml:space="preserve"> was made by </w:t>
      </w:r>
      <w:r w:rsidR="00F47A65" w:rsidRPr="00005F0C">
        <w:t>a</w:t>
      </w:r>
      <w:r w:rsidR="0088407D" w:rsidRPr="00005F0C">
        <w:t xml:space="preserve"> delegate</w:t>
      </w:r>
      <w:r w:rsidR="00886D73" w:rsidRPr="00005F0C">
        <w:t xml:space="preserve"> of the</w:t>
      </w:r>
      <w:r w:rsidR="00886D73" w:rsidRPr="00005F0C">
        <w:rPr>
          <w:rFonts w:ascii="Helvetica Neue" w:hAnsi="Helvetica Neue" w:cstheme="minorBidi"/>
          <w:sz w:val="19"/>
          <w:szCs w:val="19"/>
        </w:rPr>
        <w:t xml:space="preserve"> </w:t>
      </w:r>
      <w:r w:rsidR="00886D73" w:rsidRPr="00005F0C">
        <w:t xml:space="preserve">Minister, </w:t>
      </w:r>
      <w:r w:rsidR="00DA6ECA" w:rsidRPr="00005F0C">
        <w:t xml:space="preserve">acting under </w:t>
      </w:r>
      <w:r w:rsidR="00886D73" w:rsidRPr="00005F0C">
        <w:t>subregulation 2.07(5) and item</w:t>
      </w:r>
      <w:r w:rsidR="00017B3F" w:rsidRPr="00005F0C">
        <w:t> </w:t>
      </w:r>
      <w:r w:rsidR="00886D73" w:rsidRPr="00005F0C">
        <w:t>1402 of Schedule 1 to the Regulations</w:t>
      </w:r>
      <w:r w:rsidRPr="00005F0C">
        <w:t xml:space="preserve">. </w:t>
      </w:r>
    </w:p>
    <w:bookmarkEnd w:id="0"/>
    <w:p w14:paraId="7D8CF071" w14:textId="77777777" w:rsidR="00915032" w:rsidRPr="00005F0C" w:rsidRDefault="00915032" w:rsidP="002D4DD7">
      <w:pPr>
        <w:rPr>
          <w:rFonts w:ascii="Times New Roman" w:hAnsi="Times New Roman" w:cs="Times New Roman"/>
        </w:rPr>
      </w:pPr>
    </w:p>
    <w:sectPr w:rsidR="00915032" w:rsidRPr="00005F0C" w:rsidSect="00A15F5A">
      <w:footerReference w:type="default" r:id="rId7"/>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9EF9E" w14:textId="77777777" w:rsidR="00A15F5A" w:rsidRDefault="00A15F5A" w:rsidP="00A15F5A">
      <w:pPr>
        <w:spacing w:after="0" w:line="240" w:lineRule="auto"/>
      </w:pPr>
      <w:r>
        <w:separator/>
      </w:r>
    </w:p>
  </w:endnote>
  <w:endnote w:type="continuationSeparator" w:id="0">
    <w:p w14:paraId="27472648" w14:textId="77777777" w:rsidR="00A15F5A" w:rsidRDefault="00A15F5A" w:rsidP="00A1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B693A" w14:textId="1066C8B7" w:rsidR="00A15F5A" w:rsidRPr="00743C94" w:rsidRDefault="00A15F5A" w:rsidP="00A15F5A">
    <w:pPr>
      <w:pStyle w:val="Footer"/>
      <w:pBdr>
        <w:top w:val="single" w:sz="4" w:space="1" w:color="auto"/>
      </w:pBdr>
      <w:tabs>
        <w:tab w:val="clear" w:pos="9026"/>
        <w:tab w:val="right" w:pos="9746"/>
      </w:tabs>
      <w:rPr>
        <w:rFonts w:ascii="Times New Roman" w:hAnsi="Times New Roman" w:cs="Times New Roman"/>
        <w:sz w:val="16"/>
        <w:szCs w:val="16"/>
      </w:rPr>
    </w:pPr>
    <w:r w:rsidRPr="005B3D29">
      <w:rPr>
        <w:rFonts w:ascii="Times New Roman" w:hAnsi="Times New Roman" w:cs="Times New Roman"/>
        <w:i/>
        <w:sz w:val="18"/>
        <w:szCs w:val="18"/>
      </w:rPr>
      <w:fldChar w:fldCharType="begin"/>
    </w:r>
    <w:r w:rsidRPr="005B3D29">
      <w:rPr>
        <w:rFonts w:ascii="Times New Roman" w:hAnsi="Times New Roman" w:cs="Times New Roman"/>
        <w:i/>
        <w:sz w:val="18"/>
        <w:szCs w:val="18"/>
      </w:rPr>
      <w:instrText xml:space="preserve"> REF Title \h  \* MERGEFORMAT </w:instrText>
    </w:r>
    <w:r w:rsidRPr="005B3D29">
      <w:rPr>
        <w:rFonts w:ascii="Times New Roman" w:hAnsi="Times New Roman" w:cs="Times New Roman"/>
        <w:i/>
        <w:sz w:val="18"/>
        <w:szCs w:val="18"/>
      </w:rPr>
    </w:r>
    <w:r w:rsidRPr="005B3D29">
      <w:rPr>
        <w:rFonts w:ascii="Times New Roman" w:hAnsi="Times New Roman" w:cs="Times New Roman"/>
        <w:i/>
        <w:sz w:val="18"/>
        <w:szCs w:val="18"/>
      </w:rPr>
      <w:fldChar w:fldCharType="separate"/>
    </w:r>
    <w:r w:rsidR="006E6C14" w:rsidRPr="006E6C14">
      <w:rPr>
        <w:rFonts w:ascii="Times New Roman" w:hAnsi="Times New Roman" w:cs="Times New Roman"/>
        <w:i/>
        <w:sz w:val="18"/>
        <w:szCs w:val="18"/>
      </w:rPr>
      <w:t>Migration (Arrangements for Protection, Refugee and Humanitarian visas) Amendment Instrument (LIN 21/079) 2021</w:t>
    </w:r>
    <w:r w:rsidRPr="005B3D29">
      <w:rPr>
        <w:rFonts w:ascii="Times New Roman" w:hAnsi="Times New Roman" w:cs="Times New Roman"/>
        <w:i/>
        <w:sz w:val="18"/>
        <w:szCs w:val="18"/>
      </w:rPr>
      <w:fldChar w:fldCharType="end"/>
    </w:r>
    <w:r w:rsidRPr="00743C94">
      <w:rPr>
        <w:rFonts w:ascii="Times New Roman" w:hAnsi="Times New Roman" w:cs="Times New Roman"/>
        <w:sz w:val="16"/>
        <w:szCs w:val="16"/>
      </w:rPr>
      <w:tab/>
    </w:r>
    <w:r w:rsidRPr="00743C94">
      <w:rPr>
        <w:rStyle w:val="PageNumber"/>
        <w:rFonts w:ascii="Times New Roman" w:hAnsi="Times New Roman" w:cs="Times New Roman"/>
        <w:sz w:val="16"/>
        <w:szCs w:val="16"/>
      </w:rPr>
      <w:fldChar w:fldCharType="begin"/>
    </w:r>
    <w:r w:rsidRPr="00743C94">
      <w:rPr>
        <w:rStyle w:val="PageNumber"/>
        <w:rFonts w:ascii="Times New Roman" w:hAnsi="Times New Roman" w:cs="Times New Roman"/>
        <w:sz w:val="16"/>
        <w:szCs w:val="16"/>
      </w:rPr>
      <w:instrText xml:space="preserve"> PAGE </w:instrText>
    </w:r>
    <w:r w:rsidRPr="00743C94">
      <w:rPr>
        <w:rStyle w:val="PageNumber"/>
        <w:rFonts w:ascii="Times New Roman" w:hAnsi="Times New Roman" w:cs="Times New Roman"/>
        <w:sz w:val="16"/>
        <w:szCs w:val="16"/>
      </w:rPr>
      <w:fldChar w:fldCharType="separate"/>
    </w:r>
    <w:r w:rsidR="00005F0C">
      <w:rPr>
        <w:rStyle w:val="PageNumber"/>
        <w:rFonts w:ascii="Times New Roman" w:hAnsi="Times New Roman" w:cs="Times New Roman"/>
        <w:noProof/>
        <w:sz w:val="16"/>
        <w:szCs w:val="16"/>
      </w:rPr>
      <w:t>2</w:t>
    </w:r>
    <w:r w:rsidRPr="00743C94">
      <w:rPr>
        <w:rStyle w:val="PageNumbe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6D10" w14:textId="77777777" w:rsidR="00A15F5A" w:rsidRDefault="00A15F5A" w:rsidP="00A15F5A">
      <w:pPr>
        <w:spacing w:after="0" w:line="240" w:lineRule="auto"/>
      </w:pPr>
      <w:r>
        <w:separator/>
      </w:r>
    </w:p>
  </w:footnote>
  <w:footnote w:type="continuationSeparator" w:id="0">
    <w:p w14:paraId="519C8E79" w14:textId="77777777" w:rsidR="00A15F5A" w:rsidRDefault="00A15F5A" w:rsidP="00A15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73"/>
    <w:rsid w:val="00004D73"/>
    <w:rsid w:val="00005F0C"/>
    <w:rsid w:val="00017B3F"/>
    <w:rsid w:val="000346F3"/>
    <w:rsid w:val="0006088C"/>
    <w:rsid w:val="00061DA1"/>
    <w:rsid w:val="00074022"/>
    <w:rsid w:val="00083297"/>
    <w:rsid w:val="000A5F92"/>
    <w:rsid w:val="000C4639"/>
    <w:rsid w:val="000D014F"/>
    <w:rsid w:val="000D3AE9"/>
    <w:rsid w:val="000D6631"/>
    <w:rsid w:val="000E2305"/>
    <w:rsid w:val="00100DFC"/>
    <w:rsid w:val="001303B0"/>
    <w:rsid w:val="001419C2"/>
    <w:rsid w:val="00144971"/>
    <w:rsid w:val="0019164E"/>
    <w:rsid w:val="00191D8D"/>
    <w:rsid w:val="001944EB"/>
    <w:rsid w:val="001B10C9"/>
    <w:rsid w:val="00200F16"/>
    <w:rsid w:val="00204CD2"/>
    <w:rsid w:val="00207714"/>
    <w:rsid w:val="00237F31"/>
    <w:rsid w:val="002402E0"/>
    <w:rsid w:val="00244964"/>
    <w:rsid w:val="00272ABE"/>
    <w:rsid w:val="002A193A"/>
    <w:rsid w:val="002D167E"/>
    <w:rsid w:val="002D4DD7"/>
    <w:rsid w:val="002F4D35"/>
    <w:rsid w:val="00313959"/>
    <w:rsid w:val="00317E61"/>
    <w:rsid w:val="00326288"/>
    <w:rsid w:val="003422A8"/>
    <w:rsid w:val="00362164"/>
    <w:rsid w:val="00363602"/>
    <w:rsid w:val="003F0094"/>
    <w:rsid w:val="003F1FAC"/>
    <w:rsid w:val="00423ADC"/>
    <w:rsid w:val="0045465A"/>
    <w:rsid w:val="00457D4A"/>
    <w:rsid w:val="00464080"/>
    <w:rsid w:val="00466CB5"/>
    <w:rsid w:val="00486582"/>
    <w:rsid w:val="004F0FCA"/>
    <w:rsid w:val="004F5CE4"/>
    <w:rsid w:val="0053093B"/>
    <w:rsid w:val="00542FCA"/>
    <w:rsid w:val="00554757"/>
    <w:rsid w:val="00560B24"/>
    <w:rsid w:val="00562F3D"/>
    <w:rsid w:val="00565661"/>
    <w:rsid w:val="00565857"/>
    <w:rsid w:val="0057002B"/>
    <w:rsid w:val="005854C7"/>
    <w:rsid w:val="00596E91"/>
    <w:rsid w:val="005B3D29"/>
    <w:rsid w:val="005D329F"/>
    <w:rsid w:val="005E3A80"/>
    <w:rsid w:val="00604E06"/>
    <w:rsid w:val="00620BBF"/>
    <w:rsid w:val="00631FFA"/>
    <w:rsid w:val="00650A6B"/>
    <w:rsid w:val="00652B69"/>
    <w:rsid w:val="0065486B"/>
    <w:rsid w:val="006559E4"/>
    <w:rsid w:val="00687FFE"/>
    <w:rsid w:val="006913F2"/>
    <w:rsid w:val="006A5B61"/>
    <w:rsid w:val="006C4CC1"/>
    <w:rsid w:val="006E6C14"/>
    <w:rsid w:val="00743C94"/>
    <w:rsid w:val="00750722"/>
    <w:rsid w:val="00753420"/>
    <w:rsid w:val="007704D0"/>
    <w:rsid w:val="00776378"/>
    <w:rsid w:val="00791AEE"/>
    <w:rsid w:val="007C5902"/>
    <w:rsid w:val="007D5CEE"/>
    <w:rsid w:val="007E4691"/>
    <w:rsid w:val="00800E2F"/>
    <w:rsid w:val="0082649A"/>
    <w:rsid w:val="0083155C"/>
    <w:rsid w:val="00836724"/>
    <w:rsid w:val="00836D95"/>
    <w:rsid w:val="00841244"/>
    <w:rsid w:val="00881503"/>
    <w:rsid w:val="0088407D"/>
    <w:rsid w:val="00886D73"/>
    <w:rsid w:val="00893660"/>
    <w:rsid w:val="008B24C8"/>
    <w:rsid w:val="008C7AA4"/>
    <w:rsid w:val="008E5D9D"/>
    <w:rsid w:val="008F22EC"/>
    <w:rsid w:val="008F6ACC"/>
    <w:rsid w:val="008F7955"/>
    <w:rsid w:val="0090095E"/>
    <w:rsid w:val="00911398"/>
    <w:rsid w:val="00913DC8"/>
    <w:rsid w:val="00915032"/>
    <w:rsid w:val="009516C9"/>
    <w:rsid w:val="00954B6E"/>
    <w:rsid w:val="009627A0"/>
    <w:rsid w:val="00963C13"/>
    <w:rsid w:val="009A39F4"/>
    <w:rsid w:val="009A4762"/>
    <w:rsid w:val="009A4CDB"/>
    <w:rsid w:val="009F157E"/>
    <w:rsid w:val="009F7703"/>
    <w:rsid w:val="00A02C99"/>
    <w:rsid w:val="00A15F5A"/>
    <w:rsid w:val="00A3592F"/>
    <w:rsid w:val="00A50C1B"/>
    <w:rsid w:val="00A8290D"/>
    <w:rsid w:val="00A855EF"/>
    <w:rsid w:val="00A9620B"/>
    <w:rsid w:val="00AA4557"/>
    <w:rsid w:val="00AD0326"/>
    <w:rsid w:val="00B01EC1"/>
    <w:rsid w:val="00B11B73"/>
    <w:rsid w:val="00B22B64"/>
    <w:rsid w:val="00B445D9"/>
    <w:rsid w:val="00B600D7"/>
    <w:rsid w:val="00B63DA9"/>
    <w:rsid w:val="00B65A06"/>
    <w:rsid w:val="00B7032B"/>
    <w:rsid w:val="00B727BA"/>
    <w:rsid w:val="00B75478"/>
    <w:rsid w:val="00BB0CF2"/>
    <w:rsid w:val="00BC203B"/>
    <w:rsid w:val="00BC59D0"/>
    <w:rsid w:val="00BD4EDB"/>
    <w:rsid w:val="00BD598E"/>
    <w:rsid w:val="00BD6378"/>
    <w:rsid w:val="00C203D1"/>
    <w:rsid w:val="00C2599E"/>
    <w:rsid w:val="00C30F02"/>
    <w:rsid w:val="00C81A5E"/>
    <w:rsid w:val="00C928B7"/>
    <w:rsid w:val="00C930F2"/>
    <w:rsid w:val="00C93254"/>
    <w:rsid w:val="00D23C46"/>
    <w:rsid w:val="00D26C1E"/>
    <w:rsid w:val="00D40E1E"/>
    <w:rsid w:val="00D61499"/>
    <w:rsid w:val="00D64526"/>
    <w:rsid w:val="00D900B8"/>
    <w:rsid w:val="00DA308B"/>
    <w:rsid w:val="00DA4192"/>
    <w:rsid w:val="00DA5735"/>
    <w:rsid w:val="00DA6ECA"/>
    <w:rsid w:val="00DC1965"/>
    <w:rsid w:val="00DC4AC9"/>
    <w:rsid w:val="00DE0B2B"/>
    <w:rsid w:val="00E00F8C"/>
    <w:rsid w:val="00E03DCC"/>
    <w:rsid w:val="00E05449"/>
    <w:rsid w:val="00E06C37"/>
    <w:rsid w:val="00E45FE2"/>
    <w:rsid w:val="00E93B97"/>
    <w:rsid w:val="00EA12C9"/>
    <w:rsid w:val="00EA4C03"/>
    <w:rsid w:val="00EB15A4"/>
    <w:rsid w:val="00EB6DF7"/>
    <w:rsid w:val="00EF0A15"/>
    <w:rsid w:val="00F06E6A"/>
    <w:rsid w:val="00F172FD"/>
    <w:rsid w:val="00F232E7"/>
    <w:rsid w:val="00F47A65"/>
    <w:rsid w:val="00F54A6A"/>
    <w:rsid w:val="00F85540"/>
    <w:rsid w:val="00FB6B86"/>
    <w:rsid w:val="00FB7F18"/>
    <w:rsid w:val="00FC27DA"/>
    <w:rsid w:val="00FD252A"/>
    <w:rsid w:val="00FE0169"/>
    <w:rsid w:val="00FE0FEE"/>
    <w:rsid w:val="00FF466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5A60EE"/>
  <w15:chartTrackingRefBased/>
  <w15:docId w15:val="{4F263E26-D8A5-41B7-9F07-021681F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uiPriority w:val="99"/>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ind w:left="720" w:hanging="360"/>
    </w:pPr>
  </w:style>
  <w:style w:type="character" w:customStyle="1" w:styleId="ESParaChar">
    <w:name w:val="ES_Para Char"/>
    <w:basedOn w:val="ESSubparaHeaderChar"/>
    <w:link w:val="ESPara"/>
    <w:rsid w:val="002D167E"/>
    <w:rPr>
      <w:rFonts w:ascii="Times New Roman" w:hAnsi="Times New Roman" w:cs="Times New Roman"/>
    </w:rPr>
  </w:style>
  <w:style w:type="character" w:customStyle="1" w:styleId="LDBoldItal">
    <w:name w:val="LDBoldItal"/>
    <w:uiPriority w:val="1"/>
    <w:qFormat/>
    <w:rsid w:val="00B63DA9"/>
    <w:rPr>
      <w:b/>
      <w:i/>
    </w:rPr>
  </w:style>
  <w:style w:type="character" w:customStyle="1" w:styleId="LDItal">
    <w:name w:val="LDItal"/>
    <w:basedOn w:val="DefaultParagraphFont"/>
    <w:uiPriority w:val="1"/>
    <w:rsid w:val="00B63DA9"/>
    <w:rPr>
      <w:i/>
    </w:rPr>
  </w:style>
  <w:style w:type="paragraph" w:styleId="Header">
    <w:name w:val="header"/>
    <w:basedOn w:val="Normal"/>
    <w:link w:val="HeaderChar"/>
    <w:uiPriority w:val="99"/>
    <w:unhideWhenUsed/>
    <w:rsid w:val="00A15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F5A"/>
  </w:style>
  <w:style w:type="paragraph" w:styleId="Footer">
    <w:name w:val="footer"/>
    <w:basedOn w:val="Normal"/>
    <w:link w:val="FooterChar"/>
    <w:unhideWhenUsed/>
    <w:rsid w:val="00A15F5A"/>
    <w:pPr>
      <w:tabs>
        <w:tab w:val="center" w:pos="4513"/>
        <w:tab w:val="right" w:pos="9026"/>
      </w:tabs>
      <w:spacing w:after="0" w:line="240" w:lineRule="auto"/>
    </w:pPr>
  </w:style>
  <w:style w:type="character" w:customStyle="1" w:styleId="FooterChar">
    <w:name w:val="Footer Char"/>
    <w:basedOn w:val="DefaultParagraphFont"/>
    <w:link w:val="Footer"/>
    <w:rsid w:val="00A15F5A"/>
  </w:style>
  <w:style w:type="character" w:styleId="PageNumber">
    <w:name w:val="page number"/>
    <w:basedOn w:val="DefaultParagraphFont"/>
    <w:rsid w:val="00A15F5A"/>
  </w:style>
  <w:style w:type="character" w:styleId="CommentReference">
    <w:name w:val="annotation reference"/>
    <w:basedOn w:val="DefaultParagraphFont"/>
    <w:uiPriority w:val="99"/>
    <w:unhideWhenUsed/>
    <w:rsid w:val="0083155C"/>
    <w:rPr>
      <w:sz w:val="16"/>
      <w:szCs w:val="16"/>
    </w:rPr>
  </w:style>
  <w:style w:type="paragraph" w:styleId="CommentText">
    <w:name w:val="annotation text"/>
    <w:basedOn w:val="Normal"/>
    <w:link w:val="CommentTextChar"/>
    <w:uiPriority w:val="99"/>
    <w:semiHidden/>
    <w:unhideWhenUsed/>
    <w:rsid w:val="0083155C"/>
    <w:pPr>
      <w:spacing w:line="240" w:lineRule="auto"/>
    </w:pPr>
    <w:rPr>
      <w:sz w:val="20"/>
      <w:szCs w:val="20"/>
    </w:rPr>
  </w:style>
  <w:style w:type="character" w:customStyle="1" w:styleId="CommentTextChar">
    <w:name w:val="Comment Text Char"/>
    <w:basedOn w:val="DefaultParagraphFont"/>
    <w:link w:val="CommentText"/>
    <w:uiPriority w:val="99"/>
    <w:semiHidden/>
    <w:rsid w:val="0083155C"/>
    <w:rPr>
      <w:sz w:val="20"/>
      <w:szCs w:val="20"/>
    </w:rPr>
  </w:style>
  <w:style w:type="paragraph" w:styleId="BalloonText">
    <w:name w:val="Balloon Text"/>
    <w:basedOn w:val="Normal"/>
    <w:link w:val="BalloonTextChar"/>
    <w:uiPriority w:val="99"/>
    <w:semiHidden/>
    <w:unhideWhenUsed/>
    <w:rsid w:val="00831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55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155C"/>
    <w:rPr>
      <w:b/>
      <w:bCs/>
    </w:rPr>
  </w:style>
  <w:style w:type="character" w:customStyle="1" w:styleId="CommentSubjectChar">
    <w:name w:val="Comment Subject Char"/>
    <w:basedOn w:val="CommentTextChar"/>
    <w:link w:val="CommentSubject"/>
    <w:uiPriority w:val="99"/>
    <w:semiHidden/>
    <w:rsid w:val="0083155C"/>
    <w:rPr>
      <w:b/>
      <w:bCs/>
      <w:sz w:val="20"/>
      <w:szCs w:val="20"/>
    </w:rPr>
  </w:style>
  <w:style w:type="paragraph" w:customStyle="1" w:styleId="CharChar">
    <w:name w:val="Char Char"/>
    <w:basedOn w:val="Normal"/>
    <w:rsid w:val="00FC27DA"/>
    <w:pPr>
      <w:spacing w:before="120" w:after="120" w:line="240" w:lineRule="auto"/>
    </w:pPr>
    <w:rPr>
      <w:rFonts w:ascii="Arial" w:eastAsia="Times New Roman" w:hAnsi="Arial" w:cs="Times New Roman"/>
      <w:szCs w:val="20"/>
    </w:rPr>
  </w:style>
  <w:style w:type="paragraph" w:styleId="Revision">
    <w:name w:val="Revision"/>
    <w:hidden/>
    <w:uiPriority w:val="99"/>
    <w:semiHidden/>
    <w:rsid w:val="00836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84293">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Hannah HU</cp:lastModifiedBy>
  <cp:revision>6</cp:revision>
  <cp:lastPrinted>2021-11-15T01:36:00Z</cp:lastPrinted>
  <dcterms:created xsi:type="dcterms:W3CDTF">2021-11-15T01:31:00Z</dcterms:created>
  <dcterms:modified xsi:type="dcterms:W3CDTF">2021-11-15T05:19:00Z</dcterms:modified>
</cp:coreProperties>
</file>