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289FB5F" w:rsidR="00D00EFA" w:rsidRDefault="007810F6" w:rsidP="00D00EFA">
      <w:pPr>
        <w:pStyle w:val="ShortT"/>
      </w:pPr>
      <w:r>
        <w:t>Radiocommunications</w:t>
      </w:r>
      <w:r w:rsidR="00156B1B">
        <w:t xml:space="preserve"> (</w:t>
      </w:r>
      <w:r w:rsidR="00115D13">
        <w:t xml:space="preserve">Electromagnetic </w:t>
      </w:r>
      <w:r w:rsidR="002A545C">
        <w:t>Energy</w:t>
      </w:r>
      <w:r w:rsidR="001A53DF">
        <w:t>)</w:t>
      </w:r>
      <w:r w:rsidR="00156B1B">
        <w:t xml:space="preserve"> Amendment Instrument 2021</w:t>
      </w:r>
      <w:r>
        <w:t xml:space="preserve"> </w:t>
      </w:r>
      <w:r w:rsidR="004619C7">
        <w:t>(No.</w:t>
      </w:r>
      <w:r w:rsidR="00BF7510">
        <w:t xml:space="preserve"> </w:t>
      </w:r>
      <w:r w:rsidR="004619C7">
        <w:t>1)</w:t>
      </w:r>
      <w:r w:rsidR="00C47DB6">
        <w:t xml:space="preserve"> 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9F49800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>The Australian Communications and Media Authority makes the following</w:t>
      </w:r>
      <w:r w:rsidR="002B5E83">
        <w:rPr>
          <w:szCs w:val="22"/>
        </w:rPr>
        <w:t xml:space="preserve"> instrument </w:t>
      </w:r>
      <w:r>
        <w:rPr>
          <w:szCs w:val="22"/>
        </w:rPr>
        <w:t xml:space="preserve">under </w:t>
      </w:r>
      <w:bookmarkStart w:id="0" w:name="_Hlk69304007"/>
      <w:r w:rsidR="008C3996">
        <w:t>subsection</w:t>
      </w:r>
      <w:r w:rsidR="002B5E83">
        <w:t xml:space="preserve"> </w:t>
      </w:r>
      <w:r w:rsidR="008B24DC">
        <w:t>110A</w:t>
      </w:r>
      <w:r w:rsidR="00666DD8">
        <w:t>(2)</w:t>
      </w:r>
      <w:r w:rsidR="0004042E">
        <w:t>,</w:t>
      </w:r>
      <w:r w:rsidR="00666DD8">
        <w:t xml:space="preserve"> subsection 132(1)</w:t>
      </w:r>
      <w:r w:rsidR="0004042E">
        <w:t xml:space="preserve"> and subsection 156(1)</w:t>
      </w:r>
      <w:r w:rsidR="00666DD8">
        <w:t xml:space="preserve"> of the </w:t>
      </w:r>
      <w:r w:rsidR="00666DD8" w:rsidRPr="006D1376">
        <w:rPr>
          <w:i/>
          <w:iCs/>
        </w:rPr>
        <w:t>Radiocommunications Act 1992</w:t>
      </w:r>
      <w:r w:rsidR="00547DE6">
        <w:t>.</w:t>
      </w:r>
    </w:p>
    <w:bookmarkEnd w:id="0"/>
    <w:p w14:paraId="006C8DC4" w14:textId="799F9A8E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2046B5">
        <w:rPr>
          <w:rFonts w:ascii="Times New Roman" w:hAnsi="Times New Roman" w:cs="Times New Roman"/>
        </w:rPr>
        <w:t xml:space="preserve"> </w:t>
      </w:r>
      <w:r w:rsidR="000200C2">
        <w:rPr>
          <w:rFonts w:ascii="Times New Roman" w:hAnsi="Times New Roman" w:cs="Times New Roman"/>
        </w:rPr>
        <w:t>15 November 2021</w:t>
      </w:r>
    </w:p>
    <w:p w14:paraId="6D90F813" w14:textId="25588E19" w:rsidR="000200C2" w:rsidRDefault="000200C2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Camberon</w:t>
      </w:r>
      <w:proofErr w:type="spellEnd"/>
    </w:p>
    <w:p w14:paraId="60A2C297" w14:textId="6E80E8CF" w:rsidR="000200C2" w:rsidRDefault="00B71682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1EAB98ED" w:rsidR="00D00EFA" w:rsidRDefault="00D00EFA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38168A8C" w14:textId="3CC94A7D" w:rsidR="00B71682" w:rsidRDefault="00B71682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13B7514" w14:textId="4801DE94" w:rsidR="00B71682" w:rsidRDefault="00B14244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66A30452" w14:textId="351DF68D" w:rsidR="00B71682" w:rsidRDefault="00B14244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0200C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14244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2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D15E7">
          <w:headerReference w:type="even" r:id="rId13"/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5B54772D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="00805568" w:rsidRPr="002A10E1">
        <w:rPr>
          <w:i/>
          <w:iCs/>
        </w:rPr>
        <w:t>Radiocommunications (</w:t>
      </w:r>
      <w:r w:rsidR="00CA0866">
        <w:rPr>
          <w:i/>
          <w:iCs/>
        </w:rPr>
        <w:t xml:space="preserve">Electromagnetic </w:t>
      </w:r>
      <w:r w:rsidR="002A545C">
        <w:rPr>
          <w:i/>
          <w:iCs/>
        </w:rPr>
        <w:t>Energy</w:t>
      </w:r>
      <w:r w:rsidR="00805568" w:rsidRPr="002A10E1">
        <w:rPr>
          <w:i/>
          <w:iCs/>
        </w:rPr>
        <w:t>) Amendment Instrument 2021 (No.</w:t>
      </w:r>
      <w:r w:rsidR="00F76375">
        <w:rPr>
          <w:i/>
          <w:iCs/>
        </w:rPr>
        <w:t xml:space="preserve"> </w:t>
      </w:r>
      <w:r w:rsidR="002A10E1" w:rsidRPr="002A10E1">
        <w:rPr>
          <w:i/>
          <w:iCs/>
        </w:rPr>
        <w:t>1).</w:t>
      </w:r>
      <w:r w:rsidR="002A10E1">
        <w:t xml:space="preserve"> </w:t>
      </w:r>
    </w:p>
    <w:p w14:paraId="60908A15" w14:textId="77777777" w:rsidR="00D00EFA" w:rsidRDefault="00D00EFA" w:rsidP="00D00EFA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7F8A736B" w14:textId="5B049702" w:rsidR="00F86A71" w:rsidRDefault="00FD15E4" w:rsidP="00D00EFA">
      <w:pPr>
        <w:pStyle w:val="subsection"/>
      </w:pPr>
      <w:r>
        <w:tab/>
      </w:r>
      <w:r>
        <w:tab/>
      </w:r>
      <w:r w:rsidR="00F95BC6">
        <w:t>T</w:t>
      </w:r>
      <w:r>
        <w:t>his instrument commence</w:t>
      </w:r>
      <w:r w:rsidR="00F95BC6">
        <w:t>s</w:t>
      </w:r>
      <w:r>
        <w:t xml:space="preserve"> </w:t>
      </w:r>
      <w:r w:rsidR="00F86A71">
        <w:t>on the later of:</w:t>
      </w:r>
    </w:p>
    <w:p w14:paraId="0705538A" w14:textId="71ED72A7" w:rsidR="00333B73" w:rsidRDefault="00333B73" w:rsidP="00333B73">
      <w:pPr>
        <w:pStyle w:val="paragraph"/>
      </w:pPr>
      <w:r>
        <w:tab/>
        <w:t>(a)</w:t>
      </w:r>
      <w:r>
        <w:tab/>
        <w:t xml:space="preserve">the start of the day after the day this instrument is registered on the Federal Register of </w:t>
      </w:r>
      <w:proofErr w:type="gramStart"/>
      <w:r>
        <w:t>Legislation;</w:t>
      </w:r>
      <w:proofErr w:type="gramEnd"/>
    </w:p>
    <w:p w14:paraId="60035701" w14:textId="48ED7BB0" w:rsidR="00FD15E4" w:rsidRPr="00333B73" w:rsidRDefault="00333B73" w:rsidP="00333B73">
      <w:pPr>
        <w:pStyle w:val="paragraph"/>
      </w:pPr>
      <w:r>
        <w:tab/>
        <w:t>(b)</w:t>
      </w:r>
      <w:r>
        <w:tab/>
      </w:r>
      <w:r w:rsidR="00FD15E4">
        <w:t xml:space="preserve">the </w:t>
      </w:r>
      <w:r w:rsidR="00624385">
        <w:t xml:space="preserve">same </w:t>
      </w:r>
      <w:r w:rsidR="00FD15E4">
        <w:t xml:space="preserve">time as the </w:t>
      </w:r>
      <w:r w:rsidR="00F86A71">
        <w:rPr>
          <w:i/>
          <w:iCs/>
        </w:rPr>
        <w:t>Radiocommunications Equipment (General)</w:t>
      </w:r>
      <w:r>
        <w:rPr>
          <w:i/>
          <w:iCs/>
        </w:rPr>
        <w:t xml:space="preserve"> Amendment Rules 2021 (No. 1)</w:t>
      </w:r>
      <w:r w:rsidR="00624385">
        <w:t xml:space="preserve"> commence.</w:t>
      </w:r>
    </w:p>
    <w:p w14:paraId="4CD08E25" w14:textId="7C3ECB82" w:rsidR="00D00EFA" w:rsidRDefault="00D00EFA" w:rsidP="00D00EFA">
      <w:pPr>
        <w:pStyle w:val="LI-BodyTextNote"/>
        <w:spacing w:before="122"/>
      </w:pPr>
      <w:r>
        <w:t>Note</w:t>
      </w:r>
      <w:r w:rsidR="00B01E9E">
        <w:t>:</w:t>
      </w:r>
      <w:r w:rsidR="00AD2401">
        <w:tab/>
      </w:r>
      <w:r>
        <w:t>The Federal Register of Legislation may be accessed</w:t>
      </w:r>
      <w:r w:rsidR="00AD2401">
        <w:t>,</w:t>
      </w:r>
      <w:r>
        <w:t xml:space="preserve"> free of charge</w:t>
      </w:r>
      <w:r w:rsidR="00AD2401">
        <w:t>,</w:t>
      </w:r>
      <w:r>
        <w:t xml:space="preserve"> at </w:t>
      </w:r>
      <w:hyperlink r:id="rId16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1C321084" w14:textId="03781113" w:rsidR="00A9389C" w:rsidRDefault="00D00EFA" w:rsidP="003579EF">
      <w:pPr>
        <w:pStyle w:val="subsection"/>
      </w:pPr>
      <w:r>
        <w:tab/>
      </w:r>
      <w:r>
        <w:tab/>
      </w:r>
      <w:r w:rsidRPr="00413A51">
        <w:t xml:space="preserve">This instrument is made under </w:t>
      </w:r>
      <w:r w:rsidR="00054817" w:rsidRPr="00413A51">
        <w:t>subsection</w:t>
      </w:r>
      <w:r w:rsidR="00DD1991" w:rsidRPr="00413A51">
        <w:t xml:space="preserve"> </w:t>
      </w:r>
      <w:r w:rsidR="006D1376" w:rsidRPr="00413A51">
        <w:t>110A(2)</w:t>
      </w:r>
      <w:r w:rsidR="00624385">
        <w:t>,</w:t>
      </w:r>
      <w:r w:rsidR="006D1376" w:rsidRPr="00413A51">
        <w:t xml:space="preserve"> subsection 132(1)</w:t>
      </w:r>
      <w:r w:rsidR="00624385">
        <w:t xml:space="preserve"> and subsection 156(1)</w:t>
      </w:r>
      <w:r w:rsidR="006D1376" w:rsidRPr="00413A51">
        <w:t xml:space="preserve"> of the </w:t>
      </w:r>
      <w:r w:rsidR="006D1376" w:rsidRPr="00413A51">
        <w:rPr>
          <w:i/>
          <w:iCs/>
        </w:rPr>
        <w:t>Radiocommunications Act 1992</w:t>
      </w:r>
      <w:r w:rsidR="006D1376" w:rsidRPr="00413A51">
        <w:t>.</w:t>
      </w:r>
    </w:p>
    <w:p w14:paraId="237BACC0" w14:textId="0CF864F2" w:rsidR="00D00EFA" w:rsidRDefault="00D00EFA" w:rsidP="00386A2E">
      <w:pPr>
        <w:pStyle w:val="ActHead5"/>
        <w:ind w:left="284" w:hanging="284"/>
      </w:pPr>
      <w:r>
        <w:t xml:space="preserve">4  </w:t>
      </w:r>
      <w:r w:rsidR="00104BC4">
        <w:t>Variation</w:t>
      </w:r>
      <w:r w:rsidR="00017662">
        <w:t xml:space="preserve"> </w:t>
      </w:r>
      <w:r w:rsidR="0013322E">
        <w:t>of the</w:t>
      </w:r>
      <w:r w:rsidR="00017662">
        <w:t xml:space="preserve"> </w:t>
      </w:r>
      <w:r w:rsidR="00017662" w:rsidRPr="000371B6">
        <w:rPr>
          <w:i/>
          <w:iCs/>
          <w:szCs w:val="24"/>
        </w:rPr>
        <w:t>Radiocommunications Licence Conditions (Apparatus Licence)</w:t>
      </w:r>
      <w:r w:rsidR="00386A2E">
        <w:rPr>
          <w:i/>
          <w:iCs/>
          <w:szCs w:val="24"/>
        </w:rPr>
        <w:t xml:space="preserve"> </w:t>
      </w:r>
      <w:r w:rsidR="00017662" w:rsidRPr="000371B6">
        <w:rPr>
          <w:i/>
          <w:iCs/>
          <w:szCs w:val="24"/>
        </w:rPr>
        <w:t>Determination 2015</w:t>
      </w:r>
    </w:p>
    <w:p w14:paraId="1FDC1C1D" w14:textId="2E26AF0C" w:rsidR="00D00EFA" w:rsidRPr="003579EF" w:rsidRDefault="00D00EFA" w:rsidP="00337A9E">
      <w:pPr>
        <w:pStyle w:val="subsection"/>
        <w:rPr>
          <w:iCs/>
        </w:rPr>
      </w:pPr>
      <w:r w:rsidRPr="00337A9E">
        <w:rPr>
          <w:b/>
          <w:bCs/>
        </w:rPr>
        <w:tab/>
      </w:r>
      <w:r w:rsidRPr="00337A9E">
        <w:rPr>
          <w:b/>
          <w:bCs/>
        </w:rPr>
        <w:tab/>
      </w:r>
      <w:r w:rsidRPr="00337A9E">
        <w:t xml:space="preserve">The instrument that is specified in Schedule 1 is </w:t>
      </w:r>
      <w:r w:rsidR="00104BC4">
        <w:t>varied</w:t>
      </w:r>
      <w:r w:rsidRPr="00337A9E">
        <w:t xml:space="preserve"> as set out in the applicable items in that Schedule.</w:t>
      </w:r>
      <w:r w:rsidRPr="00337A9E">
        <w:rPr>
          <w:i/>
        </w:rPr>
        <w:t xml:space="preserve"> </w:t>
      </w:r>
    </w:p>
    <w:p w14:paraId="2B44040F" w14:textId="0C04DA83" w:rsidR="00EA1B74" w:rsidRDefault="005D68DF" w:rsidP="00EA1B74">
      <w:pPr>
        <w:pStyle w:val="ActHead5"/>
        <w:ind w:left="284" w:hanging="284"/>
        <w:rPr>
          <w:bCs/>
          <w:i/>
          <w:iCs/>
          <w:szCs w:val="24"/>
        </w:rPr>
      </w:pPr>
      <w:r w:rsidRPr="00337A9E">
        <w:rPr>
          <w:bCs/>
        </w:rPr>
        <w:t>5</w:t>
      </w:r>
      <w:r w:rsidR="00F20945">
        <w:rPr>
          <w:bCs/>
        </w:rPr>
        <w:t xml:space="preserve"> </w:t>
      </w:r>
      <w:r w:rsidRPr="00337A9E">
        <w:rPr>
          <w:bCs/>
        </w:rPr>
        <w:t xml:space="preserve"> </w:t>
      </w:r>
      <w:r w:rsidR="00104BC4">
        <w:rPr>
          <w:bCs/>
        </w:rPr>
        <w:t>Variation</w:t>
      </w:r>
      <w:r w:rsidRPr="00337A9E">
        <w:rPr>
          <w:bCs/>
        </w:rPr>
        <w:t xml:space="preserve"> </w:t>
      </w:r>
      <w:r w:rsidR="0013322E">
        <w:rPr>
          <w:bCs/>
        </w:rPr>
        <w:t>of the</w:t>
      </w:r>
      <w:r w:rsidRPr="00337A9E">
        <w:rPr>
          <w:bCs/>
        </w:rPr>
        <w:t xml:space="preserve"> </w:t>
      </w:r>
      <w:bookmarkEnd w:id="3"/>
      <w:r w:rsidR="005A6B55" w:rsidRPr="00337A9E">
        <w:rPr>
          <w:bCs/>
          <w:i/>
          <w:iCs/>
          <w:szCs w:val="24"/>
        </w:rPr>
        <w:t xml:space="preserve">Radiocommunications (Body Scanning </w:t>
      </w:r>
      <w:r w:rsidR="00064E39">
        <w:rPr>
          <w:bCs/>
          <w:i/>
          <w:iCs/>
          <w:szCs w:val="24"/>
        </w:rPr>
        <w:t>–</w:t>
      </w:r>
      <w:r w:rsidR="005A6B55" w:rsidRPr="00337A9E">
        <w:rPr>
          <w:bCs/>
          <w:i/>
          <w:iCs/>
          <w:szCs w:val="24"/>
        </w:rPr>
        <w:t xml:space="preserve"> Aviation Security) Class Licence 2018</w:t>
      </w:r>
    </w:p>
    <w:p w14:paraId="4DC66230" w14:textId="57558AC4" w:rsidR="0096394B" w:rsidRPr="00876FAB" w:rsidRDefault="0096394B" w:rsidP="00876FAB">
      <w:pPr>
        <w:pStyle w:val="subsection"/>
      </w:pPr>
      <w:r>
        <w:tab/>
      </w:r>
      <w:r>
        <w:tab/>
      </w:r>
      <w:r w:rsidR="00337A9E" w:rsidRPr="0096394B">
        <w:t xml:space="preserve">The instrument that is specified in Schedule </w:t>
      </w:r>
      <w:r w:rsidR="009D2ACD" w:rsidRPr="0096394B">
        <w:t>2</w:t>
      </w:r>
      <w:r w:rsidR="00337A9E" w:rsidRPr="0096394B">
        <w:t xml:space="preserve"> is</w:t>
      </w:r>
      <w:r w:rsidR="00104BC4" w:rsidRPr="0096394B">
        <w:t xml:space="preserve"> varied</w:t>
      </w:r>
      <w:r w:rsidR="00337A9E" w:rsidRPr="0096394B">
        <w:t xml:space="preserve"> as set out in the applicable item in that Schedule.</w:t>
      </w:r>
    </w:p>
    <w:p w14:paraId="15154A1D" w14:textId="0CA19067" w:rsidR="0096394B" w:rsidRDefault="00713562" w:rsidP="0096394B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>6</w:t>
      </w:r>
      <w:r w:rsidR="0096394B">
        <w:rPr>
          <w:bCs/>
        </w:rPr>
        <w:t xml:space="preserve"> </w:t>
      </w:r>
      <w:r w:rsidR="0096394B" w:rsidRPr="00337A9E">
        <w:rPr>
          <w:bCs/>
        </w:rPr>
        <w:t xml:space="preserve"> </w:t>
      </w:r>
      <w:r w:rsidR="0096394B">
        <w:rPr>
          <w:bCs/>
        </w:rPr>
        <w:t>Variation</w:t>
      </w:r>
      <w:r w:rsidR="0096394B" w:rsidRPr="00337A9E">
        <w:rPr>
          <w:bCs/>
        </w:rPr>
        <w:t xml:space="preserve"> </w:t>
      </w:r>
      <w:r w:rsidR="0013322E">
        <w:rPr>
          <w:bCs/>
        </w:rPr>
        <w:t>of the</w:t>
      </w:r>
      <w:r w:rsidR="0096394B" w:rsidRPr="00337A9E">
        <w:rPr>
          <w:bCs/>
        </w:rPr>
        <w:t xml:space="preserve"> </w:t>
      </w:r>
      <w:r w:rsidR="0096394B" w:rsidRPr="00337A9E">
        <w:rPr>
          <w:bCs/>
          <w:i/>
          <w:iCs/>
          <w:szCs w:val="24"/>
        </w:rPr>
        <w:t>Radiocommunications (</w:t>
      </w:r>
      <w:r w:rsidR="0096394B">
        <w:rPr>
          <w:bCs/>
          <w:i/>
          <w:iCs/>
          <w:szCs w:val="24"/>
        </w:rPr>
        <w:t>Intelligent Transport Systems</w:t>
      </w:r>
      <w:r w:rsidR="0096394B" w:rsidRPr="00337A9E">
        <w:rPr>
          <w:bCs/>
          <w:i/>
          <w:iCs/>
          <w:szCs w:val="24"/>
        </w:rPr>
        <w:t>) Class Licence 201</w:t>
      </w:r>
      <w:r w:rsidR="0096394B">
        <w:rPr>
          <w:bCs/>
          <w:i/>
          <w:iCs/>
          <w:szCs w:val="24"/>
        </w:rPr>
        <w:t>7</w:t>
      </w:r>
    </w:p>
    <w:p w14:paraId="6CC8F5E0" w14:textId="22CF4594" w:rsidR="0096394B" w:rsidRDefault="0096394B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 xml:space="preserve">The </w:t>
      </w:r>
      <w:r w:rsidRPr="0096394B">
        <w:t>instrument</w:t>
      </w:r>
      <w:r w:rsidRPr="00337A9E">
        <w:rPr>
          <w:szCs w:val="22"/>
        </w:rPr>
        <w:t xml:space="preserve"> that is specified in Schedule </w:t>
      </w:r>
      <w:r w:rsidR="0013322E">
        <w:rPr>
          <w:szCs w:val="22"/>
        </w:rPr>
        <w:t>3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 in that Schedule.</w:t>
      </w:r>
    </w:p>
    <w:p w14:paraId="78742E32" w14:textId="11F4E058" w:rsidR="0096394B" w:rsidRDefault="0013322E" w:rsidP="0096394B">
      <w:pPr>
        <w:pStyle w:val="ActHead5"/>
        <w:ind w:left="284" w:hanging="284"/>
        <w:rPr>
          <w:bCs/>
          <w:i/>
          <w:iCs/>
          <w:szCs w:val="24"/>
        </w:rPr>
      </w:pPr>
      <w:r w:rsidRPr="0013322E">
        <w:rPr>
          <w:bCs/>
          <w:sz w:val="22"/>
          <w:szCs w:val="22"/>
        </w:rPr>
        <w:t>7</w:t>
      </w:r>
      <w:r w:rsidR="0096394B">
        <w:rPr>
          <w:bCs/>
        </w:rPr>
        <w:t xml:space="preserve"> </w:t>
      </w:r>
      <w:r w:rsidR="0096394B" w:rsidRPr="00337A9E">
        <w:rPr>
          <w:bCs/>
        </w:rPr>
        <w:t xml:space="preserve"> </w:t>
      </w:r>
      <w:r w:rsidR="0096394B">
        <w:rPr>
          <w:bCs/>
        </w:rPr>
        <w:t>Variation</w:t>
      </w:r>
      <w:r w:rsidR="0096394B" w:rsidRPr="00337A9E">
        <w:rPr>
          <w:bCs/>
        </w:rPr>
        <w:t xml:space="preserve"> </w:t>
      </w:r>
      <w:r>
        <w:rPr>
          <w:bCs/>
        </w:rPr>
        <w:t>of the</w:t>
      </w:r>
      <w:r w:rsidR="0096394B" w:rsidRPr="00337A9E">
        <w:rPr>
          <w:bCs/>
        </w:rPr>
        <w:t xml:space="preserve"> </w:t>
      </w:r>
      <w:r w:rsidR="0096394B" w:rsidRPr="00337A9E">
        <w:rPr>
          <w:bCs/>
          <w:i/>
          <w:iCs/>
          <w:szCs w:val="24"/>
        </w:rPr>
        <w:t>Radiocommunications (</w:t>
      </w:r>
      <w:r w:rsidR="0096394B">
        <w:rPr>
          <w:bCs/>
          <w:i/>
          <w:iCs/>
          <w:szCs w:val="24"/>
        </w:rPr>
        <w:t>Low Interference Potential Devices</w:t>
      </w:r>
      <w:r w:rsidR="0096394B" w:rsidRPr="00337A9E">
        <w:rPr>
          <w:bCs/>
          <w:i/>
          <w:iCs/>
          <w:szCs w:val="24"/>
        </w:rPr>
        <w:t>) Class Licence 201</w:t>
      </w:r>
      <w:r w:rsidR="0096394B">
        <w:rPr>
          <w:bCs/>
          <w:i/>
          <w:iCs/>
          <w:szCs w:val="24"/>
        </w:rPr>
        <w:t>5</w:t>
      </w:r>
    </w:p>
    <w:p w14:paraId="1C1D2C34" w14:textId="2F3DC7BB" w:rsidR="0096394B" w:rsidRDefault="0096394B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 xml:space="preserve">The instrument that is specified in Schedule </w:t>
      </w:r>
      <w:r w:rsidR="0013322E">
        <w:rPr>
          <w:szCs w:val="22"/>
        </w:rPr>
        <w:t>4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1AD117F0" w14:textId="52078945" w:rsidR="007C614A" w:rsidRDefault="0013322E" w:rsidP="007C614A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>8</w:t>
      </w:r>
      <w:r w:rsidR="007C614A">
        <w:rPr>
          <w:bCs/>
        </w:rPr>
        <w:t xml:space="preserve"> </w:t>
      </w:r>
      <w:r w:rsidR="007C614A" w:rsidRPr="00337A9E">
        <w:rPr>
          <w:bCs/>
        </w:rPr>
        <w:t xml:space="preserve"> </w:t>
      </w:r>
      <w:r w:rsidR="007C614A">
        <w:rPr>
          <w:bCs/>
        </w:rPr>
        <w:t>Variation</w:t>
      </w:r>
      <w:r w:rsidR="007C614A" w:rsidRPr="00337A9E">
        <w:rPr>
          <w:bCs/>
        </w:rPr>
        <w:t xml:space="preserve"> </w:t>
      </w:r>
      <w:r>
        <w:rPr>
          <w:bCs/>
        </w:rPr>
        <w:t>of the</w:t>
      </w:r>
      <w:r w:rsidR="007C614A" w:rsidRPr="00337A9E">
        <w:rPr>
          <w:bCs/>
        </w:rPr>
        <w:t xml:space="preserve"> </w:t>
      </w:r>
      <w:r w:rsidR="007C614A" w:rsidRPr="00337A9E">
        <w:rPr>
          <w:bCs/>
          <w:i/>
          <w:iCs/>
          <w:szCs w:val="24"/>
        </w:rPr>
        <w:t xml:space="preserve">Radiocommunications </w:t>
      </w:r>
      <w:r w:rsidR="007C614A">
        <w:rPr>
          <w:bCs/>
          <w:i/>
          <w:iCs/>
          <w:szCs w:val="24"/>
        </w:rPr>
        <w:t xml:space="preserve">Labelling </w:t>
      </w:r>
      <w:r w:rsidR="007C614A" w:rsidRPr="00337A9E">
        <w:rPr>
          <w:bCs/>
          <w:i/>
          <w:iCs/>
          <w:szCs w:val="24"/>
        </w:rPr>
        <w:t>(</w:t>
      </w:r>
      <w:r w:rsidR="007C614A">
        <w:rPr>
          <w:bCs/>
          <w:i/>
          <w:iCs/>
          <w:szCs w:val="24"/>
        </w:rPr>
        <w:t>Electromagnetic Compatibility</w:t>
      </w:r>
      <w:r w:rsidR="007C614A" w:rsidRPr="00337A9E">
        <w:rPr>
          <w:bCs/>
          <w:i/>
          <w:iCs/>
          <w:szCs w:val="24"/>
        </w:rPr>
        <w:t xml:space="preserve">) </w:t>
      </w:r>
      <w:r w:rsidR="00C96DC2">
        <w:rPr>
          <w:bCs/>
          <w:i/>
          <w:iCs/>
          <w:szCs w:val="24"/>
        </w:rPr>
        <w:t>Notice</w:t>
      </w:r>
      <w:r w:rsidR="007C614A" w:rsidRPr="00337A9E">
        <w:rPr>
          <w:bCs/>
          <w:i/>
          <w:iCs/>
          <w:szCs w:val="24"/>
        </w:rPr>
        <w:t xml:space="preserve"> 201</w:t>
      </w:r>
      <w:r w:rsidR="00567228">
        <w:rPr>
          <w:bCs/>
          <w:i/>
          <w:iCs/>
          <w:szCs w:val="24"/>
        </w:rPr>
        <w:t>7</w:t>
      </w:r>
    </w:p>
    <w:p w14:paraId="62900C1B" w14:textId="29DA6655" w:rsidR="007C614A" w:rsidRDefault="007C614A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>The instrument that is specified in Schedule</w:t>
      </w:r>
      <w:r>
        <w:rPr>
          <w:szCs w:val="22"/>
        </w:rPr>
        <w:t xml:space="preserve"> </w:t>
      </w:r>
      <w:r w:rsidR="0013322E">
        <w:rPr>
          <w:szCs w:val="22"/>
        </w:rPr>
        <w:t>5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1849A1C0" w14:textId="5E189B6C" w:rsidR="00C96DC2" w:rsidRDefault="00C96DC2" w:rsidP="00C96DC2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 xml:space="preserve">9 </w:t>
      </w:r>
      <w:r w:rsidRPr="00337A9E">
        <w:rPr>
          <w:bCs/>
        </w:rPr>
        <w:t xml:space="preserve"> </w:t>
      </w:r>
      <w:r>
        <w:rPr>
          <w:bCs/>
        </w:rPr>
        <w:t>Variation</w:t>
      </w:r>
      <w:r w:rsidRPr="00337A9E">
        <w:rPr>
          <w:bCs/>
        </w:rPr>
        <w:t xml:space="preserve"> </w:t>
      </w:r>
      <w:r w:rsidR="0013322E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 xml:space="preserve">Radiocommunications </w:t>
      </w:r>
      <w:r>
        <w:rPr>
          <w:bCs/>
          <w:i/>
          <w:iCs/>
          <w:szCs w:val="24"/>
        </w:rPr>
        <w:t xml:space="preserve">(Compliance Labelling – Devices) Notice </w:t>
      </w:r>
      <w:r w:rsidRPr="00337A9E">
        <w:rPr>
          <w:bCs/>
          <w:i/>
          <w:iCs/>
          <w:szCs w:val="24"/>
        </w:rPr>
        <w:t>201</w:t>
      </w:r>
      <w:r>
        <w:rPr>
          <w:bCs/>
          <w:i/>
          <w:iCs/>
          <w:szCs w:val="24"/>
        </w:rPr>
        <w:t>4</w:t>
      </w:r>
    </w:p>
    <w:p w14:paraId="5BCF12EC" w14:textId="27B71C60" w:rsidR="00C96DC2" w:rsidRDefault="00C96DC2" w:rsidP="00C96DC2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>The instrument that is specified in Schedule</w:t>
      </w:r>
      <w:r>
        <w:rPr>
          <w:szCs w:val="22"/>
        </w:rPr>
        <w:t xml:space="preserve"> </w:t>
      </w:r>
      <w:r w:rsidR="004B458A">
        <w:rPr>
          <w:szCs w:val="22"/>
        </w:rPr>
        <w:t>6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7410BAC6" w14:textId="3DD61481" w:rsidR="00B035C6" w:rsidRDefault="00B035C6" w:rsidP="00B035C6">
      <w:pPr>
        <w:pStyle w:val="ActHead5"/>
        <w:ind w:left="284" w:hanging="284"/>
        <w:rPr>
          <w:bCs/>
          <w:i/>
          <w:iCs/>
          <w:szCs w:val="24"/>
        </w:rPr>
      </w:pPr>
      <w:r w:rsidRPr="000D7273">
        <w:rPr>
          <w:rStyle w:val="CharSectno"/>
        </w:rPr>
        <w:lastRenderedPageBreak/>
        <w:t>10</w:t>
      </w:r>
      <w:r>
        <w:rPr>
          <w:bCs/>
        </w:rPr>
        <w:t xml:space="preserve"> </w:t>
      </w:r>
      <w:r w:rsidRPr="00337A9E">
        <w:rPr>
          <w:bCs/>
        </w:rPr>
        <w:t xml:space="preserve"> </w:t>
      </w:r>
      <w:r>
        <w:rPr>
          <w:bCs/>
        </w:rPr>
        <w:t>Repeal</w:t>
      </w:r>
      <w:r w:rsidRPr="00337A9E">
        <w:rPr>
          <w:bCs/>
        </w:rPr>
        <w:t xml:space="preserve"> </w:t>
      </w:r>
      <w:r w:rsidR="00AE33FA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>Radiocommunications (</w:t>
      </w:r>
      <w:r w:rsidR="00ED62F3">
        <w:rPr>
          <w:bCs/>
          <w:i/>
          <w:iCs/>
          <w:szCs w:val="24"/>
        </w:rPr>
        <w:t>Compliance Labelling – Electromagnetic Radiation</w:t>
      </w:r>
      <w:r w:rsidRPr="00337A9E">
        <w:rPr>
          <w:bCs/>
          <w:i/>
          <w:iCs/>
          <w:szCs w:val="24"/>
        </w:rPr>
        <w:t xml:space="preserve">) </w:t>
      </w:r>
      <w:r w:rsidR="00ED62F3">
        <w:rPr>
          <w:bCs/>
          <w:i/>
          <w:iCs/>
          <w:szCs w:val="24"/>
        </w:rPr>
        <w:t>Notice 2014</w:t>
      </w:r>
    </w:p>
    <w:p w14:paraId="40DA21CF" w14:textId="10FF274D" w:rsidR="00B035C6" w:rsidRPr="00ED62F3" w:rsidRDefault="00B035C6" w:rsidP="00B035C6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D62F3">
        <w:rPr>
          <w:szCs w:val="22"/>
        </w:rPr>
        <w:t xml:space="preserve">The </w:t>
      </w:r>
      <w:r w:rsidR="00ED62F3">
        <w:rPr>
          <w:i/>
          <w:iCs/>
          <w:szCs w:val="22"/>
        </w:rPr>
        <w:t xml:space="preserve">Radiocommunications (Compliance Labelling – Electromagnetic Radiation) Notice 2014 </w:t>
      </w:r>
      <w:r w:rsidR="00ED62F3">
        <w:rPr>
          <w:szCs w:val="22"/>
        </w:rPr>
        <w:t>(</w:t>
      </w:r>
      <w:r w:rsidR="003A42FC">
        <w:rPr>
          <w:szCs w:val="22"/>
        </w:rPr>
        <w:t>F2014L00965) is repealed.</w:t>
      </w:r>
    </w:p>
    <w:p w14:paraId="7CDDB61F" w14:textId="2FCCBC7F" w:rsidR="003A42FC" w:rsidRDefault="003A42FC" w:rsidP="003A42FC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 xml:space="preserve">11 </w:t>
      </w:r>
      <w:r w:rsidRPr="00337A9E">
        <w:rPr>
          <w:bCs/>
        </w:rPr>
        <w:t xml:space="preserve"> </w:t>
      </w:r>
      <w:r>
        <w:rPr>
          <w:bCs/>
        </w:rPr>
        <w:t>Repeal</w:t>
      </w:r>
      <w:r w:rsidRPr="00337A9E">
        <w:rPr>
          <w:bCs/>
        </w:rPr>
        <w:t xml:space="preserve"> </w:t>
      </w:r>
      <w:r w:rsidR="00AE33FA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>Radiocommunications (</w:t>
      </w:r>
      <w:r>
        <w:rPr>
          <w:bCs/>
          <w:i/>
          <w:iCs/>
          <w:szCs w:val="24"/>
        </w:rPr>
        <w:t>Electromagnetic Radiation</w:t>
      </w:r>
      <w:r w:rsidR="008B01D6">
        <w:rPr>
          <w:bCs/>
          <w:i/>
          <w:iCs/>
          <w:szCs w:val="24"/>
        </w:rPr>
        <w:t xml:space="preserve"> – Human Exposure</w:t>
      </w:r>
      <w:r w:rsidRPr="00337A9E">
        <w:rPr>
          <w:bCs/>
          <w:i/>
          <w:iCs/>
          <w:szCs w:val="24"/>
        </w:rPr>
        <w:t xml:space="preserve">) </w:t>
      </w:r>
      <w:r w:rsidR="008B01D6">
        <w:rPr>
          <w:bCs/>
          <w:i/>
          <w:iCs/>
          <w:szCs w:val="24"/>
        </w:rPr>
        <w:t>Standard 2014</w:t>
      </w:r>
    </w:p>
    <w:p w14:paraId="5474AB01" w14:textId="461E1B30" w:rsidR="005A6B55" w:rsidRDefault="003A42FC" w:rsidP="00876FAB">
      <w:pPr>
        <w:pStyle w:val="subsection"/>
        <w:rPr>
          <w:bCs/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The </w:t>
      </w:r>
      <w:r>
        <w:rPr>
          <w:i/>
          <w:iCs/>
          <w:szCs w:val="22"/>
        </w:rPr>
        <w:t>Radiocommunications (</w:t>
      </w:r>
      <w:r w:rsidR="00116D27">
        <w:rPr>
          <w:i/>
          <w:iCs/>
          <w:szCs w:val="22"/>
        </w:rPr>
        <w:t>Electromagnetic Radiation – Human Exposure</w:t>
      </w:r>
      <w:r>
        <w:rPr>
          <w:i/>
          <w:iCs/>
          <w:szCs w:val="22"/>
        </w:rPr>
        <w:t xml:space="preserve">) </w:t>
      </w:r>
      <w:r w:rsidR="00116D27">
        <w:rPr>
          <w:i/>
          <w:iCs/>
          <w:szCs w:val="22"/>
        </w:rPr>
        <w:t>Standard</w:t>
      </w:r>
      <w:r>
        <w:rPr>
          <w:i/>
          <w:iCs/>
          <w:szCs w:val="22"/>
        </w:rPr>
        <w:t xml:space="preserve"> 2014 </w:t>
      </w:r>
      <w:r>
        <w:rPr>
          <w:szCs w:val="22"/>
        </w:rPr>
        <w:t>(F2014L0096</w:t>
      </w:r>
      <w:r w:rsidR="00876FAB">
        <w:rPr>
          <w:szCs w:val="22"/>
        </w:rPr>
        <w:t>0</w:t>
      </w:r>
      <w:r>
        <w:rPr>
          <w:szCs w:val="22"/>
        </w:rPr>
        <w:t>) is repealed.</w:t>
      </w:r>
    </w:p>
    <w:p w14:paraId="7911F211" w14:textId="77777777" w:rsidR="00B035C6" w:rsidRPr="00B035C6" w:rsidRDefault="00B035C6" w:rsidP="00876FAB">
      <w:pPr>
        <w:pStyle w:val="subsection"/>
      </w:pPr>
    </w:p>
    <w:p w14:paraId="5A2F50F6" w14:textId="29CDBA66" w:rsidR="007C614A" w:rsidRPr="00E222DE" w:rsidRDefault="007C614A" w:rsidP="00876FAB">
      <w:pPr>
        <w:pStyle w:val="subsection"/>
        <w:sectPr w:rsidR="007C614A" w:rsidRPr="00E222DE">
          <w:headerReference w:type="even" r:id="rId17"/>
          <w:head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17A831A9" w:rsidR="00D00EFA" w:rsidRDefault="00D00EFA" w:rsidP="00FF3EA3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104BC4">
        <w:rPr>
          <w:rFonts w:ascii="Arial" w:hAnsi="Arial" w:cs="Arial"/>
          <w:sz w:val="32"/>
          <w:szCs w:val="32"/>
        </w:rPr>
        <w:t>Variation</w:t>
      </w:r>
      <w:r w:rsidR="00BC00F4">
        <w:rPr>
          <w:rFonts w:ascii="Arial" w:hAnsi="Arial" w:cs="Arial"/>
          <w:sz w:val="32"/>
          <w:szCs w:val="32"/>
        </w:rPr>
        <w:t xml:space="preserve"> of the </w:t>
      </w:r>
      <w:r w:rsidR="00BC00F4">
        <w:rPr>
          <w:rFonts w:ascii="Arial" w:hAnsi="Arial" w:cs="Arial"/>
          <w:i/>
          <w:iCs/>
          <w:sz w:val="32"/>
          <w:szCs w:val="32"/>
        </w:rPr>
        <w:t>Radiocommunications Licence Conditions (Apparatus Licence) Determination 2015</w:t>
      </w:r>
    </w:p>
    <w:p w14:paraId="28C5F3C2" w14:textId="046C3B6F" w:rsidR="00F20945" w:rsidRPr="003813DA" w:rsidRDefault="00F20945" w:rsidP="00FF3EA3">
      <w:pPr>
        <w:pStyle w:val="ActHead9"/>
        <w:spacing w:before="0"/>
        <w:ind w:left="2410" w:right="-187"/>
        <w:rPr>
          <w:b w:val="0"/>
          <w:bCs/>
          <w:i w:val="0"/>
          <w:sz w:val="18"/>
          <w:szCs w:val="18"/>
        </w:rPr>
      </w:pPr>
      <w:bookmarkStart w:id="7" w:name="_Toc444596036"/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4)</w:t>
      </w:r>
    </w:p>
    <w:p w14:paraId="1598FF2F" w14:textId="6E6D4D49" w:rsidR="00D00EFA" w:rsidRPr="00EF236A" w:rsidRDefault="006C30F7" w:rsidP="00CD3F4A">
      <w:pPr>
        <w:pStyle w:val="ActHead9"/>
        <w:ind w:left="0" w:right="-188" w:firstLine="0"/>
      </w:pPr>
      <w:r w:rsidRPr="00EF236A">
        <w:rPr>
          <w:iCs/>
          <w:szCs w:val="28"/>
        </w:rPr>
        <w:t>Radiocommunications Licence Conditions (Apparatus Licence)</w:t>
      </w:r>
      <w:r w:rsidR="00CD3F4A" w:rsidRPr="00EF236A">
        <w:rPr>
          <w:iCs/>
          <w:szCs w:val="28"/>
        </w:rPr>
        <w:t xml:space="preserve"> </w:t>
      </w:r>
      <w:r w:rsidRPr="00EF236A">
        <w:rPr>
          <w:iCs/>
          <w:szCs w:val="28"/>
        </w:rPr>
        <w:t>Determination 2015</w:t>
      </w:r>
      <w:r w:rsidR="00CD3F4A" w:rsidRPr="00EF236A">
        <w:rPr>
          <w:iCs/>
          <w:szCs w:val="28"/>
        </w:rPr>
        <w:t xml:space="preserve"> [</w:t>
      </w:r>
      <w:r w:rsidR="00D6341C" w:rsidRPr="00EF236A">
        <w:rPr>
          <w:color w:val="000000"/>
          <w:shd w:val="clear" w:color="auto" w:fill="FFFFFF"/>
        </w:rPr>
        <w:t>F201</w:t>
      </w:r>
      <w:r w:rsidR="00A510E8">
        <w:rPr>
          <w:color w:val="000000"/>
          <w:shd w:val="clear" w:color="auto" w:fill="FFFFFF"/>
        </w:rPr>
        <w:t>5</w:t>
      </w:r>
      <w:r w:rsidR="00D6341C" w:rsidRPr="00EF236A">
        <w:rPr>
          <w:color w:val="000000"/>
          <w:shd w:val="clear" w:color="auto" w:fill="FFFFFF"/>
        </w:rPr>
        <w:t>L0</w:t>
      </w:r>
      <w:r w:rsidR="00587FCE">
        <w:rPr>
          <w:color w:val="000000"/>
          <w:shd w:val="clear" w:color="auto" w:fill="FFFFFF"/>
        </w:rPr>
        <w:t>0210</w:t>
      </w:r>
      <w:r w:rsidR="00CD3F4A" w:rsidRPr="00EF236A">
        <w:rPr>
          <w:iCs/>
          <w:szCs w:val="28"/>
        </w:rPr>
        <w:t>]</w:t>
      </w:r>
    </w:p>
    <w:p w14:paraId="14E2B5CA" w14:textId="3AB220E7" w:rsidR="00DC11E6" w:rsidRPr="00104BC4" w:rsidRDefault="00D00EFA" w:rsidP="00F7258C">
      <w:pPr>
        <w:pStyle w:val="ItemHead"/>
      </w:pPr>
      <w:r w:rsidRPr="00E97D39">
        <w:t xml:space="preserve">1  </w:t>
      </w:r>
      <w:r w:rsidR="00481DE0">
        <w:t>S</w:t>
      </w:r>
      <w:r w:rsidR="00587FCE">
        <w:t>ubs</w:t>
      </w:r>
      <w:r w:rsidR="00481DE0">
        <w:t>ection 4</w:t>
      </w:r>
      <w:r w:rsidR="00587FCE">
        <w:t>(1)</w:t>
      </w:r>
      <w:r w:rsidR="00104BC4">
        <w:t xml:space="preserve"> (</w:t>
      </w:r>
      <w:r w:rsidR="002B035B">
        <w:t xml:space="preserve">definition of </w:t>
      </w:r>
      <w:r w:rsidR="002B035B" w:rsidRPr="00FD15B1">
        <w:rPr>
          <w:i/>
          <w:iCs/>
        </w:rPr>
        <w:t xml:space="preserve">ARPANSA </w:t>
      </w:r>
      <w:r w:rsidR="00BA1A39">
        <w:rPr>
          <w:i/>
          <w:iCs/>
        </w:rPr>
        <w:t>s</w:t>
      </w:r>
      <w:r w:rsidR="00FD15B1" w:rsidRPr="00FD15B1">
        <w:rPr>
          <w:i/>
          <w:iCs/>
        </w:rPr>
        <w:t>tandard</w:t>
      </w:r>
      <w:r w:rsidR="00104BC4">
        <w:t>)</w:t>
      </w:r>
    </w:p>
    <w:p w14:paraId="69B43D2E" w14:textId="2B1E01FE" w:rsidR="006741E4" w:rsidRPr="005B69FA" w:rsidRDefault="002B035B" w:rsidP="002B035B">
      <w:pPr>
        <w:pStyle w:val="Item"/>
        <w:rPr>
          <w:szCs w:val="22"/>
        </w:rPr>
      </w:pPr>
      <w:r w:rsidRPr="005B69FA">
        <w:rPr>
          <w:szCs w:val="22"/>
        </w:rPr>
        <w:t>Repeal the definition, substitute:</w:t>
      </w:r>
    </w:p>
    <w:p w14:paraId="10DB1A62" w14:textId="0FDF05E5" w:rsidR="00F35B9F" w:rsidRPr="005B69FA" w:rsidRDefault="00441C0F" w:rsidP="00AC3863">
      <w:pPr>
        <w:pStyle w:val="Definition"/>
        <w:rPr>
          <w:rFonts w:cstheme="minorHAnsi"/>
          <w:szCs w:val="22"/>
        </w:rPr>
      </w:pPr>
      <w:r w:rsidRPr="005B69FA">
        <w:rPr>
          <w:rFonts w:cstheme="minorHAnsi"/>
          <w:b/>
          <w:bCs/>
          <w:i/>
          <w:iCs/>
          <w:szCs w:val="22"/>
        </w:rPr>
        <w:t xml:space="preserve">ARPANSA </w:t>
      </w:r>
      <w:r w:rsidR="00A436F1" w:rsidRPr="005B69FA">
        <w:rPr>
          <w:rFonts w:cstheme="minorHAnsi"/>
          <w:b/>
          <w:bCs/>
          <w:i/>
          <w:iCs/>
          <w:szCs w:val="22"/>
        </w:rPr>
        <w:t>s</w:t>
      </w:r>
      <w:r w:rsidRPr="005B69FA">
        <w:rPr>
          <w:rFonts w:cstheme="minorHAnsi"/>
          <w:b/>
          <w:bCs/>
          <w:i/>
          <w:iCs/>
          <w:szCs w:val="22"/>
        </w:rPr>
        <w:t xml:space="preserve">tandard </w:t>
      </w:r>
      <w:r w:rsidRPr="00AC3863">
        <w:rPr>
          <w:iCs/>
        </w:rPr>
        <w:t>means</w:t>
      </w:r>
      <w:r w:rsidRPr="005B69FA">
        <w:rPr>
          <w:rFonts w:cstheme="minorHAnsi"/>
          <w:szCs w:val="22"/>
        </w:rPr>
        <w:t xml:space="preserve"> the </w:t>
      </w:r>
      <w:r w:rsidRPr="005B69FA">
        <w:rPr>
          <w:rFonts w:cstheme="minorHAnsi"/>
          <w:i/>
          <w:iCs/>
          <w:szCs w:val="22"/>
        </w:rPr>
        <w:t>Radiation Protection Standard for Limiting Exposure to Radiofrequency Fields – 100 kHz to 300 GHz (2021)</w:t>
      </w:r>
      <w:r w:rsidRPr="005B69FA">
        <w:rPr>
          <w:rFonts w:cstheme="minorHAnsi"/>
          <w:szCs w:val="22"/>
        </w:rPr>
        <w:t>, or any standard published as a replacement of that standard, by the Australian Radiation Protection and Nuclear Safety Agency.</w:t>
      </w:r>
    </w:p>
    <w:p w14:paraId="53BF8FC3" w14:textId="33DDF90D" w:rsidR="00F35B9F" w:rsidRPr="005B69FA" w:rsidRDefault="00F35B9F" w:rsidP="007E58CE">
      <w:pPr>
        <w:pStyle w:val="notetext"/>
        <w:rPr>
          <w:rFonts w:cstheme="minorHAnsi"/>
          <w:szCs w:val="18"/>
        </w:rPr>
      </w:pPr>
      <w:r w:rsidRPr="006C002C">
        <w:rPr>
          <w:rFonts w:cstheme="minorHAnsi"/>
          <w:i/>
          <w:iCs/>
          <w:szCs w:val="18"/>
        </w:rPr>
        <w:t>Note</w:t>
      </w:r>
      <w:r w:rsidR="007E58CE" w:rsidRPr="005B69FA">
        <w:rPr>
          <w:rFonts w:cstheme="minorHAnsi"/>
          <w:szCs w:val="18"/>
        </w:rPr>
        <w:tab/>
      </w:r>
      <w:r w:rsidRPr="005B69FA">
        <w:rPr>
          <w:rFonts w:cstheme="minorHAnsi"/>
          <w:szCs w:val="18"/>
        </w:rPr>
        <w:t xml:space="preserve">The ARPANSA </w:t>
      </w:r>
      <w:r w:rsidR="00B55CEA" w:rsidRPr="005B69FA">
        <w:rPr>
          <w:rFonts w:cstheme="minorHAnsi"/>
          <w:szCs w:val="18"/>
        </w:rPr>
        <w:t>s</w:t>
      </w:r>
      <w:r w:rsidRPr="005B69FA">
        <w:rPr>
          <w:rFonts w:cstheme="minorHAnsi"/>
          <w:szCs w:val="18"/>
        </w:rPr>
        <w:t>tandard is available</w:t>
      </w:r>
      <w:r w:rsidR="007E58CE" w:rsidRPr="005B69FA">
        <w:rPr>
          <w:rFonts w:cstheme="minorHAnsi"/>
          <w:szCs w:val="18"/>
        </w:rPr>
        <w:t>, free of charge,</w:t>
      </w:r>
      <w:r w:rsidRPr="005B69FA">
        <w:rPr>
          <w:rFonts w:cstheme="minorHAnsi"/>
          <w:szCs w:val="18"/>
        </w:rPr>
        <w:t xml:space="preserve"> from the Australian Radiation Protection and Nuclear Safety Agency website at </w:t>
      </w:r>
      <w:hyperlink r:id="rId20" w:history="1">
        <w:r w:rsidRPr="005B69FA">
          <w:rPr>
            <w:rStyle w:val="Hyperlink"/>
            <w:rFonts w:cstheme="minorHAnsi"/>
            <w:szCs w:val="18"/>
          </w:rPr>
          <w:t>www.arpansa.gov.au</w:t>
        </w:r>
      </w:hyperlink>
      <w:r w:rsidRPr="005B69FA">
        <w:rPr>
          <w:rFonts w:cstheme="minorHAnsi"/>
          <w:szCs w:val="18"/>
        </w:rPr>
        <w:t xml:space="preserve">. </w:t>
      </w:r>
    </w:p>
    <w:p w14:paraId="671855BD" w14:textId="63697D74" w:rsidR="004B2A45" w:rsidRPr="00104BC4" w:rsidRDefault="00CE4C6B" w:rsidP="004B2A45">
      <w:pPr>
        <w:pStyle w:val="ItemHead"/>
      </w:pPr>
      <w:r>
        <w:t>2</w:t>
      </w:r>
      <w:r w:rsidR="004B2A45" w:rsidRPr="00E97D39">
        <w:t xml:space="preserve">  </w:t>
      </w:r>
      <w:r w:rsidR="004B2A45">
        <w:t xml:space="preserve">Subsection 4(1) (definition of </w:t>
      </w:r>
      <w:r w:rsidR="004B2A45">
        <w:rPr>
          <w:i/>
          <w:iCs/>
        </w:rPr>
        <w:t>AS</w:t>
      </w:r>
      <w:r w:rsidR="009D4346">
        <w:rPr>
          <w:i/>
          <w:iCs/>
        </w:rPr>
        <w:t>/NZS</w:t>
      </w:r>
      <w:r w:rsidR="004B2A45">
        <w:rPr>
          <w:i/>
          <w:iCs/>
        </w:rPr>
        <w:t xml:space="preserve"> 2772.</w:t>
      </w:r>
      <w:r w:rsidR="009D4346">
        <w:rPr>
          <w:i/>
          <w:iCs/>
        </w:rPr>
        <w:t>2</w:t>
      </w:r>
      <w:r w:rsidR="004B2A45">
        <w:t>)</w:t>
      </w:r>
    </w:p>
    <w:p w14:paraId="2B9E2DB8" w14:textId="77777777" w:rsidR="004B2A45" w:rsidRPr="005B69FA" w:rsidRDefault="004B2A45" w:rsidP="004B2A45">
      <w:pPr>
        <w:pStyle w:val="Item"/>
        <w:rPr>
          <w:szCs w:val="22"/>
        </w:rPr>
      </w:pPr>
      <w:r w:rsidRPr="005B69FA">
        <w:rPr>
          <w:szCs w:val="22"/>
        </w:rPr>
        <w:t>Repeal the definition, substitute:</w:t>
      </w:r>
    </w:p>
    <w:p w14:paraId="2C05CB6A" w14:textId="77777777" w:rsidR="00851FA0" w:rsidRPr="005B69FA" w:rsidRDefault="00851FA0" w:rsidP="00851FA0">
      <w:pPr>
        <w:pStyle w:val="Definition"/>
        <w:rPr>
          <w:iCs/>
        </w:rPr>
      </w:pPr>
      <w:r w:rsidRPr="005B69FA">
        <w:rPr>
          <w:b/>
          <w:bCs/>
          <w:i/>
        </w:rPr>
        <w:t xml:space="preserve">AS/NZS 2772.2 </w:t>
      </w:r>
      <w:r w:rsidRPr="005B69FA">
        <w:rPr>
          <w:iCs/>
        </w:rPr>
        <w:t>means:</w:t>
      </w:r>
    </w:p>
    <w:p w14:paraId="75597653" w14:textId="77777777" w:rsidR="00851FA0" w:rsidRPr="005B69FA" w:rsidRDefault="00851FA0" w:rsidP="00851FA0">
      <w:pPr>
        <w:pStyle w:val="paragraph"/>
        <w:rPr>
          <w:iCs/>
        </w:rPr>
      </w:pPr>
      <w:r w:rsidRPr="005B69FA">
        <w:rPr>
          <w:iCs/>
        </w:rPr>
        <w:tab/>
        <w:t>(a)</w:t>
      </w:r>
      <w:r w:rsidRPr="005B69FA">
        <w:rPr>
          <w:iCs/>
        </w:rPr>
        <w:tab/>
        <w:t xml:space="preserve">the document titled ‘AS/NZS 2772.2:2016 Radiofrequency fields, Part 2: Principles and </w:t>
      </w:r>
      <w:r w:rsidRPr="009E1AAA">
        <w:t>methods</w:t>
      </w:r>
      <w:r w:rsidRPr="005B69FA">
        <w:rPr>
          <w:iCs/>
        </w:rPr>
        <w:t xml:space="preserve"> of measurement and computation – 3 kHz to 300 GHz’, published by Standards Australia; or</w:t>
      </w:r>
    </w:p>
    <w:p w14:paraId="041D3FAC" w14:textId="77777777" w:rsidR="00851FA0" w:rsidRPr="005B69FA" w:rsidRDefault="00851FA0" w:rsidP="00851FA0">
      <w:pPr>
        <w:pStyle w:val="paragraph"/>
        <w:rPr>
          <w:iCs/>
        </w:rPr>
      </w:pPr>
      <w:r w:rsidRPr="005B69FA">
        <w:rPr>
          <w:iCs/>
        </w:rPr>
        <w:tab/>
        <w:t>(b)</w:t>
      </w:r>
      <w:r w:rsidRPr="005B69FA">
        <w:rPr>
          <w:iCs/>
        </w:rPr>
        <w:tab/>
        <w:t xml:space="preserve">if a </w:t>
      </w:r>
      <w:r w:rsidRPr="009E1AAA">
        <w:t>later</w:t>
      </w:r>
      <w:r w:rsidRPr="005B69FA">
        <w:rPr>
          <w:iCs/>
        </w:rPr>
        <w:t xml:space="preserve"> document published by Standards Australia is expressed to replace the document mentioned in paragraph (a) – the later document.</w:t>
      </w:r>
    </w:p>
    <w:p w14:paraId="71206427" w14:textId="730A032F" w:rsidR="00851FA0" w:rsidRPr="005B69FA" w:rsidRDefault="00851FA0" w:rsidP="00851FA0">
      <w:pPr>
        <w:pStyle w:val="notetext"/>
        <w:rPr>
          <w:iCs/>
        </w:rPr>
      </w:pPr>
      <w:r w:rsidRPr="00145A27">
        <w:rPr>
          <w:i/>
          <w:iCs/>
        </w:rPr>
        <w:t>Note</w:t>
      </w:r>
      <w:r w:rsidRPr="005B69FA">
        <w:tab/>
        <w:t xml:space="preserve">AS/NZS 2772.2 may be obtained, for a fee, from a Standards Australia distributor listed on the Standards Australia website: </w:t>
      </w:r>
      <w:hyperlink r:id="rId21" w:history="1">
        <w:r w:rsidRPr="005B69FA">
          <w:rPr>
            <w:rStyle w:val="Hyperlink"/>
          </w:rPr>
          <w:t>www.standards.org.au</w:t>
        </w:r>
      </w:hyperlink>
      <w:r w:rsidRPr="005B69FA">
        <w:t>. AS/NZS 2772.2 is also available to be viewed, on prior request, at an ACMA office, subject to licensing conditions.</w:t>
      </w:r>
    </w:p>
    <w:p w14:paraId="4840C00C" w14:textId="04C2119E" w:rsidR="0091559B" w:rsidRDefault="00CE4C6B" w:rsidP="00B52FBF">
      <w:pPr>
        <w:pStyle w:val="ItemHead"/>
      </w:pPr>
      <w:r>
        <w:t>3</w:t>
      </w:r>
      <w:r w:rsidR="0091559B">
        <w:t xml:space="preserve">  Subsection 4(1)</w:t>
      </w:r>
    </w:p>
    <w:p w14:paraId="533C314A" w14:textId="2216989D" w:rsidR="0091559B" w:rsidRPr="005B69FA" w:rsidRDefault="0091559B" w:rsidP="0091559B">
      <w:pPr>
        <w:pStyle w:val="Item"/>
      </w:pPr>
      <w:r w:rsidRPr="005B69FA">
        <w:t>Insert:</w:t>
      </w:r>
    </w:p>
    <w:p w14:paraId="3BC28D2A" w14:textId="762E2FDB" w:rsidR="00FC32C7" w:rsidRPr="005B69FA" w:rsidRDefault="00FC32C7" w:rsidP="00AC3863">
      <w:pPr>
        <w:pStyle w:val="Definition"/>
        <w:rPr>
          <w:rFonts w:cstheme="minorHAnsi"/>
          <w:szCs w:val="22"/>
        </w:rPr>
      </w:pPr>
      <w:r w:rsidRPr="005B69FA">
        <w:rPr>
          <w:rFonts w:cstheme="minorHAnsi"/>
          <w:b/>
          <w:bCs/>
          <w:i/>
          <w:iCs/>
          <w:szCs w:val="22"/>
        </w:rPr>
        <w:t>Aware</w:t>
      </w:r>
      <w:r w:rsidR="00662542" w:rsidRPr="005B69FA">
        <w:rPr>
          <w:rFonts w:cstheme="minorHAnsi"/>
          <w:b/>
          <w:bCs/>
          <w:i/>
          <w:iCs/>
          <w:szCs w:val="22"/>
        </w:rPr>
        <w:t xml:space="preserve"> User </w:t>
      </w:r>
      <w:r w:rsidR="00884E78" w:rsidRPr="005B69FA">
        <w:rPr>
          <w:rFonts w:cstheme="minorHAnsi"/>
          <w:szCs w:val="22"/>
        </w:rPr>
        <w:t>has the meaning given by paragraph 5.1.1(c) of the ARPANSA standard.</w:t>
      </w:r>
    </w:p>
    <w:p w14:paraId="5C35F427" w14:textId="77777777" w:rsidR="006050F5" w:rsidRPr="005B69FA" w:rsidRDefault="006050F5" w:rsidP="006050F5">
      <w:pPr>
        <w:pStyle w:val="Definition"/>
        <w:rPr>
          <w:iCs/>
        </w:rPr>
      </w:pPr>
      <w:r w:rsidRPr="005B69FA">
        <w:rPr>
          <w:b/>
          <w:bCs/>
          <w:i/>
        </w:rPr>
        <w:t xml:space="preserve">C95.3 </w:t>
      </w:r>
      <w:r w:rsidRPr="00AC3863">
        <w:rPr>
          <w:rFonts w:cstheme="minorHAnsi"/>
          <w:szCs w:val="22"/>
        </w:rPr>
        <w:t>means</w:t>
      </w:r>
      <w:r w:rsidRPr="005B69FA">
        <w:rPr>
          <w:iCs/>
        </w:rPr>
        <w:t>:</w:t>
      </w:r>
    </w:p>
    <w:p w14:paraId="1CE4551C" w14:textId="0B6B8BCA" w:rsidR="006050F5" w:rsidRPr="009E1AAA" w:rsidRDefault="006050F5" w:rsidP="006050F5">
      <w:pPr>
        <w:pStyle w:val="paragraph"/>
      </w:pPr>
      <w:r w:rsidRPr="005B69FA">
        <w:rPr>
          <w:iCs/>
        </w:rPr>
        <w:tab/>
        <w:t>(a)</w:t>
      </w:r>
      <w:r w:rsidRPr="005B69FA">
        <w:rPr>
          <w:iCs/>
        </w:rPr>
        <w:tab/>
        <w:t>the document titled ‘IEEE C95.3:2021 – IEEE Recommended Practice for Measurements and Computations of Electric, Magnetic, and Electromagnetic Fields with Respect to Human Exposure to Such Fields, 0</w:t>
      </w:r>
      <w:r w:rsidR="00190862" w:rsidRPr="005B69FA">
        <w:rPr>
          <w:iCs/>
        </w:rPr>
        <w:t> </w:t>
      </w:r>
      <w:r w:rsidRPr="005B69FA">
        <w:rPr>
          <w:iCs/>
        </w:rPr>
        <w:t xml:space="preserve">Hz to 300 GHz’, published by the </w:t>
      </w:r>
      <w:r w:rsidRPr="009E1AAA">
        <w:t>Institute of Electrical and Electronics Engineers; or</w:t>
      </w:r>
    </w:p>
    <w:p w14:paraId="7EA1DDF2" w14:textId="77777777" w:rsidR="006050F5" w:rsidRPr="005B69FA" w:rsidRDefault="006050F5" w:rsidP="006050F5">
      <w:pPr>
        <w:pStyle w:val="paragraph"/>
        <w:rPr>
          <w:iCs/>
        </w:rPr>
      </w:pPr>
      <w:r w:rsidRPr="009E1AAA">
        <w:tab/>
        <w:t>(b)</w:t>
      </w:r>
      <w:r w:rsidRPr="009E1AAA">
        <w:tab/>
        <w:t>if a later document published by the Institute of Electrical and Electronics Engineers is</w:t>
      </w:r>
      <w:r w:rsidRPr="005B69FA">
        <w:rPr>
          <w:iCs/>
        </w:rPr>
        <w:t xml:space="preserve"> expressed to replace the document mentioned in paragraph (a) – the later document.</w:t>
      </w:r>
    </w:p>
    <w:p w14:paraId="72A1C9A1" w14:textId="77777777" w:rsidR="009F5F84" w:rsidRDefault="006050F5" w:rsidP="009F5F84">
      <w:pPr>
        <w:pStyle w:val="notetext"/>
        <w:rPr>
          <w:iCs/>
        </w:rPr>
      </w:pPr>
      <w:r w:rsidRPr="00145A27">
        <w:rPr>
          <w:i/>
          <w:iCs/>
        </w:rPr>
        <w:t>Note</w:t>
      </w:r>
      <w:r w:rsidRPr="005B69FA">
        <w:tab/>
      </w:r>
      <w:r w:rsidR="009F5F84">
        <w:t xml:space="preserve">C95.3 may be obtained, for a fee, from the website of the Institute of Electrical and Electronics Engineers: </w:t>
      </w:r>
      <w:hyperlink r:id="rId22" w:history="1">
        <w:r w:rsidR="009F5F84" w:rsidRPr="00801C86">
          <w:rPr>
            <w:rStyle w:val="Hyperlink"/>
          </w:rPr>
          <w:t>standards.ieee.org</w:t>
        </w:r>
      </w:hyperlink>
      <w:r w:rsidR="009F5F84">
        <w:t>. C95.3 is also available to be viewed, on prior request, at an ACMA office, subject to licensing conditions.</w:t>
      </w:r>
    </w:p>
    <w:p w14:paraId="63832884" w14:textId="672BBD40" w:rsidR="009F38ED" w:rsidRPr="00CA5F27" w:rsidRDefault="009F38ED" w:rsidP="00AC3863">
      <w:pPr>
        <w:pStyle w:val="Definition"/>
        <w:rPr>
          <w:rFonts w:cstheme="minorHAnsi"/>
          <w:szCs w:val="22"/>
        </w:rPr>
      </w:pPr>
      <w:r>
        <w:rPr>
          <w:rFonts w:cstheme="minorHAnsi"/>
          <w:b/>
          <w:bCs/>
          <w:i/>
          <w:iCs/>
          <w:szCs w:val="22"/>
        </w:rPr>
        <w:t xml:space="preserve">Controlled Area </w:t>
      </w:r>
      <w:r>
        <w:rPr>
          <w:rFonts w:cstheme="minorHAnsi"/>
          <w:szCs w:val="22"/>
        </w:rPr>
        <w:t xml:space="preserve">has the meaning given by </w:t>
      </w:r>
      <w:r w:rsidR="003A2C50">
        <w:rPr>
          <w:rFonts w:cstheme="minorHAnsi"/>
          <w:szCs w:val="22"/>
        </w:rPr>
        <w:t>section 5.1.2 of the ARPANSA standard.</w:t>
      </w:r>
    </w:p>
    <w:p w14:paraId="57E98132" w14:textId="1FF70B8F" w:rsidR="0091559B" w:rsidRPr="005B69FA" w:rsidRDefault="00395772" w:rsidP="00AC3863">
      <w:pPr>
        <w:pStyle w:val="Definition"/>
        <w:rPr>
          <w:sz w:val="20"/>
          <w:szCs w:val="18"/>
        </w:rPr>
      </w:pPr>
      <w:r w:rsidRPr="005B69FA">
        <w:rPr>
          <w:rFonts w:cstheme="minorHAnsi"/>
          <w:b/>
          <w:bCs/>
          <w:i/>
          <w:iCs/>
          <w:szCs w:val="22"/>
        </w:rPr>
        <w:t>Controlled Area Worker</w:t>
      </w:r>
      <w:r w:rsidRPr="005B69FA">
        <w:rPr>
          <w:rFonts w:cstheme="minorHAnsi"/>
          <w:szCs w:val="22"/>
        </w:rPr>
        <w:t xml:space="preserve"> </w:t>
      </w:r>
      <w:r w:rsidRPr="005B69FA">
        <w:rPr>
          <w:rFonts w:cstheme="minorHAnsi"/>
          <w:bCs/>
          <w:szCs w:val="22"/>
        </w:rPr>
        <w:t>has the meaning given by paragraph 5.1.1(b) of the ARPANSA standard.</w:t>
      </w:r>
    </w:p>
    <w:p w14:paraId="7B33EAD0" w14:textId="0C7C3ADF" w:rsidR="00B00D37" w:rsidRPr="005B69FA" w:rsidRDefault="00B00D37" w:rsidP="00AC3863">
      <w:pPr>
        <w:pStyle w:val="Definition"/>
        <w:keepNext/>
        <w:rPr>
          <w:iCs/>
        </w:rPr>
      </w:pPr>
      <w:r w:rsidRPr="005B69FA">
        <w:rPr>
          <w:b/>
          <w:bCs/>
          <w:i/>
        </w:rPr>
        <w:lastRenderedPageBreak/>
        <w:t xml:space="preserve">IEC 62232 </w:t>
      </w:r>
      <w:r w:rsidRPr="00AC3863">
        <w:rPr>
          <w:rFonts w:cstheme="minorHAnsi"/>
          <w:bCs/>
          <w:szCs w:val="22"/>
        </w:rPr>
        <w:t>means</w:t>
      </w:r>
      <w:r w:rsidRPr="005B69FA">
        <w:rPr>
          <w:iCs/>
        </w:rPr>
        <w:t>:</w:t>
      </w:r>
    </w:p>
    <w:p w14:paraId="11C430D7" w14:textId="7A7B0BAE" w:rsidR="00B00D37" w:rsidRPr="009E1AAA" w:rsidRDefault="00B00D37" w:rsidP="00B00D37">
      <w:pPr>
        <w:pStyle w:val="paragraph"/>
      </w:pPr>
      <w:r w:rsidRPr="005B69FA">
        <w:rPr>
          <w:iCs/>
        </w:rPr>
        <w:tab/>
        <w:t>(a)</w:t>
      </w:r>
      <w:r w:rsidRPr="005B69FA">
        <w:rPr>
          <w:iCs/>
        </w:rPr>
        <w:tab/>
        <w:t>the document titled ‘</w:t>
      </w:r>
      <w:r w:rsidR="00A97C19" w:rsidRPr="005B69FA">
        <w:rPr>
          <w:iCs/>
        </w:rPr>
        <w:t>IEC 62232:2017</w:t>
      </w:r>
      <w:r w:rsidR="000F4885" w:rsidRPr="005B69FA">
        <w:rPr>
          <w:iCs/>
        </w:rPr>
        <w:t xml:space="preserve"> </w:t>
      </w:r>
      <w:r w:rsidRPr="005B69FA">
        <w:rPr>
          <w:iCs/>
        </w:rPr>
        <w:t xml:space="preserve">– </w:t>
      </w:r>
      <w:r w:rsidR="000F4885" w:rsidRPr="005B69FA">
        <w:rPr>
          <w:iCs/>
        </w:rPr>
        <w:t>Determination of RF field strength, power density and SAR in the vicinity of radiocommunication base stations for the purpose of evaluating human exposure</w:t>
      </w:r>
      <w:r w:rsidRPr="005B69FA">
        <w:rPr>
          <w:iCs/>
        </w:rPr>
        <w:t xml:space="preserve">’, published by the </w:t>
      </w:r>
      <w:r w:rsidR="00C44E81" w:rsidRPr="005B69FA">
        <w:rPr>
          <w:iCs/>
        </w:rPr>
        <w:t xml:space="preserve">International Electrotechnical </w:t>
      </w:r>
      <w:r w:rsidR="00C44E81" w:rsidRPr="009E1AAA">
        <w:t>Commission</w:t>
      </w:r>
      <w:r w:rsidRPr="009E1AAA">
        <w:t>; or</w:t>
      </w:r>
    </w:p>
    <w:p w14:paraId="2E926493" w14:textId="6EBE02D3" w:rsidR="00B00D37" w:rsidRPr="005B69FA" w:rsidRDefault="00B00D37" w:rsidP="00B00D37">
      <w:pPr>
        <w:pStyle w:val="paragraph"/>
        <w:rPr>
          <w:iCs/>
        </w:rPr>
      </w:pPr>
      <w:r w:rsidRPr="009E1AAA">
        <w:tab/>
        <w:t>(b)</w:t>
      </w:r>
      <w:r w:rsidRPr="009E1AAA">
        <w:tab/>
        <w:t>if a later document published</w:t>
      </w:r>
      <w:r w:rsidRPr="005B69FA">
        <w:rPr>
          <w:iCs/>
        </w:rPr>
        <w:t xml:space="preserve"> by the </w:t>
      </w:r>
      <w:r w:rsidR="00C44E81" w:rsidRPr="005B69FA">
        <w:rPr>
          <w:iCs/>
        </w:rPr>
        <w:t>International Electrotechnical Commission</w:t>
      </w:r>
      <w:r w:rsidRPr="005B69FA">
        <w:rPr>
          <w:iCs/>
        </w:rPr>
        <w:t xml:space="preserve"> is expressed to replace the document mentioned in paragraph (a) – the later document.</w:t>
      </w:r>
    </w:p>
    <w:p w14:paraId="41292548" w14:textId="7744ED04" w:rsidR="00B00D37" w:rsidRPr="005B69FA" w:rsidRDefault="00B00D37" w:rsidP="00B00D37">
      <w:pPr>
        <w:pStyle w:val="notetext"/>
        <w:rPr>
          <w:iCs/>
        </w:rPr>
      </w:pPr>
      <w:r w:rsidRPr="00145A27">
        <w:rPr>
          <w:i/>
          <w:iCs/>
        </w:rPr>
        <w:t>Note</w:t>
      </w:r>
      <w:r w:rsidRPr="005B69FA">
        <w:tab/>
      </w:r>
      <w:r w:rsidR="00C44E81" w:rsidRPr="005B69FA">
        <w:t>IEC 62232</w:t>
      </w:r>
      <w:r w:rsidRPr="005B69FA">
        <w:t xml:space="preserve"> may be obtained, for a fee, from a Standards Australia distributor listed on the Standards Australia websit</w:t>
      </w:r>
      <w:r w:rsidR="00A11DE5">
        <w:t>e</w:t>
      </w:r>
      <w:r w:rsidRPr="005B69FA">
        <w:t xml:space="preserve">: </w:t>
      </w:r>
      <w:hyperlink r:id="rId23" w:history="1">
        <w:r w:rsidRPr="005B69FA">
          <w:rPr>
            <w:rStyle w:val="Hyperlink"/>
          </w:rPr>
          <w:t>www.standards.org.au</w:t>
        </w:r>
      </w:hyperlink>
      <w:r w:rsidRPr="005B69FA">
        <w:t xml:space="preserve">. </w:t>
      </w:r>
      <w:r w:rsidR="00C44E81" w:rsidRPr="005B69FA">
        <w:t>IEC 62232</w:t>
      </w:r>
      <w:r w:rsidRPr="005B69FA">
        <w:t xml:space="preserve"> is also available to be viewed, on prior request, at an ACMA office, subject to licensing conditions.</w:t>
      </w:r>
    </w:p>
    <w:p w14:paraId="3657BE89" w14:textId="3BD10851" w:rsidR="00F75F6B" w:rsidRPr="005B69FA" w:rsidRDefault="00F75F6B" w:rsidP="00F75F6B">
      <w:pPr>
        <w:pStyle w:val="Definition"/>
        <w:rPr>
          <w:iCs/>
        </w:rPr>
      </w:pPr>
      <w:r w:rsidRPr="005B69FA">
        <w:rPr>
          <w:b/>
          <w:bCs/>
          <w:i/>
        </w:rPr>
        <w:t xml:space="preserve">IEC 62577 </w:t>
      </w:r>
      <w:r w:rsidRPr="00AC3863">
        <w:rPr>
          <w:rFonts w:cstheme="minorHAnsi"/>
          <w:bCs/>
          <w:szCs w:val="22"/>
        </w:rPr>
        <w:t>means</w:t>
      </w:r>
      <w:r w:rsidRPr="005B69FA">
        <w:rPr>
          <w:iCs/>
        </w:rPr>
        <w:t>:</w:t>
      </w:r>
    </w:p>
    <w:p w14:paraId="5F356EBA" w14:textId="348A8B96" w:rsidR="00F75F6B" w:rsidRPr="009E1AAA" w:rsidRDefault="00F75F6B" w:rsidP="00F75F6B">
      <w:pPr>
        <w:pStyle w:val="paragraph"/>
      </w:pPr>
      <w:r w:rsidRPr="005B69FA">
        <w:rPr>
          <w:iCs/>
        </w:rPr>
        <w:tab/>
        <w:t>(a)</w:t>
      </w:r>
      <w:r w:rsidRPr="005B69FA">
        <w:rPr>
          <w:iCs/>
        </w:rPr>
        <w:tab/>
        <w:t>the document titled ‘IEC 62</w:t>
      </w:r>
      <w:r w:rsidR="00B50281">
        <w:rPr>
          <w:iCs/>
        </w:rPr>
        <w:t>5</w:t>
      </w:r>
      <w:r w:rsidRPr="005B69FA">
        <w:rPr>
          <w:iCs/>
        </w:rPr>
        <w:t xml:space="preserve">77:2009 – </w:t>
      </w:r>
      <w:r w:rsidR="006B697F" w:rsidRPr="005B69FA">
        <w:rPr>
          <w:iCs/>
        </w:rPr>
        <w:t>Evaluation of human exposure to electromagnetic fields from a stand-alone broadcast transmitter (30 MHz – 40</w:t>
      </w:r>
      <w:r w:rsidR="003F3D02">
        <w:rPr>
          <w:iCs/>
        </w:rPr>
        <w:t> </w:t>
      </w:r>
      <w:r w:rsidR="006B697F" w:rsidRPr="005B69FA">
        <w:rPr>
          <w:iCs/>
        </w:rPr>
        <w:t>GHz)</w:t>
      </w:r>
      <w:r w:rsidRPr="005B69FA">
        <w:rPr>
          <w:iCs/>
        </w:rPr>
        <w:t xml:space="preserve">’, </w:t>
      </w:r>
      <w:r w:rsidRPr="009E1AAA">
        <w:t>published by the International Electrotechnical Commission; or</w:t>
      </w:r>
    </w:p>
    <w:p w14:paraId="1FE5C810" w14:textId="77777777" w:rsidR="00F75F6B" w:rsidRPr="005B69FA" w:rsidRDefault="00F75F6B" w:rsidP="00F75F6B">
      <w:pPr>
        <w:pStyle w:val="paragraph"/>
        <w:rPr>
          <w:iCs/>
        </w:rPr>
      </w:pPr>
      <w:r w:rsidRPr="009E1AAA">
        <w:tab/>
        <w:t>(b)</w:t>
      </w:r>
      <w:r w:rsidRPr="009E1AAA">
        <w:tab/>
        <w:t>if a later document published</w:t>
      </w:r>
      <w:r w:rsidRPr="005B69FA">
        <w:rPr>
          <w:iCs/>
        </w:rPr>
        <w:t xml:space="preserve"> by the International Electrotechnical Commission is expressed to replace the document mentioned in paragraph (a) – the later document.</w:t>
      </w:r>
    </w:p>
    <w:p w14:paraId="4D38D645" w14:textId="28DC77F0" w:rsidR="00F75F6B" w:rsidRPr="005B69FA" w:rsidRDefault="00F75F6B" w:rsidP="00F75F6B">
      <w:pPr>
        <w:pStyle w:val="notetext"/>
        <w:rPr>
          <w:iCs/>
        </w:rPr>
      </w:pPr>
      <w:r w:rsidRPr="00145A27">
        <w:rPr>
          <w:i/>
          <w:iCs/>
        </w:rPr>
        <w:t>Note</w:t>
      </w:r>
      <w:r w:rsidRPr="005B69FA">
        <w:tab/>
        <w:t>IEC 62</w:t>
      </w:r>
      <w:r w:rsidR="00B50281">
        <w:t>577</w:t>
      </w:r>
      <w:r w:rsidRPr="005B69FA">
        <w:t xml:space="preserve"> may be obtained, for a fee, from a Standards Australia distributor listed on the Standards Australia website: </w:t>
      </w:r>
      <w:hyperlink r:id="rId24" w:history="1">
        <w:r w:rsidRPr="005B69FA">
          <w:rPr>
            <w:rStyle w:val="Hyperlink"/>
          </w:rPr>
          <w:t>www.standards.org.au</w:t>
        </w:r>
      </w:hyperlink>
      <w:r w:rsidRPr="005B69FA">
        <w:t>. IEC 62</w:t>
      </w:r>
      <w:r w:rsidR="00B50281">
        <w:t>577</w:t>
      </w:r>
      <w:r w:rsidRPr="005B69FA">
        <w:t xml:space="preserve"> is also available to be viewed, on prior request, at an ACMA office, subject to licensing conditions.</w:t>
      </w:r>
    </w:p>
    <w:p w14:paraId="793462C4" w14:textId="347A25B9" w:rsidR="00AF1C0E" w:rsidRPr="00FC69F6" w:rsidRDefault="00CE4C6B" w:rsidP="00AF1C0E">
      <w:pPr>
        <w:pStyle w:val="ItemHead"/>
      </w:pPr>
      <w:r>
        <w:t>4</w:t>
      </w:r>
      <w:r w:rsidR="00AF1C0E">
        <w:t xml:space="preserve">  Subsection 4(1) (definition of </w:t>
      </w:r>
      <w:r w:rsidR="00FC69F6">
        <w:rPr>
          <w:i/>
          <w:iCs/>
        </w:rPr>
        <w:t>member of the general public</w:t>
      </w:r>
      <w:r w:rsidR="00FC69F6">
        <w:t>)</w:t>
      </w:r>
    </w:p>
    <w:p w14:paraId="69BDFAFA" w14:textId="6527A204" w:rsidR="00AF1C0E" w:rsidRPr="00E93B06" w:rsidRDefault="00FC69F6" w:rsidP="00AF1C0E">
      <w:pPr>
        <w:pStyle w:val="Item"/>
      </w:pPr>
      <w:r w:rsidRPr="00E93B06">
        <w:t>Repeal the definition, substitute</w:t>
      </w:r>
      <w:r w:rsidR="00AF1C0E" w:rsidRPr="00E93B06">
        <w:t>:</w:t>
      </w:r>
    </w:p>
    <w:p w14:paraId="28392CBB" w14:textId="77777777" w:rsidR="00BA51F1" w:rsidRPr="00E93B06" w:rsidRDefault="006B49EA" w:rsidP="00AC3863">
      <w:pPr>
        <w:pStyle w:val="Definition"/>
        <w:rPr>
          <w:rFonts w:cstheme="minorHAnsi"/>
          <w:szCs w:val="22"/>
        </w:rPr>
      </w:pPr>
      <w:r w:rsidRPr="00E93B06">
        <w:rPr>
          <w:rFonts w:cstheme="minorHAnsi"/>
          <w:b/>
          <w:bCs/>
          <w:i/>
          <w:iCs/>
          <w:szCs w:val="22"/>
        </w:rPr>
        <w:t>member of the general public</w:t>
      </w:r>
      <w:r w:rsidR="00AF1C0E" w:rsidRPr="00E93B06">
        <w:rPr>
          <w:rFonts w:cstheme="minorHAnsi"/>
          <w:b/>
          <w:bCs/>
          <w:i/>
          <w:iCs/>
          <w:szCs w:val="22"/>
        </w:rPr>
        <w:t xml:space="preserve"> </w:t>
      </w:r>
      <w:r w:rsidR="00BA51F1" w:rsidRPr="00E93B06">
        <w:rPr>
          <w:rFonts w:cstheme="minorHAnsi"/>
          <w:szCs w:val="22"/>
        </w:rPr>
        <w:t>means a person other than:</w:t>
      </w:r>
    </w:p>
    <w:p w14:paraId="02E72B05" w14:textId="4E7790E6" w:rsidR="00BA51F1" w:rsidRPr="009E1AAA" w:rsidRDefault="00BA51F1" w:rsidP="00BA51F1">
      <w:pPr>
        <w:pStyle w:val="paragraph"/>
      </w:pPr>
      <w:r w:rsidRPr="00E93B06">
        <w:rPr>
          <w:szCs w:val="22"/>
        </w:rPr>
        <w:tab/>
        <w:t>(a)</w:t>
      </w:r>
      <w:r w:rsidRPr="00E93B06">
        <w:rPr>
          <w:szCs w:val="22"/>
        </w:rPr>
        <w:tab/>
      </w:r>
      <w:r w:rsidR="00713AFD" w:rsidRPr="009E1AAA">
        <w:t>an Aware User; or</w:t>
      </w:r>
    </w:p>
    <w:p w14:paraId="5BFEA5AA" w14:textId="0D5038B8" w:rsidR="00713AFD" w:rsidRPr="009E1AAA" w:rsidRDefault="00713AFD" w:rsidP="00BA51F1">
      <w:pPr>
        <w:pStyle w:val="paragraph"/>
      </w:pPr>
      <w:r w:rsidRPr="009E1AAA">
        <w:tab/>
        <w:t>(b)</w:t>
      </w:r>
      <w:r w:rsidRPr="009E1AAA">
        <w:tab/>
        <w:t>in relation to a Controlled Area – a Controlled Area Worker</w:t>
      </w:r>
      <w:r w:rsidR="003F3D02" w:rsidRPr="009E1AAA">
        <w:t xml:space="preserve"> for the Controlled Area</w:t>
      </w:r>
      <w:r w:rsidRPr="009E1AAA">
        <w:t>; or</w:t>
      </w:r>
    </w:p>
    <w:p w14:paraId="42D281DB" w14:textId="46CE4CF0" w:rsidR="00713AFD" w:rsidRPr="009E1AAA" w:rsidRDefault="00713AFD" w:rsidP="00BA51F1">
      <w:pPr>
        <w:pStyle w:val="paragraph"/>
      </w:pPr>
      <w:r w:rsidRPr="009E1AAA">
        <w:tab/>
        <w:t>(c)</w:t>
      </w:r>
      <w:r w:rsidRPr="009E1AAA">
        <w:tab/>
      </w:r>
      <w:r w:rsidR="00A22496" w:rsidRPr="009E1AAA">
        <w:t>an RF Worker; or</w:t>
      </w:r>
    </w:p>
    <w:p w14:paraId="736A659B" w14:textId="784A9C4D" w:rsidR="00A22496" w:rsidRPr="00E93B06" w:rsidRDefault="00A22496" w:rsidP="00BA51F1">
      <w:pPr>
        <w:pStyle w:val="paragraph"/>
        <w:rPr>
          <w:szCs w:val="22"/>
        </w:rPr>
      </w:pPr>
      <w:r w:rsidRPr="009E1AAA">
        <w:tab/>
        <w:t>(d)</w:t>
      </w:r>
      <w:r w:rsidRPr="009E1AAA">
        <w:tab/>
        <w:t>in relation</w:t>
      </w:r>
      <w:r w:rsidRPr="00E93B06">
        <w:rPr>
          <w:szCs w:val="22"/>
        </w:rPr>
        <w:t xml:space="preserve"> to a Controlled Area – a Supervised Visitor</w:t>
      </w:r>
      <w:r w:rsidR="003F3D02">
        <w:rPr>
          <w:szCs w:val="22"/>
        </w:rPr>
        <w:t xml:space="preserve"> to the Controlled Area</w:t>
      </w:r>
      <w:r w:rsidR="00BB690F" w:rsidRPr="00E93B06">
        <w:rPr>
          <w:szCs w:val="22"/>
        </w:rPr>
        <w:t>.</w:t>
      </w:r>
    </w:p>
    <w:p w14:paraId="561DF9B9" w14:textId="37548159" w:rsidR="00B52FBF" w:rsidRPr="00104BC4" w:rsidRDefault="000A5B5F" w:rsidP="00B52FBF">
      <w:pPr>
        <w:pStyle w:val="ItemHead"/>
      </w:pPr>
      <w:r>
        <w:t>5</w:t>
      </w:r>
      <w:r w:rsidR="00B52FBF" w:rsidRPr="00E97D39">
        <w:t xml:space="preserve">  </w:t>
      </w:r>
      <w:r w:rsidR="00B52FBF">
        <w:t xml:space="preserve">Subsection 4(1) (definition of </w:t>
      </w:r>
      <w:r w:rsidR="00B52FBF">
        <w:rPr>
          <w:i/>
          <w:iCs/>
        </w:rPr>
        <w:t>mobile station</w:t>
      </w:r>
      <w:r w:rsidR="00475F52" w:rsidRPr="00475F52">
        <w:t>, including the note</w:t>
      </w:r>
      <w:r w:rsidR="00B52FBF">
        <w:t>)</w:t>
      </w:r>
    </w:p>
    <w:p w14:paraId="57020785" w14:textId="77E8699B" w:rsidR="00B52FBF" w:rsidRPr="00E93B06" w:rsidRDefault="00B52FBF" w:rsidP="00B52FBF">
      <w:pPr>
        <w:pStyle w:val="Item"/>
        <w:rPr>
          <w:szCs w:val="22"/>
        </w:rPr>
      </w:pPr>
      <w:r w:rsidRPr="00E93B06">
        <w:rPr>
          <w:szCs w:val="22"/>
        </w:rPr>
        <w:t>Repeal the definition.</w:t>
      </w:r>
    </w:p>
    <w:p w14:paraId="4A6CAD44" w14:textId="3FF2FFFC" w:rsidR="00184274" w:rsidRPr="00104BC4" w:rsidRDefault="000A5B5F" w:rsidP="00F7258C">
      <w:pPr>
        <w:pStyle w:val="ItemHead"/>
      </w:pPr>
      <w:r>
        <w:t>6</w:t>
      </w:r>
      <w:r w:rsidR="00D00EFA" w:rsidRPr="00E97D39">
        <w:t xml:space="preserve">  </w:t>
      </w:r>
      <w:r w:rsidR="006B1AA9">
        <w:t>S</w:t>
      </w:r>
      <w:r w:rsidR="00587FCE">
        <w:t>ubs</w:t>
      </w:r>
      <w:r w:rsidR="006B1AA9">
        <w:t>ection 4</w:t>
      </w:r>
      <w:r w:rsidR="00567228">
        <w:t>(1)</w:t>
      </w:r>
      <w:r w:rsidR="00104BC4">
        <w:t xml:space="preserve"> (</w:t>
      </w:r>
      <w:r w:rsidR="006B1AA9">
        <w:t xml:space="preserve">definition of </w:t>
      </w:r>
      <w:r w:rsidR="00FD15B1" w:rsidRPr="00FD15B1">
        <w:rPr>
          <w:i/>
          <w:iCs/>
        </w:rPr>
        <w:t>reference levels</w:t>
      </w:r>
      <w:r w:rsidR="00104BC4">
        <w:t>)</w:t>
      </w:r>
    </w:p>
    <w:p w14:paraId="1C98D6B4" w14:textId="7D67F12B" w:rsidR="00184274" w:rsidRPr="00E93B06" w:rsidRDefault="008B0798" w:rsidP="00707CE3">
      <w:pPr>
        <w:pStyle w:val="Item"/>
        <w:rPr>
          <w:szCs w:val="22"/>
        </w:rPr>
      </w:pPr>
      <w:r w:rsidRPr="00E93B06">
        <w:rPr>
          <w:szCs w:val="22"/>
        </w:rPr>
        <w:t>Repeal the definition, substitute:</w:t>
      </w:r>
    </w:p>
    <w:p w14:paraId="72925E81" w14:textId="3B7A1EAC" w:rsidR="00301BD0" w:rsidRPr="00E93B06" w:rsidRDefault="00000A54" w:rsidP="00AC3863">
      <w:pPr>
        <w:pStyle w:val="Definition"/>
        <w:rPr>
          <w:rFonts w:cstheme="minorHAnsi"/>
          <w:bCs/>
          <w:szCs w:val="22"/>
        </w:rPr>
      </w:pPr>
      <w:r w:rsidRPr="00E93B06">
        <w:rPr>
          <w:rFonts w:cstheme="minorHAnsi"/>
          <w:b/>
          <w:bCs/>
          <w:i/>
          <w:iCs/>
          <w:szCs w:val="22"/>
        </w:rPr>
        <w:t>reference levels</w:t>
      </w:r>
      <w:r w:rsidRPr="00E93B06">
        <w:rPr>
          <w:rFonts w:cstheme="minorHAnsi"/>
          <w:szCs w:val="22"/>
        </w:rPr>
        <w:t xml:space="preserve"> </w:t>
      </w:r>
      <w:proofErr w:type="gramStart"/>
      <w:r w:rsidRPr="00E93B06">
        <w:rPr>
          <w:rFonts w:cstheme="minorHAnsi"/>
          <w:bCs/>
          <w:szCs w:val="22"/>
        </w:rPr>
        <w:t>ha</w:t>
      </w:r>
      <w:r w:rsidR="00FC4953" w:rsidRPr="00E93B06">
        <w:rPr>
          <w:rFonts w:cstheme="minorHAnsi"/>
          <w:bCs/>
          <w:szCs w:val="22"/>
        </w:rPr>
        <w:t>s</w:t>
      </w:r>
      <w:proofErr w:type="gramEnd"/>
      <w:r w:rsidRPr="00E93B06">
        <w:rPr>
          <w:rFonts w:cstheme="minorHAnsi"/>
          <w:bCs/>
          <w:szCs w:val="22"/>
        </w:rPr>
        <w:t xml:space="preserve"> the meaning given by </w:t>
      </w:r>
      <w:r w:rsidR="00A74714" w:rsidRPr="00E93B06">
        <w:rPr>
          <w:rFonts w:cstheme="minorHAnsi"/>
          <w:bCs/>
          <w:szCs w:val="22"/>
        </w:rPr>
        <w:t>sections 2 and 3 of the</w:t>
      </w:r>
      <w:r w:rsidRPr="00E93B06">
        <w:rPr>
          <w:rFonts w:cstheme="minorHAnsi"/>
          <w:bCs/>
          <w:szCs w:val="22"/>
        </w:rPr>
        <w:t xml:space="preserve"> ARPANSA </w:t>
      </w:r>
      <w:r w:rsidR="009B601C" w:rsidRPr="00E93B06">
        <w:rPr>
          <w:rFonts w:cstheme="minorHAnsi"/>
          <w:bCs/>
          <w:szCs w:val="22"/>
        </w:rPr>
        <w:t>s</w:t>
      </w:r>
      <w:r w:rsidRPr="00E93B06">
        <w:rPr>
          <w:rFonts w:cstheme="minorHAnsi"/>
          <w:bCs/>
          <w:szCs w:val="22"/>
        </w:rPr>
        <w:t>tandard.</w:t>
      </w:r>
    </w:p>
    <w:p w14:paraId="35B664EE" w14:textId="6DCE0383" w:rsidR="00DB1FA1" w:rsidRDefault="000A5B5F" w:rsidP="00DB1FA1">
      <w:pPr>
        <w:pStyle w:val="ItemHead"/>
      </w:pPr>
      <w:r>
        <w:t>7</w:t>
      </w:r>
      <w:r w:rsidR="00DB1FA1">
        <w:t xml:space="preserve">  Subsection 4(1) (definition of </w:t>
      </w:r>
      <w:r w:rsidR="00DB1FA1" w:rsidRPr="001E5C72">
        <w:rPr>
          <w:i/>
          <w:iCs/>
        </w:rPr>
        <w:t>RF worker</w:t>
      </w:r>
      <w:r w:rsidR="00DB1FA1">
        <w:t>)</w:t>
      </w:r>
    </w:p>
    <w:p w14:paraId="314AC438" w14:textId="1F932853" w:rsidR="00DB1FA1" w:rsidRPr="00E93B06" w:rsidRDefault="00DB1FA1" w:rsidP="00DB1FA1">
      <w:pPr>
        <w:pStyle w:val="Item"/>
      </w:pPr>
      <w:r w:rsidRPr="00E93B06">
        <w:t>Repeal the definition, substitute:</w:t>
      </w:r>
    </w:p>
    <w:p w14:paraId="44A4B116" w14:textId="033C3EAE" w:rsidR="001E5C72" w:rsidRPr="00E93B06" w:rsidRDefault="001E5C72" w:rsidP="00AC3863">
      <w:pPr>
        <w:pStyle w:val="Definition"/>
        <w:rPr>
          <w:rFonts w:cstheme="minorHAnsi"/>
          <w:szCs w:val="22"/>
        </w:rPr>
      </w:pPr>
      <w:r w:rsidRPr="00E93B06">
        <w:rPr>
          <w:rFonts w:cstheme="minorHAnsi"/>
          <w:b/>
          <w:bCs/>
          <w:i/>
          <w:iCs/>
          <w:szCs w:val="22"/>
        </w:rPr>
        <w:t xml:space="preserve">RF Worker </w:t>
      </w:r>
      <w:r w:rsidRPr="00E93B06">
        <w:rPr>
          <w:rFonts w:cstheme="minorHAnsi"/>
          <w:szCs w:val="22"/>
        </w:rPr>
        <w:t>has the meaning given by paragraph 5.1.1(a) of the ARPANSA standard.</w:t>
      </w:r>
    </w:p>
    <w:p w14:paraId="77DFEA92" w14:textId="31F81398" w:rsidR="009C1BEB" w:rsidRDefault="00F94D4C" w:rsidP="009C1BEB">
      <w:pPr>
        <w:pStyle w:val="ItemHead"/>
      </w:pPr>
      <w:r>
        <w:t>8</w:t>
      </w:r>
      <w:r w:rsidR="009C1BEB">
        <w:t xml:space="preserve">  Subsection 4(1)</w:t>
      </w:r>
    </w:p>
    <w:p w14:paraId="6436DD78" w14:textId="77777777" w:rsidR="009C1BEB" w:rsidRPr="0031452D" w:rsidRDefault="009C1BEB" w:rsidP="009C1BEB">
      <w:pPr>
        <w:pStyle w:val="Item"/>
      </w:pPr>
      <w:r w:rsidRPr="0031452D">
        <w:t>Insert:</w:t>
      </w:r>
    </w:p>
    <w:p w14:paraId="27DB3D4E" w14:textId="77777777" w:rsidR="009C1BEB" w:rsidRPr="0031452D" w:rsidRDefault="009C1BEB" w:rsidP="00E410E5">
      <w:pPr>
        <w:pStyle w:val="Item"/>
        <w:keepLines w:val="0"/>
        <w:ind w:left="1134"/>
        <w:rPr>
          <w:sz w:val="20"/>
          <w:szCs w:val="18"/>
        </w:rPr>
      </w:pPr>
      <w:r w:rsidRPr="0031452D">
        <w:rPr>
          <w:rFonts w:cstheme="minorHAnsi"/>
          <w:b/>
          <w:bCs/>
          <w:i/>
          <w:iCs/>
          <w:szCs w:val="22"/>
        </w:rPr>
        <w:t xml:space="preserve">Supervised Visitor </w:t>
      </w:r>
      <w:r w:rsidRPr="0031452D">
        <w:rPr>
          <w:rFonts w:cstheme="minorHAnsi"/>
          <w:szCs w:val="22"/>
        </w:rPr>
        <w:t>has the meaning given by paragraph 5.1.1(d) of the ARPANSA standard.</w:t>
      </w:r>
    </w:p>
    <w:p w14:paraId="7E20F3DF" w14:textId="4D4285BB" w:rsidR="000A18B2" w:rsidRDefault="00F94D4C" w:rsidP="00E410E5">
      <w:pPr>
        <w:pStyle w:val="ItemHead"/>
      </w:pPr>
      <w:r>
        <w:lastRenderedPageBreak/>
        <w:t>9</w:t>
      </w:r>
      <w:r w:rsidR="000A18B2">
        <w:t xml:space="preserve">  Subsection 4(1) (note to the subsection)</w:t>
      </w:r>
    </w:p>
    <w:p w14:paraId="1714DF98" w14:textId="4F713B3B" w:rsidR="000A18B2" w:rsidRPr="0031452D" w:rsidRDefault="000A18B2" w:rsidP="00E410E5">
      <w:pPr>
        <w:pStyle w:val="Item"/>
        <w:keepNext/>
      </w:pPr>
      <w:r w:rsidRPr="0031452D">
        <w:t>Repeal the note, substitute:</w:t>
      </w:r>
    </w:p>
    <w:p w14:paraId="5E81C948" w14:textId="719908E7" w:rsidR="00776536" w:rsidRPr="0086190C" w:rsidRDefault="00776536" w:rsidP="00776536">
      <w:pPr>
        <w:pStyle w:val="notetext"/>
      </w:pPr>
      <w:r w:rsidRPr="00145A27">
        <w:rPr>
          <w:i/>
          <w:iCs/>
        </w:rPr>
        <w:t>Note 1</w:t>
      </w:r>
      <w:r w:rsidRPr="0086190C">
        <w:tab/>
        <w:t>A number of other expressions used in this instrument are defined in the Act, including the following:</w:t>
      </w:r>
    </w:p>
    <w:p w14:paraId="3413C7DE" w14:textId="50BDE77D" w:rsidR="00776536" w:rsidRDefault="00776536" w:rsidP="00776536">
      <w:pPr>
        <w:pStyle w:val="notepara"/>
        <w:numPr>
          <w:ilvl w:val="0"/>
          <w:numId w:val="9"/>
        </w:numPr>
      </w:pPr>
      <w:proofErr w:type="gramStart"/>
      <w:r w:rsidRPr="0086190C">
        <w:t>ACMA;</w:t>
      </w:r>
      <w:proofErr w:type="gramEnd"/>
    </w:p>
    <w:p w14:paraId="04C91F35" w14:textId="40913894" w:rsidR="00582AA0" w:rsidRDefault="00582AA0" w:rsidP="00776536">
      <w:pPr>
        <w:pStyle w:val="notepara"/>
        <w:numPr>
          <w:ilvl w:val="0"/>
          <w:numId w:val="9"/>
        </w:numPr>
      </w:pPr>
      <w:proofErr w:type="gramStart"/>
      <w:r>
        <w:t>device;</w:t>
      </w:r>
      <w:proofErr w:type="gramEnd"/>
    </w:p>
    <w:p w14:paraId="1E344DC6" w14:textId="5025F7F3" w:rsidR="00C243D9" w:rsidRDefault="00C243D9" w:rsidP="00776536">
      <w:pPr>
        <w:pStyle w:val="notepara"/>
        <w:numPr>
          <w:ilvl w:val="0"/>
          <w:numId w:val="9"/>
        </w:numPr>
      </w:pPr>
      <w:proofErr w:type="gramStart"/>
      <w:r>
        <w:t>inspector;</w:t>
      </w:r>
      <w:proofErr w:type="gramEnd"/>
    </w:p>
    <w:p w14:paraId="5BA5F7D9" w14:textId="59516C66" w:rsidR="00C243D9" w:rsidRDefault="00C243D9" w:rsidP="00776536">
      <w:pPr>
        <w:pStyle w:val="notepara"/>
        <w:numPr>
          <w:ilvl w:val="0"/>
          <w:numId w:val="9"/>
        </w:numPr>
      </w:pPr>
      <w:proofErr w:type="gramStart"/>
      <w:r>
        <w:t>interference;</w:t>
      </w:r>
      <w:proofErr w:type="gramEnd"/>
    </w:p>
    <w:p w14:paraId="23B86E55" w14:textId="055805F5" w:rsidR="002D3F50" w:rsidRDefault="002D3F50" w:rsidP="00776536">
      <w:pPr>
        <w:pStyle w:val="notepara"/>
        <w:numPr>
          <w:ilvl w:val="0"/>
          <w:numId w:val="9"/>
        </w:numPr>
      </w:pPr>
      <w:proofErr w:type="gramStart"/>
      <w:r>
        <w:t>operate;</w:t>
      </w:r>
      <w:proofErr w:type="gramEnd"/>
    </w:p>
    <w:p w14:paraId="20668BDE" w14:textId="64FE2472" w:rsidR="00392D3E" w:rsidRDefault="00392D3E" w:rsidP="00776536">
      <w:pPr>
        <w:pStyle w:val="notepara"/>
        <w:numPr>
          <w:ilvl w:val="0"/>
          <w:numId w:val="9"/>
        </w:numPr>
      </w:pPr>
      <w:proofErr w:type="gramStart"/>
      <w:r>
        <w:t>receiver;</w:t>
      </w:r>
      <w:proofErr w:type="gramEnd"/>
    </w:p>
    <w:p w14:paraId="34A7530B" w14:textId="30363558" w:rsidR="00392D3E" w:rsidRDefault="00392D3E" w:rsidP="00776536">
      <w:pPr>
        <w:pStyle w:val="notepara"/>
        <w:numPr>
          <w:ilvl w:val="0"/>
          <w:numId w:val="9"/>
        </w:numPr>
      </w:pPr>
      <w:proofErr w:type="gramStart"/>
      <w:r>
        <w:t>transmitter;</w:t>
      </w:r>
      <w:proofErr w:type="gramEnd"/>
    </w:p>
    <w:p w14:paraId="648E4C68" w14:textId="73D2394E" w:rsidR="00776536" w:rsidRPr="0086190C" w:rsidRDefault="00776536" w:rsidP="00776536">
      <w:pPr>
        <w:pStyle w:val="notepara"/>
        <w:numPr>
          <w:ilvl w:val="0"/>
          <w:numId w:val="9"/>
        </w:numPr>
      </w:pPr>
      <w:r>
        <w:t>transmitter licence.</w:t>
      </w:r>
    </w:p>
    <w:p w14:paraId="42161536" w14:textId="0A268305" w:rsidR="00776536" w:rsidRDefault="00776536" w:rsidP="00776536">
      <w:pPr>
        <w:pStyle w:val="notetext"/>
      </w:pPr>
      <w:r w:rsidRPr="00145A27">
        <w:rPr>
          <w:i/>
          <w:iCs/>
        </w:rPr>
        <w:t>Note 2</w:t>
      </w:r>
      <w:r>
        <w:tab/>
        <w:t xml:space="preserve">A number of other expressions used in this instrument may be defined in a determination made under section 64 of the </w:t>
      </w:r>
      <w:r>
        <w:rPr>
          <w:i/>
          <w:iCs/>
        </w:rPr>
        <w:t>Australian Communications and Media Authority Act 2005</w:t>
      </w:r>
      <w:r>
        <w:t>. At the time this instrument was made, the following expressions were defined in such a determination:</w:t>
      </w:r>
    </w:p>
    <w:p w14:paraId="5747CC6D" w14:textId="5B3DD577" w:rsidR="00910A92" w:rsidRDefault="00910A92" w:rsidP="00776536">
      <w:pPr>
        <w:pStyle w:val="notepara"/>
        <w:numPr>
          <w:ilvl w:val="0"/>
          <w:numId w:val="9"/>
        </w:numPr>
      </w:pPr>
      <w:r>
        <w:t xml:space="preserve">mobile </w:t>
      </w:r>
      <w:proofErr w:type="gramStart"/>
      <w:r>
        <w:t>station;</w:t>
      </w:r>
      <w:proofErr w:type="gramEnd"/>
    </w:p>
    <w:p w14:paraId="45FA13AF" w14:textId="3249E0F4" w:rsidR="000A18B2" w:rsidRPr="000A18B2" w:rsidRDefault="00392D3E" w:rsidP="00776536">
      <w:pPr>
        <w:pStyle w:val="notepara"/>
        <w:numPr>
          <w:ilvl w:val="0"/>
          <w:numId w:val="9"/>
        </w:numPr>
      </w:pPr>
      <w:r>
        <w:t>station</w:t>
      </w:r>
      <w:r w:rsidR="00776536">
        <w:t>.</w:t>
      </w:r>
    </w:p>
    <w:p w14:paraId="6064BA66" w14:textId="50DDE19E" w:rsidR="00587FCE" w:rsidRPr="00104BC4" w:rsidRDefault="00F94D4C" w:rsidP="00587FCE">
      <w:pPr>
        <w:pStyle w:val="ItemHead"/>
      </w:pPr>
      <w:r>
        <w:t>10</w:t>
      </w:r>
      <w:r w:rsidR="00587FCE" w:rsidRPr="00E97D39">
        <w:t xml:space="preserve">  </w:t>
      </w:r>
      <w:r w:rsidR="00712CD5">
        <w:t xml:space="preserve">Subsection </w:t>
      </w:r>
      <w:r w:rsidR="008B0216">
        <w:t>4(2)</w:t>
      </w:r>
    </w:p>
    <w:p w14:paraId="134FC72E" w14:textId="174FA46D" w:rsidR="00587FCE" w:rsidRPr="0031452D" w:rsidRDefault="008B0216" w:rsidP="00587FCE">
      <w:pPr>
        <w:pStyle w:val="Item"/>
        <w:rPr>
          <w:szCs w:val="22"/>
        </w:rPr>
      </w:pPr>
      <w:r w:rsidRPr="0031452D">
        <w:rPr>
          <w:szCs w:val="22"/>
        </w:rPr>
        <w:t>Repeal the subsection.</w:t>
      </w:r>
    </w:p>
    <w:p w14:paraId="6974D3C0" w14:textId="04BCABD1" w:rsidR="000B2C03" w:rsidRPr="00104BC4" w:rsidRDefault="001B6966" w:rsidP="000B2C03">
      <w:pPr>
        <w:pStyle w:val="ItemHead"/>
      </w:pPr>
      <w:r>
        <w:t>11</w:t>
      </w:r>
      <w:r w:rsidR="000B2C03" w:rsidRPr="00E97D39">
        <w:t xml:space="preserve">  </w:t>
      </w:r>
      <w:r w:rsidR="000B2C03">
        <w:t>After section 4</w:t>
      </w:r>
    </w:p>
    <w:p w14:paraId="41EC4E75" w14:textId="3E7BF75C" w:rsidR="000B2C03" w:rsidRPr="0031452D" w:rsidRDefault="000B2C03" w:rsidP="000B2C03">
      <w:pPr>
        <w:pStyle w:val="Item"/>
        <w:rPr>
          <w:szCs w:val="22"/>
        </w:rPr>
      </w:pPr>
      <w:r w:rsidRPr="0031452D">
        <w:rPr>
          <w:szCs w:val="22"/>
        </w:rPr>
        <w:t>Insert:</w:t>
      </w:r>
    </w:p>
    <w:p w14:paraId="0260E4F6" w14:textId="1E5ABACC" w:rsidR="00D81367" w:rsidRPr="00CF21A2" w:rsidRDefault="000B2C03" w:rsidP="00CF21A2">
      <w:pPr>
        <w:spacing w:before="12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bookmarkStart w:id="8" w:name="_Hlk83115331"/>
      <w:r w:rsidRPr="00CF21A2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4</w:t>
      </w:r>
      <w:r w:rsidR="00D81367" w:rsidRPr="00CF21A2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A  References to other instruments</w:t>
      </w:r>
    </w:p>
    <w:bookmarkEnd w:id="8"/>
    <w:p w14:paraId="5A3C57E1" w14:textId="2AF153A8" w:rsidR="00D81367" w:rsidRPr="0031452D" w:rsidRDefault="00D81367" w:rsidP="00D81367">
      <w:pPr>
        <w:pStyle w:val="subsection"/>
        <w:rPr>
          <w:szCs w:val="22"/>
        </w:rPr>
      </w:pPr>
      <w:r w:rsidRPr="0031452D">
        <w:rPr>
          <w:sz w:val="20"/>
          <w:szCs w:val="18"/>
        </w:rPr>
        <w:tab/>
      </w:r>
      <w:r w:rsidRPr="0031452D">
        <w:rPr>
          <w:szCs w:val="22"/>
        </w:rPr>
        <w:tab/>
        <w:t xml:space="preserve">In this </w:t>
      </w:r>
      <w:r w:rsidR="00370114" w:rsidRPr="00281642">
        <w:t>Determination</w:t>
      </w:r>
      <w:r w:rsidRPr="0031452D">
        <w:rPr>
          <w:szCs w:val="22"/>
        </w:rPr>
        <w:t>, unless the contrary intention appears:</w:t>
      </w:r>
    </w:p>
    <w:p w14:paraId="58043A84" w14:textId="77777777" w:rsidR="00D81367" w:rsidRPr="0031452D" w:rsidRDefault="00D81367" w:rsidP="00D81367">
      <w:pPr>
        <w:pStyle w:val="paragraph"/>
        <w:rPr>
          <w:szCs w:val="22"/>
        </w:rPr>
      </w:pPr>
      <w:r w:rsidRPr="0031452D">
        <w:rPr>
          <w:szCs w:val="22"/>
        </w:rPr>
        <w:tab/>
        <w:t>(a)</w:t>
      </w:r>
      <w:r w:rsidRPr="0031452D">
        <w:rPr>
          <w:szCs w:val="22"/>
        </w:rPr>
        <w:tab/>
        <w:t xml:space="preserve">a reference to any other legislative instrument is a reference to that other legislative instrument </w:t>
      </w:r>
      <w:r w:rsidRPr="009E1AAA">
        <w:t>as</w:t>
      </w:r>
      <w:r w:rsidRPr="0031452D">
        <w:rPr>
          <w:szCs w:val="22"/>
        </w:rPr>
        <w:t xml:space="preserve"> in force from time to time; and</w:t>
      </w:r>
    </w:p>
    <w:p w14:paraId="3545BA63" w14:textId="77777777" w:rsidR="00D81367" w:rsidRPr="0031452D" w:rsidRDefault="00D81367" w:rsidP="00D81367">
      <w:pPr>
        <w:pStyle w:val="paragraph"/>
        <w:tabs>
          <w:tab w:val="left" w:pos="2160"/>
          <w:tab w:val="left" w:pos="2880"/>
          <w:tab w:val="left" w:pos="3600"/>
          <w:tab w:val="center" w:pos="4513"/>
        </w:tabs>
        <w:rPr>
          <w:szCs w:val="22"/>
        </w:rPr>
      </w:pPr>
      <w:r w:rsidRPr="0031452D">
        <w:rPr>
          <w:szCs w:val="22"/>
        </w:rPr>
        <w:tab/>
        <w:t>(b)</w:t>
      </w:r>
      <w:r w:rsidRPr="0031452D">
        <w:rPr>
          <w:szCs w:val="22"/>
        </w:rPr>
        <w:tab/>
        <w:t>a reference to any other kind of instrument or writing is a reference to that other instrument or writing as in force or in existence from time to time.</w:t>
      </w:r>
    </w:p>
    <w:p w14:paraId="4F0C3909" w14:textId="19234DA4" w:rsidR="00D81367" w:rsidRPr="0031452D" w:rsidRDefault="00D81367" w:rsidP="00D81367">
      <w:pPr>
        <w:pStyle w:val="notetext"/>
        <w:rPr>
          <w:szCs w:val="18"/>
        </w:rPr>
      </w:pPr>
      <w:r w:rsidRPr="006C002C">
        <w:rPr>
          <w:i/>
          <w:iCs/>
          <w:szCs w:val="18"/>
        </w:rPr>
        <w:t>Note 1</w:t>
      </w:r>
      <w:r w:rsidRPr="0031452D">
        <w:rPr>
          <w:szCs w:val="18"/>
        </w:rPr>
        <w:tab/>
        <w:t xml:space="preserve">For references to Commonwealth Acts, see section 10 of the </w:t>
      </w:r>
      <w:r w:rsidRPr="0031452D">
        <w:rPr>
          <w:i/>
          <w:szCs w:val="18"/>
        </w:rPr>
        <w:t>Acts Interpretation Act 1901</w:t>
      </w:r>
      <w:r w:rsidRPr="0031452D">
        <w:rPr>
          <w:szCs w:val="18"/>
        </w:rPr>
        <w:t xml:space="preserve">; and see also subsection 13(1) of the </w:t>
      </w:r>
      <w:r w:rsidRPr="0031452D">
        <w:rPr>
          <w:i/>
          <w:szCs w:val="18"/>
        </w:rPr>
        <w:t>Legislation Act 2003</w:t>
      </w:r>
      <w:r w:rsidRPr="0031452D">
        <w:rPr>
          <w:szCs w:val="18"/>
        </w:rPr>
        <w:t xml:space="preserve"> for the application of the </w:t>
      </w:r>
      <w:r w:rsidRPr="0031452D">
        <w:rPr>
          <w:i/>
          <w:szCs w:val="18"/>
        </w:rPr>
        <w:t>Acts Interpretation Act 1901</w:t>
      </w:r>
      <w:r w:rsidRPr="0031452D">
        <w:rPr>
          <w:szCs w:val="18"/>
        </w:rPr>
        <w:t xml:space="preserve"> to legislative instruments.</w:t>
      </w:r>
    </w:p>
    <w:p w14:paraId="22F4FCA4" w14:textId="72F833B3" w:rsidR="00D81367" w:rsidRPr="0031452D" w:rsidRDefault="00D81367" w:rsidP="00D81367">
      <w:pPr>
        <w:pStyle w:val="notetext"/>
        <w:rPr>
          <w:szCs w:val="18"/>
        </w:rPr>
      </w:pPr>
      <w:r w:rsidRPr="006C002C">
        <w:rPr>
          <w:i/>
          <w:iCs/>
          <w:szCs w:val="18"/>
        </w:rPr>
        <w:t>Note 2</w:t>
      </w:r>
      <w:r w:rsidRPr="0031452D">
        <w:rPr>
          <w:szCs w:val="18"/>
        </w:rPr>
        <w:tab/>
        <w:t xml:space="preserve">All Commonwealth Acts and legislative instruments are registered on the Federal Register of Legislation. </w:t>
      </w:r>
    </w:p>
    <w:p w14:paraId="6DD193C6" w14:textId="41613913" w:rsidR="00D81367" w:rsidRPr="0031452D" w:rsidRDefault="00D81367" w:rsidP="003813DA">
      <w:pPr>
        <w:pStyle w:val="notetext"/>
        <w:rPr>
          <w:sz w:val="16"/>
          <w:szCs w:val="18"/>
        </w:rPr>
      </w:pPr>
      <w:r w:rsidRPr="006C002C">
        <w:rPr>
          <w:i/>
          <w:iCs/>
          <w:szCs w:val="18"/>
        </w:rPr>
        <w:t>Note 3</w:t>
      </w:r>
      <w:r w:rsidRPr="0031452D">
        <w:rPr>
          <w:szCs w:val="18"/>
        </w:rPr>
        <w:tab/>
        <w:t>See section 314A of the Act.</w:t>
      </w:r>
    </w:p>
    <w:p w14:paraId="45E11C80" w14:textId="0195E1F4" w:rsidR="002F3295" w:rsidRDefault="001B6966" w:rsidP="00F7258C">
      <w:pPr>
        <w:pStyle w:val="ItemHead"/>
      </w:pPr>
      <w:r>
        <w:t>12</w:t>
      </w:r>
      <w:r w:rsidR="00D00EFA" w:rsidRPr="00E97D39">
        <w:t xml:space="preserve">  </w:t>
      </w:r>
      <w:r w:rsidR="00D76331" w:rsidRPr="00A35FE0">
        <w:t xml:space="preserve">Paragraph </w:t>
      </w:r>
      <w:r w:rsidR="000E6BE1" w:rsidRPr="00A35FE0">
        <w:t>6</w:t>
      </w:r>
      <w:r w:rsidR="00B67723" w:rsidRPr="00A35FE0">
        <w:t>(2)(c)</w:t>
      </w:r>
    </w:p>
    <w:p w14:paraId="4280225F" w14:textId="77777777" w:rsidR="00BE35DD" w:rsidRPr="0031452D" w:rsidRDefault="00553054" w:rsidP="003E5EAB">
      <w:pPr>
        <w:pStyle w:val="Item"/>
        <w:rPr>
          <w:szCs w:val="22"/>
        </w:rPr>
      </w:pPr>
      <w:r w:rsidRPr="0031452D">
        <w:rPr>
          <w:szCs w:val="22"/>
        </w:rPr>
        <w:t xml:space="preserve">Repeal the </w:t>
      </w:r>
      <w:r w:rsidR="00E7302D" w:rsidRPr="0031452D">
        <w:rPr>
          <w:szCs w:val="22"/>
        </w:rPr>
        <w:t>paragraph</w:t>
      </w:r>
      <w:r w:rsidR="00BE35DD" w:rsidRPr="0031452D">
        <w:rPr>
          <w:szCs w:val="22"/>
        </w:rPr>
        <w:t>.</w:t>
      </w:r>
    </w:p>
    <w:p w14:paraId="2C7D92B2" w14:textId="6E09EED5" w:rsidR="00BE35DD" w:rsidRPr="00A35FE0" w:rsidRDefault="001B6966" w:rsidP="00BE35DD">
      <w:pPr>
        <w:pStyle w:val="ItemHead"/>
      </w:pPr>
      <w:r>
        <w:t>13</w:t>
      </w:r>
      <w:r w:rsidR="00BE35DD" w:rsidRPr="00E97D39">
        <w:t xml:space="preserve">  </w:t>
      </w:r>
      <w:r w:rsidR="00BE35DD" w:rsidRPr="00A35FE0">
        <w:t>After subsection 6(2)</w:t>
      </w:r>
    </w:p>
    <w:p w14:paraId="63DE75C9" w14:textId="29AED7EB" w:rsidR="003E5EAB" w:rsidRPr="0031452D" w:rsidRDefault="00BE35DD" w:rsidP="003E5EAB">
      <w:pPr>
        <w:pStyle w:val="Item"/>
        <w:rPr>
          <w:szCs w:val="22"/>
        </w:rPr>
      </w:pPr>
      <w:r w:rsidRPr="0031452D">
        <w:rPr>
          <w:szCs w:val="22"/>
        </w:rPr>
        <w:t>Insert</w:t>
      </w:r>
      <w:r w:rsidR="00AA0635" w:rsidRPr="0031452D">
        <w:rPr>
          <w:szCs w:val="22"/>
        </w:rPr>
        <w:t>:</w:t>
      </w:r>
    </w:p>
    <w:bookmarkEnd w:id="7"/>
    <w:p w14:paraId="68BD2B12" w14:textId="3D8D8F91" w:rsidR="00537178" w:rsidRPr="0031452D" w:rsidRDefault="00537178" w:rsidP="00281642">
      <w:pPr>
        <w:pStyle w:val="subsection"/>
      </w:pPr>
      <w:r w:rsidRPr="0031452D">
        <w:tab/>
        <w:t>(3)</w:t>
      </w:r>
      <w:r w:rsidRPr="0031452D">
        <w:tab/>
        <w:t xml:space="preserve">For the purposes of paragraph </w:t>
      </w:r>
      <w:r w:rsidR="00B84F38" w:rsidRPr="0031452D">
        <w:t>(2)</w:t>
      </w:r>
      <w:r w:rsidRPr="0031452D">
        <w:t xml:space="preserve">(b), a </w:t>
      </w:r>
      <w:r w:rsidR="00055140">
        <w:t>mobile station</w:t>
      </w:r>
      <w:r w:rsidR="00055140" w:rsidRPr="0031452D">
        <w:t xml:space="preserve"> </w:t>
      </w:r>
      <w:r w:rsidRPr="0031452D">
        <w:t xml:space="preserve">is a </w:t>
      </w:r>
      <w:r w:rsidRPr="0031452D">
        <w:rPr>
          <w:b/>
          <w:bCs/>
          <w:i/>
          <w:iCs/>
        </w:rPr>
        <w:t>complian</w:t>
      </w:r>
      <w:r w:rsidR="007B501E" w:rsidRPr="0031452D">
        <w:rPr>
          <w:b/>
          <w:bCs/>
          <w:i/>
          <w:iCs/>
        </w:rPr>
        <w:t>t</w:t>
      </w:r>
      <w:r w:rsidRPr="0031452D">
        <w:rPr>
          <w:b/>
          <w:bCs/>
          <w:i/>
          <w:iCs/>
        </w:rPr>
        <w:t xml:space="preserve"> mobile station </w:t>
      </w:r>
      <w:r w:rsidRPr="0031452D">
        <w:t>if:</w:t>
      </w:r>
    </w:p>
    <w:p w14:paraId="3D431A87" w14:textId="550D9FDA" w:rsidR="00537178" w:rsidRPr="0031452D" w:rsidRDefault="00222D31" w:rsidP="00222D31">
      <w:pPr>
        <w:pStyle w:val="paragraph"/>
      </w:pPr>
      <w:r w:rsidRPr="0031452D">
        <w:tab/>
        <w:t>(a)</w:t>
      </w:r>
      <w:r w:rsidRPr="0031452D">
        <w:tab/>
      </w:r>
      <w:r w:rsidR="006435E7" w:rsidRPr="0031452D">
        <w:t xml:space="preserve">clause 3 of Schedule 4 to the </w:t>
      </w:r>
      <w:r w:rsidR="006435E7" w:rsidRPr="0031452D">
        <w:rPr>
          <w:i/>
          <w:iCs/>
        </w:rPr>
        <w:t xml:space="preserve">Radiocommunications Equipment (General) Rules 2021 </w:t>
      </w:r>
      <w:r w:rsidR="0053098C" w:rsidRPr="0031452D">
        <w:t xml:space="preserve">prescribes a standard for the </w:t>
      </w:r>
      <w:r w:rsidR="00055140">
        <w:t>mobile station</w:t>
      </w:r>
      <w:r w:rsidR="0053098C" w:rsidRPr="0031452D">
        <w:t>; and</w:t>
      </w:r>
    </w:p>
    <w:p w14:paraId="5FE2420A" w14:textId="06BA4D6F" w:rsidR="009234EB" w:rsidRPr="0031452D" w:rsidRDefault="009234EB" w:rsidP="00222D31">
      <w:pPr>
        <w:pStyle w:val="paragraph"/>
      </w:pPr>
      <w:r w:rsidRPr="0031452D">
        <w:tab/>
        <w:t>(b)</w:t>
      </w:r>
      <w:r w:rsidRPr="0031452D">
        <w:tab/>
        <w:t xml:space="preserve">the </w:t>
      </w:r>
      <w:r w:rsidR="001A3CDD">
        <w:t>mobile station</w:t>
      </w:r>
      <w:r w:rsidR="001A3CDD" w:rsidRPr="0031452D">
        <w:t xml:space="preserve"> </w:t>
      </w:r>
      <w:r w:rsidRPr="0031452D">
        <w:t>complies with that standard; and</w:t>
      </w:r>
    </w:p>
    <w:p w14:paraId="0C088047" w14:textId="343949A2" w:rsidR="0053098C" w:rsidRPr="0031452D" w:rsidRDefault="0053098C" w:rsidP="00222D31">
      <w:pPr>
        <w:pStyle w:val="paragraph"/>
      </w:pPr>
      <w:r w:rsidRPr="0031452D">
        <w:tab/>
        <w:t>(</w:t>
      </w:r>
      <w:r w:rsidR="000D7273" w:rsidRPr="0031452D">
        <w:t>c</w:t>
      </w:r>
      <w:r w:rsidRPr="0031452D">
        <w:t>)</w:t>
      </w:r>
      <w:r w:rsidRPr="0031452D">
        <w:tab/>
        <w:t xml:space="preserve">the </w:t>
      </w:r>
      <w:r w:rsidR="001A3CDD">
        <w:t>mobile station</w:t>
      </w:r>
      <w:r w:rsidR="001A3CDD" w:rsidRPr="0031452D">
        <w:t xml:space="preserve"> </w:t>
      </w:r>
      <w:r w:rsidRPr="0031452D">
        <w:t xml:space="preserve">is not a device mentioned in </w:t>
      </w:r>
      <w:r w:rsidR="009234EB" w:rsidRPr="0031452D">
        <w:t xml:space="preserve">section 53 of the </w:t>
      </w:r>
      <w:r w:rsidR="009234EB" w:rsidRPr="0031452D">
        <w:rPr>
          <w:i/>
          <w:iCs/>
        </w:rPr>
        <w:t>Radiocommunications Equipment (General) Rules 2021</w:t>
      </w:r>
      <w:r w:rsidR="009234EB" w:rsidRPr="0031452D">
        <w:t>.</w:t>
      </w:r>
    </w:p>
    <w:p w14:paraId="138EE12F" w14:textId="0E1C4D21" w:rsidR="00CC6F2E" w:rsidRDefault="001B6966" w:rsidP="005B7153">
      <w:pPr>
        <w:pStyle w:val="ItemHead"/>
      </w:pPr>
      <w:r>
        <w:lastRenderedPageBreak/>
        <w:t>14</w:t>
      </w:r>
      <w:r w:rsidR="00CC6F2E">
        <w:t xml:space="preserve">  </w:t>
      </w:r>
      <w:r w:rsidR="007044F1">
        <w:t>S</w:t>
      </w:r>
      <w:r w:rsidR="00CC6F2E">
        <w:t>ubsection 8(2)</w:t>
      </w:r>
    </w:p>
    <w:p w14:paraId="2732C9B7" w14:textId="3495C3D5" w:rsidR="00CC6F2E" w:rsidRPr="0031452D" w:rsidRDefault="007F6D27" w:rsidP="005B7153">
      <w:pPr>
        <w:pStyle w:val="Item"/>
        <w:keepNext/>
      </w:pPr>
      <w:r w:rsidRPr="0031452D">
        <w:t>Repeal the subsection, substitute:</w:t>
      </w:r>
    </w:p>
    <w:p w14:paraId="1C62908E" w14:textId="53A3E269" w:rsidR="007F6D27" w:rsidRPr="0031452D" w:rsidRDefault="007F6D27" w:rsidP="00281642">
      <w:pPr>
        <w:pStyle w:val="subsection"/>
        <w:rPr>
          <w:szCs w:val="22"/>
        </w:rPr>
      </w:pPr>
      <w:r w:rsidRPr="0031452D">
        <w:rPr>
          <w:szCs w:val="22"/>
        </w:rPr>
        <w:tab/>
        <w:t>(</w:t>
      </w:r>
      <w:r w:rsidR="00785C3B" w:rsidRPr="0031452D">
        <w:rPr>
          <w:szCs w:val="22"/>
        </w:rPr>
        <w:t>2</w:t>
      </w:r>
      <w:r w:rsidRPr="0031452D">
        <w:rPr>
          <w:szCs w:val="22"/>
        </w:rPr>
        <w:t>)</w:t>
      </w:r>
      <w:r w:rsidRPr="0031452D">
        <w:rPr>
          <w:szCs w:val="22"/>
        </w:rPr>
        <w:tab/>
        <w:t xml:space="preserve">For purposes of subsection 9(3), </w:t>
      </w:r>
      <w:r w:rsidR="00DF1E32" w:rsidRPr="0031452D">
        <w:rPr>
          <w:szCs w:val="22"/>
        </w:rPr>
        <w:t>subsection</w:t>
      </w:r>
      <w:r w:rsidRPr="0031452D">
        <w:rPr>
          <w:szCs w:val="22"/>
        </w:rPr>
        <w:t xml:space="preserve"> 10(2), paragraph 12(1)(b) and paragraph 13(1)(b):</w:t>
      </w:r>
    </w:p>
    <w:p w14:paraId="0C5055EE" w14:textId="3C383B82" w:rsidR="007F6D27" w:rsidRPr="0031452D" w:rsidRDefault="007F6D27" w:rsidP="007F6D27">
      <w:pPr>
        <w:pStyle w:val="paragraph"/>
        <w:rPr>
          <w:szCs w:val="22"/>
        </w:rPr>
      </w:pPr>
      <w:r w:rsidRPr="0031452D">
        <w:rPr>
          <w:szCs w:val="22"/>
        </w:rPr>
        <w:tab/>
        <w:t>(a)</w:t>
      </w:r>
      <w:r w:rsidRPr="0031452D">
        <w:rPr>
          <w:szCs w:val="22"/>
        </w:rPr>
        <w:tab/>
        <w:t xml:space="preserve">if the </w:t>
      </w:r>
      <w:r w:rsidR="00D803E3" w:rsidRPr="0031452D">
        <w:rPr>
          <w:szCs w:val="22"/>
        </w:rPr>
        <w:t xml:space="preserve">transmitter operates on a frequency of </w:t>
      </w:r>
      <w:r w:rsidR="006C002C">
        <w:rPr>
          <w:szCs w:val="22"/>
        </w:rPr>
        <w:t xml:space="preserve">greater than 10 MHz, but </w:t>
      </w:r>
      <w:r w:rsidR="00D803E3" w:rsidRPr="0031452D">
        <w:rPr>
          <w:szCs w:val="22"/>
        </w:rPr>
        <w:t xml:space="preserve">less than </w:t>
      </w:r>
      <w:r w:rsidR="006C002C">
        <w:rPr>
          <w:szCs w:val="22"/>
        </w:rPr>
        <w:t xml:space="preserve">or equal to </w:t>
      </w:r>
      <w:r w:rsidR="00D803E3" w:rsidRPr="0031452D">
        <w:rPr>
          <w:szCs w:val="22"/>
        </w:rPr>
        <w:t xml:space="preserve">30 MHz, only one of the following properties needs to be measured or calculated </w:t>
      </w:r>
      <w:r w:rsidR="00DB6D21" w:rsidRPr="0031452D">
        <w:rPr>
          <w:szCs w:val="22"/>
        </w:rPr>
        <w:t>to show compliance with subsection (1) at places in the far field of the antenna:</w:t>
      </w:r>
    </w:p>
    <w:p w14:paraId="54C0FC84" w14:textId="186ECE5F" w:rsidR="008E76B6" w:rsidRPr="0031452D" w:rsidRDefault="008E76B6" w:rsidP="00FF01BD">
      <w:pPr>
        <w:pStyle w:val="paragraphsub"/>
      </w:pPr>
      <w:r w:rsidRPr="0031452D">
        <w:tab/>
        <w:t>(i)</w:t>
      </w:r>
      <w:r w:rsidRPr="0031452D">
        <w:tab/>
        <w:t xml:space="preserve">incident </w:t>
      </w:r>
      <w:r w:rsidR="003F7300" w:rsidRPr="0031452D">
        <w:t xml:space="preserve">electric </w:t>
      </w:r>
      <w:r w:rsidRPr="0031452D">
        <w:t xml:space="preserve">field </w:t>
      </w:r>
      <w:proofErr w:type="gramStart"/>
      <w:r w:rsidRPr="0031452D">
        <w:t>strength;</w:t>
      </w:r>
      <w:proofErr w:type="gramEnd"/>
    </w:p>
    <w:p w14:paraId="77C8B8D5" w14:textId="25403D39" w:rsidR="008E76B6" w:rsidRPr="0031452D" w:rsidRDefault="008E76B6" w:rsidP="00FF01BD">
      <w:pPr>
        <w:pStyle w:val="paragraphsub"/>
      </w:pPr>
      <w:r w:rsidRPr="0031452D">
        <w:tab/>
        <w:t>(ii)</w:t>
      </w:r>
      <w:r w:rsidRPr="0031452D">
        <w:tab/>
        <w:t xml:space="preserve">incident magnetic field </w:t>
      </w:r>
      <w:proofErr w:type="gramStart"/>
      <w:r w:rsidRPr="0031452D">
        <w:t>strength;</w:t>
      </w:r>
      <w:proofErr w:type="gramEnd"/>
    </w:p>
    <w:p w14:paraId="03DECF0B" w14:textId="5CDB7FC5" w:rsidR="00566E58" w:rsidRPr="0031452D" w:rsidRDefault="008E76B6" w:rsidP="00566E58">
      <w:pPr>
        <w:pStyle w:val="paragraph"/>
        <w:rPr>
          <w:szCs w:val="22"/>
        </w:rPr>
      </w:pPr>
      <w:r w:rsidRPr="0031452D">
        <w:rPr>
          <w:szCs w:val="22"/>
        </w:rPr>
        <w:tab/>
        <w:t>(b)</w:t>
      </w:r>
      <w:r w:rsidRPr="0031452D">
        <w:rPr>
          <w:szCs w:val="22"/>
        </w:rPr>
        <w:tab/>
        <w:t xml:space="preserve">if the transmitter operates on a frequency </w:t>
      </w:r>
      <w:r w:rsidR="006C002C">
        <w:rPr>
          <w:szCs w:val="22"/>
        </w:rPr>
        <w:t>greater than</w:t>
      </w:r>
      <w:r w:rsidRPr="0031452D">
        <w:rPr>
          <w:szCs w:val="22"/>
        </w:rPr>
        <w:t xml:space="preserve"> 30 MHz, but less than</w:t>
      </w:r>
      <w:r w:rsidR="006C002C">
        <w:rPr>
          <w:szCs w:val="22"/>
        </w:rPr>
        <w:t xml:space="preserve"> or equal to</w:t>
      </w:r>
      <w:r w:rsidRPr="0031452D">
        <w:rPr>
          <w:szCs w:val="22"/>
        </w:rPr>
        <w:t xml:space="preserve"> 2 GHz</w:t>
      </w:r>
      <w:r w:rsidR="00566E58" w:rsidRPr="0031452D">
        <w:rPr>
          <w:szCs w:val="22"/>
        </w:rPr>
        <w:t>, only one of the following properties needs to be measured or calculated to show compliance with subsection (1) at places in the far field of the antenna:</w:t>
      </w:r>
    </w:p>
    <w:p w14:paraId="36814836" w14:textId="494C66E6" w:rsidR="00566E58" w:rsidRPr="0031452D" w:rsidRDefault="00566E58" w:rsidP="00566E58">
      <w:pPr>
        <w:pStyle w:val="paragraphsub"/>
      </w:pPr>
      <w:r w:rsidRPr="0031452D">
        <w:tab/>
        <w:t>(i)</w:t>
      </w:r>
      <w:r w:rsidRPr="0031452D">
        <w:tab/>
        <w:t xml:space="preserve">incident </w:t>
      </w:r>
      <w:r w:rsidR="003F7300" w:rsidRPr="0031452D">
        <w:t xml:space="preserve">electric </w:t>
      </w:r>
      <w:r w:rsidRPr="0031452D">
        <w:t xml:space="preserve">field </w:t>
      </w:r>
      <w:proofErr w:type="gramStart"/>
      <w:r w:rsidRPr="0031452D">
        <w:t>strength;</w:t>
      </w:r>
      <w:proofErr w:type="gramEnd"/>
    </w:p>
    <w:p w14:paraId="3B77F301" w14:textId="6B8451BE" w:rsidR="008E76B6" w:rsidRPr="0031452D" w:rsidRDefault="00566E58" w:rsidP="00566E58">
      <w:pPr>
        <w:pStyle w:val="paragraphsub"/>
      </w:pPr>
      <w:r w:rsidRPr="0031452D">
        <w:tab/>
        <w:t>(ii)</w:t>
      </w:r>
      <w:r w:rsidRPr="0031452D">
        <w:tab/>
        <w:t xml:space="preserve">incident magnetic field </w:t>
      </w:r>
      <w:proofErr w:type="gramStart"/>
      <w:r w:rsidRPr="0031452D">
        <w:t>strength;</w:t>
      </w:r>
      <w:proofErr w:type="gramEnd"/>
    </w:p>
    <w:p w14:paraId="4E40C4F5" w14:textId="67F50470" w:rsidR="00566E58" w:rsidRPr="0031452D" w:rsidRDefault="00566E58" w:rsidP="00785C3B">
      <w:pPr>
        <w:pStyle w:val="paragraphsub"/>
        <w:rPr>
          <w:szCs w:val="22"/>
        </w:rPr>
      </w:pPr>
      <w:r w:rsidRPr="0031452D">
        <w:tab/>
        <w:t>(iii)</w:t>
      </w:r>
      <w:r w:rsidRPr="0031452D">
        <w:tab/>
        <w:t xml:space="preserve">incident power </w:t>
      </w:r>
      <w:proofErr w:type="gramStart"/>
      <w:r w:rsidRPr="0031452D">
        <w:t>density;</w:t>
      </w:r>
      <w:proofErr w:type="gramEnd"/>
    </w:p>
    <w:p w14:paraId="00FD43BC" w14:textId="7CD3BD7F" w:rsidR="007F6D27" w:rsidRPr="0031452D" w:rsidRDefault="007F6D27" w:rsidP="007F6D27">
      <w:pPr>
        <w:pStyle w:val="paragraph"/>
        <w:rPr>
          <w:sz w:val="20"/>
          <w:szCs w:val="18"/>
        </w:rPr>
      </w:pPr>
      <w:r w:rsidRPr="0031452D">
        <w:rPr>
          <w:szCs w:val="22"/>
        </w:rPr>
        <w:tab/>
        <w:t>(</w:t>
      </w:r>
      <w:r w:rsidR="00566E58" w:rsidRPr="0031452D">
        <w:rPr>
          <w:szCs w:val="22"/>
        </w:rPr>
        <w:t>c</w:t>
      </w:r>
      <w:r w:rsidRPr="0031452D">
        <w:rPr>
          <w:szCs w:val="22"/>
        </w:rPr>
        <w:t>)</w:t>
      </w:r>
      <w:r w:rsidRPr="0031452D">
        <w:rPr>
          <w:szCs w:val="22"/>
        </w:rPr>
        <w:tab/>
        <w:t>i</w:t>
      </w:r>
      <w:r w:rsidRPr="0031452D">
        <w:rPr>
          <w:bCs/>
          <w:szCs w:val="22"/>
        </w:rPr>
        <w:t xml:space="preserve">f the </w:t>
      </w:r>
      <w:r w:rsidRPr="0031452D">
        <w:t>transmitter</w:t>
      </w:r>
      <w:r w:rsidRPr="0031452D">
        <w:rPr>
          <w:bCs/>
          <w:szCs w:val="22"/>
        </w:rPr>
        <w:t xml:space="preserve"> operates on a frequency </w:t>
      </w:r>
      <w:r w:rsidR="006C002C">
        <w:rPr>
          <w:bCs/>
          <w:szCs w:val="22"/>
        </w:rPr>
        <w:t xml:space="preserve">greater than </w:t>
      </w:r>
      <w:r w:rsidRPr="0031452D">
        <w:rPr>
          <w:bCs/>
          <w:szCs w:val="22"/>
        </w:rPr>
        <w:t xml:space="preserve">2 GHz, only the incident power </w:t>
      </w:r>
      <w:r w:rsidRPr="009E1AAA">
        <w:rPr>
          <w:szCs w:val="22"/>
        </w:rPr>
        <w:t>density</w:t>
      </w:r>
      <w:r w:rsidRPr="0031452D">
        <w:rPr>
          <w:bCs/>
          <w:szCs w:val="22"/>
        </w:rPr>
        <w:t xml:space="preserve"> needs to be measured or calculated to show compliance with subsection (1) at places in the far field of the antenna.</w:t>
      </w:r>
    </w:p>
    <w:p w14:paraId="63FE6204" w14:textId="4DB497EE" w:rsidR="007044F1" w:rsidRDefault="001B6966" w:rsidP="007044F1">
      <w:pPr>
        <w:pStyle w:val="ItemHead"/>
      </w:pPr>
      <w:r>
        <w:t>15</w:t>
      </w:r>
      <w:r w:rsidR="00F31514">
        <w:t xml:space="preserve">  After subsection 8(</w:t>
      </w:r>
      <w:r w:rsidR="00785C3B">
        <w:t>3</w:t>
      </w:r>
      <w:r w:rsidR="00F31514">
        <w:t>)</w:t>
      </w:r>
    </w:p>
    <w:p w14:paraId="40960901" w14:textId="086BF59F" w:rsidR="00F31514" w:rsidRPr="0031452D" w:rsidRDefault="00F31514" w:rsidP="00F31514">
      <w:pPr>
        <w:pStyle w:val="Item"/>
      </w:pPr>
      <w:r w:rsidRPr="0031452D">
        <w:t>Insert:</w:t>
      </w:r>
    </w:p>
    <w:p w14:paraId="74B914E2" w14:textId="14713C0B" w:rsidR="00B86ECB" w:rsidRPr="0031452D" w:rsidRDefault="00802FEE" w:rsidP="00281642">
      <w:pPr>
        <w:pStyle w:val="subsection"/>
        <w:rPr>
          <w:szCs w:val="22"/>
        </w:rPr>
      </w:pPr>
      <w:r w:rsidRPr="0031452D">
        <w:rPr>
          <w:szCs w:val="22"/>
        </w:rPr>
        <w:tab/>
        <w:t>(</w:t>
      </w:r>
      <w:r w:rsidR="00785C3B" w:rsidRPr="0031452D">
        <w:rPr>
          <w:szCs w:val="22"/>
        </w:rPr>
        <w:t>4</w:t>
      </w:r>
      <w:r w:rsidRPr="0031452D">
        <w:rPr>
          <w:szCs w:val="22"/>
        </w:rPr>
        <w:t>)</w:t>
      </w:r>
      <w:r w:rsidRPr="0031452D">
        <w:rPr>
          <w:szCs w:val="22"/>
        </w:rPr>
        <w:tab/>
      </w:r>
      <w:r w:rsidR="00785C3B" w:rsidRPr="0031452D">
        <w:rPr>
          <w:szCs w:val="22"/>
        </w:rPr>
        <w:t>In subsection (2), each of the following terms has the same meaning as in the ARPANSA standard:</w:t>
      </w:r>
    </w:p>
    <w:p w14:paraId="6DE09600" w14:textId="3DEFE62B" w:rsidR="00B86ECB" w:rsidRPr="0031452D" w:rsidRDefault="00B86ECB" w:rsidP="00B86ECB">
      <w:pPr>
        <w:pStyle w:val="paragraph"/>
        <w:rPr>
          <w:szCs w:val="22"/>
        </w:rPr>
      </w:pPr>
      <w:r w:rsidRPr="0031452D">
        <w:rPr>
          <w:szCs w:val="22"/>
        </w:rPr>
        <w:tab/>
        <w:t>(a)</w:t>
      </w:r>
      <w:r w:rsidRPr="0031452D">
        <w:rPr>
          <w:szCs w:val="22"/>
        </w:rPr>
        <w:tab/>
      </w:r>
      <w:r w:rsidR="00785C3B" w:rsidRPr="0031452D">
        <w:rPr>
          <w:b/>
          <w:bCs/>
          <w:i/>
          <w:iCs/>
          <w:szCs w:val="22"/>
        </w:rPr>
        <w:t xml:space="preserve">incident </w:t>
      </w:r>
      <w:r w:rsidR="003F7300" w:rsidRPr="0031452D">
        <w:rPr>
          <w:b/>
          <w:bCs/>
          <w:i/>
          <w:iCs/>
          <w:szCs w:val="22"/>
        </w:rPr>
        <w:t xml:space="preserve">electric </w:t>
      </w:r>
      <w:r w:rsidR="00785C3B" w:rsidRPr="0031452D">
        <w:rPr>
          <w:b/>
          <w:bCs/>
          <w:i/>
          <w:iCs/>
          <w:szCs w:val="22"/>
        </w:rPr>
        <w:t xml:space="preserve">field </w:t>
      </w:r>
      <w:proofErr w:type="gramStart"/>
      <w:r w:rsidR="00785C3B" w:rsidRPr="0031452D">
        <w:rPr>
          <w:b/>
          <w:bCs/>
          <w:i/>
          <w:iCs/>
          <w:szCs w:val="22"/>
        </w:rPr>
        <w:t>strength</w:t>
      </w:r>
      <w:r w:rsidR="00785C3B" w:rsidRPr="0031452D">
        <w:rPr>
          <w:szCs w:val="22"/>
        </w:rPr>
        <w:t>;</w:t>
      </w:r>
      <w:proofErr w:type="gramEnd"/>
    </w:p>
    <w:p w14:paraId="0BC33965" w14:textId="77777777" w:rsidR="00785C3B" w:rsidRPr="0031452D" w:rsidRDefault="00B86ECB" w:rsidP="00B86ECB">
      <w:pPr>
        <w:pStyle w:val="paragraph"/>
        <w:rPr>
          <w:szCs w:val="22"/>
        </w:rPr>
      </w:pPr>
      <w:r w:rsidRPr="0031452D">
        <w:rPr>
          <w:szCs w:val="22"/>
        </w:rPr>
        <w:tab/>
        <w:t>(b)</w:t>
      </w:r>
      <w:r w:rsidRPr="0031452D">
        <w:rPr>
          <w:szCs w:val="22"/>
        </w:rPr>
        <w:tab/>
      </w:r>
      <w:r w:rsidR="00785C3B" w:rsidRPr="0031452D">
        <w:rPr>
          <w:b/>
          <w:bCs/>
          <w:i/>
          <w:iCs/>
          <w:szCs w:val="22"/>
        </w:rPr>
        <w:t xml:space="preserve">incident magnetic field </w:t>
      </w:r>
      <w:proofErr w:type="gramStart"/>
      <w:r w:rsidR="00785C3B" w:rsidRPr="0031452D">
        <w:rPr>
          <w:b/>
          <w:bCs/>
          <w:i/>
          <w:iCs/>
          <w:szCs w:val="22"/>
        </w:rPr>
        <w:t>strength</w:t>
      </w:r>
      <w:r w:rsidR="00785C3B" w:rsidRPr="0031452D">
        <w:rPr>
          <w:szCs w:val="22"/>
        </w:rPr>
        <w:t>;</w:t>
      </w:r>
      <w:proofErr w:type="gramEnd"/>
    </w:p>
    <w:p w14:paraId="149140E5" w14:textId="0409577F" w:rsidR="00802FEE" w:rsidRPr="0031452D" w:rsidRDefault="00785C3B" w:rsidP="00B86ECB">
      <w:pPr>
        <w:pStyle w:val="paragraph"/>
        <w:rPr>
          <w:sz w:val="20"/>
          <w:szCs w:val="18"/>
        </w:rPr>
      </w:pPr>
      <w:r w:rsidRPr="0031452D">
        <w:rPr>
          <w:szCs w:val="22"/>
        </w:rPr>
        <w:tab/>
        <w:t>(c)</w:t>
      </w:r>
      <w:r w:rsidRPr="0031452D">
        <w:rPr>
          <w:szCs w:val="22"/>
        </w:rPr>
        <w:tab/>
      </w:r>
      <w:r w:rsidRPr="0031452D">
        <w:rPr>
          <w:b/>
          <w:bCs/>
          <w:i/>
          <w:iCs/>
          <w:szCs w:val="22"/>
        </w:rPr>
        <w:t>incident power density</w:t>
      </w:r>
      <w:r w:rsidR="00150991" w:rsidRPr="0031452D">
        <w:rPr>
          <w:bCs/>
          <w:szCs w:val="22"/>
        </w:rPr>
        <w:t>.</w:t>
      </w:r>
    </w:p>
    <w:p w14:paraId="717ACA12" w14:textId="30FD14B2" w:rsidR="00B07419" w:rsidRDefault="001B6966" w:rsidP="00F35B9F">
      <w:pPr>
        <w:pStyle w:val="ItemHead"/>
      </w:pPr>
      <w:r>
        <w:t>16</w:t>
      </w:r>
      <w:r w:rsidR="00B07419" w:rsidRPr="00A35FE0">
        <w:t xml:space="preserve">  </w:t>
      </w:r>
      <w:r w:rsidR="00FD5DD6">
        <w:t>Section 10</w:t>
      </w:r>
    </w:p>
    <w:p w14:paraId="7789102A" w14:textId="60824941" w:rsidR="00F35B9F" w:rsidRPr="0031452D" w:rsidRDefault="00B07419" w:rsidP="0093078A">
      <w:pPr>
        <w:spacing w:before="80" w:after="0"/>
        <w:ind w:left="709"/>
        <w:rPr>
          <w:rFonts w:ascii="Times New Roman" w:hAnsi="Times New Roman" w:cs="Times New Roman"/>
          <w:lang w:eastAsia="en-AU"/>
        </w:rPr>
      </w:pPr>
      <w:r w:rsidRPr="0031452D">
        <w:rPr>
          <w:lang w:eastAsia="en-AU"/>
        </w:rPr>
        <w:tab/>
      </w:r>
      <w:r w:rsidR="00987C30" w:rsidRPr="0031452D">
        <w:rPr>
          <w:rFonts w:ascii="Times New Roman" w:hAnsi="Times New Roman" w:cs="Times New Roman"/>
          <w:lang w:eastAsia="en-AU"/>
        </w:rPr>
        <w:t>Repeal the section, substitute:</w:t>
      </w:r>
    </w:p>
    <w:p w14:paraId="3637DEEA" w14:textId="2DD40C2A" w:rsidR="00FD5DD6" w:rsidRPr="00CF21A2" w:rsidRDefault="00FD5DD6" w:rsidP="00CF21A2">
      <w:pPr>
        <w:spacing w:before="12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CF21A2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 xml:space="preserve">10  </w:t>
      </w:r>
      <w:r w:rsidR="00053EA8" w:rsidRPr="00CF21A2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Level 2 criteria</w:t>
      </w:r>
    </w:p>
    <w:p w14:paraId="3DF1BC61" w14:textId="67D880AA" w:rsidR="00F35B9F" w:rsidRPr="00CF21A2" w:rsidRDefault="00233052" w:rsidP="00281642">
      <w:pPr>
        <w:pStyle w:val="subsection"/>
        <w:rPr>
          <w:bCs/>
          <w:szCs w:val="22"/>
        </w:rPr>
      </w:pPr>
      <w:r w:rsidRPr="00CF21A2">
        <w:rPr>
          <w:szCs w:val="22"/>
        </w:rPr>
        <w:tab/>
      </w:r>
      <w:r w:rsidR="00553054" w:rsidRPr="00CF21A2">
        <w:rPr>
          <w:szCs w:val="22"/>
        </w:rPr>
        <w:t>(</w:t>
      </w:r>
      <w:r w:rsidR="00331030" w:rsidRPr="00CF21A2">
        <w:rPr>
          <w:szCs w:val="22"/>
        </w:rPr>
        <w:t>1</w:t>
      </w:r>
      <w:r w:rsidR="00553054" w:rsidRPr="00CF21A2">
        <w:rPr>
          <w:szCs w:val="22"/>
        </w:rPr>
        <w:t>)</w:t>
      </w:r>
      <w:r w:rsidRPr="00CF21A2">
        <w:rPr>
          <w:szCs w:val="22"/>
        </w:rPr>
        <w:tab/>
      </w:r>
      <w:r w:rsidR="00FD5DD6" w:rsidRPr="00CF21A2">
        <w:rPr>
          <w:bCs/>
          <w:szCs w:val="22"/>
        </w:rPr>
        <w:t xml:space="preserve">This section </w:t>
      </w:r>
      <w:r w:rsidR="00FD5DD6" w:rsidRPr="00281642">
        <w:rPr>
          <w:szCs w:val="22"/>
        </w:rPr>
        <w:t>applies</w:t>
      </w:r>
      <w:r w:rsidR="00FD5DD6" w:rsidRPr="00CF21A2">
        <w:rPr>
          <w:bCs/>
          <w:szCs w:val="22"/>
        </w:rPr>
        <w:t xml:space="preserve"> to a trans</w:t>
      </w:r>
      <w:r w:rsidR="00300194" w:rsidRPr="00CF21A2">
        <w:rPr>
          <w:bCs/>
          <w:szCs w:val="22"/>
        </w:rPr>
        <w:t>mitter to which section 9 does not apply</w:t>
      </w:r>
      <w:r w:rsidR="0093078A" w:rsidRPr="00CF21A2">
        <w:rPr>
          <w:bCs/>
          <w:szCs w:val="22"/>
        </w:rPr>
        <w:t>.</w:t>
      </w:r>
    </w:p>
    <w:p w14:paraId="032CBDA4" w14:textId="3A1A9833" w:rsidR="00263AC7" w:rsidRPr="00263AC7" w:rsidRDefault="00263AC7" w:rsidP="00281642">
      <w:pPr>
        <w:pStyle w:val="subsection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General requirement to measure or calculate RF fields</w:t>
      </w:r>
    </w:p>
    <w:p w14:paraId="1C428FF4" w14:textId="0976199E" w:rsidR="00300194" w:rsidRPr="00CF21A2" w:rsidRDefault="00300194" w:rsidP="00281642">
      <w:pPr>
        <w:pStyle w:val="subsection"/>
        <w:rPr>
          <w:bCs/>
          <w:szCs w:val="22"/>
        </w:rPr>
      </w:pPr>
      <w:r w:rsidRPr="00CF21A2">
        <w:rPr>
          <w:bCs/>
          <w:szCs w:val="22"/>
        </w:rPr>
        <w:tab/>
        <w:t>(2)</w:t>
      </w:r>
      <w:r w:rsidRPr="00CF21A2">
        <w:rPr>
          <w:bCs/>
          <w:szCs w:val="22"/>
        </w:rPr>
        <w:tab/>
      </w:r>
      <w:r w:rsidR="00BC1B58">
        <w:rPr>
          <w:bCs/>
          <w:szCs w:val="22"/>
        </w:rPr>
        <w:t>Subject to subsection</w:t>
      </w:r>
      <w:r w:rsidR="00F81FEA">
        <w:rPr>
          <w:bCs/>
          <w:szCs w:val="22"/>
        </w:rPr>
        <w:t>s</w:t>
      </w:r>
      <w:r w:rsidR="00BC1B58">
        <w:rPr>
          <w:bCs/>
          <w:szCs w:val="22"/>
        </w:rPr>
        <w:t xml:space="preserve"> (3),</w:t>
      </w:r>
      <w:r w:rsidR="00F81FEA">
        <w:rPr>
          <w:bCs/>
          <w:szCs w:val="22"/>
        </w:rPr>
        <w:t xml:space="preserve"> (4) and (5)</w:t>
      </w:r>
      <w:r w:rsidR="00EE4E6D">
        <w:rPr>
          <w:bCs/>
          <w:szCs w:val="22"/>
        </w:rPr>
        <w:t>,</w:t>
      </w:r>
      <w:r w:rsidR="00BC1B58">
        <w:rPr>
          <w:bCs/>
          <w:szCs w:val="22"/>
        </w:rPr>
        <w:t xml:space="preserve"> t</w:t>
      </w:r>
      <w:r w:rsidR="004F61AF" w:rsidRPr="00CF21A2">
        <w:rPr>
          <w:bCs/>
          <w:szCs w:val="22"/>
        </w:rPr>
        <w:t xml:space="preserve">he </w:t>
      </w:r>
      <w:r w:rsidR="00DC6336" w:rsidRPr="00CF21A2">
        <w:rPr>
          <w:bCs/>
          <w:szCs w:val="22"/>
        </w:rPr>
        <w:t>licensee</w:t>
      </w:r>
      <w:r w:rsidR="0023610A" w:rsidRPr="00CF21A2">
        <w:rPr>
          <w:bCs/>
          <w:szCs w:val="22"/>
        </w:rPr>
        <w:t xml:space="preserve"> </w:t>
      </w:r>
      <w:r w:rsidR="00352152" w:rsidRPr="00CF21A2">
        <w:rPr>
          <w:bCs/>
          <w:szCs w:val="22"/>
        </w:rPr>
        <w:t xml:space="preserve">must </w:t>
      </w:r>
      <w:r w:rsidR="00325D8E" w:rsidRPr="00CF21A2">
        <w:rPr>
          <w:bCs/>
          <w:szCs w:val="22"/>
        </w:rPr>
        <w:t>measur</w:t>
      </w:r>
      <w:r w:rsidR="00352152" w:rsidRPr="00CF21A2">
        <w:rPr>
          <w:bCs/>
          <w:szCs w:val="22"/>
        </w:rPr>
        <w:t>e</w:t>
      </w:r>
      <w:r w:rsidR="00325D8E" w:rsidRPr="00CF21A2">
        <w:rPr>
          <w:bCs/>
          <w:szCs w:val="22"/>
        </w:rPr>
        <w:t xml:space="preserve"> or calculat</w:t>
      </w:r>
      <w:r w:rsidR="00352152" w:rsidRPr="00CF21A2">
        <w:rPr>
          <w:bCs/>
          <w:szCs w:val="22"/>
        </w:rPr>
        <w:t>e</w:t>
      </w:r>
      <w:r w:rsidR="00325D8E" w:rsidRPr="00CF21A2">
        <w:rPr>
          <w:bCs/>
          <w:szCs w:val="22"/>
        </w:rPr>
        <w:t xml:space="preserve"> the RF fields produced by the transmitter in </w:t>
      </w:r>
      <w:r w:rsidR="00325D8E" w:rsidRPr="00281642">
        <w:rPr>
          <w:szCs w:val="22"/>
        </w:rPr>
        <w:t>accordance</w:t>
      </w:r>
      <w:r w:rsidR="00325D8E" w:rsidRPr="00CF21A2">
        <w:rPr>
          <w:bCs/>
          <w:szCs w:val="22"/>
        </w:rPr>
        <w:t xml:space="preserve"> with one of:</w:t>
      </w:r>
    </w:p>
    <w:p w14:paraId="14183BB5" w14:textId="4646EB50" w:rsidR="00325D8E" w:rsidRPr="00CF21A2" w:rsidRDefault="00325D8E" w:rsidP="00325D8E">
      <w:pPr>
        <w:pStyle w:val="paragraph"/>
        <w:rPr>
          <w:szCs w:val="22"/>
        </w:rPr>
      </w:pPr>
      <w:r w:rsidRPr="00CF21A2">
        <w:rPr>
          <w:szCs w:val="22"/>
        </w:rPr>
        <w:tab/>
        <w:t>(a)</w:t>
      </w:r>
      <w:r w:rsidRPr="00CF21A2">
        <w:rPr>
          <w:szCs w:val="22"/>
        </w:rPr>
        <w:tab/>
        <w:t>if AS/NZS</w:t>
      </w:r>
      <w:r w:rsidR="008B4896" w:rsidRPr="00CF21A2">
        <w:rPr>
          <w:szCs w:val="22"/>
        </w:rPr>
        <w:t xml:space="preserve"> 2772.2 applies in relation to the transmitter – AS/NZS </w:t>
      </w:r>
      <w:proofErr w:type="gramStart"/>
      <w:r w:rsidR="008B4896" w:rsidRPr="00CF21A2">
        <w:rPr>
          <w:szCs w:val="22"/>
        </w:rPr>
        <w:t>2772.2;</w:t>
      </w:r>
      <w:proofErr w:type="gramEnd"/>
    </w:p>
    <w:p w14:paraId="3BBD1E9B" w14:textId="17E55361" w:rsidR="008B4896" w:rsidRPr="00CF21A2" w:rsidRDefault="008B4896" w:rsidP="00325D8E">
      <w:pPr>
        <w:pStyle w:val="paragraph"/>
        <w:rPr>
          <w:szCs w:val="22"/>
        </w:rPr>
      </w:pPr>
      <w:r w:rsidRPr="00CF21A2">
        <w:rPr>
          <w:szCs w:val="22"/>
        </w:rPr>
        <w:tab/>
        <w:t>(b)</w:t>
      </w:r>
      <w:r w:rsidRPr="00CF21A2">
        <w:rPr>
          <w:szCs w:val="22"/>
        </w:rPr>
        <w:tab/>
        <w:t>if C95.3 applies in relation to the transmitter – C95.</w:t>
      </w:r>
      <w:proofErr w:type="gramStart"/>
      <w:r w:rsidRPr="00CF21A2">
        <w:rPr>
          <w:szCs w:val="22"/>
        </w:rPr>
        <w:t>3;</w:t>
      </w:r>
      <w:proofErr w:type="gramEnd"/>
    </w:p>
    <w:p w14:paraId="53BC75CF" w14:textId="4A399B17" w:rsidR="008B4896" w:rsidRPr="00CF21A2" w:rsidRDefault="008B4896" w:rsidP="00325D8E">
      <w:pPr>
        <w:pStyle w:val="paragraph"/>
        <w:rPr>
          <w:szCs w:val="22"/>
        </w:rPr>
      </w:pPr>
      <w:r w:rsidRPr="00CF21A2">
        <w:rPr>
          <w:szCs w:val="22"/>
        </w:rPr>
        <w:tab/>
        <w:t>(c)</w:t>
      </w:r>
      <w:r w:rsidRPr="00CF21A2">
        <w:rPr>
          <w:szCs w:val="22"/>
        </w:rPr>
        <w:tab/>
        <w:t xml:space="preserve">if IEC 62232 applies in relation to the transmitter – IEC </w:t>
      </w:r>
      <w:proofErr w:type="gramStart"/>
      <w:r w:rsidRPr="00CF21A2">
        <w:rPr>
          <w:szCs w:val="22"/>
        </w:rPr>
        <w:t>62232</w:t>
      </w:r>
      <w:r w:rsidR="00D67572" w:rsidRPr="00CF21A2">
        <w:rPr>
          <w:szCs w:val="22"/>
        </w:rPr>
        <w:t>;</w:t>
      </w:r>
      <w:proofErr w:type="gramEnd"/>
    </w:p>
    <w:p w14:paraId="1EFF8C5C" w14:textId="762EDC6F" w:rsidR="00D67572" w:rsidRPr="00CF21A2" w:rsidRDefault="00D67572" w:rsidP="00325D8E">
      <w:pPr>
        <w:pStyle w:val="paragraph"/>
        <w:rPr>
          <w:szCs w:val="22"/>
        </w:rPr>
      </w:pPr>
      <w:r w:rsidRPr="00CF21A2">
        <w:rPr>
          <w:szCs w:val="22"/>
        </w:rPr>
        <w:tab/>
        <w:t>(d)</w:t>
      </w:r>
      <w:r w:rsidRPr="00CF21A2">
        <w:rPr>
          <w:szCs w:val="22"/>
        </w:rPr>
        <w:tab/>
        <w:t xml:space="preserve">if </w:t>
      </w:r>
      <w:r w:rsidR="00F75F6B" w:rsidRPr="00CF21A2">
        <w:rPr>
          <w:szCs w:val="22"/>
        </w:rPr>
        <w:t>IEC 62577 applies in relation to the transmitter – IEC 62577.</w:t>
      </w:r>
    </w:p>
    <w:p w14:paraId="0552933B" w14:textId="0DFFB0DD" w:rsidR="001B0C8C" w:rsidRDefault="001B0C8C" w:rsidP="001B0C8C">
      <w:pPr>
        <w:pStyle w:val="notetext"/>
        <w:rPr>
          <w:szCs w:val="18"/>
        </w:rPr>
      </w:pPr>
      <w:r w:rsidRPr="00145A27">
        <w:rPr>
          <w:i/>
          <w:iCs/>
          <w:szCs w:val="18"/>
        </w:rPr>
        <w:t>Note</w:t>
      </w:r>
      <w:r w:rsidRPr="00CF21A2">
        <w:rPr>
          <w:szCs w:val="18"/>
        </w:rPr>
        <w:tab/>
        <w:t xml:space="preserve">The licensee must keep a record of </w:t>
      </w:r>
      <w:r w:rsidR="001D5218" w:rsidRPr="00CF21A2">
        <w:rPr>
          <w:szCs w:val="18"/>
        </w:rPr>
        <w:t>measurements or calculations made under this subsection (</w:t>
      </w:r>
      <w:r w:rsidR="003006DA" w:rsidRPr="00CF21A2">
        <w:rPr>
          <w:szCs w:val="18"/>
        </w:rPr>
        <w:t xml:space="preserve">see </w:t>
      </w:r>
      <w:r w:rsidR="001D5218" w:rsidRPr="00CF21A2">
        <w:rPr>
          <w:szCs w:val="18"/>
        </w:rPr>
        <w:t>paragraph 15</w:t>
      </w:r>
      <w:r w:rsidR="005B4D00" w:rsidRPr="00CF21A2">
        <w:rPr>
          <w:szCs w:val="18"/>
        </w:rPr>
        <w:t>(1)(e)</w:t>
      </w:r>
      <w:r w:rsidR="003006DA" w:rsidRPr="00CF21A2">
        <w:rPr>
          <w:szCs w:val="18"/>
        </w:rPr>
        <w:t>).</w:t>
      </w:r>
    </w:p>
    <w:p w14:paraId="2A6104F1" w14:textId="72B9A89F" w:rsidR="00F25447" w:rsidRPr="00F25447" w:rsidRDefault="00F25447" w:rsidP="00800499">
      <w:pPr>
        <w:pStyle w:val="subsection"/>
        <w:keepNext/>
        <w:rPr>
          <w:bCs/>
          <w:i/>
          <w:iCs/>
          <w:szCs w:val="22"/>
        </w:rPr>
      </w:pPr>
      <w:r>
        <w:rPr>
          <w:bCs/>
          <w:i/>
          <w:iCs/>
          <w:szCs w:val="22"/>
        </w:rPr>
        <w:lastRenderedPageBreak/>
        <w:t>Measurements and calculations made before commencement day</w:t>
      </w:r>
    </w:p>
    <w:p w14:paraId="490F28EE" w14:textId="61162A48" w:rsidR="00BC1B58" w:rsidRDefault="00BC1B58" w:rsidP="00800499">
      <w:pPr>
        <w:pStyle w:val="subsection"/>
        <w:keepNext/>
        <w:rPr>
          <w:bCs/>
          <w:szCs w:val="22"/>
        </w:rPr>
      </w:pPr>
      <w:r w:rsidRPr="00CF21A2">
        <w:rPr>
          <w:bCs/>
          <w:szCs w:val="22"/>
        </w:rPr>
        <w:tab/>
        <w:t>(</w:t>
      </w:r>
      <w:r>
        <w:rPr>
          <w:bCs/>
          <w:szCs w:val="22"/>
        </w:rPr>
        <w:t>3</w:t>
      </w:r>
      <w:r w:rsidRPr="00CF21A2">
        <w:rPr>
          <w:bCs/>
          <w:szCs w:val="22"/>
        </w:rPr>
        <w:t>)</w:t>
      </w:r>
      <w:r w:rsidRPr="00CF21A2">
        <w:rPr>
          <w:bCs/>
          <w:szCs w:val="22"/>
        </w:rPr>
        <w:tab/>
      </w:r>
      <w:r>
        <w:rPr>
          <w:bCs/>
          <w:szCs w:val="22"/>
        </w:rPr>
        <w:t>A licensee is taken to comply with subsection (2) if:</w:t>
      </w:r>
    </w:p>
    <w:p w14:paraId="5C8F9EBA" w14:textId="2FB5C087" w:rsidR="00BC1B58" w:rsidRDefault="00BC1B58" w:rsidP="00BC1B58">
      <w:pPr>
        <w:pStyle w:val="paragraph"/>
        <w:rPr>
          <w:bCs/>
          <w:szCs w:val="22"/>
        </w:rPr>
      </w:pPr>
      <w:r>
        <w:rPr>
          <w:bCs/>
          <w:szCs w:val="22"/>
        </w:rPr>
        <w:tab/>
        <w:t>(a)</w:t>
      </w:r>
      <w:r>
        <w:rPr>
          <w:bCs/>
          <w:szCs w:val="22"/>
        </w:rPr>
        <w:tab/>
        <w:t>the licensee complied, or was taken to have complied, with the former measurement provision before the commencement day; and</w:t>
      </w:r>
    </w:p>
    <w:p w14:paraId="076F9CCA" w14:textId="14A9BC77" w:rsidR="00BC1B58" w:rsidRDefault="00BC1B58" w:rsidP="00F25447">
      <w:pPr>
        <w:pStyle w:val="paragraph"/>
        <w:rPr>
          <w:bCs/>
          <w:szCs w:val="22"/>
        </w:rPr>
      </w:pPr>
      <w:r>
        <w:rPr>
          <w:bCs/>
          <w:szCs w:val="22"/>
        </w:rPr>
        <w:tab/>
        <w:t>(b)</w:t>
      </w:r>
      <w:r>
        <w:rPr>
          <w:bCs/>
          <w:szCs w:val="22"/>
        </w:rPr>
        <w:tab/>
        <w:t>in the period commenc</w:t>
      </w:r>
      <w:r w:rsidR="007A1F78">
        <w:rPr>
          <w:bCs/>
          <w:szCs w:val="22"/>
        </w:rPr>
        <w:t>ing</w:t>
      </w:r>
      <w:r>
        <w:rPr>
          <w:bCs/>
          <w:szCs w:val="22"/>
        </w:rPr>
        <w:t xml:space="preserve"> when the licensee complied, or was taken to have complied, with the former measurement provision and ending immediately before the commencement day, the licensee had kept a record of any assessments, measurements or calculations made to comply, or to be taken to have complied, with the former measurement provision.</w:t>
      </w:r>
    </w:p>
    <w:p w14:paraId="64DAAF00" w14:textId="77777777" w:rsidR="007A1F78" w:rsidRDefault="007A1F78" w:rsidP="007A1F78">
      <w:pPr>
        <w:pStyle w:val="notetext"/>
        <w:rPr>
          <w:szCs w:val="18"/>
        </w:rPr>
      </w:pPr>
      <w:r w:rsidRPr="00145A27">
        <w:rPr>
          <w:i/>
          <w:iCs/>
          <w:szCs w:val="18"/>
        </w:rPr>
        <w:t>Note</w:t>
      </w:r>
      <w:r w:rsidRPr="00CF21A2">
        <w:rPr>
          <w:szCs w:val="18"/>
        </w:rPr>
        <w:tab/>
        <w:t>The licensee must keep a record of measurements or calculations made under this subsection (see paragraph 15(1)(e)).</w:t>
      </w:r>
    </w:p>
    <w:p w14:paraId="2FA2D783" w14:textId="799455C5" w:rsidR="00F25447" w:rsidRPr="00F25447" w:rsidRDefault="00F25447" w:rsidP="00F25447">
      <w:pPr>
        <w:pStyle w:val="subsection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Measurements and calculations made before relevant document amended</w:t>
      </w:r>
    </w:p>
    <w:p w14:paraId="21D93B5D" w14:textId="07C1B31C" w:rsidR="009715EF" w:rsidRDefault="00A64110" w:rsidP="00A64110">
      <w:pPr>
        <w:pStyle w:val="subsection"/>
        <w:rPr>
          <w:bCs/>
          <w:szCs w:val="22"/>
        </w:rPr>
      </w:pPr>
      <w:r>
        <w:rPr>
          <w:bCs/>
          <w:szCs w:val="22"/>
        </w:rPr>
        <w:tab/>
      </w:r>
      <w:r w:rsidR="002E06D0">
        <w:rPr>
          <w:bCs/>
          <w:szCs w:val="22"/>
        </w:rPr>
        <w:t>(</w:t>
      </w:r>
      <w:r w:rsidR="009715EF">
        <w:rPr>
          <w:bCs/>
          <w:szCs w:val="22"/>
        </w:rPr>
        <w:t>4</w:t>
      </w:r>
      <w:r>
        <w:rPr>
          <w:bCs/>
          <w:szCs w:val="22"/>
        </w:rPr>
        <w:t>)</w:t>
      </w:r>
      <w:r>
        <w:rPr>
          <w:bCs/>
          <w:szCs w:val="22"/>
        </w:rPr>
        <w:tab/>
      </w:r>
      <w:r w:rsidR="00C25ED0">
        <w:rPr>
          <w:bCs/>
          <w:szCs w:val="22"/>
        </w:rPr>
        <w:t>If a relevant document is amended</w:t>
      </w:r>
      <w:r w:rsidR="003E22B9">
        <w:rPr>
          <w:bCs/>
          <w:szCs w:val="22"/>
        </w:rPr>
        <w:t xml:space="preserve"> after the commencement day</w:t>
      </w:r>
      <w:r w:rsidR="00C25ED0">
        <w:rPr>
          <w:bCs/>
          <w:szCs w:val="22"/>
        </w:rPr>
        <w:t>, a</w:t>
      </w:r>
      <w:r>
        <w:rPr>
          <w:bCs/>
          <w:szCs w:val="22"/>
        </w:rPr>
        <w:t xml:space="preserve"> licensee is taken to comply with subsection </w:t>
      </w:r>
      <w:r w:rsidR="002E06D0">
        <w:rPr>
          <w:bCs/>
          <w:szCs w:val="22"/>
        </w:rPr>
        <w:t>(</w:t>
      </w:r>
      <w:r>
        <w:rPr>
          <w:bCs/>
          <w:szCs w:val="22"/>
        </w:rPr>
        <w:t xml:space="preserve">2) if the licensee measured or calculated RF fields produced by a transmitter, in accordance with </w:t>
      </w:r>
      <w:r w:rsidR="00C25ED0">
        <w:rPr>
          <w:bCs/>
          <w:szCs w:val="22"/>
        </w:rPr>
        <w:t>the</w:t>
      </w:r>
      <w:r>
        <w:rPr>
          <w:bCs/>
          <w:szCs w:val="22"/>
        </w:rPr>
        <w:t xml:space="preserve"> relevant document as existing immediately before it was amended, </w:t>
      </w:r>
      <w:r w:rsidR="009715EF">
        <w:rPr>
          <w:bCs/>
          <w:szCs w:val="22"/>
        </w:rPr>
        <w:t>in the period:</w:t>
      </w:r>
    </w:p>
    <w:p w14:paraId="66A890F4" w14:textId="11FFFE85" w:rsidR="00A64110" w:rsidRDefault="009715EF" w:rsidP="009715EF">
      <w:pPr>
        <w:pStyle w:val="paragraph"/>
        <w:rPr>
          <w:bCs/>
          <w:szCs w:val="22"/>
        </w:rPr>
      </w:pPr>
      <w:r>
        <w:rPr>
          <w:bCs/>
          <w:szCs w:val="22"/>
        </w:rPr>
        <w:tab/>
        <w:t>(a)</w:t>
      </w:r>
      <w:r>
        <w:rPr>
          <w:bCs/>
          <w:szCs w:val="22"/>
        </w:rPr>
        <w:tab/>
        <w:t>commencing on the commencement day; and</w:t>
      </w:r>
    </w:p>
    <w:p w14:paraId="24D3FCB3" w14:textId="74278997" w:rsidR="009715EF" w:rsidRDefault="009715EF" w:rsidP="009715EF">
      <w:pPr>
        <w:pStyle w:val="paragraph"/>
        <w:rPr>
          <w:bCs/>
          <w:szCs w:val="22"/>
        </w:rPr>
      </w:pPr>
      <w:r>
        <w:rPr>
          <w:bCs/>
          <w:szCs w:val="22"/>
        </w:rPr>
        <w:tab/>
        <w:t>(b)</w:t>
      </w:r>
      <w:r>
        <w:rPr>
          <w:bCs/>
          <w:szCs w:val="22"/>
        </w:rPr>
        <w:tab/>
        <w:t>ending immediately before the relevant document was amended.</w:t>
      </w:r>
    </w:p>
    <w:p w14:paraId="134B30FA" w14:textId="77777777" w:rsidR="007A1F78" w:rsidRDefault="007A1F78" w:rsidP="007A1F78">
      <w:pPr>
        <w:pStyle w:val="notetext"/>
        <w:rPr>
          <w:szCs w:val="18"/>
        </w:rPr>
      </w:pPr>
      <w:r w:rsidRPr="00145A27">
        <w:rPr>
          <w:i/>
          <w:iCs/>
          <w:szCs w:val="18"/>
        </w:rPr>
        <w:t>Note</w:t>
      </w:r>
      <w:r w:rsidRPr="00CF21A2">
        <w:rPr>
          <w:szCs w:val="18"/>
        </w:rPr>
        <w:tab/>
        <w:t>The licensee must keep a record of measurements or calculations made under this subsection (see paragraph 15(1)(e)).</w:t>
      </w:r>
    </w:p>
    <w:p w14:paraId="24815FF4" w14:textId="3D1670EE" w:rsidR="00F25447" w:rsidRPr="00F25447" w:rsidRDefault="00F25447" w:rsidP="00F25447">
      <w:pPr>
        <w:pStyle w:val="subsection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Measurements and calculations made after relevant document amended</w:t>
      </w:r>
    </w:p>
    <w:p w14:paraId="6BCDE0FE" w14:textId="4678CCE0" w:rsidR="00A64110" w:rsidRDefault="00A64110" w:rsidP="00A64110">
      <w:pPr>
        <w:pStyle w:val="subsection"/>
        <w:rPr>
          <w:bCs/>
          <w:szCs w:val="22"/>
        </w:rPr>
      </w:pPr>
      <w:r>
        <w:rPr>
          <w:bCs/>
          <w:szCs w:val="22"/>
        </w:rPr>
        <w:tab/>
        <w:t>(</w:t>
      </w:r>
      <w:r w:rsidR="009715EF">
        <w:rPr>
          <w:bCs/>
          <w:szCs w:val="22"/>
        </w:rPr>
        <w:t>5</w:t>
      </w:r>
      <w:r>
        <w:rPr>
          <w:bCs/>
          <w:szCs w:val="22"/>
        </w:rPr>
        <w:t>)</w:t>
      </w:r>
      <w:r>
        <w:rPr>
          <w:bCs/>
          <w:szCs w:val="22"/>
        </w:rPr>
        <w:tab/>
      </w:r>
      <w:r w:rsidR="00C25ED0">
        <w:rPr>
          <w:bCs/>
          <w:szCs w:val="22"/>
        </w:rPr>
        <w:t>If a relevant document is amended</w:t>
      </w:r>
      <w:r w:rsidR="003E22B9">
        <w:rPr>
          <w:bCs/>
          <w:szCs w:val="22"/>
        </w:rPr>
        <w:t xml:space="preserve"> after the commencement day</w:t>
      </w:r>
      <w:r w:rsidR="00C25ED0">
        <w:rPr>
          <w:bCs/>
          <w:szCs w:val="22"/>
        </w:rPr>
        <w:t>, a</w:t>
      </w:r>
      <w:r>
        <w:rPr>
          <w:bCs/>
          <w:szCs w:val="22"/>
        </w:rPr>
        <w:t xml:space="preserve"> licensee is taken to comply with subsection (2) if the licensee measured or calculated RF fields produced by a transmitter, in accordance with the relevant document as existing immediately before it was amended, in the period:</w:t>
      </w:r>
    </w:p>
    <w:p w14:paraId="543D4FE2" w14:textId="77777777" w:rsidR="00A64110" w:rsidRDefault="00A64110" w:rsidP="00A64110">
      <w:pPr>
        <w:pStyle w:val="paragraph"/>
        <w:rPr>
          <w:bCs/>
          <w:szCs w:val="22"/>
        </w:rPr>
      </w:pPr>
      <w:r>
        <w:rPr>
          <w:bCs/>
          <w:szCs w:val="22"/>
        </w:rPr>
        <w:tab/>
        <w:t>(a)</w:t>
      </w:r>
      <w:r>
        <w:rPr>
          <w:bCs/>
          <w:szCs w:val="22"/>
        </w:rPr>
        <w:tab/>
        <w:t>commencing when the relevant document was amended; and</w:t>
      </w:r>
    </w:p>
    <w:p w14:paraId="4F2E6240" w14:textId="77777777" w:rsidR="00A64110" w:rsidRDefault="00A64110" w:rsidP="00A64110">
      <w:pPr>
        <w:pStyle w:val="paragraph"/>
        <w:rPr>
          <w:bCs/>
          <w:szCs w:val="22"/>
        </w:rPr>
      </w:pPr>
      <w:r>
        <w:rPr>
          <w:bCs/>
          <w:szCs w:val="22"/>
        </w:rPr>
        <w:tab/>
        <w:t>(b)</w:t>
      </w:r>
      <w:r>
        <w:rPr>
          <w:bCs/>
          <w:szCs w:val="22"/>
        </w:rPr>
        <w:tab/>
        <w:t>ending on the first anniversary of the day the relevant document was amended.</w:t>
      </w:r>
    </w:p>
    <w:p w14:paraId="7A45CFFC" w14:textId="77777777" w:rsidR="007A1F78" w:rsidRDefault="007A1F78" w:rsidP="007A1F78">
      <w:pPr>
        <w:pStyle w:val="notetext"/>
        <w:rPr>
          <w:szCs w:val="18"/>
        </w:rPr>
      </w:pPr>
      <w:r w:rsidRPr="00145A27">
        <w:rPr>
          <w:i/>
          <w:iCs/>
          <w:szCs w:val="18"/>
        </w:rPr>
        <w:t>Note</w:t>
      </w:r>
      <w:r w:rsidRPr="00CF21A2">
        <w:rPr>
          <w:szCs w:val="18"/>
        </w:rPr>
        <w:tab/>
        <w:t>The licensee must keep a record of measurements or calculations made under this subsection (see paragraph 15(1)(e)).</w:t>
      </w:r>
    </w:p>
    <w:p w14:paraId="752938A8" w14:textId="60877066" w:rsidR="00F25447" w:rsidRPr="00F25447" w:rsidRDefault="002F6D2D" w:rsidP="00F25447">
      <w:pPr>
        <w:pStyle w:val="subsection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>Definitions</w:t>
      </w:r>
    </w:p>
    <w:p w14:paraId="199079A7" w14:textId="20F73414" w:rsidR="009715EF" w:rsidRDefault="009715EF" w:rsidP="009715EF">
      <w:pPr>
        <w:pStyle w:val="subsection"/>
        <w:rPr>
          <w:bCs/>
          <w:szCs w:val="22"/>
        </w:rPr>
      </w:pPr>
      <w:r>
        <w:rPr>
          <w:bCs/>
          <w:szCs w:val="22"/>
        </w:rPr>
        <w:tab/>
        <w:t>(</w:t>
      </w:r>
      <w:r w:rsidR="0001089D">
        <w:rPr>
          <w:bCs/>
          <w:szCs w:val="22"/>
        </w:rPr>
        <w:t>6)</w:t>
      </w:r>
      <w:r>
        <w:rPr>
          <w:bCs/>
          <w:szCs w:val="22"/>
        </w:rPr>
        <w:tab/>
        <w:t>In this section:</w:t>
      </w:r>
    </w:p>
    <w:p w14:paraId="5697B643" w14:textId="77777777" w:rsidR="009715EF" w:rsidRDefault="009715EF" w:rsidP="009715EF">
      <w:pPr>
        <w:pStyle w:val="Item"/>
        <w:keepLines w:val="0"/>
        <w:ind w:left="1134"/>
        <w:rPr>
          <w:rFonts w:cstheme="minorHAnsi"/>
          <w:szCs w:val="22"/>
        </w:rPr>
      </w:pPr>
      <w:r>
        <w:rPr>
          <w:rFonts w:cstheme="minorHAnsi"/>
          <w:b/>
          <w:bCs/>
          <w:i/>
          <w:iCs/>
          <w:szCs w:val="22"/>
        </w:rPr>
        <w:t>commencement day</w:t>
      </w:r>
      <w:r w:rsidRPr="0031452D">
        <w:rPr>
          <w:rFonts w:cstheme="minorHAnsi"/>
          <w:b/>
          <w:bCs/>
          <w:i/>
          <w:iCs/>
          <w:szCs w:val="22"/>
        </w:rPr>
        <w:t xml:space="preserve"> </w:t>
      </w:r>
      <w:r>
        <w:rPr>
          <w:rFonts w:cstheme="minorHAnsi"/>
          <w:szCs w:val="22"/>
        </w:rPr>
        <w:t xml:space="preserve">means the day the </w:t>
      </w:r>
      <w:r>
        <w:rPr>
          <w:rFonts w:cstheme="minorHAnsi"/>
          <w:i/>
          <w:iCs/>
          <w:szCs w:val="22"/>
        </w:rPr>
        <w:t xml:space="preserve">Radiocommunications (Electromagnetic Energy) Amendment Instrument 2021 (No. 1) </w:t>
      </w:r>
      <w:r>
        <w:rPr>
          <w:rFonts w:cstheme="minorHAnsi"/>
          <w:szCs w:val="22"/>
        </w:rPr>
        <w:t>commenced.</w:t>
      </w:r>
    </w:p>
    <w:p w14:paraId="153803D5" w14:textId="77777777" w:rsidR="009715EF" w:rsidRDefault="009715EF" w:rsidP="009715EF">
      <w:pPr>
        <w:pStyle w:val="Item"/>
        <w:keepLines w:val="0"/>
        <w:ind w:left="1134"/>
        <w:rPr>
          <w:rFonts w:cstheme="minorHAnsi"/>
          <w:szCs w:val="22"/>
        </w:rPr>
      </w:pPr>
      <w:r>
        <w:rPr>
          <w:rFonts w:cstheme="minorHAnsi"/>
          <w:b/>
          <w:bCs/>
          <w:i/>
          <w:iCs/>
          <w:szCs w:val="22"/>
        </w:rPr>
        <w:t>former measurement provision</w:t>
      </w:r>
      <w:r w:rsidRPr="0031452D">
        <w:rPr>
          <w:rFonts w:cstheme="minorHAnsi"/>
          <w:b/>
          <w:bCs/>
          <w:i/>
          <w:iCs/>
          <w:szCs w:val="22"/>
        </w:rPr>
        <w:t xml:space="preserve"> </w:t>
      </w:r>
      <w:r>
        <w:rPr>
          <w:rFonts w:cstheme="minorHAnsi"/>
          <w:szCs w:val="22"/>
        </w:rPr>
        <w:t>means subsection (2), as in force immediately before the commencement day</w:t>
      </w:r>
      <w:r w:rsidRPr="0031452D">
        <w:rPr>
          <w:rFonts w:cstheme="minorHAnsi"/>
          <w:szCs w:val="22"/>
        </w:rPr>
        <w:t>.</w:t>
      </w:r>
    </w:p>
    <w:p w14:paraId="20F7AD8A" w14:textId="03A15EA6" w:rsidR="009715EF" w:rsidRPr="00BC1B58" w:rsidRDefault="009715EF" w:rsidP="009715EF">
      <w:pPr>
        <w:pStyle w:val="notetext"/>
      </w:pPr>
      <w:r w:rsidRPr="00145A27">
        <w:rPr>
          <w:i/>
          <w:iCs/>
          <w:szCs w:val="18"/>
        </w:rPr>
        <w:t>Note</w:t>
      </w:r>
      <w:r w:rsidRPr="00CF21A2">
        <w:rPr>
          <w:szCs w:val="18"/>
        </w:rPr>
        <w:tab/>
        <w:t xml:space="preserve">The </w:t>
      </w:r>
      <w:r>
        <w:rPr>
          <w:i/>
          <w:iCs/>
          <w:szCs w:val="18"/>
        </w:rPr>
        <w:t>Radiocommunications (Electromagnetic Energy) Amendment Instrument 2021 (No. 1)</w:t>
      </w:r>
      <w:r>
        <w:rPr>
          <w:szCs w:val="18"/>
        </w:rPr>
        <w:t xml:space="preserve"> repealed and replaced section 10 of this Determination</w:t>
      </w:r>
      <w:r w:rsidR="002F6D2D">
        <w:rPr>
          <w:szCs w:val="18"/>
        </w:rPr>
        <w:t>. This Determination, as in force immediately before the commencement day</w:t>
      </w:r>
      <w:r>
        <w:rPr>
          <w:szCs w:val="18"/>
        </w:rPr>
        <w:t xml:space="preserve">, is available, free of charge, from the Federal Register of Legislation at </w:t>
      </w:r>
      <w:hyperlink r:id="rId25" w:history="1">
        <w:r w:rsidR="00B06A2A" w:rsidRPr="00C44553">
          <w:rPr>
            <w:rStyle w:val="Hyperlink"/>
            <w:szCs w:val="18"/>
          </w:rPr>
          <w:t>www.legislation.gov.au</w:t>
        </w:r>
      </w:hyperlink>
      <w:r>
        <w:rPr>
          <w:szCs w:val="18"/>
        </w:rPr>
        <w:t>.</w:t>
      </w:r>
    </w:p>
    <w:p w14:paraId="417C003A" w14:textId="138F95DA" w:rsidR="00A64110" w:rsidRPr="000050BE" w:rsidRDefault="00A64110" w:rsidP="0001089D">
      <w:pPr>
        <w:pStyle w:val="Item"/>
        <w:keepLines w:val="0"/>
        <w:ind w:left="1134"/>
        <w:rPr>
          <w:bCs/>
          <w:szCs w:val="22"/>
        </w:rPr>
      </w:pPr>
      <w:r>
        <w:rPr>
          <w:b/>
          <w:i/>
          <w:iCs/>
          <w:szCs w:val="22"/>
        </w:rPr>
        <w:t>relevant document</w:t>
      </w:r>
      <w:r w:rsidR="0001089D">
        <w:rPr>
          <w:bCs/>
          <w:szCs w:val="22"/>
        </w:rPr>
        <w:t xml:space="preserve"> means each of</w:t>
      </w:r>
      <w:r>
        <w:rPr>
          <w:bCs/>
          <w:szCs w:val="22"/>
        </w:rPr>
        <w:t>:</w:t>
      </w:r>
    </w:p>
    <w:p w14:paraId="4D2175C7" w14:textId="77777777" w:rsidR="00A64110" w:rsidRPr="00CF21A2" w:rsidRDefault="00A64110" w:rsidP="00A64110">
      <w:pPr>
        <w:pStyle w:val="paragraph"/>
        <w:rPr>
          <w:szCs w:val="22"/>
        </w:rPr>
      </w:pPr>
      <w:r w:rsidRPr="00CF21A2">
        <w:rPr>
          <w:szCs w:val="22"/>
        </w:rPr>
        <w:tab/>
        <w:t>(a)</w:t>
      </w:r>
      <w:r w:rsidRPr="00CF21A2">
        <w:rPr>
          <w:szCs w:val="22"/>
        </w:rPr>
        <w:tab/>
        <w:t xml:space="preserve">AS/NZS </w:t>
      </w:r>
      <w:proofErr w:type="gramStart"/>
      <w:r w:rsidRPr="00CF21A2">
        <w:rPr>
          <w:szCs w:val="22"/>
        </w:rPr>
        <w:t>2772.2;</w:t>
      </w:r>
      <w:proofErr w:type="gramEnd"/>
    </w:p>
    <w:p w14:paraId="17B042CA" w14:textId="77777777" w:rsidR="00A64110" w:rsidRPr="00CF21A2" w:rsidRDefault="00A64110" w:rsidP="00A64110">
      <w:pPr>
        <w:pStyle w:val="paragraph"/>
        <w:rPr>
          <w:szCs w:val="22"/>
        </w:rPr>
      </w:pPr>
      <w:r w:rsidRPr="00CF21A2">
        <w:rPr>
          <w:szCs w:val="22"/>
        </w:rPr>
        <w:tab/>
        <w:t>(b)</w:t>
      </w:r>
      <w:r w:rsidRPr="00CF21A2">
        <w:rPr>
          <w:szCs w:val="22"/>
        </w:rPr>
        <w:tab/>
        <w:t>C95.</w:t>
      </w:r>
      <w:proofErr w:type="gramStart"/>
      <w:r w:rsidRPr="00CF21A2">
        <w:rPr>
          <w:szCs w:val="22"/>
        </w:rPr>
        <w:t>3;</w:t>
      </w:r>
      <w:proofErr w:type="gramEnd"/>
    </w:p>
    <w:p w14:paraId="5FFEFDA6" w14:textId="77777777" w:rsidR="00A64110" w:rsidRPr="00CF21A2" w:rsidRDefault="00A64110" w:rsidP="00A64110">
      <w:pPr>
        <w:pStyle w:val="paragraph"/>
        <w:rPr>
          <w:szCs w:val="22"/>
        </w:rPr>
      </w:pPr>
      <w:r w:rsidRPr="00CF21A2">
        <w:rPr>
          <w:szCs w:val="22"/>
        </w:rPr>
        <w:tab/>
        <w:t>(c)</w:t>
      </w:r>
      <w:r w:rsidRPr="00CF21A2">
        <w:rPr>
          <w:szCs w:val="22"/>
        </w:rPr>
        <w:tab/>
        <w:t xml:space="preserve">IEC </w:t>
      </w:r>
      <w:proofErr w:type="gramStart"/>
      <w:r w:rsidRPr="00CF21A2">
        <w:rPr>
          <w:szCs w:val="22"/>
        </w:rPr>
        <w:t>62232;</w:t>
      </w:r>
      <w:proofErr w:type="gramEnd"/>
    </w:p>
    <w:p w14:paraId="5455A0F8" w14:textId="77777777" w:rsidR="00A64110" w:rsidRPr="00CF21A2" w:rsidRDefault="00A64110" w:rsidP="00A64110">
      <w:pPr>
        <w:pStyle w:val="paragraph"/>
        <w:rPr>
          <w:szCs w:val="22"/>
        </w:rPr>
      </w:pPr>
      <w:r w:rsidRPr="00CF21A2">
        <w:rPr>
          <w:szCs w:val="22"/>
        </w:rPr>
        <w:tab/>
        <w:t>(d)</w:t>
      </w:r>
      <w:r w:rsidRPr="00CF21A2">
        <w:rPr>
          <w:szCs w:val="22"/>
        </w:rPr>
        <w:tab/>
        <w:t>IEC 62577.</w:t>
      </w:r>
    </w:p>
    <w:p w14:paraId="2BEF04EC" w14:textId="75F64240" w:rsidR="002E2D0A" w:rsidRDefault="00251E42" w:rsidP="002E2D0A">
      <w:pPr>
        <w:pStyle w:val="ItemHead"/>
      </w:pPr>
      <w:r>
        <w:t>17</w:t>
      </w:r>
      <w:r w:rsidR="002E2D0A">
        <w:t xml:space="preserve">  S</w:t>
      </w:r>
      <w:r w:rsidR="009D2EB1">
        <w:t>ection</w:t>
      </w:r>
      <w:r w:rsidR="002E2D0A">
        <w:t xml:space="preserve"> </w:t>
      </w:r>
      <w:r w:rsidR="009D2EB1">
        <w:t>10A</w:t>
      </w:r>
    </w:p>
    <w:p w14:paraId="48C369B0" w14:textId="364FB68E" w:rsidR="007E488B" w:rsidRPr="00CF21A2" w:rsidRDefault="007E488B" w:rsidP="002E2D0A">
      <w:pPr>
        <w:spacing w:before="80" w:after="0"/>
        <w:ind w:left="709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Repeal the section</w:t>
      </w:r>
      <w:r w:rsidR="0001089D">
        <w:rPr>
          <w:rFonts w:ascii="Times New Roman" w:hAnsi="Times New Roman" w:cs="Times New Roman"/>
          <w:lang w:eastAsia="en-AU"/>
        </w:rPr>
        <w:t>.</w:t>
      </w:r>
    </w:p>
    <w:p w14:paraId="6945A3CC" w14:textId="4C748BC4" w:rsidR="00596BEA" w:rsidRDefault="00251E42" w:rsidP="00596BEA">
      <w:pPr>
        <w:pStyle w:val="ItemHead"/>
      </w:pPr>
      <w:r>
        <w:lastRenderedPageBreak/>
        <w:t>18</w:t>
      </w:r>
      <w:r w:rsidR="00596BEA">
        <w:t xml:space="preserve">  </w:t>
      </w:r>
      <w:r w:rsidR="00B076E7">
        <w:t>Subparagraph</w:t>
      </w:r>
      <w:r w:rsidR="00596BEA">
        <w:t xml:space="preserve"> 12(</w:t>
      </w:r>
      <w:r w:rsidR="00B076E7">
        <w:t>1</w:t>
      </w:r>
      <w:r w:rsidR="00596BEA">
        <w:t>)</w:t>
      </w:r>
      <w:r w:rsidR="00B076E7">
        <w:t>(b)(i)</w:t>
      </w:r>
    </w:p>
    <w:p w14:paraId="0D8C37AE" w14:textId="72F0D7C0" w:rsidR="00596BEA" w:rsidRPr="00CF21A2" w:rsidRDefault="00596BEA" w:rsidP="00596BEA">
      <w:pPr>
        <w:spacing w:before="80" w:after="0"/>
        <w:ind w:left="709"/>
        <w:rPr>
          <w:rFonts w:ascii="Times New Roman" w:hAnsi="Times New Roman" w:cs="Times New Roman"/>
          <w:lang w:eastAsia="en-AU"/>
        </w:rPr>
      </w:pPr>
      <w:r w:rsidRPr="00CF21A2">
        <w:rPr>
          <w:rFonts w:ascii="Times New Roman" w:hAnsi="Times New Roman" w:cs="Times New Roman"/>
          <w:lang w:eastAsia="en-AU"/>
        </w:rPr>
        <w:t>Repeal the s</w:t>
      </w:r>
      <w:r w:rsidR="00B076E7" w:rsidRPr="00CF21A2">
        <w:rPr>
          <w:rFonts w:ascii="Times New Roman" w:hAnsi="Times New Roman" w:cs="Times New Roman"/>
          <w:lang w:eastAsia="en-AU"/>
        </w:rPr>
        <w:t>ubparagraph</w:t>
      </w:r>
      <w:r w:rsidRPr="00CF21A2">
        <w:rPr>
          <w:rFonts w:ascii="Times New Roman" w:hAnsi="Times New Roman" w:cs="Times New Roman"/>
          <w:lang w:eastAsia="en-AU"/>
        </w:rPr>
        <w:t>, substitute:</w:t>
      </w:r>
    </w:p>
    <w:p w14:paraId="1836D9FD" w14:textId="0FE08C3B" w:rsidR="00596BEA" w:rsidRPr="00CF21A2" w:rsidRDefault="00B076E7" w:rsidP="00B076E7">
      <w:pPr>
        <w:pStyle w:val="paragraphsub"/>
        <w:rPr>
          <w:sz w:val="20"/>
          <w:szCs w:val="18"/>
        </w:rPr>
      </w:pPr>
      <w:r w:rsidRPr="00CF21A2">
        <w:tab/>
        <w:t>(i)</w:t>
      </w:r>
      <w:r w:rsidRPr="00CF21A2">
        <w:tab/>
        <w:t xml:space="preserve">includes the results of measurements or calculations </w:t>
      </w:r>
      <w:r w:rsidR="00E07957">
        <w:t>mentioned in</w:t>
      </w:r>
      <w:r w:rsidRPr="00CF21A2">
        <w:t xml:space="preserve"> section 10;</w:t>
      </w:r>
      <w:r w:rsidR="005222CB" w:rsidRPr="00CF21A2">
        <w:t xml:space="preserve"> and</w:t>
      </w:r>
    </w:p>
    <w:p w14:paraId="659D5C74" w14:textId="2431B485" w:rsidR="00E80AB5" w:rsidRDefault="004E2733" w:rsidP="00E80AB5">
      <w:pPr>
        <w:pStyle w:val="ItemHead"/>
      </w:pPr>
      <w:r>
        <w:t>19</w:t>
      </w:r>
      <w:r w:rsidR="00E80AB5">
        <w:t xml:space="preserve">  Subsection 12(3), note to the subsection</w:t>
      </w:r>
    </w:p>
    <w:p w14:paraId="60F0BB89" w14:textId="3A00A9F3" w:rsidR="00E80AB5" w:rsidRPr="00C73928" w:rsidRDefault="003F6F60" w:rsidP="00E80AB5">
      <w:pPr>
        <w:pStyle w:val="Item"/>
        <w:rPr>
          <w:szCs w:val="22"/>
        </w:rPr>
      </w:pPr>
      <w:r w:rsidRPr="00C73928">
        <w:rPr>
          <w:szCs w:val="22"/>
        </w:rPr>
        <w:t xml:space="preserve">Omit </w:t>
      </w:r>
      <w:r w:rsidR="00456F01" w:rsidRPr="00C73928">
        <w:rPr>
          <w:szCs w:val="22"/>
        </w:rPr>
        <w:t>‘</w:t>
      </w:r>
      <w:r w:rsidR="00843909" w:rsidRPr="00C73928">
        <w:rPr>
          <w:szCs w:val="22"/>
        </w:rPr>
        <w:t xml:space="preserve">paragraph 10(2)(a) </w:t>
      </w:r>
      <w:r w:rsidRPr="00C73928">
        <w:rPr>
          <w:szCs w:val="22"/>
        </w:rPr>
        <w:t>or subsection 13(1)</w:t>
      </w:r>
      <w:r w:rsidR="00456F01" w:rsidRPr="00C73928">
        <w:rPr>
          <w:szCs w:val="22"/>
        </w:rPr>
        <w:t>’</w:t>
      </w:r>
      <w:r w:rsidR="00843909" w:rsidRPr="00C73928">
        <w:rPr>
          <w:szCs w:val="22"/>
        </w:rPr>
        <w:t xml:space="preserve">, substitute </w:t>
      </w:r>
      <w:r w:rsidR="00456F01" w:rsidRPr="00C73928">
        <w:rPr>
          <w:szCs w:val="22"/>
        </w:rPr>
        <w:t>‘</w:t>
      </w:r>
      <w:r w:rsidR="00843909" w:rsidRPr="00C73928">
        <w:rPr>
          <w:szCs w:val="22"/>
        </w:rPr>
        <w:t>section 10</w:t>
      </w:r>
      <w:r w:rsidR="00456F01" w:rsidRPr="00C73928">
        <w:rPr>
          <w:szCs w:val="22"/>
        </w:rPr>
        <w:t>’</w:t>
      </w:r>
      <w:r w:rsidR="00596BEA" w:rsidRPr="00C73928">
        <w:rPr>
          <w:szCs w:val="22"/>
        </w:rPr>
        <w:t>.</w:t>
      </w:r>
    </w:p>
    <w:p w14:paraId="63F82D76" w14:textId="46849D6D" w:rsidR="00962D4B" w:rsidRDefault="004E2733" w:rsidP="00053EA8">
      <w:pPr>
        <w:pStyle w:val="ItemHead"/>
      </w:pPr>
      <w:r>
        <w:t>20</w:t>
      </w:r>
      <w:r w:rsidR="00CA36FA">
        <w:t xml:space="preserve">  After subsection 1</w:t>
      </w:r>
      <w:r w:rsidR="00D41F44">
        <w:t>3</w:t>
      </w:r>
      <w:r w:rsidR="00CA36FA">
        <w:t>(5)</w:t>
      </w:r>
    </w:p>
    <w:p w14:paraId="24CD451D" w14:textId="71A61675" w:rsidR="00CA36FA" w:rsidRPr="00CF21A2" w:rsidRDefault="00CA36FA" w:rsidP="00CA36FA">
      <w:pPr>
        <w:pStyle w:val="Item"/>
      </w:pPr>
      <w:r w:rsidRPr="00CF21A2">
        <w:t>Insert:</w:t>
      </w:r>
    </w:p>
    <w:p w14:paraId="1F7E105A" w14:textId="77777777" w:rsidR="00EA2A78" w:rsidRPr="00CF21A2" w:rsidRDefault="00CA36FA" w:rsidP="00281642">
      <w:pPr>
        <w:pStyle w:val="subsection"/>
        <w:rPr>
          <w:bCs/>
          <w:szCs w:val="22"/>
        </w:rPr>
      </w:pPr>
      <w:r w:rsidRPr="00CF21A2">
        <w:rPr>
          <w:bCs/>
          <w:szCs w:val="22"/>
        </w:rPr>
        <w:tab/>
        <w:t>(6)</w:t>
      </w:r>
      <w:r w:rsidRPr="00CF21A2">
        <w:rPr>
          <w:bCs/>
          <w:szCs w:val="22"/>
        </w:rPr>
        <w:tab/>
        <w:t>Despite subsection 4(1), in this section</w:t>
      </w:r>
      <w:r w:rsidR="00EA2A78" w:rsidRPr="00CF21A2">
        <w:rPr>
          <w:bCs/>
          <w:szCs w:val="22"/>
        </w:rPr>
        <w:t>:</w:t>
      </w:r>
    </w:p>
    <w:p w14:paraId="61F91070" w14:textId="44DC0FB0" w:rsidR="00CA36FA" w:rsidRPr="00CF21A2" w:rsidRDefault="00A32CAE" w:rsidP="00AC3863">
      <w:pPr>
        <w:pStyle w:val="Definition"/>
        <w:rPr>
          <w:rFonts w:cstheme="minorHAnsi"/>
          <w:szCs w:val="22"/>
        </w:rPr>
      </w:pPr>
      <w:r w:rsidRPr="00CF21A2">
        <w:rPr>
          <w:rFonts w:cstheme="minorHAnsi"/>
          <w:b/>
          <w:bCs/>
          <w:i/>
          <w:iCs/>
          <w:szCs w:val="22"/>
        </w:rPr>
        <w:t xml:space="preserve">member of the general public </w:t>
      </w:r>
      <w:r w:rsidR="000B2089" w:rsidRPr="00AC3863">
        <w:rPr>
          <w:rFonts w:cstheme="minorHAnsi"/>
          <w:bCs/>
          <w:szCs w:val="22"/>
        </w:rPr>
        <w:t>means</w:t>
      </w:r>
      <w:r w:rsidR="000B2089" w:rsidRPr="00CF21A2">
        <w:rPr>
          <w:rFonts w:cstheme="minorHAnsi"/>
          <w:szCs w:val="22"/>
        </w:rPr>
        <w:t xml:space="preserve"> a person who is not an RF worker.</w:t>
      </w:r>
    </w:p>
    <w:p w14:paraId="30860F19" w14:textId="2C1FC435" w:rsidR="000B2089" w:rsidRPr="00CF21A2" w:rsidRDefault="000B2089" w:rsidP="00AC3863">
      <w:pPr>
        <w:pStyle w:val="Definition"/>
        <w:rPr>
          <w:rFonts w:cstheme="minorHAnsi"/>
          <w:szCs w:val="22"/>
        </w:rPr>
      </w:pPr>
      <w:r w:rsidRPr="00CF21A2">
        <w:rPr>
          <w:rFonts w:cstheme="minorHAnsi"/>
          <w:b/>
          <w:bCs/>
          <w:i/>
          <w:iCs/>
          <w:szCs w:val="22"/>
        </w:rPr>
        <w:t xml:space="preserve">RF worker </w:t>
      </w:r>
      <w:r w:rsidRPr="00CF21A2">
        <w:rPr>
          <w:rFonts w:cstheme="minorHAnsi"/>
          <w:szCs w:val="22"/>
        </w:rPr>
        <w:t xml:space="preserve">means a </w:t>
      </w:r>
      <w:r w:rsidRPr="00AC3863">
        <w:rPr>
          <w:rFonts w:cstheme="minorHAnsi"/>
          <w:bCs/>
          <w:szCs w:val="22"/>
        </w:rPr>
        <w:t>person</w:t>
      </w:r>
      <w:r w:rsidRPr="00CF21A2">
        <w:rPr>
          <w:rFonts w:cstheme="minorHAnsi"/>
          <w:szCs w:val="22"/>
        </w:rPr>
        <w:t xml:space="preserve"> who </w:t>
      </w:r>
      <w:r w:rsidR="00304832" w:rsidRPr="00CF21A2">
        <w:rPr>
          <w:rFonts w:cstheme="minorHAnsi"/>
          <w:szCs w:val="22"/>
        </w:rPr>
        <w:t>may be exposed to RF fields under controlled conditions, in the course of and intrinsic to the nature of their work</w:t>
      </w:r>
      <w:r w:rsidRPr="00CF21A2">
        <w:rPr>
          <w:rFonts w:cstheme="minorHAnsi"/>
          <w:szCs w:val="22"/>
        </w:rPr>
        <w:t>.</w:t>
      </w:r>
    </w:p>
    <w:p w14:paraId="70E130A1" w14:textId="1313D938" w:rsidR="00053EA8" w:rsidRDefault="004E2733" w:rsidP="00053EA8">
      <w:pPr>
        <w:pStyle w:val="ItemHead"/>
      </w:pPr>
      <w:r>
        <w:t>21</w:t>
      </w:r>
      <w:r w:rsidR="00053EA8">
        <w:t xml:space="preserve">  </w:t>
      </w:r>
      <w:r w:rsidR="0005792A">
        <w:t>Paragraph 15(1)(e)</w:t>
      </w:r>
    </w:p>
    <w:p w14:paraId="0A139112" w14:textId="5729BCBE" w:rsidR="00053EA8" w:rsidRPr="00CF21A2" w:rsidRDefault="0005792A" w:rsidP="00053EA8">
      <w:pPr>
        <w:pStyle w:val="Item"/>
      </w:pPr>
      <w:r w:rsidRPr="00CF21A2">
        <w:t>Repeal the paragraph, substitute:</w:t>
      </w:r>
    </w:p>
    <w:p w14:paraId="6D331BED" w14:textId="1D7155CC" w:rsidR="00E169DD" w:rsidRPr="00CF21A2" w:rsidRDefault="0005792A" w:rsidP="00325D8E">
      <w:pPr>
        <w:pStyle w:val="paragraph"/>
        <w:rPr>
          <w:szCs w:val="22"/>
        </w:rPr>
      </w:pPr>
      <w:bookmarkStart w:id="9" w:name="_Hlk83137650"/>
      <w:r w:rsidRPr="00CF21A2">
        <w:rPr>
          <w:szCs w:val="22"/>
        </w:rPr>
        <w:tab/>
        <w:t>(e)</w:t>
      </w:r>
      <w:r w:rsidRPr="00CF21A2">
        <w:rPr>
          <w:szCs w:val="22"/>
        </w:rPr>
        <w:tab/>
      </w:r>
      <w:r w:rsidR="00FF653E" w:rsidRPr="00CF21A2">
        <w:rPr>
          <w:szCs w:val="22"/>
        </w:rPr>
        <w:t xml:space="preserve">the measurements or calculations made for the purposes of section </w:t>
      </w:r>
      <w:proofErr w:type="gramStart"/>
      <w:r w:rsidR="00FF653E" w:rsidRPr="00CF21A2">
        <w:rPr>
          <w:szCs w:val="22"/>
        </w:rPr>
        <w:t>10</w:t>
      </w:r>
      <w:r w:rsidRPr="00CF21A2">
        <w:rPr>
          <w:szCs w:val="22"/>
        </w:rPr>
        <w:t>;</w:t>
      </w:r>
      <w:proofErr w:type="gramEnd"/>
    </w:p>
    <w:p w14:paraId="5A7A1D95" w14:textId="66614FA1" w:rsidR="00FF653E" w:rsidRPr="00CF21A2" w:rsidRDefault="00FF653E" w:rsidP="00325D8E">
      <w:pPr>
        <w:pStyle w:val="paragraph"/>
        <w:rPr>
          <w:szCs w:val="22"/>
        </w:rPr>
      </w:pPr>
      <w:r w:rsidRPr="00CF21A2">
        <w:rPr>
          <w:szCs w:val="22"/>
        </w:rPr>
        <w:tab/>
        <w:t>(</w:t>
      </w:r>
      <w:proofErr w:type="spellStart"/>
      <w:r w:rsidRPr="00CF21A2">
        <w:rPr>
          <w:szCs w:val="22"/>
        </w:rPr>
        <w:t>ea</w:t>
      </w:r>
      <w:proofErr w:type="spellEnd"/>
      <w:r w:rsidRPr="00CF21A2">
        <w:rPr>
          <w:szCs w:val="22"/>
        </w:rPr>
        <w:t>)</w:t>
      </w:r>
      <w:r w:rsidRPr="00CF21A2">
        <w:rPr>
          <w:szCs w:val="22"/>
        </w:rPr>
        <w:tab/>
      </w:r>
      <w:r w:rsidR="000F10CF" w:rsidRPr="00CF21A2">
        <w:rPr>
          <w:szCs w:val="22"/>
        </w:rPr>
        <w:t xml:space="preserve">the documentation </w:t>
      </w:r>
      <w:r w:rsidR="004A5421" w:rsidRPr="00CF21A2">
        <w:rPr>
          <w:szCs w:val="22"/>
        </w:rPr>
        <w:t xml:space="preserve">mentioned in subsection 13(1) </w:t>
      </w:r>
      <w:r w:rsidR="000F10CF" w:rsidRPr="00CF21A2">
        <w:rPr>
          <w:szCs w:val="22"/>
        </w:rPr>
        <w:t>(if any</w:t>
      </w:r>
      <w:r w:rsidR="004A5421" w:rsidRPr="00CF21A2">
        <w:rPr>
          <w:szCs w:val="22"/>
        </w:rPr>
        <w:t>) obtained by the licensee; and</w:t>
      </w:r>
    </w:p>
    <w:bookmarkEnd w:id="9"/>
    <w:p w14:paraId="53AABF72" w14:textId="77777777" w:rsidR="008B4896" w:rsidRPr="00325D8E" w:rsidRDefault="008B4896" w:rsidP="00B04158">
      <w:pPr>
        <w:pStyle w:val="paragraph"/>
        <w:rPr>
          <w:sz w:val="24"/>
          <w:szCs w:val="24"/>
        </w:rPr>
      </w:pPr>
    </w:p>
    <w:p w14:paraId="208679DD" w14:textId="77777777" w:rsidR="00C72CEF" w:rsidRPr="006C002C" w:rsidRDefault="00C72CEF" w:rsidP="006C002C">
      <w:pPr>
        <w:pStyle w:val="paragraph"/>
        <w:rPr>
          <w:sz w:val="24"/>
          <w:szCs w:val="24"/>
        </w:rPr>
        <w:sectPr w:rsidR="00C72CEF" w:rsidRPr="006C002C" w:rsidSect="00957210">
          <w:headerReference w:type="even" r:id="rId26"/>
          <w:headerReference w:type="default" r:id="rId27"/>
          <w:headerReference w:type="first" r:id="rId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556D9B" w14:textId="1368675C" w:rsidR="00CA333E" w:rsidRPr="00603FB5" w:rsidRDefault="00D31DA9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DD4AB9">
        <w:rPr>
          <w:rStyle w:val="CharSectno"/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—</w:t>
      </w:r>
      <w:r w:rsidR="00213CD7">
        <w:rPr>
          <w:rFonts w:ascii="Arial" w:hAnsi="Arial" w:cs="Arial"/>
          <w:sz w:val="32"/>
          <w:szCs w:val="32"/>
        </w:rPr>
        <w:t>Variation</w:t>
      </w:r>
      <w:r w:rsidR="00EC1032">
        <w:rPr>
          <w:rFonts w:ascii="Arial" w:hAnsi="Arial" w:cs="Arial"/>
          <w:sz w:val="32"/>
          <w:szCs w:val="32"/>
        </w:rPr>
        <w:t xml:space="preserve"> of the </w:t>
      </w:r>
      <w:r w:rsidR="00EC1032">
        <w:rPr>
          <w:rFonts w:ascii="Arial" w:hAnsi="Arial" w:cs="Arial"/>
          <w:i/>
          <w:iCs/>
          <w:sz w:val="32"/>
          <w:szCs w:val="32"/>
        </w:rPr>
        <w:t>Radiocommunications (Body Scanning – Aviation Security) Class Licence 2018</w:t>
      </w:r>
    </w:p>
    <w:p w14:paraId="46BD016B" w14:textId="68D94735" w:rsidR="00D51B91" w:rsidRPr="003813DA" w:rsidRDefault="00D51B91" w:rsidP="003813DA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5)</w:t>
      </w:r>
    </w:p>
    <w:p w14:paraId="0354A964" w14:textId="3606BA72" w:rsidR="00665AE6" w:rsidRPr="00665AE6" w:rsidRDefault="00CA333E" w:rsidP="00665AE6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BC5EC3">
        <w:rPr>
          <w:iCs/>
          <w:szCs w:val="28"/>
        </w:rPr>
        <w:t>Body Scanning – Aviation Security</w:t>
      </w:r>
      <w:r w:rsidRPr="00EF236A">
        <w:rPr>
          <w:iCs/>
          <w:szCs w:val="28"/>
        </w:rPr>
        <w:t xml:space="preserve">) </w:t>
      </w:r>
      <w:r w:rsidR="00BC5EC3"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BC5EC3">
        <w:rPr>
          <w:iCs/>
          <w:szCs w:val="28"/>
        </w:rPr>
        <w:t>8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BC5EC3">
        <w:rPr>
          <w:color w:val="000000"/>
          <w:shd w:val="clear" w:color="auto" w:fill="FFFFFF"/>
        </w:rPr>
        <w:t>8</w:t>
      </w:r>
      <w:r w:rsidRPr="00EF236A">
        <w:rPr>
          <w:color w:val="000000"/>
          <w:shd w:val="clear" w:color="auto" w:fill="FFFFFF"/>
        </w:rPr>
        <w:t>L01</w:t>
      </w:r>
      <w:r w:rsidR="00665AE6">
        <w:rPr>
          <w:color w:val="000000"/>
          <w:shd w:val="clear" w:color="auto" w:fill="FFFFFF"/>
        </w:rPr>
        <w:t>583</w:t>
      </w:r>
      <w:r w:rsidRPr="00EF236A">
        <w:rPr>
          <w:iCs/>
          <w:szCs w:val="28"/>
        </w:rPr>
        <w:t>]</w:t>
      </w:r>
    </w:p>
    <w:p w14:paraId="4528180A" w14:textId="0F2B5DC0" w:rsidR="00665AE6" w:rsidRPr="00213CD7" w:rsidRDefault="00665AE6" w:rsidP="00665AE6">
      <w:pPr>
        <w:pStyle w:val="ItemHead"/>
      </w:pPr>
      <w:r w:rsidRPr="00E97D39">
        <w:t xml:space="preserve">1  </w:t>
      </w:r>
      <w:r>
        <w:t>Section 4</w:t>
      </w:r>
      <w:r w:rsidR="00213CD7">
        <w:t xml:space="preserve"> (</w:t>
      </w:r>
      <w:r w:rsidR="007E0AA7">
        <w:t xml:space="preserve">definition of </w:t>
      </w:r>
      <w:r w:rsidR="007E0AA7" w:rsidRPr="00981EC3">
        <w:rPr>
          <w:i/>
          <w:iCs/>
        </w:rPr>
        <w:t xml:space="preserve">ARPANSA </w:t>
      </w:r>
      <w:r w:rsidR="00495202">
        <w:rPr>
          <w:i/>
          <w:iCs/>
        </w:rPr>
        <w:t>S</w:t>
      </w:r>
      <w:r w:rsidR="00FD15B1" w:rsidRPr="00981EC3">
        <w:rPr>
          <w:i/>
          <w:iCs/>
        </w:rPr>
        <w:t>tandard</w:t>
      </w:r>
      <w:r w:rsidR="00213CD7">
        <w:t>)</w:t>
      </w:r>
    </w:p>
    <w:p w14:paraId="2E2F0DF4" w14:textId="5F67D10C" w:rsidR="00665AE6" w:rsidRPr="00CF21A2" w:rsidRDefault="007E0AA7" w:rsidP="00665AE6">
      <w:pPr>
        <w:pStyle w:val="Item"/>
        <w:rPr>
          <w:szCs w:val="22"/>
        </w:rPr>
      </w:pPr>
      <w:r w:rsidRPr="00CF21A2">
        <w:rPr>
          <w:szCs w:val="22"/>
        </w:rPr>
        <w:t>Repeal the definition, substitute</w:t>
      </w:r>
      <w:r w:rsidR="00665AE6" w:rsidRPr="00CF21A2">
        <w:rPr>
          <w:szCs w:val="22"/>
        </w:rPr>
        <w:t>:</w:t>
      </w:r>
    </w:p>
    <w:p w14:paraId="7E3BC334" w14:textId="52DEF1F6" w:rsidR="00665AE6" w:rsidRPr="00CF21A2" w:rsidRDefault="00665AE6" w:rsidP="00AC3863">
      <w:pPr>
        <w:pStyle w:val="Definition"/>
        <w:rPr>
          <w:rFonts w:cstheme="minorHAnsi"/>
          <w:szCs w:val="22"/>
        </w:rPr>
      </w:pPr>
      <w:r w:rsidRPr="00CF21A2">
        <w:rPr>
          <w:rFonts w:cstheme="minorHAnsi"/>
          <w:b/>
          <w:bCs/>
          <w:i/>
          <w:iCs/>
          <w:szCs w:val="22"/>
        </w:rPr>
        <w:t xml:space="preserve">ARPANSA </w:t>
      </w:r>
      <w:r w:rsidR="005609B5" w:rsidRPr="00CF21A2">
        <w:rPr>
          <w:rFonts w:cstheme="minorHAnsi"/>
          <w:b/>
          <w:bCs/>
          <w:i/>
          <w:iCs/>
          <w:szCs w:val="22"/>
        </w:rPr>
        <w:t>S</w:t>
      </w:r>
      <w:r w:rsidRPr="00CF21A2">
        <w:rPr>
          <w:rFonts w:cstheme="minorHAnsi"/>
          <w:b/>
          <w:bCs/>
          <w:i/>
          <w:iCs/>
          <w:szCs w:val="22"/>
        </w:rPr>
        <w:t xml:space="preserve">tandard </w:t>
      </w:r>
      <w:r w:rsidRPr="00CF21A2">
        <w:rPr>
          <w:rFonts w:cstheme="minorHAnsi"/>
          <w:szCs w:val="22"/>
        </w:rPr>
        <w:t xml:space="preserve">means the </w:t>
      </w:r>
      <w:r w:rsidRPr="00CF21A2">
        <w:rPr>
          <w:rFonts w:cstheme="minorHAnsi"/>
          <w:i/>
          <w:iCs/>
          <w:szCs w:val="22"/>
        </w:rPr>
        <w:t>Radiation Protection Standard for Limiting Exposure to Radiofrequency Fields – 100 kHz to 300 GHz (2021)</w:t>
      </w:r>
      <w:r w:rsidRPr="00CF21A2">
        <w:rPr>
          <w:rFonts w:cstheme="minorHAnsi"/>
          <w:szCs w:val="22"/>
        </w:rPr>
        <w:t>, or any standard published as a replacement of that standard, by the Australian Radiation Protection and Nuclear Safety Agency.</w:t>
      </w:r>
    </w:p>
    <w:p w14:paraId="55BCAE01" w14:textId="504D7096" w:rsidR="00665AE6" w:rsidRPr="00CF21A2" w:rsidRDefault="00665AE6" w:rsidP="00603FB5">
      <w:pPr>
        <w:pStyle w:val="notetext"/>
        <w:rPr>
          <w:rFonts w:cstheme="minorHAnsi"/>
          <w:szCs w:val="18"/>
        </w:rPr>
      </w:pPr>
      <w:r w:rsidRPr="00CF21A2">
        <w:rPr>
          <w:rFonts w:cstheme="minorHAnsi"/>
          <w:szCs w:val="18"/>
        </w:rPr>
        <w:t>Note:</w:t>
      </w:r>
      <w:r w:rsidRPr="00CF21A2">
        <w:rPr>
          <w:rFonts w:cstheme="minorHAnsi"/>
          <w:szCs w:val="18"/>
        </w:rPr>
        <w:tab/>
        <w:t>The ARPANSA Standard is available</w:t>
      </w:r>
      <w:r w:rsidR="00603FB5" w:rsidRPr="00CF21A2">
        <w:rPr>
          <w:rFonts w:cstheme="minorHAnsi"/>
          <w:szCs w:val="18"/>
        </w:rPr>
        <w:t>, free of charge,</w:t>
      </w:r>
      <w:r w:rsidRPr="00CF21A2">
        <w:rPr>
          <w:rFonts w:cstheme="minorHAnsi"/>
          <w:szCs w:val="18"/>
        </w:rPr>
        <w:t xml:space="preserve"> from the Australian Radiation Protection and Nuclear Safety Agency website at </w:t>
      </w:r>
      <w:hyperlink r:id="rId29" w:history="1">
        <w:r w:rsidRPr="00CF21A2">
          <w:rPr>
            <w:rStyle w:val="Hyperlink"/>
            <w:rFonts w:cstheme="minorHAnsi"/>
            <w:szCs w:val="18"/>
          </w:rPr>
          <w:t>www.arpansa.gov.au</w:t>
        </w:r>
      </w:hyperlink>
      <w:r w:rsidRPr="00CF21A2">
        <w:rPr>
          <w:rFonts w:cstheme="minorHAnsi"/>
          <w:szCs w:val="18"/>
        </w:rPr>
        <w:t xml:space="preserve">. </w:t>
      </w:r>
    </w:p>
    <w:p w14:paraId="2530E5B7" w14:textId="77777777" w:rsidR="003A4BEB" w:rsidRDefault="003A4BEB" w:rsidP="003A4BEB">
      <w:pPr>
        <w:spacing w:before="80" w:after="0"/>
        <w:rPr>
          <w:rFonts w:ascii="Times New Roman" w:hAnsi="Times New Roman" w:cs="Times New Roman"/>
          <w:bCs/>
          <w:lang w:eastAsia="en-AU"/>
        </w:rPr>
        <w:sectPr w:rsidR="003A4BEB" w:rsidSect="00957210">
          <w:headerReference w:type="even" r:id="rId30"/>
          <w:headerReference w:type="default" r:id="rId31"/>
          <w:headerReference w:type="firs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73DCD7" w14:textId="0DF9D131" w:rsidR="00752A9F" w:rsidRPr="00C96153" w:rsidRDefault="00752A9F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96153">
        <w:rPr>
          <w:rFonts w:ascii="Arial" w:hAnsi="Arial" w:cs="Arial"/>
          <w:sz w:val="32"/>
          <w:szCs w:val="32"/>
        </w:rPr>
        <w:lastRenderedPageBreak/>
        <w:t>Schedule</w:t>
      </w:r>
      <w:r w:rsidRPr="00C96153">
        <w:t xml:space="preserve"> </w:t>
      </w:r>
      <w:r w:rsidR="00EC2729">
        <w:rPr>
          <w:rStyle w:val="CharSectno"/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—</w:t>
      </w:r>
      <w:r w:rsidRPr="00FF3EA3">
        <w:rPr>
          <w:rFonts w:ascii="Arial" w:hAnsi="Arial" w:cs="Arial"/>
          <w:sz w:val="32"/>
          <w:szCs w:val="32"/>
        </w:rPr>
        <w:t>Variation</w:t>
      </w:r>
      <w:r w:rsidR="00C96153">
        <w:rPr>
          <w:rFonts w:ascii="Arial" w:hAnsi="Arial" w:cs="Arial"/>
          <w:sz w:val="32"/>
          <w:szCs w:val="32"/>
        </w:rPr>
        <w:t xml:space="preserve"> of the </w:t>
      </w:r>
      <w:r w:rsidR="00C96153">
        <w:rPr>
          <w:rFonts w:ascii="Arial" w:hAnsi="Arial" w:cs="Arial"/>
          <w:i/>
          <w:iCs/>
          <w:sz w:val="32"/>
          <w:szCs w:val="32"/>
        </w:rPr>
        <w:t>Radiocommunications (Intelligent Transport Systems) Class Licence 2017</w:t>
      </w:r>
    </w:p>
    <w:p w14:paraId="3AEBF04F" w14:textId="4091404E" w:rsidR="00752A9F" w:rsidRPr="003813DA" w:rsidRDefault="00752A9F" w:rsidP="00752A9F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</w:t>
      </w:r>
      <w:r w:rsidR="00C96153">
        <w:rPr>
          <w:b w:val="0"/>
          <w:bCs/>
          <w:i w:val="0"/>
          <w:sz w:val="18"/>
          <w:szCs w:val="18"/>
        </w:rPr>
        <w:t>6</w:t>
      </w:r>
      <w:r>
        <w:rPr>
          <w:b w:val="0"/>
          <w:bCs/>
          <w:i w:val="0"/>
          <w:sz w:val="18"/>
          <w:szCs w:val="18"/>
        </w:rPr>
        <w:t>)</w:t>
      </w:r>
    </w:p>
    <w:p w14:paraId="086ED620" w14:textId="2CCC0660" w:rsidR="00752A9F" w:rsidRPr="00665AE6" w:rsidRDefault="00752A9F" w:rsidP="00752A9F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EC2729">
        <w:rPr>
          <w:iCs/>
          <w:szCs w:val="28"/>
        </w:rPr>
        <w:t>Intelligent Transport Systems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EC2729">
        <w:rPr>
          <w:iCs/>
          <w:szCs w:val="28"/>
        </w:rPr>
        <w:t>7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EC2729">
        <w:rPr>
          <w:color w:val="000000"/>
          <w:shd w:val="clear" w:color="auto" w:fill="FFFFFF"/>
        </w:rPr>
        <w:t>7</w:t>
      </w:r>
      <w:r w:rsidRPr="00EF236A">
        <w:rPr>
          <w:color w:val="000000"/>
          <w:shd w:val="clear" w:color="auto" w:fill="FFFFFF"/>
        </w:rPr>
        <w:t>L0</w:t>
      </w:r>
      <w:r w:rsidR="00337C44">
        <w:rPr>
          <w:color w:val="000000"/>
          <w:shd w:val="clear" w:color="auto" w:fill="FFFFFF"/>
        </w:rPr>
        <w:t>0026</w:t>
      </w:r>
      <w:r w:rsidRPr="00EF236A">
        <w:rPr>
          <w:iCs/>
          <w:szCs w:val="28"/>
        </w:rPr>
        <w:t>]</w:t>
      </w:r>
    </w:p>
    <w:p w14:paraId="6C890007" w14:textId="19550302" w:rsidR="00337C44" w:rsidRDefault="00337C44" w:rsidP="00337C44">
      <w:pPr>
        <w:pStyle w:val="ItemHead"/>
      </w:pPr>
      <w:r w:rsidRPr="00E97D39">
        <w:t xml:space="preserve">1  </w:t>
      </w:r>
      <w:r>
        <w:t>Subsection 7(2), note 1 to the subsection</w:t>
      </w:r>
    </w:p>
    <w:p w14:paraId="5ED30ADF" w14:textId="3573A296" w:rsidR="00337C44" w:rsidRPr="00CF21A2" w:rsidRDefault="00337C44" w:rsidP="00337C44">
      <w:pPr>
        <w:pStyle w:val="Item"/>
        <w:rPr>
          <w:szCs w:val="22"/>
        </w:rPr>
      </w:pPr>
      <w:r w:rsidRPr="00CF21A2">
        <w:rPr>
          <w:szCs w:val="22"/>
        </w:rPr>
        <w:t xml:space="preserve">Omit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</w:t>
      </w:r>
      <w:r w:rsidRPr="00CF21A2">
        <w:rPr>
          <w:i/>
          <w:iCs/>
          <w:szCs w:val="22"/>
        </w:rPr>
        <w:t>Radiocommunications (Electromagnetic Radiation – Human Exposure) Standard 2014</w:t>
      </w:r>
      <w:r w:rsidR="00281642">
        <w:rPr>
          <w:szCs w:val="22"/>
        </w:rPr>
        <w:t>’</w:t>
      </w:r>
      <w:r w:rsidRPr="00CF21A2">
        <w:rPr>
          <w:szCs w:val="22"/>
        </w:rPr>
        <w:t xml:space="preserve">, substitute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standard prescribed by Schedule 4 to the </w:t>
      </w:r>
      <w:r w:rsidRPr="00CF21A2">
        <w:rPr>
          <w:i/>
          <w:iCs/>
          <w:szCs w:val="22"/>
        </w:rPr>
        <w:t>Radiocommunications Equipment (General) Rules 2021</w:t>
      </w:r>
      <w:r w:rsidR="00281642">
        <w:rPr>
          <w:szCs w:val="22"/>
        </w:rPr>
        <w:t>’</w:t>
      </w:r>
      <w:r w:rsidRPr="00CF21A2">
        <w:rPr>
          <w:szCs w:val="22"/>
        </w:rPr>
        <w:t>.</w:t>
      </w:r>
    </w:p>
    <w:p w14:paraId="73835DA3" w14:textId="77777777" w:rsidR="00E77244" w:rsidRDefault="00E77244" w:rsidP="00D00EFA">
      <w:pPr>
        <w:sectPr w:rsidR="00E77244" w:rsidSect="00957210">
          <w:headerReference w:type="even" r:id="rId33"/>
          <w:headerReference w:type="default" r:id="rId34"/>
          <w:headerReference w:type="first" r:id="rId3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8B8C40" w14:textId="2D53CD08" w:rsidR="00796B67" w:rsidRPr="002F4D36" w:rsidRDefault="00796B67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FF3EA3">
        <w:rPr>
          <w:rFonts w:ascii="Arial" w:hAnsi="Arial" w:cs="Arial"/>
          <w:sz w:val="32"/>
          <w:szCs w:val="32"/>
        </w:rPr>
        <w:lastRenderedPageBreak/>
        <w:t xml:space="preserve">Schedule </w:t>
      </w:r>
      <w:r w:rsidR="002F4D36" w:rsidRPr="00FF3EA3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—Variation</w:t>
      </w:r>
      <w:r w:rsidR="002F4D36">
        <w:rPr>
          <w:rFonts w:ascii="Arial" w:hAnsi="Arial" w:cs="Arial"/>
          <w:sz w:val="32"/>
          <w:szCs w:val="32"/>
        </w:rPr>
        <w:t xml:space="preserve"> to the </w:t>
      </w:r>
      <w:r w:rsidR="002F4D36">
        <w:rPr>
          <w:rFonts w:ascii="Arial" w:hAnsi="Arial" w:cs="Arial"/>
          <w:i/>
          <w:iCs/>
          <w:sz w:val="32"/>
          <w:szCs w:val="32"/>
        </w:rPr>
        <w:t>Radiocommunications (Low Interference Potential Devices) Class Licence 2015</w:t>
      </w:r>
    </w:p>
    <w:p w14:paraId="429066CA" w14:textId="26BA1366" w:rsidR="00796B67" w:rsidRPr="003813DA" w:rsidRDefault="00796B67" w:rsidP="00796B67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</w:t>
      </w:r>
      <w:r w:rsidR="002F4D36">
        <w:rPr>
          <w:b w:val="0"/>
          <w:bCs/>
          <w:i w:val="0"/>
          <w:sz w:val="18"/>
          <w:szCs w:val="18"/>
        </w:rPr>
        <w:t>7</w:t>
      </w:r>
      <w:r>
        <w:rPr>
          <w:b w:val="0"/>
          <w:bCs/>
          <w:i w:val="0"/>
          <w:sz w:val="18"/>
          <w:szCs w:val="18"/>
        </w:rPr>
        <w:t>)</w:t>
      </w:r>
    </w:p>
    <w:p w14:paraId="38C430AB" w14:textId="68E2EB55" w:rsidR="00796B67" w:rsidRPr="00665AE6" w:rsidRDefault="00796B67" w:rsidP="00796B67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36206C">
        <w:rPr>
          <w:iCs/>
          <w:szCs w:val="28"/>
        </w:rPr>
        <w:t xml:space="preserve">Low Interference Potential </w:t>
      </w:r>
      <w:r w:rsidR="00E77244">
        <w:rPr>
          <w:iCs/>
          <w:szCs w:val="28"/>
        </w:rPr>
        <w:t>D</w:t>
      </w:r>
      <w:r w:rsidR="0036206C">
        <w:rPr>
          <w:iCs/>
          <w:szCs w:val="28"/>
        </w:rPr>
        <w:t>evices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36206C">
        <w:rPr>
          <w:iCs/>
          <w:szCs w:val="28"/>
        </w:rPr>
        <w:t>5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EF0AAD">
        <w:rPr>
          <w:color w:val="000000"/>
          <w:shd w:val="clear" w:color="auto" w:fill="FFFFFF"/>
        </w:rPr>
        <w:t>5</w:t>
      </w:r>
      <w:r w:rsidRPr="00EF236A">
        <w:rPr>
          <w:color w:val="000000"/>
          <w:shd w:val="clear" w:color="auto" w:fill="FFFFFF"/>
        </w:rPr>
        <w:t>L0</w:t>
      </w:r>
      <w:r w:rsidR="00EF0AAD">
        <w:rPr>
          <w:color w:val="000000"/>
          <w:shd w:val="clear" w:color="auto" w:fill="FFFFFF"/>
        </w:rPr>
        <w:t>1438</w:t>
      </w:r>
      <w:r w:rsidRPr="00EF236A">
        <w:rPr>
          <w:iCs/>
          <w:szCs w:val="28"/>
        </w:rPr>
        <w:t>]</w:t>
      </w:r>
    </w:p>
    <w:p w14:paraId="598BEF6E" w14:textId="2532E557" w:rsidR="00796B67" w:rsidRDefault="00796B67" w:rsidP="00796B67">
      <w:pPr>
        <w:pStyle w:val="ItemHead"/>
      </w:pPr>
      <w:r w:rsidRPr="00E97D39">
        <w:t xml:space="preserve">1  </w:t>
      </w:r>
      <w:r>
        <w:t>S</w:t>
      </w:r>
      <w:r w:rsidR="00EE7081">
        <w:t>ubs</w:t>
      </w:r>
      <w:r>
        <w:t>ection 4</w:t>
      </w:r>
      <w:r w:rsidR="00250F99">
        <w:t>(3)</w:t>
      </w:r>
      <w:r w:rsidR="00D116D9">
        <w:t xml:space="preserve"> </w:t>
      </w:r>
      <w:r w:rsidR="008F5A12">
        <w:t>(</w:t>
      </w:r>
      <w:r w:rsidR="00D116D9">
        <w:t>note 5</w:t>
      </w:r>
      <w:r w:rsidR="008F5A12">
        <w:t>)</w:t>
      </w:r>
    </w:p>
    <w:p w14:paraId="5B942D3F" w14:textId="0E5E851A" w:rsidR="00EE7081" w:rsidRPr="00CF21A2" w:rsidRDefault="00EE7081" w:rsidP="00EE7081">
      <w:pPr>
        <w:pStyle w:val="Item"/>
        <w:rPr>
          <w:szCs w:val="22"/>
        </w:rPr>
      </w:pPr>
      <w:r w:rsidRPr="00CF21A2">
        <w:rPr>
          <w:szCs w:val="22"/>
        </w:rPr>
        <w:t xml:space="preserve">Omit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</w:t>
      </w:r>
      <w:r w:rsidRPr="00CF21A2">
        <w:rPr>
          <w:i/>
          <w:iCs/>
          <w:szCs w:val="22"/>
        </w:rPr>
        <w:t>Radiocommunications (Electromagnetic Radiation – Human Exposure) Standard 2014</w:t>
      </w:r>
      <w:r w:rsidR="00281642">
        <w:rPr>
          <w:szCs w:val="22"/>
        </w:rPr>
        <w:t>’</w:t>
      </w:r>
      <w:r w:rsidRPr="00CF21A2">
        <w:rPr>
          <w:szCs w:val="22"/>
        </w:rPr>
        <w:t xml:space="preserve">, substitute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standard prescribed by Schedule 4 to the </w:t>
      </w:r>
      <w:r w:rsidRPr="00CF21A2">
        <w:rPr>
          <w:i/>
          <w:iCs/>
          <w:szCs w:val="22"/>
        </w:rPr>
        <w:t>Radiocommunications Equipment (General) Rules 2021</w:t>
      </w:r>
      <w:r w:rsidR="00281642">
        <w:rPr>
          <w:szCs w:val="22"/>
        </w:rPr>
        <w:t>’</w:t>
      </w:r>
      <w:r w:rsidRPr="00CF21A2">
        <w:rPr>
          <w:szCs w:val="22"/>
        </w:rPr>
        <w:t>.</w:t>
      </w:r>
    </w:p>
    <w:p w14:paraId="48DE9B89" w14:textId="238050D2" w:rsidR="00EE7081" w:rsidRDefault="00E23B0E" w:rsidP="00EE7081">
      <w:pPr>
        <w:pStyle w:val="ItemHead"/>
      </w:pPr>
      <w:r>
        <w:t>2</w:t>
      </w:r>
      <w:r w:rsidR="00EE7081" w:rsidRPr="00E97D39">
        <w:t xml:space="preserve">  </w:t>
      </w:r>
      <w:r w:rsidR="00EE7081">
        <w:t>S</w:t>
      </w:r>
      <w:r w:rsidR="00250F99">
        <w:t>ubs</w:t>
      </w:r>
      <w:r w:rsidR="00EE7081">
        <w:t xml:space="preserve">ection </w:t>
      </w:r>
      <w:r w:rsidR="00250F99">
        <w:t>5(4)</w:t>
      </w:r>
      <w:r w:rsidR="00EE7081">
        <w:t xml:space="preserve"> </w:t>
      </w:r>
      <w:r w:rsidR="008F5A12">
        <w:t>(</w:t>
      </w:r>
      <w:r w:rsidR="00EE7081">
        <w:t xml:space="preserve">note </w:t>
      </w:r>
      <w:r w:rsidR="00250F99">
        <w:t>1</w:t>
      </w:r>
      <w:r w:rsidR="008F5A12">
        <w:t>)</w:t>
      </w:r>
    </w:p>
    <w:p w14:paraId="1F01B568" w14:textId="72F52A88" w:rsidR="00EE7081" w:rsidRPr="00CF21A2" w:rsidRDefault="00EE7081" w:rsidP="00EE7081">
      <w:pPr>
        <w:pStyle w:val="Item"/>
        <w:rPr>
          <w:szCs w:val="22"/>
        </w:rPr>
      </w:pPr>
      <w:r w:rsidRPr="00CF21A2">
        <w:rPr>
          <w:szCs w:val="22"/>
        </w:rPr>
        <w:t xml:space="preserve">Omit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</w:t>
      </w:r>
      <w:r w:rsidRPr="00CF21A2">
        <w:rPr>
          <w:i/>
          <w:iCs/>
          <w:szCs w:val="22"/>
        </w:rPr>
        <w:t>Radiocommunications (Electromagnetic Radiation – Human Exposure) Standard 2014</w:t>
      </w:r>
      <w:r w:rsidR="00281642">
        <w:rPr>
          <w:szCs w:val="22"/>
        </w:rPr>
        <w:t>’</w:t>
      </w:r>
      <w:r w:rsidRPr="00CF21A2">
        <w:rPr>
          <w:szCs w:val="22"/>
        </w:rPr>
        <w:t xml:space="preserve">, substitute </w:t>
      </w:r>
      <w:r w:rsidR="00281642">
        <w:rPr>
          <w:szCs w:val="22"/>
        </w:rPr>
        <w:t>‘</w:t>
      </w:r>
      <w:r w:rsidRPr="00CF21A2">
        <w:rPr>
          <w:szCs w:val="22"/>
        </w:rPr>
        <w:t xml:space="preserve">the standard prescribed by Schedule 4 to the </w:t>
      </w:r>
      <w:r w:rsidRPr="00CF21A2">
        <w:rPr>
          <w:i/>
          <w:iCs/>
          <w:szCs w:val="22"/>
        </w:rPr>
        <w:t>Radiocommunications Equipment (General) Rules 2021</w:t>
      </w:r>
      <w:r w:rsidR="00281642">
        <w:rPr>
          <w:szCs w:val="22"/>
        </w:rPr>
        <w:t>’</w:t>
      </w:r>
      <w:r w:rsidRPr="00CF21A2">
        <w:rPr>
          <w:szCs w:val="22"/>
        </w:rPr>
        <w:t>.</w:t>
      </w:r>
    </w:p>
    <w:p w14:paraId="0B546462" w14:textId="7FCD2F37" w:rsidR="00796B67" w:rsidRPr="00CF21A2" w:rsidRDefault="00796B67" w:rsidP="00D00EFA">
      <w:pPr>
        <w:rPr>
          <w:sz w:val="20"/>
          <w:szCs w:val="20"/>
        </w:rPr>
      </w:pPr>
    </w:p>
    <w:p w14:paraId="0E7B9500" w14:textId="77777777" w:rsidR="00650AB6" w:rsidRDefault="00650AB6" w:rsidP="00D00EFA">
      <w:pPr>
        <w:sectPr w:rsidR="00650AB6" w:rsidSect="00957210">
          <w:headerReference w:type="even" r:id="rId36"/>
          <w:headerReference w:type="default" r:id="rId37"/>
          <w:headerReference w:type="first" r:id="rId3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7F4D5F" w14:textId="7AECEBDE" w:rsidR="00796B67" w:rsidRPr="007D3F04" w:rsidRDefault="00796B67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FF3EA3">
        <w:rPr>
          <w:rFonts w:ascii="Arial" w:hAnsi="Arial" w:cs="Arial"/>
          <w:sz w:val="32"/>
          <w:szCs w:val="32"/>
        </w:rPr>
        <w:lastRenderedPageBreak/>
        <w:t>Schedule</w:t>
      </w:r>
      <w:r w:rsidRPr="00FF3EA3">
        <w:t xml:space="preserve"> </w:t>
      </w:r>
      <w:r w:rsidR="007D3F04" w:rsidRPr="00FF3EA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—Variation</w:t>
      </w:r>
      <w:r w:rsidR="007D3F04">
        <w:rPr>
          <w:rFonts w:ascii="Arial" w:hAnsi="Arial" w:cs="Arial"/>
          <w:sz w:val="32"/>
          <w:szCs w:val="32"/>
        </w:rPr>
        <w:t xml:space="preserve"> to the </w:t>
      </w:r>
      <w:r w:rsidR="007D3F04">
        <w:rPr>
          <w:rFonts w:ascii="Arial" w:hAnsi="Arial" w:cs="Arial"/>
          <w:i/>
          <w:iCs/>
          <w:sz w:val="32"/>
          <w:szCs w:val="32"/>
        </w:rPr>
        <w:t>Radiocommunications Labelling (Electromagnetic Compatibility) Notice 2017</w:t>
      </w:r>
    </w:p>
    <w:p w14:paraId="62C7FBB8" w14:textId="6F4B0128" w:rsidR="00796B67" w:rsidRPr="003813DA" w:rsidRDefault="00796B67" w:rsidP="00796B67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8)</w:t>
      </w:r>
    </w:p>
    <w:p w14:paraId="2D10A341" w14:textId="25EB2B70" w:rsidR="00796B67" w:rsidRPr="00665AE6" w:rsidRDefault="00796B67" w:rsidP="00796B67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</w:t>
      </w:r>
      <w:r>
        <w:rPr>
          <w:iCs/>
          <w:szCs w:val="28"/>
        </w:rPr>
        <w:t xml:space="preserve"> Labelling</w:t>
      </w:r>
      <w:r w:rsidRPr="00EF236A">
        <w:rPr>
          <w:iCs/>
          <w:szCs w:val="28"/>
        </w:rPr>
        <w:t xml:space="preserve"> (</w:t>
      </w:r>
      <w:r>
        <w:rPr>
          <w:iCs/>
          <w:szCs w:val="28"/>
        </w:rPr>
        <w:t>Electromagnetic Compatibility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Notice </w:t>
      </w:r>
      <w:r w:rsidRPr="00EF236A">
        <w:rPr>
          <w:iCs/>
          <w:szCs w:val="28"/>
        </w:rPr>
        <w:t>201</w:t>
      </w:r>
      <w:r>
        <w:rPr>
          <w:iCs/>
          <w:szCs w:val="28"/>
        </w:rPr>
        <w:t>7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>
        <w:rPr>
          <w:color w:val="000000"/>
          <w:shd w:val="clear" w:color="auto" w:fill="FFFFFF"/>
        </w:rPr>
        <w:t>8</w:t>
      </w:r>
      <w:r w:rsidRPr="00EF236A">
        <w:rPr>
          <w:color w:val="000000"/>
          <w:shd w:val="clear" w:color="auto" w:fill="FFFFFF"/>
        </w:rPr>
        <w:t>L0</w:t>
      </w:r>
      <w:r>
        <w:rPr>
          <w:color w:val="000000"/>
          <w:shd w:val="clear" w:color="auto" w:fill="FFFFFF"/>
        </w:rPr>
        <w:t>0028</w:t>
      </w:r>
      <w:r w:rsidRPr="00EF236A">
        <w:rPr>
          <w:iCs/>
          <w:szCs w:val="28"/>
        </w:rPr>
        <w:t>]</w:t>
      </w:r>
    </w:p>
    <w:p w14:paraId="249A1DA3" w14:textId="1DC05D5D" w:rsidR="00581499" w:rsidRPr="00213CD7" w:rsidRDefault="00552072" w:rsidP="00581499">
      <w:pPr>
        <w:pStyle w:val="ItemHead"/>
      </w:pPr>
      <w:r>
        <w:t>1</w:t>
      </w:r>
      <w:r w:rsidR="00581499" w:rsidRPr="00E97D39">
        <w:t xml:space="preserve">  </w:t>
      </w:r>
      <w:r w:rsidR="00581499">
        <w:t xml:space="preserve">Subsection 1.5(1) </w:t>
      </w:r>
      <w:r w:rsidR="008F5A12">
        <w:t>(</w:t>
      </w:r>
      <w:r w:rsidR="00581499">
        <w:t xml:space="preserve">note </w:t>
      </w:r>
      <w:r w:rsidR="00510817">
        <w:t>2</w:t>
      </w:r>
      <w:r w:rsidR="00984FFF">
        <w:t xml:space="preserve"> at the end of the subsection</w:t>
      </w:r>
      <w:r w:rsidR="008F5A12">
        <w:t>)</w:t>
      </w:r>
    </w:p>
    <w:p w14:paraId="476FBCB9" w14:textId="76661FBC" w:rsidR="00581499" w:rsidRPr="00CF21A2" w:rsidRDefault="00581499" w:rsidP="00581499">
      <w:pPr>
        <w:pStyle w:val="Item"/>
        <w:rPr>
          <w:szCs w:val="22"/>
        </w:rPr>
      </w:pPr>
      <w:r w:rsidRPr="00CF21A2">
        <w:rPr>
          <w:szCs w:val="22"/>
        </w:rPr>
        <w:t xml:space="preserve">Omit </w:t>
      </w:r>
      <w:r w:rsidR="00281642">
        <w:rPr>
          <w:szCs w:val="22"/>
        </w:rPr>
        <w:t>‘</w:t>
      </w:r>
      <w:r w:rsidR="00510817" w:rsidRPr="00CF21A2">
        <w:rPr>
          <w:szCs w:val="22"/>
        </w:rPr>
        <w:t>paragraph 3(2)(h)</w:t>
      </w:r>
      <w:r w:rsidR="00281642">
        <w:rPr>
          <w:szCs w:val="22"/>
        </w:rPr>
        <w:t>’</w:t>
      </w:r>
      <w:r w:rsidRPr="00CF21A2">
        <w:rPr>
          <w:szCs w:val="22"/>
        </w:rPr>
        <w:t xml:space="preserve">, substitute </w:t>
      </w:r>
      <w:r w:rsidR="00281642">
        <w:rPr>
          <w:szCs w:val="22"/>
        </w:rPr>
        <w:t>‘</w:t>
      </w:r>
      <w:r w:rsidR="00510817" w:rsidRPr="00CF21A2">
        <w:rPr>
          <w:szCs w:val="22"/>
        </w:rPr>
        <w:t>paragraph 3(2)(g)</w:t>
      </w:r>
      <w:r w:rsidR="00281642">
        <w:rPr>
          <w:szCs w:val="22"/>
        </w:rPr>
        <w:t>’</w:t>
      </w:r>
      <w:r w:rsidRPr="00CF21A2">
        <w:rPr>
          <w:szCs w:val="22"/>
        </w:rPr>
        <w:t>.</w:t>
      </w:r>
    </w:p>
    <w:p w14:paraId="759B3F33" w14:textId="1DEC6A9C" w:rsidR="00404FB5" w:rsidRPr="00213CD7" w:rsidRDefault="00926584" w:rsidP="00404FB5">
      <w:pPr>
        <w:pStyle w:val="ItemHead"/>
      </w:pPr>
      <w:r>
        <w:t>2</w:t>
      </w:r>
      <w:r w:rsidR="00404FB5" w:rsidRPr="00E97D39">
        <w:t xml:space="preserve">  </w:t>
      </w:r>
      <w:r w:rsidR="00404FB5">
        <w:t xml:space="preserve">Schedule 2, item 1 </w:t>
      </w:r>
      <w:r w:rsidR="00A64896">
        <w:t>(</w:t>
      </w:r>
      <w:r w:rsidR="00404FB5">
        <w:t>example</w:t>
      </w:r>
      <w:r w:rsidR="00CB2A81">
        <w:t>s</w:t>
      </w:r>
      <w:r w:rsidR="00A64896">
        <w:t>)</w:t>
      </w:r>
    </w:p>
    <w:p w14:paraId="5FD48F5F" w14:textId="5B65B686" w:rsidR="00404FB5" w:rsidRPr="00CF21A2" w:rsidRDefault="002B1BA4" w:rsidP="00404FB5">
      <w:pPr>
        <w:pStyle w:val="Item"/>
        <w:rPr>
          <w:szCs w:val="22"/>
        </w:rPr>
      </w:pPr>
      <w:r w:rsidRPr="00CF21A2">
        <w:rPr>
          <w:szCs w:val="22"/>
        </w:rPr>
        <w:t xml:space="preserve">Omit </w:t>
      </w:r>
      <w:r w:rsidR="00281642">
        <w:rPr>
          <w:szCs w:val="22"/>
        </w:rPr>
        <w:t>‘</w:t>
      </w:r>
      <w:r w:rsidRPr="00CF21A2">
        <w:rPr>
          <w:i/>
          <w:iCs/>
          <w:szCs w:val="22"/>
        </w:rPr>
        <w:t>Radiocommunications (Electromagnetic Radiation – Human Exposure) Standard 2014</w:t>
      </w:r>
      <w:r w:rsidR="00281642">
        <w:rPr>
          <w:szCs w:val="22"/>
        </w:rPr>
        <w:t>’</w:t>
      </w:r>
      <w:r w:rsidRPr="00CF21A2">
        <w:rPr>
          <w:szCs w:val="22"/>
        </w:rPr>
        <w:t xml:space="preserve">, substitute </w:t>
      </w:r>
      <w:r w:rsidR="00281642">
        <w:rPr>
          <w:szCs w:val="22"/>
        </w:rPr>
        <w:t>‘</w:t>
      </w:r>
      <w:r w:rsidR="0098529D" w:rsidRPr="00CF21A2">
        <w:rPr>
          <w:szCs w:val="22"/>
        </w:rPr>
        <w:t xml:space="preserve">the standard prescribed by Schedule 4 to the </w:t>
      </w:r>
      <w:r w:rsidR="0098529D" w:rsidRPr="00CF21A2">
        <w:rPr>
          <w:i/>
          <w:iCs/>
          <w:szCs w:val="22"/>
        </w:rPr>
        <w:t>Radiocommunications Equipment (General) Rules 2021</w:t>
      </w:r>
      <w:r w:rsidR="00281642">
        <w:rPr>
          <w:szCs w:val="22"/>
        </w:rPr>
        <w:t>’</w:t>
      </w:r>
      <w:r w:rsidR="0098529D" w:rsidRPr="00CF21A2">
        <w:rPr>
          <w:szCs w:val="22"/>
        </w:rPr>
        <w:t>.</w:t>
      </w:r>
    </w:p>
    <w:p w14:paraId="13CA3638" w14:textId="1616DEAC" w:rsidR="000053DC" w:rsidRPr="00213CD7" w:rsidRDefault="00650D53" w:rsidP="000053DC">
      <w:pPr>
        <w:pStyle w:val="ItemHead"/>
      </w:pPr>
      <w:r>
        <w:t>3</w:t>
      </w:r>
      <w:r w:rsidR="000053DC" w:rsidRPr="00E97D39">
        <w:t xml:space="preserve">  </w:t>
      </w:r>
      <w:r w:rsidR="000053DC">
        <w:t>Schedule 2, item 1</w:t>
      </w:r>
      <w:r w:rsidR="000A797A">
        <w:t>4</w:t>
      </w:r>
      <w:r w:rsidR="000053DC">
        <w:t xml:space="preserve"> </w:t>
      </w:r>
      <w:r w:rsidR="006B7AE2">
        <w:t>(</w:t>
      </w:r>
      <w:r w:rsidR="000053DC">
        <w:t>note</w:t>
      </w:r>
      <w:r w:rsidR="00FE184D">
        <w:t>s</w:t>
      </w:r>
      <w:r w:rsidR="008F5A12">
        <w:t xml:space="preserve"> 1 and 2</w:t>
      </w:r>
      <w:r w:rsidR="006B7AE2">
        <w:t>)</w:t>
      </w:r>
    </w:p>
    <w:p w14:paraId="4F8EBAD7" w14:textId="107D3373" w:rsidR="000053DC" w:rsidRPr="00CF21A2" w:rsidRDefault="00FE184D" w:rsidP="000053DC">
      <w:pPr>
        <w:pStyle w:val="Item"/>
        <w:rPr>
          <w:szCs w:val="22"/>
        </w:rPr>
      </w:pPr>
      <w:r w:rsidRPr="00CF21A2">
        <w:rPr>
          <w:szCs w:val="22"/>
        </w:rPr>
        <w:t>Repeal the notes, substitute:</w:t>
      </w:r>
    </w:p>
    <w:p w14:paraId="2E2B7F2C" w14:textId="09DFED5A" w:rsidR="00FE184D" w:rsidRPr="00CF21A2" w:rsidRDefault="00FE184D" w:rsidP="00EC21AC">
      <w:pPr>
        <w:pStyle w:val="notetext"/>
        <w:rPr>
          <w:sz w:val="16"/>
          <w:szCs w:val="18"/>
        </w:rPr>
      </w:pPr>
      <w:r w:rsidRPr="00CF21A2">
        <w:rPr>
          <w:szCs w:val="18"/>
        </w:rPr>
        <w:t>Note:</w:t>
      </w:r>
      <w:r w:rsidRPr="00CF21A2">
        <w:rPr>
          <w:szCs w:val="18"/>
        </w:rPr>
        <w:tab/>
        <w:t>See also Division 4 of Part 1.4 of the Act</w:t>
      </w:r>
      <w:r w:rsidR="005F266B" w:rsidRPr="00CF21A2">
        <w:rPr>
          <w:szCs w:val="18"/>
        </w:rPr>
        <w:t xml:space="preserve"> for exemptions for certain entities, including defence and national security related entities</w:t>
      </w:r>
      <w:r w:rsidRPr="00CF21A2">
        <w:rPr>
          <w:szCs w:val="18"/>
        </w:rPr>
        <w:t>.</w:t>
      </w:r>
    </w:p>
    <w:p w14:paraId="3E911054" w14:textId="77777777" w:rsidR="00650D53" w:rsidRDefault="00650D53" w:rsidP="00D00EFA">
      <w:pPr>
        <w:sectPr w:rsidR="00650D53" w:rsidSect="00957210">
          <w:headerReference w:type="even" r:id="rId39"/>
          <w:headerReference w:type="default" r:id="rId40"/>
          <w:headerReference w:type="first" r:id="rId4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23769E" w14:textId="155CC2C6" w:rsidR="001926A8" w:rsidRPr="008F5A12" w:rsidRDefault="001926A8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8F5A12">
        <w:rPr>
          <w:rFonts w:ascii="Arial" w:hAnsi="Arial" w:cs="Arial"/>
          <w:sz w:val="32"/>
          <w:szCs w:val="32"/>
        </w:rPr>
        <w:lastRenderedPageBreak/>
        <w:t>Schedule</w:t>
      </w:r>
      <w:r w:rsidR="00650D53">
        <w:rPr>
          <w:rFonts w:ascii="Arial" w:hAnsi="Arial" w:cs="Arial"/>
          <w:sz w:val="32"/>
          <w:szCs w:val="32"/>
        </w:rPr>
        <w:t xml:space="preserve"> 6</w:t>
      </w:r>
      <w:r>
        <w:rPr>
          <w:rFonts w:ascii="Arial" w:hAnsi="Arial" w:cs="Arial"/>
          <w:sz w:val="32"/>
          <w:szCs w:val="32"/>
        </w:rPr>
        <w:t>—Variation</w:t>
      </w:r>
      <w:r w:rsidR="008F5A12">
        <w:rPr>
          <w:rFonts w:ascii="Arial" w:hAnsi="Arial" w:cs="Arial"/>
          <w:sz w:val="32"/>
          <w:szCs w:val="32"/>
        </w:rPr>
        <w:t xml:space="preserve"> to the </w:t>
      </w:r>
      <w:r w:rsidR="008F5A12">
        <w:rPr>
          <w:rFonts w:ascii="Arial" w:hAnsi="Arial" w:cs="Arial"/>
          <w:i/>
          <w:iCs/>
          <w:sz w:val="32"/>
          <w:szCs w:val="32"/>
        </w:rPr>
        <w:t>Radiocommunications (Compliance Labelling - Devices) Notice 2014</w:t>
      </w:r>
    </w:p>
    <w:p w14:paraId="7A8A6C0D" w14:textId="77010964" w:rsidR="001926A8" w:rsidRPr="003813DA" w:rsidRDefault="001926A8" w:rsidP="001926A8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9)</w:t>
      </w:r>
    </w:p>
    <w:p w14:paraId="2B603B11" w14:textId="2A4FA63E" w:rsidR="001926A8" w:rsidRPr="00665AE6" w:rsidRDefault="001926A8" w:rsidP="001926A8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</w:t>
      </w:r>
      <w:r>
        <w:rPr>
          <w:iCs/>
          <w:szCs w:val="28"/>
        </w:rPr>
        <w:t xml:space="preserve"> (Compliance Labelling</w:t>
      </w:r>
      <w:r w:rsidRPr="00EF236A">
        <w:rPr>
          <w:iCs/>
          <w:szCs w:val="28"/>
        </w:rPr>
        <w:t xml:space="preserve"> </w:t>
      </w:r>
      <w:r>
        <w:rPr>
          <w:iCs/>
          <w:szCs w:val="28"/>
        </w:rPr>
        <w:t>– Devices)</w:t>
      </w:r>
      <w:r w:rsidRPr="00EF236A">
        <w:rPr>
          <w:iCs/>
          <w:szCs w:val="28"/>
        </w:rPr>
        <w:t xml:space="preserve"> </w:t>
      </w:r>
      <w:r>
        <w:rPr>
          <w:iCs/>
          <w:szCs w:val="28"/>
        </w:rPr>
        <w:t xml:space="preserve">Notice </w:t>
      </w:r>
      <w:r w:rsidRPr="00EF236A">
        <w:rPr>
          <w:iCs/>
          <w:szCs w:val="28"/>
        </w:rPr>
        <w:t>201</w:t>
      </w:r>
      <w:r>
        <w:rPr>
          <w:iCs/>
          <w:szCs w:val="28"/>
        </w:rPr>
        <w:t>4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68637E">
        <w:rPr>
          <w:color w:val="000000"/>
          <w:shd w:val="clear" w:color="auto" w:fill="FFFFFF"/>
        </w:rPr>
        <w:t>4</w:t>
      </w:r>
      <w:r w:rsidRPr="00EF236A">
        <w:rPr>
          <w:color w:val="000000"/>
          <w:shd w:val="clear" w:color="auto" w:fill="FFFFFF"/>
        </w:rPr>
        <w:t>L0</w:t>
      </w:r>
      <w:r w:rsidR="0068637E">
        <w:rPr>
          <w:color w:val="000000"/>
          <w:shd w:val="clear" w:color="auto" w:fill="FFFFFF"/>
        </w:rPr>
        <w:t>1236</w:t>
      </w:r>
      <w:r w:rsidRPr="00EF236A">
        <w:rPr>
          <w:iCs/>
          <w:szCs w:val="28"/>
        </w:rPr>
        <w:t>]</w:t>
      </w:r>
    </w:p>
    <w:p w14:paraId="25C6B6E5" w14:textId="4A6AE138" w:rsidR="001926A8" w:rsidRPr="00DD06A3" w:rsidRDefault="001926A8" w:rsidP="001926A8">
      <w:pPr>
        <w:pStyle w:val="ItemHead"/>
        <w:rPr>
          <w:b w:val="0"/>
          <w:bCs/>
        </w:rPr>
      </w:pPr>
      <w:r w:rsidRPr="00E97D39">
        <w:t xml:space="preserve">1  </w:t>
      </w:r>
      <w:r>
        <w:t xml:space="preserve">Subsection </w:t>
      </w:r>
      <w:r w:rsidR="00DD06A3">
        <w:t>4(1)</w:t>
      </w:r>
      <w:r>
        <w:t xml:space="preserve"> </w:t>
      </w:r>
      <w:r w:rsidR="008F5A12">
        <w:t>(</w:t>
      </w:r>
      <w:r w:rsidR="00DD06A3">
        <w:t xml:space="preserve">definition of </w:t>
      </w:r>
      <w:r w:rsidR="00DD06A3">
        <w:rPr>
          <w:i/>
          <w:iCs/>
        </w:rPr>
        <w:t>applicable standard</w:t>
      </w:r>
      <w:r w:rsidR="008F5A12" w:rsidRPr="008F5A12">
        <w:t>)</w:t>
      </w:r>
    </w:p>
    <w:p w14:paraId="5363401D" w14:textId="1FF02877" w:rsidR="001926A8" w:rsidRPr="00CF21A2" w:rsidRDefault="00DD06A3" w:rsidP="001926A8">
      <w:pPr>
        <w:pStyle w:val="Item"/>
        <w:rPr>
          <w:szCs w:val="22"/>
        </w:rPr>
      </w:pPr>
      <w:r w:rsidRPr="00CF21A2">
        <w:rPr>
          <w:szCs w:val="22"/>
        </w:rPr>
        <w:t>Repeal the definition, substitute:</w:t>
      </w:r>
    </w:p>
    <w:p w14:paraId="3852C3BD" w14:textId="5E9E2BD3" w:rsidR="00DD06A3" w:rsidRPr="00CF21A2" w:rsidRDefault="00DD06A3" w:rsidP="00AC3863">
      <w:pPr>
        <w:pStyle w:val="Definition"/>
        <w:rPr>
          <w:rFonts w:cstheme="minorHAnsi"/>
          <w:szCs w:val="22"/>
        </w:rPr>
      </w:pPr>
      <w:r w:rsidRPr="00CF21A2">
        <w:rPr>
          <w:rFonts w:cstheme="minorHAnsi"/>
          <w:b/>
          <w:bCs/>
          <w:i/>
          <w:iCs/>
          <w:szCs w:val="22"/>
        </w:rPr>
        <w:t>applicable standard</w:t>
      </w:r>
      <w:r w:rsidRPr="00CF21A2">
        <w:rPr>
          <w:rFonts w:cstheme="minorHAnsi"/>
          <w:szCs w:val="22"/>
        </w:rPr>
        <w:t>, for a device, means a standard prescribed by equipment rules mentioned in Schedule 2 that apply to the device.</w:t>
      </w:r>
    </w:p>
    <w:p w14:paraId="2CA49285" w14:textId="24B33F99" w:rsidR="008F51FA" w:rsidRPr="00E57407" w:rsidRDefault="00FD655E" w:rsidP="008F51FA">
      <w:pPr>
        <w:pStyle w:val="ItemHead"/>
        <w:rPr>
          <w:b w:val="0"/>
          <w:bCs/>
        </w:rPr>
      </w:pPr>
      <w:r>
        <w:t>2</w:t>
      </w:r>
      <w:r w:rsidR="008F51FA" w:rsidRPr="00E97D39">
        <w:t xml:space="preserve">  </w:t>
      </w:r>
      <w:r w:rsidR="008F51FA">
        <w:t>Subsection 4(</w:t>
      </w:r>
      <w:r w:rsidR="00025C57">
        <w:t>2</w:t>
      </w:r>
      <w:r w:rsidR="008F51FA">
        <w:t>)</w:t>
      </w:r>
    </w:p>
    <w:p w14:paraId="4095C352" w14:textId="18FE04DE" w:rsidR="008F51FA" w:rsidRPr="00CF21A2" w:rsidRDefault="00025C57" w:rsidP="008F51FA">
      <w:pPr>
        <w:pStyle w:val="Item"/>
        <w:rPr>
          <w:szCs w:val="22"/>
        </w:rPr>
      </w:pPr>
      <w:r w:rsidRPr="00CF21A2">
        <w:rPr>
          <w:szCs w:val="22"/>
        </w:rPr>
        <w:t>Repeal the subsection.</w:t>
      </w:r>
    </w:p>
    <w:p w14:paraId="03F081F3" w14:textId="6A4DEC4A" w:rsidR="00542766" w:rsidRPr="00104BC4" w:rsidRDefault="00FD655E" w:rsidP="00542766">
      <w:pPr>
        <w:pStyle w:val="ItemHead"/>
      </w:pPr>
      <w:r>
        <w:t>3</w:t>
      </w:r>
      <w:r w:rsidR="00542766" w:rsidRPr="00E97D39">
        <w:t xml:space="preserve">  </w:t>
      </w:r>
      <w:r w:rsidR="00542766">
        <w:t>After section 4</w:t>
      </w:r>
    </w:p>
    <w:p w14:paraId="3CB5E7DF" w14:textId="77777777" w:rsidR="00542766" w:rsidRPr="00CF21A2" w:rsidRDefault="00542766" w:rsidP="00542766">
      <w:pPr>
        <w:pStyle w:val="Item"/>
        <w:rPr>
          <w:szCs w:val="22"/>
        </w:rPr>
      </w:pPr>
      <w:r w:rsidRPr="00CF21A2">
        <w:rPr>
          <w:szCs w:val="22"/>
        </w:rPr>
        <w:t>Insert:</w:t>
      </w:r>
    </w:p>
    <w:p w14:paraId="298D3060" w14:textId="4A6EBAA8" w:rsidR="00542766" w:rsidRPr="002E7D44" w:rsidRDefault="00542766" w:rsidP="002E7D44">
      <w:pPr>
        <w:spacing w:before="120" w:after="120" w:line="257" w:lineRule="auto"/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2E7D44">
        <w:rPr>
          <w:rStyle w:val="CharSectno"/>
          <w:rFonts w:ascii="Times New Roman" w:eastAsia="Times New Roman" w:hAnsi="Times New Roman" w:cs="Times New Roman"/>
          <w:b/>
          <w:kern w:val="28"/>
          <w:sz w:val="24"/>
          <w:szCs w:val="20"/>
        </w:rPr>
        <w:t>4A  References to other instruments</w:t>
      </w:r>
    </w:p>
    <w:p w14:paraId="2885AEF7" w14:textId="7F816A66" w:rsidR="00542766" w:rsidRPr="002E7D44" w:rsidRDefault="00542766" w:rsidP="00542766">
      <w:pPr>
        <w:pStyle w:val="subsection"/>
        <w:rPr>
          <w:szCs w:val="22"/>
        </w:rPr>
      </w:pPr>
      <w:r w:rsidRPr="002E7D44">
        <w:rPr>
          <w:sz w:val="20"/>
          <w:szCs w:val="18"/>
        </w:rPr>
        <w:tab/>
      </w:r>
      <w:r w:rsidRPr="002E7D44">
        <w:rPr>
          <w:szCs w:val="22"/>
        </w:rPr>
        <w:tab/>
        <w:t xml:space="preserve">In this Notice, </w:t>
      </w:r>
      <w:r w:rsidRPr="00281642">
        <w:rPr>
          <w:bCs/>
          <w:szCs w:val="22"/>
        </w:rPr>
        <w:t>unless</w:t>
      </w:r>
      <w:r w:rsidRPr="002E7D44">
        <w:rPr>
          <w:szCs w:val="22"/>
        </w:rPr>
        <w:t xml:space="preserve"> the contrary intention appears:</w:t>
      </w:r>
    </w:p>
    <w:p w14:paraId="2B95F646" w14:textId="77777777" w:rsidR="00542766" w:rsidRPr="002E7D44" w:rsidRDefault="00542766" w:rsidP="00542766">
      <w:pPr>
        <w:pStyle w:val="paragraph"/>
        <w:rPr>
          <w:szCs w:val="22"/>
        </w:rPr>
      </w:pPr>
      <w:r w:rsidRPr="002E7D44">
        <w:rPr>
          <w:szCs w:val="22"/>
        </w:rPr>
        <w:tab/>
        <w:t>(a)</w:t>
      </w:r>
      <w:r w:rsidRPr="002E7D44">
        <w:rPr>
          <w:szCs w:val="22"/>
        </w:rPr>
        <w:tab/>
        <w:t>a reference to any other legislative instrument is a reference to that other legislative instrument as in force from time to time; and</w:t>
      </w:r>
    </w:p>
    <w:p w14:paraId="3315AC47" w14:textId="77777777" w:rsidR="00542766" w:rsidRPr="002E7D44" w:rsidRDefault="00542766" w:rsidP="009E1AAA">
      <w:pPr>
        <w:pStyle w:val="paragraph"/>
        <w:rPr>
          <w:szCs w:val="22"/>
        </w:rPr>
      </w:pPr>
      <w:r w:rsidRPr="002E7D44">
        <w:rPr>
          <w:szCs w:val="22"/>
        </w:rPr>
        <w:tab/>
        <w:t>(b)</w:t>
      </w:r>
      <w:r w:rsidRPr="002E7D44">
        <w:rPr>
          <w:szCs w:val="22"/>
        </w:rPr>
        <w:tab/>
        <w:t>a reference to any other kind of instrument or writing is a reference to that other instrument or writing as in force or in existence from time to time.</w:t>
      </w:r>
    </w:p>
    <w:p w14:paraId="617EF941" w14:textId="77777777" w:rsidR="00542766" w:rsidRPr="002E7D44" w:rsidRDefault="00542766" w:rsidP="00542766">
      <w:pPr>
        <w:pStyle w:val="notetext"/>
        <w:rPr>
          <w:szCs w:val="18"/>
        </w:rPr>
      </w:pPr>
      <w:r w:rsidRPr="002E7D44">
        <w:rPr>
          <w:szCs w:val="18"/>
        </w:rPr>
        <w:t>Note 1:</w:t>
      </w:r>
      <w:r w:rsidRPr="002E7D44">
        <w:rPr>
          <w:szCs w:val="18"/>
        </w:rPr>
        <w:tab/>
        <w:t xml:space="preserve">For references to Commonwealth Acts, see section 10 of the </w:t>
      </w:r>
      <w:r w:rsidRPr="002E7D44">
        <w:rPr>
          <w:i/>
          <w:szCs w:val="18"/>
        </w:rPr>
        <w:t>Acts Interpretation Act 1901</w:t>
      </w:r>
      <w:r w:rsidRPr="002E7D44">
        <w:rPr>
          <w:szCs w:val="18"/>
        </w:rPr>
        <w:t xml:space="preserve">; and see also subsection 13(1) of the </w:t>
      </w:r>
      <w:r w:rsidRPr="002E7D44">
        <w:rPr>
          <w:i/>
          <w:szCs w:val="18"/>
        </w:rPr>
        <w:t>Legislation Act 2003</w:t>
      </w:r>
      <w:r w:rsidRPr="002E7D44">
        <w:rPr>
          <w:szCs w:val="18"/>
        </w:rPr>
        <w:t xml:space="preserve"> for the application of the </w:t>
      </w:r>
      <w:r w:rsidRPr="002E7D44">
        <w:rPr>
          <w:i/>
          <w:szCs w:val="18"/>
        </w:rPr>
        <w:t>Acts Interpretation Act 1901</w:t>
      </w:r>
      <w:r w:rsidRPr="002E7D44">
        <w:rPr>
          <w:szCs w:val="18"/>
        </w:rPr>
        <w:t xml:space="preserve"> to legislative instruments.</w:t>
      </w:r>
    </w:p>
    <w:p w14:paraId="5F2D2E2B" w14:textId="77777777" w:rsidR="00542766" w:rsidRPr="002E7D44" w:rsidRDefault="00542766" w:rsidP="00542766">
      <w:pPr>
        <w:pStyle w:val="notetext"/>
        <w:rPr>
          <w:szCs w:val="18"/>
        </w:rPr>
      </w:pPr>
      <w:r w:rsidRPr="002E7D44">
        <w:rPr>
          <w:szCs w:val="18"/>
        </w:rPr>
        <w:t>Note 2:</w:t>
      </w:r>
      <w:r w:rsidRPr="002E7D44">
        <w:rPr>
          <w:szCs w:val="18"/>
        </w:rPr>
        <w:tab/>
        <w:t xml:space="preserve">All Commonwealth Acts and legislative instruments are registered on the Federal Register of Legislation. </w:t>
      </w:r>
    </w:p>
    <w:p w14:paraId="6351159D" w14:textId="77777777" w:rsidR="00542766" w:rsidRPr="002E7D44" w:rsidRDefault="00542766" w:rsidP="00542766">
      <w:pPr>
        <w:pStyle w:val="notetext"/>
        <w:rPr>
          <w:sz w:val="16"/>
          <w:szCs w:val="18"/>
        </w:rPr>
      </w:pPr>
      <w:r w:rsidRPr="002E7D44">
        <w:rPr>
          <w:szCs w:val="18"/>
        </w:rPr>
        <w:t>Note 3:</w:t>
      </w:r>
      <w:r w:rsidRPr="002E7D44">
        <w:rPr>
          <w:szCs w:val="18"/>
        </w:rPr>
        <w:tab/>
        <w:t>See section 314A of the Act.</w:t>
      </w:r>
    </w:p>
    <w:p w14:paraId="372E3127" w14:textId="1D772703" w:rsidR="0076617D" w:rsidRPr="00213CD7" w:rsidRDefault="00615F2D" w:rsidP="0076617D">
      <w:pPr>
        <w:pStyle w:val="ItemHead"/>
      </w:pPr>
      <w:r>
        <w:t>4</w:t>
      </w:r>
      <w:r w:rsidR="0076617D" w:rsidRPr="00E97D39">
        <w:t xml:space="preserve">  </w:t>
      </w:r>
      <w:r w:rsidR="0076617D">
        <w:t>Section 26, note 2 to the section</w:t>
      </w:r>
    </w:p>
    <w:p w14:paraId="23A71027" w14:textId="39AA5C9C" w:rsidR="00796B67" w:rsidRPr="00C73928" w:rsidRDefault="00902FE4" w:rsidP="008F5A12">
      <w:pPr>
        <w:pStyle w:val="Item"/>
        <w:rPr>
          <w:szCs w:val="22"/>
        </w:rPr>
      </w:pPr>
      <w:r w:rsidRPr="00C73928">
        <w:rPr>
          <w:szCs w:val="22"/>
        </w:rPr>
        <w:t xml:space="preserve">Omit </w:t>
      </w:r>
      <w:r w:rsidR="002E7D44" w:rsidRPr="00C73928">
        <w:rPr>
          <w:szCs w:val="22"/>
        </w:rPr>
        <w:t>‘</w:t>
      </w:r>
      <w:r w:rsidRPr="00C73928">
        <w:rPr>
          <w:szCs w:val="22"/>
        </w:rPr>
        <w:t xml:space="preserve">the </w:t>
      </w:r>
      <w:r w:rsidRPr="00C73928">
        <w:rPr>
          <w:i/>
          <w:iCs/>
          <w:szCs w:val="22"/>
        </w:rPr>
        <w:t>Radiocommunications (</w:t>
      </w:r>
      <w:r w:rsidR="006D1558" w:rsidRPr="00C73928">
        <w:rPr>
          <w:i/>
          <w:iCs/>
          <w:szCs w:val="22"/>
        </w:rPr>
        <w:t xml:space="preserve">Compliance </w:t>
      </w:r>
      <w:r w:rsidR="005B6BC0" w:rsidRPr="00C73928">
        <w:rPr>
          <w:i/>
          <w:iCs/>
          <w:szCs w:val="22"/>
        </w:rPr>
        <w:t>L</w:t>
      </w:r>
      <w:r w:rsidR="006D1558" w:rsidRPr="00C73928">
        <w:rPr>
          <w:i/>
          <w:iCs/>
          <w:szCs w:val="22"/>
        </w:rPr>
        <w:t>abelling</w:t>
      </w:r>
      <w:r w:rsidR="005B6BC0" w:rsidRPr="00C73928">
        <w:rPr>
          <w:i/>
          <w:iCs/>
          <w:szCs w:val="22"/>
        </w:rPr>
        <w:t>–</w:t>
      </w:r>
      <w:r w:rsidRPr="00C73928">
        <w:rPr>
          <w:i/>
          <w:iCs/>
          <w:szCs w:val="22"/>
        </w:rPr>
        <w:t xml:space="preserve">Electromagnetic Radiation) </w:t>
      </w:r>
      <w:r w:rsidR="005B6BC0" w:rsidRPr="00C73928">
        <w:rPr>
          <w:i/>
          <w:iCs/>
          <w:szCs w:val="22"/>
        </w:rPr>
        <w:t>Notice</w:t>
      </w:r>
      <w:r w:rsidRPr="00C73928">
        <w:rPr>
          <w:i/>
          <w:iCs/>
          <w:szCs w:val="22"/>
        </w:rPr>
        <w:t xml:space="preserve"> 2014</w:t>
      </w:r>
      <w:r w:rsidR="002E7D44" w:rsidRPr="00C73928">
        <w:rPr>
          <w:szCs w:val="22"/>
        </w:rPr>
        <w:t>’</w:t>
      </w:r>
      <w:r w:rsidRPr="00C73928">
        <w:rPr>
          <w:szCs w:val="22"/>
        </w:rPr>
        <w:t xml:space="preserve">, substitute </w:t>
      </w:r>
      <w:r w:rsidR="002E7D44" w:rsidRPr="00C73928">
        <w:rPr>
          <w:szCs w:val="22"/>
        </w:rPr>
        <w:t>‘</w:t>
      </w:r>
      <w:r w:rsidRPr="00C73928">
        <w:rPr>
          <w:szCs w:val="22"/>
        </w:rPr>
        <w:t xml:space="preserve">the </w:t>
      </w:r>
      <w:r w:rsidR="005B6BC0" w:rsidRPr="00C73928">
        <w:rPr>
          <w:szCs w:val="22"/>
        </w:rPr>
        <w:t>requirements in</w:t>
      </w:r>
      <w:r w:rsidRPr="00C73928">
        <w:rPr>
          <w:szCs w:val="22"/>
        </w:rPr>
        <w:t xml:space="preserve"> Schedule </w:t>
      </w:r>
      <w:r w:rsidR="005B6BC0" w:rsidRPr="00C73928">
        <w:rPr>
          <w:szCs w:val="22"/>
        </w:rPr>
        <w:t>3</w:t>
      </w:r>
      <w:r w:rsidRPr="00C73928">
        <w:rPr>
          <w:szCs w:val="22"/>
        </w:rPr>
        <w:t xml:space="preserve"> to the </w:t>
      </w:r>
      <w:r w:rsidRPr="00C73928">
        <w:rPr>
          <w:i/>
          <w:iCs/>
          <w:szCs w:val="22"/>
        </w:rPr>
        <w:t>Radiocommunications Equipment (General) Rules 2021</w:t>
      </w:r>
      <w:r w:rsidR="002E7D44" w:rsidRPr="00C73928">
        <w:rPr>
          <w:szCs w:val="22"/>
        </w:rPr>
        <w:t>’</w:t>
      </w:r>
      <w:r w:rsidRPr="00C73928">
        <w:rPr>
          <w:szCs w:val="22"/>
        </w:rPr>
        <w:t>.</w:t>
      </w:r>
    </w:p>
    <w:sectPr w:rsidR="00796B67" w:rsidRPr="00C73928" w:rsidSect="00957210">
      <w:headerReference w:type="even" r:id="rId42"/>
      <w:headerReference w:type="default" r:id="rId43"/>
      <w:headerReference w:type="firs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B4F1" w14:textId="77777777" w:rsidR="0013415E" w:rsidRDefault="0013415E" w:rsidP="0017734A">
      <w:pPr>
        <w:spacing w:after="0" w:line="240" w:lineRule="auto"/>
      </w:pPr>
      <w:r>
        <w:separator/>
      </w:r>
    </w:p>
  </w:endnote>
  <w:endnote w:type="continuationSeparator" w:id="0">
    <w:p w14:paraId="3550FB1E" w14:textId="77777777" w:rsidR="0013415E" w:rsidRDefault="0013415E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11B" w14:textId="337CBB81" w:rsidR="00064E39" w:rsidRPr="008139AA" w:rsidRDefault="00064E39" w:rsidP="00064E3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CA0866">
      <w:rPr>
        <w:rFonts w:ascii="Times New Roman" w:hAnsi="Times New Roman" w:cs="Times New Roman"/>
        <w:i/>
        <w:iCs/>
        <w:sz w:val="20"/>
        <w:szCs w:val="20"/>
      </w:rPr>
      <w:t xml:space="preserve">Electromagnetic </w:t>
    </w:r>
    <w:r w:rsidR="001D28BC">
      <w:rPr>
        <w:rFonts w:ascii="Times New Roman" w:hAnsi="Times New Roman" w:cs="Times New Roman"/>
        <w:i/>
        <w:iCs/>
        <w:sz w:val="20"/>
        <w:szCs w:val="20"/>
      </w:rPr>
      <w:t>Energy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Amendment </w:t>
    </w:r>
    <w:r>
      <w:rPr>
        <w:rFonts w:ascii="Times New Roman" w:hAnsi="Times New Roman" w:cs="Times New Roman"/>
        <w:i/>
        <w:iCs/>
        <w:sz w:val="20"/>
        <w:szCs w:val="20"/>
      </w:rPr>
      <w:t>Instrument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 2021 (No. </w:t>
    </w:r>
    <w:r>
      <w:rPr>
        <w:rFonts w:ascii="Times New Roman" w:hAnsi="Times New Roman" w:cs="Times New Roman"/>
        <w:i/>
        <w:iCs/>
        <w:sz w:val="20"/>
        <w:szCs w:val="20"/>
      </w:rPr>
      <w:t>1</w:t>
    </w:r>
    <w:r w:rsidRPr="008139AA">
      <w:rPr>
        <w:rFonts w:ascii="Times New Roman" w:hAnsi="Times New Roman" w:cs="Times New Roman"/>
        <w:i/>
        <w:iCs/>
        <w:sz w:val="20"/>
        <w:szCs w:val="20"/>
      </w:rPr>
      <w:t>)</w:t>
    </w:r>
  </w:p>
  <w:p w14:paraId="7A1EAA22" w14:textId="2F53E455" w:rsidR="00586921" w:rsidRDefault="00064E39" w:rsidP="00064E3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9540" w14:textId="77777777" w:rsidR="0013415E" w:rsidRDefault="0013415E" w:rsidP="0017734A">
      <w:pPr>
        <w:spacing w:after="0" w:line="240" w:lineRule="auto"/>
      </w:pPr>
      <w:r>
        <w:separator/>
      </w:r>
    </w:p>
  </w:footnote>
  <w:footnote w:type="continuationSeparator" w:id="0">
    <w:p w14:paraId="67E109A1" w14:textId="77777777" w:rsidR="0013415E" w:rsidRDefault="0013415E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1196" w14:textId="5B133531" w:rsidR="006F0654" w:rsidRDefault="0013415E">
    <w:pPr>
      <w:pStyle w:val="Header"/>
    </w:pPr>
    <w:r>
      <w:rPr>
        <w:noProof/>
      </w:rPr>
      <w:pict w14:anchorId="204A3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4" o:spid="_x0000_s1029" type="#_x0000_t136" style="position:absolute;margin-left:0;margin-top:0;width:424.2pt;height:212.1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C0F4" w14:textId="63327114" w:rsidR="003A4BEB" w:rsidRDefault="003A4BEB" w:rsidP="00905BF0">
    <w:pPr>
      <w:pStyle w:val="Header"/>
    </w:pPr>
  </w:p>
  <w:p w14:paraId="5A9E2E73" w14:textId="0467BD78" w:rsidR="003A4BEB" w:rsidRPr="00CC64DD" w:rsidRDefault="003A4BEB" w:rsidP="005D692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7E2" w14:textId="24FEC355" w:rsidR="00905BF0" w:rsidRDefault="0013415E">
    <w:pPr>
      <w:pStyle w:val="Header"/>
    </w:pPr>
    <w:r>
      <w:rPr>
        <w:noProof/>
      </w:rPr>
      <w:pict w14:anchorId="6D1A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2" o:spid="_x0000_s1037" type="#_x0000_t136" style="position:absolute;margin-left:0;margin-top:0;width:424.2pt;height:212.1pt;rotation:315;z-index:-2516362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2C5F" w14:textId="44ECB60F" w:rsidR="00905BF0" w:rsidRDefault="0013415E">
    <w:pPr>
      <w:pStyle w:val="Header"/>
    </w:pPr>
    <w:r>
      <w:rPr>
        <w:noProof/>
      </w:rPr>
      <w:pict w14:anchorId="5991A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6" o:spid="_x0000_s1041" type="#_x0000_t136" style="position:absolute;margin-left:0;margin-top:0;width:424.2pt;height:212.1pt;rotation:315;z-index:-2516280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939" w14:textId="6D54493B" w:rsidR="00752A9F" w:rsidRDefault="00752A9F" w:rsidP="00DD4EF2">
    <w:pPr>
      <w:pStyle w:val="Header"/>
    </w:pPr>
  </w:p>
  <w:p w14:paraId="54EA3B6B" w14:textId="7C15F05B" w:rsidR="00752A9F" w:rsidRPr="00CC64DD" w:rsidRDefault="00752A9F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Schedule </w:t>
    </w:r>
    <w:r w:rsidR="005D6929">
      <w:rPr>
        <w:rFonts w:ascii="Times New Roman" w:hAnsi="Times New Roman" w:cs="Times New Roman"/>
        <w:sz w:val="24"/>
        <w:szCs w:val="24"/>
      </w:rPr>
      <w:t>3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E512" w14:textId="32D707D0" w:rsidR="00905BF0" w:rsidRDefault="0013415E">
    <w:pPr>
      <w:pStyle w:val="Header"/>
    </w:pPr>
    <w:r>
      <w:rPr>
        <w:noProof/>
      </w:rPr>
      <w:pict w14:anchorId="1476F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5" o:spid="_x0000_s1040" type="#_x0000_t136" style="position:absolute;margin-left:0;margin-top:0;width:424.2pt;height:212.1pt;rotation:315;z-index:-2516300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14C6" w14:textId="7814134E" w:rsidR="00905BF0" w:rsidRDefault="0013415E">
    <w:pPr>
      <w:pStyle w:val="Header"/>
    </w:pPr>
    <w:r>
      <w:rPr>
        <w:noProof/>
      </w:rPr>
      <w:pict w14:anchorId="70E40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9" o:spid="_x0000_s1044" type="#_x0000_t136" style="position:absolute;margin-left:0;margin-top:0;width:424.2pt;height:212.1pt;rotation:315;z-index:-2516218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F309" w14:textId="4B07EB89" w:rsidR="002F4D36" w:rsidRDefault="002F4D36" w:rsidP="00DD4EF2">
    <w:pPr>
      <w:pStyle w:val="Header"/>
    </w:pPr>
  </w:p>
  <w:p w14:paraId="5FA24A27" w14:textId="57685ED5" w:rsidR="002F4D36" w:rsidRPr="00CC64DD" w:rsidRDefault="002F4D36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4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BB66" w14:textId="1A9AD753" w:rsidR="00905BF0" w:rsidRDefault="0013415E">
    <w:pPr>
      <w:pStyle w:val="Header"/>
    </w:pPr>
    <w:r>
      <w:rPr>
        <w:noProof/>
      </w:rPr>
      <w:pict w14:anchorId="7D900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8" o:spid="_x0000_s1043" type="#_x0000_t136" style="position:absolute;margin-left:0;margin-top:0;width:424.2pt;height:212.1pt;rotation:315;z-index:-2516239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D74" w14:textId="17B86B17" w:rsidR="00905BF0" w:rsidRDefault="0013415E">
    <w:pPr>
      <w:pStyle w:val="Header"/>
    </w:pPr>
    <w:r>
      <w:rPr>
        <w:noProof/>
      </w:rPr>
      <w:pict w14:anchorId="7BFC4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2" o:spid="_x0000_s1047" type="#_x0000_t136" style="position:absolute;margin-left:0;margin-top:0;width:424.2pt;height:212.1pt;rotation:315;z-index:-2516157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67D4" w14:textId="474655A6" w:rsidR="007D3F04" w:rsidRDefault="007D3F04" w:rsidP="00DD4EF2">
    <w:pPr>
      <w:pStyle w:val="Header"/>
    </w:pPr>
  </w:p>
  <w:p w14:paraId="1BA3E85D" w14:textId="4F45294A" w:rsidR="007D3F04" w:rsidRPr="00CC64DD" w:rsidRDefault="007D3F04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A94" w14:textId="725302B3" w:rsidR="00586921" w:rsidRDefault="0013415E">
    <w:pPr>
      <w:pStyle w:val="Header"/>
    </w:pPr>
    <w:r>
      <w:rPr>
        <w:noProof/>
      </w:rPr>
      <w:pict w14:anchorId="6E8C1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5" o:spid="_x0000_s1030" type="#_x0000_t136" style="position:absolute;margin-left:0;margin-top:0;width:424.2pt;height:212.1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572" w14:textId="6BFDC224" w:rsidR="00905BF0" w:rsidRDefault="0013415E">
    <w:pPr>
      <w:pStyle w:val="Header"/>
    </w:pPr>
    <w:r>
      <w:rPr>
        <w:noProof/>
      </w:rPr>
      <w:pict w14:anchorId="50AF3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1" o:spid="_x0000_s1046" type="#_x0000_t136" style="position:absolute;margin-left:0;margin-top:0;width:424.2pt;height:212.1pt;rotation:315;z-index:-2516177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6F95" w14:textId="038176FE" w:rsidR="00905BF0" w:rsidRDefault="0013415E">
    <w:pPr>
      <w:pStyle w:val="Header"/>
    </w:pPr>
    <w:r>
      <w:rPr>
        <w:noProof/>
      </w:rPr>
      <w:pict w14:anchorId="492DF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5" o:spid="_x0000_s1050" type="#_x0000_t136" style="position:absolute;margin-left:0;margin-top:0;width:424.2pt;height:212.1pt;rotation:315;z-index:-2516096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0ECE" w14:textId="05B23EDE" w:rsidR="00650D53" w:rsidRDefault="00650D53" w:rsidP="00DD4EF2">
    <w:pPr>
      <w:pStyle w:val="Header"/>
    </w:pPr>
  </w:p>
  <w:p w14:paraId="5BEDD6EA" w14:textId="0B760BAF" w:rsidR="00650D53" w:rsidRPr="00CC64DD" w:rsidRDefault="00650D53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6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7C7C" w14:textId="6D90F832" w:rsidR="00905BF0" w:rsidRDefault="0013415E">
    <w:pPr>
      <w:pStyle w:val="Header"/>
    </w:pPr>
    <w:r>
      <w:rPr>
        <w:noProof/>
      </w:rPr>
      <w:pict w14:anchorId="6ED7F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4" o:spid="_x0000_s1049" type="#_x0000_t136" style="position:absolute;margin-left:0;margin-top:0;width:424.2pt;height:212.1pt;rotation:315;z-index:-2516116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8D1" w14:textId="73CD7B57" w:rsidR="00905BF0" w:rsidRDefault="0013415E">
    <w:pPr>
      <w:pStyle w:val="Header"/>
    </w:pPr>
    <w:r>
      <w:rPr>
        <w:noProof/>
      </w:rPr>
      <w:pict w14:anchorId="774D8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7" o:spid="_x0000_s1032" type="#_x0000_t136" style="position:absolute;margin-left:0;margin-top:0;width:424.2pt;height:212.1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448E" w14:textId="73E3EA7A" w:rsidR="00041630" w:rsidRDefault="00901F12" w:rsidP="00905BF0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B14244">
      <w:rPr>
        <w:rFonts w:ascii="Times New Roman" w:hAnsi="Times New Roman" w:cs="Times New Roman"/>
        <w:noProof/>
      </w:rPr>
      <w:t>10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2B51" w14:textId="546CFCB1" w:rsidR="00905BF0" w:rsidRDefault="0013415E">
    <w:pPr>
      <w:pStyle w:val="Header"/>
    </w:pPr>
    <w:r>
      <w:rPr>
        <w:noProof/>
      </w:rPr>
      <w:pict w14:anchorId="7724A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6" o:spid="_x0000_s1031" type="#_x0000_t136" style="position:absolute;margin-left:0;margin-top:0;width:424.2pt;height:212.1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F10E" w14:textId="4A8E6C05" w:rsidR="00905BF0" w:rsidRDefault="0013415E">
    <w:pPr>
      <w:pStyle w:val="Header"/>
    </w:pPr>
    <w:r>
      <w:rPr>
        <w:noProof/>
      </w:rPr>
      <w:pict w14:anchorId="67CD5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0" o:spid="_x0000_s1035" type="#_x0000_t136" style="position:absolute;margin-left:0;margin-top:0;width:424.2pt;height:212.1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5DB" w14:textId="14CA12BE" w:rsidR="00097890" w:rsidRDefault="00097890" w:rsidP="00905BF0">
    <w:pPr>
      <w:pStyle w:val="Header"/>
    </w:pPr>
  </w:p>
  <w:p w14:paraId="3BF885EA" w14:textId="4AE1A64B" w:rsidR="00097890" w:rsidRPr="00CC64DD" w:rsidRDefault="003A4BEB" w:rsidP="009A6E3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1A28" w14:textId="553479C8" w:rsidR="00905BF0" w:rsidRDefault="0013415E">
    <w:pPr>
      <w:pStyle w:val="Header"/>
    </w:pPr>
    <w:r>
      <w:rPr>
        <w:noProof/>
      </w:rPr>
      <w:pict w14:anchorId="66E0B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9" o:spid="_x0000_s1034" type="#_x0000_t136" style="position:absolute;margin-left:0;margin-top:0;width:424.2pt;height:212.1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047" w14:textId="650846B8" w:rsidR="00905BF0" w:rsidRDefault="0013415E">
    <w:pPr>
      <w:pStyle w:val="Header"/>
    </w:pPr>
    <w:r>
      <w:rPr>
        <w:noProof/>
      </w:rPr>
      <w:pict w14:anchorId="7DA60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3" o:spid="_x0000_s1038" type="#_x0000_t136" style="position:absolute;margin-left:0;margin-top:0;width:424.2pt;height:212.1pt;rotation:315;z-index:-2516341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5B0"/>
    <w:multiLevelType w:val="hybridMultilevel"/>
    <w:tmpl w:val="3580B91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C6B78"/>
    <w:multiLevelType w:val="hybridMultilevel"/>
    <w:tmpl w:val="3FD2E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A54"/>
    <w:rsid w:val="00002CA5"/>
    <w:rsid w:val="000050BE"/>
    <w:rsid w:val="000053DC"/>
    <w:rsid w:val="00006492"/>
    <w:rsid w:val="00007149"/>
    <w:rsid w:val="0001089D"/>
    <w:rsid w:val="00010EAB"/>
    <w:rsid w:val="00013F0A"/>
    <w:rsid w:val="00015EB4"/>
    <w:rsid w:val="00017662"/>
    <w:rsid w:val="000200C2"/>
    <w:rsid w:val="00025C57"/>
    <w:rsid w:val="000340E0"/>
    <w:rsid w:val="00035127"/>
    <w:rsid w:val="000371B6"/>
    <w:rsid w:val="000375D2"/>
    <w:rsid w:val="0004042E"/>
    <w:rsid w:val="00041630"/>
    <w:rsid w:val="00043DB1"/>
    <w:rsid w:val="00053EA8"/>
    <w:rsid w:val="00054817"/>
    <w:rsid w:val="00055140"/>
    <w:rsid w:val="000556E1"/>
    <w:rsid w:val="0005792A"/>
    <w:rsid w:val="00063CF9"/>
    <w:rsid w:val="00064E39"/>
    <w:rsid w:val="000659BD"/>
    <w:rsid w:val="00067B59"/>
    <w:rsid w:val="00081076"/>
    <w:rsid w:val="0009106D"/>
    <w:rsid w:val="00093367"/>
    <w:rsid w:val="00097890"/>
    <w:rsid w:val="000A18B2"/>
    <w:rsid w:val="000A430B"/>
    <w:rsid w:val="000A5B5F"/>
    <w:rsid w:val="000A797A"/>
    <w:rsid w:val="000B192C"/>
    <w:rsid w:val="000B2089"/>
    <w:rsid w:val="000B2C03"/>
    <w:rsid w:val="000B32B0"/>
    <w:rsid w:val="000B4E1A"/>
    <w:rsid w:val="000B6BA2"/>
    <w:rsid w:val="000C1A08"/>
    <w:rsid w:val="000C5A8B"/>
    <w:rsid w:val="000C5C0D"/>
    <w:rsid w:val="000D53B7"/>
    <w:rsid w:val="000D7273"/>
    <w:rsid w:val="000E285B"/>
    <w:rsid w:val="000E28E2"/>
    <w:rsid w:val="000E6BE1"/>
    <w:rsid w:val="000F10CF"/>
    <w:rsid w:val="000F2D87"/>
    <w:rsid w:val="000F4885"/>
    <w:rsid w:val="000F624D"/>
    <w:rsid w:val="00102C6B"/>
    <w:rsid w:val="00104450"/>
    <w:rsid w:val="00104BC4"/>
    <w:rsid w:val="00115D13"/>
    <w:rsid w:val="00116D27"/>
    <w:rsid w:val="00121BB9"/>
    <w:rsid w:val="0012218A"/>
    <w:rsid w:val="001258CC"/>
    <w:rsid w:val="00127856"/>
    <w:rsid w:val="00130C48"/>
    <w:rsid w:val="00131D66"/>
    <w:rsid w:val="00132160"/>
    <w:rsid w:val="0013322E"/>
    <w:rsid w:val="0013415E"/>
    <w:rsid w:val="00141380"/>
    <w:rsid w:val="00141391"/>
    <w:rsid w:val="00142816"/>
    <w:rsid w:val="001428E3"/>
    <w:rsid w:val="00145A27"/>
    <w:rsid w:val="00150991"/>
    <w:rsid w:val="001547D5"/>
    <w:rsid w:val="00155BD3"/>
    <w:rsid w:val="001563F1"/>
    <w:rsid w:val="00156B1B"/>
    <w:rsid w:val="00163E2B"/>
    <w:rsid w:val="00170EEB"/>
    <w:rsid w:val="001753F7"/>
    <w:rsid w:val="00176A81"/>
    <w:rsid w:val="0017734A"/>
    <w:rsid w:val="00181A89"/>
    <w:rsid w:val="00184274"/>
    <w:rsid w:val="00190862"/>
    <w:rsid w:val="001926A8"/>
    <w:rsid w:val="001941FB"/>
    <w:rsid w:val="00197B38"/>
    <w:rsid w:val="001A333C"/>
    <w:rsid w:val="001A3CDD"/>
    <w:rsid w:val="001A53DF"/>
    <w:rsid w:val="001A68FD"/>
    <w:rsid w:val="001B0C8C"/>
    <w:rsid w:val="001B6966"/>
    <w:rsid w:val="001C0477"/>
    <w:rsid w:val="001C12ED"/>
    <w:rsid w:val="001C1DAB"/>
    <w:rsid w:val="001D15E7"/>
    <w:rsid w:val="001D28BC"/>
    <w:rsid w:val="001D5218"/>
    <w:rsid w:val="001D6A37"/>
    <w:rsid w:val="001E4472"/>
    <w:rsid w:val="001E5C72"/>
    <w:rsid w:val="001F11A7"/>
    <w:rsid w:val="001F5AF7"/>
    <w:rsid w:val="001F652F"/>
    <w:rsid w:val="00203FD4"/>
    <w:rsid w:val="002046B5"/>
    <w:rsid w:val="0020657F"/>
    <w:rsid w:val="00210C86"/>
    <w:rsid w:val="00213CD7"/>
    <w:rsid w:val="00220B73"/>
    <w:rsid w:val="00222D31"/>
    <w:rsid w:val="00230656"/>
    <w:rsid w:val="0023229F"/>
    <w:rsid w:val="00233052"/>
    <w:rsid w:val="0023610A"/>
    <w:rsid w:val="00241B62"/>
    <w:rsid w:val="0025087D"/>
    <w:rsid w:val="00250F99"/>
    <w:rsid w:val="002515F9"/>
    <w:rsid w:val="00251E42"/>
    <w:rsid w:val="002606AD"/>
    <w:rsid w:val="00262A0B"/>
    <w:rsid w:val="00263AC7"/>
    <w:rsid w:val="00265688"/>
    <w:rsid w:val="00267AA6"/>
    <w:rsid w:val="0027783C"/>
    <w:rsid w:val="00281642"/>
    <w:rsid w:val="00285AA5"/>
    <w:rsid w:val="00294BAE"/>
    <w:rsid w:val="002A10E1"/>
    <w:rsid w:val="002A545C"/>
    <w:rsid w:val="002A75FC"/>
    <w:rsid w:val="002B035B"/>
    <w:rsid w:val="002B1BA4"/>
    <w:rsid w:val="002B5793"/>
    <w:rsid w:val="002B5E83"/>
    <w:rsid w:val="002B73D8"/>
    <w:rsid w:val="002B7ADB"/>
    <w:rsid w:val="002C521E"/>
    <w:rsid w:val="002D3374"/>
    <w:rsid w:val="002D3F50"/>
    <w:rsid w:val="002E06D0"/>
    <w:rsid w:val="002E2D0A"/>
    <w:rsid w:val="002E3DB0"/>
    <w:rsid w:val="002E41DF"/>
    <w:rsid w:val="002E7D44"/>
    <w:rsid w:val="002F0BD0"/>
    <w:rsid w:val="002F0E3F"/>
    <w:rsid w:val="002F1CE6"/>
    <w:rsid w:val="002F2B06"/>
    <w:rsid w:val="002F3295"/>
    <w:rsid w:val="002F39AC"/>
    <w:rsid w:val="002F4D36"/>
    <w:rsid w:val="002F6D2D"/>
    <w:rsid w:val="00300194"/>
    <w:rsid w:val="003006DA"/>
    <w:rsid w:val="00300DD1"/>
    <w:rsid w:val="00301857"/>
    <w:rsid w:val="00301BD0"/>
    <w:rsid w:val="00301DC4"/>
    <w:rsid w:val="00304832"/>
    <w:rsid w:val="00305677"/>
    <w:rsid w:val="00306462"/>
    <w:rsid w:val="0031452D"/>
    <w:rsid w:val="00323A15"/>
    <w:rsid w:val="00325D8E"/>
    <w:rsid w:val="00330DCB"/>
    <w:rsid w:val="00331030"/>
    <w:rsid w:val="00333B73"/>
    <w:rsid w:val="00337A9E"/>
    <w:rsid w:val="00337C44"/>
    <w:rsid w:val="0034153F"/>
    <w:rsid w:val="0034330D"/>
    <w:rsid w:val="00345584"/>
    <w:rsid w:val="00345C7A"/>
    <w:rsid w:val="00347446"/>
    <w:rsid w:val="00352152"/>
    <w:rsid w:val="003564F9"/>
    <w:rsid w:val="0035661E"/>
    <w:rsid w:val="00357020"/>
    <w:rsid w:val="00357211"/>
    <w:rsid w:val="003579EF"/>
    <w:rsid w:val="003611FB"/>
    <w:rsid w:val="0036206C"/>
    <w:rsid w:val="0036248F"/>
    <w:rsid w:val="00364E2E"/>
    <w:rsid w:val="00370114"/>
    <w:rsid w:val="003813DA"/>
    <w:rsid w:val="00386A2E"/>
    <w:rsid w:val="0038749D"/>
    <w:rsid w:val="00392D3E"/>
    <w:rsid w:val="00395772"/>
    <w:rsid w:val="00395964"/>
    <w:rsid w:val="003974E2"/>
    <w:rsid w:val="003A25DA"/>
    <w:rsid w:val="003A2C50"/>
    <w:rsid w:val="003A3F19"/>
    <w:rsid w:val="003A42FC"/>
    <w:rsid w:val="003A4BEB"/>
    <w:rsid w:val="003B158B"/>
    <w:rsid w:val="003B3EED"/>
    <w:rsid w:val="003B5569"/>
    <w:rsid w:val="003C44A9"/>
    <w:rsid w:val="003C640D"/>
    <w:rsid w:val="003C6B8B"/>
    <w:rsid w:val="003C6F1C"/>
    <w:rsid w:val="003D6C86"/>
    <w:rsid w:val="003D7BE6"/>
    <w:rsid w:val="003E22B9"/>
    <w:rsid w:val="003E5EAB"/>
    <w:rsid w:val="003F18D8"/>
    <w:rsid w:val="003F3D02"/>
    <w:rsid w:val="003F4EA5"/>
    <w:rsid w:val="003F6AFD"/>
    <w:rsid w:val="003F6F60"/>
    <w:rsid w:val="003F7300"/>
    <w:rsid w:val="0040461A"/>
    <w:rsid w:val="00404FB5"/>
    <w:rsid w:val="00410CAF"/>
    <w:rsid w:val="00411965"/>
    <w:rsid w:val="00413708"/>
    <w:rsid w:val="00413A51"/>
    <w:rsid w:val="004143FA"/>
    <w:rsid w:val="0041734E"/>
    <w:rsid w:val="00417F2C"/>
    <w:rsid w:val="00425C88"/>
    <w:rsid w:val="00426000"/>
    <w:rsid w:val="004309EA"/>
    <w:rsid w:val="00433AEF"/>
    <w:rsid w:val="00434D2C"/>
    <w:rsid w:val="0043602A"/>
    <w:rsid w:val="004361D9"/>
    <w:rsid w:val="00436A11"/>
    <w:rsid w:val="00437348"/>
    <w:rsid w:val="004404F6"/>
    <w:rsid w:val="00441C0F"/>
    <w:rsid w:val="00442808"/>
    <w:rsid w:val="00445DEF"/>
    <w:rsid w:val="004465A0"/>
    <w:rsid w:val="00450F8D"/>
    <w:rsid w:val="00456F01"/>
    <w:rsid w:val="00460FD9"/>
    <w:rsid w:val="004619C7"/>
    <w:rsid w:val="00463365"/>
    <w:rsid w:val="00463440"/>
    <w:rsid w:val="00466591"/>
    <w:rsid w:val="00466A61"/>
    <w:rsid w:val="00475F52"/>
    <w:rsid w:val="00481DE0"/>
    <w:rsid w:val="004820F2"/>
    <w:rsid w:val="00484603"/>
    <w:rsid w:val="00494E47"/>
    <w:rsid w:val="00495202"/>
    <w:rsid w:val="004A04CE"/>
    <w:rsid w:val="004A0E4A"/>
    <w:rsid w:val="004A27B1"/>
    <w:rsid w:val="004A47D9"/>
    <w:rsid w:val="004A5421"/>
    <w:rsid w:val="004A70C4"/>
    <w:rsid w:val="004B279A"/>
    <w:rsid w:val="004B2A45"/>
    <w:rsid w:val="004B458A"/>
    <w:rsid w:val="004B5502"/>
    <w:rsid w:val="004C381B"/>
    <w:rsid w:val="004C65EE"/>
    <w:rsid w:val="004D6B79"/>
    <w:rsid w:val="004E2733"/>
    <w:rsid w:val="004E5E19"/>
    <w:rsid w:val="004F26AD"/>
    <w:rsid w:val="004F5D89"/>
    <w:rsid w:val="004F61AF"/>
    <w:rsid w:val="0050329C"/>
    <w:rsid w:val="00506A36"/>
    <w:rsid w:val="00507960"/>
    <w:rsid w:val="00510817"/>
    <w:rsid w:val="00515E37"/>
    <w:rsid w:val="005222CB"/>
    <w:rsid w:val="005230E3"/>
    <w:rsid w:val="0053098C"/>
    <w:rsid w:val="00533B1D"/>
    <w:rsid w:val="00537178"/>
    <w:rsid w:val="00542766"/>
    <w:rsid w:val="00545A24"/>
    <w:rsid w:val="00547DE6"/>
    <w:rsid w:val="00552072"/>
    <w:rsid w:val="00553054"/>
    <w:rsid w:val="005532EF"/>
    <w:rsid w:val="00553B49"/>
    <w:rsid w:val="00554E09"/>
    <w:rsid w:val="005609B5"/>
    <w:rsid w:val="005622A5"/>
    <w:rsid w:val="00563F70"/>
    <w:rsid w:val="00566E58"/>
    <w:rsid w:val="00567228"/>
    <w:rsid w:val="00581499"/>
    <w:rsid w:val="00582AA0"/>
    <w:rsid w:val="00585D08"/>
    <w:rsid w:val="00586921"/>
    <w:rsid w:val="00587FCE"/>
    <w:rsid w:val="00593477"/>
    <w:rsid w:val="0059529D"/>
    <w:rsid w:val="005957A6"/>
    <w:rsid w:val="00596BEA"/>
    <w:rsid w:val="005A1347"/>
    <w:rsid w:val="005A6275"/>
    <w:rsid w:val="005A6B55"/>
    <w:rsid w:val="005B2871"/>
    <w:rsid w:val="005B4D00"/>
    <w:rsid w:val="005B5333"/>
    <w:rsid w:val="005B69FA"/>
    <w:rsid w:val="005B6BC0"/>
    <w:rsid w:val="005B7153"/>
    <w:rsid w:val="005C3B68"/>
    <w:rsid w:val="005C4AF8"/>
    <w:rsid w:val="005D0B79"/>
    <w:rsid w:val="005D303D"/>
    <w:rsid w:val="005D68DF"/>
    <w:rsid w:val="005D6929"/>
    <w:rsid w:val="005E7397"/>
    <w:rsid w:val="005F0429"/>
    <w:rsid w:val="005F13C6"/>
    <w:rsid w:val="005F266B"/>
    <w:rsid w:val="005F6932"/>
    <w:rsid w:val="00601E30"/>
    <w:rsid w:val="00603FB5"/>
    <w:rsid w:val="006050F5"/>
    <w:rsid w:val="006068A7"/>
    <w:rsid w:val="00615F2D"/>
    <w:rsid w:val="00624385"/>
    <w:rsid w:val="00626DEF"/>
    <w:rsid w:val="00631AAB"/>
    <w:rsid w:val="00632B29"/>
    <w:rsid w:val="00640F84"/>
    <w:rsid w:val="006435E7"/>
    <w:rsid w:val="00644BF3"/>
    <w:rsid w:val="00644D16"/>
    <w:rsid w:val="00646F8A"/>
    <w:rsid w:val="006507C4"/>
    <w:rsid w:val="00650AB6"/>
    <w:rsid w:val="00650D53"/>
    <w:rsid w:val="00652263"/>
    <w:rsid w:val="00654BF3"/>
    <w:rsid w:val="00662542"/>
    <w:rsid w:val="00662C43"/>
    <w:rsid w:val="00665AE6"/>
    <w:rsid w:val="00666DD8"/>
    <w:rsid w:val="006741E4"/>
    <w:rsid w:val="00682761"/>
    <w:rsid w:val="006851E6"/>
    <w:rsid w:val="0068637E"/>
    <w:rsid w:val="0069162C"/>
    <w:rsid w:val="00694AEC"/>
    <w:rsid w:val="006A32F4"/>
    <w:rsid w:val="006A5453"/>
    <w:rsid w:val="006B027B"/>
    <w:rsid w:val="006B0532"/>
    <w:rsid w:val="006B1AA9"/>
    <w:rsid w:val="006B49EA"/>
    <w:rsid w:val="006B697F"/>
    <w:rsid w:val="006B7AE2"/>
    <w:rsid w:val="006C002C"/>
    <w:rsid w:val="006C0251"/>
    <w:rsid w:val="006C30F7"/>
    <w:rsid w:val="006C6F82"/>
    <w:rsid w:val="006D1376"/>
    <w:rsid w:val="006D1558"/>
    <w:rsid w:val="006D4F2B"/>
    <w:rsid w:val="006E0369"/>
    <w:rsid w:val="006F0654"/>
    <w:rsid w:val="006F0F9A"/>
    <w:rsid w:val="006F5CF2"/>
    <w:rsid w:val="0070030B"/>
    <w:rsid w:val="00703828"/>
    <w:rsid w:val="007044F1"/>
    <w:rsid w:val="007055D1"/>
    <w:rsid w:val="00706E07"/>
    <w:rsid w:val="00707A90"/>
    <w:rsid w:val="00707CE3"/>
    <w:rsid w:val="00712CD5"/>
    <w:rsid w:val="00713562"/>
    <w:rsid w:val="00713AFD"/>
    <w:rsid w:val="00713DFD"/>
    <w:rsid w:val="007209C1"/>
    <w:rsid w:val="00721015"/>
    <w:rsid w:val="00721966"/>
    <w:rsid w:val="00733FB0"/>
    <w:rsid w:val="00740BEE"/>
    <w:rsid w:val="007452F7"/>
    <w:rsid w:val="007503EA"/>
    <w:rsid w:val="00750B9A"/>
    <w:rsid w:val="007516F4"/>
    <w:rsid w:val="00752A9F"/>
    <w:rsid w:val="007629B1"/>
    <w:rsid w:val="00763A81"/>
    <w:rsid w:val="0076617D"/>
    <w:rsid w:val="00767708"/>
    <w:rsid w:val="007721DF"/>
    <w:rsid w:val="00776536"/>
    <w:rsid w:val="007810F6"/>
    <w:rsid w:val="00785C3B"/>
    <w:rsid w:val="0079151F"/>
    <w:rsid w:val="00795F65"/>
    <w:rsid w:val="00796B67"/>
    <w:rsid w:val="007A03D1"/>
    <w:rsid w:val="007A0D20"/>
    <w:rsid w:val="007A1F78"/>
    <w:rsid w:val="007A2CDA"/>
    <w:rsid w:val="007B1B52"/>
    <w:rsid w:val="007B231A"/>
    <w:rsid w:val="007B501E"/>
    <w:rsid w:val="007B5E26"/>
    <w:rsid w:val="007B7BE1"/>
    <w:rsid w:val="007C04B1"/>
    <w:rsid w:val="007C140D"/>
    <w:rsid w:val="007C614A"/>
    <w:rsid w:val="007D0F74"/>
    <w:rsid w:val="007D3BEA"/>
    <w:rsid w:val="007D3F04"/>
    <w:rsid w:val="007E0AA7"/>
    <w:rsid w:val="007E1281"/>
    <w:rsid w:val="007E2ABA"/>
    <w:rsid w:val="007E488B"/>
    <w:rsid w:val="007E58CE"/>
    <w:rsid w:val="007E64F5"/>
    <w:rsid w:val="007F6D27"/>
    <w:rsid w:val="00800499"/>
    <w:rsid w:val="00800926"/>
    <w:rsid w:val="00800DA1"/>
    <w:rsid w:val="00801257"/>
    <w:rsid w:val="00802FEE"/>
    <w:rsid w:val="00805568"/>
    <w:rsid w:val="00815E30"/>
    <w:rsid w:val="0081678F"/>
    <w:rsid w:val="00825B40"/>
    <w:rsid w:val="008301C3"/>
    <w:rsid w:val="00830615"/>
    <w:rsid w:val="0083081F"/>
    <w:rsid w:val="00832046"/>
    <w:rsid w:val="008331B0"/>
    <w:rsid w:val="00842D03"/>
    <w:rsid w:val="00843909"/>
    <w:rsid w:val="00851FA0"/>
    <w:rsid w:val="00856B61"/>
    <w:rsid w:val="00857E23"/>
    <w:rsid w:val="0086376C"/>
    <w:rsid w:val="00876FAB"/>
    <w:rsid w:val="00877B4A"/>
    <w:rsid w:val="00884E78"/>
    <w:rsid w:val="008855AF"/>
    <w:rsid w:val="008901FE"/>
    <w:rsid w:val="00892659"/>
    <w:rsid w:val="00896A23"/>
    <w:rsid w:val="00897161"/>
    <w:rsid w:val="008A1361"/>
    <w:rsid w:val="008A340B"/>
    <w:rsid w:val="008A4B5E"/>
    <w:rsid w:val="008B01D6"/>
    <w:rsid w:val="008B0216"/>
    <w:rsid w:val="008B0798"/>
    <w:rsid w:val="008B24DC"/>
    <w:rsid w:val="008B4738"/>
    <w:rsid w:val="008B4896"/>
    <w:rsid w:val="008B5257"/>
    <w:rsid w:val="008C0433"/>
    <w:rsid w:val="008C114C"/>
    <w:rsid w:val="008C3133"/>
    <w:rsid w:val="008C3996"/>
    <w:rsid w:val="008C6D10"/>
    <w:rsid w:val="008C762F"/>
    <w:rsid w:val="008D3DFF"/>
    <w:rsid w:val="008D4469"/>
    <w:rsid w:val="008D5A3B"/>
    <w:rsid w:val="008D642E"/>
    <w:rsid w:val="008E0AAC"/>
    <w:rsid w:val="008E4D41"/>
    <w:rsid w:val="008E76B6"/>
    <w:rsid w:val="008E793E"/>
    <w:rsid w:val="008F51FA"/>
    <w:rsid w:val="008F5A12"/>
    <w:rsid w:val="00901B8F"/>
    <w:rsid w:val="00901F12"/>
    <w:rsid w:val="00902FE4"/>
    <w:rsid w:val="009056EE"/>
    <w:rsid w:val="00905BF0"/>
    <w:rsid w:val="00910A92"/>
    <w:rsid w:val="009145F4"/>
    <w:rsid w:val="0091559B"/>
    <w:rsid w:val="0091757B"/>
    <w:rsid w:val="0091792E"/>
    <w:rsid w:val="009220C6"/>
    <w:rsid w:val="009234EB"/>
    <w:rsid w:val="00926584"/>
    <w:rsid w:val="009275F7"/>
    <w:rsid w:val="0093078A"/>
    <w:rsid w:val="009310FC"/>
    <w:rsid w:val="00933ADB"/>
    <w:rsid w:val="00935767"/>
    <w:rsid w:val="00944BA9"/>
    <w:rsid w:val="00946840"/>
    <w:rsid w:val="0095404E"/>
    <w:rsid w:val="00954BC8"/>
    <w:rsid w:val="00957210"/>
    <w:rsid w:val="00961997"/>
    <w:rsid w:val="00961F45"/>
    <w:rsid w:val="00962D4B"/>
    <w:rsid w:val="00962ED2"/>
    <w:rsid w:val="009632DB"/>
    <w:rsid w:val="0096394B"/>
    <w:rsid w:val="009672C7"/>
    <w:rsid w:val="009715DA"/>
    <w:rsid w:val="009715EF"/>
    <w:rsid w:val="00981EC3"/>
    <w:rsid w:val="00984FFF"/>
    <w:rsid w:val="0098529D"/>
    <w:rsid w:val="009856D0"/>
    <w:rsid w:val="00987A5F"/>
    <w:rsid w:val="00987C30"/>
    <w:rsid w:val="009A6E31"/>
    <w:rsid w:val="009B2BC3"/>
    <w:rsid w:val="009B601C"/>
    <w:rsid w:val="009B6510"/>
    <w:rsid w:val="009C1BEB"/>
    <w:rsid w:val="009C6D7E"/>
    <w:rsid w:val="009D2ACD"/>
    <w:rsid w:val="009D2EB1"/>
    <w:rsid w:val="009D4004"/>
    <w:rsid w:val="009D4346"/>
    <w:rsid w:val="009D4A4C"/>
    <w:rsid w:val="009D64E1"/>
    <w:rsid w:val="009D74AE"/>
    <w:rsid w:val="009E1AAA"/>
    <w:rsid w:val="009E68DD"/>
    <w:rsid w:val="009E7C20"/>
    <w:rsid w:val="009F01C1"/>
    <w:rsid w:val="009F134F"/>
    <w:rsid w:val="009F34A0"/>
    <w:rsid w:val="009F38ED"/>
    <w:rsid w:val="009F5F84"/>
    <w:rsid w:val="009F614F"/>
    <w:rsid w:val="00A04A88"/>
    <w:rsid w:val="00A11DE5"/>
    <w:rsid w:val="00A13FCA"/>
    <w:rsid w:val="00A141EA"/>
    <w:rsid w:val="00A17FF9"/>
    <w:rsid w:val="00A22496"/>
    <w:rsid w:val="00A32CAE"/>
    <w:rsid w:val="00A35FE0"/>
    <w:rsid w:val="00A4062E"/>
    <w:rsid w:val="00A43399"/>
    <w:rsid w:val="00A436F1"/>
    <w:rsid w:val="00A510E8"/>
    <w:rsid w:val="00A52917"/>
    <w:rsid w:val="00A533E4"/>
    <w:rsid w:val="00A63B41"/>
    <w:rsid w:val="00A64110"/>
    <w:rsid w:val="00A64896"/>
    <w:rsid w:val="00A6509A"/>
    <w:rsid w:val="00A74714"/>
    <w:rsid w:val="00A74E2F"/>
    <w:rsid w:val="00A839F8"/>
    <w:rsid w:val="00A90121"/>
    <w:rsid w:val="00A92C85"/>
    <w:rsid w:val="00A9389C"/>
    <w:rsid w:val="00A95E77"/>
    <w:rsid w:val="00A965A3"/>
    <w:rsid w:val="00A97C19"/>
    <w:rsid w:val="00AA0635"/>
    <w:rsid w:val="00AB663C"/>
    <w:rsid w:val="00AB7EDD"/>
    <w:rsid w:val="00AC1169"/>
    <w:rsid w:val="00AC2A71"/>
    <w:rsid w:val="00AC3863"/>
    <w:rsid w:val="00AC38D4"/>
    <w:rsid w:val="00AC68B3"/>
    <w:rsid w:val="00AD0718"/>
    <w:rsid w:val="00AD14AA"/>
    <w:rsid w:val="00AD1EEA"/>
    <w:rsid w:val="00AD2401"/>
    <w:rsid w:val="00AE33FA"/>
    <w:rsid w:val="00AE50D5"/>
    <w:rsid w:val="00AE6D17"/>
    <w:rsid w:val="00AF0321"/>
    <w:rsid w:val="00AF1109"/>
    <w:rsid w:val="00AF1C0E"/>
    <w:rsid w:val="00AF79D6"/>
    <w:rsid w:val="00B00D37"/>
    <w:rsid w:val="00B01E9E"/>
    <w:rsid w:val="00B034B7"/>
    <w:rsid w:val="00B035C6"/>
    <w:rsid w:val="00B04158"/>
    <w:rsid w:val="00B0422B"/>
    <w:rsid w:val="00B06A2A"/>
    <w:rsid w:val="00B07419"/>
    <w:rsid w:val="00B076E7"/>
    <w:rsid w:val="00B14244"/>
    <w:rsid w:val="00B16318"/>
    <w:rsid w:val="00B22FA4"/>
    <w:rsid w:val="00B23001"/>
    <w:rsid w:val="00B2611D"/>
    <w:rsid w:val="00B3360A"/>
    <w:rsid w:val="00B406F2"/>
    <w:rsid w:val="00B45888"/>
    <w:rsid w:val="00B50281"/>
    <w:rsid w:val="00B52FBF"/>
    <w:rsid w:val="00B5392E"/>
    <w:rsid w:val="00B55CEA"/>
    <w:rsid w:val="00B67723"/>
    <w:rsid w:val="00B71682"/>
    <w:rsid w:val="00B7359B"/>
    <w:rsid w:val="00B73F73"/>
    <w:rsid w:val="00B83021"/>
    <w:rsid w:val="00B83419"/>
    <w:rsid w:val="00B84F38"/>
    <w:rsid w:val="00B86B73"/>
    <w:rsid w:val="00B86ECB"/>
    <w:rsid w:val="00B90F17"/>
    <w:rsid w:val="00B92C6B"/>
    <w:rsid w:val="00B94B85"/>
    <w:rsid w:val="00BA1A39"/>
    <w:rsid w:val="00BA230E"/>
    <w:rsid w:val="00BA34C5"/>
    <w:rsid w:val="00BA51F1"/>
    <w:rsid w:val="00BA7085"/>
    <w:rsid w:val="00BA79E0"/>
    <w:rsid w:val="00BB1982"/>
    <w:rsid w:val="00BB690F"/>
    <w:rsid w:val="00BB6A9B"/>
    <w:rsid w:val="00BC00F4"/>
    <w:rsid w:val="00BC1B58"/>
    <w:rsid w:val="00BC3DF3"/>
    <w:rsid w:val="00BC5C8C"/>
    <w:rsid w:val="00BC5EC3"/>
    <w:rsid w:val="00BD06BB"/>
    <w:rsid w:val="00BD28DC"/>
    <w:rsid w:val="00BD77C9"/>
    <w:rsid w:val="00BE3085"/>
    <w:rsid w:val="00BE35DD"/>
    <w:rsid w:val="00BE53C4"/>
    <w:rsid w:val="00BE5B97"/>
    <w:rsid w:val="00BF3726"/>
    <w:rsid w:val="00BF4B50"/>
    <w:rsid w:val="00BF5661"/>
    <w:rsid w:val="00BF63E7"/>
    <w:rsid w:val="00BF7510"/>
    <w:rsid w:val="00C03A71"/>
    <w:rsid w:val="00C12B4B"/>
    <w:rsid w:val="00C15E4E"/>
    <w:rsid w:val="00C16FDB"/>
    <w:rsid w:val="00C2097E"/>
    <w:rsid w:val="00C243D9"/>
    <w:rsid w:val="00C24C29"/>
    <w:rsid w:val="00C25ED0"/>
    <w:rsid w:val="00C32F3A"/>
    <w:rsid w:val="00C41BFB"/>
    <w:rsid w:val="00C4249D"/>
    <w:rsid w:val="00C43723"/>
    <w:rsid w:val="00C44E81"/>
    <w:rsid w:val="00C46766"/>
    <w:rsid w:val="00C47DB6"/>
    <w:rsid w:val="00C5043B"/>
    <w:rsid w:val="00C661A3"/>
    <w:rsid w:val="00C66580"/>
    <w:rsid w:val="00C6682E"/>
    <w:rsid w:val="00C72CEF"/>
    <w:rsid w:val="00C73928"/>
    <w:rsid w:val="00C76A32"/>
    <w:rsid w:val="00C77B9E"/>
    <w:rsid w:val="00C86DB4"/>
    <w:rsid w:val="00C96153"/>
    <w:rsid w:val="00C96DC2"/>
    <w:rsid w:val="00CA0866"/>
    <w:rsid w:val="00CA333E"/>
    <w:rsid w:val="00CA36FA"/>
    <w:rsid w:val="00CA4BEB"/>
    <w:rsid w:val="00CA5C5A"/>
    <w:rsid w:val="00CA5F27"/>
    <w:rsid w:val="00CB2A81"/>
    <w:rsid w:val="00CB731F"/>
    <w:rsid w:val="00CC64DD"/>
    <w:rsid w:val="00CC6F2E"/>
    <w:rsid w:val="00CC7CC6"/>
    <w:rsid w:val="00CD1EFA"/>
    <w:rsid w:val="00CD253D"/>
    <w:rsid w:val="00CD3F4A"/>
    <w:rsid w:val="00CD5D7F"/>
    <w:rsid w:val="00CD7D35"/>
    <w:rsid w:val="00CE4C6B"/>
    <w:rsid w:val="00CF2016"/>
    <w:rsid w:val="00CF21A2"/>
    <w:rsid w:val="00CF3180"/>
    <w:rsid w:val="00D00B1D"/>
    <w:rsid w:val="00D00EFA"/>
    <w:rsid w:val="00D02774"/>
    <w:rsid w:val="00D07F2E"/>
    <w:rsid w:val="00D116D9"/>
    <w:rsid w:val="00D12EA8"/>
    <w:rsid w:val="00D144E2"/>
    <w:rsid w:val="00D31DA9"/>
    <w:rsid w:val="00D41F44"/>
    <w:rsid w:val="00D51B91"/>
    <w:rsid w:val="00D51FB4"/>
    <w:rsid w:val="00D56D6F"/>
    <w:rsid w:val="00D6341C"/>
    <w:rsid w:val="00D63ED7"/>
    <w:rsid w:val="00D67572"/>
    <w:rsid w:val="00D7007F"/>
    <w:rsid w:val="00D76331"/>
    <w:rsid w:val="00D77F11"/>
    <w:rsid w:val="00D803E3"/>
    <w:rsid w:val="00D807A2"/>
    <w:rsid w:val="00D81367"/>
    <w:rsid w:val="00D92576"/>
    <w:rsid w:val="00D9360F"/>
    <w:rsid w:val="00D971B5"/>
    <w:rsid w:val="00DA1428"/>
    <w:rsid w:val="00DA386A"/>
    <w:rsid w:val="00DB1FA1"/>
    <w:rsid w:val="00DB29A2"/>
    <w:rsid w:val="00DB3C67"/>
    <w:rsid w:val="00DB6D21"/>
    <w:rsid w:val="00DC0E51"/>
    <w:rsid w:val="00DC11E6"/>
    <w:rsid w:val="00DC6336"/>
    <w:rsid w:val="00DD06A3"/>
    <w:rsid w:val="00DD1991"/>
    <w:rsid w:val="00DD4AB9"/>
    <w:rsid w:val="00DD4EF2"/>
    <w:rsid w:val="00DE38A5"/>
    <w:rsid w:val="00DF1E32"/>
    <w:rsid w:val="00DF5216"/>
    <w:rsid w:val="00DF527B"/>
    <w:rsid w:val="00DF5A36"/>
    <w:rsid w:val="00E00CF7"/>
    <w:rsid w:val="00E07957"/>
    <w:rsid w:val="00E10188"/>
    <w:rsid w:val="00E1191F"/>
    <w:rsid w:val="00E11BFC"/>
    <w:rsid w:val="00E14775"/>
    <w:rsid w:val="00E15BFB"/>
    <w:rsid w:val="00E16429"/>
    <w:rsid w:val="00E169DD"/>
    <w:rsid w:val="00E21848"/>
    <w:rsid w:val="00E222DE"/>
    <w:rsid w:val="00E23B0E"/>
    <w:rsid w:val="00E318F7"/>
    <w:rsid w:val="00E32884"/>
    <w:rsid w:val="00E3496F"/>
    <w:rsid w:val="00E37BC0"/>
    <w:rsid w:val="00E410E5"/>
    <w:rsid w:val="00E432C6"/>
    <w:rsid w:val="00E4663E"/>
    <w:rsid w:val="00E547FB"/>
    <w:rsid w:val="00E57407"/>
    <w:rsid w:val="00E62B65"/>
    <w:rsid w:val="00E63308"/>
    <w:rsid w:val="00E66C81"/>
    <w:rsid w:val="00E673C3"/>
    <w:rsid w:val="00E70396"/>
    <w:rsid w:val="00E71C31"/>
    <w:rsid w:val="00E7302D"/>
    <w:rsid w:val="00E7332E"/>
    <w:rsid w:val="00E77244"/>
    <w:rsid w:val="00E80AB5"/>
    <w:rsid w:val="00E80DCE"/>
    <w:rsid w:val="00E86F90"/>
    <w:rsid w:val="00E92E91"/>
    <w:rsid w:val="00E93B06"/>
    <w:rsid w:val="00E947A9"/>
    <w:rsid w:val="00E9552E"/>
    <w:rsid w:val="00E957C8"/>
    <w:rsid w:val="00E97D39"/>
    <w:rsid w:val="00EA0A87"/>
    <w:rsid w:val="00EA10B0"/>
    <w:rsid w:val="00EA1B74"/>
    <w:rsid w:val="00EA2A78"/>
    <w:rsid w:val="00EA7A5E"/>
    <w:rsid w:val="00EB0254"/>
    <w:rsid w:val="00EB780D"/>
    <w:rsid w:val="00EC1032"/>
    <w:rsid w:val="00EC21AC"/>
    <w:rsid w:val="00EC2729"/>
    <w:rsid w:val="00EC321D"/>
    <w:rsid w:val="00EC3681"/>
    <w:rsid w:val="00EC47FE"/>
    <w:rsid w:val="00EC54C3"/>
    <w:rsid w:val="00ED1B6C"/>
    <w:rsid w:val="00ED62F3"/>
    <w:rsid w:val="00EE47DD"/>
    <w:rsid w:val="00EE4E6D"/>
    <w:rsid w:val="00EE7081"/>
    <w:rsid w:val="00EF0260"/>
    <w:rsid w:val="00EF0AAD"/>
    <w:rsid w:val="00EF15F3"/>
    <w:rsid w:val="00EF236A"/>
    <w:rsid w:val="00EF5301"/>
    <w:rsid w:val="00EF6088"/>
    <w:rsid w:val="00F03AB5"/>
    <w:rsid w:val="00F14CC0"/>
    <w:rsid w:val="00F20945"/>
    <w:rsid w:val="00F25447"/>
    <w:rsid w:val="00F26DEC"/>
    <w:rsid w:val="00F31514"/>
    <w:rsid w:val="00F31D6E"/>
    <w:rsid w:val="00F31EC9"/>
    <w:rsid w:val="00F35B9F"/>
    <w:rsid w:val="00F42EA3"/>
    <w:rsid w:val="00F46508"/>
    <w:rsid w:val="00F474CE"/>
    <w:rsid w:val="00F60D56"/>
    <w:rsid w:val="00F64533"/>
    <w:rsid w:val="00F64B27"/>
    <w:rsid w:val="00F7258C"/>
    <w:rsid w:val="00F75F6B"/>
    <w:rsid w:val="00F76375"/>
    <w:rsid w:val="00F77DB5"/>
    <w:rsid w:val="00F77F55"/>
    <w:rsid w:val="00F81B87"/>
    <w:rsid w:val="00F81FEA"/>
    <w:rsid w:val="00F856A6"/>
    <w:rsid w:val="00F85ED9"/>
    <w:rsid w:val="00F86A71"/>
    <w:rsid w:val="00F90642"/>
    <w:rsid w:val="00F9142D"/>
    <w:rsid w:val="00F91643"/>
    <w:rsid w:val="00F91986"/>
    <w:rsid w:val="00F94D4C"/>
    <w:rsid w:val="00F95BC6"/>
    <w:rsid w:val="00F960BF"/>
    <w:rsid w:val="00F97401"/>
    <w:rsid w:val="00FA4780"/>
    <w:rsid w:val="00FA65CA"/>
    <w:rsid w:val="00FB1C69"/>
    <w:rsid w:val="00FB4C89"/>
    <w:rsid w:val="00FB59C1"/>
    <w:rsid w:val="00FC02E3"/>
    <w:rsid w:val="00FC32C7"/>
    <w:rsid w:val="00FC3721"/>
    <w:rsid w:val="00FC48E9"/>
    <w:rsid w:val="00FC4953"/>
    <w:rsid w:val="00FC4DDF"/>
    <w:rsid w:val="00FC69F6"/>
    <w:rsid w:val="00FD15B1"/>
    <w:rsid w:val="00FD15E4"/>
    <w:rsid w:val="00FD4233"/>
    <w:rsid w:val="00FD5C85"/>
    <w:rsid w:val="00FD5DD6"/>
    <w:rsid w:val="00FD655E"/>
    <w:rsid w:val="00FD7AE5"/>
    <w:rsid w:val="00FE184D"/>
    <w:rsid w:val="00FE36A3"/>
    <w:rsid w:val="00FE6340"/>
    <w:rsid w:val="00FF01BD"/>
    <w:rsid w:val="00FF3EA3"/>
    <w:rsid w:val="00FF653E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104450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tetext0">
    <w:name w:val="notetext"/>
    <w:basedOn w:val="Normal"/>
    <w:rsid w:val="005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para0">
    <w:name w:val="notepara0"/>
    <w:basedOn w:val="Normal"/>
    <w:rsid w:val="005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4663E"/>
    <w:rPr>
      <w:color w:val="605E5C"/>
      <w:shd w:val="clear" w:color="auto" w:fill="E1DFDD"/>
    </w:rPr>
  </w:style>
  <w:style w:type="paragraph" w:customStyle="1" w:styleId="transitional">
    <w:name w:val="transitional"/>
    <w:basedOn w:val="Normal"/>
    <w:rsid w:val="0085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41B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header" Target="header18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andards.org.au" TargetMode="External"/><Relationship Id="rId34" Type="http://schemas.openxmlformats.org/officeDocument/2006/relationships/header" Target="header13.xml"/><Relationship Id="rId42" Type="http://schemas.openxmlformats.org/officeDocument/2006/relationships/header" Target="header2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yperlink" Target="http://www.legislation.gov.au" TargetMode="External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://www.arpansa.gov.au" TargetMode="External"/><Relationship Id="rId29" Type="http://schemas.openxmlformats.org/officeDocument/2006/relationships/hyperlink" Target="http://www.arpansa.gov.au" TargetMode="External"/><Relationship Id="rId41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tandards.org.au" TargetMode="Externa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header" Target="header19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standards.org.au" TargetMode="External"/><Relationship Id="rId28" Type="http://schemas.openxmlformats.org/officeDocument/2006/relationships/header" Target="header8.xml"/><Relationship Id="rId36" Type="http://schemas.openxmlformats.org/officeDocument/2006/relationships/header" Target="header1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4" Type="http://schemas.openxmlformats.org/officeDocument/2006/relationships/header" Target="header2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standards.ieee.org/" TargetMode="Externa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UQVA7MFFXVNW-343728570-1889</_dlc_DocId>
    <_dlc_DocIdUrl xmlns="04b8ec43-391f-4ce4-8841-d6a482add564">
      <Url>http://collaboration/organisation/auth/Chair/Auth/_layouts/15/DocIdRedir.aspx?ID=UQVA7MFFXVNW-343728570-1889</Url>
      <Description>UQVA7MFFXVNW-343728570-1889</Description>
    </_dlc_DocIdUrl>
    <Category xmlns="026d8262-4725-4a9c-834e-3f991ab17ffd">(none)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B7C4F-351F-4431-BF9D-9D70D2DFD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967453-854C-4CCB-9E66-5EDE296D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6</cp:revision>
  <cp:lastPrinted>2016-10-19T23:00:00Z</cp:lastPrinted>
  <dcterms:created xsi:type="dcterms:W3CDTF">2021-11-12T04:50:00Z</dcterms:created>
  <dcterms:modified xsi:type="dcterms:W3CDTF">2021-11-15T00:34:00Z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b716e6e0-520a-4119-8faa-4abdb5962522</vt:lpwstr>
  </property>
</Properties>
</file>