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482849D3" w:rsidR="00297A80" w:rsidRDefault="00B54E23" w:rsidP="00297A80">
      <w:pPr>
        <w:jc w:val="center"/>
        <w:rPr>
          <w:rFonts w:ascii="Arial" w:hAnsi="Arial" w:cs="Arial"/>
          <w:i/>
        </w:rPr>
      </w:pPr>
      <w:r>
        <w:rPr>
          <w:rFonts w:ascii="Arial" w:hAnsi="Arial" w:cs="Arial"/>
          <w:i/>
        </w:rPr>
        <w:t>Eddystone Point</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101573" w:rsidRPr="00C344C7">
        <w:rPr>
          <w:rFonts w:ascii="Arial" w:hAnsi="Arial" w:cs="Arial"/>
          <w:i/>
        </w:rPr>
        <w:t>1</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D16F22">
        <w:rPr>
          <w:rFonts w:ascii="Arial" w:hAnsi="Arial" w:cs="Arial"/>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4C59AEBC" w:rsidR="009B2D21" w:rsidRDefault="004D126D" w:rsidP="00B13442">
      <w:pPr>
        <w:jc w:val="both"/>
        <w:rPr>
          <w:rFonts w:ascii="Arial" w:hAnsi="Arial" w:cs="Arial"/>
        </w:rPr>
      </w:pPr>
      <w:r>
        <w:rPr>
          <w:rFonts w:ascii="Arial" w:hAnsi="Arial" w:cs="Arial"/>
        </w:rPr>
        <w:t xml:space="preserve">The </w:t>
      </w:r>
      <w:r w:rsidR="00B13442">
        <w:rPr>
          <w:rFonts w:ascii="Arial" w:hAnsi="Arial" w:cs="Arial"/>
        </w:rPr>
        <w:t>Eddystone Point Lighthouse and adjacent land is currently owned by the State of Tasmania</w:t>
      </w:r>
      <w:r>
        <w:rPr>
          <w:rFonts w:ascii="Arial" w:hAnsi="Arial" w:cs="Arial"/>
        </w:rPr>
        <w:t>. However</w:t>
      </w:r>
      <w:r w:rsidR="00B13442">
        <w:rPr>
          <w:rFonts w:ascii="Arial" w:hAnsi="Arial" w:cs="Arial"/>
        </w:rPr>
        <w:t xml:space="preserve">, </w:t>
      </w:r>
      <w:r w:rsidR="00FB0252">
        <w:rPr>
          <w:rFonts w:ascii="Arial" w:hAnsi="Arial" w:cs="Arial"/>
        </w:rPr>
        <w:t xml:space="preserve">the Australian Maritime Safety </w:t>
      </w:r>
      <w:r w:rsidR="00FB0252" w:rsidRPr="00D16F22">
        <w:rPr>
          <w:rFonts w:ascii="Arial" w:hAnsi="Arial" w:cs="Arial"/>
        </w:rPr>
        <w:t>Authority (</w:t>
      </w:r>
      <w:r w:rsidR="00B13442" w:rsidRPr="00D16F22">
        <w:rPr>
          <w:rFonts w:ascii="Arial" w:hAnsi="Arial" w:cs="Arial"/>
        </w:rPr>
        <w:t>AMSA</w:t>
      </w:r>
      <w:r w:rsidR="00FB0252" w:rsidRPr="00D16F22">
        <w:rPr>
          <w:rFonts w:ascii="Arial" w:hAnsi="Arial" w:cs="Arial"/>
        </w:rPr>
        <w:t>)</w:t>
      </w:r>
      <w:r w:rsidR="00B13442" w:rsidRPr="00D16F22">
        <w:rPr>
          <w:rFonts w:ascii="Arial" w:hAnsi="Arial" w:cs="Arial"/>
        </w:rPr>
        <w:t xml:space="preserve"> </w:t>
      </w:r>
      <w:r w:rsidR="00D16F22" w:rsidRPr="00D16F22">
        <w:rPr>
          <w:rFonts w:ascii="Arial" w:hAnsi="Arial" w:cs="Arial"/>
        </w:rPr>
        <w:t>“</w:t>
      </w:r>
      <w:r w:rsidR="005B1FF1" w:rsidRPr="00D16F22">
        <w:rPr>
          <w:rFonts w:ascii="Arial" w:hAnsi="Arial" w:cs="Arial"/>
        </w:rPr>
        <w:t>controls</w:t>
      </w:r>
      <w:r w:rsidR="005B1FF1">
        <w:rPr>
          <w:rFonts w:ascii="Arial" w:hAnsi="Arial" w:cs="Arial"/>
        </w:rPr>
        <w:t xml:space="preserve">”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w:t>
      </w:r>
      <w:r w:rsidR="00D02ACA">
        <w:rPr>
          <w:rFonts w:ascii="Arial" w:hAnsi="Arial" w:cs="Arial"/>
        </w:rPr>
        <w:t>for</w:t>
      </w:r>
      <w:r w:rsidR="00B13442">
        <w:rPr>
          <w:rFonts w:ascii="Arial" w:hAnsi="Arial" w:cs="Arial"/>
        </w:rPr>
        <w:t xml:space="preserve">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the Tasmanian Parks and Wildlife </w:t>
      </w:r>
      <w:proofErr w:type="gramStart"/>
      <w:r w:rsidR="009B2D21">
        <w:rPr>
          <w:rFonts w:ascii="Arial" w:hAnsi="Arial" w:cs="Arial"/>
        </w:rPr>
        <w:t>Service</w:t>
      </w:r>
      <w:r>
        <w:rPr>
          <w:rFonts w:ascii="Arial" w:hAnsi="Arial" w:cs="Arial"/>
        </w:rPr>
        <w:t>,</w:t>
      </w:r>
      <w:r w:rsidR="009B2D21">
        <w:rPr>
          <w:rFonts w:ascii="Arial" w:hAnsi="Arial" w:cs="Arial"/>
        </w:rPr>
        <w:t xml:space="preserve"> and</w:t>
      </w:r>
      <w:proofErr w:type="gramEnd"/>
      <w:r w:rsidR="009B2D21">
        <w:rPr>
          <w:rFonts w:ascii="Arial" w:hAnsi="Arial" w:cs="Arial"/>
        </w:rPr>
        <w:t xml:space="preserve">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w:t>
      </w:r>
      <w:r w:rsidR="00D02ACA">
        <w:rPr>
          <w:rFonts w:ascii="Arial" w:hAnsi="Arial" w:cs="Arial"/>
        </w:rPr>
        <w:t>AMSA</w:t>
      </w:r>
      <w:r>
        <w:rPr>
          <w:rFonts w:ascii="Arial" w:hAnsi="Arial" w:cs="Arial"/>
        </w:rPr>
        <w:t xml:space="preserve"> </w:t>
      </w:r>
      <w:r w:rsidR="00D02ACA">
        <w:rPr>
          <w:rFonts w:ascii="Arial" w:hAnsi="Arial" w:cs="Arial"/>
        </w:rPr>
        <w:t>under</w:t>
      </w:r>
      <w:r w:rsidR="009B2D21">
        <w:rPr>
          <w:rFonts w:ascii="Arial" w:hAnsi="Arial" w:cs="Arial"/>
        </w:rPr>
        <w:t xml:space="preserve"> </w:t>
      </w:r>
      <w:r w:rsidR="005B1FF1">
        <w:rPr>
          <w:rFonts w:ascii="Arial" w:hAnsi="Arial" w:cs="Arial"/>
        </w:rPr>
        <w:t xml:space="preserve">Chapter 6, Part 5 of the </w:t>
      </w:r>
      <w:r w:rsidR="005B1FF1" w:rsidRPr="00C344C7">
        <w:rPr>
          <w:rFonts w:ascii="Arial" w:hAnsi="Arial" w:cs="Arial"/>
          <w:i/>
          <w:iCs/>
        </w:rPr>
        <w:t>Navigation Act 2012</w:t>
      </w:r>
      <w:r w:rsidR="005B1FF1">
        <w:rPr>
          <w:rFonts w:ascii="Arial" w:hAnsi="Arial" w:cs="Arial"/>
        </w:rPr>
        <w:t>.</w:t>
      </w:r>
    </w:p>
    <w:p w14:paraId="2FADDFC1" w14:textId="0C461C7C"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Pr>
          <w:rFonts w:ascii="Arial" w:hAnsi="Arial" w:cs="Arial"/>
        </w:rPr>
        <w:t>Eddystone Point</w:t>
      </w:r>
      <w:r w:rsidRPr="00BA7BB5">
        <w:rPr>
          <w:rFonts w:ascii="Arial" w:hAnsi="Arial" w:cs="Arial"/>
        </w:rPr>
        <w:t xml:space="preserve"> Lighthouse Heritage Management Plan</w:t>
      </w:r>
      <w:r>
        <w:rPr>
          <w:rFonts w:ascii="Arial" w:hAnsi="Arial" w:cs="Arial"/>
        </w:rPr>
        <w:t xml:space="preserve"> (the </w:t>
      </w:r>
      <w:r w:rsidRPr="00D16F22">
        <w:rPr>
          <w:rFonts w:ascii="Arial" w:hAnsi="Arial" w:cs="Arial"/>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Eddystone Point 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3AA40225" w14:textId="43BFC357" w:rsidR="005A68D6" w:rsidRPr="00847780" w:rsidRDefault="005A68D6" w:rsidP="005A68D6">
      <w:pPr>
        <w:autoSpaceDE w:val="0"/>
        <w:autoSpaceDN w:val="0"/>
        <w:adjustRightInd w:val="0"/>
        <w:spacing w:after="120" w:line="240" w:lineRule="auto"/>
        <w:jc w:val="both"/>
        <w:rPr>
          <w:rFonts w:ascii="Arial" w:hAnsi="Arial" w:cs="Arial"/>
          <w:szCs w:val="20"/>
        </w:rPr>
      </w:pPr>
      <w:r>
        <w:rPr>
          <w:rFonts w:ascii="Arial" w:hAnsi="Arial" w:cs="Arial"/>
          <w:szCs w:val="20"/>
        </w:rPr>
        <w:t xml:space="preserve">Built </w:t>
      </w:r>
      <w:r w:rsidRPr="00297A80">
        <w:rPr>
          <w:rFonts w:ascii="Arial" w:hAnsi="Arial" w:cs="Arial"/>
          <w:szCs w:val="20"/>
        </w:rPr>
        <w:t>in 1</w:t>
      </w:r>
      <w:r>
        <w:rPr>
          <w:rFonts w:ascii="Arial" w:hAnsi="Arial" w:cs="Arial"/>
          <w:szCs w:val="20"/>
        </w:rPr>
        <w:t>889</w:t>
      </w:r>
      <w:r w:rsidRPr="00297A80">
        <w:rPr>
          <w:rFonts w:ascii="Arial" w:hAnsi="Arial" w:cs="Arial"/>
          <w:szCs w:val="20"/>
        </w:rPr>
        <w:t xml:space="preserve">, </w:t>
      </w:r>
      <w:r>
        <w:rPr>
          <w:rFonts w:ascii="Arial" w:hAnsi="Arial" w:cs="Arial"/>
          <w:szCs w:val="20"/>
        </w:rPr>
        <w:t>Eddystone Point Lighthouse was constructed to improve vessel safety along the northern Tasmanian coastline following the trading boom of the late 19</w:t>
      </w:r>
      <w:r w:rsidRPr="000700AE">
        <w:rPr>
          <w:rFonts w:ascii="Arial" w:hAnsi="Arial" w:cs="Arial"/>
          <w:szCs w:val="20"/>
          <w:vertAlign w:val="superscript"/>
        </w:rPr>
        <w:t>th</w:t>
      </w:r>
      <w:r>
        <w:rPr>
          <w:rFonts w:ascii="Arial" w:hAnsi="Arial" w:cs="Arial"/>
          <w:szCs w:val="20"/>
        </w:rPr>
        <w:t xml:space="preserve"> century. The Lighthouse is significant for its </w:t>
      </w:r>
      <w:r w:rsidRPr="00297A80">
        <w:rPr>
          <w:rFonts w:ascii="Arial" w:hAnsi="Arial" w:cs="Arial"/>
          <w:szCs w:val="20"/>
        </w:rPr>
        <w:t xml:space="preserve">contribution to the establishment of marine </w:t>
      </w:r>
      <w:r>
        <w:rPr>
          <w:rFonts w:ascii="Arial" w:hAnsi="Arial" w:cs="Arial"/>
          <w:szCs w:val="20"/>
        </w:rPr>
        <w:t>a</w:t>
      </w:r>
      <w:r w:rsidRPr="00297A80">
        <w:rPr>
          <w:rFonts w:ascii="Arial" w:hAnsi="Arial" w:cs="Arial"/>
          <w:szCs w:val="20"/>
        </w:rPr>
        <w:t>ids</w:t>
      </w:r>
      <w:r>
        <w:rPr>
          <w:rFonts w:ascii="Arial" w:hAnsi="Arial" w:cs="Arial"/>
          <w:szCs w:val="20"/>
        </w:rPr>
        <w:t xml:space="preserve"> </w:t>
      </w:r>
      <w:r w:rsidRPr="00297A80">
        <w:rPr>
          <w:rFonts w:ascii="Arial" w:hAnsi="Arial" w:cs="Arial"/>
          <w:szCs w:val="20"/>
        </w:rPr>
        <w:t xml:space="preserve">to </w:t>
      </w:r>
      <w:r>
        <w:rPr>
          <w:rFonts w:ascii="Arial" w:hAnsi="Arial" w:cs="Arial"/>
          <w:szCs w:val="20"/>
        </w:rPr>
        <w:t>n</w:t>
      </w:r>
      <w:r w:rsidRPr="00297A80">
        <w:rPr>
          <w:rFonts w:ascii="Arial" w:hAnsi="Arial" w:cs="Arial"/>
          <w:szCs w:val="20"/>
        </w:rPr>
        <w:t xml:space="preserve">avigation </w:t>
      </w:r>
      <w:r>
        <w:rPr>
          <w:rFonts w:ascii="Arial" w:hAnsi="Arial" w:cs="Arial"/>
          <w:szCs w:val="20"/>
        </w:rPr>
        <w:t>in Bass Strait</w:t>
      </w:r>
      <w:r w:rsidRPr="00297A80">
        <w:rPr>
          <w:rFonts w:ascii="Arial" w:hAnsi="Arial" w:cs="Arial"/>
          <w:szCs w:val="20"/>
        </w:rPr>
        <w:t xml:space="preserve">, </w:t>
      </w:r>
      <w:r>
        <w:rPr>
          <w:rFonts w:ascii="Arial" w:hAnsi="Arial" w:cs="Arial"/>
          <w:szCs w:val="20"/>
        </w:rPr>
        <w:t>and for its inclusion within an intact late 19</w:t>
      </w:r>
      <w:r w:rsidRPr="00340E9C">
        <w:rPr>
          <w:rFonts w:ascii="Arial" w:hAnsi="Arial" w:cs="Arial"/>
          <w:szCs w:val="20"/>
          <w:vertAlign w:val="superscript"/>
        </w:rPr>
        <w:t>th</w:t>
      </w:r>
      <w:r>
        <w:rPr>
          <w:rFonts w:ascii="Arial" w:hAnsi="Arial" w:cs="Arial"/>
          <w:szCs w:val="20"/>
        </w:rPr>
        <w:t xml:space="preserve"> century lightstation complex. The Lighthouse is also recognised for retaining its Chance Brothers &amp; Co. lantern, </w:t>
      </w:r>
      <w:proofErr w:type="gramStart"/>
      <w:r>
        <w:rPr>
          <w:rFonts w:ascii="Arial" w:hAnsi="Arial" w:cs="Arial"/>
          <w:szCs w:val="20"/>
        </w:rPr>
        <w:t>optic</w:t>
      </w:r>
      <w:proofErr w:type="gramEnd"/>
      <w:r>
        <w:rPr>
          <w:rFonts w:ascii="Arial" w:hAnsi="Arial" w:cs="Arial"/>
          <w:szCs w:val="20"/>
        </w:rPr>
        <w:t xml:space="preserve"> and pedestal, and for its aesthetic characteristics.</w:t>
      </w:r>
    </w:p>
    <w:p w14:paraId="310AB3C4" w14:textId="31ED1D3B" w:rsidR="005A68D6" w:rsidRDefault="005A68D6" w:rsidP="005A68D6">
      <w:pPr>
        <w:autoSpaceDE w:val="0"/>
        <w:autoSpaceDN w:val="0"/>
        <w:adjustRightInd w:val="0"/>
        <w:spacing w:after="0" w:line="240" w:lineRule="auto"/>
        <w:jc w:val="both"/>
        <w:rPr>
          <w:rFonts w:ascii="Arial" w:hAnsi="Arial" w:cs="Arial"/>
          <w:szCs w:val="20"/>
        </w:rPr>
      </w:pPr>
      <w:r>
        <w:rPr>
          <w:rFonts w:ascii="Arial" w:hAnsi="Arial" w:cs="Arial"/>
          <w:szCs w:val="20"/>
        </w:rPr>
        <w:t>The Lighthouse was included on the Commonwealth Heritage List in 2004 for its cultural significance. This listing recognises the cultural values of the place, which relate to processes, rarity, characteristics and aesthetics.</w:t>
      </w:r>
    </w:p>
    <w:p w14:paraId="70872B36" w14:textId="77777777" w:rsidR="005A68D6" w:rsidRDefault="005A68D6" w:rsidP="005A68D6">
      <w:pPr>
        <w:autoSpaceDE w:val="0"/>
        <w:autoSpaceDN w:val="0"/>
        <w:adjustRightInd w:val="0"/>
        <w:spacing w:after="0" w:line="240" w:lineRule="auto"/>
        <w:jc w:val="both"/>
        <w:rPr>
          <w:rFonts w:ascii="Arial" w:hAnsi="Arial" w:cs="Arial"/>
          <w:szCs w:val="20"/>
        </w:rPr>
      </w:pPr>
    </w:p>
    <w:p w14:paraId="4723B612" w14:textId="2C0E756A"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206354">
        <w:rPr>
          <w:rFonts w:ascii="Arial" w:hAnsi="Arial" w:cs="Arial"/>
        </w:rPr>
        <w:t>Eddystone Point</w:t>
      </w:r>
      <w:r>
        <w:rPr>
          <w:rFonts w:ascii="Arial" w:hAnsi="Arial" w:cs="Arial"/>
        </w:rPr>
        <w:t xml:space="preserve"> Lighthouse by </w:t>
      </w:r>
      <w:r w:rsidR="008653ED">
        <w:rPr>
          <w:rFonts w:ascii="Arial" w:hAnsi="Arial" w:cs="Arial"/>
        </w:rPr>
        <w:t>the 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4538C2C2" w14:textId="2D946498" w:rsidR="00434900" w:rsidRDefault="00434900"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233D9738" w14:textId="652D2209" w:rsidR="001E394F" w:rsidRPr="00D02ACA"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206354">
        <w:rPr>
          <w:rFonts w:ascii="Arial" w:hAnsi="Arial" w:cs="Arial"/>
          <w:szCs w:val="20"/>
        </w:rPr>
        <w:t>6</w:t>
      </w:r>
      <w:r w:rsidR="00E23EDE" w:rsidRPr="00E23EDE">
        <w:rPr>
          <w:rFonts w:ascii="Arial" w:hAnsi="Arial" w:cs="Arial"/>
          <w:szCs w:val="20"/>
        </w:rPr>
        <w:t xml:space="preserve"> </w:t>
      </w:r>
      <w:r w:rsidR="00206354">
        <w:rPr>
          <w:rFonts w:ascii="Arial" w:hAnsi="Arial" w:cs="Arial"/>
          <w:szCs w:val="20"/>
        </w:rPr>
        <w:t>June</w:t>
      </w:r>
      <w:r w:rsidR="00E23EDE" w:rsidRPr="00E23EDE">
        <w:rPr>
          <w:rFonts w:ascii="Arial" w:hAnsi="Arial" w:cs="Arial"/>
          <w:szCs w:val="20"/>
        </w:rPr>
        <w:t xml:space="preserve"> </w:t>
      </w:r>
      <w:r w:rsidR="00206354">
        <w:rPr>
          <w:rFonts w:ascii="Arial" w:hAnsi="Arial" w:cs="Arial"/>
          <w:szCs w:val="20"/>
        </w:rPr>
        <w:t>2020</w:t>
      </w:r>
      <w:r w:rsidR="00E23EDE" w:rsidRPr="00E23EDE">
        <w:rPr>
          <w:rFonts w:ascii="Arial" w:hAnsi="Arial" w:cs="Arial"/>
          <w:szCs w:val="20"/>
        </w:rPr>
        <w:t xml:space="preserve"> notices of the draft Plan were published in </w:t>
      </w:r>
      <w:r w:rsidR="009347FB" w:rsidRPr="00D02ACA">
        <w:rPr>
          <w:rFonts w:ascii="Arial" w:hAnsi="Arial" w:cs="Arial"/>
          <w:i/>
          <w:iCs/>
          <w:szCs w:val="20"/>
        </w:rPr>
        <w:t>T</w:t>
      </w:r>
      <w:r w:rsidR="00E23EDE" w:rsidRPr="00D02ACA">
        <w:rPr>
          <w:rFonts w:ascii="Arial" w:hAnsi="Arial" w:cs="Arial"/>
          <w:i/>
          <w:iCs/>
          <w:szCs w:val="20"/>
        </w:rPr>
        <w:t>he Australian</w:t>
      </w:r>
      <w:r w:rsidR="00E23EDE">
        <w:rPr>
          <w:rFonts w:ascii="Arial" w:hAnsi="Arial" w:cs="Arial"/>
          <w:szCs w:val="20"/>
        </w:rPr>
        <w:t xml:space="preserve">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206354">
        <w:rPr>
          <w:rFonts w:ascii="Arial" w:hAnsi="Arial" w:cs="Arial"/>
          <w:szCs w:val="20"/>
        </w:rPr>
        <w:t>26</w:t>
      </w:r>
      <w:r w:rsidR="009A32D8" w:rsidRPr="009A32D8">
        <w:rPr>
          <w:rFonts w:ascii="Arial" w:hAnsi="Arial" w:cs="Arial"/>
          <w:szCs w:val="20"/>
        </w:rPr>
        <w:t xml:space="preserve"> </w:t>
      </w:r>
      <w:r w:rsidR="00206354">
        <w:rPr>
          <w:rFonts w:ascii="Arial" w:hAnsi="Arial" w:cs="Arial"/>
          <w:szCs w:val="20"/>
        </w:rPr>
        <w:t>June 2020</w:t>
      </w:r>
      <w:r w:rsidR="009A32D8" w:rsidRPr="009A32D8">
        <w:rPr>
          <w:rFonts w:ascii="Arial" w:hAnsi="Arial" w:cs="Arial"/>
          <w:szCs w:val="20"/>
        </w:rPr>
        <w:t>.</w:t>
      </w:r>
      <w:r w:rsidR="00DD71CB">
        <w:rPr>
          <w:rFonts w:ascii="Arial" w:hAnsi="Arial" w:cs="Arial"/>
          <w:szCs w:val="20"/>
        </w:rPr>
        <w:t xml:space="preserve"> </w:t>
      </w:r>
      <w:r w:rsidR="00206354">
        <w:rPr>
          <w:rFonts w:ascii="Arial" w:hAnsi="Arial" w:cs="Arial"/>
          <w:szCs w:val="20"/>
        </w:rPr>
        <w:t>A number of</w:t>
      </w:r>
      <w:r w:rsidR="00DD71CB">
        <w:rPr>
          <w:rFonts w:ascii="Arial" w:hAnsi="Arial" w:cs="Arial"/>
          <w:szCs w:val="20"/>
        </w:rPr>
        <w:t xml:space="preserve"> submissions were received. </w:t>
      </w:r>
      <w:r w:rsidR="000532A0" w:rsidRPr="00287EE0">
        <w:rPr>
          <w:rFonts w:ascii="Arial" w:hAnsi="Arial" w:cs="Arial"/>
          <w:szCs w:val="20"/>
        </w:rPr>
        <w:t xml:space="preserve">AMSA </w:t>
      </w:r>
      <w:r w:rsidR="000532A0" w:rsidRPr="00287EE0">
        <w:rPr>
          <w:rFonts w:ascii="Arial" w:hAnsi="Arial" w:cs="Arial"/>
          <w:szCs w:val="20"/>
        </w:rPr>
        <w:lastRenderedPageBreak/>
        <w:t xml:space="preserve">also consulted </w:t>
      </w:r>
      <w:r w:rsidR="00206354">
        <w:rPr>
          <w:rFonts w:ascii="Arial" w:hAnsi="Arial" w:cs="Arial"/>
          <w:szCs w:val="20"/>
        </w:rPr>
        <w:t>with Tasmania</w:t>
      </w:r>
      <w:r w:rsidR="000532A0" w:rsidRPr="00287EE0">
        <w:rPr>
          <w:rFonts w:ascii="Arial" w:hAnsi="Arial" w:cs="Arial"/>
          <w:szCs w:val="20"/>
        </w:rPr>
        <w:t xml:space="preserve"> Parks a</w:t>
      </w:r>
      <w:r w:rsidR="001A2442">
        <w:rPr>
          <w:rFonts w:ascii="Arial" w:hAnsi="Arial" w:cs="Arial"/>
          <w:szCs w:val="20"/>
        </w:rPr>
        <w:t xml:space="preserve">nd Wildlife Service, the </w:t>
      </w:r>
      <w:r w:rsidR="00206354">
        <w:rPr>
          <w:rFonts w:ascii="Arial" w:hAnsi="Arial" w:cs="Arial"/>
          <w:szCs w:val="20"/>
        </w:rPr>
        <w:t xml:space="preserve">Aboriginal Land Council of Tasmania, </w:t>
      </w:r>
      <w:r w:rsidR="000532A0" w:rsidRPr="00287EE0">
        <w:rPr>
          <w:rFonts w:ascii="Arial" w:hAnsi="Arial" w:cs="Arial"/>
          <w:szCs w:val="20"/>
        </w:rPr>
        <w:t xml:space="preserve">and the Commonwealth Heritage </w:t>
      </w:r>
      <w:r w:rsidR="00EB48E8">
        <w:rPr>
          <w:rFonts w:ascii="Arial" w:hAnsi="Arial" w:cs="Arial"/>
          <w:szCs w:val="20"/>
        </w:rPr>
        <w:t>Branch</w:t>
      </w:r>
      <w:r w:rsidR="000532A0" w:rsidRPr="00287EE0">
        <w:rPr>
          <w:rFonts w:ascii="Arial" w:hAnsi="Arial" w:cs="Arial"/>
          <w:szCs w:val="20"/>
        </w:rPr>
        <w:t xml:space="preserve"> within the Department of </w:t>
      </w:r>
      <w:r w:rsidR="00596429">
        <w:rPr>
          <w:rFonts w:ascii="Arial" w:hAnsi="Arial" w:cs="Arial"/>
          <w:szCs w:val="20"/>
        </w:rPr>
        <w:t xml:space="preserve">Agriculture, </w:t>
      </w:r>
      <w:r w:rsidR="00596429" w:rsidRPr="00D02ACA">
        <w:rPr>
          <w:rFonts w:ascii="Arial" w:hAnsi="Arial" w:cs="Arial"/>
          <w:szCs w:val="20"/>
        </w:rPr>
        <w:t xml:space="preserve">Water and the </w:t>
      </w:r>
      <w:r w:rsidR="000532A0" w:rsidRPr="00D02ACA">
        <w:rPr>
          <w:rFonts w:ascii="Arial" w:hAnsi="Arial" w:cs="Arial"/>
          <w:szCs w:val="20"/>
        </w:rPr>
        <w:t>Environment</w:t>
      </w:r>
      <w:r w:rsidR="00DD71CB" w:rsidRPr="00D02ACA">
        <w:rPr>
          <w:rFonts w:ascii="Arial" w:hAnsi="Arial" w:cs="Arial"/>
          <w:szCs w:val="20"/>
        </w:rPr>
        <w:t xml:space="preserve"> on a draft of the Plan.</w:t>
      </w:r>
    </w:p>
    <w:p w14:paraId="49699CC8" w14:textId="4B0A2D6B" w:rsidR="00EB48E8" w:rsidRPr="00D02ACA" w:rsidRDefault="00EB48E8" w:rsidP="00767D72">
      <w:pPr>
        <w:autoSpaceDE w:val="0"/>
        <w:autoSpaceDN w:val="0"/>
        <w:adjustRightInd w:val="0"/>
        <w:spacing w:after="0" w:line="240" w:lineRule="auto"/>
        <w:jc w:val="both"/>
        <w:rPr>
          <w:rFonts w:ascii="Arial" w:hAnsi="Arial" w:cs="Arial"/>
          <w:szCs w:val="20"/>
        </w:rPr>
      </w:pPr>
    </w:p>
    <w:p w14:paraId="607D4753" w14:textId="2EB5AE75" w:rsidR="00EB48E8" w:rsidRPr="00D00B25" w:rsidRDefault="00EB48E8" w:rsidP="00767D72">
      <w:pPr>
        <w:autoSpaceDE w:val="0"/>
        <w:autoSpaceDN w:val="0"/>
        <w:adjustRightInd w:val="0"/>
        <w:spacing w:after="0" w:line="240" w:lineRule="auto"/>
        <w:jc w:val="both"/>
        <w:rPr>
          <w:rFonts w:ascii="Arial" w:hAnsi="Arial" w:cs="Arial"/>
          <w:szCs w:val="20"/>
        </w:rPr>
      </w:pPr>
      <w:r w:rsidRPr="00D02ACA">
        <w:rPr>
          <w:rFonts w:ascii="Arial" w:hAnsi="Arial" w:cs="Arial"/>
          <w:szCs w:val="20"/>
        </w:rPr>
        <w:t xml:space="preserve">The </w:t>
      </w:r>
      <w:r w:rsidRPr="00D00B25">
        <w:rPr>
          <w:rFonts w:ascii="Arial" w:hAnsi="Arial" w:cs="Arial"/>
          <w:szCs w:val="20"/>
        </w:rPr>
        <w:t>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Pr="00D00B25">
        <w:rPr>
          <w:rFonts w:ascii="Arial" w:hAnsi="Arial" w:cs="Arial"/>
          <w:szCs w:val="20"/>
        </w:rPr>
        <w:t xml:space="preserve">historical information </w:t>
      </w:r>
      <w:r w:rsidR="00F52907" w:rsidRPr="00D00B25">
        <w:rPr>
          <w:rFonts w:ascii="Arial" w:hAnsi="Arial" w:cs="Arial"/>
          <w:szCs w:val="20"/>
        </w:rPr>
        <w:t>about</w:t>
      </w:r>
      <w:r w:rsidRPr="00D00B25">
        <w:rPr>
          <w:rFonts w:ascii="Arial" w:hAnsi="Arial" w:cs="Arial"/>
          <w:szCs w:val="20"/>
        </w:rPr>
        <w:t xml:space="preserve"> the </w:t>
      </w:r>
      <w:r w:rsidR="00F52907" w:rsidRPr="00D00B25">
        <w:rPr>
          <w:rFonts w:ascii="Arial" w:hAnsi="Arial" w:cs="Arial"/>
          <w:szCs w:val="20"/>
        </w:rPr>
        <w:t xml:space="preserve">lighthouse and site generally, </w:t>
      </w:r>
      <w:r w:rsidRPr="00D00B25">
        <w:rPr>
          <w:rFonts w:ascii="Arial" w:hAnsi="Arial" w:cs="Arial"/>
          <w:szCs w:val="20"/>
        </w:rPr>
        <w:t xml:space="preserve">details </w:t>
      </w:r>
      <w:r w:rsidR="00F52907" w:rsidRPr="00D00B25">
        <w:rPr>
          <w:rFonts w:ascii="Arial" w:hAnsi="Arial" w:cs="Arial"/>
          <w:szCs w:val="20"/>
        </w:rPr>
        <w:t>of</w:t>
      </w:r>
      <w:r w:rsidRPr="00D00B25">
        <w:rPr>
          <w:rFonts w:ascii="Arial" w:hAnsi="Arial" w:cs="Arial"/>
          <w:szCs w:val="20"/>
        </w:rPr>
        <w:t xml:space="preserve"> current cultural associations, property management recommendations</w:t>
      </w:r>
      <w:r w:rsidR="00F52907" w:rsidRPr="00D00B25">
        <w:rPr>
          <w:rFonts w:ascii="Arial" w:hAnsi="Arial" w:cs="Arial"/>
          <w:szCs w:val="20"/>
        </w:rPr>
        <w:t>, and recommendations from the Heritage Branch on best practice heritage management policies</w:t>
      </w:r>
      <w:r w:rsidR="008446EC" w:rsidRPr="00D00B25">
        <w:rPr>
          <w:rFonts w:ascii="Arial" w:hAnsi="Arial" w:cs="Arial"/>
          <w:szCs w:val="20"/>
        </w:rPr>
        <w:t>)</w:t>
      </w:r>
      <w:r w:rsidR="00F52907" w:rsidRPr="00D00B25">
        <w:rPr>
          <w:rFonts w:ascii="Arial" w:hAnsi="Arial" w:cs="Arial"/>
          <w:szCs w:val="20"/>
        </w:rPr>
        <w:t xml:space="preserve"> </w:t>
      </w:r>
      <w:r w:rsidRPr="00D00B25">
        <w:rPr>
          <w:rFonts w:ascii="Arial" w:hAnsi="Arial" w:cs="Arial"/>
          <w:szCs w:val="20"/>
        </w:rPr>
        <w:t>was adopted into the plan.</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7A17D63B"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In accordance with paragraph 341S(6)(a) of the EPBC Act, the Minister for Sustainability, Environment, Water, Population and Communities was asked for advice on the Plan</w:t>
      </w:r>
      <w:r>
        <w:rPr>
          <w:rFonts w:ascii="Arial" w:hAnsi="Arial" w:cs="Arial"/>
          <w:szCs w:val="20"/>
        </w:rPr>
        <w:t xml:space="preserve"> as proposed</w:t>
      </w:r>
      <w:r w:rsidRPr="008B020E">
        <w:rPr>
          <w:rFonts w:ascii="Arial" w:hAnsi="Arial" w:cs="Arial"/>
          <w:szCs w:val="20"/>
        </w:rPr>
        <w:t xml:space="preserve">. On </w:t>
      </w:r>
      <w:r>
        <w:rPr>
          <w:rFonts w:ascii="Arial" w:hAnsi="Arial" w:cs="Arial"/>
          <w:szCs w:val="20"/>
        </w:rPr>
        <w:t>26 October</w:t>
      </w:r>
      <w:r w:rsidRPr="008B020E">
        <w:rPr>
          <w:rFonts w:ascii="Arial" w:hAnsi="Arial" w:cs="Arial"/>
          <w:szCs w:val="20"/>
        </w:rPr>
        <w:t xml:space="preserve"> 2</w:t>
      </w:r>
      <w:r>
        <w:rPr>
          <w:rFonts w:ascii="Arial" w:hAnsi="Arial" w:cs="Arial"/>
          <w:szCs w:val="20"/>
        </w:rPr>
        <w:t>020</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77777777"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The Office of Best Practice Regulation (</w:t>
      </w:r>
      <w:r w:rsidRPr="00D16F22">
        <w:rPr>
          <w:rFonts w:ascii="Arial" w:eastAsia="Times New Roman" w:hAnsi="Arial" w:cs="Arial"/>
          <w:color w:val="000000"/>
          <w:lang w:eastAsia="en-AU"/>
        </w:rPr>
        <w:t>OBPR</w:t>
      </w:r>
      <w:r w:rsidRPr="00F36290">
        <w:rPr>
          <w:rFonts w:ascii="Arial" w:eastAsia="Times New Roman" w:hAnsi="Arial" w:cs="Arial"/>
          <w:color w:val="000000"/>
          <w:lang w:eastAsia="en-AU"/>
        </w:rPr>
        <w:t xml:space="preserve">) considers that the changes made by the </w:t>
      </w:r>
      <w:r>
        <w:rPr>
          <w:rFonts w:ascii="Arial" w:eastAsia="Times New Roman" w:hAnsi="Arial" w:cs="Arial"/>
          <w:color w:val="000000"/>
          <w:lang w:eastAsia="en-AU"/>
        </w:rPr>
        <w:t>Eddystone Point</w:t>
      </w:r>
      <w:r w:rsidRPr="00F36290">
        <w:rPr>
          <w:rFonts w:ascii="Arial" w:eastAsia="Times New Roman" w:hAnsi="Arial" w:cs="Arial"/>
          <w:color w:val="000000"/>
          <w:lang w:eastAsia="en-AU"/>
        </w:rPr>
        <w:t xml:space="preserve"> Heritage Management Plan 2020 have regulatory impacts of a minor or machinery nature and no regulation impact statement is required. The OBPR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5AD1EE8B" w14:textId="5BDEB67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4EA93AB6"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7971D6">
        <w:rPr>
          <w:rFonts w:ascii="Arial" w:hAnsi="Arial" w:cs="Arial"/>
          <w:szCs w:val="20"/>
        </w:rPr>
        <w:t>25 October 2021</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14BA1575" w:rsidR="00DD71CB" w:rsidRDefault="00DD71CB" w:rsidP="00DD71CB">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This management plan</w:t>
      </w:r>
      <w:r>
        <w:rPr>
          <w:rFonts w:ascii="Arial" w:hAnsi="Arial" w:cs="Arial"/>
        </w:rPr>
        <w:t xml:space="preserve">, the </w:t>
      </w:r>
      <w:r w:rsidR="00206354">
        <w:rPr>
          <w:rFonts w:ascii="Arial" w:hAnsi="Arial" w:cs="Arial"/>
        </w:rPr>
        <w:t>Eddystone Point Lig</w:t>
      </w:r>
      <w:r w:rsidRPr="00BA7BB5">
        <w:rPr>
          <w:rFonts w:ascii="Arial" w:hAnsi="Arial" w:cs="Arial"/>
        </w:rPr>
        <w:t>hthouse Heritage Management Plan</w:t>
      </w:r>
      <w:r>
        <w:rPr>
          <w:rFonts w:ascii="Arial" w:hAnsi="Arial" w:cs="Arial"/>
        </w:rPr>
        <w:t xml:space="preserve"> (the Plan), </w:t>
      </w:r>
      <w:r w:rsidRPr="008653ED">
        <w:rPr>
          <w:rFonts w:ascii="Arial" w:hAnsi="Arial" w:cs="Arial"/>
        </w:rPr>
        <w:t xml:space="preserve">provides such a framework for </w:t>
      </w:r>
      <w:r w:rsidR="00596429">
        <w:rPr>
          <w:rFonts w:ascii="Arial" w:hAnsi="Arial" w:cs="Arial"/>
        </w:rPr>
        <w:t xml:space="preserve">the </w:t>
      </w:r>
      <w:r w:rsidR="00206354">
        <w:rPr>
          <w:rFonts w:ascii="Arial" w:hAnsi="Arial" w:cs="Arial"/>
        </w:rPr>
        <w:t>Eddystone Point</w:t>
      </w:r>
      <w:r>
        <w:rPr>
          <w:rFonts w:ascii="Arial" w:hAnsi="Arial" w:cs="Arial"/>
        </w:rPr>
        <w:t xml:space="preserve"> Lighthouse.</w:t>
      </w:r>
    </w:p>
    <w:p w14:paraId="2FBD41DD" w14:textId="27913CAA"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206354">
        <w:rPr>
          <w:rFonts w:ascii="Arial" w:hAnsi="Arial" w:cs="Arial"/>
        </w:rPr>
        <w:t>Eddystone Point</w:t>
      </w:r>
      <w:r>
        <w:rPr>
          <w:rFonts w:ascii="Arial" w:hAnsi="Arial" w:cs="Arial"/>
        </w:rPr>
        <w:t xml:space="preserve"> Lighthouse by the Australian Maritime Safety Authority, with the objective of identifying, protecting, conserving, </w:t>
      </w:r>
      <w:proofErr w:type="gramStart"/>
      <w:r>
        <w:rPr>
          <w:rFonts w:ascii="Arial" w:hAnsi="Arial" w:cs="Arial"/>
        </w:rPr>
        <w:t>presenting</w:t>
      </w:r>
      <w:proofErr w:type="gramEnd"/>
      <w:r>
        <w:rPr>
          <w:rFonts w:ascii="Arial" w:hAnsi="Arial" w:cs="Arial"/>
        </w:rPr>
        <w:t xml:space="preserve"> and transmitting its Commonwealth heritage values.</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03EF6FBB"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519C4533"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This Legislative Instrument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FE54" w14:textId="77777777" w:rsidR="00651F33" w:rsidRDefault="00651F33" w:rsidP="00DD71CB">
      <w:pPr>
        <w:spacing w:after="0" w:line="240" w:lineRule="auto"/>
      </w:pPr>
      <w:r>
        <w:separator/>
      </w:r>
    </w:p>
  </w:endnote>
  <w:endnote w:type="continuationSeparator" w:id="0">
    <w:p w14:paraId="35C74B6B" w14:textId="77777777" w:rsidR="00651F33" w:rsidRDefault="00651F33"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63751FEF"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Eddystone Point Lighthouse Heritage Management Plan </w:t>
    </w:r>
    <w:r w:rsidRPr="00C344C7">
      <w:rPr>
        <w:rFonts w:ascii="Arial" w:hAnsi="Arial" w:cs="Arial"/>
        <w:i/>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ED531" w14:textId="77777777" w:rsidR="00651F33" w:rsidRDefault="00651F33" w:rsidP="00DD71CB">
      <w:pPr>
        <w:spacing w:after="0" w:line="240" w:lineRule="auto"/>
      </w:pPr>
      <w:r>
        <w:separator/>
      </w:r>
    </w:p>
  </w:footnote>
  <w:footnote w:type="continuationSeparator" w:id="0">
    <w:p w14:paraId="096F3D5E" w14:textId="77777777" w:rsidR="00651F33" w:rsidRDefault="00651F33"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532A0"/>
    <w:rsid w:val="000700AE"/>
    <w:rsid w:val="000C6BA3"/>
    <w:rsid w:val="00101573"/>
    <w:rsid w:val="001953FF"/>
    <w:rsid w:val="001A2442"/>
    <w:rsid w:val="001C07AF"/>
    <w:rsid w:val="001E394F"/>
    <w:rsid w:val="001E4179"/>
    <w:rsid w:val="00206354"/>
    <w:rsid w:val="00287EE0"/>
    <w:rsid w:val="00297A80"/>
    <w:rsid w:val="002C278B"/>
    <w:rsid w:val="002E33F6"/>
    <w:rsid w:val="002E3D03"/>
    <w:rsid w:val="003377D3"/>
    <w:rsid w:val="00340E9C"/>
    <w:rsid w:val="00370448"/>
    <w:rsid w:val="003C6FC9"/>
    <w:rsid w:val="003D1CF1"/>
    <w:rsid w:val="003F247D"/>
    <w:rsid w:val="00414B74"/>
    <w:rsid w:val="00434900"/>
    <w:rsid w:val="004D126D"/>
    <w:rsid w:val="004F39FA"/>
    <w:rsid w:val="005201A7"/>
    <w:rsid w:val="005279E5"/>
    <w:rsid w:val="005306EE"/>
    <w:rsid w:val="005462BD"/>
    <w:rsid w:val="0055319D"/>
    <w:rsid w:val="00596429"/>
    <w:rsid w:val="005A13DE"/>
    <w:rsid w:val="005A68D6"/>
    <w:rsid w:val="005B1FF1"/>
    <w:rsid w:val="005F0E52"/>
    <w:rsid w:val="005F53C0"/>
    <w:rsid w:val="006019CA"/>
    <w:rsid w:val="00651F33"/>
    <w:rsid w:val="0066506A"/>
    <w:rsid w:val="00667032"/>
    <w:rsid w:val="006B44FF"/>
    <w:rsid w:val="00767D72"/>
    <w:rsid w:val="00772DBF"/>
    <w:rsid w:val="007971D6"/>
    <w:rsid w:val="007D0901"/>
    <w:rsid w:val="007D5BE9"/>
    <w:rsid w:val="008441CB"/>
    <w:rsid w:val="008446EC"/>
    <w:rsid w:val="00847780"/>
    <w:rsid w:val="008653ED"/>
    <w:rsid w:val="008A3665"/>
    <w:rsid w:val="008B020E"/>
    <w:rsid w:val="008F5AEB"/>
    <w:rsid w:val="009347FB"/>
    <w:rsid w:val="0094500B"/>
    <w:rsid w:val="00967BA5"/>
    <w:rsid w:val="00971744"/>
    <w:rsid w:val="00995913"/>
    <w:rsid w:val="009A32D8"/>
    <w:rsid w:val="009B2D21"/>
    <w:rsid w:val="00A37EFB"/>
    <w:rsid w:val="00A9000B"/>
    <w:rsid w:val="00AF26D7"/>
    <w:rsid w:val="00B13442"/>
    <w:rsid w:val="00B2467A"/>
    <w:rsid w:val="00B40349"/>
    <w:rsid w:val="00B54E23"/>
    <w:rsid w:val="00BA7BB5"/>
    <w:rsid w:val="00C344C7"/>
    <w:rsid w:val="00C865F9"/>
    <w:rsid w:val="00CF3C98"/>
    <w:rsid w:val="00D00B25"/>
    <w:rsid w:val="00D02ACA"/>
    <w:rsid w:val="00D16F22"/>
    <w:rsid w:val="00D443E6"/>
    <w:rsid w:val="00D7500B"/>
    <w:rsid w:val="00DD71CB"/>
    <w:rsid w:val="00E23EDE"/>
    <w:rsid w:val="00E4245E"/>
    <w:rsid w:val="00EB48E8"/>
    <w:rsid w:val="00EF2624"/>
    <w:rsid w:val="00F00243"/>
    <w:rsid w:val="00F36290"/>
    <w:rsid w:val="00F52907"/>
    <w:rsid w:val="00F91120"/>
    <w:rsid w:val="00FB0252"/>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363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semiHidden/>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2021-11-03T05:09:00Z</dcterms:created>
  <dcterms:modified xsi:type="dcterms:W3CDTF">2021-11-07T23:10:00Z</dcterms:modified>
</cp:coreProperties>
</file>