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425E" w14:textId="77777777" w:rsidR="006A4AD8" w:rsidRPr="002B0D32" w:rsidRDefault="006A4AD8" w:rsidP="006A4AD8">
      <w:pPr>
        <w:shd w:val="clear" w:color="auto" w:fill="FFFFFF"/>
        <w:spacing w:after="0" w:line="240" w:lineRule="auto"/>
        <w:jc w:val="center"/>
        <w:rPr>
          <w:rFonts w:eastAsia="Times New Roman"/>
          <w:color w:val="000000"/>
          <w:lang w:eastAsia="en-AU"/>
        </w:rPr>
      </w:pPr>
      <w:r w:rsidRPr="002B0D32">
        <w:rPr>
          <w:rFonts w:eastAsia="Times New Roman"/>
          <w:color w:val="000000"/>
          <w:u w:val="single"/>
          <w:lang w:eastAsia="en-AU"/>
        </w:rPr>
        <w:t>EXPLANATORY STATEMENT</w:t>
      </w:r>
    </w:p>
    <w:p w14:paraId="055ED4DD" w14:textId="77777777" w:rsidR="006A4AD8" w:rsidRPr="002B0D32" w:rsidRDefault="006A4AD8" w:rsidP="006A4AD8">
      <w:pPr>
        <w:shd w:val="clear" w:color="auto" w:fill="FFFFFF"/>
        <w:spacing w:after="0" w:line="240" w:lineRule="auto"/>
        <w:jc w:val="center"/>
        <w:rPr>
          <w:rFonts w:eastAsia="Times New Roman"/>
          <w:color w:val="000000"/>
          <w:lang w:eastAsia="en-AU"/>
        </w:rPr>
      </w:pPr>
      <w:r w:rsidRPr="002B0D32">
        <w:rPr>
          <w:rFonts w:eastAsia="Times New Roman"/>
          <w:color w:val="000000"/>
          <w:lang w:eastAsia="en-AU"/>
        </w:rPr>
        <w:t> </w:t>
      </w:r>
    </w:p>
    <w:p w14:paraId="2218C50E" w14:textId="77777777" w:rsidR="006A4AD8" w:rsidRPr="002B0D32" w:rsidRDefault="006A4AD8" w:rsidP="006A4AD8">
      <w:pPr>
        <w:shd w:val="clear" w:color="auto" w:fill="FFFFFF"/>
        <w:spacing w:after="0" w:line="240" w:lineRule="auto"/>
        <w:jc w:val="center"/>
        <w:rPr>
          <w:rFonts w:eastAsia="Times New Roman"/>
          <w:color w:val="000000"/>
          <w:lang w:eastAsia="en-AU"/>
        </w:rPr>
      </w:pPr>
      <w:r w:rsidRPr="002B0D32">
        <w:rPr>
          <w:rFonts w:eastAsia="Times New Roman"/>
          <w:i/>
          <w:iCs/>
          <w:color w:val="000000"/>
          <w:lang w:eastAsia="en-AU"/>
        </w:rPr>
        <w:t>Biosecurity Act 2015</w:t>
      </w:r>
    </w:p>
    <w:p w14:paraId="2B4C685A" w14:textId="77777777" w:rsidR="006A4AD8" w:rsidRPr="002B0D32" w:rsidRDefault="006A4AD8" w:rsidP="006A4AD8">
      <w:pPr>
        <w:shd w:val="clear" w:color="auto" w:fill="FFFFFF"/>
        <w:spacing w:after="0" w:line="240" w:lineRule="auto"/>
        <w:jc w:val="center"/>
        <w:rPr>
          <w:rFonts w:eastAsia="Times New Roman"/>
          <w:color w:val="000000"/>
          <w:lang w:eastAsia="en-AU"/>
        </w:rPr>
      </w:pPr>
      <w:r w:rsidRPr="002B0D32">
        <w:rPr>
          <w:rFonts w:eastAsia="Times New Roman"/>
          <w:i/>
          <w:iCs/>
          <w:color w:val="000000"/>
          <w:lang w:eastAsia="en-AU"/>
        </w:rPr>
        <w:t> </w:t>
      </w:r>
    </w:p>
    <w:p w14:paraId="2D4C1C5D" w14:textId="006A9301"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i/>
          <w:iCs/>
          <w:color w:val="000000"/>
          <w:lang w:eastAsia="en-AU"/>
        </w:rPr>
        <w:t>Biosecurity (</w:t>
      </w:r>
      <w:r w:rsidR="009F5994" w:rsidRPr="002B0D32">
        <w:rPr>
          <w:rFonts w:eastAsia="Times New Roman"/>
          <w:b/>
          <w:bCs/>
          <w:i/>
          <w:iCs/>
          <w:color w:val="000000"/>
          <w:lang w:eastAsia="en-AU"/>
        </w:rPr>
        <w:t>Emergency Requirements—High Risk Country Travel Pause</w:t>
      </w:r>
      <w:r w:rsidRPr="002B0D32">
        <w:rPr>
          <w:rFonts w:eastAsia="Times New Roman"/>
          <w:b/>
          <w:bCs/>
          <w:i/>
          <w:iCs/>
          <w:color w:val="000000"/>
          <w:lang w:eastAsia="en-AU"/>
        </w:rPr>
        <w:t>) Determination</w:t>
      </w:r>
      <w:r w:rsidR="009F5994" w:rsidRPr="002B0D32">
        <w:rPr>
          <w:rFonts w:eastAsia="Times New Roman"/>
          <w:b/>
          <w:bCs/>
          <w:i/>
          <w:iCs/>
          <w:color w:val="000000"/>
          <w:lang w:eastAsia="en-AU"/>
        </w:rPr>
        <w:t xml:space="preserve"> (No. 2)</w:t>
      </w:r>
      <w:r w:rsidRPr="002B0D32">
        <w:rPr>
          <w:rFonts w:eastAsia="Times New Roman"/>
          <w:b/>
          <w:bCs/>
          <w:i/>
          <w:iCs/>
          <w:color w:val="000000"/>
          <w:lang w:eastAsia="en-AU"/>
        </w:rPr>
        <w:t xml:space="preserve"> 2021</w:t>
      </w:r>
    </w:p>
    <w:p w14:paraId="5BE8E331" w14:textId="77777777" w:rsidR="006A4AD8" w:rsidRPr="002B0D32" w:rsidRDefault="006A4AD8" w:rsidP="006A4AD8">
      <w:pPr>
        <w:shd w:val="clear" w:color="auto" w:fill="FFFFFF"/>
        <w:spacing w:after="0" w:line="240" w:lineRule="auto"/>
        <w:jc w:val="center"/>
        <w:rPr>
          <w:rFonts w:eastAsia="Times New Roman"/>
          <w:color w:val="000000"/>
          <w:lang w:eastAsia="en-AU"/>
        </w:rPr>
      </w:pPr>
      <w:r w:rsidRPr="002B0D32">
        <w:rPr>
          <w:rFonts w:eastAsia="Times New Roman"/>
          <w:b/>
          <w:bCs/>
          <w:color w:val="000000"/>
          <w:lang w:eastAsia="en-AU"/>
        </w:rPr>
        <w:t> </w:t>
      </w:r>
    </w:p>
    <w:p w14:paraId="1060AC9D"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Subsection 477(1) of the </w:t>
      </w:r>
      <w:r w:rsidRPr="002B0D32">
        <w:rPr>
          <w:rFonts w:eastAsia="Times New Roman"/>
          <w:i/>
          <w:iCs/>
          <w:color w:val="000000"/>
          <w:lang w:eastAsia="en-AU"/>
        </w:rPr>
        <w:t>Biosecurity Act 2015</w:t>
      </w:r>
      <w:r w:rsidRPr="002B0D32">
        <w:rPr>
          <w:rFonts w:eastAsia="Times New Roman"/>
          <w:color w:val="000000"/>
          <w:lang w:eastAsia="en-AU"/>
        </w:rPr>
        <w:t> (the Act) provides that during a human biosecurity emergency period the Minister for Health may determine any requirement that he or she is satisfied is necessary:</w:t>
      </w:r>
    </w:p>
    <w:p w14:paraId="67CAC665" w14:textId="1EEC567F" w:rsidR="006A4AD8" w:rsidRPr="002B0D32" w:rsidRDefault="006A4AD8" w:rsidP="006A4AD8">
      <w:pPr>
        <w:shd w:val="clear" w:color="auto" w:fill="FFFFFF"/>
        <w:spacing w:after="0" w:line="240" w:lineRule="auto"/>
        <w:ind w:left="567" w:hanging="360"/>
        <w:rPr>
          <w:rFonts w:eastAsia="Times New Roman"/>
          <w:color w:val="000000"/>
          <w:lang w:eastAsia="en-AU"/>
        </w:rPr>
      </w:pPr>
      <w:r w:rsidRPr="002B0D32">
        <w:rPr>
          <w:rFonts w:ascii="Symbol" w:eastAsia="Times New Roman" w:hAnsi="Symbol"/>
          <w:color w:val="000000"/>
          <w:lang w:eastAsia="en-AU"/>
        </w:rPr>
        <w:t>·</w:t>
      </w:r>
      <w:r w:rsidRPr="002B0D32">
        <w:rPr>
          <w:rFonts w:eastAsia="Times New Roman"/>
          <w:color w:val="000000"/>
          <w:sz w:val="14"/>
          <w:szCs w:val="14"/>
          <w:lang w:eastAsia="en-AU"/>
        </w:rPr>
        <w:t>       </w:t>
      </w:r>
      <w:r w:rsidRPr="002B0D32">
        <w:rPr>
          <w:rFonts w:eastAsia="Times New Roman"/>
          <w:color w:val="000000"/>
          <w:lang w:eastAsia="en-AU"/>
        </w:rPr>
        <w:t>to prevent or control the entry into, or the emergence, establishment or spread of a listed human disease in Australian territory or a part of Australian territory;</w:t>
      </w:r>
    </w:p>
    <w:p w14:paraId="6929F5D8" w14:textId="6BBEF723" w:rsidR="006A4AD8" w:rsidRPr="002B0D32" w:rsidRDefault="006A4AD8" w:rsidP="006A4AD8">
      <w:pPr>
        <w:shd w:val="clear" w:color="auto" w:fill="FFFFFF"/>
        <w:spacing w:after="0" w:line="240" w:lineRule="auto"/>
        <w:ind w:left="567" w:hanging="360"/>
        <w:rPr>
          <w:rFonts w:eastAsia="Times New Roman"/>
          <w:color w:val="000000"/>
          <w:lang w:eastAsia="en-AU"/>
        </w:rPr>
      </w:pPr>
      <w:r w:rsidRPr="002B0D32">
        <w:rPr>
          <w:rFonts w:ascii="Symbol" w:eastAsia="Times New Roman" w:hAnsi="Symbol"/>
          <w:color w:val="000000"/>
          <w:lang w:eastAsia="en-AU"/>
        </w:rPr>
        <w:t>·</w:t>
      </w:r>
      <w:r w:rsidRPr="002B0D32">
        <w:rPr>
          <w:rFonts w:eastAsia="Times New Roman"/>
          <w:color w:val="000000"/>
          <w:sz w:val="14"/>
          <w:szCs w:val="14"/>
          <w:lang w:eastAsia="en-AU"/>
        </w:rPr>
        <w:t>       </w:t>
      </w:r>
      <w:r w:rsidRPr="002B0D32">
        <w:rPr>
          <w:rFonts w:eastAsia="Times New Roman"/>
          <w:color w:val="000000"/>
          <w:lang w:eastAsia="en-AU"/>
        </w:rPr>
        <w:t>to prevent or control the spread of the listed human disease to another country; or</w:t>
      </w:r>
    </w:p>
    <w:p w14:paraId="09C9418E" w14:textId="181BF1FA" w:rsidR="006A4AD8" w:rsidRPr="002B0D32" w:rsidRDefault="006A4AD8" w:rsidP="006A4AD8">
      <w:pPr>
        <w:shd w:val="clear" w:color="auto" w:fill="FFFFFF"/>
        <w:spacing w:after="0" w:line="240" w:lineRule="auto"/>
        <w:ind w:left="567" w:hanging="360"/>
        <w:rPr>
          <w:rFonts w:eastAsia="Times New Roman"/>
          <w:color w:val="000000"/>
          <w:lang w:eastAsia="en-AU"/>
        </w:rPr>
      </w:pPr>
      <w:r w:rsidRPr="002B0D32">
        <w:rPr>
          <w:rFonts w:ascii="Symbol" w:eastAsia="Times New Roman" w:hAnsi="Symbol"/>
          <w:color w:val="000000"/>
          <w:lang w:eastAsia="en-AU"/>
        </w:rPr>
        <w:t>·</w:t>
      </w:r>
      <w:r w:rsidRPr="002B0D32">
        <w:rPr>
          <w:rFonts w:eastAsia="Times New Roman"/>
          <w:color w:val="000000"/>
          <w:sz w:val="14"/>
          <w:szCs w:val="14"/>
          <w:lang w:eastAsia="en-AU"/>
        </w:rPr>
        <w:t>       </w:t>
      </w:r>
      <w:r w:rsidRPr="002B0D32">
        <w:rPr>
          <w:rFonts w:eastAsia="Times New Roman"/>
          <w:color w:val="000000"/>
          <w:lang w:eastAsia="en-AU"/>
        </w:rPr>
        <w:t>to give effect to a recommendation made to the Health Minister by the World Health Organization (WHO) under Part III of the International Health Regulations in relation to the listed human disease.</w:t>
      </w:r>
    </w:p>
    <w:p w14:paraId="08E48F26"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43545EE0"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On 18 March 2020, the Governor-General declared that a human biosecurity emergency exists regarding the listed human disease ‘human coronavirus with pandemic potential’ (COVID-19) (section 475 of the Act).</w:t>
      </w:r>
    </w:p>
    <w:p w14:paraId="16C88873"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26276BC9"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Purpose</w:t>
      </w:r>
    </w:p>
    <w:p w14:paraId="515EC6D9"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3BFF61F4" w14:textId="5D598C8B" w:rsidR="006A4AD8" w:rsidRPr="002B0D32" w:rsidRDefault="006A4AD8" w:rsidP="006A4AD8">
      <w:pPr>
        <w:shd w:val="clear" w:color="auto" w:fill="FFFFFF"/>
        <w:spacing w:after="0" w:line="240" w:lineRule="auto"/>
        <w:rPr>
          <w:rFonts w:eastAsia="Times New Roman"/>
          <w:color w:val="000000"/>
          <w:lang w:eastAsia="en-AU"/>
        </w:rPr>
      </w:pPr>
      <w:r w:rsidRPr="009D6BAE">
        <w:rPr>
          <w:rFonts w:eastAsia="Times New Roman"/>
          <w:color w:val="000000"/>
          <w:lang w:eastAsia="en-AU"/>
        </w:rPr>
        <w:t>The </w:t>
      </w:r>
      <w:r w:rsidRPr="009D6BAE">
        <w:rPr>
          <w:rFonts w:eastAsia="Times New Roman"/>
          <w:i/>
          <w:iCs/>
          <w:color w:val="000000"/>
          <w:lang w:eastAsia="en-AU"/>
        </w:rPr>
        <w:t xml:space="preserve">Biosecurity (Emergency Requirements—High Risk Country Travel Pause) Determination </w:t>
      </w:r>
      <w:r w:rsidR="009F5994" w:rsidRPr="009D6BAE">
        <w:rPr>
          <w:rFonts w:eastAsia="Times New Roman"/>
          <w:i/>
          <w:iCs/>
          <w:color w:val="000000"/>
          <w:lang w:eastAsia="en-AU"/>
        </w:rPr>
        <w:t xml:space="preserve">(No. 2) </w:t>
      </w:r>
      <w:r w:rsidRPr="009D6BAE">
        <w:rPr>
          <w:rFonts w:eastAsia="Times New Roman"/>
          <w:i/>
          <w:iCs/>
          <w:color w:val="000000"/>
          <w:lang w:eastAsia="en-AU"/>
        </w:rPr>
        <w:t>2021</w:t>
      </w:r>
      <w:r w:rsidRPr="009D6BAE">
        <w:rPr>
          <w:rFonts w:eastAsia="Times New Roman"/>
          <w:b/>
          <w:bCs/>
          <w:i/>
          <w:iCs/>
          <w:color w:val="000000"/>
          <w:lang w:eastAsia="en-AU"/>
        </w:rPr>
        <w:t> </w:t>
      </w:r>
      <w:r w:rsidRPr="009D6BAE">
        <w:rPr>
          <w:rFonts w:eastAsia="Times New Roman"/>
          <w:color w:val="000000"/>
          <w:lang w:eastAsia="en-AU"/>
        </w:rPr>
        <w:t xml:space="preserve">(the Determination) requires passengers on a relevant international flight not to enter Australian territory at a landing place if the person has been in </w:t>
      </w:r>
      <w:r w:rsidR="009F5994" w:rsidRPr="009D6BAE">
        <w:rPr>
          <w:rFonts w:eastAsia="Times New Roman"/>
          <w:color w:val="000000"/>
          <w:lang w:eastAsia="en-AU"/>
        </w:rPr>
        <w:t>an Omicron high risk country</w:t>
      </w:r>
      <w:r w:rsidR="00CB3D42" w:rsidRPr="009D6BAE">
        <w:rPr>
          <w:rFonts w:eastAsia="Times New Roman"/>
          <w:color w:val="000000"/>
          <w:lang w:eastAsia="en-AU"/>
        </w:rPr>
        <w:t xml:space="preserve"> (Botswana, Eswatini, Lesotho, Malawi, Mozambique, Namibia, Seychelles, South Africa and Zimbabwe)</w:t>
      </w:r>
      <w:r w:rsidRPr="009D6BAE">
        <w:rPr>
          <w:rFonts w:eastAsia="Times New Roman"/>
          <w:color w:val="000000"/>
          <w:lang w:eastAsia="en-AU"/>
        </w:rPr>
        <w:t xml:space="preserve"> within 14 days of the day the flight was scheduled to commence</w:t>
      </w:r>
      <w:r w:rsidR="009D6BAE" w:rsidRPr="009D6BAE">
        <w:rPr>
          <w:rFonts w:eastAsia="Times New Roman"/>
          <w:color w:val="000000"/>
          <w:lang w:eastAsia="en-AU"/>
        </w:rPr>
        <w:t>, unless an exemption set out in section 7 applies to the person.</w:t>
      </w:r>
    </w:p>
    <w:p w14:paraId="4F5D8F6D"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535434DE" w14:textId="031ECBD5"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xml:space="preserve">The Determination to temporarily restrict entry to Australia for people who have been in </w:t>
      </w:r>
      <w:r w:rsidR="009F5994" w:rsidRPr="002B0D32">
        <w:rPr>
          <w:rFonts w:eastAsia="Times New Roman"/>
          <w:color w:val="000000"/>
          <w:lang w:eastAsia="en-AU"/>
        </w:rPr>
        <w:t>an Omicron high risk country</w:t>
      </w:r>
      <w:r w:rsidRPr="002B0D32">
        <w:rPr>
          <w:rFonts w:eastAsia="Times New Roman"/>
          <w:color w:val="000000"/>
          <w:lang w:eastAsia="en-AU"/>
        </w:rPr>
        <w:t xml:space="preserve"> in the last 14 days reflects the latest health advice that there is a high likelihood of </w:t>
      </w:r>
      <w:r w:rsidR="00B127DF" w:rsidRPr="002B0D32">
        <w:rPr>
          <w:rFonts w:eastAsia="Times New Roman"/>
          <w:color w:val="000000"/>
          <w:lang w:eastAsia="en-AU"/>
        </w:rPr>
        <w:t>Omicron</w:t>
      </w:r>
      <w:r w:rsidR="00CB3D42" w:rsidRPr="002B0D32">
        <w:rPr>
          <w:rFonts w:eastAsia="Times New Roman"/>
          <w:color w:val="000000"/>
          <w:lang w:eastAsia="en-AU"/>
        </w:rPr>
        <w:t xml:space="preserve"> (new COVID-19 variant detected)</w:t>
      </w:r>
      <w:r w:rsidRPr="002B0D32">
        <w:rPr>
          <w:rFonts w:eastAsia="Times New Roman"/>
          <w:color w:val="000000"/>
          <w:lang w:eastAsia="en-AU"/>
        </w:rPr>
        <w:t xml:space="preserve"> cases arriving in Australia via a person travelling from </w:t>
      </w:r>
      <w:r w:rsidR="00935586" w:rsidRPr="002B0D32">
        <w:rPr>
          <w:rFonts w:eastAsia="Times New Roman"/>
          <w:color w:val="000000"/>
          <w:lang w:eastAsia="en-AU"/>
        </w:rPr>
        <w:t>an Omicron high risk country</w:t>
      </w:r>
      <w:r w:rsidRPr="002B0D32">
        <w:rPr>
          <w:rFonts w:eastAsia="Times New Roman"/>
          <w:color w:val="000000"/>
          <w:lang w:eastAsia="en-AU"/>
        </w:rPr>
        <w:t xml:space="preserve">, or who has been in </w:t>
      </w:r>
      <w:r w:rsidR="00935586" w:rsidRPr="002B0D32">
        <w:rPr>
          <w:rFonts w:eastAsia="Times New Roman"/>
          <w:color w:val="000000"/>
          <w:lang w:eastAsia="en-AU"/>
        </w:rPr>
        <w:t>an Omicron high risk country</w:t>
      </w:r>
      <w:r w:rsidRPr="002B0D32">
        <w:rPr>
          <w:rFonts w:eastAsia="Times New Roman"/>
          <w:color w:val="000000"/>
          <w:lang w:eastAsia="en-AU"/>
        </w:rPr>
        <w:t xml:space="preserve"> in the last 14</w:t>
      </w:r>
      <w:r w:rsidR="00CB3D42" w:rsidRPr="002B0D32">
        <w:rPr>
          <w:rFonts w:eastAsia="Times New Roman"/>
          <w:color w:val="000000"/>
          <w:lang w:eastAsia="en-AU"/>
        </w:rPr>
        <w:t> </w:t>
      </w:r>
      <w:r w:rsidRPr="002B0D32">
        <w:rPr>
          <w:rFonts w:eastAsia="Times New Roman"/>
          <w:color w:val="000000"/>
          <w:lang w:eastAsia="en-AU"/>
        </w:rPr>
        <w:t>days.</w:t>
      </w:r>
    </w:p>
    <w:p w14:paraId="607D148B"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398A07EA" w14:textId="61C565DB" w:rsidR="006A4AD8" w:rsidRPr="002B0D32" w:rsidRDefault="00935586"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Omicron high risk countries have</w:t>
      </w:r>
      <w:r w:rsidR="006A4AD8" w:rsidRPr="002B0D32">
        <w:rPr>
          <w:rFonts w:eastAsia="Times New Roman"/>
          <w:color w:val="000000"/>
          <w:lang w:eastAsia="en-AU"/>
        </w:rPr>
        <w:t xml:space="preserve"> been identified as a </w:t>
      </w:r>
      <w:proofErr w:type="gramStart"/>
      <w:r w:rsidR="006A4AD8" w:rsidRPr="002B0D32">
        <w:rPr>
          <w:rFonts w:eastAsia="Times New Roman"/>
          <w:color w:val="000000"/>
          <w:lang w:eastAsia="en-AU"/>
        </w:rPr>
        <w:t>high risk</w:t>
      </w:r>
      <w:proofErr w:type="gramEnd"/>
      <w:r w:rsidR="006A4AD8" w:rsidRPr="002B0D32">
        <w:rPr>
          <w:rFonts w:eastAsia="Times New Roman"/>
          <w:color w:val="000000"/>
          <w:lang w:eastAsia="en-AU"/>
        </w:rPr>
        <w:t xml:space="preserve"> countr</w:t>
      </w:r>
      <w:r w:rsidRPr="002B0D32">
        <w:rPr>
          <w:rFonts w:eastAsia="Times New Roman"/>
          <w:color w:val="000000"/>
          <w:lang w:eastAsia="en-AU"/>
        </w:rPr>
        <w:t>ies</w:t>
      </w:r>
      <w:r w:rsidR="006A4AD8" w:rsidRPr="002B0D32">
        <w:rPr>
          <w:rFonts w:eastAsia="Times New Roman"/>
          <w:color w:val="000000"/>
          <w:lang w:eastAsia="en-AU"/>
        </w:rPr>
        <w:t xml:space="preserve"> due to the </w:t>
      </w:r>
      <w:r w:rsidRPr="002B0D32">
        <w:rPr>
          <w:rFonts w:eastAsia="Times New Roman"/>
          <w:color w:val="000000"/>
          <w:lang w:eastAsia="en-AU"/>
        </w:rPr>
        <w:t xml:space="preserve">Omicron variant making a rapid escalation to be the dominant variant detected in South Africa and scattered spread to several countries outside of Africa. </w:t>
      </w:r>
      <w:r w:rsidR="006A4AD8" w:rsidRPr="002B0D32">
        <w:rPr>
          <w:rFonts w:eastAsia="Times New Roman"/>
          <w:color w:val="000000"/>
          <w:lang w:eastAsia="en-AU"/>
        </w:rPr>
        <w:t xml:space="preserve">The Determination protects the </w:t>
      </w:r>
      <w:r w:rsidR="00B127DF" w:rsidRPr="002B0D32">
        <w:rPr>
          <w:rFonts w:eastAsia="Times New Roman"/>
          <w:color w:val="000000"/>
          <w:lang w:eastAsia="en-AU"/>
        </w:rPr>
        <w:t xml:space="preserve">already limited </w:t>
      </w:r>
      <w:r w:rsidR="006A4AD8" w:rsidRPr="002B0D32">
        <w:rPr>
          <w:rFonts w:eastAsia="Times New Roman"/>
          <w:color w:val="000000"/>
          <w:lang w:eastAsia="en-AU"/>
        </w:rPr>
        <w:t xml:space="preserve">quarantine </w:t>
      </w:r>
      <w:r w:rsidR="002424DE">
        <w:rPr>
          <w:rFonts w:eastAsia="Times New Roman"/>
          <w:color w:val="000000"/>
          <w:lang w:eastAsia="en-AU"/>
        </w:rPr>
        <w:t xml:space="preserve">system </w:t>
      </w:r>
      <w:r w:rsidR="00B127DF" w:rsidRPr="002B0D32">
        <w:rPr>
          <w:rFonts w:eastAsia="Times New Roman"/>
          <w:color w:val="000000"/>
          <w:lang w:eastAsia="en-AU"/>
        </w:rPr>
        <w:t xml:space="preserve">from becoming overwhelmed with cases of Omicron by those entering Australia </w:t>
      </w:r>
      <w:r w:rsidR="006A4AD8" w:rsidRPr="002B0D32">
        <w:rPr>
          <w:rFonts w:eastAsia="Times New Roman"/>
          <w:color w:val="000000"/>
          <w:lang w:eastAsia="en-AU"/>
        </w:rPr>
        <w:t xml:space="preserve">and prevent and control the entry, and the emergence, establishment or spread of </w:t>
      </w:r>
      <w:r w:rsidR="00B127DF" w:rsidRPr="002B0D32">
        <w:rPr>
          <w:rFonts w:eastAsia="Times New Roman"/>
          <w:color w:val="000000"/>
          <w:lang w:eastAsia="en-AU"/>
        </w:rPr>
        <w:t>Omicron</w:t>
      </w:r>
      <w:r w:rsidR="006A4AD8" w:rsidRPr="002B0D32">
        <w:rPr>
          <w:rFonts w:eastAsia="Times New Roman"/>
          <w:color w:val="000000"/>
          <w:lang w:eastAsia="en-AU"/>
        </w:rPr>
        <w:t xml:space="preserve"> into Australian territory or a part of Australian territory. The measures maintain the integrity of Australia’s quarantine system and allow the system to recover capacity, which is a critical intervention in preventing and managing the spread of </w:t>
      </w:r>
      <w:r w:rsidR="00B127DF" w:rsidRPr="002B0D32">
        <w:rPr>
          <w:rFonts w:eastAsia="Times New Roman"/>
          <w:color w:val="000000"/>
          <w:lang w:eastAsia="en-AU"/>
        </w:rPr>
        <w:t>Omicron</w:t>
      </w:r>
      <w:r w:rsidR="006A4AD8" w:rsidRPr="002B0D32">
        <w:rPr>
          <w:rFonts w:eastAsia="Times New Roman"/>
          <w:color w:val="000000"/>
          <w:lang w:eastAsia="en-AU"/>
        </w:rPr>
        <w:t>.</w:t>
      </w:r>
    </w:p>
    <w:p w14:paraId="7F5E79AA"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666E70E8" w14:textId="367642AE"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xml:space="preserve">The Determination remains in force until the start of </w:t>
      </w:r>
      <w:r w:rsidR="009F5994" w:rsidRPr="002B0D32">
        <w:rPr>
          <w:rFonts w:eastAsia="Times New Roman"/>
          <w:color w:val="000000"/>
          <w:lang w:eastAsia="en-AU"/>
        </w:rPr>
        <w:t>12</w:t>
      </w:r>
      <w:r w:rsidRPr="002B0D32">
        <w:rPr>
          <w:rFonts w:eastAsia="Times New Roman"/>
          <w:color w:val="000000"/>
          <w:lang w:eastAsia="en-AU"/>
        </w:rPr>
        <w:t xml:space="preserve"> </w:t>
      </w:r>
      <w:r w:rsidR="009F5994" w:rsidRPr="002B0D32">
        <w:rPr>
          <w:rFonts w:eastAsia="Times New Roman"/>
          <w:color w:val="000000"/>
          <w:lang w:eastAsia="en-AU"/>
        </w:rPr>
        <w:t>December</w:t>
      </w:r>
      <w:r w:rsidRPr="002B0D32">
        <w:rPr>
          <w:rFonts w:eastAsia="Times New Roman"/>
          <w:color w:val="000000"/>
          <w:lang w:eastAsia="en-AU"/>
        </w:rPr>
        <w:t xml:space="preserve"> 2021, unless it is revoked earlier.</w:t>
      </w:r>
    </w:p>
    <w:p w14:paraId="35EE61C1" w14:textId="77777777" w:rsidR="006A4AD8" w:rsidRPr="002B0D32" w:rsidRDefault="006A4AD8" w:rsidP="006A4AD8">
      <w:pPr>
        <w:shd w:val="clear" w:color="auto" w:fill="FFFFFF"/>
        <w:spacing w:after="0" w:line="240" w:lineRule="auto"/>
        <w:jc w:val="both"/>
        <w:rPr>
          <w:rFonts w:eastAsia="Times New Roman"/>
          <w:color w:val="000000"/>
          <w:lang w:eastAsia="en-AU"/>
        </w:rPr>
      </w:pPr>
      <w:r w:rsidRPr="002B0D32">
        <w:rPr>
          <w:rFonts w:eastAsia="Times New Roman"/>
          <w:color w:val="000000"/>
          <w:lang w:eastAsia="en-AU"/>
        </w:rPr>
        <w:t> </w:t>
      </w:r>
    </w:p>
    <w:p w14:paraId="5DCE2591" w14:textId="3B56E99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lastRenderedPageBreak/>
        <w:t xml:space="preserve">On the basis of the above, the Minister for Health is satisfied that the Determination is necessary to prevent or control the further entry into, or the emergence, establishment or spread of </w:t>
      </w:r>
      <w:r w:rsidR="00B127DF" w:rsidRPr="002B0D32">
        <w:rPr>
          <w:rFonts w:eastAsia="Times New Roman"/>
          <w:color w:val="000000"/>
          <w:lang w:eastAsia="en-AU"/>
        </w:rPr>
        <w:t>Omicron</w:t>
      </w:r>
      <w:r w:rsidRPr="002B0D32">
        <w:rPr>
          <w:rFonts w:eastAsia="Times New Roman"/>
          <w:color w:val="000000"/>
          <w:lang w:eastAsia="en-AU"/>
        </w:rPr>
        <w:t xml:space="preserve"> into Australian territory or a part of Australian territory.</w:t>
      </w:r>
    </w:p>
    <w:p w14:paraId="5062CDA5" w14:textId="77777777" w:rsidR="00ED1FEF" w:rsidRDefault="00ED1FEF" w:rsidP="006A4AD8">
      <w:pPr>
        <w:shd w:val="clear" w:color="auto" w:fill="FFFFFF"/>
        <w:spacing w:after="0" w:line="240" w:lineRule="auto"/>
        <w:rPr>
          <w:rFonts w:eastAsia="Times New Roman"/>
          <w:b/>
          <w:bCs/>
          <w:color w:val="000000"/>
          <w:lang w:eastAsia="en-AU"/>
        </w:rPr>
      </w:pPr>
    </w:p>
    <w:p w14:paraId="50E981BD" w14:textId="4DFBCFE1" w:rsidR="006A4AD8" w:rsidRPr="002B0D32" w:rsidRDefault="006A4AD8" w:rsidP="006A4AD8">
      <w:pPr>
        <w:shd w:val="clear" w:color="auto" w:fill="FFFFFF"/>
        <w:spacing w:after="0" w:line="240" w:lineRule="auto"/>
        <w:rPr>
          <w:rFonts w:eastAsia="Times New Roman"/>
          <w:b/>
          <w:bCs/>
          <w:color w:val="000000"/>
          <w:lang w:eastAsia="en-AU"/>
        </w:rPr>
      </w:pPr>
      <w:r w:rsidRPr="002B0D32">
        <w:rPr>
          <w:rFonts w:eastAsia="Times New Roman"/>
          <w:b/>
          <w:bCs/>
          <w:color w:val="000000"/>
          <w:lang w:eastAsia="en-AU"/>
        </w:rPr>
        <w:t>Background</w:t>
      </w:r>
    </w:p>
    <w:p w14:paraId="2AF50D0D" w14:textId="77777777" w:rsidR="00CB3D42" w:rsidRPr="002B0D32" w:rsidRDefault="00CB3D42" w:rsidP="006A4AD8">
      <w:pPr>
        <w:shd w:val="clear" w:color="auto" w:fill="FFFFFF"/>
        <w:spacing w:after="0" w:line="240" w:lineRule="auto"/>
        <w:rPr>
          <w:rFonts w:eastAsia="Times New Roman"/>
          <w:color w:val="000000"/>
          <w:lang w:eastAsia="en-AU"/>
        </w:rPr>
      </w:pPr>
    </w:p>
    <w:p w14:paraId="33CCE45C" w14:textId="77777777" w:rsidR="00CB3D42"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On 5 January 2020, the WHO notified Member States under the </w:t>
      </w:r>
      <w:r w:rsidRPr="002B0D32">
        <w:rPr>
          <w:rFonts w:eastAsia="Times New Roman"/>
          <w:i/>
          <w:iCs/>
          <w:color w:val="000000"/>
          <w:lang w:eastAsia="en-AU"/>
        </w:rPr>
        <w:t>International Health Regulations (2005)</w:t>
      </w:r>
      <w:r w:rsidRPr="002B0D32">
        <w:rPr>
          <w:rFonts w:eastAsia="Times New Roman"/>
          <w:color w:val="000000"/>
          <w:lang w:eastAsia="en-AU"/>
        </w:rPr>
        <w:t xml:space="preserve"> (IHR) of an outbreak of pneumonia of unknown cause in Wuhan city, China. On 21 January 2020 ‘human coronavirus with pandemic potential’ became a ‘listed human disease’ by legislative instrument made by the Director of Human Biosecurity. </w:t>
      </w:r>
    </w:p>
    <w:p w14:paraId="292320CE" w14:textId="75AE1E4A"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43AE3CF4"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On 30 January 2020, the outbreak was declared by the WHO International Regulations Emergency Committee to constitute a Public Health Emergency of International Concern.</w:t>
      </w:r>
    </w:p>
    <w:p w14:paraId="0E652660"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597DDA29" w14:textId="74B3E07D"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On 11 February 2020, the WHO announced that the International Committee on Taxonomy of Viruses named the pathogen virus ‘severe acute respiratory syndrome coronavirus (SARS-CoV-2)’. </w:t>
      </w:r>
      <w:r w:rsidRPr="002B0D32">
        <w:rPr>
          <w:rFonts w:eastAsia="Times New Roman"/>
          <w:color w:val="000000"/>
          <w:lang w:val="en" w:eastAsia="en-AU"/>
        </w:rPr>
        <w:t>The international name given by WHO to the disease caused by SARS-CoV-2 is Coronavirus disease 2019 (COVID-19). </w:t>
      </w:r>
      <w:r w:rsidRPr="002B0D32">
        <w:rPr>
          <w:rFonts w:eastAsia="Times New Roman"/>
          <w:color w:val="000000"/>
          <w:lang w:eastAsia="en-AU"/>
        </w:rPr>
        <w:t>On 11 March 2020, the WHO declared the outbreak of COVID-19 a pandemic. </w:t>
      </w:r>
    </w:p>
    <w:p w14:paraId="4C2733F4"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i/>
          <w:iCs/>
          <w:color w:val="000000"/>
          <w:lang w:eastAsia="en-AU"/>
        </w:rPr>
        <w:t> </w:t>
      </w:r>
    </w:p>
    <w:p w14:paraId="1DAC65C9" w14:textId="72A73FF6" w:rsidR="006A4AD8" w:rsidRPr="002B0D32" w:rsidRDefault="006A4AD8" w:rsidP="006A4AD8">
      <w:pPr>
        <w:shd w:val="clear" w:color="auto" w:fill="FFFFFF"/>
        <w:spacing w:after="0" w:line="240" w:lineRule="auto"/>
        <w:rPr>
          <w:rFonts w:ascii="Arial" w:eastAsia="Times New Roman" w:hAnsi="Arial" w:cs="Arial"/>
          <w:color w:val="000000"/>
          <w:sz w:val="22"/>
          <w:szCs w:val="22"/>
          <w:lang w:eastAsia="en-AU"/>
        </w:rPr>
      </w:pPr>
      <w:r w:rsidRPr="002B0D32">
        <w:rPr>
          <w:rFonts w:eastAsia="Times New Roman"/>
          <w:i/>
          <w:iCs/>
          <w:color w:val="000000"/>
          <w:lang w:eastAsia="en-AU"/>
        </w:rPr>
        <w:t>Emergency requirements and directions</w:t>
      </w:r>
      <w:r w:rsidRPr="002B0D32">
        <w:rPr>
          <w:rFonts w:eastAsia="Times New Roman"/>
          <w:i/>
          <w:iCs/>
          <w:color w:val="000000"/>
          <w:lang w:eastAsia="en-AU"/>
        </w:rPr>
        <w:br/>
      </w:r>
      <w:r w:rsidRPr="002B0D32">
        <w:rPr>
          <w:rFonts w:eastAsia="Times New Roman"/>
          <w:i/>
          <w:iCs/>
          <w:color w:val="000000"/>
          <w:lang w:eastAsia="en-AU"/>
        </w:rPr>
        <w:br/>
      </w:r>
      <w:r w:rsidRPr="002B0D32">
        <w:rPr>
          <w:rFonts w:eastAsia="Times New Roman"/>
          <w:color w:val="000000"/>
          <w:lang w:eastAsia="en-AU"/>
        </w:rPr>
        <w:t xml:space="preserve">An emergency requirement is a non-disallowable legislative instrument (subsection 477(2)). The Act provides for the Determination to be non-disallowable to ensure that the Commonwealth </w:t>
      </w:r>
      <w:proofErr w:type="gramStart"/>
      <w:r w:rsidRPr="002B0D32">
        <w:rPr>
          <w:rFonts w:eastAsia="Times New Roman"/>
          <w:color w:val="000000"/>
          <w:lang w:eastAsia="en-AU"/>
        </w:rPr>
        <w:t>is able to</w:t>
      </w:r>
      <w:proofErr w:type="gramEnd"/>
      <w:r w:rsidRPr="002B0D32">
        <w:rPr>
          <w:rFonts w:eastAsia="Times New Roman"/>
          <w:color w:val="000000"/>
          <w:lang w:eastAsia="en-AU"/>
        </w:rPr>
        <w:t xml:space="preserve"> take the urgent action necessary to manage a nationally significant threat or harm to Australia’s human health. The Minister for Health makes emergency requirements or gives directions personally (section 474).</w:t>
      </w:r>
      <w:r w:rsidRPr="002B0D32">
        <w:rPr>
          <w:rFonts w:eastAsia="Times New Roman"/>
          <w:color w:val="000000"/>
          <w:lang w:eastAsia="en-AU"/>
        </w:rPr>
        <w:br/>
      </w:r>
      <w:r w:rsidRPr="002B0D32">
        <w:rPr>
          <w:rFonts w:ascii="Arial" w:eastAsia="Times New Roman" w:hAnsi="Arial" w:cs="Arial"/>
          <w:color w:val="000000"/>
          <w:sz w:val="22"/>
          <w:szCs w:val="22"/>
          <w:lang w:eastAsia="en-AU"/>
        </w:rPr>
        <w:br/>
      </w:r>
      <w:r w:rsidRPr="002B0D32">
        <w:rPr>
          <w:rFonts w:eastAsia="Times New Roman"/>
          <w:color w:val="000000"/>
          <w:lang w:eastAsia="en-AU"/>
        </w:rPr>
        <w:t>The requirements that the Minister for Health may determine under section 477 of the Act include, but are not limited to: requirements that apply to persons, goods or conveyances when entering or leaving specified places; requirements that restrict or prevent the movement of persons, goods or conveyances in or between specified places; and requirements for specified places to be evacuated (subsection 477(3)).</w:t>
      </w:r>
      <w:r w:rsidRPr="002B0D32">
        <w:rPr>
          <w:rFonts w:eastAsia="Times New Roman"/>
          <w:color w:val="000000"/>
          <w:lang w:eastAsia="en-AU"/>
        </w:rPr>
        <w:br/>
      </w:r>
      <w:r w:rsidRPr="002B0D32">
        <w:rPr>
          <w:rFonts w:eastAsia="Times New Roman"/>
          <w:color w:val="000000"/>
          <w:lang w:eastAsia="en-AU"/>
        </w:rPr>
        <w:br/>
        <w:t>Requirements determined under subsection 477(1) apply despite any provision of any other Australian law (subsection 477(5)), with the potential consequence that a person who acts in accordance with a requirement may be protected from criminal liability that would otherwise attach to a person’s required actions under State, Territory or Commonwealth law.</w:t>
      </w:r>
      <w:r w:rsidRPr="002B0D32">
        <w:rPr>
          <w:rFonts w:ascii="Arial" w:eastAsia="Times New Roman" w:hAnsi="Arial" w:cs="Arial"/>
          <w:color w:val="000000"/>
          <w:sz w:val="22"/>
          <w:szCs w:val="22"/>
          <w:lang w:eastAsia="en-AU"/>
        </w:rPr>
        <w:br/>
      </w:r>
    </w:p>
    <w:p w14:paraId="79C987FD" w14:textId="77777777" w:rsidR="006A4AD8" w:rsidRPr="002B0D32" w:rsidRDefault="006A4AD8" w:rsidP="006A4AD8">
      <w:pPr>
        <w:shd w:val="clear" w:color="auto" w:fill="FFFFFF"/>
        <w:spacing w:after="0" w:line="240" w:lineRule="auto"/>
        <w:rPr>
          <w:rFonts w:ascii="Arial" w:eastAsia="Times New Roman" w:hAnsi="Arial" w:cs="Arial"/>
          <w:color w:val="000000"/>
          <w:sz w:val="22"/>
          <w:szCs w:val="22"/>
          <w:lang w:eastAsia="en-AU"/>
        </w:rPr>
      </w:pPr>
      <w:r w:rsidRPr="002B0D32">
        <w:rPr>
          <w:rFonts w:eastAsia="Times New Roman"/>
          <w:color w:val="000000"/>
          <w:lang w:eastAsia="en-AU"/>
        </w:rPr>
        <w:t>The Australian Government has established protocols for the exercise of emergency powers under the Act to ensure that the emergency powers are only used where necessary to protect the health of Australians, based on expert advice and following appropriate consultation.</w:t>
      </w:r>
    </w:p>
    <w:p w14:paraId="2A63602E" w14:textId="31AF0601"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416D90FD"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A provision-by-provision description of the Determination is contained in the Attachment.</w:t>
      </w:r>
    </w:p>
    <w:p w14:paraId="2360104E" w14:textId="22861BD9" w:rsidR="006A4AD8" w:rsidRPr="002B0D32" w:rsidRDefault="006A4AD8" w:rsidP="006A4AD8">
      <w:pPr>
        <w:spacing w:after="0" w:line="240" w:lineRule="auto"/>
        <w:rPr>
          <w:rFonts w:eastAsia="Times New Roman"/>
          <w:lang w:eastAsia="en-AU"/>
        </w:rPr>
      </w:pPr>
    </w:p>
    <w:p w14:paraId="047B3BD5" w14:textId="77777777" w:rsidR="00F306A8" w:rsidRPr="002B0D32" w:rsidRDefault="00F306A8" w:rsidP="006A4AD8">
      <w:pPr>
        <w:shd w:val="clear" w:color="auto" w:fill="FFFFFF"/>
        <w:spacing w:after="0" w:line="240" w:lineRule="auto"/>
        <w:jc w:val="right"/>
        <w:rPr>
          <w:rFonts w:eastAsia="Times New Roman"/>
          <w:b/>
          <w:bCs/>
          <w:color w:val="000000"/>
          <w:lang w:eastAsia="en-AU"/>
        </w:rPr>
      </w:pPr>
    </w:p>
    <w:p w14:paraId="1B449D78" w14:textId="77777777" w:rsidR="00F306A8" w:rsidRPr="002B0D32" w:rsidRDefault="00F306A8" w:rsidP="006A4AD8">
      <w:pPr>
        <w:shd w:val="clear" w:color="auto" w:fill="FFFFFF"/>
        <w:spacing w:after="0" w:line="240" w:lineRule="auto"/>
        <w:jc w:val="right"/>
        <w:rPr>
          <w:rFonts w:eastAsia="Times New Roman"/>
          <w:b/>
          <w:bCs/>
          <w:color w:val="000000"/>
          <w:lang w:eastAsia="en-AU"/>
        </w:rPr>
      </w:pPr>
    </w:p>
    <w:p w14:paraId="3A6414C4" w14:textId="7348E119" w:rsidR="00CB3D42" w:rsidRPr="002B0D32" w:rsidRDefault="00CB3D42">
      <w:pPr>
        <w:rPr>
          <w:rFonts w:eastAsia="Times New Roman"/>
          <w:b/>
          <w:bCs/>
          <w:color w:val="000000"/>
          <w:lang w:eastAsia="en-AU"/>
        </w:rPr>
      </w:pPr>
      <w:r w:rsidRPr="002B0D32">
        <w:rPr>
          <w:rFonts w:eastAsia="Times New Roman"/>
          <w:b/>
          <w:bCs/>
          <w:color w:val="000000"/>
          <w:lang w:eastAsia="en-AU"/>
        </w:rPr>
        <w:br w:type="page"/>
      </w:r>
    </w:p>
    <w:p w14:paraId="375E445F" w14:textId="3259CEEC" w:rsidR="006A4AD8" w:rsidRPr="002B0D32" w:rsidRDefault="006A4AD8" w:rsidP="006A4AD8">
      <w:pPr>
        <w:shd w:val="clear" w:color="auto" w:fill="FFFFFF"/>
        <w:spacing w:after="0" w:line="240" w:lineRule="auto"/>
        <w:jc w:val="right"/>
        <w:rPr>
          <w:rFonts w:eastAsia="Times New Roman"/>
          <w:color w:val="000000"/>
          <w:lang w:eastAsia="en-AU"/>
        </w:rPr>
      </w:pPr>
      <w:r w:rsidRPr="002B0D32">
        <w:rPr>
          <w:rFonts w:eastAsia="Times New Roman"/>
          <w:b/>
          <w:bCs/>
          <w:color w:val="000000"/>
          <w:lang w:eastAsia="en-AU"/>
        </w:rPr>
        <w:lastRenderedPageBreak/>
        <w:t>ATTACHMENT</w:t>
      </w:r>
    </w:p>
    <w:p w14:paraId="3671C7A7" w14:textId="77777777" w:rsidR="006A4AD8" w:rsidRPr="002B0D32" w:rsidRDefault="006A4AD8" w:rsidP="006A4AD8">
      <w:pPr>
        <w:shd w:val="clear" w:color="auto" w:fill="FFFFFF"/>
        <w:spacing w:after="0" w:line="240" w:lineRule="auto"/>
        <w:jc w:val="right"/>
        <w:rPr>
          <w:rFonts w:eastAsia="Times New Roman"/>
          <w:color w:val="000000"/>
          <w:lang w:eastAsia="en-AU"/>
        </w:rPr>
      </w:pPr>
      <w:r w:rsidRPr="002B0D32">
        <w:rPr>
          <w:rFonts w:eastAsia="Times New Roman"/>
          <w:b/>
          <w:bCs/>
          <w:color w:val="000000"/>
          <w:lang w:eastAsia="en-AU"/>
        </w:rPr>
        <w:t> </w:t>
      </w:r>
    </w:p>
    <w:p w14:paraId="51180587" w14:textId="77777777" w:rsidR="00B127DF" w:rsidRPr="002B0D32" w:rsidRDefault="00B127DF" w:rsidP="00B127DF">
      <w:pPr>
        <w:shd w:val="clear" w:color="auto" w:fill="FFFFFF"/>
        <w:spacing w:after="0" w:line="240" w:lineRule="auto"/>
        <w:rPr>
          <w:rFonts w:eastAsia="Times New Roman"/>
          <w:color w:val="000000"/>
          <w:lang w:eastAsia="en-AU"/>
        </w:rPr>
      </w:pPr>
      <w:r w:rsidRPr="002B0D32">
        <w:rPr>
          <w:rFonts w:eastAsia="Times New Roman"/>
          <w:b/>
          <w:bCs/>
          <w:i/>
          <w:iCs/>
          <w:color w:val="000000"/>
          <w:lang w:eastAsia="en-AU"/>
        </w:rPr>
        <w:t>Biosecurity (Emergency Requirements—High Risk Country Travel Pause) Determination (No. 2) 2021</w:t>
      </w:r>
    </w:p>
    <w:p w14:paraId="50CFFB79"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 </w:t>
      </w:r>
    </w:p>
    <w:p w14:paraId="55EF380F"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Part 1 - Preliminary</w:t>
      </w:r>
    </w:p>
    <w:p w14:paraId="55466EE4" w14:textId="77777777" w:rsidR="006A4AD8" w:rsidRPr="00543779" w:rsidRDefault="006A4AD8" w:rsidP="006A4AD8">
      <w:pPr>
        <w:shd w:val="clear" w:color="auto" w:fill="FFFFFF"/>
        <w:spacing w:after="0" w:line="240" w:lineRule="auto"/>
        <w:rPr>
          <w:rFonts w:eastAsia="Times New Roman"/>
          <w:color w:val="000000"/>
          <w:lang w:eastAsia="en-AU"/>
        </w:rPr>
      </w:pPr>
      <w:r w:rsidRPr="00543779">
        <w:rPr>
          <w:rFonts w:eastAsia="Times New Roman"/>
          <w:b/>
          <w:bCs/>
          <w:color w:val="000000"/>
          <w:lang w:eastAsia="en-AU"/>
        </w:rPr>
        <w:t> </w:t>
      </w:r>
    </w:p>
    <w:p w14:paraId="0A18F9B2" w14:textId="77777777" w:rsidR="006A4AD8" w:rsidRPr="00543779" w:rsidRDefault="006A4AD8" w:rsidP="006A4AD8">
      <w:pPr>
        <w:shd w:val="clear" w:color="auto" w:fill="FFFFFF"/>
        <w:spacing w:after="0" w:line="240" w:lineRule="auto"/>
        <w:rPr>
          <w:rFonts w:eastAsia="Times New Roman"/>
          <w:color w:val="000000"/>
          <w:lang w:eastAsia="en-AU"/>
        </w:rPr>
      </w:pPr>
      <w:r w:rsidRPr="00543779">
        <w:rPr>
          <w:rFonts w:eastAsia="Times New Roman"/>
          <w:b/>
          <w:bCs/>
          <w:color w:val="000000"/>
          <w:lang w:eastAsia="en-AU"/>
        </w:rPr>
        <w:t>1</w:t>
      </w:r>
      <w:r w:rsidRPr="00543779">
        <w:rPr>
          <w:rFonts w:eastAsia="Times New Roman"/>
          <w:b/>
          <w:bCs/>
          <w:color w:val="000000"/>
          <w:sz w:val="14"/>
          <w:szCs w:val="14"/>
          <w:lang w:eastAsia="en-AU"/>
        </w:rPr>
        <w:t>               </w:t>
      </w:r>
      <w:r w:rsidRPr="00543779">
        <w:rPr>
          <w:rFonts w:eastAsia="Times New Roman"/>
          <w:b/>
          <w:bCs/>
          <w:color w:val="000000"/>
          <w:lang w:eastAsia="en-AU"/>
        </w:rPr>
        <w:t>Name</w:t>
      </w:r>
    </w:p>
    <w:p w14:paraId="7B2FE579" w14:textId="21CE7047" w:rsidR="006A4AD8" w:rsidRPr="00543779" w:rsidRDefault="006A4AD8" w:rsidP="006A4AD8">
      <w:pPr>
        <w:shd w:val="clear" w:color="auto" w:fill="FFFFFF"/>
        <w:spacing w:after="0" w:line="240" w:lineRule="auto"/>
        <w:rPr>
          <w:rFonts w:eastAsia="Times New Roman"/>
          <w:i/>
          <w:iCs/>
          <w:color w:val="000000"/>
          <w:lang w:eastAsia="en-AU"/>
        </w:rPr>
      </w:pPr>
      <w:r w:rsidRPr="00543779">
        <w:rPr>
          <w:rFonts w:eastAsia="Times New Roman"/>
          <w:color w:val="000000"/>
          <w:lang w:eastAsia="en-AU"/>
        </w:rPr>
        <w:t>Section 1 provides that the instrument is th</w:t>
      </w:r>
      <w:r w:rsidR="00543779" w:rsidRPr="00543779">
        <w:rPr>
          <w:rFonts w:eastAsia="Times New Roman"/>
          <w:color w:val="000000"/>
          <w:lang w:eastAsia="en-AU"/>
        </w:rPr>
        <w:t xml:space="preserve">e </w:t>
      </w:r>
      <w:r w:rsidR="00543779" w:rsidRPr="00543779">
        <w:rPr>
          <w:rFonts w:eastAsia="Times New Roman"/>
          <w:i/>
          <w:iCs/>
          <w:color w:val="000000"/>
          <w:lang w:eastAsia="en-AU"/>
        </w:rPr>
        <w:t>Biosecurity (Emergency Requirements</w:t>
      </w:r>
      <w:r w:rsidR="00543779" w:rsidRPr="00543779">
        <w:rPr>
          <w:color w:val="000000"/>
          <w:shd w:val="clear" w:color="auto" w:fill="F2F2F2"/>
        </w:rPr>
        <w:t>—</w:t>
      </w:r>
      <w:r w:rsidR="00543779" w:rsidRPr="00543779">
        <w:rPr>
          <w:i/>
          <w:iCs/>
          <w:color w:val="000000"/>
          <w:shd w:val="clear" w:color="auto" w:fill="F2F2F2"/>
        </w:rPr>
        <w:t>High Risk Country Travel Pause) Determination (No. 2) 2021.</w:t>
      </w:r>
    </w:p>
    <w:p w14:paraId="77833B8E" w14:textId="77777777" w:rsidR="006A4AD8" w:rsidRPr="00543779" w:rsidRDefault="006A4AD8" w:rsidP="006A4AD8">
      <w:pPr>
        <w:shd w:val="clear" w:color="auto" w:fill="FFFFFF"/>
        <w:spacing w:after="0" w:line="240" w:lineRule="auto"/>
        <w:rPr>
          <w:rFonts w:eastAsia="Times New Roman"/>
          <w:color w:val="000000"/>
          <w:lang w:eastAsia="en-AU"/>
        </w:rPr>
      </w:pPr>
      <w:r w:rsidRPr="00543779">
        <w:rPr>
          <w:rFonts w:eastAsia="Times New Roman"/>
          <w:b/>
          <w:bCs/>
          <w:color w:val="000000"/>
          <w:lang w:eastAsia="en-AU"/>
        </w:rPr>
        <w:t> </w:t>
      </w:r>
    </w:p>
    <w:p w14:paraId="0090A64F"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2</w:t>
      </w:r>
      <w:r w:rsidRPr="002B0D32">
        <w:rPr>
          <w:rFonts w:eastAsia="Times New Roman"/>
          <w:b/>
          <w:bCs/>
          <w:color w:val="000000"/>
          <w:sz w:val="14"/>
          <w:szCs w:val="14"/>
          <w:lang w:eastAsia="en-AU"/>
        </w:rPr>
        <w:t>               </w:t>
      </w:r>
      <w:r w:rsidRPr="002B0D32">
        <w:rPr>
          <w:rFonts w:eastAsia="Times New Roman"/>
          <w:b/>
          <w:bCs/>
          <w:color w:val="000000"/>
          <w:lang w:eastAsia="en-AU"/>
        </w:rPr>
        <w:t>Commencement</w:t>
      </w:r>
    </w:p>
    <w:p w14:paraId="4848D195" w14:textId="3239CEEF"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xml:space="preserve">Section 2 provides that the instrument commences </w:t>
      </w:r>
      <w:r w:rsidR="00F306A8" w:rsidRPr="002B0D32">
        <w:rPr>
          <w:rFonts w:eastAsia="Times New Roman"/>
          <w:color w:val="000000"/>
          <w:lang w:eastAsia="en-AU"/>
        </w:rPr>
        <w:t>immediately after the instrument is registered</w:t>
      </w:r>
      <w:r w:rsidRPr="002B0D32">
        <w:rPr>
          <w:rFonts w:eastAsia="Times New Roman"/>
          <w:color w:val="000000"/>
          <w:lang w:eastAsia="en-AU"/>
        </w:rPr>
        <w:t>.</w:t>
      </w:r>
    </w:p>
    <w:p w14:paraId="2C9D1367"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                                   </w:t>
      </w:r>
    </w:p>
    <w:p w14:paraId="20FE264B"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3</w:t>
      </w:r>
      <w:r w:rsidRPr="002B0D32">
        <w:rPr>
          <w:rFonts w:eastAsia="Times New Roman"/>
          <w:b/>
          <w:bCs/>
          <w:color w:val="000000"/>
          <w:sz w:val="14"/>
          <w:szCs w:val="14"/>
          <w:lang w:eastAsia="en-AU"/>
        </w:rPr>
        <w:t>               </w:t>
      </w:r>
      <w:r w:rsidRPr="002B0D32">
        <w:rPr>
          <w:rFonts w:eastAsia="Times New Roman"/>
          <w:b/>
          <w:bCs/>
          <w:color w:val="000000"/>
          <w:lang w:eastAsia="en-AU"/>
        </w:rPr>
        <w:t>Authority</w:t>
      </w:r>
    </w:p>
    <w:p w14:paraId="510FD6D9"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Section 3 provides that the instrument is made under subsection 477(1) of the </w:t>
      </w:r>
      <w:r w:rsidRPr="002B0D32">
        <w:rPr>
          <w:rFonts w:eastAsia="Times New Roman"/>
          <w:i/>
          <w:iCs/>
          <w:color w:val="000000"/>
          <w:lang w:eastAsia="en-AU"/>
        </w:rPr>
        <w:t>Biosecurity Act 2015</w:t>
      </w:r>
      <w:r w:rsidRPr="002B0D32">
        <w:rPr>
          <w:rFonts w:eastAsia="Times New Roman"/>
          <w:color w:val="000000"/>
          <w:lang w:eastAsia="en-AU"/>
        </w:rPr>
        <w:t>.</w:t>
      </w:r>
    </w:p>
    <w:p w14:paraId="67B2273C"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389811EC"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4</w:t>
      </w:r>
      <w:r w:rsidRPr="002B0D32">
        <w:rPr>
          <w:rFonts w:eastAsia="Times New Roman"/>
          <w:b/>
          <w:bCs/>
          <w:color w:val="000000"/>
          <w:sz w:val="14"/>
          <w:szCs w:val="14"/>
          <w:lang w:eastAsia="en-AU"/>
        </w:rPr>
        <w:t>               </w:t>
      </w:r>
      <w:r w:rsidRPr="002B0D32">
        <w:rPr>
          <w:rFonts w:eastAsia="Times New Roman"/>
          <w:b/>
          <w:bCs/>
          <w:color w:val="000000"/>
          <w:lang w:eastAsia="en-AU"/>
        </w:rPr>
        <w:t>Definitions</w:t>
      </w:r>
    </w:p>
    <w:p w14:paraId="3CF45E81"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xml:space="preserve">Section 4 provides that </w:t>
      </w:r>
      <w:proofErr w:type="gramStart"/>
      <w:r w:rsidRPr="002B0D32">
        <w:rPr>
          <w:rFonts w:eastAsia="Times New Roman"/>
          <w:color w:val="000000"/>
          <w:lang w:eastAsia="en-AU"/>
        </w:rPr>
        <w:t>a number of</w:t>
      </w:r>
      <w:proofErr w:type="gramEnd"/>
      <w:r w:rsidRPr="002B0D32">
        <w:rPr>
          <w:rFonts w:eastAsia="Times New Roman"/>
          <w:color w:val="000000"/>
          <w:lang w:eastAsia="en-AU"/>
        </w:rPr>
        <w:t xml:space="preserve"> expressions used in this instrument are defined in the </w:t>
      </w:r>
      <w:r w:rsidRPr="002B0D32">
        <w:rPr>
          <w:rFonts w:eastAsia="Times New Roman"/>
          <w:i/>
          <w:iCs/>
          <w:color w:val="000000"/>
          <w:lang w:eastAsia="en-AU"/>
        </w:rPr>
        <w:t>Biosecurity Act 2015</w:t>
      </w:r>
      <w:r w:rsidRPr="002B0D32">
        <w:rPr>
          <w:rFonts w:eastAsia="Times New Roman"/>
          <w:color w:val="000000"/>
          <w:lang w:eastAsia="en-AU"/>
        </w:rPr>
        <w:t xml:space="preserve">. Section 4 also provides definitions for </w:t>
      </w:r>
      <w:proofErr w:type="gramStart"/>
      <w:r w:rsidRPr="002B0D32">
        <w:rPr>
          <w:rFonts w:eastAsia="Times New Roman"/>
          <w:color w:val="000000"/>
          <w:lang w:eastAsia="en-AU"/>
        </w:rPr>
        <w:t>a number of</w:t>
      </w:r>
      <w:proofErr w:type="gramEnd"/>
      <w:r w:rsidRPr="002B0D32">
        <w:rPr>
          <w:rFonts w:eastAsia="Times New Roman"/>
          <w:color w:val="000000"/>
          <w:lang w:eastAsia="en-AU"/>
        </w:rPr>
        <w:t xml:space="preserve"> terms used in the instrument.</w:t>
      </w:r>
    </w:p>
    <w:p w14:paraId="05DA578E"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245D8A26" w14:textId="77777777"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5</w:t>
      </w:r>
      <w:r w:rsidRPr="002B0D32">
        <w:rPr>
          <w:rFonts w:eastAsia="Times New Roman"/>
          <w:b/>
          <w:bCs/>
          <w:color w:val="000000"/>
          <w:sz w:val="14"/>
          <w:szCs w:val="14"/>
          <w:lang w:eastAsia="en-AU"/>
        </w:rPr>
        <w:t>               </w:t>
      </w:r>
      <w:r w:rsidRPr="002B0D32">
        <w:rPr>
          <w:rFonts w:eastAsia="Times New Roman"/>
          <w:b/>
          <w:bCs/>
          <w:color w:val="000000"/>
          <w:lang w:eastAsia="en-AU"/>
        </w:rPr>
        <w:t>Repeal</w:t>
      </w:r>
    </w:p>
    <w:p w14:paraId="3389AA0C" w14:textId="019E0F95" w:rsidR="006A4AD8" w:rsidRPr="002B0D32" w:rsidRDefault="006A4AD8" w:rsidP="006A4AD8">
      <w:pPr>
        <w:shd w:val="clear" w:color="auto" w:fill="FFFFFF"/>
        <w:spacing w:after="0" w:line="240" w:lineRule="auto"/>
        <w:rPr>
          <w:rFonts w:eastAsia="Times New Roman"/>
          <w:color w:val="000000"/>
          <w:lang w:eastAsia="en-AU"/>
        </w:rPr>
      </w:pPr>
      <w:r w:rsidRPr="002B0D32">
        <w:rPr>
          <w:rFonts w:eastAsia="Times New Roman"/>
          <w:color w:val="000000"/>
          <w:lang w:eastAsia="en-AU"/>
        </w:rPr>
        <w:t xml:space="preserve">Section 5 provides that this instrument is repealed at the start of </w:t>
      </w:r>
      <w:r w:rsidR="00F306A8" w:rsidRPr="002B0D32">
        <w:rPr>
          <w:rFonts w:eastAsia="Times New Roman"/>
          <w:color w:val="000000"/>
          <w:lang w:eastAsia="en-AU"/>
        </w:rPr>
        <w:t>12</w:t>
      </w:r>
      <w:r w:rsidRPr="002B0D32">
        <w:rPr>
          <w:rFonts w:eastAsia="Times New Roman"/>
          <w:color w:val="000000"/>
          <w:lang w:eastAsia="en-AU"/>
        </w:rPr>
        <w:t xml:space="preserve"> </w:t>
      </w:r>
      <w:r w:rsidR="00F306A8" w:rsidRPr="002B0D32">
        <w:rPr>
          <w:rFonts w:eastAsia="Times New Roman"/>
          <w:color w:val="000000"/>
          <w:lang w:eastAsia="en-AU"/>
        </w:rPr>
        <w:t>December</w:t>
      </w:r>
      <w:r w:rsidRPr="002B0D32">
        <w:rPr>
          <w:rFonts w:eastAsia="Times New Roman"/>
          <w:color w:val="000000"/>
          <w:lang w:eastAsia="en-AU"/>
        </w:rPr>
        <w:t xml:space="preserve"> 2021.</w:t>
      </w:r>
    </w:p>
    <w:p w14:paraId="27C868A0" w14:textId="4E627D05" w:rsidR="002B0D32" w:rsidRPr="002B0D32" w:rsidRDefault="002B0D32" w:rsidP="006A4AD8">
      <w:pPr>
        <w:shd w:val="clear" w:color="auto" w:fill="FFFFFF"/>
        <w:spacing w:after="0" w:line="240" w:lineRule="auto"/>
        <w:rPr>
          <w:rFonts w:eastAsia="Times New Roman"/>
          <w:color w:val="000000"/>
          <w:lang w:eastAsia="en-AU"/>
        </w:rPr>
      </w:pPr>
    </w:p>
    <w:p w14:paraId="78CFC425" w14:textId="77777777" w:rsidR="002B0D32" w:rsidRPr="002B0D32" w:rsidRDefault="002B0D32" w:rsidP="002B0D32">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Part 2 – Requirements</w:t>
      </w:r>
    </w:p>
    <w:p w14:paraId="55A4C9D5" w14:textId="77777777" w:rsidR="002B0D32" w:rsidRPr="002B0D32" w:rsidRDefault="002B0D32" w:rsidP="002B0D32">
      <w:pPr>
        <w:shd w:val="clear" w:color="auto" w:fill="FFFFFF"/>
        <w:spacing w:after="0" w:line="240" w:lineRule="auto"/>
        <w:rPr>
          <w:rFonts w:eastAsia="Times New Roman"/>
          <w:b/>
          <w:bCs/>
          <w:color w:val="000000"/>
          <w:lang w:eastAsia="en-AU"/>
        </w:rPr>
      </w:pPr>
    </w:p>
    <w:p w14:paraId="2DDFDD1A" w14:textId="77777777" w:rsidR="002B0D32" w:rsidRPr="002B0D32" w:rsidRDefault="002B0D32" w:rsidP="002B0D32">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6</w:t>
      </w:r>
      <w:r w:rsidRPr="002B0D32">
        <w:rPr>
          <w:rFonts w:eastAsia="Times New Roman"/>
          <w:b/>
          <w:bCs/>
          <w:color w:val="000000"/>
          <w:sz w:val="14"/>
          <w:szCs w:val="14"/>
          <w:lang w:eastAsia="en-AU"/>
        </w:rPr>
        <w:t>               </w:t>
      </w:r>
      <w:r w:rsidRPr="002B0D32">
        <w:rPr>
          <w:rFonts w:eastAsia="Times New Roman"/>
          <w:b/>
          <w:bCs/>
          <w:color w:val="000000"/>
          <w:lang w:eastAsia="en-AU"/>
        </w:rPr>
        <w:t>Requirements not to enter Australian territory</w:t>
      </w:r>
    </w:p>
    <w:p w14:paraId="0031F76E" w14:textId="77777777" w:rsidR="002B0D32" w:rsidRPr="002B0D32" w:rsidRDefault="002B0D32" w:rsidP="002B0D32">
      <w:pPr>
        <w:shd w:val="clear" w:color="auto" w:fill="FFFFFF"/>
        <w:spacing w:after="0" w:line="240" w:lineRule="auto"/>
        <w:rPr>
          <w:rFonts w:eastAsia="Times New Roman"/>
          <w:color w:val="000000"/>
          <w:lang w:eastAsia="en-AU"/>
        </w:rPr>
      </w:pPr>
      <w:r w:rsidRPr="002B0D32">
        <w:rPr>
          <w:rFonts w:eastAsia="Times New Roman"/>
          <w:color w:val="000000"/>
          <w:lang w:eastAsia="en-AU"/>
        </w:rPr>
        <w:t>Section 6 provides that a person who is a passenger on a relevant international flight must not enter Australian territory at a landing place if the person has been in an Omicron high risk country within 14 days before the day the flight was scheduled to commence, unless an exemption set out in section 7 applies to the person.</w:t>
      </w:r>
    </w:p>
    <w:p w14:paraId="17EDE74B" w14:textId="77777777" w:rsidR="002B0D32" w:rsidRPr="002B0D32" w:rsidRDefault="002B0D32" w:rsidP="002B0D32">
      <w:pPr>
        <w:shd w:val="clear" w:color="auto" w:fill="FFFFFF"/>
        <w:spacing w:after="0" w:line="240" w:lineRule="auto"/>
        <w:rPr>
          <w:rFonts w:eastAsia="Times New Roman"/>
          <w:color w:val="000000"/>
          <w:lang w:eastAsia="en-AU"/>
        </w:rPr>
      </w:pPr>
      <w:r w:rsidRPr="002B0D32">
        <w:rPr>
          <w:rFonts w:eastAsia="Times New Roman"/>
          <w:color w:val="000000"/>
          <w:lang w:eastAsia="en-AU"/>
        </w:rPr>
        <w:t> </w:t>
      </w:r>
    </w:p>
    <w:p w14:paraId="1CCEE1CC" w14:textId="77777777" w:rsidR="002B0D32" w:rsidRPr="002B0D32" w:rsidRDefault="002B0D32" w:rsidP="002B0D32">
      <w:pPr>
        <w:shd w:val="clear" w:color="auto" w:fill="FFFFFF"/>
        <w:spacing w:after="0" w:line="240" w:lineRule="auto"/>
        <w:rPr>
          <w:rFonts w:eastAsia="Times New Roman"/>
          <w:color w:val="000000"/>
          <w:lang w:eastAsia="en-AU"/>
        </w:rPr>
      </w:pPr>
      <w:r w:rsidRPr="002B0D32">
        <w:rPr>
          <w:rFonts w:eastAsia="Times New Roman"/>
          <w:b/>
          <w:bCs/>
          <w:color w:val="000000"/>
          <w:lang w:eastAsia="en-AU"/>
        </w:rPr>
        <w:t>7</w:t>
      </w:r>
      <w:r w:rsidRPr="002B0D32">
        <w:rPr>
          <w:rFonts w:eastAsia="Times New Roman"/>
          <w:b/>
          <w:bCs/>
          <w:color w:val="000000"/>
          <w:sz w:val="14"/>
          <w:szCs w:val="14"/>
          <w:lang w:eastAsia="en-AU"/>
        </w:rPr>
        <w:t>               </w:t>
      </w:r>
      <w:r w:rsidRPr="002B0D32">
        <w:rPr>
          <w:rFonts w:eastAsia="Times New Roman"/>
          <w:b/>
          <w:bCs/>
          <w:color w:val="000000"/>
          <w:lang w:eastAsia="en-AU"/>
        </w:rPr>
        <w:t>Exemptions – general</w:t>
      </w:r>
    </w:p>
    <w:p w14:paraId="47B8FDC5" w14:textId="7CBBE292" w:rsidR="002B0D32" w:rsidRPr="00C7242C" w:rsidRDefault="002B0D32" w:rsidP="002B0D32">
      <w:pPr>
        <w:shd w:val="clear" w:color="auto" w:fill="FFFFFF"/>
        <w:spacing w:after="0" w:line="240" w:lineRule="auto"/>
        <w:rPr>
          <w:rFonts w:eastAsia="Times New Roman"/>
          <w:color w:val="000000"/>
          <w:lang w:eastAsia="en-AU"/>
        </w:rPr>
      </w:pPr>
      <w:r w:rsidRPr="002B0D32">
        <w:rPr>
          <w:rFonts w:eastAsia="Times New Roman"/>
          <w:color w:val="000000"/>
          <w:lang w:eastAsia="en-AU"/>
        </w:rPr>
        <w:t>Section 7 provides exemptions from the requirements not to enter Australian territory for: a person who is an Australian citizen or permanent resident, a person who is an immediate family member of a person of an Australian citizen or resident, crew of an aircraft or vessel</w:t>
      </w:r>
      <w:r w:rsidR="00D7569D">
        <w:rPr>
          <w:rFonts w:eastAsia="Times New Roman"/>
          <w:color w:val="000000"/>
          <w:lang w:eastAsia="en-AU"/>
        </w:rPr>
        <w:t>; a worker associated with the</w:t>
      </w:r>
      <w:r w:rsidRPr="002B0D32">
        <w:rPr>
          <w:rFonts w:eastAsia="Times New Roman"/>
          <w:color w:val="000000"/>
          <w:lang w:eastAsia="en-AU"/>
        </w:rPr>
        <w:t xml:space="preserve"> safety and maintenance </w:t>
      </w:r>
      <w:r w:rsidR="00D7569D">
        <w:rPr>
          <w:rFonts w:eastAsia="Times New Roman"/>
          <w:color w:val="000000"/>
          <w:lang w:eastAsia="en-AU"/>
        </w:rPr>
        <w:t>of an aircraft or vessel</w:t>
      </w:r>
      <w:r w:rsidRPr="002B0D32">
        <w:rPr>
          <w:rFonts w:eastAsia="Times New Roman"/>
          <w:color w:val="000000"/>
          <w:lang w:eastAsia="en-AU"/>
        </w:rPr>
        <w:t xml:space="preserve">; </w:t>
      </w:r>
      <w:r w:rsidR="00D7569D">
        <w:rPr>
          <w:rFonts w:eastAsia="Times New Roman"/>
          <w:color w:val="000000"/>
          <w:lang w:eastAsia="en-AU"/>
        </w:rPr>
        <w:t xml:space="preserve">a </w:t>
      </w:r>
      <w:r w:rsidRPr="002B0D32">
        <w:rPr>
          <w:rFonts w:eastAsia="Times New Roman"/>
          <w:color w:val="000000"/>
          <w:lang w:eastAsia="en-AU"/>
        </w:rPr>
        <w:t xml:space="preserve">person engaged in the day-to-day conduct of inbound and outbound freight; </w:t>
      </w:r>
      <w:r w:rsidR="00D7569D">
        <w:rPr>
          <w:rFonts w:eastAsia="Times New Roman"/>
          <w:color w:val="000000"/>
          <w:lang w:eastAsia="en-AU"/>
        </w:rPr>
        <w:t xml:space="preserve">a person travelling on </w:t>
      </w:r>
      <w:r w:rsidRPr="002B0D32">
        <w:rPr>
          <w:rFonts w:eastAsia="Times New Roman"/>
          <w:color w:val="000000"/>
          <w:lang w:eastAsia="en-AU"/>
        </w:rPr>
        <w:t>official government business</w:t>
      </w:r>
      <w:r w:rsidR="00D7569D">
        <w:rPr>
          <w:rFonts w:eastAsia="Times New Roman"/>
          <w:color w:val="000000"/>
          <w:lang w:eastAsia="en-AU"/>
        </w:rPr>
        <w:t xml:space="preserve"> and Australian official or diplomatic passport or their immediate family;</w:t>
      </w:r>
      <w:r w:rsidRPr="002B0D32">
        <w:rPr>
          <w:rFonts w:eastAsia="Times New Roman"/>
          <w:color w:val="000000"/>
          <w:lang w:eastAsia="en-AU"/>
        </w:rPr>
        <w:t xml:space="preserve"> </w:t>
      </w:r>
      <w:r w:rsidR="00D7569D">
        <w:rPr>
          <w:rFonts w:eastAsia="Times New Roman"/>
          <w:color w:val="000000"/>
          <w:lang w:eastAsia="en-AU"/>
        </w:rPr>
        <w:t xml:space="preserve">a </w:t>
      </w:r>
      <w:r w:rsidRPr="002B0D32">
        <w:rPr>
          <w:rFonts w:eastAsia="Times New Roman"/>
          <w:color w:val="000000"/>
          <w:lang w:eastAsia="en-AU"/>
        </w:rPr>
        <w:t>diplomat</w:t>
      </w:r>
      <w:r w:rsidR="00D7569D">
        <w:rPr>
          <w:rFonts w:eastAsia="Times New Roman"/>
          <w:color w:val="000000"/>
          <w:lang w:eastAsia="en-AU"/>
        </w:rPr>
        <w:t>ic, consular or other foreign official accredited to Australia or their</w:t>
      </w:r>
      <w:r w:rsidRPr="002B0D32">
        <w:rPr>
          <w:rFonts w:eastAsia="Times New Roman"/>
          <w:color w:val="000000"/>
          <w:lang w:eastAsia="en-AU"/>
        </w:rPr>
        <w:t xml:space="preserve"> immediate family hold</w:t>
      </w:r>
      <w:r w:rsidR="00D7569D">
        <w:rPr>
          <w:rFonts w:eastAsia="Times New Roman"/>
          <w:color w:val="000000"/>
          <w:lang w:eastAsia="en-AU"/>
        </w:rPr>
        <w:t>ing</w:t>
      </w:r>
      <w:r w:rsidRPr="002B0D32">
        <w:rPr>
          <w:rFonts w:eastAsia="Times New Roman"/>
          <w:color w:val="000000"/>
          <w:lang w:eastAsia="en-AU"/>
        </w:rPr>
        <w:t xml:space="preserve"> a Subclass 995 (Diplomatic (Temporary)) visa; and </w:t>
      </w:r>
      <w:r w:rsidR="00D7569D">
        <w:rPr>
          <w:rFonts w:eastAsia="Times New Roman"/>
          <w:color w:val="000000"/>
          <w:lang w:eastAsia="en-AU"/>
        </w:rPr>
        <w:t xml:space="preserve">a </w:t>
      </w:r>
      <w:r w:rsidRPr="002B0D32">
        <w:rPr>
          <w:rFonts w:eastAsia="Times New Roman"/>
          <w:color w:val="000000"/>
          <w:lang w:eastAsia="en-AU"/>
        </w:rPr>
        <w:t>member of an Australia Medical Assistance Team.</w:t>
      </w:r>
    </w:p>
    <w:p w14:paraId="33630551" w14:textId="77777777" w:rsidR="002B0D32" w:rsidRPr="006A4AD8" w:rsidRDefault="002B0D32" w:rsidP="006A4AD8">
      <w:pPr>
        <w:shd w:val="clear" w:color="auto" w:fill="FFFFFF"/>
        <w:spacing w:after="0" w:line="240" w:lineRule="auto"/>
        <w:rPr>
          <w:rFonts w:eastAsia="Times New Roman"/>
          <w:color w:val="000000"/>
          <w:lang w:eastAsia="en-AU"/>
        </w:rPr>
      </w:pPr>
    </w:p>
    <w:p w14:paraId="434D6AD2" w14:textId="77777777" w:rsidR="006A4AD8" w:rsidRPr="006A4AD8" w:rsidRDefault="006A4AD8" w:rsidP="006A4AD8">
      <w:pPr>
        <w:shd w:val="clear" w:color="auto" w:fill="FFFFFF"/>
        <w:spacing w:after="0" w:line="240" w:lineRule="auto"/>
        <w:rPr>
          <w:rFonts w:eastAsia="Times New Roman"/>
          <w:color w:val="000000"/>
          <w:lang w:eastAsia="en-AU"/>
        </w:rPr>
      </w:pPr>
      <w:r w:rsidRPr="006A4AD8">
        <w:rPr>
          <w:rFonts w:eastAsia="Times New Roman"/>
          <w:color w:val="000000"/>
          <w:lang w:eastAsia="en-AU"/>
        </w:rPr>
        <w:t> </w:t>
      </w:r>
    </w:p>
    <w:p w14:paraId="4D12BF6C" w14:textId="77777777" w:rsidR="00280050" w:rsidRPr="006A4AD8" w:rsidRDefault="00280050" w:rsidP="006A4AD8"/>
    <w:sectPr w:rsidR="00280050" w:rsidRPr="006A4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D8"/>
    <w:rsid w:val="002424DE"/>
    <w:rsid w:val="00280050"/>
    <w:rsid w:val="002B0D32"/>
    <w:rsid w:val="00543779"/>
    <w:rsid w:val="006A4AD8"/>
    <w:rsid w:val="00935586"/>
    <w:rsid w:val="009B0312"/>
    <w:rsid w:val="009D6BAE"/>
    <w:rsid w:val="009F5994"/>
    <w:rsid w:val="00B127DF"/>
    <w:rsid w:val="00BA13E0"/>
    <w:rsid w:val="00CB3D42"/>
    <w:rsid w:val="00D65628"/>
    <w:rsid w:val="00D7569D"/>
    <w:rsid w:val="00ED1FEF"/>
    <w:rsid w:val="00F14D6C"/>
    <w:rsid w:val="00F30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D7C"/>
  <w15:chartTrackingRefBased/>
  <w15:docId w15:val="{CF06DF1E-D3BA-4E87-BC31-46319B80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rsid w:val="006A4AD8"/>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6A4AD8"/>
    <w:pPr>
      <w:spacing w:before="100" w:beforeAutospacing="1" w:after="100" w:afterAutospacing="1" w:line="240" w:lineRule="auto"/>
    </w:pPr>
    <w:rPr>
      <w:rFonts w:eastAsia="Times New Roman"/>
      <w:lang w:eastAsia="en-AU"/>
    </w:rPr>
  </w:style>
  <w:style w:type="paragraph" w:styleId="NoSpacing">
    <w:name w:val="No Spacing"/>
    <w:basedOn w:val="Normal"/>
    <w:uiPriority w:val="1"/>
    <w:qFormat/>
    <w:rsid w:val="006A4AD8"/>
    <w:pPr>
      <w:spacing w:before="100" w:beforeAutospacing="1" w:after="100" w:afterAutospacing="1" w:line="240" w:lineRule="auto"/>
    </w:pPr>
    <w:rPr>
      <w:rFonts w:eastAsia="Times New Roman"/>
      <w:lang w:eastAsia="en-AU"/>
    </w:rPr>
  </w:style>
  <w:style w:type="paragraph" w:customStyle="1" w:styleId="cab-numberedparagraph">
    <w:name w:val="cab-numberedparagraph"/>
    <w:basedOn w:val="Normal"/>
    <w:rsid w:val="006A4AD8"/>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9F5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79553">
      <w:bodyDiv w:val="1"/>
      <w:marLeft w:val="0"/>
      <w:marRight w:val="0"/>
      <w:marTop w:val="0"/>
      <w:marBottom w:val="0"/>
      <w:divBdr>
        <w:top w:val="none" w:sz="0" w:space="0" w:color="auto"/>
        <w:left w:val="none" w:sz="0" w:space="0" w:color="auto"/>
        <w:bottom w:val="none" w:sz="0" w:space="0" w:color="auto"/>
        <w:right w:val="none" w:sz="0" w:space="0" w:color="auto"/>
      </w:divBdr>
    </w:div>
    <w:div w:id="7840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Chris</dc:creator>
  <cp:keywords/>
  <dc:description/>
  <cp:lastModifiedBy>JOHNSTON, Chris</cp:lastModifiedBy>
  <cp:revision>2</cp:revision>
  <dcterms:created xsi:type="dcterms:W3CDTF">2021-11-27T22:47:00Z</dcterms:created>
  <dcterms:modified xsi:type="dcterms:W3CDTF">2021-11-27T22:47:00Z</dcterms:modified>
</cp:coreProperties>
</file>