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8BE83" w14:textId="77777777" w:rsidR="00E448C7" w:rsidRDefault="00E448C7" w:rsidP="000C34C0">
      <w:pPr>
        <w:pStyle w:val="APRANORMAL"/>
      </w:pPr>
      <w:bookmarkStart w:id="0" w:name="_GoBack"/>
      <w:bookmarkEnd w:id="0"/>
    </w:p>
    <w:p w14:paraId="4E816EEC" w14:textId="77777777" w:rsidR="0062765D" w:rsidRDefault="0062765D" w:rsidP="000C34C0">
      <w:pPr>
        <w:pStyle w:val="APRANORMAL"/>
      </w:pPr>
    </w:p>
    <w:p w14:paraId="56892A93" w14:textId="77777777" w:rsidR="0062765D" w:rsidRDefault="0062765D" w:rsidP="000C34C0">
      <w:pPr>
        <w:pStyle w:val="APRANORMAL"/>
      </w:pPr>
    </w:p>
    <w:p w14:paraId="6733373F" w14:textId="77777777" w:rsidR="0062765D" w:rsidRDefault="0062765D" w:rsidP="000C34C0">
      <w:pPr>
        <w:pStyle w:val="APRANORMAL"/>
      </w:pPr>
    </w:p>
    <w:p w14:paraId="32DB50AB" w14:textId="77777777" w:rsidR="0062765D" w:rsidRDefault="0062765D" w:rsidP="000C34C0">
      <w:pPr>
        <w:pStyle w:val="APRANORMAL"/>
      </w:pPr>
    </w:p>
    <w:p w14:paraId="22B26F5D" w14:textId="77777777" w:rsidR="0062765D" w:rsidRDefault="0062765D" w:rsidP="000C34C0">
      <w:pPr>
        <w:pStyle w:val="APRANORMAL"/>
      </w:pPr>
    </w:p>
    <w:p w14:paraId="326701F3" w14:textId="77777777" w:rsidR="0062765D" w:rsidRDefault="0062765D" w:rsidP="000C34C0">
      <w:pPr>
        <w:pStyle w:val="APRANORMAL"/>
      </w:pPr>
    </w:p>
    <w:p w14:paraId="34C2A5D6" w14:textId="77777777" w:rsidR="00623198" w:rsidRDefault="00623198" w:rsidP="00623198">
      <w:pPr>
        <w:pStyle w:val="APRANORMAL"/>
        <w:ind w:left="-426"/>
        <w:rPr>
          <w:rFonts w:ascii="DIN Offc Medium" w:hAnsi="DIN Offc Medium"/>
          <w:color w:val="002060"/>
          <w:sz w:val="44"/>
          <w:szCs w:val="44"/>
        </w:rPr>
      </w:pPr>
    </w:p>
    <w:p w14:paraId="2A60E56D" w14:textId="45178BFE" w:rsidR="0062765D" w:rsidRPr="00B57475" w:rsidRDefault="005F11E2" w:rsidP="005F11E2">
      <w:pPr>
        <w:pStyle w:val="APRANORMAL"/>
        <w:ind w:left="-426"/>
        <w:rPr>
          <w:rFonts w:ascii="DIN OT Medium" w:hAnsi="DIN OT Medium"/>
          <w:color w:val="002060"/>
          <w:sz w:val="44"/>
          <w:szCs w:val="44"/>
        </w:rPr>
      </w:pPr>
      <w:r>
        <w:rPr>
          <w:rFonts w:ascii="DIN Offc Medium" w:hAnsi="DIN Offc Medium"/>
          <w:color w:val="002060"/>
          <w:sz w:val="44"/>
          <w:szCs w:val="44"/>
        </w:rPr>
        <w:br/>
      </w:r>
      <w:r w:rsidR="005365F2">
        <w:rPr>
          <w:rFonts w:ascii="DIN OT Medium" w:hAnsi="DIN OT Medium"/>
          <w:color w:val="002060"/>
          <w:sz w:val="44"/>
          <w:szCs w:val="44"/>
        </w:rPr>
        <w:t>APS 220 Credit Risk Management</w:t>
      </w:r>
    </w:p>
    <w:p w14:paraId="624E428A" w14:textId="46E4D53C" w:rsidR="006A3B63" w:rsidRPr="005F6AE8" w:rsidRDefault="00DF2B80" w:rsidP="005F6AE8">
      <w:pPr>
        <w:pStyle w:val="APRANORMAL"/>
        <w:ind w:left="-426"/>
        <w:rPr>
          <w:b/>
          <w:color w:val="00B0F0"/>
          <w:sz w:val="24"/>
          <w:szCs w:val="24"/>
        </w:rPr>
      </w:pPr>
      <w:r>
        <w:rPr>
          <w:rFonts w:ascii="DIN OT Medium" w:hAnsi="DIN OT Medium"/>
          <w:color w:val="00B0F0"/>
          <w:sz w:val="24"/>
          <w:szCs w:val="24"/>
        </w:rPr>
        <w:t>12</w:t>
      </w:r>
      <w:r w:rsidR="009F28B5" w:rsidRPr="00B57475">
        <w:rPr>
          <w:rFonts w:ascii="DIN OT Medium" w:hAnsi="DIN OT Medium"/>
          <w:color w:val="00B0F0"/>
          <w:sz w:val="24"/>
          <w:szCs w:val="24"/>
        </w:rPr>
        <w:t xml:space="preserve"> </w:t>
      </w:r>
      <w:r w:rsidR="005365F2">
        <w:rPr>
          <w:rFonts w:ascii="DIN OT Medium" w:hAnsi="DIN OT Medium"/>
          <w:color w:val="00B0F0"/>
          <w:sz w:val="24"/>
          <w:szCs w:val="24"/>
        </w:rPr>
        <w:t>December 2019</w:t>
      </w:r>
      <w:r w:rsidR="009F28B5" w:rsidRPr="005F6AE8">
        <w:rPr>
          <w:b/>
          <w:color w:val="00B0F0"/>
          <w:sz w:val="24"/>
          <w:szCs w:val="24"/>
        </w:rPr>
        <w:br w:type="page"/>
      </w:r>
    </w:p>
    <w:p w14:paraId="6F5B8DF5" w14:textId="77777777" w:rsidR="00116798" w:rsidRDefault="006A3B63" w:rsidP="00116798">
      <w:pPr>
        <w:pStyle w:val="APRANORMAL"/>
      </w:pPr>
      <w:bookmarkStart w:id="1" w:name="_Toc460507402"/>
      <w:bookmarkStart w:id="2" w:name="_Toc460507521"/>
      <w:bookmarkStart w:id="3" w:name="_Toc460507760"/>
      <w:bookmarkStart w:id="4" w:name="_Toc460508935"/>
      <w:r w:rsidRPr="009D42A8">
        <w:rPr>
          <w:noProof/>
          <w:lang w:val="en-AU" w:eastAsia="en-AU"/>
        </w:rPr>
        <w:lastRenderedPageBreak/>
        <mc:AlternateContent>
          <mc:Choice Requires="wps">
            <w:drawing>
              <wp:anchor distT="0" distB="0" distL="114300" distR="114300" simplePos="0" relativeHeight="251656704" behindDoc="0" locked="0" layoutInCell="1" allowOverlap="1" wp14:anchorId="4DCACA64" wp14:editId="77C33C36">
                <wp:simplePos x="0" y="0"/>
                <wp:positionH relativeFrom="column">
                  <wp:posOffset>-9525</wp:posOffset>
                </wp:positionH>
                <wp:positionV relativeFrom="paragraph">
                  <wp:posOffset>5981700</wp:posOffset>
                </wp:positionV>
                <wp:extent cx="5743575" cy="2657475"/>
                <wp:effectExtent l="0" t="0" r="9525" b="9525"/>
                <wp:wrapNone/>
                <wp:docPr id="4" name="Rectangle 4"/>
                <wp:cNvGraphicFramePr/>
                <a:graphic xmlns:a="http://schemas.openxmlformats.org/drawingml/2006/main">
                  <a:graphicData uri="http://schemas.microsoft.com/office/word/2010/wordprocessingShape">
                    <wps:wsp>
                      <wps:cNvSpPr/>
                      <wps:spPr>
                        <a:xfrm>
                          <a:off x="0" y="0"/>
                          <a:ext cx="5743575" cy="2657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808CD" w14:textId="77777777" w:rsidR="00BC22A0" w:rsidRPr="00B57475" w:rsidRDefault="00BC22A0" w:rsidP="006A3B63">
                            <w:pPr>
                              <w:pStyle w:val="BasicParagraph"/>
                              <w:spacing w:after="240"/>
                              <w:rPr>
                                <w:rFonts w:ascii="DIN OT Medium" w:hAnsi="DIN OT Medium" w:cs="DIN Offc"/>
                                <w:bCs/>
                                <w:color w:val="000000" w:themeColor="text1"/>
                                <w:sz w:val="28"/>
                                <w:szCs w:val="28"/>
                              </w:rPr>
                            </w:pPr>
                            <w:r w:rsidRPr="00B57475">
                              <w:rPr>
                                <w:rFonts w:ascii="DIN OT Medium" w:hAnsi="DIN OT Medium" w:cs="DIN Offc"/>
                                <w:bCs/>
                                <w:color w:val="000000" w:themeColor="text1"/>
                                <w:sz w:val="28"/>
                                <w:szCs w:val="28"/>
                              </w:rPr>
                              <w:t>Disclaimer and Copyright</w:t>
                            </w:r>
                          </w:p>
                          <w:p w14:paraId="7F4695F5" w14:textId="77777777" w:rsidR="00BC22A0" w:rsidRPr="00B57475" w:rsidRDefault="00BC22A0" w:rsidP="005F6AE8">
                            <w:pPr>
                              <w:pStyle w:val="APRANORMAL"/>
                              <w:rPr>
                                <w:color w:val="000000" w:themeColor="text1"/>
                              </w:rPr>
                            </w:pPr>
                            <w:r w:rsidRPr="00B57475">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51F3D103" w14:textId="77777777" w:rsidR="00BC22A0" w:rsidRPr="00B57475" w:rsidRDefault="00BC22A0" w:rsidP="005F6AE8">
                            <w:pPr>
                              <w:rPr>
                                <w:rFonts w:ascii="DIN OT Medium" w:hAnsi="DIN OT Medium"/>
                                <w:color w:val="000000" w:themeColor="text1"/>
                              </w:rPr>
                            </w:pPr>
                            <w:r w:rsidRPr="00B57475">
                              <w:rPr>
                                <w:rFonts w:ascii="DIN OT Medium" w:hAnsi="DIN OT Medium"/>
                                <w:color w:val="000000" w:themeColor="text1"/>
                              </w:rPr>
                              <w:t>© Australian Prudential Regulation Authority (APRA)</w:t>
                            </w:r>
                          </w:p>
                          <w:p w14:paraId="11A6476B" w14:textId="77777777" w:rsidR="00BC22A0" w:rsidRPr="00B57475" w:rsidRDefault="00BC22A0" w:rsidP="005F6AE8">
                            <w:pPr>
                              <w:pStyle w:val="APRANORMAL"/>
                            </w:pPr>
                            <w:r w:rsidRPr="00B57475">
                              <w:rPr>
                                <w:color w:val="000000" w:themeColor="text1"/>
                              </w:rPr>
                              <w:t xml:space="preserve">This work is licensed under the Creative Commons Attribution 3.0 Australia Licence </w:t>
                            </w:r>
                            <w:r w:rsidRPr="00B57475">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14" w:history="1">
                              <w:r w:rsidRPr="00B57475">
                                <w:rPr>
                                  <w:rStyle w:val="Hyperlink"/>
                                  <w:rFonts w:ascii="DIN OT Light" w:hAnsi="DIN OT Light"/>
                                  <w:color w:val="000000" w:themeColor="text1"/>
                                </w:rPr>
                                <w:t>https://creativecommons.org/licenses/by/3.0/au/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ACA64" id="Rectangle 4" o:spid="_x0000_s1026" style="position:absolute;margin-left:-.75pt;margin-top:471pt;width:452.25pt;height:20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" fillcolor="#d8d8d8 [2732]" stroked="f" strokeweight="2pt">
                <v:textbox>
                  <w:txbxContent>
                    <w:p w14:paraId="700808CD" w14:textId="77777777" w:rsidR="00BC22A0" w:rsidRPr="00B57475" w:rsidRDefault="00BC22A0" w:rsidP="006A3B63">
                      <w:pPr>
                        <w:pStyle w:val="BasicParagraph"/>
                        <w:spacing w:after="240"/>
                        <w:rPr>
                          <w:rFonts w:ascii="DIN OT Medium" w:hAnsi="DIN OT Medium" w:cs="DIN Offc"/>
                          <w:bCs/>
                          <w:color w:val="000000" w:themeColor="text1"/>
                          <w:sz w:val="28"/>
                          <w:szCs w:val="28"/>
                        </w:rPr>
                      </w:pPr>
                      <w:r w:rsidRPr="00B57475">
                        <w:rPr>
                          <w:rFonts w:ascii="DIN OT Medium" w:hAnsi="DIN OT Medium" w:cs="DIN Offc"/>
                          <w:bCs/>
                          <w:color w:val="000000" w:themeColor="text1"/>
                          <w:sz w:val="28"/>
                          <w:szCs w:val="28"/>
                        </w:rPr>
                        <w:t>Disclaimer and Copyright</w:t>
                      </w:r>
                    </w:p>
                    <w:p w14:paraId="7F4695F5" w14:textId="77777777" w:rsidR="00BC22A0" w:rsidRPr="00B57475" w:rsidRDefault="00BC22A0" w:rsidP="005F6AE8">
                      <w:pPr>
                        <w:pStyle w:val="APRANORMAL"/>
                        <w:rPr>
                          <w:color w:val="000000" w:themeColor="text1"/>
                        </w:rPr>
                      </w:pPr>
                      <w:r w:rsidRPr="00B57475">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51F3D103" w14:textId="77777777" w:rsidR="00BC22A0" w:rsidRPr="00B57475" w:rsidRDefault="00BC22A0" w:rsidP="005F6AE8">
                      <w:pPr>
                        <w:rPr>
                          <w:rFonts w:ascii="DIN OT Medium" w:hAnsi="DIN OT Medium"/>
                          <w:color w:val="000000" w:themeColor="text1"/>
                        </w:rPr>
                      </w:pPr>
                      <w:r w:rsidRPr="00B57475">
                        <w:rPr>
                          <w:rFonts w:ascii="DIN OT Medium" w:hAnsi="DIN OT Medium"/>
                          <w:color w:val="000000" w:themeColor="text1"/>
                        </w:rPr>
                        <w:t>© Australian Prudential Regulation Authority (APRA)</w:t>
                      </w:r>
                    </w:p>
                    <w:p w14:paraId="11A6476B" w14:textId="77777777" w:rsidR="00BC22A0" w:rsidRPr="00B57475" w:rsidRDefault="00BC22A0" w:rsidP="005F6AE8">
                      <w:pPr>
                        <w:pStyle w:val="APRANORMAL"/>
                      </w:pPr>
                      <w:r w:rsidRPr="00B57475">
                        <w:rPr>
                          <w:color w:val="000000" w:themeColor="text1"/>
                        </w:rPr>
                        <w:t xml:space="preserve">This work is licensed under the Creative Commons Attribution 3.0 Australia Licence </w:t>
                      </w:r>
                      <w:r w:rsidRPr="00B57475">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15" w:history="1">
                        <w:r w:rsidRPr="00B57475">
                          <w:rPr>
                            <w:rStyle w:val="Hyperlink"/>
                            <w:rFonts w:ascii="DIN OT Light" w:hAnsi="DIN OT Light"/>
                            <w:color w:val="000000" w:themeColor="text1"/>
                          </w:rPr>
                          <w:t>https://creativecommons.org/licenses/by/3.0/au/</w:t>
                        </w:r>
                      </w:hyperlink>
                    </w:p>
                  </w:txbxContent>
                </v:textbox>
              </v:rect>
            </w:pict>
          </mc:Fallback>
        </mc:AlternateContent>
      </w:r>
    </w:p>
    <w:p w14:paraId="330E99DB" w14:textId="77777777" w:rsidR="00116798" w:rsidRPr="00116798" w:rsidRDefault="00116798" w:rsidP="00116798">
      <w:pPr>
        <w:pStyle w:val="APRANORMAL"/>
      </w:pPr>
    </w:p>
    <w:p w14:paraId="5231330F" w14:textId="77777777" w:rsidR="00116798" w:rsidRPr="00116798" w:rsidRDefault="00116798" w:rsidP="00116798">
      <w:pPr>
        <w:pStyle w:val="APRANORMAL"/>
      </w:pPr>
    </w:p>
    <w:p w14:paraId="4480B1BF" w14:textId="77777777" w:rsidR="00116798" w:rsidRPr="00116798" w:rsidRDefault="00116798" w:rsidP="00116798">
      <w:pPr>
        <w:pStyle w:val="APRANORMAL"/>
      </w:pPr>
    </w:p>
    <w:p w14:paraId="182FCA6D" w14:textId="77777777" w:rsidR="00116798" w:rsidRPr="00116798" w:rsidRDefault="00116798" w:rsidP="00116798">
      <w:pPr>
        <w:pStyle w:val="APRANORMAL"/>
      </w:pPr>
    </w:p>
    <w:p w14:paraId="7C75697F" w14:textId="77777777" w:rsidR="00116798" w:rsidRDefault="00116798" w:rsidP="00623198">
      <w:pPr>
        <w:pStyle w:val="APRANORMAL"/>
        <w:tabs>
          <w:tab w:val="left" w:pos="720"/>
          <w:tab w:val="center" w:pos="4513"/>
        </w:tabs>
      </w:pPr>
      <w:r>
        <w:tab/>
      </w:r>
      <w:r w:rsidR="00623198">
        <w:tab/>
      </w:r>
    </w:p>
    <w:p w14:paraId="3F5D2C4A" w14:textId="77777777" w:rsidR="00B57475" w:rsidRDefault="00B57475" w:rsidP="00B57475">
      <w:pPr>
        <w:pStyle w:val="APRANORMAL"/>
      </w:pPr>
    </w:p>
    <w:p w14:paraId="7478F629" w14:textId="77777777" w:rsidR="00B57475" w:rsidRPr="00B57475" w:rsidRDefault="00B57475" w:rsidP="00B57475">
      <w:pPr>
        <w:pStyle w:val="APRANORMAL"/>
      </w:pPr>
    </w:p>
    <w:p w14:paraId="5F887695" w14:textId="77777777" w:rsidR="00B57475" w:rsidRPr="00B57475" w:rsidRDefault="00B57475" w:rsidP="00B57475">
      <w:pPr>
        <w:pStyle w:val="APRANORMAL"/>
      </w:pPr>
    </w:p>
    <w:p w14:paraId="113A1D5B" w14:textId="77777777" w:rsidR="00B57475" w:rsidRPr="00B57475" w:rsidRDefault="00B57475" w:rsidP="00B57475">
      <w:pPr>
        <w:pStyle w:val="APRANORMAL"/>
      </w:pPr>
    </w:p>
    <w:p w14:paraId="7D84DCC2" w14:textId="77777777" w:rsidR="00B57475" w:rsidRDefault="00B57475" w:rsidP="00B57475">
      <w:pPr>
        <w:pStyle w:val="APRANORMAL"/>
      </w:pPr>
      <w:r>
        <w:tab/>
      </w:r>
    </w:p>
    <w:p w14:paraId="6D160139" w14:textId="77777777" w:rsidR="004678F4" w:rsidRPr="004F715A" w:rsidRDefault="006A3B63" w:rsidP="004F715A">
      <w:pPr>
        <w:pStyle w:val="APRAHEADING1"/>
      </w:pPr>
      <w:r w:rsidRPr="00B57475">
        <w:br w:type="page"/>
      </w:r>
      <w:bookmarkStart w:id="5" w:name="_Toc25747977"/>
      <w:bookmarkStart w:id="6" w:name="_Toc26945833"/>
      <w:bookmarkStart w:id="7" w:name="_Toc26947909"/>
      <w:r w:rsidR="004678F4" w:rsidRPr="009D42A8">
        <w:lastRenderedPageBreak/>
        <w:t>Contents</w:t>
      </w:r>
      <w:bookmarkEnd w:id="1"/>
      <w:bookmarkEnd w:id="2"/>
      <w:bookmarkEnd w:id="3"/>
      <w:bookmarkEnd w:id="4"/>
      <w:bookmarkEnd w:id="5"/>
      <w:bookmarkEnd w:id="6"/>
      <w:bookmarkEnd w:id="7"/>
    </w:p>
    <w:p w14:paraId="007AB2B0" w14:textId="7E8DF5B6" w:rsidR="00DF457A" w:rsidRDefault="00E61437">
      <w:pPr>
        <w:pStyle w:val="TOC1"/>
        <w:rPr>
          <w:rFonts w:asciiTheme="minorHAnsi" w:eastAsiaTheme="minorEastAsia" w:hAnsiTheme="minorHAnsi" w:cstheme="minorBidi"/>
          <w:lang w:val="en-AU" w:eastAsia="en-AU"/>
        </w:rPr>
      </w:pPr>
      <w:r>
        <w:fldChar w:fldCharType="begin"/>
      </w:r>
      <w:r>
        <w:instrText xml:space="preserve"> TOC \o "1-3" \t "APRA HEADING 1,1,APRA HEADING 2,2,APRA HEADING 3,2" </w:instrText>
      </w:r>
      <w:r>
        <w:fldChar w:fldCharType="separate"/>
      </w:r>
      <w:r w:rsidR="00DF457A">
        <w:t>Executive summary</w:t>
      </w:r>
      <w:r w:rsidR="00DF457A">
        <w:tab/>
      </w:r>
      <w:r w:rsidR="00DF457A">
        <w:fldChar w:fldCharType="begin"/>
      </w:r>
      <w:r w:rsidR="00DF457A">
        <w:instrText xml:space="preserve"> PAGEREF _Toc26947910 \h </w:instrText>
      </w:r>
      <w:r w:rsidR="00DF457A">
        <w:fldChar w:fldCharType="separate"/>
      </w:r>
      <w:r w:rsidR="009063F5">
        <w:t>4</w:t>
      </w:r>
      <w:r w:rsidR="00DF457A">
        <w:fldChar w:fldCharType="end"/>
      </w:r>
    </w:p>
    <w:p w14:paraId="7E25B205" w14:textId="77777777" w:rsidR="00DF457A" w:rsidRDefault="00DF457A">
      <w:pPr>
        <w:pStyle w:val="TOC1"/>
        <w:rPr>
          <w:rFonts w:asciiTheme="minorHAnsi" w:eastAsiaTheme="minorEastAsia" w:hAnsiTheme="minorHAnsi" w:cstheme="minorBidi"/>
          <w:lang w:val="en-AU" w:eastAsia="en-AU"/>
        </w:rPr>
      </w:pPr>
      <w:r>
        <w:t>Glossary</w:t>
      </w:r>
      <w:r>
        <w:tab/>
      </w:r>
      <w:r>
        <w:fldChar w:fldCharType="begin"/>
      </w:r>
      <w:r>
        <w:instrText xml:space="preserve"> PAGEREF _Toc26947911 \h </w:instrText>
      </w:r>
      <w:r>
        <w:fldChar w:fldCharType="separate"/>
      </w:r>
      <w:r w:rsidR="009063F5">
        <w:t>6</w:t>
      </w:r>
      <w:r>
        <w:fldChar w:fldCharType="end"/>
      </w:r>
    </w:p>
    <w:p w14:paraId="072B70D8" w14:textId="77777777" w:rsidR="00DF457A" w:rsidRDefault="00DF457A">
      <w:pPr>
        <w:pStyle w:val="TOC1"/>
        <w:rPr>
          <w:rFonts w:asciiTheme="minorHAnsi" w:eastAsiaTheme="minorEastAsia" w:hAnsiTheme="minorHAnsi" w:cstheme="minorBidi"/>
          <w:lang w:val="en-AU" w:eastAsia="en-AU"/>
        </w:rPr>
      </w:pPr>
      <w:r>
        <w:t>Chapter 1 - Introduction</w:t>
      </w:r>
      <w:r>
        <w:tab/>
      </w:r>
      <w:r>
        <w:fldChar w:fldCharType="begin"/>
      </w:r>
      <w:r>
        <w:instrText xml:space="preserve"> PAGEREF _Toc26947912 \h </w:instrText>
      </w:r>
      <w:r>
        <w:fldChar w:fldCharType="separate"/>
      </w:r>
      <w:r w:rsidR="009063F5">
        <w:t>8</w:t>
      </w:r>
      <w:r>
        <w:fldChar w:fldCharType="end"/>
      </w:r>
    </w:p>
    <w:p w14:paraId="2894B343" w14:textId="77777777" w:rsidR="00DF457A" w:rsidRDefault="00DF457A">
      <w:pPr>
        <w:pStyle w:val="TOC1"/>
        <w:rPr>
          <w:rFonts w:asciiTheme="minorHAnsi" w:eastAsiaTheme="minorEastAsia" w:hAnsiTheme="minorHAnsi" w:cstheme="minorBidi"/>
          <w:lang w:val="en-AU" w:eastAsia="en-AU"/>
        </w:rPr>
      </w:pPr>
      <w:r>
        <w:t>Chapter 2 – Role of the Board and senior management</w:t>
      </w:r>
      <w:r>
        <w:tab/>
      </w:r>
      <w:r>
        <w:fldChar w:fldCharType="begin"/>
      </w:r>
      <w:r>
        <w:instrText xml:space="preserve"> PAGEREF _Toc26947913 \h </w:instrText>
      </w:r>
      <w:r>
        <w:fldChar w:fldCharType="separate"/>
      </w:r>
      <w:r w:rsidR="009063F5">
        <w:t>10</w:t>
      </w:r>
      <w:r>
        <w:fldChar w:fldCharType="end"/>
      </w:r>
    </w:p>
    <w:p w14:paraId="04A2ADAA" w14:textId="77777777" w:rsidR="00DF457A" w:rsidRDefault="00DF457A">
      <w:pPr>
        <w:pStyle w:val="TOC1"/>
        <w:rPr>
          <w:rFonts w:asciiTheme="minorHAnsi" w:eastAsiaTheme="minorEastAsia" w:hAnsiTheme="minorHAnsi" w:cstheme="minorBidi"/>
          <w:lang w:val="en-AU" w:eastAsia="en-AU"/>
        </w:rPr>
      </w:pPr>
      <w:r>
        <w:t>Chapter 3 – Credit origination, assessment and approval</w:t>
      </w:r>
      <w:r>
        <w:tab/>
      </w:r>
      <w:r>
        <w:fldChar w:fldCharType="begin"/>
      </w:r>
      <w:r>
        <w:instrText xml:space="preserve"> PAGEREF _Toc26947916 \h </w:instrText>
      </w:r>
      <w:r>
        <w:fldChar w:fldCharType="separate"/>
      </w:r>
      <w:r w:rsidR="009063F5">
        <w:t>11</w:t>
      </w:r>
      <w:r>
        <w:fldChar w:fldCharType="end"/>
      </w:r>
    </w:p>
    <w:p w14:paraId="2D1C3C63" w14:textId="77777777" w:rsidR="00DF457A" w:rsidRDefault="00DF457A">
      <w:pPr>
        <w:pStyle w:val="TOC1"/>
        <w:rPr>
          <w:rFonts w:asciiTheme="minorHAnsi" w:eastAsiaTheme="minorEastAsia" w:hAnsiTheme="minorHAnsi" w:cstheme="minorBidi"/>
          <w:lang w:val="en-AU" w:eastAsia="en-AU"/>
        </w:rPr>
      </w:pPr>
      <w:r>
        <w:t>Chapter 4 – Collateral valuations</w:t>
      </w:r>
      <w:r>
        <w:tab/>
      </w:r>
      <w:r>
        <w:fldChar w:fldCharType="begin"/>
      </w:r>
      <w:r>
        <w:instrText xml:space="preserve"> PAGEREF _Toc26947923 \h </w:instrText>
      </w:r>
      <w:r>
        <w:fldChar w:fldCharType="separate"/>
      </w:r>
      <w:r w:rsidR="009063F5">
        <w:t>13</w:t>
      </w:r>
      <w:r>
        <w:fldChar w:fldCharType="end"/>
      </w:r>
    </w:p>
    <w:p w14:paraId="06A9E866" w14:textId="77777777" w:rsidR="00DF457A" w:rsidRDefault="00DF457A">
      <w:pPr>
        <w:pStyle w:val="TOC1"/>
        <w:rPr>
          <w:rFonts w:asciiTheme="minorHAnsi" w:eastAsiaTheme="minorEastAsia" w:hAnsiTheme="minorHAnsi" w:cstheme="minorBidi"/>
          <w:lang w:val="en-AU" w:eastAsia="en-AU"/>
        </w:rPr>
      </w:pPr>
      <w:r>
        <w:t>Chapter 5 – Asset classification and provisioning</w:t>
      </w:r>
      <w:r>
        <w:tab/>
      </w:r>
      <w:r>
        <w:fldChar w:fldCharType="begin"/>
      </w:r>
      <w:r>
        <w:instrText xml:space="preserve"> PAGEREF _Toc26947933 \h </w:instrText>
      </w:r>
      <w:r>
        <w:fldChar w:fldCharType="separate"/>
      </w:r>
      <w:r w:rsidR="009063F5">
        <w:t>16</w:t>
      </w:r>
      <w:r>
        <w:fldChar w:fldCharType="end"/>
      </w:r>
    </w:p>
    <w:p w14:paraId="1BFFD5BD" w14:textId="77777777" w:rsidR="00DF457A" w:rsidRDefault="00DF457A">
      <w:pPr>
        <w:pStyle w:val="TOC1"/>
        <w:rPr>
          <w:rFonts w:asciiTheme="minorHAnsi" w:eastAsiaTheme="minorEastAsia" w:hAnsiTheme="minorHAnsi" w:cstheme="minorBidi"/>
          <w:lang w:val="en-AU" w:eastAsia="en-AU"/>
        </w:rPr>
      </w:pPr>
      <w:r>
        <w:t>Chapter 6 – Other issues</w:t>
      </w:r>
      <w:r>
        <w:tab/>
      </w:r>
      <w:r>
        <w:fldChar w:fldCharType="begin"/>
      </w:r>
      <w:r>
        <w:instrText xml:space="preserve"> PAGEREF _Toc26947943 \h </w:instrText>
      </w:r>
      <w:r>
        <w:fldChar w:fldCharType="separate"/>
      </w:r>
      <w:r w:rsidR="009063F5">
        <w:t>19</w:t>
      </w:r>
      <w:r>
        <w:fldChar w:fldCharType="end"/>
      </w:r>
    </w:p>
    <w:p w14:paraId="1356A935" w14:textId="77777777" w:rsidR="00DF457A" w:rsidRDefault="00DF457A">
      <w:pPr>
        <w:pStyle w:val="TOC1"/>
        <w:rPr>
          <w:rFonts w:asciiTheme="minorHAnsi" w:eastAsiaTheme="minorEastAsia" w:hAnsiTheme="minorHAnsi" w:cstheme="minorBidi"/>
          <w:lang w:val="en-AU" w:eastAsia="en-AU"/>
        </w:rPr>
      </w:pPr>
      <w:r>
        <w:t>Chapter 7 – Consultation</w:t>
      </w:r>
      <w:r>
        <w:tab/>
      </w:r>
      <w:r>
        <w:fldChar w:fldCharType="begin"/>
      </w:r>
      <w:r>
        <w:instrText xml:space="preserve"> PAGEREF _Toc26947948 \h </w:instrText>
      </w:r>
      <w:r>
        <w:fldChar w:fldCharType="separate"/>
      </w:r>
      <w:r w:rsidR="009063F5">
        <w:t>20</w:t>
      </w:r>
      <w:r>
        <w:fldChar w:fldCharType="end"/>
      </w:r>
    </w:p>
    <w:p w14:paraId="6C848B70" w14:textId="77777777" w:rsidR="00DF457A" w:rsidRDefault="00DF457A">
      <w:pPr>
        <w:pStyle w:val="TOC1"/>
        <w:rPr>
          <w:rFonts w:asciiTheme="minorHAnsi" w:eastAsiaTheme="minorEastAsia" w:hAnsiTheme="minorHAnsi" w:cstheme="minorBidi"/>
          <w:lang w:val="en-AU" w:eastAsia="en-AU"/>
        </w:rPr>
      </w:pPr>
      <w:r w:rsidRPr="00773F20">
        <w:t>Attachment A – Regulatory costs</w:t>
      </w:r>
      <w:r>
        <w:tab/>
      </w:r>
      <w:r>
        <w:fldChar w:fldCharType="begin"/>
      </w:r>
      <w:r>
        <w:instrText xml:space="preserve"> PAGEREF _Toc26947951 \h </w:instrText>
      </w:r>
      <w:r>
        <w:fldChar w:fldCharType="separate"/>
      </w:r>
      <w:r w:rsidR="009063F5">
        <w:t>21</w:t>
      </w:r>
      <w:r>
        <w:fldChar w:fldCharType="end"/>
      </w:r>
    </w:p>
    <w:p w14:paraId="58709FC7" w14:textId="77777777" w:rsidR="004678F4" w:rsidRPr="000C34C0" w:rsidRDefault="00E61437" w:rsidP="000C34C0">
      <w:pPr>
        <w:pStyle w:val="APRANORMAL"/>
      </w:pPr>
      <w:r>
        <w:rPr>
          <w:rFonts w:ascii="DIN Offc Medium" w:hAnsi="DIN Offc Medium"/>
          <w:noProof/>
        </w:rPr>
        <w:fldChar w:fldCharType="end"/>
      </w:r>
      <w:r w:rsidR="004678F4" w:rsidRPr="000C34C0">
        <w:br w:type="page"/>
      </w:r>
    </w:p>
    <w:p w14:paraId="73AE75A6" w14:textId="4A11D246" w:rsidR="00E70FE2" w:rsidRPr="00EF1054" w:rsidRDefault="005F11E2" w:rsidP="00AF714A">
      <w:pPr>
        <w:pStyle w:val="APRAHEADING1"/>
        <w:spacing w:before="100" w:beforeAutospacing="1"/>
      </w:pPr>
      <w:bookmarkStart w:id="8" w:name="_Toc460507403"/>
      <w:bookmarkStart w:id="9" w:name="_Toc460507522"/>
      <w:bookmarkStart w:id="10" w:name="_Toc26947910"/>
      <w:r>
        <w:lastRenderedPageBreak/>
        <w:t>Executive summary</w:t>
      </w:r>
      <w:bookmarkEnd w:id="8"/>
      <w:bookmarkEnd w:id="9"/>
      <w:bookmarkEnd w:id="10"/>
    </w:p>
    <w:p w14:paraId="3CEA2BD5" w14:textId="00B0234D" w:rsidR="00932A34" w:rsidRDefault="00E168BE" w:rsidP="005365F2">
      <w:pPr>
        <w:pStyle w:val="APRANORMAL"/>
        <w:rPr>
          <w:rStyle w:val="APRANORMALChar"/>
        </w:rPr>
      </w:pPr>
      <w:r w:rsidRPr="00E168BE">
        <w:rPr>
          <w:rStyle w:val="APRANORMALChar"/>
        </w:rPr>
        <w:t xml:space="preserve">Credit risk is usually the single largest risk facing an </w:t>
      </w:r>
      <w:r w:rsidR="0041342C">
        <w:rPr>
          <w:rStyle w:val="APRANORMALChar"/>
        </w:rPr>
        <w:t>a</w:t>
      </w:r>
      <w:r>
        <w:rPr>
          <w:rStyle w:val="APRANORMALChar"/>
        </w:rPr>
        <w:t xml:space="preserve">uthorised deposit-taking </w:t>
      </w:r>
      <w:r w:rsidR="00DC2DA0">
        <w:rPr>
          <w:rStyle w:val="APRANORMALChar"/>
        </w:rPr>
        <w:t>i</w:t>
      </w:r>
      <w:r>
        <w:rPr>
          <w:rStyle w:val="APRANORMALChar"/>
        </w:rPr>
        <w:t>nstitution (A</w:t>
      </w:r>
      <w:r w:rsidRPr="00E168BE">
        <w:rPr>
          <w:rStyle w:val="APRANORMALChar"/>
        </w:rPr>
        <w:t>DI</w:t>
      </w:r>
      <w:r>
        <w:rPr>
          <w:rStyle w:val="APRANORMALChar"/>
        </w:rPr>
        <w:t>)</w:t>
      </w:r>
      <w:r w:rsidRPr="00E168BE">
        <w:rPr>
          <w:rStyle w:val="APRANORMALChar"/>
        </w:rPr>
        <w:t>. The presence of a well-functioning credit risk management system is, therefore, fundamental to the safety and soundness of an ADI.</w:t>
      </w:r>
      <w:r w:rsidR="003E2CF1">
        <w:rPr>
          <w:rStyle w:val="APRANORMALChar"/>
        </w:rPr>
        <w:t xml:space="preserve"> As a result, </w:t>
      </w:r>
      <w:r w:rsidR="003E2CF1">
        <w:t xml:space="preserve">APRA's </w:t>
      </w:r>
      <w:r w:rsidRPr="007B729B">
        <w:rPr>
          <w:i/>
        </w:rPr>
        <w:t>Prudential Standard APS 220 Credit Quality</w:t>
      </w:r>
      <w:r>
        <w:t xml:space="preserve"> </w:t>
      </w:r>
      <w:r w:rsidRPr="00E168BE">
        <w:rPr>
          <w:rStyle w:val="APRANORMALChar"/>
        </w:rPr>
        <w:t>requires an ADI to implement a credit risk management framework that is appropriate to its size, business mix and complexity</w:t>
      </w:r>
      <w:r w:rsidR="00893A77">
        <w:rPr>
          <w:rStyle w:val="APRANORMALChar"/>
        </w:rPr>
        <w:t>.</w:t>
      </w:r>
    </w:p>
    <w:p w14:paraId="1E68BE7F" w14:textId="38AA36CE" w:rsidR="00DC2DA0" w:rsidRDefault="000E047F" w:rsidP="005365F2">
      <w:pPr>
        <w:pStyle w:val="APRANORMAL"/>
      </w:pPr>
      <w:r>
        <w:rPr>
          <w:rStyle w:val="APRANORMALChar"/>
        </w:rPr>
        <w:t xml:space="preserve">In </w:t>
      </w:r>
      <w:r w:rsidR="005365F2">
        <w:rPr>
          <w:rStyle w:val="APRANORMALChar"/>
        </w:rPr>
        <w:t>March</w:t>
      </w:r>
      <w:r w:rsidR="005365F2" w:rsidRPr="005365F2">
        <w:rPr>
          <w:rStyle w:val="APRANORMALChar"/>
        </w:rPr>
        <w:t xml:space="preserve"> 201</w:t>
      </w:r>
      <w:r w:rsidR="005365F2">
        <w:rPr>
          <w:rStyle w:val="APRANORMALChar"/>
        </w:rPr>
        <w:t xml:space="preserve">9, </w:t>
      </w:r>
      <w:r w:rsidR="005365F2" w:rsidRPr="005365F2">
        <w:rPr>
          <w:rStyle w:val="APRANORMALChar"/>
        </w:rPr>
        <w:t xml:space="preserve">APRA proposed </w:t>
      </w:r>
      <w:r w:rsidR="00DC2DA0">
        <w:rPr>
          <w:rStyle w:val="APRANORMALChar"/>
        </w:rPr>
        <w:t>to modernise</w:t>
      </w:r>
      <w:r w:rsidR="000E3350">
        <w:rPr>
          <w:rStyle w:val="APRANORMALChar"/>
        </w:rPr>
        <w:t xml:space="preserve"> </w:t>
      </w:r>
      <w:r w:rsidR="00392A44">
        <w:rPr>
          <w:rStyle w:val="APRANORMALChar"/>
        </w:rPr>
        <w:t>the standard</w:t>
      </w:r>
      <w:r w:rsidR="00DC2DA0">
        <w:t xml:space="preserve">; this </w:t>
      </w:r>
      <w:r w:rsidR="00DC2DA0" w:rsidRPr="00DC2DA0">
        <w:t>was prompted by</w:t>
      </w:r>
      <w:r w:rsidR="00D71E2D">
        <w:t xml:space="preserve"> APRA’s</w:t>
      </w:r>
      <w:r w:rsidR="00DC2DA0" w:rsidRPr="00DC2DA0">
        <w:t xml:space="preserve"> recent supervisory focus on credit standards, and </w:t>
      </w:r>
      <w:r w:rsidR="00DC2DA0">
        <w:t xml:space="preserve">to </w:t>
      </w:r>
      <w:r w:rsidR="00DC2DA0" w:rsidRPr="00DC2DA0">
        <w:t>reflect contemporary credit risk management practices.</w:t>
      </w:r>
      <w:r w:rsidR="0028104D">
        <w:t xml:space="preserve"> To better reflect the </w:t>
      </w:r>
      <w:r w:rsidR="00AC0F4B">
        <w:t xml:space="preserve">requirements of the </w:t>
      </w:r>
      <w:r w:rsidR="0028104D">
        <w:t xml:space="preserve">standard, APRA </w:t>
      </w:r>
      <w:r w:rsidR="000F7386">
        <w:t xml:space="preserve">also </w:t>
      </w:r>
      <w:r w:rsidR="0028104D">
        <w:t xml:space="preserve">proposed to change the name of the standard to </w:t>
      </w:r>
      <w:r w:rsidR="0028104D" w:rsidRPr="0028104D">
        <w:rPr>
          <w:i/>
        </w:rPr>
        <w:t>Prudential Standard APS 220 Credit Risk Management</w:t>
      </w:r>
      <w:r w:rsidR="00392A44">
        <w:rPr>
          <w:i/>
        </w:rPr>
        <w:t xml:space="preserve"> </w:t>
      </w:r>
      <w:r w:rsidR="00392A44" w:rsidRPr="00392A44">
        <w:t>(APS 220)</w:t>
      </w:r>
      <w:r w:rsidR="0028104D" w:rsidRPr="00392A44">
        <w:t>.</w:t>
      </w:r>
    </w:p>
    <w:p w14:paraId="7E638851" w14:textId="365F0767" w:rsidR="006B6319" w:rsidRDefault="00DC2DA0" w:rsidP="005365F2">
      <w:pPr>
        <w:pStyle w:val="APRANORMAL"/>
        <w:rPr>
          <w:rStyle w:val="APRANORMALChar"/>
        </w:rPr>
      </w:pPr>
      <w:r>
        <w:t>The draft APS 220</w:t>
      </w:r>
      <w:r w:rsidR="00EA2237">
        <w:t xml:space="preserve"> </w:t>
      </w:r>
      <w:r w:rsidR="00D219DE">
        <w:t xml:space="preserve">proposed changes in </w:t>
      </w:r>
      <w:r w:rsidR="00EA2237">
        <w:t>the following areas</w:t>
      </w:r>
      <w:r w:rsidR="00E85C56">
        <w:rPr>
          <w:rStyle w:val="APRANORMALChar"/>
        </w:rPr>
        <w:t>:</w:t>
      </w:r>
    </w:p>
    <w:p w14:paraId="35C9A8D2" w14:textId="64D5EAD1" w:rsidR="00DB62FE" w:rsidRDefault="003919A0" w:rsidP="007724F3">
      <w:pPr>
        <w:pStyle w:val="APRABULLET"/>
        <w:ind w:left="357" w:hanging="357"/>
        <w:contextualSpacing w:val="0"/>
        <w:rPr>
          <w:rStyle w:val="APRANORMALChar"/>
        </w:rPr>
      </w:pPr>
      <w:r>
        <w:rPr>
          <w:rStyle w:val="APRANORMALChar"/>
        </w:rPr>
        <w:t>c</w:t>
      </w:r>
      <w:r w:rsidRPr="00E85C56">
        <w:rPr>
          <w:rStyle w:val="APRANORMALChar"/>
        </w:rPr>
        <w:t>redit</w:t>
      </w:r>
      <w:r>
        <w:rPr>
          <w:rStyle w:val="APRANORMALChar"/>
        </w:rPr>
        <w:t xml:space="preserve"> </w:t>
      </w:r>
      <w:r w:rsidR="00E85C56">
        <w:rPr>
          <w:rStyle w:val="APRANORMALChar"/>
        </w:rPr>
        <w:t>risk management</w:t>
      </w:r>
      <w:r w:rsidR="00DB62FE">
        <w:rPr>
          <w:rStyle w:val="APRANORMALChar"/>
        </w:rPr>
        <w:t xml:space="preserve">, including </w:t>
      </w:r>
      <w:r w:rsidR="00DB62FE" w:rsidRPr="00DB62FE">
        <w:rPr>
          <w:rStyle w:val="APRANORMALChar"/>
        </w:rPr>
        <w:t>credit standards and the ongoing monitoring and management of an ADI’s credit portfolios</w:t>
      </w:r>
      <w:r w:rsidR="00392A44">
        <w:rPr>
          <w:rStyle w:val="APRANORMALChar"/>
        </w:rPr>
        <w:t xml:space="preserve"> over the full credit life-cycle</w:t>
      </w:r>
      <w:r w:rsidR="00DB62FE">
        <w:rPr>
          <w:rStyle w:val="APRANORMALChar"/>
        </w:rPr>
        <w:t>;</w:t>
      </w:r>
      <w:r w:rsidR="00BE36D8">
        <w:rPr>
          <w:rStyle w:val="APRANORMALChar"/>
        </w:rPr>
        <w:t xml:space="preserve"> and</w:t>
      </w:r>
    </w:p>
    <w:p w14:paraId="3C943192" w14:textId="406EC5A4" w:rsidR="005B57EC" w:rsidRPr="005365F2" w:rsidRDefault="003919A0" w:rsidP="007724F3">
      <w:pPr>
        <w:pStyle w:val="APRABULLET"/>
        <w:ind w:left="357" w:hanging="357"/>
        <w:contextualSpacing w:val="0"/>
        <w:rPr>
          <w:rStyle w:val="APRANORMALChar"/>
        </w:rPr>
      </w:pPr>
      <w:r>
        <w:rPr>
          <w:rStyle w:val="APRANORMALChar"/>
        </w:rPr>
        <w:t xml:space="preserve">asset </w:t>
      </w:r>
      <w:r w:rsidR="00EA2237">
        <w:rPr>
          <w:rStyle w:val="APRANORMALChar"/>
        </w:rPr>
        <w:t>c</w:t>
      </w:r>
      <w:r w:rsidR="00E85C56">
        <w:rPr>
          <w:rStyle w:val="APRANORMALChar"/>
        </w:rPr>
        <w:t>lassification</w:t>
      </w:r>
      <w:r w:rsidR="00EA2237">
        <w:rPr>
          <w:rStyle w:val="APRANORMALChar"/>
        </w:rPr>
        <w:t xml:space="preserve"> and provisioning</w:t>
      </w:r>
      <w:r w:rsidR="00114BFB">
        <w:rPr>
          <w:rStyle w:val="APRANORMALChar"/>
        </w:rPr>
        <w:t xml:space="preserve">, taking into account updated Basel Committee on Banking Supervision (Basel Committee) guidance </w:t>
      </w:r>
      <w:r w:rsidR="00D660AB">
        <w:rPr>
          <w:rStyle w:val="APRANORMALChar"/>
        </w:rPr>
        <w:t xml:space="preserve">on credit-related matters </w:t>
      </w:r>
      <w:r w:rsidR="00114BFB">
        <w:rPr>
          <w:rStyle w:val="APRANORMALChar"/>
        </w:rPr>
        <w:t>and recent changes in accounting standards.</w:t>
      </w:r>
    </w:p>
    <w:p w14:paraId="46F1E786" w14:textId="15ABE85E" w:rsidR="00656724" w:rsidRDefault="00656724" w:rsidP="002A6572">
      <w:pPr>
        <w:pStyle w:val="APRANORMAL"/>
        <w:rPr>
          <w:rStyle w:val="APRANORMALChar"/>
        </w:rPr>
      </w:pPr>
      <w:r>
        <w:rPr>
          <w:rStyle w:val="APRANORMALChar"/>
        </w:rPr>
        <w:t xml:space="preserve">Importantly, </w:t>
      </w:r>
      <w:r w:rsidRPr="00EA2237">
        <w:rPr>
          <w:rStyle w:val="APRANORMALChar"/>
        </w:rPr>
        <w:t xml:space="preserve">the </w:t>
      </w:r>
      <w:r>
        <w:rPr>
          <w:rStyle w:val="APRANORMALChar"/>
        </w:rPr>
        <w:t xml:space="preserve">proposed changes </w:t>
      </w:r>
      <w:r w:rsidRPr="00EA2237">
        <w:rPr>
          <w:rStyle w:val="APRANORMALChar"/>
        </w:rPr>
        <w:t>also include</w:t>
      </w:r>
      <w:r w:rsidR="00FD473B">
        <w:rPr>
          <w:rStyle w:val="APRANORMALChar"/>
        </w:rPr>
        <w:t>d</w:t>
      </w:r>
      <w:r w:rsidRPr="00EA2237">
        <w:rPr>
          <w:rStyle w:val="APRANORMALChar"/>
        </w:rPr>
        <w:t xml:space="preserve"> the recommendation of the Royal Commission into Misconduct in the Banking, Superannuation and Financial Services Industry relevant </w:t>
      </w:r>
      <w:r>
        <w:rPr>
          <w:rStyle w:val="APRANORMALChar"/>
        </w:rPr>
        <w:t>to APS 220</w:t>
      </w:r>
      <w:r w:rsidRPr="00EA2237">
        <w:rPr>
          <w:rStyle w:val="APRANORMALChar"/>
        </w:rPr>
        <w:t xml:space="preserve"> regarding the valuation of collateral taken by ADIs.</w:t>
      </w:r>
      <w:r w:rsidRPr="00656724">
        <w:rPr>
          <w:rStyle w:val="APRANORMALChar"/>
        </w:rPr>
        <w:t xml:space="preserve"> </w:t>
      </w:r>
      <w:r>
        <w:rPr>
          <w:rStyle w:val="APRANORMALChar"/>
        </w:rPr>
        <w:t>As recommended by the Royal Commission, A</w:t>
      </w:r>
      <w:r w:rsidRPr="00BE769C">
        <w:rPr>
          <w:rStyle w:val="APRANORMALChar"/>
        </w:rPr>
        <w:t xml:space="preserve">PRA </w:t>
      </w:r>
      <w:r>
        <w:rPr>
          <w:rStyle w:val="APRANORMALChar"/>
        </w:rPr>
        <w:t xml:space="preserve">proposed to </w:t>
      </w:r>
      <w:r w:rsidRPr="00BE769C">
        <w:rPr>
          <w:rStyle w:val="APRANORMALChar"/>
        </w:rPr>
        <w:t xml:space="preserve">amend </w:t>
      </w:r>
      <w:r>
        <w:rPr>
          <w:rStyle w:val="APRANORMALChar"/>
        </w:rPr>
        <w:t xml:space="preserve">APS 220 </w:t>
      </w:r>
      <w:r w:rsidRPr="00BE769C">
        <w:rPr>
          <w:rStyle w:val="APRANORMALChar"/>
        </w:rPr>
        <w:t xml:space="preserve">to require </w:t>
      </w:r>
      <w:r w:rsidR="00DE2A78">
        <w:rPr>
          <w:rStyle w:val="APRANORMALChar"/>
        </w:rPr>
        <w:t xml:space="preserve">independent </w:t>
      </w:r>
      <w:r>
        <w:rPr>
          <w:rStyle w:val="APRANORMALChar"/>
        </w:rPr>
        <w:t>valuation</w:t>
      </w:r>
      <w:r w:rsidR="005604BB">
        <w:rPr>
          <w:rStyle w:val="APRANORMALChar"/>
        </w:rPr>
        <w:t xml:space="preserve"> of collateral</w:t>
      </w:r>
      <w:r w:rsidR="003B152E">
        <w:rPr>
          <w:rStyle w:val="APRANORMALChar"/>
        </w:rPr>
        <w:t xml:space="preserve">, </w:t>
      </w:r>
      <w:r w:rsidR="00DE2A78">
        <w:rPr>
          <w:rStyle w:val="APRANORMALChar"/>
        </w:rPr>
        <w:t xml:space="preserve">for </w:t>
      </w:r>
      <w:r w:rsidR="00B276C6">
        <w:rPr>
          <w:rStyle w:val="APRANORMALChar"/>
        </w:rPr>
        <w:t xml:space="preserve">the </w:t>
      </w:r>
      <w:r w:rsidRPr="002A6572">
        <w:rPr>
          <w:lang w:val="en-AU"/>
        </w:rPr>
        <w:t>valuation</w:t>
      </w:r>
      <w:r w:rsidR="00D04305">
        <w:rPr>
          <w:lang w:val="en-AU"/>
        </w:rPr>
        <w:t xml:space="preserve"> </w:t>
      </w:r>
      <w:r>
        <w:rPr>
          <w:lang w:val="en-AU"/>
        </w:rPr>
        <w:t xml:space="preserve">to take </w:t>
      </w:r>
      <w:r w:rsidRPr="002A6572">
        <w:rPr>
          <w:lang w:val="en-AU"/>
        </w:rPr>
        <w:t>into account</w:t>
      </w:r>
      <w:r>
        <w:rPr>
          <w:lang w:val="en-AU"/>
        </w:rPr>
        <w:t xml:space="preserve"> the </w:t>
      </w:r>
      <w:r w:rsidRPr="002A6572">
        <w:rPr>
          <w:lang w:val="en-AU"/>
        </w:rPr>
        <w:t xml:space="preserve">time taken for realisation </w:t>
      </w:r>
      <w:r w:rsidR="00DE2A78">
        <w:rPr>
          <w:lang w:val="en-AU"/>
        </w:rPr>
        <w:t xml:space="preserve">of collateral </w:t>
      </w:r>
      <w:r>
        <w:rPr>
          <w:lang w:val="en-AU"/>
        </w:rPr>
        <w:t>and</w:t>
      </w:r>
      <w:r w:rsidRPr="002A6572">
        <w:rPr>
          <w:lang w:val="en-AU"/>
        </w:rPr>
        <w:t xml:space="preserve">, to the extent possible, the likelihood of external events, </w:t>
      </w:r>
      <w:r>
        <w:rPr>
          <w:lang w:val="en-AU"/>
        </w:rPr>
        <w:t xml:space="preserve">such </w:t>
      </w:r>
      <w:r w:rsidR="00044D43">
        <w:rPr>
          <w:lang w:val="en-AU"/>
        </w:rPr>
        <w:t xml:space="preserve">as </w:t>
      </w:r>
      <w:r w:rsidRPr="002A6572">
        <w:rPr>
          <w:lang w:val="en-AU"/>
        </w:rPr>
        <w:t>drought and flood</w:t>
      </w:r>
      <w:r w:rsidR="00DE2A78">
        <w:rPr>
          <w:lang w:val="en-AU"/>
        </w:rPr>
        <w:t>.</w:t>
      </w:r>
    </w:p>
    <w:p w14:paraId="444D3958" w14:textId="0046FBF2" w:rsidR="005365F2" w:rsidRPr="005365F2" w:rsidRDefault="005365F2" w:rsidP="005365F2">
      <w:pPr>
        <w:pStyle w:val="APRANORMAL"/>
        <w:rPr>
          <w:rStyle w:val="APRANORMALChar"/>
        </w:rPr>
      </w:pPr>
      <w:r w:rsidRPr="005365F2">
        <w:rPr>
          <w:rStyle w:val="APRANORMALChar"/>
        </w:rPr>
        <w:t xml:space="preserve">Submissions </w:t>
      </w:r>
      <w:r w:rsidR="00AC0F4B">
        <w:rPr>
          <w:rStyle w:val="APRANORMALChar"/>
        </w:rPr>
        <w:t>on</w:t>
      </w:r>
      <w:r w:rsidR="00AC0F4B" w:rsidRPr="005365F2">
        <w:rPr>
          <w:rStyle w:val="APRANORMALChar"/>
        </w:rPr>
        <w:t xml:space="preserve"> </w:t>
      </w:r>
      <w:r w:rsidRPr="005365F2">
        <w:rPr>
          <w:rStyle w:val="APRANORMALChar"/>
        </w:rPr>
        <w:t xml:space="preserve">APRA's consultation </w:t>
      </w:r>
      <w:r w:rsidR="00EA2237">
        <w:rPr>
          <w:rStyle w:val="APRANORMALChar"/>
        </w:rPr>
        <w:t xml:space="preserve">were broadly supportive of the proposed reforms. </w:t>
      </w:r>
      <w:r w:rsidR="00DB62FE">
        <w:rPr>
          <w:rStyle w:val="APRANORMALChar"/>
        </w:rPr>
        <w:t xml:space="preserve">However, </w:t>
      </w:r>
      <w:r w:rsidR="002857C4">
        <w:rPr>
          <w:rStyle w:val="APRANORMALChar"/>
        </w:rPr>
        <w:t xml:space="preserve">a number of </w:t>
      </w:r>
      <w:r w:rsidR="00B04028">
        <w:rPr>
          <w:rStyle w:val="APRANORMALChar"/>
        </w:rPr>
        <w:t xml:space="preserve">submissions </w:t>
      </w:r>
      <w:r w:rsidR="00EA0DBB">
        <w:rPr>
          <w:rStyle w:val="APRANORMALChar"/>
        </w:rPr>
        <w:t xml:space="preserve">sought clarification of the </w:t>
      </w:r>
      <w:r w:rsidR="000333AF">
        <w:rPr>
          <w:rStyle w:val="APRANORMALChar"/>
        </w:rPr>
        <w:t>role of the Board and senior management</w:t>
      </w:r>
      <w:r w:rsidR="002857C4">
        <w:rPr>
          <w:rStyle w:val="APRANORMALChar"/>
        </w:rPr>
        <w:t xml:space="preserve"> </w:t>
      </w:r>
      <w:r w:rsidR="00C9088F">
        <w:rPr>
          <w:rStyle w:val="APRANORMALChar"/>
        </w:rPr>
        <w:t xml:space="preserve">in credit risk management </w:t>
      </w:r>
      <w:r w:rsidR="000E047F">
        <w:rPr>
          <w:rStyle w:val="APRANORMALChar"/>
        </w:rPr>
        <w:t>and</w:t>
      </w:r>
      <w:r w:rsidR="00B7667B">
        <w:rPr>
          <w:rStyle w:val="APRANORMALChar"/>
        </w:rPr>
        <w:t xml:space="preserve"> </w:t>
      </w:r>
      <w:r w:rsidR="000333AF">
        <w:rPr>
          <w:rStyle w:val="APRANORMALChar"/>
        </w:rPr>
        <w:t xml:space="preserve">the </w:t>
      </w:r>
      <w:r w:rsidR="00392A44">
        <w:rPr>
          <w:rStyle w:val="APRANORMALChar"/>
        </w:rPr>
        <w:t xml:space="preserve">application </w:t>
      </w:r>
      <w:r w:rsidR="002857C4">
        <w:rPr>
          <w:rStyle w:val="APRANORMALChar"/>
        </w:rPr>
        <w:t xml:space="preserve">of </w:t>
      </w:r>
      <w:r w:rsidR="000333AF">
        <w:rPr>
          <w:rStyle w:val="APRANORMALChar"/>
        </w:rPr>
        <w:t xml:space="preserve">the </w:t>
      </w:r>
      <w:r w:rsidR="00EA0DBB">
        <w:rPr>
          <w:rStyle w:val="APRANORMALChar"/>
        </w:rPr>
        <w:t xml:space="preserve">proposed </w:t>
      </w:r>
      <w:r w:rsidR="00EA0DBB" w:rsidRPr="00EA0DBB">
        <w:rPr>
          <w:rStyle w:val="APRANORMALChar"/>
        </w:rPr>
        <w:t>credit standards</w:t>
      </w:r>
      <w:r w:rsidR="00EA0DBB">
        <w:rPr>
          <w:rStyle w:val="APRANORMALChar"/>
        </w:rPr>
        <w:t xml:space="preserve"> requirements </w:t>
      </w:r>
      <w:r w:rsidR="003919A0">
        <w:rPr>
          <w:rStyle w:val="APRANORMALChar"/>
        </w:rPr>
        <w:t xml:space="preserve">for </w:t>
      </w:r>
      <w:r w:rsidR="000333AF">
        <w:rPr>
          <w:rStyle w:val="APRANORMALChar"/>
        </w:rPr>
        <w:t>certain types of lending</w:t>
      </w:r>
      <w:r w:rsidR="003919A0">
        <w:rPr>
          <w:rStyle w:val="APRANORMALChar"/>
        </w:rPr>
        <w:t xml:space="preserve">. Respondents also </w:t>
      </w:r>
      <w:r w:rsidR="00B04028">
        <w:rPr>
          <w:rStyle w:val="APRANORMALChar"/>
        </w:rPr>
        <w:t xml:space="preserve">raised concerns </w:t>
      </w:r>
      <w:r w:rsidR="00DB62FE">
        <w:rPr>
          <w:rStyle w:val="APRANORMALChar"/>
        </w:rPr>
        <w:t xml:space="preserve">regarding </w:t>
      </w:r>
      <w:r w:rsidR="00DE1D7D">
        <w:rPr>
          <w:rStyle w:val="APRANORMALChar"/>
        </w:rPr>
        <w:t>the</w:t>
      </w:r>
      <w:r w:rsidR="005B37F3">
        <w:rPr>
          <w:rStyle w:val="APRANORMALChar"/>
        </w:rPr>
        <w:t xml:space="preserve"> </w:t>
      </w:r>
      <w:r w:rsidR="000333AF">
        <w:rPr>
          <w:rStyle w:val="APRANORMALChar"/>
        </w:rPr>
        <w:t xml:space="preserve">proposed </w:t>
      </w:r>
      <w:r w:rsidR="005B37F3">
        <w:rPr>
          <w:rStyle w:val="APRANORMALChar"/>
        </w:rPr>
        <w:t xml:space="preserve">valuation of </w:t>
      </w:r>
      <w:r w:rsidR="00E3534C">
        <w:rPr>
          <w:rStyle w:val="APRANORMALChar"/>
        </w:rPr>
        <w:t xml:space="preserve">collateral </w:t>
      </w:r>
      <w:r w:rsidR="005B37F3">
        <w:rPr>
          <w:rStyle w:val="APRANORMALChar"/>
        </w:rPr>
        <w:t>and asset classification</w:t>
      </w:r>
      <w:r w:rsidR="000333AF">
        <w:rPr>
          <w:rStyle w:val="APRANORMALChar"/>
        </w:rPr>
        <w:t xml:space="preserve"> requirements</w:t>
      </w:r>
      <w:r w:rsidR="005B37F3">
        <w:rPr>
          <w:rStyle w:val="APRANORMALChar"/>
        </w:rPr>
        <w:t>.</w:t>
      </w:r>
    </w:p>
    <w:p w14:paraId="619DAED9" w14:textId="41F324C7" w:rsidR="005365F2" w:rsidRDefault="005365F2" w:rsidP="005365F2">
      <w:pPr>
        <w:pStyle w:val="APRANORMAL"/>
        <w:rPr>
          <w:rStyle w:val="APRANORMALChar"/>
        </w:rPr>
      </w:pPr>
      <w:r w:rsidRPr="005365F2">
        <w:rPr>
          <w:rStyle w:val="APRANORMALChar"/>
        </w:rPr>
        <w:t xml:space="preserve">APRA has made a number of adjustments to the proposals to address </w:t>
      </w:r>
      <w:r w:rsidR="0079638A">
        <w:rPr>
          <w:rStyle w:val="APRANORMALChar"/>
        </w:rPr>
        <w:t>some</w:t>
      </w:r>
      <w:r w:rsidRPr="005365F2">
        <w:rPr>
          <w:rStyle w:val="APRANORMALChar"/>
        </w:rPr>
        <w:t xml:space="preserve"> of these </w:t>
      </w:r>
      <w:r w:rsidR="002857C4">
        <w:rPr>
          <w:rStyle w:val="APRANORMALChar"/>
        </w:rPr>
        <w:t>issues</w:t>
      </w:r>
      <w:r w:rsidRPr="005365F2">
        <w:rPr>
          <w:rStyle w:val="APRANORMALChar"/>
        </w:rPr>
        <w:t>, and has maintained other aspects of the original proposals where it has concluded these are warranted based on prudential considerations. Key a</w:t>
      </w:r>
      <w:r w:rsidR="00C7631E">
        <w:rPr>
          <w:rStyle w:val="APRANORMALChar"/>
        </w:rPr>
        <w:t>djustments to the proposals</w:t>
      </w:r>
      <w:r w:rsidR="00BE36D8">
        <w:rPr>
          <w:rStyle w:val="APRANORMALChar"/>
        </w:rPr>
        <w:t xml:space="preserve"> include</w:t>
      </w:r>
      <w:r w:rsidRPr="005365F2">
        <w:rPr>
          <w:rStyle w:val="APRANORMALChar"/>
        </w:rPr>
        <w:t>:</w:t>
      </w:r>
    </w:p>
    <w:p w14:paraId="5C17371F" w14:textId="57B15464" w:rsidR="0030484A" w:rsidRDefault="003919A0" w:rsidP="00265612">
      <w:pPr>
        <w:pStyle w:val="APRABULLET"/>
        <w:contextualSpacing w:val="0"/>
      </w:pPr>
      <w:r>
        <w:t xml:space="preserve">credit </w:t>
      </w:r>
      <w:r w:rsidR="0030484A">
        <w:t xml:space="preserve">standards </w:t>
      </w:r>
      <w:r w:rsidR="002857C4">
        <w:t>–</w:t>
      </w:r>
      <w:r w:rsidR="00010D6D">
        <w:t xml:space="preserve"> </w:t>
      </w:r>
      <w:r w:rsidR="00265612">
        <w:t xml:space="preserve">the final </w:t>
      </w:r>
      <w:r w:rsidR="00265612" w:rsidRPr="00265612">
        <w:t xml:space="preserve">APS 220 </w:t>
      </w:r>
      <w:r w:rsidR="00010D6D">
        <w:t>clarifies the</w:t>
      </w:r>
      <w:r w:rsidR="00265612" w:rsidRPr="00265612">
        <w:t xml:space="preserve"> scalable and flexible approach </w:t>
      </w:r>
      <w:r w:rsidR="00010D6D">
        <w:t xml:space="preserve">that should be applied </w:t>
      </w:r>
      <w:r w:rsidR="00265612" w:rsidRPr="00265612">
        <w:t xml:space="preserve">to </w:t>
      </w:r>
      <w:r w:rsidR="00652964">
        <w:t xml:space="preserve">an ADI’s </w:t>
      </w:r>
      <w:r w:rsidR="00265612" w:rsidRPr="00265612">
        <w:t>credit assessment</w:t>
      </w:r>
      <w:r w:rsidR="00010D6D" w:rsidRPr="00010D6D">
        <w:t xml:space="preserve"> </w:t>
      </w:r>
      <w:r w:rsidR="00010D6D">
        <w:t>in the application of each of the credit standards requirements</w:t>
      </w:r>
      <w:r w:rsidR="00A02821">
        <w:t>. In this regard, a</w:t>
      </w:r>
      <w:r w:rsidR="00A02821" w:rsidRPr="00666895">
        <w:t>n ADI must use experienced credit judg</w:t>
      </w:r>
      <w:r w:rsidR="00A02821">
        <w:t>e</w:t>
      </w:r>
      <w:r w:rsidR="00A02821" w:rsidRPr="00666895">
        <w:t>ment</w:t>
      </w:r>
      <w:r w:rsidR="00A02821">
        <w:t xml:space="preserve"> in adopting such an approach to its credit risk assessment of a borrower</w:t>
      </w:r>
      <w:r w:rsidR="00265612">
        <w:t>;</w:t>
      </w:r>
      <w:r w:rsidR="008D0F94">
        <w:t xml:space="preserve"> </w:t>
      </w:r>
    </w:p>
    <w:p w14:paraId="64816482" w14:textId="40C79060" w:rsidR="00347577" w:rsidRDefault="00347577" w:rsidP="00083D91">
      <w:pPr>
        <w:pStyle w:val="APRABULLET"/>
        <w:contextualSpacing w:val="0"/>
      </w:pPr>
      <w:r>
        <w:t xml:space="preserve">valuation </w:t>
      </w:r>
      <w:r w:rsidR="00587A93">
        <w:t xml:space="preserve">of </w:t>
      </w:r>
      <w:r w:rsidR="00E3534C">
        <w:t>collateral</w:t>
      </w:r>
      <w:r w:rsidR="00587A93">
        <w:t xml:space="preserve"> </w:t>
      </w:r>
      <w:r w:rsidR="003C7C72">
        <w:t>–</w:t>
      </w:r>
      <w:r w:rsidR="00587A93">
        <w:t xml:space="preserve"> </w:t>
      </w:r>
      <w:r w:rsidR="000D1DE0">
        <w:t xml:space="preserve">in a manner consistent with the recommendation of </w:t>
      </w:r>
      <w:r w:rsidR="00D87092">
        <w:t xml:space="preserve">the </w:t>
      </w:r>
      <w:r w:rsidR="000D1DE0">
        <w:t>Royal Commission</w:t>
      </w:r>
      <w:r w:rsidR="002D6728">
        <w:t xml:space="preserve"> regarding the valuation of </w:t>
      </w:r>
      <w:r w:rsidR="00D87092">
        <w:t>collateral taken by ADIs</w:t>
      </w:r>
      <w:r w:rsidR="000D1DE0">
        <w:t>, APR</w:t>
      </w:r>
      <w:r w:rsidR="002D6728">
        <w:t>A</w:t>
      </w:r>
      <w:r w:rsidR="000D1DE0">
        <w:t xml:space="preserve"> has clarified in the final APS 220</w:t>
      </w:r>
      <w:r w:rsidR="000B4210">
        <w:t xml:space="preserve"> that valuation of collateral </w:t>
      </w:r>
      <w:r w:rsidR="00D14F8D">
        <w:t xml:space="preserve">requirements </w:t>
      </w:r>
      <w:r w:rsidR="000B4210">
        <w:t xml:space="preserve">do not </w:t>
      </w:r>
      <w:r w:rsidR="00D14F8D">
        <w:t>require an ADI to</w:t>
      </w:r>
      <w:r w:rsidR="000B4210">
        <w:t xml:space="preserve"> predict </w:t>
      </w:r>
      <w:r w:rsidR="00B6750B">
        <w:lastRenderedPageBreak/>
        <w:t xml:space="preserve">when </w:t>
      </w:r>
      <w:r w:rsidR="00001E62">
        <w:t>‘external events’</w:t>
      </w:r>
      <w:r w:rsidR="00B6750B">
        <w:t xml:space="preserve"> are likely to occur</w:t>
      </w:r>
      <w:r w:rsidR="000B4210">
        <w:t xml:space="preserve">, </w:t>
      </w:r>
      <w:r w:rsidR="00D14F8D">
        <w:t xml:space="preserve">and that </w:t>
      </w:r>
      <w:r w:rsidR="00001E62">
        <w:t>‘external events’</w:t>
      </w:r>
      <w:r w:rsidR="00D14F8D">
        <w:t xml:space="preserve"> </w:t>
      </w:r>
      <w:r w:rsidR="00083D91">
        <w:t>are wider than drought and flood</w:t>
      </w:r>
      <w:r w:rsidR="00814DEB">
        <w:t>.</w:t>
      </w:r>
      <w:r w:rsidR="009E6298">
        <w:t xml:space="preserve"> To </w:t>
      </w:r>
      <w:r w:rsidR="00125536">
        <w:t>align with interna</w:t>
      </w:r>
      <w:r w:rsidR="00F32459">
        <w:t>tional</w:t>
      </w:r>
      <w:r w:rsidR="00125536">
        <w:t xml:space="preserve"> valuation and accounting standards, the final APS 220 </w:t>
      </w:r>
      <w:r w:rsidR="00880600">
        <w:t>no longer requires APRA approval</w:t>
      </w:r>
      <w:r w:rsidR="00125536">
        <w:t xml:space="preserve"> for fair values to be based on </w:t>
      </w:r>
      <w:r w:rsidR="00F32459">
        <w:t>highest and best use</w:t>
      </w:r>
      <w:r w:rsidR="00AC0F4B">
        <w:t>; and</w:t>
      </w:r>
      <w:r w:rsidR="00F32459">
        <w:t xml:space="preserve"> </w:t>
      </w:r>
    </w:p>
    <w:p w14:paraId="2768002F" w14:textId="6EF00AD3" w:rsidR="00BE36D8" w:rsidRDefault="00AC0F4B" w:rsidP="00DA6209">
      <w:pPr>
        <w:pStyle w:val="APRABULLET"/>
        <w:contextualSpacing w:val="0"/>
        <w:rPr>
          <w:rStyle w:val="APRANORMALChar"/>
        </w:rPr>
      </w:pPr>
      <w:r>
        <w:t xml:space="preserve">asset </w:t>
      </w:r>
      <w:r w:rsidR="00587A93">
        <w:t xml:space="preserve">classification </w:t>
      </w:r>
      <w:r w:rsidR="00DA6209">
        <w:t>–</w:t>
      </w:r>
      <w:r w:rsidR="00587A93">
        <w:t xml:space="preserve"> </w:t>
      </w:r>
      <w:r w:rsidR="00DA6209">
        <w:t>to provide</w:t>
      </w:r>
      <w:r w:rsidR="00EC4686">
        <w:t xml:space="preserve"> for </w:t>
      </w:r>
      <w:r w:rsidR="00DA6209" w:rsidRPr="00DA6209">
        <w:t>a simpler classification</w:t>
      </w:r>
      <w:r w:rsidR="00DC2E01">
        <w:t xml:space="preserve"> for prudential reporting purposes</w:t>
      </w:r>
      <w:r w:rsidR="00DA6209">
        <w:t xml:space="preserve">, </w:t>
      </w:r>
      <w:r w:rsidR="00BB0A36">
        <w:t xml:space="preserve">the term </w:t>
      </w:r>
      <w:r w:rsidR="00D219DE">
        <w:t>‘significantly deteriorate</w:t>
      </w:r>
      <w:r w:rsidR="004B3A0D">
        <w:t>d</w:t>
      </w:r>
      <w:r w:rsidR="00D219DE">
        <w:t>’</w:t>
      </w:r>
      <w:r w:rsidR="004B3A0D">
        <w:t xml:space="preserve"> </w:t>
      </w:r>
      <w:r w:rsidR="00EC4686">
        <w:t>has been removed from the final APS 220</w:t>
      </w:r>
      <w:r w:rsidR="00EF4257">
        <w:t xml:space="preserve">. ADIs will be required </w:t>
      </w:r>
      <w:r w:rsidR="00EC4686">
        <w:t>to classify e</w:t>
      </w:r>
      <w:r w:rsidR="00BB0A36">
        <w:t xml:space="preserve">xposures </w:t>
      </w:r>
      <w:r w:rsidR="008B455A">
        <w:t>as ‘performing’</w:t>
      </w:r>
      <w:r w:rsidR="00BB0A36" w:rsidRPr="00BB0A36">
        <w:t xml:space="preserve"> or ‘non-performing’</w:t>
      </w:r>
      <w:r w:rsidR="00EF4257">
        <w:t xml:space="preserve"> and as ‘past</w:t>
      </w:r>
      <w:r w:rsidR="00FB3DE7">
        <w:t>-</w:t>
      </w:r>
      <w:r w:rsidR="00EF4257">
        <w:t>due’ and ‘restructured’</w:t>
      </w:r>
      <w:r w:rsidR="00DA6209">
        <w:t>.</w:t>
      </w:r>
      <w:r w:rsidR="00F737C7">
        <w:t xml:space="preserve"> APRA has also </w:t>
      </w:r>
      <w:r w:rsidR="007F4B43">
        <w:t>amended</w:t>
      </w:r>
      <w:r w:rsidR="00F737C7">
        <w:t xml:space="preserve"> its proposal </w:t>
      </w:r>
      <w:r w:rsidR="000971E8">
        <w:t xml:space="preserve">for a twelve month period for a restructured exposure </w:t>
      </w:r>
      <w:r w:rsidR="00F737C7">
        <w:t xml:space="preserve">to return to performing status and </w:t>
      </w:r>
      <w:r w:rsidR="000971E8">
        <w:t xml:space="preserve">is </w:t>
      </w:r>
      <w:r w:rsidR="00987605">
        <w:t>re</w:t>
      </w:r>
      <w:r w:rsidR="000971E8">
        <w:t xml:space="preserve">taining the </w:t>
      </w:r>
      <w:r w:rsidR="00F737C7">
        <w:t>current six month requirement</w:t>
      </w:r>
      <w:r w:rsidR="000971E8">
        <w:t>.</w:t>
      </w:r>
    </w:p>
    <w:p w14:paraId="24BED4D6" w14:textId="062BD610" w:rsidR="00296724" w:rsidRDefault="00A44EE1" w:rsidP="005365F2">
      <w:pPr>
        <w:pStyle w:val="APRANORMAL"/>
        <w:rPr>
          <w:rStyle w:val="APRANORMALChar"/>
        </w:rPr>
      </w:pPr>
      <w:r>
        <w:rPr>
          <w:rStyle w:val="APRANORMALChar"/>
        </w:rPr>
        <w:t>Further, s</w:t>
      </w:r>
      <w:r w:rsidRPr="00A44EE1">
        <w:rPr>
          <w:rStyle w:val="APRANORMALChar"/>
        </w:rPr>
        <w:t xml:space="preserve">ome submissions suggested the implementation date </w:t>
      </w:r>
      <w:r>
        <w:rPr>
          <w:rStyle w:val="APRANORMALChar"/>
        </w:rPr>
        <w:t xml:space="preserve">for the final APS 220 </w:t>
      </w:r>
      <w:r w:rsidRPr="00A44EE1">
        <w:rPr>
          <w:rStyle w:val="APRANORMALChar"/>
        </w:rPr>
        <w:t xml:space="preserve">should </w:t>
      </w:r>
      <w:r>
        <w:rPr>
          <w:rStyle w:val="APRANORMALChar"/>
        </w:rPr>
        <w:t>be deferred given APRA had proposed a 1 July 2020 start date. I</w:t>
      </w:r>
      <w:r w:rsidRPr="00A44EE1">
        <w:rPr>
          <w:rStyle w:val="APRANORMALChar"/>
        </w:rPr>
        <w:t xml:space="preserve">n light of the comments from submissions, </w:t>
      </w:r>
      <w:r w:rsidR="000F7386">
        <w:rPr>
          <w:rStyle w:val="APRANORMALChar"/>
        </w:rPr>
        <w:t xml:space="preserve">and the time needed for ADIs to implement regulatory change, </w:t>
      </w:r>
      <w:r w:rsidRPr="00A44EE1">
        <w:rPr>
          <w:rStyle w:val="APRANORMALChar"/>
        </w:rPr>
        <w:t xml:space="preserve">APRA has </w:t>
      </w:r>
      <w:r w:rsidR="007F4B43">
        <w:rPr>
          <w:rStyle w:val="APRANORMALChar"/>
        </w:rPr>
        <w:t>amended</w:t>
      </w:r>
      <w:r w:rsidRPr="00A44EE1">
        <w:rPr>
          <w:rStyle w:val="APRANORMALChar"/>
        </w:rPr>
        <w:t xml:space="preserve"> the implementation date of the final APS 220 to 1 January 2021.</w:t>
      </w:r>
      <w:r w:rsidR="00880600">
        <w:rPr>
          <w:rStyle w:val="APRANORMALChar"/>
        </w:rPr>
        <w:t xml:space="preserve"> </w:t>
      </w:r>
      <w:r w:rsidR="00296724" w:rsidRPr="00296724">
        <w:rPr>
          <w:rStyle w:val="APRANORMALChar"/>
        </w:rPr>
        <w:t xml:space="preserve">APRA expects that entities will review their existing </w:t>
      </w:r>
      <w:r w:rsidR="00DC3A0A">
        <w:rPr>
          <w:rStyle w:val="APRANORMALChar"/>
        </w:rPr>
        <w:t xml:space="preserve">credit risk management </w:t>
      </w:r>
      <w:r w:rsidR="00296724" w:rsidRPr="00296724">
        <w:rPr>
          <w:rStyle w:val="APRANORMALChar"/>
        </w:rPr>
        <w:t xml:space="preserve">frameworks so </w:t>
      </w:r>
      <w:r w:rsidR="00A7697D">
        <w:rPr>
          <w:rStyle w:val="APRANORMALChar"/>
        </w:rPr>
        <w:t>their</w:t>
      </w:r>
      <w:r w:rsidR="00296724" w:rsidRPr="00296724">
        <w:rPr>
          <w:rStyle w:val="APRANORMALChar"/>
        </w:rPr>
        <w:t xml:space="preserve"> </w:t>
      </w:r>
      <w:r w:rsidR="00DC3A0A">
        <w:rPr>
          <w:rStyle w:val="APRANORMALChar"/>
        </w:rPr>
        <w:t xml:space="preserve">credit risk policies, processes and practices </w:t>
      </w:r>
      <w:r w:rsidR="00A7697D">
        <w:rPr>
          <w:rStyle w:val="APRANORMALChar"/>
        </w:rPr>
        <w:t xml:space="preserve">fully comply with </w:t>
      </w:r>
      <w:r w:rsidR="00296724" w:rsidRPr="00296724">
        <w:rPr>
          <w:rStyle w:val="APRANORMALChar"/>
        </w:rPr>
        <w:t>the new standard</w:t>
      </w:r>
      <w:r w:rsidR="00A7697D">
        <w:rPr>
          <w:rStyle w:val="APRANORMALChar"/>
        </w:rPr>
        <w:t xml:space="preserve"> from its effective date. </w:t>
      </w:r>
    </w:p>
    <w:p w14:paraId="49CF753A" w14:textId="68E7A896" w:rsidR="005365F2" w:rsidRPr="005365F2" w:rsidRDefault="00BE769C" w:rsidP="005365F2">
      <w:pPr>
        <w:pStyle w:val="APRANORMAL"/>
        <w:rPr>
          <w:rStyle w:val="APRANORMALChar"/>
        </w:rPr>
      </w:pPr>
      <w:r>
        <w:rPr>
          <w:rStyle w:val="APRANORMALChar"/>
        </w:rPr>
        <w:t>APS 220 fully implements the Royal Commission recommendation</w:t>
      </w:r>
      <w:r w:rsidR="00656724">
        <w:rPr>
          <w:rStyle w:val="APRANORMALChar"/>
        </w:rPr>
        <w:t xml:space="preserve"> relevant to the standard.</w:t>
      </w:r>
      <w:r>
        <w:rPr>
          <w:rStyle w:val="APRANORMALChar"/>
        </w:rPr>
        <w:t xml:space="preserve"> </w:t>
      </w:r>
      <w:r w:rsidR="005365F2" w:rsidRPr="005365F2">
        <w:rPr>
          <w:rStyle w:val="APRANORMALChar"/>
        </w:rPr>
        <w:t>This response paper sets out the material issues raised in submissions and APRA’s response to those issues.</w:t>
      </w:r>
    </w:p>
    <w:p w14:paraId="2B4A2B46" w14:textId="2A7A8592" w:rsidR="005365F2" w:rsidRDefault="005365F2" w:rsidP="005365F2">
      <w:pPr>
        <w:pStyle w:val="APRANORMAL"/>
        <w:rPr>
          <w:rStyle w:val="APRANORMALChar"/>
        </w:rPr>
      </w:pPr>
      <w:r w:rsidRPr="005365F2">
        <w:rPr>
          <w:rStyle w:val="APRANORMALChar"/>
        </w:rPr>
        <w:t>This paper</w:t>
      </w:r>
      <w:r w:rsidR="0079638A">
        <w:rPr>
          <w:rStyle w:val="APRANORMALChar"/>
        </w:rPr>
        <w:t xml:space="preserve"> and</w:t>
      </w:r>
      <w:r w:rsidRPr="005365F2">
        <w:rPr>
          <w:rStyle w:val="APRANORMALChar"/>
        </w:rPr>
        <w:t xml:space="preserve"> the </w:t>
      </w:r>
      <w:r w:rsidR="00B6750B">
        <w:rPr>
          <w:rStyle w:val="APRANORMALChar"/>
        </w:rPr>
        <w:t xml:space="preserve">final </w:t>
      </w:r>
      <w:r w:rsidRPr="005365F2">
        <w:rPr>
          <w:rStyle w:val="APRANORMALChar"/>
        </w:rPr>
        <w:t xml:space="preserve">prudential standard are available on APRA’s website </w:t>
      </w:r>
      <w:r w:rsidR="002A2041">
        <w:rPr>
          <w:rStyle w:val="APRANORMALChar"/>
        </w:rPr>
        <w:t>at</w:t>
      </w:r>
      <w:r w:rsidRPr="005365F2">
        <w:rPr>
          <w:rStyle w:val="APRANORMALChar"/>
        </w:rPr>
        <w:t xml:space="preserve"> </w:t>
      </w:r>
      <w:hyperlink r:id="rId16" w:history="1">
        <w:r w:rsidRPr="003039FC">
          <w:rPr>
            <w:rStyle w:val="Hyperlink"/>
            <w:rFonts w:ascii="DIN OT Light" w:hAnsi="DIN OT Light"/>
          </w:rPr>
          <w:t>www.apra.gov.au</w:t>
        </w:r>
      </w:hyperlink>
      <w:r w:rsidRPr="005365F2">
        <w:rPr>
          <w:rStyle w:val="APRANORMALChar"/>
        </w:rPr>
        <w:t>.</w:t>
      </w:r>
      <w:r>
        <w:rPr>
          <w:rStyle w:val="APRANORMALChar"/>
        </w:rPr>
        <w:t xml:space="preserve"> </w:t>
      </w:r>
    </w:p>
    <w:p w14:paraId="0B10F2E7" w14:textId="2E091306" w:rsidR="00652964" w:rsidRDefault="00652964" w:rsidP="005365F2">
      <w:pPr>
        <w:pStyle w:val="APRANORMAL"/>
        <w:rPr>
          <w:rStyle w:val="APRANORMALChar"/>
        </w:rPr>
      </w:pPr>
      <w:r>
        <w:rPr>
          <w:rStyle w:val="APRANORMALChar"/>
        </w:rPr>
        <w:t>A</w:t>
      </w:r>
      <w:r w:rsidR="003D4985">
        <w:rPr>
          <w:rStyle w:val="APRANORMALChar"/>
        </w:rPr>
        <w:t>t this time, A</w:t>
      </w:r>
      <w:r>
        <w:rPr>
          <w:rStyle w:val="APRANORMALChar"/>
        </w:rPr>
        <w:t xml:space="preserve">PRA is also releasing a draft </w:t>
      </w:r>
      <w:r w:rsidRPr="00652964">
        <w:rPr>
          <w:rStyle w:val="APRANORMALChar"/>
          <w:i/>
        </w:rPr>
        <w:t>Prudential Practice Guide APG 220 Credit Risk Management</w:t>
      </w:r>
      <w:r>
        <w:rPr>
          <w:rStyle w:val="APRANORMALChar"/>
        </w:rPr>
        <w:t xml:space="preserve"> (APG 220) for consultation.</w:t>
      </w:r>
      <w:r w:rsidR="003D4985" w:rsidRPr="003D4985">
        <w:t xml:space="preserve"> </w:t>
      </w:r>
      <w:r w:rsidR="003D4985">
        <w:t xml:space="preserve">Draft APG 220 </w:t>
      </w:r>
      <w:r w:rsidR="003D4985" w:rsidRPr="003D4985">
        <w:rPr>
          <w:rStyle w:val="APRANORMALChar"/>
        </w:rPr>
        <w:t>provide</w:t>
      </w:r>
      <w:r w:rsidR="003D4985">
        <w:rPr>
          <w:rStyle w:val="APRANORMALChar"/>
        </w:rPr>
        <w:t>s</w:t>
      </w:r>
      <w:r w:rsidR="003D4985" w:rsidRPr="003D4985">
        <w:rPr>
          <w:rStyle w:val="APRANORMALChar"/>
        </w:rPr>
        <w:t xml:space="preserve"> guidance on APRA’s view of sound practice in </w:t>
      </w:r>
      <w:r w:rsidR="003D4985">
        <w:rPr>
          <w:rStyle w:val="APRANORMALChar"/>
        </w:rPr>
        <w:t>credit risk management, is intended to complement APS 220 and assist ADIs in meeting the requirements of the prudential standard.</w:t>
      </w:r>
    </w:p>
    <w:p w14:paraId="677757CC" w14:textId="21932157" w:rsidR="00652964" w:rsidRDefault="00A44EE1" w:rsidP="005365F2">
      <w:pPr>
        <w:pStyle w:val="APRANORMAL"/>
        <w:rPr>
          <w:rStyle w:val="APRANORMALChar"/>
        </w:rPr>
      </w:pPr>
      <w:r w:rsidRPr="00A44EE1">
        <w:rPr>
          <w:rStyle w:val="APRANORMALChar"/>
        </w:rPr>
        <w:t xml:space="preserve">APRA will separately consult on revised reporting requirements for </w:t>
      </w:r>
      <w:r>
        <w:rPr>
          <w:rStyle w:val="APRANORMALChar"/>
        </w:rPr>
        <w:t xml:space="preserve">credit risk management </w:t>
      </w:r>
      <w:r w:rsidRPr="00A44EE1">
        <w:rPr>
          <w:rStyle w:val="APRANORMALChar"/>
        </w:rPr>
        <w:t xml:space="preserve">that would take effect at the same time as the </w:t>
      </w:r>
      <w:r w:rsidR="00E97F25">
        <w:rPr>
          <w:rStyle w:val="APRANORMALChar"/>
        </w:rPr>
        <w:t>final APS 220 and</w:t>
      </w:r>
      <w:r w:rsidRPr="00A44EE1">
        <w:rPr>
          <w:rStyle w:val="APRANORMALChar"/>
        </w:rPr>
        <w:t xml:space="preserve"> </w:t>
      </w:r>
      <w:r w:rsidR="00E97F25">
        <w:rPr>
          <w:rStyle w:val="APRANORMALChar"/>
        </w:rPr>
        <w:t>APG 220</w:t>
      </w:r>
      <w:r w:rsidRPr="00A44EE1">
        <w:rPr>
          <w:rStyle w:val="APRANORMALChar"/>
        </w:rPr>
        <w:t>.</w:t>
      </w:r>
    </w:p>
    <w:p w14:paraId="28BCA252" w14:textId="3E51F7BF" w:rsidR="005365F2" w:rsidRDefault="005365F2" w:rsidP="005365F2">
      <w:pPr>
        <w:pStyle w:val="APRANORMAL"/>
        <w:rPr>
          <w:rStyle w:val="APRANORMALChar"/>
        </w:rPr>
      </w:pPr>
      <w:r>
        <w:rPr>
          <w:rStyle w:val="APRANORMALChar"/>
        </w:rPr>
        <w:br w:type="page"/>
      </w:r>
    </w:p>
    <w:p w14:paraId="731EF94D" w14:textId="77777777" w:rsidR="007747FD" w:rsidRDefault="007747FD" w:rsidP="007747FD">
      <w:pPr>
        <w:pStyle w:val="APRAHEADING1"/>
      </w:pPr>
      <w:bookmarkStart w:id="11" w:name="_Toc26947911"/>
      <w:r w:rsidRPr="004F715A">
        <w:lastRenderedPageBreak/>
        <w:t>Glossary</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7747FD" w14:paraId="704896BF" w14:textId="77777777" w:rsidTr="00125536">
        <w:tc>
          <w:tcPr>
            <w:tcW w:w="1980" w:type="dxa"/>
            <w:tcBorders>
              <w:bottom w:val="single" w:sz="4" w:space="0" w:color="FFFFFF" w:themeColor="background1"/>
            </w:tcBorders>
            <w:shd w:val="clear" w:color="auto" w:fill="002060"/>
          </w:tcPr>
          <w:p w14:paraId="1C080078" w14:textId="2E1C6DAC" w:rsidR="007747FD" w:rsidRPr="005D1D3A" w:rsidRDefault="007747FD" w:rsidP="007747FD">
            <w:pPr>
              <w:pStyle w:val="APRAHEADING5"/>
              <w:spacing w:before="120" w:after="120"/>
              <w:rPr>
                <w:i w:val="0"/>
                <w:color w:val="FFFFFF" w:themeColor="background1"/>
              </w:rPr>
            </w:pPr>
            <w:r>
              <w:rPr>
                <w:i w:val="0"/>
                <w:color w:val="FFFFFF" w:themeColor="background1"/>
              </w:rPr>
              <w:t>ADI</w:t>
            </w:r>
          </w:p>
        </w:tc>
        <w:tc>
          <w:tcPr>
            <w:tcW w:w="7036" w:type="dxa"/>
            <w:tcBorders>
              <w:bottom w:val="single" w:sz="4" w:space="0" w:color="FFFFFF" w:themeColor="background1"/>
            </w:tcBorders>
            <w:shd w:val="clear" w:color="auto" w:fill="F2F2F2" w:themeFill="background1" w:themeFillShade="F2"/>
          </w:tcPr>
          <w:p w14:paraId="7A06C1E0" w14:textId="23A5B677" w:rsidR="007747FD" w:rsidRPr="00D71E2D" w:rsidRDefault="007747FD" w:rsidP="00D71E2D">
            <w:pPr>
              <w:pStyle w:val="APRANORMAL"/>
            </w:pPr>
            <w:r w:rsidRPr="00D71E2D">
              <w:t xml:space="preserve">Authorised </w:t>
            </w:r>
            <w:r w:rsidR="00392A44" w:rsidRPr="00D71E2D">
              <w:t>D</w:t>
            </w:r>
            <w:r w:rsidRPr="00D71E2D">
              <w:t xml:space="preserve">eposit-taking </w:t>
            </w:r>
            <w:r w:rsidR="00392A44" w:rsidRPr="00D71E2D">
              <w:t>I</w:t>
            </w:r>
            <w:r w:rsidRPr="00D71E2D">
              <w:t>nstitution</w:t>
            </w:r>
          </w:p>
        </w:tc>
      </w:tr>
      <w:tr w:rsidR="007747FD" w14:paraId="7975EDC5" w14:textId="77777777" w:rsidTr="00125536">
        <w:tc>
          <w:tcPr>
            <w:tcW w:w="1980" w:type="dxa"/>
            <w:tcBorders>
              <w:top w:val="single" w:sz="4" w:space="0" w:color="FFFFFF" w:themeColor="background1"/>
              <w:bottom w:val="single" w:sz="4" w:space="0" w:color="FFFFFF" w:themeColor="background1"/>
            </w:tcBorders>
            <w:shd w:val="clear" w:color="auto" w:fill="002060"/>
          </w:tcPr>
          <w:p w14:paraId="2BCC1EA4" w14:textId="7648832A" w:rsidR="007747FD" w:rsidRPr="005D1D3A" w:rsidRDefault="00392A44" w:rsidP="00392A44">
            <w:pPr>
              <w:pStyle w:val="APRAHEADING5"/>
              <w:spacing w:before="120" w:after="120"/>
              <w:rPr>
                <w:i w:val="0"/>
                <w:color w:val="FFFFFF" w:themeColor="background1"/>
              </w:rPr>
            </w:pPr>
            <w:r>
              <w:rPr>
                <w:i w:val="0"/>
                <w:color w:val="FFFFFF" w:themeColor="background1"/>
              </w:rPr>
              <w:t>APRA</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50C039CA" w14:textId="55773B1A" w:rsidR="007747FD" w:rsidRPr="00D71E2D" w:rsidRDefault="00392A44" w:rsidP="00D71E2D">
            <w:pPr>
              <w:pStyle w:val="APRANORMAL"/>
            </w:pPr>
            <w:r w:rsidRPr="00D71E2D">
              <w:t>Australian Prudential Regulation Authority</w:t>
            </w:r>
          </w:p>
        </w:tc>
      </w:tr>
      <w:tr w:rsidR="00392A44" w14:paraId="30ACD6EE" w14:textId="77777777" w:rsidTr="00125536">
        <w:tc>
          <w:tcPr>
            <w:tcW w:w="1980" w:type="dxa"/>
            <w:tcBorders>
              <w:top w:val="single" w:sz="4" w:space="0" w:color="FFFFFF" w:themeColor="background1"/>
              <w:bottom w:val="single" w:sz="4" w:space="0" w:color="FFFFFF" w:themeColor="background1"/>
            </w:tcBorders>
            <w:shd w:val="clear" w:color="auto" w:fill="002060"/>
          </w:tcPr>
          <w:p w14:paraId="525035B0" w14:textId="36713EB5" w:rsidR="00392A44" w:rsidRDefault="00392A44" w:rsidP="00392A44">
            <w:pPr>
              <w:pStyle w:val="APRAHEADING5"/>
              <w:spacing w:before="120" w:after="120"/>
              <w:rPr>
                <w:i w:val="0"/>
                <w:color w:val="FFFFFF" w:themeColor="background1"/>
              </w:rPr>
            </w:pPr>
            <w:r>
              <w:rPr>
                <w:i w:val="0"/>
                <w:color w:val="FFFFFF" w:themeColor="background1"/>
              </w:rPr>
              <w:t>APG 220</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6A288CC2" w14:textId="317F7913" w:rsidR="00392A44" w:rsidRPr="0074740C" w:rsidRDefault="00392A44" w:rsidP="00D71E2D">
            <w:pPr>
              <w:pStyle w:val="APRANORMAL"/>
              <w:rPr>
                <w:i/>
              </w:rPr>
            </w:pPr>
            <w:r w:rsidRPr="0074740C">
              <w:rPr>
                <w:i/>
              </w:rPr>
              <w:t>Prudential Practice Guide APG 220 Credit Risk Management</w:t>
            </w:r>
          </w:p>
        </w:tc>
      </w:tr>
      <w:tr w:rsidR="001A422F" w14:paraId="273578B8" w14:textId="77777777" w:rsidTr="00D71E2D">
        <w:tc>
          <w:tcPr>
            <w:tcW w:w="1980" w:type="dxa"/>
            <w:tcBorders>
              <w:top w:val="single" w:sz="4" w:space="0" w:color="FFFFFF" w:themeColor="background1"/>
              <w:bottom w:val="single" w:sz="4" w:space="0" w:color="FFFFFF" w:themeColor="background1"/>
            </w:tcBorders>
            <w:shd w:val="clear" w:color="auto" w:fill="002060"/>
          </w:tcPr>
          <w:p w14:paraId="0171BADD" w14:textId="0F05BDE4" w:rsidR="001A422F" w:rsidRDefault="001A422F" w:rsidP="001A422F">
            <w:pPr>
              <w:pStyle w:val="APRAHEADING5"/>
              <w:spacing w:before="120" w:after="120"/>
              <w:rPr>
                <w:i w:val="0"/>
                <w:color w:val="FFFFFF" w:themeColor="background1"/>
              </w:rPr>
            </w:pPr>
            <w:r>
              <w:rPr>
                <w:i w:val="0"/>
                <w:color w:val="FFFFFF" w:themeColor="background1"/>
              </w:rPr>
              <w:t>APS 111</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031A68DC" w14:textId="224F9B83" w:rsidR="001A422F" w:rsidRPr="001A422F" w:rsidRDefault="001A422F" w:rsidP="0096560A">
            <w:pPr>
              <w:pStyle w:val="APRANORMAL"/>
              <w:rPr>
                <w:i/>
              </w:rPr>
            </w:pPr>
            <w:r w:rsidRPr="001A422F">
              <w:rPr>
                <w:i/>
              </w:rPr>
              <w:t>Prudential Standard APS 111 Capital Adequacy: Measurement of Capital</w:t>
            </w:r>
          </w:p>
        </w:tc>
      </w:tr>
      <w:tr w:rsidR="001A422F" w14:paraId="70D8B743" w14:textId="77777777" w:rsidTr="00D71E2D">
        <w:tc>
          <w:tcPr>
            <w:tcW w:w="1980" w:type="dxa"/>
            <w:tcBorders>
              <w:top w:val="single" w:sz="4" w:space="0" w:color="FFFFFF" w:themeColor="background1"/>
              <w:bottom w:val="single" w:sz="4" w:space="0" w:color="FFFFFF" w:themeColor="background1"/>
            </w:tcBorders>
            <w:shd w:val="clear" w:color="auto" w:fill="002060"/>
          </w:tcPr>
          <w:p w14:paraId="0C26A0D1" w14:textId="2C9FA955" w:rsidR="001A422F" w:rsidRDefault="001A422F" w:rsidP="001A422F">
            <w:pPr>
              <w:pStyle w:val="APRAHEADING5"/>
              <w:spacing w:before="120" w:after="120"/>
              <w:rPr>
                <w:i w:val="0"/>
                <w:color w:val="FFFFFF" w:themeColor="background1"/>
              </w:rPr>
            </w:pPr>
            <w:r>
              <w:rPr>
                <w:i w:val="0"/>
                <w:color w:val="FFFFFF" w:themeColor="background1"/>
              </w:rPr>
              <w:t>APS 112</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40F42268" w14:textId="297960D8" w:rsidR="001A422F" w:rsidRPr="001A422F" w:rsidRDefault="0096560A" w:rsidP="00D71E2D">
            <w:pPr>
              <w:pStyle w:val="APRANORMAL"/>
              <w:rPr>
                <w:i/>
              </w:rPr>
            </w:pPr>
            <w:r w:rsidRPr="001A422F">
              <w:rPr>
                <w:i/>
              </w:rPr>
              <w:t>Prudential Standard APS 112 Capital Adequacy: Standardised Approach to Credit Risk</w:t>
            </w:r>
          </w:p>
        </w:tc>
      </w:tr>
      <w:tr w:rsidR="001A422F" w14:paraId="2F919CA2" w14:textId="77777777" w:rsidTr="00D71E2D">
        <w:tc>
          <w:tcPr>
            <w:tcW w:w="1980" w:type="dxa"/>
            <w:tcBorders>
              <w:top w:val="single" w:sz="4" w:space="0" w:color="FFFFFF" w:themeColor="background1"/>
              <w:bottom w:val="single" w:sz="4" w:space="0" w:color="FFFFFF" w:themeColor="background1"/>
            </w:tcBorders>
            <w:shd w:val="clear" w:color="auto" w:fill="002060"/>
          </w:tcPr>
          <w:p w14:paraId="03895271" w14:textId="35319303" w:rsidR="001A422F" w:rsidRDefault="001A422F" w:rsidP="001A422F">
            <w:pPr>
              <w:pStyle w:val="APRAHEADING5"/>
              <w:spacing w:before="120" w:after="120"/>
              <w:rPr>
                <w:i w:val="0"/>
                <w:color w:val="FFFFFF" w:themeColor="background1"/>
              </w:rPr>
            </w:pPr>
            <w:r>
              <w:rPr>
                <w:i w:val="0"/>
                <w:color w:val="FFFFFF" w:themeColor="background1"/>
              </w:rPr>
              <w:t>APS 113</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462C60FD" w14:textId="30850A99" w:rsidR="001A422F" w:rsidRPr="001A422F" w:rsidRDefault="0096560A" w:rsidP="00D71E2D">
            <w:pPr>
              <w:pStyle w:val="APRANORMAL"/>
              <w:rPr>
                <w:i/>
              </w:rPr>
            </w:pPr>
            <w:r w:rsidRPr="001A422F">
              <w:rPr>
                <w:i/>
              </w:rPr>
              <w:t>Prudential Standard APS 113 Capital Adequacy: Internal Ratings-based Approach to Credit Risk</w:t>
            </w:r>
          </w:p>
        </w:tc>
      </w:tr>
      <w:tr w:rsidR="007747FD" w14:paraId="3EEB9DBA" w14:textId="77777777" w:rsidTr="00D71E2D">
        <w:tc>
          <w:tcPr>
            <w:tcW w:w="1980" w:type="dxa"/>
            <w:tcBorders>
              <w:top w:val="single" w:sz="4" w:space="0" w:color="FFFFFF" w:themeColor="background1"/>
              <w:bottom w:val="single" w:sz="4" w:space="0" w:color="FFFFFF" w:themeColor="background1"/>
            </w:tcBorders>
            <w:shd w:val="clear" w:color="auto" w:fill="002060"/>
          </w:tcPr>
          <w:p w14:paraId="3C2F9448" w14:textId="221AB46A" w:rsidR="007747FD" w:rsidRPr="005D1D3A" w:rsidRDefault="00392A44" w:rsidP="00392A44">
            <w:pPr>
              <w:pStyle w:val="APRAHEADING5"/>
              <w:spacing w:before="120" w:after="120"/>
              <w:rPr>
                <w:i w:val="0"/>
                <w:color w:val="FFFFFF" w:themeColor="background1"/>
              </w:rPr>
            </w:pPr>
            <w:r>
              <w:rPr>
                <w:i w:val="0"/>
                <w:color w:val="FFFFFF" w:themeColor="background1"/>
              </w:rPr>
              <w:t>APS 220</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08584F6C" w14:textId="52EEDC4C" w:rsidR="007747FD" w:rsidRPr="001A422F" w:rsidRDefault="00392A44" w:rsidP="00D71E2D">
            <w:pPr>
              <w:pStyle w:val="APRANORMAL"/>
              <w:rPr>
                <w:i/>
              </w:rPr>
            </w:pPr>
            <w:r w:rsidRPr="001A422F">
              <w:rPr>
                <w:i/>
              </w:rPr>
              <w:t>Prudential Standard APS 220 Credit Risk Management</w:t>
            </w:r>
          </w:p>
        </w:tc>
      </w:tr>
      <w:tr w:rsidR="00114BFB" w14:paraId="4F0DF541" w14:textId="77777777" w:rsidTr="00D71E2D">
        <w:tc>
          <w:tcPr>
            <w:tcW w:w="1980" w:type="dxa"/>
            <w:tcBorders>
              <w:top w:val="single" w:sz="4" w:space="0" w:color="FFFFFF" w:themeColor="background1"/>
              <w:bottom w:val="single" w:sz="4" w:space="0" w:color="FFFFFF" w:themeColor="background1"/>
            </w:tcBorders>
            <w:shd w:val="clear" w:color="auto" w:fill="002060"/>
          </w:tcPr>
          <w:p w14:paraId="4D5FB84F" w14:textId="118079F0" w:rsidR="00114BFB" w:rsidRDefault="00114BFB" w:rsidP="00114BFB">
            <w:pPr>
              <w:pStyle w:val="APRAHEADING5"/>
              <w:spacing w:before="120" w:after="120"/>
              <w:rPr>
                <w:i w:val="0"/>
                <w:color w:val="FFFFFF" w:themeColor="background1"/>
              </w:rPr>
            </w:pPr>
            <w:r>
              <w:rPr>
                <w:i w:val="0"/>
                <w:color w:val="FFFFFF" w:themeColor="background1"/>
              </w:rPr>
              <w:t xml:space="preserve">Basel Committee </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6C2E80BE" w14:textId="5A2BB23E" w:rsidR="00114BFB" w:rsidRPr="00114BFB" w:rsidRDefault="00114BFB" w:rsidP="00114BFB">
            <w:pPr>
              <w:pStyle w:val="APRANORMAL"/>
            </w:pPr>
            <w:r w:rsidRPr="00114BFB">
              <w:t>Bas</w:t>
            </w:r>
            <w:r>
              <w:t>e</w:t>
            </w:r>
            <w:r w:rsidRPr="00114BFB">
              <w:t>l Committee on Banking Supervision</w:t>
            </w:r>
          </w:p>
        </w:tc>
      </w:tr>
      <w:tr w:rsidR="001A422F" w14:paraId="4B7B6C0C" w14:textId="77777777" w:rsidTr="00D71E2D">
        <w:tc>
          <w:tcPr>
            <w:tcW w:w="1980" w:type="dxa"/>
            <w:tcBorders>
              <w:top w:val="single" w:sz="4" w:space="0" w:color="FFFFFF" w:themeColor="background1"/>
              <w:bottom w:val="single" w:sz="4" w:space="0" w:color="FFFFFF" w:themeColor="background1"/>
            </w:tcBorders>
            <w:shd w:val="clear" w:color="auto" w:fill="002060"/>
          </w:tcPr>
          <w:p w14:paraId="4D847FC9" w14:textId="73FEBAEB" w:rsidR="001A422F" w:rsidRDefault="001A422F" w:rsidP="00392A44">
            <w:pPr>
              <w:pStyle w:val="APRAHEADING5"/>
              <w:spacing w:before="120" w:after="120"/>
              <w:rPr>
                <w:i w:val="0"/>
                <w:color w:val="FFFFFF" w:themeColor="background1"/>
              </w:rPr>
            </w:pPr>
            <w:r>
              <w:rPr>
                <w:i w:val="0"/>
                <w:color w:val="FFFFFF" w:themeColor="background1"/>
              </w:rPr>
              <w:t>CPS 220</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6F272320" w14:textId="218DB636" w:rsidR="001A422F" w:rsidRPr="001A422F" w:rsidRDefault="001A422F" w:rsidP="001A422F">
            <w:pPr>
              <w:pStyle w:val="APRANORMAL"/>
              <w:rPr>
                <w:i/>
              </w:rPr>
            </w:pPr>
            <w:r w:rsidRPr="001A422F">
              <w:rPr>
                <w:i/>
              </w:rPr>
              <w:t>Prudential Standard CPS 220 Risk Management</w:t>
            </w:r>
          </w:p>
        </w:tc>
      </w:tr>
      <w:tr w:rsidR="00D71E2D" w14:paraId="6AFB659F" w14:textId="77777777" w:rsidTr="00784FF7">
        <w:tc>
          <w:tcPr>
            <w:tcW w:w="1980" w:type="dxa"/>
            <w:tcBorders>
              <w:top w:val="single" w:sz="4" w:space="0" w:color="FFFFFF" w:themeColor="background1"/>
              <w:bottom w:val="single" w:sz="4" w:space="0" w:color="FFFFFF" w:themeColor="background1"/>
            </w:tcBorders>
            <w:shd w:val="clear" w:color="auto" w:fill="002060"/>
          </w:tcPr>
          <w:p w14:paraId="1F9EF1A1" w14:textId="31576A26" w:rsidR="00D71E2D" w:rsidRDefault="00D71E2D" w:rsidP="00392A44">
            <w:pPr>
              <w:pStyle w:val="APRAHEADING5"/>
              <w:spacing w:before="120" w:after="120"/>
              <w:rPr>
                <w:i w:val="0"/>
                <w:color w:val="FFFFFF" w:themeColor="background1"/>
              </w:rPr>
            </w:pPr>
            <w:r>
              <w:rPr>
                <w:i w:val="0"/>
                <w:color w:val="FFFFFF" w:themeColor="background1"/>
              </w:rPr>
              <w:t>Non-performing</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2FA86A1B" w14:textId="5AD664AC" w:rsidR="00D71E2D" w:rsidRPr="00D71E2D" w:rsidRDefault="00D71E2D" w:rsidP="00EC67E9">
            <w:pPr>
              <w:pStyle w:val="APRANORMAL"/>
            </w:pPr>
            <w:r w:rsidRPr="00D71E2D">
              <w:t xml:space="preserve">An exposure that is in default. </w:t>
            </w:r>
            <w:r w:rsidR="00E52A24">
              <w:t>A</w:t>
            </w:r>
            <w:r w:rsidRPr="00D71E2D">
              <w:t xml:space="preserve"> default is considered to have occurred with regard to a particular </w:t>
            </w:r>
            <w:r w:rsidR="00EC67E9">
              <w:t>borrower</w:t>
            </w:r>
            <w:r w:rsidRPr="00D71E2D">
              <w:t xml:space="preserve"> when either, or both, of the two following events have taken place: the ADI considers that the</w:t>
            </w:r>
            <w:r w:rsidR="00EC67E9">
              <w:t xml:space="preserve"> borrower</w:t>
            </w:r>
            <w:r w:rsidRPr="00D71E2D">
              <w:t xml:space="preserve"> is unlikely to pay its credit obligations to the ADI in full, without recourse by the ADI to actions such as realising available security; the </w:t>
            </w:r>
            <w:r w:rsidR="00EC67E9">
              <w:t>borrower</w:t>
            </w:r>
            <w:r w:rsidRPr="00D71E2D">
              <w:t xml:space="preserve"> is 90 days or more past-due on a credit obligation to the ADI.</w:t>
            </w:r>
          </w:p>
        </w:tc>
      </w:tr>
      <w:tr w:rsidR="00784FF7" w14:paraId="011D5936" w14:textId="77777777" w:rsidTr="00784FF7">
        <w:tc>
          <w:tcPr>
            <w:tcW w:w="1980" w:type="dxa"/>
            <w:tcBorders>
              <w:top w:val="single" w:sz="4" w:space="0" w:color="FFFFFF" w:themeColor="background1"/>
              <w:bottom w:val="single" w:sz="4" w:space="0" w:color="FFFFFF" w:themeColor="background1"/>
            </w:tcBorders>
            <w:shd w:val="clear" w:color="auto" w:fill="002060"/>
          </w:tcPr>
          <w:p w14:paraId="1BE91265" w14:textId="44E105DE" w:rsidR="00784FF7" w:rsidRDefault="00784FF7" w:rsidP="00392A44">
            <w:pPr>
              <w:pStyle w:val="APRAHEADING5"/>
              <w:spacing w:before="120" w:after="120"/>
              <w:rPr>
                <w:i w:val="0"/>
                <w:color w:val="FFFFFF" w:themeColor="background1"/>
              </w:rPr>
            </w:pPr>
            <w:r>
              <w:rPr>
                <w:i w:val="0"/>
                <w:color w:val="FFFFFF" w:themeColor="background1"/>
              </w:rPr>
              <w:t>Past-due</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57736603" w14:textId="6B68F413" w:rsidR="00784FF7" w:rsidRPr="00784FF7" w:rsidRDefault="00784FF7" w:rsidP="00DD268B">
            <w:pPr>
              <w:pStyle w:val="APRANORMAL"/>
            </w:pPr>
            <w:r w:rsidRPr="00784FF7">
              <w:t>An exposure for which any amount due under a contract (interest, principal, fee or other amount) has not been paid in full at the date when it was due. An exposure is considered past-due from the first day of missed payment.</w:t>
            </w:r>
          </w:p>
        </w:tc>
      </w:tr>
      <w:tr w:rsidR="00153443" w14:paraId="694383E3" w14:textId="77777777" w:rsidTr="00784FF7">
        <w:tc>
          <w:tcPr>
            <w:tcW w:w="1980" w:type="dxa"/>
            <w:tcBorders>
              <w:top w:val="single" w:sz="4" w:space="0" w:color="FFFFFF" w:themeColor="background1"/>
              <w:bottom w:val="single" w:sz="4" w:space="0" w:color="FFFFFF" w:themeColor="background1"/>
            </w:tcBorders>
            <w:shd w:val="clear" w:color="auto" w:fill="002060"/>
          </w:tcPr>
          <w:p w14:paraId="0D21665A" w14:textId="63975332" w:rsidR="00153443" w:rsidRDefault="00153443" w:rsidP="00392A44">
            <w:pPr>
              <w:pStyle w:val="APRAHEADING5"/>
              <w:spacing w:before="120" w:after="120"/>
              <w:rPr>
                <w:i w:val="0"/>
                <w:color w:val="FFFFFF" w:themeColor="background1"/>
              </w:rPr>
            </w:pPr>
            <w:r>
              <w:rPr>
                <w:i w:val="0"/>
                <w:color w:val="FFFFFF" w:themeColor="background1"/>
              </w:rPr>
              <w:t>90 days past-due</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1447A3FC" w14:textId="6C8AE8FB" w:rsidR="00153443" w:rsidRDefault="00153443" w:rsidP="00153443">
            <w:pPr>
              <w:pStyle w:val="APRAHEADING5"/>
              <w:spacing w:before="0" w:after="240" w:line="240" w:lineRule="auto"/>
              <w:rPr>
                <w:rFonts w:ascii="DIN OT Light" w:hAnsi="DIN OT Light"/>
                <w:i w:val="0"/>
                <w:color w:val="000000" w:themeColor="text1"/>
                <w:lang w:val="en-AU"/>
              </w:rPr>
            </w:pPr>
            <w:r>
              <w:rPr>
                <w:rFonts w:ascii="DIN OT Light" w:hAnsi="DIN OT Light"/>
                <w:i w:val="0"/>
                <w:color w:val="000000" w:themeColor="text1"/>
                <w:lang w:val="en-AU"/>
              </w:rPr>
              <w:t>An exposure subject to a regular repayment schedule is considered 90 days past-due when: at least 90 calendar days have elapsed since the due date of a contractual payment which has not been met in full; and the total amount unpaid outside contractual arrangements is equivalent to at least 90 days’ worth of contractual payments.</w:t>
            </w:r>
            <w:r w:rsidR="00EC67E9">
              <w:rPr>
                <w:rFonts w:ascii="DIN OT Light" w:hAnsi="DIN OT Light"/>
                <w:i w:val="0"/>
                <w:color w:val="000000" w:themeColor="text1"/>
                <w:lang w:val="en-AU"/>
              </w:rPr>
              <w:t xml:space="preserve"> </w:t>
            </w:r>
            <w:r>
              <w:rPr>
                <w:rFonts w:ascii="DIN OT Light" w:hAnsi="DIN OT Light"/>
                <w:i w:val="0"/>
                <w:color w:val="000000" w:themeColor="text1"/>
                <w:lang w:val="en-AU"/>
              </w:rPr>
              <w:t>This includes all fees and any charges that are due but unpaid as a result of missed payments.</w:t>
            </w:r>
          </w:p>
          <w:p w14:paraId="556044FD" w14:textId="1B6AC6E7" w:rsidR="00153443" w:rsidRPr="00784FF7" w:rsidRDefault="00153443" w:rsidP="00153443">
            <w:pPr>
              <w:pStyle w:val="APRANORMAL"/>
            </w:pPr>
            <w:r>
              <w:rPr>
                <w:color w:val="000000" w:themeColor="text1"/>
              </w:rPr>
              <w:t xml:space="preserve">Overdrafts are considered past-due once the borrower has breached an advised limit or been advised of a limit smaller than current outstandings. Non-authorised overdrafts are considered to have a zero limit for regulatory capital purposes. An ADI must, therefore, treat days past-due as commencing once any credit is granted to an </w:t>
            </w:r>
            <w:r>
              <w:rPr>
                <w:color w:val="000000" w:themeColor="text1"/>
              </w:rPr>
              <w:lastRenderedPageBreak/>
              <w:t>unauthorised borrower and if such credit is not repaid within 90 days, the exposure must be considered to be in default.</w:t>
            </w:r>
          </w:p>
        </w:tc>
      </w:tr>
      <w:tr w:rsidR="00784FF7" w14:paraId="5B2BFE53" w14:textId="77777777" w:rsidTr="00784FF7">
        <w:tc>
          <w:tcPr>
            <w:tcW w:w="1980" w:type="dxa"/>
            <w:tcBorders>
              <w:top w:val="single" w:sz="4" w:space="0" w:color="FFFFFF" w:themeColor="background1"/>
              <w:bottom w:val="single" w:sz="4" w:space="0" w:color="FFFFFF" w:themeColor="background1"/>
            </w:tcBorders>
            <w:shd w:val="clear" w:color="auto" w:fill="002060"/>
          </w:tcPr>
          <w:p w14:paraId="27266BB6" w14:textId="41C88F78" w:rsidR="00784FF7" w:rsidRDefault="00784FF7" w:rsidP="00392A44">
            <w:pPr>
              <w:pStyle w:val="APRAHEADING5"/>
              <w:spacing w:before="120" w:after="120"/>
              <w:rPr>
                <w:i w:val="0"/>
                <w:color w:val="FFFFFF" w:themeColor="background1"/>
              </w:rPr>
            </w:pPr>
            <w:r>
              <w:rPr>
                <w:i w:val="0"/>
                <w:color w:val="FFFFFF" w:themeColor="background1"/>
              </w:rPr>
              <w:lastRenderedPageBreak/>
              <w:t xml:space="preserve">Restructured </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07FEF5E5" w14:textId="1CAF4D45" w:rsidR="00784FF7" w:rsidRPr="00784FF7" w:rsidRDefault="00784FF7" w:rsidP="00B740C5">
            <w:pPr>
              <w:pStyle w:val="APRANORMAL"/>
            </w:pPr>
            <w:r w:rsidRPr="00784FF7">
              <w:t>An exposure for which a borrower is experiencing financial difficulty or hardship in meeting its financial commitments and the ADI grants a concession to the borrower that it would not otherwise consider, whether or not the concession is at the discretion of the ADI or the borrower.</w:t>
            </w:r>
          </w:p>
        </w:tc>
      </w:tr>
    </w:tbl>
    <w:p w14:paraId="700ECAF3" w14:textId="77777777" w:rsidR="007747FD" w:rsidRDefault="007747FD" w:rsidP="007747FD">
      <w:pPr>
        <w:pStyle w:val="APRAHEADING1"/>
      </w:pPr>
      <w:r>
        <w:br w:type="page"/>
      </w:r>
    </w:p>
    <w:p w14:paraId="699A2649" w14:textId="03DC1F94" w:rsidR="005365F2" w:rsidRPr="00A1646A" w:rsidRDefault="00025374" w:rsidP="00A1646A">
      <w:pPr>
        <w:pStyle w:val="APRAHEADING1"/>
        <w:rPr>
          <w:rStyle w:val="APRANORMALChar"/>
          <w:rFonts w:ascii="DIN OT Medium" w:hAnsi="DIN OT Medium"/>
          <w:lang w:val="en-AU"/>
        </w:rPr>
      </w:pPr>
      <w:bookmarkStart w:id="12" w:name="_Toc26947912"/>
      <w:r w:rsidRPr="00A1646A">
        <w:rPr>
          <w:rStyle w:val="APRANORMALChar"/>
          <w:rFonts w:ascii="DIN OT Medium" w:hAnsi="DIN OT Medium"/>
          <w:lang w:val="en-AU"/>
        </w:rPr>
        <w:lastRenderedPageBreak/>
        <w:t xml:space="preserve">Chapter 1 - </w:t>
      </w:r>
      <w:r w:rsidR="005365F2" w:rsidRPr="00A1646A">
        <w:rPr>
          <w:rStyle w:val="APRANORMALChar"/>
          <w:rFonts w:ascii="DIN OT Medium" w:hAnsi="DIN OT Medium"/>
          <w:lang w:val="en-AU"/>
        </w:rPr>
        <w:t>Introduction</w:t>
      </w:r>
      <w:bookmarkEnd w:id="12"/>
    </w:p>
    <w:p w14:paraId="103323D9" w14:textId="1AE89EB3" w:rsidR="006B6319" w:rsidRDefault="006B6319" w:rsidP="003C43AB">
      <w:pPr>
        <w:pStyle w:val="APRANORMAL"/>
      </w:pPr>
      <w:r w:rsidRPr="006B6319">
        <w:t>Credit risk is most simply described as the potential that a borrower will fail to meet its obligations in accordance with agreed terms. It is important for ADIs to manage the credit risk inherent in the entire portfolio as well as the risk in individual exposures or transactions</w:t>
      </w:r>
      <w:r w:rsidR="0096560A">
        <w:t>.</w:t>
      </w:r>
    </w:p>
    <w:p w14:paraId="18588B44" w14:textId="01FBE311" w:rsidR="007B729B" w:rsidRPr="003C43AB" w:rsidRDefault="007B729B" w:rsidP="003C43AB">
      <w:pPr>
        <w:pStyle w:val="APRANORMAL"/>
      </w:pPr>
      <w:r w:rsidRPr="003C43AB">
        <w:t>In March 2019, APRA released a discussion paper proposing changes</w:t>
      </w:r>
      <w:r w:rsidR="000E3350" w:rsidRPr="003C43AB">
        <w:t xml:space="preserve"> to APS 220</w:t>
      </w:r>
      <w:r w:rsidRPr="003C43AB">
        <w:t>, which requires ADIs to control credit risk by adopting prudent credit risk management policies and procedures.</w:t>
      </w:r>
      <w:r w:rsidR="0031674D">
        <w:rPr>
          <w:rStyle w:val="FootnoteReference"/>
        </w:rPr>
        <w:footnoteReference w:id="2"/>
      </w:r>
      <w:r w:rsidR="0031674D">
        <w:t xml:space="preserve"> </w:t>
      </w:r>
    </w:p>
    <w:p w14:paraId="17E3637B" w14:textId="4AEBA084" w:rsidR="007B729B" w:rsidRPr="003C43AB" w:rsidRDefault="007B729B" w:rsidP="003C43AB">
      <w:pPr>
        <w:pStyle w:val="APRANORMAL"/>
      </w:pPr>
      <w:r w:rsidRPr="003C43AB">
        <w:t xml:space="preserve">APS 220 was last substantially updated in 2006, and there has been significant evolution in credit risk practices since then, including more sophisticated analytical techniques and information systems. APRA’s plan to modernise the standard was prompted by its recent supervisory focus on credit standards, and </w:t>
      </w:r>
      <w:r w:rsidR="007D1CA5" w:rsidRPr="003C43AB">
        <w:t>to</w:t>
      </w:r>
      <w:r w:rsidRPr="003C43AB">
        <w:t xml:space="preserve"> reflect contemporary credit risk management practices.</w:t>
      </w:r>
      <w:r w:rsidR="00B740C5">
        <w:rPr>
          <w:rStyle w:val="FootnoteReference"/>
        </w:rPr>
        <w:footnoteReference w:id="3"/>
      </w:r>
    </w:p>
    <w:p w14:paraId="096C2CDE" w14:textId="29B16AB7" w:rsidR="007B729B" w:rsidRPr="003C43AB" w:rsidRDefault="007B729B" w:rsidP="003C43AB">
      <w:pPr>
        <w:pStyle w:val="APRANORMAL"/>
      </w:pPr>
      <w:r w:rsidRPr="003C43AB">
        <w:t xml:space="preserve">The discussion paper </w:t>
      </w:r>
      <w:r w:rsidR="007D1CA5" w:rsidRPr="003C43AB">
        <w:t xml:space="preserve">and draft APS 220 </w:t>
      </w:r>
      <w:r w:rsidRPr="003C43AB">
        <w:t>outlined APRA’s proposals in the following areas:</w:t>
      </w:r>
    </w:p>
    <w:p w14:paraId="1602098E" w14:textId="12B49887" w:rsidR="007B729B" w:rsidRDefault="00B401A7" w:rsidP="007B729B">
      <w:pPr>
        <w:pStyle w:val="APRABULLET"/>
        <w:contextualSpacing w:val="0"/>
      </w:pPr>
      <w:r>
        <w:t>c</w:t>
      </w:r>
      <w:r w:rsidRPr="00EA2237">
        <w:t xml:space="preserve">redit </w:t>
      </w:r>
      <w:r w:rsidR="007B729B" w:rsidRPr="00EA2237">
        <w:t>risk management –</w:t>
      </w:r>
      <w:r w:rsidR="007D1CA5" w:rsidRPr="00EA2237">
        <w:t xml:space="preserve"> the draft </w:t>
      </w:r>
      <w:r w:rsidR="007B729B" w:rsidRPr="00EA2237">
        <w:t xml:space="preserve">APS 220 </w:t>
      </w:r>
      <w:r>
        <w:t xml:space="preserve">was </w:t>
      </w:r>
      <w:r w:rsidR="007B729B" w:rsidRPr="00EA2237">
        <w:t>broaden</w:t>
      </w:r>
      <w:r w:rsidR="007D1CA5" w:rsidRPr="00EA2237">
        <w:t>ed</w:t>
      </w:r>
      <w:r w:rsidR="007B729B" w:rsidRPr="00EA2237">
        <w:t xml:space="preserve"> to include credit standards and the ongoing monitoring and management of an ADI’s credit portfolio</w:t>
      </w:r>
      <w:r w:rsidR="000E3350" w:rsidRPr="00EA2237">
        <w:t>s</w:t>
      </w:r>
      <w:r w:rsidR="007B729B" w:rsidRPr="00EA2237">
        <w:t xml:space="preserve"> in more detail. It also incorporate</w:t>
      </w:r>
      <w:r w:rsidR="000E3350" w:rsidRPr="00EA2237">
        <w:t>d</w:t>
      </w:r>
      <w:r w:rsidR="007B729B" w:rsidRPr="00EA2237">
        <w:t xml:space="preserve"> enhanced Board oversight of credit risk and the need for ADIs to maintain prudent credit risk practices over the entire credit life-cycle</w:t>
      </w:r>
      <w:r w:rsidR="007D1CA5" w:rsidRPr="00EA2237">
        <w:t>; and</w:t>
      </w:r>
      <w:r>
        <w:t xml:space="preserve"> </w:t>
      </w:r>
    </w:p>
    <w:p w14:paraId="052326BB" w14:textId="6AF87BF0" w:rsidR="007B729B" w:rsidRPr="00EA2237" w:rsidRDefault="00B401A7" w:rsidP="007B729B">
      <w:pPr>
        <w:pStyle w:val="APRABULLET"/>
        <w:contextualSpacing w:val="0"/>
      </w:pPr>
      <w:r>
        <w:t>a</w:t>
      </w:r>
      <w:r w:rsidRPr="00EA2237">
        <w:t xml:space="preserve">sset </w:t>
      </w:r>
      <w:r w:rsidR="007B729B" w:rsidRPr="00EA2237">
        <w:t xml:space="preserve">classification and provisioning – </w:t>
      </w:r>
      <w:r w:rsidR="000E3350" w:rsidRPr="00EA2237">
        <w:t>t</w:t>
      </w:r>
      <w:r w:rsidR="007B729B" w:rsidRPr="00EA2237">
        <w:t xml:space="preserve">he </w:t>
      </w:r>
      <w:r w:rsidR="000E3350" w:rsidRPr="00EA2237">
        <w:t>draft</w:t>
      </w:r>
      <w:r w:rsidR="007B729B" w:rsidRPr="00EA2237">
        <w:t xml:space="preserve"> APS 220 provide</w:t>
      </w:r>
      <w:r w:rsidR="000E3350" w:rsidRPr="00EA2237">
        <w:t>d</w:t>
      </w:r>
      <w:r w:rsidR="007B729B" w:rsidRPr="00EA2237">
        <w:t xml:space="preserve"> a more consistent classification of credit exposures, by aligning recent accounting standard changes on loan provisioning requirements, as well as other guidance on credit related matters of the Basel Committee.</w:t>
      </w:r>
      <w:r w:rsidR="00E1558C" w:rsidRPr="00EA2237">
        <w:rPr>
          <w:rStyle w:val="FootnoteReference"/>
        </w:rPr>
        <w:footnoteReference w:id="4"/>
      </w:r>
      <w:r w:rsidR="00E1558C" w:rsidRPr="00EA2237">
        <w:t xml:space="preserve"> </w:t>
      </w:r>
      <w:r w:rsidR="00E1558C" w:rsidRPr="00EA2237">
        <w:rPr>
          <w:rStyle w:val="FootnoteReference"/>
        </w:rPr>
        <w:footnoteReference w:id="5"/>
      </w:r>
    </w:p>
    <w:p w14:paraId="46A7AF74" w14:textId="2F73F7DF" w:rsidR="00B1777A" w:rsidRDefault="00B1777A" w:rsidP="007B729B">
      <w:pPr>
        <w:pStyle w:val="APRANORMAL"/>
      </w:pPr>
      <w:r w:rsidRPr="00B1777A">
        <w:t xml:space="preserve">The </w:t>
      </w:r>
      <w:r>
        <w:t>draft</w:t>
      </w:r>
      <w:r w:rsidRPr="00B1777A">
        <w:t xml:space="preserve"> APS 220 </w:t>
      </w:r>
      <w:r>
        <w:t xml:space="preserve">also </w:t>
      </w:r>
      <w:r w:rsidRPr="00B1777A">
        <w:t>include</w:t>
      </w:r>
      <w:r>
        <w:t>d</w:t>
      </w:r>
      <w:r w:rsidRPr="00B1777A">
        <w:t xml:space="preserve"> the recommendation of the Royal Commission into Misconduct in the Banking, Superannuation and Financial Services Industry relevant to </w:t>
      </w:r>
      <w:r w:rsidR="00D5142F">
        <w:t>the standard</w:t>
      </w:r>
      <w:r w:rsidRPr="00B1777A">
        <w:t xml:space="preserve"> regarding the valuation of collateral taken by ADIs.</w:t>
      </w:r>
      <w:r w:rsidR="00E1558C">
        <w:rPr>
          <w:rStyle w:val="FootnoteReference"/>
        </w:rPr>
        <w:footnoteReference w:id="6"/>
      </w:r>
      <w:r w:rsidR="00E1558C">
        <w:t xml:space="preserve"> </w:t>
      </w:r>
    </w:p>
    <w:p w14:paraId="30919A38" w14:textId="7D9F1F3A" w:rsidR="007B729B" w:rsidRDefault="00B1777A" w:rsidP="007B729B">
      <w:pPr>
        <w:pStyle w:val="APRANORMAL"/>
      </w:pPr>
      <w:r>
        <w:t>T</w:t>
      </w:r>
      <w:r w:rsidR="007B729B">
        <w:t xml:space="preserve">o better describe the purpose of the standard, APRA also proposed renaming it </w:t>
      </w:r>
      <w:r w:rsidR="007B729B" w:rsidRPr="007D1CA5">
        <w:rPr>
          <w:i/>
        </w:rPr>
        <w:t>Prudential Standard APS 220 Credit Risk Management</w:t>
      </w:r>
      <w:r w:rsidR="007B729B">
        <w:t>.</w:t>
      </w:r>
    </w:p>
    <w:p w14:paraId="59ADFAAF" w14:textId="19535FDC" w:rsidR="00DF09BA" w:rsidRDefault="00DF09BA" w:rsidP="000F7386">
      <w:pPr>
        <w:pStyle w:val="APRANORMAL"/>
      </w:pPr>
      <w:r>
        <w:t>The follow</w:t>
      </w:r>
      <w:r w:rsidR="00C252B5">
        <w:t xml:space="preserve">ing </w:t>
      </w:r>
      <w:r w:rsidR="00E05606">
        <w:t>Figure 1 d</w:t>
      </w:r>
      <w:r>
        <w:t>escribes the main components of the final standard</w:t>
      </w:r>
      <w:r w:rsidR="004E1CAA">
        <w:t>:</w:t>
      </w:r>
    </w:p>
    <w:p w14:paraId="00A6AB88" w14:textId="34EFF71F" w:rsidR="00F51611" w:rsidRPr="003B1835" w:rsidRDefault="003B1835" w:rsidP="003B1835">
      <w:pPr>
        <w:pStyle w:val="APRANORMAL"/>
        <w:jc w:val="center"/>
        <w:rPr>
          <w:rFonts w:ascii="DIN OT Medium" w:hAnsi="DIN OT Medium"/>
        </w:rPr>
      </w:pPr>
      <w:r w:rsidRPr="003B1835">
        <w:rPr>
          <w:rFonts w:ascii="DIN OT Medium" w:hAnsi="DIN OT Medium"/>
        </w:rPr>
        <w:lastRenderedPageBreak/>
        <w:t>Figure 1: Main components of APS 220</w:t>
      </w:r>
    </w:p>
    <w:p w14:paraId="02BBBAB2" w14:textId="7B31CFDA" w:rsidR="00644317" w:rsidRDefault="007B0FB5" w:rsidP="000F7386">
      <w:pPr>
        <w:pStyle w:val="APRANORMAL"/>
      </w:pPr>
      <w:r>
        <w:rPr>
          <w:noProof/>
          <w:lang w:val="en-AU" w:eastAsia="en-AU"/>
        </w:rPr>
        <w:drawing>
          <wp:inline distT="0" distB="0" distL="0" distR="0" wp14:anchorId="40FFD39C" wp14:editId="7C471509">
            <wp:extent cx="5731510" cy="38690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2016-diagram-02 (002).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869055"/>
                    </a:xfrm>
                    <a:prstGeom prst="rect">
                      <a:avLst/>
                    </a:prstGeom>
                  </pic:spPr>
                </pic:pic>
              </a:graphicData>
            </a:graphic>
          </wp:inline>
        </w:drawing>
      </w:r>
    </w:p>
    <w:p w14:paraId="09284018" w14:textId="77777777" w:rsidR="00B05E94" w:rsidRDefault="00B05E94" w:rsidP="00B05E94">
      <w:pPr>
        <w:pStyle w:val="APRANORMAL"/>
      </w:pPr>
      <w:r>
        <w:t>APRA received 15 submissions to its proposals, of which nine were confidential.</w:t>
      </w:r>
    </w:p>
    <w:p w14:paraId="682F7CE8" w14:textId="1B813F90" w:rsidR="00B05E94" w:rsidRDefault="00B05E94" w:rsidP="00B05E94">
      <w:pPr>
        <w:pStyle w:val="APRANORMAL"/>
      </w:pPr>
      <w:r>
        <w:t xml:space="preserve">APRA has now finalised APS 220 following consideration of the submissions received. The following chapters </w:t>
      </w:r>
      <w:r w:rsidRPr="00093999">
        <w:t>set out</w:t>
      </w:r>
      <w:r>
        <w:t xml:space="preserve"> the</w:t>
      </w:r>
      <w:r w:rsidRPr="00093999">
        <w:t xml:space="preserve"> </w:t>
      </w:r>
      <w:r>
        <w:t xml:space="preserve">main </w:t>
      </w:r>
      <w:r w:rsidRPr="00093999">
        <w:t>issues raised in submissions</w:t>
      </w:r>
      <w:r>
        <w:t>.</w:t>
      </w:r>
      <w:r w:rsidRPr="00C949FB">
        <w:t xml:space="preserve"> APRA has considered the issues raised and made amendments </w:t>
      </w:r>
      <w:r>
        <w:t>to the final standard</w:t>
      </w:r>
      <w:r w:rsidRPr="00C949FB">
        <w:t>.</w:t>
      </w:r>
    </w:p>
    <w:p w14:paraId="09B92BC6" w14:textId="710BE1E0" w:rsidR="00B91F01" w:rsidRDefault="00B91F01" w:rsidP="000F7386">
      <w:pPr>
        <w:pStyle w:val="APRANORMAL"/>
        <w:rPr>
          <w:rStyle w:val="APRANORMALChar"/>
        </w:rPr>
      </w:pPr>
      <w:r>
        <w:rPr>
          <w:rStyle w:val="APRANORMALChar"/>
        </w:rPr>
        <w:t xml:space="preserve">At this time, </w:t>
      </w:r>
      <w:r w:rsidR="00F55FC9" w:rsidRPr="00F55FC9">
        <w:rPr>
          <w:rStyle w:val="APRANORMALChar"/>
        </w:rPr>
        <w:t xml:space="preserve">APRA is also releasing a draft APG 220 for consultation. </w:t>
      </w:r>
      <w:r w:rsidR="002A2041">
        <w:rPr>
          <w:rStyle w:val="APRANORMALChar"/>
        </w:rPr>
        <w:t>The d</w:t>
      </w:r>
      <w:r w:rsidR="00F55FC9" w:rsidRPr="00F55FC9">
        <w:rPr>
          <w:rStyle w:val="APRANORMALChar"/>
        </w:rPr>
        <w:t>raft APG 220</w:t>
      </w:r>
      <w:r>
        <w:rPr>
          <w:rStyle w:val="APRANORMALChar"/>
        </w:rPr>
        <w:t xml:space="preserve"> </w:t>
      </w:r>
      <w:r w:rsidR="00F55FC9" w:rsidRPr="00F55FC9">
        <w:rPr>
          <w:rStyle w:val="APRANORMALChar"/>
        </w:rPr>
        <w:t>provides guidance on APRA’s view of sound practice in credit risk management, is intended to complement APS 220 and assist ADIs in meeting the requirements of the prudential standard.</w:t>
      </w:r>
      <w:r w:rsidR="00F55FC9">
        <w:rPr>
          <w:rStyle w:val="APRANORMALChar"/>
        </w:rPr>
        <w:t xml:space="preserve"> </w:t>
      </w:r>
      <w:r>
        <w:rPr>
          <w:rStyle w:val="APRANORMALChar"/>
        </w:rPr>
        <w:t>The main elements of draft APG 220 include guidance on:</w:t>
      </w:r>
    </w:p>
    <w:p w14:paraId="4C45540B" w14:textId="48E97E1C" w:rsidR="00B91F01" w:rsidRDefault="00B97627" w:rsidP="007724F3">
      <w:pPr>
        <w:pStyle w:val="APRABULLET"/>
        <w:ind w:left="357" w:hanging="357"/>
        <w:rPr>
          <w:rStyle w:val="APRANORMALChar"/>
        </w:rPr>
      </w:pPr>
      <w:r>
        <w:rPr>
          <w:rStyle w:val="APRANORMALChar"/>
        </w:rPr>
        <w:t>the c</w:t>
      </w:r>
      <w:r w:rsidR="00B91F01" w:rsidRPr="00B91F01">
        <w:rPr>
          <w:rStyle w:val="APRANORMALChar"/>
        </w:rPr>
        <w:t>redit risk management framework</w:t>
      </w:r>
      <w:r w:rsidR="00B91F01">
        <w:rPr>
          <w:rStyle w:val="APRANORMALChar"/>
        </w:rPr>
        <w:t>;</w:t>
      </w:r>
    </w:p>
    <w:p w14:paraId="64B2E4FB" w14:textId="1A103DE5" w:rsidR="00B91F01" w:rsidRDefault="00B97627" w:rsidP="007724F3">
      <w:pPr>
        <w:pStyle w:val="APRABULLET"/>
        <w:ind w:left="357" w:hanging="357"/>
        <w:rPr>
          <w:rStyle w:val="APRANORMALChar"/>
        </w:rPr>
      </w:pPr>
      <w:r>
        <w:rPr>
          <w:rStyle w:val="APRANORMALChar"/>
        </w:rPr>
        <w:t>c</w:t>
      </w:r>
      <w:r w:rsidR="00B91F01" w:rsidRPr="00B91F01">
        <w:rPr>
          <w:rStyle w:val="APRANORMALChar"/>
        </w:rPr>
        <w:t>redit origination and assessment and approval</w:t>
      </w:r>
      <w:r w:rsidR="00B91F01">
        <w:rPr>
          <w:rStyle w:val="APRANORMALChar"/>
        </w:rPr>
        <w:t>;</w:t>
      </w:r>
    </w:p>
    <w:p w14:paraId="3527F763" w14:textId="6FCF05EF" w:rsidR="00B91F01" w:rsidRDefault="00B97627" w:rsidP="007724F3">
      <w:pPr>
        <w:pStyle w:val="APRABULLET"/>
        <w:ind w:left="357" w:hanging="357"/>
        <w:rPr>
          <w:rStyle w:val="APRANORMALChar"/>
        </w:rPr>
      </w:pPr>
      <w:r>
        <w:rPr>
          <w:rStyle w:val="APRANORMALChar"/>
        </w:rPr>
        <w:t>c</w:t>
      </w:r>
      <w:r w:rsidR="00B91F01" w:rsidRPr="00B91F01">
        <w:rPr>
          <w:rStyle w:val="APRANORMALChar"/>
        </w:rPr>
        <w:t>redit administration, measurement and monitoring</w:t>
      </w:r>
      <w:r w:rsidR="00B91F01">
        <w:rPr>
          <w:rStyle w:val="APRANORMALChar"/>
        </w:rPr>
        <w:t>;</w:t>
      </w:r>
    </w:p>
    <w:p w14:paraId="3C783A4D" w14:textId="30B0793C" w:rsidR="00B91F01" w:rsidRDefault="00B97627" w:rsidP="007724F3">
      <w:pPr>
        <w:pStyle w:val="APRABULLET"/>
        <w:ind w:left="357" w:hanging="357"/>
        <w:rPr>
          <w:rStyle w:val="APRANORMALChar"/>
        </w:rPr>
      </w:pPr>
      <w:r>
        <w:rPr>
          <w:rStyle w:val="APRANORMALChar"/>
        </w:rPr>
        <w:t>c</w:t>
      </w:r>
      <w:r w:rsidR="00B91F01" w:rsidRPr="00B91F01">
        <w:rPr>
          <w:rStyle w:val="APRANORMALChar"/>
        </w:rPr>
        <w:t>ontrols over credit risk</w:t>
      </w:r>
      <w:r>
        <w:rPr>
          <w:rStyle w:val="APRANORMALChar"/>
        </w:rPr>
        <w:t>;</w:t>
      </w:r>
    </w:p>
    <w:p w14:paraId="110AFB08" w14:textId="311FEC14" w:rsidR="00B91F01" w:rsidRDefault="00B97627" w:rsidP="007724F3">
      <w:pPr>
        <w:pStyle w:val="APRABULLET"/>
        <w:ind w:left="357" w:hanging="357"/>
        <w:rPr>
          <w:rStyle w:val="APRANORMALChar"/>
        </w:rPr>
      </w:pPr>
      <w:r>
        <w:rPr>
          <w:rStyle w:val="APRANORMALChar"/>
        </w:rPr>
        <w:t>n</w:t>
      </w:r>
      <w:r w:rsidR="00B91F01" w:rsidRPr="00B91F01">
        <w:rPr>
          <w:rStyle w:val="APRANORMALChar"/>
        </w:rPr>
        <w:t>on-performing exposures</w:t>
      </w:r>
      <w:r>
        <w:rPr>
          <w:rStyle w:val="APRANORMALChar"/>
        </w:rPr>
        <w:t>;</w:t>
      </w:r>
    </w:p>
    <w:p w14:paraId="4FCCDB2D" w14:textId="7F31B5FF" w:rsidR="00B91F01" w:rsidRDefault="00B97627" w:rsidP="007724F3">
      <w:pPr>
        <w:pStyle w:val="APRABULLET"/>
        <w:ind w:left="357" w:hanging="357"/>
        <w:rPr>
          <w:rStyle w:val="APRANORMALChar"/>
        </w:rPr>
      </w:pPr>
      <w:r>
        <w:rPr>
          <w:rStyle w:val="APRANORMALChar"/>
        </w:rPr>
        <w:t>r</w:t>
      </w:r>
      <w:r w:rsidR="00B91F01" w:rsidRPr="00B91F01">
        <w:rPr>
          <w:rStyle w:val="APRANORMALChar"/>
        </w:rPr>
        <w:t>estructured exposures</w:t>
      </w:r>
      <w:r w:rsidR="00B91F01">
        <w:rPr>
          <w:rStyle w:val="APRANORMALChar"/>
        </w:rPr>
        <w:t>; and</w:t>
      </w:r>
    </w:p>
    <w:p w14:paraId="47037AF3" w14:textId="7661AEBE" w:rsidR="00B91F01" w:rsidRDefault="00B97627" w:rsidP="007724F3">
      <w:pPr>
        <w:pStyle w:val="APRABULLET"/>
        <w:ind w:left="357" w:hanging="357"/>
        <w:rPr>
          <w:rStyle w:val="APRANORMALChar"/>
        </w:rPr>
      </w:pPr>
      <w:r>
        <w:rPr>
          <w:rStyle w:val="APRANORMALChar"/>
        </w:rPr>
        <w:t>c</w:t>
      </w:r>
      <w:r w:rsidR="00B91F01" w:rsidRPr="00B91F01">
        <w:rPr>
          <w:rStyle w:val="APRANORMALChar"/>
        </w:rPr>
        <w:t>redit risk and accounting for expected credit losses</w:t>
      </w:r>
      <w:r w:rsidR="00B91F01">
        <w:rPr>
          <w:rStyle w:val="APRANORMALChar"/>
        </w:rPr>
        <w:t>.</w:t>
      </w:r>
    </w:p>
    <w:p w14:paraId="60279192" w14:textId="5BD156A9" w:rsidR="00F55FC9" w:rsidRDefault="00F045EB" w:rsidP="000F7386">
      <w:pPr>
        <w:pStyle w:val="APRANORMAL"/>
        <w:rPr>
          <w:rStyle w:val="APRANORMALChar"/>
        </w:rPr>
      </w:pPr>
      <w:r>
        <w:rPr>
          <w:rStyle w:val="APRANORMALChar"/>
        </w:rPr>
        <w:t>The d</w:t>
      </w:r>
      <w:r w:rsidR="00F55FC9">
        <w:rPr>
          <w:rStyle w:val="APRANORMALChar"/>
        </w:rPr>
        <w:t xml:space="preserve">raft </w:t>
      </w:r>
      <w:r>
        <w:rPr>
          <w:rStyle w:val="APRANORMALChar"/>
        </w:rPr>
        <w:t>APG 220</w:t>
      </w:r>
      <w:r w:rsidR="00F55FC9">
        <w:rPr>
          <w:rStyle w:val="APRANORMALChar"/>
        </w:rPr>
        <w:t xml:space="preserve"> draw</w:t>
      </w:r>
      <w:r w:rsidR="00B97627">
        <w:rPr>
          <w:rStyle w:val="APRANORMALChar"/>
        </w:rPr>
        <w:t>s</w:t>
      </w:r>
      <w:r w:rsidR="00F55FC9">
        <w:rPr>
          <w:rStyle w:val="APRANORMALChar"/>
        </w:rPr>
        <w:t xml:space="preserve"> </w:t>
      </w:r>
      <w:r w:rsidR="001B1E58">
        <w:rPr>
          <w:rStyle w:val="APRANORMALChar"/>
        </w:rPr>
        <w:t>on</w:t>
      </w:r>
      <w:r w:rsidR="00F55FC9">
        <w:rPr>
          <w:rStyle w:val="APRANORMALChar"/>
        </w:rPr>
        <w:t xml:space="preserve"> </w:t>
      </w:r>
      <w:r>
        <w:rPr>
          <w:rStyle w:val="APRANORMALChar"/>
        </w:rPr>
        <w:t xml:space="preserve">outcomes from </w:t>
      </w:r>
      <w:r w:rsidR="00F55FC9">
        <w:rPr>
          <w:rStyle w:val="APRANORMALChar"/>
        </w:rPr>
        <w:t xml:space="preserve">APRA’s recent </w:t>
      </w:r>
      <w:r w:rsidR="00F55FC9" w:rsidRPr="00F55FC9">
        <w:rPr>
          <w:rStyle w:val="APRANORMALChar"/>
        </w:rPr>
        <w:t>supervisory focus on credit standards</w:t>
      </w:r>
      <w:r w:rsidR="00F55FC9">
        <w:rPr>
          <w:rStyle w:val="APRANORMALChar"/>
        </w:rPr>
        <w:t xml:space="preserve"> and Basel guidance on credit related matters.</w:t>
      </w:r>
    </w:p>
    <w:p w14:paraId="7D3994A4" w14:textId="4CBED8E7" w:rsidR="00025374" w:rsidRDefault="00025374" w:rsidP="000F7386">
      <w:pPr>
        <w:pStyle w:val="APRANORMAL"/>
        <w:rPr>
          <w:rStyle w:val="APRANORMALChar"/>
        </w:rPr>
      </w:pPr>
      <w:r>
        <w:rPr>
          <w:rStyle w:val="APRANORMALChar"/>
        </w:rPr>
        <w:br w:type="page"/>
      </w:r>
    </w:p>
    <w:p w14:paraId="7C38C8E6" w14:textId="17C6ED8A" w:rsidR="00025374" w:rsidRPr="00A1646A" w:rsidRDefault="00025374" w:rsidP="00A1646A">
      <w:pPr>
        <w:pStyle w:val="APRAHEADING1"/>
        <w:rPr>
          <w:rStyle w:val="APRANORMALChar"/>
          <w:rFonts w:ascii="DIN OT Medium" w:hAnsi="DIN OT Medium"/>
          <w:lang w:val="en-AU"/>
        </w:rPr>
      </w:pPr>
      <w:bookmarkStart w:id="13" w:name="_Toc26947913"/>
      <w:r w:rsidRPr="00A1646A">
        <w:rPr>
          <w:rStyle w:val="APRANORMALChar"/>
          <w:rFonts w:ascii="DIN OT Medium" w:hAnsi="DIN OT Medium"/>
          <w:lang w:val="en-AU"/>
        </w:rPr>
        <w:lastRenderedPageBreak/>
        <w:t xml:space="preserve">Chapter 2 </w:t>
      </w:r>
      <w:r w:rsidR="00B541E4">
        <w:rPr>
          <w:rStyle w:val="APRANORMALChar"/>
          <w:rFonts w:ascii="DIN OT Medium" w:hAnsi="DIN OT Medium"/>
          <w:lang w:val="en-AU"/>
        </w:rPr>
        <w:t>–</w:t>
      </w:r>
      <w:r w:rsidRPr="00A1646A">
        <w:rPr>
          <w:rStyle w:val="APRANORMALChar"/>
          <w:rFonts w:ascii="DIN OT Medium" w:hAnsi="DIN OT Medium"/>
          <w:lang w:val="en-AU"/>
        </w:rPr>
        <w:t xml:space="preserve"> </w:t>
      </w:r>
      <w:r w:rsidR="00113C91">
        <w:rPr>
          <w:rStyle w:val="APRANORMALChar"/>
          <w:rFonts w:ascii="DIN OT Medium" w:hAnsi="DIN OT Medium"/>
          <w:lang w:val="en-AU"/>
        </w:rPr>
        <w:t>Role of the Board and senior management</w:t>
      </w:r>
      <w:bookmarkEnd w:id="13"/>
    </w:p>
    <w:p w14:paraId="1AC52977" w14:textId="76514E9C" w:rsidR="004803D2" w:rsidRPr="00F64CB6" w:rsidRDefault="00462CEE" w:rsidP="00F64CB6">
      <w:pPr>
        <w:pStyle w:val="APRANORMAL"/>
        <w:rPr>
          <w:rStyle w:val="APRANORMALChar"/>
        </w:rPr>
      </w:pPr>
      <w:r w:rsidRPr="00F64CB6">
        <w:rPr>
          <w:rStyle w:val="APRANORMALChar"/>
        </w:rPr>
        <w:t xml:space="preserve">In the draft APS 220, </w:t>
      </w:r>
      <w:r w:rsidR="00453BF5" w:rsidRPr="00F64CB6">
        <w:rPr>
          <w:rStyle w:val="APRANORMALChar"/>
        </w:rPr>
        <w:t>APRA proposed an enhanced Board oversight of credit risk with the Board required to review and approve, on at least an annual basis, the credit risk appetite and the credit risk management strategy of the ADI.</w:t>
      </w:r>
    </w:p>
    <w:p w14:paraId="4315971F" w14:textId="71A679A7" w:rsidR="009D54A8" w:rsidRPr="00F64CB6" w:rsidRDefault="00FA7CD8" w:rsidP="00F64CB6">
      <w:pPr>
        <w:pStyle w:val="APRANORMAL"/>
        <w:rPr>
          <w:rStyle w:val="APRANORMALChar"/>
        </w:rPr>
      </w:pPr>
      <w:r w:rsidRPr="00F64CB6">
        <w:rPr>
          <w:rStyle w:val="APRANORMALChar"/>
        </w:rPr>
        <w:t>It was also</w:t>
      </w:r>
      <w:r w:rsidR="009D54A8" w:rsidRPr="00F64CB6">
        <w:rPr>
          <w:rStyle w:val="APRANORMALChar"/>
        </w:rPr>
        <w:t xml:space="preserve"> proposed that an ADI’s credit risk management strategy must consider the overall characteristics that the ADI would want to achieve in its credit portfolio.</w:t>
      </w:r>
    </w:p>
    <w:p w14:paraId="40221716" w14:textId="50F3CD2B" w:rsidR="004E6B1C" w:rsidRPr="00F64CB6" w:rsidRDefault="004E6B1C" w:rsidP="00F64CB6">
      <w:pPr>
        <w:pStyle w:val="APRANORMAL"/>
        <w:rPr>
          <w:rStyle w:val="APRANORMALChar"/>
        </w:rPr>
      </w:pPr>
      <w:r w:rsidRPr="00F64CB6">
        <w:rPr>
          <w:rStyle w:val="APRANORMALChar"/>
        </w:rPr>
        <w:t xml:space="preserve">APRA also </w:t>
      </w:r>
      <w:r w:rsidR="003C43AB" w:rsidRPr="00F64CB6">
        <w:rPr>
          <w:rStyle w:val="APRANORMALChar"/>
        </w:rPr>
        <w:t xml:space="preserve">specified </w:t>
      </w:r>
      <w:r w:rsidRPr="00F64CB6">
        <w:rPr>
          <w:rStyle w:val="APRANORMALChar"/>
        </w:rPr>
        <w:t>in the draft APS 220 that senior manag</w:t>
      </w:r>
      <w:r w:rsidR="0057686F" w:rsidRPr="00F64CB6">
        <w:rPr>
          <w:rStyle w:val="APRANORMALChar"/>
        </w:rPr>
        <w:t xml:space="preserve">ement was responsible </w:t>
      </w:r>
      <w:r w:rsidRPr="00F64CB6">
        <w:rPr>
          <w:rStyle w:val="APRANORMALChar"/>
        </w:rPr>
        <w:t>for implementing the credit risk management strategy approved by the Board.</w:t>
      </w:r>
    </w:p>
    <w:p w14:paraId="56177C96" w14:textId="3904A249" w:rsidR="004803D2" w:rsidRDefault="004803D2" w:rsidP="004803D2">
      <w:pPr>
        <w:pStyle w:val="APRAHEADING3"/>
      </w:pPr>
      <w:bookmarkStart w:id="14" w:name="_Toc22208529"/>
      <w:bookmarkStart w:id="15" w:name="_Toc23158199"/>
      <w:bookmarkStart w:id="16" w:name="_Toc23161082"/>
      <w:bookmarkStart w:id="17" w:name="_Toc23162033"/>
      <w:bookmarkStart w:id="18" w:name="_Toc23325352"/>
      <w:bookmarkStart w:id="19" w:name="_Toc24106592"/>
      <w:bookmarkStart w:id="20" w:name="_Toc25747982"/>
      <w:bookmarkStart w:id="21" w:name="_Toc26945838"/>
      <w:bookmarkStart w:id="22" w:name="_Toc26947914"/>
      <w:r>
        <w:t>Comments received</w:t>
      </w:r>
      <w:bookmarkEnd w:id="14"/>
      <w:bookmarkEnd w:id="15"/>
      <w:bookmarkEnd w:id="16"/>
      <w:bookmarkEnd w:id="17"/>
      <w:bookmarkEnd w:id="18"/>
      <w:bookmarkEnd w:id="19"/>
      <w:bookmarkEnd w:id="20"/>
      <w:bookmarkEnd w:id="21"/>
      <w:bookmarkEnd w:id="22"/>
    </w:p>
    <w:p w14:paraId="6F6EA9B1" w14:textId="22420E92" w:rsidR="004D2998" w:rsidRPr="00F64CB6" w:rsidRDefault="00CC2D18" w:rsidP="00F64CB6">
      <w:pPr>
        <w:pStyle w:val="APRANORMAL"/>
        <w:rPr>
          <w:rStyle w:val="APRANORMALChar"/>
        </w:rPr>
      </w:pPr>
      <w:r w:rsidRPr="00F64CB6">
        <w:rPr>
          <w:rStyle w:val="APRANORMALChar"/>
        </w:rPr>
        <w:t>Some</w:t>
      </w:r>
      <w:r w:rsidR="009D00C2" w:rsidRPr="00F64CB6">
        <w:rPr>
          <w:rStyle w:val="APRANORMALChar"/>
        </w:rPr>
        <w:t xml:space="preserve"> submissions </w:t>
      </w:r>
      <w:r w:rsidR="00D934A2" w:rsidRPr="00F64CB6">
        <w:rPr>
          <w:rStyle w:val="APRANORMALChar"/>
        </w:rPr>
        <w:t>questioned</w:t>
      </w:r>
      <w:r w:rsidR="00766DBB" w:rsidRPr="00F64CB6">
        <w:rPr>
          <w:rStyle w:val="APRANORMALChar"/>
        </w:rPr>
        <w:t xml:space="preserve"> whether </w:t>
      </w:r>
      <w:r w:rsidR="009D00C2" w:rsidRPr="00F64CB6">
        <w:rPr>
          <w:rStyle w:val="APRANORMALChar"/>
        </w:rPr>
        <w:t xml:space="preserve">an annual </w:t>
      </w:r>
      <w:r w:rsidR="004D2998" w:rsidRPr="00F64CB6">
        <w:rPr>
          <w:rStyle w:val="APRANORMALChar"/>
        </w:rPr>
        <w:t xml:space="preserve">review </w:t>
      </w:r>
      <w:r w:rsidR="003C43AB" w:rsidRPr="00F64CB6">
        <w:rPr>
          <w:rStyle w:val="APRANORMALChar"/>
        </w:rPr>
        <w:t>by the Board of the ADI’s credit risk appetite and credit risk management strategy</w:t>
      </w:r>
      <w:r w:rsidR="00944C6C" w:rsidRPr="00F64CB6">
        <w:rPr>
          <w:rStyle w:val="APRANORMALChar"/>
        </w:rPr>
        <w:t xml:space="preserve"> </w:t>
      </w:r>
      <w:r w:rsidR="00766DBB" w:rsidRPr="00F64CB6">
        <w:rPr>
          <w:rStyle w:val="APRANORMALChar"/>
        </w:rPr>
        <w:t xml:space="preserve">was </w:t>
      </w:r>
      <w:r w:rsidR="004D2998" w:rsidRPr="00F64CB6">
        <w:rPr>
          <w:rStyle w:val="APRANORMALChar"/>
        </w:rPr>
        <w:t>necessary</w:t>
      </w:r>
      <w:r w:rsidR="00944C6C" w:rsidRPr="00F64CB6">
        <w:rPr>
          <w:rStyle w:val="APRANORMALChar"/>
        </w:rPr>
        <w:t>.</w:t>
      </w:r>
    </w:p>
    <w:p w14:paraId="35A00F68" w14:textId="54DB6C82" w:rsidR="004E6B1C" w:rsidRPr="00F64CB6" w:rsidRDefault="009D00C2" w:rsidP="00F64CB6">
      <w:pPr>
        <w:pStyle w:val="APRANORMAL"/>
        <w:rPr>
          <w:rStyle w:val="APRANORMALChar"/>
        </w:rPr>
      </w:pPr>
      <w:r w:rsidRPr="00F64CB6">
        <w:rPr>
          <w:rStyle w:val="APRANORMALChar"/>
        </w:rPr>
        <w:t xml:space="preserve">In approving an ADI’s credit risk management strategy, </w:t>
      </w:r>
      <w:r w:rsidR="009F26BF" w:rsidRPr="00F64CB6">
        <w:rPr>
          <w:rStyle w:val="APRANORMALChar"/>
        </w:rPr>
        <w:t>it was</w:t>
      </w:r>
      <w:r w:rsidR="00DE1D7D" w:rsidRPr="00F64CB6">
        <w:rPr>
          <w:rStyle w:val="APRANORMALChar"/>
        </w:rPr>
        <w:t xml:space="preserve"> also </w:t>
      </w:r>
      <w:r w:rsidR="00D934A2" w:rsidRPr="00F64CB6">
        <w:rPr>
          <w:rStyle w:val="APRANORMALChar"/>
        </w:rPr>
        <w:t>commented that</w:t>
      </w:r>
      <w:r w:rsidR="00867204" w:rsidRPr="00F64CB6">
        <w:rPr>
          <w:rStyle w:val="APRANORMALChar"/>
        </w:rPr>
        <w:t xml:space="preserve"> the </w:t>
      </w:r>
      <w:r w:rsidR="004E6B1C" w:rsidRPr="00F64CB6">
        <w:rPr>
          <w:rStyle w:val="APRANORMALChar"/>
        </w:rPr>
        <w:t xml:space="preserve">Board </w:t>
      </w:r>
      <w:r w:rsidR="00D934A2" w:rsidRPr="00F64CB6">
        <w:rPr>
          <w:rStyle w:val="APRANORMALChar"/>
        </w:rPr>
        <w:t xml:space="preserve">should not be required </w:t>
      </w:r>
      <w:r w:rsidR="004E6B1C" w:rsidRPr="00F64CB6">
        <w:rPr>
          <w:rStyle w:val="APRANORMALChar"/>
        </w:rPr>
        <w:t>to approve ‘target markets’</w:t>
      </w:r>
      <w:r w:rsidR="00113C91" w:rsidRPr="00F64CB6">
        <w:rPr>
          <w:rStyle w:val="APRANORMALChar"/>
        </w:rPr>
        <w:t xml:space="preserve"> and ‘</w:t>
      </w:r>
      <w:r w:rsidR="004E6B1C" w:rsidRPr="00F64CB6">
        <w:rPr>
          <w:rStyle w:val="APRANORMALChar"/>
        </w:rPr>
        <w:t>return levels</w:t>
      </w:r>
      <w:r w:rsidR="00113C91" w:rsidRPr="00F64CB6">
        <w:rPr>
          <w:rStyle w:val="APRANORMALChar"/>
        </w:rPr>
        <w:t>’</w:t>
      </w:r>
      <w:r w:rsidR="004E6B1C" w:rsidRPr="00F64CB6">
        <w:rPr>
          <w:rStyle w:val="APRANORMALChar"/>
        </w:rPr>
        <w:t xml:space="preserve"> in the strategy </w:t>
      </w:r>
      <w:r w:rsidR="00113C91" w:rsidRPr="00F64CB6">
        <w:rPr>
          <w:rStyle w:val="APRANORMALChar"/>
        </w:rPr>
        <w:t>– this is a task for senior management and may blur the distinction between oversight and management.</w:t>
      </w:r>
    </w:p>
    <w:p w14:paraId="49D686EE" w14:textId="1FD3ED3E" w:rsidR="004803D2" w:rsidRDefault="004803D2" w:rsidP="004803D2">
      <w:pPr>
        <w:pStyle w:val="APRAHEADING3"/>
      </w:pPr>
      <w:bookmarkStart w:id="23" w:name="_Toc22208530"/>
      <w:bookmarkStart w:id="24" w:name="_Toc23158200"/>
      <w:bookmarkStart w:id="25" w:name="_Toc23161083"/>
      <w:bookmarkStart w:id="26" w:name="_Toc23162034"/>
      <w:bookmarkStart w:id="27" w:name="_Toc23325353"/>
      <w:bookmarkStart w:id="28" w:name="_Toc24106593"/>
      <w:bookmarkStart w:id="29" w:name="_Toc25747983"/>
      <w:bookmarkStart w:id="30" w:name="_Toc26945839"/>
      <w:bookmarkStart w:id="31" w:name="_Toc26947915"/>
      <w:r>
        <w:t>APRA response</w:t>
      </w:r>
      <w:bookmarkEnd w:id="23"/>
      <w:bookmarkEnd w:id="24"/>
      <w:bookmarkEnd w:id="25"/>
      <w:bookmarkEnd w:id="26"/>
      <w:bookmarkEnd w:id="27"/>
      <w:bookmarkEnd w:id="28"/>
      <w:bookmarkEnd w:id="29"/>
      <w:bookmarkEnd w:id="30"/>
      <w:bookmarkEnd w:id="31"/>
    </w:p>
    <w:p w14:paraId="4270FB20" w14:textId="0F14E831" w:rsidR="00867204" w:rsidRPr="00F64CB6" w:rsidRDefault="003C43AB" w:rsidP="00F64CB6">
      <w:pPr>
        <w:pStyle w:val="APRANORMAL"/>
      </w:pPr>
      <w:bookmarkStart w:id="32" w:name="_Toc22208531"/>
      <w:r w:rsidRPr="00F64CB6">
        <w:t xml:space="preserve">APRA considers it appropriate that the </w:t>
      </w:r>
      <w:r w:rsidR="008E0F14" w:rsidRPr="00F64CB6">
        <w:t>Board review and approve</w:t>
      </w:r>
      <w:r w:rsidR="00157E34" w:rsidRPr="00F64CB6">
        <w:t>, on at least an annual basis,</w:t>
      </w:r>
      <w:r w:rsidR="008E0F14" w:rsidRPr="00F64CB6">
        <w:t xml:space="preserve"> </w:t>
      </w:r>
      <w:r w:rsidR="007F0CE2" w:rsidRPr="00F64CB6">
        <w:t xml:space="preserve">the ADI’s </w:t>
      </w:r>
      <w:r w:rsidRPr="00F64CB6">
        <w:t>credit risk appetite and credit risk management strategy</w:t>
      </w:r>
      <w:r w:rsidR="008E0F14" w:rsidRPr="00F64CB6">
        <w:t xml:space="preserve">. </w:t>
      </w:r>
      <w:r w:rsidR="007F0CE2" w:rsidRPr="00F64CB6">
        <w:t>This is because credit risk is typically the largest risk facing an ADI</w:t>
      </w:r>
      <w:r w:rsidR="0027188A" w:rsidRPr="00F64CB6">
        <w:t xml:space="preserve">, and </w:t>
      </w:r>
      <w:r w:rsidR="00C1617A" w:rsidRPr="00F64CB6">
        <w:t xml:space="preserve">reviewing </w:t>
      </w:r>
      <w:r w:rsidR="00087D2C" w:rsidRPr="00F64CB6">
        <w:t xml:space="preserve">and approving </w:t>
      </w:r>
      <w:r w:rsidR="00C1617A" w:rsidRPr="00F64CB6">
        <w:t>th</w:t>
      </w:r>
      <w:r w:rsidR="009D54A8" w:rsidRPr="00F64CB6">
        <w:t>e</w:t>
      </w:r>
      <w:r w:rsidR="00C1617A" w:rsidRPr="00F64CB6">
        <w:t xml:space="preserve"> risk appetite and strategy complements the requirement</w:t>
      </w:r>
      <w:r w:rsidR="00157E34" w:rsidRPr="00F64CB6">
        <w:t>s</w:t>
      </w:r>
      <w:r w:rsidR="00C1617A" w:rsidRPr="00F64CB6">
        <w:t xml:space="preserve"> in </w:t>
      </w:r>
      <w:r w:rsidR="007F0CE2" w:rsidRPr="001A422F">
        <w:rPr>
          <w:i/>
        </w:rPr>
        <w:t>Prudential Standard CPS 220 Risk Management</w:t>
      </w:r>
      <w:r w:rsidR="007F0CE2" w:rsidRPr="00F64CB6">
        <w:t xml:space="preserve"> </w:t>
      </w:r>
      <w:r w:rsidR="001A422F">
        <w:t xml:space="preserve">(CPS 220) </w:t>
      </w:r>
      <w:r w:rsidR="00C1617A" w:rsidRPr="00F64CB6">
        <w:t xml:space="preserve">for the </w:t>
      </w:r>
      <w:r w:rsidR="007F0CE2" w:rsidRPr="00F64CB6">
        <w:t>Board</w:t>
      </w:r>
      <w:r w:rsidR="008E0F14" w:rsidRPr="00F64CB6">
        <w:t xml:space="preserve"> </w:t>
      </w:r>
      <w:r w:rsidR="004D4AAC" w:rsidRPr="00F64CB6">
        <w:t>to identify and consider material risks</w:t>
      </w:r>
      <w:bookmarkEnd w:id="32"/>
      <w:r w:rsidR="00BE534F" w:rsidRPr="00F64CB6">
        <w:t>.</w:t>
      </w:r>
    </w:p>
    <w:p w14:paraId="46DAF4A9" w14:textId="016DDE5F" w:rsidR="00932CCF" w:rsidRPr="00F64CB6" w:rsidRDefault="004D4AAC" w:rsidP="00F64CB6">
      <w:pPr>
        <w:pStyle w:val="APRANORMAL"/>
      </w:pPr>
      <w:bookmarkStart w:id="33" w:name="_Toc22208532"/>
      <w:bookmarkEnd w:id="33"/>
      <w:r w:rsidRPr="00F64CB6">
        <w:t xml:space="preserve">APRA </w:t>
      </w:r>
      <w:r w:rsidR="001D76CD">
        <w:t>has re</w:t>
      </w:r>
      <w:r w:rsidR="002B2A96" w:rsidRPr="00F64CB6">
        <w:t>consider</w:t>
      </w:r>
      <w:r w:rsidR="001D76CD">
        <w:t>ed</w:t>
      </w:r>
      <w:r w:rsidR="002B2A96" w:rsidRPr="00F64CB6">
        <w:t xml:space="preserve"> </w:t>
      </w:r>
      <w:r w:rsidR="00791DD2">
        <w:t>it</w:t>
      </w:r>
      <w:r w:rsidR="001D76CD">
        <w:t xml:space="preserve">s proposal for the </w:t>
      </w:r>
      <w:r w:rsidR="00791DD2">
        <w:t xml:space="preserve">Board </w:t>
      </w:r>
      <w:r w:rsidR="001D76CD">
        <w:t xml:space="preserve">to specifically </w:t>
      </w:r>
      <w:r w:rsidR="00791DD2">
        <w:t xml:space="preserve">consider </w:t>
      </w:r>
      <w:r w:rsidR="00C913AA" w:rsidRPr="00F64CB6">
        <w:t>‘return levels’ and ‘</w:t>
      </w:r>
      <w:r w:rsidR="002B2A96" w:rsidRPr="00F64CB6">
        <w:t xml:space="preserve">target markets’ </w:t>
      </w:r>
      <w:r w:rsidR="00C913AA" w:rsidRPr="00F64CB6">
        <w:t>in approv</w:t>
      </w:r>
      <w:r w:rsidR="0036507B">
        <w:t>ing its</w:t>
      </w:r>
      <w:r w:rsidR="00C913AA" w:rsidRPr="00F64CB6">
        <w:t xml:space="preserve"> credit risk management strategy</w:t>
      </w:r>
      <w:r w:rsidR="001D76CD">
        <w:t xml:space="preserve">, and has amended the standard so that senior management </w:t>
      </w:r>
      <w:r w:rsidR="00BF18E4">
        <w:rPr>
          <w:rFonts w:eastAsia="Calibri"/>
        </w:rPr>
        <w:t xml:space="preserve">must </w:t>
      </w:r>
      <w:r w:rsidR="00BF18E4" w:rsidRPr="003D1370">
        <w:rPr>
          <w:rFonts w:eastAsia="Calibri"/>
        </w:rPr>
        <w:t>address such topics as target markets</w:t>
      </w:r>
      <w:r w:rsidR="00BF18E4">
        <w:rPr>
          <w:rFonts w:eastAsia="Calibri"/>
        </w:rPr>
        <w:t xml:space="preserve"> in developing and implementing credit risk policies consistent with </w:t>
      </w:r>
      <w:r w:rsidR="00EC67E9">
        <w:rPr>
          <w:rFonts w:eastAsia="Calibri"/>
        </w:rPr>
        <w:t>the</w:t>
      </w:r>
      <w:r w:rsidR="00BF18E4">
        <w:rPr>
          <w:rFonts w:eastAsia="Calibri"/>
        </w:rPr>
        <w:t xml:space="preserve"> ADI’s credit risk appetite</w:t>
      </w:r>
      <w:r w:rsidR="00C913AA" w:rsidRPr="00F64CB6">
        <w:t>.</w:t>
      </w:r>
    </w:p>
    <w:p w14:paraId="79AFAA43" w14:textId="77777777" w:rsidR="00C62600" w:rsidRDefault="00C62600">
      <w:pPr>
        <w:spacing w:after="120" w:line="288" w:lineRule="auto"/>
        <w:rPr>
          <w:rStyle w:val="APRANORMALChar"/>
        </w:rPr>
      </w:pPr>
      <w:r>
        <w:rPr>
          <w:rStyle w:val="APRANORMALChar"/>
        </w:rPr>
        <w:br w:type="page"/>
      </w:r>
    </w:p>
    <w:p w14:paraId="716A8B1C" w14:textId="42E79100" w:rsidR="004D2998" w:rsidRPr="00A1646A" w:rsidRDefault="004D2998" w:rsidP="004D2998">
      <w:pPr>
        <w:pStyle w:val="APRAHEADING1"/>
        <w:rPr>
          <w:rStyle w:val="APRANORMALChar"/>
          <w:rFonts w:ascii="DIN OT Medium" w:hAnsi="DIN OT Medium"/>
          <w:lang w:val="en-AU"/>
        </w:rPr>
      </w:pPr>
      <w:bookmarkStart w:id="34" w:name="_Toc26947916"/>
      <w:r w:rsidRPr="00A1646A">
        <w:rPr>
          <w:rStyle w:val="APRANORMALChar"/>
          <w:rFonts w:ascii="DIN OT Medium" w:hAnsi="DIN OT Medium"/>
          <w:lang w:val="en-AU"/>
        </w:rPr>
        <w:lastRenderedPageBreak/>
        <w:t xml:space="preserve">Chapter </w:t>
      </w:r>
      <w:r>
        <w:rPr>
          <w:rStyle w:val="APRANORMALChar"/>
          <w:rFonts w:ascii="DIN OT Medium" w:hAnsi="DIN OT Medium"/>
          <w:lang w:val="en-AU"/>
        </w:rPr>
        <w:t>3</w:t>
      </w:r>
      <w:r w:rsidRPr="00A1646A">
        <w:rPr>
          <w:rStyle w:val="APRANORMALChar"/>
          <w:rFonts w:ascii="DIN OT Medium" w:hAnsi="DIN OT Medium"/>
          <w:lang w:val="en-AU"/>
        </w:rPr>
        <w:t xml:space="preserve"> </w:t>
      </w:r>
      <w:r>
        <w:rPr>
          <w:rStyle w:val="APRANORMALChar"/>
          <w:rFonts w:ascii="DIN OT Medium" w:hAnsi="DIN OT Medium"/>
          <w:lang w:val="en-AU"/>
        </w:rPr>
        <w:t>–</w:t>
      </w:r>
      <w:r w:rsidRPr="00A1646A">
        <w:rPr>
          <w:rStyle w:val="APRANORMALChar"/>
          <w:rFonts w:ascii="DIN OT Medium" w:hAnsi="DIN OT Medium"/>
          <w:lang w:val="en-AU"/>
        </w:rPr>
        <w:t xml:space="preserve"> </w:t>
      </w:r>
      <w:r>
        <w:rPr>
          <w:rStyle w:val="APRANORMALChar"/>
          <w:rFonts w:ascii="DIN OT Medium" w:hAnsi="DIN OT Medium"/>
          <w:lang w:val="en-AU"/>
        </w:rPr>
        <w:t xml:space="preserve">Credit </w:t>
      </w:r>
      <w:r w:rsidR="00870BCE">
        <w:rPr>
          <w:rStyle w:val="APRANORMALChar"/>
          <w:rFonts w:ascii="DIN OT Medium" w:hAnsi="DIN OT Medium"/>
          <w:lang w:val="en-AU"/>
        </w:rPr>
        <w:t>origination, assessment and approval</w:t>
      </w:r>
      <w:bookmarkEnd w:id="34"/>
    </w:p>
    <w:p w14:paraId="09D12D81" w14:textId="53B21CF2" w:rsidR="000547FB" w:rsidRPr="000547FB" w:rsidRDefault="000547FB" w:rsidP="000547FB">
      <w:pPr>
        <w:pStyle w:val="APRAHEADING2"/>
      </w:pPr>
      <w:bookmarkStart w:id="35" w:name="_Toc22208535"/>
      <w:bookmarkStart w:id="36" w:name="_Toc23158202"/>
      <w:bookmarkStart w:id="37" w:name="_Toc23161085"/>
      <w:bookmarkStart w:id="38" w:name="_Toc23162036"/>
      <w:bookmarkStart w:id="39" w:name="_Toc23325355"/>
      <w:bookmarkStart w:id="40" w:name="_Toc24106595"/>
      <w:bookmarkStart w:id="41" w:name="_Toc25747985"/>
      <w:bookmarkStart w:id="42" w:name="_Toc26945841"/>
      <w:bookmarkStart w:id="43" w:name="_Toc26947917"/>
      <w:r w:rsidRPr="000547FB">
        <w:rPr>
          <w:rStyle w:val="APRANORMALChar"/>
          <w:rFonts w:ascii="DIN OT Medium" w:hAnsi="DIN OT Medium"/>
          <w:lang w:val="en-AU"/>
        </w:rPr>
        <w:t>3.1</w:t>
      </w:r>
      <w:r w:rsidRPr="000547FB">
        <w:rPr>
          <w:rStyle w:val="APRANORMALChar"/>
          <w:rFonts w:ascii="DIN OT Medium" w:hAnsi="DIN OT Medium"/>
          <w:lang w:val="en-AU"/>
        </w:rPr>
        <w:tab/>
      </w:r>
      <w:r w:rsidRPr="000547FB">
        <w:t>Credit origination</w:t>
      </w:r>
      <w:bookmarkEnd w:id="35"/>
      <w:bookmarkEnd w:id="36"/>
      <w:bookmarkEnd w:id="37"/>
      <w:bookmarkEnd w:id="38"/>
      <w:bookmarkEnd w:id="39"/>
      <w:bookmarkEnd w:id="40"/>
      <w:bookmarkEnd w:id="41"/>
      <w:bookmarkEnd w:id="42"/>
      <w:bookmarkEnd w:id="43"/>
    </w:p>
    <w:p w14:paraId="692EBE92" w14:textId="4C2FCFFB" w:rsidR="00306EAF" w:rsidRPr="00F64CB6" w:rsidRDefault="000547FB" w:rsidP="00F64CB6">
      <w:pPr>
        <w:pStyle w:val="APRANORMAL"/>
        <w:rPr>
          <w:rStyle w:val="APRANORMALChar"/>
        </w:rPr>
      </w:pPr>
      <w:r w:rsidRPr="00F64CB6">
        <w:rPr>
          <w:rStyle w:val="APRANORMALChar"/>
        </w:rPr>
        <w:t>In the draft APS 220, APRA proposed that an ADI must recognise and address the risks arising from different origination channels in its credit risk management framework.</w:t>
      </w:r>
    </w:p>
    <w:p w14:paraId="036FC074" w14:textId="77777777" w:rsidR="004803D2" w:rsidRDefault="004803D2" w:rsidP="004803D2">
      <w:pPr>
        <w:pStyle w:val="APRAHEADING3"/>
      </w:pPr>
      <w:bookmarkStart w:id="44" w:name="_Toc22208536"/>
      <w:bookmarkStart w:id="45" w:name="_Toc23158203"/>
      <w:bookmarkStart w:id="46" w:name="_Toc23161086"/>
      <w:bookmarkStart w:id="47" w:name="_Toc23162037"/>
      <w:bookmarkStart w:id="48" w:name="_Toc23325356"/>
      <w:bookmarkStart w:id="49" w:name="_Toc24106596"/>
      <w:bookmarkStart w:id="50" w:name="_Toc25747986"/>
      <w:bookmarkStart w:id="51" w:name="_Toc26945842"/>
      <w:bookmarkStart w:id="52" w:name="_Toc26947918"/>
      <w:r>
        <w:t>Comments received</w:t>
      </w:r>
      <w:bookmarkEnd w:id="44"/>
      <w:bookmarkEnd w:id="45"/>
      <w:bookmarkEnd w:id="46"/>
      <w:bookmarkEnd w:id="47"/>
      <w:bookmarkEnd w:id="48"/>
      <w:bookmarkEnd w:id="49"/>
      <w:bookmarkEnd w:id="50"/>
      <w:bookmarkEnd w:id="51"/>
      <w:bookmarkEnd w:id="52"/>
    </w:p>
    <w:p w14:paraId="60B4BAF2" w14:textId="75EF0F9C" w:rsidR="004803D2" w:rsidRPr="00F64CB6" w:rsidRDefault="000547FB" w:rsidP="00F64CB6">
      <w:pPr>
        <w:pStyle w:val="APRANORMAL"/>
        <w:rPr>
          <w:rStyle w:val="APRANORMALChar"/>
        </w:rPr>
      </w:pPr>
      <w:r w:rsidRPr="00F64CB6">
        <w:rPr>
          <w:rStyle w:val="APRANORMALChar"/>
        </w:rPr>
        <w:t xml:space="preserve">Submissions were concerned that proposed requirements to verify the accuracy and completeness of ‘any’ borrower information provided by </w:t>
      </w:r>
      <w:r w:rsidR="00FA7CD8" w:rsidRPr="00F64CB6">
        <w:rPr>
          <w:rStyle w:val="APRANORMALChar"/>
        </w:rPr>
        <w:t>a</w:t>
      </w:r>
      <w:r w:rsidRPr="00F64CB6">
        <w:rPr>
          <w:rStyle w:val="APRANORMALChar"/>
        </w:rPr>
        <w:t xml:space="preserve"> third party impose</w:t>
      </w:r>
      <w:r w:rsidR="009F26BF" w:rsidRPr="00F64CB6">
        <w:rPr>
          <w:rStyle w:val="APRANORMALChar"/>
        </w:rPr>
        <w:t>d</w:t>
      </w:r>
      <w:r w:rsidRPr="00F64CB6">
        <w:rPr>
          <w:rStyle w:val="APRANORMALChar"/>
        </w:rPr>
        <w:t xml:space="preserve"> additional obligations on ADIs which are inconsistent with an ADI’s general responsible lending obligations.</w:t>
      </w:r>
    </w:p>
    <w:p w14:paraId="5DF14EB8" w14:textId="77777777" w:rsidR="004803D2" w:rsidRDefault="004803D2" w:rsidP="004803D2">
      <w:pPr>
        <w:pStyle w:val="APRAHEADING3"/>
      </w:pPr>
      <w:bookmarkStart w:id="53" w:name="_Toc22208537"/>
      <w:bookmarkStart w:id="54" w:name="_Toc23158204"/>
      <w:bookmarkStart w:id="55" w:name="_Toc23161087"/>
      <w:bookmarkStart w:id="56" w:name="_Toc23162038"/>
      <w:bookmarkStart w:id="57" w:name="_Toc23325357"/>
      <w:bookmarkStart w:id="58" w:name="_Toc24106597"/>
      <w:bookmarkStart w:id="59" w:name="_Toc25747987"/>
      <w:bookmarkStart w:id="60" w:name="_Toc26945843"/>
      <w:bookmarkStart w:id="61" w:name="_Toc26947919"/>
      <w:r>
        <w:t>APRA response</w:t>
      </w:r>
      <w:bookmarkEnd w:id="53"/>
      <w:bookmarkEnd w:id="54"/>
      <w:bookmarkEnd w:id="55"/>
      <w:bookmarkEnd w:id="56"/>
      <w:bookmarkEnd w:id="57"/>
      <w:bookmarkEnd w:id="58"/>
      <w:bookmarkEnd w:id="59"/>
      <w:bookmarkEnd w:id="60"/>
      <w:bookmarkEnd w:id="61"/>
    </w:p>
    <w:p w14:paraId="0D65BF8A" w14:textId="55AFDA77" w:rsidR="004803D2" w:rsidRDefault="00560F13" w:rsidP="00F64CB6">
      <w:pPr>
        <w:pStyle w:val="APRANORMAL"/>
        <w:rPr>
          <w:rStyle w:val="APRANORMALChar"/>
        </w:rPr>
      </w:pPr>
      <w:r w:rsidRPr="00F64CB6">
        <w:rPr>
          <w:rStyle w:val="APRANORMALChar"/>
        </w:rPr>
        <w:t>Whi</w:t>
      </w:r>
      <w:r w:rsidR="00DF38C6" w:rsidRPr="00F64CB6">
        <w:rPr>
          <w:rStyle w:val="APRANORMALChar"/>
        </w:rPr>
        <w:t>lst</w:t>
      </w:r>
      <w:r w:rsidRPr="00F64CB6">
        <w:rPr>
          <w:rStyle w:val="APRANORMALChar"/>
        </w:rPr>
        <w:t xml:space="preserve"> an ADI may employ various origination channels to widen product distribution, such channels used without discipline can </w:t>
      </w:r>
      <w:r w:rsidR="00844596">
        <w:rPr>
          <w:rStyle w:val="APRANORMALChar"/>
        </w:rPr>
        <w:t xml:space="preserve">introduce heightened risk </w:t>
      </w:r>
      <w:r w:rsidRPr="00F64CB6">
        <w:rPr>
          <w:rStyle w:val="APRANORMALChar"/>
        </w:rPr>
        <w:t xml:space="preserve">into the credit portfolio of an ADI. Where such third-party channels are used, it is appropriate for ADIs to review the quality of these exposures, including </w:t>
      </w:r>
      <w:r w:rsidR="00A3671D">
        <w:rPr>
          <w:rStyle w:val="APRANORMALChar"/>
        </w:rPr>
        <w:t>ensuring reasonable steps have been taken to v</w:t>
      </w:r>
      <w:r w:rsidR="00DF38C6" w:rsidRPr="00F64CB6">
        <w:rPr>
          <w:rStyle w:val="APRANORMALChar"/>
        </w:rPr>
        <w:t>erif</w:t>
      </w:r>
      <w:r w:rsidR="00A3671D">
        <w:rPr>
          <w:rStyle w:val="APRANORMALChar"/>
        </w:rPr>
        <w:t>y</w:t>
      </w:r>
      <w:r w:rsidR="00DF38C6" w:rsidRPr="00F64CB6">
        <w:rPr>
          <w:rStyle w:val="APRANORMALChar"/>
        </w:rPr>
        <w:t xml:space="preserve"> the accuracy and completeness of ‘any’ borrower information provided (e.g. </w:t>
      </w:r>
      <w:r w:rsidR="00FA7CD8" w:rsidRPr="00F64CB6">
        <w:rPr>
          <w:rStyle w:val="APRANORMALChar"/>
        </w:rPr>
        <w:t xml:space="preserve">undertaking </w:t>
      </w:r>
      <w:r w:rsidR="00DF38C6" w:rsidRPr="00F64CB6">
        <w:rPr>
          <w:rStyle w:val="APRANORMALChar"/>
        </w:rPr>
        <w:t>r</w:t>
      </w:r>
      <w:r w:rsidR="009C2BDA" w:rsidRPr="00F64CB6">
        <w:rPr>
          <w:rStyle w:val="APRANORMALChar"/>
        </w:rPr>
        <w:t xml:space="preserve">egular </w:t>
      </w:r>
      <w:r w:rsidRPr="00F64CB6">
        <w:rPr>
          <w:rStyle w:val="APRANORMALChar"/>
        </w:rPr>
        <w:t>audits or other compliance checking</w:t>
      </w:r>
      <w:r w:rsidR="00DF38C6" w:rsidRPr="00F64CB6">
        <w:rPr>
          <w:rStyle w:val="APRANORMALChar"/>
        </w:rPr>
        <w:t>)</w:t>
      </w:r>
      <w:r w:rsidRPr="00F64CB6">
        <w:rPr>
          <w:rStyle w:val="APRANORMALChar"/>
        </w:rPr>
        <w:t>.</w:t>
      </w:r>
    </w:p>
    <w:p w14:paraId="5438A578" w14:textId="745CC2C5" w:rsidR="00BF21C8" w:rsidRPr="00F64CB6" w:rsidRDefault="00A3671D" w:rsidP="00F64CB6">
      <w:pPr>
        <w:pStyle w:val="APRANORMAL"/>
        <w:rPr>
          <w:rStyle w:val="APRANORMALChar"/>
        </w:rPr>
      </w:pPr>
      <w:r>
        <w:rPr>
          <w:rStyle w:val="APRANORMALChar"/>
        </w:rPr>
        <w:t xml:space="preserve">The </w:t>
      </w:r>
      <w:r w:rsidR="00844596" w:rsidRPr="00F64CB6">
        <w:rPr>
          <w:rStyle w:val="APRANORMALChar"/>
        </w:rPr>
        <w:t xml:space="preserve">requirement in APS 220 relates to the oversight by the ADI of third parties (e.g. brokers and introducers) and </w:t>
      </w:r>
      <w:r w:rsidR="007D2F32">
        <w:rPr>
          <w:rStyle w:val="APRANORMALChar"/>
        </w:rPr>
        <w:t xml:space="preserve">is not intended </w:t>
      </w:r>
      <w:r w:rsidR="008B455A">
        <w:rPr>
          <w:rStyle w:val="APRANORMALChar"/>
        </w:rPr>
        <w:t xml:space="preserve">to </w:t>
      </w:r>
      <w:r w:rsidR="008B455A" w:rsidRPr="00F64CB6">
        <w:rPr>
          <w:rStyle w:val="APRANORMALChar"/>
        </w:rPr>
        <w:t>impose</w:t>
      </w:r>
      <w:r w:rsidR="00844596" w:rsidRPr="00F64CB6">
        <w:rPr>
          <w:rStyle w:val="APRANORMALChar"/>
        </w:rPr>
        <w:t xml:space="preserve"> any additional requirements with respect to an ADI’s general responsible lending obligations</w:t>
      </w:r>
      <w:r>
        <w:rPr>
          <w:rStyle w:val="APRANORMALChar"/>
        </w:rPr>
        <w:t xml:space="preserve">. </w:t>
      </w:r>
    </w:p>
    <w:p w14:paraId="3C5554BF" w14:textId="65913384" w:rsidR="00306EAF" w:rsidRPr="000547FB" w:rsidRDefault="00306EAF" w:rsidP="00306EAF">
      <w:pPr>
        <w:pStyle w:val="APRAHEADING2"/>
      </w:pPr>
      <w:bookmarkStart w:id="62" w:name="_Toc22208538"/>
      <w:bookmarkStart w:id="63" w:name="_Toc23158205"/>
      <w:bookmarkStart w:id="64" w:name="_Toc23161088"/>
      <w:bookmarkStart w:id="65" w:name="_Toc23162039"/>
      <w:bookmarkStart w:id="66" w:name="_Toc23325358"/>
      <w:bookmarkStart w:id="67" w:name="_Toc24106598"/>
      <w:bookmarkStart w:id="68" w:name="_Toc25747988"/>
      <w:bookmarkStart w:id="69" w:name="_Toc26945844"/>
      <w:bookmarkStart w:id="70" w:name="_Toc26947920"/>
      <w:r w:rsidRPr="000547FB">
        <w:rPr>
          <w:rStyle w:val="APRANORMALChar"/>
          <w:rFonts w:ascii="DIN OT Medium" w:hAnsi="DIN OT Medium"/>
          <w:lang w:val="en-AU"/>
        </w:rPr>
        <w:t>3.</w:t>
      </w:r>
      <w:r w:rsidR="001B3B88">
        <w:rPr>
          <w:rStyle w:val="APRANORMALChar"/>
          <w:rFonts w:ascii="DIN OT Medium" w:hAnsi="DIN OT Medium"/>
          <w:lang w:val="en-AU"/>
        </w:rPr>
        <w:t>2</w:t>
      </w:r>
      <w:r w:rsidRPr="000547FB">
        <w:rPr>
          <w:rStyle w:val="APRANORMALChar"/>
          <w:rFonts w:ascii="DIN OT Medium" w:hAnsi="DIN OT Medium"/>
          <w:lang w:val="en-AU"/>
        </w:rPr>
        <w:tab/>
      </w:r>
      <w:r w:rsidRPr="000547FB">
        <w:t xml:space="preserve">Credit </w:t>
      </w:r>
      <w:r>
        <w:t>assessment an</w:t>
      </w:r>
      <w:r w:rsidR="00155402">
        <w:t>d</w:t>
      </w:r>
      <w:r>
        <w:t xml:space="preserve"> approval</w:t>
      </w:r>
      <w:bookmarkEnd w:id="62"/>
      <w:bookmarkEnd w:id="63"/>
      <w:bookmarkEnd w:id="64"/>
      <w:bookmarkEnd w:id="65"/>
      <w:bookmarkEnd w:id="66"/>
      <w:bookmarkEnd w:id="67"/>
      <w:bookmarkEnd w:id="68"/>
      <w:bookmarkEnd w:id="69"/>
      <w:bookmarkEnd w:id="70"/>
    </w:p>
    <w:p w14:paraId="0A82C1DF" w14:textId="03659185" w:rsidR="00F62F08" w:rsidRPr="00F64CB6" w:rsidRDefault="00052F41" w:rsidP="00F64CB6">
      <w:pPr>
        <w:pStyle w:val="APRANORMAL"/>
        <w:rPr>
          <w:rStyle w:val="APRANORMALChar"/>
        </w:rPr>
      </w:pPr>
      <w:r w:rsidRPr="00F64CB6">
        <w:rPr>
          <w:rStyle w:val="APRANORMALChar"/>
        </w:rPr>
        <w:t xml:space="preserve">In the draft APS 220, APRA proposed specific requirements for credit standards. These requirements were </w:t>
      </w:r>
      <w:r w:rsidR="00155402" w:rsidRPr="00F64CB6">
        <w:rPr>
          <w:rStyle w:val="APRANORMALChar"/>
        </w:rPr>
        <w:t>d</w:t>
      </w:r>
      <w:r w:rsidRPr="00F64CB6">
        <w:rPr>
          <w:rStyle w:val="APRANORMALChar"/>
        </w:rPr>
        <w:t>rawn from APRA’s previous pronouncements on credit risk, particularly its recent supervisory measures to reinforce sound residential mortgage lending practices.</w:t>
      </w:r>
      <w:r w:rsidR="00F62F08" w:rsidRPr="00F64CB6">
        <w:rPr>
          <w:rStyle w:val="APRANORMALChar"/>
        </w:rPr>
        <w:t xml:space="preserve"> </w:t>
      </w:r>
    </w:p>
    <w:p w14:paraId="649CFD76" w14:textId="39E0CB7C" w:rsidR="00F62F08" w:rsidRPr="00F64CB6" w:rsidRDefault="00F62F08" w:rsidP="00F64CB6">
      <w:pPr>
        <w:pStyle w:val="APRANORMAL"/>
        <w:rPr>
          <w:rStyle w:val="APRANORMALChar"/>
        </w:rPr>
      </w:pPr>
      <w:r w:rsidRPr="00F64CB6">
        <w:rPr>
          <w:rStyle w:val="APRANORMALChar"/>
        </w:rPr>
        <w:t>The draft APS 220 distinguishes credit assessment of ‘exposures to individuals’ and ‘exposures to other than individuals’.</w:t>
      </w:r>
    </w:p>
    <w:p w14:paraId="31F9D263" w14:textId="77777777" w:rsidR="00BF0950" w:rsidRDefault="00BF0950" w:rsidP="00BF0950">
      <w:pPr>
        <w:pStyle w:val="APRAHEADING3"/>
      </w:pPr>
      <w:bookmarkStart w:id="71" w:name="_Toc23158206"/>
      <w:bookmarkStart w:id="72" w:name="_Toc23161089"/>
      <w:bookmarkStart w:id="73" w:name="_Toc23162040"/>
      <w:bookmarkStart w:id="74" w:name="_Toc23325359"/>
      <w:bookmarkStart w:id="75" w:name="_Toc24106599"/>
      <w:bookmarkStart w:id="76" w:name="_Toc25747989"/>
      <w:bookmarkStart w:id="77" w:name="_Toc26945845"/>
      <w:bookmarkStart w:id="78" w:name="_Toc26947921"/>
      <w:r>
        <w:t>Comments received</w:t>
      </w:r>
      <w:bookmarkEnd w:id="71"/>
      <w:bookmarkEnd w:id="72"/>
      <w:bookmarkEnd w:id="73"/>
      <w:bookmarkEnd w:id="74"/>
      <w:bookmarkEnd w:id="75"/>
      <w:bookmarkEnd w:id="76"/>
      <w:bookmarkEnd w:id="77"/>
      <w:bookmarkEnd w:id="78"/>
    </w:p>
    <w:p w14:paraId="782C05E5" w14:textId="0E7F8815" w:rsidR="00AF74B5" w:rsidRDefault="00DC5810" w:rsidP="00F64CB6">
      <w:pPr>
        <w:pStyle w:val="APRANORMAL"/>
      </w:pPr>
      <w:r w:rsidRPr="00F64CB6">
        <w:rPr>
          <w:rStyle w:val="APRANORMALChar"/>
        </w:rPr>
        <w:t xml:space="preserve">Some </w:t>
      </w:r>
      <w:r w:rsidR="00392B68" w:rsidRPr="00F64CB6">
        <w:rPr>
          <w:rStyle w:val="APRANORMALChar"/>
        </w:rPr>
        <w:t>submission</w:t>
      </w:r>
      <w:r w:rsidRPr="00F64CB6">
        <w:rPr>
          <w:rStyle w:val="APRANORMALChar"/>
        </w:rPr>
        <w:t>s</w:t>
      </w:r>
      <w:r w:rsidR="00392B68" w:rsidRPr="00F64CB6">
        <w:rPr>
          <w:rStyle w:val="APRANORMALChar"/>
        </w:rPr>
        <w:t xml:space="preserve"> commented</w:t>
      </w:r>
      <w:r w:rsidRPr="00F64CB6">
        <w:rPr>
          <w:rStyle w:val="APRANORMALChar"/>
        </w:rPr>
        <w:t xml:space="preserve"> that the </w:t>
      </w:r>
      <w:r w:rsidR="00BF0950" w:rsidRPr="00F64CB6">
        <w:rPr>
          <w:rStyle w:val="APRANORMALChar"/>
        </w:rPr>
        <w:t xml:space="preserve">proposed </w:t>
      </w:r>
      <w:r w:rsidRPr="00F64CB6">
        <w:rPr>
          <w:rStyle w:val="APRANORMALChar"/>
        </w:rPr>
        <w:t>requirements for ‘exposures to individuals’ should not apply to small and medium enterprise (SME)</w:t>
      </w:r>
      <w:r w:rsidR="0089271C" w:rsidRPr="00F64CB6">
        <w:rPr>
          <w:rStyle w:val="APRANORMALChar"/>
        </w:rPr>
        <w:t xml:space="preserve"> lending</w:t>
      </w:r>
      <w:r w:rsidR="001841B6" w:rsidRPr="00F64CB6">
        <w:rPr>
          <w:rStyle w:val="APRANORMALChar"/>
        </w:rPr>
        <w:t>.</w:t>
      </w:r>
      <w:r w:rsidR="00A71E28" w:rsidRPr="00F64CB6">
        <w:t xml:space="preserve"> </w:t>
      </w:r>
    </w:p>
    <w:p w14:paraId="01805A7E" w14:textId="77777777" w:rsidR="00712B11" w:rsidRDefault="00DB5D49" w:rsidP="00F64CB6">
      <w:pPr>
        <w:pStyle w:val="APRANORMAL"/>
      </w:pPr>
      <w:r>
        <w:t xml:space="preserve">It was also </w:t>
      </w:r>
      <w:r w:rsidR="00B20C9D">
        <w:t xml:space="preserve">suggested </w:t>
      </w:r>
      <w:r>
        <w:t xml:space="preserve">that </w:t>
      </w:r>
      <w:r w:rsidR="00B20C9D">
        <w:t>the draft</w:t>
      </w:r>
      <w:r>
        <w:t xml:space="preserve"> APS 220 </w:t>
      </w:r>
      <w:r w:rsidR="00B20C9D">
        <w:t xml:space="preserve">should refer to an ADI undertaking ‘reasonable </w:t>
      </w:r>
      <w:r w:rsidR="00712B11">
        <w:t>steps</w:t>
      </w:r>
      <w:r w:rsidR="00B20C9D">
        <w:t>’ to verify borrower information.</w:t>
      </w:r>
      <w:r w:rsidR="00712B11">
        <w:t xml:space="preserve"> </w:t>
      </w:r>
    </w:p>
    <w:p w14:paraId="25A54302" w14:textId="341C5290" w:rsidR="00211FCD" w:rsidRPr="00F64CB6" w:rsidRDefault="00392B68" w:rsidP="00F64CB6">
      <w:pPr>
        <w:pStyle w:val="APRANORMAL"/>
      </w:pPr>
      <w:r w:rsidRPr="00F64CB6">
        <w:rPr>
          <w:rStyle w:val="APRANORMALChar"/>
        </w:rPr>
        <w:lastRenderedPageBreak/>
        <w:t xml:space="preserve">Clarification was </w:t>
      </w:r>
      <w:r w:rsidR="001A5DAB" w:rsidRPr="00F64CB6">
        <w:rPr>
          <w:rStyle w:val="APRANORMALChar"/>
        </w:rPr>
        <w:t xml:space="preserve">also </w:t>
      </w:r>
      <w:r w:rsidRPr="00F64CB6">
        <w:rPr>
          <w:rStyle w:val="APRANORMALChar"/>
        </w:rPr>
        <w:t>sought as to whether the proposed requirements</w:t>
      </w:r>
      <w:r w:rsidR="001841B6" w:rsidRPr="00F64CB6">
        <w:rPr>
          <w:rStyle w:val="APRANORMALChar"/>
        </w:rPr>
        <w:t xml:space="preserve"> for</w:t>
      </w:r>
      <w:r w:rsidRPr="00F64CB6">
        <w:rPr>
          <w:rStyle w:val="APRANORMALChar"/>
        </w:rPr>
        <w:t xml:space="preserve"> </w:t>
      </w:r>
      <w:r w:rsidR="001841B6" w:rsidRPr="00F64CB6">
        <w:rPr>
          <w:rStyle w:val="APRANORMALChar"/>
        </w:rPr>
        <w:t xml:space="preserve">‘exposures other than to individuals’ </w:t>
      </w:r>
      <w:r w:rsidRPr="00F64CB6">
        <w:rPr>
          <w:rStyle w:val="APRANORMALChar"/>
        </w:rPr>
        <w:t xml:space="preserve">should be read in conjunction with </w:t>
      </w:r>
      <w:r w:rsidR="001A5DAB" w:rsidRPr="00F64CB6">
        <w:rPr>
          <w:rStyle w:val="APRANORMALChar"/>
        </w:rPr>
        <w:t xml:space="preserve">preceding paragraphs in the draft APS </w:t>
      </w:r>
      <w:r w:rsidR="001841B6" w:rsidRPr="00F64CB6">
        <w:rPr>
          <w:rStyle w:val="APRANORMALChar"/>
        </w:rPr>
        <w:t>2</w:t>
      </w:r>
      <w:r w:rsidR="001A5DAB" w:rsidRPr="00F64CB6">
        <w:rPr>
          <w:rStyle w:val="APRANORMALChar"/>
        </w:rPr>
        <w:t>20 that provide</w:t>
      </w:r>
      <w:r w:rsidRPr="00F64CB6">
        <w:rPr>
          <w:rStyle w:val="APRANORMALChar"/>
        </w:rPr>
        <w:t xml:space="preserve"> for</w:t>
      </w:r>
      <w:r w:rsidR="001A5DAB" w:rsidRPr="00F64CB6">
        <w:rPr>
          <w:rStyle w:val="APRANORMALChar"/>
        </w:rPr>
        <w:t xml:space="preserve"> credit</w:t>
      </w:r>
      <w:r w:rsidRPr="00F64CB6">
        <w:rPr>
          <w:rStyle w:val="APRANORMALChar"/>
        </w:rPr>
        <w:t xml:space="preserve"> assessment to be proportionate to the nature, type and size of the exposure</w:t>
      </w:r>
      <w:r w:rsidR="001A5DAB" w:rsidRPr="00F64CB6">
        <w:rPr>
          <w:rStyle w:val="APRANORMALChar"/>
        </w:rPr>
        <w:t>.</w:t>
      </w:r>
      <w:r w:rsidR="00211FCD" w:rsidRPr="00F64CB6">
        <w:t xml:space="preserve"> </w:t>
      </w:r>
    </w:p>
    <w:p w14:paraId="2520B123" w14:textId="222353B4" w:rsidR="00392B68" w:rsidRPr="00F64CB6" w:rsidRDefault="00211FCD" w:rsidP="00F64CB6">
      <w:pPr>
        <w:pStyle w:val="APRANORMAL"/>
        <w:rPr>
          <w:rStyle w:val="APRANORMALChar"/>
        </w:rPr>
      </w:pPr>
      <w:r w:rsidRPr="00F64CB6">
        <w:t xml:space="preserve">It was also commented that the draft </w:t>
      </w:r>
      <w:r w:rsidRPr="00F64CB6">
        <w:rPr>
          <w:rStyle w:val="APRANORMALChar"/>
        </w:rPr>
        <w:t>APS 220 may restrict innovation and competition by imposing inflexible obligations on ADIs which are not ‘scalable’, particularly for credit cards and other smaller loan types.</w:t>
      </w:r>
    </w:p>
    <w:p w14:paraId="76AA1B70" w14:textId="2E67C44A" w:rsidR="003E7B94" w:rsidRPr="00F64CB6" w:rsidRDefault="003E7B94" w:rsidP="00F64CB6">
      <w:pPr>
        <w:pStyle w:val="APRANORMAL"/>
        <w:rPr>
          <w:rStyle w:val="APRANORMALChar"/>
        </w:rPr>
      </w:pPr>
      <w:r w:rsidRPr="00F64CB6">
        <w:rPr>
          <w:rStyle w:val="APRANORMALChar"/>
        </w:rPr>
        <w:t>Another submission noted that not all credit assessments for ‘exposures other than to individuals’ w</w:t>
      </w:r>
      <w:r w:rsidR="00FC69E6" w:rsidRPr="00F64CB6">
        <w:rPr>
          <w:rStyle w:val="APRANORMALChar"/>
        </w:rPr>
        <w:t>ould</w:t>
      </w:r>
      <w:r w:rsidRPr="00F64CB6">
        <w:rPr>
          <w:rStyle w:val="APRANORMALChar"/>
        </w:rPr>
        <w:t xml:space="preserve"> include an assessment of historical financials and future cash flows.</w:t>
      </w:r>
    </w:p>
    <w:p w14:paraId="314ED880" w14:textId="77777777" w:rsidR="00306EAF" w:rsidRDefault="00306EAF" w:rsidP="00306EAF">
      <w:pPr>
        <w:pStyle w:val="APRAHEADING3"/>
      </w:pPr>
      <w:bookmarkStart w:id="79" w:name="_Toc22208540"/>
      <w:bookmarkStart w:id="80" w:name="_Toc23158207"/>
      <w:bookmarkStart w:id="81" w:name="_Toc23161090"/>
      <w:bookmarkStart w:id="82" w:name="_Toc23162041"/>
      <w:bookmarkStart w:id="83" w:name="_Toc23325360"/>
      <w:bookmarkStart w:id="84" w:name="_Toc24106600"/>
      <w:bookmarkStart w:id="85" w:name="_Toc25747990"/>
      <w:bookmarkStart w:id="86" w:name="_Toc26945846"/>
      <w:bookmarkStart w:id="87" w:name="_Toc26947922"/>
      <w:r>
        <w:t>APRA response</w:t>
      </w:r>
      <w:bookmarkEnd w:id="79"/>
      <w:bookmarkEnd w:id="80"/>
      <w:bookmarkEnd w:id="81"/>
      <w:bookmarkEnd w:id="82"/>
      <w:bookmarkEnd w:id="83"/>
      <w:bookmarkEnd w:id="84"/>
      <w:bookmarkEnd w:id="85"/>
      <w:bookmarkEnd w:id="86"/>
      <w:bookmarkEnd w:id="87"/>
    </w:p>
    <w:p w14:paraId="48FE1E33" w14:textId="77777777" w:rsidR="007C519F" w:rsidRDefault="00805D11" w:rsidP="00380857">
      <w:pPr>
        <w:pStyle w:val="APRANORMAL"/>
        <w:rPr>
          <w:rStyle w:val="APRANORMALChar"/>
        </w:rPr>
      </w:pPr>
      <w:r w:rsidRPr="00805D11">
        <w:rPr>
          <w:rStyle w:val="APRANORMALChar"/>
        </w:rPr>
        <w:t xml:space="preserve">APRA expects an ADI’s assessment of a borrower’s credit risk would consider and be proportionate to the nature, type and size of the exposure. </w:t>
      </w:r>
      <w:r w:rsidR="0096311B">
        <w:rPr>
          <w:rStyle w:val="APRANORMALChar"/>
        </w:rPr>
        <w:t xml:space="preserve">An ADI </w:t>
      </w:r>
      <w:r w:rsidR="00DC59C7">
        <w:rPr>
          <w:rStyle w:val="APRANORMALChar"/>
        </w:rPr>
        <w:t xml:space="preserve">would be expected to </w:t>
      </w:r>
      <w:r w:rsidRPr="00805D11">
        <w:rPr>
          <w:rStyle w:val="APRANORMALChar"/>
        </w:rPr>
        <w:t>exercise experienced credit judgement</w:t>
      </w:r>
      <w:r>
        <w:rPr>
          <w:rStyle w:val="APRANORMALChar"/>
        </w:rPr>
        <w:t xml:space="preserve"> in considering the credit </w:t>
      </w:r>
      <w:r w:rsidR="002C11F8">
        <w:rPr>
          <w:rStyle w:val="APRANORMALChar"/>
        </w:rPr>
        <w:t xml:space="preserve">risk </w:t>
      </w:r>
      <w:r w:rsidR="00DC59C7">
        <w:rPr>
          <w:rStyle w:val="APRANORMALChar"/>
        </w:rPr>
        <w:t>relevant to each exposure</w:t>
      </w:r>
      <w:r w:rsidR="00C51598">
        <w:rPr>
          <w:rStyle w:val="APRANORMALChar"/>
        </w:rPr>
        <w:t xml:space="preserve"> as n</w:t>
      </w:r>
      <w:r w:rsidR="00C51598">
        <w:t>ot all aspects of the requirements would be relevant to certain credit products and activities.</w:t>
      </w:r>
      <w:r w:rsidR="00D9513C">
        <w:t xml:space="preserve"> </w:t>
      </w:r>
      <w:r w:rsidR="00380857" w:rsidRPr="00C51598">
        <w:rPr>
          <w:rStyle w:val="APRANORMALChar"/>
        </w:rPr>
        <w:t xml:space="preserve">The final APS 220 has been amended to </w:t>
      </w:r>
      <w:r w:rsidR="00D9513C">
        <w:rPr>
          <w:rStyle w:val="APRANORMALChar"/>
        </w:rPr>
        <w:t>clarify this</w:t>
      </w:r>
      <w:r w:rsidR="00380857" w:rsidRPr="00C51598">
        <w:rPr>
          <w:rStyle w:val="APRANORMALChar"/>
        </w:rPr>
        <w:t xml:space="preserve"> scalable and flexible approach to credit assessment.</w:t>
      </w:r>
      <w:r w:rsidR="00380857">
        <w:rPr>
          <w:rStyle w:val="APRANORMALChar"/>
        </w:rPr>
        <w:t xml:space="preserve"> </w:t>
      </w:r>
    </w:p>
    <w:p w14:paraId="5AC8D23A" w14:textId="2EB128F4" w:rsidR="007D6F0A" w:rsidRDefault="007D6F0A" w:rsidP="00380857">
      <w:pPr>
        <w:pStyle w:val="APRANORMAL"/>
        <w:rPr>
          <w:rStyle w:val="APRANORMALChar"/>
        </w:rPr>
      </w:pPr>
      <w:r>
        <w:rPr>
          <w:rStyle w:val="APRANORMALChar"/>
        </w:rPr>
        <w:t xml:space="preserve">APRA </w:t>
      </w:r>
      <w:r w:rsidRPr="007C519F">
        <w:rPr>
          <w:rStyle w:val="APRANORMALChar"/>
        </w:rPr>
        <w:t xml:space="preserve">has </w:t>
      </w:r>
      <w:r w:rsidR="007C519F" w:rsidRPr="007C519F">
        <w:rPr>
          <w:rStyle w:val="APRANORMALChar"/>
        </w:rPr>
        <w:t xml:space="preserve">also </w:t>
      </w:r>
      <w:r w:rsidRPr="007C519F">
        <w:rPr>
          <w:rStyle w:val="APRANORMALChar"/>
        </w:rPr>
        <w:t>reworded the final APS 220 so that an ADI</w:t>
      </w:r>
      <w:r w:rsidR="00E12175" w:rsidRPr="007C519F">
        <w:t xml:space="preserve"> would </w:t>
      </w:r>
      <w:r w:rsidR="00343789">
        <w:t xml:space="preserve">make ‘reasonable inquiries’ and </w:t>
      </w:r>
      <w:r w:rsidR="00E12175" w:rsidRPr="007C519F">
        <w:rPr>
          <w:rStyle w:val="APRANORMALChar"/>
        </w:rPr>
        <w:t xml:space="preserve">take </w:t>
      </w:r>
      <w:r w:rsidR="007C519F">
        <w:rPr>
          <w:rStyle w:val="APRANORMALChar"/>
        </w:rPr>
        <w:t>‘</w:t>
      </w:r>
      <w:r w:rsidR="00E12175" w:rsidRPr="007C519F">
        <w:rPr>
          <w:rStyle w:val="APRANORMALChar"/>
        </w:rPr>
        <w:t>reasonable steps</w:t>
      </w:r>
      <w:r w:rsidR="007C519F">
        <w:rPr>
          <w:rStyle w:val="APRANORMALChar"/>
        </w:rPr>
        <w:t>’</w:t>
      </w:r>
      <w:r w:rsidR="00E12175" w:rsidRPr="007C519F">
        <w:rPr>
          <w:rStyle w:val="APRANORMALChar"/>
        </w:rPr>
        <w:t xml:space="preserve"> to verify a borrower’s financial </w:t>
      </w:r>
      <w:r w:rsidR="00712B11" w:rsidRPr="007C519F">
        <w:rPr>
          <w:rStyle w:val="APRANORMALChar"/>
        </w:rPr>
        <w:t>situation.</w:t>
      </w:r>
    </w:p>
    <w:p w14:paraId="5231264F" w14:textId="41213DFA" w:rsidR="00DC59C7" w:rsidRDefault="0021759B" w:rsidP="00F64CB6">
      <w:pPr>
        <w:pStyle w:val="APRANORMAL"/>
        <w:rPr>
          <w:rStyle w:val="APRANORMALChar"/>
        </w:rPr>
      </w:pPr>
      <w:r w:rsidRPr="00F64CB6">
        <w:rPr>
          <w:rStyle w:val="APRANORMALChar"/>
        </w:rPr>
        <w:t xml:space="preserve">APRA has </w:t>
      </w:r>
      <w:r w:rsidR="007D6F0A">
        <w:rPr>
          <w:rStyle w:val="APRANORMALChar"/>
        </w:rPr>
        <w:t xml:space="preserve">also </w:t>
      </w:r>
      <w:r w:rsidRPr="00F64CB6">
        <w:rPr>
          <w:rStyle w:val="APRANORMALChar"/>
        </w:rPr>
        <w:t xml:space="preserve">provided guidance in </w:t>
      </w:r>
      <w:r w:rsidR="00430D9F" w:rsidRPr="00F64CB6">
        <w:rPr>
          <w:rStyle w:val="APRANORMALChar"/>
        </w:rPr>
        <w:t xml:space="preserve">the </w:t>
      </w:r>
      <w:r w:rsidRPr="00F64CB6">
        <w:rPr>
          <w:rStyle w:val="APRANORMALChar"/>
        </w:rPr>
        <w:t>draft APG 22</w:t>
      </w:r>
      <w:r w:rsidR="003B12CB">
        <w:rPr>
          <w:rStyle w:val="APRANORMALChar"/>
        </w:rPr>
        <w:t xml:space="preserve">0 </w:t>
      </w:r>
      <w:r w:rsidRPr="00F64CB6">
        <w:rPr>
          <w:rStyle w:val="APRANORMALChar"/>
        </w:rPr>
        <w:t>of its expectations of an ADI’s credit assessment</w:t>
      </w:r>
      <w:r w:rsidR="009D1BC2" w:rsidRPr="00F64CB6">
        <w:rPr>
          <w:rStyle w:val="APRANORMALChar"/>
        </w:rPr>
        <w:t xml:space="preserve">. </w:t>
      </w:r>
      <w:r w:rsidR="0096311B">
        <w:rPr>
          <w:rStyle w:val="APRANORMALChar"/>
        </w:rPr>
        <w:t xml:space="preserve">For example, APRA </w:t>
      </w:r>
      <w:r w:rsidR="0096311B" w:rsidRPr="0096311B">
        <w:rPr>
          <w:rStyle w:val="APRANORMALChar"/>
        </w:rPr>
        <w:t xml:space="preserve">would not expect the same comprehensive credit assessment be undertaken for a </w:t>
      </w:r>
      <w:r w:rsidR="003832F9">
        <w:rPr>
          <w:rStyle w:val="APRANORMALChar"/>
        </w:rPr>
        <w:t>commercial loan</w:t>
      </w:r>
      <w:r w:rsidR="0096311B" w:rsidRPr="0096311B">
        <w:rPr>
          <w:rStyle w:val="APRANORMALChar"/>
        </w:rPr>
        <w:t xml:space="preserve"> and a small unsecured personal loan.</w:t>
      </w:r>
    </w:p>
    <w:p w14:paraId="77CB0307" w14:textId="17216DC5" w:rsidR="003E7B94" w:rsidRPr="00F64CB6" w:rsidRDefault="009D1BC2" w:rsidP="00F64CB6">
      <w:pPr>
        <w:pStyle w:val="APRANORMAL"/>
        <w:rPr>
          <w:rStyle w:val="APRANORMALChar"/>
        </w:rPr>
      </w:pPr>
      <w:r w:rsidRPr="00F64CB6">
        <w:rPr>
          <w:rStyle w:val="APRANORMALChar"/>
        </w:rPr>
        <w:t xml:space="preserve">In regard to an ADI’s assessment of a borrower’s historical financial and future cash flows, </w:t>
      </w:r>
      <w:r w:rsidR="00C51598">
        <w:rPr>
          <w:rStyle w:val="APRANORMALChar"/>
        </w:rPr>
        <w:t xml:space="preserve">the </w:t>
      </w:r>
      <w:r w:rsidR="00C51598" w:rsidRPr="00F64CB6">
        <w:rPr>
          <w:rStyle w:val="APRANORMALChar"/>
        </w:rPr>
        <w:t>draft APG 22</w:t>
      </w:r>
      <w:r w:rsidR="00C51598">
        <w:rPr>
          <w:rStyle w:val="APRANORMALChar"/>
        </w:rPr>
        <w:t xml:space="preserve">0 notes that </w:t>
      </w:r>
      <w:r w:rsidR="00692FA0" w:rsidRPr="00F64CB6">
        <w:rPr>
          <w:rStyle w:val="APRANORMALChar"/>
        </w:rPr>
        <w:t>start</w:t>
      </w:r>
      <w:r w:rsidR="003E7B94" w:rsidRPr="00F64CB6">
        <w:rPr>
          <w:rStyle w:val="APRANORMALChar"/>
        </w:rPr>
        <w:t>-up businesses would typically provide cash flow projections only; for existing businesses an ADI may also rely on historical performance of the business for credit assessment purposes</w:t>
      </w:r>
      <w:r w:rsidR="0021759B" w:rsidRPr="00F64CB6">
        <w:rPr>
          <w:rStyle w:val="APRANORMALChar"/>
        </w:rPr>
        <w:t>.</w:t>
      </w:r>
    </w:p>
    <w:p w14:paraId="3835F474" w14:textId="7E093356" w:rsidR="004D2998" w:rsidRDefault="004D2998" w:rsidP="00D371B3">
      <w:pPr>
        <w:pStyle w:val="APRANORMAL"/>
        <w:rPr>
          <w:rStyle w:val="APRANORMALChar"/>
        </w:rPr>
      </w:pPr>
      <w:r>
        <w:rPr>
          <w:rStyle w:val="APRANORMALChar"/>
        </w:rPr>
        <w:br w:type="page"/>
      </w:r>
    </w:p>
    <w:p w14:paraId="7A8A1213" w14:textId="36C160ED" w:rsidR="00870BCE" w:rsidRPr="00A1646A" w:rsidRDefault="00870BCE" w:rsidP="00870BCE">
      <w:pPr>
        <w:pStyle w:val="APRAHEADING1"/>
        <w:rPr>
          <w:rStyle w:val="APRANORMALChar"/>
          <w:rFonts w:ascii="DIN OT Medium" w:hAnsi="DIN OT Medium"/>
          <w:lang w:val="en-AU"/>
        </w:rPr>
      </w:pPr>
      <w:bookmarkStart w:id="88" w:name="_Toc26947923"/>
      <w:r w:rsidRPr="00A1646A">
        <w:rPr>
          <w:rStyle w:val="APRANORMALChar"/>
          <w:rFonts w:ascii="DIN OT Medium" w:hAnsi="DIN OT Medium"/>
          <w:lang w:val="en-AU"/>
        </w:rPr>
        <w:lastRenderedPageBreak/>
        <w:t xml:space="preserve">Chapter </w:t>
      </w:r>
      <w:r>
        <w:rPr>
          <w:rStyle w:val="APRANORMALChar"/>
          <w:rFonts w:ascii="DIN OT Medium" w:hAnsi="DIN OT Medium"/>
          <w:lang w:val="en-AU"/>
        </w:rPr>
        <w:t>4</w:t>
      </w:r>
      <w:r w:rsidRPr="00A1646A">
        <w:rPr>
          <w:rStyle w:val="APRANORMALChar"/>
          <w:rFonts w:ascii="DIN OT Medium" w:hAnsi="DIN OT Medium"/>
          <w:lang w:val="en-AU"/>
        </w:rPr>
        <w:t xml:space="preserve"> </w:t>
      </w:r>
      <w:r>
        <w:rPr>
          <w:rStyle w:val="APRANORMALChar"/>
          <w:rFonts w:ascii="DIN OT Medium" w:hAnsi="DIN OT Medium"/>
          <w:lang w:val="en-AU"/>
        </w:rPr>
        <w:t>–</w:t>
      </w:r>
      <w:r w:rsidRPr="00A1646A">
        <w:rPr>
          <w:rStyle w:val="APRANORMALChar"/>
          <w:rFonts w:ascii="DIN OT Medium" w:hAnsi="DIN OT Medium"/>
          <w:lang w:val="en-AU"/>
        </w:rPr>
        <w:t xml:space="preserve"> </w:t>
      </w:r>
      <w:r>
        <w:rPr>
          <w:rStyle w:val="APRANORMALChar"/>
          <w:rFonts w:ascii="DIN OT Medium" w:hAnsi="DIN OT Medium"/>
          <w:lang w:val="en-AU"/>
        </w:rPr>
        <w:t>Collateral valuations</w:t>
      </w:r>
      <w:bookmarkEnd w:id="88"/>
    </w:p>
    <w:p w14:paraId="683A7A97" w14:textId="3A9DABD3" w:rsidR="00DF40DE" w:rsidRPr="000547FB" w:rsidRDefault="00DF40DE" w:rsidP="00DF40DE">
      <w:pPr>
        <w:pStyle w:val="APRAHEADING2"/>
      </w:pPr>
      <w:bookmarkStart w:id="89" w:name="_Toc23158209"/>
      <w:bookmarkStart w:id="90" w:name="_Toc23161092"/>
      <w:bookmarkStart w:id="91" w:name="_Toc23162043"/>
      <w:bookmarkStart w:id="92" w:name="_Toc23325362"/>
      <w:bookmarkStart w:id="93" w:name="_Toc24106602"/>
      <w:bookmarkStart w:id="94" w:name="_Toc25747992"/>
      <w:bookmarkStart w:id="95" w:name="_Toc26945848"/>
      <w:bookmarkStart w:id="96" w:name="_Toc26947924"/>
      <w:r>
        <w:t>4</w:t>
      </w:r>
      <w:r w:rsidRPr="000547FB">
        <w:rPr>
          <w:rStyle w:val="APRANORMALChar"/>
          <w:rFonts w:ascii="DIN OT Medium" w:hAnsi="DIN OT Medium"/>
          <w:lang w:val="en-AU"/>
        </w:rPr>
        <w:t>.1</w:t>
      </w:r>
      <w:r w:rsidRPr="000547FB">
        <w:rPr>
          <w:rStyle w:val="APRANORMALChar"/>
          <w:rFonts w:ascii="DIN OT Medium" w:hAnsi="DIN OT Medium"/>
          <w:lang w:val="en-AU"/>
        </w:rPr>
        <w:tab/>
      </w:r>
      <w:r w:rsidR="00507C7A">
        <w:rPr>
          <w:rStyle w:val="APRANORMALChar"/>
          <w:rFonts w:ascii="DIN OT Medium" w:hAnsi="DIN OT Medium"/>
          <w:lang w:val="en-AU"/>
        </w:rPr>
        <w:t>Independent valuation</w:t>
      </w:r>
      <w:r w:rsidR="005B37F3">
        <w:rPr>
          <w:rStyle w:val="APRANORMALChar"/>
          <w:rFonts w:ascii="DIN OT Medium" w:hAnsi="DIN OT Medium"/>
          <w:lang w:val="en-AU"/>
        </w:rPr>
        <w:t>s</w:t>
      </w:r>
      <w:bookmarkEnd w:id="89"/>
      <w:bookmarkEnd w:id="90"/>
      <w:bookmarkEnd w:id="91"/>
      <w:bookmarkEnd w:id="92"/>
      <w:bookmarkEnd w:id="93"/>
      <w:bookmarkEnd w:id="94"/>
      <w:bookmarkEnd w:id="95"/>
      <w:bookmarkEnd w:id="96"/>
    </w:p>
    <w:p w14:paraId="43D1F272" w14:textId="1341C26A" w:rsidR="00DF40DE" w:rsidRPr="00F64CB6" w:rsidRDefault="00DF40DE" w:rsidP="00F64CB6">
      <w:pPr>
        <w:pStyle w:val="APRANORMAL"/>
      </w:pPr>
      <w:r w:rsidRPr="00F64CB6">
        <w:t>In the draft APS 220, APRA proposed that an ADI must ensure all valuations are appraised independently from the ADI’s credit origination, credit assessment and approval process.</w:t>
      </w:r>
      <w:r w:rsidR="004821BF" w:rsidRPr="004821BF">
        <w:t xml:space="preserve"> Conflict of interest is evident if persons who undertake the valuation are the same as those who are involved in the origination, assessment and approval of the exposure</w:t>
      </w:r>
      <w:r w:rsidR="004821BF">
        <w:t>.</w:t>
      </w:r>
    </w:p>
    <w:p w14:paraId="684EE9F6" w14:textId="77777777" w:rsidR="00DF40DE" w:rsidRDefault="00DF40DE" w:rsidP="00DF40DE">
      <w:pPr>
        <w:pStyle w:val="APRAHEADING3"/>
      </w:pPr>
      <w:bookmarkStart w:id="97" w:name="_Toc23158210"/>
      <w:bookmarkStart w:id="98" w:name="_Toc23161093"/>
      <w:bookmarkStart w:id="99" w:name="_Toc23162044"/>
      <w:bookmarkStart w:id="100" w:name="_Toc23325363"/>
      <w:bookmarkStart w:id="101" w:name="_Toc24106603"/>
      <w:bookmarkStart w:id="102" w:name="_Toc25747993"/>
      <w:bookmarkStart w:id="103" w:name="_Toc26945849"/>
      <w:bookmarkStart w:id="104" w:name="_Toc26947925"/>
      <w:r>
        <w:t>Comments received</w:t>
      </w:r>
      <w:bookmarkEnd w:id="97"/>
      <w:bookmarkEnd w:id="98"/>
      <w:bookmarkEnd w:id="99"/>
      <w:bookmarkEnd w:id="100"/>
      <w:bookmarkEnd w:id="101"/>
      <w:bookmarkEnd w:id="102"/>
      <w:bookmarkEnd w:id="103"/>
      <w:bookmarkEnd w:id="104"/>
    </w:p>
    <w:p w14:paraId="36726772" w14:textId="2A81E364" w:rsidR="00DF40DE" w:rsidRPr="00F64CB6" w:rsidRDefault="00507C7A" w:rsidP="00F64CB6">
      <w:pPr>
        <w:pStyle w:val="APRANORMAL"/>
        <w:rPr>
          <w:rStyle w:val="APRANORMALChar"/>
        </w:rPr>
      </w:pPr>
      <w:r w:rsidRPr="00F64CB6">
        <w:rPr>
          <w:rStyle w:val="APRANORMALChar"/>
        </w:rPr>
        <w:t>Some submissions sought conf</w:t>
      </w:r>
      <w:r w:rsidR="003B12CB">
        <w:rPr>
          <w:rStyle w:val="APRANORMALChar"/>
        </w:rPr>
        <w:t>i</w:t>
      </w:r>
      <w:r w:rsidRPr="00F64CB6">
        <w:rPr>
          <w:rStyle w:val="APRANORMALChar"/>
        </w:rPr>
        <w:t>rmation that this proposal meant that a property must be valued (appraised) by someone independent and did not mean that the valuation itself must be determined independently and then appraised by an independent person as a second review.</w:t>
      </w:r>
    </w:p>
    <w:p w14:paraId="5845C0D2" w14:textId="11D0D380" w:rsidR="00021995" w:rsidRPr="00F64CB6" w:rsidRDefault="00021995" w:rsidP="00F64CB6">
      <w:pPr>
        <w:pStyle w:val="APRANORMAL"/>
        <w:rPr>
          <w:rStyle w:val="APRANORMALChar"/>
        </w:rPr>
      </w:pPr>
      <w:r w:rsidRPr="00F64CB6">
        <w:rPr>
          <w:rStyle w:val="APRANORMALChar"/>
        </w:rPr>
        <w:t xml:space="preserve">Other submissions noted </w:t>
      </w:r>
      <w:r w:rsidR="00C47B00" w:rsidRPr="00F64CB6">
        <w:rPr>
          <w:rStyle w:val="APRANORMALChar"/>
        </w:rPr>
        <w:t xml:space="preserve">the valuation of security occurs in a manner </w:t>
      </w:r>
      <w:r w:rsidRPr="00F64CB6">
        <w:rPr>
          <w:rStyle w:val="APRANORMALChar"/>
        </w:rPr>
        <w:t>more appropriate to the collateral type</w:t>
      </w:r>
      <w:r w:rsidR="00C47B00" w:rsidRPr="00F64CB6">
        <w:rPr>
          <w:rStyle w:val="APRANORMALChar"/>
        </w:rPr>
        <w:t>.</w:t>
      </w:r>
      <w:r w:rsidR="009F2390" w:rsidRPr="00F64CB6">
        <w:rPr>
          <w:rStyle w:val="APRANORMALChar"/>
        </w:rPr>
        <w:t xml:space="preserve"> For example,</w:t>
      </w:r>
      <w:r w:rsidR="008230B0" w:rsidRPr="00F64CB6">
        <w:rPr>
          <w:rStyle w:val="APRANORMALChar"/>
        </w:rPr>
        <w:t xml:space="preserve"> SME loans would typically be collateralised by a general security agreement over the business or a </w:t>
      </w:r>
      <w:r w:rsidR="009F2390" w:rsidRPr="00F64CB6">
        <w:rPr>
          <w:rStyle w:val="APRANORMALChar"/>
        </w:rPr>
        <w:t xml:space="preserve">motor vehicle valuation can be achieved independently through </w:t>
      </w:r>
      <w:r w:rsidR="0033435A" w:rsidRPr="00F64CB6">
        <w:rPr>
          <w:rStyle w:val="APRANORMALChar"/>
        </w:rPr>
        <w:t xml:space="preserve">motor vehicle valuation </w:t>
      </w:r>
      <w:r w:rsidR="008230B0" w:rsidRPr="00F64CB6">
        <w:rPr>
          <w:rStyle w:val="APRANORMALChar"/>
        </w:rPr>
        <w:t>guides.</w:t>
      </w:r>
    </w:p>
    <w:p w14:paraId="5DF75B86" w14:textId="77777777" w:rsidR="00DF40DE" w:rsidRDefault="00DF40DE" w:rsidP="00DF40DE">
      <w:pPr>
        <w:pStyle w:val="APRAHEADING3"/>
      </w:pPr>
      <w:bookmarkStart w:id="105" w:name="_Toc23158211"/>
      <w:bookmarkStart w:id="106" w:name="_Toc23161094"/>
      <w:bookmarkStart w:id="107" w:name="_Toc23162045"/>
      <w:bookmarkStart w:id="108" w:name="_Toc23325364"/>
      <w:bookmarkStart w:id="109" w:name="_Toc24106604"/>
      <w:bookmarkStart w:id="110" w:name="_Toc25747994"/>
      <w:bookmarkStart w:id="111" w:name="_Toc26945850"/>
      <w:bookmarkStart w:id="112" w:name="_Toc26947926"/>
      <w:r>
        <w:t>APRA response</w:t>
      </w:r>
      <w:bookmarkEnd w:id="105"/>
      <w:bookmarkEnd w:id="106"/>
      <w:bookmarkEnd w:id="107"/>
      <w:bookmarkEnd w:id="108"/>
      <w:bookmarkEnd w:id="109"/>
      <w:bookmarkEnd w:id="110"/>
      <w:bookmarkEnd w:id="111"/>
      <w:bookmarkEnd w:id="112"/>
    </w:p>
    <w:p w14:paraId="466A73F9" w14:textId="6EF1EAC4" w:rsidR="00DC0FDE" w:rsidRPr="00F64CB6" w:rsidRDefault="0033435A" w:rsidP="00F64CB6">
      <w:pPr>
        <w:pStyle w:val="APRANORMAL"/>
      </w:pPr>
      <w:r w:rsidRPr="00F64CB6">
        <w:t>P</w:t>
      </w:r>
      <w:r w:rsidR="001B51AD" w:rsidRPr="00F64CB6">
        <w:t xml:space="preserve">ersons involved in the credit origination, assessment and approval process may have </w:t>
      </w:r>
      <w:r w:rsidR="00797A62" w:rsidRPr="00F64CB6">
        <w:t xml:space="preserve">an </w:t>
      </w:r>
      <w:r w:rsidRPr="00F64CB6">
        <w:t xml:space="preserve">inappropriate </w:t>
      </w:r>
      <w:r w:rsidR="00797A62" w:rsidRPr="00F64CB6">
        <w:t xml:space="preserve">incentive to arrive at an </w:t>
      </w:r>
      <w:r w:rsidR="001B51AD" w:rsidRPr="00F64CB6">
        <w:t xml:space="preserve">optimistic view of the quality of </w:t>
      </w:r>
      <w:r w:rsidR="006155EF">
        <w:t>collateral</w:t>
      </w:r>
      <w:r w:rsidR="00797A62" w:rsidRPr="00F64CB6">
        <w:t>. This may result in some borrowers being over-extended at origination.</w:t>
      </w:r>
    </w:p>
    <w:p w14:paraId="757F1F15" w14:textId="33537C5C" w:rsidR="00DF40DE" w:rsidRPr="00F64CB6" w:rsidRDefault="00DF40DE" w:rsidP="00F64CB6">
      <w:pPr>
        <w:pStyle w:val="APRANORMAL"/>
      </w:pPr>
      <w:r w:rsidRPr="00F64CB6">
        <w:t xml:space="preserve">APRA has clarified in the draft APG 220 </w:t>
      </w:r>
      <w:r w:rsidR="00380857">
        <w:t xml:space="preserve">the requirement </w:t>
      </w:r>
      <w:r w:rsidRPr="00F64CB6">
        <w:t xml:space="preserve">that persons who undertake </w:t>
      </w:r>
      <w:r w:rsidR="00FA5C36">
        <w:t xml:space="preserve">a </w:t>
      </w:r>
      <w:r w:rsidRPr="00F64CB6">
        <w:t xml:space="preserve">valuation </w:t>
      </w:r>
      <w:r w:rsidR="00380857">
        <w:t>must</w:t>
      </w:r>
      <w:r w:rsidRPr="00F64CB6">
        <w:t xml:space="preserve"> not be the same as those </w:t>
      </w:r>
      <w:r w:rsidR="00507C7A" w:rsidRPr="00F64CB6">
        <w:t>persons who are involved in credit origination, assessment and approval.</w:t>
      </w:r>
      <w:r w:rsidR="002A6CA6" w:rsidRPr="00F64CB6">
        <w:t xml:space="preserve"> </w:t>
      </w:r>
      <w:r w:rsidR="0033435A" w:rsidRPr="00F64CB6">
        <w:t xml:space="preserve">This does not mean that only external valuations must be undertaken. Internal valuations </w:t>
      </w:r>
      <w:r w:rsidR="009E1A49" w:rsidRPr="00F64CB6">
        <w:t xml:space="preserve">may be undertaken </w:t>
      </w:r>
      <w:r w:rsidR="0033435A" w:rsidRPr="00F64CB6">
        <w:t xml:space="preserve">by suitably qualified persons </w:t>
      </w:r>
      <w:r w:rsidR="009E1A49" w:rsidRPr="00F64CB6">
        <w:t xml:space="preserve">who are </w:t>
      </w:r>
      <w:r w:rsidR="0033435A" w:rsidRPr="00F64CB6">
        <w:t>removed from the credit origination, assessment and approval</w:t>
      </w:r>
      <w:r w:rsidR="009E1A49" w:rsidRPr="00F64CB6">
        <w:t xml:space="preserve"> process.</w:t>
      </w:r>
    </w:p>
    <w:p w14:paraId="5312E591" w14:textId="6F6CBC2B" w:rsidR="00C266D4" w:rsidRPr="000547FB" w:rsidRDefault="00C266D4" w:rsidP="00C266D4">
      <w:pPr>
        <w:pStyle w:val="APRAHEADING2"/>
      </w:pPr>
      <w:bookmarkStart w:id="113" w:name="_Toc23158212"/>
      <w:bookmarkStart w:id="114" w:name="_Toc23161095"/>
      <w:bookmarkStart w:id="115" w:name="_Toc23162046"/>
      <w:bookmarkStart w:id="116" w:name="_Toc23325365"/>
      <w:bookmarkStart w:id="117" w:name="_Toc24106605"/>
      <w:bookmarkStart w:id="118" w:name="_Toc25747995"/>
      <w:bookmarkStart w:id="119" w:name="_Toc26945851"/>
      <w:bookmarkStart w:id="120" w:name="_Toc26947927"/>
      <w:r>
        <w:t>4</w:t>
      </w:r>
      <w:r w:rsidRPr="000547FB">
        <w:rPr>
          <w:rStyle w:val="APRANORMALChar"/>
          <w:rFonts w:ascii="DIN OT Medium" w:hAnsi="DIN OT Medium"/>
          <w:lang w:val="en-AU"/>
        </w:rPr>
        <w:t>.</w:t>
      </w:r>
      <w:r w:rsidR="00DF40DE">
        <w:rPr>
          <w:rStyle w:val="APRANORMALChar"/>
          <w:rFonts w:ascii="DIN OT Medium" w:hAnsi="DIN OT Medium"/>
          <w:lang w:val="en-AU"/>
        </w:rPr>
        <w:t>2</w:t>
      </w:r>
      <w:r w:rsidRPr="000547FB">
        <w:rPr>
          <w:rStyle w:val="APRANORMALChar"/>
          <w:rFonts w:ascii="DIN OT Medium" w:hAnsi="DIN OT Medium"/>
          <w:lang w:val="en-AU"/>
        </w:rPr>
        <w:tab/>
      </w:r>
      <w:r>
        <w:rPr>
          <w:rStyle w:val="APRANORMALChar"/>
          <w:rFonts w:ascii="DIN OT Medium" w:hAnsi="DIN OT Medium"/>
          <w:lang w:val="en-AU"/>
        </w:rPr>
        <w:t>Fair value</w:t>
      </w:r>
      <w:r w:rsidR="002F7020">
        <w:rPr>
          <w:rStyle w:val="APRANORMALChar"/>
          <w:rFonts w:ascii="DIN OT Medium" w:hAnsi="DIN OT Medium"/>
          <w:lang w:val="en-AU"/>
        </w:rPr>
        <w:t>s</w:t>
      </w:r>
      <w:bookmarkEnd w:id="113"/>
      <w:bookmarkEnd w:id="114"/>
      <w:bookmarkEnd w:id="115"/>
      <w:bookmarkEnd w:id="116"/>
      <w:bookmarkEnd w:id="117"/>
      <w:bookmarkEnd w:id="118"/>
      <w:bookmarkEnd w:id="119"/>
      <w:bookmarkEnd w:id="120"/>
    </w:p>
    <w:p w14:paraId="4F2FFD74" w14:textId="238854CC" w:rsidR="004803D2" w:rsidRPr="00F64CB6" w:rsidRDefault="001A2FA9" w:rsidP="00F64CB6">
      <w:pPr>
        <w:pStyle w:val="APRANORMAL"/>
      </w:pPr>
      <w:r w:rsidRPr="00F64CB6">
        <w:rPr>
          <w:rStyle w:val="APRANORMALChar"/>
        </w:rPr>
        <w:t>Under the current APS 220, p</w:t>
      </w:r>
      <w:r w:rsidRPr="00F64CB6">
        <w:t>roperty assets must, unless otherwise agreed with APRA, be valued on the basis of existing use.</w:t>
      </w:r>
    </w:p>
    <w:p w14:paraId="24CB17F5" w14:textId="0F252E85" w:rsidR="002D7A47" w:rsidRPr="00F64CB6" w:rsidRDefault="00C60AB8" w:rsidP="00F64CB6">
      <w:pPr>
        <w:pStyle w:val="APRANORMAL"/>
      </w:pPr>
      <w:r w:rsidRPr="00F64CB6">
        <w:t>In the d</w:t>
      </w:r>
      <w:r w:rsidR="002D7A47" w:rsidRPr="00F64CB6">
        <w:t>raft APS 220</w:t>
      </w:r>
      <w:r w:rsidR="00B5498E" w:rsidRPr="00F64CB6">
        <w:t xml:space="preserve">, APRA </w:t>
      </w:r>
      <w:r w:rsidRPr="00F64CB6">
        <w:t xml:space="preserve">reiterated that </w:t>
      </w:r>
      <w:r w:rsidR="002D7A47" w:rsidRPr="00F64CB6">
        <w:t>the valuation of collateral must reflect fair values, taking into account prevailing market conditions such as time taken for the liquidation or realisation of collateral.</w:t>
      </w:r>
    </w:p>
    <w:p w14:paraId="7F1B1AA3" w14:textId="77777777" w:rsidR="004803D2" w:rsidRDefault="004803D2" w:rsidP="00C6658A">
      <w:pPr>
        <w:pStyle w:val="APRAHEADING3"/>
        <w:keepNext/>
      </w:pPr>
      <w:bookmarkStart w:id="121" w:name="_Toc22208543"/>
      <w:bookmarkStart w:id="122" w:name="_Toc23158213"/>
      <w:bookmarkStart w:id="123" w:name="_Toc23161096"/>
      <w:bookmarkStart w:id="124" w:name="_Toc23162047"/>
      <w:bookmarkStart w:id="125" w:name="_Toc23325366"/>
      <w:bookmarkStart w:id="126" w:name="_Toc24106606"/>
      <w:bookmarkStart w:id="127" w:name="_Toc25747996"/>
      <w:bookmarkStart w:id="128" w:name="_Toc26945852"/>
      <w:bookmarkStart w:id="129" w:name="_Toc26947928"/>
      <w:r>
        <w:t>Comments received</w:t>
      </w:r>
      <w:bookmarkEnd w:id="121"/>
      <w:bookmarkEnd w:id="122"/>
      <w:bookmarkEnd w:id="123"/>
      <w:bookmarkEnd w:id="124"/>
      <w:bookmarkEnd w:id="125"/>
      <w:bookmarkEnd w:id="126"/>
      <w:bookmarkEnd w:id="127"/>
      <w:bookmarkEnd w:id="128"/>
      <w:bookmarkEnd w:id="129"/>
    </w:p>
    <w:p w14:paraId="79268469" w14:textId="4AD5AEA0" w:rsidR="00B2787E" w:rsidRPr="00F64CB6" w:rsidRDefault="00B5498E" w:rsidP="00BC22A0">
      <w:pPr>
        <w:pStyle w:val="APRANORMAL"/>
        <w:keepNext/>
        <w:rPr>
          <w:rStyle w:val="APRANORMALChar"/>
        </w:rPr>
      </w:pPr>
      <w:r w:rsidRPr="00F64CB6">
        <w:t>Some submissions were concerned that restricting valuations to existing use is inconsistent with international valuation standards and accounting standards</w:t>
      </w:r>
      <w:r w:rsidR="00CA5932" w:rsidRPr="00E91424">
        <w:t xml:space="preserve">. </w:t>
      </w:r>
      <w:r w:rsidR="005C6CCB">
        <w:t xml:space="preserve">It was also commented that </w:t>
      </w:r>
      <w:r w:rsidR="005C6CCB" w:rsidRPr="00E91424">
        <w:lastRenderedPageBreak/>
        <w:t>r</w:t>
      </w:r>
      <w:r w:rsidR="00471A11" w:rsidRPr="00E91424">
        <w:t>eq</w:t>
      </w:r>
      <w:r w:rsidR="00471A11" w:rsidRPr="00F64CB6">
        <w:t xml:space="preserve">uiring valuations to be undertaken on only the existing use of a property </w:t>
      </w:r>
      <w:r w:rsidR="005708FC" w:rsidRPr="00F64CB6">
        <w:t>may</w:t>
      </w:r>
      <w:r w:rsidR="00471A11" w:rsidRPr="00F64CB6">
        <w:t xml:space="preserve"> reduce valuations for business and the consequent flow of credit.</w:t>
      </w:r>
      <w:r w:rsidR="00B2787E" w:rsidRPr="00F64CB6">
        <w:t xml:space="preserve"> </w:t>
      </w:r>
      <w:r w:rsidR="005C6CCB">
        <w:t xml:space="preserve">To align with international valuation standards and accounting standards, it was requested that highest or best </w:t>
      </w:r>
      <w:r w:rsidR="003D357E">
        <w:t xml:space="preserve">use </w:t>
      </w:r>
      <w:r w:rsidR="005C6CCB">
        <w:t xml:space="preserve">be permitted without the need for APRA approval. </w:t>
      </w:r>
      <w:r w:rsidR="00B2787E" w:rsidRPr="00F64CB6">
        <w:t xml:space="preserve">Other submissions commented </w:t>
      </w:r>
      <w:r w:rsidR="007F5562" w:rsidRPr="00F64CB6">
        <w:t>that it was unclear whether Attachment A of draft APS 220 regarding collateral and security valuation intended to cover all forms of security.</w:t>
      </w:r>
    </w:p>
    <w:p w14:paraId="7E56D084" w14:textId="77777777" w:rsidR="004803D2" w:rsidRDefault="004803D2" w:rsidP="004803D2">
      <w:pPr>
        <w:pStyle w:val="APRAHEADING3"/>
      </w:pPr>
      <w:bookmarkStart w:id="130" w:name="_Toc22208544"/>
      <w:bookmarkStart w:id="131" w:name="_Toc23158214"/>
      <w:bookmarkStart w:id="132" w:name="_Toc23161097"/>
      <w:bookmarkStart w:id="133" w:name="_Toc23162048"/>
      <w:bookmarkStart w:id="134" w:name="_Toc23325367"/>
      <w:bookmarkStart w:id="135" w:name="_Toc24106607"/>
      <w:bookmarkStart w:id="136" w:name="_Toc25747997"/>
      <w:bookmarkStart w:id="137" w:name="_Toc26945853"/>
      <w:bookmarkStart w:id="138" w:name="_Toc26947929"/>
      <w:r>
        <w:t>APRA response</w:t>
      </w:r>
      <w:bookmarkEnd w:id="130"/>
      <w:bookmarkEnd w:id="131"/>
      <w:bookmarkEnd w:id="132"/>
      <w:bookmarkEnd w:id="133"/>
      <w:bookmarkEnd w:id="134"/>
      <w:bookmarkEnd w:id="135"/>
      <w:bookmarkEnd w:id="136"/>
      <w:bookmarkEnd w:id="137"/>
      <w:bookmarkEnd w:id="138"/>
    </w:p>
    <w:p w14:paraId="638A63B1" w14:textId="43D9D2E4" w:rsidR="004803D2" w:rsidRPr="00F64CB6" w:rsidRDefault="00471A11" w:rsidP="00F64CB6">
      <w:pPr>
        <w:pStyle w:val="APRANORMAL"/>
      </w:pPr>
      <w:r w:rsidRPr="00F64CB6">
        <w:t>APRA has reworded the final standard to avoid inconsiste</w:t>
      </w:r>
      <w:r w:rsidR="004362BC" w:rsidRPr="00F64CB6">
        <w:t>n</w:t>
      </w:r>
      <w:r w:rsidRPr="00F64CB6">
        <w:t xml:space="preserve">cy </w:t>
      </w:r>
      <w:r w:rsidR="004362BC" w:rsidRPr="00F64CB6">
        <w:t>with international valuation standards</w:t>
      </w:r>
      <w:r w:rsidR="005708FC" w:rsidRPr="00F64CB6">
        <w:t xml:space="preserve"> and accounting standards</w:t>
      </w:r>
      <w:r w:rsidR="004362BC" w:rsidRPr="00F64CB6">
        <w:t xml:space="preserve"> and </w:t>
      </w:r>
      <w:r w:rsidR="00485FD5" w:rsidRPr="00F64CB6">
        <w:t xml:space="preserve">has </w:t>
      </w:r>
      <w:r w:rsidR="004362BC" w:rsidRPr="00F64CB6">
        <w:t>removed the requirement for APRA approv</w:t>
      </w:r>
      <w:r w:rsidR="00B5498E" w:rsidRPr="00F64CB6">
        <w:t xml:space="preserve">al of </w:t>
      </w:r>
      <w:r w:rsidR="004362BC" w:rsidRPr="00F64CB6">
        <w:t xml:space="preserve">valuations </w:t>
      </w:r>
      <w:r w:rsidR="00157724" w:rsidRPr="00F64CB6">
        <w:t xml:space="preserve">that are </w:t>
      </w:r>
      <w:r w:rsidR="00B5498E" w:rsidRPr="00F64CB6">
        <w:t>not</w:t>
      </w:r>
      <w:r w:rsidR="004362BC" w:rsidRPr="00F64CB6">
        <w:t xml:space="preserve"> based on existing use.</w:t>
      </w:r>
    </w:p>
    <w:p w14:paraId="6326621D" w14:textId="5D1430CB" w:rsidR="002F7020" w:rsidRPr="00F64CB6" w:rsidRDefault="002F7020" w:rsidP="00F64CB6">
      <w:pPr>
        <w:pStyle w:val="APRANORMAL"/>
        <w:rPr>
          <w:rStyle w:val="APRANORMALChar"/>
        </w:rPr>
      </w:pPr>
      <w:r w:rsidRPr="00F64CB6">
        <w:rPr>
          <w:rStyle w:val="APRANORMALChar"/>
        </w:rPr>
        <w:t xml:space="preserve">In determining fair values, </w:t>
      </w:r>
      <w:r w:rsidR="002D7A47" w:rsidRPr="00F64CB6">
        <w:rPr>
          <w:rStyle w:val="APRANORMALChar"/>
        </w:rPr>
        <w:t xml:space="preserve">APRA has included in the final </w:t>
      </w:r>
      <w:r w:rsidR="004A1C5C" w:rsidRPr="00F64CB6">
        <w:rPr>
          <w:rStyle w:val="APRANORMALChar"/>
        </w:rPr>
        <w:t>APS 220</w:t>
      </w:r>
      <w:r w:rsidR="002D7A47" w:rsidRPr="00F64CB6">
        <w:rPr>
          <w:rStyle w:val="APRANORMALChar"/>
        </w:rPr>
        <w:t xml:space="preserve"> a requirement that </w:t>
      </w:r>
      <w:r w:rsidRPr="00F64CB6">
        <w:rPr>
          <w:rStyle w:val="APRANORMALChar"/>
        </w:rPr>
        <w:t>any valuation based on highest and best use rather than existing use must be adequately supported and documented. Where applicable, the valuation report must set out how highest and best use was determined.</w:t>
      </w:r>
    </w:p>
    <w:p w14:paraId="4327AE5E" w14:textId="0CCDD6E5" w:rsidR="007F5562" w:rsidRPr="00F64CB6" w:rsidRDefault="007F5562" w:rsidP="00F64CB6">
      <w:pPr>
        <w:pStyle w:val="APRANORMAL"/>
        <w:rPr>
          <w:rStyle w:val="APRANORMALChar"/>
        </w:rPr>
      </w:pPr>
      <w:r w:rsidRPr="00F64CB6">
        <w:rPr>
          <w:rStyle w:val="APRANORMALChar"/>
        </w:rPr>
        <w:t>Collateral can include guarantees, insurance arrangements and, importantly, security held over various forms of assets.</w:t>
      </w:r>
      <w:r w:rsidR="00D54CDF">
        <w:rPr>
          <w:rStyle w:val="APRANORMALChar"/>
        </w:rPr>
        <w:t xml:space="preserve"> </w:t>
      </w:r>
      <w:r w:rsidR="00D54CDF" w:rsidRPr="00D54CDF">
        <w:rPr>
          <w:rStyle w:val="APRANORMALChar"/>
        </w:rPr>
        <w:t xml:space="preserve">Whilst most of the requirements </w:t>
      </w:r>
      <w:r w:rsidR="00E15191">
        <w:rPr>
          <w:rStyle w:val="APRANORMALChar"/>
        </w:rPr>
        <w:t xml:space="preserve">in Attachment A to APS 220 </w:t>
      </w:r>
      <w:r w:rsidR="00D54CDF" w:rsidRPr="00D54CDF">
        <w:rPr>
          <w:rStyle w:val="APRANORMALChar"/>
        </w:rPr>
        <w:t>are relevant to the valuation of security in the form of property</w:t>
      </w:r>
      <w:r w:rsidR="009727EB">
        <w:rPr>
          <w:rStyle w:val="APRANORMALChar"/>
        </w:rPr>
        <w:t>,</w:t>
      </w:r>
      <w:r w:rsidR="004336DC">
        <w:rPr>
          <w:rStyle w:val="APRANORMALChar"/>
        </w:rPr>
        <w:t xml:space="preserve"> </w:t>
      </w:r>
      <w:r w:rsidR="00E13283">
        <w:rPr>
          <w:rStyle w:val="APRANORMALChar"/>
        </w:rPr>
        <w:t xml:space="preserve">some of the requirements may not be relevant to other forms of security. </w:t>
      </w:r>
      <w:r w:rsidR="009727EB" w:rsidRPr="009727EB">
        <w:rPr>
          <w:rStyle w:val="APRANORMALChar"/>
        </w:rPr>
        <w:t xml:space="preserve">APRA has clarified in the final standard </w:t>
      </w:r>
      <w:r w:rsidR="004336DC">
        <w:rPr>
          <w:rStyle w:val="APRANORMALChar"/>
        </w:rPr>
        <w:t xml:space="preserve">that an ADI must apply </w:t>
      </w:r>
      <w:r w:rsidR="009727EB" w:rsidRPr="009727EB">
        <w:rPr>
          <w:rStyle w:val="APRANORMALChar"/>
        </w:rPr>
        <w:t>Attachment A to APS 220</w:t>
      </w:r>
      <w:r w:rsidR="004336DC" w:rsidRPr="004336DC">
        <w:rPr>
          <w:rStyle w:val="APRANORMALChar"/>
        </w:rPr>
        <w:t>, having regard to the nature and type of security held.</w:t>
      </w:r>
    </w:p>
    <w:p w14:paraId="4217A1C6" w14:textId="1CC8696D" w:rsidR="00C266D4" w:rsidRPr="000547FB" w:rsidRDefault="00C266D4" w:rsidP="00C266D4">
      <w:pPr>
        <w:pStyle w:val="APRAHEADING2"/>
      </w:pPr>
      <w:bookmarkStart w:id="139" w:name="_Toc22208545"/>
      <w:bookmarkStart w:id="140" w:name="_Toc23158215"/>
      <w:bookmarkStart w:id="141" w:name="_Toc23161098"/>
      <w:bookmarkStart w:id="142" w:name="_Toc23162049"/>
      <w:bookmarkStart w:id="143" w:name="_Toc23325368"/>
      <w:bookmarkStart w:id="144" w:name="_Toc24106608"/>
      <w:bookmarkStart w:id="145" w:name="_Toc25747998"/>
      <w:bookmarkStart w:id="146" w:name="_Toc26945854"/>
      <w:bookmarkStart w:id="147" w:name="_Toc26947930"/>
      <w:r>
        <w:rPr>
          <w:rStyle w:val="APRANORMALChar"/>
          <w:rFonts w:ascii="DIN OT Medium" w:hAnsi="DIN OT Medium"/>
          <w:lang w:val="en-AU"/>
        </w:rPr>
        <w:t>4</w:t>
      </w:r>
      <w:r w:rsidRPr="000547FB">
        <w:rPr>
          <w:rStyle w:val="APRANORMALChar"/>
          <w:rFonts w:ascii="DIN OT Medium" w:hAnsi="DIN OT Medium"/>
          <w:lang w:val="en-AU"/>
        </w:rPr>
        <w:t>.</w:t>
      </w:r>
      <w:r w:rsidR="00DF40DE">
        <w:rPr>
          <w:rStyle w:val="APRANORMALChar"/>
          <w:rFonts w:ascii="DIN OT Medium" w:hAnsi="DIN OT Medium"/>
          <w:lang w:val="en-AU"/>
        </w:rPr>
        <w:t>3</w:t>
      </w:r>
      <w:r w:rsidRPr="000547FB">
        <w:rPr>
          <w:rStyle w:val="APRANORMALChar"/>
          <w:rFonts w:ascii="DIN OT Medium" w:hAnsi="DIN OT Medium"/>
          <w:lang w:val="en-AU"/>
        </w:rPr>
        <w:tab/>
      </w:r>
      <w:r w:rsidR="001D5EDC">
        <w:rPr>
          <w:rStyle w:val="APRANORMALChar"/>
          <w:rFonts w:ascii="DIN OT Medium" w:hAnsi="DIN OT Medium"/>
          <w:lang w:val="en-AU"/>
        </w:rPr>
        <w:t>External events</w:t>
      </w:r>
      <w:bookmarkEnd w:id="139"/>
      <w:bookmarkEnd w:id="140"/>
      <w:bookmarkEnd w:id="141"/>
      <w:bookmarkEnd w:id="142"/>
      <w:bookmarkEnd w:id="143"/>
      <w:bookmarkEnd w:id="144"/>
      <w:bookmarkEnd w:id="145"/>
      <w:bookmarkEnd w:id="146"/>
      <w:bookmarkEnd w:id="147"/>
    </w:p>
    <w:p w14:paraId="5770B5CF" w14:textId="470D5279" w:rsidR="00C266D4" w:rsidRPr="00F64CB6" w:rsidRDefault="0079772E" w:rsidP="00F64CB6">
      <w:pPr>
        <w:pStyle w:val="APRANORMAL"/>
      </w:pPr>
      <w:r w:rsidRPr="00F64CB6">
        <w:t xml:space="preserve">In line with the recommendation of the Royal Commission in its final report (Recommendation 1.12), the </w:t>
      </w:r>
      <w:r w:rsidR="007A7B93" w:rsidRPr="00F64CB6">
        <w:t xml:space="preserve">draft APS 220 included a </w:t>
      </w:r>
      <w:r w:rsidR="004A1C5C" w:rsidRPr="00F64CB6">
        <w:t>proposal</w:t>
      </w:r>
      <w:r w:rsidRPr="00F64CB6">
        <w:t xml:space="preserve"> </w:t>
      </w:r>
      <w:r w:rsidR="007A7B93" w:rsidRPr="00F64CB6">
        <w:t xml:space="preserve">that </w:t>
      </w:r>
      <w:r w:rsidR="00C266D4" w:rsidRPr="00F64CB6">
        <w:t xml:space="preserve">an ADI must ensure </w:t>
      </w:r>
      <w:r w:rsidR="00036002" w:rsidRPr="00F64CB6">
        <w:t>the</w:t>
      </w:r>
      <w:r w:rsidR="00C266D4" w:rsidRPr="00F64CB6">
        <w:t xml:space="preserve"> valuation </w:t>
      </w:r>
      <w:r w:rsidR="004A1C5C" w:rsidRPr="00F64CB6">
        <w:t xml:space="preserve">of </w:t>
      </w:r>
      <w:r w:rsidRPr="00F64CB6">
        <w:t xml:space="preserve">agricultural land </w:t>
      </w:r>
      <w:r w:rsidR="00C266D4" w:rsidRPr="00F64CB6">
        <w:t>take</w:t>
      </w:r>
      <w:r w:rsidR="007A7B93" w:rsidRPr="00F64CB6">
        <w:t>s</w:t>
      </w:r>
      <w:r w:rsidR="00C266D4" w:rsidRPr="00F64CB6">
        <w:t xml:space="preserve"> into account the likelihood of external events, such as drought and flood, which may impact the valuation</w:t>
      </w:r>
      <w:r w:rsidR="00485FD5" w:rsidRPr="00F64CB6">
        <w:t xml:space="preserve"> of the land</w:t>
      </w:r>
      <w:r w:rsidR="00C266D4" w:rsidRPr="00F64CB6">
        <w:t>.</w:t>
      </w:r>
    </w:p>
    <w:p w14:paraId="7A75C30D" w14:textId="77777777" w:rsidR="00C266D4" w:rsidRDefault="00C266D4" w:rsidP="00C266D4">
      <w:pPr>
        <w:pStyle w:val="APRAHEADING3"/>
      </w:pPr>
      <w:bookmarkStart w:id="148" w:name="_Toc22208546"/>
      <w:bookmarkStart w:id="149" w:name="_Toc23158216"/>
      <w:bookmarkStart w:id="150" w:name="_Toc23161099"/>
      <w:bookmarkStart w:id="151" w:name="_Toc23162050"/>
      <w:bookmarkStart w:id="152" w:name="_Toc23325369"/>
      <w:bookmarkStart w:id="153" w:name="_Toc24106609"/>
      <w:bookmarkStart w:id="154" w:name="_Toc25747999"/>
      <w:bookmarkStart w:id="155" w:name="_Toc26945855"/>
      <w:bookmarkStart w:id="156" w:name="_Toc26947931"/>
      <w:r>
        <w:t>Comments received</w:t>
      </w:r>
      <w:bookmarkEnd w:id="148"/>
      <w:bookmarkEnd w:id="149"/>
      <w:bookmarkEnd w:id="150"/>
      <w:bookmarkEnd w:id="151"/>
      <w:bookmarkEnd w:id="152"/>
      <w:bookmarkEnd w:id="153"/>
      <w:bookmarkEnd w:id="154"/>
      <w:bookmarkEnd w:id="155"/>
      <w:bookmarkEnd w:id="156"/>
    </w:p>
    <w:p w14:paraId="154FAEEB" w14:textId="3173AA33" w:rsidR="008E75F5" w:rsidRPr="00F64CB6" w:rsidRDefault="00036002" w:rsidP="00F64CB6">
      <w:pPr>
        <w:pStyle w:val="APRANORMAL"/>
      </w:pPr>
      <w:r w:rsidRPr="00F64CB6">
        <w:t>Submissions commented that r</w:t>
      </w:r>
      <w:r w:rsidR="00C266D4" w:rsidRPr="00F64CB6">
        <w:t xml:space="preserve">eference </w:t>
      </w:r>
      <w:r w:rsidRPr="00F64CB6">
        <w:t xml:space="preserve">in </w:t>
      </w:r>
      <w:r w:rsidR="00C02CB4" w:rsidRPr="00F64CB6">
        <w:t xml:space="preserve">the draft </w:t>
      </w:r>
      <w:r w:rsidRPr="00F64CB6">
        <w:t xml:space="preserve">APS 220 </w:t>
      </w:r>
      <w:r w:rsidR="00C266D4" w:rsidRPr="00F64CB6">
        <w:t>to external events may infer that val</w:t>
      </w:r>
      <w:r w:rsidR="007A7B93" w:rsidRPr="00F64CB6">
        <w:t>uations</w:t>
      </w:r>
      <w:r w:rsidR="00C266D4" w:rsidRPr="00F64CB6">
        <w:t xml:space="preserve"> need to go further than current practice</w:t>
      </w:r>
      <w:r w:rsidRPr="00F64CB6">
        <w:t xml:space="preserve">, </w:t>
      </w:r>
      <w:r w:rsidR="00C266D4" w:rsidRPr="00F64CB6">
        <w:t>such as predicting likely external events, which is not possible.</w:t>
      </w:r>
      <w:r w:rsidR="008E75F5" w:rsidRPr="00F64CB6">
        <w:t xml:space="preserve"> </w:t>
      </w:r>
    </w:p>
    <w:p w14:paraId="12C8C8E1" w14:textId="4722925F" w:rsidR="00C266D4" w:rsidRPr="00F64CB6" w:rsidRDefault="0079772E" w:rsidP="00F64CB6">
      <w:pPr>
        <w:pStyle w:val="APRANORMAL"/>
        <w:rPr>
          <w:rStyle w:val="APRANORMALChar"/>
        </w:rPr>
      </w:pPr>
      <w:r w:rsidRPr="00F64CB6">
        <w:t xml:space="preserve">Submissions </w:t>
      </w:r>
      <w:r w:rsidR="008162BD" w:rsidRPr="00F64CB6">
        <w:t xml:space="preserve">also </w:t>
      </w:r>
      <w:r w:rsidRPr="00F64CB6">
        <w:t>noted that v</w:t>
      </w:r>
      <w:r w:rsidR="008E75F5" w:rsidRPr="00F64CB6">
        <w:t>aluations already take into consideration known environmental issues. If the property is in a known drought and/or flood location, then this would be noted</w:t>
      </w:r>
      <w:r w:rsidRPr="00F64CB6">
        <w:t xml:space="preserve"> </w:t>
      </w:r>
      <w:r w:rsidR="008E75F5" w:rsidRPr="00F64CB6">
        <w:t xml:space="preserve">in the valuation report as a statement of fact, and the related risks would form part of the valuation. However, the valuation is not able to predict when an ‘external event’ will occur. </w:t>
      </w:r>
    </w:p>
    <w:p w14:paraId="3BCF1CA8" w14:textId="4EB5B8B4" w:rsidR="00C266D4" w:rsidRDefault="00C266D4" w:rsidP="00C6658A">
      <w:pPr>
        <w:pStyle w:val="APRAHEADING3"/>
        <w:keepNext/>
      </w:pPr>
      <w:bookmarkStart w:id="157" w:name="_Toc22208547"/>
      <w:bookmarkStart w:id="158" w:name="_Toc23158217"/>
      <w:bookmarkStart w:id="159" w:name="_Toc23161100"/>
      <w:bookmarkStart w:id="160" w:name="_Toc23162051"/>
      <w:bookmarkStart w:id="161" w:name="_Toc23325370"/>
      <w:bookmarkStart w:id="162" w:name="_Toc24106610"/>
      <w:bookmarkStart w:id="163" w:name="_Toc25748000"/>
      <w:bookmarkStart w:id="164" w:name="_Toc26945856"/>
      <w:bookmarkStart w:id="165" w:name="_Toc26947932"/>
      <w:r>
        <w:lastRenderedPageBreak/>
        <w:t>APRA response</w:t>
      </w:r>
      <w:bookmarkEnd w:id="157"/>
      <w:bookmarkEnd w:id="158"/>
      <w:bookmarkEnd w:id="159"/>
      <w:bookmarkEnd w:id="160"/>
      <w:bookmarkEnd w:id="161"/>
      <w:bookmarkEnd w:id="162"/>
      <w:bookmarkEnd w:id="163"/>
      <w:bookmarkEnd w:id="164"/>
      <w:bookmarkEnd w:id="165"/>
    </w:p>
    <w:p w14:paraId="0CF1F9C0" w14:textId="107165C7" w:rsidR="007119B9" w:rsidRPr="00F64CB6" w:rsidRDefault="004E6606" w:rsidP="00C6658A">
      <w:pPr>
        <w:pStyle w:val="APRANORMAL"/>
        <w:keepNext/>
      </w:pPr>
      <w:r w:rsidRPr="00F64CB6">
        <w:t>C</w:t>
      </w:r>
      <w:r w:rsidR="007119B9" w:rsidRPr="00F64CB6">
        <w:t xml:space="preserve">onsideration of external events </w:t>
      </w:r>
      <w:r w:rsidR="008206AF" w:rsidRPr="00F64CB6">
        <w:t>is</w:t>
      </w:r>
      <w:r w:rsidRPr="00F64CB6">
        <w:t xml:space="preserve"> essential in determining </w:t>
      </w:r>
      <w:r w:rsidR="007119B9" w:rsidRPr="00F64CB6">
        <w:t>fair values</w:t>
      </w:r>
      <w:r w:rsidR="0079772E" w:rsidRPr="00F64CB6">
        <w:t xml:space="preserve"> and </w:t>
      </w:r>
      <w:r w:rsidR="007119B9" w:rsidRPr="00F64CB6">
        <w:t>the setting of conservative loan</w:t>
      </w:r>
      <w:r w:rsidRPr="00F64CB6">
        <w:t>-</w:t>
      </w:r>
      <w:r w:rsidR="007119B9" w:rsidRPr="00F64CB6">
        <w:t>to</w:t>
      </w:r>
      <w:r w:rsidRPr="00F64CB6">
        <w:t>-</w:t>
      </w:r>
      <w:r w:rsidR="007119B9" w:rsidRPr="00F64CB6">
        <w:t>valuation ratios.</w:t>
      </w:r>
      <w:r w:rsidR="0079772E" w:rsidRPr="00F64CB6">
        <w:t xml:space="preserve"> This is to ensure</w:t>
      </w:r>
      <w:r w:rsidR="008162BD" w:rsidRPr="00F64CB6">
        <w:t xml:space="preserve">, for example, that </w:t>
      </w:r>
      <w:r w:rsidR="0079772E" w:rsidRPr="00F64CB6">
        <w:t>ADI</w:t>
      </w:r>
      <w:r w:rsidR="008162BD" w:rsidRPr="00F64CB6">
        <w:t>s do not inflate the value of collateral</w:t>
      </w:r>
      <w:r w:rsidR="00DA0350" w:rsidRPr="00F64CB6">
        <w:t xml:space="preserve"> </w:t>
      </w:r>
      <w:r w:rsidR="008162BD" w:rsidRPr="00F64CB6">
        <w:t>to facilitate the approval of loans</w:t>
      </w:r>
      <w:r w:rsidR="00DA0350" w:rsidRPr="00F64CB6">
        <w:t>.</w:t>
      </w:r>
    </w:p>
    <w:p w14:paraId="798704FB" w14:textId="28569F64" w:rsidR="005E6DF9" w:rsidRPr="00F64CB6" w:rsidRDefault="00036002" w:rsidP="00F64CB6">
      <w:pPr>
        <w:pStyle w:val="APRANORMAL"/>
      </w:pPr>
      <w:r w:rsidRPr="00F64CB6">
        <w:t xml:space="preserve">APRA has clarified in APS 220 </w:t>
      </w:r>
      <w:r w:rsidR="00C266D4" w:rsidRPr="00F64CB6">
        <w:t xml:space="preserve">that </w:t>
      </w:r>
      <w:r w:rsidR="00811846">
        <w:t xml:space="preserve">the </w:t>
      </w:r>
      <w:r w:rsidR="004E6606" w:rsidRPr="00F64CB6">
        <w:t>valuation</w:t>
      </w:r>
      <w:r w:rsidR="00811846">
        <w:t xml:space="preserve"> of collateral such as land</w:t>
      </w:r>
      <w:r w:rsidR="004E6606" w:rsidRPr="00F64CB6">
        <w:t xml:space="preserve"> must take into account, to the extent possible, external events </w:t>
      </w:r>
      <w:r w:rsidR="00D74CD5" w:rsidRPr="00F64CB6">
        <w:t xml:space="preserve">and these </w:t>
      </w:r>
      <w:r w:rsidR="004E6606" w:rsidRPr="00F64CB6">
        <w:t xml:space="preserve">are not limited to </w:t>
      </w:r>
      <w:r w:rsidR="00C266D4" w:rsidRPr="00F64CB6">
        <w:t>drought and flood</w:t>
      </w:r>
      <w:r w:rsidR="006530EA" w:rsidRPr="00F64CB6">
        <w:t>.</w:t>
      </w:r>
      <w:r w:rsidR="00DA0350" w:rsidRPr="00F64CB6">
        <w:t xml:space="preserve"> </w:t>
      </w:r>
    </w:p>
    <w:p w14:paraId="5709A4BE" w14:textId="7A2AFAE8" w:rsidR="008206AF" w:rsidRPr="00F64CB6" w:rsidRDefault="00485FD5" w:rsidP="00F64CB6">
      <w:pPr>
        <w:pStyle w:val="APRANORMAL"/>
      </w:pPr>
      <w:r w:rsidRPr="00F64CB6">
        <w:t>T</w:t>
      </w:r>
      <w:r w:rsidR="008206AF" w:rsidRPr="00F64CB6">
        <w:t>his does not mean valuations must predict when an ‘external event’ will occur</w:t>
      </w:r>
      <w:r w:rsidR="00C02CB4" w:rsidRPr="00F64CB6">
        <w:t>, only that the related risks of such events would form part of the valuation.</w:t>
      </w:r>
      <w:r w:rsidR="008206AF" w:rsidRPr="00F64CB6">
        <w:t xml:space="preserve"> Fair values would be based on a measurement date under current market conditions.</w:t>
      </w:r>
    </w:p>
    <w:p w14:paraId="14B20272" w14:textId="02F4EA5B" w:rsidR="00870BCE" w:rsidRDefault="00870BCE">
      <w:pPr>
        <w:spacing w:after="120" w:line="288" w:lineRule="auto"/>
        <w:rPr>
          <w:rStyle w:val="APRANORMALChar"/>
        </w:rPr>
      </w:pPr>
      <w:r>
        <w:rPr>
          <w:rStyle w:val="APRANORMALChar"/>
        </w:rPr>
        <w:br w:type="page"/>
      </w:r>
    </w:p>
    <w:p w14:paraId="64B53A79" w14:textId="12F42939" w:rsidR="00870BCE" w:rsidRPr="00A1646A" w:rsidRDefault="00870BCE" w:rsidP="00870BCE">
      <w:pPr>
        <w:pStyle w:val="APRAHEADING1"/>
        <w:rPr>
          <w:rStyle w:val="APRANORMALChar"/>
          <w:rFonts w:ascii="DIN OT Medium" w:hAnsi="DIN OT Medium"/>
          <w:lang w:val="en-AU"/>
        </w:rPr>
      </w:pPr>
      <w:bookmarkStart w:id="166" w:name="_Toc26947933"/>
      <w:r w:rsidRPr="00A1646A">
        <w:rPr>
          <w:rStyle w:val="APRANORMALChar"/>
          <w:rFonts w:ascii="DIN OT Medium" w:hAnsi="DIN OT Medium"/>
          <w:lang w:val="en-AU"/>
        </w:rPr>
        <w:lastRenderedPageBreak/>
        <w:t xml:space="preserve">Chapter </w:t>
      </w:r>
      <w:r>
        <w:rPr>
          <w:rStyle w:val="APRANORMALChar"/>
          <w:rFonts w:ascii="DIN OT Medium" w:hAnsi="DIN OT Medium"/>
          <w:lang w:val="en-AU"/>
        </w:rPr>
        <w:t>5</w:t>
      </w:r>
      <w:r w:rsidRPr="00A1646A">
        <w:rPr>
          <w:rStyle w:val="APRANORMALChar"/>
          <w:rFonts w:ascii="DIN OT Medium" w:hAnsi="DIN OT Medium"/>
          <w:lang w:val="en-AU"/>
        </w:rPr>
        <w:t xml:space="preserve"> </w:t>
      </w:r>
      <w:r>
        <w:rPr>
          <w:rStyle w:val="APRANORMALChar"/>
          <w:rFonts w:ascii="DIN OT Medium" w:hAnsi="DIN OT Medium"/>
          <w:lang w:val="en-AU"/>
        </w:rPr>
        <w:t>–</w:t>
      </w:r>
      <w:r w:rsidRPr="00A1646A">
        <w:rPr>
          <w:rStyle w:val="APRANORMALChar"/>
          <w:rFonts w:ascii="DIN OT Medium" w:hAnsi="DIN OT Medium"/>
          <w:lang w:val="en-AU"/>
        </w:rPr>
        <w:t xml:space="preserve"> </w:t>
      </w:r>
      <w:r>
        <w:rPr>
          <w:rStyle w:val="APRANORMALChar"/>
          <w:rFonts w:ascii="DIN OT Medium" w:hAnsi="DIN OT Medium"/>
          <w:lang w:val="en-AU"/>
        </w:rPr>
        <w:t>Asset classification and provisioning</w:t>
      </w:r>
      <w:bookmarkEnd w:id="166"/>
    </w:p>
    <w:p w14:paraId="280AE9C9" w14:textId="128D12D3" w:rsidR="00C266D4" w:rsidRPr="000547FB" w:rsidRDefault="00C266D4" w:rsidP="00C266D4">
      <w:pPr>
        <w:pStyle w:val="APRAHEADING2"/>
      </w:pPr>
      <w:bookmarkStart w:id="167" w:name="_Toc22208549"/>
      <w:bookmarkStart w:id="168" w:name="_Toc23158219"/>
      <w:bookmarkStart w:id="169" w:name="_Toc23161102"/>
      <w:bookmarkStart w:id="170" w:name="_Toc23162053"/>
      <w:bookmarkStart w:id="171" w:name="_Toc23325372"/>
      <w:bookmarkStart w:id="172" w:name="_Toc24106612"/>
      <w:bookmarkStart w:id="173" w:name="_Toc25748002"/>
      <w:bookmarkStart w:id="174" w:name="_Toc26945858"/>
      <w:bookmarkStart w:id="175" w:name="_Toc26947934"/>
      <w:r>
        <w:t>5.1</w:t>
      </w:r>
      <w:r w:rsidRPr="000547FB">
        <w:rPr>
          <w:rStyle w:val="APRANORMALChar"/>
          <w:rFonts w:ascii="DIN OT Medium" w:hAnsi="DIN OT Medium"/>
          <w:lang w:val="en-AU"/>
        </w:rPr>
        <w:tab/>
      </w:r>
      <w:r>
        <w:rPr>
          <w:rStyle w:val="APRANORMALChar"/>
          <w:rFonts w:ascii="DIN OT Medium" w:hAnsi="DIN OT Medium"/>
          <w:lang w:val="en-AU"/>
        </w:rPr>
        <w:t>Significantly deteriorated</w:t>
      </w:r>
      <w:bookmarkEnd w:id="167"/>
      <w:bookmarkEnd w:id="168"/>
      <w:bookmarkEnd w:id="169"/>
      <w:bookmarkEnd w:id="170"/>
      <w:bookmarkEnd w:id="171"/>
      <w:bookmarkEnd w:id="172"/>
      <w:r w:rsidR="008D5BAF">
        <w:rPr>
          <w:rStyle w:val="APRANORMALChar"/>
          <w:rFonts w:ascii="DIN OT Medium" w:hAnsi="DIN OT Medium"/>
          <w:lang w:val="en-AU"/>
        </w:rPr>
        <w:t xml:space="preserve"> exposures</w:t>
      </w:r>
      <w:bookmarkEnd w:id="173"/>
      <w:bookmarkEnd w:id="174"/>
      <w:bookmarkEnd w:id="175"/>
    </w:p>
    <w:p w14:paraId="66CC3E61" w14:textId="3477F225" w:rsidR="004803D2" w:rsidRPr="00F64CB6" w:rsidRDefault="00612F7F" w:rsidP="00F64CB6">
      <w:pPr>
        <w:pStyle w:val="APRANORMAL"/>
        <w:rPr>
          <w:rStyle w:val="APRANORMALChar"/>
        </w:rPr>
      </w:pPr>
      <w:r w:rsidRPr="00F64CB6">
        <w:t>In the draft APS 220, APRA defined ‘s</w:t>
      </w:r>
      <w:r w:rsidR="00C266D4" w:rsidRPr="00F64CB6">
        <w:t>ignificantly deteriorated</w:t>
      </w:r>
      <w:r w:rsidRPr="00F64CB6">
        <w:t xml:space="preserve">’ as an </w:t>
      </w:r>
      <w:r w:rsidR="00C266D4" w:rsidRPr="00F64CB6">
        <w:t xml:space="preserve">exposure for which provisions are measured on a life-time </w:t>
      </w:r>
      <w:r w:rsidRPr="00F64CB6">
        <w:t>expected credit loss b</w:t>
      </w:r>
      <w:r w:rsidR="00C266D4" w:rsidRPr="00F64CB6">
        <w:t xml:space="preserve">asis under </w:t>
      </w:r>
      <w:r w:rsidRPr="00F64CB6">
        <w:t>ac</w:t>
      </w:r>
      <w:r w:rsidR="00C266D4" w:rsidRPr="00F64CB6">
        <w:t xml:space="preserve">counting </w:t>
      </w:r>
      <w:r w:rsidRPr="00F64CB6">
        <w:t>s</w:t>
      </w:r>
      <w:r w:rsidR="00C266D4" w:rsidRPr="00F64CB6">
        <w:t xml:space="preserve">tandards but which </w:t>
      </w:r>
      <w:r w:rsidR="003923DA" w:rsidRPr="00F64CB6">
        <w:t>is</w:t>
      </w:r>
      <w:r w:rsidR="00C266D4" w:rsidRPr="00F64CB6">
        <w:t xml:space="preserve"> not non-performing.</w:t>
      </w:r>
      <w:r w:rsidR="00D33E4D" w:rsidRPr="00F64CB6">
        <w:t xml:space="preserve"> Such classification was intended to complement Stage 2 of the credit risk stage model under </w:t>
      </w:r>
      <w:r w:rsidR="00513077" w:rsidRPr="00F64CB6">
        <w:t xml:space="preserve">Australian Accounting Standard </w:t>
      </w:r>
      <w:r w:rsidR="00D33E4D" w:rsidRPr="00F64CB6">
        <w:t>AASB 9 Financial Instruments</w:t>
      </w:r>
      <w:r w:rsidR="00513077" w:rsidRPr="00F64CB6">
        <w:t>.</w:t>
      </w:r>
      <w:r w:rsidR="00D33E4D" w:rsidRPr="00F64CB6">
        <w:t xml:space="preserve"> </w:t>
      </w:r>
    </w:p>
    <w:p w14:paraId="448208FF" w14:textId="77777777" w:rsidR="004803D2" w:rsidRDefault="004803D2" w:rsidP="004803D2">
      <w:pPr>
        <w:pStyle w:val="APRAHEADING3"/>
      </w:pPr>
      <w:bookmarkStart w:id="176" w:name="_Toc22208550"/>
      <w:bookmarkStart w:id="177" w:name="_Toc23158220"/>
      <w:bookmarkStart w:id="178" w:name="_Toc23161103"/>
      <w:bookmarkStart w:id="179" w:name="_Toc23162054"/>
      <w:bookmarkStart w:id="180" w:name="_Toc23325373"/>
      <w:bookmarkStart w:id="181" w:name="_Toc24106613"/>
      <w:bookmarkStart w:id="182" w:name="_Toc25748003"/>
      <w:bookmarkStart w:id="183" w:name="_Toc26945859"/>
      <w:bookmarkStart w:id="184" w:name="_Toc26947935"/>
      <w:r>
        <w:t>Comments received</w:t>
      </w:r>
      <w:bookmarkEnd w:id="176"/>
      <w:bookmarkEnd w:id="177"/>
      <w:bookmarkEnd w:id="178"/>
      <w:bookmarkEnd w:id="179"/>
      <w:bookmarkEnd w:id="180"/>
      <w:bookmarkEnd w:id="181"/>
      <w:bookmarkEnd w:id="182"/>
      <w:bookmarkEnd w:id="183"/>
      <w:bookmarkEnd w:id="184"/>
    </w:p>
    <w:p w14:paraId="67D98248" w14:textId="42DCB8FD" w:rsidR="00B609E4" w:rsidRPr="00F64CB6" w:rsidRDefault="00612F7F" w:rsidP="00F64CB6">
      <w:pPr>
        <w:pStyle w:val="APRANORMAL"/>
      </w:pPr>
      <w:r w:rsidRPr="00F64CB6">
        <w:t>A number of submissions commented that ‘s</w:t>
      </w:r>
      <w:r w:rsidR="00762902" w:rsidRPr="00F64CB6">
        <w:t>ignificantly deteriorated</w:t>
      </w:r>
      <w:r w:rsidRPr="00F64CB6">
        <w:t>’</w:t>
      </w:r>
      <w:r w:rsidR="00762902" w:rsidRPr="00F64CB6">
        <w:t xml:space="preserve"> has a more adverse connotation from an asset quality standpoint that may mislead users</w:t>
      </w:r>
      <w:r w:rsidRPr="00F64CB6">
        <w:t xml:space="preserve"> and that APRA should consider e</w:t>
      </w:r>
      <w:r w:rsidR="00762902" w:rsidRPr="00F64CB6">
        <w:t>stablishing min</w:t>
      </w:r>
      <w:r w:rsidRPr="00F64CB6">
        <w:t xml:space="preserve">imum </w:t>
      </w:r>
      <w:r w:rsidR="00762902" w:rsidRPr="00F64CB6">
        <w:t>threshold</w:t>
      </w:r>
      <w:r w:rsidR="003E2CF1">
        <w:t xml:space="preserve"> or </w:t>
      </w:r>
      <w:r w:rsidR="00762902" w:rsidRPr="00F64CB6">
        <w:t xml:space="preserve">criteria for what constitutes </w:t>
      </w:r>
      <w:r w:rsidRPr="00F64CB6">
        <w:t>‘</w:t>
      </w:r>
      <w:r w:rsidR="00762902" w:rsidRPr="00F64CB6">
        <w:t>significantly</w:t>
      </w:r>
      <w:r w:rsidRPr="00F64CB6">
        <w:t xml:space="preserve"> d</w:t>
      </w:r>
      <w:r w:rsidR="00762902" w:rsidRPr="00F64CB6">
        <w:t>eteriorated</w:t>
      </w:r>
      <w:r w:rsidRPr="00F64CB6">
        <w:t>’</w:t>
      </w:r>
      <w:r w:rsidR="00762902" w:rsidRPr="00F64CB6">
        <w:t>.</w:t>
      </w:r>
      <w:r w:rsidR="00B609E4" w:rsidRPr="00F64CB6">
        <w:t xml:space="preserve"> </w:t>
      </w:r>
    </w:p>
    <w:p w14:paraId="4B9FFED8" w14:textId="0EC658FE" w:rsidR="004803D2" w:rsidRPr="00F64CB6" w:rsidRDefault="00B609E4" w:rsidP="00F64CB6">
      <w:pPr>
        <w:pStyle w:val="APRANORMAL"/>
      </w:pPr>
      <w:r w:rsidRPr="00F64CB6">
        <w:t>Other submissions requested APRA provide a more comprehensive definition of ‘significantly deteriorated’.</w:t>
      </w:r>
      <w:r w:rsidR="007E0551" w:rsidRPr="00F64CB6">
        <w:t xml:space="preserve"> Classification of credit risk exposures as </w:t>
      </w:r>
      <w:r w:rsidR="009E1A49" w:rsidRPr="00F64CB6">
        <w:t>‘</w:t>
      </w:r>
      <w:r w:rsidR="007E0551" w:rsidRPr="00F64CB6">
        <w:t>significantly deteriorated</w:t>
      </w:r>
      <w:r w:rsidR="009E1A49" w:rsidRPr="00F64CB6">
        <w:t>’</w:t>
      </w:r>
      <w:r w:rsidR="007E0551" w:rsidRPr="00F64CB6">
        <w:t xml:space="preserve"> is too ambiguous, and should be relabelled to aid clarity.</w:t>
      </w:r>
    </w:p>
    <w:p w14:paraId="5887C6EB" w14:textId="5545F766" w:rsidR="00762902" w:rsidRPr="00F64CB6" w:rsidRDefault="00612F7F" w:rsidP="00F64CB6">
      <w:pPr>
        <w:pStyle w:val="APRANORMAL"/>
        <w:rPr>
          <w:rStyle w:val="APRANORMALChar"/>
        </w:rPr>
      </w:pPr>
      <w:r w:rsidRPr="00F64CB6">
        <w:t>Submissions also commented that f</w:t>
      </w:r>
      <w:r w:rsidR="00762902" w:rsidRPr="00F64CB6">
        <w:t>air value loans</w:t>
      </w:r>
      <w:r w:rsidRPr="00F64CB6">
        <w:t xml:space="preserve"> </w:t>
      </w:r>
      <w:r w:rsidR="00D33E4D" w:rsidRPr="00F64CB6">
        <w:t xml:space="preserve">should </w:t>
      </w:r>
      <w:r w:rsidR="00762902" w:rsidRPr="00F64CB6">
        <w:t xml:space="preserve">be excluded from </w:t>
      </w:r>
      <w:r w:rsidR="009E1A49" w:rsidRPr="00F64CB6">
        <w:t xml:space="preserve">the </w:t>
      </w:r>
      <w:r w:rsidR="00762902" w:rsidRPr="00F64CB6">
        <w:t xml:space="preserve">proposed asset classification as fair value loans are </w:t>
      </w:r>
      <w:r w:rsidR="006E75CB" w:rsidRPr="00F64CB6">
        <w:t xml:space="preserve">covered </w:t>
      </w:r>
      <w:r w:rsidR="00762902" w:rsidRPr="00F64CB6">
        <w:t xml:space="preserve">by </w:t>
      </w:r>
      <w:r w:rsidR="00513077" w:rsidRPr="00F64CB6">
        <w:t xml:space="preserve">Australian Accounting Standard AASB 13 Fair Value Measurement </w:t>
      </w:r>
      <w:r w:rsidR="00762902" w:rsidRPr="00F64CB6">
        <w:t>(as opposed to AASB 9).</w:t>
      </w:r>
    </w:p>
    <w:p w14:paraId="3347DF5F" w14:textId="77777777" w:rsidR="004803D2" w:rsidRDefault="004803D2" w:rsidP="004803D2">
      <w:pPr>
        <w:pStyle w:val="APRAHEADING3"/>
      </w:pPr>
      <w:bookmarkStart w:id="185" w:name="_Toc22208551"/>
      <w:bookmarkStart w:id="186" w:name="_Toc23158221"/>
      <w:bookmarkStart w:id="187" w:name="_Toc23161104"/>
      <w:bookmarkStart w:id="188" w:name="_Toc23162055"/>
      <w:bookmarkStart w:id="189" w:name="_Toc23325374"/>
      <w:bookmarkStart w:id="190" w:name="_Toc24106614"/>
      <w:bookmarkStart w:id="191" w:name="_Toc25748004"/>
      <w:bookmarkStart w:id="192" w:name="_Toc26945860"/>
      <w:bookmarkStart w:id="193" w:name="_Toc26947936"/>
      <w:r>
        <w:t>APRA response</w:t>
      </w:r>
      <w:bookmarkEnd w:id="185"/>
      <w:bookmarkEnd w:id="186"/>
      <w:bookmarkEnd w:id="187"/>
      <w:bookmarkEnd w:id="188"/>
      <w:bookmarkEnd w:id="189"/>
      <w:bookmarkEnd w:id="190"/>
      <w:bookmarkEnd w:id="191"/>
      <w:bookmarkEnd w:id="192"/>
      <w:bookmarkEnd w:id="193"/>
    </w:p>
    <w:p w14:paraId="67510737" w14:textId="55B2DA64" w:rsidR="004803D2" w:rsidRPr="00F64CB6" w:rsidRDefault="00C43E4C" w:rsidP="00F64CB6">
      <w:pPr>
        <w:pStyle w:val="APRANORMAL"/>
        <w:rPr>
          <w:rStyle w:val="APRANORMALChar"/>
        </w:rPr>
      </w:pPr>
      <w:r w:rsidRPr="00F64CB6">
        <w:rPr>
          <w:rStyle w:val="APRANORMALChar"/>
        </w:rPr>
        <w:t xml:space="preserve">To avoid confusion and simplify the standard, APRA has removed the term ‘significantly deteriorated’ from APS 220. </w:t>
      </w:r>
      <w:r w:rsidR="006E75CB" w:rsidRPr="00F64CB6">
        <w:rPr>
          <w:rStyle w:val="APRANORMALChar"/>
        </w:rPr>
        <w:t>ADIs will be required to classify assets as ‘performing’ or non-performing’</w:t>
      </w:r>
      <w:r w:rsidR="003B44E1">
        <w:rPr>
          <w:rStyle w:val="APRANORMALChar"/>
        </w:rPr>
        <w:t xml:space="preserve"> and </w:t>
      </w:r>
      <w:r w:rsidR="00AD00E3">
        <w:rPr>
          <w:rStyle w:val="APRANORMALChar"/>
        </w:rPr>
        <w:t>‘</w:t>
      </w:r>
      <w:r w:rsidR="003B44E1">
        <w:rPr>
          <w:rStyle w:val="APRANORMALChar"/>
        </w:rPr>
        <w:t>past</w:t>
      </w:r>
      <w:r w:rsidR="006E1E08">
        <w:rPr>
          <w:rStyle w:val="APRANORMALChar"/>
        </w:rPr>
        <w:t>-</w:t>
      </w:r>
      <w:r w:rsidR="003B44E1">
        <w:rPr>
          <w:rStyle w:val="APRANORMALChar"/>
        </w:rPr>
        <w:t>due</w:t>
      </w:r>
      <w:r w:rsidR="00AD00E3">
        <w:rPr>
          <w:rStyle w:val="APRANORMALChar"/>
        </w:rPr>
        <w:t>’</w:t>
      </w:r>
      <w:r w:rsidR="003B44E1">
        <w:rPr>
          <w:rStyle w:val="APRANORMALChar"/>
        </w:rPr>
        <w:t xml:space="preserve"> and </w:t>
      </w:r>
      <w:r w:rsidR="00207A27">
        <w:rPr>
          <w:rStyle w:val="APRANORMALChar"/>
        </w:rPr>
        <w:t>‘</w:t>
      </w:r>
      <w:r w:rsidR="003B44E1">
        <w:rPr>
          <w:rStyle w:val="APRANORMALChar"/>
        </w:rPr>
        <w:t>restructured’</w:t>
      </w:r>
      <w:r w:rsidR="006E75CB" w:rsidRPr="00F64CB6">
        <w:rPr>
          <w:rStyle w:val="APRANORMALChar"/>
        </w:rPr>
        <w:t xml:space="preserve">. (See 5.2 Non-performing below.) </w:t>
      </w:r>
    </w:p>
    <w:p w14:paraId="11268C4E" w14:textId="191AD7E4" w:rsidR="00762902" w:rsidRPr="000547FB" w:rsidRDefault="00762902" w:rsidP="00762902">
      <w:pPr>
        <w:pStyle w:val="APRAHEADING2"/>
      </w:pPr>
      <w:bookmarkStart w:id="194" w:name="_Toc22208552"/>
      <w:bookmarkStart w:id="195" w:name="_Toc23158222"/>
      <w:bookmarkStart w:id="196" w:name="_Toc23161105"/>
      <w:bookmarkStart w:id="197" w:name="_Toc23162056"/>
      <w:bookmarkStart w:id="198" w:name="_Toc23325375"/>
      <w:bookmarkStart w:id="199" w:name="_Toc24106615"/>
      <w:bookmarkStart w:id="200" w:name="_Toc25748005"/>
      <w:bookmarkStart w:id="201" w:name="_Toc26945861"/>
      <w:bookmarkStart w:id="202" w:name="_Toc26947937"/>
      <w:r>
        <w:t>5.2</w:t>
      </w:r>
      <w:r w:rsidRPr="000547FB">
        <w:rPr>
          <w:rStyle w:val="APRANORMALChar"/>
          <w:rFonts w:ascii="DIN OT Medium" w:hAnsi="DIN OT Medium"/>
          <w:lang w:val="en-AU"/>
        </w:rPr>
        <w:tab/>
      </w:r>
      <w:r>
        <w:rPr>
          <w:rStyle w:val="APRANORMALChar"/>
          <w:rFonts w:ascii="DIN OT Medium" w:hAnsi="DIN OT Medium"/>
          <w:lang w:val="en-AU"/>
        </w:rPr>
        <w:t>Non-performing</w:t>
      </w:r>
      <w:bookmarkEnd w:id="194"/>
      <w:bookmarkEnd w:id="195"/>
      <w:bookmarkEnd w:id="196"/>
      <w:bookmarkEnd w:id="197"/>
      <w:bookmarkEnd w:id="198"/>
      <w:bookmarkEnd w:id="199"/>
      <w:r w:rsidR="008D5BAF">
        <w:rPr>
          <w:rStyle w:val="APRANORMALChar"/>
          <w:rFonts w:ascii="DIN OT Medium" w:hAnsi="DIN OT Medium"/>
          <w:lang w:val="en-AU"/>
        </w:rPr>
        <w:t xml:space="preserve"> exposures</w:t>
      </w:r>
      <w:bookmarkEnd w:id="200"/>
      <w:bookmarkEnd w:id="201"/>
      <w:bookmarkEnd w:id="202"/>
    </w:p>
    <w:p w14:paraId="6A48789A" w14:textId="4E6754E9" w:rsidR="00486559" w:rsidRPr="00F64CB6" w:rsidRDefault="006E75CB" w:rsidP="00F64CB6">
      <w:pPr>
        <w:pStyle w:val="APRANORMAL"/>
      </w:pPr>
      <w:r w:rsidRPr="00F64CB6">
        <w:t>In the draft APS 220, APRA defined ‘non-performing</w:t>
      </w:r>
      <w:r w:rsidR="00042D58">
        <w:t>’</w:t>
      </w:r>
      <w:r w:rsidRPr="00F64CB6">
        <w:t xml:space="preserve"> as an exposure</w:t>
      </w:r>
      <w:r w:rsidR="00762902" w:rsidRPr="00F64CB6">
        <w:t xml:space="preserve"> that is in default as </w:t>
      </w:r>
      <w:r w:rsidR="00444288" w:rsidRPr="00F64CB6">
        <w:t xml:space="preserve">defined </w:t>
      </w:r>
      <w:r w:rsidR="00762902" w:rsidRPr="00F64CB6">
        <w:t xml:space="preserve">in </w:t>
      </w:r>
      <w:r w:rsidR="00C95759" w:rsidRPr="00BC22A0">
        <w:rPr>
          <w:i/>
        </w:rPr>
        <w:t>Prudential Standard APS 113 Capital Adequacy: Internal Ratings-based Approach to Credit Risk</w:t>
      </w:r>
      <w:r w:rsidR="00C95759" w:rsidRPr="00F64CB6">
        <w:t xml:space="preserve"> (APS 113).</w:t>
      </w:r>
      <w:r w:rsidR="00486559" w:rsidRPr="00F64CB6">
        <w:t xml:space="preserve"> </w:t>
      </w:r>
      <w:r w:rsidR="00B07B54">
        <w:t xml:space="preserve">This definition was broadly consistent with the Basel guidance which included the regulatory definition of default. </w:t>
      </w:r>
    </w:p>
    <w:p w14:paraId="74F7A219" w14:textId="77777777" w:rsidR="00762902" w:rsidRDefault="00762902" w:rsidP="00762902">
      <w:pPr>
        <w:pStyle w:val="APRAHEADING3"/>
      </w:pPr>
      <w:bookmarkStart w:id="203" w:name="_Toc22208553"/>
      <w:bookmarkStart w:id="204" w:name="_Toc23158223"/>
      <w:bookmarkStart w:id="205" w:name="_Toc23161106"/>
      <w:bookmarkStart w:id="206" w:name="_Toc23162057"/>
      <w:bookmarkStart w:id="207" w:name="_Toc23325376"/>
      <w:bookmarkStart w:id="208" w:name="_Toc24106616"/>
      <w:bookmarkStart w:id="209" w:name="_Toc25748006"/>
      <w:bookmarkStart w:id="210" w:name="_Toc26945862"/>
      <w:bookmarkStart w:id="211" w:name="_Toc26947938"/>
      <w:r>
        <w:t>Comments received</w:t>
      </w:r>
      <w:bookmarkEnd w:id="203"/>
      <w:bookmarkEnd w:id="204"/>
      <w:bookmarkEnd w:id="205"/>
      <w:bookmarkEnd w:id="206"/>
      <w:bookmarkEnd w:id="207"/>
      <w:bookmarkEnd w:id="208"/>
      <w:bookmarkEnd w:id="209"/>
      <w:bookmarkEnd w:id="210"/>
      <w:bookmarkEnd w:id="211"/>
    </w:p>
    <w:p w14:paraId="0E852A2B" w14:textId="2676A3A3" w:rsidR="00486559" w:rsidRPr="00F64CB6" w:rsidRDefault="006E75CB" w:rsidP="00F64CB6">
      <w:pPr>
        <w:pStyle w:val="APRANORMAL"/>
      </w:pPr>
      <w:r w:rsidRPr="00F64CB6">
        <w:t>In relation to</w:t>
      </w:r>
      <w:r w:rsidR="00762902" w:rsidRPr="00F64CB6">
        <w:t xml:space="preserve"> </w:t>
      </w:r>
      <w:r w:rsidRPr="00F64CB6">
        <w:t>‘</w:t>
      </w:r>
      <w:r w:rsidR="00762902" w:rsidRPr="00F64CB6">
        <w:t>non-performing</w:t>
      </w:r>
      <w:r w:rsidRPr="00F64CB6">
        <w:t>’</w:t>
      </w:r>
      <w:r w:rsidR="00762902" w:rsidRPr="00F64CB6">
        <w:t xml:space="preserve">, </w:t>
      </w:r>
      <w:r w:rsidRPr="00F64CB6">
        <w:t xml:space="preserve">submissions commented that </w:t>
      </w:r>
      <w:r w:rsidR="00762902" w:rsidRPr="00F64CB6">
        <w:t>contractual payment and materiality threshold provisions should be restored in APS 220.</w:t>
      </w:r>
      <w:r w:rsidR="00486559" w:rsidRPr="00F64CB6">
        <w:t xml:space="preserve"> ‘Non-performing</w:t>
      </w:r>
      <w:r w:rsidR="006E7591">
        <w:t>’</w:t>
      </w:r>
      <w:r w:rsidR="00486559" w:rsidRPr="00F64CB6">
        <w:t xml:space="preserve"> exposures should also be defined under APS 220 rather than APS 113.</w:t>
      </w:r>
    </w:p>
    <w:p w14:paraId="514FDC3A" w14:textId="0A5F24B0" w:rsidR="00762902" w:rsidRPr="00F64CB6" w:rsidRDefault="00486559" w:rsidP="00F64CB6">
      <w:pPr>
        <w:pStyle w:val="APRANORMAL"/>
        <w:rPr>
          <w:rStyle w:val="APRANORMALChar"/>
        </w:rPr>
      </w:pPr>
      <w:r w:rsidRPr="00F64CB6">
        <w:t>It was also commented that ADIs with ‘non-performing’ loans that are otherwise well-secured will see a spike in their reported figures</w:t>
      </w:r>
      <w:r w:rsidR="00B07B54">
        <w:t xml:space="preserve"> to APRA</w:t>
      </w:r>
      <w:r w:rsidRPr="00F64CB6">
        <w:t>.</w:t>
      </w:r>
    </w:p>
    <w:p w14:paraId="7FC081B2" w14:textId="77777777" w:rsidR="00762902" w:rsidRDefault="00762902" w:rsidP="00762902">
      <w:pPr>
        <w:pStyle w:val="APRAHEADING3"/>
      </w:pPr>
      <w:bookmarkStart w:id="212" w:name="_Toc22208554"/>
      <w:bookmarkStart w:id="213" w:name="_Toc23158224"/>
      <w:bookmarkStart w:id="214" w:name="_Toc23161107"/>
      <w:bookmarkStart w:id="215" w:name="_Toc23162058"/>
      <w:bookmarkStart w:id="216" w:name="_Toc23325377"/>
      <w:bookmarkStart w:id="217" w:name="_Toc24106617"/>
      <w:bookmarkStart w:id="218" w:name="_Toc25748007"/>
      <w:bookmarkStart w:id="219" w:name="_Toc26945863"/>
      <w:bookmarkStart w:id="220" w:name="_Toc26947939"/>
      <w:r>
        <w:lastRenderedPageBreak/>
        <w:t>APRA response</w:t>
      </w:r>
      <w:bookmarkEnd w:id="212"/>
      <w:bookmarkEnd w:id="213"/>
      <w:bookmarkEnd w:id="214"/>
      <w:bookmarkEnd w:id="215"/>
      <w:bookmarkEnd w:id="216"/>
      <w:bookmarkEnd w:id="217"/>
      <w:bookmarkEnd w:id="218"/>
      <w:bookmarkEnd w:id="219"/>
      <w:bookmarkEnd w:id="220"/>
    </w:p>
    <w:p w14:paraId="7AD37316" w14:textId="6398D3A8" w:rsidR="00762902" w:rsidRPr="00F64CB6" w:rsidRDefault="001A41F9" w:rsidP="00F64CB6">
      <w:pPr>
        <w:pStyle w:val="APRANORMAL"/>
      </w:pPr>
      <w:r w:rsidRPr="00F64CB6">
        <w:t xml:space="preserve">APRA notes </w:t>
      </w:r>
      <w:r w:rsidR="001559E8">
        <w:t xml:space="preserve">that </w:t>
      </w:r>
      <w:r w:rsidRPr="00F64CB6">
        <w:t>the c</w:t>
      </w:r>
      <w:r w:rsidR="00762902" w:rsidRPr="00F64CB6">
        <w:t xml:space="preserve">urrent APS 220 refers to contractual payment and materiality threshold provisions and these were inadvertently not included in </w:t>
      </w:r>
      <w:r w:rsidR="00FC69E6" w:rsidRPr="00F64CB6">
        <w:t xml:space="preserve">the </w:t>
      </w:r>
      <w:r w:rsidR="00762902" w:rsidRPr="00F64CB6">
        <w:t>draft APS 220.</w:t>
      </w:r>
      <w:r w:rsidRPr="00F64CB6">
        <w:t xml:space="preserve"> </w:t>
      </w:r>
      <w:r w:rsidR="00985179" w:rsidRPr="00F64CB6">
        <w:t>This includes the definition of 90 days past</w:t>
      </w:r>
      <w:r w:rsidR="001559E8">
        <w:t>-</w:t>
      </w:r>
      <w:r w:rsidR="00985179" w:rsidRPr="00F64CB6">
        <w:t xml:space="preserve">due for exposures subject to a regular repayment schedule and exposures that do not have a contractual repayment schedule (e.g. overdrafts and revolving credit facilities). </w:t>
      </w:r>
      <w:r w:rsidR="00DF1BDF" w:rsidRPr="00F64CB6">
        <w:t>A</w:t>
      </w:r>
      <w:r w:rsidRPr="00F64CB6">
        <w:t>PRA has restored the</w:t>
      </w:r>
      <w:r w:rsidR="00042D58">
        <w:t xml:space="preserve"> relevant provisions</w:t>
      </w:r>
      <w:r w:rsidRPr="00F64CB6">
        <w:t xml:space="preserve"> in APS 220</w:t>
      </w:r>
      <w:r w:rsidR="00F635DB">
        <w:t>.</w:t>
      </w:r>
      <w:r w:rsidRPr="00F64CB6">
        <w:t xml:space="preserve"> </w:t>
      </w:r>
    </w:p>
    <w:p w14:paraId="4F87BE2C" w14:textId="54715806" w:rsidR="00EA0606" w:rsidRDefault="00281AE8" w:rsidP="00F64CB6">
      <w:pPr>
        <w:pStyle w:val="APRANORMAL"/>
      </w:pPr>
      <w:r w:rsidRPr="00F64CB6">
        <w:t xml:space="preserve">To avoid confusion for those ADIs subject to APS 112, </w:t>
      </w:r>
      <w:r w:rsidR="00EA0606" w:rsidRPr="00F64CB6">
        <w:t>APRA has included the regulatory definition of default</w:t>
      </w:r>
      <w:r w:rsidRPr="00F64CB6">
        <w:t xml:space="preserve"> in APS 220 and </w:t>
      </w:r>
      <w:r w:rsidR="00EA0606" w:rsidRPr="00F64CB6">
        <w:t>removed the cross r</w:t>
      </w:r>
      <w:r w:rsidRPr="00F64CB6">
        <w:t>e</w:t>
      </w:r>
      <w:r w:rsidR="00EA0606" w:rsidRPr="00F64CB6">
        <w:t>fer</w:t>
      </w:r>
      <w:r w:rsidRPr="00F64CB6">
        <w:t>ence to APS 113.</w:t>
      </w:r>
    </w:p>
    <w:p w14:paraId="096A614C" w14:textId="683CE8B3" w:rsidR="0000710F" w:rsidRPr="00F64CB6" w:rsidRDefault="007E0AEC" w:rsidP="00F64CB6">
      <w:pPr>
        <w:pStyle w:val="APRANORMAL"/>
      </w:pPr>
      <w:r>
        <w:t xml:space="preserve">For prudential reporting purposes, </w:t>
      </w:r>
      <w:r w:rsidR="0000710F" w:rsidRPr="00F64CB6">
        <w:t xml:space="preserve">APRA notes </w:t>
      </w:r>
      <w:r w:rsidR="000F4D22" w:rsidRPr="00F64CB6">
        <w:t xml:space="preserve">the definition of non-performing </w:t>
      </w:r>
      <w:r w:rsidR="003E2CF1">
        <w:t xml:space="preserve">exposures </w:t>
      </w:r>
      <w:r w:rsidR="000F4D22" w:rsidRPr="00F64CB6">
        <w:t>is likely to result in a higher level of reported problem exposures relative to APRA's current definition of impaired exposures, but will not necessarily lead to an increase in provisions.</w:t>
      </w:r>
    </w:p>
    <w:p w14:paraId="6588361B" w14:textId="1B5C3BE9" w:rsidR="00762902" w:rsidRPr="000547FB" w:rsidRDefault="00762902" w:rsidP="00762902">
      <w:pPr>
        <w:pStyle w:val="APRAHEADING2"/>
      </w:pPr>
      <w:bookmarkStart w:id="221" w:name="_Toc22208555"/>
      <w:bookmarkStart w:id="222" w:name="_Toc23158225"/>
      <w:bookmarkStart w:id="223" w:name="_Toc23161108"/>
      <w:bookmarkStart w:id="224" w:name="_Toc23162059"/>
      <w:bookmarkStart w:id="225" w:name="_Toc23325378"/>
      <w:bookmarkStart w:id="226" w:name="_Toc24106618"/>
      <w:bookmarkStart w:id="227" w:name="_Toc25748008"/>
      <w:bookmarkStart w:id="228" w:name="_Toc26945864"/>
      <w:bookmarkStart w:id="229" w:name="_Toc26947940"/>
      <w:r>
        <w:t>5.3</w:t>
      </w:r>
      <w:r w:rsidRPr="000547FB">
        <w:rPr>
          <w:rStyle w:val="APRANORMALChar"/>
          <w:rFonts w:ascii="DIN OT Medium" w:hAnsi="DIN OT Medium"/>
          <w:lang w:val="en-AU"/>
        </w:rPr>
        <w:tab/>
      </w:r>
      <w:r>
        <w:rPr>
          <w:rStyle w:val="APRANORMALChar"/>
          <w:rFonts w:ascii="DIN OT Medium" w:hAnsi="DIN OT Medium"/>
          <w:lang w:val="en-AU"/>
        </w:rPr>
        <w:t>Restructured</w:t>
      </w:r>
      <w:bookmarkEnd w:id="221"/>
      <w:r w:rsidR="00AE57FD">
        <w:rPr>
          <w:rStyle w:val="APRANORMALChar"/>
          <w:rFonts w:ascii="DIN OT Medium" w:hAnsi="DIN OT Medium"/>
          <w:lang w:val="en-AU"/>
        </w:rPr>
        <w:t xml:space="preserve"> exposures</w:t>
      </w:r>
      <w:bookmarkEnd w:id="222"/>
      <w:bookmarkEnd w:id="223"/>
      <w:bookmarkEnd w:id="224"/>
      <w:bookmarkEnd w:id="225"/>
      <w:bookmarkEnd w:id="226"/>
      <w:bookmarkEnd w:id="227"/>
      <w:bookmarkEnd w:id="228"/>
      <w:bookmarkEnd w:id="229"/>
    </w:p>
    <w:p w14:paraId="359091BC" w14:textId="3B669ECA" w:rsidR="00762902" w:rsidRPr="00F64CB6" w:rsidRDefault="00AE57FD" w:rsidP="00F64CB6">
      <w:pPr>
        <w:pStyle w:val="APRANORMAL"/>
        <w:rPr>
          <w:rStyle w:val="APRANORMALChar"/>
        </w:rPr>
      </w:pPr>
      <w:r w:rsidRPr="00F64CB6">
        <w:t xml:space="preserve">In the draft APS 220, APRA proposed that an </w:t>
      </w:r>
      <w:r w:rsidR="00762902" w:rsidRPr="00F64CB6">
        <w:t xml:space="preserve">ADI must classify a restructured exposure </w:t>
      </w:r>
      <w:r w:rsidRPr="00F64CB6">
        <w:t xml:space="preserve">as </w:t>
      </w:r>
      <w:r w:rsidR="00E10C1A" w:rsidRPr="00F64CB6">
        <w:t xml:space="preserve">non-performing </w:t>
      </w:r>
      <w:r w:rsidR="00762902" w:rsidRPr="00F64CB6">
        <w:t>until it meets both of the following exit criteria:</w:t>
      </w:r>
      <w:r w:rsidR="00B609E4" w:rsidRPr="00F64CB6">
        <w:t xml:space="preserve"> </w:t>
      </w:r>
      <w:r w:rsidR="00762902" w:rsidRPr="00F64CB6">
        <w:t xml:space="preserve">when all payments, as per the revised contractual terms, have been made in a timely manner over a continuous repayment period of not less than </w:t>
      </w:r>
      <w:r w:rsidR="009B4E78" w:rsidRPr="00F64CB6">
        <w:t>twelve months</w:t>
      </w:r>
      <w:r w:rsidR="00762902" w:rsidRPr="00F64CB6">
        <w:t>; and the borrower has resolved its financial difficulty.</w:t>
      </w:r>
    </w:p>
    <w:p w14:paraId="0633B0AB" w14:textId="77777777" w:rsidR="00762902" w:rsidRDefault="00762902" w:rsidP="00762902">
      <w:pPr>
        <w:pStyle w:val="APRAHEADING3"/>
      </w:pPr>
      <w:bookmarkStart w:id="230" w:name="_Toc22208556"/>
      <w:bookmarkStart w:id="231" w:name="_Toc23158226"/>
      <w:bookmarkStart w:id="232" w:name="_Toc23161109"/>
      <w:bookmarkStart w:id="233" w:name="_Toc23162060"/>
      <w:bookmarkStart w:id="234" w:name="_Toc23325379"/>
      <w:bookmarkStart w:id="235" w:name="_Toc24106619"/>
      <w:bookmarkStart w:id="236" w:name="_Toc25748009"/>
      <w:bookmarkStart w:id="237" w:name="_Toc26945865"/>
      <w:bookmarkStart w:id="238" w:name="_Toc26947941"/>
      <w:r>
        <w:t>Comments received</w:t>
      </w:r>
      <w:bookmarkEnd w:id="230"/>
      <w:bookmarkEnd w:id="231"/>
      <w:bookmarkEnd w:id="232"/>
      <w:bookmarkEnd w:id="233"/>
      <w:bookmarkEnd w:id="234"/>
      <w:bookmarkEnd w:id="235"/>
      <w:bookmarkEnd w:id="236"/>
      <w:bookmarkEnd w:id="237"/>
      <w:bookmarkEnd w:id="238"/>
    </w:p>
    <w:p w14:paraId="195C9CFD" w14:textId="39FC0943" w:rsidR="00762902" w:rsidRPr="00F64CB6" w:rsidRDefault="00B609E4" w:rsidP="00F64CB6">
      <w:pPr>
        <w:pStyle w:val="APRANORMAL"/>
      </w:pPr>
      <w:r w:rsidRPr="00F64CB6">
        <w:t xml:space="preserve">Most submissions requested that </w:t>
      </w:r>
      <w:r w:rsidR="00762902" w:rsidRPr="00F64CB6">
        <w:t xml:space="preserve">APRA retain the six-month </w:t>
      </w:r>
      <w:r w:rsidR="008305DB" w:rsidRPr="00F64CB6">
        <w:t>continuous repayment period (</w:t>
      </w:r>
      <w:r w:rsidR="00762902" w:rsidRPr="00F64CB6">
        <w:t>probation period</w:t>
      </w:r>
      <w:r w:rsidR="008305DB" w:rsidRPr="00F64CB6">
        <w:t>)</w:t>
      </w:r>
      <w:r w:rsidRPr="00F64CB6">
        <w:t xml:space="preserve"> rather than introduc</w:t>
      </w:r>
      <w:r w:rsidR="001A2F16" w:rsidRPr="00F64CB6">
        <w:t>ing</w:t>
      </w:r>
      <w:r w:rsidRPr="00F64CB6">
        <w:t xml:space="preserve"> a </w:t>
      </w:r>
      <w:r w:rsidR="008305DB" w:rsidRPr="00F64CB6">
        <w:t xml:space="preserve">twelve </w:t>
      </w:r>
      <w:r w:rsidRPr="00F64CB6">
        <w:t>month probation period</w:t>
      </w:r>
      <w:r w:rsidR="00762902" w:rsidRPr="00F64CB6">
        <w:t>.</w:t>
      </w:r>
      <w:r w:rsidR="00F27CD4" w:rsidRPr="00F64CB6">
        <w:t xml:space="preserve"> Some respondents advised that their data shows that only a very small number of hardship customers fall back into arrears between six and twelve months. </w:t>
      </w:r>
      <w:r w:rsidR="00742ECB" w:rsidRPr="00F64CB6">
        <w:t xml:space="preserve">It was also commented that there would be additional </w:t>
      </w:r>
      <w:r w:rsidR="00E10C1A" w:rsidRPr="00F64CB6">
        <w:t>c</w:t>
      </w:r>
      <w:r w:rsidR="00742ECB" w:rsidRPr="00F64CB6">
        <w:t>osts associated with managing system changes and monitoring customer accounts</w:t>
      </w:r>
      <w:r w:rsidR="008C48FB" w:rsidRPr="00F64CB6">
        <w:t xml:space="preserve"> with a twelve month period.</w:t>
      </w:r>
    </w:p>
    <w:p w14:paraId="36A3B588" w14:textId="06ED72B8" w:rsidR="008C48FB" w:rsidRPr="00F64CB6" w:rsidRDefault="008C48FB" w:rsidP="00F64CB6">
      <w:pPr>
        <w:pStyle w:val="APRANORMAL"/>
      </w:pPr>
      <w:r w:rsidRPr="00F64CB6">
        <w:t xml:space="preserve">Other submissions requested alignment of the standard with the definitions used for reporting restructured </w:t>
      </w:r>
      <w:r w:rsidR="00E10C1A" w:rsidRPr="00F64CB6">
        <w:t>exposures</w:t>
      </w:r>
      <w:r w:rsidRPr="00F64CB6">
        <w:t xml:space="preserve"> used in the Basel guidance</w:t>
      </w:r>
      <w:r w:rsidR="00E10C1A" w:rsidRPr="00F64CB6">
        <w:t>. Clarity was also sought on whether all restructured exposures were to be reported as non-performing.</w:t>
      </w:r>
    </w:p>
    <w:p w14:paraId="08845C07" w14:textId="0CD846B2" w:rsidR="00E10C1A" w:rsidRPr="00F64CB6" w:rsidRDefault="00E10C1A" w:rsidP="00F64CB6">
      <w:pPr>
        <w:pStyle w:val="APRANORMAL"/>
      </w:pPr>
      <w:r w:rsidRPr="00333B1B">
        <w:t>Some submissions commented that the list of concessions in the draft APS 220 mixed significant restructuring initiatives with relatively immaterial changes</w:t>
      </w:r>
      <w:r w:rsidR="00010D6D" w:rsidRPr="00BC22A0">
        <w:t xml:space="preserve"> that may be </w:t>
      </w:r>
      <w:r w:rsidR="00010D6D" w:rsidRPr="00333B1B">
        <w:t>commercially available to borrowers in good standing</w:t>
      </w:r>
      <w:r w:rsidR="00F8590A" w:rsidRPr="00333B1B">
        <w:t>.</w:t>
      </w:r>
      <w:r w:rsidRPr="00F64CB6">
        <w:t xml:space="preserve"> </w:t>
      </w:r>
    </w:p>
    <w:p w14:paraId="080D3BA8" w14:textId="01A64FF2" w:rsidR="00762902" w:rsidRPr="00F64CB6" w:rsidRDefault="00E10C1A" w:rsidP="00F64CB6">
      <w:pPr>
        <w:pStyle w:val="APRANORMAL"/>
        <w:rPr>
          <w:rStyle w:val="APRANORMALChar"/>
        </w:rPr>
      </w:pPr>
      <w:r w:rsidRPr="00F64CB6">
        <w:t>It was also</w:t>
      </w:r>
      <w:r w:rsidR="0081301A" w:rsidRPr="00F64CB6">
        <w:t xml:space="preserve"> commented that </w:t>
      </w:r>
      <w:r w:rsidR="00A20463" w:rsidRPr="00F64CB6">
        <w:t xml:space="preserve">the </w:t>
      </w:r>
      <w:r w:rsidR="00B609E4" w:rsidRPr="00F64CB6">
        <w:t>d</w:t>
      </w:r>
      <w:r w:rsidR="00762902" w:rsidRPr="00F64CB6">
        <w:t>raft APS 220 d</w:t>
      </w:r>
      <w:r w:rsidR="0081301A" w:rsidRPr="00F64CB6">
        <w:t>id</w:t>
      </w:r>
      <w:r w:rsidR="00762902" w:rsidRPr="00F64CB6">
        <w:t xml:space="preserve"> not provide </w:t>
      </w:r>
      <w:r w:rsidR="001A2F16" w:rsidRPr="00F64CB6">
        <w:t>a</w:t>
      </w:r>
      <w:r w:rsidR="00AE57FD" w:rsidRPr="00F64CB6">
        <w:t xml:space="preserve"> specific </w:t>
      </w:r>
      <w:r w:rsidR="001A2F16" w:rsidRPr="00F64CB6">
        <w:t xml:space="preserve">exception from the restructured classification </w:t>
      </w:r>
      <w:r w:rsidR="0061475E" w:rsidRPr="00F64CB6">
        <w:t xml:space="preserve">those </w:t>
      </w:r>
      <w:r w:rsidR="001A2F16" w:rsidRPr="00F64CB6">
        <w:t xml:space="preserve">agribusiness borrowers </w:t>
      </w:r>
      <w:r w:rsidR="00762902" w:rsidRPr="00F64CB6">
        <w:t>experiencing financial difficulties, but have demonstrated long term viability</w:t>
      </w:r>
      <w:r w:rsidR="001A2F16" w:rsidRPr="00F64CB6">
        <w:t>.</w:t>
      </w:r>
    </w:p>
    <w:p w14:paraId="7EB663F5" w14:textId="77777777" w:rsidR="00762902" w:rsidRDefault="00762902" w:rsidP="00762902">
      <w:pPr>
        <w:pStyle w:val="APRAHEADING3"/>
      </w:pPr>
      <w:bookmarkStart w:id="239" w:name="_Toc22208557"/>
      <w:bookmarkStart w:id="240" w:name="_Toc23158227"/>
      <w:bookmarkStart w:id="241" w:name="_Toc23161110"/>
      <w:bookmarkStart w:id="242" w:name="_Toc23162061"/>
      <w:bookmarkStart w:id="243" w:name="_Toc23325380"/>
      <w:bookmarkStart w:id="244" w:name="_Toc24106620"/>
      <w:bookmarkStart w:id="245" w:name="_Toc25748010"/>
      <w:bookmarkStart w:id="246" w:name="_Toc26945866"/>
      <w:bookmarkStart w:id="247" w:name="_Toc26947942"/>
      <w:r>
        <w:t>APRA response</w:t>
      </w:r>
      <w:bookmarkEnd w:id="239"/>
      <w:bookmarkEnd w:id="240"/>
      <w:bookmarkEnd w:id="241"/>
      <w:bookmarkEnd w:id="242"/>
      <w:bookmarkEnd w:id="243"/>
      <w:bookmarkEnd w:id="244"/>
      <w:bookmarkEnd w:id="245"/>
      <w:bookmarkEnd w:id="246"/>
      <w:bookmarkEnd w:id="247"/>
    </w:p>
    <w:p w14:paraId="2A47BDDB" w14:textId="6C8FCC50" w:rsidR="00987605" w:rsidRDefault="00B16794" w:rsidP="00F64CB6">
      <w:pPr>
        <w:pStyle w:val="APRANORMAL"/>
      </w:pPr>
      <w:bookmarkStart w:id="248" w:name="_Toc22208558"/>
      <w:bookmarkStart w:id="249" w:name="_Toc23158228"/>
      <w:r>
        <w:t>On the understanding that a</w:t>
      </w:r>
      <w:r w:rsidRPr="00B16794">
        <w:t xml:space="preserve"> small number of hardship customers </w:t>
      </w:r>
      <w:r>
        <w:t xml:space="preserve">have </w:t>
      </w:r>
      <w:r w:rsidRPr="00B16794">
        <w:t>fall</w:t>
      </w:r>
      <w:r>
        <w:t>en</w:t>
      </w:r>
      <w:r w:rsidRPr="00B16794">
        <w:t xml:space="preserve"> back into arrears</w:t>
      </w:r>
      <w:r>
        <w:t xml:space="preserve"> after s</w:t>
      </w:r>
      <w:r w:rsidRPr="00B16794">
        <w:t>ix</w:t>
      </w:r>
      <w:r>
        <w:t xml:space="preserve"> months, and the likely increased burden and costs on ADIs of the proposal, </w:t>
      </w:r>
      <w:r w:rsidR="00987605" w:rsidRPr="00987605">
        <w:lastRenderedPageBreak/>
        <w:t>APRA has changed its proposal for a twelve month period for a restructured exposure to return to performing status and is retaining the current six month requirement.</w:t>
      </w:r>
    </w:p>
    <w:p w14:paraId="363DCD26" w14:textId="7F7D9BCA" w:rsidR="00304F6F" w:rsidRDefault="00304F6F" w:rsidP="00F64CB6">
      <w:pPr>
        <w:pStyle w:val="APRANORMAL"/>
      </w:pPr>
      <w:bookmarkStart w:id="250" w:name="_Toc23158229"/>
      <w:bookmarkStart w:id="251" w:name="_Toc22208559"/>
      <w:bookmarkEnd w:id="248"/>
      <w:bookmarkEnd w:id="249"/>
      <w:r>
        <w:t xml:space="preserve">In line with the relevant Basel guidance, </w:t>
      </w:r>
      <w:r w:rsidRPr="00304F6F">
        <w:t xml:space="preserve">APRA has </w:t>
      </w:r>
      <w:r>
        <w:t xml:space="preserve">also </w:t>
      </w:r>
      <w:r w:rsidRPr="00304F6F">
        <w:t xml:space="preserve">clarified in the standard that </w:t>
      </w:r>
      <w:r>
        <w:t xml:space="preserve">a </w:t>
      </w:r>
      <w:r w:rsidRPr="00304F6F">
        <w:t>restructure</w:t>
      </w:r>
      <w:r w:rsidR="0057010E">
        <w:t>d</w:t>
      </w:r>
      <w:r w:rsidRPr="00304F6F">
        <w:t xml:space="preserve"> </w:t>
      </w:r>
      <w:r>
        <w:t xml:space="preserve">exposure </w:t>
      </w:r>
      <w:r w:rsidRPr="00304F6F">
        <w:t xml:space="preserve">may </w:t>
      </w:r>
      <w:r>
        <w:t xml:space="preserve">be </w:t>
      </w:r>
      <w:r w:rsidR="0057010E">
        <w:t>granted on</w:t>
      </w:r>
      <w:r w:rsidRPr="00304F6F">
        <w:t xml:space="preserve"> performing or non-performing exposures</w:t>
      </w:r>
      <w:r w:rsidR="0057010E">
        <w:t xml:space="preserve">. In addition, APRA has provided more detail </w:t>
      </w:r>
      <w:r w:rsidR="00994525">
        <w:t xml:space="preserve">in APS 220 </w:t>
      </w:r>
      <w:r w:rsidR="0057010E">
        <w:t>around the</w:t>
      </w:r>
      <w:r>
        <w:t xml:space="preserve"> i</w:t>
      </w:r>
      <w:r w:rsidRPr="00304F6F">
        <w:t xml:space="preserve">nteraction of </w:t>
      </w:r>
      <w:r>
        <w:t xml:space="preserve">restructured </w:t>
      </w:r>
      <w:r w:rsidRPr="00304F6F">
        <w:t>with non-performing exposures</w:t>
      </w:r>
      <w:r w:rsidR="00BC2492">
        <w:t>.</w:t>
      </w:r>
      <w:bookmarkEnd w:id="250"/>
    </w:p>
    <w:p w14:paraId="461B49AA" w14:textId="604B81CB" w:rsidR="00611512" w:rsidRDefault="00611512" w:rsidP="00F64CB6">
      <w:pPr>
        <w:pStyle w:val="APRANORMAL"/>
      </w:pPr>
      <w:bookmarkStart w:id="252" w:name="_Toc23158230"/>
      <w:bookmarkEnd w:id="251"/>
      <w:r w:rsidRPr="00611512">
        <w:t xml:space="preserve">APS 220 lists a number of examples of concessions. </w:t>
      </w:r>
      <w:r w:rsidR="00E26128">
        <w:t>APRA has provided guidance in the draft APG 220</w:t>
      </w:r>
      <w:r w:rsidR="003C7909" w:rsidRPr="003C7909">
        <w:t xml:space="preserve"> </w:t>
      </w:r>
      <w:r w:rsidR="0089766B">
        <w:t xml:space="preserve">that these relate to </w:t>
      </w:r>
      <w:r w:rsidR="003C7909" w:rsidRPr="003C7909">
        <w:t>concession</w:t>
      </w:r>
      <w:r w:rsidR="0089766B">
        <w:t>s</w:t>
      </w:r>
      <w:r w:rsidR="003C7909" w:rsidRPr="003C7909">
        <w:t xml:space="preserve"> to the borrower </w:t>
      </w:r>
      <w:r w:rsidR="0089766B">
        <w:t>which are on</w:t>
      </w:r>
      <w:r w:rsidR="00102099">
        <w:t xml:space="preserve"> </w:t>
      </w:r>
      <w:r w:rsidR="0089766B">
        <w:t>non-commercial terms</w:t>
      </w:r>
      <w:r w:rsidR="003C7909" w:rsidRPr="003C7909">
        <w:t>.</w:t>
      </w:r>
      <w:r w:rsidR="0061475E">
        <w:t xml:space="preserve"> </w:t>
      </w:r>
      <w:r w:rsidR="0061475E" w:rsidRPr="0061475E">
        <w:t>Restructured exposures would include exposures where the underlying loan terms are contractually reduced or otherwise modified in a manner that would not be commercially available to other borrowers in good standing.</w:t>
      </w:r>
      <w:bookmarkEnd w:id="252"/>
    </w:p>
    <w:p w14:paraId="7EA2DC86" w14:textId="19C1ABD5" w:rsidR="001D5EDC" w:rsidRDefault="004E1C4B" w:rsidP="00F64CB6">
      <w:pPr>
        <w:pStyle w:val="APRANORMAL"/>
      </w:pPr>
      <w:bookmarkStart w:id="253" w:name="_Toc23158231"/>
      <w:r>
        <w:t xml:space="preserve">APRA has also restored in APS 220 its longstanding </w:t>
      </w:r>
      <w:r w:rsidR="00BC2492">
        <w:t xml:space="preserve">requirement </w:t>
      </w:r>
      <w:r>
        <w:t>that a</w:t>
      </w:r>
      <w:r w:rsidR="00777D50" w:rsidRPr="00777D50">
        <w:t xml:space="preserve">n exposure that is not subject to the National Credit Code need not be reported as restructured where it is placed on restructured terms for less than </w:t>
      </w:r>
      <w:r w:rsidR="003658BB">
        <w:t>twelve</w:t>
      </w:r>
      <w:r>
        <w:t xml:space="preserve"> months </w:t>
      </w:r>
      <w:r w:rsidR="00777D50" w:rsidRPr="00777D50">
        <w:t xml:space="preserve">due to financial difficulty being experienced by the borrower but where long-term viability is unquestioned (e.g. an agricultural exposure encountering </w:t>
      </w:r>
      <w:r w:rsidR="00C54141">
        <w:t xml:space="preserve">a </w:t>
      </w:r>
      <w:r w:rsidR="00777D50" w:rsidRPr="00777D50">
        <w:t>bad season).</w:t>
      </w:r>
      <w:bookmarkEnd w:id="253"/>
    </w:p>
    <w:p w14:paraId="159B993D" w14:textId="77777777" w:rsidR="00870BCE" w:rsidRDefault="00870BCE">
      <w:pPr>
        <w:spacing w:after="120" w:line="288" w:lineRule="auto"/>
        <w:rPr>
          <w:rStyle w:val="APRANORMALChar"/>
        </w:rPr>
      </w:pPr>
      <w:r>
        <w:rPr>
          <w:rStyle w:val="APRANORMALChar"/>
        </w:rPr>
        <w:br w:type="page"/>
      </w:r>
    </w:p>
    <w:p w14:paraId="7CFB9CA5" w14:textId="459AED99" w:rsidR="00F61F4E" w:rsidRPr="00A1646A" w:rsidRDefault="00F61F4E" w:rsidP="00F61F4E">
      <w:pPr>
        <w:pStyle w:val="APRAHEADING1"/>
        <w:rPr>
          <w:rStyle w:val="APRANORMALChar"/>
          <w:rFonts w:ascii="DIN OT Medium" w:hAnsi="DIN OT Medium"/>
          <w:lang w:val="en-AU"/>
        </w:rPr>
      </w:pPr>
      <w:bookmarkStart w:id="254" w:name="_Toc26947943"/>
      <w:r w:rsidRPr="00A1646A">
        <w:rPr>
          <w:rStyle w:val="APRANORMALChar"/>
          <w:rFonts w:ascii="DIN OT Medium" w:hAnsi="DIN OT Medium"/>
          <w:lang w:val="en-AU"/>
        </w:rPr>
        <w:lastRenderedPageBreak/>
        <w:t xml:space="preserve">Chapter </w:t>
      </w:r>
      <w:r>
        <w:rPr>
          <w:rStyle w:val="APRANORMALChar"/>
          <w:rFonts w:ascii="DIN OT Medium" w:hAnsi="DIN OT Medium"/>
          <w:lang w:val="en-AU"/>
        </w:rPr>
        <w:t>6</w:t>
      </w:r>
      <w:r w:rsidRPr="00A1646A">
        <w:rPr>
          <w:rStyle w:val="APRANORMALChar"/>
          <w:rFonts w:ascii="DIN OT Medium" w:hAnsi="DIN OT Medium"/>
          <w:lang w:val="en-AU"/>
        </w:rPr>
        <w:t xml:space="preserve"> </w:t>
      </w:r>
      <w:r>
        <w:rPr>
          <w:rStyle w:val="APRANORMALChar"/>
          <w:rFonts w:ascii="DIN OT Medium" w:hAnsi="DIN OT Medium"/>
          <w:lang w:val="en-AU"/>
        </w:rPr>
        <w:t>–</w:t>
      </w:r>
      <w:r w:rsidRPr="00A1646A">
        <w:rPr>
          <w:rStyle w:val="APRANORMALChar"/>
          <w:rFonts w:ascii="DIN OT Medium" w:hAnsi="DIN OT Medium"/>
          <w:lang w:val="en-AU"/>
        </w:rPr>
        <w:t xml:space="preserve"> </w:t>
      </w:r>
      <w:r>
        <w:rPr>
          <w:rStyle w:val="APRANORMALChar"/>
          <w:rFonts w:ascii="DIN OT Medium" w:hAnsi="DIN OT Medium"/>
          <w:lang w:val="en-AU"/>
        </w:rPr>
        <w:t>Other issues</w:t>
      </w:r>
      <w:bookmarkEnd w:id="254"/>
    </w:p>
    <w:p w14:paraId="1A1A865B" w14:textId="57CB65BB" w:rsidR="00762902" w:rsidRPr="000547FB" w:rsidRDefault="00762902" w:rsidP="00762902">
      <w:pPr>
        <w:pStyle w:val="APRAHEADING2"/>
      </w:pPr>
      <w:bookmarkStart w:id="255" w:name="_Toc22208561"/>
      <w:bookmarkStart w:id="256" w:name="_Toc23158233"/>
      <w:bookmarkStart w:id="257" w:name="_Toc23161112"/>
      <w:bookmarkStart w:id="258" w:name="_Toc23162063"/>
      <w:bookmarkStart w:id="259" w:name="_Toc23325382"/>
      <w:bookmarkStart w:id="260" w:name="_Toc24106622"/>
      <w:bookmarkStart w:id="261" w:name="_Toc25748012"/>
      <w:bookmarkStart w:id="262" w:name="_Toc26945868"/>
      <w:bookmarkStart w:id="263" w:name="_Toc26947944"/>
      <w:r>
        <w:t>6.1</w:t>
      </w:r>
      <w:r w:rsidRPr="000547FB">
        <w:rPr>
          <w:rStyle w:val="APRANORMALChar"/>
          <w:rFonts w:ascii="DIN OT Medium" w:hAnsi="DIN OT Medium"/>
          <w:lang w:val="en-AU"/>
        </w:rPr>
        <w:tab/>
      </w:r>
      <w:r>
        <w:rPr>
          <w:rStyle w:val="APRANORMALChar"/>
          <w:rFonts w:ascii="DIN OT Medium" w:hAnsi="DIN OT Medium"/>
          <w:lang w:val="en-AU"/>
        </w:rPr>
        <w:t>Implementation date</w:t>
      </w:r>
      <w:bookmarkEnd w:id="255"/>
      <w:bookmarkEnd w:id="256"/>
      <w:bookmarkEnd w:id="257"/>
      <w:bookmarkEnd w:id="258"/>
      <w:bookmarkEnd w:id="259"/>
      <w:bookmarkEnd w:id="260"/>
      <w:bookmarkEnd w:id="261"/>
      <w:bookmarkEnd w:id="262"/>
      <w:bookmarkEnd w:id="263"/>
    </w:p>
    <w:p w14:paraId="06A123DC" w14:textId="7BC99205" w:rsidR="00762902" w:rsidRPr="00F64CB6" w:rsidRDefault="00605806" w:rsidP="00F64CB6">
      <w:pPr>
        <w:pStyle w:val="APRANORMAL"/>
      </w:pPr>
      <w:r w:rsidRPr="00F64CB6">
        <w:t xml:space="preserve">APRA proposed to implement the proposed reforms from 1 July 2020. </w:t>
      </w:r>
    </w:p>
    <w:p w14:paraId="368F45F8" w14:textId="77777777" w:rsidR="004803D2" w:rsidRDefault="004803D2" w:rsidP="004803D2">
      <w:pPr>
        <w:pStyle w:val="APRAHEADING3"/>
      </w:pPr>
      <w:bookmarkStart w:id="264" w:name="_Toc22208562"/>
      <w:bookmarkStart w:id="265" w:name="_Toc23158234"/>
      <w:bookmarkStart w:id="266" w:name="_Toc23161113"/>
      <w:bookmarkStart w:id="267" w:name="_Toc23162064"/>
      <w:bookmarkStart w:id="268" w:name="_Toc23325383"/>
      <w:bookmarkStart w:id="269" w:name="_Toc24106623"/>
      <w:bookmarkStart w:id="270" w:name="_Toc25748013"/>
      <w:bookmarkStart w:id="271" w:name="_Toc26945869"/>
      <w:bookmarkStart w:id="272" w:name="_Toc26947945"/>
      <w:r>
        <w:t>Comments received</w:t>
      </w:r>
      <w:bookmarkEnd w:id="264"/>
      <w:bookmarkEnd w:id="265"/>
      <w:bookmarkEnd w:id="266"/>
      <w:bookmarkEnd w:id="267"/>
      <w:bookmarkEnd w:id="268"/>
      <w:bookmarkEnd w:id="269"/>
      <w:bookmarkEnd w:id="270"/>
      <w:bookmarkEnd w:id="271"/>
      <w:bookmarkEnd w:id="272"/>
    </w:p>
    <w:p w14:paraId="317BFCA8" w14:textId="481C0706" w:rsidR="004803D2" w:rsidRPr="00F64CB6" w:rsidRDefault="005006B5" w:rsidP="00F64CB6">
      <w:pPr>
        <w:pStyle w:val="APRANORMAL"/>
        <w:rPr>
          <w:rStyle w:val="APRANORMALChar"/>
        </w:rPr>
      </w:pPr>
      <w:r w:rsidRPr="00F64CB6">
        <w:t>Some submissions suggested the i</w:t>
      </w:r>
      <w:r w:rsidR="00762902" w:rsidRPr="00F64CB6">
        <w:t xml:space="preserve">mplementation date should be set to at least one year from the publication of the finalised APS 220 and </w:t>
      </w:r>
      <w:r w:rsidR="00C54141" w:rsidRPr="00F64CB6">
        <w:t>A</w:t>
      </w:r>
      <w:r w:rsidR="00762902" w:rsidRPr="00F64CB6">
        <w:t>PG</w:t>
      </w:r>
      <w:r w:rsidR="00C54141" w:rsidRPr="00F64CB6">
        <w:t xml:space="preserve"> 220</w:t>
      </w:r>
      <w:r w:rsidR="00762902" w:rsidRPr="00F64CB6">
        <w:t>, and the associated reporting standard, reporting forms and reporting form instructions.</w:t>
      </w:r>
    </w:p>
    <w:p w14:paraId="03E86AF5" w14:textId="77777777" w:rsidR="004803D2" w:rsidRDefault="004803D2" w:rsidP="004803D2">
      <w:pPr>
        <w:pStyle w:val="APRAHEADING3"/>
      </w:pPr>
      <w:bookmarkStart w:id="273" w:name="_Toc22208563"/>
      <w:bookmarkStart w:id="274" w:name="_Toc23158235"/>
      <w:bookmarkStart w:id="275" w:name="_Toc23161114"/>
      <w:bookmarkStart w:id="276" w:name="_Toc23162065"/>
      <w:bookmarkStart w:id="277" w:name="_Toc23325384"/>
      <w:bookmarkStart w:id="278" w:name="_Toc24106624"/>
      <w:bookmarkStart w:id="279" w:name="_Toc25748014"/>
      <w:bookmarkStart w:id="280" w:name="_Toc26945870"/>
      <w:bookmarkStart w:id="281" w:name="_Toc26947946"/>
      <w:r>
        <w:t>APRA response</w:t>
      </w:r>
      <w:bookmarkEnd w:id="273"/>
      <w:bookmarkEnd w:id="274"/>
      <w:bookmarkEnd w:id="275"/>
      <w:bookmarkEnd w:id="276"/>
      <w:bookmarkEnd w:id="277"/>
      <w:bookmarkEnd w:id="278"/>
      <w:bookmarkEnd w:id="279"/>
      <w:bookmarkEnd w:id="280"/>
      <w:bookmarkEnd w:id="281"/>
    </w:p>
    <w:p w14:paraId="0CDFDB23" w14:textId="4177703A" w:rsidR="004803D2" w:rsidRPr="00F64CB6" w:rsidRDefault="00605806" w:rsidP="00F64CB6">
      <w:pPr>
        <w:pStyle w:val="APRANORMAL"/>
        <w:rPr>
          <w:rStyle w:val="APRANORMALChar"/>
        </w:rPr>
      </w:pPr>
      <w:r w:rsidRPr="00F64CB6">
        <w:rPr>
          <w:rStyle w:val="APRANORMALChar"/>
        </w:rPr>
        <w:t xml:space="preserve">In light of the comments from submissions, </w:t>
      </w:r>
      <w:r w:rsidR="00B10E0D" w:rsidRPr="00F64CB6">
        <w:rPr>
          <w:rStyle w:val="APRANORMALChar"/>
        </w:rPr>
        <w:t xml:space="preserve">and the need for APRA to have regard to the time available for industry to implement regulatory change, </w:t>
      </w:r>
      <w:r w:rsidR="005006B5" w:rsidRPr="00F64CB6">
        <w:rPr>
          <w:rStyle w:val="APRANORMALChar"/>
        </w:rPr>
        <w:t>APR</w:t>
      </w:r>
      <w:r w:rsidRPr="00F64CB6">
        <w:rPr>
          <w:rStyle w:val="APRANORMALChar"/>
        </w:rPr>
        <w:t>A</w:t>
      </w:r>
      <w:r w:rsidRPr="00F64CB6">
        <w:t xml:space="preserve"> has changed the </w:t>
      </w:r>
      <w:r w:rsidRPr="00F64CB6">
        <w:rPr>
          <w:rStyle w:val="APRANORMALChar"/>
        </w:rPr>
        <w:t xml:space="preserve">implementation date of the final APS 220 to 1 January 2021. </w:t>
      </w:r>
    </w:p>
    <w:p w14:paraId="08C5C26F" w14:textId="0512F9C8" w:rsidR="00E97F25" w:rsidRPr="000547FB" w:rsidRDefault="00E97F25" w:rsidP="00E97F25">
      <w:pPr>
        <w:pStyle w:val="APRAHEADING2"/>
      </w:pPr>
      <w:bookmarkStart w:id="282" w:name="_Toc23158236"/>
      <w:bookmarkStart w:id="283" w:name="_Toc23161115"/>
      <w:bookmarkStart w:id="284" w:name="_Toc23162066"/>
      <w:bookmarkStart w:id="285" w:name="_Toc23325385"/>
      <w:bookmarkStart w:id="286" w:name="_Toc24106625"/>
      <w:bookmarkStart w:id="287" w:name="_Toc25748015"/>
      <w:bookmarkStart w:id="288" w:name="_Toc26945871"/>
      <w:bookmarkStart w:id="289" w:name="_Toc26947947"/>
      <w:r>
        <w:t>6.2</w:t>
      </w:r>
      <w:r w:rsidRPr="000547FB">
        <w:rPr>
          <w:rStyle w:val="APRANORMALChar"/>
          <w:rFonts w:ascii="DIN OT Medium" w:hAnsi="DIN OT Medium"/>
          <w:lang w:val="en-AU"/>
        </w:rPr>
        <w:tab/>
      </w:r>
      <w:r>
        <w:rPr>
          <w:rStyle w:val="APRANORMALChar"/>
          <w:rFonts w:ascii="DIN OT Medium" w:hAnsi="DIN OT Medium"/>
          <w:lang w:val="en-AU"/>
        </w:rPr>
        <w:t>Consequential changes to other prudential standards</w:t>
      </w:r>
      <w:bookmarkEnd w:id="282"/>
      <w:bookmarkEnd w:id="283"/>
      <w:bookmarkEnd w:id="284"/>
      <w:bookmarkEnd w:id="285"/>
      <w:bookmarkEnd w:id="286"/>
      <w:bookmarkEnd w:id="287"/>
      <w:bookmarkEnd w:id="288"/>
      <w:bookmarkEnd w:id="289"/>
    </w:p>
    <w:p w14:paraId="3EE2E2FE" w14:textId="50FF2A04" w:rsidR="00E97F25" w:rsidRPr="00F64CB6" w:rsidRDefault="00E97F25" w:rsidP="00F64CB6">
      <w:pPr>
        <w:pStyle w:val="APRANORMAL"/>
      </w:pPr>
      <w:r w:rsidRPr="00F64CB6">
        <w:t>APRA notes that some consequential changes are required to other prudential standards to support implementation of the final APS 220.</w:t>
      </w:r>
      <w:r w:rsidR="008F0E03">
        <w:t xml:space="preserve"> These</w:t>
      </w:r>
      <w:r w:rsidR="007747FD">
        <w:t xml:space="preserve"> changes, for the most part, involve cross referencing and </w:t>
      </w:r>
      <w:r w:rsidR="008F0E03">
        <w:t xml:space="preserve">include changes to </w:t>
      </w:r>
      <w:r w:rsidR="008F0E03" w:rsidRPr="008F0E03">
        <w:rPr>
          <w:i/>
        </w:rPr>
        <w:t>Prudential Standard APS 111 Capital Adequacy: Measurement of Capital</w:t>
      </w:r>
      <w:r w:rsidR="008F0E03">
        <w:rPr>
          <w:i/>
        </w:rPr>
        <w:t xml:space="preserve"> </w:t>
      </w:r>
      <w:r w:rsidR="008F0E03" w:rsidRPr="008F0E03">
        <w:t>(APS 111)</w:t>
      </w:r>
      <w:r w:rsidR="008F0E03">
        <w:t>, APS 112 and APS 113. APRA propose</w:t>
      </w:r>
      <w:r w:rsidR="007747FD">
        <w:t>s</w:t>
      </w:r>
      <w:r w:rsidR="008F0E03">
        <w:t xml:space="preserve"> to make these </w:t>
      </w:r>
      <w:r w:rsidR="007747FD">
        <w:t xml:space="preserve">consequential </w:t>
      </w:r>
      <w:r w:rsidR="008F0E03">
        <w:t xml:space="preserve">changes when </w:t>
      </w:r>
      <w:r w:rsidR="007747FD">
        <w:t xml:space="preserve">these other standards are next updated and </w:t>
      </w:r>
      <w:r w:rsidR="008F0E03">
        <w:t>after the final APS 220 becomes effective</w:t>
      </w:r>
      <w:r w:rsidR="007747FD">
        <w:t>.</w:t>
      </w:r>
    </w:p>
    <w:p w14:paraId="090F2BCF" w14:textId="72729F58" w:rsidR="0009690D" w:rsidRDefault="0009690D" w:rsidP="00E97F25">
      <w:pPr>
        <w:pStyle w:val="APRANORMAL"/>
        <w:rPr>
          <w:rStyle w:val="APRANORMALChar"/>
        </w:rPr>
      </w:pPr>
    </w:p>
    <w:p w14:paraId="7253707C" w14:textId="1624A083" w:rsidR="00B51772" w:rsidRDefault="00B51772">
      <w:pPr>
        <w:spacing w:after="120" w:line="288" w:lineRule="auto"/>
        <w:rPr>
          <w:rStyle w:val="APRANORMALChar"/>
        </w:rPr>
      </w:pPr>
      <w:r>
        <w:rPr>
          <w:rStyle w:val="APRANORMALChar"/>
        </w:rPr>
        <w:br w:type="page"/>
      </w:r>
    </w:p>
    <w:p w14:paraId="204253F9" w14:textId="5BD3215F" w:rsidR="00463F9F" w:rsidRPr="00A1646A" w:rsidRDefault="00463F9F" w:rsidP="00463F9F">
      <w:pPr>
        <w:pStyle w:val="APRAHEADING1"/>
        <w:rPr>
          <w:rStyle w:val="APRANORMALChar"/>
          <w:rFonts w:ascii="DIN OT Medium" w:hAnsi="DIN OT Medium"/>
          <w:lang w:val="en-AU"/>
        </w:rPr>
      </w:pPr>
      <w:bookmarkStart w:id="290" w:name="_Toc26947948"/>
      <w:r w:rsidRPr="00A1646A">
        <w:rPr>
          <w:rStyle w:val="APRANORMALChar"/>
          <w:rFonts w:ascii="DIN OT Medium" w:hAnsi="DIN OT Medium"/>
          <w:lang w:val="en-AU"/>
        </w:rPr>
        <w:lastRenderedPageBreak/>
        <w:t xml:space="preserve">Chapter </w:t>
      </w:r>
      <w:r>
        <w:rPr>
          <w:rStyle w:val="APRANORMALChar"/>
          <w:rFonts w:ascii="DIN OT Medium" w:hAnsi="DIN OT Medium"/>
          <w:lang w:val="en-AU"/>
        </w:rPr>
        <w:t>7</w:t>
      </w:r>
      <w:r w:rsidRPr="00A1646A">
        <w:rPr>
          <w:rStyle w:val="APRANORMALChar"/>
          <w:rFonts w:ascii="DIN OT Medium" w:hAnsi="DIN OT Medium"/>
          <w:lang w:val="en-AU"/>
        </w:rPr>
        <w:t xml:space="preserve"> </w:t>
      </w:r>
      <w:r>
        <w:rPr>
          <w:rStyle w:val="APRANORMALChar"/>
          <w:rFonts w:ascii="DIN OT Medium" w:hAnsi="DIN OT Medium"/>
          <w:lang w:val="en-AU"/>
        </w:rPr>
        <w:t>–</w:t>
      </w:r>
      <w:r w:rsidRPr="00A1646A">
        <w:rPr>
          <w:rStyle w:val="APRANORMALChar"/>
          <w:rFonts w:ascii="DIN OT Medium" w:hAnsi="DIN OT Medium"/>
          <w:lang w:val="en-AU"/>
        </w:rPr>
        <w:t xml:space="preserve"> </w:t>
      </w:r>
      <w:r>
        <w:rPr>
          <w:rStyle w:val="APRANORMALChar"/>
          <w:rFonts w:ascii="DIN OT Medium" w:hAnsi="DIN OT Medium"/>
          <w:lang w:val="en-AU"/>
        </w:rPr>
        <w:t>Consultation</w:t>
      </w:r>
      <w:bookmarkEnd w:id="290"/>
    </w:p>
    <w:p w14:paraId="657FF62A" w14:textId="60241ACB" w:rsidR="00463F9F" w:rsidRPr="000547FB" w:rsidRDefault="00463F9F" w:rsidP="00463F9F">
      <w:pPr>
        <w:pStyle w:val="APRAHEADING2"/>
      </w:pPr>
      <w:bookmarkStart w:id="291" w:name="_Toc23158238"/>
      <w:bookmarkStart w:id="292" w:name="_Toc23161117"/>
      <w:bookmarkStart w:id="293" w:name="_Toc23162068"/>
      <w:bookmarkStart w:id="294" w:name="_Toc23325387"/>
      <w:bookmarkStart w:id="295" w:name="_Toc24106627"/>
      <w:bookmarkStart w:id="296" w:name="_Toc25748017"/>
      <w:bookmarkStart w:id="297" w:name="_Toc26945873"/>
      <w:bookmarkStart w:id="298" w:name="_Toc26947949"/>
      <w:r>
        <w:t>7.1</w:t>
      </w:r>
      <w:r w:rsidRPr="000547FB">
        <w:rPr>
          <w:rStyle w:val="APRANORMALChar"/>
          <w:rFonts w:ascii="DIN OT Medium" w:hAnsi="DIN OT Medium"/>
          <w:lang w:val="en-AU"/>
        </w:rPr>
        <w:tab/>
      </w:r>
      <w:r>
        <w:rPr>
          <w:rStyle w:val="APRANORMALChar"/>
          <w:rFonts w:ascii="DIN OT Medium" w:hAnsi="DIN OT Medium"/>
          <w:lang w:val="en-AU"/>
        </w:rPr>
        <w:t>Request for submissions</w:t>
      </w:r>
      <w:bookmarkEnd w:id="291"/>
      <w:bookmarkEnd w:id="292"/>
      <w:bookmarkEnd w:id="293"/>
      <w:bookmarkEnd w:id="294"/>
      <w:bookmarkEnd w:id="295"/>
      <w:bookmarkEnd w:id="296"/>
      <w:bookmarkEnd w:id="297"/>
      <w:bookmarkEnd w:id="298"/>
    </w:p>
    <w:p w14:paraId="472ED9FA" w14:textId="136AD79D" w:rsidR="00B51772" w:rsidRPr="00B51772" w:rsidRDefault="00A33C2C" w:rsidP="00B51772">
      <w:pPr>
        <w:pStyle w:val="APRANORMAL"/>
        <w:rPr>
          <w:rStyle w:val="APRANORMALChar"/>
        </w:rPr>
      </w:pPr>
      <w:r>
        <w:rPr>
          <w:rStyle w:val="APRANORMALChar"/>
        </w:rPr>
        <w:t xml:space="preserve">APS 220 is now final and submissions are closed. However, </w:t>
      </w:r>
      <w:r w:rsidR="00B51772" w:rsidRPr="00B51772">
        <w:rPr>
          <w:rStyle w:val="APRANORMALChar"/>
        </w:rPr>
        <w:t xml:space="preserve">APRA invites written submissions on the </w:t>
      </w:r>
      <w:r w:rsidR="00B51772">
        <w:rPr>
          <w:rStyle w:val="APRANORMALChar"/>
        </w:rPr>
        <w:t xml:space="preserve">draft APG 220. </w:t>
      </w:r>
      <w:r w:rsidR="00B51772" w:rsidRPr="00B51772">
        <w:rPr>
          <w:rStyle w:val="APRANORMALChar"/>
        </w:rPr>
        <w:t xml:space="preserve">Written submissions </w:t>
      </w:r>
      <w:r>
        <w:rPr>
          <w:rStyle w:val="APRANORMALChar"/>
        </w:rPr>
        <w:t xml:space="preserve">on the draft APG 220 </w:t>
      </w:r>
      <w:r w:rsidR="00B51772" w:rsidRPr="00B51772">
        <w:rPr>
          <w:rStyle w:val="APRANORMALChar"/>
        </w:rPr>
        <w:t xml:space="preserve">should be sent to </w:t>
      </w:r>
      <w:hyperlink r:id="rId18" w:history="1">
        <w:r w:rsidR="00463F9F" w:rsidRPr="006D3DC2">
          <w:rPr>
            <w:rStyle w:val="Hyperlink"/>
            <w:rFonts w:ascii="DIN OT Light" w:hAnsi="DIN OT Light"/>
          </w:rPr>
          <w:t>ADIpolicy@apra.gov.au</w:t>
        </w:r>
      </w:hyperlink>
      <w:r w:rsidR="00463F9F">
        <w:rPr>
          <w:rStyle w:val="APRANORMALChar"/>
        </w:rPr>
        <w:t xml:space="preserve"> </w:t>
      </w:r>
      <w:r w:rsidR="00B51772" w:rsidRPr="00B51772">
        <w:rPr>
          <w:rStyle w:val="APRANORMALChar"/>
        </w:rPr>
        <w:t>by 1</w:t>
      </w:r>
      <w:r w:rsidR="00553C36">
        <w:rPr>
          <w:rStyle w:val="APRANORMALChar"/>
        </w:rPr>
        <w:t>2</w:t>
      </w:r>
      <w:r w:rsidR="00B51772" w:rsidRPr="00B51772">
        <w:rPr>
          <w:rStyle w:val="APRANORMALChar"/>
        </w:rPr>
        <w:t xml:space="preserve"> </w:t>
      </w:r>
      <w:r w:rsidR="00463F9F">
        <w:rPr>
          <w:rStyle w:val="APRANORMALChar"/>
        </w:rPr>
        <w:t>March</w:t>
      </w:r>
      <w:r w:rsidR="00B51772" w:rsidRPr="00B51772">
        <w:rPr>
          <w:rStyle w:val="APRANORMALChar"/>
        </w:rPr>
        <w:t xml:space="preserve"> 2020 and addressed to: </w:t>
      </w:r>
    </w:p>
    <w:p w14:paraId="6B6D219C" w14:textId="77777777" w:rsidR="00B51772" w:rsidRPr="00B51772" w:rsidRDefault="00B51772" w:rsidP="00463F9F">
      <w:pPr>
        <w:pStyle w:val="APRANORMAL"/>
        <w:spacing w:after="0"/>
        <w:rPr>
          <w:rStyle w:val="APRANORMALChar"/>
        </w:rPr>
      </w:pPr>
      <w:r w:rsidRPr="00B51772">
        <w:rPr>
          <w:rStyle w:val="APRANORMALChar"/>
        </w:rPr>
        <w:t xml:space="preserve">General Manager </w:t>
      </w:r>
    </w:p>
    <w:p w14:paraId="54AF5D0D" w14:textId="77777777" w:rsidR="00B51772" w:rsidRPr="00B51772" w:rsidRDefault="00B51772" w:rsidP="00463F9F">
      <w:pPr>
        <w:pStyle w:val="APRANORMAL"/>
        <w:spacing w:after="0"/>
        <w:rPr>
          <w:rStyle w:val="APRANORMALChar"/>
        </w:rPr>
      </w:pPr>
      <w:r w:rsidRPr="00B51772">
        <w:rPr>
          <w:rStyle w:val="APRANORMALChar"/>
        </w:rPr>
        <w:t xml:space="preserve">Policy Development </w:t>
      </w:r>
    </w:p>
    <w:p w14:paraId="66918D78" w14:textId="77777777" w:rsidR="00B51772" w:rsidRPr="00B51772" w:rsidRDefault="00B51772" w:rsidP="00463F9F">
      <w:pPr>
        <w:pStyle w:val="APRANORMAL"/>
        <w:spacing w:after="0"/>
        <w:rPr>
          <w:rStyle w:val="APRANORMALChar"/>
        </w:rPr>
      </w:pPr>
      <w:r w:rsidRPr="00B51772">
        <w:rPr>
          <w:rStyle w:val="APRANORMALChar"/>
        </w:rPr>
        <w:t xml:space="preserve">Policy and Advice Division </w:t>
      </w:r>
    </w:p>
    <w:p w14:paraId="78ED14F3" w14:textId="77777777" w:rsidR="00B51772" w:rsidRPr="00B51772" w:rsidRDefault="00B51772" w:rsidP="00463F9F">
      <w:pPr>
        <w:pStyle w:val="APRANORMAL"/>
        <w:spacing w:after="0"/>
        <w:rPr>
          <w:rStyle w:val="APRANORMALChar"/>
        </w:rPr>
      </w:pPr>
      <w:r w:rsidRPr="00B51772">
        <w:rPr>
          <w:rStyle w:val="APRANORMALChar"/>
        </w:rPr>
        <w:t>Australian Prudential Regulation Authority</w:t>
      </w:r>
    </w:p>
    <w:p w14:paraId="09631D32" w14:textId="6763C04B" w:rsidR="00463F9F" w:rsidRPr="000547FB" w:rsidRDefault="00463F9F" w:rsidP="00463F9F">
      <w:pPr>
        <w:pStyle w:val="APRAHEADING2"/>
      </w:pPr>
      <w:bookmarkStart w:id="299" w:name="_Toc23158239"/>
      <w:bookmarkStart w:id="300" w:name="_Toc23161118"/>
      <w:bookmarkStart w:id="301" w:name="_Toc23162069"/>
      <w:bookmarkStart w:id="302" w:name="_Toc23325388"/>
      <w:bookmarkStart w:id="303" w:name="_Toc24106628"/>
      <w:bookmarkStart w:id="304" w:name="_Toc25748018"/>
      <w:bookmarkStart w:id="305" w:name="_Toc26945874"/>
      <w:bookmarkStart w:id="306" w:name="_Toc26947950"/>
      <w:r>
        <w:t>7.2</w:t>
      </w:r>
      <w:r w:rsidRPr="000547FB">
        <w:rPr>
          <w:rStyle w:val="APRANORMALChar"/>
          <w:rFonts w:ascii="DIN OT Medium" w:hAnsi="DIN OT Medium"/>
          <w:lang w:val="en-AU"/>
        </w:rPr>
        <w:tab/>
      </w:r>
      <w:r>
        <w:rPr>
          <w:rStyle w:val="APRANORMALChar"/>
          <w:rFonts w:ascii="DIN OT Medium" w:hAnsi="DIN OT Medium"/>
          <w:lang w:val="en-AU"/>
        </w:rPr>
        <w:t>Important disclosure notice – publication of submissions</w:t>
      </w:r>
      <w:bookmarkEnd w:id="299"/>
      <w:bookmarkEnd w:id="300"/>
      <w:bookmarkEnd w:id="301"/>
      <w:bookmarkEnd w:id="302"/>
      <w:bookmarkEnd w:id="303"/>
      <w:bookmarkEnd w:id="304"/>
      <w:bookmarkEnd w:id="305"/>
      <w:bookmarkEnd w:id="306"/>
    </w:p>
    <w:p w14:paraId="355BD197" w14:textId="77777777" w:rsidR="00B51772" w:rsidRPr="00F64CB6" w:rsidRDefault="00B51772" w:rsidP="00F64CB6">
      <w:pPr>
        <w:pStyle w:val="APRANORMAL"/>
        <w:rPr>
          <w:rStyle w:val="APRANORMALChar"/>
        </w:rPr>
      </w:pPr>
      <w:r w:rsidRPr="00F64CB6">
        <w:rPr>
          <w:rStyle w:val="APRANORMALChar"/>
        </w:rPr>
        <w:t>All information in submissions will be made available to the public on the APRA website unless a respondent expressly requests that all or part of the submission is to remain in confidence.</w:t>
      </w:r>
    </w:p>
    <w:p w14:paraId="1E845D48" w14:textId="77777777" w:rsidR="00B51772" w:rsidRPr="00F64CB6" w:rsidRDefault="00B51772" w:rsidP="00F64CB6">
      <w:pPr>
        <w:pStyle w:val="APRANORMAL"/>
        <w:rPr>
          <w:rStyle w:val="APRANORMALChar"/>
        </w:rPr>
      </w:pPr>
      <w:r w:rsidRPr="00F64CB6">
        <w:rPr>
          <w:rStyle w:val="APRANORMALChar"/>
        </w:rPr>
        <w:t>Automatically generated confidentiality statements in emails do not suffice for this purpose.</w:t>
      </w:r>
    </w:p>
    <w:p w14:paraId="56FB5B50" w14:textId="77777777" w:rsidR="00B51772" w:rsidRPr="00F64CB6" w:rsidRDefault="00B51772" w:rsidP="00F64CB6">
      <w:pPr>
        <w:pStyle w:val="APRANORMAL"/>
        <w:rPr>
          <w:rStyle w:val="APRANORMALChar"/>
        </w:rPr>
      </w:pPr>
      <w:r w:rsidRPr="00F64CB6">
        <w:rPr>
          <w:rStyle w:val="APRANORMALChar"/>
        </w:rPr>
        <w:t>Respondents who would like part of their submission to remain in confidence should provide this information marked as confidential in a separate attachment.</w:t>
      </w:r>
    </w:p>
    <w:p w14:paraId="03EAE2D5" w14:textId="77777777" w:rsidR="00B51772" w:rsidRPr="00F64CB6" w:rsidRDefault="00B51772" w:rsidP="00F64CB6">
      <w:pPr>
        <w:pStyle w:val="APRANORMAL"/>
        <w:rPr>
          <w:rStyle w:val="APRANORMALChar"/>
        </w:rPr>
      </w:pPr>
      <w:r w:rsidRPr="00F64CB6">
        <w:rPr>
          <w:rStyle w:val="APRANORMALChar"/>
        </w:rPr>
        <w:t>Submissions may be the subject of a request for access made under the Freedom of Information Act 1982 (FOIA).</w:t>
      </w:r>
    </w:p>
    <w:p w14:paraId="0A367D74" w14:textId="650CC5E4" w:rsidR="00B51772" w:rsidRPr="00F64CB6" w:rsidRDefault="00B51772" w:rsidP="00F64CB6">
      <w:pPr>
        <w:pStyle w:val="APRANORMAL"/>
        <w:rPr>
          <w:rStyle w:val="APRANORMALChar"/>
        </w:rPr>
      </w:pPr>
      <w:r w:rsidRPr="00F64CB6">
        <w:rPr>
          <w:rStyle w:val="APRANORMALChar"/>
        </w:rPr>
        <w:t>APRA will determine such requests, if any, in accordance with the provisions of the FOIA. Information in the submission about any APRA-regulated entity that is not in the public domain and that is identified as confidential will be protected by section 56 of the Australian Prudential Regulation Authority Act 1998 and will therefore be exempt from production under the FOIA.</w:t>
      </w:r>
    </w:p>
    <w:p w14:paraId="4EA4E684" w14:textId="5DD77468" w:rsidR="00F61F4E" w:rsidRDefault="00F61F4E">
      <w:pPr>
        <w:spacing w:after="120" w:line="288" w:lineRule="auto"/>
        <w:rPr>
          <w:rStyle w:val="APRANORMALChar"/>
        </w:rPr>
      </w:pPr>
      <w:r>
        <w:rPr>
          <w:rStyle w:val="APRANORMALChar"/>
        </w:rPr>
        <w:br w:type="page"/>
      </w:r>
    </w:p>
    <w:p w14:paraId="2A9D0CEA" w14:textId="796BDD75" w:rsidR="00C62600" w:rsidRPr="00C62600" w:rsidRDefault="00C62600" w:rsidP="00A1646A">
      <w:pPr>
        <w:pStyle w:val="APRAHEADING1"/>
        <w:rPr>
          <w:rStyle w:val="APRANORMALChar"/>
          <w:rFonts w:ascii="DIN OT Medium" w:hAnsi="DIN OT Medium"/>
        </w:rPr>
      </w:pPr>
      <w:bookmarkStart w:id="307" w:name="_Toc26947951"/>
      <w:r w:rsidRPr="00C62600">
        <w:rPr>
          <w:rStyle w:val="APRANORMALChar"/>
          <w:rFonts w:ascii="DIN OT Medium" w:hAnsi="DIN OT Medium"/>
        </w:rPr>
        <w:lastRenderedPageBreak/>
        <w:t>Attachment A – Regulatory costs</w:t>
      </w:r>
      <w:bookmarkEnd w:id="307"/>
    </w:p>
    <w:p w14:paraId="10E9605F" w14:textId="5770EC2B" w:rsidR="00DE55C7" w:rsidRDefault="00DE55C7" w:rsidP="00D660AB">
      <w:pPr>
        <w:pStyle w:val="APRANORMAL"/>
      </w:pPr>
      <w:r w:rsidRPr="00DE55C7">
        <w:t xml:space="preserve">This </w:t>
      </w:r>
      <w:r>
        <w:t xml:space="preserve">attachment </w:t>
      </w:r>
      <w:r w:rsidRPr="00DE55C7">
        <w:t xml:space="preserve">formalises and documents the steps taken in finalising APS </w:t>
      </w:r>
      <w:r>
        <w:t>220</w:t>
      </w:r>
      <w:r w:rsidRPr="00DE55C7">
        <w:t>.</w:t>
      </w:r>
    </w:p>
    <w:p w14:paraId="54F26F59" w14:textId="008426A6" w:rsidR="00CD1E5F" w:rsidRDefault="00DE55C7" w:rsidP="00D660AB">
      <w:pPr>
        <w:pStyle w:val="APRANORMAL"/>
      </w:pPr>
      <w:r w:rsidRPr="00DE55C7">
        <w:t xml:space="preserve">In its </w:t>
      </w:r>
      <w:r>
        <w:t>March 2019 Discussion Paper</w:t>
      </w:r>
      <w:r w:rsidRPr="00DE55C7">
        <w:t xml:space="preserve">, APRA outlined the problem in regard to </w:t>
      </w:r>
      <w:r>
        <w:t>APS 220</w:t>
      </w:r>
      <w:r w:rsidRPr="00DE55C7">
        <w:t xml:space="preserve">, the prudential regulation of </w:t>
      </w:r>
      <w:r>
        <w:t>credit risk management</w:t>
      </w:r>
      <w:r w:rsidRPr="00DE55C7">
        <w:t xml:space="preserve"> and why regulatory initiatives were needed</w:t>
      </w:r>
      <w:r>
        <w:t xml:space="preserve">. </w:t>
      </w:r>
      <w:r w:rsidR="00203996">
        <w:t>(</w:t>
      </w:r>
      <w:r w:rsidR="00CD1E5F" w:rsidRPr="00CD1E5F">
        <w:t>Refer to the March 2019</w:t>
      </w:r>
      <w:r w:rsidR="00D660AB">
        <w:t xml:space="preserve"> Discussion Paper</w:t>
      </w:r>
      <w:r w:rsidR="00CD1E5F">
        <w:t xml:space="preserve">, </w:t>
      </w:r>
      <w:r w:rsidR="00CD1E5F" w:rsidRPr="00CD1E5F">
        <w:t xml:space="preserve">Chapter 1 Introduction on pages </w:t>
      </w:r>
      <w:r w:rsidR="00CD1E5F">
        <w:t>8 and 9</w:t>
      </w:r>
      <w:r w:rsidR="00203996">
        <w:t>)</w:t>
      </w:r>
    </w:p>
    <w:p w14:paraId="6A5824DC" w14:textId="0A7F7676" w:rsidR="00203996" w:rsidRDefault="00E60EE2" w:rsidP="00D660AB">
      <w:pPr>
        <w:pStyle w:val="APRANORMAL"/>
      </w:pPr>
      <w:r>
        <w:t>The three policy</w:t>
      </w:r>
      <w:r w:rsidR="00CC7D20" w:rsidRPr="00CD1E5F">
        <w:t xml:space="preserve"> options to address the problem in regard to APS 220 and </w:t>
      </w:r>
      <w:r w:rsidR="00AE2981">
        <w:t>preliminary analyses</w:t>
      </w:r>
      <w:r w:rsidR="00CC7D20" w:rsidRPr="00CD1E5F">
        <w:t xml:space="preserve"> of each option were </w:t>
      </w:r>
      <w:r w:rsidR="00D660AB">
        <w:t xml:space="preserve">also </w:t>
      </w:r>
      <w:r w:rsidR="00CC7D20" w:rsidRPr="00CD1E5F">
        <w:t xml:space="preserve">outlined in APRA’s </w:t>
      </w:r>
      <w:r w:rsidR="00CD1E5F" w:rsidRPr="00CD1E5F">
        <w:t>March 2019</w:t>
      </w:r>
      <w:r w:rsidR="00D660AB">
        <w:t xml:space="preserve"> Discussion Paper</w:t>
      </w:r>
      <w:r w:rsidR="00203996">
        <w:t>.</w:t>
      </w:r>
      <w:r w:rsidR="00CC7D20" w:rsidRPr="00CD1E5F">
        <w:t xml:space="preserve"> (</w:t>
      </w:r>
      <w:r w:rsidR="00203996">
        <w:t>R</w:t>
      </w:r>
      <w:r w:rsidR="00CC7D20" w:rsidRPr="00CD1E5F">
        <w:t xml:space="preserve">efer to </w:t>
      </w:r>
      <w:r w:rsidR="00D660AB" w:rsidRPr="00D660AB">
        <w:t>March 2019 Discussion Paper</w:t>
      </w:r>
      <w:r w:rsidR="00D660AB">
        <w:t>,</w:t>
      </w:r>
      <w:r w:rsidR="00D660AB" w:rsidRPr="00D660AB">
        <w:t xml:space="preserve"> </w:t>
      </w:r>
      <w:r w:rsidR="00CC7D20" w:rsidRPr="00CD1E5F">
        <w:t>Attachment A: Policy options and estimated comparative net benefits on pages 28 and 2</w:t>
      </w:r>
      <w:r w:rsidR="00342266">
        <w:t>9</w:t>
      </w:r>
      <w:r w:rsidR="00CC7D20" w:rsidRPr="00CD1E5F">
        <w:t>)</w:t>
      </w:r>
    </w:p>
    <w:p w14:paraId="15DC5914" w14:textId="77777777" w:rsidR="00203996" w:rsidRDefault="00203996" w:rsidP="00D660AB">
      <w:pPr>
        <w:pStyle w:val="APRANORMAL"/>
      </w:pPr>
      <w:r>
        <w:t>These three policy options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203996" w:rsidRPr="00D71E2D" w14:paraId="586495E2" w14:textId="77777777" w:rsidTr="00125536">
        <w:tc>
          <w:tcPr>
            <w:tcW w:w="1980" w:type="dxa"/>
            <w:tcBorders>
              <w:bottom w:val="single" w:sz="4" w:space="0" w:color="FFFFFF" w:themeColor="background1"/>
            </w:tcBorders>
            <w:shd w:val="clear" w:color="auto" w:fill="002060"/>
          </w:tcPr>
          <w:p w14:paraId="4040926D" w14:textId="10506EF5" w:rsidR="00203996" w:rsidRPr="009864D8" w:rsidRDefault="00D660AB" w:rsidP="00D660AB">
            <w:pPr>
              <w:pStyle w:val="APRANORMAL"/>
              <w:rPr>
                <w:b/>
                <w:color w:val="FFFFFF" w:themeColor="background1"/>
                <w:sz w:val="20"/>
                <w:szCs w:val="20"/>
              </w:rPr>
            </w:pPr>
            <w:r w:rsidRPr="009864D8">
              <w:rPr>
                <w:b/>
                <w:color w:val="FFFFFF" w:themeColor="background1"/>
                <w:sz w:val="20"/>
                <w:szCs w:val="20"/>
              </w:rPr>
              <w:t>Option 1</w:t>
            </w:r>
          </w:p>
        </w:tc>
        <w:tc>
          <w:tcPr>
            <w:tcW w:w="7036" w:type="dxa"/>
            <w:tcBorders>
              <w:bottom w:val="single" w:sz="4" w:space="0" w:color="FFFFFF" w:themeColor="background1"/>
            </w:tcBorders>
            <w:shd w:val="clear" w:color="auto" w:fill="F2F2F2" w:themeFill="background1" w:themeFillShade="F2"/>
          </w:tcPr>
          <w:p w14:paraId="083E4834" w14:textId="253D7CFE" w:rsidR="00203996" w:rsidRPr="009864D8" w:rsidRDefault="00203996" w:rsidP="00D660AB">
            <w:pPr>
              <w:pStyle w:val="APRANORMAL"/>
              <w:rPr>
                <w:sz w:val="20"/>
                <w:szCs w:val="20"/>
              </w:rPr>
            </w:pPr>
            <w:r w:rsidRPr="009864D8">
              <w:rPr>
                <w:sz w:val="20"/>
                <w:szCs w:val="20"/>
              </w:rPr>
              <w:t>No change to the existing APS 220.</w:t>
            </w:r>
          </w:p>
        </w:tc>
      </w:tr>
      <w:tr w:rsidR="00203996" w:rsidRPr="00D71E2D" w14:paraId="6402FED3" w14:textId="77777777" w:rsidTr="00125536">
        <w:tc>
          <w:tcPr>
            <w:tcW w:w="1980" w:type="dxa"/>
            <w:tcBorders>
              <w:top w:val="single" w:sz="4" w:space="0" w:color="FFFFFF" w:themeColor="background1"/>
              <w:bottom w:val="single" w:sz="4" w:space="0" w:color="FFFFFF" w:themeColor="background1"/>
            </w:tcBorders>
            <w:shd w:val="clear" w:color="auto" w:fill="002060"/>
          </w:tcPr>
          <w:p w14:paraId="25D6D246" w14:textId="490C2F00" w:rsidR="00203996" w:rsidRPr="009864D8" w:rsidRDefault="00D660AB" w:rsidP="00D660AB">
            <w:pPr>
              <w:pStyle w:val="APRANORMAL"/>
              <w:rPr>
                <w:b/>
                <w:color w:val="FFFFFF" w:themeColor="background1"/>
                <w:sz w:val="20"/>
                <w:szCs w:val="20"/>
              </w:rPr>
            </w:pPr>
            <w:r w:rsidRPr="009864D8">
              <w:rPr>
                <w:b/>
                <w:color w:val="FFFFFF" w:themeColor="background1"/>
                <w:sz w:val="20"/>
                <w:szCs w:val="20"/>
              </w:rPr>
              <w:t>Option 2</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3D4D92BC" w14:textId="1F21A916" w:rsidR="00203996" w:rsidRPr="009864D8" w:rsidRDefault="00203996" w:rsidP="00D660AB">
            <w:pPr>
              <w:pStyle w:val="APRANORMAL"/>
              <w:rPr>
                <w:sz w:val="20"/>
                <w:szCs w:val="20"/>
              </w:rPr>
            </w:pPr>
            <w:r w:rsidRPr="009864D8">
              <w:rPr>
                <w:sz w:val="20"/>
                <w:szCs w:val="20"/>
              </w:rPr>
              <w:t>A narrow update of APS 220 to reflect Basel guidance and AASB 9.</w:t>
            </w:r>
          </w:p>
        </w:tc>
      </w:tr>
      <w:tr w:rsidR="00203996" w:rsidRPr="00D71E2D" w14:paraId="25D48572" w14:textId="77777777" w:rsidTr="00125536">
        <w:tc>
          <w:tcPr>
            <w:tcW w:w="1980" w:type="dxa"/>
            <w:tcBorders>
              <w:top w:val="single" w:sz="4" w:space="0" w:color="FFFFFF" w:themeColor="background1"/>
              <w:bottom w:val="single" w:sz="4" w:space="0" w:color="FFFFFF" w:themeColor="background1"/>
            </w:tcBorders>
            <w:shd w:val="clear" w:color="auto" w:fill="002060"/>
          </w:tcPr>
          <w:p w14:paraId="61F6DE42" w14:textId="461EF503" w:rsidR="00203996" w:rsidRPr="009864D8" w:rsidRDefault="00D660AB" w:rsidP="00D660AB">
            <w:pPr>
              <w:pStyle w:val="APRANORMAL"/>
              <w:rPr>
                <w:b/>
                <w:color w:val="FFFFFF" w:themeColor="background1"/>
                <w:sz w:val="20"/>
                <w:szCs w:val="20"/>
              </w:rPr>
            </w:pPr>
            <w:r w:rsidRPr="009864D8">
              <w:rPr>
                <w:b/>
                <w:color w:val="FFFFFF" w:themeColor="background1"/>
                <w:sz w:val="20"/>
                <w:szCs w:val="20"/>
              </w:rPr>
              <w:t>Option 3</w:t>
            </w:r>
          </w:p>
        </w:tc>
        <w:tc>
          <w:tcPr>
            <w:tcW w:w="7036" w:type="dxa"/>
            <w:tcBorders>
              <w:top w:val="single" w:sz="4" w:space="0" w:color="FFFFFF" w:themeColor="background1"/>
              <w:bottom w:val="single" w:sz="4" w:space="0" w:color="FFFFFF" w:themeColor="background1"/>
            </w:tcBorders>
            <w:shd w:val="clear" w:color="auto" w:fill="F2F2F2" w:themeFill="background1" w:themeFillShade="F2"/>
          </w:tcPr>
          <w:p w14:paraId="56B9829C" w14:textId="30094C6C" w:rsidR="00203996" w:rsidRPr="009864D8" w:rsidRDefault="00203996" w:rsidP="00C7537D">
            <w:pPr>
              <w:pStyle w:val="APRANORMAL"/>
              <w:rPr>
                <w:sz w:val="20"/>
                <w:szCs w:val="20"/>
              </w:rPr>
            </w:pPr>
            <w:r w:rsidRPr="009864D8">
              <w:rPr>
                <w:sz w:val="20"/>
                <w:szCs w:val="20"/>
              </w:rPr>
              <w:t>A broader update of APS 220 to reflect best practice credit risk management expectations, including the relevant recommendation of the Royal Commission, Basel guidance and AASB 9.</w:t>
            </w:r>
          </w:p>
        </w:tc>
      </w:tr>
    </w:tbl>
    <w:p w14:paraId="69CA1BB7" w14:textId="77777777" w:rsidR="00203996" w:rsidRDefault="00203996" w:rsidP="00CD1E5F">
      <w:pPr>
        <w:pStyle w:val="APRANORMAL"/>
      </w:pPr>
    </w:p>
    <w:p w14:paraId="3CE26B17" w14:textId="7FA5D78E" w:rsidR="002977E4" w:rsidRDefault="00DE55C7" w:rsidP="00CD1E5F">
      <w:pPr>
        <w:pStyle w:val="APRANORMAL"/>
      </w:pPr>
      <w:r w:rsidRPr="00DE55C7">
        <w:t xml:space="preserve">The material difference between the second and third options is the update to the prudential standard </w:t>
      </w:r>
      <w:r>
        <w:t>t</w:t>
      </w:r>
      <w:r w:rsidRPr="00DE55C7">
        <w:t>o reflect best practice credit risk management expectations, including the relevant recommendation of the Royal Commission</w:t>
      </w:r>
      <w:r>
        <w:t>.</w:t>
      </w:r>
    </w:p>
    <w:p w14:paraId="03F7DDED" w14:textId="741C8876" w:rsidR="00DE55C7" w:rsidRDefault="00DE55C7" w:rsidP="00DE55C7">
      <w:pPr>
        <w:pStyle w:val="APRAHEADING2"/>
      </w:pPr>
      <w:bookmarkStart w:id="308" w:name="_Toc23325390"/>
      <w:bookmarkStart w:id="309" w:name="_Toc24106630"/>
      <w:bookmarkStart w:id="310" w:name="_Toc25748020"/>
      <w:bookmarkStart w:id="311" w:name="_Toc26945876"/>
      <w:bookmarkStart w:id="312" w:name="_Toc26947952"/>
      <w:r>
        <w:t>Assessment of regulatory costs</w:t>
      </w:r>
      <w:bookmarkEnd w:id="308"/>
      <w:bookmarkEnd w:id="309"/>
      <w:bookmarkEnd w:id="310"/>
      <w:bookmarkEnd w:id="311"/>
      <w:bookmarkEnd w:id="312"/>
    </w:p>
    <w:p w14:paraId="37875B79" w14:textId="77777777" w:rsidR="00A33C2C" w:rsidRDefault="00DE55C7" w:rsidP="00DE55C7">
      <w:pPr>
        <w:pStyle w:val="APRANORMAL"/>
      </w:pPr>
      <w:r w:rsidRPr="00E538AB">
        <w:t>APRA specifically invited submissions on</w:t>
      </w:r>
      <w:r w:rsidRPr="003E5944">
        <w:t xml:space="preserve"> any increases or decreases to</w:t>
      </w:r>
      <w:r>
        <w:t xml:space="preserve"> regulatory </w:t>
      </w:r>
      <w:r w:rsidRPr="003E5944">
        <w:t>costs</w:t>
      </w:r>
      <w:r>
        <w:t xml:space="preserve"> </w:t>
      </w:r>
      <w:r w:rsidRPr="003E5944">
        <w:t>incurred as a result of each option</w:t>
      </w:r>
      <w:r>
        <w:t xml:space="preserve">. Respondents </w:t>
      </w:r>
      <w:r w:rsidRPr="00E538AB">
        <w:t xml:space="preserve">were invited to use the </w:t>
      </w:r>
      <w:r>
        <w:t xml:space="preserve">Australian Government’s </w:t>
      </w:r>
      <w:r w:rsidRPr="0001623A">
        <w:t>Burden Measurement Tool</w:t>
      </w:r>
      <w:r>
        <w:t xml:space="preserve"> </w:t>
      </w:r>
      <w:r w:rsidRPr="0001623A">
        <w:t>to assess</w:t>
      </w:r>
      <w:r>
        <w:t xml:space="preserve"> regulatory </w:t>
      </w:r>
      <w:r w:rsidRPr="0001623A">
        <w:t>costs</w:t>
      </w:r>
      <w:r w:rsidRPr="00E538AB">
        <w:t>.</w:t>
      </w:r>
      <w:r w:rsidRPr="009F6777">
        <w:rPr>
          <w:rStyle w:val="FootnoteReference"/>
          <w:sz w:val="20"/>
          <w:szCs w:val="20"/>
        </w:rPr>
        <w:footnoteReference w:id="7"/>
      </w:r>
      <w:r w:rsidRPr="009F6777">
        <w:rPr>
          <w:szCs w:val="20"/>
          <w:vertAlign w:val="superscript"/>
        </w:rPr>
        <w:t xml:space="preserve"> </w:t>
      </w:r>
      <w:r w:rsidR="00A33C2C">
        <w:rPr>
          <w:szCs w:val="20"/>
          <w:vertAlign w:val="superscript"/>
        </w:rPr>
        <w:t xml:space="preserve"> </w:t>
      </w:r>
      <w:r w:rsidR="00A33C2C" w:rsidRPr="00473C74">
        <w:t>No</w:t>
      </w:r>
      <w:r w:rsidR="00A33C2C">
        <w:t xml:space="preserve">ne of the </w:t>
      </w:r>
      <w:r w:rsidR="00A33C2C" w:rsidRPr="00473C74">
        <w:t>submissions took up th</w:t>
      </w:r>
      <w:r w:rsidR="00A33C2C">
        <w:t>e</w:t>
      </w:r>
      <w:r w:rsidR="00A33C2C" w:rsidRPr="00473C74">
        <w:t xml:space="preserve"> invitation</w:t>
      </w:r>
      <w:r w:rsidR="00A33C2C">
        <w:t xml:space="preserve"> to use this tool.</w:t>
      </w:r>
    </w:p>
    <w:p w14:paraId="3F2297A0" w14:textId="5ECD0480" w:rsidR="00384962" w:rsidRDefault="00DE55C7" w:rsidP="00DE55C7">
      <w:pPr>
        <w:pStyle w:val="APRANORMAL"/>
      </w:pPr>
      <w:r w:rsidRPr="00DE55C7">
        <w:t>APRA has considered all relevant compliance costs (e.g. administration and substantive compliance costs and delay costs) in estimating the regulatory cost of each option.</w:t>
      </w:r>
      <w:r w:rsidR="00384962" w:rsidRPr="00384962">
        <w:t xml:space="preserve"> </w:t>
      </w:r>
    </w:p>
    <w:p w14:paraId="73571DCF" w14:textId="674ADACC" w:rsidR="002A6919" w:rsidRDefault="002A6919" w:rsidP="00DE55C7">
      <w:pPr>
        <w:pStyle w:val="APRANORMAL"/>
      </w:pPr>
      <w:r w:rsidRPr="002A6919">
        <w:t xml:space="preserve">For the second and third options, APRA has estimated total industry costs based on the number of ADIs, the cost per hour and the number of hours and personnel likely to be required to implement the proposals. APRA does not expect costs to be incurred specifically </w:t>
      </w:r>
      <w:r w:rsidRPr="002A6919">
        <w:lastRenderedPageBreak/>
        <w:t xml:space="preserve">for implementation following the first year but has represented the costs in </w:t>
      </w:r>
      <w:r>
        <w:t>the tables below</w:t>
      </w:r>
      <w:r w:rsidRPr="002A6919">
        <w:t xml:space="preserve"> as annual regulatory costs averaged over 10 years</w:t>
      </w:r>
      <w:r>
        <w:t>.</w:t>
      </w:r>
    </w:p>
    <w:p w14:paraId="12C47B91" w14:textId="2D1FA23A" w:rsidR="00DE55C7" w:rsidRDefault="00384962" w:rsidP="00384962">
      <w:pPr>
        <w:pStyle w:val="APRAHEADING3"/>
      </w:pPr>
      <w:bookmarkStart w:id="313" w:name="_Toc23325391"/>
      <w:bookmarkStart w:id="314" w:name="_Toc24106631"/>
      <w:bookmarkStart w:id="315" w:name="_Toc25748021"/>
      <w:bookmarkStart w:id="316" w:name="_Toc26945877"/>
      <w:bookmarkStart w:id="317" w:name="_Toc26947953"/>
      <w:r>
        <w:t>Option 1</w:t>
      </w:r>
      <w:bookmarkEnd w:id="313"/>
      <w:bookmarkEnd w:id="314"/>
      <w:bookmarkEnd w:id="315"/>
      <w:bookmarkEnd w:id="316"/>
      <w:bookmarkEnd w:id="317"/>
    </w:p>
    <w:p w14:paraId="3713226D" w14:textId="18543B51" w:rsidR="00DE55C7" w:rsidRDefault="00384962" w:rsidP="00CD1E5F">
      <w:pPr>
        <w:pStyle w:val="APRANORMAL"/>
      </w:pPr>
      <w:r w:rsidRPr="00384962">
        <w:t>Under the first option, ADIs and other stakeholders would not incur any additional compliance costs.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899"/>
        <w:gridCol w:w="1900"/>
        <w:gridCol w:w="1900"/>
        <w:gridCol w:w="1900"/>
      </w:tblGrid>
      <w:tr w:rsidR="00AD1C6C" w:rsidRPr="00D71E2D" w14:paraId="1DABB372" w14:textId="77777777" w:rsidTr="00125536">
        <w:tc>
          <w:tcPr>
            <w:tcW w:w="9026" w:type="dxa"/>
            <w:gridSpan w:val="5"/>
            <w:tcBorders>
              <w:bottom w:val="single" w:sz="4" w:space="0" w:color="FFFFFF" w:themeColor="background1"/>
            </w:tcBorders>
            <w:shd w:val="clear" w:color="auto" w:fill="002060"/>
          </w:tcPr>
          <w:p w14:paraId="48025CB7" w14:textId="77777777" w:rsidR="00AD1C6C" w:rsidRPr="009864D8" w:rsidRDefault="00AD1C6C" w:rsidP="00125536">
            <w:pPr>
              <w:pStyle w:val="APRANORMAL"/>
              <w:jc w:val="center"/>
              <w:rPr>
                <w:sz w:val="20"/>
                <w:szCs w:val="20"/>
              </w:rPr>
            </w:pPr>
            <w:r w:rsidRPr="009864D8">
              <w:rPr>
                <w:b/>
                <w:color w:val="FFFFFF" w:themeColor="background1"/>
                <w:sz w:val="20"/>
                <w:szCs w:val="20"/>
              </w:rPr>
              <w:t>Annual regulatory costs, averaged over 10 years ($m)</w:t>
            </w:r>
          </w:p>
        </w:tc>
      </w:tr>
      <w:tr w:rsidR="00AD1C6C" w:rsidRPr="00D71E2D" w14:paraId="3391BE9D" w14:textId="77777777" w:rsidTr="00125536">
        <w:tc>
          <w:tcPr>
            <w:tcW w:w="1427" w:type="dxa"/>
            <w:tcBorders>
              <w:bottom w:val="single" w:sz="4" w:space="0" w:color="FFFFFF" w:themeColor="background1"/>
            </w:tcBorders>
            <w:shd w:val="clear" w:color="auto" w:fill="002060"/>
          </w:tcPr>
          <w:p w14:paraId="5F0FE385" w14:textId="77777777" w:rsidR="00AD1C6C" w:rsidRPr="009864D8" w:rsidRDefault="00AD1C6C" w:rsidP="00125536">
            <w:pPr>
              <w:pStyle w:val="APRANORMAL"/>
              <w:rPr>
                <w:b/>
                <w:color w:val="FFFFFF" w:themeColor="background1"/>
                <w:sz w:val="20"/>
                <w:szCs w:val="20"/>
              </w:rPr>
            </w:pPr>
            <w:r w:rsidRPr="009864D8">
              <w:rPr>
                <w:b/>
                <w:color w:val="FFFFFF" w:themeColor="background1"/>
                <w:sz w:val="20"/>
                <w:szCs w:val="20"/>
              </w:rPr>
              <w:t>Change in costs ($m)</w:t>
            </w:r>
          </w:p>
        </w:tc>
        <w:tc>
          <w:tcPr>
            <w:tcW w:w="1899" w:type="dxa"/>
            <w:tcBorders>
              <w:bottom w:val="single" w:sz="4" w:space="0" w:color="FFFFFF" w:themeColor="background1"/>
            </w:tcBorders>
            <w:shd w:val="clear" w:color="auto" w:fill="F2F2F2" w:themeFill="background1" w:themeFillShade="F2"/>
          </w:tcPr>
          <w:p w14:paraId="7F984D9D" w14:textId="77777777" w:rsidR="00AD1C6C" w:rsidRPr="009864D8" w:rsidRDefault="00AD1C6C" w:rsidP="00125536">
            <w:pPr>
              <w:pStyle w:val="APRANORMAL"/>
              <w:rPr>
                <w:sz w:val="20"/>
                <w:szCs w:val="20"/>
              </w:rPr>
            </w:pPr>
            <w:r w:rsidRPr="009864D8">
              <w:rPr>
                <w:sz w:val="20"/>
                <w:szCs w:val="20"/>
              </w:rPr>
              <w:t>Business</w:t>
            </w:r>
          </w:p>
        </w:tc>
        <w:tc>
          <w:tcPr>
            <w:tcW w:w="1900" w:type="dxa"/>
            <w:tcBorders>
              <w:bottom w:val="single" w:sz="4" w:space="0" w:color="FFFFFF" w:themeColor="background1"/>
            </w:tcBorders>
            <w:shd w:val="clear" w:color="auto" w:fill="F2F2F2" w:themeFill="background1" w:themeFillShade="F2"/>
          </w:tcPr>
          <w:p w14:paraId="10E67A3F" w14:textId="77777777" w:rsidR="00AD1C6C" w:rsidRPr="009864D8" w:rsidRDefault="00AD1C6C" w:rsidP="00125536">
            <w:pPr>
              <w:pStyle w:val="APRANORMAL"/>
              <w:rPr>
                <w:sz w:val="20"/>
                <w:szCs w:val="20"/>
              </w:rPr>
            </w:pPr>
            <w:r w:rsidRPr="009864D8">
              <w:rPr>
                <w:sz w:val="20"/>
                <w:szCs w:val="20"/>
              </w:rPr>
              <w:t xml:space="preserve">Community organisations </w:t>
            </w:r>
          </w:p>
        </w:tc>
        <w:tc>
          <w:tcPr>
            <w:tcW w:w="1900" w:type="dxa"/>
            <w:tcBorders>
              <w:bottom w:val="single" w:sz="4" w:space="0" w:color="FFFFFF" w:themeColor="background1"/>
            </w:tcBorders>
            <w:shd w:val="clear" w:color="auto" w:fill="F2F2F2" w:themeFill="background1" w:themeFillShade="F2"/>
          </w:tcPr>
          <w:p w14:paraId="74EC8040" w14:textId="77777777" w:rsidR="00AD1C6C" w:rsidRPr="009864D8" w:rsidRDefault="00AD1C6C" w:rsidP="00125536">
            <w:pPr>
              <w:pStyle w:val="APRANORMAL"/>
              <w:rPr>
                <w:sz w:val="20"/>
                <w:szCs w:val="20"/>
              </w:rPr>
            </w:pPr>
            <w:r w:rsidRPr="009864D8">
              <w:rPr>
                <w:sz w:val="20"/>
                <w:szCs w:val="20"/>
              </w:rPr>
              <w:t>Individuals</w:t>
            </w:r>
          </w:p>
        </w:tc>
        <w:tc>
          <w:tcPr>
            <w:tcW w:w="1900" w:type="dxa"/>
            <w:tcBorders>
              <w:bottom w:val="single" w:sz="4" w:space="0" w:color="FFFFFF" w:themeColor="background1"/>
            </w:tcBorders>
            <w:shd w:val="clear" w:color="auto" w:fill="F2F2F2" w:themeFill="background1" w:themeFillShade="F2"/>
          </w:tcPr>
          <w:p w14:paraId="30010E63" w14:textId="77777777" w:rsidR="00AD1C6C" w:rsidRPr="009864D8" w:rsidRDefault="00AD1C6C" w:rsidP="00125536">
            <w:pPr>
              <w:pStyle w:val="APRANORMAL"/>
              <w:rPr>
                <w:sz w:val="20"/>
                <w:szCs w:val="20"/>
              </w:rPr>
            </w:pPr>
            <w:r w:rsidRPr="009864D8">
              <w:rPr>
                <w:sz w:val="20"/>
                <w:szCs w:val="20"/>
              </w:rPr>
              <w:t>Total change in costs</w:t>
            </w:r>
          </w:p>
        </w:tc>
      </w:tr>
      <w:tr w:rsidR="00AD1C6C" w:rsidRPr="00D71E2D" w14:paraId="6D50FABC" w14:textId="77777777" w:rsidTr="00125536">
        <w:tc>
          <w:tcPr>
            <w:tcW w:w="1427" w:type="dxa"/>
            <w:tcBorders>
              <w:top w:val="single" w:sz="4" w:space="0" w:color="FFFFFF" w:themeColor="background1"/>
              <w:bottom w:val="single" w:sz="4" w:space="0" w:color="FFFFFF" w:themeColor="background1"/>
            </w:tcBorders>
            <w:shd w:val="clear" w:color="auto" w:fill="002060"/>
          </w:tcPr>
          <w:p w14:paraId="794A4DEB" w14:textId="77777777" w:rsidR="00AD1C6C" w:rsidRPr="009864D8" w:rsidRDefault="00AD1C6C" w:rsidP="00125536">
            <w:pPr>
              <w:pStyle w:val="APRANORMAL"/>
              <w:rPr>
                <w:b/>
                <w:color w:val="FFFFFF" w:themeColor="background1"/>
                <w:sz w:val="20"/>
                <w:szCs w:val="20"/>
              </w:rPr>
            </w:pPr>
            <w:r w:rsidRPr="009864D8">
              <w:rPr>
                <w:b/>
                <w:color w:val="FFFFFF" w:themeColor="background1"/>
                <w:sz w:val="20"/>
                <w:szCs w:val="20"/>
              </w:rPr>
              <w:t>Total by sector</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329C3C1D" w14:textId="77777777" w:rsidR="00AD1C6C" w:rsidRPr="009864D8" w:rsidRDefault="00AD1C6C" w:rsidP="00125536">
            <w:pPr>
              <w:pStyle w:val="APRANORMAL"/>
              <w:rPr>
                <w:sz w:val="20"/>
                <w:szCs w:val="20"/>
              </w:rPr>
            </w:pPr>
            <w:r w:rsidRPr="009864D8">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2EBAF53C" w14:textId="77777777" w:rsidR="00AD1C6C" w:rsidRPr="009864D8" w:rsidRDefault="00AD1C6C" w:rsidP="00125536">
            <w:pPr>
              <w:pStyle w:val="APRANORMAL"/>
              <w:rPr>
                <w:sz w:val="20"/>
                <w:szCs w:val="20"/>
              </w:rPr>
            </w:pPr>
            <w:r w:rsidRPr="009864D8">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555ECA53" w14:textId="77777777" w:rsidR="00AD1C6C" w:rsidRPr="009864D8" w:rsidRDefault="00AD1C6C" w:rsidP="00125536">
            <w:pPr>
              <w:pStyle w:val="APRANORMAL"/>
              <w:rPr>
                <w:sz w:val="20"/>
                <w:szCs w:val="20"/>
              </w:rPr>
            </w:pPr>
            <w:r w:rsidRPr="009864D8">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3084AF97" w14:textId="77777777" w:rsidR="00AD1C6C" w:rsidRPr="009864D8" w:rsidRDefault="00AD1C6C" w:rsidP="00125536">
            <w:pPr>
              <w:pStyle w:val="APRANORMAL"/>
              <w:rPr>
                <w:sz w:val="20"/>
                <w:szCs w:val="20"/>
              </w:rPr>
            </w:pPr>
            <w:r w:rsidRPr="009864D8">
              <w:rPr>
                <w:sz w:val="20"/>
                <w:szCs w:val="20"/>
              </w:rPr>
              <w:t>0</w:t>
            </w:r>
          </w:p>
        </w:tc>
      </w:tr>
    </w:tbl>
    <w:p w14:paraId="0F252683" w14:textId="77777777" w:rsidR="00AD1C6C" w:rsidRDefault="00AD1C6C" w:rsidP="00CD1E5F">
      <w:pPr>
        <w:pStyle w:val="APRANORMAL"/>
      </w:pPr>
    </w:p>
    <w:p w14:paraId="7EA3DE0A" w14:textId="42087B15" w:rsidR="00AD1C6C" w:rsidRDefault="006014F2" w:rsidP="00AD1C6C">
      <w:pPr>
        <w:pStyle w:val="APRANORMAL"/>
      </w:pPr>
      <w:r>
        <w:t>Under the status quo, p</w:t>
      </w:r>
      <w:r w:rsidR="00AD1C6C">
        <w:t>eer group comparisons with banks in other jurisdictions would remain difficult since regulators in these jurisdictions are likely to take account of Basel guidance as the basis for their regulatory reporting.</w:t>
      </w:r>
    </w:p>
    <w:p w14:paraId="1C5E5D4C" w14:textId="69250A87" w:rsidR="00AD1C6C" w:rsidRDefault="00AD1C6C" w:rsidP="00AD1C6C">
      <w:pPr>
        <w:pStyle w:val="APRANORMAL"/>
      </w:pPr>
      <w:r>
        <w:t>The existing standard would continue to reflect concepts and terminology commensurate with an outdated accounting standard. This is likely to create some confusion for ADIs and APRA, particularly in relation to provisioning.</w:t>
      </w:r>
    </w:p>
    <w:p w14:paraId="12B948A8" w14:textId="72CFA7F3" w:rsidR="00BA677A" w:rsidRDefault="00BA677A" w:rsidP="00AD1C6C">
      <w:pPr>
        <w:pStyle w:val="APRANORMAL"/>
      </w:pPr>
      <w:r w:rsidRPr="00BA677A">
        <w:t>It is likely that ADIs’ credit risk management may be adversely affected if best practice credit risk management expectations, including the relevant recommendation of the Royal Commission, are not reflected in the standard. Although APRA’s previous pronouncements on credit risk remain relevant, they do not create enforceable requirements.</w:t>
      </w:r>
    </w:p>
    <w:p w14:paraId="25222230" w14:textId="3BBDE0B6" w:rsidR="00A71E4B" w:rsidRDefault="00A71E4B" w:rsidP="00A71E4B">
      <w:pPr>
        <w:pStyle w:val="APRAHEADING3"/>
      </w:pPr>
      <w:bookmarkStart w:id="318" w:name="_Toc23325392"/>
      <w:bookmarkStart w:id="319" w:name="_Toc24106632"/>
      <w:bookmarkStart w:id="320" w:name="_Toc25748022"/>
      <w:bookmarkStart w:id="321" w:name="_Toc26945878"/>
      <w:bookmarkStart w:id="322" w:name="_Toc26947954"/>
      <w:r>
        <w:t>Option 2</w:t>
      </w:r>
      <w:bookmarkEnd w:id="318"/>
      <w:bookmarkEnd w:id="319"/>
      <w:bookmarkEnd w:id="320"/>
      <w:bookmarkEnd w:id="321"/>
      <w:bookmarkEnd w:id="322"/>
    </w:p>
    <w:p w14:paraId="29865FBC" w14:textId="7726309C" w:rsidR="00A71E4B" w:rsidRDefault="00A71E4B" w:rsidP="00A71E4B">
      <w:pPr>
        <w:pStyle w:val="APRANORMAL"/>
      </w:pPr>
      <w:r w:rsidRPr="00384962">
        <w:t xml:space="preserve">Under </w:t>
      </w:r>
      <w:r>
        <w:t>Option 2</w:t>
      </w:r>
      <w:r w:rsidRPr="00384962">
        <w:t>, ADIs would incur additional compliance costs.</w:t>
      </w:r>
      <w:r w:rsidR="00880BBA" w:rsidRPr="00880BBA">
        <w:t xml:space="preserve"> APRA estimates the total cost to be $</w:t>
      </w:r>
      <w:r w:rsidR="00880BBA">
        <w:t>1</w:t>
      </w:r>
      <w:r w:rsidR="00ED6548">
        <w:t>7</w:t>
      </w:r>
      <w:r w:rsidR="00880BBA">
        <w:t>.</w:t>
      </w:r>
      <w:r w:rsidR="00495084">
        <w:t>3</w:t>
      </w:r>
      <w:r w:rsidR="00880BBA" w:rsidRPr="00880BBA">
        <w:t xml:space="preserve"> million.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899"/>
        <w:gridCol w:w="1900"/>
        <w:gridCol w:w="1900"/>
        <w:gridCol w:w="1900"/>
      </w:tblGrid>
      <w:tr w:rsidR="00AD1C6C" w:rsidRPr="00D71E2D" w14:paraId="38BBADE7" w14:textId="77777777" w:rsidTr="00125536">
        <w:tc>
          <w:tcPr>
            <w:tcW w:w="9026" w:type="dxa"/>
            <w:gridSpan w:val="5"/>
            <w:tcBorders>
              <w:bottom w:val="single" w:sz="4" w:space="0" w:color="FFFFFF" w:themeColor="background1"/>
            </w:tcBorders>
            <w:shd w:val="clear" w:color="auto" w:fill="002060"/>
          </w:tcPr>
          <w:p w14:paraId="3332A39E" w14:textId="77777777" w:rsidR="00AD1C6C" w:rsidRPr="009864D8" w:rsidRDefault="00AD1C6C" w:rsidP="00125536">
            <w:pPr>
              <w:pStyle w:val="APRANORMAL"/>
              <w:jc w:val="center"/>
              <w:rPr>
                <w:sz w:val="20"/>
                <w:szCs w:val="20"/>
              </w:rPr>
            </w:pPr>
            <w:r w:rsidRPr="009864D8">
              <w:rPr>
                <w:b/>
                <w:color w:val="FFFFFF" w:themeColor="background1"/>
                <w:sz w:val="20"/>
                <w:szCs w:val="20"/>
              </w:rPr>
              <w:t>Annual regulatory costs, averaged over 10 years ($m)</w:t>
            </w:r>
          </w:p>
        </w:tc>
      </w:tr>
      <w:tr w:rsidR="00AD1C6C" w:rsidRPr="00D71E2D" w14:paraId="62C26A7A" w14:textId="77777777" w:rsidTr="00125536">
        <w:tc>
          <w:tcPr>
            <w:tcW w:w="1427" w:type="dxa"/>
            <w:tcBorders>
              <w:bottom w:val="single" w:sz="4" w:space="0" w:color="FFFFFF" w:themeColor="background1"/>
            </w:tcBorders>
            <w:shd w:val="clear" w:color="auto" w:fill="002060"/>
          </w:tcPr>
          <w:p w14:paraId="130B5807" w14:textId="77777777" w:rsidR="00AD1C6C" w:rsidRPr="009864D8" w:rsidRDefault="00AD1C6C" w:rsidP="00125536">
            <w:pPr>
              <w:pStyle w:val="APRANORMAL"/>
              <w:rPr>
                <w:b/>
                <w:color w:val="FFFFFF" w:themeColor="background1"/>
                <w:sz w:val="20"/>
                <w:szCs w:val="20"/>
              </w:rPr>
            </w:pPr>
            <w:r w:rsidRPr="009864D8">
              <w:rPr>
                <w:b/>
                <w:color w:val="FFFFFF" w:themeColor="background1"/>
                <w:sz w:val="20"/>
                <w:szCs w:val="20"/>
              </w:rPr>
              <w:t>Change in costs ($m)</w:t>
            </w:r>
          </w:p>
        </w:tc>
        <w:tc>
          <w:tcPr>
            <w:tcW w:w="1899" w:type="dxa"/>
            <w:tcBorders>
              <w:bottom w:val="single" w:sz="4" w:space="0" w:color="FFFFFF" w:themeColor="background1"/>
            </w:tcBorders>
            <w:shd w:val="clear" w:color="auto" w:fill="F2F2F2" w:themeFill="background1" w:themeFillShade="F2"/>
          </w:tcPr>
          <w:p w14:paraId="353CC79B" w14:textId="77777777" w:rsidR="00AD1C6C" w:rsidRPr="009864D8" w:rsidRDefault="00AD1C6C" w:rsidP="00125536">
            <w:pPr>
              <w:pStyle w:val="APRANORMAL"/>
              <w:rPr>
                <w:sz w:val="20"/>
                <w:szCs w:val="20"/>
              </w:rPr>
            </w:pPr>
            <w:r w:rsidRPr="009864D8">
              <w:rPr>
                <w:sz w:val="20"/>
                <w:szCs w:val="20"/>
              </w:rPr>
              <w:t>Business</w:t>
            </w:r>
          </w:p>
        </w:tc>
        <w:tc>
          <w:tcPr>
            <w:tcW w:w="1900" w:type="dxa"/>
            <w:tcBorders>
              <w:bottom w:val="single" w:sz="4" w:space="0" w:color="FFFFFF" w:themeColor="background1"/>
            </w:tcBorders>
            <w:shd w:val="clear" w:color="auto" w:fill="F2F2F2" w:themeFill="background1" w:themeFillShade="F2"/>
          </w:tcPr>
          <w:p w14:paraId="77C24E96" w14:textId="77777777" w:rsidR="00AD1C6C" w:rsidRPr="009864D8" w:rsidRDefault="00AD1C6C" w:rsidP="00125536">
            <w:pPr>
              <w:pStyle w:val="APRANORMAL"/>
              <w:rPr>
                <w:sz w:val="20"/>
                <w:szCs w:val="20"/>
              </w:rPr>
            </w:pPr>
            <w:r w:rsidRPr="009864D8">
              <w:rPr>
                <w:sz w:val="20"/>
                <w:szCs w:val="20"/>
              </w:rPr>
              <w:t xml:space="preserve">Community organisations </w:t>
            </w:r>
          </w:p>
        </w:tc>
        <w:tc>
          <w:tcPr>
            <w:tcW w:w="1900" w:type="dxa"/>
            <w:tcBorders>
              <w:bottom w:val="single" w:sz="4" w:space="0" w:color="FFFFFF" w:themeColor="background1"/>
            </w:tcBorders>
            <w:shd w:val="clear" w:color="auto" w:fill="F2F2F2" w:themeFill="background1" w:themeFillShade="F2"/>
          </w:tcPr>
          <w:p w14:paraId="744DC30E" w14:textId="77777777" w:rsidR="00AD1C6C" w:rsidRPr="009864D8" w:rsidRDefault="00AD1C6C" w:rsidP="00125536">
            <w:pPr>
              <w:pStyle w:val="APRANORMAL"/>
              <w:rPr>
                <w:sz w:val="20"/>
                <w:szCs w:val="20"/>
              </w:rPr>
            </w:pPr>
            <w:r w:rsidRPr="009864D8">
              <w:rPr>
                <w:sz w:val="20"/>
                <w:szCs w:val="20"/>
              </w:rPr>
              <w:t>Individuals</w:t>
            </w:r>
          </w:p>
        </w:tc>
        <w:tc>
          <w:tcPr>
            <w:tcW w:w="1900" w:type="dxa"/>
            <w:tcBorders>
              <w:bottom w:val="single" w:sz="4" w:space="0" w:color="FFFFFF" w:themeColor="background1"/>
            </w:tcBorders>
            <w:shd w:val="clear" w:color="auto" w:fill="F2F2F2" w:themeFill="background1" w:themeFillShade="F2"/>
          </w:tcPr>
          <w:p w14:paraId="6640E5F2" w14:textId="77777777" w:rsidR="00AD1C6C" w:rsidRPr="009864D8" w:rsidRDefault="00AD1C6C" w:rsidP="00125536">
            <w:pPr>
              <w:pStyle w:val="APRANORMAL"/>
              <w:rPr>
                <w:sz w:val="20"/>
                <w:szCs w:val="20"/>
              </w:rPr>
            </w:pPr>
            <w:r w:rsidRPr="009864D8">
              <w:rPr>
                <w:sz w:val="20"/>
                <w:szCs w:val="20"/>
              </w:rPr>
              <w:t>Total change in costs</w:t>
            </w:r>
          </w:p>
        </w:tc>
      </w:tr>
      <w:tr w:rsidR="00AD1C6C" w:rsidRPr="00D71E2D" w14:paraId="4B0C423E" w14:textId="77777777" w:rsidTr="00125536">
        <w:tc>
          <w:tcPr>
            <w:tcW w:w="1427" w:type="dxa"/>
            <w:tcBorders>
              <w:top w:val="single" w:sz="4" w:space="0" w:color="FFFFFF" w:themeColor="background1"/>
              <w:bottom w:val="single" w:sz="4" w:space="0" w:color="FFFFFF" w:themeColor="background1"/>
            </w:tcBorders>
            <w:shd w:val="clear" w:color="auto" w:fill="002060"/>
          </w:tcPr>
          <w:p w14:paraId="577BA3EF" w14:textId="77777777" w:rsidR="00AD1C6C" w:rsidRPr="009864D8" w:rsidRDefault="00AD1C6C" w:rsidP="00125536">
            <w:pPr>
              <w:pStyle w:val="APRANORMAL"/>
              <w:rPr>
                <w:b/>
                <w:color w:val="FFFFFF" w:themeColor="background1"/>
                <w:sz w:val="20"/>
                <w:szCs w:val="20"/>
              </w:rPr>
            </w:pPr>
            <w:r w:rsidRPr="009864D8">
              <w:rPr>
                <w:b/>
                <w:color w:val="FFFFFF" w:themeColor="background1"/>
                <w:sz w:val="20"/>
                <w:szCs w:val="20"/>
              </w:rPr>
              <w:t>Total by sector</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3D4CEAF4" w14:textId="0F23CB1C" w:rsidR="00AD1C6C" w:rsidRPr="009864D8" w:rsidRDefault="002039C8" w:rsidP="00ED6548">
            <w:pPr>
              <w:pStyle w:val="APRANORMAL"/>
              <w:rPr>
                <w:sz w:val="20"/>
                <w:szCs w:val="20"/>
              </w:rPr>
            </w:pPr>
            <w:r>
              <w:rPr>
                <w:sz w:val="20"/>
                <w:szCs w:val="20"/>
              </w:rPr>
              <w:t>1.</w:t>
            </w:r>
            <w:r w:rsidR="00ED6548">
              <w:rPr>
                <w:sz w:val="20"/>
                <w:szCs w:val="20"/>
              </w:rPr>
              <w:t>7</w:t>
            </w:r>
            <w:r w:rsidR="00495084">
              <w:rPr>
                <w:sz w:val="20"/>
                <w:szCs w:val="20"/>
              </w:rPr>
              <w:t>3</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4ADE7865" w14:textId="5546773D" w:rsidR="00AD1C6C" w:rsidRPr="009864D8" w:rsidRDefault="005F6C00" w:rsidP="00125536">
            <w:pPr>
              <w:pStyle w:val="APRANORMAL"/>
              <w:rPr>
                <w:sz w:val="20"/>
                <w:szCs w:val="20"/>
              </w:rPr>
            </w:pPr>
            <w:r>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53BD87CB" w14:textId="30BDFD94" w:rsidR="00AD1C6C" w:rsidRPr="009864D8" w:rsidRDefault="005F6C00" w:rsidP="00125536">
            <w:pPr>
              <w:pStyle w:val="APRANORMAL"/>
              <w:rPr>
                <w:sz w:val="20"/>
                <w:szCs w:val="20"/>
              </w:rPr>
            </w:pPr>
            <w:r>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290F4D11" w14:textId="6B339D27" w:rsidR="00AD1C6C" w:rsidRPr="009864D8" w:rsidRDefault="006014F2" w:rsidP="00ED6548">
            <w:pPr>
              <w:pStyle w:val="APRANORMAL"/>
              <w:rPr>
                <w:sz w:val="20"/>
                <w:szCs w:val="20"/>
              </w:rPr>
            </w:pPr>
            <w:r>
              <w:rPr>
                <w:sz w:val="20"/>
                <w:szCs w:val="20"/>
              </w:rPr>
              <w:t>1.</w:t>
            </w:r>
            <w:r w:rsidR="00ED6548">
              <w:rPr>
                <w:sz w:val="20"/>
                <w:szCs w:val="20"/>
              </w:rPr>
              <w:t>7</w:t>
            </w:r>
            <w:r w:rsidR="00495084">
              <w:rPr>
                <w:sz w:val="20"/>
                <w:szCs w:val="20"/>
              </w:rPr>
              <w:t>3</w:t>
            </w:r>
          </w:p>
        </w:tc>
      </w:tr>
    </w:tbl>
    <w:p w14:paraId="0A0C1386" w14:textId="77777777" w:rsidR="00AD1C6C" w:rsidRDefault="00AD1C6C" w:rsidP="00AD1C6C">
      <w:pPr>
        <w:pStyle w:val="APRANORMAL"/>
      </w:pPr>
    </w:p>
    <w:p w14:paraId="4FD3953F" w14:textId="77777777" w:rsidR="00984A6E" w:rsidRDefault="00984A6E" w:rsidP="00984A6E">
      <w:pPr>
        <w:pStyle w:val="APRANORMAL"/>
      </w:pPr>
      <w:r>
        <w:t>Under this option, peer group comparisons with banks in other jurisdictions would be enhanced since regulators in these jurisdictions are likely to take account of Basel guidance as the basis for their regulatory reporting.</w:t>
      </w:r>
    </w:p>
    <w:p w14:paraId="03116464" w14:textId="4A4B5368" w:rsidR="00984A6E" w:rsidRDefault="00A33C2C" w:rsidP="00984A6E">
      <w:pPr>
        <w:pStyle w:val="APRANORMAL"/>
      </w:pPr>
      <w:r>
        <w:t xml:space="preserve">Aligning </w:t>
      </w:r>
      <w:r w:rsidR="00984A6E">
        <w:t xml:space="preserve">the prudential standard </w:t>
      </w:r>
      <w:r>
        <w:t xml:space="preserve">with </w:t>
      </w:r>
      <w:r w:rsidR="00984A6E">
        <w:t xml:space="preserve">the new accounting standard would provide greater clarity and transparency for ADIs and APRA. </w:t>
      </w:r>
    </w:p>
    <w:p w14:paraId="4D44F3EB" w14:textId="77777777" w:rsidR="00984A6E" w:rsidRDefault="00984A6E" w:rsidP="00984A6E">
      <w:pPr>
        <w:pStyle w:val="APRANORMAL"/>
      </w:pPr>
      <w:r>
        <w:lastRenderedPageBreak/>
        <w:t>ADIs would incur additional compliance costs associated with an update to an ADI’s credit risk policies, processes and systems to reflect the Basel guidance. ADIs would need to understand the updated APS 220 and train staff in these particular areas.</w:t>
      </w:r>
    </w:p>
    <w:p w14:paraId="694E62ED" w14:textId="77777777" w:rsidR="00984A6E" w:rsidRDefault="00984A6E" w:rsidP="00984A6E">
      <w:pPr>
        <w:pStyle w:val="APRANORMAL"/>
      </w:pPr>
      <w:r>
        <w:t>Compliance costs also include costs associated with an update to ADIs’ regulatory reporting requirements. The additional cost under the second option involve an update to reporting forms which will require some system changes. APRA considers that each ADI would have the existing data to complete updated reporting forms and that any system changes would be accommodated under existing infrastructure.</w:t>
      </w:r>
    </w:p>
    <w:p w14:paraId="7F3605CB" w14:textId="77777777" w:rsidR="00984A6E" w:rsidRDefault="00984A6E" w:rsidP="00984A6E">
      <w:pPr>
        <w:pStyle w:val="APRANORMAL"/>
      </w:pPr>
      <w:r>
        <w:t xml:space="preserve">In terms of compliance costs, the update to APS 220 to reflect accounting standard changes is not expected to have any significant impact on ADIs as ADIs are already required to comply with AASB 9 for reporting periods beginning on or after 1 January 2018 and APS 220 is being updated to align with the accounting standard. </w:t>
      </w:r>
    </w:p>
    <w:p w14:paraId="56894BEF" w14:textId="77777777" w:rsidR="00984A6E" w:rsidRDefault="00984A6E" w:rsidP="00984A6E">
      <w:pPr>
        <w:pStyle w:val="APRANORMAL"/>
      </w:pPr>
      <w:r>
        <w:t>APRA considers there are no delay costs in relation to the second option (e.g. expenses and loss of income incurred by an ADI through an application delay or an approval delay) as there is no requirement for an application or approval under APS 220.</w:t>
      </w:r>
    </w:p>
    <w:p w14:paraId="6C32EE28" w14:textId="08039568" w:rsidR="00984A6E" w:rsidRDefault="00984A6E" w:rsidP="00984A6E">
      <w:pPr>
        <w:pStyle w:val="APRANORMAL"/>
      </w:pPr>
      <w:r>
        <w:t>Under the second option, APRA envisages a start date of 1 January 2021 for the introduction of the reforms. APRA considers there would be sufficient notice of proposed prudential standard and reporting requirements to allow ADIs to undertake any necessary changes to credit risk policies, processes and systems and reporting processes. When estimating compliance costs for business, given the quantum of compliance costs, APRA considers it likely these compliance costs would be absorbed by business.</w:t>
      </w:r>
    </w:p>
    <w:p w14:paraId="78E768AB" w14:textId="77777777" w:rsidR="00984A6E" w:rsidRDefault="00984A6E" w:rsidP="00984A6E">
      <w:pPr>
        <w:pStyle w:val="APRANORMAL"/>
      </w:pPr>
      <w:r>
        <w:t>Option 2 is not expected to have a material impact on competition as APRA’s expectations for the credit risk management approach used by individual ADIs is commensurate with the scope and sophistication of the ADI’s activities. Changes to APS 220 for asset classification changes and to reflect the new accounting standard are not expected to have a material impact on competition as APRA is aligning the prudential requirements with the Basel guidance and the new accounting standard.</w:t>
      </w:r>
    </w:p>
    <w:p w14:paraId="3B59D045" w14:textId="2246C7F6" w:rsidR="00984A6E" w:rsidRDefault="00984A6E" w:rsidP="00984A6E">
      <w:pPr>
        <w:pStyle w:val="APRANORMAL"/>
      </w:pPr>
      <w:r>
        <w:t>However, it is likely that ADIs’ credit risk management may be adversely affected if best practice credit risk management expectations, including the relevant recommendation of the Royal Commission, are not reflected in the standard. Although APRA’s previous pronouncements on credit risk remain relevant, they do not create enforceable requirements.</w:t>
      </w:r>
    </w:p>
    <w:p w14:paraId="1872D196" w14:textId="32D89F08" w:rsidR="00A71E4B" w:rsidRDefault="00A71E4B" w:rsidP="00A71E4B">
      <w:pPr>
        <w:pStyle w:val="APRAHEADING3"/>
      </w:pPr>
      <w:bookmarkStart w:id="323" w:name="_Toc23325393"/>
      <w:bookmarkStart w:id="324" w:name="_Toc24106633"/>
      <w:bookmarkStart w:id="325" w:name="_Toc25748023"/>
      <w:bookmarkStart w:id="326" w:name="_Toc26945879"/>
      <w:bookmarkStart w:id="327" w:name="_Toc26947955"/>
      <w:r>
        <w:t>Option 3</w:t>
      </w:r>
      <w:bookmarkEnd w:id="323"/>
      <w:bookmarkEnd w:id="324"/>
      <w:bookmarkEnd w:id="325"/>
      <w:bookmarkEnd w:id="326"/>
      <w:bookmarkEnd w:id="327"/>
    </w:p>
    <w:p w14:paraId="07DF192C" w14:textId="2448044C" w:rsidR="00A71E4B" w:rsidRDefault="00A71E4B" w:rsidP="00A71E4B">
      <w:pPr>
        <w:pStyle w:val="APRANORMAL"/>
      </w:pPr>
      <w:r w:rsidRPr="00384962">
        <w:t xml:space="preserve">Under </w:t>
      </w:r>
      <w:r>
        <w:t xml:space="preserve">Option 3, </w:t>
      </w:r>
      <w:r w:rsidRPr="00384962">
        <w:t xml:space="preserve">ADIs would </w:t>
      </w:r>
      <w:r w:rsidR="00A87239">
        <w:t xml:space="preserve">also </w:t>
      </w:r>
      <w:r w:rsidRPr="00384962">
        <w:t>incur additional compliance costs</w:t>
      </w:r>
      <w:r w:rsidR="00A87239">
        <w:t>, and these are likely to be larger than Option 2.</w:t>
      </w:r>
      <w:r w:rsidR="002039C8">
        <w:t xml:space="preserve"> APRA estimates the total cost to be $</w:t>
      </w:r>
      <w:r w:rsidR="00495084">
        <w:t>3</w:t>
      </w:r>
      <w:r w:rsidR="00ED6548">
        <w:t>2</w:t>
      </w:r>
      <w:r w:rsidR="002152FC">
        <w:t>.</w:t>
      </w:r>
      <w:r w:rsidR="00ED6548">
        <w:t>8</w:t>
      </w:r>
      <w:r w:rsidR="002039C8">
        <w:t xml:space="preserve"> million.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899"/>
        <w:gridCol w:w="1900"/>
        <w:gridCol w:w="1900"/>
        <w:gridCol w:w="1900"/>
      </w:tblGrid>
      <w:tr w:rsidR="00A71E4B" w:rsidRPr="00D71E2D" w14:paraId="5B57E437" w14:textId="77777777" w:rsidTr="00125536">
        <w:tc>
          <w:tcPr>
            <w:tcW w:w="9026" w:type="dxa"/>
            <w:gridSpan w:val="5"/>
            <w:tcBorders>
              <w:bottom w:val="single" w:sz="4" w:space="0" w:color="FFFFFF" w:themeColor="background1"/>
            </w:tcBorders>
            <w:shd w:val="clear" w:color="auto" w:fill="002060"/>
          </w:tcPr>
          <w:p w14:paraId="14D570DF" w14:textId="77777777" w:rsidR="00A71E4B" w:rsidRPr="00D71E2D" w:rsidRDefault="00A71E4B" w:rsidP="002A6919">
            <w:pPr>
              <w:pStyle w:val="APRANORMAL"/>
              <w:keepNext/>
              <w:jc w:val="center"/>
            </w:pPr>
            <w:r>
              <w:rPr>
                <w:b/>
                <w:color w:val="FFFFFF" w:themeColor="background1"/>
              </w:rPr>
              <w:lastRenderedPageBreak/>
              <w:t>Annual regulatory costs, averaged over 10 years ($m)</w:t>
            </w:r>
          </w:p>
        </w:tc>
      </w:tr>
      <w:tr w:rsidR="00A71E4B" w:rsidRPr="00D71E2D" w14:paraId="3F9E8640" w14:textId="77777777" w:rsidTr="00125536">
        <w:tc>
          <w:tcPr>
            <w:tcW w:w="1427" w:type="dxa"/>
            <w:tcBorders>
              <w:bottom w:val="single" w:sz="4" w:space="0" w:color="FFFFFF" w:themeColor="background1"/>
            </w:tcBorders>
            <w:shd w:val="clear" w:color="auto" w:fill="002060"/>
          </w:tcPr>
          <w:p w14:paraId="55DAFD94" w14:textId="77777777" w:rsidR="00A71E4B" w:rsidRPr="009864D8" w:rsidRDefault="00A71E4B" w:rsidP="002A6919">
            <w:pPr>
              <w:pStyle w:val="APRANORMAL"/>
              <w:keepNext/>
              <w:rPr>
                <w:b/>
                <w:color w:val="FFFFFF" w:themeColor="background1"/>
                <w:sz w:val="20"/>
                <w:szCs w:val="20"/>
              </w:rPr>
            </w:pPr>
            <w:r w:rsidRPr="009864D8">
              <w:rPr>
                <w:b/>
                <w:color w:val="FFFFFF" w:themeColor="background1"/>
                <w:sz w:val="20"/>
                <w:szCs w:val="20"/>
              </w:rPr>
              <w:t>Change in costs ($m)</w:t>
            </w:r>
          </w:p>
        </w:tc>
        <w:tc>
          <w:tcPr>
            <w:tcW w:w="1899" w:type="dxa"/>
            <w:tcBorders>
              <w:bottom w:val="single" w:sz="4" w:space="0" w:color="FFFFFF" w:themeColor="background1"/>
            </w:tcBorders>
            <w:shd w:val="clear" w:color="auto" w:fill="F2F2F2" w:themeFill="background1" w:themeFillShade="F2"/>
          </w:tcPr>
          <w:p w14:paraId="4D3EEA4F" w14:textId="77777777" w:rsidR="00A71E4B" w:rsidRPr="009864D8" w:rsidRDefault="00A71E4B" w:rsidP="002A6919">
            <w:pPr>
              <w:pStyle w:val="APRANORMAL"/>
              <w:keepNext/>
              <w:rPr>
                <w:sz w:val="20"/>
                <w:szCs w:val="20"/>
              </w:rPr>
            </w:pPr>
            <w:r w:rsidRPr="009864D8">
              <w:rPr>
                <w:sz w:val="20"/>
                <w:szCs w:val="20"/>
              </w:rPr>
              <w:t>Business</w:t>
            </w:r>
          </w:p>
        </w:tc>
        <w:tc>
          <w:tcPr>
            <w:tcW w:w="1900" w:type="dxa"/>
            <w:tcBorders>
              <w:bottom w:val="single" w:sz="4" w:space="0" w:color="FFFFFF" w:themeColor="background1"/>
            </w:tcBorders>
            <w:shd w:val="clear" w:color="auto" w:fill="F2F2F2" w:themeFill="background1" w:themeFillShade="F2"/>
          </w:tcPr>
          <w:p w14:paraId="01AFC6D9" w14:textId="77777777" w:rsidR="00A71E4B" w:rsidRPr="009864D8" w:rsidRDefault="00A71E4B" w:rsidP="002A6919">
            <w:pPr>
              <w:pStyle w:val="APRANORMAL"/>
              <w:keepNext/>
              <w:rPr>
                <w:sz w:val="20"/>
                <w:szCs w:val="20"/>
              </w:rPr>
            </w:pPr>
            <w:r w:rsidRPr="009864D8">
              <w:rPr>
                <w:sz w:val="20"/>
                <w:szCs w:val="20"/>
              </w:rPr>
              <w:t xml:space="preserve">Community organisations </w:t>
            </w:r>
          </w:p>
        </w:tc>
        <w:tc>
          <w:tcPr>
            <w:tcW w:w="1900" w:type="dxa"/>
            <w:tcBorders>
              <w:bottom w:val="single" w:sz="4" w:space="0" w:color="FFFFFF" w:themeColor="background1"/>
            </w:tcBorders>
            <w:shd w:val="clear" w:color="auto" w:fill="F2F2F2" w:themeFill="background1" w:themeFillShade="F2"/>
          </w:tcPr>
          <w:p w14:paraId="4F6C26C2" w14:textId="77777777" w:rsidR="00A71E4B" w:rsidRPr="009864D8" w:rsidRDefault="00A71E4B" w:rsidP="002A6919">
            <w:pPr>
              <w:pStyle w:val="APRANORMAL"/>
              <w:keepNext/>
              <w:rPr>
                <w:sz w:val="20"/>
                <w:szCs w:val="20"/>
              </w:rPr>
            </w:pPr>
            <w:r w:rsidRPr="009864D8">
              <w:rPr>
                <w:sz w:val="20"/>
                <w:szCs w:val="20"/>
              </w:rPr>
              <w:t>Individuals</w:t>
            </w:r>
          </w:p>
        </w:tc>
        <w:tc>
          <w:tcPr>
            <w:tcW w:w="1900" w:type="dxa"/>
            <w:tcBorders>
              <w:bottom w:val="single" w:sz="4" w:space="0" w:color="FFFFFF" w:themeColor="background1"/>
            </w:tcBorders>
            <w:shd w:val="clear" w:color="auto" w:fill="F2F2F2" w:themeFill="background1" w:themeFillShade="F2"/>
          </w:tcPr>
          <w:p w14:paraId="0317B59A" w14:textId="77777777" w:rsidR="00A71E4B" w:rsidRPr="009864D8" w:rsidRDefault="00A71E4B" w:rsidP="002A6919">
            <w:pPr>
              <w:pStyle w:val="APRANORMAL"/>
              <w:keepNext/>
              <w:rPr>
                <w:sz w:val="20"/>
                <w:szCs w:val="20"/>
              </w:rPr>
            </w:pPr>
            <w:r w:rsidRPr="009864D8">
              <w:rPr>
                <w:sz w:val="20"/>
                <w:szCs w:val="20"/>
              </w:rPr>
              <w:t>Total change in costs</w:t>
            </w:r>
          </w:p>
        </w:tc>
      </w:tr>
      <w:tr w:rsidR="00A71E4B" w:rsidRPr="00D71E2D" w14:paraId="22CA9C99" w14:textId="77777777" w:rsidTr="00125536">
        <w:tc>
          <w:tcPr>
            <w:tcW w:w="1427" w:type="dxa"/>
            <w:tcBorders>
              <w:top w:val="single" w:sz="4" w:space="0" w:color="FFFFFF" w:themeColor="background1"/>
              <w:bottom w:val="single" w:sz="4" w:space="0" w:color="FFFFFF" w:themeColor="background1"/>
            </w:tcBorders>
            <w:shd w:val="clear" w:color="auto" w:fill="002060"/>
          </w:tcPr>
          <w:p w14:paraId="3F910CA9" w14:textId="77777777" w:rsidR="00A71E4B" w:rsidRPr="009864D8" w:rsidRDefault="00A71E4B" w:rsidP="002A6919">
            <w:pPr>
              <w:pStyle w:val="APRANORMAL"/>
              <w:keepNext/>
              <w:rPr>
                <w:b/>
                <w:color w:val="FFFFFF" w:themeColor="background1"/>
                <w:sz w:val="20"/>
                <w:szCs w:val="20"/>
              </w:rPr>
            </w:pPr>
            <w:r w:rsidRPr="009864D8">
              <w:rPr>
                <w:b/>
                <w:color w:val="FFFFFF" w:themeColor="background1"/>
                <w:sz w:val="20"/>
                <w:szCs w:val="20"/>
              </w:rPr>
              <w:t>Total by sector</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3A9F7DD8" w14:textId="79D98E4E" w:rsidR="00A71E4B" w:rsidRPr="009864D8" w:rsidRDefault="00495084" w:rsidP="00ED6548">
            <w:pPr>
              <w:pStyle w:val="APRANORMAL"/>
              <w:keepNext/>
              <w:rPr>
                <w:sz w:val="20"/>
                <w:szCs w:val="20"/>
              </w:rPr>
            </w:pPr>
            <w:r>
              <w:rPr>
                <w:sz w:val="20"/>
                <w:szCs w:val="20"/>
              </w:rPr>
              <w:t>3.</w:t>
            </w:r>
            <w:r w:rsidR="00ED6548">
              <w:rPr>
                <w:sz w:val="20"/>
                <w:szCs w:val="20"/>
              </w:rPr>
              <w:t>28</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13ABA821" w14:textId="6FC20AD2" w:rsidR="00A71E4B" w:rsidRPr="009864D8" w:rsidRDefault="005F6C00" w:rsidP="002A6919">
            <w:pPr>
              <w:pStyle w:val="APRANORMAL"/>
              <w:keepNext/>
              <w:rPr>
                <w:sz w:val="20"/>
                <w:szCs w:val="20"/>
              </w:rPr>
            </w:pPr>
            <w:r>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3B5DB99A" w14:textId="28F446C2" w:rsidR="00A71E4B" w:rsidRPr="009864D8" w:rsidRDefault="005F6C00" w:rsidP="002A6919">
            <w:pPr>
              <w:pStyle w:val="APRANORMAL"/>
              <w:keepNext/>
              <w:rPr>
                <w:sz w:val="20"/>
                <w:szCs w:val="20"/>
              </w:rPr>
            </w:pPr>
            <w:r>
              <w:rPr>
                <w:sz w:val="20"/>
                <w:szCs w:val="20"/>
              </w:rPr>
              <w:t>0</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15A62AF4" w14:textId="2A35371B" w:rsidR="00A71E4B" w:rsidRPr="009864D8" w:rsidRDefault="00495084" w:rsidP="00ED6548">
            <w:pPr>
              <w:pStyle w:val="APRANORMAL"/>
              <w:keepNext/>
              <w:rPr>
                <w:sz w:val="20"/>
                <w:szCs w:val="20"/>
              </w:rPr>
            </w:pPr>
            <w:r>
              <w:rPr>
                <w:sz w:val="20"/>
                <w:szCs w:val="20"/>
              </w:rPr>
              <w:t>3.</w:t>
            </w:r>
            <w:r w:rsidR="00ED6548">
              <w:rPr>
                <w:sz w:val="20"/>
                <w:szCs w:val="20"/>
              </w:rPr>
              <w:t>28</w:t>
            </w:r>
          </w:p>
        </w:tc>
      </w:tr>
    </w:tbl>
    <w:p w14:paraId="4E560D34" w14:textId="77777777" w:rsidR="002A6919" w:rsidRDefault="002A6919" w:rsidP="002A6919">
      <w:pPr>
        <w:pStyle w:val="APRANORMAL"/>
        <w:keepNext/>
      </w:pPr>
    </w:p>
    <w:p w14:paraId="62FAB9BC" w14:textId="5AB615BB" w:rsidR="00984A6E" w:rsidRDefault="00984A6E" w:rsidP="002A6919">
      <w:pPr>
        <w:pStyle w:val="APRANORMAL"/>
        <w:keepNext/>
      </w:pPr>
      <w:r>
        <w:t>The compliance costs under Option 3 are similar to that of Option 2, however under Option 3, ADIs would also incur additional compliance costs associated with an update to an ADI’s credit risk policies, processes and systems to reflect best practice credit risk management expectations, including the recommendation of the Royal Commission. ADIs would also need to understand the updated APS 220 and train staff in these particular areas.</w:t>
      </w:r>
    </w:p>
    <w:p w14:paraId="47B4452D" w14:textId="783066C7" w:rsidR="00984A6E" w:rsidRDefault="00984A6E" w:rsidP="00984A6E">
      <w:pPr>
        <w:pStyle w:val="APRANORMAL"/>
      </w:pPr>
      <w:r>
        <w:t xml:space="preserve">The Royal Commission's recommendation for valuations to be undertaken by suitably qualified persons who are removed from the credit origination, assessment and approval process and for valuations to take into account the likelihood of external events, such as drought and flood, may have some cost impacts. However, ADIs are already expected to follow best practice credit risk expectations and therefore embedding these as requirements in the prudential standard may not add significantly to costs. </w:t>
      </w:r>
    </w:p>
    <w:p w14:paraId="79FA7908" w14:textId="69CEAE0E" w:rsidR="00A71E4B" w:rsidRDefault="00984A6E" w:rsidP="00984A6E">
      <w:pPr>
        <w:pStyle w:val="APRANORMAL"/>
      </w:pPr>
      <w:r>
        <w:t>Option 3 is not expected to have a material impact on competition as APRA’s expectations for the credit risk management approach used by individual ADIs is commensurate with the scope and sophistication of the ADI’s activities. Changes to APS 220 for asset classification changes, to reflect the new accounting standard, and best practice credit risk management expectations are not expected to have a material impact on competition as APRA is aligning the prudential requirements with the Basel guidance, the new accounting standard and ADIs are already expected to follow APRA’s previous pronouncements on credit risk.</w:t>
      </w:r>
    </w:p>
    <w:p w14:paraId="5AB3EF22" w14:textId="4C0D7DC9" w:rsidR="00A87239" w:rsidRDefault="00A87239" w:rsidP="00A87239">
      <w:pPr>
        <w:pStyle w:val="APRAHEADING3"/>
      </w:pPr>
      <w:bookmarkStart w:id="328" w:name="_Toc23325394"/>
      <w:bookmarkStart w:id="329" w:name="_Toc24106634"/>
      <w:bookmarkStart w:id="330" w:name="_Toc25748024"/>
      <w:bookmarkStart w:id="331" w:name="_Toc26945880"/>
      <w:bookmarkStart w:id="332" w:name="_Toc26947956"/>
      <w:r>
        <w:t>Conclusion</w:t>
      </w:r>
      <w:bookmarkEnd w:id="328"/>
      <w:bookmarkEnd w:id="329"/>
      <w:bookmarkEnd w:id="330"/>
      <w:bookmarkEnd w:id="331"/>
      <w:bookmarkEnd w:id="332"/>
    </w:p>
    <w:p w14:paraId="1098C306" w14:textId="3989D57E" w:rsidR="00351CC9" w:rsidRDefault="00351CC9" w:rsidP="00351CC9">
      <w:pPr>
        <w:pStyle w:val="APRANORMAL"/>
      </w:pPr>
      <w:r>
        <w:t xml:space="preserve">Option 1 results in no </w:t>
      </w:r>
      <w:r w:rsidR="00150261">
        <w:t xml:space="preserve">change in compliance </w:t>
      </w:r>
      <w:r>
        <w:t xml:space="preserve">costs, as it involves maintaining the current </w:t>
      </w:r>
      <w:r w:rsidR="00150261">
        <w:t xml:space="preserve">prudential </w:t>
      </w:r>
      <w:r>
        <w:t>framework without change. Options 2 and 3 result in compliance costs for industry.</w:t>
      </w:r>
      <w:r w:rsidR="002A6919">
        <w:t xml:space="preserve"> </w:t>
      </w:r>
    </w:p>
    <w:p w14:paraId="4F7E76A6" w14:textId="48D8AA23" w:rsidR="00351CC9" w:rsidRDefault="00351CC9" w:rsidP="00351CC9">
      <w:pPr>
        <w:pStyle w:val="APRANORMAL"/>
      </w:pPr>
      <w:r>
        <w:t>Option 2 results in</w:t>
      </w:r>
      <w:r w:rsidR="002D49BC">
        <w:t xml:space="preserve"> </w:t>
      </w:r>
      <w:r w:rsidR="009334F8">
        <w:t xml:space="preserve">moderate to </w:t>
      </w:r>
      <w:r w:rsidR="002D49BC" w:rsidRPr="002D49BC">
        <w:t>high net cost</w:t>
      </w:r>
      <w:r w:rsidR="002D49BC">
        <w:t xml:space="preserve"> overall</w:t>
      </w:r>
      <w:r w:rsidR="009334F8">
        <w:t>.</w:t>
      </w:r>
    </w:p>
    <w:p w14:paraId="362BDEC2" w14:textId="60D63254" w:rsidR="00A87239" w:rsidRDefault="00351CC9" w:rsidP="00351CC9">
      <w:pPr>
        <w:pStyle w:val="APRANORMAL"/>
      </w:pPr>
      <w:r>
        <w:t xml:space="preserve">Option 3 results in </w:t>
      </w:r>
      <w:r w:rsidR="002D49BC">
        <w:t>m</w:t>
      </w:r>
      <w:r w:rsidR="00150261">
        <w:t xml:space="preserve">oderate to high </w:t>
      </w:r>
      <w:r w:rsidR="00D5009E">
        <w:t xml:space="preserve">net </w:t>
      </w:r>
      <w:r w:rsidR="00150261">
        <w:t>cost</w:t>
      </w:r>
      <w:r w:rsidR="002D49BC">
        <w:t xml:space="preserve"> overall.</w:t>
      </w:r>
      <w:r w:rsidR="00150261" w:rsidRPr="00150261">
        <w:t xml:space="preserve"> </w:t>
      </w:r>
    </w:p>
    <w:p w14:paraId="14A4CCB2" w14:textId="0F69A870" w:rsidR="009B4639" w:rsidRDefault="009B4639" w:rsidP="00351CC9">
      <w:pPr>
        <w:pStyle w:val="APRANORMAL"/>
      </w:pPr>
      <w:r w:rsidRPr="009B4639">
        <w:t>APRA considers Option 3 to be the best option, as</w:t>
      </w:r>
      <w:r>
        <w:t xml:space="preserve"> this option provides for b</w:t>
      </w:r>
      <w:r w:rsidRPr="009B4639">
        <w:t xml:space="preserve">est practice credit risk management expectations, including </w:t>
      </w:r>
      <w:r w:rsidR="006942FC">
        <w:t xml:space="preserve">the </w:t>
      </w:r>
      <w:r w:rsidRPr="009B4639">
        <w:t>Royal Commission recommendation</w:t>
      </w:r>
      <w:r>
        <w:t>, to be reflected in APS 220 and be legally enforceable.</w:t>
      </w:r>
    </w:p>
    <w:p w14:paraId="54D486BE" w14:textId="6DFC027C" w:rsidR="008A4FCB" w:rsidRDefault="008A4FCB" w:rsidP="00351CC9">
      <w:pPr>
        <w:pStyle w:val="APRANORMAL"/>
      </w:pPr>
      <w:r w:rsidRPr="008A4FCB">
        <w:t>APRA’s mandate includes balancing the objectives of financial safety and efficiency, competition, contestability and competitive neutrality, and, in balancing these objectives, promote financial system stability in Australia. APRA considers that, on balance, Option 3 will enhance prudential outcomes, improve financial safety and promote financial system stability in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1899"/>
        <w:gridCol w:w="1900"/>
        <w:gridCol w:w="1900"/>
      </w:tblGrid>
      <w:tr w:rsidR="00351CC9" w:rsidRPr="009864D8" w14:paraId="5800263D" w14:textId="77777777" w:rsidTr="007D1317">
        <w:tc>
          <w:tcPr>
            <w:tcW w:w="1821" w:type="dxa"/>
            <w:tcBorders>
              <w:bottom w:val="single" w:sz="4" w:space="0" w:color="FFFFFF" w:themeColor="background1"/>
            </w:tcBorders>
            <w:shd w:val="clear" w:color="auto" w:fill="002060"/>
          </w:tcPr>
          <w:p w14:paraId="5BC9FDB4" w14:textId="14C3D05F" w:rsidR="00351CC9" w:rsidRPr="009864D8" w:rsidRDefault="00351CC9" w:rsidP="00125536">
            <w:pPr>
              <w:pStyle w:val="APRANORMAL"/>
              <w:rPr>
                <w:b/>
                <w:color w:val="FFFFFF" w:themeColor="background1"/>
                <w:sz w:val="20"/>
                <w:szCs w:val="20"/>
              </w:rPr>
            </w:pPr>
          </w:p>
        </w:tc>
        <w:tc>
          <w:tcPr>
            <w:tcW w:w="1899" w:type="dxa"/>
            <w:tcBorders>
              <w:bottom w:val="single" w:sz="4" w:space="0" w:color="FFFFFF" w:themeColor="background1"/>
            </w:tcBorders>
            <w:shd w:val="clear" w:color="auto" w:fill="F2F2F2" w:themeFill="background1" w:themeFillShade="F2"/>
          </w:tcPr>
          <w:p w14:paraId="6F16C43F" w14:textId="05D5F52C" w:rsidR="00351CC9" w:rsidRPr="009864D8" w:rsidRDefault="00351CC9" w:rsidP="00125536">
            <w:pPr>
              <w:pStyle w:val="APRANORMAL"/>
              <w:rPr>
                <w:sz w:val="20"/>
                <w:szCs w:val="20"/>
              </w:rPr>
            </w:pPr>
            <w:r>
              <w:rPr>
                <w:sz w:val="20"/>
                <w:szCs w:val="20"/>
              </w:rPr>
              <w:t>Option 1</w:t>
            </w:r>
          </w:p>
        </w:tc>
        <w:tc>
          <w:tcPr>
            <w:tcW w:w="1900" w:type="dxa"/>
            <w:tcBorders>
              <w:bottom w:val="single" w:sz="4" w:space="0" w:color="FFFFFF" w:themeColor="background1"/>
            </w:tcBorders>
            <w:shd w:val="clear" w:color="auto" w:fill="F2F2F2" w:themeFill="background1" w:themeFillShade="F2"/>
          </w:tcPr>
          <w:p w14:paraId="57738744" w14:textId="0646E10B" w:rsidR="00351CC9" w:rsidRPr="009864D8" w:rsidRDefault="00351CC9" w:rsidP="00125536">
            <w:pPr>
              <w:pStyle w:val="APRANORMAL"/>
              <w:rPr>
                <w:sz w:val="20"/>
                <w:szCs w:val="20"/>
              </w:rPr>
            </w:pPr>
            <w:r>
              <w:rPr>
                <w:sz w:val="20"/>
                <w:szCs w:val="20"/>
              </w:rPr>
              <w:t>Option 2</w:t>
            </w:r>
          </w:p>
        </w:tc>
        <w:tc>
          <w:tcPr>
            <w:tcW w:w="1900" w:type="dxa"/>
            <w:tcBorders>
              <w:bottom w:val="single" w:sz="4" w:space="0" w:color="FFFFFF" w:themeColor="background1"/>
            </w:tcBorders>
            <w:shd w:val="clear" w:color="auto" w:fill="F2F2F2" w:themeFill="background1" w:themeFillShade="F2"/>
          </w:tcPr>
          <w:p w14:paraId="06192894" w14:textId="12D51CF0" w:rsidR="00351CC9" w:rsidRPr="009864D8" w:rsidRDefault="00351CC9" w:rsidP="00125536">
            <w:pPr>
              <w:pStyle w:val="APRANORMAL"/>
              <w:rPr>
                <w:sz w:val="20"/>
                <w:szCs w:val="20"/>
              </w:rPr>
            </w:pPr>
            <w:r>
              <w:rPr>
                <w:sz w:val="20"/>
                <w:szCs w:val="20"/>
              </w:rPr>
              <w:t>Option 3</w:t>
            </w:r>
          </w:p>
        </w:tc>
      </w:tr>
      <w:tr w:rsidR="00351CC9" w:rsidRPr="009864D8" w14:paraId="6C7D997D" w14:textId="77777777" w:rsidTr="007D1317">
        <w:tc>
          <w:tcPr>
            <w:tcW w:w="1821" w:type="dxa"/>
            <w:tcBorders>
              <w:top w:val="single" w:sz="4" w:space="0" w:color="FFFFFF" w:themeColor="background1"/>
              <w:bottom w:val="single" w:sz="4" w:space="0" w:color="FFFFFF" w:themeColor="background1"/>
            </w:tcBorders>
            <w:shd w:val="clear" w:color="auto" w:fill="002060"/>
          </w:tcPr>
          <w:p w14:paraId="18C7D2D2" w14:textId="6B1A81CF" w:rsidR="00351CC9" w:rsidRPr="009864D8" w:rsidRDefault="00351CC9" w:rsidP="00351CC9">
            <w:pPr>
              <w:pStyle w:val="APRANORMAL"/>
              <w:rPr>
                <w:b/>
                <w:color w:val="FFFFFF" w:themeColor="background1"/>
                <w:sz w:val="20"/>
                <w:szCs w:val="20"/>
              </w:rPr>
            </w:pPr>
            <w:r>
              <w:rPr>
                <w:b/>
                <w:color w:val="FFFFFF" w:themeColor="background1"/>
                <w:sz w:val="20"/>
                <w:szCs w:val="20"/>
              </w:rPr>
              <w:t>Regulatory costs</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44EF81E7" w14:textId="425E61CF" w:rsidR="00351CC9" w:rsidRPr="009864D8" w:rsidRDefault="00833AFC" w:rsidP="00833AFC">
            <w:pPr>
              <w:pStyle w:val="APRANORMAL"/>
              <w:rPr>
                <w:sz w:val="20"/>
                <w:szCs w:val="20"/>
              </w:rPr>
            </w:pPr>
            <w:r>
              <w:rPr>
                <w:sz w:val="20"/>
                <w:szCs w:val="20"/>
              </w:rPr>
              <w:t>No change</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33575CED" w14:textId="07FD6D0B" w:rsidR="00351CC9" w:rsidRPr="009864D8" w:rsidRDefault="007D1317" w:rsidP="009334F8">
            <w:pPr>
              <w:pStyle w:val="APRANORMAL"/>
              <w:rPr>
                <w:sz w:val="20"/>
                <w:szCs w:val="20"/>
              </w:rPr>
            </w:pPr>
            <w:r>
              <w:rPr>
                <w:sz w:val="20"/>
                <w:szCs w:val="20"/>
              </w:rPr>
              <w:t>M</w:t>
            </w:r>
            <w:r w:rsidR="00833AFC">
              <w:rPr>
                <w:sz w:val="20"/>
                <w:szCs w:val="20"/>
              </w:rPr>
              <w:t xml:space="preserve">oderate </w:t>
            </w:r>
            <w:r w:rsidR="002D49BC">
              <w:rPr>
                <w:sz w:val="20"/>
                <w:szCs w:val="20"/>
              </w:rPr>
              <w:t>to high</w:t>
            </w:r>
            <w:r w:rsidR="009334F8">
              <w:rPr>
                <w:sz w:val="20"/>
                <w:szCs w:val="20"/>
              </w:rPr>
              <w:t xml:space="preserve"> </w:t>
            </w:r>
            <w:r w:rsidR="00833AFC">
              <w:rPr>
                <w:sz w:val="20"/>
                <w:szCs w:val="20"/>
              </w:rPr>
              <w:t>cost</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3994BA0D" w14:textId="594FE856" w:rsidR="00351CC9" w:rsidRPr="009864D8" w:rsidRDefault="007D1317" w:rsidP="00125536">
            <w:pPr>
              <w:pStyle w:val="APRANORMAL"/>
              <w:rPr>
                <w:sz w:val="20"/>
                <w:szCs w:val="20"/>
              </w:rPr>
            </w:pPr>
            <w:r>
              <w:rPr>
                <w:sz w:val="20"/>
                <w:szCs w:val="20"/>
              </w:rPr>
              <w:t xml:space="preserve">Moderate </w:t>
            </w:r>
            <w:r w:rsidR="009334F8">
              <w:rPr>
                <w:sz w:val="20"/>
                <w:szCs w:val="20"/>
              </w:rPr>
              <w:t xml:space="preserve">to high </w:t>
            </w:r>
            <w:r>
              <w:rPr>
                <w:sz w:val="20"/>
                <w:szCs w:val="20"/>
              </w:rPr>
              <w:t>cost</w:t>
            </w:r>
          </w:p>
        </w:tc>
      </w:tr>
      <w:tr w:rsidR="00351CC9" w:rsidRPr="009864D8" w14:paraId="1B87CA56" w14:textId="77777777" w:rsidTr="007D1317">
        <w:tc>
          <w:tcPr>
            <w:tcW w:w="1821" w:type="dxa"/>
            <w:tcBorders>
              <w:top w:val="single" w:sz="4" w:space="0" w:color="FFFFFF" w:themeColor="background1"/>
              <w:bottom w:val="single" w:sz="4" w:space="0" w:color="FFFFFF" w:themeColor="background1"/>
            </w:tcBorders>
            <w:shd w:val="clear" w:color="auto" w:fill="002060"/>
          </w:tcPr>
          <w:p w14:paraId="5B47D8FD" w14:textId="268F77B6" w:rsidR="00351CC9" w:rsidRPr="00833AFC" w:rsidRDefault="007D1317" w:rsidP="002D49BC">
            <w:pPr>
              <w:pStyle w:val="APRANORMAL"/>
              <w:rPr>
                <w:b/>
                <w:color w:val="FFFFFF" w:themeColor="background1"/>
                <w:sz w:val="20"/>
                <w:szCs w:val="20"/>
              </w:rPr>
            </w:pPr>
            <w:r w:rsidRPr="007D1317">
              <w:rPr>
                <w:b/>
                <w:color w:val="FFFFFF" w:themeColor="background1"/>
                <w:sz w:val="20"/>
                <w:szCs w:val="20"/>
              </w:rPr>
              <w:t>Basel guidance</w:t>
            </w:r>
            <w:r w:rsidR="002D49BC">
              <w:rPr>
                <w:b/>
                <w:color w:val="FFFFFF" w:themeColor="background1"/>
                <w:sz w:val="20"/>
                <w:szCs w:val="20"/>
              </w:rPr>
              <w:t xml:space="preserve"> </w:t>
            </w:r>
            <w:r>
              <w:rPr>
                <w:b/>
                <w:color w:val="FFFFFF" w:themeColor="background1"/>
                <w:sz w:val="20"/>
                <w:szCs w:val="20"/>
              </w:rPr>
              <w:t>and accounting standard changes</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6E5C4F01" w14:textId="4AEA3E4D" w:rsidR="00351CC9" w:rsidRPr="009864D8" w:rsidRDefault="007D1317" w:rsidP="007D1317">
            <w:pPr>
              <w:pStyle w:val="APRANORMAL"/>
              <w:rPr>
                <w:sz w:val="20"/>
                <w:szCs w:val="20"/>
              </w:rPr>
            </w:pPr>
            <w:r>
              <w:rPr>
                <w:sz w:val="20"/>
                <w:szCs w:val="20"/>
              </w:rPr>
              <w:t xml:space="preserve">Does not meet this criteria </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664FC52F" w14:textId="1764EF36" w:rsidR="00351CC9" w:rsidRPr="009864D8" w:rsidRDefault="007D1317" w:rsidP="00125536">
            <w:pPr>
              <w:pStyle w:val="APRANORMAL"/>
              <w:rPr>
                <w:sz w:val="20"/>
                <w:szCs w:val="20"/>
              </w:rPr>
            </w:pPr>
            <w:r>
              <w:rPr>
                <w:sz w:val="20"/>
                <w:szCs w:val="20"/>
              </w:rPr>
              <w:t>Meets this criteria</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1D4C849A" w14:textId="399FFBD5" w:rsidR="00351CC9" w:rsidRPr="009864D8" w:rsidRDefault="007D1317" w:rsidP="007D1317">
            <w:pPr>
              <w:pStyle w:val="APRANORMAL"/>
              <w:rPr>
                <w:sz w:val="20"/>
                <w:szCs w:val="20"/>
              </w:rPr>
            </w:pPr>
            <w:r>
              <w:rPr>
                <w:sz w:val="20"/>
                <w:szCs w:val="20"/>
              </w:rPr>
              <w:t>Meets this criteria</w:t>
            </w:r>
          </w:p>
        </w:tc>
      </w:tr>
      <w:tr w:rsidR="007D1317" w:rsidRPr="009864D8" w14:paraId="25555EC8" w14:textId="77777777" w:rsidTr="007D1317">
        <w:tc>
          <w:tcPr>
            <w:tcW w:w="1821" w:type="dxa"/>
            <w:tcBorders>
              <w:top w:val="single" w:sz="4" w:space="0" w:color="FFFFFF" w:themeColor="background1"/>
              <w:bottom w:val="single" w:sz="4" w:space="0" w:color="FFFFFF" w:themeColor="background1"/>
            </w:tcBorders>
            <w:shd w:val="clear" w:color="auto" w:fill="002060"/>
          </w:tcPr>
          <w:p w14:paraId="48E8A997" w14:textId="6B2932D1" w:rsidR="007D1317" w:rsidRDefault="007D1317" w:rsidP="002D49BC">
            <w:pPr>
              <w:pStyle w:val="APRANORMAL"/>
              <w:rPr>
                <w:b/>
                <w:color w:val="FFFFFF" w:themeColor="background1"/>
                <w:sz w:val="20"/>
                <w:szCs w:val="20"/>
              </w:rPr>
            </w:pPr>
            <w:r>
              <w:rPr>
                <w:b/>
                <w:color w:val="FFFFFF" w:themeColor="background1"/>
                <w:sz w:val="20"/>
                <w:szCs w:val="20"/>
              </w:rPr>
              <w:t>Best practice credit risk management expectations, including Royal Commission recommendations</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20BEED42" w14:textId="7D4CC943" w:rsidR="007D1317" w:rsidRDefault="007D1317" w:rsidP="007D1317">
            <w:pPr>
              <w:pStyle w:val="APRANORMAL"/>
              <w:rPr>
                <w:sz w:val="20"/>
                <w:szCs w:val="20"/>
              </w:rPr>
            </w:pPr>
            <w:r w:rsidRPr="007D1317">
              <w:rPr>
                <w:sz w:val="20"/>
                <w:szCs w:val="20"/>
              </w:rPr>
              <w:t>Does not meet this criteria</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57A0C9ED" w14:textId="71C348FA" w:rsidR="007D1317" w:rsidRDefault="007D1317" w:rsidP="00125536">
            <w:pPr>
              <w:pStyle w:val="APRANORMAL"/>
              <w:rPr>
                <w:sz w:val="20"/>
                <w:szCs w:val="20"/>
              </w:rPr>
            </w:pPr>
            <w:r w:rsidRPr="007D1317">
              <w:rPr>
                <w:sz w:val="20"/>
                <w:szCs w:val="20"/>
              </w:rPr>
              <w:t>Does not meet this criteria</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4E6F77D7" w14:textId="4CC76359" w:rsidR="007D1317" w:rsidRDefault="007D1317" w:rsidP="007D1317">
            <w:pPr>
              <w:pStyle w:val="APRANORMAL"/>
              <w:rPr>
                <w:sz w:val="20"/>
                <w:szCs w:val="20"/>
              </w:rPr>
            </w:pPr>
            <w:r w:rsidRPr="007D1317">
              <w:rPr>
                <w:sz w:val="20"/>
                <w:szCs w:val="20"/>
              </w:rPr>
              <w:t>Meets this criteria</w:t>
            </w:r>
          </w:p>
        </w:tc>
      </w:tr>
      <w:tr w:rsidR="00833AFC" w:rsidRPr="009864D8" w14:paraId="0E54E878" w14:textId="77777777" w:rsidTr="007D1317">
        <w:tc>
          <w:tcPr>
            <w:tcW w:w="1821" w:type="dxa"/>
            <w:tcBorders>
              <w:top w:val="single" w:sz="4" w:space="0" w:color="FFFFFF" w:themeColor="background1"/>
              <w:bottom w:val="single" w:sz="4" w:space="0" w:color="FFFFFF" w:themeColor="background1"/>
            </w:tcBorders>
            <w:shd w:val="clear" w:color="auto" w:fill="002060"/>
          </w:tcPr>
          <w:p w14:paraId="691EC493" w14:textId="4F6A4802" w:rsidR="00833AFC" w:rsidRPr="00833AFC" w:rsidRDefault="00833AFC" w:rsidP="00833AFC">
            <w:pPr>
              <w:pStyle w:val="APRANORMAL"/>
              <w:rPr>
                <w:b/>
                <w:color w:val="FFFFFF" w:themeColor="background1"/>
                <w:sz w:val="20"/>
                <w:szCs w:val="20"/>
              </w:rPr>
            </w:pPr>
            <w:r>
              <w:rPr>
                <w:b/>
                <w:color w:val="FFFFFF" w:themeColor="background1"/>
                <w:sz w:val="20"/>
                <w:szCs w:val="20"/>
              </w:rPr>
              <w:t>Overall</w:t>
            </w:r>
          </w:p>
        </w:tc>
        <w:tc>
          <w:tcPr>
            <w:tcW w:w="1899" w:type="dxa"/>
            <w:tcBorders>
              <w:top w:val="single" w:sz="4" w:space="0" w:color="FFFFFF" w:themeColor="background1"/>
              <w:bottom w:val="single" w:sz="4" w:space="0" w:color="FFFFFF" w:themeColor="background1"/>
            </w:tcBorders>
            <w:shd w:val="clear" w:color="auto" w:fill="F2F2F2" w:themeFill="background1" w:themeFillShade="F2"/>
          </w:tcPr>
          <w:p w14:paraId="5C681C22" w14:textId="6488F1D0" w:rsidR="00833AFC" w:rsidRPr="009864D8" w:rsidRDefault="007D1317" w:rsidP="00125536">
            <w:pPr>
              <w:pStyle w:val="APRANORMAL"/>
              <w:rPr>
                <w:sz w:val="20"/>
                <w:szCs w:val="20"/>
              </w:rPr>
            </w:pPr>
            <w:r>
              <w:rPr>
                <w:sz w:val="20"/>
                <w:szCs w:val="20"/>
              </w:rPr>
              <w:t>High net cost</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210C314D" w14:textId="3FD2F939" w:rsidR="00833AFC" w:rsidRPr="009864D8" w:rsidRDefault="00150261" w:rsidP="00150261">
            <w:pPr>
              <w:pStyle w:val="APRANORMAL"/>
              <w:rPr>
                <w:sz w:val="20"/>
                <w:szCs w:val="20"/>
              </w:rPr>
            </w:pPr>
            <w:r>
              <w:rPr>
                <w:sz w:val="20"/>
                <w:szCs w:val="20"/>
              </w:rPr>
              <w:t xml:space="preserve">Moderate to </w:t>
            </w:r>
            <w:r w:rsidR="007D1317">
              <w:rPr>
                <w:sz w:val="20"/>
                <w:szCs w:val="20"/>
              </w:rPr>
              <w:t>high net cost</w:t>
            </w:r>
          </w:p>
        </w:tc>
        <w:tc>
          <w:tcPr>
            <w:tcW w:w="1900" w:type="dxa"/>
            <w:tcBorders>
              <w:top w:val="single" w:sz="4" w:space="0" w:color="FFFFFF" w:themeColor="background1"/>
              <w:bottom w:val="single" w:sz="4" w:space="0" w:color="FFFFFF" w:themeColor="background1"/>
            </w:tcBorders>
            <w:shd w:val="clear" w:color="auto" w:fill="F2F2F2" w:themeFill="background1" w:themeFillShade="F2"/>
          </w:tcPr>
          <w:p w14:paraId="6BCC0E7E" w14:textId="1B322CAA" w:rsidR="00833AFC" w:rsidRPr="009864D8" w:rsidRDefault="007D1317" w:rsidP="00150261">
            <w:pPr>
              <w:pStyle w:val="APRANORMAL"/>
              <w:rPr>
                <w:sz w:val="20"/>
                <w:szCs w:val="20"/>
              </w:rPr>
            </w:pPr>
            <w:r>
              <w:rPr>
                <w:sz w:val="20"/>
                <w:szCs w:val="20"/>
              </w:rPr>
              <w:t>M</w:t>
            </w:r>
            <w:r w:rsidR="002D49BC">
              <w:rPr>
                <w:sz w:val="20"/>
                <w:szCs w:val="20"/>
              </w:rPr>
              <w:t xml:space="preserve">oderate </w:t>
            </w:r>
            <w:r w:rsidR="009210C2">
              <w:rPr>
                <w:sz w:val="20"/>
                <w:szCs w:val="20"/>
              </w:rPr>
              <w:t xml:space="preserve">to high </w:t>
            </w:r>
            <w:r w:rsidR="00150261">
              <w:rPr>
                <w:sz w:val="20"/>
                <w:szCs w:val="20"/>
              </w:rPr>
              <w:t xml:space="preserve">net </w:t>
            </w:r>
            <w:r>
              <w:rPr>
                <w:sz w:val="20"/>
                <w:szCs w:val="20"/>
              </w:rPr>
              <w:t>cost</w:t>
            </w:r>
          </w:p>
        </w:tc>
      </w:tr>
    </w:tbl>
    <w:p w14:paraId="44FD2AD8" w14:textId="77777777" w:rsidR="00351CC9" w:rsidRDefault="00351CC9" w:rsidP="00DF4304">
      <w:pPr>
        <w:pStyle w:val="APRANORMAL"/>
      </w:pPr>
    </w:p>
    <w:p w14:paraId="1F611B9F" w14:textId="528AE982" w:rsidR="005F11E2" w:rsidRDefault="00CC7D20" w:rsidP="00CD1E5F">
      <w:pPr>
        <w:pStyle w:val="APRANORMAL"/>
      </w:pPr>
      <w:r w:rsidRPr="00CD1E5F">
        <w:t>.</w:t>
      </w:r>
      <w:r w:rsidR="0058726F">
        <w:br w:type="page"/>
      </w:r>
    </w:p>
    <w:p w14:paraId="186AB393" w14:textId="77777777" w:rsidR="0058726F" w:rsidRDefault="0058726F">
      <w:pPr>
        <w:spacing w:after="120" w:line="288" w:lineRule="auto"/>
        <w:rPr>
          <w:rFonts w:ascii="DIN Offc Light" w:hAnsi="DIN Offc Light"/>
          <w:lang w:val="en-GB"/>
        </w:rPr>
      </w:pPr>
    </w:p>
    <w:p w14:paraId="5077C4BA" w14:textId="77777777" w:rsidR="005F6AE8" w:rsidRPr="005F6AE8" w:rsidRDefault="00B8477A" w:rsidP="000C34C0">
      <w:pPr>
        <w:pStyle w:val="APRANORMAL"/>
      </w:pPr>
      <w:r>
        <w:rPr>
          <w:noProof/>
          <w:lang w:val="en-AU" w:eastAsia="en-AU"/>
        </w:rPr>
        <w:drawing>
          <wp:anchor distT="0" distB="0" distL="114300" distR="114300" simplePos="0" relativeHeight="251658242" behindDoc="0" locked="0" layoutInCell="1" allowOverlap="1" wp14:anchorId="34808D49" wp14:editId="42B905AE">
            <wp:simplePos x="0" y="0"/>
            <wp:positionH relativeFrom="column">
              <wp:posOffset>970915</wp:posOffset>
            </wp:positionH>
            <wp:positionV relativeFrom="paragraph">
              <wp:posOffset>3581400</wp:posOffset>
            </wp:positionV>
            <wp:extent cx="3625165"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A_logo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5165" cy="11049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1" behindDoc="0" locked="0" layoutInCell="1" allowOverlap="1" wp14:anchorId="0747E3BB" wp14:editId="6BF843E3">
                <wp:simplePos x="0" y="0"/>
                <wp:positionH relativeFrom="column">
                  <wp:posOffset>-971550</wp:posOffset>
                </wp:positionH>
                <wp:positionV relativeFrom="paragraph">
                  <wp:posOffset>-1171575</wp:posOffset>
                </wp:positionV>
                <wp:extent cx="7886700" cy="11106150"/>
                <wp:effectExtent l="0" t="0" r="0" b="0"/>
                <wp:wrapNone/>
                <wp:docPr id="9" name="Rectangle 9"/>
                <wp:cNvGraphicFramePr/>
                <a:graphic xmlns:a="http://schemas.openxmlformats.org/drawingml/2006/main">
                  <a:graphicData uri="http://schemas.microsoft.com/office/word/2010/wordprocessingShape">
                    <wps:wsp>
                      <wps:cNvSpPr/>
                      <wps:spPr>
                        <a:xfrm>
                          <a:off x="0" y="0"/>
                          <a:ext cx="7886700" cy="111061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D247" id="Rectangle 9" o:spid="_x0000_s1026" style="position:absolute;margin-left:-76.5pt;margin-top:-92.25pt;width:621pt;height:8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" fillcolor="#002060" stroked="f" strokeweight="2pt"/>
            </w:pict>
          </mc:Fallback>
        </mc:AlternateContent>
      </w:r>
      <w:r w:rsidR="00F751CD">
        <w:rPr>
          <w:noProof/>
          <w:lang w:val="en-AU" w:eastAsia="en-AU"/>
        </w:rPr>
        <w:drawing>
          <wp:inline distT="0" distB="0" distL="0" distR="0" wp14:anchorId="06983408" wp14:editId="1810B867">
            <wp:extent cx="436245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A_logo_White.gif"/>
                    <pic:cNvPicPr/>
                  </pic:nvPicPr>
                  <pic:blipFill>
                    <a:blip r:embed="rId20">
                      <a:extLst>
                        <a:ext uri="{28A0092B-C50C-407E-A947-70E740481C1C}">
                          <a14:useLocalDpi xmlns:a14="http://schemas.microsoft.com/office/drawing/2010/main" val="0"/>
                        </a:ext>
                      </a:extLst>
                    </a:blip>
                    <a:stretch>
                      <a:fillRect/>
                    </a:stretch>
                  </pic:blipFill>
                  <pic:spPr>
                    <a:xfrm>
                      <a:off x="0" y="0"/>
                      <a:ext cx="4362450" cy="1333500"/>
                    </a:xfrm>
                    <a:prstGeom prst="rect">
                      <a:avLst/>
                    </a:prstGeom>
                  </pic:spPr>
                </pic:pic>
              </a:graphicData>
            </a:graphic>
          </wp:inline>
        </w:drawing>
      </w:r>
    </w:p>
    <w:sectPr w:rsidR="005F6AE8" w:rsidRPr="005F6AE8" w:rsidSect="008511E7">
      <w:headerReference w:type="even" r:id="rId21"/>
      <w:footerReference w:type="default" r:id="rId22"/>
      <w:headerReference w:type="first" r:id="rId23"/>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30E70" w14:textId="77777777" w:rsidR="00BC22A0" w:rsidRDefault="00BC22A0" w:rsidP="007A463E">
      <w:pPr>
        <w:spacing w:after="0"/>
      </w:pPr>
      <w:r>
        <w:separator/>
      </w:r>
    </w:p>
    <w:p w14:paraId="51BDCFFA" w14:textId="77777777" w:rsidR="00BC22A0" w:rsidRDefault="00BC22A0"/>
    <w:p w14:paraId="79E09C3C" w14:textId="77777777" w:rsidR="00BC22A0" w:rsidRDefault="00BC22A0"/>
    <w:p w14:paraId="38D691A6" w14:textId="77777777" w:rsidR="00BC22A0" w:rsidRDefault="00BC22A0"/>
    <w:p w14:paraId="1A9E5DDB" w14:textId="77777777" w:rsidR="00BC22A0" w:rsidRDefault="00BC22A0"/>
  </w:endnote>
  <w:endnote w:type="continuationSeparator" w:id="0">
    <w:p w14:paraId="71D98F7B" w14:textId="77777777" w:rsidR="00BC22A0" w:rsidRDefault="00BC22A0" w:rsidP="007A463E">
      <w:pPr>
        <w:spacing w:after="0"/>
      </w:pPr>
      <w:r>
        <w:continuationSeparator/>
      </w:r>
    </w:p>
    <w:p w14:paraId="42624E2E" w14:textId="77777777" w:rsidR="00BC22A0" w:rsidRDefault="00BC22A0"/>
    <w:p w14:paraId="505E1526" w14:textId="77777777" w:rsidR="00BC22A0" w:rsidRDefault="00BC22A0"/>
    <w:p w14:paraId="445E35DC" w14:textId="77777777" w:rsidR="00BC22A0" w:rsidRDefault="00BC22A0"/>
    <w:p w14:paraId="6D4517B4" w14:textId="77777777" w:rsidR="00BC22A0" w:rsidRDefault="00BC22A0"/>
  </w:endnote>
  <w:endnote w:type="continuationNotice" w:id="1">
    <w:p w14:paraId="7CC0A2DD" w14:textId="77777777" w:rsidR="00BC22A0" w:rsidRDefault="00BC22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ffc Light">
    <w:altName w:val="Segoe Script"/>
    <w:charset w:val="00"/>
    <w:family w:val="swiss"/>
    <w:pitch w:val="variable"/>
    <w:sig w:usb0="00000003" w:usb1="4000A47B" w:usb2="00000000" w:usb3="00000000" w:csb0="00000001" w:csb1="00000000"/>
  </w:font>
  <w:font w:name="DIN OT Medium">
    <w:panose1 w:val="020B0604020201010104"/>
    <w:charset w:val="00"/>
    <w:family w:val="swiss"/>
    <w:pitch w:val="variable"/>
    <w:sig w:usb0="800000EF" w:usb1="4000A47B" w:usb2="00000000" w:usb3="00000000" w:csb0="00000001" w:csb1="00000000"/>
  </w:font>
  <w:font w:name="DIN OT Light">
    <w:panose1 w:val="020B0504020201010104"/>
    <w:charset w:val="00"/>
    <w:family w:val="swiss"/>
    <w:pitch w:val="variable"/>
    <w:sig w:usb0="800000EF" w:usb1="4000A47B"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DIN Offc">
    <w:altName w:val="Segoe Script"/>
    <w:charset w:val="00"/>
    <w:family w:val="swiss"/>
    <w:pitch w:val="variable"/>
    <w:sig w:usb0="00000003" w:usb1="4000A47B" w:usb2="00000000" w:usb3="00000000" w:csb0="00000001" w:csb1="00000000"/>
  </w:font>
  <w:font w:name="DIN Offc Medium">
    <w:altName w:val="Arial"/>
    <w:charset w:val="00"/>
    <w:family w:val="swiss"/>
    <w:pitch w:val="variable"/>
    <w:sig w:usb0="00000003" w:usb1="4000A47B" w:usb2="00000000" w:usb3="00000000" w:csb0="00000001" w:csb1="00000000"/>
  </w:font>
  <w:font w:name="Calibri">
    <w:panose1 w:val="020F0502020204030204"/>
    <w:charset w:val="00"/>
    <w:family w:val="swiss"/>
    <w:pitch w:val="variable"/>
    <w:sig w:usb0="E4002EFF" w:usb1="C000247B" w:usb2="00000009" w:usb3="00000000" w:csb0="000001FF" w:csb1="00000000"/>
  </w:font>
  <w:font w:name="DIN OT">
    <w:panose1 w:val="020B0504020201010104"/>
    <w:charset w:val="00"/>
    <w:family w:val="swiss"/>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5B7F" w14:textId="77777777" w:rsidR="00BC22A0" w:rsidRPr="00B57475" w:rsidRDefault="00BC22A0" w:rsidP="005D1D3A">
    <w:pPr>
      <w:pStyle w:val="Footer"/>
    </w:pPr>
    <w:r>
      <w:rPr>
        <w:rFonts w:ascii="DIN Offc Medium" w:hAnsi="DIN Offc Medium"/>
        <w:noProof/>
        <w:color w:val="00B0F0"/>
        <w:sz w:val="24"/>
        <w:szCs w:val="24"/>
        <w:lang w:eastAsia="en-AU"/>
      </w:rPr>
      <mc:AlternateContent>
        <mc:Choice Requires="wps">
          <w:drawing>
            <wp:anchor distT="0" distB="0" distL="114300" distR="114300" simplePos="0" relativeHeight="251658752" behindDoc="0" locked="0" layoutInCell="1" allowOverlap="1" wp14:anchorId="5F1F5457" wp14:editId="4FF36799">
              <wp:simplePos x="0" y="0"/>
              <wp:positionH relativeFrom="column">
                <wp:posOffset>-9525</wp:posOffset>
              </wp:positionH>
              <wp:positionV relativeFrom="paragraph">
                <wp:posOffset>288290</wp:posOffset>
              </wp:positionV>
              <wp:extent cx="2733675" cy="213447"/>
              <wp:effectExtent l="0" t="0" r="9525" b="0"/>
              <wp:wrapNone/>
              <wp:docPr id="6" name="Rectangle 6"/>
              <wp:cNvGraphicFramePr/>
              <a:graphic xmlns:a="http://schemas.openxmlformats.org/drawingml/2006/main">
                <a:graphicData uri="http://schemas.microsoft.com/office/word/2010/wordprocessingShape">
                  <wps:wsp>
                    <wps:cNvSpPr/>
                    <wps:spPr>
                      <a:xfrm>
                        <a:off x="0" y="0"/>
                        <a:ext cx="2733675" cy="21344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5A37B" id="Rectangle 6" o:spid="_x0000_s1026" style="position:absolute;margin-left:-.75pt;margin-top:22.7pt;width:215.25pt;height:1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" fillcolor="#002060" stroked="f" strokeweight="2pt"/>
          </w:pict>
        </mc:Fallback>
      </mc:AlternateContent>
    </w:r>
    <w:r>
      <w:rPr>
        <w:noProof/>
        <w:spacing w:val="10"/>
        <w:sz w:val="16"/>
        <w:szCs w:val="16"/>
        <w:lang w:eastAsia="en-AU"/>
      </w:rPr>
      <mc:AlternateContent>
        <mc:Choice Requires="wps">
          <w:drawing>
            <wp:anchor distT="0" distB="0" distL="114300" distR="114300" simplePos="0" relativeHeight="251657728" behindDoc="0" locked="0" layoutInCell="1" allowOverlap="1" wp14:anchorId="47DA28D5" wp14:editId="175D3B76">
              <wp:simplePos x="0" y="0"/>
              <wp:positionH relativeFrom="column">
                <wp:posOffset>-971550</wp:posOffset>
              </wp:positionH>
              <wp:positionV relativeFrom="paragraph">
                <wp:posOffset>283210</wp:posOffset>
              </wp:positionV>
              <wp:extent cx="7677150" cy="276225"/>
              <wp:effectExtent l="0" t="0" r="0" b="9525"/>
              <wp:wrapNone/>
              <wp:docPr id="5" name="Rectangle 5"/>
              <wp:cNvGraphicFramePr/>
              <a:graphic xmlns:a="http://schemas.openxmlformats.org/drawingml/2006/main">
                <a:graphicData uri="http://schemas.microsoft.com/office/word/2010/wordprocessingShape">
                  <wps:wsp>
                    <wps:cNvSpPr/>
                    <wps:spPr>
                      <a:xfrm>
                        <a:off x="0" y="0"/>
                        <a:ext cx="7677150" cy="2762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DA7BB" id="Rectangle 5" o:spid="_x0000_s1026" style="position:absolute;margin-left:-76.5pt;margin-top:22.3pt;width:604.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" fillcolor="#00b0f0" stroked="f" strokeweight="2pt"/>
          </w:pict>
        </mc:Fallback>
      </mc:AlternateContent>
    </w:r>
    <w:sdt>
      <w:sdtPr>
        <w:id w:val="1960831827"/>
        <w:docPartObj>
          <w:docPartGallery w:val="Page Numbers (Bottom of Page)"/>
          <w:docPartUnique/>
        </w:docPartObj>
      </w:sdtPr>
      <w:sdtEndPr/>
      <w:sdtContent>
        <w:sdt>
          <w:sdtPr>
            <w:id w:val="922769774"/>
            <w:docPartObj>
              <w:docPartGallery w:val="Page Numbers (Top of Page)"/>
              <w:docPartUnique/>
            </w:docPartObj>
          </w:sdtPr>
          <w:sdtEndPr/>
          <w:sdtContent>
            <w:r w:rsidRPr="00B57475">
              <w:rPr>
                <w:spacing w:val="10"/>
                <w:sz w:val="16"/>
                <w:szCs w:val="16"/>
              </w:rPr>
              <w:t>AUSTRALIAN PRUDENTIAL REGULATION AUTHORITY</w:t>
            </w:r>
            <w:r w:rsidRPr="00B57475">
              <w:t xml:space="preserve"> </w:t>
            </w:r>
            <w:r w:rsidRPr="00B57475">
              <w:tab/>
            </w:r>
            <w:r w:rsidRPr="00B57475">
              <w:tab/>
            </w:r>
            <w:r w:rsidRPr="00B57475">
              <w:rPr>
                <w:bCs/>
                <w:szCs w:val="18"/>
              </w:rPr>
              <w:fldChar w:fldCharType="begin"/>
            </w:r>
            <w:r w:rsidRPr="00B57475">
              <w:rPr>
                <w:bCs/>
                <w:szCs w:val="18"/>
              </w:rPr>
              <w:instrText xml:space="preserve"> PAGE </w:instrText>
            </w:r>
            <w:r w:rsidRPr="00B57475">
              <w:rPr>
                <w:bCs/>
                <w:szCs w:val="18"/>
              </w:rPr>
              <w:fldChar w:fldCharType="separate"/>
            </w:r>
            <w:r w:rsidR="00DB26B3">
              <w:rPr>
                <w:bCs/>
                <w:noProof/>
                <w:szCs w:val="18"/>
              </w:rPr>
              <w:t>2</w:t>
            </w:r>
            <w:r w:rsidRPr="00B57475">
              <w:rPr>
                <w:bCs/>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36F9A" w14:textId="77777777" w:rsidR="00BC22A0" w:rsidRPr="000C34C0" w:rsidRDefault="00BC22A0" w:rsidP="000C34C0">
      <w:pPr>
        <w:pStyle w:val="Footer"/>
      </w:pPr>
    </w:p>
  </w:footnote>
  <w:footnote w:type="continuationSeparator" w:id="0">
    <w:p w14:paraId="587332F7" w14:textId="77777777" w:rsidR="00BC22A0" w:rsidRDefault="00BC22A0" w:rsidP="007A463E">
      <w:pPr>
        <w:spacing w:after="0"/>
      </w:pPr>
      <w:r>
        <w:continuationSeparator/>
      </w:r>
    </w:p>
    <w:p w14:paraId="56771C2C" w14:textId="77777777" w:rsidR="00BC22A0" w:rsidRDefault="00BC22A0"/>
    <w:p w14:paraId="3280BA26" w14:textId="77777777" w:rsidR="00BC22A0" w:rsidRDefault="00BC22A0"/>
    <w:p w14:paraId="0F720871" w14:textId="77777777" w:rsidR="00BC22A0" w:rsidRDefault="00BC22A0"/>
    <w:p w14:paraId="24BA9937" w14:textId="77777777" w:rsidR="00BC22A0" w:rsidRDefault="00BC22A0"/>
  </w:footnote>
  <w:footnote w:type="continuationNotice" w:id="1">
    <w:p w14:paraId="68450D47" w14:textId="77777777" w:rsidR="00BC22A0" w:rsidRDefault="00BC22A0">
      <w:pPr>
        <w:spacing w:after="0"/>
      </w:pPr>
    </w:p>
  </w:footnote>
  <w:footnote w:id="2">
    <w:p w14:paraId="3742A5A5" w14:textId="60D759CD" w:rsidR="00BC22A0" w:rsidRDefault="00BC22A0">
      <w:pPr>
        <w:pStyle w:val="FootnoteText"/>
      </w:pPr>
      <w:r>
        <w:rPr>
          <w:rStyle w:val="FootnoteReference"/>
        </w:rPr>
        <w:footnoteRef/>
      </w:r>
      <w:r>
        <w:t xml:space="preserve"> </w:t>
      </w:r>
      <w:r w:rsidRPr="0031674D">
        <w:t>A copy of the discussion paper and draft APS 220 can be found on the APRA website</w:t>
      </w:r>
      <w:r>
        <w:t>.</w:t>
      </w:r>
    </w:p>
  </w:footnote>
  <w:footnote w:id="3">
    <w:p w14:paraId="4C79C2EA" w14:textId="7E9AF5C9" w:rsidR="00BC22A0" w:rsidRDefault="00BC22A0">
      <w:pPr>
        <w:pStyle w:val="FootnoteText"/>
      </w:pPr>
      <w:r>
        <w:rPr>
          <w:rStyle w:val="FootnoteReference"/>
        </w:rPr>
        <w:footnoteRef/>
      </w:r>
      <w:r>
        <w:t xml:space="preserve"> </w:t>
      </w:r>
      <w:r w:rsidRPr="00B740C5">
        <w:t>APRA Letter: Reinforcing sound residential mortgage lending practices, 9 December 2014;</w:t>
      </w:r>
      <w:r>
        <w:t xml:space="preserve"> </w:t>
      </w:r>
      <w:r w:rsidRPr="002977E4">
        <w:t>APRA Letter: Commercial property lending - thematic review considerations, 7 March 2017</w:t>
      </w:r>
      <w:r>
        <w:t xml:space="preserve">; </w:t>
      </w:r>
      <w:r w:rsidRPr="00B740C5">
        <w:t xml:space="preserve">APRA Letter: Further measures to reinforce sound residential mortgage lending practices, 31 March 2017; </w:t>
      </w:r>
      <w:r>
        <w:t xml:space="preserve">and </w:t>
      </w:r>
      <w:r w:rsidRPr="00B740C5">
        <w:t>APRA Letter: Embedding sound residential mortgage lending practices, 26 April 2018</w:t>
      </w:r>
      <w:r>
        <w:t xml:space="preserve">. </w:t>
      </w:r>
    </w:p>
  </w:footnote>
  <w:footnote w:id="4">
    <w:p w14:paraId="5A5EC0F8" w14:textId="3DA71F81" w:rsidR="00BC22A0" w:rsidRDefault="00BC22A0">
      <w:pPr>
        <w:pStyle w:val="FootnoteText"/>
      </w:pPr>
      <w:r>
        <w:rPr>
          <w:rStyle w:val="FootnoteReference"/>
        </w:rPr>
        <w:footnoteRef/>
      </w:r>
      <w:r>
        <w:t xml:space="preserve"> </w:t>
      </w:r>
      <w:r w:rsidRPr="00E1558C">
        <w:t>AASB 9 Financial Instruments (AASB 9) applies for reporting periods beginning on or after 1 January 2018 and replaced AASB 139 Financial Instruments: Recognition and Measurement (AASB 139).</w:t>
      </w:r>
    </w:p>
  </w:footnote>
  <w:footnote w:id="5">
    <w:p w14:paraId="02F8603D" w14:textId="23CA9F66" w:rsidR="00BC22A0" w:rsidRDefault="00BC22A0">
      <w:pPr>
        <w:pStyle w:val="FootnoteText"/>
      </w:pPr>
      <w:r>
        <w:rPr>
          <w:rStyle w:val="FootnoteReference"/>
        </w:rPr>
        <w:footnoteRef/>
      </w:r>
      <w:r>
        <w:t xml:space="preserve"> </w:t>
      </w:r>
      <w:r w:rsidRPr="00E1558C">
        <w:t>The Basel Committee guidance on credit risk and accounting for expected credit losses, December 2015</w:t>
      </w:r>
      <w:r>
        <w:t>;</w:t>
      </w:r>
      <w:r w:rsidRPr="00E1558C">
        <w:t xml:space="preserve"> and the Basel Committee guidance on the prudential treatment of problem assets - definitions of non-performing exposures and forbearance, April 2017</w:t>
      </w:r>
      <w:r>
        <w:t>.</w:t>
      </w:r>
      <w:r w:rsidRPr="00E1558C">
        <w:t xml:space="preserve"> </w:t>
      </w:r>
    </w:p>
  </w:footnote>
  <w:footnote w:id="6">
    <w:p w14:paraId="62491524" w14:textId="67F8224F" w:rsidR="00BC22A0" w:rsidRDefault="00BC22A0">
      <w:pPr>
        <w:pStyle w:val="FootnoteText"/>
      </w:pPr>
      <w:r>
        <w:rPr>
          <w:rStyle w:val="FootnoteReference"/>
        </w:rPr>
        <w:footnoteRef/>
      </w:r>
      <w:r>
        <w:t xml:space="preserve"> </w:t>
      </w:r>
      <w:r w:rsidRPr="00E1558C">
        <w:rPr>
          <w:szCs w:val="18"/>
        </w:rPr>
        <w:t>Recommendation 1.12 - Valuations of land, The Final Report of the Royal Commission into Misconduct in the Banking, Superannuation and Financial Services Industry</w:t>
      </w:r>
      <w:r>
        <w:rPr>
          <w:szCs w:val="18"/>
        </w:rPr>
        <w:t>.</w:t>
      </w:r>
    </w:p>
  </w:footnote>
  <w:footnote w:id="7">
    <w:p w14:paraId="161DBD3E" w14:textId="77777777" w:rsidR="00BC22A0" w:rsidRDefault="00BC22A0" w:rsidP="00DE55C7">
      <w:pPr>
        <w:pStyle w:val="FootnoteText"/>
      </w:pPr>
      <w:r>
        <w:rPr>
          <w:rStyle w:val="FootnoteReference"/>
        </w:rPr>
        <w:footnoteRef/>
      </w:r>
      <w:r>
        <w:t xml:space="preserve"> </w:t>
      </w:r>
      <w:r w:rsidRPr="00653389">
        <w:t>This tool calculates the compliance costs of regulatory proposals on business, individuals and community organisations using an activity-based costing methodology</w:t>
      </w:r>
      <w:r>
        <w:t>.</w:t>
      </w:r>
      <w:r w:rsidRPr="00653389">
        <w:t xml:space="preserve"> </w:t>
      </w:r>
      <w:r w:rsidRPr="009F6777">
        <w:t>T</w:t>
      </w:r>
      <w:r>
        <w:t>he</w:t>
      </w:r>
      <w:r w:rsidRPr="009F6777">
        <w:t xml:space="preserve"> tool is designed to capture the relevant costs in a structured way, including a separate assessment of upfront costs and ongoing costs.</w:t>
      </w:r>
      <w:r>
        <w:t xml:space="preserve"> </w:t>
      </w:r>
      <w:r w:rsidRPr="009F6777">
        <w:t xml:space="preserve">It is available at: </w:t>
      </w:r>
      <w:hyperlink r:id="rId1" w:history="1">
        <w:r w:rsidRPr="00A33C2C">
          <w:rPr>
            <w:rStyle w:val="Hyperlink"/>
            <w:rFonts w:ascii="DIN OT" w:hAnsi="DIN OT"/>
            <w:sz w:val="16"/>
          </w:rPr>
          <w:t>https://rbm.obpr.gov.au/home.aspx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9B61" w14:textId="77777777" w:rsidR="00BC22A0" w:rsidRDefault="004B580C">
    <w:pPr>
      <w:pStyle w:val="Header"/>
    </w:pPr>
    <w:r>
      <w:rPr>
        <w:noProof/>
        <w:lang w:eastAsia="en-AU"/>
      </w:rPr>
      <w:pict w14:anchorId="4DC2B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97016" o:spid="_x0000_s2078" type="#_x0000_t75" style="position:absolute;margin-left:0;margin-top:0;width:595.45pt;height:841.9pt;z-index:-251658237;mso-position-horizontal:center;mso-position-horizontal-relative:margin;mso-position-vertical:center;mso-position-vertical-relative:margin" o:allowincell="f">
          <v:imagedata r:id="rId1" o:title="Response-cover-2016"/>
          <w10:wrap anchorx="margin" anchory="margin"/>
        </v:shape>
      </w:pict>
    </w:r>
  </w:p>
  <w:p w14:paraId="75B79CBF" w14:textId="77777777" w:rsidR="00BC22A0" w:rsidRDefault="00BC22A0"/>
  <w:p w14:paraId="20054D17" w14:textId="77777777" w:rsidR="00BC22A0" w:rsidRDefault="00BC22A0"/>
  <w:p w14:paraId="066B2F05" w14:textId="77777777" w:rsidR="00BC22A0" w:rsidRDefault="00BC22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5E54C" w14:textId="77777777" w:rsidR="00BC22A0" w:rsidRDefault="004B580C" w:rsidP="001D3B1C">
    <w:pPr>
      <w:pStyle w:val="Header"/>
      <w:jc w:val="right"/>
    </w:pPr>
    <w:r>
      <w:rPr>
        <w:noProof/>
        <w:lang w:eastAsia="en-AU"/>
      </w:rPr>
      <w:pict w14:anchorId="193A5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97015" o:spid="_x0000_s2077" type="#_x0000_t75" style="position:absolute;left:0;text-align:left;margin-left:0;margin-top:0;width:595.45pt;height:841.9pt;z-index:-251658238;mso-position-horizontal:center;mso-position-horizontal-relative:margin;mso-position-vertical:center;mso-position-vertical-relative:margin" o:allowincell="f">
          <v:imagedata r:id="rId1" o:title="Response-cover-20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5692F6"/>
    <w:lvl w:ilvl="0">
      <w:start w:val="1"/>
      <w:numFmt w:val="lowerLetter"/>
      <w:pStyle w:val="ListNumber5"/>
      <w:lvlText w:val="%1."/>
      <w:lvlJc w:val="left"/>
      <w:pPr>
        <w:ind w:left="1492" w:hanging="360"/>
      </w:pPr>
    </w:lvl>
  </w:abstractNum>
  <w:abstractNum w:abstractNumId="1" w15:restartNumberingAfterBreak="0">
    <w:nsid w:val="FFFFFF7D"/>
    <w:multiLevelType w:val="singleLevel"/>
    <w:tmpl w:val="E4901F6C"/>
    <w:lvl w:ilvl="0">
      <w:start w:val="1"/>
      <w:numFmt w:val="lowerRoman"/>
      <w:pStyle w:val="ListNumber4"/>
      <w:lvlText w:val="%1."/>
      <w:lvlJc w:val="right"/>
      <w:pPr>
        <w:ind w:left="1209" w:hanging="360"/>
      </w:pPr>
    </w:lvl>
  </w:abstractNum>
  <w:abstractNum w:abstractNumId="2" w15:restartNumberingAfterBreak="0">
    <w:nsid w:val="FFFFFF7E"/>
    <w:multiLevelType w:val="singleLevel"/>
    <w:tmpl w:val="695077F8"/>
    <w:lvl w:ilvl="0">
      <w:start w:val="1"/>
      <w:numFmt w:val="decimal"/>
      <w:pStyle w:val="ListNumber3"/>
      <w:lvlText w:val="%1.1.1"/>
      <w:lvlJc w:val="left"/>
      <w:pPr>
        <w:ind w:left="926" w:hanging="360"/>
      </w:pPr>
      <w:rPr>
        <w:rFonts w:ascii="Trebuchet MS" w:hAnsi="Trebuchet MS" w:hint="default"/>
      </w:rPr>
    </w:lvl>
  </w:abstractNum>
  <w:abstractNum w:abstractNumId="3" w15:restartNumberingAfterBreak="0">
    <w:nsid w:val="FFFFFF7F"/>
    <w:multiLevelType w:val="singleLevel"/>
    <w:tmpl w:val="297E4934"/>
    <w:lvl w:ilvl="0">
      <w:start w:val="1"/>
      <w:numFmt w:val="decimal"/>
      <w:pStyle w:val="ListNumber2"/>
      <w:lvlText w:val="%1.1"/>
      <w:lvlJc w:val="left"/>
      <w:pPr>
        <w:ind w:left="643" w:hanging="360"/>
      </w:pPr>
      <w:rPr>
        <w:rFonts w:ascii="Trebuchet MS" w:hAnsi="Trebuchet MS" w:hint="default"/>
      </w:rPr>
    </w:lvl>
  </w:abstractNum>
  <w:abstractNum w:abstractNumId="4" w15:restartNumberingAfterBreak="0">
    <w:nsid w:val="FFFFFF80"/>
    <w:multiLevelType w:val="singleLevel"/>
    <w:tmpl w:val="A07AE4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D8A4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4887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BAE3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multilevel"/>
    <w:tmpl w:val="1AB4E9FC"/>
    <w:lvl w:ilvl="0">
      <w:start w:val="1"/>
      <w:numFmt w:val="decimal"/>
      <w:pStyle w:val="ListNumber"/>
      <w:lvlText w:val="%1."/>
      <w:lvlJc w:val="left"/>
      <w:pPr>
        <w:tabs>
          <w:tab w:val="num" w:pos="360"/>
        </w:tabs>
        <w:ind w:left="36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781" w:hanging="1800"/>
      </w:pPr>
      <w:rPr>
        <w:rFonts w:hint="default"/>
      </w:rPr>
    </w:lvl>
    <w:lvl w:ilvl="8">
      <w:start w:val="1"/>
      <w:numFmt w:val="decimal"/>
      <w:isLgl/>
      <w:lvlText w:val="%1.%2.%3.%4.%5.%6.%7.%8.%9"/>
      <w:lvlJc w:val="left"/>
      <w:pPr>
        <w:ind w:left="4064" w:hanging="1800"/>
      </w:pPr>
      <w:rPr>
        <w:rFonts w:hint="default"/>
      </w:rPr>
    </w:lvl>
  </w:abstractNum>
  <w:abstractNum w:abstractNumId="9" w15:restartNumberingAfterBreak="0">
    <w:nsid w:val="FFFFFF89"/>
    <w:multiLevelType w:val="singleLevel"/>
    <w:tmpl w:val="0C09000F"/>
    <w:lvl w:ilvl="0">
      <w:start w:val="1"/>
      <w:numFmt w:val="decimal"/>
      <w:lvlText w:val="%1."/>
      <w:lvlJc w:val="left"/>
      <w:pPr>
        <w:ind w:left="360" w:hanging="360"/>
      </w:pPr>
      <w:rPr>
        <w:rFonts w:hint="default"/>
      </w:rPr>
    </w:lvl>
  </w:abstractNum>
  <w:abstractNum w:abstractNumId="10" w15:restartNumberingAfterBreak="0">
    <w:nsid w:val="147803E8"/>
    <w:multiLevelType w:val="multilevel"/>
    <w:tmpl w:val="0C09001F"/>
    <w:numStyleLink w:val="111111"/>
  </w:abstractNum>
  <w:abstractNum w:abstractNumId="11" w15:restartNumberingAfterBreak="0">
    <w:nsid w:val="1E1409B1"/>
    <w:multiLevelType w:val="multilevel"/>
    <w:tmpl w:val="0C09001F"/>
    <w:numStyleLink w:val="111111"/>
  </w:abstractNum>
  <w:abstractNum w:abstractNumId="12" w15:restartNumberingAfterBreak="0">
    <w:nsid w:val="255444F2"/>
    <w:multiLevelType w:val="multilevel"/>
    <w:tmpl w:val="0C09001F"/>
    <w:styleLink w:val="111111"/>
    <w:lvl w:ilvl="0">
      <w:start w:val="1"/>
      <w:numFmt w:val="decimal"/>
      <w:pStyle w:val="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797A5C"/>
    <w:multiLevelType w:val="hybridMultilevel"/>
    <w:tmpl w:val="3C5E5DE6"/>
    <w:lvl w:ilvl="0" w:tplc="D8D8520E">
      <w:start w:val="1"/>
      <w:numFmt w:val="bullet"/>
      <w:pStyle w:val="APRA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3F2167"/>
    <w:multiLevelType w:val="hybridMultilevel"/>
    <w:tmpl w:val="57282F24"/>
    <w:lvl w:ilvl="0" w:tplc="702CB01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42B3B"/>
    <w:multiLevelType w:val="hybridMultilevel"/>
    <w:tmpl w:val="4E348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E1983"/>
    <w:multiLevelType w:val="multilevel"/>
    <w:tmpl w:val="0C09001F"/>
    <w:numStyleLink w:val="111111"/>
  </w:abstractNum>
  <w:abstractNum w:abstractNumId="17" w15:restartNumberingAfterBreak="0">
    <w:nsid w:val="45C43426"/>
    <w:multiLevelType w:val="hybridMultilevel"/>
    <w:tmpl w:val="49A48C02"/>
    <w:lvl w:ilvl="0" w:tplc="99F2762C">
      <w:start w:val="1"/>
      <w:numFmt w:val="decimal"/>
      <w:pStyle w:val="APRANUMBERBULLE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62E7D1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EA072EC"/>
    <w:multiLevelType w:val="multilevel"/>
    <w:tmpl w:val="331866B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70776594"/>
    <w:multiLevelType w:val="multilevel"/>
    <w:tmpl w:val="961E74C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0"/>
  </w:num>
  <w:num w:numId="2">
    <w:abstractNumId w:val="20"/>
  </w:num>
  <w:num w:numId="3">
    <w:abstractNumId w:val="20"/>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20"/>
  </w:num>
  <w:num w:numId="12">
    <w:abstractNumId w:val="20"/>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16"/>
  </w:num>
  <w:num w:numId="26">
    <w:abstractNumId w:val="11"/>
  </w:num>
  <w:num w:numId="27">
    <w:abstractNumId w:val="10"/>
  </w:num>
  <w:num w:numId="28">
    <w:abstractNumId w:val="11"/>
  </w:num>
  <w:num w:numId="29">
    <w:abstractNumId w:val="19"/>
  </w:num>
  <w:num w:numId="30">
    <w:abstractNumId w:val="11"/>
    <w:lvlOverride w:ilvl="0">
      <w:startOverride w:val="1"/>
    </w:lvlOverride>
  </w:num>
  <w:num w:numId="31">
    <w:abstractNumId w:val="8"/>
    <w:lvlOverride w:ilvl="0">
      <w:startOverride w:val="2"/>
    </w:lvlOverride>
    <w:lvlOverride w:ilvl="1">
      <w:startOverride w:val="1"/>
    </w:lvlOverride>
  </w:num>
  <w:num w:numId="32">
    <w:abstractNumId w:val="8"/>
    <w:lvlOverride w:ilvl="0">
      <w:startOverride w:val="2"/>
    </w:lvlOverride>
    <w:lvlOverride w:ilvl="1">
      <w:startOverride w:val="1"/>
    </w:lvlOverride>
  </w:num>
  <w:num w:numId="33">
    <w:abstractNumId w:val="14"/>
  </w:num>
  <w:num w:numId="34">
    <w:abstractNumId w:val="13"/>
  </w:num>
  <w:num w:numId="35">
    <w:abstractNumId w:val="17"/>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7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88"/>
    <w:rsid w:val="00001E62"/>
    <w:rsid w:val="00003065"/>
    <w:rsid w:val="000050EF"/>
    <w:rsid w:val="0000710F"/>
    <w:rsid w:val="00010D6D"/>
    <w:rsid w:val="00011B0A"/>
    <w:rsid w:val="00021995"/>
    <w:rsid w:val="00022172"/>
    <w:rsid w:val="0002281B"/>
    <w:rsid w:val="00025374"/>
    <w:rsid w:val="000305B8"/>
    <w:rsid w:val="00032BC5"/>
    <w:rsid w:val="000333AF"/>
    <w:rsid w:val="00036002"/>
    <w:rsid w:val="000408CA"/>
    <w:rsid w:val="00042D58"/>
    <w:rsid w:val="00044359"/>
    <w:rsid w:val="00044D43"/>
    <w:rsid w:val="00045176"/>
    <w:rsid w:val="00052F41"/>
    <w:rsid w:val="00053F0B"/>
    <w:rsid w:val="000547FB"/>
    <w:rsid w:val="0005648D"/>
    <w:rsid w:val="00060045"/>
    <w:rsid w:val="000605B9"/>
    <w:rsid w:val="00063BDC"/>
    <w:rsid w:val="00066D96"/>
    <w:rsid w:val="000774AC"/>
    <w:rsid w:val="00083D91"/>
    <w:rsid w:val="00085307"/>
    <w:rsid w:val="000878CA"/>
    <w:rsid w:val="00087D2C"/>
    <w:rsid w:val="0009168D"/>
    <w:rsid w:val="00093999"/>
    <w:rsid w:val="00095D74"/>
    <w:rsid w:val="0009690D"/>
    <w:rsid w:val="000971E8"/>
    <w:rsid w:val="000A1612"/>
    <w:rsid w:val="000A1A18"/>
    <w:rsid w:val="000A3FF8"/>
    <w:rsid w:val="000A70EB"/>
    <w:rsid w:val="000B4210"/>
    <w:rsid w:val="000C03D7"/>
    <w:rsid w:val="000C170D"/>
    <w:rsid w:val="000C34C0"/>
    <w:rsid w:val="000D09FA"/>
    <w:rsid w:val="000D1DE0"/>
    <w:rsid w:val="000D2D92"/>
    <w:rsid w:val="000E047F"/>
    <w:rsid w:val="000E3350"/>
    <w:rsid w:val="000F1324"/>
    <w:rsid w:val="000F1CDF"/>
    <w:rsid w:val="000F20CF"/>
    <w:rsid w:val="000F4D22"/>
    <w:rsid w:val="000F7386"/>
    <w:rsid w:val="00102099"/>
    <w:rsid w:val="00104494"/>
    <w:rsid w:val="00107F93"/>
    <w:rsid w:val="00113C91"/>
    <w:rsid w:val="00114BFB"/>
    <w:rsid w:val="00116798"/>
    <w:rsid w:val="00125536"/>
    <w:rsid w:val="00131196"/>
    <w:rsid w:val="0013339E"/>
    <w:rsid w:val="00135828"/>
    <w:rsid w:val="00141C79"/>
    <w:rsid w:val="00150261"/>
    <w:rsid w:val="001502F1"/>
    <w:rsid w:val="00153443"/>
    <w:rsid w:val="00153F40"/>
    <w:rsid w:val="00155402"/>
    <w:rsid w:val="001559E8"/>
    <w:rsid w:val="00157724"/>
    <w:rsid w:val="00157E34"/>
    <w:rsid w:val="00161C0D"/>
    <w:rsid w:val="001632D1"/>
    <w:rsid w:val="00163B7F"/>
    <w:rsid w:val="001728D9"/>
    <w:rsid w:val="001841B6"/>
    <w:rsid w:val="00184318"/>
    <w:rsid w:val="0019298F"/>
    <w:rsid w:val="0019407D"/>
    <w:rsid w:val="001941A9"/>
    <w:rsid w:val="001A1240"/>
    <w:rsid w:val="001A2F16"/>
    <w:rsid w:val="001A2FA9"/>
    <w:rsid w:val="001A41F9"/>
    <w:rsid w:val="001A422F"/>
    <w:rsid w:val="001A5DAB"/>
    <w:rsid w:val="001B1E58"/>
    <w:rsid w:val="001B2D90"/>
    <w:rsid w:val="001B3B88"/>
    <w:rsid w:val="001B51AD"/>
    <w:rsid w:val="001D3046"/>
    <w:rsid w:val="001D3B1C"/>
    <w:rsid w:val="001D505A"/>
    <w:rsid w:val="001D5EDC"/>
    <w:rsid w:val="001D76CD"/>
    <w:rsid w:val="001D7D3C"/>
    <w:rsid w:val="001E00D2"/>
    <w:rsid w:val="001E277F"/>
    <w:rsid w:val="001E758E"/>
    <w:rsid w:val="001E7CCF"/>
    <w:rsid w:val="001F635A"/>
    <w:rsid w:val="001F647A"/>
    <w:rsid w:val="001F6876"/>
    <w:rsid w:val="0020039E"/>
    <w:rsid w:val="0020068E"/>
    <w:rsid w:val="00202D59"/>
    <w:rsid w:val="00203996"/>
    <w:rsid w:val="002039C8"/>
    <w:rsid w:val="002047EF"/>
    <w:rsid w:val="00207A27"/>
    <w:rsid w:val="0021143E"/>
    <w:rsid w:val="00211FCD"/>
    <w:rsid w:val="002152FC"/>
    <w:rsid w:val="0021759B"/>
    <w:rsid w:val="00231227"/>
    <w:rsid w:val="00232A19"/>
    <w:rsid w:val="002403C8"/>
    <w:rsid w:val="00244348"/>
    <w:rsid w:val="00254B34"/>
    <w:rsid w:val="00257E33"/>
    <w:rsid w:val="00264041"/>
    <w:rsid w:val="0026542C"/>
    <w:rsid w:val="00265612"/>
    <w:rsid w:val="00266041"/>
    <w:rsid w:val="00266EEC"/>
    <w:rsid w:val="00267EBC"/>
    <w:rsid w:val="00271320"/>
    <w:rsid w:val="0027188A"/>
    <w:rsid w:val="00273230"/>
    <w:rsid w:val="002757F8"/>
    <w:rsid w:val="002767C9"/>
    <w:rsid w:val="0028104D"/>
    <w:rsid w:val="00281AE8"/>
    <w:rsid w:val="0028251F"/>
    <w:rsid w:val="002857C4"/>
    <w:rsid w:val="00285C09"/>
    <w:rsid w:val="00293FEE"/>
    <w:rsid w:val="00296724"/>
    <w:rsid w:val="00297625"/>
    <w:rsid w:val="002977E4"/>
    <w:rsid w:val="002A2041"/>
    <w:rsid w:val="002A6572"/>
    <w:rsid w:val="002A6919"/>
    <w:rsid w:val="002A6CA6"/>
    <w:rsid w:val="002B0B89"/>
    <w:rsid w:val="002B2A96"/>
    <w:rsid w:val="002B65DC"/>
    <w:rsid w:val="002B6F5E"/>
    <w:rsid w:val="002C11F8"/>
    <w:rsid w:val="002C3506"/>
    <w:rsid w:val="002C3CE0"/>
    <w:rsid w:val="002D303F"/>
    <w:rsid w:val="002D3974"/>
    <w:rsid w:val="002D49BC"/>
    <w:rsid w:val="002D6728"/>
    <w:rsid w:val="002D711E"/>
    <w:rsid w:val="002D7A47"/>
    <w:rsid w:val="002E10E7"/>
    <w:rsid w:val="002E2965"/>
    <w:rsid w:val="002F0157"/>
    <w:rsid w:val="002F0B66"/>
    <w:rsid w:val="002F1DBC"/>
    <w:rsid w:val="002F4C0A"/>
    <w:rsid w:val="002F5035"/>
    <w:rsid w:val="002F7020"/>
    <w:rsid w:val="003031BF"/>
    <w:rsid w:val="0030484A"/>
    <w:rsid w:val="00304F6F"/>
    <w:rsid w:val="00306EAF"/>
    <w:rsid w:val="00312E23"/>
    <w:rsid w:val="0031674D"/>
    <w:rsid w:val="00332008"/>
    <w:rsid w:val="00333B1B"/>
    <w:rsid w:val="0033435A"/>
    <w:rsid w:val="00334CF0"/>
    <w:rsid w:val="003354A6"/>
    <w:rsid w:val="00340359"/>
    <w:rsid w:val="0034122A"/>
    <w:rsid w:val="00342266"/>
    <w:rsid w:val="00343789"/>
    <w:rsid w:val="00343D70"/>
    <w:rsid w:val="00345606"/>
    <w:rsid w:val="00347577"/>
    <w:rsid w:val="00351CC9"/>
    <w:rsid w:val="00353DE2"/>
    <w:rsid w:val="00361A31"/>
    <w:rsid w:val="00362741"/>
    <w:rsid w:val="00362A29"/>
    <w:rsid w:val="0036507B"/>
    <w:rsid w:val="003658BB"/>
    <w:rsid w:val="0036590F"/>
    <w:rsid w:val="00366EB7"/>
    <w:rsid w:val="00367A5D"/>
    <w:rsid w:val="003707EE"/>
    <w:rsid w:val="00373B0D"/>
    <w:rsid w:val="00380857"/>
    <w:rsid w:val="003832F9"/>
    <w:rsid w:val="00383B1F"/>
    <w:rsid w:val="00384962"/>
    <w:rsid w:val="003852B8"/>
    <w:rsid w:val="00385969"/>
    <w:rsid w:val="00387832"/>
    <w:rsid w:val="00391682"/>
    <w:rsid w:val="003919A0"/>
    <w:rsid w:val="003923DA"/>
    <w:rsid w:val="00392A44"/>
    <w:rsid w:val="00392B68"/>
    <w:rsid w:val="003A2170"/>
    <w:rsid w:val="003A296C"/>
    <w:rsid w:val="003A35CE"/>
    <w:rsid w:val="003B12CB"/>
    <w:rsid w:val="003B152E"/>
    <w:rsid w:val="003B1835"/>
    <w:rsid w:val="003B44E1"/>
    <w:rsid w:val="003C43AB"/>
    <w:rsid w:val="003C488B"/>
    <w:rsid w:val="003C6CBE"/>
    <w:rsid w:val="003C7909"/>
    <w:rsid w:val="003C7C72"/>
    <w:rsid w:val="003C7E6A"/>
    <w:rsid w:val="003D357E"/>
    <w:rsid w:val="003D4985"/>
    <w:rsid w:val="003D6738"/>
    <w:rsid w:val="003E2CF1"/>
    <w:rsid w:val="003E7B94"/>
    <w:rsid w:val="00401D6F"/>
    <w:rsid w:val="0041342C"/>
    <w:rsid w:val="00420CA6"/>
    <w:rsid w:val="00420ED8"/>
    <w:rsid w:val="004259FB"/>
    <w:rsid w:val="00430D9F"/>
    <w:rsid w:val="004336DC"/>
    <w:rsid w:val="0043440F"/>
    <w:rsid w:val="004360AA"/>
    <w:rsid w:val="004362BC"/>
    <w:rsid w:val="00444288"/>
    <w:rsid w:val="00444BF0"/>
    <w:rsid w:val="00444F00"/>
    <w:rsid w:val="00445197"/>
    <w:rsid w:val="00450278"/>
    <w:rsid w:val="00453BF5"/>
    <w:rsid w:val="0045458E"/>
    <w:rsid w:val="00462CEE"/>
    <w:rsid w:val="00462D84"/>
    <w:rsid w:val="00463F9F"/>
    <w:rsid w:val="004678F4"/>
    <w:rsid w:val="004715E4"/>
    <w:rsid w:val="00471A11"/>
    <w:rsid w:val="004758EE"/>
    <w:rsid w:val="004803D2"/>
    <w:rsid w:val="004821BF"/>
    <w:rsid w:val="00485FD5"/>
    <w:rsid w:val="00486559"/>
    <w:rsid w:val="00495084"/>
    <w:rsid w:val="004A1C5C"/>
    <w:rsid w:val="004A529B"/>
    <w:rsid w:val="004A74D3"/>
    <w:rsid w:val="004B1971"/>
    <w:rsid w:val="004B3A0D"/>
    <w:rsid w:val="004B4492"/>
    <w:rsid w:val="004B580C"/>
    <w:rsid w:val="004C2EC4"/>
    <w:rsid w:val="004C30DA"/>
    <w:rsid w:val="004D2998"/>
    <w:rsid w:val="004D4AAC"/>
    <w:rsid w:val="004D5E73"/>
    <w:rsid w:val="004D7117"/>
    <w:rsid w:val="004D7C3B"/>
    <w:rsid w:val="004E0181"/>
    <w:rsid w:val="004E13AF"/>
    <w:rsid w:val="004E1C4B"/>
    <w:rsid w:val="004E1CAA"/>
    <w:rsid w:val="004E5847"/>
    <w:rsid w:val="004E6606"/>
    <w:rsid w:val="004E6B1C"/>
    <w:rsid w:val="004F27CF"/>
    <w:rsid w:val="004F715A"/>
    <w:rsid w:val="005006B5"/>
    <w:rsid w:val="0050180B"/>
    <w:rsid w:val="00505E6F"/>
    <w:rsid w:val="00507C7A"/>
    <w:rsid w:val="00513077"/>
    <w:rsid w:val="00514FBF"/>
    <w:rsid w:val="00520546"/>
    <w:rsid w:val="00522236"/>
    <w:rsid w:val="005365F2"/>
    <w:rsid w:val="00536817"/>
    <w:rsid w:val="005422C4"/>
    <w:rsid w:val="00547263"/>
    <w:rsid w:val="00550CDF"/>
    <w:rsid w:val="00551306"/>
    <w:rsid w:val="0055221B"/>
    <w:rsid w:val="00552CA7"/>
    <w:rsid w:val="00553C36"/>
    <w:rsid w:val="005604BB"/>
    <w:rsid w:val="00560F13"/>
    <w:rsid w:val="00567C6A"/>
    <w:rsid w:val="0057010E"/>
    <w:rsid w:val="005708FC"/>
    <w:rsid w:val="0057303B"/>
    <w:rsid w:val="005743F4"/>
    <w:rsid w:val="0057686F"/>
    <w:rsid w:val="00584A8F"/>
    <w:rsid w:val="0058726F"/>
    <w:rsid w:val="00587A93"/>
    <w:rsid w:val="00593861"/>
    <w:rsid w:val="00596244"/>
    <w:rsid w:val="005A2589"/>
    <w:rsid w:val="005B37F3"/>
    <w:rsid w:val="005B57EC"/>
    <w:rsid w:val="005C6CCB"/>
    <w:rsid w:val="005C7F27"/>
    <w:rsid w:val="005D1D3A"/>
    <w:rsid w:val="005E6AF8"/>
    <w:rsid w:val="005E6DF9"/>
    <w:rsid w:val="005F11E2"/>
    <w:rsid w:val="005F6AE8"/>
    <w:rsid w:val="005F6C00"/>
    <w:rsid w:val="006014F2"/>
    <w:rsid w:val="00605806"/>
    <w:rsid w:val="00606F5A"/>
    <w:rsid w:val="0060742D"/>
    <w:rsid w:val="006104DE"/>
    <w:rsid w:val="00611512"/>
    <w:rsid w:val="0061182F"/>
    <w:rsid w:val="006128BA"/>
    <w:rsid w:val="0061299A"/>
    <w:rsid w:val="00612F7F"/>
    <w:rsid w:val="00613A09"/>
    <w:rsid w:val="00613E0D"/>
    <w:rsid w:val="0061475E"/>
    <w:rsid w:val="006155EF"/>
    <w:rsid w:val="00615AEF"/>
    <w:rsid w:val="00620633"/>
    <w:rsid w:val="00623198"/>
    <w:rsid w:val="00623D98"/>
    <w:rsid w:val="0062611F"/>
    <w:rsid w:val="0062765D"/>
    <w:rsid w:val="00632819"/>
    <w:rsid w:val="006352A2"/>
    <w:rsid w:val="00644317"/>
    <w:rsid w:val="00644464"/>
    <w:rsid w:val="00646C7A"/>
    <w:rsid w:val="00646FAC"/>
    <w:rsid w:val="00652964"/>
    <w:rsid w:val="006530EA"/>
    <w:rsid w:val="00656724"/>
    <w:rsid w:val="00660738"/>
    <w:rsid w:val="00660807"/>
    <w:rsid w:val="00665727"/>
    <w:rsid w:val="00671B80"/>
    <w:rsid w:val="00672294"/>
    <w:rsid w:val="00677A36"/>
    <w:rsid w:val="00686723"/>
    <w:rsid w:val="0068743E"/>
    <w:rsid w:val="00692FA0"/>
    <w:rsid w:val="00693CFE"/>
    <w:rsid w:val="006942FC"/>
    <w:rsid w:val="006A3B63"/>
    <w:rsid w:val="006A5169"/>
    <w:rsid w:val="006B2188"/>
    <w:rsid w:val="006B2DF9"/>
    <w:rsid w:val="006B6319"/>
    <w:rsid w:val="006C0378"/>
    <w:rsid w:val="006C1429"/>
    <w:rsid w:val="006C18EF"/>
    <w:rsid w:val="006C1A1A"/>
    <w:rsid w:val="006D1F60"/>
    <w:rsid w:val="006D5AC5"/>
    <w:rsid w:val="006D5C03"/>
    <w:rsid w:val="006E1E08"/>
    <w:rsid w:val="006E2066"/>
    <w:rsid w:val="006E4003"/>
    <w:rsid w:val="006E7591"/>
    <w:rsid w:val="006E75CB"/>
    <w:rsid w:val="006F1727"/>
    <w:rsid w:val="006F3FDE"/>
    <w:rsid w:val="00700612"/>
    <w:rsid w:val="00701416"/>
    <w:rsid w:val="0070198B"/>
    <w:rsid w:val="00706A2F"/>
    <w:rsid w:val="007119B9"/>
    <w:rsid w:val="00712B11"/>
    <w:rsid w:val="007236E2"/>
    <w:rsid w:val="00727D99"/>
    <w:rsid w:val="00734D9F"/>
    <w:rsid w:val="007403DD"/>
    <w:rsid w:val="00742ECB"/>
    <w:rsid w:val="0074740C"/>
    <w:rsid w:val="007474FC"/>
    <w:rsid w:val="0074761E"/>
    <w:rsid w:val="00762902"/>
    <w:rsid w:val="00766DBB"/>
    <w:rsid w:val="007724F3"/>
    <w:rsid w:val="007747FD"/>
    <w:rsid w:val="00776ED6"/>
    <w:rsid w:val="00777D50"/>
    <w:rsid w:val="00781FC7"/>
    <w:rsid w:val="00781FF4"/>
    <w:rsid w:val="00784FF7"/>
    <w:rsid w:val="00786B63"/>
    <w:rsid w:val="00791DD2"/>
    <w:rsid w:val="0079638A"/>
    <w:rsid w:val="0079772E"/>
    <w:rsid w:val="00797A62"/>
    <w:rsid w:val="007A463E"/>
    <w:rsid w:val="007A7B93"/>
    <w:rsid w:val="007B0FB5"/>
    <w:rsid w:val="007B6D1A"/>
    <w:rsid w:val="007B729B"/>
    <w:rsid w:val="007C519F"/>
    <w:rsid w:val="007C563B"/>
    <w:rsid w:val="007D1317"/>
    <w:rsid w:val="007D1CA5"/>
    <w:rsid w:val="007D2F32"/>
    <w:rsid w:val="007D6F0A"/>
    <w:rsid w:val="007E0551"/>
    <w:rsid w:val="007E0AEC"/>
    <w:rsid w:val="007E55F0"/>
    <w:rsid w:val="007E56BC"/>
    <w:rsid w:val="007E6359"/>
    <w:rsid w:val="007E70AB"/>
    <w:rsid w:val="007F0CE2"/>
    <w:rsid w:val="007F4B43"/>
    <w:rsid w:val="007F5562"/>
    <w:rsid w:val="007F7487"/>
    <w:rsid w:val="00802A26"/>
    <w:rsid w:val="00805D11"/>
    <w:rsid w:val="00810665"/>
    <w:rsid w:val="00811846"/>
    <w:rsid w:val="0081301A"/>
    <w:rsid w:val="0081455B"/>
    <w:rsid w:val="00814DEB"/>
    <w:rsid w:val="00816255"/>
    <w:rsid w:val="008162BD"/>
    <w:rsid w:val="008204C0"/>
    <w:rsid w:val="008206AF"/>
    <w:rsid w:val="008215F2"/>
    <w:rsid w:val="00821684"/>
    <w:rsid w:val="008230B0"/>
    <w:rsid w:val="008305DB"/>
    <w:rsid w:val="00833AFC"/>
    <w:rsid w:val="00844596"/>
    <w:rsid w:val="008450D9"/>
    <w:rsid w:val="008511E7"/>
    <w:rsid w:val="00857706"/>
    <w:rsid w:val="00867204"/>
    <w:rsid w:val="00867DB3"/>
    <w:rsid w:val="00870BCE"/>
    <w:rsid w:val="00870FFC"/>
    <w:rsid w:val="00872E1D"/>
    <w:rsid w:val="0087561F"/>
    <w:rsid w:val="00875BA3"/>
    <w:rsid w:val="00880600"/>
    <w:rsid w:val="00880BBA"/>
    <w:rsid w:val="0089271C"/>
    <w:rsid w:val="00893A77"/>
    <w:rsid w:val="0089766B"/>
    <w:rsid w:val="008A4FCB"/>
    <w:rsid w:val="008A73A7"/>
    <w:rsid w:val="008B455A"/>
    <w:rsid w:val="008B463E"/>
    <w:rsid w:val="008B5DBD"/>
    <w:rsid w:val="008B5F84"/>
    <w:rsid w:val="008C1A40"/>
    <w:rsid w:val="008C2157"/>
    <w:rsid w:val="008C48FB"/>
    <w:rsid w:val="008D0F94"/>
    <w:rsid w:val="008D3050"/>
    <w:rsid w:val="008D4905"/>
    <w:rsid w:val="008D5BAF"/>
    <w:rsid w:val="008E0F14"/>
    <w:rsid w:val="008E545A"/>
    <w:rsid w:val="008E72C6"/>
    <w:rsid w:val="008E75F5"/>
    <w:rsid w:val="008F0E03"/>
    <w:rsid w:val="008F3C0B"/>
    <w:rsid w:val="00900216"/>
    <w:rsid w:val="009011CB"/>
    <w:rsid w:val="00901B83"/>
    <w:rsid w:val="0090452E"/>
    <w:rsid w:val="009063F5"/>
    <w:rsid w:val="00907579"/>
    <w:rsid w:val="00910073"/>
    <w:rsid w:val="009210C2"/>
    <w:rsid w:val="00921341"/>
    <w:rsid w:val="00921FC2"/>
    <w:rsid w:val="00922ADE"/>
    <w:rsid w:val="0092635A"/>
    <w:rsid w:val="00932A34"/>
    <w:rsid w:val="00932CCF"/>
    <w:rsid w:val="00932D36"/>
    <w:rsid w:val="009334F8"/>
    <w:rsid w:val="009358B5"/>
    <w:rsid w:val="009367D1"/>
    <w:rsid w:val="00944C6C"/>
    <w:rsid w:val="00951389"/>
    <w:rsid w:val="0096170B"/>
    <w:rsid w:val="0096311B"/>
    <w:rsid w:val="009653F1"/>
    <w:rsid w:val="0096560A"/>
    <w:rsid w:val="00970A4C"/>
    <w:rsid w:val="009727EB"/>
    <w:rsid w:val="0097397B"/>
    <w:rsid w:val="00977677"/>
    <w:rsid w:val="009804DD"/>
    <w:rsid w:val="0098213D"/>
    <w:rsid w:val="00982F41"/>
    <w:rsid w:val="00983285"/>
    <w:rsid w:val="00984A6E"/>
    <w:rsid w:val="00985179"/>
    <w:rsid w:val="009864D8"/>
    <w:rsid w:val="00987605"/>
    <w:rsid w:val="009929BB"/>
    <w:rsid w:val="00994525"/>
    <w:rsid w:val="0099572D"/>
    <w:rsid w:val="009A0C02"/>
    <w:rsid w:val="009A0DFA"/>
    <w:rsid w:val="009A4E62"/>
    <w:rsid w:val="009B4639"/>
    <w:rsid w:val="009B4E78"/>
    <w:rsid w:val="009C2BDA"/>
    <w:rsid w:val="009C7E9B"/>
    <w:rsid w:val="009D00C2"/>
    <w:rsid w:val="009D1550"/>
    <w:rsid w:val="009D191C"/>
    <w:rsid w:val="009D1BC2"/>
    <w:rsid w:val="009D2696"/>
    <w:rsid w:val="009D42A8"/>
    <w:rsid w:val="009D54A8"/>
    <w:rsid w:val="009D636A"/>
    <w:rsid w:val="009E1A49"/>
    <w:rsid w:val="009E4072"/>
    <w:rsid w:val="009E6298"/>
    <w:rsid w:val="009E6C42"/>
    <w:rsid w:val="009F1036"/>
    <w:rsid w:val="009F210E"/>
    <w:rsid w:val="009F2390"/>
    <w:rsid w:val="009F26BF"/>
    <w:rsid w:val="009F28B5"/>
    <w:rsid w:val="009F4A3E"/>
    <w:rsid w:val="00A00652"/>
    <w:rsid w:val="00A02821"/>
    <w:rsid w:val="00A06EE8"/>
    <w:rsid w:val="00A1079F"/>
    <w:rsid w:val="00A14611"/>
    <w:rsid w:val="00A1646A"/>
    <w:rsid w:val="00A17687"/>
    <w:rsid w:val="00A20463"/>
    <w:rsid w:val="00A30827"/>
    <w:rsid w:val="00A33C2C"/>
    <w:rsid w:val="00A3671D"/>
    <w:rsid w:val="00A37017"/>
    <w:rsid w:val="00A40961"/>
    <w:rsid w:val="00A44EE1"/>
    <w:rsid w:val="00A479B8"/>
    <w:rsid w:val="00A5710F"/>
    <w:rsid w:val="00A65D6D"/>
    <w:rsid w:val="00A66B3D"/>
    <w:rsid w:val="00A67525"/>
    <w:rsid w:val="00A71E28"/>
    <w:rsid w:val="00A71E4B"/>
    <w:rsid w:val="00A7697D"/>
    <w:rsid w:val="00A80B99"/>
    <w:rsid w:val="00A84854"/>
    <w:rsid w:val="00A87239"/>
    <w:rsid w:val="00A95AA0"/>
    <w:rsid w:val="00AA115A"/>
    <w:rsid w:val="00AA243D"/>
    <w:rsid w:val="00AA5054"/>
    <w:rsid w:val="00AB5563"/>
    <w:rsid w:val="00AB5A0F"/>
    <w:rsid w:val="00AB7266"/>
    <w:rsid w:val="00AC0F4B"/>
    <w:rsid w:val="00AD00E3"/>
    <w:rsid w:val="00AD199F"/>
    <w:rsid w:val="00AD1C6C"/>
    <w:rsid w:val="00AD7DC4"/>
    <w:rsid w:val="00AE2981"/>
    <w:rsid w:val="00AE33A0"/>
    <w:rsid w:val="00AE57FD"/>
    <w:rsid w:val="00AE5A07"/>
    <w:rsid w:val="00AF05E1"/>
    <w:rsid w:val="00AF714A"/>
    <w:rsid w:val="00AF74B5"/>
    <w:rsid w:val="00AF77CA"/>
    <w:rsid w:val="00B029E2"/>
    <w:rsid w:val="00B04028"/>
    <w:rsid w:val="00B05E94"/>
    <w:rsid w:val="00B07B54"/>
    <w:rsid w:val="00B10E0D"/>
    <w:rsid w:val="00B113C1"/>
    <w:rsid w:val="00B11EF5"/>
    <w:rsid w:val="00B12B39"/>
    <w:rsid w:val="00B130DB"/>
    <w:rsid w:val="00B16794"/>
    <w:rsid w:val="00B1777A"/>
    <w:rsid w:val="00B20C9D"/>
    <w:rsid w:val="00B20CD1"/>
    <w:rsid w:val="00B21A37"/>
    <w:rsid w:val="00B276C6"/>
    <w:rsid w:val="00B2787E"/>
    <w:rsid w:val="00B31B15"/>
    <w:rsid w:val="00B33B23"/>
    <w:rsid w:val="00B401A7"/>
    <w:rsid w:val="00B4062E"/>
    <w:rsid w:val="00B4259C"/>
    <w:rsid w:val="00B45C3B"/>
    <w:rsid w:val="00B51772"/>
    <w:rsid w:val="00B541E4"/>
    <w:rsid w:val="00B5498E"/>
    <w:rsid w:val="00B57475"/>
    <w:rsid w:val="00B601F9"/>
    <w:rsid w:val="00B609E4"/>
    <w:rsid w:val="00B6750B"/>
    <w:rsid w:val="00B6777D"/>
    <w:rsid w:val="00B705B7"/>
    <w:rsid w:val="00B73511"/>
    <w:rsid w:val="00B740C5"/>
    <w:rsid w:val="00B7667B"/>
    <w:rsid w:val="00B8477A"/>
    <w:rsid w:val="00B86EF7"/>
    <w:rsid w:val="00B917E7"/>
    <w:rsid w:val="00B91F01"/>
    <w:rsid w:val="00B925E5"/>
    <w:rsid w:val="00B97627"/>
    <w:rsid w:val="00BA677A"/>
    <w:rsid w:val="00BB0A36"/>
    <w:rsid w:val="00BC22A0"/>
    <w:rsid w:val="00BC2492"/>
    <w:rsid w:val="00BC29AA"/>
    <w:rsid w:val="00BC532B"/>
    <w:rsid w:val="00BD283D"/>
    <w:rsid w:val="00BD7C3F"/>
    <w:rsid w:val="00BE36D8"/>
    <w:rsid w:val="00BE534F"/>
    <w:rsid w:val="00BE769C"/>
    <w:rsid w:val="00BF05AF"/>
    <w:rsid w:val="00BF0950"/>
    <w:rsid w:val="00BF18E4"/>
    <w:rsid w:val="00BF1C16"/>
    <w:rsid w:val="00BF21C8"/>
    <w:rsid w:val="00C02BB4"/>
    <w:rsid w:val="00C02CB4"/>
    <w:rsid w:val="00C1617A"/>
    <w:rsid w:val="00C20AF7"/>
    <w:rsid w:val="00C23A2A"/>
    <w:rsid w:val="00C252B5"/>
    <w:rsid w:val="00C266D4"/>
    <w:rsid w:val="00C26961"/>
    <w:rsid w:val="00C275A7"/>
    <w:rsid w:val="00C43E4C"/>
    <w:rsid w:val="00C44D71"/>
    <w:rsid w:val="00C47B00"/>
    <w:rsid w:val="00C51598"/>
    <w:rsid w:val="00C5285C"/>
    <w:rsid w:val="00C54141"/>
    <w:rsid w:val="00C572AB"/>
    <w:rsid w:val="00C60AB8"/>
    <w:rsid w:val="00C614C0"/>
    <w:rsid w:val="00C62600"/>
    <w:rsid w:val="00C62913"/>
    <w:rsid w:val="00C62FD5"/>
    <w:rsid w:val="00C63CCC"/>
    <w:rsid w:val="00C6658A"/>
    <w:rsid w:val="00C668C1"/>
    <w:rsid w:val="00C67CF2"/>
    <w:rsid w:val="00C7537D"/>
    <w:rsid w:val="00C75C4B"/>
    <w:rsid w:val="00C7631E"/>
    <w:rsid w:val="00C86AEF"/>
    <w:rsid w:val="00C87EAE"/>
    <w:rsid w:val="00C905E4"/>
    <w:rsid w:val="00C9088F"/>
    <w:rsid w:val="00C913AA"/>
    <w:rsid w:val="00C92770"/>
    <w:rsid w:val="00C949FB"/>
    <w:rsid w:val="00C95759"/>
    <w:rsid w:val="00C9737B"/>
    <w:rsid w:val="00C97F58"/>
    <w:rsid w:val="00CA5932"/>
    <w:rsid w:val="00CB072F"/>
    <w:rsid w:val="00CB2237"/>
    <w:rsid w:val="00CC05EA"/>
    <w:rsid w:val="00CC201A"/>
    <w:rsid w:val="00CC2D18"/>
    <w:rsid w:val="00CC6488"/>
    <w:rsid w:val="00CC7D20"/>
    <w:rsid w:val="00CD1E5F"/>
    <w:rsid w:val="00CF1FC4"/>
    <w:rsid w:val="00CF207E"/>
    <w:rsid w:val="00CF2182"/>
    <w:rsid w:val="00CF3F5A"/>
    <w:rsid w:val="00CF4EE7"/>
    <w:rsid w:val="00D0016B"/>
    <w:rsid w:val="00D02242"/>
    <w:rsid w:val="00D04305"/>
    <w:rsid w:val="00D079B4"/>
    <w:rsid w:val="00D14049"/>
    <w:rsid w:val="00D14F8D"/>
    <w:rsid w:val="00D159E0"/>
    <w:rsid w:val="00D219DE"/>
    <w:rsid w:val="00D304EE"/>
    <w:rsid w:val="00D314ED"/>
    <w:rsid w:val="00D31C08"/>
    <w:rsid w:val="00D33E4D"/>
    <w:rsid w:val="00D371B3"/>
    <w:rsid w:val="00D5009E"/>
    <w:rsid w:val="00D5142F"/>
    <w:rsid w:val="00D54CDF"/>
    <w:rsid w:val="00D634F8"/>
    <w:rsid w:val="00D660AB"/>
    <w:rsid w:val="00D71E2D"/>
    <w:rsid w:val="00D731B7"/>
    <w:rsid w:val="00D746B4"/>
    <w:rsid w:val="00D74CD5"/>
    <w:rsid w:val="00D76130"/>
    <w:rsid w:val="00D81914"/>
    <w:rsid w:val="00D87092"/>
    <w:rsid w:val="00D934A2"/>
    <w:rsid w:val="00D9513C"/>
    <w:rsid w:val="00D95999"/>
    <w:rsid w:val="00DA0350"/>
    <w:rsid w:val="00DA6209"/>
    <w:rsid w:val="00DB04ED"/>
    <w:rsid w:val="00DB26B3"/>
    <w:rsid w:val="00DB5D49"/>
    <w:rsid w:val="00DB62FE"/>
    <w:rsid w:val="00DC0FDE"/>
    <w:rsid w:val="00DC2DA0"/>
    <w:rsid w:val="00DC2E01"/>
    <w:rsid w:val="00DC3A0A"/>
    <w:rsid w:val="00DC5810"/>
    <w:rsid w:val="00DC59C7"/>
    <w:rsid w:val="00DC7EF3"/>
    <w:rsid w:val="00DD228D"/>
    <w:rsid w:val="00DD238E"/>
    <w:rsid w:val="00DD268B"/>
    <w:rsid w:val="00DE0A59"/>
    <w:rsid w:val="00DE1D7D"/>
    <w:rsid w:val="00DE2A78"/>
    <w:rsid w:val="00DE5310"/>
    <w:rsid w:val="00DE55C7"/>
    <w:rsid w:val="00DE61C2"/>
    <w:rsid w:val="00DF09BA"/>
    <w:rsid w:val="00DF1BDF"/>
    <w:rsid w:val="00DF2B80"/>
    <w:rsid w:val="00DF2C52"/>
    <w:rsid w:val="00DF38C6"/>
    <w:rsid w:val="00DF40DE"/>
    <w:rsid w:val="00DF4304"/>
    <w:rsid w:val="00DF457A"/>
    <w:rsid w:val="00DF46EC"/>
    <w:rsid w:val="00DF6447"/>
    <w:rsid w:val="00E00EA0"/>
    <w:rsid w:val="00E054C7"/>
    <w:rsid w:val="00E05606"/>
    <w:rsid w:val="00E05DAB"/>
    <w:rsid w:val="00E10C1A"/>
    <w:rsid w:val="00E12175"/>
    <w:rsid w:val="00E1225E"/>
    <w:rsid w:val="00E13283"/>
    <w:rsid w:val="00E1430F"/>
    <w:rsid w:val="00E15191"/>
    <w:rsid w:val="00E1558C"/>
    <w:rsid w:val="00E168BE"/>
    <w:rsid w:val="00E26128"/>
    <w:rsid w:val="00E26633"/>
    <w:rsid w:val="00E3026F"/>
    <w:rsid w:val="00E310AB"/>
    <w:rsid w:val="00E32CE9"/>
    <w:rsid w:val="00E3534C"/>
    <w:rsid w:val="00E36C9E"/>
    <w:rsid w:val="00E4257D"/>
    <w:rsid w:val="00E448C7"/>
    <w:rsid w:val="00E4659F"/>
    <w:rsid w:val="00E52A24"/>
    <w:rsid w:val="00E55A7E"/>
    <w:rsid w:val="00E5748C"/>
    <w:rsid w:val="00E60EE2"/>
    <w:rsid w:val="00E61437"/>
    <w:rsid w:val="00E63012"/>
    <w:rsid w:val="00E70FE2"/>
    <w:rsid w:val="00E83D82"/>
    <w:rsid w:val="00E85C56"/>
    <w:rsid w:val="00E872F5"/>
    <w:rsid w:val="00E87719"/>
    <w:rsid w:val="00E91424"/>
    <w:rsid w:val="00E9599D"/>
    <w:rsid w:val="00E96618"/>
    <w:rsid w:val="00E97F25"/>
    <w:rsid w:val="00EA0606"/>
    <w:rsid w:val="00EA095C"/>
    <w:rsid w:val="00EA0DBB"/>
    <w:rsid w:val="00EA1B7E"/>
    <w:rsid w:val="00EA2237"/>
    <w:rsid w:val="00EB7A19"/>
    <w:rsid w:val="00EC4686"/>
    <w:rsid w:val="00EC67E9"/>
    <w:rsid w:val="00ED3926"/>
    <w:rsid w:val="00ED48F3"/>
    <w:rsid w:val="00ED6548"/>
    <w:rsid w:val="00EE08A4"/>
    <w:rsid w:val="00EE33C3"/>
    <w:rsid w:val="00EE6542"/>
    <w:rsid w:val="00EF1054"/>
    <w:rsid w:val="00EF2EA8"/>
    <w:rsid w:val="00EF4257"/>
    <w:rsid w:val="00EF496F"/>
    <w:rsid w:val="00EF4F0B"/>
    <w:rsid w:val="00EF5EE9"/>
    <w:rsid w:val="00F045EB"/>
    <w:rsid w:val="00F1279F"/>
    <w:rsid w:val="00F12FD3"/>
    <w:rsid w:val="00F21A2B"/>
    <w:rsid w:val="00F27CD4"/>
    <w:rsid w:val="00F32459"/>
    <w:rsid w:val="00F34F34"/>
    <w:rsid w:val="00F44B49"/>
    <w:rsid w:val="00F51611"/>
    <w:rsid w:val="00F55FC9"/>
    <w:rsid w:val="00F6064F"/>
    <w:rsid w:val="00F61F4E"/>
    <w:rsid w:val="00F6274D"/>
    <w:rsid w:val="00F62F08"/>
    <w:rsid w:val="00F635DB"/>
    <w:rsid w:val="00F6460D"/>
    <w:rsid w:val="00F64CB6"/>
    <w:rsid w:val="00F737C7"/>
    <w:rsid w:val="00F751CD"/>
    <w:rsid w:val="00F77F5D"/>
    <w:rsid w:val="00F807A7"/>
    <w:rsid w:val="00F8590A"/>
    <w:rsid w:val="00F865EB"/>
    <w:rsid w:val="00F86D26"/>
    <w:rsid w:val="00F87350"/>
    <w:rsid w:val="00F91720"/>
    <w:rsid w:val="00F92233"/>
    <w:rsid w:val="00FA261A"/>
    <w:rsid w:val="00FA2F99"/>
    <w:rsid w:val="00FA5C36"/>
    <w:rsid w:val="00FA7CD8"/>
    <w:rsid w:val="00FB1544"/>
    <w:rsid w:val="00FB2EED"/>
    <w:rsid w:val="00FB3DE7"/>
    <w:rsid w:val="00FB4BA6"/>
    <w:rsid w:val="00FC4E13"/>
    <w:rsid w:val="00FC69E6"/>
    <w:rsid w:val="00FD316E"/>
    <w:rsid w:val="00FD473B"/>
    <w:rsid w:val="00FD5EFD"/>
    <w:rsid w:val="00FE2A07"/>
    <w:rsid w:val="00FE6911"/>
    <w:rsid w:val="00FF0108"/>
    <w:rsid w:val="00FF6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4504E906"/>
  <w15:chartTrackingRefBased/>
  <w15:docId w15:val="{8E19C746-612D-4A0E-8227-56D86E9D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054"/>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customStyle="1" w:styleId="Nonchapterheading">
    <w:name w:val="Non chapter heading"/>
    <w:basedOn w:val="Heading5"/>
    <w:link w:val="NonchapterheadingChar"/>
    <w:rsid w:val="006E4003"/>
    <w:pPr>
      <w:spacing w:after="120" w:line="288" w:lineRule="auto"/>
      <w:ind w:left="360" w:hanging="360"/>
    </w:pPr>
    <w:rPr>
      <w:rFonts w:eastAsia="Times New Roman" w:cs="Times New Roman"/>
      <w:iCs w:val="0"/>
      <w:kern w:val="0"/>
      <w:szCs w:val="22"/>
    </w:rPr>
  </w:style>
  <w:style w:type="character" w:customStyle="1" w:styleId="NonchapterheadingChar">
    <w:name w:val="Non chapter heading Char"/>
    <w:basedOn w:val="Heading5Char"/>
    <w:link w:val="Nonchapterheading"/>
    <w:rsid w:val="006E4003"/>
    <w:rPr>
      <w:rFonts w:eastAsia="Times New Roman" w:cs="Times New Roman"/>
      <w:b/>
      <w:iCs/>
      <w:kern w:val="28"/>
      <w:sz w:val="24"/>
      <w:szCs w:val="26"/>
    </w:rPr>
  </w:style>
  <w:style w:type="character" w:customStyle="1" w:styleId="Heading5Char">
    <w:name w:val="Heading 5 Char"/>
    <w:link w:val="Heading5"/>
    <w:uiPriority w:val="9"/>
    <w:rsid w:val="00444BF0"/>
    <w:rPr>
      <w:rFonts w:eastAsiaTheme="majorEastAsia" w:cstheme="majorBidi"/>
      <w:b/>
      <w:iCs/>
      <w:kern w:val="28"/>
      <w:sz w:val="24"/>
      <w:szCs w:val="26"/>
    </w:rPr>
  </w:style>
  <w:style w:type="paragraph" w:customStyle="1" w:styleId="Non-numberedchapterheading">
    <w:name w:val="Non-numbered chapter heading"/>
    <w:basedOn w:val="Heading5"/>
    <w:link w:val="Non-numberedchapterheadingChar"/>
    <w:rsid w:val="006E4003"/>
    <w:pPr>
      <w:spacing w:after="120" w:line="288" w:lineRule="auto"/>
      <w:ind w:left="360" w:hanging="360"/>
    </w:pPr>
    <w:rPr>
      <w:rFonts w:eastAsia="Times New Roman" w:cs="Times New Roman"/>
      <w:iCs w:val="0"/>
      <w:kern w:val="0"/>
      <w:szCs w:val="22"/>
    </w:rPr>
  </w:style>
  <w:style w:type="character" w:customStyle="1" w:styleId="Non-numberedchapterheadingChar">
    <w:name w:val="Non-numbered chapter heading Char"/>
    <w:basedOn w:val="Heading5Char"/>
    <w:link w:val="Non-numberedchapterheading"/>
    <w:rsid w:val="006E4003"/>
    <w:rPr>
      <w:rFonts w:eastAsia="Times New Roman" w:cs="Times New Roman"/>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basedOn w:val="APRANORMAL"/>
    <w:next w:val="APRANORMAL"/>
    <w:autoRedefine/>
    <w:uiPriority w:val="39"/>
    <w:unhideWhenUsed/>
    <w:qFormat/>
    <w:rsid w:val="00B57475"/>
    <w:pPr>
      <w:tabs>
        <w:tab w:val="right" w:pos="9016"/>
      </w:tabs>
    </w:pPr>
    <w:rPr>
      <w:rFonts w:ascii="DIN OT Medium" w:hAnsi="DIN OT Medium"/>
      <w:noProof/>
    </w:rPr>
  </w:style>
  <w:style w:type="paragraph" w:styleId="TOC2">
    <w:name w:val="toc 2"/>
    <w:aliases w:val="APRA TOC 2"/>
    <w:basedOn w:val="APRANORMAL"/>
    <w:next w:val="APRANORMAL"/>
    <w:autoRedefine/>
    <w:uiPriority w:val="39"/>
    <w:unhideWhenUsed/>
    <w:rsid w:val="00B57475"/>
    <w:pPr>
      <w:tabs>
        <w:tab w:val="right" w:pos="9015"/>
      </w:tabs>
      <w:ind w:left="220"/>
    </w:pPr>
  </w:style>
  <w:style w:type="paragraph" w:styleId="TOC3">
    <w:name w:val="toc 3"/>
    <w:basedOn w:val="Normal"/>
    <w:next w:val="Normal"/>
    <w:autoRedefine/>
    <w:uiPriority w:val="39"/>
    <w:unhideWhenUsed/>
    <w:rsid w:val="00E5748C"/>
    <w:pPr>
      <w:tabs>
        <w:tab w:val="right" w:leader="dot" w:pos="9016"/>
      </w:tabs>
      <w:ind w:left="440"/>
    </w:pPr>
    <w:rPr>
      <w:noProof/>
    </w:rPr>
  </w:style>
  <w:style w:type="paragraph" w:styleId="TOC4">
    <w:name w:val="toc 4"/>
    <w:basedOn w:val="Normal"/>
    <w:next w:val="Normal"/>
    <w:autoRedefine/>
    <w:uiPriority w:val="39"/>
    <w:unhideWhenUsed/>
    <w:rsid w:val="006E4003"/>
    <w:pPr>
      <w:ind w:left="660"/>
    </w:pPr>
  </w:style>
  <w:style w:type="paragraph" w:styleId="FootnoteText">
    <w:name w:val="footnote text"/>
    <w:aliases w:val=" Char"/>
    <w:basedOn w:val="Normal"/>
    <w:link w:val="FootnoteTextChar"/>
    <w:uiPriority w:val="99"/>
    <w:unhideWhenUsed/>
    <w:rsid w:val="00B57475"/>
    <w:pPr>
      <w:spacing w:after="0"/>
    </w:pPr>
    <w:rPr>
      <w:rFonts w:ascii="DIN OT Light" w:hAnsi="DIN OT Light"/>
      <w:sz w:val="18"/>
    </w:rPr>
  </w:style>
  <w:style w:type="character" w:customStyle="1" w:styleId="FootnoteTextChar">
    <w:name w:val="Footnote Text Char"/>
    <w:aliases w:val=" Char Char"/>
    <w:link w:val="FootnoteText"/>
    <w:uiPriority w:val="99"/>
    <w:rsid w:val="00B57475"/>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B57475"/>
    <w:pPr>
      <w:tabs>
        <w:tab w:val="center" w:pos="4513"/>
        <w:tab w:val="right" w:pos="9026"/>
      </w:tabs>
      <w:spacing w:after="0"/>
      <w:jc w:val="right"/>
    </w:pPr>
    <w:rPr>
      <w:rFonts w:ascii="DIN OT Light" w:hAnsi="DIN OT Light"/>
      <w:sz w:val="18"/>
    </w:rPr>
  </w:style>
  <w:style w:type="character" w:customStyle="1" w:styleId="FooterChar">
    <w:name w:val="Footer Char"/>
    <w:link w:val="Footer"/>
    <w:uiPriority w:val="99"/>
    <w:rsid w:val="00B57475"/>
    <w:rPr>
      <w:rFonts w:ascii="DIN OT Light" w:hAnsi="DIN OT Light"/>
      <w:sz w:val="18"/>
    </w:rPr>
  </w:style>
  <w:style w:type="character" w:styleId="FootnoteReference">
    <w:name w:val="footnote reference"/>
    <w:uiPriority w:val="99"/>
    <w:unhideWhenUsed/>
    <w:rsid w:val="00B57475"/>
    <w:rPr>
      <w:rFonts w:ascii="DIN OT Light" w:hAnsi="DIN OT Light"/>
      <w:i w:val="0"/>
      <w:color w:val="595959" w:themeColor="text1" w:themeTint="A6"/>
      <w:sz w:val="22"/>
      <w:vertAlign w:val="superscript"/>
    </w:rPr>
  </w:style>
  <w:style w:type="paragraph" w:styleId="Subtitle">
    <w:name w:val="Subtitle"/>
    <w:basedOn w:val="Normal"/>
    <w:next w:val="Normal"/>
    <w:link w:val="SubtitleChar"/>
    <w:uiPriority w:val="11"/>
    <w:rsid w:val="00677A36"/>
    <w:pPr>
      <w:numPr>
        <w:ilvl w:val="1"/>
      </w:numPr>
    </w:pPr>
    <w:rPr>
      <w:rFonts w:eastAsiaTheme="majorEastAsia" w:cstheme="majorBidi"/>
      <w:i/>
      <w:iCs/>
      <w:spacing w:val="15"/>
      <w:szCs w:val="24"/>
    </w:rPr>
  </w:style>
  <w:style w:type="character" w:customStyle="1" w:styleId="SubtitleChar">
    <w:name w:val="Subtitle Char"/>
    <w:link w:val="Subtitle"/>
    <w:uiPriority w:val="11"/>
    <w:rsid w:val="00677A36"/>
    <w:rPr>
      <w:rFonts w:eastAsiaTheme="majorEastAsia" w:cstheme="majorBidi"/>
      <w:i/>
      <w:iCs/>
      <w:spacing w:val="15"/>
      <w:szCs w:val="24"/>
    </w:rPr>
  </w:style>
  <w:style w:type="character" w:styleId="Hyperlink">
    <w:name w:val="Hyperlink"/>
    <w:uiPriority w:val="99"/>
    <w:rsid w:val="006E4003"/>
    <w:rPr>
      <w:rFonts w:ascii="Trebuchet MS" w:hAnsi="Trebuchet MS"/>
      <w:color w:val="0000FF"/>
      <w:sz w:val="22"/>
      <w:u w:val="single"/>
    </w:rPr>
  </w:style>
  <w:style w:type="character" w:styleId="Strong">
    <w:name w:val="Strong"/>
    <w:uiPriority w:val="22"/>
    <w:rsid w:val="00677A36"/>
    <w:rPr>
      <w:rFonts w:ascii="Trebuchet MS" w:hAnsi="Trebuchet MS"/>
      <w:b/>
      <w:bCs/>
      <w:sz w:val="22"/>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Number3"/>
    <w:link w:val="NumberedListChar"/>
    <w:rsid w:val="00373B0D"/>
    <w:pPr>
      <w:numPr>
        <w:numId w:val="26"/>
      </w:numPr>
    </w:pPr>
  </w:style>
  <w:style w:type="paragraph" w:styleId="ListParagraph">
    <w:name w:val="List Paragraph"/>
    <w:basedOn w:val="Normal"/>
    <w:link w:val="ListParagraphChar"/>
    <w:uiPriority w:val="34"/>
    <w:rsid w:val="00677A36"/>
    <w:pPr>
      <w:ind w:left="720"/>
      <w:contextualSpacing/>
    </w:pPr>
  </w:style>
  <w:style w:type="paragraph" w:styleId="Quote">
    <w:name w:val="Quote"/>
    <w:basedOn w:val="Normal"/>
    <w:next w:val="Normal"/>
    <w:link w:val="QuoteChar"/>
    <w:uiPriority w:val="29"/>
    <w:rsid w:val="00677A36"/>
    <w:rPr>
      <w:i/>
      <w:iCs/>
      <w:color w:val="000000"/>
    </w:rPr>
  </w:style>
  <w:style w:type="character" w:customStyle="1" w:styleId="QuoteChar">
    <w:name w:val="Quote Char"/>
    <w:link w:val="Quote"/>
    <w:uiPriority w:val="29"/>
    <w:rsid w:val="00677A36"/>
    <w:rPr>
      <w:i/>
      <w:iCs/>
      <w:color w:val="000000"/>
    </w:r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character" w:styleId="IntenseEmphasis">
    <w:name w:val="Intense Emphasis"/>
    <w:uiPriority w:val="21"/>
    <w:rsid w:val="00677A36"/>
    <w:rPr>
      <w:rFonts w:ascii="Trebuchet MS" w:hAnsi="Trebuchet MS"/>
      <w:b/>
      <w:bCs/>
      <w:i/>
      <w:iCs/>
      <w:color w:val="000000" w:themeColor="text1"/>
      <w:sz w:val="22"/>
    </w:rPr>
  </w:style>
  <w:style w:type="paragraph" w:styleId="ListBullet">
    <w:name w:val="List Bullet"/>
    <w:basedOn w:val="List"/>
    <w:uiPriority w:val="99"/>
    <w:unhideWhenUsed/>
    <w:rsid w:val="00677A36"/>
    <w:pPr>
      <w:numPr>
        <w:numId w:val="33"/>
      </w:numPr>
      <w:contextualSpacing w:val="0"/>
    </w:pPr>
  </w:style>
  <w:style w:type="paragraph" w:styleId="ListNumber2">
    <w:name w:val="List Number 2"/>
    <w:basedOn w:val="Normal"/>
    <w:uiPriority w:val="99"/>
    <w:unhideWhenUsed/>
    <w:rsid w:val="0026542C"/>
    <w:pPr>
      <w:numPr>
        <w:numId w:val="20"/>
      </w:numPr>
      <w:contextualSpacing/>
    </w:pPr>
  </w:style>
  <w:style w:type="paragraph" w:styleId="ListNumber3">
    <w:name w:val="List Number 3"/>
    <w:basedOn w:val="Normal"/>
    <w:link w:val="ListNumber3Char"/>
    <w:uiPriority w:val="99"/>
    <w:unhideWhenUsed/>
    <w:rsid w:val="0026542C"/>
    <w:pPr>
      <w:numPr>
        <w:numId w:val="21"/>
      </w:numPr>
      <w:contextualSpacing/>
    </w:pPr>
  </w:style>
  <w:style w:type="paragraph" w:styleId="ListNumber4">
    <w:name w:val="List Number 4"/>
    <w:basedOn w:val="Normal"/>
    <w:uiPriority w:val="99"/>
    <w:semiHidden/>
    <w:unhideWhenUsed/>
    <w:rsid w:val="0026542C"/>
    <w:pPr>
      <w:numPr>
        <w:numId w:val="22"/>
      </w:numPr>
      <w:contextualSpacing/>
    </w:pPr>
  </w:style>
  <w:style w:type="paragraph" w:styleId="ListNumber5">
    <w:name w:val="List Number 5"/>
    <w:basedOn w:val="Normal"/>
    <w:uiPriority w:val="99"/>
    <w:semiHidden/>
    <w:unhideWhenUsed/>
    <w:rsid w:val="0026542C"/>
    <w:pPr>
      <w:numPr>
        <w:numId w:val="23"/>
      </w:numPr>
      <w:contextualSpacing/>
    </w:pPr>
  </w:style>
  <w:style w:type="paragraph" w:styleId="ListNumber">
    <w:name w:val="List Number"/>
    <w:basedOn w:val="Normal"/>
    <w:uiPriority w:val="99"/>
    <w:unhideWhenUsed/>
    <w:rsid w:val="0026542C"/>
    <w:pPr>
      <w:numPr>
        <w:numId w:val="19"/>
      </w:numPr>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24"/>
      </w:numPr>
    </w:pPr>
  </w:style>
  <w:style w:type="character" w:customStyle="1" w:styleId="ListNumber3Char">
    <w:name w:val="List Number 3 Char"/>
    <w:basedOn w:val="DefaultParagraphFont"/>
    <w:link w:val="ListNumber3"/>
    <w:uiPriority w:val="99"/>
    <w:rsid w:val="00373B0D"/>
  </w:style>
  <w:style w:type="character" w:customStyle="1" w:styleId="NumberedListChar">
    <w:name w:val="Numbered List Char"/>
    <w:basedOn w:val="ListNumber3Char"/>
    <w:link w:val="NumberedList"/>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rsid w:val="00677A36"/>
    <w:pPr>
      <w:spacing w:after="0"/>
      <w:outlineLvl w:val="9"/>
    </w:pPr>
    <w:rPr>
      <w:rFonts w:asciiTheme="majorHAnsi" w:hAnsiTheme="majorHAnsi"/>
      <w:kern w:val="0"/>
      <w:sz w:val="36"/>
      <w:szCs w:val="28"/>
    </w:rPr>
  </w:style>
  <w:style w:type="paragraph" w:customStyle="1" w:styleId="TableColumnHeading">
    <w:name w:val="Table Column Heading"/>
    <w:basedOn w:val="Normal"/>
    <w:rsid w:val="00677A36"/>
    <w:pPr>
      <w:widowControl w:val="0"/>
      <w:spacing w:before="120"/>
    </w:pPr>
    <w:rPr>
      <w:rFonts w:eastAsia="Times" w:cstheme="majorBidi"/>
      <w:b/>
      <w:iCs/>
      <w:color w:val="000000" w:themeColor="text1"/>
      <w:szCs w:val="20"/>
    </w:rPr>
  </w:style>
  <w:style w:type="paragraph" w:customStyle="1" w:styleId="TableColumnSub-Heading">
    <w:name w:val="Table Column Sub-Heading"/>
    <w:basedOn w:val="Normal"/>
    <w:rsid w:val="00677A36"/>
    <w:pPr>
      <w:keepNext/>
      <w:widowControl w:val="0"/>
      <w:spacing w:before="60" w:after="60"/>
    </w:pPr>
    <w:rPr>
      <w:rFonts w:cstheme="minorBidi"/>
      <w:b/>
      <w:sz w:val="20"/>
    </w:rPr>
  </w:style>
  <w:style w:type="paragraph" w:customStyle="1" w:styleId="TableRowHeading">
    <w:name w:val="Table Row Heading"/>
    <w:basedOn w:val="Normal"/>
    <w:rsid w:val="00677A36"/>
    <w:pPr>
      <w:keepNext/>
      <w:widowControl w:val="0"/>
      <w:spacing w:before="120"/>
    </w:pPr>
    <w:rPr>
      <w:b/>
      <w:i/>
      <w:sz w:val="20"/>
      <w:lang w:eastAsia="en-AU"/>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Trebuchet MS" w:hAnsi="Trebuchet MS"/>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paragraph" w:styleId="Title">
    <w:name w:val="Title"/>
    <w:basedOn w:val="Normal"/>
    <w:next w:val="Normal"/>
    <w:link w:val="TitleChar"/>
    <w:uiPriority w:val="10"/>
    <w:rsid w:val="00DC7EF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EF3"/>
    <w:rPr>
      <w:rFonts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rsid w:val="00DC7EF3"/>
    <w:rPr>
      <w:i/>
      <w:iCs/>
      <w:color w:val="808080" w:themeColor="text1" w:themeTint="7F"/>
    </w:rPr>
  </w:style>
  <w:style w:type="character" w:styleId="PlaceholderText">
    <w:name w:val="Placeholder Text"/>
    <w:basedOn w:val="DefaultParagraphFont"/>
    <w:uiPriority w:val="99"/>
    <w:semiHidden/>
    <w:rsid w:val="0043440F"/>
    <w:rPr>
      <w:color w:val="808080"/>
    </w:rPr>
  </w:style>
  <w:style w:type="paragraph" w:customStyle="1" w:styleId="BasicParagraph">
    <w:name w:val="[Basic Paragraph]"/>
    <w:basedOn w:val="Normal"/>
    <w:uiPriority w:val="99"/>
    <w:rsid w:val="00B029E2"/>
    <w:pPr>
      <w:autoSpaceDE w:val="0"/>
      <w:autoSpaceDN w:val="0"/>
      <w:adjustRightInd w:val="0"/>
      <w:spacing w:after="0"/>
      <w:textAlignment w:val="center"/>
    </w:pPr>
    <w:rPr>
      <w:rFonts w:ascii="Minion Pro" w:hAnsi="Minion Pro" w:cs="Minion Pro"/>
      <w:color w:val="000000"/>
      <w:sz w:val="24"/>
      <w:szCs w:val="24"/>
      <w:lang w:val="en-GB"/>
    </w:rPr>
  </w:style>
  <w:style w:type="paragraph" w:customStyle="1" w:styleId="APRAHEADING1">
    <w:name w:val="APRA HEADING 1"/>
    <w:basedOn w:val="Normal"/>
    <w:link w:val="APRAHEADING1Char"/>
    <w:qFormat/>
    <w:rsid w:val="00D314ED"/>
    <w:pPr>
      <w:pBdr>
        <w:bottom w:val="single" w:sz="4" w:space="3" w:color="BFBFBF" w:themeColor="background1" w:themeShade="BF"/>
      </w:pBdr>
      <w:spacing w:after="480"/>
    </w:pPr>
    <w:rPr>
      <w:rFonts w:ascii="DIN OT Medium" w:hAnsi="DIN OT Medium"/>
      <w:color w:val="002060"/>
      <w:sz w:val="40"/>
      <w:szCs w:val="40"/>
    </w:rPr>
  </w:style>
  <w:style w:type="paragraph" w:customStyle="1" w:styleId="APRANORMAL">
    <w:name w:val="APRA NORMAL"/>
    <w:basedOn w:val="Normal"/>
    <w:link w:val="APRANORMALChar"/>
    <w:qFormat/>
    <w:rsid w:val="00B57475"/>
    <w:rPr>
      <w:rFonts w:ascii="DIN OT Light" w:hAnsi="DIN OT Light"/>
      <w:lang w:val="en-GB"/>
    </w:rPr>
  </w:style>
  <w:style w:type="character" w:customStyle="1" w:styleId="APRAHEADING1Char">
    <w:name w:val="APRA HEADING 1 Char"/>
    <w:basedOn w:val="DefaultParagraphFont"/>
    <w:link w:val="APRAHEADING1"/>
    <w:rsid w:val="00D314ED"/>
    <w:rPr>
      <w:rFonts w:ascii="DIN OT Medium" w:hAnsi="DIN OT Medium"/>
      <w:color w:val="002060"/>
      <w:sz w:val="40"/>
      <w:szCs w:val="40"/>
    </w:rPr>
  </w:style>
  <w:style w:type="paragraph" w:customStyle="1" w:styleId="B-Heading2">
    <w:name w:val="B - Heading 2"/>
    <w:basedOn w:val="Normal"/>
    <w:uiPriority w:val="99"/>
    <w:rsid w:val="00C63CCC"/>
    <w:pPr>
      <w:pBdr>
        <w:bottom w:val="single" w:sz="4" w:space="5" w:color="000000"/>
      </w:pBdr>
      <w:suppressAutoHyphens/>
      <w:autoSpaceDE w:val="0"/>
      <w:autoSpaceDN w:val="0"/>
      <w:adjustRightInd w:val="0"/>
      <w:spacing w:before="227" w:after="170" w:line="288" w:lineRule="auto"/>
      <w:textAlignment w:val="center"/>
    </w:pPr>
    <w:rPr>
      <w:rFonts w:cs="DIN Offc"/>
      <w:b/>
      <w:bCs/>
      <w:color w:val="142667"/>
      <w:sz w:val="28"/>
      <w:szCs w:val="28"/>
      <w:lang w:val="en-GB"/>
    </w:rPr>
  </w:style>
  <w:style w:type="character" w:customStyle="1" w:styleId="APRANORMALChar">
    <w:name w:val="APRA NORMAL Char"/>
    <w:basedOn w:val="DefaultParagraphFont"/>
    <w:link w:val="APRANORMAL"/>
    <w:rsid w:val="00B57475"/>
    <w:rPr>
      <w:rFonts w:ascii="DIN OT Light" w:hAnsi="DIN OT Light"/>
      <w:lang w:val="en-GB"/>
    </w:rPr>
  </w:style>
  <w:style w:type="paragraph" w:customStyle="1" w:styleId="APRAHEADING2">
    <w:name w:val="APRA HEADING 2"/>
    <w:link w:val="APRAHEADING2Char"/>
    <w:qFormat/>
    <w:rsid w:val="00D314ED"/>
    <w:pPr>
      <w:pBdr>
        <w:bottom w:val="single" w:sz="4" w:space="1" w:color="D9D9D9" w:themeColor="background1" w:themeShade="D9"/>
      </w:pBdr>
      <w:spacing w:before="360" w:after="240"/>
    </w:pPr>
    <w:rPr>
      <w:rFonts w:ascii="DIN OT Medium" w:hAnsi="DIN OT Medium"/>
      <w:color w:val="002060"/>
      <w:sz w:val="30"/>
      <w:szCs w:val="28"/>
    </w:rPr>
  </w:style>
  <w:style w:type="paragraph" w:customStyle="1" w:styleId="APRAHEADING3">
    <w:name w:val="APRA HEADING 3"/>
    <w:basedOn w:val="APRANORMAL"/>
    <w:link w:val="APRAHEADING3Char"/>
    <w:qFormat/>
    <w:rsid w:val="00B57475"/>
    <w:pPr>
      <w:spacing w:before="360" w:after="120"/>
    </w:pPr>
    <w:rPr>
      <w:rFonts w:ascii="DIN OT Medium" w:hAnsi="DIN OT Medium"/>
      <w:color w:val="002060"/>
      <w:sz w:val="26"/>
      <w:szCs w:val="24"/>
    </w:rPr>
  </w:style>
  <w:style w:type="character" w:customStyle="1" w:styleId="APRAHEADING2Char">
    <w:name w:val="APRA HEADING 2 Char"/>
    <w:basedOn w:val="APRAHEADING1Char"/>
    <w:link w:val="APRAHEADING2"/>
    <w:rsid w:val="00D314ED"/>
    <w:rPr>
      <w:rFonts w:ascii="DIN OT Medium" w:hAnsi="DIN OT Medium"/>
      <w:color w:val="002060"/>
      <w:sz w:val="30"/>
      <w:szCs w:val="28"/>
    </w:rPr>
  </w:style>
  <w:style w:type="paragraph" w:customStyle="1" w:styleId="APRAHEADING4">
    <w:name w:val="APRA HEADING 4"/>
    <w:basedOn w:val="Normal"/>
    <w:link w:val="APRAHEADING4Char"/>
    <w:qFormat/>
    <w:rsid w:val="00B57475"/>
    <w:pPr>
      <w:suppressAutoHyphens/>
      <w:autoSpaceDE w:val="0"/>
      <w:autoSpaceDN w:val="0"/>
      <w:adjustRightInd w:val="0"/>
      <w:spacing w:before="240" w:after="60" w:line="288"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B57475"/>
    <w:rPr>
      <w:rFonts w:ascii="DIN OT Medium" w:hAnsi="DIN OT Medium"/>
      <w:color w:val="002060"/>
      <w:sz w:val="26"/>
      <w:szCs w:val="24"/>
      <w:lang w:val="en-GB"/>
    </w:rPr>
  </w:style>
  <w:style w:type="paragraph" w:customStyle="1" w:styleId="APRAHEADING5">
    <w:name w:val="APRA HEADING 5"/>
    <w:basedOn w:val="APRAHEADING4"/>
    <w:link w:val="APRAHEADING5Char"/>
    <w:qFormat/>
    <w:rsid w:val="00734D9F"/>
    <w:rPr>
      <w:i/>
    </w:rPr>
  </w:style>
  <w:style w:type="character" w:customStyle="1" w:styleId="APRAHEADING4Char">
    <w:name w:val="APRA HEADING 4 Char"/>
    <w:basedOn w:val="DefaultParagraphFont"/>
    <w:link w:val="APRAHEADING4"/>
    <w:rsid w:val="00B57475"/>
    <w:rPr>
      <w:rFonts w:ascii="DIN OT Medium" w:hAnsi="DIN OT Medium" w:cs="DIN Offc"/>
      <w:bCs/>
      <w:lang w:val="en-GB"/>
    </w:rPr>
  </w:style>
  <w:style w:type="paragraph" w:customStyle="1" w:styleId="APRABULLET">
    <w:name w:val="APRA BULLET"/>
    <w:basedOn w:val="ListParagraph"/>
    <w:link w:val="APRABULLETChar"/>
    <w:qFormat/>
    <w:rsid w:val="00B57475"/>
    <w:pPr>
      <w:numPr>
        <w:numId w:val="34"/>
      </w:numPr>
    </w:pPr>
    <w:rPr>
      <w:rFonts w:ascii="DIN OT Light" w:hAnsi="DIN OT Light"/>
      <w:lang w:val="en-GB"/>
    </w:rPr>
  </w:style>
  <w:style w:type="character" w:customStyle="1" w:styleId="APRAHEADING5Char">
    <w:name w:val="APRA HEADING 5 Char"/>
    <w:basedOn w:val="APRAHEADING4Char"/>
    <w:link w:val="APRAHEADING5"/>
    <w:rsid w:val="00734D9F"/>
    <w:rPr>
      <w:rFonts w:ascii="DIN Offc Medium" w:hAnsi="DIN Offc Medium" w:cs="DIN Offc"/>
      <w:bCs/>
      <w:i/>
      <w:color w:val="000000" w:themeColor="text1"/>
      <w:lang w:val="en-GB"/>
    </w:rPr>
  </w:style>
  <w:style w:type="paragraph" w:customStyle="1" w:styleId="APRANUMBERBULLET">
    <w:name w:val="APRA NUMBER BULLET"/>
    <w:basedOn w:val="ListParagraph"/>
    <w:link w:val="APRANUMBERBULLETChar"/>
    <w:qFormat/>
    <w:rsid w:val="00B57475"/>
    <w:pPr>
      <w:numPr>
        <w:numId w:val="35"/>
      </w:numPr>
    </w:pPr>
    <w:rPr>
      <w:rFonts w:ascii="DIN OT Light" w:hAnsi="DIN OT Light"/>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B57475"/>
    <w:rPr>
      <w:rFonts w:ascii="DIN OT Light" w:hAnsi="DIN OT Light"/>
      <w:color w:val="000000" w:themeColor="text1"/>
      <w:lang w:val="en-GB"/>
    </w:rPr>
  </w:style>
  <w:style w:type="character" w:customStyle="1" w:styleId="APRANUMBERBULLETChar">
    <w:name w:val="APRA NUMBER BULLET Char"/>
    <w:basedOn w:val="ListParagraphChar"/>
    <w:link w:val="APRANUMBERBULLET"/>
    <w:rsid w:val="00B57475"/>
    <w:rPr>
      <w:rFonts w:ascii="DIN OT Light" w:hAnsi="DIN OT Light"/>
      <w:color w:val="000000" w:themeColor="text1"/>
      <w:lang w:val="en-GB"/>
    </w:rPr>
  </w:style>
  <w:style w:type="character" w:styleId="CommentReference">
    <w:name w:val="annotation reference"/>
    <w:basedOn w:val="DefaultParagraphFont"/>
    <w:uiPriority w:val="99"/>
    <w:semiHidden/>
    <w:unhideWhenUsed/>
    <w:rsid w:val="00A5710F"/>
    <w:rPr>
      <w:sz w:val="16"/>
      <w:szCs w:val="16"/>
    </w:rPr>
  </w:style>
  <w:style w:type="paragraph" w:styleId="CommentText">
    <w:name w:val="annotation text"/>
    <w:basedOn w:val="Normal"/>
    <w:link w:val="CommentTextChar"/>
    <w:uiPriority w:val="99"/>
    <w:semiHidden/>
    <w:unhideWhenUsed/>
    <w:rsid w:val="00A5710F"/>
    <w:rPr>
      <w:sz w:val="20"/>
      <w:szCs w:val="20"/>
    </w:rPr>
  </w:style>
  <w:style w:type="character" w:customStyle="1" w:styleId="CommentTextChar">
    <w:name w:val="Comment Text Char"/>
    <w:basedOn w:val="DefaultParagraphFont"/>
    <w:link w:val="CommentText"/>
    <w:uiPriority w:val="99"/>
    <w:semiHidden/>
    <w:rsid w:val="00A5710F"/>
    <w:rPr>
      <w:sz w:val="20"/>
      <w:szCs w:val="20"/>
    </w:rPr>
  </w:style>
  <w:style w:type="paragraph" w:styleId="CommentSubject">
    <w:name w:val="annotation subject"/>
    <w:basedOn w:val="CommentText"/>
    <w:next w:val="CommentText"/>
    <w:link w:val="CommentSubjectChar"/>
    <w:uiPriority w:val="99"/>
    <w:semiHidden/>
    <w:unhideWhenUsed/>
    <w:rsid w:val="00A5710F"/>
    <w:rPr>
      <w:b/>
      <w:bCs/>
    </w:rPr>
  </w:style>
  <w:style w:type="character" w:customStyle="1" w:styleId="CommentSubjectChar">
    <w:name w:val="Comment Subject Char"/>
    <w:basedOn w:val="CommentTextChar"/>
    <w:link w:val="CommentSubject"/>
    <w:uiPriority w:val="99"/>
    <w:semiHidden/>
    <w:rsid w:val="00A571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57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ADIpolicy@apra.gov.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pra.gov.au" TargetMode="Externa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reativecommons.org/licenses/by/3.0/au/" TargetMode="External"/><Relationship Id="rId23"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creativecommons.org/licenses/by/3.0/au/"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bm.obpr.gov.au/ho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RA">
  <a:themeElements>
    <a:clrScheme name="APRA">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R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8aef97a4-ded2-4e4a-9fbc-e666dae3ecd2" ContentTypeId="0x0101008CA7A4F8331B45C7B0D3158B4994D0CA02"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PRADocScanCheck xmlns="814d62cb-2db6-4c25-ab62-b9075facbc11">false</APRADocScanCheck>
    <j163382b748246d3b6e7caae71dbeeb0 xmlns="814d62cb-2db6-4c25-ab62-b9075facbc1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84d6b2d0-8498-4d62-bf46-bab38babbe9e</TermId>
        </TermInfo>
      </Terms>
    </j163382b748246d3b6e7caae71dbeeb0>
    <l003ee8eff60461aa1bd0027aba92ea4 xmlns="814d62cb-2db6-4c25-ab62-b9075facbc11">
      <Terms xmlns="http://schemas.microsoft.com/office/infopath/2007/PartnerControls"/>
    </l003ee8eff60461aa1bd0027aba92ea4>
    <APRASecurityClassification xmlns="814d62cb-2db6-4c25-ab62-b9075facbc11">OFFICIAL</APRASecurityClassification>
    <p10c80fc2da942ae8f2ea9b33b6ea0ba xmlns="814d62cb-2db6-4c25-ab62-b9075facbc11">
      <Terms xmlns="http://schemas.microsoft.com/office/infopath/2007/PartnerControls">
        <TermInfo xmlns="http://schemas.microsoft.com/office/infopath/2007/PartnerControls">
          <TermName xmlns="http://schemas.microsoft.com/office/infopath/2007/PartnerControls">Legal - Superannuation</TermName>
          <TermId xmlns="http://schemas.microsoft.com/office/infopath/2007/PartnerControls">cce3181d-fd23-4eee-94d3-c66abc2350cf</TermId>
        </TermInfo>
        <TermInfo xmlns="http://schemas.microsoft.com/office/infopath/2007/PartnerControls">
          <TermName xmlns="http://schemas.microsoft.com/office/infopath/2007/PartnerControls">Legal - Insurance: General</TermName>
          <TermId xmlns="http://schemas.microsoft.com/office/infopath/2007/PartnerControls">8229dc1a-d7f2-47b2-844a-b026fed0c13d</TermId>
        </TermInfo>
        <TermInfo xmlns="http://schemas.microsoft.com/office/infopath/2007/PartnerControls">
          <TermName xmlns="http://schemas.microsoft.com/office/infopath/2007/PartnerControls">Legal - Insurance: Life</TermName>
          <TermId xmlns="http://schemas.microsoft.com/office/infopath/2007/PartnerControls">56f18b50-6605-4f3f-97e3-cad1cb5394e0</TermId>
        </TermInfo>
        <TermInfo xmlns="http://schemas.microsoft.com/office/infopath/2007/PartnerControls">
          <TermName xmlns="http://schemas.microsoft.com/office/infopath/2007/PartnerControls">Legal - Insurance: Health</TermName>
          <TermId xmlns="http://schemas.microsoft.com/office/infopath/2007/PartnerControls">21611e62-d688-4f0d-8807-02701cc43699</TermId>
        </TermInfo>
        <TermInfo xmlns="http://schemas.microsoft.com/office/infopath/2007/PartnerControls">
          <TermName xmlns="http://schemas.microsoft.com/office/infopath/2007/PartnerControls">Legal - Resolution ＆ Corporate</TermName>
          <TermId xmlns="http://schemas.microsoft.com/office/infopath/2007/PartnerControls">696624b1-19f4-47b2-a07b-57868a922a96</TermId>
        </TermInfo>
        <TermInfo xmlns="http://schemas.microsoft.com/office/infopath/2007/PartnerControls">
          <TermName xmlns="http://schemas.microsoft.com/office/infopath/2007/PartnerControls">Legal - ADI</TermName>
          <TermId xmlns="http://schemas.microsoft.com/office/infopath/2007/PartnerControls">652d8d2a-ab45-47b4-ac6e-fe6ac9299b39</TermId>
        </TermInfo>
      </Terms>
    </p10c80fc2da942ae8f2ea9b33b6ea0ba>
    <_dlc_DocId xmlns="814d62cb-2db6-4c25-ab62-b9075facbc11">5JENXJJSCC7A-445999044-11651</_dlc_DocId>
    <APRAOwner xmlns="814d62cb-2db6-4c25-ab62-b9075facbc11">
      <UserInfo>
        <DisplayName/>
        <AccountId xsi:nil="true"/>
        <AccountType/>
      </UserInfo>
    </APRAOwner>
    <pa005173035e41c3986b37b8e650f3ef xmlns="814d62cb-2db6-4c25-ab62-b9075facbc11">
      <Terms xmlns="http://schemas.microsoft.com/office/infopath/2007/PartnerControls"/>
    </pa005173035e41c3986b37b8e650f3ef>
    <ka2715b9eb154114a4f57d7fbf82ec75 xmlns="814d62cb-2db6-4c25-ab62-b9075facbc11">
      <Terms xmlns="http://schemas.microsoft.com/office/infopath/2007/PartnerControls"/>
    </ka2715b9eb154114a4f57d7fbf82ec75>
    <APRADescription xmlns="814d62cb-2db6-4c25-ab62-b9075facbc11" xsi:nil="true"/>
    <APRAActivityID xmlns="814d62cb-2db6-4c25-ab62-b9075facbc11" xsi:nil="true"/>
    <APRAApprovedBy xmlns="814d62cb-2db6-4c25-ab62-b9075facbc11">
      <UserInfo>
        <DisplayName/>
        <AccountId xsi:nil="true"/>
        <AccountType/>
      </UserInfo>
    </APRAApprovedBy>
    <f284b4f8578a44cfae4f67a86df81119 xmlns="814d62cb-2db6-4c25-ab62-b9075facbc11">
      <Terms xmlns="http://schemas.microsoft.com/office/infopath/2007/PartnerControls"/>
    </f284b4f8578a44cfae4f67a86df81119>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0e1e43df-81ea-47af-89d8-970d5d5956ff</TermId>
        </TermInfo>
      </Terms>
    </i08e72d8ce2b4ffa9361f9f4e0a63abc>
    <APRAKeywords xmlns="814d62cb-2db6-4c25-ab62-b9075facbc11" xsi:nil="true"/>
    <ic4067bd02f14cf3a95ad35878404a71 xmlns="814d62cb-2db6-4c25-ab62-b9075facbc11">
      <Terms xmlns="http://schemas.microsoft.com/office/infopath/2007/PartnerControls"/>
    </ic4067bd02f14cf3a95ad35878404a71>
    <i05115a133414b4dabee2531e4b46b67 xmlns="814d62cb-2db6-4c25-ab62-b9075facbc11">
      <Terms xmlns="http://schemas.microsoft.com/office/infopath/2007/PartnerControls">
        <TermInfo xmlns="http://schemas.microsoft.com/office/infopath/2007/PartnerControls">
          <TermName xmlns="http://schemas.microsoft.com/office/infopath/2007/PartnerControls">Prudential policy development</TermName>
          <TermId xmlns="http://schemas.microsoft.com/office/infopath/2007/PartnerControls">4cf81ba0-32a2-4f8f-8216-9e632903331b</TermId>
        </TermInfo>
      </Terms>
    </i05115a133414b4dabee2531e4b46b67>
    <_dlc_DocIdUrl xmlns="814d62cb-2db6-4c25-ab62-b9075facbc11">
      <Url>https://im/teams/LEGAL/_layouts/15/DocIdRedir.aspx?ID=5JENXJJSCC7A-445999044-11651</Url>
      <Description>5JENXJJSCC7A-445999044-11651</Description>
    </_dlc_DocIdUrl>
    <k4bcc0d734474fea9fb713d9c415b4b0 xmlns="814d62cb-2db6-4c25-ab62-b9075facbc11">
      <Terms xmlns="http://schemas.microsoft.com/office/infopath/2007/PartnerControls"/>
    </k4bcc0d734474fea9fb713d9c415b4b0>
    <j724204a644741eb9f777fcb03fe8840 xmlns="814d62cb-2db6-4c25-ab62-b9075facbc11">
      <Terms xmlns="http://schemas.microsoft.com/office/infopath/2007/PartnerControls"/>
    </j724204a644741eb9f777fcb03fe8840>
    <APRADate xmlns="814d62cb-2db6-4c25-ab62-b9075facbc11" xsi:nil="true"/>
    <aa36a5a650d54f768f171f4d17b8b238 xmlns="814d62cb-2db6-4c25-ab62-b9075facbc11">
      <Terms xmlns="http://schemas.microsoft.com/office/infopath/2007/PartnerControls"/>
    </aa36a5a650d54f768f171f4d17b8b238>
    <b37d8d7e823543f58f89056343a9035c xmlns="814d62cb-2db6-4c25-ab62-b9075facbc11">
      <Terms xmlns="http://schemas.microsoft.com/office/infopath/2007/PartnerControls"/>
    </b37d8d7e823543f58f89056343a9035c>
    <h67caa35a4114acd8e15fe89b3f29f9e xmlns="814d62cb-2db6-4c25-ab62-b9075facbc11">
      <Terms xmlns="http://schemas.microsoft.com/office/infopath/2007/PartnerControls">
        <TermInfo xmlns="http://schemas.microsoft.com/office/infopath/2007/PartnerControls">
          <TermName xmlns="http://schemas.microsoft.com/office/infopath/2007/PartnerControls">Response paper</TermName>
          <TermId xmlns="http://schemas.microsoft.com/office/infopath/2007/PartnerControls">62e4ec30-0990-4543-8d24-b298dde09b4c</TermId>
        </TermInfo>
        <TermInfo xmlns="http://schemas.microsoft.com/office/infopath/2007/PartnerControls">
          <TermName xmlns="http://schemas.microsoft.com/office/infopath/2007/PartnerControls">Regulation impact statement</TermName>
          <TermId xmlns="http://schemas.microsoft.com/office/infopath/2007/PartnerControls">a6de7b22-aec6-40f3-a54e-dbfeb004713c</TermId>
        </TermInfo>
      </Terms>
    </h67caa35a4114acd8e15fe89b3f29f9e>
    <APRAApprovalDate xmlns="814d62cb-2db6-4c25-ab62-b9075facbc11" xsi:nil="true"/>
    <m2df5fdf6d1643b4a596982762bb3d00 xmlns="814d62cb-2db6-4c25-ab62-b9075facbc11">
      <Terms xmlns="http://schemas.microsoft.com/office/infopath/2007/PartnerControls"/>
    </m2df5fdf6d1643b4a596982762bb3d00>
    <TaxCatchAll xmlns="814d62cb-2db6-4c25-ab62-b9075facbc11">
      <Value>134</Value>
      <Value>83</Value>
      <Value>435</Value>
      <Value>26</Value>
      <Value>93</Value>
      <Value>24</Value>
      <Value>230</Value>
      <Value>4</Value>
      <Value>512</Value>
      <Value>19</Value>
      <Value>136</Value>
    </TaxCatchAll>
    <d9a849fd1b8e46ada0321eb0681a10ee xmlns="814d62cb-2db6-4c25-ab62-b9075facbc11">
      <Terms xmlns="http://schemas.microsoft.com/office/infopath/2007/PartnerControls"/>
    </d9a849fd1b8e46ada0321eb0681a10ee>
    <APRAMeetingDate xmlns="814d62cb-2db6-4c25-ab62-b9075facbc11" xsi:nil="true"/>
    <APRAMeetingNumber xmlns="814d62cb-2db6-4c25-ab62-b9075facbc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6.xml><?xml version="1.0" encoding="utf-8"?>
<ct:contentTypeSchema xmlns:ct="http://schemas.microsoft.com/office/2006/metadata/contentType" xmlns:ma="http://schemas.microsoft.com/office/2006/metadata/properties/metaAttributes" ct:_="" ma:_="" ma:contentTypeName="Standard Content" ma:contentTypeID="0x0101008CA7A4F8331B45C7B0D3158B4994D0CA0200577EC0F5A1FBFC498F9A8436B963F8A6" ma:contentTypeVersion="73" ma:contentTypeDescription="Create a new document." ma:contentTypeScope="" ma:versionID="73e2e2cfc32a2691ee31d7af9bd362de">
  <xsd:schema xmlns:xsd="http://www.w3.org/2001/XMLSchema" xmlns:xs="http://www.w3.org/2001/XMLSchema" xmlns:p="http://schemas.microsoft.com/office/2006/metadata/properties" xmlns:ns1="814d62cb-2db6-4c25-ab62-b9075facbc11" targetNamespace="http://schemas.microsoft.com/office/2006/metadata/properties" ma:root="true" ma:fieldsID="7be0268868a1afd65d01f44ca09bb39c" ns1:_="">
    <xsd:import namespace="814d62cb-2db6-4c25-ab62-b9075facbc11"/>
    <xsd:element name="properties">
      <xsd:complexType>
        <xsd:sequence>
          <xsd:element name="documentManagement">
            <xsd:complexType>
              <xsd:all>
                <xsd:element ref="ns1:_dlc_DocIdUrl" minOccurs="0"/>
                <xsd:element ref="ns1:APRADescription" minOccurs="0"/>
                <xsd:element ref="ns1:APRAActivityID" minOccurs="0"/>
                <xsd:element ref="ns1:APRASecurityClassification"/>
                <xsd:element ref="ns1:APRAKeywords" minOccurs="0"/>
                <xsd:element ref="ns1:APRADate" minOccurs="0"/>
                <xsd:element ref="ns1:APRAOwner" minOccurs="0"/>
                <xsd:element ref="ns1:APRAApprovedBy" minOccurs="0"/>
                <xsd:element ref="ns1:APRAApprovalDate" minOccurs="0"/>
                <xsd:element ref="ns1:APRAEntityID" minOccurs="0"/>
                <xsd:element ref="ns1:APRAEntityName" minOccurs="0"/>
                <xsd:element ref="ns1:Received" minOccurs="0"/>
                <xsd:element ref="ns1:From-Address" minOccurs="0"/>
                <xsd:element ref="ns1:To-Address" minOccurs="0"/>
                <xsd:element ref="ns1:Attachment" minOccurs="0"/>
                <xsd:element ref="ns1:Conversation" minOccurs="0"/>
                <xsd:element ref="ns1:APRADocScanCheck" minOccurs="0"/>
                <xsd:element ref="ns1:j163382b748246d3b6e7caae71dbeeb0" minOccurs="0"/>
                <xsd:element ref="ns1:f284b4f8578a44cfae4f67a86df81119" minOccurs="0"/>
                <xsd:element ref="ns1:_dlc_DocIdPersistId" minOccurs="0"/>
                <xsd:element ref="ns1:i05115a133414b4dabee2531e4b46b67" minOccurs="0"/>
                <xsd:element ref="ns1:h67caa35a4114acd8e15fe89b3f29f9e" minOccurs="0"/>
                <xsd:element ref="ns1:pa005173035e41c3986b37b8e650f3ef" minOccurs="0"/>
                <xsd:element ref="ns1:p10c80fc2da942ae8f2ea9b33b6ea0ba" minOccurs="0"/>
                <xsd:element ref="ns1:ka2715b9eb154114a4f57d7fbf82ec75" minOccurs="0"/>
                <xsd:element ref="ns1:TaxCatchAll" minOccurs="0"/>
                <xsd:element ref="ns1:i08e72d8ce2b4ffa9361f9f4e0a63abc" minOccurs="0"/>
                <xsd:element ref="ns1:TaxCatchAllLabel" minOccurs="0"/>
                <xsd:element ref="ns1:ic4067bd02f14cf3a95ad35878404a71" minOccurs="0"/>
                <xsd:element ref="ns1:l003ee8eff60461aa1bd0027aba92ea4" minOccurs="0"/>
                <xsd:element ref="ns1:b37d8d7e823543f58f89056343a9035c" minOccurs="0"/>
                <xsd:element ref="ns1:_dlc_DocId" minOccurs="0"/>
                <xsd:element ref="ns1:aa36a5a650d54f768f171f4d17b8b238" minOccurs="0"/>
                <xsd:element ref="ns1:j724204a644741eb9f777fcb03fe8840" minOccurs="0"/>
                <xsd:element ref="ns1:m2df5fdf6d1643b4a596982762bb3d00" minOccurs="0"/>
                <xsd:element ref="ns1:k4bcc0d734474fea9fb713d9c415b4b0" minOccurs="0"/>
                <xsd:element ref="ns1:d9a849fd1b8e46ada0321eb0681a10ee" minOccurs="0"/>
                <xsd:element ref="ns1:APRAMeetingDate" minOccurs="0"/>
                <xsd:element ref="ns1:APRAMeeting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PRADescription" ma:index="3" nillable="true" ma:displayName="Description" ma:internalName="APRADescription">
      <xsd:simpleType>
        <xsd:restriction base="dms:Note"/>
      </xsd:simpleType>
    </xsd:element>
    <xsd:element name="APRAActivityID" ma:index="4" nillable="true" ma:displayName="Activity ID" ma:internalName="APRAActivityID" ma:readOnly="false">
      <xsd:simpleType>
        <xsd:restriction base="dms:Text"/>
      </xsd:simpleType>
    </xsd:element>
    <xsd:element name="APRASecurityClassification" ma:index="8" ma:displayName="Security classification" ma:default="OFFICIAL: Sensitive" ma:hidden="true" ma:internalName="APRASecurityClassification" ma:readOnly="false">
      <xsd:simpleType>
        <xsd:restriction base="dms:Choice">
          <xsd:enumeration value="OFFICIAL"/>
          <xsd:enumeration value="OFFICIAL: Sensitive"/>
          <xsd:enumeration value="OFFICIAL: Sensitive (APRA Act s56)"/>
          <xsd:enumeration value="OFFICIAL: Sensitive (Personal privacy)"/>
          <xsd:enumeration value="OFFICIAL: Sensitive (Legal privilege)"/>
          <xsd:enumeration value="OFFICIAL: Sensitive: NATIONAL CABINET"/>
          <xsd:enumeration value="OFFICIAL: Sensitive: NATIONAL CABINET (APRA Act s56)"/>
          <xsd:enumeration value="OFFICIAL: Sensitive: NATIONAL CABINET (Personal privacy)"/>
          <xsd:enumeration value="OFFICIAL: Sensitive: NATIONAL CABINET (Legal privilege)"/>
          <xsd:enumeration value="PROTECTED"/>
          <xsd:enumeration value="PROTECTED (APRA Act s56)"/>
          <xsd:enumeration value="PROTECTED (Personal privacy)"/>
          <xsd:enumeration value="PROTECTED (Legal privilege)"/>
          <xsd:enumeration value="PROTECTED: CABINET"/>
          <xsd:enumeration value="PROTECTED: CABINET (APRA Act s56)"/>
          <xsd:enumeration value="PROTECTED: CABINET (Personal privacy)"/>
          <xsd:enumeration value="PROTECTED: CABINET (Legal privilege)"/>
          <xsd:enumeration value="PROTECTED: NATIONAL CABINET"/>
          <xsd:enumeration value="PROTECTED: NATIONAL CABINET (APRA Act s56)"/>
          <xsd:enumeration value="PROTECTED: NATIONAL CABINET (Personal privacy)"/>
          <xsd:enumeration value="PROTECTED: NATIONAL CABINET (Legal privilege)"/>
          <xsd:enumeration value="UNCLASSIFIED"/>
          <xsd:enumeration value="DLM: For Official Use Only"/>
          <xsd:enumeration value="DLM: Sensitive"/>
          <xsd:enumeration value="DLM: Sensitive: Legal"/>
          <xsd:enumeration value="DLM: Sensitive: Personal"/>
          <xsd:enumeration value="PROTECTED: Sensitive: Cabinet"/>
          <xsd:enumeration value="UNOFFICIAL"/>
        </xsd:restriction>
      </xsd:simpleType>
    </xsd:element>
    <xsd:element name="APRAKeywords" ma:index="16" nillable="true" ma:displayName="Keywords" ma:internalName="APRAKeywords" ma:readOnly="false">
      <xsd:simpleType>
        <xsd:restriction base="dms:Text"/>
      </xsd:simpleType>
    </xsd:element>
    <xsd:element name="APRADate" ma:index="18" nillable="true" ma:displayName="Date" ma:format="DateOnly" ma:internalName="APRADate" ma:readOnly="false">
      <xsd:simpleType>
        <xsd:restriction base="dms:DateTime"/>
      </xsd:simpleType>
    </xsd:element>
    <xsd:element name="APRAOwner" ma:index="21" nillable="true" ma:displayName="Owner" ma:list="UserInfo" ma:internalName="APRA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edBy" ma:index="22" nillable="true" ma:displayName="Approved by" ma:list="UserInfo" ma:internalName="APRA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alDate" ma:index="23" nillable="true" ma:displayName="Approval date" ma:format="DateOnly" ma:internalName="APRAApprovalDate" ma:readOnly="false">
      <xsd:simpleType>
        <xsd:restriction base="dms:DateTime"/>
      </xsd:simpleType>
    </xsd:element>
    <xsd:element name="APRAEntityID" ma:index="24" nillable="true" ma:displayName="Entity ID" ma:internalName="APRAEntityID" ma:readOnly="true">
      <xsd:simpleType>
        <xsd:restriction base="dms:Text"/>
      </xsd:simpleType>
    </xsd:element>
    <xsd:element name="APRAEntityName" ma:index="25" nillable="true" ma:displayName="Entity name" ma:internalName="APRAEntityName" ma:readOnly="true">
      <xsd:simpleType>
        <xsd:restriction base="dms:Text"/>
      </xsd:simpleType>
    </xsd:element>
    <xsd:element name="Received" ma:index="28" nillable="true" ma:displayName="Received" ma:format="DateTime" ma:internalName="Received" ma:readOnly="true">
      <xsd:simpleType>
        <xsd:restriction base="dms:DateTime"/>
      </xsd:simpleType>
    </xsd:element>
    <xsd:element name="From-Address" ma:index="29" nillable="true" ma:displayName="From-Address" ma:internalName="From_x002d_Address" ma:readOnly="true">
      <xsd:simpleType>
        <xsd:restriction base="dms:Text"/>
      </xsd:simpleType>
    </xsd:element>
    <xsd:element name="To-Address" ma:index="30" nillable="true" ma:displayName="To-Address" ma:internalName="To_x002d_Address" ma:readOnly="true">
      <xsd:simpleType>
        <xsd:restriction base="dms:Text"/>
      </xsd:simpleType>
    </xsd:element>
    <xsd:element name="Attachment" ma:index="31" nillable="true" ma:displayName="Attachment" ma:internalName="Attachment" ma:readOnly="true">
      <xsd:simpleType>
        <xsd:restriction base="dms:Boolean"/>
      </xsd:simpleType>
    </xsd:element>
    <xsd:element name="Conversation" ma:index="32" nillable="true" ma:displayName="Conversation" ma:internalName="Conversation" ma:readOnly="true">
      <xsd:simpleType>
        <xsd:restriction base="dms:Text"/>
      </xsd:simpleType>
    </xsd:element>
    <xsd:element name="APRADocScanCheck" ma:index="33" nillable="true" ma:displayName="Scanned document checked" ma:default="0" ma:internalName="APRADocScanCheck" ma:readOnly="false">
      <xsd:simpleType>
        <xsd:restriction base="dms:Boolean"/>
      </xsd:simpleType>
    </xsd:element>
    <xsd:element name="j163382b748246d3b6e7caae71dbeeb0" ma:index="34" ma:taxonomy="true" ma:internalName="j163382b748246d3b6e7caae71dbeeb0" ma:taxonomyFieldName="APRAStatus" ma:displayName="Status" ma:readOnly="false" ma:default="1;#Draft|0e1556d2-3fe8-443a-ada7-3620563b46b3" ma:fieldId="{3163382b-7482-46d3-b6e7-caae71dbeeb0}" ma:sspId="8aef97a4-ded2-4e4a-9fbc-e666dae3ecd2" ma:termSetId="7eb4e65e-417b-4c63-9676-ecbbffa46ffa" ma:anchorId="00000000-0000-0000-0000-000000000000" ma:open="false" ma:isKeyword="false">
      <xsd:complexType>
        <xsd:sequence>
          <xsd:element ref="pc:Terms" minOccurs="0" maxOccurs="1"/>
        </xsd:sequence>
      </xsd:complexType>
    </xsd:element>
    <xsd:element name="f284b4f8578a44cfae4f67a86df81119" ma:index="35" nillable="true" ma:taxonomy="true" ma:internalName="f284b4f8578a44cfae4f67a86df81119" ma:taxonomyFieldName="APRAReportingGroup" ma:displayName="Reporting group" ma:readOnly="true" ma:fieldId="{f284b4f8-578a-44cf-ae4f-67a86df81119}" ma:sspId="8aef97a4-ded2-4e4a-9fbc-e666dae3ecd2" ma:termSetId="c09f06e2-9097-495c-bd1d-5eef1197c3cb" ma:anchorId="00000000-0000-0000-0000-000000000000" ma:open="false" ma:isKeyword="false">
      <xsd:complexType>
        <xsd:sequence>
          <xsd:element ref="pc:Terms" minOccurs="0" maxOccurs="1"/>
        </xsd:sequence>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i05115a133414b4dabee2531e4b46b67" ma:index="39"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element name="h67caa35a4114acd8e15fe89b3f29f9e" ma:index="40" ma:taxonomy="true" ma:internalName="h67caa35a4114acd8e15fe89b3f29f9e" ma:taxonomyFieldName="APRADocumentType" ma:displayName="Document type" ma:readOnly="false" ma:fieldId="{167caa35-a411-4acd-8e15-fe89b3f29f9e}" ma:taxonomyMulti="true" ma:sspId="8aef97a4-ded2-4e4a-9fbc-e666dae3ecd2" ma:termSetId="af1c35f7-5763-4cde-bc1a-b0c7e164f1eb" ma:anchorId="00000000-0000-0000-0000-000000000000" ma:open="false" ma:isKeyword="false">
      <xsd:complexType>
        <xsd:sequence>
          <xsd:element ref="pc:Terms" minOccurs="0" maxOccurs="1"/>
        </xsd:sequence>
      </xsd:complexType>
    </xsd:element>
    <xsd:element name="pa005173035e41c3986b37b8e650f3ef" ma:index="41" nillable="true" ma:taxonomy="true" ma:internalName="pa005173035e41c3986b37b8e650f3ef" ma:taxonomyFieldName="APRAExternalOrganisation" ma:displayName="External organisation" ma:readOnly="false" ma:fieldId="{9a005173-035e-41c3-986b-37b8e650f3ef}" ma:taxonomyMulti="true" ma:sspId="8aef97a4-ded2-4e4a-9fbc-e666dae3ecd2" ma:termSetId="8f5dd4ac-0a4b-4ffd-a2d2-a2e85755e1cd" ma:anchorId="00000000-0000-0000-0000-000000000000" ma:open="false" ma:isKeyword="false">
      <xsd:complexType>
        <xsd:sequence>
          <xsd:element ref="pc:Terms" minOccurs="0" maxOccurs="1"/>
        </xsd:sequence>
      </xsd:complexType>
    </xsd:element>
    <xsd:element name="p10c80fc2da942ae8f2ea9b33b6ea0ba" ma:index="43" nillable="true" ma:taxonomy="true" ma:internalName="p10c80fc2da942ae8f2ea9b33b6ea0ba" ma:taxonomyFieldName="APRACostCentre" ma:displayName="Cost Centre/Team" ma:readOnly="false" ma:fieldId="{910c80fc-2da9-42ae-8f2e-a9b33b6ea0ba}" ma:taxonomyMulti="true" ma:sspId="8aef97a4-ded2-4e4a-9fbc-e666dae3ecd2" ma:termSetId="f265c3b6-05fc-4e2c-ba60-4d4988c2d861" ma:anchorId="00000000-0000-0000-0000-000000000000" ma:open="false" ma:isKeyword="false">
      <xsd:complexType>
        <xsd:sequence>
          <xsd:element ref="pc:Terms" minOccurs="0" maxOccurs="1"/>
        </xsd:sequence>
      </xsd:complexType>
    </xsd:element>
    <xsd:element name="ka2715b9eb154114a4f57d7fbf82ec75" ma:index="4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TaxCatchAll" ma:index="46" nillable="true" ma:displayName="Taxonomy Catch All Column" ma:hidden="true" ma:list="{84347c30-9e0d-4c46-b2d7-e19e22f5828c}" ma:internalName="TaxCatchAll" ma:showField="CatchAllData"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08e72d8ce2b4ffa9361f9f4e0a63abc" ma:index="4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TaxCatchAllLabel" ma:index="48" nillable="true" ma:displayName="Taxonomy Catch All Column1" ma:hidden="true" ma:list="{84347c30-9e0d-4c46-b2d7-e19e22f5828c}" ma:internalName="TaxCatchAllLabel" ma:readOnly="true" ma:showField="CatchAllDataLabel"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c4067bd02f14cf3a95ad35878404a71" ma:index="49" nillable="true" ma:taxonomy="true" ma:internalName="ic4067bd02f14cf3a95ad35878404a71" ma:taxonomyFieldName="APRAIRTR" ma:displayName="Industry risk/thematic review" ma:readOnly="false" ma:fieldId="{2c4067bd-02f1-4cf3-a95a-d35878404a71}" ma:taxonomyMulti="true" ma:sspId="8aef97a4-ded2-4e4a-9fbc-e666dae3ecd2" ma:termSetId="6721df7c-916a-435f-a198-7feb96db3976" ma:anchorId="00000000-0000-0000-0000-000000000000" ma:open="false" ma:isKeyword="false">
      <xsd:complexType>
        <xsd:sequence>
          <xsd:element ref="pc:Terms" minOccurs="0" maxOccurs="1"/>
        </xsd:sequence>
      </xsd:complexType>
    </xsd:element>
    <xsd:element name="l003ee8eff60461aa1bd0027aba92ea4" ma:index="50"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b37d8d7e823543f58f89056343a9035c" ma:index="51" nillable="true" ma:taxonomy="true" ma:internalName="b37d8d7e823543f58f89056343a9035c" ma:taxonomyFieldName="APRALegislation" ma:displayName="Legislation" ma:readOnly="false" ma:fieldId="{b37d8d7e-8235-43f5-8f89-056343a9035c}" ma:taxonomyMulti="true" ma:sspId="8aef97a4-ded2-4e4a-9fbc-e666dae3ecd2" ma:termSetId="67e0a470-b4af-4691-908a-b900ee38db35" ma:anchorId="00000000-0000-0000-0000-000000000000" ma:open="false" ma:isKeyword="false">
      <xsd:complexType>
        <xsd:sequence>
          <xsd:element ref="pc:Terms" minOccurs="0" maxOccurs="1"/>
        </xsd:sequence>
      </xsd:complex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aa36a5a650d54f768f171f4d17b8b238" ma:index="53"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j724204a644741eb9f777fcb03fe8840" ma:index="55" nillable="true" ma:taxonomy="true" ma:internalName="j724204a644741eb9f777fcb03fe8840" ma:taxonomyFieldName="APRACategory" ma:displayName="Category" ma:readOnly="false" ma:fieldId="{3724204a-6447-41eb-9f77-7fcb03fe8840}" ma:taxonomyMulti="true" ma:sspId="8aef97a4-ded2-4e4a-9fbc-e666dae3ecd2" ma:termSetId="41464afd-e131-42da-a884-f3396a619f5e" ma:anchorId="00000000-0000-0000-0000-000000000000" ma:open="false" ma:isKeyword="false">
      <xsd:complexType>
        <xsd:sequence>
          <xsd:element ref="pc:Terms" minOccurs="0" maxOccurs="1"/>
        </xsd:sequence>
      </xsd:complexType>
    </xsd:element>
    <xsd:element name="m2df5fdf6d1643b4a596982762bb3d00" ma:index="56" nillable="true" ma:taxonomy="true" ma:internalName="m2df5fdf6d1643b4a596982762bb3d00" ma:taxonomyFieldName="APRAPeerGroup" ma:displayName="Peer group" ma:readOnly="true" ma:fieldId="{62df5fdf-6d16-43b4-a596-982762bb3d00}" ma:sspId="8aef97a4-ded2-4e4a-9fbc-e666dae3ecd2" ma:termSetId="c3795591-82c1-4a32-b59e-800e245eddf3" ma:anchorId="00000000-0000-0000-0000-000000000000" ma:open="false" ma:isKeyword="false">
      <xsd:complexType>
        <xsd:sequence>
          <xsd:element ref="pc:Terms" minOccurs="0" maxOccurs="1"/>
        </xsd:sequence>
      </xsd:complexType>
    </xsd:element>
    <xsd:element name="k4bcc0d734474fea9fb713d9c415b4b0" ma:index="57" nillable="true" ma:taxonomy="true" ma:internalName="k4bcc0d734474fea9fb713d9c415b4b0" ma:taxonomyFieldName="APRAEntityAdviceSupport" ma:displayName="Entity (advice/support)" ma:readOnly="false" ma:fieldId="{44bcc0d7-3447-4fea-9fb7-13d9c415b4b0}" ma:taxonomyMulti="true" ma:sspId="8aef97a4-ded2-4e4a-9fbc-e666dae3ecd2" ma:termSetId="65e4e273-0c24-4815-bb8d-38cd0e8111f8" ma:anchorId="00000000-0000-0000-0000-000000000000" ma:open="false" ma:isKeyword="false">
      <xsd:complexType>
        <xsd:sequence>
          <xsd:element ref="pc:Terms" minOccurs="0" maxOccurs="1"/>
        </xsd:sequence>
      </xsd:complexType>
    </xsd:element>
    <xsd:element name="d9a849fd1b8e46ada0321eb0681a10ee" ma:index="59" nillable="true" ma:taxonomy="true" ma:internalName="d9a849fd1b8e46ada0321eb0681a10ee" ma:taxonomyFieldName="IT_x0020_system_x0020_type" ma:displayName="IT system type" ma:readOnly="false" ma:default="" ma:fieldId="{d9a849fd-1b8e-46ad-a032-1eb0681a10ee}" ma:sspId="8aef97a4-ded2-4e4a-9fbc-e666dae3ecd2" ma:termSetId="a68d55e5-4bde-43c7-bab2-2f4763c2c76b" ma:anchorId="00000000-0000-0000-0000-000000000000" ma:open="false" ma:isKeyword="false">
      <xsd:complexType>
        <xsd:sequence>
          <xsd:element ref="pc:Terms" minOccurs="0" maxOccurs="1"/>
        </xsd:sequence>
      </xsd:complexType>
    </xsd:element>
    <xsd:element name="APRAMeetingDate" ma:index="61" nillable="true" ma:displayName="Meeting date" ma:format="DateOnly" ma:internalName="APRAMeetingDate" ma:readOnly="false">
      <xsd:simpleType>
        <xsd:restriction base="dms:DateTime"/>
      </xsd:simpleType>
    </xsd:element>
    <xsd:element name="APRAMeetingNumber" ma:index="62" nillable="true" ma:displayName="Meeting no." ma:internalName="APRAMeeting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FE982-500A-45A7-BEA0-D82FCDB8AC1D}">
  <ds:schemaRefs>
    <ds:schemaRef ds:uri="Microsoft.SharePoint.Taxonomy.ContentTypeSync"/>
  </ds:schemaRefs>
</ds:datastoreItem>
</file>

<file path=customXml/itemProps2.xml><?xml version="1.0" encoding="utf-8"?>
<ds:datastoreItem xmlns:ds="http://schemas.openxmlformats.org/officeDocument/2006/customXml" ds:itemID="{2E7016C1-9672-47E4-B607-57C6FF6CA350}">
  <ds:schemaRefs>
    <ds:schemaRef ds:uri="http://schemas.microsoft.com/sharepoint/events"/>
  </ds:schemaRefs>
</ds:datastoreItem>
</file>

<file path=customXml/itemProps3.xml><?xml version="1.0" encoding="utf-8"?>
<ds:datastoreItem xmlns:ds="http://schemas.openxmlformats.org/officeDocument/2006/customXml" ds:itemID="{9E987420-5586-4833-962C-B28CF349C894}">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purl.org/dc/elements/1.1/"/>
    <ds:schemaRef ds:uri="814d62cb-2db6-4c25-ab62-b9075facbc11"/>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3198ECC7-57B7-4834-B7C7-E9FD6DB66376}">
  <ds:schemaRefs>
    <ds:schemaRef ds:uri="http://schemas.microsoft.com/sharepoint/v3/contenttype/forms"/>
  </ds:schemaRefs>
</ds:datastoreItem>
</file>

<file path=customXml/itemProps5.xml><?xml version="1.0" encoding="utf-8"?>
<ds:datastoreItem xmlns:ds="http://schemas.openxmlformats.org/officeDocument/2006/customXml" ds:itemID="{08D004BE-0F74-4743-90AD-5A5BC1CB7B23}">
  <ds:schemaRefs>
    <ds:schemaRef ds:uri="http://schemas.microsoft.com/office/2006/customDocumentInformationPanel"/>
  </ds:schemaRefs>
</ds:datastoreItem>
</file>

<file path=customXml/itemProps6.xml><?xml version="1.0" encoding="utf-8"?>
<ds:datastoreItem xmlns:ds="http://schemas.openxmlformats.org/officeDocument/2006/customXml" ds:itemID="{BB823CC8-44E9-4EE7-8F51-3900CC3C6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5B76844-7060-40D2-8337-2B63B20E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6328</Words>
  <Characters>34870</Characters>
  <Application>Microsoft Office Word</Application>
  <DocSecurity>0</DocSecurity>
  <Lines>726</Lines>
  <Paragraphs>343</Paragraphs>
  <ScaleCrop>false</ScaleCrop>
  <HeadingPairs>
    <vt:vector size="2" baseType="variant">
      <vt:variant>
        <vt:lpstr>Title</vt:lpstr>
      </vt:variant>
      <vt:variant>
        <vt:i4>1</vt:i4>
      </vt:variant>
    </vt:vector>
  </HeadingPairs>
  <TitlesOfParts>
    <vt:vector size="1" baseType="lpstr">
      <vt:lpstr>Response to submissions - APS 220</vt:lpstr>
    </vt:vector>
  </TitlesOfParts>
  <Company>APRA</Company>
  <LinksUpToDate>false</LinksUpToDate>
  <CharactersWithSpaces>40855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submissions - APS 220</dc:title>
  <dc:subject/>
  <dc:creator>Riley, Paul</dc:creator>
  <cp:keywords>[SEC=OFFICIAL]</cp:keywords>
  <dc:description/>
  <cp:lastModifiedBy>Michalis, Toni</cp:lastModifiedBy>
  <cp:revision>2</cp:revision>
  <cp:lastPrinted>2019-12-10T22:16:00Z</cp:lastPrinted>
  <dcterms:created xsi:type="dcterms:W3CDTF">2021-11-25T05:34:00Z</dcterms:created>
  <dcterms:modified xsi:type="dcterms:W3CDTF">2021-11-25T05:34:00Z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or_Hash_SHA1">
    <vt:lpwstr>C3AD57350F36D8E1BD75F8F67CB06D435C9C43CA</vt:lpwstr>
  </property>
  <property fmtid="{D5CDD505-2E9C-101B-9397-08002B2CF9AE}" pid="3" name="PM_SecurityClassification">
    <vt:lpwstr>OFFICIAL</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Hash_SHA1">
    <vt:lpwstr>EAB13AFAF4E1EBC346E62DA7626AC10229EA8C5E</vt:lpwstr>
  </property>
  <property fmtid="{D5CDD505-2E9C-101B-9397-08002B2CF9AE}" pid="7" name="PM_InsertionValue">
    <vt:lpwstr>OFFICIAL</vt:lpwstr>
  </property>
  <property fmtid="{D5CDD505-2E9C-101B-9397-08002B2CF9AE}" pid="8" name="PM_Hash_Salt">
    <vt:lpwstr>D4E21917FBF27F72CF50D5F0EA44E16C</vt:lpwstr>
  </property>
  <property fmtid="{D5CDD505-2E9C-101B-9397-08002B2CF9AE}" pid="9" name="PM_Hash_Version">
    <vt:lpwstr>2018.0</vt:lpwstr>
  </property>
  <property fmtid="{D5CDD505-2E9C-101B-9397-08002B2CF9AE}" pid="10" name="PM_Hash_Salt_Prev">
    <vt:lpwstr>CD864D943DA32F9F4C6594394702F2B7</vt:lpwstr>
  </property>
  <property fmtid="{D5CDD505-2E9C-101B-9397-08002B2CF9AE}" pid="11" name="PM_Caveats_Count">
    <vt:lpwstr>0</vt:lpwstr>
  </property>
  <property fmtid="{D5CDD505-2E9C-101B-9397-08002B2CF9AE}" pid="12" name="PM_SecurityClassification_Prev">
    <vt:lpwstr>UNCLASSIFIED</vt:lpwstr>
  </property>
  <property fmtid="{D5CDD505-2E9C-101B-9397-08002B2CF9AE}" pid="13" name="PM_Qualifier_Prev">
    <vt:lpwstr/>
  </property>
  <property fmtid="{D5CDD505-2E9C-101B-9397-08002B2CF9AE}" pid="14" name="PM_ProtectiveMarkingImage_Header">
    <vt:lpwstr>C:\Program Files\Common Files\janusNET Shared\janusSEAL\Images\DocumentSlashBlue.png</vt:lpwstr>
  </property>
  <property fmtid="{D5CDD505-2E9C-101B-9397-08002B2CF9AE}" pid="15" name="PM_ProtectiveMarkingValue_Header">
    <vt:lpwstr>OFFICIAL</vt:lpwstr>
  </property>
  <property fmtid="{D5CDD505-2E9C-101B-9397-08002B2CF9AE}" pid="16" name="PM_ProtectiveMarkingValue_Footer">
    <vt:lpwstr>OFFICIAL</vt:lpwstr>
  </property>
  <property fmtid="{D5CDD505-2E9C-101B-9397-08002B2CF9AE}" pid="17" name="PM_ProtectiveMarkingImage_Footer">
    <vt:lpwstr>C:\Program Files\Common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Originating_FileId">
    <vt:lpwstr>C3F9ED0EFEE947609DC8D002D7B6297F</vt:lpwstr>
  </property>
  <property fmtid="{D5CDD505-2E9C-101B-9397-08002B2CF9AE}" pid="21" name="PM_OriginationTimeStamp">
    <vt:lpwstr>2021-11-25T05:34:21Z</vt:lpwstr>
  </property>
  <property fmtid="{D5CDD505-2E9C-101B-9397-08002B2CF9AE}" pid="22" name="PM_MinimumSecurityClassification">
    <vt:lpwstr/>
  </property>
  <property fmtid="{D5CDD505-2E9C-101B-9397-08002B2CF9AE}" pid="23" name="APRASupervisionActivity">
    <vt:lpwstr/>
  </property>
  <property fmtid="{D5CDD505-2E9C-101B-9397-08002B2CF9AE}" pid="24" name="ddd07bbf36a141a39f8147ea6432ba05">
    <vt:lpwstr/>
  </property>
  <property fmtid="{D5CDD505-2E9C-101B-9397-08002B2CF9AE}" pid="25" name="g0806d3060cc4942a58b2ecf989290ba">
    <vt:lpwstr/>
  </property>
  <property fmtid="{D5CDD505-2E9C-101B-9397-08002B2CF9AE}" pid="26" name="i4e4d1b1941346c0a613fbc8252e9520">
    <vt:lpwstr/>
  </property>
  <property fmtid="{D5CDD505-2E9C-101B-9397-08002B2CF9AE}" pid="27" name="APRACostCentre">
    <vt:lpwstr>134;#Legal - Superannuation|cce3181d-fd23-4eee-94d3-c66abc2350cf;#26;#Legal - Insurance: General|8229dc1a-d7f2-47b2-844a-b026fed0c13d;#83;#Legal - Insurance: Life|56f18b50-6605-4f3f-97e3-cad1cb5394e0;#93;#Legal - Insurance: Health|21611e62-d688-4f0d-8807-02701cc43699;#4;#Legal - Resolution ＆ Corporate|696624b1-19f4-47b2-a07b-57868a922a96;#24;#Legal - ADI|652d8d2a-ab45-47b4-ac6e-fe6ac9299b39</vt:lpwstr>
  </property>
  <property fmtid="{D5CDD505-2E9C-101B-9397-08002B2CF9AE}" pid="28" name="APRALevelRole">
    <vt:lpwstr/>
  </property>
  <property fmtid="{D5CDD505-2E9C-101B-9397-08002B2CF9AE}" pid="29" name="ContentTypeId">
    <vt:lpwstr>0x0101008CA7A4F8331B45C7B0D3158B4994D0CA0200577EC0F5A1FBFC498F9A8436B963F8A6</vt:lpwstr>
  </property>
  <property fmtid="{D5CDD505-2E9C-101B-9397-08002B2CF9AE}" pid="30" name="APRACourse">
    <vt:lpwstr/>
  </property>
  <property fmtid="{D5CDD505-2E9C-101B-9397-08002B2CF9AE}" pid="31" name="ad304c4a429d418787e029ef4ecab7ed">
    <vt:lpwstr/>
  </property>
  <property fmtid="{D5CDD505-2E9C-101B-9397-08002B2CF9AE}" pid="32" name="_dlc_DocIdItemGuid">
    <vt:lpwstr>cab4193f-d796-49db-aa60-44c2c3fd308a</vt:lpwstr>
  </property>
  <property fmtid="{D5CDD505-2E9C-101B-9397-08002B2CF9AE}" pid="33" name="APRACategory">
    <vt:lpwstr/>
  </property>
  <property fmtid="{D5CDD505-2E9C-101B-9397-08002B2CF9AE}" pid="34" name="APRAPeerGroup">
    <vt:lpwstr/>
  </property>
  <property fmtid="{D5CDD505-2E9C-101B-9397-08002B2CF9AE}" pid="35" name="APRADocumentType">
    <vt:lpwstr>512;#Response paper|62e4ec30-0990-4543-8d24-b298dde09b4c;#435;#Regulation impact statement|a6de7b22-aec6-40f3-a54e-dbfeb004713c</vt:lpwstr>
  </property>
  <property fmtid="{D5CDD505-2E9C-101B-9397-08002B2CF9AE}" pid="36" name="APRAStatus">
    <vt:lpwstr>19;#Final|84d6b2d0-8498-4d62-bf46-bab38babbe9e</vt:lpwstr>
  </property>
  <property fmtid="{D5CDD505-2E9C-101B-9397-08002B2CF9AE}" pid="37" name="APRAPRSG">
    <vt:lpwstr/>
  </property>
  <property fmtid="{D5CDD505-2E9C-101B-9397-08002B2CF9AE}" pid="38" name="nd319d6a8658476c9a69eb3486399f3a">
    <vt:lpwstr/>
  </property>
  <property fmtid="{D5CDD505-2E9C-101B-9397-08002B2CF9AE}" pid="39" name="lf4d1daa69264fbd938fe6384736f7f1">
    <vt:lpwstr/>
  </property>
  <property fmtid="{D5CDD505-2E9C-101B-9397-08002B2CF9AE}" pid="40" name="APRAReportingGroup">
    <vt:lpwstr/>
  </property>
  <property fmtid="{D5CDD505-2E9C-101B-9397-08002B2CF9AE}" pid="41" name="APRAActivity">
    <vt:lpwstr>136;#Prudential policy development|4cf81ba0-32a2-4f8f-8216-9e632903331b</vt:lpwstr>
  </property>
  <property fmtid="{D5CDD505-2E9C-101B-9397-08002B2CF9AE}" pid="42" name="APRAEntityAdviceSupport">
    <vt:lpwstr/>
  </property>
  <property fmtid="{D5CDD505-2E9C-101B-9397-08002B2CF9AE}" pid="43" name="ic765c8e09034901a685bcb96e8e5b2b">
    <vt:lpwstr/>
  </property>
  <property fmtid="{D5CDD505-2E9C-101B-9397-08002B2CF9AE}" pid="44" name="APRATemplateType">
    <vt:lpwstr>23;#Policy|f1d41970-be64-43ea-8d6f-300cb1384ee7</vt:lpwstr>
  </property>
  <property fmtid="{D5CDD505-2E9C-101B-9397-08002B2CF9AE}" pid="45" name="APRAYear">
    <vt:lpwstr>230;#2021|0e1e43df-81ea-47af-89d8-970d5d5956ff</vt:lpwstr>
  </property>
  <property fmtid="{D5CDD505-2E9C-101B-9397-08002B2CF9AE}" pid="46" name="APRAIndustry">
    <vt:lpwstr/>
  </property>
  <property fmtid="{D5CDD505-2E9C-101B-9397-08002B2CF9AE}" pid="47" name="APRALegislation">
    <vt:lpwstr/>
  </property>
  <property fmtid="{D5CDD505-2E9C-101B-9397-08002B2CF9AE}" pid="48" name="d08d6dad2c984a7fac728f38cd2b3368">
    <vt:lpwstr/>
  </property>
  <property fmtid="{D5CDD505-2E9C-101B-9397-08002B2CF9AE}" pid="49" name="Language">
    <vt:lpwstr>English</vt:lpwstr>
  </property>
  <property fmtid="{D5CDD505-2E9C-101B-9397-08002B2CF9AE}" pid="50" name="APRAExternalOrganisation">
    <vt:lpwstr/>
  </property>
  <property fmtid="{D5CDD505-2E9C-101B-9397-08002B2CF9AE}" pid="51" name="APRAPrecedentCategory">
    <vt:lpwstr/>
  </property>
  <property fmtid="{D5CDD505-2E9C-101B-9397-08002B2CF9AE}" pid="52" name="i203ac9837b842bb9bbae1464c65f93b">
    <vt:lpwstr/>
  </property>
  <property fmtid="{D5CDD505-2E9C-101B-9397-08002B2CF9AE}" pid="53" name="APRAIRTR">
    <vt:lpwstr/>
  </property>
  <property fmtid="{D5CDD505-2E9C-101B-9397-08002B2CF9AE}" pid="54" name="APRAPeriod">
    <vt:lpwstr/>
  </property>
  <property fmtid="{D5CDD505-2E9C-101B-9397-08002B2CF9AE}" pid="55" name="APRAPrecedentSubCategory">
    <vt:lpwstr/>
  </property>
  <property fmtid="{D5CDD505-2E9C-101B-9397-08002B2CF9AE}" pid="56" name="IT system type">
    <vt:lpwstr/>
  </property>
  <property fmtid="{D5CDD505-2E9C-101B-9397-08002B2CF9AE}" pid="57" name="RecordPoint_WorkflowType">
    <vt:lpwstr>ActiveSubmitStub</vt:lpwstr>
  </property>
  <property fmtid="{D5CDD505-2E9C-101B-9397-08002B2CF9AE}" pid="58" name="RecordPoint_ActiveItemSiteId">
    <vt:lpwstr>{88691c01-5bbb-4215-adc0-66cb7065b0af}</vt:lpwstr>
  </property>
  <property fmtid="{D5CDD505-2E9C-101B-9397-08002B2CF9AE}" pid="59" name="RecordPoint_ActiveItemListId">
    <vt:lpwstr>{0e59e171-09d8-4401-800a-327154450cb3}</vt:lpwstr>
  </property>
  <property fmtid="{D5CDD505-2E9C-101B-9397-08002B2CF9AE}" pid="60" name="RecordPoint_ActiveItemUniqueId">
    <vt:lpwstr>{cab4193f-d796-49db-aa60-44c2c3fd308a}</vt:lpwstr>
  </property>
  <property fmtid="{D5CDD505-2E9C-101B-9397-08002B2CF9AE}" pid="61" name="RecordPoint_ActiveItemWebId">
    <vt:lpwstr>{75a71c27-8d66-4282-ae60-1bfc22a83be1}</vt:lpwstr>
  </property>
  <property fmtid="{D5CDD505-2E9C-101B-9397-08002B2CF9AE}" pid="62" name="IsLocked">
    <vt:lpwstr>False</vt:lpwstr>
  </property>
  <property fmtid="{D5CDD505-2E9C-101B-9397-08002B2CF9AE}" pid="63" name="RecordPoint_RecordNumberSubmitted">
    <vt:lpwstr>R0000978365</vt:lpwstr>
  </property>
  <property fmtid="{D5CDD505-2E9C-101B-9397-08002B2CF9AE}" pid="64" name="PM_Note">
    <vt:lpwstr/>
  </property>
  <property fmtid="{D5CDD505-2E9C-101B-9397-08002B2CF9AE}" pid="65" name="PM_Markers">
    <vt:lpwstr/>
  </property>
  <property fmtid="{D5CDD505-2E9C-101B-9397-08002B2CF9AE}" pid="66" name="RecordPoint_SubmissionCompleted">
    <vt:lpwstr>2019-12-16T18:18:47.8940461+11:00</vt:lpwstr>
  </property>
  <property fmtid="{D5CDD505-2E9C-101B-9397-08002B2CF9AE}" pid="67" name="RecordPoint_SubmissionDate">
    <vt:lpwstr/>
  </property>
  <property fmtid="{D5CDD505-2E9C-101B-9397-08002B2CF9AE}" pid="68" name="RecordPoint_ActiveItemMoved">
    <vt:lpwstr/>
  </property>
  <property fmtid="{D5CDD505-2E9C-101B-9397-08002B2CF9AE}" pid="69" name="RecordPoint_RecordFormat">
    <vt:lpwstr/>
  </property>
  <property fmtid="{D5CDD505-2E9C-101B-9397-08002B2CF9AE}" pid="70" name="_docset_NoMedatataSyncRequired">
    <vt:lpwstr>False</vt:lpwstr>
  </property>
  <property fmtid="{D5CDD505-2E9C-101B-9397-08002B2CF9AE}" pid="71" name="PM_Display">
    <vt:lpwstr>OFFICIAL</vt:lpwstr>
  </property>
  <property fmtid="{D5CDD505-2E9C-101B-9397-08002B2CF9AE}" pid="72" name="PM_OriginatorUserAccountName_SHA256">
    <vt:lpwstr>6E3018F28A186D2E5FF5207C041E7A82E907C3008E071057026A53705873B72E</vt:lpwstr>
  </property>
  <property fmtid="{D5CDD505-2E9C-101B-9397-08002B2CF9AE}" pid="73" name="PM_OriginatorDomainName_SHA256">
    <vt:lpwstr>ECBDE2B44A971754412B3FB70606937A119CC0D4B6C1B658A40FBD41C30BE3EC</vt:lpwstr>
  </property>
</Properties>
</file>