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CC83" w14:textId="149E96DF" w:rsidR="00976332" w:rsidRPr="00D9085C" w:rsidRDefault="00C848E8" w:rsidP="00211C6D">
      <w:pPr>
        <w:pStyle w:val="Heading"/>
        <w:spacing w:before="120"/>
        <w:jc w:val="center"/>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w:t>
      </w:r>
      <w:r w:rsidR="00976332" w:rsidRPr="00D9085C">
        <w:rPr>
          <w:rFonts w:ascii="Times New Roman" w:hAnsi="Times New Roman"/>
          <w:sz w:val="24"/>
          <w:szCs w:val="24"/>
        </w:rPr>
        <w:t xml:space="preserve">determination No. </w:t>
      </w:r>
      <w:r w:rsidR="00657262" w:rsidRPr="00D9085C">
        <w:rPr>
          <w:rFonts w:ascii="Times New Roman" w:hAnsi="Times New Roman"/>
          <w:sz w:val="24"/>
          <w:szCs w:val="24"/>
        </w:rPr>
        <w:t>1</w:t>
      </w:r>
      <w:r w:rsidR="00976332" w:rsidRPr="00D9085C">
        <w:rPr>
          <w:rFonts w:ascii="Times New Roman" w:hAnsi="Times New Roman"/>
          <w:sz w:val="24"/>
          <w:szCs w:val="24"/>
        </w:rPr>
        <w:t xml:space="preserve"> of 202</w:t>
      </w:r>
      <w:r w:rsidR="00C223B4" w:rsidRPr="00D9085C">
        <w:rPr>
          <w:rFonts w:ascii="Times New Roman" w:hAnsi="Times New Roman"/>
          <w:sz w:val="24"/>
          <w:szCs w:val="24"/>
        </w:rPr>
        <w:t>1</w:t>
      </w:r>
    </w:p>
    <w:p w14:paraId="4247969B" w14:textId="77777777" w:rsidR="00976332" w:rsidRPr="00D9085C" w:rsidRDefault="00976332">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0D9085C">
        <w:rPr>
          <w:rFonts w:ascii="Times New Roman" w:hAnsi="Times New Roman"/>
          <w:sz w:val="24"/>
          <w:szCs w:val="24"/>
          <w:u w:val="single"/>
        </w:rPr>
        <w:t>EXPLANATORY STATEMENT</w:t>
      </w:r>
    </w:p>
    <w:bookmarkEnd w:id="1"/>
    <w:p w14:paraId="338D0C41" w14:textId="77777777" w:rsidR="005E06E9" w:rsidRPr="00D9085C" w:rsidRDefault="005E06E9">
      <w:pPr>
        <w:pStyle w:val="Heading"/>
        <w:spacing w:before="120"/>
        <w:jc w:val="center"/>
        <w:rPr>
          <w:rFonts w:ascii="Times New Roman" w:hAnsi="Times New Roman"/>
          <w:sz w:val="24"/>
          <w:szCs w:val="24"/>
        </w:rPr>
      </w:pPr>
      <w:r w:rsidRPr="00D9085C">
        <w:rPr>
          <w:rFonts w:ascii="Times New Roman" w:hAnsi="Times New Roman"/>
          <w:sz w:val="24"/>
          <w:szCs w:val="24"/>
        </w:rPr>
        <w:t>Prepared by the Australian Prudential Regulation Authority (APRA)</w:t>
      </w:r>
    </w:p>
    <w:p w14:paraId="5B51E694"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Banking Act 1959, </w:t>
      </w:r>
      <w:r w:rsidRPr="00D9085C">
        <w:rPr>
          <w:rFonts w:ascii="Times New Roman" w:hAnsi="Times New Roman"/>
          <w:b w:val="0"/>
          <w:sz w:val="24"/>
          <w:szCs w:val="24"/>
        </w:rPr>
        <w:t>section 11AF</w:t>
      </w:r>
    </w:p>
    <w:p w14:paraId="72671A69"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Insurance Act 1973, </w:t>
      </w:r>
      <w:r w:rsidRPr="00D9085C">
        <w:rPr>
          <w:rFonts w:ascii="Times New Roman" w:hAnsi="Times New Roman"/>
          <w:b w:val="0"/>
          <w:sz w:val="24"/>
          <w:szCs w:val="24"/>
        </w:rPr>
        <w:t>section 32</w:t>
      </w:r>
    </w:p>
    <w:p w14:paraId="3EE951E2" w14:textId="5F23C44F" w:rsidR="005E06E9" w:rsidRPr="00D9085C" w:rsidRDefault="005E06E9">
      <w:pPr>
        <w:pStyle w:val="Heading"/>
        <w:tabs>
          <w:tab w:val="left" w:pos="360"/>
        </w:tabs>
        <w:spacing w:before="120"/>
        <w:jc w:val="center"/>
      </w:pPr>
      <w:r w:rsidRPr="00D9085C">
        <w:rPr>
          <w:rFonts w:ascii="Times New Roman" w:hAnsi="Times New Roman"/>
          <w:b w:val="0"/>
          <w:i/>
          <w:sz w:val="24"/>
          <w:szCs w:val="24"/>
        </w:rPr>
        <w:t xml:space="preserve">Life Insurance Act 1995, </w:t>
      </w:r>
      <w:r w:rsidRPr="00D9085C">
        <w:rPr>
          <w:rFonts w:ascii="Times New Roman" w:hAnsi="Times New Roman"/>
          <w:b w:val="0"/>
          <w:sz w:val="24"/>
          <w:szCs w:val="24"/>
        </w:rPr>
        <w:t>section 230A</w:t>
      </w:r>
    </w:p>
    <w:p w14:paraId="0F869EDC" w14:textId="44AD141C"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Private Health Insurance (Prudential Supervision) Act 2015, </w:t>
      </w:r>
      <w:r w:rsidRPr="00D9085C">
        <w:rPr>
          <w:rFonts w:ascii="Times New Roman" w:hAnsi="Times New Roman"/>
          <w:b w:val="0"/>
          <w:sz w:val="24"/>
          <w:szCs w:val="24"/>
        </w:rPr>
        <w:t>section 92</w:t>
      </w:r>
    </w:p>
    <w:p w14:paraId="797ECF87"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Superannuation Industry (Supervision) Act 1993, </w:t>
      </w:r>
      <w:r w:rsidRPr="00D9085C">
        <w:rPr>
          <w:rFonts w:ascii="Times New Roman" w:hAnsi="Times New Roman"/>
          <w:b w:val="0"/>
          <w:sz w:val="24"/>
          <w:szCs w:val="24"/>
        </w:rPr>
        <w:t>section 34C</w:t>
      </w:r>
    </w:p>
    <w:p w14:paraId="60242B30" w14:textId="77777777" w:rsidR="005E06E9" w:rsidRPr="00D9085C" w:rsidRDefault="005E06E9" w:rsidP="00165C5D">
      <w:pPr>
        <w:jc w:val="both"/>
        <w:rPr>
          <w:rFonts w:ascii="Times New Roman" w:hAnsi="Times New Roman" w:cs="Times New Roman"/>
          <w:sz w:val="24"/>
          <w:szCs w:val="24"/>
        </w:rPr>
      </w:pPr>
    </w:p>
    <w:p w14:paraId="0FF6055F" w14:textId="050E9CA2" w:rsidR="008B0EB8" w:rsidRPr="00D9085C" w:rsidRDefault="008B0EB8" w:rsidP="00165C5D">
      <w:pPr>
        <w:jc w:val="both"/>
        <w:rPr>
          <w:rFonts w:ascii="Times New Roman" w:hAnsi="Times New Roman" w:cs="Times New Roman"/>
          <w:sz w:val="24"/>
          <w:szCs w:val="24"/>
        </w:rPr>
      </w:pPr>
      <w:r w:rsidRPr="00D9085C">
        <w:rPr>
          <w:rFonts w:ascii="Times New Roman" w:hAnsi="Times New Roman" w:cs="Times New Roman"/>
          <w:sz w:val="24"/>
          <w:szCs w:val="24"/>
        </w:rPr>
        <w:t>APRA may, in writing, determine a prudential standard that applies to an APRA-regulated entity under:</w:t>
      </w:r>
    </w:p>
    <w:p w14:paraId="58DA7560" w14:textId="262C026F"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 11AF(1) of the </w:t>
      </w:r>
      <w:r w:rsidRPr="00D9085C">
        <w:rPr>
          <w:rFonts w:ascii="Times New Roman" w:hAnsi="Times New Roman" w:cs="Times New Roman"/>
          <w:i/>
          <w:sz w:val="24"/>
          <w:szCs w:val="24"/>
        </w:rPr>
        <w:t>Banking Act 1959</w:t>
      </w:r>
      <w:r w:rsidRPr="00D9085C">
        <w:rPr>
          <w:rFonts w:ascii="Times New Roman" w:hAnsi="Times New Roman" w:cs="Times New Roman"/>
          <w:sz w:val="24"/>
          <w:szCs w:val="24"/>
        </w:rPr>
        <w:t xml:space="preserve"> (Banking Act), </w:t>
      </w:r>
      <w:r w:rsidR="005242B6" w:rsidRPr="00D9085C">
        <w:rPr>
          <w:rFonts w:ascii="Times New Roman" w:hAnsi="Times New Roman" w:cs="Times New Roman"/>
          <w:sz w:val="24"/>
          <w:szCs w:val="24"/>
        </w:rPr>
        <w:t xml:space="preserve">which applies to all authorised deposit-taking institutions (ADIs), excluding ADIs referred to in paragraph 2 of </w:t>
      </w:r>
      <w:r w:rsidR="007E74F5" w:rsidRPr="00D9085C">
        <w:rPr>
          <w:rFonts w:ascii="Times New Roman" w:hAnsi="Times New Roman" w:cs="Times New Roman"/>
          <w:i/>
          <w:sz w:val="24"/>
          <w:szCs w:val="24"/>
        </w:rPr>
        <w:t>Prudential Standard CPS 511 Remuneration</w:t>
      </w:r>
      <w:r w:rsidR="00861136" w:rsidRPr="00D9085C">
        <w:rPr>
          <w:rFonts w:ascii="Times New Roman" w:hAnsi="Times New Roman" w:cs="Times New Roman"/>
          <w:i/>
          <w:sz w:val="24"/>
          <w:szCs w:val="24"/>
        </w:rPr>
        <w:t xml:space="preserve"> </w:t>
      </w:r>
      <w:r w:rsidR="00861136" w:rsidRPr="00D9085C">
        <w:rPr>
          <w:rFonts w:ascii="Times New Roman" w:hAnsi="Times New Roman" w:cs="Times New Roman"/>
          <w:sz w:val="24"/>
          <w:szCs w:val="24"/>
        </w:rPr>
        <w:t>(CPS 511)</w:t>
      </w:r>
      <w:r w:rsidR="005242B6" w:rsidRPr="00D9085C">
        <w:rPr>
          <w:rFonts w:ascii="Times New Roman" w:hAnsi="Times New Roman" w:cs="Times New Roman"/>
          <w:sz w:val="24"/>
          <w:szCs w:val="24"/>
        </w:rPr>
        <w:t>, and authorised banking non-operating holding companies (authorised banking NOHCs)</w:t>
      </w:r>
      <w:r w:rsidRPr="00D9085C">
        <w:rPr>
          <w:rFonts w:ascii="Times New Roman" w:hAnsi="Times New Roman" w:cs="Times New Roman"/>
          <w:sz w:val="24"/>
          <w:szCs w:val="24"/>
        </w:rPr>
        <w:t>;</w:t>
      </w:r>
    </w:p>
    <w:p w14:paraId="54EA7204" w14:textId="2977966E"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 32(1) of the </w:t>
      </w:r>
      <w:r w:rsidRPr="00D9085C">
        <w:rPr>
          <w:rFonts w:ascii="Times New Roman" w:hAnsi="Times New Roman" w:cs="Times New Roman"/>
          <w:i/>
          <w:sz w:val="24"/>
          <w:szCs w:val="24"/>
        </w:rPr>
        <w:t>Insurance Act 1973</w:t>
      </w:r>
      <w:r w:rsidRPr="00D9085C">
        <w:rPr>
          <w:rFonts w:ascii="Times New Roman" w:hAnsi="Times New Roman" w:cs="Times New Roman"/>
          <w:sz w:val="24"/>
          <w:szCs w:val="24"/>
        </w:rPr>
        <w:t xml:space="preserve"> (Insurance Act), </w:t>
      </w:r>
      <w:r w:rsidR="005242B6" w:rsidRPr="00D9085C">
        <w:rPr>
          <w:rFonts w:ascii="Times New Roman" w:hAnsi="Times New Roman" w:cs="Times New Roman"/>
          <w:sz w:val="24"/>
          <w:szCs w:val="24"/>
        </w:rPr>
        <w:t>which applies to all general insurers and authorised non-operating holding companies (authorised NOHCs), and subsidiaries of general insurers and authorised insurance non-operating holding companies (authorised insurance NOHCs)</w:t>
      </w:r>
      <w:r w:rsidRPr="00D9085C">
        <w:rPr>
          <w:rFonts w:ascii="Times New Roman" w:hAnsi="Times New Roman" w:cs="Times New Roman"/>
          <w:sz w:val="24"/>
          <w:szCs w:val="24"/>
        </w:rPr>
        <w:t>;</w:t>
      </w:r>
    </w:p>
    <w:p w14:paraId="3E5B9724" w14:textId="1482D8CF"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 230A(1) of the </w:t>
      </w:r>
      <w:r w:rsidRPr="00D9085C">
        <w:rPr>
          <w:rFonts w:ascii="Times New Roman" w:hAnsi="Times New Roman" w:cs="Times New Roman"/>
          <w:i/>
          <w:sz w:val="24"/>
          <w:szCs w:val="24"/>
        </w:rPr>
        <w:t>Life Insurance Act 1995</w:t>
      </w:r>
      <w:r w:rsidRPr="00D9085C">
        <w:rPr>
          <w:rFonts w:ascii="Times New Roman" w:hAnsi="Times New Roman" w:cs="Times New Roman"/>
          <w:sz w:val="24"/>
          <w:szCs w:val="24"/>
        </w:rPr>
        <w:t xml:space="preserve"> (Life Insurance Act), </w:t>
      </w:r>
      <w:r w:rsidR="005242B6" w:rsidRPr="00D9085C">
        <w:rPr>
          <w:rFonts w:ascii="Times New Roman" w:hAnsi="Times New Roman" w:cs="Times New Roman"/>
          <w:sz w:val="24"/>
          <w:szCs w:val="24"/>
        </w:rPr>
        <w:t>which applies to all life companies, including friendly societies, and registered life non-operating holding companies (registered life NOHCs)</w:t>
      </w:r>
      <w:r w:rsidRPr="00D9085C">
        <w:rPr>
          <w:rFonts w:ascii="Times New Roman" w:hAnsi="Times New Roman" w:cs="Times New Roman"/>
          <w:sz w:val="24"/>
          <w:szCs w:val="24"/>
        </w:rPr>
        <w:t xml:space="preserve">; </w:t>
      </w:r>
    </w:p>
    <w:p w14:paraId="08504680" w14:textId="304A2641"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subsections 92(1) of the </w:t>
      </w:r>
      <w:r w:rsidRPr="00D9085C">
        <w:rPr>
          <w:rFonts w:ascii="Times New Roman" w:hAnsi="Times New Roman" w:cs="Times New Roman"/>
          <w:i/>
          <w:sz w:val="24"/>
          <w:szCs w:val="24"/>
        </w:rPr>
        <w:t>Private Health Insurance (Prudential Supervision) Act 2015</w:t>
      </w:r>
      <w:r w:rsidRPr="00D9085C">
        <w:rPr>
          <w:rFonts w:ascii="Times New Roman" w:hAnsi="Times New Roman" w:cs="Times New Roman"/>
          <w:sz w:val="24"/>
          <w:szCs w:val="24"/>
        </w:rPr>
        <w:t xml:space="preserve"> (PHIPS Act), </w:t>
      </w:r>
      <w:r w:rsidR="005242B6" w:rsidRPr="00D9085C">
        <w:rPr>
          <w:rFonts w:ascii="Times New Roman" w:hAnsi="Times New Roman" w:cs="Times New Roman"/>
          <w:sz w:val="24"/>
          <w:szCs w:val="24"/>
        </w:rPr>
        <w:t xml:space="preserve">which applies </w:t>
      </w:r>
      <w:r w:rsidRPr="00D9085C">
        <w:rPr>
          <w:rFonts w:ascii="Times New Roman" w:hAnsi="Times New Roman" w:cs="Times New Roman"/>
          <w:sz w:val="24"/>
          <w:szCs w:val="24"/>
        </w:rPr>
        <w:t xml:space="preserve">to </w:t>
      </w:r>
      <w:r w:rsidR="005242B6" w:rsidRPr="00D9085C">
        <w:rPr>
          <w:rFonts w:ascii="Times New Roman" w:hAnsi="Times New Roman" w:cs="Times New Roman"/>
          <w:sz w:val="24"/>
          <w:szCs w:val="24"/>
        </w:rPr>
        <w:t xml:space="preserve">all </w:t>
      </w:r>
      <w:r w:rsidRPr="00D9085C">
        <w:rPr>
          <w:rFonts w:ascii="Times New Roman" w:hAnsi="Times New Roman" w:cs="Times New Roman"/>
          <w:sz w:val="24"/>
          <w:szCs w:val="24"/>
        </w:rPr>
        <w:t>private health insurers; and</w:t>
      </w:r>
    </w:p>
    <w:p w14:paraId="5AC2271A" w14:textId="2A0A889D"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 34C(1) of the </w:t>
      </w:r>
      <w:r w:rsidRPr="00D9085C">
        <w:rPr>
          <w:rFonts w:ascii="Times New Roman" w:hAnsi="Times New Roman" w:cs="Times New Roman"/>
          <w:i/>
          <w:sz w:val="24"/>
          <w:szCs w:val="24"/>
        </w:rPr>
        <w:t>Superannuation Industry (Supervision) Act 1993</w:t>
      </w:r>
      <w:r w:rsidRPr="00D9085C">
        <w:rPr>
          <w:rFonts w:ascii="Times New Roman" w:hAnsi="Times New Roman" w:cs="Times New Roman"/>
          <w:sz w:val="24"/>
          <w:szCs w:val="24"/>
        </w:rPr>
        <w:t xml:space="preserve"> (SIS Act), </w:t>
      </w:r>
      <w:r w:rsidR="005242B6" w:rsidRPr="00D9085C">
        <w:rPr>
          <w:rFonts w:ascii="Times New Roman" w:hAnsi="Times New Roman" w:cs="Times New Roman"/>
          <w:sz w:val="24"/>
          <w:szCs w:val="24"/>
        </w:rPr>
        <w:t xml:space="preserve">which applies </w:t>
      </w:r>
      <w:r w:rsidRPr="00D9085C">
        <w:rPr>
          <w:rFonts w:ascii="Times New Roman" w:hAnsi="Times New Roman" w:cs="Times New Roman"/>
          <w:sz w:val="24"/>
          <w:szCs w:val="24"/>
        </w:rPr>
        <w:t xml:space="preserve">to </w:t>
      </w:r>
      <w:r w:rsidR="005242B6" w:rsidRPr="00D9085C">
        <w:rPr>
          <w:rFonts w:ascii="Times New Roman" w:hAnsi="Times New Roman" w:cs="Times New Roman"/>
          <w:sz w:val="24"/>
          <w:szCs w:val="24"/>
        </w:rPr>
        <w:t xml:space="preserve">all </w:t>
      </w:r>
      <w:r w:rsidRPr="00D9085C">
        <w:rPr>
          <w:rFonts w:ascii="Times New Roman" w:hAnsi="Times New Roman" w:cs="Times New Roman"/>
          <w:sz w:val="24"/>
          <w:szCs w:val="24"/>
        </w:rPr>
        <w:t>Registered Superannuation Entity Licensees (RSE</w:t>
      </w:r>
      <w:r w:rsidR="005242B6" w:rsidRPr="00D9085C">
        <w:rPr>
          <w:rFonts w:ascii="Times New Roman" w:hAnsi="Times New Roman" w:cs="Times New Roman"/>
          <w:sz w:val="24"/>
          <w:szCs w:val="24"/>
        </w:rPr>
        <w:t xml:space="preserve"> licensee</w:t>
      </w:r>
      <w:r w:rsidRPr="00D9085C">
        <w:rPr>
          <w:rFonts w:ascii="Times New Roman" w:hAnsi="Times New Roman" w:cs="Times New Roman"/>
          <w:sz w:val="24"/>
          <w:szCs w:val="24"/>
        </w:rPr>
        <w:t>s).</w:t>
      </w:r>
    </w:p>
    <w:p w14:paraId="0667C481" w14:textId="1E713E53" w:rsidR="008B0EB8" w:rsidRPr="00D9085C" w:rsidRDefault="008B0EB8"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On </w:t>
      </w:r>
      <w:r w:rsidR="003040B2" w:rsidRPr="00D9085C">
        <w:rPr>
          <w:rFonts w:ascii="Times New Roman" w:hAnsi="Times New Roman" w:cs="Times New Roman"/>
          <w:sz w:val="24"/>
          <w:szCs w:val="24"/>
        </w:rPr>
        <w:t>17</w:t>
      </w:r>
      <w:r w:rsidR="00872F57" w:rsidRPr="00D9085C">
        <w:rPr>
          <w:rFonts w:ascii="Times New Roman" w:hAnsi="Times New Roman" w:cs="Times New Roman"/>
          <w:sz w:val="24"/>
          <w:szCs w:val="24"/>
        </w:rPr>
        <w:t xml:space="preserve"> </w:t>
      </w:r>
      <w:r w:rsidR="001179EA" w:rsidRPr="00D9085C">
        <w:rPr>
          <w:rFonts w:ascii="Times New Roman" w:hAnsi="Times New Roman" w:cs="Times New Roman"/>
          <w:sz w:val="24"/>
          <w:szCs w:val="24"/>
        </w:rPr>
        <w:t>November</w:t>
      </w:r>
      <w:r w:rsidR="005D4818" w:rsidRPr="00D9085C">
        <w:rPr>
          <w:rFonts w:ascii="Times New Roman" w:hAnsi="Times New Roman" w:cs="Times New Roman"/>
          <w:sz w:val="24"/>
          <w:szCs w:val="24"/>
        </w:rPr>
        <w:t xml:space="preserve"> </w:t>
      </w:r>
      <w:r w:rsidRPr="00D9085C">
        <w:rPr>
          <w:rFonts w:ascii="Times New Roman" w:hAnsi="Times New Roman" w:cs="Times New Roman"/>
          <w:sz w:val="24"/>
          <w:szCs w:val="24"/>
        </w:rPr>
        <w:t>202</w:t>
      </w:r>
      <w:r w:rsidR="00A83B38" w:rsidRPr="00D9085C">
        <w:rPr>
          <w:rFonts w:ascii="Times New Roman" w:hAnsi="Times New Roman" w:cs="Times New Roman"/>
          <w:sz w:val="24"/>
          <w:szCs w:val="24"/>
        </w:rPr>
        <w:t>1</w:t>
      </w:r>
      <w:r w:rsidRPr="00D9085C">
        <w:rPr>
          <w:rFonts w:ascii="Times New Roman" w:hAnsi="Times New Roman" w:cs="Times New Roman"/>
          <w:sz w:val="24"/>
          <w:szCs w:val="24"/>
        </w:rPr>
        <w:t>, APRA made Banking, Insurance, Life Insurance</w:t>
      </w:r>
      <w:r w:rsidR="00A83B38" w:rsidRPr="00D9085C">
        <w:rPr>
          <w:rFonts w:ascii="Times New Roman" w:hAnsi="Times New Roman" w:cs="Times New Roman"/>
          <w:sz w:val="24"/>
          <w:szCs w:val="24"/>
        </w:rPr>
        <w:t>, Health Insurance</w:t>
      </w:r>
      <w:r w:rsidRPr="00D9085C">
        <w:rPr>
          <w:rFonts w:ascii="Times New Roman" w:hAnsi="Times New Roman" w:cs="Times New Roman"/>
          <w:sz w:val="24"/>
          <w:szCs w:val="24"/>
        </w:rPr>
        <w:t xml:space="preserve"> and Superannuation (prudential standard) determination No </w:t>
      </w:r>
      <w:r w:rsidR="0043062D" w:rsidRPr="00D9085C">
        <w:rPr>
          <w:rFonts w:ascii="Times New Roman" w:hAnsi="Times New Roman" w:cs="Times New Roman"/>
          <w:sz w:val="24"/>
          <w:szCs w:val="24"/>
        </w:rPr>
        <w:t>1</w:t>
      </w:r>
      <w:r w:rsidRPr="00D9085C">
        <w:rPr>
          <w:rFonts w:ascii="Times New Roman" w:hAnsi="Times New Roman" w:cs="Times New Roman"/>
          <w:sz w:val="24"/>
          <w:szCs w:val="24"/>
        </w:rPr>
        <w:t xml:space="preserve"> of 202</w:t>
      </w:r>
      <w:r w:rsidR="00A83B38" w:rsidRPr="00D9085C">
        <w:rPr>
          <w:rFonts w:ascii="Times New Roman" w:hAnsi="Times New Roman" w:cs="Times New Roman"/>
          <w:sz w:val="24"/>
          <w:szCs w:val="24"/>
        </w:rPr>
        <w:t>1</w:t>
      </w:r>
      <w:r w:rsidRPr="00D9085C">
        <w:rPr>
          <w:rFonts w:ascii="Times New Roman" w:hAnsi="Times New Roman" w:cs="Times New Roman"/>
          <w:sz w:val="24"/>
          <w:szCs w:val="24"/>
        </w:rPr>
        <w:t xml:space="preserve"> (the instrument), which determines a new </w:t>
      </w:r>
      <w:r w:rsidR="00CF4141" w:rsidRPr="00D9085C">
        <w:rPr>
          <w:rFonts w:ascii="Times New Roman" w:hAnsi="Times New Roman" w:cs="Times New Roman"/>
          <w:sz w:val="24"/>
          <w:szCs w:val="24"/>
        </w:rPr>
        <w:t xml:space="preserve">cross-industry </w:t>
      </w:r>
      <w:r w:rsidR="00861136" w:rsidRPr="00D9085C">
        <w:rPr>
          <w:rFonts w:ascii="Times New Roman" w:hAnsi="Times New Roman" w:cs="Times New Roman"/>
          <w:sz w:val="24"/>
          <w:szCs w:val="24"/>
        </w:rPr>
        <w:t xml:space="preserve">prudential standard </w:t>
      </w:r>
      <w:r w:rsidRPr="00D9085C">
        <w:rPr>
          <w:rFonts w:ascii="Times New Roman" w:hAnsi="Times New Roman" w:cs="Times New Roman"/>
          <w:sz w:val="24"/>
          <w:szCs w:val="24"/>
        </w:rPr>
        <w:t xml:space="preserve">CPS </w:t>
      </w:r>
      <w:r w:rsidR="00A83B38" w:rsidRPr="00D9085C">
        <w:rPr>
          <w:rFonts w:ascii="Times New Roman" w:hAnsi="Times New Roman" w:cs="Times New Roman"/>
          <w:sz w:val="24"/>
          <w:szCs w:val="24"/>
        </w:rPr>
        <w:t>511</w:t>
      </w:r>
      <w:r w:rsidRPr="00D9085C">
        <w:rPr>
          <w:rFonts w:ascii="Times New Roman" w:hAnsi="Times New Roman" w:cs="Times New Roman"/>
          <w:sz w:val="24"/>
          <w:szCs w:val="24"/>
        </w:rPr>
        <w:t>.</w:t>
      </w:r>
    </w:p>
    <w:p w14:paraId="72C23AF0" w14:textId="77777777" w:rsidR="00BF572C" w:rsidRPr="00D9085C" w:rsidRDefault="008B0EB8"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The instrument commences on 1 </w:t>
      </w:r>
      <w:r w:rsidR="00BF572C" w:rsidRPr="00D9085C">
        <w:rPr>
          <w:rFonts w:ascii="Times New Roman" w:hAnsi="Times New Roman" w:cs="Times New Roman"/>
          <w:sz w:val="24"/>
          <w:szCs w:val="24"/>
        </w:rPr>
        <w:t>January</w:t>
      </w:r>
      <w:r w:rsidRPr="00D9085C">
        <w:rPr>
          <w:rFonts w:ascii="Times New Roman" w:hAnsi="Times New Roman" w:cs="Times New Roman"/>
          <w:sz w:val="24"/>
          <w:szCs w:val="24"/>
        </w:rPr>
        <w:t xml:space="preserve"> 202</w:t>
      </w:r>
      <w:r w:rsidR="00BF572C" w:rsidRPr="00D9085C">
        <w:rPr>
          <w:rFonts w:ascii="Times New Roman" w:hAnsi="Times New Roman" w:cs="Times New Roman"/>
          <w:sz w:val="24"/>
          <w:szCs w:val="24"/>
        </w:rPr>
        <w:t>3</w:t>
      </w:r>
      <w:r w:rsidRPr="00D9085C">
        <w:rPr>
          <w:rFonts w:ascii="Times New Roman" w:hAnsi="Times New Roman" w:cs="Times New Roman"/>
          <w:sz w:val="24"/>
          <w:szCs w:val="24"/>
        </w:rPr>
        <w:t>.</w:t>
      </w:r>
    </w:p>
    <w:p w14:paraId="26D38409" w14:textId="10A99E2E" w:rsidR="00197A23" w:rsidRPr="00D9085C" w:rsidRDefault="00197A23" w:rsidP="00777743">
      <w:pPr>
        <w:pStyle w:val="ListParagraph"/>
        <w:numPr>
          <w:ilvl w:val="0"/>
          <w:numId w:val="23"/>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Background</w:t>
      </w:r>
    </w:p>
    <w:p w14:paraId="7377287F" w14:textId="3EE8997B"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APRA’s mandate is to ensure the safety and soundness of prudentially regulated financial institutions so that they can meet their financial promises to depositors, policyholders and fund members within a stable, efficient and competitive financial system.</w:t>
      </w:r>
    </w:p>
    <w:p w14:paraId="3D599309" w14:textId="58E71DEB"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lastRenderedPageBreak/>
        <w:t xml:space="preserve">APRA carries out this mandate through a multi-layered prudential framework that encompasses licensing and supervision of </w:t>
      </w:r>
      <w:r w:rsidR="00CE54A1" w:rsidRPr="00D9085C">
        <w:rPr>
          <w:rFonts w:ascii="Times New Roman" w:hAnsi="Times New Roman" w:cs="Times New Roman"/>
          <w:sz w:val="24"/>
          <w:szCs w:val="24"/>
          <w:lang w:eastAsia="en-US"/>
        </w:rPr>
        <w:t>entities</w:t>
      </w:r>
      <w:r w:rsidRPr="00D9085C">
        <w:rPr>
          <w:rFonts w:ascii="Times New Roman" w:hAnsi="Times New Roman" w:cs="Times New Roman"/>
          <w:sz w:val="24"/>
          <w:szCs w:val="24"/>
          <w:lang w:eastAsia="en-US"/>
        </w:rPr>
        <w:t xml:space="preserve">. </w:t>
      </w:r>
      <w:r w:rsidR="00CE54A1" w:rsidRPr="00D9085C">
        <w:rPr>
          <w:rFonts w:ascii="Times New Roman" w:hAnsi="Times New Roman" w:cs="Times New Roman"/>
          <w:sz w:val="24"/>
          <w:szCs w:val="24"/>
          <w:lang w:eastAsia="en-US"/>
        </w:rPr>
        <w:t>The Banking Act, Insurance Act, Life Insurance Act, PHIPS Act and SIS Act allow APRA to issue legally binding prudential standards that set out specific prudential requirements with which APRA-regulated entities must comply</w:t>
      </w:r>
      <w:r w:rsidRPr="00D9085C">
        <w:rPr>
          <w:rFonts w:ascii="Times New Roman" w:hAnsi="Times New Roman" w:cs="Times New Roman"/>
          <w:sz w:val="24"/>
          <w:szCs w:val="24"/>
          <w:lang w:eastAsia="en-US"/>
        </w:rPr>
        <w:t xml:space="preserve">. </w:t>
      </w:r>
    </w:p>
    <w:p w14:paraId="306AA6B3" w14:textId="314E7DB6"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APRA regularly reviews its regulatory regime and amends its prudential requirements as a result of a number of factors</w:t>
      </w:r>
      <w:r w:rsidR="008B693E" w:rsidRPr="00D9085C">
        <w:rPr>
          <w:rFonts w:ascii="Times New Roman" w:hAnsi="Times New Roman" w:cs="Times New Roman"/>
          <w:sz w:val="24"/>
          <w:szCs w:val="24"/>
          <w:lang w:eastAsia="en-US"/>
        </w:rPr>
        <w:t>,</w:t>
      </w:r>
      <w:r w:rsidRPr="00D9085C">
        <w:rPr>
          <w:rFonts w:ascii="Times New Roman" w:hAnsi="Times New Roman" w:cs="Times New Roman"/>
          <w:sz w:val="24"/>
          <w:szCs w:val="24"/>
          <w:lang w:eastAsia="en-US"/>
        </w:rPr>
        <w:t xml:space="preserve"> including:</w:t>
      </w:r>
    </w:p>
    <w:p w14:paraId="0689E01F" w14:textId="17C30B37"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international developments;</w:t>
      </w:r>
    </w:p>
    <w:p w14:paraId="7267B67D" w14:textId="22AD9B7A"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changes in financial market conditions or changes in risk management practices, in response to identified weaknesses in the prudential framework; and</w:t>
      </w:r>
    </w:p>
    <w:p w14:paraId="79F40E91" w14:textId="1ED62B57" w:rsidR="00C30660"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to reduce potential negative impacts of emerging industry issues.</w:t>
      </w:r>
    </w:p>
    <w:p w14:paraId="3FB1866D" w14:textId="13100AD1" w:rsidR="0075041A" w:rsidRPr="00D9085C" w:rsidRDefault="008C782E"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A resilient financial system requires prudent remuneration arrangements – in design, governance and outcomes</w:t>
      </w:r>
      <w:r w:rsidRPr="00D9085C">
        <w:rPr>
          <w:rFonts w:ascii="Times New Roman" w:hAnsi="Times New Roman" w:cs="Times New Roman"/>
          <w:i/>
          <w:sz w:val="24"/>
          <w:szCs w:val="24"/>
          <w:lang w:eastAsia="en-US"/>
        </w:rPr>
        <w:t xml:space="preserve">. </w:t>
      </w:r>
      <w:r w:rsidR="0075041A" w:rsidRPr="00D9085C">
        <w:rPr>
          <w:rFonts w:ascii="Times New Roman" w:hAnsi="Times New Roman" w:cs="Times New Roman"/>
          <w:sz w:val="24"/>
          <w:szCs w:val="24"/>
          <w:lang w:eastAsia="en-US"/>
        </w:rPr>
        <w:t xml:space="preserve">CPS 511 </w:t>
      </w:r>
      <w:r w:rsidRPr="00D9085C">
        <w:rPr>
          <w:rFonts w:ascii="Times New Roman" w:hAnsi="Times New Roman" w:cs="Times New Roman"/>
          <w:sz w:val="24"/>
          <w:szCs w:val="24"/>
          <w:lang w:eastAsia="en-US"/>
        </w:rPr>
        <w:t xml:space="preserve">sets out requirements </w:t>
      </w:r>
      <w:r w:rsidR="0075041A" w:rsidRPr="00D9085C">
        <w:rPr>
          <w:rFonts w:ascii="Times New Roman" w:hAnsi="Times New Roman" w:cs="Times New Roman"/>
          <w:sz w:val="24"/>
          <w:szCs w:val="24"/>
          <w:lang w:eastAsia="en-US"/>
        </w:rPr>
        <w:t>to ensure that APRA-regulated entities maintain remuneration arrangements which appropriately incentivise individuals to prudently manage the risks they are responsible for, and that there are appropriate consequences for poor risk outcomes</w:t>
      </w:r>
      <w:r w:rsidRPr="00D9085C">
        <w:rPr>
          <w:rFonts w:ascii="Times New Roman" w:hAnsi="Times New Roman" w:cs="Times New Roman"/>
          <w:sz w:val="24"/>
          <w:szCs w:val="24"/>
          <w:lang w:eastAsia="en-US"/>
        </w:rPr>
        <w:t>.</w:t>
      </w:r>
    </w:p>
    <w:p w14:paraId="57FC4735" w14:textId="3DE3756A" w:rsidR="008120F2" w:rsidRPr="00D9085C" w:rsidRDefault="008120F2"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Since 2010,</w:t>
      </w:r>
      <w:r w:rsidR="00BF70BB" w:rsidRPr="00D9085C">
        <w:rPr>
          <w:rFonts w:ascii="Times New Roman" w:hAnsi="Times New Roman" w:cs="Times New Roman"/>
          <w:sz w:val="24"/>
          <w:szCs w:val="24"/>
          <w:lang w:eastAsia="en-US"/>
        </w:rPr>
        <w:t xml:space="preserve"> </w:t>
      </w:r>
      <w:r w:rsidRPr="00D9085C">
        <w:rPr>
          <w:rFonts w:ascii="Times New Roman" w:hAnsi="Times New Roman" w:cs="Times New Roman"/>
          <w:sz w:val="24"/>
          <w:szCs w:val="24"/>
          <w:lang w:eastAsia="en-US"/>
        </w:rPr>
        <w:t xml:space="preserve">changes to market conditions and practices, </w:t>
      </w:r>
      <w:r w:rsidR="00BF70BB" w:rsidRPr="00D9085C">
        <w:rPr>
          <w:rFonts w:ascii="Times New Roman" w:hAnsi="Times New Roman" w:cs="Times New Roman"/>
          <w:sz w:val="24"/>
          <w:szCs w:val="24"/>
          <w:lang w:eastAsia="en-US"/>
        </w:rPr>
        <w:t>findings from various APRA reviews and the Royal Commission into Misconduct in the Banking, Superannuation and Financial Services Industry</w:t>
      </w:r>
      <w:r w:rsidR="007A7F9C" w:rsidRPr="00D9085C">
        <w:rPr>
          <w:rStyle w:val="FootnoteReference"/>
          <w:rFonts w:cs="Times New Roman"/>
          <w:color w:val="auto"/>
          <w:szCs w:val="24"/>
          <w:lang w:eastAsia="en-US"/>
        </w:rPr>
        <w:footnoteReference w:id="2"/>
      </w:r>
      <w:r w:rsidR="00BF70BB" w:rsidRPr="00D9085C">
        <w:rPr>
          <w:rFonts w:ascii="Times New Roman" w:hAnsi="Times New Roman" w:cs="Times New Roman"/>
          <w:sz w:val="24"/>
          <w:szCs w:val="24"/>
          <w:lang w:eastAsia="en-US"/>
        </w:rPr>
        <w:t xml:space="preserve"> have demonstrated the need for </w:t>
      </w:r>
      <w:r w:rsidR="00FA48B0" w:rsidRPr="00D9085C">
        <w:rPr>
          <w:rFonts w:ascii="Times New Roman" w:hAnsi="Times New Roman" w:cs="Times New Roman"/>
          <w:sz w:val="24"/>
          <w:szCs w:val="24"/>
          <w:lang w:eastAsia="en-US"/>
        </w:rPr>
        <w:t>stronger</w:t>
      </w:r>
      <w:r w:rsidRPr="00D9085C">
        <w:rPr>
          <w:rFonts w:ascii="Times New Roman" w:hAnsi="Times New Roman" w:cs="Times New Roman"/>
          <w:sz w:val="24"/>
          <w:szCs w:val="24"/>
          <w:lang w:eastAsia="en-US"/>
        </w:rPr>
        <w:t xml:space="preserve"> remuneration requirements</w:t>
      </w:r>
      <w:r w:rsidR="00BF70BB" w:rsidRPr="00D9085C">
        <w:rPr>
          <w:rFonts w:ascii="Times New Roman" w:hAnsi="Times New Roman" w:cs="Times New Roman"/>
          <w:sz w:val="24"/>
          <w:szCs w:val="24"/>
          <w:lang w:eastAsia="en-US"/>
        </w:rPr>
        <w:t xml:space="preserve">. In particular, </w:t>
      </w:r>
      <w:r w:rsidRPr="00D9085C">
        <w:rPr>
          <w:rFonts w:ascii="Times New Roman" w:hAnsi="Times New Roman" w:cs="Times New Roman"/>
          <w:sz w:val="24"/>
          <w:szCs w:val="24"/>
          <w:lang w:eastAsia="en-US"/>
        </w:rPr>
        <w:t xml:space="preserve">the Financial Stability Board has released updated statements and guidance in support of its </w:t>
      </w:r>
      <w:r w:rsidRPr="00D9085C">
        <w:rPr>
          <w:rFonts w:ascii="Times New Roman" w:hAnsi="Times New Roman" w:cs="Times New Roman"/>
          <w:i/>
          <w:sz w:val="24"/>
          <w:szCs w:val="24"/>
          <w:lang w:eastAsia="en-US"/>
        </w:rPr>
        <w:t>Principles of Sound Compensation Practices</w:t>
      </w:r>
      <w:r w:rsidRPr="00D9085C">
        <w:rPr>
          <w:rFonts w:ascii="Times New Roman" w:hAnsi="Times New Roman" w:cs="Times New Roman"/>
          <w:sz w:val="24"/>
          <w:szCs w:val="24"/>
          <w:lang w:eastAsia="en-US"/>
        </w:rPr>
        <w:t>.</w:t>
      </w:r>
    </w:p>
    <w:p w14:paraId="080AA574" w14:textId="390C8047" w:rsidR="0012246A" w:rsidRPr="00D9085C" w:rsidRDefault="0012246A" w:rsidP="00777743">
      <w:pPr>
        <w:pStyle w:val="ListParagraph"/>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Purpose and operation of the instruments</w:t>
      </w:r>
    </w:p>
    <w:p w14:paraId="3C0F2572" w14:textId="7A162530" w:rsidR="0012246A" w:rsidRPr="00D9085C" w:rsidRDefault="00BA1629"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The purpose of </w:t>
      </w:r>
      <w:r w:rsidR="005242B6" w:rsidRPr="00D9085C">
        <w:rPr>
          <w:rFonts w:ascii="Times New Roman" w:hAnsi="Times New Roman" w:cs="Times New Roman"/>
          <w:sz w:val="24"/>
          <w:szCs w:val="24"/>
          <w:lang w:eastAsia="en-US"/>
        </w:rPr>
        <w:t xml:space="preserve">the instrument </w:t>
      </w:r>
      <w:r w:rsidRPr="00D9085C">
        <w:rPr>
          <w:rFonts w:ascii="Times New Roman" w:hAnsi="Times New Roman" w:cs="Times New Roman"/>
          <w:sz w:val="24"/>
          <w:szCs w:val="24"/>
          <w:lang w:eastAsia="en-US"/>
        </w:rPr>
        <w:t xml:space="preserve">is to </w:t>
      </w:r>
      <w:r w:rsidR="000C67B1" w:rsidRPr="00D9085C">
        <w:rPr>
          <w:rFonts w:ascii="Times New Roman" w:hAnsi="Times New Roman" w:cs="Times New Roman"/>
          <w:sz w:val="24"/>
          <w:szCs w:val="24"/>
          <w:lang w:eastAsia="en-US"/>
        </w:rPr>
        <w:t>determine</w:t>
      </w:r>
      <w:r w:rsidRPr="00D9085C">
        <w:rPr>
          <w:rFonts w:ascii="Times New Roman" w:hAnsi="Times New Roman" w:cs="Times New Roman"/>
          <w:sz w:val="24"/>
          <w:szCs w:val="24"/>
          <w:lang w:eastAsia="en-US"/>
        </w:rPr>
        <w:t xml:space="preserve"> a new </w:t>
      </w:r>
      <w:r w:rsidR="00CF2D41" w:rsidRPr="00D9085C">
        <w:rPr>
          <w:rFonts w:ascii="Times New Roman" w:hAnsi="Times New Roman" w:cs="Times New Roman"/>
          <w:sz w:val="24"/>
          <w:szCs w:val="24"/>
          <w:lang w:eastAsia="en-US"/>
        </w:rPr>
        <w:t xml:space="preserve">prudential </w:t>
      </w:r>
      <w:r w:rsidR="005233B4" w:rsidRPr="00D9085C">
        <w:rPr>
          <w:rFonts w:ascii="Times New Roman" w:hAnsi="Times New Roman" w:cs="Times New Roman"/>
          <w:sz w:val="24"/>
          <w:szCs w:val="24"/>
          <w:lang w:eastAsia="en-US"/>
        </w:rPr>
        <w:t>s</w:t>
      </w:r>
      <w:r w:rsidR="00CF2D41" w:rsidRPr="00D9085C">
        <w:rPr>
          <w:rFonts w:ascii="Times New Roman" w:hAnsi="Times New Roman" w:cs="Times New Roman"/>
          <w:sz w:val="24"/>
          <w:szCs w:val="24"/>
          <w:lang w:eastAsia="en-US"/>
        </w:rPr>
        <w:t>tandard</w:t>
      </w:r>
      <w:r w:rsidRPr="00D9085C">
        <w:rPr>
          <w:rFonts w:ascii="Times New Roman" w:hAnsi="Times New Roman" w:cs="Times New Roman"/>
          <w:sz w:val="24"/>
          <w:szCs w:val="24"/>
          <w:lang w:eastAsia="en-US"/>
        </w:rPr>
        <w:t>, CPS 511.</w:t>
      </w:r>
    </w:p>
    <w:p w14:paraId="3AFA2BF6" w14:textId="5414131D" w:rsidR="004665D8" w:rsidRPr="00D9085C" w:rsidRDefault="00BA1629" w:rsidP="000125E4">
      <w:pPr>
        <w:jc w:val="both"/>
        <w:rPr>
          <w:rFonts w:ascii="Times New Roman" w:hAnsi="Times New Roman" w:cs="Times New Roman"/>
          <w:sz w:val="24"/>
          <w:szCs w:val="24"/>
        </w:rPr>
      </w:pPr>
      <w:r w:rsidRPr="00D9085C">
        <w:rPr>
          <w:rFonts w:ascii="Times New Roman" w:hAnsi="Times New Roman" w:cs="Times New Roman"/>
          <w:sz w:val="24"/>
          <w:szCs w:val="24"/>
        </w:rPr>
        <w:t>CPS 511</w:t>
      </w:r>
      <w:r w:rsidR="004665D8" w:rsidRPr="00D9085C">
        <w:rPr>
          <w:rFonts w:ascii="Times New Roman" w:hAnsi="Times New Roman" w:cs="Times New Roman"/>
          <w:sz w:val="24"/>
          <w:szCs w:val="24"/>
        </w:rPr>
        <w:t xml:space="preserve"> </w:t>
      </w:r>
      <w:r w:rsidR="00E23F3D" w:rsidRPr="00D9085C">
        <w:rPr>
          <w:rFonts w:ascii="Times New Roman" w:hAnsi="Times New Roman" w:cs="Times New Roman"/>
          <w:sz w:val="24"/>
          <w:szCs w:val="24"/>
        </w:rPr>
        <w:t>is</w:t>
      </w:r>
      <w:r w:rsidR="004665D8" w:rsidRPr="00D9085C">
        <w:rPr>
          <w:rFonts w:ascii="Times New Roman" w:hAnsi="Times New Roman" w:cs="Times New Roman"/>
          <w:sz w:val="24"/>
          <w:szCs w:val="24"/>
        </w:rPr>
        <w:t xml:space="preserve"> designed to</w:t>
      </w:r>
      <w:r w:rsidR="00B8112B" w:rsidRPr="00D9085C">
        <w:rPr>
          <w:rFonts w:ascii="Times New Roman" w:hAnsi="Times New Roman" w:cs="Times New Roman"/>
          <w:sz w:val="24"/>
          <w:szCs w:val="24"/>
        </w:rPr>
        <w:t xml:space="preserve"> establish and maintain</w:t>
      </w:r>
      <w:r w:rsidR="004665D8" w:rsidRPr="00D9085C">
        <w:rPr>
          <w:rFonts w:ascii="Times New Roman" w:hAnsi="Times New Roman" w:cs="Times New Roman"/>
          <w:sz w:val="24"/>
          <w:szCs w:val="24"/>
        </w:rPr>
        <w:t xml:space="preserve">: </w:t>
      </w:r>
    </w:p>
    <w:p w14:paraId="7AF786B7" w14:textId="77777777" w:rsidR="00B8112B" w:rsidRPr="00D9085C"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bookmarkStart w:id="2" w:name="_Hlk75191591"/>
      <w:r w:rsidRPr="00D9085C">
        <w:rPr>
          <w:rFonts w:ascii="Times New Roman" w:hAnsi="Times New Roman" w:cs="Times New Roman"/>
          <w:sz w:val="24"/>
          <w:szCs w:val="24"/>
        </w:rPr>
        <w:t>stronger incentives for individuals to manage the risks they are responsible for;</w:t>
      </w:r>
    </w:p>
    <w:p w14:paraId="04F80D33" w14:textId="77777777" w:rsidR="00B8112B" w:rsidRPr="00D9085C"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appropriate consequences for poor risk outcomes; and</w:t>
      </w:r>
    </w:p>
    <w:p w14:paraId="3B1F149A" w14:textId="77777777" w:rsidR="00B8112B" w:rsidRPr="00D9085C"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increased oversight, transparency and accountability on remuneration.</w:t>
      </w:r>
    </w:p>
    <w:bookmarkEnd w:id="2"/>
    <w:p w14:paraId="262FE165" w14:textId="39550147" w:rsidR="0082273B" w:rsidRPr="00D9085C" w:rsidRDefault="0082273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CPS 511 adopts a proportional approach, meaning </w:t>
      </w:r>
      <w:r w:rsidR="00FA48B0" w:rsidRPr="00D9085C">
        <w:rPr>
          <w:rFonts w:ascii="Times New Roman" w:hAnsi="Times New Roman" w:cs="Times New Roman"/>
          <w:sz w:val="24"/>
          <w:szCs w:val="24"/>
        </w:rPr>
        <w:t>that</w:t>
      </w:r>
      <w:r w:rsidRPr="00D9085C">
        <w:rPr>
          <w:rFonts w:ascii="Times New Roman" w:hAnsi="Times New Roman" w:cs="Times New Roman"/>
          <w:sz w:val="24"/>
          <w:szCs w:val="24"/>
        </w:rPr>
        <w:t xml:space="preserve"> large</w:t>
      </w:r>
      <w:r w:rsidR="00FA48B0" w:rsidRPr="00D9085C">
        <w:rPr>
          <w:rFonts w:ascii="Times New Roman" w:hAnsi="Times New Roman" w:cs="Times New Roman"/>
          <w:sz w:val="24"/>
          <w:szCs w:val="24"/>
        </w:rPr>
        <w:t>r and more</w:t>
      </w:r>
      <w:r w:rsidRPr="00D9085C">
        <w:rPr>
          <w:rFonts w:ascii="Times New Roman" w:hAnsi="Times New Roman" w:cs="Times New Roman"/>
          <w:sz w:val="24"/>
          <w:szCs w:val="24"/>
        </w:rPr>
        <w:t xml:space="preserve"> complex entities (</w:t>
      </w:r>
      <w:r w:rsidR="00501213" w:rsidRPr="00D9085C">
        <w:rPr>
          <w:rFonts w:ascii="Times New Roman" w:hAnsi="Times New Roman" w:cs="Times New Roman"/>
          <w:sz w:val="24"/>
          <w:szCs w:val="24"/>
        </w:rPr>
        <w:t>S</w:t>
      </w:r>
      <w:r w:rsidRPr="00D9085C">
        <w:rPr>
          <w:rFonts w:ascii="Times New Roman" w:hAnsi="Times New Roman" w:cs="Times New Roman"/>
          <w:sz w:val="24"/>
          <w:szCs w:val="24"/>
        </w:rPr>
        <w:t xml:space="preserve">ignificant </w:t>
      </w:r>
      <w:r w:rsidR="00501213" w:rsidRPr="00D9085C">
        <w:rPr>
          <w:rFonts w:ascii="Times New Roman" w:hAnsi="Times New Roman" w:cs="Times New Roman"/>
          <w:sz w:val="24"/>
          <w:szCs w:val="24"/>
        </w:rPr>
        <w:t>F</w:t>
      </w:r>
      <w:r w:rsidRPr="00D9085C">
        <w:rPr>
          <w:rFonts w:ascii="Times New Roman" w:hAnsi="Times New Roman" w:cs="Times New Roman"/>
          <w:sz w:val="24"/>
          <w:szCs w:val="24"/>
        </w:rPr>
        <w:t xml:space="preserve">inancial </w:t>
      </w:r>
      <w:r w:rsidR="00501213" w:rsidRPr="00D9085C">
        <w:rPr>
          <w:rFonts w:ascii="Times New Roman" w:hAnsi="Times New Roman" w:cs="Times New Roman"/>
          <w:sz w:val="24"/>
          <w:szCs w:val="24"/>
        </w:rPr>
        <w:t>I</w:t>
      </w:r>
      <w:r w:rsidRPr="00D9085C">
        <w:rPr>
          <w:rFonts w:ascii="Times New Roman" w:hAnsi="Times New Roman" w:cs="Times New Roman"/>
          <w:sz w:val="24"/>
          <w:szCs w:val="24"/>
        </w:rPr>
        <w:t>nstitutions</w:t>
      </w:r>
      <w:r w:rsidR="003316B0" w:rsidRPr="00D9085C">
        <w:rPr>
          <w:rFonts w:ascii="Times New Roman" w:hAnsi="Times New Roman" w:cs="Times New Roman"/>
          <w:sz w:val="24"/>
          <w:szCs w:val="24"/>
        </w:rPr>
        <w:t xml:space="preserve"> (SFIs)</w:t>
      </w:r>
      <w:r w:rsidRPr="00D9085C">
        <w:rPr>
          <w:rFonts w:ascii="Times New Roman" w:hAnsi="Times New Roman" w:cs="Times New Roman"/>
          <w:sz w:val="24"/>
          <w:szCs w:val="24"/>
        </w:rPr>
        <w:t>)</w:t>
      </w:r>
      <w:r w:rsidR="00FA48B0" w:rsidRPr="00D9085C">
        <w:rPr>
          <w:rFonts w:ascii="Times New Roman" w:hAnsi="Times New Roman" w:cs="Times New Roman"/>
          <w:sz w:val="24"/>
          <w:szCs w:val="24"/>
        </w:rPr>
        <w:t xml:space="preserve"> are subject to higher requirements than smaller and less complex entities</w:t>
      </w:r>
      <w:r w:rsidRPr="00D9085C">
        <w:rPr>
          <w:rFonts w:ascii="Times New Roman" w:hAnsi="Times New Roman" w:cs="Times New Roman"/>
          <w:sz w:val="24"/>
          <w:szCs w:val="24"/>
        </w:rPr>
        <w:t xml:space="preserve">. </w:t>
      </w:r>
    </w:p>
    <w:p w14:paraId="1B277979" w14:textId="3343E7B0" w:rsidR="0082273B"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lastRenderedPageBreak/>
        <w:t xml:space="preserve">Under </w:t>
      </w:r>
      <w:r w:rsidR="00FA48B0" w:rsidRPr="00D9085C">
        <w:rPr>
          <w:rFonts w:ascii="Times New Roman" w:hAnsi="Times New Roman" w:cs="Times New Roman"/>
          <w:sz w:val="24"/>
          <w:szCs w:val="24"/>
        </w:rPr>
        <w:t>CPS 511</w:t>
      </w:r>
      <w:r w:rsidRPr="00D9085C">
        <w:rPr>
          <w:rFonts w:ascii="Times New Roman" w:hAnsi="Times New Roman" w:cs="Times New Roman"/>
          <w:sz w:val="24"/>
          <w:szCs w:val="24"/>
        </w:rPr>
        <w:t xml:space="preserve">, </w:t>
      </w:r>
      <w:r w:rsidR="007A11E4" w:rsidRPr="00D9085C">
        <w:rPr>
          <w:rFonts w:ascii="Times New Roman" w:hAnsi="Times New Roman" w:cs="Times New Roman"/>
          <w:sz w:val="24"/>
          <w:szCs w:val="24"/>
        </w:rPr>
        <w:t xml:space="preserve">the determination of variable remuneration </w:t>
      </w:r>
      <w:r w:rsidR="008C58D7" w:rsidRPr="00D9085C">
        <w:rPr>
          <w:rFonts w:ascii="Times New Roman" w:hAnsi="Times New Roman" w:cs="Times New Roman"/>
          <w:sz w:val="24"/>
          <w:szCs w:val="24"/>
        </w:rPr>
        <w:t>must include consideration of both financial and non-financial risk management</w:t>
      </w:r>
      <w:r w:rsidRPr="00D9085C">
        <w:rPr>
          <w:rFonts w:ascii="Times New Roman" w:hAnsi="Times New Roman" w:cs="Times New Roman"/>
          <w:sz w:val="24"/>
          <w:szCs w:val="24"/>
        </w:rPr>
        <w:t xml:space="preserve">. </w:t>
      </w:r>
      <w:r w:rsidR="0082273B" w:rsidRPr="00D9085C">
        <w:rPr>
          <w:rFonts w:ascii="Times New Roman" w:hAnsi="Times New Roman" w:cs="Times New Roman"/>
          <w:sz w:val="24"/>
          <w:szCs w:val="24"/>
        </w:rPr>
        <w:t>Entities must also ensure that there are appropriate consequences for adverse risk and conduct outcomes.</w:t>
      </w:r>
    </w:p>
    <w:p w14:paraId="0358218A" w14:textId="0096094B" w:rsidR="00D903DC"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SFIs </w:t>
      </w:r>
      <w:r w:rsidR="00501213" w:rsidRPr="00D9085C">
        <w:rPr>
          <w:rFonts w:ascii="Times New Roman" w:hAnsi="Times New Roman" w:cs="Times New Roman"/>
          <w:sz w:val="24"/>
          <w:szCs w:val="24"/>
        </w:rPr>
        <w:t>are</w:t>
      </w:r>
      <w:r w:rsidRPr="00D9085C">
        <w:rPr>
          <w:rFonts w:ascii="Times New Roman" w:hAnsi="Times New Roman" w:cs="Times New Roman"/>
          <w:sz w:val="24"/>
          <w:szCs w:val="24"/>
        </w:rPr>
        <w:t xml:space="preserve"> required to assign a material weight to non-financial measures when determining variable remuneration, and have risk adjustment mechanisms </w:t>
      </w:r>
      <w:r w:rsidR="008C58D7" w:rsidRPr="00D9085C">
        <w:rPr>
          <w:rFonts w:ascii="Times New Roman" w:hAnsi="Times New Roman" w:cs="Times New Roman"/>
          <w:sz w:val="24"/>
          <w:szCs w:val="24"/>
        </w:rPr>
        <w:t>to</w:t>
      </w:r>
      <w:r w:rsidRPr="00D9085C">
        <w:rPr>
          <w:rFonts w:ascii="Times New Roman" w:hAnsi="Times New Roman" w:cs="Times New Roman"/>
          <w:sz w:val="24"/>
          <w:szCs w:val="24"/>
        </w:rPr>
        <w:t xml:space="preserve"> reduce variable remuneration, potentially to zero, where warranted.</w:t>
      </w:r>
      <w:r w:rsidR="007A11E4" w:rsidRPr="00D9085C">
        <w:rPr>
          <w:rFonts w:ascii="Times New Roman" w:hAnsi="Times New Roman" w:cs="Times New Roman"/>
          <w:sz w:val="24"/>
          <w:szCs w:val="24"/>
        </w:rPr>
        <w:t xml:space="preserve"> </w:t>
      </w:r>
    </w:p>
    <w:p w14:paraId="39A99ED0" w14:textId="358226AB" w:rsidR="00D903DC"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t>Variable remuneration of senior executives at SFIs will also be subject to deferral</w:t>
      </w:r>
      <w:r w:rsidR="00FA48B0" w:rsidRPr="00D9085C">
        <w:rPr>
          <w:rFonts w:ascii="Times New Roman" w:hAnsi="Times New Roman" w:cs="Times New Roman"/>
          <w:sz w:val="24"/>
          <w:szCs w:val="24"/>
        </w:rPr>
        <w:t xml:space="preserve"> requirements</w:t>
      </w:r>
      <w:r w:rsidRPr="00D9085C">
        <w:rPr>
          <w:rFonts w:ascii="Times New Roman" w:hAnsi="Times New Roman" w:cs="Times New Roman"/>
          <w:sz w:val="24"/>
          <w:szCs w:val="24"/>
        </w:rPr>
        <w:t>, combined with provisions for in-</w:t>
      </w:r>
      <w:r w:rsidR="00020529" w:rsidRPr="00D9085C">
        <w:rPr>
          <w:rFonts w:ascii="Times New Roman" w:hAnsi="Times New Roman" w:cs="Times New Roman"/>
          <w:sz w:val="24"/>
          <w:szCs w:val="24"/>
        </w:rPr>
        <w:t>period adjustments</w:t>
      </w:r>
      <w:r w:rsidRPr="00D9085C">
        <w:rPr>
          <w:rFonts w:ascii="Times New Roman" w:hAnsi="Times New Roman" w:cs="Times New Roman"/>
          <w:sz w:val="24"/>
          <w:szCs w:val="24"/>
        </w:rPr>
        <w:t xml:space="preserve">, malus and clawback. </w:t>
      </w:r>
    </w:p>
    <w:p w14:paraId="69CBDABA" w14:textId="0ADB8B4F" w:rsidR="0082273B" w:rsidRPr="00D9085C" w:rsidRDefault="0082273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Smaller and less complex entities (non-SFIs) will be subject to simpler requirements for remuneration design and governance arrangements. </w:t>
      </w:r>
    </w:p>
    <w:p w14:paraId="3508C44A" w14:textId="749CDA30" w:rsidR="003C1296" w:rsidRPr="00D9085C" w:rsidRDefault="003C1296" w:rsidP="000125E4">
      <w:pPr>
        <w:jc w:val="both"/>
        <w:rPr>
          <w:rFonts w:ascii="Times New Roman" w:eastAsia="Times New Roman" w:hAnsi="Times New Roman" w:cs="Times New Roman"/>
          <w:sz w:val="24"/>
          <w:szCs w:val="24"/>
        </w:rPr>
      </w:pPr>
      <w:r w:rsidRPr="00D9085C">
        <w:rPr>
          <w:rFonts w:ascii="Times New Roman" w:hAnsi="Times New Roman" w:cs="Times New Roman"/>
          <w:sz w:val="24"/>
          <w:szCs w:val="24"/>
        </w:rPr>
        <w:t xml:space="preserve">Where </w:t>
      </w:r>
      <w:r w:rsidR="009B5D16" w:rsidRPr="00D9085C">
        <w:rPr>
          <w:rFonts w:ascii="Times New Roman" w:hAnsi="Times New Roman" w:cs="Times New Roman"/>
          <w:sz w:val="24"/>
          <w:szCs w:val="24"/>
        </w:rPr>
        <w:t>C</w:t>
      </w:r>
      <w:r w:rsidRPr="00D9085C">
        <w:rPr>
          <w:rFonts w:ascii="Times New Roman" w:hAnsi="Times New Roman" w:cs="Times New Roman"/>
          <w:sz w:val="24"/>
          <w:szCs w:val="24"/>
        </w:rPr>
        <w:t>PS</w:t>
      </w:r>
      <w:r w:rsidR="00864A4A" w:rsidRPr="00D9085C">
        <w:rPr>
          <w:rFonts w:ascii="Times New Roman" w:hAnsi="Times New Roman" w:cs="Times New Roman"/>
          <w:sz w:val="24"/>
          <w:szCs w:val="24"/>
        </w:rPr>
        <w:t xml:space="preserve"> </w:t>
      </w:r>
      <w:r w:rsidR="009B5D16" w:rsidRPr="00D9085C">
        <w:rPr>
          <w:rFonts w:ascii="Times New Roman" w:hAnsi="Times New Roman" w:cs="Times New Roman"/>
          <w:sz w:val="24"/>
          <w:szCs w:val="24"/>
        </w:rPr>
        <w:t>5</w:t>
      </w:r>
      <w:r w:rsidRPr="00D9085C">
        <w:rPr>
          <w:rFonts w:ascii="Times New Roman" w:hAnsi="Times New Roman" w:cs="Times New Roman"/>
          <w:sz w:val="24"/>
          <w:szCs w:val="24"/>
        </w:rPr>
        <w:t>11 refers to an Act, Regulation</w:t>
      </w:r>
      <w:r w:rsidR="00C1184D" w:rsidRPr="00D9085C">
        <w:rPr>
          <w:rFonts w:ascii="Times New Roman" w:hAnsi="Times New Roman" w:cs="Times New Roman"/>
          <w:sz w:val="24"/>
          <w:szCs w:val="24"/>
        </w:rPr>
        <w:t xml:space="preserve"> or</w:t>
      </w:r>
      <w:r w:rsidRPr="00D9085C">
        <w:rPr>
          <w:rFonts w:ascii="Times New Roman" w:hAnsi="Times New Roman" w:cs="Times New Roman"/>
          <w:sz w:val="24"/>
          <w:szCs w:val="24"/>
        </w:rPr>
        <w:t xml:space="preserve"> prudential standard, this is a reference to the document as it exists from time to time, and which is available on the Federal Register of Legislation at </w:t>
      </w:r>
      <w:hyperlink r:id="rId14" w:history="1">
        <w:r w:rsidRPr="00D9085C">
          <w:rPr>
            <w:rStyle w:val="Hyperlink"/>
            <w:rFonts w:ascii="Times New Roman" w:hAnsi="Times New Roman" w:cs="Times New Roman"/>
            <w:color w:val="auto"/>
            <w:sz w:val="24"/>
            <w:szCs w:val="24"/>
          </w:rPr>
          <w:t>www.legislation.gov.au</w:t>
        </w:r>
      </w:hyperlink>
      <w:r w:rsidRPr="00D9085C">
        <w:rPr>
          <w:rFonts w:ascii="Times New Roman" w:hAnsi="Times New Roman" w:cs="Times New Roman"/>
          <w:sz w:val="24"/>
          <w:szCs w:val="24"/>
        </w:rPr>
        <w:t>.</w:t>
      </w:r>
    </w:p>
    <w:p w14:paraId="69C8D608" w14:textId="4E1B73CF" w:rsidR="00E63AB3" w:rsidRPr="00D9085C" w:rsidRDefault="00E63AB3" w:rsidP="000125E4">
      <w:pPr>
        <w:jc w:val="both"/>
        <w:rPr>
          <w:rFonts w:ascii="Times New Roman" w:hAnsi="Times New Roman" w:cs="Times New Roman"/>
          <w:sz w:val="24"/>
          <w:szCs w:val="24"/>
        </w:rPr>
      </w:pPr>
      <w:r w:rsidRPr="00D9085C">
        <w:rPr>
          <w:rFonts w:ascii="Times New Roman" w:hAnsi="Times New Roman" w:cs="Times New Roman"/>
          <w:sz w:val="24"/>
          <w:szCs w:val="24"/>
        </w:rPr>
        <w:t>CPS 511 provides for APRA to exercise various discretions. Decisions made by APRA</w:t>
      </w:r>
      <w:r w:rsidR="00020529" w:rsidRPr="00D9085C">
        <w:rPr>
          <w:rFonts w:ascii="Times New Roman" w:hAnsi="Times New Roman" w:cs="Times New Roman"/>
          <w:sz w:val="24"/>
          <w:szCs w:val="24"/>
        </w:rPr>
        <w:t xml:space="preserve"> in</w:t>
      </w:r>
      <w:r w:rsidRPr="00D9085C">
        <w:rPr>
          <w:rFonts w:ascii="Times New Roman" w:hAnsi="Times New Roman" w:cs="Times New Roman"/>
          <w:sz w:val="24"/>
          <w:szCs w:val="24"/>
        </w:rPr>
        <w:t xml:space="preserve"> exercising those discretions are not subject to merits review. This is because these decisions are preliminary decisions that may facilitate or lead to substantive decisions which are subject to merits review.</w:t>
      </w:r>
    </w:p>
    <w:p w14:paraId="1D74FFAE" w14:textId="6EA74CB1" w:rsidR="00CB1037" w:rsidRPr="00D9085C" w:rsidRDefault="00CB1037" w:rsidP="000125E4">
      <w:pPr>
        <w:jc w:val="both"/>
        <w:rPr>
          <w:rFonts w:ascii="Times New Roman" w:hAnsi="Times New Roman" w:cs="Times New Roman"/>
          <w:sz w:val="24"/>
          <w:szCs w:val="24"/>
        </w:rPr>
      </w:pPr>
      <w:r w:rsidRPr="00D9085C">
        <w:rPr>
          <w:rFonts w:ascii="Times New Roman" w:hAnsi="Times New Roman" w:cs="Times New Roman"/>
          <w:sz w:val="24"/>
          <w:szCs w:val="24"/>
        </w:rPr>
        <w:t>Under the Banking Act, Insurance Act, Life Insurance Act and PHIPS Act</w:t>
      </w:r>
      <w:r w:rsidR="00260911" w:rsidRPr="00D9085C">
        <w:rPr>
          <w:rFonts w:ascii="Times New Roman" w:hAnsi="Times New Roman" w:cs="Times New Roman"/>
          <w:sz w:val="24"/>
          <w:szCs w:val="24"/>
        </w:rPr>
        <w:t>,</w:t>
      </w:r>
      <w:r w:rsidRPr="00D9085C">
        <w:rPr>
          <w:rFonts w:ascii="Times New Roman" w:hAnsi="Times New Roman" w:cs="Times New Roman"/>
          <w:sz w:val="24"/>
          <w:szCs w:val="24"/>
        </w:rPr>
        <w:t xml:space="preserve">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w:t>
      </w:r>
      <w:r w:rsidR="00E14AC5" w:rsidRPr="00D9085C">
        <w:rPr>
          <w:rFonts w:ascii="Times New Roman" w:hAnsi="Times New Roman" w:cs="Times New Roman"/>
          <w:sz w:val="24"/>
          <w:szCs w:val="24"/>
        </w:rPr>
        <w:t>,</w:t>
      </w:r>
      <w:r w:rsidRPr="00D9085C">
        <w:rPr>
          <w:rFonts w:ascii="Times New Roman" w:hAnsi="Times New Roman" w:cs="Times New Roman"/>
          <w:sz w:val="24"/>
          <w:szCs w:val="24"/>
        </w:rPr>
        <w:t xml:space="preserve"> there are no penalties prescribed for breach of the prudential standards under any of these Acts. Instead an entity’s breach of the enabling legislation or RSE licence condition is grounds for APRA to make further, substantive decisions under the relevant enabling legislation in relation to the entity. Those decisions </w:t>
      </w:r>
      <w:r w:rsidR="002D3389" w:rsidRPr="00D9085C">
        <w:rPr>
          <w:rFonts w:ascii="Times New Roman" w:hAnsi="Times New Roman" w:cs="Times New Roman"/>
          <w:sz w:val="24"/>
          <w:szCs w:val="24"/>
        </w:rPr>
        <w:t>may include the decision</w:t>
      </w:r>
      <w:r w:rsidRPr="00D9085C">
        <w:rPr>
          <w:rFonts w:ascii="Times New Roman" w:hAnsi="Times New Roman" w:cs="Times New Roman"/>
          <w:sz w:val="24"/>
          <w:szCs w:val="24"/>
        </w:rPr>
        <w:t xml:space="preserve">: </w:t>
      </w:r>
    </w:p>
    <w:p w14:paraId="7F415279" w14:textId="044D5829" w:rsidR="00E63AB3" w:rsidRPr="00D9085C" w:rsidRDefault="00E63AB3" w:rsidP="0017757B">
      <w:pPr>
        <w:pStyle w:val="ListParagraph"/>
        <w:numPr>
          <w:ilvl w:val="0"/>
          <w:numId w:val="28"/>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to issue a direction to the regulated entity, including</w:t>
      </w:r>
      <w:r w:rsidR="009045A9" w:rsidRPr="00D9085C">
        <w:rPr>
          <w:rFonts w:ascii="Times New Roman" w:hAnsi="Times New Roman" w:cs="Times New Roman"/>
          <w:sz w:val="24"/>
          <w:szCs w:val="24"/>
        </w:rPr>
        <w:t>:</w:t>
      </w:r>
      <w:r w:rsidRPr="00D9085C">
        <w:rPr>
          <w:rFonts w:ascii="Times New Roman" w:hAnsi="Times New Roman" w:cs="Times New Roman"/>
          <w:sz w:val="24"/>
          <w:szCs w:val="24"/>
        </w:rPr>
        <w:t xml:space="preserve"> a direction to comply with the whole or part of a prudential standard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11CA of the Banking Act, s</w:t>
      </w:r>
      <w:r w:rsidR="000E76C9" w:rsidRPr="00D9085C">
        <w:rPr>
          <w:rFonts w:ascii="Times New Roman" w:hAnsi="Times New Roman" w:cs="Times New Roman"/>
          <w:sz w:val="24"/>
          <w:szCs w:val="24"/>
        </w:rPr>
        <w:t>.</w:t>
      </w:r>
      <w:r w:rsidRPr="00D9085C">
        <w:rPr>
          <w:rFonts w:ascii="Times New Roman" w:hAnsi="Times New Roman" w:cs="Times New Roman"/>
          <w:sz w:val="24"/>
          <w:szCs w:val="24"/>
        </w:rPr>
        <w:t>104 of the Insurance Act,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230B of the Life Insurance Act,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131D of the SIS Act)</w:t>
      </w:r>
      <w:r w:rsidR="009045A9" w:rsidRPr="00D9085C">
        <w:rPr>
          <w:rFonts w:ascii="Times New Roman" w:hAnsi="Times New Roman" w:cs="Times New Roman"/>
          <w:sz w:val="24"/>
          <w:szCs w:val="24"/>
        </w:rPr>
        <w:t xml:space="preserve">; and </w:t>
      </w:r>
      <w:r w:rsidR="007C287F" w:rsidRPr="00D9085C">
        <w:rPr>
          <w:rFonts w:ascii="Times New Roman" w:hAnsi="Times New Roman" w:cs="Times New Roman"/>
          <w:sz w:val="24"/>
          <w:szCs w:val="24"/>
        </w:rPr>
        <w:t xml:space="preserve">a direction </w:t>
      </w:r>
      <w:r w:rsidR="009045A9" w:rsidRPr="00D9085C">
        <w:rPr>
          <w:rFonts w:ascii="Times New Roman" w:hAnsi="Times New Roman" w:cs="Times New Roman"/>
          <w:sz w:val="24"/>
          <w:szCs w:val="24"/>
        </w:rPr>
        <w:t>to comply with all, or specified obligations, which includes prudential standards (s</w:t>
      </w:r>
      <w:r w:rsidR="008E0906" w:rsidRPr="00D9085C">
        <w:rPr>
          <w:rFonts w:ascii="Times New Roman" w:hAnsi="Times New Roman" w:cs="Times New Roman"/>
          <w:sz w:val="24"/>
          <w:szCs w:val="24"/>
        </w:rPr>
        <w:t xml:space="preserve">ection </w:t>
      </w:r>
      <w:r w:rsidR="009045A9" w:rsidRPr="00D9085C">
        <w:rPr>
          <w:rFonts w:ascii="Times New Roman" w:hAnsi="Times New Roman" w:cs="Times New Roman"/>
          <w:sz w:val="24"/>
          <w:szCs w:val="24"/>
        </w:rPr>
        <w:t>96 of the PHIPS Act)</w:t>
      </w:r>
      <w:r w:rsidR="008E0906" w:rsidRPr="00D9085C">
        <w:rPr>
          <w:rFonts w:ascii="Times New Roman" w:hAnsi="Times New Roman" w:cs="Times New Roman"/>
          <w:sz w:val="24"/>
          <w:szCs w:val="24"/>
        </w:rPr>
        <w:t>;</w:t>
      </w:r>
      <w:r w:rsidR="0010042B" w:rsidRPr="00D9085C">
        <w:rPr>
          <w:rFonts w:ascii="Times New Roman" w:hAnsi="Times New Roman" w:cs="Times New Roman"/>
          <w:sz w:val="24"/>
          <w:szCs w:val="24"/>
        </w:rPr>
        <w:t xml:space="preserve"> or</w:t>
      </w:r>
    </w:p>
    <w:p w14:paraId="11DA7FA1" w14:textId="066C18DB" w:rsidR="009C1A33" w:rsidRPr="00D9085C" w:rsidRDefault="00CB1037" w:rsidP="0017757B">
      <w:pPr>
        <w:pStyle w:val="ListParagraph"/>
        <w:numPr>
          <w:ilvl w:val="0"/>
          <w:numId w:val="28"/>
        </w:numPr>
        <w:jc w:val="both"/>
        <w:rPr>
          <w:rFonts w:ascii="Times New Roman" w:hAnsi="Times New Roman" w:cs="Times New Roman"/>
          <w:sz w:val="24"/>
          <w:szCs w:val="24"/>
        </w:rPr>
      </w:pPr>
      <w:r w:rsidRPr="00D9085C">
        <w:rPr>
          <w:rFonts w:ascii="Times New Roman" w:hAnsi="Times New Roman" w:cs="Times New Roman"/>
          <w:sz w:val="24"/>
          <w:szCs w:val="24"/>
        </w:rPr>
        <w:t>to revoke</w:t>
      </w:r>
      <w:r w:rsidR="007C1798" w:rsidRPr="00D9085C">
        <w:rPr>
          <w:rFonts w:ascii="Times New Roman" w:hAnsi="Times New Roman" w:cs="Times New Roman"/>
          <w:sz w:val="24"/>
          <w:szCs w:val="24"/>
        </w:rPr>
        <w:t>:</w:t>
      </w:r>
      <w:r w:rsidRPr="00D9085C">
        <w:rPr>
          <w:rFonts w:ascii="Times New Roman" w:hAnsi="Times New Roman" w:cs="Times New Roman"/>
          <w:sz w:val="24"/>
          <w:szCs w:val="24"/>
        </w:rPr>
        <w:t xml:space="preserve"> an authority to carry on banking business (section 9A of the Banking Act)</w:t>
      </w:r>
      <w:r w:rsidR="007C1798" w:rsidRPr="00D9085C">
        <w:rPr>
          <w:rFonts w:ascii="Times New Roman" w:hAnsi="Times New Roman" w:cs="Times New Roman"/>
          <w:sz w:val="24"/>
          <w:szCs w:val="24"/>
        </w:rPr>
        <w:t>;</w:t>
      </w:r>
      <w:r w:rsidR="000E76C9"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a </w:t>
      </w:r>
      <w:r w:rsidR="007C1798" w:rsidRPr="00D9085C">
        <w:rPr>
          <w:rFonts w:ascii="Times New Roman" w:hAnsi="Times New Roman" w:cs="Times New Roman"/>
          <w:sz w:val="24"/>
          <w:szCs w:val="24"/>
        </w:rPr>
        <w:t xml:space="preserve">banking </w:t>
      </w:r>
      <w:r w:rsidR="000D1C0A" w:rsidRPr="00D9085C">
        <w:rPr>
          <w:rFonts w:ascii="Times New Roman" w:hAnsi="Times New Roman" w:cs="Times New Roman"/>
          <w:sz w:val="24"/>
          <w:szCs w:val="24"/>
        </w:rPr>
        <w:t xml:space="preserve">NOHC </w:t>
      </w:r>
      <w:r w:rsidR="007C1798" w:rsidRPr="00D9085C">
        <w:rPr>
          <w:rFonts w:ascii="Times New Roman" w:hAnsi="Times New Roman" w:cs="Times New Roman"/>
          <w:sz w:val="24"/>
          <w:szCs w:val="24"/>
        </w:rPr>
        <w:t>authorisation (section</w:t>
      </w:r>
      <w:r w:rsidR="00FE0A88"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11AB of the Banking Act);</w:t>
      </w:r>
      <w:r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an authority to carry on </w:t>
      </w:r>
      <w:r w:rsidRPr="00D9085C">
        <w:rPr>
          <w:rFonts w:ascii="Times New Roman" w:hAnsi="Times New Roman" w:cs="Times New Roman"/>
          <w:sz w:val="24"/>
          <w:szCs w:val="24"/>
        </w:rPr>
        <w:t>insurance business (section 15 of the Insurance Act)</w:t>
      </w:r>
      <w:r w:rsidR="007C1798" w:rsidRPr="00D9085C">
        <w:rPr>
          <w:rFonts w:ascii="Times New Roman" w:hAnsi="Times New Roman" w:cs="Times New Roman"/>
          <w:sz w:val="24"/>
          <w:szCs w:val="24"/>
        </w:rPr>
        <w:t xml:space="preserve">; </w:t>
      </w:r>
      <w:r w:rsidR="00777743" w:rsidRPr="00D9085C">
        <w:rPr>
          <w:rFonts w:ascii="Times New Roman" w:hAnsi="Times New Roman" w:cs="Times New Roman"/>
          <w:sz w:val="24"/>
          <w:szCs w:val="24"/>
        </w:rPr>
        <w:t>an</w:t>
      </w:r>
      <w:r w:rsidR="000D1C0A"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insurance </w:t>
      </w:r>
      <w:r w:rsidR="000D1C0A" w:rsidRPr="00D9085C">
        <w:rPr>
          <w:rFonts w:ascii="Times New Roman" w:hAnsi="Times New Roman" w:cs="Times New Roman"/>
          <w:sz w:val="24"/>
          <w:szCs w:val="24"/>
        </w:rPr>
        <w:t xml:space="preserve">NOHC </w:t>
      </w:r>
      <w:r w:rsidR="007C1798" w:rsidRPr="00D9085C">
        <w:rPr>
          <w:rFonts w:ascii="Times New Roman" w:hAnsi="Times New Roman" w:cs="Times New Roman"/>
          <w:sz w:val="24"/>
          <w:szCs w:val="24"/>
        </w:rPr>
        <w:t>authorisation (section 21 of the Insurance Act);</w:t>
      </w:r>
      <w:r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registration of</w:t>
      </w:r>
      <w:r w:rsidR="000B49D8" w:rsidRPr="00D9085C">
        <w:rPr>
          <w:rFonts w:ascii="Times New Roman" w:hAnsi="Times New Roman" w:cs="Times New Roman"/>
          <w:sz w:val="24"/>
          <w:szCs w:val="24"/>
        </w:rPr>
        <w:t xml:space="preserve"> </w:t>
      </w:r>
      <w:r w:rsidRPr="00D9085C">
        <w:rPr>
          <w:rFonts w:ascii="Times New Roman" w:hAnsi="Times New Roman" w:cs="Times New Roman"/>
          <w:sz w:val="24"/>
          <w:szCs w:val="24"/>
        </w:rPr>
        <w:t>life insurance business (section 26 of the Life Insurance Act)</w:t>
      </w:r>
      <w:r w:rsidR="007C1798"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a life </w:t>
      </w:r>
      <w:r w:rsidR="007C1798" w:rsidRPr="00D9085C">
        <w:rPr>
          <w:rFonts w:ascii="Times New Roman" w:hAnsi="Times New Roman" w:cs="Times New Roman"/>
          <w:sz w:val="24"/>
          <w:szCs w:val="24"/>
        </w:rPr>
        <w:t xml:space="preserve">NOHC authorisation (section </w:t>
      </w:r>
      <w:r w:rsidR="008E0906" w:rsidRPr="00D9085C">
        <w:rPr>
          <w:rFonts w:ascii="Times New Roman" w:hAnsi="Times New Roman" w:cs="Times New Roman"/>
          <w:sz w:val="24"/>
          <w:szCs w:val="24"/>
        </w:rPr>
        <w:t>28C of the Life Insurance Act);</w:t>
      </w:r>
      <w:r w:rsidR="000B49D8" w:rsidRPr="00D9085C">
        <w:rPr>
          <w:rFonts w:ascii="Times New Roman" w:hAnsi="Times New Roman" w:cs="Times New Roman"/>
          <w:sz w:val="24"/>
          <w:szCs w:val="24"/>
        </w:rPr>
        <w:t xml:space="preserve"> </w:t>
      </w:r>
      <w:r w:rsidRPr="00D9085C">
        <w:rPr>
          <w:rFonts w:ascii="Times New Roman" w:hAnsi="Times New Roman" w:cs="Times New Roman"/>
          <w:sz w:val="24"/>
          <w:szCs w:val="24"/>
        </w:rPr>
        <w:t>or to revoke an authority to operate an APRA-regulated superannuation fund (section 29G of the SIS Act)</w:t>
      </w:r>
      <w:r w:rsidR="0010042B" w:rsidRPr="00D9085C">
        <w:rPr>
          <w:rFonts w:ascii="Times New Roman" w:hAnsi="Times New Roman" w:cs="Times New Roman"/>
          <w:sz w:val="24"/>
          <w:szCs w:val="24"/>
        </w:rPr>
        <w:t>.</w:t>
      </w:r>
      <w:r w:rsidRPr="00D9085C">
        <w:rPr>
          <w:rFonts w:ascii="Times New Roman" w:hAnsi="Times New Roman" w:cs="Times New Roman"/>
          <w:sz w:val="24"/>
          <w:szCs w:val="24"/>
        </w:rPr>
        <w:t xml:space="preserve"> </w:t>
      </w:r>
    </w:p>
    <w:p w14:paraId="04288D7A" w14:textId="6421C18F" w:rsidR="00800597" w:rsidRPr="00D9085C" w:rsidRDefault="000B49D8" w:rsidP="00777743">
      <w:pPr>
        <w:jc w:val="both"/>
        <w:rPr>
          <w:rFonts w:ascii="Times New Roman" w:hAnsi="Times New Roman" w:cs="Times New Roman"/>
          <w:sz w:val="24"/>
          <w:szCs w:val="24"/>
        </w:rPr>
      </w:pPr>
      <w:r w:rsidRPr="00D9085C">
        <w:rPr>
          <w:rFonts w:ascii="Times New Roman" w:hAnsi="Times New Roman" w:cs="Times New Roman"/>
          <w:sz w:val="24"/>
          <w:szCs w:val="24"/>
        </w:rPr>
        <w:lastRenderedPageBreak/>
        <w:t>It is only at this stage that an entity is</w:t>
      </w:r>
      <w:r w:rsidR="00355413" w:rsidRPr="00D9085C">
        <w:rPr>
          <w:rFonts w:ascii="Times New Roman" w:hAnsi="Times New Roman" w:cs="Times New Roman"/>
          <w:sz w:val="24"/>
          <w:szCs w:val="24"/>
        </w:rPr>
        <w:t xml:space="preserve"> </w:t>
      </w:r>
      <w:r w:rsidRPr="00D9085C">
        <w:rPr>
          <w:rFonts w:ascii="Times New Roman" w:hAnsi="Times New Roman" w:cs="Times New Roman"/>
          <w:sz w:val="24"/>
          <w:szCs w:val="24"/>
        </w:rPr>
        <w:t>exposed to a penalty</w:t>
      </w:r>
      <w:r w:rsidR="000D1C0A" w:rsidRPr="00D9085C">
        <w:rPr>
          <w:rFonts w:ascii="Times New Roman" w:hAnsi="Times New Roman" w:cs="Times New Roman"/>
          <w:sz w:val="24"/>
          <w:szCs w:val="24"/>
        </w:rPr>
        <w:t>,</w:t>
      </w:r>
      <w:r w:rsidRPr="00D9085C">
        <w:rPr>
          <w:rFonts w:ascii="Times New Roman" w:hAnsi="Times New Roman" w:cs="Times New Roman"/>
          <w:sz w:val="24"/>
          <w:szCs w:val="24"/>
        </w:rPr>
        <w:t xml:space="preserve"> loss of licence or imposition of a penalty if it breaches the direction (50 penalty units each day under section 11CG of the Banking Act, section 108 of the Insurance Act</w:t>
      </w:r>
      <w:r w:rsidR="00020529" w:rsidRPr="00D9085C">
        <w:rPr>
          <w:rFonts w:ascii="Times New Roman" w:hAnsi="Times New Roman" w:cs="Times New Roman"/>
          <w:sz w:val="24"/>
          <w:szCs w:val="24"/>
        </w:rPr>
        <w:t>,</w:t>
      </w:r>
      <w:r w:rsidR="00003092" w:rsidRPr="00D9085C">
        <w:rPr>
          <w:rFonts w:ascii="Times New Roman" w:hAnsi="Times New Roman" w:cs="Times New Roman"/>
          <w:sz w:val="24"/>
          <w:szCs w:val="24"/>
        </w:rPr>
        <w:t xml:space="preserve"> and</w:t>
      </w:r>
      <w:r w:rsidRPr="00D9085C">
        <w:rPr>
          <w:rFonts w:ascii="Times New Roman" w:hAnsi="Times New Roman" w:cs="Times New Roman"/>
          <w:sz w:val="24"/>
          <w:szCs w:val="24"/>
        </w:rPr>
        <w:t xml:space="preserve"> section 230F of the Life Insurance Act</w:t>
      </w:r>
      <w:r w:rsidR="00FF149D" w:rsidRPr="00D9085C">
        <w:rPr>
          <w:rFonts w:ascii="Times New Roman" w:hAnsi="Times New Roman" w:cs="Times New Roman"/>
          <w:sz w:val="24"/>
          <w:szCs w:val="24"/>
        </w:rPr>
        <w:t>;</w:t>
      </w:r>
      <w:r w:rsidRPr="00D9085C">
        <w:rPr>
          <w:rFonts w:ascii="Times New Roman" w:hAnsi="Times New Roman" w:cs="Times New Roman"/>
          <w:sz w:val="24"/>
          <w:szCs w:val="24"/>
        </w:rPr>
        <w:t xml:space="preserve"> </w:t>
      </w:r>
      <w:r w:rsidR="00003092" w:rsidRPr="00D9085C">
        <w:rPr>
          <w:rFonts w:ascii="Times New Roman" w:hAnsi="Times New Roman" w:cs="Times New Roman"/>
          <w:sz w:val="24"/>
          <w:szCs w:val="24"/>
        </w:rPr>
        <w:t xml:space="preserve">30 penalty units each day under </w:t>
      </w:r>
      <w:r w:rsidRPr="00D9085C">
        <w:rPr>
          <w:rFonts w:ascii="Times New Roman" w:hAnsi="Times New Roman" w:cs="Times New Roman"/>
          <w:sz w:val="24"/>
          <w:szCs w:val="24"/>
        </w:rPr>
        <w:t xml:space="preserve">section </w:t>
      </w:r>
      <w:r w:rsidR="009045A9" w:rsidRPr="00D9085C">
        <w:rPr>
          <w:rFonts w:ascii="Times New Roman" w:hAnsi="Times New Roman" w:cs="Times New Roman"/>
          <w:sz w:val="24"/>
          <w:szCs w:val="24"/>
        </w:rPr>
        <w:t>104</w:t>
      </w:r>
      <w:r w:rsidRPr="00D9085C">
        <w:rPr>
          <w:rFonts w:ascii="Times New Roman" w:hAnsi="Times New Roman" w:cs="Times New Roman"/>
          <w:sz w:val="24"/>
          <w:szCs w:val="24"/>
        </w:rPr>
        <w:t xml:space="preserve"> of the PHIPS Act</w:t>
      </w:r>
      <w:r w:rsidR="00FF149D" w:rsidRPr="00D9085C">
        <w:rPr>
          <w:rFonts w:ascii="Times New Roman" w:hAnsi="Times New Roman" w:cs="Times New Roman"/>
          <w:sz w:val="24"/>
          <w:szCs w:val="24"/>
        </w:rPr>
        <w:t>;</w:t>
      </w:r>
      <w:r w:rsidRPr="00D9085C">
        <w:rPr>
          <w:rFonts w:ascii="Times New Roman" w:hAnsi="Times New Roman" w:cs="Times New Roman"/>
          <w:sz w:val="24"/>
          <w:szCs w:val="24"/>
        </w:rPr>
        <w:t xml:space="preserve"> and 100 penalty units each day under section 131DD of the SIS Act).</w:t>
      </w:r>
      <w:r w:rsidRPr="00D9085C">
        <w:rPr>
          <w:rStyle w:val="FootnoteReference"/>
          <w:rFonts w:cs="Times New Roman"/>
          <w:color w:val="auto"/>
          <w:szCs w:val="24"/>
        </w:rPr>
        <w:footnoteReference w:id="3"/>
      </w:r>
      <w:r w:rsidRPr="00D9085C">
        <w:rPr>
          <w:rFonts w:ascii="Times New Roman" w:hAnsi="Times New Roman" w:cs="Times New Roman"/>
          <w:sz w:val="24"/>
          <w:szCs w:val="24"/>
        </w:rPr>
        <w:t xml:space="preserve"> </w:t>
      </w:r>
      <w:r w:rsidR="003C1296" w:rsidRPr="00D9085C">
        <w:rPr>
          <w:rFonts w:ascii="Times New Roman" w:hAnsi="Times New Roman" w:cs="Times New Roman"/>
          <w:sz w:val="24"/>
          <w:szCs w:val="24"/>
        </w:rPr>
        <w:t>In nearly all cases,</w:t>
      </w:r>
      <w:r w:rsidR="003C1296" w:rsidRPr="00D9085C">
        <w:rPr>
          <w:rStyle w:val="FootnoteReference"/>
          <w:rFonts w:ascii="Times New Roman" w:hAnsi="Times New Roman" w:cs="Times New Roman"/>
          <w:color w:val="auto"/>
          <w:sz w:val="24"/>
          <w:szCs w:val="24"/>
        </w:rPr>
        <w:footnoteReference w:id="4"/>
      </w:r>
      <w:r w:rsidRPr="00D9085C">
        <w:rPr>
          <w:rFonts w:ascii="Times New Roman" w:hAnsi="Times New Roman" w:cs="Times New Roman"/>
          <w:sz w:val="24"/>
          <w:szCs w:val="24"/>
        </w:rPr>
        <w:t xml:space="preserve"> the decisions are preceded by a full consultation with the regulated entity to raise any concerns they may have in relation to the decision</w:t>
      </w:r>
      <w:r w:rsidR="003C1296" w:rsidRPr="00D9085C">
        <w:rPr>
          <w:rFonts w:ascii="Times New Roman" w:hAnsi="Times New Roman" w:cs="Times New Roman"/>
          <w:sz w:val="24"/>
          <w:szCs w:val="24"/>
        </w:rPr>
        <w:t>.</w:t>
      </w:r>
    </w:p>
    <w:p w14:paraId="5897DF08" w14:textId="2274D688" w:rsidR="000E76C9" w:rsidRPr="00D9085C" w:rsidRDefault="000E76C9"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The decisions of APRA to impose a direction are subject to merits review (section 11CA of the Banking Act, section </w:t>
      </w:r>
      <w:r w:rsidR="00020529" w:rsidRPr="00D9085C">
        <w:rPr>
          <w:rFonts w:ascii="Times New Roman" w:hAnsi="Times New Roman" w:cs="Times New Roman"/>
          <w:sz w:val="24"/>
          <w:szCs w:val="24"/>
        </w:rPr>
        <w:t xml:space="preserve">104 </w:t>
      </w:r>
      <w:r w:rsidRPr="00D9085C">
        <w:rPr>
          <w:rFonts w:ascii="Times New Roman" w:hAnsi="Times New Roman" w:cs="Times New Roman"/>
          <w:sz w:val="24"/>
          <w:szCs w:val="24"/>
        </w:rPr>
        <w:t>of the Insurance Act, section 236 of the Life Insurance Act, section</w:t>
      </w:r>
      <w:r w:rsidR="007C1798" w:rsidRPr="00D9085C">
        <w:rPr>
          <w:rFonts w:ascii="Times New Roman" w:hAnsi="Times New Roman" w:cs="Times New Roman"/>
          <w:sz w:val="24"/>
          <w:szCs w:val="24"/>
        </w:rPr>
        <w:t xml:space="preserve"> </w:t>
      </w:r>
      <w:r w:rsidRPr="00D9085C">
        <w:rPr>
          <w:rFonts w:ascii="Times New Roman" w:hAnsi="Times New Roman" w:cs="Times New Roman"/>
          <w:sz w:val="24"/>
          <w:szCs w:val="24"/>
        </w:rPr>
        <w:t xml:space="preserve">168 </w:t>
      </w:r>
      <w:r w:rsidR="000D1C0A" w:rsidRPr="00D9085C">
        <w:rPr>
          <w:rFonts w:ascii="Times New Roman" w:hAnsi="Times New Roman" w:cs="Times New Roman"/>
          <w:sz w:val="24"/>
          <w:szCs w:val="24"/>
        </w:rPr>
        <w:t xml:space="preserve">of the </w:t>
      </w:r>
      <w:r w:rsidRPr="00D9085C">
        <w:rPr>
          <w:rFonts w:ascii="Times New Roman" w:hAnsi="Times New Roman" w:cs="Times New Roman"/>
          <w:sz w:val="24"/>
          <w:szCs w:val="24"/>
        </w:rPr>
        <w:t>PHIPS Act), which is appropriately available at the point where an entity could be exposed to a penalty.</w:t>
      </w:r>
    </w:p>
    <w:p w14:paraId="150FBFE4" w14:textId="4C398B0A" w:rsidR="002958BD" w:rsidRPr="00D9085C" w:rsidRDefault="002958BD" w:rsidP="00777743">
      <w:pPr>
        <w:jc w:val="both"/>
        <w:rPr>
          <w:rFonts w:ascii="Times New Roman" w:hAnsi="Times New Roman" w:cs="Times New Roman"/>
          <w:sz w:val="24"/>
          <w:szCs w:val="24"/>
        </w:rPr>
      </w:pPr>
      <w:r w:rsidRPr="00D9085C">
        <w:rPr>
          <w:rFonts w:ascii="Times New Roman" w:hAnsi="Times New Roman" w:cs="Times New Roman"/>
          <w:sz w:val="24"/>
          <w:szCs w:val="24"/>
        </w:rPr>
        <w:t>All decisions to revoke authorisations/registrations under the Banking Act, Insurance Act and Life Insurance Act are subject to merits review, unless specifically excluded by the enabling legislation.</w:t>
      </w:r>
    </w:p>
    <w:p w14:paraId="27619836" w14:textId="19311E4A" w:rsidR="008E0906" w:rsidRPr="00D9085C" w:rsidRDefault="008E0906"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an authorisation to carry on banking business or a </w:t>
      </w:r>
      <w:r w:rsidR="000D1C0A" w:rsidRPr="00D9085C">
        <w:rPr>
          <w:rFonts w:ascii="Times New Roman" w:hAnsi="Times New Roman" w:cs="Times New Roman"/>
          <w:sz w:val="24"/>
          <w:szCs w:val="24"/>
        </w:rPr>
        <w:t xml:space="preserve">banking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unless either:</w:t>
      </w:r>
    </w:p>
    <w:p w14:paraId="62A7A714" w14:textId="5E793C82" w:rsidR="00F63FC1" w:rsidRPr="00D9085C" w:rsidRDefault="008E0906" w:rsidP="0017757B">
      <w:pPr>
        <w:pStyle w:val="ListParagraph"/>
        <w:numPr>
          <w:ilvl w:val="0"/>
          <w:numId w:val="29"/>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2CCE8E01" w14:textId="2D3A91A6" w:rsidR="008E0906" w:rsidRPr="00D9085C" w:rsidRDefault="008E0906" w:rsidP="0017757B">
      <w:pPr>
        <w:pStyle w:val="ListParagraph"/>
        <w:numPr>
          <w:ilvl w:val="0"/>
          <w:numId w:val="29"/>
        </w:numPr>
        <w:jc w:val="both"/>
        <w:rPr>
          <w:rFonts w:ascii="Times New Roman" w:hAnsi="Times New Roman" w:cs="Times New Roman"/>
          <w:sz w:val="24"/>
          <w:szCs w:val="24"/>
        </w:rPr>
      </w:pPr>
      <w:r w:rsidRPr="00D9085C">
        <w:rPr>
          <w:rFonts w:ascii="Times New Roman" w:hAnsi="Times New Roman" w:cs="Times New Roman"/>
          <w:sz w:val="24"/>
          <w:szCs w:val="24"/>
        </w:rPr>
        <w:t>(in the case of ADIs only) the authority is an authority that is to cease to have effect on a day specified in the authority (s</w:t>
      </w:r>
      <w:r w:rsidR="00F63FC1"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9A(8)</w:t>
      </w:r>
      <w:r w:rsidR="000D1C0A" w:rsidRPr="00D9085C">
        <w:rPr>
          <w:rFonts w:ascii="Times New Roman" w:hAnsi="Times New Roman" w:cs="Times New Roman"/>
          <w:sz w:val="24"/>
          <w:szCs w:val="24"/>
        </w:rPr>
        <w:t xml:space="preserve"> of the Banking Act</w:t>
      </w:r>
      <w:r w:rsidRPr="00D9085C">
        <w:rPr>
          <w:rFonts w:ascii="Times New Roman" w:hAnsi="Times New Roman" w:cs="Times New Roman"/>
          <w:sz w:val="24"/>
          <w:szCs w:val="24"/>
        </w:rPr>
        <w:t>).</w:t>
      </w:r>
    </w:p>
    <w:p w14:paraId="0B2A9276" w14:textId="7C0239F5" w:rsidR="008E0906" w:rsidRPr="00D9085C" w:rsidRDefault="008E0906"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an authorisation to carry on insurance business or </w:t>
      </w:r>
      <w:r w:rsidR="00777743" w:rsidRPr="00D9085C">
        <w:rPr>
          <w:rFonts w:ascii="Times New Roman" w:hAnsi="Times New Roman" w:cs="Times New Roman"/>
          <w:sz w:val="24"/>
          <w:szCs w:val="24"/>
        </w:rPr>
        <w:t>an</w:t>
      </w:r>
      <w:r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insurance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(ss 15 and 21</w:t>
      </w:r>
      <w:r w:rsidR="00F63FC1" w:rsidRPr="00D9085C">
        <w:rPr>
          <w:rFonts w:ascii="Times New Roman" w:hAnsi="Times New Roman" w:cs="Times New Roman"/>
          <w:sz w:val="24"/>
          <w:szCs w:val="24"/>
        </w:rPr>
        <w:t xml:space="preserve"> of the</w:t>
      </w:r>
      <w:r w:rsidRPr="00D9085C">
        <w:rPr>
          <w:rFonts w:ascii="Times New Roman" w:hAnsi="Times New Roman" w:cs="Times New Roman"/>
          <w:sz w:val="24"/>
          <w:szCs w:val="24"/>
        </w:rPr>
        <w:t xml:space="preserve"> Insurance Act).</w:t>
      </w:r>
    </w:p>
    <w:p w14:paraId="7327EAF4" w14:textId="6AA48E0E" w:rsidR="007C2D39" w:rsidRPr="00D9085C" w:rsidRDefault="008E0906" w:rsidP="000868B7">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registration as a life insurance company or a </w:t>
      </w:r>
      <w:r w:rsidR="000D1C0A" w:rsidRPr="00D9085C">
        <w:rPr>
          <w:rFonts w:ascii="Times New Roman" w:hAnsi="Times New Roman" w:cs="Times New Roman"/>
          <w:sz w:val="24"/>
          <w:szCs w:val="24"/>
        </w:rPr>
        <w:t xml:space="preserve">life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(section 236 of the Life Insurance Act).</w:t>
      </w:r>
      <w:r w:rsidR="004A18BF" w:rsidRPr="00D9085C">
        <w:rPr>
          <w:rFonts w:ascii="Times New Roman" w:hAnsi="Times New Roman" w:cs="Times New Roman"/>
          <w:sz w:val="24"/>
          <w:szCs w:val="24"/>
        </w:rPr>
        <w:t xml:space="preserve"> </w:t>
      </w:r>
      <w:r w:rsidR="000868B7" w:rsidRPr="00D9085C">
        <w:rPr>
          <w:rFonts w:ascii="Times New Roman" w:hAnsi="Times New Roman" w:cs="Times New Roman"/>
          <w:sz w:val="24"/>
          <w:szCs w:val="24"/>
        </w:rPr>
        <w:t xml:space="preserve">The situation in relation to cancellation of registration under the PHIPS Act is different to the other enabling legislation. </w:t>
      </w:r>
    </w:p>
    <w:p w14:paraId="26D38415" w14:textId="51C85349" w:rsidR="00197A23" w:rsidRPr="00D9085C" w:rsidRDefault="00E71019" w:rsidP="00641582">
      <w:pPr>
        <w:pStyle w:val="ListParagraph"/>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Consultation</w:t>
      </w:r>
    </w:p>
    <w:p w14:paraId="244EF219" w14:textId="5AB3C4F3" w:rsidR="00B22E51" w:rsidRPr="00D9085C" w:rsidRDefault="00B22E51" w:rsidP="00641582">
      <w:pPr>
        <w:jc w:val="both"/>
        <w:rPr>
          <w:rFonts w:ascii="Times New Roman" w:hAnsi="Times New Roman" w:cs="Times New Roman"/>
          <w:sz w:val="24"/>
          <w:szCs w:val="24"/>
        </w:rPr>
      </w:pPr>
      <w:r w:rsidRPr="00D9085C">
        <w:rPr>
          <w:rFonts w:ascii="Times New Roman" w:hAnsi="Times New Roman" w:cs="Times New Roman"/>
          <w:sz w:val="24"/>
          <w:szCs w:val="24"/>
        </w:rPr>
        <w:lastRenderedPageBreak/>
        <w:t xml:space="preserve">APRA </w:t>
      </w:r>
      <w:r w:rsidR="00501213" w:rsidRPr="00D9085C">
        <w:rPr>
          <w:rFonts w:ascii="Times New Roman" w:hAnsi="Times New Roman" w:cs="Times New Roman"/>
          <w:sz w:val="24"/>
          <w:szCs w:val="24"/>
        </w:rPr>
        <w:t>undertook</w:t>
      </w:r>
      <w:r w:rsidRPr="00D9085C">
        <w:rPr>
          <w:rFonts w:ascii="Times New Roman" w:hAnsi="Times New Roman" w:cs="Times New Roman"/>
          <w:sz w:val="24"/>
          <w:szCs w:val="24"/>
        </w:rPr>
        <w:t xml:space="preserve"> two rounds of public consultation in </w:t>
      </w:r>
      <w:r w:rsidR="00B85101" w:rsidRPr="00D9085C">
        <w:rPr>
          <w:rFonts w:ascii="Times New Roman" w:hAnsi="Times New Roman" w:cs="Times New Roman"/>
          <w:sz w:val="24"/>
          <w:szCs w:val="24"/>
        </w:rPr>
        <w:t xml:space="preserve">developing </w:t>
      </w:r>
      <w:r w:rsidR="00CE6CEC" w:rsidRPr="00D9085C">
        <w:rPr>
          <w:rFonts w:ascii="Times New Roman" w:hAnsi="Times New Roman" w:cs="Times New Roman"/>
          <w:sz w:val="24"/>
          <w:szCs w:val="24"/>
        </w:rPr>
        <w:t>C</w:t>
      </w:r>
      <w:r w:rsidRPr="00D9085C">
        <w:rPr>
          <w:rFonts w:ascii="Times New Roman" w:hAnsi="Times New Roman" w:cs="Times New Roman"/>
          <w:sz w:val="24"/>
          <w:szCs w:val="24"/>
        </w:rPr>
        <w:t xml:space="preserve">PS </w:t>
      </w:r>
      <w:r w:rsidR="00CE6CEC" w:rsidRPr="00D9085C">
        <w:rPr>
          <w:rFonts w:ascii="Times New Roman" w:hAnsi="Times New Roman" w:cs="Times New Roman"/>
          <w:sz w:val="24"/>
          <w:szCs w:val="24"/>
        </w:rPr>
        <w:t>5</w:t>
      </w:r>
      <w:r w:rsidRPr="00D9085C">
        <w:rPr>
          <w:rFonts w:ascii="Times New Roman" w:hAnsi="Times New Roman" w:cs="Times New Roman"/>
          <w:sz w:val="24"/>
          <w:szCs w:val="24"/>
        </w:rPr>
        <w:t>11</w:t>
      </w:r>
      <w:r w:rsidR="00501213" w:rsidRPr="00D9085C">
        <w:rPr>
          <w:rFonts w:ascii="Times New Roman" w:hAnsi="Times New Roman" w:cs="Times New Roman"/>
          <w:sz w:val="24"/>
          <w:szCs w:val="24"/>
        </w:rPr>
        <w:t>. This</w:t>
      </w:r>
      <w:r w:rsidRPr="00D9085C">
        <w:rPr>
          <w:rFonts w:ascii="Times New Roman" w:hAnsi="Times New Roman" w:cs="Times New Roman"/>
          <w:sz w:val="24"/>
          <w:szCs w:val="24"/>
        </w:rPr>
        <w:t xml:space="preserve"> </w:t>
      </w:r>
      <w:r w:rsidR="00501213" w:rsidRPr="00D9085C">
        <w:rPr>
          <w:rFonts w:ascii="Times New Roman" w:hAnsi="Times New Roman" w:cs="Times New Roman"/>
          <w:sz w:val="24"/>
          <w:szCs w:val="24"/>
        </w:rPr>
        <w:t>involved engagements</w:t>
      </w:r>
      <w:r w:rsidRPr="00D9085C">
        <w:rPr>
          <w:rFonts w:ascii="Times New Roman" w:hAnsi="Times New Roman" w:cs="Times New Roman"/>
          <w:sz w:val="24"/>
          <w:szCs w:val="24"/>
        </w:rPr>
        <w:t xml:space="preserve"> with a variety of stakeholders over a period of </w:t>
      </w:r>
      <w:r w:rsidR="00CE6CEC" w:rsidRPr="00D9085C">
        <w:rPr>
          <w:rFonts w:ascii="Times New Roman" w:hAnsi="Times New Roman" w:cs="Times New Roman"/>
          <w:sz w:val="24"/>
          <w:szCs w:val="24"/>
        </w:rPr>
        <w:t>24</w:t>
      </w:r>
      <w:r w:rsidRPr="00D9085C">
        <w:rPr>
          <w:rFonts w:ascii="Times New Roman" w:hAnsi="Times New Roman" w:cs="Times New Roman"/>
          <w:sz w:val="24"/>
          <w:szCs w:val="24"/>
        </w:rPr>
        <w:t xml:space="preserve"> months, including individual </w:t>
      </w:r>
      <w:r w:rsidR="00CE6CEC" w:rsidRPr="00D9085C">
        <w:rPr>
          <w:rFonts w:ascii="Times New Roman" w:hAnsi="Times New Roman" w:cs="Times New Roman"/>
          <w:sz w:val="24"/>
          <w:szCs w:val="24"/>
        </w:rPr>
        <w:t>entities</w:t>
      </w:r>
      <w:r w:rsidRPr="00D9085C">
        <w:rPr>
          <w:rFonts w:ascii="Times New Roman" w:hAnsi="Times New Roman" w:cs="Times New Roman"/>
          <w:sz w:val="24"/>
          <w:szCs w:val="24"/>
        </w:rPr>
        <w:t>, industry associations</w:t>
      </w:r>
      <w:r w:rsidR="00020529" w:rsidRPr="00D9085C">
        <w:rPr>
          <w:rFonts w:ascii="Times New Roman" w:hAnsi="Times New Roman" w:cs="Times New Roman"/>
          <w:sz w:val="24"/>
          <w:szCs w:val="24"/>
        </w:rPr>
        <w:t>,</w:t>
      </w:r>
      <w:r w:rsidR="00CE6CEC" w:rsidRPr="00D9085C">
        <w:rPr>
          <w:rFonts w:ascii="Times New Roman" w:hAnsi="Times New Roman" w:cs="Times New Roman"/>
          <w:sz w:val="24"/>
          <w:szCs w:val="24"/>
        </w:rPr>
        <w:t xml:space="preserve"> consultants</w:t>
      </w:r>
      <w:r w:rsidRPr="00D9085C">
        <w:rPr>
          <w:rFonts w:ascii="Times New Roman" w:hAnsi="Times New Roman" w:cs="Times New Roman"/>
          <w:sz w:val="24"/>
          <w:szCs w:val="24"/>
        </w:rPr>
        <w:t xml:space="preserve"> and other regulatory agencies</w:t>
      </w:r>
      <w:r w:rsidR="00647788" w:rsidRPr="00D9085C">
        <w:rPr>
          <w:rFonts w:ascii="Times New Roman" w:hAnsi="Times New Roman" w:cs="Times New Roman"/>
          <w:sz w:val="24"/>
          <w:szCs w:val="24"/>
        </w:rPr>
        <w:t>.</w:t>
      </w:r>
    </w:p>
    <w:p w14:paraId="33EC7EB3" w14:textId="53886568" w:rsidR="00DF49D8" w:rsidRPr="00D9085C" w:rsidRDefault="00DF49D8"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APRA first consulted on proposed </w:t>
      </w:r>
      <w:r w:rsidR="00DD039C" w:rsidRPr="00D9085C">
        <w:rPr>
          <w:rFonts w:ascii="Times New Roman" w:hAnsi="Times New Roman" w:cs="Times New Roman"/>
          <w:sz w:val="24"/>
          <w:szCs w:val="24"/>
        </w:rPr>
        <w:t>requirements in CPS 511</w:t>
      </w:r>
      <w:r w:rsidRPr="00D9085C">
        <w:rPr>
          <w:rFonts w:ascii="Times New Roman" w:hAnsi="Times New Roman" w:cs="Times New Roman"/>
          <w:sz w:val="24"/>
          <w:szCs w:val="24"/>
        </w:rPr>
        <w:t xml:space="preserve"> in </w:t>
      </w:r>
      <w:r w:rsidR="00DD039C" w:rsidRPr="00D9085C">
        <w:rPr>
          <w:rFonts w:ascii="Times New Roman" w:hAnsi="Times New Roman" w:cs="Times New Roman"/>
          <w:sz w:val="24"/>
          <w:szCs w:val="24"/>
        </w:rPr>
        <w:t>July</w:t>
      </w:r>
      <w:r w:rsidRPr="00D9085C">
        <w:rPr>
          <w:rFonts w:ascii="Times New Roman" w:hAnsi="Times New Roman" w:cs="Times New Roman"/>
          <w:sz w:val="24"/>
          <w:szCs w:val="24"/>
        </w:rPr>
        <w:t xml:space="preserve"> 2019.</w:t>
      </w:r>
      <w:r w:rsidR="009E4D50" w:rsidRPr="00D9085C">
        <w:rPr>
          <w:rStyle w:val="FootnoteReference"/>
          <w:rFonts w:ascii="Times New Roman" w:hAnsi="Times New Roman" w:cs="Times New Roman"/>
          <w:color w:val="auto"/>
          <w:sz w:val="24"/>
          <w:szCs w:val="24"/>
        </w:rPr>
        <w:footnoteReference w:id="5"/>
      </w:r>
      <w:r w:rsidRPr="00D9085C">
        <w:rPr>
          <w:rFonts w:ascii="Times New Roman" w:hAnsi="Times New Roman" w:cs="Times New Roman"/>
          <w:sz w:val="24"/>
          <w:szCs w:val="24"/>
        </w:rPr>
        <w:t xml:space="preserve"> APRA had planned to finalise </w:t>
      </w:r>
      <w:r w:rsidR="00DD039C" w:rsidRPr="00D9085C">
        <w:rPr>
          <w:rFonts w:ascii="Times New Roman" w:hAnsi="Times New Roman" w:cs="Times New Roman"/>
          <w:sz w:val="24"/>
          <w:szCs w:val="24"/>
        </w:rPr>
        <w:t>C</w:t>
      </w:r>
      <w:r w:rsidRPr="00D9085C">
        <w:rPr>
          <w:rFonts w:ascii="Times New Roman" w:hAnsi="Times New Roman" w:cs="Times New Roman"/>
          <w:sz w:val="24"/>
          <w:szCs w:val="24"/>
        </w:rPr>
        <w:t xml:space="preserve">PS </w:t>
      </w:r>
      <w:r w:rsidR="00CE6CEC" w:rsidRPr="00D9085C">
        <w:rPr>
          <w:rFonts w:ascii="Times New Roman" w:hAnsi="Times New Roman" w:cs="Times New Roman"/>
          <w:sz w:val="24"/>
          <w:szCs w:val="24"/>
        </w:rPr>
        <w:t>5</w:t>
      </w:r>
      <w:r w:rsidRPr="00D9085C">
        <w:rPr>
          <w:rFonts w:ascii="Times New Roman" w:hAnsi="Times New Roman" w:cs="Times New Roman"/>
          <w:sz w:val="24"/>
          <w:szCs w:val="24"/>
        </w:rPr>
        <w:t xml:space="preserve">11 reforms in 2020, but delayed this to allow </w:t>
      </w:r>
      <w:r w:rsidR="00DD039C" w:rsidRPr="00D9085C">
        <w:rPr>
          <w:rFonts w:ascii="Times New Roman" w:hAnsi="Times New Roman" w:cs="Times New Roman"/>
          <w:sz w:val="24"/>
          <w:szCs w:val="24"/>
        </w:rPr>
        <w:t>entities</w:t>
      </w:r>
      <w:r w:rsidRPr="00D9085C">
        <w:rPr>
          <w:rFonts w:ascii="Times New Roman" w:hAnsi="Times New Roman" w:cs="Times New Roman"/>
          <w:sz w:val="24"/>
          <w:szCs w:val="24"/>
        </w:rPr>
        <w:t xml:space="preserve"> to focus on managing risks associated with COVID-19. APRA received </w:t>
      </w:r>
      <w:r w:rsidR="00DD039C" w:rsidRPr="00D9085C">
        <w:rPr>
          <w:rFonts w:ascii="Times New Roman" w:hAnsi="Times New Roman" w:cs="Times New Roman"/>
          <w:sz w:val="24"/>
          <w:szCs w:val="24"/>
        </w:rPr>
        <w:t>76</w:t>
      </w:r>
      <w:r w:rsidRPr="00D9085C">
        <w:rPr>
          <w:rFonts w:ascii="Times New Roman" w:hAnsi="Times New Roman" w:cs="Times New Roman"/>
          <w:sz w:val="24"/>
          <w:szCs w:val="24"/>
        </w:rPr>
        <w:t xml:space="preserve"> submissions to the 2019 consultation.</w:t>
      </w:r>
    </w:p>
    <w:p w14:paraId="562AA5ED" w14:textId="3E783ABD" w:rsidR="00DF49D8" w:rsidRPr="00D9085C" w:rsidRDefault="00DF49D8"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In </w:t>
      </w:r>
      <w:r w:rsidR="00DD039C" w:rsidRPr="00D9085C">
        <w:rPr>
          <w:rFonts w:ascii="Times New Roman" w:hAnsi="Times New Roman" w:cs="Times New Roman"/>
          <w:sz w:val="24"/>
          <w:szCs w:val="24"/>
        </w:rPr>
        <w:t>November</w:t>
      </w:r>
      <w:r w:rsidRPr="00D9085C">
        <w:rPr>
          <w:rFonts w:ascii="Times New Roman" w:hAnsi="Times New Roman" w:cs="Times New Roman"/>
          <w:sz w:val="24"/>
          <w:szCs w:val="24"/>
        </w:rPr>
        <w:t xml:space="preserve"> 202</w:t>
      </w:r>
      <w:r w:rsidR="00DD039C" w:rsidRPr="00D9085C">
        <w:rPr>
          <w:rFonts w:ascii="Times New Roman" w:hAnsi="Times New Roman" w:cs="Times New Roman"/>
          <w:sz w:val="24"/>
          <w:szCs w:val="24"/>
        </w:rPr>
        <w:t>0</w:t>
      </w:r>
      <w:r w:rsidRPr="00D9085C">
        <w:rPr>
          <w:rFonts w:ascii="Times New Roman" w:hAnsi="Times New Roman" w:cs="Times New Roman"/>
          <w:sz w:val="24"/>
          <w:szCs w:val="24"/>
        </w:rPr>
        <w:t>, APRA released a detailed response to issues raised in the 2019 consultation.</w:t>
      </w:r>
      <w:r w:rsidR="003258C0" w:rsidRPr="00D9085C">
        <w:rPr>
          <w:rStyle w:val="FootnoteReference"/>
          <w:rFonts w:ascii="Times New Roman" w:hAnsi="Times New Roman" w:cs="Times New Roman"/>
          <w:color w:val="auto"/>
          <w:sz w:val="24"/>
          <w:szCs w:val="24"/>
        </w:rPr>
        <w:footnoteReference w:id="6"/>
      </w:r>
      <w:r w:rsidRPr="00D9085C">
        <w:rPr>
          <w:rFonts w:ascii="Times New Roman" w:hAnsi="Times New Roman" w:cs="Times New Roman"/>
          <w:sz w:val="24"/>
          <w:szCs w:val="24"/>
        </w:rPr>
        <w:t xml:space="preserve"> </w:t>
      </w:r>
      <w:r w:rsidR="00846656" w:rsidRPr="00D9085C">
        <w:rPr>
          <w:rFonts w:ascii="Times New Roman" w:hAnsi="Times New Roman" w:cs="Times New Roman"/>
          <w:sz w:val="24"/>
          <w:szCs w:val="24"/>
        </w:rPr>
        <w:t>Th</w:t>
      </w:r>
      <w:r w:rsidR="00501213" w:rsidRPr="00D9085C">
        <w:rPr>
          <w:rFonts w:ascii="Times New Roman" w:hAnsi="Times New Roman" w:cs="Times New Roman"/>
          <w:sz w:val="24"/>
          <w:szCs w:val="24"/>
        </w:rPr>
        <w:t>is included</w:t>
      </w:r>
      <w:r w:rsidR="00846656" w:rsidRPr="00D9085C">
        <w:rPr>
          <w:rFonts w:ascii="Times New Roman" w:hAnsi="Times New Roman" w:cs="Times New Roman"/>
          <w:sz w:val="24"/>
          <w:szCs w:val="24"/>
        </w:rPr>
        <w:t xml:space="preserve"> </w:t>
      </w:r>
      <w:r w:rsidR="00501213" w:rsidRPr="00D9085C">
        <w:rPr>
          <w:rFonts w:ascii="Times New Roman" w:hAnsi="Times New Roman" w:cs="Times New Roman"/>
          <w:sz w:val="24"/>
          <w:szCs w:val="24"/>
        </w:rPr>
        <w:t>a set of revised policy proposals for consultation</w:t>
      </w:r>
      <w:r w:rsidR="003573CA" w:rsidRPr="00D9085C">
        <w:rPr>
          <w:rFonts w:ascii="Times New Roman" w:hAnsi="Times New Roman" w:cs="Times New Roman"/>
          <w:sz w:val="24"/>
          <w:szCs w:val="24"/>
        </w:rPr>
        <w:t xml:space="preserve">. </w:t>
      </w:r>
      <w:r w:rsidR="0066599C" w:rsidRPr="00D9085C">
        <w:rPr>
          <w:rFonts w:ascii="Times New Roman" w:hAnsi="Times New Roman" w:cs="Times New Roman"/>
          <w:sz w:val="24"/>
          <w:szCs w:val="24"/>
        </w:rPr>
        <w:t xml:space="preserve">The most material revision was a shift to </w:t>
      </w:r>
      <w:r w:rsidR="008E3030" w:rsidRPr="00D9085C">
        <w:rPr>
          <w:rFonts w:ascii="Times New Roman" w:hAnsi="Times New Roman" w:cs="Times New Roman"/>
          <w:sz w:val="24"/>
          <w:szCs w:val="24"/>
        </w:rPr>
        <w:t xml:space="preserve">a </w:t>
      </w:r>
      <w:r w:rsidR="0066599C" w:rsidRPr="00D9085C">
        <w:rPr>
          <w:rFonts w:ascii="Times New Roman" w:hAnsi="Times New Roman" w:cs="Times New Roman"/>
          <w:sz w:val="24"/>
          <w:szCs w:val="24"/>
        </w:rPr>
        <w:t>principles</w:t>
      </w:r>
      <w:r w:rsidR="008E3030" w:rsidRPr="00D9085C">
        <w:rPr>
          <w:rFonts w:ascii="Times New Roman" w:hAnsi="Times New Roman" w:cs="Times New Roman"/>
          <w:sz w:val="24"/>
          <w:szCs w:val="24"/>
        </w:rPr>
        <w:t>-based approach to the requirement</w:t>
      </w:r>
      <w:r w:rsidR="0066599C" w:rsidRPr="00D9085C">
        <w:rPr>
          <w:rFonts w:ascii="Times New Roman" w:hAnsi="Times New Roman" w:cs="Times New Roman"/>
          <w:sz w:val="24"/>
          <w:szCs w:val="24"/>
        </w:rPr>
        <w:t xml:space="preserve"> </w:t>
      </w:r>
      <w:r w:rsidR="008E3030" w:rsidRPr="00D9085C">
        <w:rPr>
          <w:rFonts w:ascii="Times New Roman" w:hAnsi="Times New Roman" w:cs="Times New Roman"/>
          <w:sz w:val="24"/>
          <w:szCs w:val="24"/>
        </w:rPr>
        <w:t>for</w:t>
      </w:r>
      <w:r w:rsidR="0066599C" w:rsidRPr="00D9085C">
        <w:rPr>
          <w:rFonts w:ascii="Times New Roman" w:hAnsi="Times New Roman" w:cs="Times New Roman"/>
          <w:sz w:val="24"/>
          <w:szCs w:val="24"/>
        </w:rPr>
        <w:t xml:space="preserve"> entities </w:t>
      </w:r>
      <w:r w:rsidR="008E3030" w:rsidRPr="00D9085C">
        <w:rPr>
          <w:rFonts w:ascii="Times New Roman" w:hAnsi="Times New Roman" w:cs="Times New Roman"/>
          <w:sz w:val="24"/>
          <w:szCs w:val="24"/>
        </w:rPr>
        <w:t>to</w:t>
      </w:r>
      <w:r w:rsidR="003573CA" w:rsidRPr="00D9085C">
        <w:rPr>
          <w:rFonts w:ascii="Times New Roman" w:hAnsi="Times New Roman" w:cs="Times New Roman"/>
          <w:sz w:val="24"/>
          <w:szCs w:val="24"/>
        </w:rPr>
        <w:t xml:space="preserve"> </w:t>
      </w:r>
      <w:r w:rsidR="008E3030" w:rsidRPr="00D9085C">
        <w:rPr>
          <w:rFonts w:ascii="Times New Roman" w:hAnsi="Times New Roman" w:cs="Times New Roman"/>
          <w:sz w:val="24"/>
          <w:szCs w:val="24"/>
        </w:rPr>
        <w:t xml:space="preserve">include </w:t>
      </w:r>
      <w:r w:rsidR="003573CA" w:rsidRPr="00D9085C">
        <w:rPr>
          <w:rFonts w:ascii="Times New Roman" w:hAnsi="Times New Roman" w:cs="Times New Roman"/>
          <w:sz w:val="24"/>
          <w:szCs w:val="24"/>
        </w:rPr>
        <w:t>non-financial measures in variable remuneration. Minimum deferral periods were also moderately shortened</w:t>
      </w:r>
      <w:r w:rsidR="00846656" w:rsidRPr="00D9085C">
        <w:rPr>
          <w:rFonts w:ascii="Times New Roman" w:hAnsi="Times New Roman" w:cs="Times New Roman"/>
          <w:sz w:val="24"/>
          <w:szCs w:val="24"/>
        </w:rPr>
        <w:t xml:space="preserve">. </w:t>
      </w:r>
      <w:r w:rsidRPr="00D9085C">
        <w:rPr>
          <w:rFonts w:ascii="Times New Roman" w:hAnsi="Times New Roman" w:cs="Times New Roman"/>
          <w:sz w:val="24"/>
          <w:szCs w:val="24"/>
        </w:rPr>
        <w:t xml:space="preserve">APRA received </w:t>
      </w:r>
      <w:r w:rsidR="00DD039C" w:rsidRPr="00D9085C">
        <w:rPr>
          <w:rFonts w:ascii="Times New Roman" w:hAnsi="Times New Roman" w:cs="Times New Roman"/>
          <w:sz w:val="24"/>
          <w:szCs w:val="24"/>
        </w:rPr>
        <w:t>4</w:t>
      </w:r>
      <w:r w:rsidR="003573CA" w:rsidRPr="00D9085C">
        <w:rPr>
          <w:rFonts w:ascii="Times New Roman" w:hAnsi="Times New Roman" w:cs="Times New Roman"/>
          <w:sz w:val="24"/>
          <w:szCs w:val="24"/>
        </w:rPr>
        <w:t>1</w:t>
      </w:r>
      <w:r w:rsidRPr="00D9085C">
        <w:rPr>
          <w:rFonts w:ascii="Times New Roman" w:hAnsi="Times New Roman" w:cs="Times New Roman"/>
          <w:sz w:val="24"/>
          <w:szCs w:val="24"/>
        </w:rPr>
        <w:t xml:space="preserve"> submissions to this consultation. </w:t>
      </w:r>
    </w:p>
    <w:p w14:paraId="4AB816CF" w14:textId="54C1392B" w:rsidR="00C74B23" w:rsidRPr="00D9085C" w:rsidRDefault="00DF49D8" w:rsidP="00641582">
      <w:pPr>
        <w:jc w:val="both"/>
        <w:rPr>
          <w:rFonts w:ascii="Times New Roman" w:hAnsi="Times New Roman" w:cs="Times New Roman"/>
          <w:b/>
          <w:sz w:val="24"/>
          <w:szCs w:val="24"/>
        </w:rPr>
      </w:pPr>
      <w:r w:rsidRPr="00D9085C">
        <w:rPr>
          <w:rFonts w:ascii="Times New Roman" w:hAnsi="Times New Roman" w:cs="Times New Roman"/>
          <w:sz w:val="24"/>
          <w:szCs w:val="24"/>
        </w:rPr>
        <w:t>In August 2021, APR</w:t>
      </w:r>
      <w:r w:rsidR="00B22E51" w:rsidRPr="00D9085C">
        <w:rPr>
          <w:rFonts w:ascii="Times New Roman" w:hAnsi="Times New Roman" w:cs="Times New Roman"/>
          <w:sz w:val="24"/>
          <w:szCs w:val="24"/>
        </w:rPr>
        <w:t>A</w:t>
      </w:r>
      <w:r w:rsidRPr="00D9085C">
        <w:rPr>
          <w:rFonts w:ascii="Times New Roman" w:hAnsi="Times New Roman" w:cs="Times New Roman"/>
          <w:sz w:val="24"/>
          <w:szCs w:val="24"/>
        </w:rPr>
        <w:t xml:space="preserve"> released a response to s</w:t>
      </w:r>
      <w:r w:rsidR="00B22E51" w:rsidRPr="00D9085C">
        <w:rPr>
          <w:rFonts w:ascii="Times New Roman" w:hAnsi="Times New Roman" w:cs="Times New Roman"/>
          <w:sz w:val="24"/>
          <w:szCs w:val="24"/>
        </w:rPr>
        <w:t xml:space="preserve">ubmissions to the </w:t>
      </w:r>
      <w:r w:rsidR="00DD039C" w:rsidRPr="00D9085C">
        <w:rPr>
          <w:rFonts w:ascii="Times New Roman" w:hAnsi="Times New Roman" w:cs="Times New Roman"/>
          <w:sz w:val="24"/>
          <w:szCs w:val="24"/>
        </w:rPr>
        <w:t>November</w:t>
      </w:r>
      <w:r w:rsidR="00B22E51" w:rsidRPr="00D9085C">
        <w:rPr>
          <w:rFonts w:ascii="Times New Roman" w:hAnsi="Times New Roman" w:cs="Times New Roman"/>
          <w:sz w:val="24"/>
          <w:szCs w:val="24"/>
        </w:rPr>
        <w:t xml:space="preserve"> 202</w:t>
      </w:r>
      <w:r w:rsidR="00DD039C" w:rsidRPr="00D9085C">
        <w:rPr>
          <w:rFonts w:ascii="Times New Roman" w:hAnsi="Times New Roman" w:cs="Times New Roman"/>
          <w:sz w:val="24"/>
          <w:szCs w:val="24"/>
        </w:rPr>
        <w:t>0</w:t>
      </w:r>
      <w:r w:rsidR="00B22E51" w:rsidRPr="00D9085C">
        <w:rPr>
          <w:rFonts w:ascii="Times New Roman" w:hAnsi="Times New Roman" w:cs="Times New Roman"/>
          <w:sz w:val="24"/>
          <w:szCs w:val="24"/>
        </w:rPr>
        <w:t xml:space="preserve"> consultation</w:t>
      </w:r>
      <w:r w:rsidR="008E3030" w:rsidRPr="00D9085C">
        <w:rPr>
          <w:rFonts w:ascii="Times New Roman" w:hAnsi="Times New Roman" w:cs="Times New Roman"/>
          <w:sz w:val="24"/>
          <w:szCs w:val="24"/>
        </w:rPr>
        <w:t>. This</w:t>
      </w:r>
      <w:r w:rsidR="00B22E51" w:rsidRPr="00D9085C">
        <w:rPr>
          <w:rFonts w:ascii="Times New Roman" w:hAnsi="Times New Roman" w:cs="Times New Roman"/>
          <w:sz w:val="24"/>
          <w:szCs w:val="24"/>
        </w:rPr>
        <w:t xml:space="preserve"> set out </w:t>
      </w:r>
      <w:r w:rsidRPr="00D9085C">
        <w:rPr>
          <w:rFonts w:ascii="Times New Roman" w:hAnsi="Times New Roman" w:cs="Times New Roman"/>
          <w:sz w:val="24"/>
          <w:szCs w:val="24"/>
        </w:rPr>
        <w:t xml:space="preserve">APRA’s </w:t>
      </w:r>
      <w:r w:rsidR="008E3030" w:rsidRPr="00D9085C">
        <w:rPr>
          <w:rFonts w:ascii="Times New Roman" w:hAnsi="Times New Roman" w:cs="Times New Roman"/>
          <w:sz w:val="24"/>
          <w:szCs w:val="24"/>
        </w:rPr>
        <w:t>response to issues raised</w:t>
      </w:r>
      <w:r w:rsidRPr="00D9085C">
        <w:rPr>
          <w:rFonts w:ascii="Times New Roman" w:hAnsi="Times New Roman" w:cs="Times New Roman"/>
          <w:sz w:val="24"/>
          <w:szCs w:val="24"/>
        </w:rPr>
        <w:t>.</w:t>
      </w:r>
      <w:r w:rsidR="00E540AF" w:rsidRPr="00D9085C">
        <w:rPr>
          <w:rStyle w:val="FootnoteReference"/>
          <w:rFonts w:ascii="Times New Roman" w:hAnsi="Times New Roman" w:cs="Times New Roman"/>
          <w:color w:val="auto"/>
          <w:sz w:val="24"/>
          <w:szCs w:val="24"/>
        </w:rPr>
        <w:footnoteReference w:id="7"/>
      </w:r>
      <w:r w:rsidR="00B22E51" w:rsidRPr="00D9085C">
        <w:rPr>
          <w:rFonts w:ascii="Times New Roman" w:hAnsi="Times New Roman" w:cs="Times New Roman"/>
          <w:sz w:val="24"/>
          <w:szCs w:val="24"/>
        </w:rPr>
        <w:t xml:space="preserve"> </w:t>
      </w:r>
    </w:p>
    <w:p w14:paraId="3F6B8DFA" w14:textId="77777777" w:rsidR="006D5632" w:rsidRPr="00D9085C" w:rsidRDefault="006D5632" w:rsidP="00777743">
      <w:pPr>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Regulation Impact Statement</w:t>
      </w:r>
    </w:p>
    <w:p w14:paraId="4EC67988" w14:textId="13BB1704" w:rsidR="00E540AF" w:rsidRPr="00D9085C" w:rsidRDefault="00E540AF"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In developing </w:t>
      </w:r>
      <w:r w:rsidR="00DD039C" w:rsidRPr="00D9085C">
        <w:rPr>
          <w:rFonts w:ascii="Times New Roman" w:hAnsi="Times New Roman" w:cs="Times New Roman"/>
          <w:sz w:val="24"/>
          <w:szCs w:val="24"/>
        </w:rPr>
        <w:t>C</w:t>
      </w:r>
      <w:r w:rsidRPr="00D9085C">
        <w:rPr>
          <w:rFonts w:ascii="Times New Roman" w:hAnsi="Times New Roman" w:cs="Times New Roman"/>
          <w:sz w:val="24"/>
          <w:szCs w:val="24"/>
        </w:rPr>
        <w:t xml:space="preserve">PS </w:t>
      </w:r>
      <w:r w:rsidR="00DD039C" w:rsidRPr="00D9085C">
        <w:rPr>
          <w:rFonts w:ascii="Times New Roman" w:hAnsi="Times New Roman" w:cs="Times New Roman"/>
          <w:sz w:val="24"/>
          <w:szCs w:val="24"/>
        </w:rPr>
        <w:t>5</w:t>
      </w:r>
      <w:r w:rsidRPr="00D9085C">
        <w:rPr>
          <w:rFonts w:ascii="Times New Roman" w:hAnsi="Times New Roman" w:cs="Times New Roman"/>
          <w:sz w:val="24"/>
          <w:szCs w:val="24"/>
        </w:rPr>
        <w:t>11, APRA has followed a similar process to that required for a Regulation Impact Statement, which satisfies the Office of Best Practice Regulation’s requirements. The document evidencing APRA’s policy development process has been lodged as supporting material.</w:t>
      </w:r>
    </w:p>
    <w:p w14:paraId="61D7EE4B" w14:textId="607D5455" w:rsidR="00510C0E" w:rsidRPr="00D9085C" w:rsidRDefault="00510C0E" w:rsidP="00777743">
      <w:pPr>
        <w:numPr>
          <w:ilvl w:val="0"/>
          <w:numId w:val="22"/>
        </w:numPr>
        <w:spacing w:after="240" w:line="240" w:lineRule="auto"/>
        <w:ind w:left="567" w:hanging="567"/>
        <w:jc w:val="both"/>
        <w:rPr>
          <w:rFonts w:ascii="Times New Roman" w:hAnsi="Times New Roman" w:cs="Times New Roman"/>
          <w:b/>
          <w:i/>
          <w:sz w:val="24"/>
          <w:szCs w:val="24"/>
          <w:lang w:eastAsia="en-US"/>
        </w:rPr>
      </w:pPr>
      <w:r w:rsidRPr="00D9085C">
        <w:rPr>
          <w:rFonts w:ascii="Times New Roman" w:hAnsi="Times New Roman" w:cs="Times New Roman"/>
          <w:b/>
          <w:sz w:val="24"/>
          <w:szCs w:val="24"/>
          <w:lang w:eastAsia="en-US"/>
        </w:rPr>
        <w:t xml:space="preserve">Statement of compatibility prepared in accordance with Part 3 of the </w:t>
      </w:r>
      <w:r w:rsidRPr="00D9085C">
        <w:rPr>
          <w:rFonts w:ascii="Times New Roman" w:hAnsi="Times New Roman" w:cs="Times New Roman"/>
          <w:b/>
          <w:i/>
          <w:sz w:val="24"/>
          <w:szCs w:val="24"/>
          <w:lang w:eastAsia="en-US"/>
        </w:rPr>
        <w:t>Human Rights (Parliamentary Scrutiny) Act 2011</w:t>
      </w:r>
      <w:bookmarkStart w:id="3" w:name="_GoBack"/>
      <w:bookmarkEnd w:id="3"/>
    </w:p>
    <w:p w14:paraId="33DD8C56" w14:textId="31D3889D" w:rsidR="00510C0E" w:rsidRPr="00D9085C" w:rsidRDefault="00510C0E" w:rsidP="00211C6D">
      <w:pPr>
        <w:pStyle w:val="Heading"/>
        <w:spacing w:after="240"/>
        <w:rPr>
          <w:rFonts w:ascii="Times New Roman" w:hAnsi="Times New Roman"/>
          <w:b w:val="0"/>
          <w:sz w:val="24"/>
          <w:szCs w:val="24"/>
        </w:rPr>
      </w:pPr>
      <w:r w:rsidRPr="00D9085C">
        <w:rPr>
          <w:rFonts w:ascii="Times New Roman" w:hAnsi="Times New Roman"/>
          <w:b w:val="0"/>
          <w:sz w:val="24"/>
          <w:szCs w:val="24"/>
        </w:rPr>
        <w:t xml:space="preserve">A Statement of compatibility prepared in accordance with Part 3 of the </w:t>
      </w:r>
      <w:r w:rsidRPr="00D9085C">
        <w:rPr>
          <w:rFonts w:ascii="Times New Roman" w:hAnsi="Times New Roman"/>
          <w:b w:val="0"/>
          <w:i/>
          <w:sz w:val="24"/>
          <w:szCs w:val="24"/>
        </w:rPr>
        <w:t>Human Rights (Parliamentary Scrutiny) Act 2011</w:t>
      </w:r>
      <w:r w:rsidRPr="00D9085C">
        <w:rPr>
          <w:rFonts w:ascii="Times New Roman" w:hAnsi="Times New Roman"/>
          <w:b w:val="0"/>
          <w:sz w:val="24"/>
          <w:szCs w:val="24"/>
        </w:rPr>
        <w:t xml:space="preserve"> is provided at </w:t>
      </w:r>
      <w:r w:rsidR="005D365A" w:rsidRPr="00D9085C">
        <w:rPr>
          <w:rFonts w:ascii="Times New Roman" w:hAnsi="Times New Roman"/>
          <w:b w:val="0"/>
          <w:sz w:val="24"/>
          <w:szCs w:val="24"/>
        </w:rPr>
        <w:t xml:space="preserve">the </w:t>
      </w:r>
      <w:r w:rsidRPr="00D9085C">
        <w:rPr>
          <w:rFonts w:ascii="Times New Roman" w:hAnsi="Times New Roman"/>
          <w:b w:val="0"/>
          <w:sz w:val="24"/>
          <w:szCs w:val="24"/>
        </w:rPr>
        <w:t>Attachment to this Explanatory Statement.</w:t>
      </w:r>
    </w:p>
    <w:p w14:paraId="5D729207" w14:textId="1B2CBAF1" w:rsidR="00B75A8B" w:rsidRPr="00D9085C" w:rsidRDefault="00B75A8B" w:rsidP="00777743">
      <w:pPr>
        <w:spacing w:after="360"/>
        <w:jc w:val="both"/>
        <w:outlineLvl w:val="0"/>
        <w:rPr>
          <w:rFonts w:ascii="Times New Roman" w:hAnsi="Times New Roman"/>
          <w:sz w:val="24"/>
          <w:szCs w:val="24"/>
          <w:u w:val="single"/>
        </w:rPr>
      </w:pPr>
      <w:r w:rsidRPr="00D9085C">
        <w:rPr>
          <w:rFonts w:ascii="Times New Roman" w:hAnsi="Times New Roman"/>
          <w:b/>
          <w:sz w:val="24"/>
          <w:szCs w:val="24"/>
        </w:rPr>
        <w:br w:type="page"/>
      </w:r>
      <w:r w:rsidRPr="00D9085C">
        <w:rPr>
          <w:rFonts w:ascii="Times New Roman" w:hAnsi="Times New Roman"/>
          <w:sz w:val="24"/>
          <w:szCs w:val="24"/>
          <w:u w:val="single"/>
        </w:rPr>
        <w:lastRenderedPageBreak/>
        <w:t xml:space="preserve">ATTACHMENT </w:t>
      </w:r>
    </w:p>
    <w:p w14:paraId="0F58F628" w14:textId="77777777"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b/>
          <w:bCs/>
          <w:sz w:val="24"/>
          <w:szCs w:val="24"/>
        </w:rPr>
        <w:t>Statement of Compatibility with Human Rights</w:t>
      </w:r>
    </w:p>
    <w:p w14:paraId="62E80750" w14:textId="7DBFBC3F"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sz w:val="24"/>
          <w:szCs w:val="24"/>
        </w:rPr>
        <w:t xml:space="preserve">Prepared in accordance with Part 3 of the </w:t>
      </w:r>
      <w:r w:rsidRPr="00D9085C">
        <w:rPr>
          <w:rFonts w:ascii="Times New Roman" w:hAnsi="Times New Roman"/>
          <w:i/>
          <w:iCs/>
          <w:sz w:val="24"/>
          <w:szCs w:val="24"/>
        </w:rPr>
        <w:t>Human Rights (Parliamentary Scrutiny) Act 2011</w:t>
      </w:r>
      <w:r w:rsidR="00360B56" w:rsidRPr="00D9085C">
        <w:rPr>
          <w:rFonts w:ascii="Times New Roman" w:hAnsi="Times New Roman"/>
          <w:i/>
          <w:iCs/>
          <w:sz w:val="24"/>
          <w:szCs w:val="24"/>
        </w:rPr>
        <w:t>.</w:t>
      </w:r>
    </w:p>
    <w:p w14:paraId="26AB5FFB" w14:textId="1E0C631B" w:rsidR="00A1584D" w:rsidRPr="00D9085C" w:rsidRDefault="00A1584D" w:rsidP="00777743">
      <w:pPr>
        <w:pStyle w:val="Heading"/>
        <w:spacing w:before="120"/>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determination No. </w:t>
      </w:r>
      <w:r w:rsidR="005734F4" w:rsidRPr="00D9085C">
        <w:rPr>
          <w:rFonts w:ascii="Times New Roman" w:hAnsi="Times New Roman"/>
          <w:sz w:val="24"/>
          <w:szCs w:val="24"/>
        </w:rPr>
        <w:t>1</w:t>
      </w:r>
      <w:r w:rsidRPr="00D9085C">
        <w:rPr>
          <w:rFonts w:ascii="Times New Roman" w:hAnsi="Times New Roman"/>
          <w:sz w:val="24"/>
          <w:szCs w:val="24"/>
        </w:rPr>
        <w:t xml:space="preserve"> of 2021</w:t>
      </w:r>
    </w:p>
    <w:p w14:paraId="55709D20" w14:textId="0629E244" w:rsidR="00B75A8B" w:rsidRPr="00D9085C" w:rsidRDefault="00B75A8B" w:rsidP="00777743">
      <w:pPr>
        <w:shd w:val="clear" w:color="auto" w:fill="FFFFFF"/>
        <w:spacing w:before="100" w:beforeAutospacing="1" w:after="240"/>
        <w:jc w:val="both"/>
        <w:rPr>
          <w:rFonts w:ascii="Times New Roman" w:hAnsi="Times New Roman" w:cs="Times New Roman"/>
          <w:sz w:val="24"/>
          <w:szCs w:val="24"/>
          <w:lang w:val="en-US"/>
        </w:rPr>
      </w:pPr>
      <w:r w:rsidRPr="00D9085C">
        <w:rPr>
          <w:rFonts w:ascii="Times New Roman" w:hAnsi="Times New Roman" w:cs="Times New Roman"/>
          <w:sz w:val="24"/>
          <w:szCs w:val="24"/>
        </w:rPr>
        <w:t>The legislative instrument</w:t>
      </w:r>
      <w:r w:rsidR="005734F4" w:rsidRPr="00D9085C">
        <w:rPr>
          <w:rFonts w:ascii="Times New Roman" w:hAnsi="Times New Roman" w:cs="Times New Roman"/>
          <w:sz w:val="24"/>
          <w:szCs w:val="24"/>
        </w:rPr>
        <w:t xml:space="preserve"> is</w:t>
      </w:r>
      <w:r w:rsidRPr="00D9085C">
        <w:rPr>
          <w:rFonts w:ascii="Times New Roman" w:hAnsi="Times New Roman" w:cs="Times New Roman"/>
          <w:sz w:val="24"/>
          <w:szCs w:val="24"/>
        </w:rPr>
        <w:t xml:space="preserve"> compatible with the human rights and freedoms recognised or declared in the international instruments listed in section 3 of the </w:t>
      </w:r>
      <w:r w:rsidRPr="00D9085C">
        <w:rPr>
          <w:rFonts w:ascii="Times New Roman" w:hAnsi="Times New Roman" w:cs="Times New Roman"/>
          <w:i/>
          <w:iCs/>
          <w:sz w:val="24"/>
          <w:szCs w:val="24"/>
        </w:rPr>
        <w:t>Human Rights (Parliamentary Scrutiny) Act 2011</w:t>
      </w:r>
      <w:r w:rsidRPr="00D9085C">
        <w:rPr>
          <w:rFonts w:ascii="Times New Roman" w:hAnsi="Times New Roman" w:cs="Times New Roman"/>
          <w:sz w:val="24"/>
          <w:szCs w:val="24"/>
        </w:rPr>
        <w:t xml:space="preserve"> (HRPS Act).</w:t>
      </w:r>
    </w:p>
    <w:p w14:paraId="5C48C431" w14:textId="0FD9F2F1"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Overview of the Legislative Instrument</w:t>
      </w:r>
    </w:p>
    <w:p w14:paraId="086D76CE" w14:textId="69FD50BF" w:rsidR="00B75A8B" w:rsidRPr="00D9085C" w:rsidRDefault="00B75A8B">
      <w:pPr>
        <w:spacing w:after="240" w:line="240" w:lineRule="auto"/>
        <w:jc w:val="both"/>
        <w:rPr>
          <w:rFonts w:ascii="Times New Roman" w:hAnsi="Times New Roman" w:cs="Times New Roman"/>
          <w:sz w:val="24"/>
          <w:szCs w:val="24"/>
        </w:rPr>
      </w:pPr>
      <w:r w:rsidRPr="00D9085C">
        <w:rPr>
          <w:rFonts w:ascii="Times New Roman" w:hAnsi="Times New Roman" w:cs="Times New Roman"/>
          <w:sz w:val="24"/>
          <w:szCs w:val="24"/>
        </w:rPr>
        <w:t xml:space="preserve">The purpose of the instrument </w:t>
      </w:r>
      <w:r w:rsidR="00F2124C" w:rsidRPr="00D9085C">
        <w:rPr>
          <w:rFonts w:ascii="Times New Roman" w:hAnsi="Times New Roman" w:cs="Times New Roman"/>
          <w:sz w:val="24"/>
          <w:szCs w:val="24"/>
        </w:rPr>
        <w:t xml:space="preserve">is </w:t>
      </w:r>
      <w:r w:rsidRPr="00D9085C">
        <w:rPr>
          <w:rFonts w:ascii="Times New Roman" w:hAnsi="Times New Roman" w:cs="Times New Roman"/>
          <w:sz w:val="24"/>
          <w:szCs w:val="24"/>
        </w:rPr>
        <w:t xml:space="preserve">to </w:t>
      </w:r>
      <w:r w:rsidR="000C67B1" w:rsidRPr="00D9085C">
        <w:rPr>
          <w:rFonts w:ascii="Times New Roman" w:hAnsi="Times New Roman" w:cs="Times New Roman"/>
          <w:sz w:val="24"/>
          <w:szCs w:val="24"/>
        </w:rPr>
        <w:t>determine</w:t>
      </w:r>
      <w:r w:rsidRPr="00D9085C">
        <w:rPr>
          <w:rFonts w:ascii="Times New Roman" w:hAnsi="Times New Roman" w:cs="Times New Roman"/>
          <w:sz w:val="24"/>
          <w:szCs w:val="24"/>
        </w:rPr>
        <w:t xml:space="preserve"> a new </w:t>
      </w:r>
      <w:r w:rsidRPr="00D9085C">
        <w:rPr>
          <w:rFonts w:ascii="Times New Roman" w:hAnsi="Times New Roman" w:cs="Times New Roman"/>
          <w:i/>
          <w:sz w:val="24"/>
          <w:szCs w:val="24"/>
        </w:rPr>
        <w:t xml:space="preserve">Prudential Standard </w:t>
      </w:r>
      <w:r w:rsidR="00D162CC" w:rsidRPr="00D9085C">
        <w:rPr>
          <w:rFonts w:ascii="Times New Roman" w:hAnsi="Times New Roman" w:cs="Times New Roman"/>
          <w:i/>
          <w:sz w:val="24"/>
          <w:szCs w:val="24"/>
        </w:rPr>
        <w:t>C</w:t>
      </w:r>
      <w:r w:rsidRPr="00D9085C">
        <w:rPr>
          <w:rFonts w:ascii="Times New Roman" w:hAnsi="Times New Roman" w:cs="Times New Roman"/>
          <w:i/>
          <w:sz w:val="24"/>
          <w:szCs w:val="24"/>
        </w:rPr>
        <w:t>PS</w:t>
      </w:r>
      <w:r w:rsidR="009701E9" w:rsidRPr="00D9085C">
        <w:rPr>
          <w:rFonts w:ascii="Times New Roman" w:hAnsi="Times New Roman" w:cs="Times New Roman"/>
          <w:i/>
          <w:sz w:val="24"/>
          <w:szCs w:val="24"/>
        </w:rPr>
        <w:t xml:space="preserve"> </w:t>
      </w:r>
      <w:r w:rsidR="00D162CC" w:rsidRPr="00D9085C">
        <w:rPr>
          <w:rFonts w:ascii="Times New Roman" w:hAnsi="Times New Roman" w:cs="Times New Roman"/>
          <w:i/>
          <w:sz w:val="24"/>
          <w:szCs w:val="24"/>
        </w:rPr>
        <w:t>5</w:t>
      </w:r>
      <w:r w:rsidR="009701E9" w:rsidRPr="00D9085C">
        <w:rPr>
          <w:rFonts w:ascii="Times New Roman" w:hAnsi="Times New Roman" w:cs="Times New Roman"/>
          <w:i/>
          <w:sz w:val="24"/>
          <w:szCs w:val="24"/>
        </w:rPr>
        <w:t xml:space="preserve">11 </w:t>
      </w:r>
      <w:r w:rsidR="00D162CC" w:rsidRPr="00D9085C">
        <w:rPr>
          <w:rFonts w:ascii="Times New Roman" w:hAnsi="Times New Roman" w:cs="Times New Roman"/>
          <w:i/>
          <w:sz w:val="24"/>
          <w:szCs w:val="24"/>
        </w:rPr>
        <w:t>Remuneration</w:t>
      </w:r>
      <w:r w:rsidR="0021490D" w:rsidRPr="00D9085C">
        <w:rPr>
          <w:rFonts w:ascii="Times New Roman" w:hAnsi="Times New Roman" w:cs="Times New Roman"/>
          <w:i/>
          <w:sz w:val="24"/>
          <w:szCs w:val="24"/>
        </w:rPr>
        <w:t xml:space="preserve"> </w:t>
      </w:r>
      <w:r w:rsidR="0021490D" w:rsidRPr="00D9085C">
        <w:rPr>
          <w:rFonts w:ascii="Times New Roman" w:hAnsi="Times New Roman" w:cs="Times New Roman"/>
          <w:sz w:val="24"/>
          <w:szCs w:val="24"/>
        </w:rPr>
        <w:t>(CPS 511)</w:t>
      </w:r>
      <w:r w:rsidR="009701E9" w:rsidRPr="00D9085C">
        <w:rPr>
          <w:rFonts w:ascii="Times New Roman" w:hAnsi="Times New Roman" w:cs="Times New Roman"/>
          <w:i/>
          <w:sz w:val="24"/>
          <w:szCs w:val="24"/>
        </w:rPr>
        <w:t>.</w:t>
      </w:r>
    </w:p>
    <w:p w14:paraId="11F9E594" w14:textId="25325209" w:rsidR="004F47A6"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1E7618" w:rsidRPr="00D9085C">
        <w:rPr>
          <w:rFonts w:ascii="Times New Roman" w:hAnsi="Times New Roman" w:cs="Times New Roman"/>
          <w:sz w:val="24"/>
          <w:szCs w:val="24"/>
        </w:rPr>
        <w:t xml:space="preserve">PS </w:t>
      </w:r>
      <w:r w:rsidR="00745376" w:rsidRPr="00D9085C">
        <w:rPr>
          <w:rFonts w:ascii="Times New Roman" w:hAnsi="Times New Roman" w:cs="Times New Roman"/>
          <w:sz w:val="24"/>
          <w:szCs w:val="24"/>
        </w:rPr>
        <w:t>5</w:t>
      </w:r>
      <w:r w:rsidR="001E7618" w:rsidRPr="00D9085C">
        <w:rPr>
          <w:rFonts w:ascii="Times New Roman" w:hAnsi="Times New Roman" w:cs="Times New Roman"/>
          <w:sz w:val="24"/>
          <w:szCs w:val="24"/>
        </w:rPr>
        <w:t>11 sets out</w:t>
      </w:r>
      <w:r w:rsidR="004F47A6" w:rsidRPr="00D9085C">
        <w:rPr>
          <w:rFonts w:ascii="Times New Roman" w:hAnsi="Times New Roman" w:cs="Times New Roman"/>
          <w:sz w:val="24"/>
          <w:szCs w:val="24"/>
        </w:rPr>
        <w:t xml:space="preserve"> </w:t>
      </w:r>
      <w:r w:rsidR="004F47A6" w:rsidRPr="00D9085C">
        <w:rPr>
          <w:rFonts w:ascii="Times New Roman" w:hAnsi="Times New Roman" w:cs="Times New Roman"/>
          <w:sz w:val="24"/>
          <w:szCs w:val="24"/>
          <w:lang w:eastAsia="en-US"/>
        </w:rPr>
        <w:t xml:space="preserve">requirements to ensure that APRA-regulated entities maintain remuneration arrangements which appropriately incentivise individuals to prudently manage the risks they are responsible for, and that there are appropriate consequences for poor risk outcomes. </w:t>
      </w:r>
      <w:r w:rsidR="004F47A6" w:rsidRPr="00D9085C">
        <w:rPr>
          <w:rFonts w:ascii="Times New Roman" w:hAnsi="Times New Roman" w:cs="Times New Roman"/>
          <w:sz w:val="24"/>
          <w:szCs w:val="24"/>
        </w:rPr>
        <w:t xml:space="preserve">CPS 511 adopts a proportional approach, meaning </w:t>
      </w:r>
      <w:r w:rsidR="008E3030" w:rsidRPr="00D9085C">
        <w:rPr>
          <w:rFonts w:ascii="Times New Roman" w:hAnsi="Times New Roman" w:cs="Times New Roman"/>
          <w:sz w:val="24"/>
          <w:szCs w:val="24"/>
        </w:rPr>
        <w:t>larger and more complex entities</w:t>
      </w:r>
      <w:r w:rsidR="004F47A6" w:rsidRPr="00D9085C">
        <w:rPr>
          <w:rFonts w:ascii="Times New Roman" w:hAnsi="Times New Roman" w:cs="Times New Roman"/>
          <w:sz w:val="24"/>
          <w:szCs w:val="24"/>
        </w:rPr>
        <w:t xml:space="preserve"> (</w:t>
      </w:r>
      <w:r w:rsidR="00275A88" w:rsidRPr="00D9085C">
        <w:rPr>
          <w:rFonts w:ascii="Times New Roman" w:hAnsi="Times New Roman" w:cs="Times New Roman"/>
          <w:sz w:val="24"/>
          <w:szCs w:val="24"/>
        </w:rPr>
        <w:t>S</w:t>
      </w:r>
      <w:r w:rsidR="004F47A6" w:rsidRPr="00D9085C">
        <w:rPr>
          <w:rFonts w:ascii="Times New Roman" w:hAnsi="Times New Roman" w:cs="Times New Roman"/>
          <w:sz w:val="24"/>
          <w:szCs w:val="24"/>
        </w:rPr>
        <w:t xml:space="preserve">ignificant </w:t>
      </w:r>
      <w:r w:rsidR="00275A88" w:rsidRPr="00D9085C">
        <w:rPr>
          <w:rFonts w:ascii="Times New Roman" w:hAnsi="Times New Roman" w:cs="Times New Roman"/>
          <w:sz w:val="24"/>
          <w:szCs w:val="24"/>
        </w:rPr>
        <w:t>F</w:t>
      </w:r>
      <w:r w:rsidR="004F47A6" w:rsidRPr="00D9085C">
        <w:rPr>
          <w:rFonts w:ascii="Times New Roman" w:hAnsi="Times New Roman" w:cs="Times New Roman"/>
          <w:sz w:val="24"/>
          <w:szCs w:val="24"/>
        </w:rPr>
        <w:t xml:space="preserve">inancial </w:t>
      </w:r>
      <w:r w:rsidR="00275A88" w:rsidRPr="00D9085C">
        <w:rPr>
          <w:rFonts w:ascii="Times New Roman" w:hAnsi="Times New Roman" w:cs="Times New Roman"/>
          <w:sz w:val="24"/>
          <w:szCs w:val="24"/>
        </w:rPr>
        <w:t>I</w:t>
      </w:r>
      <w:r w:rsidR="004F47A6" w:rsidRPr="00D9085C">
        <w:rPr>
          <w:rFonts w:ascii="Times New Roman" w:hAnsi="Times New Roman" w:cs="Times New Roman"/>
          <w:sz w:val="24"/>
          <w:szCs w:val="24"/>
        </w:rPr>
        <w:t>nstitutions)</w:t>
      </w:r>
      <w:r w:rsidR="008E3030" w:rsidRPr="00D9085C">
        <w:rPr>
          <w:rFonts w:ascii="Times New Roman" w:hAnsi="Times New Roman" w:cs="Times New Roman"/>
          <w:sz w:val="24"/>
          <w:szCs w:val="24"/>
        </w:rPr>
        <w:t xml:space="preserve"> are subject to higher requirements</w:t>
      </w:r>
      <w:r w:rsidR="004F47A6" w:rsidRPr="00D9085C">
        <w:rPr>
          <w:rFonts w:ascii="Times New Roman" w:hAnsi="Times New Roman" w:cs="Times New Roman"/>
          <w:sz w:val="24"/>
          <w:szCs w:val="24"/>
        </w:rPr>
        <w:t xml:space="preserve">. </w:t>
      </w:r>
    </w:p>
    <w:p w14:paraId="35DD8F09" w14:textId="169DA702" w:rsidR="00FD005A"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FD005A" w:rsidRPr="00D9085C">
        <w:rPr>
          <w:rFonts w:ascii="Times New Roman" w:hAnsi="Times New Roman" w:cs="Times New Roman"/>
          <w:sz w:val="24"/>
          <w:szCs w:val="24"/>
        </w:rPr>
        <w:t xml:space="preserve">PS </w:t>
      </w:r>
      <w:r w:rsidRPr="00D9085C">
        <w:rPr>
          <w:rFonts w:ascii="Times New Roman" w:hAnsi="Times New Roman" w:cs="Times New Roman"/>
          <w:sz w:val="24"/>
          <w:szCs w:val="24"/>
        </w:rPr>
        <w:t>5</w:t>
      </w:r>
      <w:r w:rsidR="00FD005A" w:rsidRPr="00D9085C">
        <w:rPr>
          <w:rFonts w:ascii="Times New Roman" w:hAnsi="Times New Roman" w:cs="Times New Roman"/>
          <w:sz w:val="24"/>
          <w:szCs w:val="24"/>
        </w:rPr>
        <w:t>11 is designed to</w:t>
      </w:r>
      <w:r w:rsidR="0021490D" w:rsidRPr="00D9085C">
        <w:rPr>
          <w:rFonts w:ascii="Times New Roman" w:hAnsi="Times New Roman" w:cs="Times New Roman"/>
          <w:sz w:val="24"/>
          <w:szCs w:val="24"/>
        </w:rPr>
        <w:t xml:space="preserve"> create</w:t>
      </w:r>
      <w:r w:rsidR="00FD005A" w:rsidRPr="00D9085C">
        <w:rPr>
          <w:rFonts w:ascii="Times New Roman" w:hAnsi="Times New Roman" w:cs="Times New Roman"/>
          <w:sz w:val="24"/>
          <w:szCs w:val="24"/>
        </w:rPr>
        <w:t>:</w:t>
      </w:r>
    </w:p>
    <w:p w14:paraId="0C9844D7"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stronger incentives for individuals to manage the risks they are responsible for;</w:t>
      </w:r>
    </w:p>
    <w:p w14:paraId="489591B8"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appropriate consequences for poor risk outcomes; and</w:t>
      </w:r>
    </w:p>
    <w:p w14:paraId="2D0420BA"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increased oversight, transparency and accountability on remuneration.</w:t>
      </w:r>
    </w:p>
    <w:p w14:paraId="6AC511EE" w14:textId="77777777" w:rsidR="00B75A8B" w:rsidRPr="00D9085C" w:rsidRDefault="00B75A8B" w:rsidP="00211C6D">
      <w:pPr>
        <w:keepNext/>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Human rights implications</w:t>
      </w:r>
    </w:p>
    <w:p w14:paraId="254DBEDD" w14:textId="3667980A" w:rsidR="00B75A8B" w:rsidRPr="00D9085C" w:rsidRDefault="00B75A8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APRA has assessed the instrument and is of the view that </w:t>
      </w:r>
      <w:r w:rsidR="004D5A79" w:rsidRPr="00D9085C">
        <w:rPr>
          <w:rFonts w:ascii="Times New Roman" w:hAnsi="Times New Roman" w:cs="Times New Roman"/>
          <w:sz w:val="24"/>
          <w:szCs w:val="24"/>
        </w:rPr>
        <w:t xml:space="preserve">it </w:t>
      </w:r>
      <w:r w:rsidRPr="00D9085C">
        <w:rPr>
          <w:rFonts w:ascii="Times New Roman" w:hAnsi="Times New Roman" w:cs="Times New Roman"/>
          <w:sz w:val="24"/>
          <w:szCs w:val="24"/>
        </w:rPr>
        <w:t>do</w:t>
      </w:r>
      <w:r w:rsidR="004D5A79" w:rsidRPr="00D9085C">
        <w:rPr>
          <w:rFonts w:ascii="Times New Roman" w:hAnsi="Times New Roman" w:cs="Times New Roman"/>
          <w:sz w:val="24"/>
          <w:szCs w:val="24"/>
        </w:rPr>
        <w:t>es</w:t>
      </w:r>
      <w:r w:rsidRPr="00D9085C">
        <w:rPr>
          <w:rFonts w:ascii="Times New Roman" w:hAnsi="Times New Roman" w:cs="Times New Roman"/>
          <w:sz w:val="24"/>
          <w:szCs w:val="24"/>
        </w:rPr>
        <w:t xml:space="preserve"> not engage any of the applicable rights or freedoms recognised or declared in the international instruments listed in section 3 of the HRPS Act. Accordingly, in APRA’s assessment, the instrument </w:t>
      </w:r>
      <w:r w:rsidR="004D5A79" w:rsidRPr="00D9085C">
        <w:rPr>
          <w:rFonts w:ascii="Times New Roman" w:hAnsi="Times New Roman" w:cs="Times New Roman"/>
          <w:sz w:val="24"/>
          <w:szCs w:val="24"/>
        </w:rPr>
        <w:t xml:space="preserve">is </w:t>
      </w:r>
      <w:r w:rsidRPr="00D9085C">
        <w:rPr>
          <w:rFonts w:ascii="Times New Roman" w:hAnsi="Times New Roman" w:cs="Times New Roman"/>
          <w:sz w:val="24"/>
          <w:szCs w:val="24"/>
        </w:rPr>
        <w:t>compatible with human rights.</w:t>
      </w:r>
    </w:p>
    <w:p w14:paraId="329FF13D" w14:textId="77777777"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Conclusion</w:t>
      </w:r>
    </w:p>
    <w:p w14:paraId="752CCA14" w14:textId="7E29C9D3" w:rsidR="00B75A8B" w:rsidRPr="00D9085C" w:rsidRDefault="00B75A8B" w:rsidP="000125E4">
      <w:pPr>
        <w:spacing w:after="120" w:line="288" w:lineRule="auto"/>
        <w:jc w:val="both"/>
        <w:rPr>
          <w:rFonts w:ascii="Times New Roman" w:eastAsia="Times New Roman" w:hAnsi="Times New Roman" w:cs="Times New Roman"/>
          <w:sz w:val="24"/>
          <w:szCs w:val="24"/>
        </w:rPr>
      </w:pPr>
      <w:r w:rsidRPr="00D9085C">
        <w:rPr>
          <w:rFonts w:ascii="Times New Roman" w:hAnsi="Times New Roman" w:cs="Times New Roman"/>
          <w:sz w:val="24"/>
          <w:szCs w:val="24"/>
        </w:rPr>
        <w:t xml:space="preserve">The </w:t>
      </w:r>
      <w:r w:rsidR="004D5A79" w:rsidRPr="00D9085C">
        <w:rPr>
          <w:rFonts w:ascii="Times New Roman" w:hAnsi="Times New Roman" w:cs="Times New Roman"/>
          <w:sz w:val="24"/>
          <w:szCs w:val="24"/>
        </w:rPr>
        <w:t xml:space="preserve">instrument is </w:t>
      </w:r>
      <w:r w:rsidRPr="00D9085C">
        <w:rPr>
          <w:rFonts w:ascii="Times New Roman" w:hAnsi="Times New Roman" w:cs="Times New Roman"/>
          <w:sz w:val="24"/>
          <w:szCs w:val="24"/>
        </w:rPr>
        <w:t xml:space="preserve">compatible with human rights as </w:t>
      </w:r>
      <w:r w:rsidR="005734F4" w:rsidRPr="00D9085C">
        <w:rPr>
          <w:rFonts w:ascii="Times New Roman" w:hAnsi="Times New Roman" w:cs="Times New Roman"/>
          <w:sz w:val="24"/>
          <w:szCs w:val="24"/>
        </w:rPr>
        <w:t>it does</w:t>
      </w:r>
      <w:r w:rsidRPr="00D9085C">
        <w:rPr>
          <w:rFonts w:ascii="Times New Roman" w:hAnsi="Times New Roman" w:cs="Times New Roman"/>
          <w:sz w:val="24"/>
          <w:szCs w:val="24"/>
        </w:rPr>
        <w:t xml:space="preserve"> not raise any human rights issues.</w:t>
      </w:r>
    </w:p>
    <w:sectPr w:rsidR="00B75A8B" w:rsidRPr="00D9085C" w:rsidSect="00801A23">
      <w:headerReference w:type="default" r:id="rId15"/>
      <w:footerReference w:type="default" r:id="rId16"/>
      <w:headerReference w:type="first" r:id="rId17"/>
      <w:footerReference w:type="first" r:id="rId1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F013" w14:textId="77777777" w:rsidR="000868B7" w:rsidRDefault="000868B7" w:rsidP="007A463E">
      <w:pPr>
        <w:spacing w:after="0" w:line="240" w:lineRule="auto"/>
      </w:pPr>
      <w:r>
        <w:separator/>
      </w:r>
    </w:p>
    <w:p w14:paraId="2EFBE344" w14:textId="77777777" w:rsidR="000868B7" w:rsidRDefault="000868B7"/>
  </w:endnote>
  <w:endnote w:type="continuationSeparator" w:id="0">
    <w:p w14:paraId="15AEBF4B" w14:textId="77777777" w:rsidR="000868B7" w:rsidRDefault="000868B7" w:rsidP="007A463E">
      <w:pPr>
        <w:spacing w:after="0" w:line="240" w:lineRule="auto"/>
      </w:pPr>
      <w:r>
        <w:continuationSeparator/>
      </w:r>
    </w:p>
    <w:p w14:paraId="6BED4ABA" w14:textId="77777777" w:rsidR="000868B7" w:rsidRDefault="000868B7"/>
  </w:endnote>
  <w:endnote w:type="continuationNotice" w:id="1">
    <w:p w14:paraId="2D003B66" w14:textId="77777777" w:rsidR="000868B7" w:rsidRDefault="0008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69505"/>
      <w:docPartObj>
        <w:docPartGallery w:val="Page Numbers (Bottom of Page)"/>
        <w:docPartUnique/>
      </w:docPartObj>
    </w:sdtPr>
    <w:sdtEndPr>
      <w:rPr>
        <w:rFonts w:ascii="Times New Roman" w:hAnsi="Times New Roman" w:cs="Times New Roman"/>
        <w:noProof/>
        <w:sz w:val="24"/>
        <w:szCs w:val="24"/>
      </w:rPr>
    </w:sdtEndPr>
    <w:sdtContent>
      <w:p w14:paraId="157A7420" w14:textId="5B176238" w:rsidR="000868B7" w:rsidRPr="00777743" w:rsidRDefault="000868B7">
        <w:pPr>
          <w:pStyle w:val="Footer"/>
          <w:jc w:val="center"/>
          <w:rPr>
            <w:rFonts w:ascii="Times New Roman" w:hAnsi="Times New Roman" w:cs="Times New Roman"/>
            <w:sz w:val="24"/>
            <w:szCs w:val="24"/>
          </w:rPr>
        </w:pPr>
        <w:r w:rsidRPr="00777743">
          <w:rPr>
            <w:rFonts w:ascii="Times New Roman" w:hAnsi="Times New Roman" w:cs="Times New Roman"/>
            <w:sz w:val="24"/>
            <w:szCs w:val="24"/>
          </w:rPr>
          <w:fldChar w:fldCharType="begin"/>
        </w:r>
        <w:r w:rsidRPr="00777743">
          <w:rPr>
            <w:rFonts w:ascii="Times New Roman" w:hAnsi="Times New Roman" w:cs="Times New Roman"/>
            <w:sz w:val="24"/>
            <w:szCs w:val="24"/>
          </w:rPr>
          <w:instrText xml:space="preserve"> PAGE   \* MERGEFORMAT </w:instrText>
        </w:r>
        <w:r w:rsidRPr="00777743">
          <w:rPr>
            <w:rFonts w:ascii="Times New Roman" w:hAnsi="Times New Roman" w:cs="Times New Roman"/>
            <w:sz w:val="24"/>
            <w:szCs w:val="24"/>
          </w:rPr>
          <w:fldChar w:fldCharType="separate"/>
        </w:r>
        <w:r w:rsidRPr="00777743">
          <w:rPr>
            <w:rFonts w:ascii="Times New Roman" w:hAnsi="Times New Roman" w:cs="Times New Roman"/>
            <w:noProof/>
            <w:sz w:val="24"/>
            <w:szCs w:val="24"/>
          </w:rPr>
          <w:t>2</w:t>
        </w:r>
        <w:r w:rsidRPr="00777743">
          <w:rPr>
            <w:rFonts w:ascii="Times New Roman" w:hAnsi="Times New Roman" w:cs="Times New Roman"/>
            <w:noProof/>
            <w:sz w:val="24"/>
            <w:szCs w:val="24"/>
          </w:rPr>
          <w:fldChar w:fldCharType="end"/>
        </w:r>
      </w:p>
    </w:sdtContent>
  </w:sdt>
  <w:p w14:paraId="4F1966D8" w14:textId="77777777" w:rsidR="000868B7" w:rsidRDefault="0008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634925"/>
      <w:docPartObj>
        <w:docPartGallery w:val="Page Numbers (Bottom of Page)"/>
        <w:docPartUnique/>
      </w:docPartObj>
    </w:sdtPr>
    <w:sdtEndPr>
      <w:rPr>
        <w:rFonts w:ascii="Times New Roman" w:hAnsi="Times New Roman" w:cs="Times New Roman"/>
        <w:noProof/>
        <w:sz w:val="40"/>
      </w:rPr>
    </w:sdtEndPr>
    <w:sdtContent>
      <w:p w14:paraId="26D3848C" w14:textId="0F4CFD86" w:rsidR="000868B7" w:rsidRPr="00777743" w:rsidRDefault="000868B7">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sdtContent>
  </w:sdt>
  <w:p w14:paraId="26D3848D" w14:textId="77777777" w:rsidR="000868B7" w:rsidRDefault="0008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546F" w14:textId="77777777" w:rsidR="000868B7" w:rsidRDefault="000868B7" w:rsidP="007A463E">
      <w:pPr>
        <w:spacing w:after="0" w:line="240" w:lineRule="auto"/>
      </w:pPr>
      <w:r>
        <w:separator/>
      </w:r>
    </w:p>
    <w:p w14:paraId="5532EA82" w14:textId="77777777" w:rsidR="000868B7" w:rsidRDefault="000868B7"/>
  </w:footnote>
  <w:footnote w:type="continuationSeparator" w:id="0">
    <w:p w14:paraId="55D72573" w14:textId="77777777" w:rsidR="000868B7" w:rsidRDefault="000868B7" w:rsidP="007A463E">
      <w:pPr>
        <w:spacing w:after="0" w:line="240" w:lineRule="auto"/>
      </w:pPr>
      <w:r>
        <w:continuationSeparator/>
      </w:r>
    </w:p>
    <w:p w14:paraId="39C481D2" w14:textId="77777777" w:rsidR="000868B7" w:rsidRDefault="000868B7"/>
  </w:footnote>
  <w:footnote w:type="continuationNotice" w:id="1">
    <w:p w14:paraId="3CCC6BED" w14:textId="77777777" w:rsidR="000868B7" w:rsidRDefault="000868B7">
      <w:pPr>
        <w:spacing w:after="0" w:line="240" w:lineRule="auto"/>
      </w:pPr>
    </w:p>
  </w:footnote>
  <w:footnote w:id="2">
    <w:p w14:paraId="21BBEC2E" w14:textId="05B956FC" w:rsidR="000868B7" w:rsidRDefault="000868B7" w:rsidP="007A7F9C">
      <w:pPr>
        <w:pStyle w:val="FootnoteText"/>
      </w:pPr>
      <w:r>
        <w:rPr>
          <w:rStyle w:val="FootnoteReference"/>
        </w:rPr>
        <w:footnoteRef/>
      </w:r>
      <w:r>
        <w:t xml:space="preserve"> </w:t>
      </w:r>
      <w:r w:rsidRPr="007A7F9C">
        <w:rPr>
          <w:rFonts w:ascii="Times New Roman" w:hAnsi="Times New Roman" w:cs="Times New Roman"/>
          <w:szCs w:val="18"/>
        </w:rPr>
        <w:t xml:space="preserve">The Royal Commission into Misconduct in the Banking, Superannuation and Financial Services Industry (2019) </w:t>
      </w:r>
      <w:r w:rsidRPr="007A7F9C">
        <w:rPr>
          <w:rFonts w:ascii="Times New Roman" w:hAnsi="Times New Roman" w:cs="Times New Roman"/>
          <w:i/>
          <w:szCs w:val="18"/>
        </w:rPr>
        <w:t>Royal Commission into Misconduct in the Banking, Superannuation and Financial Services Industry Final Report</w:t>
      </w:r>
      <w:r w:rsidRPr="007A7F9C">
        <w:rPr>
          <w:rFonts w:ascii="Times New Roman" w:hAnsi="Times New Roman" w:cs="Times New Roman"/>
          <w:szCs w:val="18"/>
        </w:rPr>
        <w:t>.</w:t>
      </w:r>
    </w:p>
  </w:footnote>
  <w:footnote w:id="3">
    <w:p w14:paraId="48B97EE6" w14:textId="77777777" w:rsidR="000868B7" w:rsidRDefault="000868B7" w:rsidP="000B49D8">
      <w:pPr>
        <w:pStyle w:val="FootnoteText"/>
      </w:pPr>
      <w:r>
        <w:rPr>
          <w:rStyle w:val="FootnoteReference"/>
        </w:rPr>
        <w:footnoteRef/>
      </w:r>
      <w:r>
        <w:t xml:space="preserve"> </w:t>
      </w:r>
      <w:r w:rsidRPr="000B49D8">
        <w:rPr>
          <w:rFonts w:ascii="Times New Roman" w:hAnsi="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MySuper and choice products). CPS </w:t>
      </w:r>
      <w:r>
        <w:rPr>
          <w:rFonts w:ascii="Times New Roman" w:hAnsi="Times New Roman"/>
        </w:rPr>
        <w:t>511</w:t>
      </w:r>
      <w:r w:rsidRPr="000B49D8">
        <w:rPr>
          <w:rFonts w:ascii="Times New Roman" w:hAnsi="Times New Roman"/>
        </w:rPr>
        <w:t xml:space="preserve"> is not a standard in relation to any of these topics.</w:t>
      </w:r>
    </w:p>
  </w:footnote>
  <w:footnote w:id="4">
    <w:p w14:paraId="1D461955" w14:textId="62820541" w:rsidR="000868B7" w:rsidRDefault="000868B7" w:rsidP="003C129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w:t>
      </w:r>
      <w:r w:rsidRPr="000B49D8">
        <w:rPr>
          <w:rFonts w:ascii="Times New Roman" w:hAnsi="Times New Roman"/>
        </w:rPr>
        <w:t>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 Consultation is not specifically required under the SIS Act.</w:t>
      </w:r>
    </w:p>
  </w:footnote>
  <w:footnote w:id="5">
    <w:p w14:paraId="25BCBB5A" w14:textId="26242E21" w:rsidR="000868B7" w:rsidRPr="00B63607" w:rsidRDefault="000868B7">
      <w:pPr>
        <w:pStyle w:val="FootnoteText"/>
        <w:rPr>
          <w:rFonts w:ascii="Times New Roman" w:hAnsi="Times New Roman" w:cs="Times New Roman"/>
          <w:sz w:val="20"/>
          <w:szCs w:val="20"/>
        </w:rPr>
      </w:pPr>
      <w:r w:rsidRPr="00DE0D72">
        <w:rPr>
          <w:rStyle w:val="FootnoteReference"/>
          <w:rFonts w:ascii="Times New Roman" w:hAnsi="Times New Roman" w:cs="Times New Roman"/>
          <w:szCs w:val="18"/>
        </w:rPr>
        <w:footnoteRef/>
      </w:r>
      <w:r w:rsidRPr="00DE0D72">
        <w:rPr>
          <w:rFonts w:ascii="Times New Roman" w:hAnsi="Times New Roman" w:cs="Times New Roman"/>
          <w:szCs w:val="18"/>
        </w:rPr>
        <w:t xml:space="preserve"> APRA Discussion paper </w:t>
      </w:r>
      <w:r>
        <w:rPr>
          <w:rFonts w:ascii="Times New Roman" w:hAnsi="Times New Roman" w:cs="Times New Roman"/>
          <w:szCs w:val="18"/>
        </w:rPr>
        <w:t>–</w:t>
      </w:r>
      <w:r w:rsidRPr="00DE0D72">
        <w:rPr>
          <w:rFonts w:ascii="Times New Roman" w:hAnsi="Times New Roman" w:cs="Times New Roman"/>
          <w:szCs w:val="18"/>
        </w:rPr>
        <w:t xml:space="preserve"> </w:t>
      </w:r>
      <w:hyperlink r:id="rId1" w:history="1">
        <w:r w:rsidRPr="00CE6CEC">
          <w:rPr>
            <w:rStyle w:val="Hyperlink"/>
            <w:rFonts w:ascii="Times New Roman" w:hAnsi="Times New Roman" w:cs="Times New Roman"/>
            <w:sz w:val="18"/>
            <w:szCs w:val="18"/>
          </w:rPr>
          <w:t xml:space="preserve">Strengthening </w:t>
        </w:r>
        <w:r w:rsidR="00F46B97">
          <w:rPr>
            <w:rStyle w:val="Hyperlink"/>
            <w:rFonts w:ascii="Times New Roman" w:hAnsi="Times New Roman" w:cs="Times New Roman"/>
            <w:sz w:val="18"/>
            <w:szCs w:val="18"/>
          </w:rPr>
          <w:t>p</w:t>
        </w:r>
        <w:r w:rsidRPr="00CE6CEC">
          <w:rPr>
            <w:rStyle w:val="Hyperlink"/>
            <w:rFonts w:ascii="Times New Roman" w:hAnsi="Times New Roman" w:cs="Times New Roman"/>
            <w:sz w:val="18"/>
            <w:szCs w:val="18"/>
          </w:rPr>
          <w:t xml:space="preserve">rudential requirements for </w:t>
        </w:r>
        <w:r w:rsidR="00F46B97">
          <w:rPr>
            <w:rStyle w:val="Hyperlink"/>
            <w:rFonts w:ascii="Times New Roman" w:hAnsi="Times New Roman" w:cs="Times New Roman"/>
            <w:sz w:val="18"/>
            <w:szCs w:val="18"/>
          </w:rPr>
          <w:t>r</w:t>
        </w:r>
        <w:r w:rsidRPr="00CE6CEC">
          <w:rPr>
            <w:rStyle w:val="Hyperlink"/>
            <w:rFonts w:ascii="Times New Roman" w:hAnsi="Times New Roman" w:cs="Times New Roman"/>
            <w:sz w:val="18"/>
            <w:szCs w:val="18"/>
          </w:rPr>
          <w:t>emuneration</w:t>
        </w:r>
      </w:hyperlink>
      <w:r>
        <w:rPr>
          <w:rFonts w:ascii="Times New Roman" w:hAnsi="Times New Roman" w:cs="Times New Roman"/>
          <w:szCs w:val="18"/>
        </w:rPr>
        <w:t xml:space="preserve">, July 2019. </w:t>
      </w:r>
    </w:p>
  </w:footnote>
  <w:footnote w:id="6">
    <w:p w14:paraId="013F9F19" w14:textId="45A70AEB" w:rsidR="000868B7" w:rsidRPr="00DE0D72" w:rsidRDefault="000868B7" w:rsidP="00DE0D72">
      <w:pPr>
        <w:rPr>
          <w:rFonts w:ascii="Times New Roman" w:hAnsi="Times New Roman" w:cs="Times New Roman"/>
          <w:sz w:val="18"/>
          <w:szCs w:val="18"/>
        </w:rPr>
      </w:pPr>
      <w:r w:rsidRPr="00DE0D72">
        <w:rPr>
          <w:rStyle w:val="FootnoteReference"/>
          <w:rFonts w:ascii="Times New Roman" w:hAnsi="Times New Roman" w:cs="Times New Roman"/>
          <w:szCs w:val="18"/>
        </w:rPr>
        <w:footnoteRef/>
      </w:r>
      <w:r w:rsidRPr="00DE0D72">
        <w:rPr>
          <w:rFonts w:ascii="Times New Roman" w:hAnsi="Times New Roman" w:cs="Times New Roman"/>
          <w:sz w:val="18"/>
          <w:szCs w:val="18"/>
        </w:rPr>
        <w:t xml:space="preserve"> APRA Response </w:t>
      </w:r>
      <w:r>
        <w:rPr>
          <w:rFonts w:ascii="Times New Roman" w:hAnsi="Times New Roman" w:cs="Times New Roman"/>
          <w:sz w:val="18"/>
          <w:szCs w:val="18"/>
        </w:rPr>
        <w:t>paper</w:t>
      </w:r>
      <w:r w:rsidRPr="00DE0D72">
        <w:rPr>
          <w:rFonts w:ascii="Times New Roman" w:hAnsi="Times New Roman" w:cs="Times New Roman"/>
          <w:sz w:val="18"/>
          <w:szCs w:val="18"/>
        </w:rPr>
        <w:t xml:space="preserve"> </w:t>
      </w:r>
      <w:r>
        <w:rPr>
          <w:rFonts w:ascii="Times New Roman" w:hAnsi="Times New Roman" w:cs="Times New Roman"/>
          <w:sz w:val="18"/>
          <w:szCs w:val="18"/>
        </w:rPr>
        <w:t>–</w:t>
      </w:r>
      <w:r w:rsidRPr="00DE0D72">
        <w:rPr>
          <w:rFonts w:ascii="Times New Roman" w:hAnsi="Times New Roman" w:cs="Times New Roman"/>
          <w:sz w:val="18"/>
          <w:szCs w:val="18"/>
        </w:rPr>
        <w:t xml:space="preserve"> </w:t>
      </w:r>
      <w:hyperlink r:id="rId2" w:history="1">
        <w:r w:rsidRPr="003573CA">
          <w:rPr>
            <w:rStyle w:val="Hyperlink"/>
            <w:rFonts w:ascii="Times New Roman" w:hAnsi="Times New Roman" w:cs="Times New Roman"/>
            <w:sz w:val="18"/>
            <w:szCs w:val="18"/>
          </w:rPr>
          <w:t xml:space="preserve">Strengthening prudential requirements for </w:t>
        </w:r>
        <w:r w:rsidR="00F46B97">
          <w:rPr>
            <w:rStyle w:val="Hyperlink"/>
            <w:rFonts w:ascii="Times New Roman" w:hAnsi="Times New Roman" w:cs="Times New Roman"/>
            <w:sz w:val="18"/>
            <w:szCs w:val="18"/>
          </w:rPr>
          <w:t>r</w:t>
        </w:r>
        <w:r w:rsidRPr="003573CA">
          <w:rPr>
            <w:rStyle w:val="Hyperlink"/>
            <w:rFonts w:ascii="Times New Roman" w:hAnsi="Times New Roman" w:cs="Times New Roman"/>
            <w:sz w:val="18"/>
            <w:szCs w:val="18"/>
          </w:rPr>
          <w:t>emuneration</w:t>
        </w:r>
      </w:hyperlink>
      <w:r w:rsidRPr="00DE0D72">
        <w:rPr>
          <w:rFonts w:ascii="Times New Roman" w:hAnsi="Times New Roman" w:cs="Times New Roman"/>
          <w:sz w:val="18"/>
          <w:szCs w:val="18"/>
        </w:rPr>
        <w:t xml:space="preserve">, </w:t>
      </w:r>
      <w:r>
        <w:rPr>
          <w:rFonts w:ascii="Times New Roman" w:hAnsi="Times New Roman" w:cs="Times New Roman"/>
          <w:sz w:val="18"/>
          <w:szCs w:val="18"/>
        </w:rPr>
        <w:t>November 2020</w:t>
      </w:r>
      <w:r w:rsidRPr="00DE0D72">
        <w:rPr>
          <w:rFonts w:ascii="Times New Roman" w:hAnsi="Times New Roman" w:cs="Times New Roman"/>
          <w:sz w:val="18"/>
          <w:szCs w:val="18"/>
        </w:rPr>
        <w:t>.</w:t>
      </w:r>
    </w:p>
  </w:footnote>
  <w:footnote w:id="7">
    <w:p w14:paraId="413EDF29" w14:textId="37304E4E" w:rsidR="000868B7" w:rsidRDefault="000868B7" w:rsidP="00DE0D72">
      <w:r w:rsidRPr="00DE0D72">
        <w:rPr>
          <w:rStyle w:val="FootnoteReference"/>
          <w:rFonts w:ascii="Times New Roman" w:hAnsi="Times New Roman" w:cs="Times New Roman"/>
          <w:szCs w:val="18"/>
        </w:rPr>
        <w:footnoteRef/>
      </w:r>
      <w:r w:rsidRPr="00DE0D72">
        <w:rPr>
          <w:rFonts w:ascii="Times New Roman" w:hAnsi="Times New Roman" w:cs="Times New Roman"/>
          <w:sz w:val="18"/>
          <w:szCs w:val="18"/>
        </w:rPr>
        <w:t xml:space="preserve"> APRA </w:t>
      </w:r>
      <w:r w:rsidRPr="000C67B1">
        <w:rPr>
          <w:rFonts w:ascii="Times New Roman" w:hAnsi="Times New Roman" w:cs="Times New Roman"/>
          <w:sz w:val="18"/>
          <w:szCs w:val="18"/>
        </w:rPr>
        <w:t>Response paper</w:t>
      </w:r>
      <w:r w:rsidR="007963BF">
        <w:rPr>
          <w:rFonts w:ascii="Times New Roman" w:hAnsi="Times New Roman" w:cs="Times New Roman"/>
          <w:sz w:val="18"/>
          <w:szCs w:val="18"/>
        </w:rPr>
        <w:t xml:space="preserve"> -</w:t>
      </w:r>
      <w:r w:rsidRPr="000C67B1">
        <w:rPr>
          <w:rFonts w:ascii="Times New Roman" w:hAnsi="Times New Roman" w:cs="Times New Roman"/>
          <w:sz w:val="18"/>
          <w:szCs w:val="18"/>
        </w:rPr>
        <w:t xml:space="preserve"> </w:t>
      </w:r>
      <w:hyperlink r:id="rId3" w:history="1">
        <w:r w:rsidRPr="000C67B1">
          <w:rPr>
            <w:rStyle w:val="Hyperlink"/>
            <w:rFonts w:ascii="Times New Roman" w:hAnsi="Times New Roman" w:cs="Times New Roman"/>
            <w:sz w:val="18"/>
            <w:szCs w:val="18"/>
          </w:rPr>
          <w:t xml:space="preserve">Strengthening prudential requirements for </w:t>
        </w:r>
        <w:r w:rsidR="00F46B97">
          <w:rPr>
            <w:rStyle w:val="Hyperlink"/>
            <w:rFonts w:ascii="Times New Roman" w:hAnsi="Times New Roman" w:cs="Times New Roman"/>
            <w:sz w:val="18"/>
            <w:szCs w:val="18"/>
          </w:rPr>
          <w:t>r</w:t>
        </w:r>
        <w:r w:rsidRPr="000C67B1">
          <w:rPr>
            <w:rStyle w:val="Hyperlink"/>
            <w:rFonts w:ascii="Times New Roman" w:hAnsi="Times New Roman" w:cs="Times New Roman"/>
            <w:sz w:val="18"/>
            <w:szCs w:val="18"/>
          </w:rPr>
          <w:t>emuneration</w:t>
        </w:r>
      </w:hyperlink>
      <w:r w:rsidRPr="000C67B1">
        <w:rPr>
          <w:rFonts w:ascii="Times New Roman" w:hAnsi="Times New Roman" w:cs="Times New Roman"/>
          <w:sz w:val="18"/>
          <w:szCs w:val="18"/>
        </w:rPr>
        <w:t>,</w:t>
      </w:r>
      <w:r w:rsidRPr="00DE0D72">
        <w:rPr>
          <w:rFonts w:ascii="Times New Roman" w:hAnsi="Times New Roman" w:cs="Times New Roman"/>
          <w:sz w:val="18"/>
          <w:szCs w:val="18"/>
        </w:rPr>
        <w:t xml:space="preserve"> August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A" w14:textId="77777777" w:rsidR="000868B7" w:rsidRPr="00665727" w:rsidRDefault="000868B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B" w14:textId="77777777" w:rsidR="000868B7" w:rsidRDefault="000868B7"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13302"/>
    <w:multiLevelType w:val="hybridMultilevel"/>
    <w:tmpl w:val="063C857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110DA1"/>
    <w:multiLevelType w:val="hybridMultilevel"/>
    <w:tmpl w:val="CD5E0C98"/>
    <w:lvl w:ilvl="0" w:tplc="415A9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F04261"/>
    <w:multiLevelType w:val="hybridMultilevel"/>
    <w:tmpl w:val="0A781146"/>
    <w:lvl w:ilvl="0" w:tplc="F4063502">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485338"/>
    <w:multiLevelType w:val="hybridMultilevel"/>
    <w:tmpl w:val="85DE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250AA9"/>
    <w:multiLevelType w:val="hybridMultilevel"/>
    <w:tmpl w:val="960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2A568D"/>
    <w:multiLevelType w:val="hybridMultilevel"/>
    <w:tmpl w:val="4658FE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07521E"/>
    <w:multiLevelType w:val="hybridMultilevel"/>
    <w:tmpl w:val="18282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6B4EBE"/>
    <w:multiLevelType w:val="hybridMultilevel"/>
    <w:tmpl w:val="3670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20416"/>
    <w:multiLevelType w:val="hybridMultilevel"/>
    <w:tmpl w:val="21CE4A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157E1"/>
    <w:multiLevelType w:val="hybridMultilevel"/>
    <w:tmpl w:val="278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42677"/>
    <w:multiLevelType w:val="hybridMultilevel"/>
    <w:tmpl w:val="A75AB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09C5EF2"/>
    <w:multiLevelType w:val="hybridMultilevel"/>
    <w:tmpl w:val="56B0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6"/>
  </w:num>
  <w:num w:numId="11">
    <w:abstractNumId w:val="18"/>
  </w:num>
  <w:num w:numId="12">
    <w:abstractNumId w:val="6"/>
  </w:num>
  <w:num w:numId="13">
    <w:abstractNumId w:val="14"/>
  </w:num>
  <w:num w:numId="14">
    <w:abstractNumId w:val="17"/>
  </w:num>
  <w:num w:numId="15">
    <w:abstractNumId w:val="25"/>
  </w:num>
  <w:num w:numId="16">
    <w:abstractNumId w:val="24"/>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7"/>
  </w:num>
  <w:num w:numId="22">
    <w:abstractNumId w:val="12"/>
  </w:num>
  <w:num w:numId="23">
    <w:abstractNumId w:val="19"/>
  </w:num>
  <w:num w:numId="24">
    <w:abstractNumId w:val="11"/>
  </w:num>
  <w:num w:numId="25">
    <w:abstractNumId w:val="13"/>
  </w:num>
  <w:num w:numId="26">
    <w:abstractNumId w:val="10"/>
  </w:num>
  <w:num w:numId="27">
    <w:abstractNumId w:val="20"/>
  </w:num>
  <w:num w:numId="28">
    <w:abstractNumId w:val="5"/>
  </w:num>
  <w:num w:numId="2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3065"/>
    <w:rsid w:val="00003092"/>
    <w:rsid w:val="000056ED"/>
    <w:rsid w:val="00005A24"/>
    <w:rsid w:val="00007BFD"/>
    <w:rsid w:val="00011B0A"/>
    <w:rsid w:val="000125E4"/>
    <w:rsid w:val="000140BB"/>
    <w:rsid w:val="00020529"/>
    <w:rsid w:val="0002447B"/>
    <w:rsid w:val="000269DE"/>
    <w:rsid w:val="000408CA"/>
    <w:rsid w:val="00043ADC"/>
    <w:rsid w:val="00053F0B"/>
    <w:rsid w:val="00063BDC"/>
    <w:rsid w:val="0006491E"/>
    <w:rsid w:val="00070369"/>
    <w:rsid w:val="00070394"/>
    <w:rsid w:val="00085496"/>
    <w:rsid w:val="00085EC3"/>
    <w:rsid w:val="000868B7"/>
    <w:rsid w:val="00086A16"/>
    <w:rsid w:val="00095D01"/>
    <w:rsid w:val="000A0D8A"/>
    <w:rsid w:val="000A1A18"/>
    <w:rsid w:val="000B49D8"/>
    <w:rsid w:val="000C170D"/>
    <w:rsid w:val="000C67B1"/>
    <w:rsid w:val="000C71B2"/>
    <w:rsid w:val="000D08AA"/>
    <w:rsid w:val="000D09FA"/>
    <w:rsid w:val="000D1C0A"/>
    <w:rsid w:val="000D2D92"/>
    <w:rsid w:val="000D5863"/>
    <w:rsid w:val="000E328E"/>
    <w:rsid w:val="000E345B"/>
    <w:rsid w:val="000E34A2"/>
    <w:rsid w:val="000E3C6B"/>
    <w:rsid w:val="000E76C9"/>
    <w:rsid w:val="000F20CF"/>
    <w:rsid w:val="000F2976"/>
    <w:rsid w:val="000F6CC0"/>
    <w:rsid w:val="0010042B"/>
    <w:rsid w:val="00106BAD"/>
    <w:rsid w:val="00111D7A"/>
    <w:rsid w:val="00116FE0"/>
    <w:rsid w:val="001179EA"/>
    <w:rsid w:val="001216AE"/>
    <w:rsid w:val="0012246A"/>
    <w:rsid w:val="0012596F"/>
    <w:rsid w:val="00126673"/>
    <w:rsid w:val="00132ABE"/>
    <w:rsid w:val="00135C94"/>
    <w:rsid w:val="00135EA7"/>
    <w:rsid w:val="001434D4"/>
    <w:rsid w:val="001464AC"/>
    <w:rsid w:val="001502F1"/>
    <w:rsid w:val="00153232"/>
    <w:rsid w:val="00155B7C"/>
    <w:rsid w:val="001616DE"/>
    <w:rsid w:val="00165C5D"/>
    <w:rsid w:val="00173F4B"/>
    <w:rsid w:val="001771C4"/>
    <w:rsid w:val="0017757B"/>
    <w:rsid w:val="001812BB"/>
    <w:rsid w:val="00186B12"/>
    <w:rsid w:val="00186C8C"/>
    <w:rsid w:val="00187A6C"/>
    <w:rsid w:val="00197A23"/>
    <w:rsid w:val="001A370D"/>
    <w:rsid w:val="001B2D90"/>
    <w:rsid w:val="001B422C"/>
    <w:rsid w:val="001C6F44"/>
    <w:rsid w:val="001D3046"/>
    <w:rsid w:val="001D3B1C"/>
    <w:rsid w:val="001D3D9C"/>
    <w:rsid w:val="001D457D"/>
    <w:rsid w:val="001D505A"/>
    <w:rsid w:val="001D7D3C"/>
    <w:rsid w:val="001E00D2"/>
    <w:rsid w:val="001E2225"/>
    <w:rsid w:val="001E71EC"/>
    <w:rsid w:val="001E7618"/>
    <w:rsid w:val="001F30FC"/>
    <w:rsid w:val="00200401"/>
    <w:rsid w:val="00204408"/>
    <w:rsid w:val="00206D85"/>
    <w:rsid w:val="0021143E"/>
    <w:rsid w:val="00211C6D"/>
    <w:rsid w:val="0021212A"/>
    <w:rsid w:val="0021219A"/>
    <w:rsid w:val="00213AFD"/>
    <w:rsid w:val="0021490D"/>
    <w:rsid w:val="0021777C"/>
    <w:rsid w:val="00233F57"/>
    <w:rsid w:val="00237FF5"/>
    <w:rsid w:val="002403C8"/>
    <w:rsid w:val="00247811"/>
    <w:rsid w:val="00257E33"/>
    <w:rsid w:val="00260911"/>
    <w:rsid w:val="00264048"/>
    <w:rsid w:val="0026542C"/>
    <w:rsid w:val="00267EBC"/>
    <w:rsid w:val="00275A88"/>
    <w:rsid w:val="002767C9"/>
    <w:rsid w:val="002805B3"/>
    <w:rsid w:val="00284A48"/>
    <w:rsid w:val="00284AF8"/>
    <w:rsid w:val="00291353"/>
    <w:rsid w:val="00293F7C"/>
    <w:rsid w:val="002958BD"/>
    <w:rsid w:val="002B0B89"/>
    <w:rsid w:val="002B6F5E"/>
    <w:rsid w:val="002C22BB"/>
    <w:rsid w:val="002C2F6A"/>
    <w:rsid w:val="002C689A"/>
    <w:rsid w:val="002D3389"/>
    <w:rsid w:val="002D3749"/>
    <w:rsid w:val="002D7A12"/>
    <w:rsid w:val="002E2867"/>
    <w:rsid w:val="002E5E7D"/>
    <w:rsid w:val="002F0157"/>
    <w:rsid w:val="002F1ECD"/>
    <w:rsid w:val="002F2DAC"/>
    <w:rsid w:val="002F3DBA"/>
    <w:rsid w:val="002F5035"/>
    <w:rsid w:val="003001E7"/>
    <w:rsid w:val="003040B2"/>
    <w:rsid w:val="003258C0"/>
    <w:rsid w:val="003316B0"/>
    <w:rsid w:val="00340359"/>
    <w:rsid w:val="0034413A"/>
    <w:rsid w:val="003532E3"/>
    <w:rsid w:val="00353DE2"/>
    <w:rsid w:val="003552F7"/>
    <w:rsid w:val="00355413"/>
    <w:rsid w:val="003573CA"/>
    <w:rsid w:val="00360B56"/>
    <w:rsid w:val="00367A5D"/>
    <w:rsid w:val="003707EE"/>
    <w:rsid w:val="00373B0D"/>
    <w:rsid w:val="003830D9"/>
    <w:rsid w:val="0038713B"/>
    <w:rsid w:val="00397F8A"/>
    <w:rsid w:val="003C0AF0"/>
    <w:rsid w:val="003C1296"/>
    <w:rsid w:val="003C34BC"/>
    <w:rsid w:val="003C5548"/>
    <w:rsid w:val="003C562D"/>
    <w:rsid w:val="003C6CBE"/>
    <w:rsid w:val="003D3099"/>
    <w:rsid w:val="003D6738"/>
    <w:rsid w:val="003E0E5E"/>
    <w:rsid w:val="003E700E"/>
    <w:rsid w:val="003F0B12"/>
    <w:rsid w:val="003F782F"/>
    <w:rsid w:val="00405B1C"/>
    <w:rsid w:val="004255BC"/>
    <w:rsid w:val="0042682B"/>
    <w:rsid w:val="0043062D"/>
    <w:rsid w:val="0043440F"/>
    <w:rsid w:val="00444BF0"/>
    <w:rsid w:val="004554FF"/>
    <w:rsid w:val="00457868"/>
    <w:rsid w:val="00462257"/>
    <w:rsid w:val="00463C5D"/>
    <w:rsid w:val="004665D8"/>
    <w:rsid w:val="00477366"/>
    <w:rsid w:val="00480AE9"/>
    <w:rsid w:val="0048316F"/>
    <w:rsid w:val="004864CC"/>
    <w:rsid w:val="00487899"/>
    <w:rsid w:val="00492449"/>
    <w:rsid w:val="004A18BF"/>
    <w:rsid w:val="004A4A27"/>
    <w:rsid w:val="004B4492"/>
    <w:rsid w:val="004C0E2E"/>
    <w:rsid w:val="004C10F8"/>
    <w:rsid w:val="004C2EC4"/>
    <w:rsid w:val="004D02C5"/>
    <w:rsid w:val="004D31EB"/>
    <w:rsid w:val="004D5A79"/>
    <w:rsid w:val="004D616D"/>
    <w:rsid w:val="004D7117"/>
    <w:rsid w:val="004E0AEB"/>
    <w:rsid w:val="004E13AF"/>
    <w:rsid w:val="004E1925"/>
    <w:rsid w:val="004E356C"/>
    <w:rsid w:val="004F27CF"/>
    <w:rsid w:val="004F47A6"/>
    <w:rsid w:val="004F525A"/>
    <w:rsid w:val="004F6333"/>
    <w:rsid w:val="00501213"/>
    <w:rsid w:val="00504CCE"/>
    <w:rsid w:val="00505F1B"/>
    <w:rsid w:val="00510C0E"/>
    <w:rsid w:val="005233B4"/>
    <w:rsid w:val="00523D4D"/>
    <w:rsid w:val="005242B6"/>
    <w:rsid w:val="0053462C"/>
    <w:rsid w:val="00535465"/>
    <w:rsid w:val="00545C28"/>
    <w:rsid w:val="00547263"/>
    <w:rsid w:val="00552CA7"/>
    <w:rsid w:val="0056731D"/>
    <w:rsid w:val="005734F4"/>
    <w:rsid w:val="00584A8F"/>
    <w:rsid w:val="00592F34"/>
    <w:rsid w:val="005B0F84"/>
    <w:rsid w:val="005B3AB8"/>
    <w:rsid w:val="005B498C"/>
    <w:rsid w:val="005B705D"/>
    <w:rsid w:val="005C5EC8"/>
    <w:rsid w:val="005C7A7C"/>
    <w:rsid w:val="005D365A"/>
    <w:rsid w:val="005D4818"/>
    <w:rsid w:val="005D646E"/>
    <w:rsid w:val="005E06E9"/>
    <w:rsid w:val="005E6AF8"/>
    <w:rsid w:val="00602A01"/>
    <w:rsid w:val="00605604"/>
    <w:rsid w:val="0060613D"/>
    <w:rsid w:val="00606F5A"/>
    <w:rsid w:val="0060742D"/>
    <w:rsid w:val="006128BA"/>
    <w:rsid w:val="00615AEF"/>
    <w:rsid w:val="00616BB5"/>
    <w:rsid w:val="00630507"/>
    <w:rsid w:val="006352A2"/>
    <w:rsid w:val="00641114"/>
    <w:rsid w:val="00641582"/>
    <w:rsid w:val="00646C7A"/>
    <w:rsid w:val="00647788"/>
    <w:rsid w:val="00647C24"/>
    <w:rsid w:val="0065157D"/>
    <w:rsid w:val="00657262"/>
    <w:rsid w:val="006572FF"/>
    <w:rsid w:val="00665727"/>
    <w:rsid w:val="0066599C"/>
    <w:rsid w:val="00672456"/>
    <w:rsid w:val="00673AD9"/>
    <w:rsid w:val="00677A36"/>
    <w:rsid w:val="00680203"/>
    <w:rsid w:val="006804DC"/>
    <w:rsid w:val="00681823"/>
    <w:rsid w:val="00686723"/>
    <w:rsid w:val="0068743E"/>
    <w:rsid w:val="006A050B"/>
    <w:rsid w:val="006A394F"/>
    <w:rsid w:val="006A3D31"/>
    <w:rsid w:val="006A5169"/>
    <w:rsid w:val="006C1429"/>
    <w:rsid w:val="006C45D2"/>
    <w:rsid w:val="006D072F"/>
    <w:rsid w:val="006D5632"/>
    <w:rsid w:val="006E1272"/>
    <w:rsid w:val="006E1B5F"/>
    <w:rsid w:val="006E4003"/>
    <w:rsid w:val="006E540C"/>
    <w:rsid w:val="006E5BC1"/>
    <w:rsid w:val="0070055F"/>
    <w:rsid w:val="007023A1"/>
    <w:rsid w:val="007236E2"/>
    <w:rsid w:val="0072439F"/>
    <w:rsid w:val="007403DD"/>
    <w:rsid w:val="0074166D"/>
    <w:rsid w:val="00741AEF"/>
    <w:rsid w:val="007437FF"/>
    <w:rsid w:val="00745376"/>
    <w:rsid w:val="0074761E"/>
    <w:rsid w:val="0075041A"/>
    <w:rsid w:val="007507FB"/>
    <w:rsid w:val="007514F9"/>
    <w:rsid w:val="00753018"/>
    <w:rsid w:val="00757098"/>
    <w:rsid w:val="00772117"/>
    <w:rsid w:val="00772207"/>
    <w:rsid w:val="0077388E"/>
    <w:rsid w:val="00776F71"/>
    <w:rsid w:val="00777743"/>
    <w:rsid w:val="00777B17"/>
    <w:rsid w:val="00781FF4"/>
    <w:rsid w:val="00782A22"/>
    <w:rsid w:val="00782AA9"/>
    <w:rsid w:val="00783555"/>
    <w:rsid w:val="00786B63"/>
    <w:rsid w:val="00792F41"/>
    <w:rsid w:val="007963BF"/>
    <w:rsid w:val="007A11E4"/>
    <w:rsid w:val="007A217F"/>
    <w:rsid w:val="007A463E"/>
    <w:rsid w:val="007A6F90"/>
    <w:rsid w:val="007A7F9C"/>
    <w:rsid w:val="007C1798"/>
    <w:rsid w:val="007C287F"/>
    <w:rsid w:val="007C2D39"/>
    <w:rsid w:val="007C2DBF"/>
    <w:rsid w:val="007C3BF8"/>
    <w:rsid w:val="007D0A3E"/>
    <w:rsid w:val="007E2743"/>
    <w:rsid w:val="007E6359"/>
    <w:rsid w:val="007E74F5"/>
    <w:rsid w:val="007F41E4"/>
    <w:rsid w:val="007F4B73"/>
    <w:rsid w:val="00800597"/>
    <w:rsid w:val="00801A23"/>
    <w:rsid w:val="0080772A"/>
    <w:rsid w:val="008117CF"/>
    <w:rsid w:val="008120F2"/>
    <w:rsid w:val="00816255"/>
    <w:rsid w:val="008204C0"/>
    <w:rsid w:val="0082273B"/>
    <w:rsid w:val="00822890"/>
    <w:rsid w:val="008461C0"/>
    <w:rsid w:val="00846656"/>
    <w:rsid w:val="00857706"/>
    <w:rsid w:val="00861136"/>
    <w:rsid w:val="00864A4A"/>
    <w:rsid w:val="00867F6E"/>
    <w:rsid w:val="00870FFC"/>
    <w:rsid w:val="0087102D"/>
    <w:rsid w:val="00872E1D"/>
    <w:rsid w:val="00872F57"/>
    <w:rsid w:val="0087747C"/>
    <w:rsid w:val="0088398E"/>
    <w:rsid w:val="00884E3B"/>
    <w:rsid w:val="00893C43"/>
    <w:rsid w:val="00894900"/>
    <w:rsid w:val="00894DF2"/>
    <w:rsid w:val="008A62E3"/>
    <w:rsid w:val="008B0EB8"/>
    <w:rsid w:val="008B5DBD"/>
    <w:rsid w:val="008B693E"/>
    <w:rsid w:val="008B700D"/>
    <w:rsid w:val="008B7353"/>
    <w:rsid w:val="008C2FD8"/>
    <w:rsid w:val="008C58D7"/>
    <w:rsid w:val="008C782E"/>
    <w:rsid w:val="008D2E0F"/>
    <w:rsid w:val="008D3E78"/>
    <w:rsid w:val="008E0906"/>
    <w:rsid w:val="008E3030"/>
    <w:rsid w:val="008E3335"/>
    <w:rsid w:val="008F4CC6"/>
    <w:rsid w:val="00900518"/>
    <w:rsid w:val="009038E2"/>
    <w:rsid w:val="009045A9"/>
    <w:rsid w:val="00905EAA"/>
    <w:rsid w:val="00907579"/>
    <w:rsid w:val="00910073"/>
    <w:rsid w:val="009100C8"/>
    <w:rsid w:val="00914D5D"/>
    <w:rsid w:val="0091792E"/>
    <w:rsid w:val="009211A0"/>
    <w:rsid w:val="00921341"/>
    <w:rsid w:val="00922ADE"/>
    <w:rsid w:val="0092635A"/>
    <w:rsid w:val="00932402"/>
    <w:rsid w:val="00937609"/>
    <w:rsid w:val="00955011"/>
    <w:rsid w:val="00957744"/>
    <w:rsid w:val="009701E9"/>
    <w:rsid w:val="00970A4C"/>
    <w:rsid w:val="00973C47"/>
    <w:rsid w:val="00976332"/>
    <w:rsid w:val="00980AA8"/>
    <w:rsid w:val="00980CE7"/>
    <w:rsid w:val="0098213D"/>
    <w:rsid w:val="00983285"/>
    <w:rsid w:val="00983DEC"/>
    <w:rsid w:val="00997550"/>
    <w:rsid w:val="00997884"/>
    <w:rsid w:val="009B0250"/>
    <w:rsid w:val="009B30FA"/>
    <w:rsid w:val="009B5D16"/>
    <w:rsid w:val="009B6A64"/>
    <w:rsid w:val="009C1A33"/>
    <w:rsid w:val="009D655A"/>
    <w:rsid w:val="009E3475"/>
    <w:rsid w:val="009E4D50"/>
    <w:rsid w:val="009F1036"/>
    <w:rsid w:val="009F210E"/>
    <w:rsid w:val="009F2493"/>
    <w:rsid w:val="00A00652"/>
    <w:rsid w:val="00A06B35"/>
    <w:rsid w:val="00A06EE8"/>
    <w:rsid w:val="00A125DE"/>
    <w:rsid w:val="00A1584D"/>
    <w:rsid w:val="00A17022"/>
    <w:rsid w:val="00A17687"/>
    <w:rsid w:val="00A23744"/>
    <w:rsid w:val="00A26A42"/>
    <w:rsid w:val="00A30827"/>
    <w:rsid w:val="00A352E1"/>
    <w:rsid w:val="00A37017"/>
    <w:rsid w:val="00A43DAB"/>
    <w:rsid w:val="00A509F8"/>
    <w:rsid w:val="00A672A8"/>
    <w:rsid w:val="00A707CD"/>
    <w:rsid w:val="00A72A44"/>
    <w:rsid w:val="00A76747"/>
    <w:rsid w:val="00A83A91"/>
    <w:rsid w:val="00A83B38"/>
    <w:rsid w:val="00A85349"/>
    <w:rsid w:val="00A910D9"/>
    <w:rsid w:val="00A93C05"/>
    <w:rsid w:val="00A9446C"/>
    <w:rsid w:val="00A97BB1"/>
    <w:rsid w:val="00AA4F68"/>
    <w:rsid w:val="00AB1B0F"/>
    <w:rsid w:val="00AD0DF4"/>
    <w:rsid w:val="00AD5CDC"/>
    <w:rsid w:val="00AE11B8"/>
    <w:rsid w:val="00AE42A5"/>
    <w:rsid w:val="00B01EA8"/>
    <w:rsid w:val="00B13CBE"/>
    <w:rsid w:val="00B16FD2"/>
    <w:rsid w:val="00B20803"/>
    <w:rsid w:val="00B20CD1"/>
    <w:rsid w:val="00B21A37"/>
    <w:rsid w:val="00B22E51"/>
    <w:rsid w:val="00B2455D"/>
    <w:rsid w:val="00B2743B"/>
    <w:rsid w:val="00B366DB"/>
    <w:rsid w:val="00B50B07"/>
    <w:rsid w:val="00B5204D"/>
    <w:rsid w:val="00B63607"/>
    <w:rsid w:val="00B73211"/>
    <w:rsid w:val="00B7328D"/>
    <w:rsid w:val="00B75A8B"/>
    <w:rsid w:val="00B8112B"/>
    <w:rsid w:val="00B81B4A"/>
    <w:rsid w:val="00B85101"/>
    <w:rsid w:val="00B86EF7"/>
    <w:rsid w:val="00B873C8"/>
    <w:rsid w:val="00BA1629"/>
    <w:rsid w:val="00BC0ABF"/>
    <w:rsid w:val="00BC38B4"/>
    <w:rsid w:val="00BC5085"/>
    <w:rsid w:val="00BC57DE"/>
    <w:rsid w:val="00BF413D"/>
    <w:rsid w:val="00BF572C"/>
    <w:rsid w:val="00BF70BB"/>
    <w:rsid w:val="00C1184D"/>
    <w:rsid w:val="00C11B21"/>
    <w:rsid w:val="00C12221"/>
    <w:rsid w:val="00C14A5A"/>
    <w:rsid w:val="00C161A1"/>
    <w:rsid w:val="00C208CA"/>
    <w:rsid w:val="00C2233C"/>
    <w:rsid w:val="00C223B4"/>
    <w:rsid w:val="00C25FA1"/>
    <w:rsid w:val="00C264ED"/>
    <w:rsid w:val="00C268EE"/>
    <w:rsid w:val="00C26A30"/>
    <w:rsid w:val="00C27FA0"/>
    <w:rsid w:val="00C30660"/>
    <w:rsid w:val="00C30D11"/>
    <w:rsid w:val="00C310A9"/>
    <w:rsid w:val="00C41A91"/>
    <w:rsid w:val="00C41E6D"/>
    <w:rsid w:val="00C4329D"/>
    <w:rsid w:val="00C466A5"/>
    <w:rsid w:val="00C5285C"/>
    <w:rsid w:val="00C614C0"/>
    <w:rsid w:val="00C62913"/>
    <w:rsid w:val="00C74B23"/>
    <w:rsid w:val="00C76CEE"/>
    <w:rsid w:val="00C807B9"/>
    <w:rsid w:val="00C84036"/>
    <w:rsid w:val="00C848E8"/>
    <w:rsid w:val="00C95FF9"/>
    <w:rsid w:val="00C97F58"/>
    <w:rsid w:val="00CB0E11"/>
    <w:rsid w:val="00CB1037"/>
    <w:rsid w:val="00CC05EA"/>
    <w:rsid w:val="00CC201A"/>
    <w:rsid w:val="00CD4A23"/>
    <w:rsid w:val="00CD5C11"/>
    <w:rsid w:val="00CD6391"/>
    <w:rsid w:val="00CE54A1"/>
    <w:rsid w:val="00CE5D14"/>
    <w:rsid w:val="00CE6CEC"/>
    <w:rsid w:val="00CF1FC4"/>
    <w:rsid w:val="00CF2848"/>
    <w:rsid w:val="00CF2D41"/>
    <w:rsid w:val="00CF4141"/>
    <w:rsid w:val="00CF6AF9"/>
    <w:rsid w:val="00D02242"/>
    <w:rsid w:val="00D052F9"/>
    <w:rsid w:val="00D0773D"/>
    <w:rsid w:val="00D079B4"/>
    <w:rsid w:val="00D14049"/>
    <w:rsid w:val="00D162CC"/>
    <w:rsid w:val="00D3369B"/>
    <w:rsid w:val="00D37451"/>
    <w:rsid w:val="00D375C3"/>
    <w:rsid w:val="00D40CCB"/>
    <w:rsid w:val="00D44074"/>
    <w:rsid w:val="00D4433A"/>
    <w:rsid w:val="00D47A45"/>
    <w:rsid w:val="00D574CD"/>
    <w:rsid w:val="00D66741"/>
    <w:rsid w:val="00D675D1"/>
    <w:rsid w:val="00D8131D"/>
    <w:rsid w:val="00D903DC"/>
    <w:rsid w:val="00D9085C"/>
    <w:rsid w:val="00D92A40"/>
    <w:rsid w:val="00D92B39"/>
    <w:rsid w:val="00D95999"/>
    <w:rsid w:val="00DA0A68"/>
    <w:rsid w:val="00DA360D"/>
    <w:rsid w:val="00DB4D06"/>
    <w:rsid w:val="00DC706D"/>
    <w:rsid w:val="00DC74D3"/>
    <w:rsid w:val="00DC7EF3"/>
    <w:rsid w:val="00DD039C"/>
    <w:rsid w:val="00DE0A59"/>
    <w:rsid w:val="00DE0D72"/>
    <w:rsid w:val="00DE6684"/>
    <w:rsid w:val="00DF49D8"/>
    <w:rsid w:val="00E00EFF"/>
    <w:rsid w:val="00E1225E"/>
    <w:rsid w:val="00E1430F"/>
    <w:rsid w:val="00E14AC5"/>
    <w:rsid w:val="00E17281"/>
    <w:rsid w:val="00E23F3D"/>
    <w:rsid w:val="00E24BFF"/>
    <w:rsid w:val="00E2674A"/>
    <w:rsid w:val="00E268EE"/>
    <w:rsid w:val="00E300F0"/>
    <w:rsid w:val="00E32CE9"/>
    <w:rsid w:val="00E36C9E"/>
    <w:rsid w:val="00E36D6C"/>
    <w:rsid w:val="00E448C7"/>
    <w:rsid w:val="00E5183C"/>
    <w:rsid w:val="00E540AF"/>
    <w:rsid w:val="00E55A7E"/>
    <w:rsid w:val="00E63012"/>
    <w:rsid w:val="00E63AB3"/>
    <w:rsid w:val="00E71019"/>
    <w:rsid w:val="00E814B4"/>
    <w:rsid w:val="00E82C2C"/>
    <w:rsid w:val="00E83D82"/>
    <w:rsid w:val="00E874A6"/>
    <w:rsid w:val="00E9096B"/>
    <w:rsid w:val="00E96618"/>
    <w:rsid w:val="00E9667E"/>
    <w:rsid w:val="00EA2FDC"/>
    <w:rsid w:val="00EA606D"/>
    <w:rsid w:val="00EA69B8"/>
    <w:rsid w:val="00EB038C"/>
    <w:rsid w:val="00EB6452"/>
    <w:rsid w:val="00ED0263"/>
    <w:rsid w:val="00ED3926"/>
    <w:rsid w:val="00ED48F3"/>
    <w:rsid w:val="00EE5082"/>
    <w:rsid w:val="00EE69E6"/>
    <w:rsid w:val="00EE73D3"/>
    <w:rsid w:val="00EF0C4C"/>
    <w:rsid w:val="00EF496F"/>
    <w:rsid w:val="00EF5EE9"/>
    <w:rsid w:val="00F111CF"/>
    <w:rsid w:val="00F12FD3"/>
    <w:rsid w:val="00F1468C"/>
    <w:rsid w:val="00F2124C"/>
    <w:rsid w:val="00F21D11"/>
    <w:rsid w:val="00F26582"/>
    <w:rsid w:val="00F27474"/>
    <w:rsid w:val="00F34F34"/>
    <w:rsid w:val="00F37391"/>
    <w:rsid w:val="00F463FF"/>
    <w:rsid w:val="00F46B97"/>
    <w:rsid w:val="00F506AD"/>
    <w:rsid w:val="00F577AB"/>
    <w:rsid w:val="00F63FC1"/>
    <w:rsid w:val="00F6460D"/>
    <w:rsid w:val="00F65B60"/>
    <w:rsid w:val="00F66744"/>
    <w:rsid w:val="00F711AF"/>
    <w:rsid w:val="00F7386B"/>
    <w:rsid w:val="00F77F5D"/>
    <w:rsid w:val="00F865EB"/>
    <w:rsid w:val="00F875D9"/>
    <w:rsid w:val="00F93C2D"/>
    <w:rsid w:val="00FA261A"/>
    <w:rsid w:val="00FA2F99"/>
    <w:rsid w:val="00FA41B6"/>
    <w:rsid w:val="00FA48B0"/>
    <w:rsid w:val="00FA4EF5"/>
    <w:rsid w:val="00FA6D19"/>
    <w:rsid w:val="00FA714D"/>
    <w:rsid w:val="00FB1A9B"/>
    <w:rsid w:val="00FB2471"/>
    <w:rsid w:val="00FB4563"/>
    <w:rsid w:val="00FC0FD0"/>
    <w:rsid w:val="00FC30EE"/>
    <w:rsid w:val="00FC3D42"/>
    <w:rsid w:val="00FC7C2B"/>
    <w:rsid w:val="00FD005A"/>
    <w:rsid w:val="00FD207E"/>
    <w:rsid w:val="00FE0A88"/>
    <w:rsid w:val="00FE1C5B"/>
    <w:rsid w:val="00FE2047"/>
    <w:rsid w:val="00FE4249"/>
    <w:rsid w:val="00FF149D"/>
    <w:rsid w:val="00FF1B80"/>
    <w:rsid w:val="00FF5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6D38404"/>
  <w15:chartTrackingRefBased/>
  <w15:docId w15:val="{BA323D52-E9A2-4FCC-8C13-FA0DB2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semiHidden/>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semiHidden/>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CE6CEC"/>
    <w:rPr>
      <w:color w:val="605E5C"/>
      <w:shd w:val="clear" w:color="auto" w:fill="E1DFDD"/>
    </w:rPr>
  </w:style>
  <w:style w:type="paragraph" w:styleId="Revision">
    <w:name w:val="Revision"/>
    <w:hidden/>
    <w:uiPriority w:val="99"/>
    <w:semiHidden/>
    <w:rsid w:val="003532E3"/>
    <w:pPr>
      <w:spacing w:after="0" w:line="240" w:lineRule="auto"/>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4966">
      <w:bodyDiv w:val="1"/>
      <w:marLeft w:val="0"/>
      <w:marRight w:val="0"/>
      <w:marTop w:val="0"/>
      <w:marBottom w:val="0"/>
      <w:divBdr>
        <w:top w:val="none" w:sz="0" w:space="0" w:color="auto"/>
        <w:left w:val="none" w:sz="0" w:space="0" w:color="auto"/>
        <w:bottom w:val="none" w:sz="0" w:space="0" w:color="auto"/>
        <w:right w:val="none" w:sz="0" w:space="0" w:color="auto"/>
      </w:divBdr>
    </w:div>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31191637">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sites/default/files/2021-08/Response%20paper%20-%20Strengthening%20prudential%20requirements%20for%20remuneration.pdf" TargetMode="External"/><Relationship Id="rId2" Type="http://schemas.openxmlformats.org/officeDocument/2006/relationships/hyperlink" Target="https://www.apra.gov.au/sites/default/files/2021-02/Response%20Paper%20-%20Strengthening%20prudential%20requirements%20for%20remuneration.pdf" TargetMode="External"/><Relationship Id="rId1" Type="http://schemas.openxmlformats.org/officeDocument/2006/relationships/hyperlink" Target="https://www.apra.gov.au/sites/default/files/discussion_paper_strengthening_prudential_requirements_for_remuneration_july_2019_v1.pdf"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24</Value>
      <Value>134</Value>
      <Value>83</Value>
      <Value>234</Value>
      <Value>10</Value>
      <Value>26</Value>
      <Value>93</Value>
      <Value>109</Value>
      <Value>230</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Banking-Insurance-Life Insurance-Health Insurance and Superannuation (prudential standard) determination No. 1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5JENXJJSCC7A-445999044-11648</_dlc_DocId>
    <_dlc_DocIdUrl xmlns="814d62cb-2db6-4c25-ab62-b9075facbc11">
      <Url>https://im/teams/LEGAL/_layouts/15/DocIdRedir.aspx?ID=5JENXJJSCC7A-445999044-11648</Url>
      <Description>5JENXJJSCC7A-445999044-11648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6352-3106-40B5-B7EF-36EB35FDFB23}">
  <ds:schemaRefs>
    <ds:schemaRef ds:uri="http://schemas.microsoft.com/office/2006/documentManagement/types"/>
    <ds:schemaRef ds:uri="http://purl.org/dc/elements/1.1/"/>
    <ds:schemaRef ds:uri="http://purl.org/dc/dcmitype/"/>
    <ds:schemaRef ds:uri="814d62cb-2db6-4c25-ab62-b9075facbc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3.xml><?xml version="1.0" encoding="utf-8"?>
<ds:datastoreItem xmlns:ds="http://schemas.openxmlformats.org/officeDocument/2006/customXml" ds:itemID="{A53689CC-1C5F-4B67-A459-50703C30913E}">
  <ds:schemaRefs>
    <ds:schemaRef ds:uri="http://schemas.microsoft.com/sharepoint/event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C19881DA-AF8E-4C2A-A370-23023AE3BE2D}">
  <ds:schemaRefs>
    <ds:schemaRef ds:uri="Microsoft.SharePoint.Taxonomy.ContentTypeSync"/>
  </ds:schemaRefs>
</ds:datastoreItem>
</file>

<file path=customXml/itemProps6.xml><?xml version="1.0" encoding="utf-8"?>
<ds:datastoreItem xmlns:ds="http://schemas.openxmlformats.org/officeDocument/2006/customXml" ds:itemID="{6461168B-6347-4142-988E-F035977EF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6008C3-B8B3-4A11-8719-F5BAFE2A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1894</Words>
  <Characters>10874</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ES - Banking-Insurance-Life Insurance-Health Insurance and Superannuation (prudential standard) determination No. 1 of 2021</vt:lpstr>
    </vt:vector>
  </TitlesOfParts>
  <Company>APRA</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Banking-Insurance-Life Insurance-Health Insurance and Superannuation (prudential standard) determination No. 1 of 2021</dc:title>
  <dc:subject/>
  <dc:creator>Riley, Paul</dc:creator>
  <cp:keywords>[SEC=OFFICIAL]</cp:keywords>
  <dc:description/>
  <cp:lastModifiedBy>Farrukh, Eisha</cp:lastModifiedBy>
  <cp:revision>7</cp:revision>
  <cp:lastPrinted>2019-12-11T22:05:00Z</cp:lastPrinted>
  <dcterms:created xsi:type="dcterms:W3CDTF">2021-11-24T03:48:00Z</dcterms:created>
  <dcterms:modified xsi:type="dcterms:W3CDTF">2021-11-29T05:57:00Z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2779FB7A1A56395CE9FBC49DF6A734F6F0419394</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Caveats_Count">
    <vt:lpwstr>0</vt:lpwstr>
  </property>
  <property fmtid="{D5CDD505-2E9C-101B-9397-08002B2CF9AE}" pid="9" name="PM_SecurityClassification_Prev">
    <vt:lpwstr>OFFICIAL</vt:lpwstr>
  </property>
  <property fmtid="{D5CDD505-2E9C-101B-9397-08002B2CF9AE}" pid="10" name="PM_Qualifier_Prev">
    <vt:lpwstr/>
  </property>
  <property fmtid="{D5CDD505-2E9C-101B-9397-08002B2CF9AE}" pid="11" name="ContentTypeId">
    <vt:lpwstr>0x0101008CA7A4F8331B45C7B0D3158B4994D0CA0200577EC0F5A1FBFC498F9A8436B963F8A6</vt:lpwstr>
  </property>
  <property fmtid="{D5CDD505-2E9C-101B-9397-08002B2CF9AE}" pid="12" name="APRAPeriod">
    <vt:lpwstr/>
  </property>
  <property fmtid="{D5CDD505-2E9C-101B-9397-08002B2CF9AE}" pid="13" name="APRAPRSG">
    <vt:lpwstr/>
  </property>
  <property fmtid="{D5CDD505-2E9C-101B-9397-08002B2CF9AE}" pid="14" name="APRAActivity">
    <vt:lpwstr>10;#Registration|390476ce-d76d-4e8d-905f-28e32d2df127;#109;#Statutory instrument|fe68928c-5a9c-4caf-bc8c-6c18cedcb17f</vt:lpwstr>
  </property>
  <property fmtid="{D5CDD505-2E9C-101B-9397-08002B2CF9AE}" pid="15" name="APRAYear">
    <vt:lpwstr>230;#2021|0e1e43df-81ea-47af-89d8-970d5d5956ff</vt:lpwstr>
  </property>
  <property fmtid="{D5CDD505-2E9C-101B-9397-08002B2CF9AE}" pid="16" name="APRAIndustry">
    <vt:lpwstr/>
  </property>
  <property fmtid="{D5CDD505-2E9C-101B-9397-08002B2CF9AE}" pid="17" name="_dlc_DocIdItemGuid">
    <vt:lpwstr>21c98fc0-5b9e-4646-8305-1c39c7c4e045</vt:lpwstr>
  </property>
  <property fmtid="{D5CDD505-2E9C-101B-9397-08002B2CF9AE}" pid="18" name="RecordPoint_WorkflowType">
    <vt:lpwstr>ActiveSubmitStub</vt:lpwstr>
  </property>
  <property fmtid="{D5CDD505-2E9C-101B-9397-08002B2CF9AE}" pid="19" name="RecordPoint_ActiveItemWebId">
    <vt:lpwstr>{75a71c27-8d66-4282-ae60-1bfc22a83be1}</vt:lpwstr>
  </property>
  <property fmtid="{D5CDD505-2E9C-101B-9397-08002B2CF9AE}" pid="20" name="RecordPoint_ActiveItemSiteId">
    <vt:lpwstr>{88691c01-5bbb-4215-adc0-66cb7065b0af}</vt:lpwstr>
  </property>
  <property fmtid="{D5CDD505-2E9C-101B-9397-08002B2CF9AE}" pid="21" name="RecordPoint_ActiveItemListId">
    <vt:lpwstr>{0e59e171-09d8-4401-800a-327154450cb3}</vt:lpwstr>
  </property>
  <property fmtid="{D5CDD505-2E9C-101B-9397-08002B2CF9AE}" pid="22" name="RecordPoint_ActiveItemUniqueId">
    <vt:lpwstr>{21c98fc0-5b9e-4646-8305-1c39c7c4e045}</vt:lpwstr>
  </property>
  <property fmtid="{D5CDD505-2E9C-101B-9397-08002B2CF9AE}" pid="23" name="IsLocked">
    <vt:lpwstr>Yes</vt:lpwstr>
  </property>
  <property fmtid="{D5CDD505-2E9C-101B-9397-08002B2CF9AE}" pid="24"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5" name="IT system type">
    <vt:lpwstr/>
  </property>
  <property fmtid="{D5CDD505-2E9C-101B-9397-08002B2CF9AE}" pid="26" name="APRACategory">
    <vt:lpwstr/>
  </property>
  <property fmtid="{D5CDD505-2E9C-101B-9397-08002B2CF9AE}" pid="27" name="APRADocumentType">
    <vt:lpwstr>234;#Explanatory statement|b22f2e2f-3f73-411b-9a7c-34264d26fa25</vt:lpwstr>
  </property>
  <property fmtid="{D5CDD505-2E9C-101B-9397-08002B2CF9AE}" pid="28" name="APRAStatus">
    <vt:lpwstr>1;#Draft|0e1556d2-3fe8-443a-ada7-3620563b46b3</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_docset_NoMedatataSyncRequired">
    <vt:lpwstr>False</vt:lpwstr>
  </property>
  <property fmtid="{D5CDD505-2E9C-101B-9397-08002B2CF9AE}" pid="37" name="PM_ProtectiveMarkingValue_Header">
    <vt:lpwstr>OFFICIAL</vt:lpwstr>
  </property>
  <property fmtid="{D5CDD505-2E9C-101B-9397-08002B2CF9AE}" pid="38" name="PM_Originating_FileId">
    <vt:lpwstr>4451D0D830E24AA59738A77E8D34CD91</vt:lpwstr>
  </property>
  <property fmtid="{D5CDD505-2E9C-101B-9397-08002B2CF9AE}" pid="39" name="PM_ProtectiveMarkingValue_Footer">
    <vt:lpwstr>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Namespace">
    <vt:lpwstr>gov.au</vt:lpwstr>
  </property>
  <property fmtid="{D5CDD505-2E9C-101B-9397-08002B2CF9AE}" pid="43" name="PM_Version">
    <vt:lpwstr>2018.3</vt:lpwstr>
  </property>
  <property fmtid="{D5CDD505-2E9C-101B-9397-08002B2CF9AE}" pid="44" name="PM_Note">
    <vt:lpwstr/>
  </property>
  <property fmtid="{D5CDD505-2E9C-101B-9397-08002B2CF9AE}" pid="45" name="PM_Markers">
    <vt:lpwstr/>
  </property>
  <property fmtid="{D5CDD505-2E9C-101B-9397-08002B2CF9AE}" pid="46" name="RecordPoint_RecordNumberSubmitted">
    <vt:lpwstr>R0001474905</vt:lpwstr>
  </property>
  <property fmtid="{D5CDD505-2E9C-101B-9397-08002B2CF9AE}" pid="47" name="PM_Display">
    <vt:lpwstr>OFFICIAL</vt:lpwstr>
  </property>
  <property fmtid="{D5CDD505-2E9C-101B-9397-08002B2CF9AE}" pid="48" name="PM_OriginatorUserAccountName_SHA256">
    <vt:lpwstr>BE41F92BA495C9E559ADF348F65FACE1F04401F083613D8E238E0255F0DA6D66</vt:lpwstr>
  </property>
  <property fmtid="{D5CDD505-2E9C-101B-9397-08002B2CF9AE}" pid="49" name="PM_OriginatorDomainName_SHA256">
    <vt:lpwstr>ECBDE2B44A971754412B3FB70606937A119CC0D4B6C1B658A40FBD41C30BE3EC</vt:lpwstr>
  </property>
  <property fmtid="{D5CDD505-2E9C-101B-9397-08002B2CF9AE}" pid="50" name="PM_MinimumSecurityClassification">
    <vt:lpwstr/>
  </property>
  <property fmtid="{D5CDD505-2E9C-101B-9397-08002B2CF9AE}" pid="51" name="PM_Hash_SHA1">
    <vt:lpwstr>EC44F458E5722B5247516EF131C703194309F833</vt:lpwstr>
  </property>
  <property fmtid="{D5CDD505-2E9C-101B-9397-08002B2CF9AE}" pid="52" name="PM_Hash_Salt">
    <vt:lpwstr>E0C9AA8B767CECAB97EA054B43F234AF</vt:lpwstr>
  </property>
  <property fmtid="{D5CDD505-2E9C-101B-9397-08002B2CF9AE}" pid="53" name="PM_Hash_Salt_Prev">
    <vt:lpwstr>8EB6C323CA02638AD97A8426D6837092</vt:lpwstr>
  </property>
  <property fmtid="{D5CDD505-2E9C-101B-9397-08002B2CF9AE}" pid="54" name="PM_OriginationTimeStamp">
    <vt:lpwstr>2021-11-29T05:57:41Z</vt:lpwstr>
  </property>
  <property fmtid="{D5CDD505-2E9C-101B-9397-08002B2CF9AE}" pid="55" name="RecordPoint_SubmissionCompleted">
    <vt:lpwstr>2021-11-25T17:43:58.9474447+11:00</vt:lpwstr>
  </property>
</Properties>
</file>