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01F68472" w:rsidR="003F08BE" w:rsidRPr="00B275EF" w:rsidRDefault="003F08BE" w:rsidP="002C77B6">
      <w:pPr>
        <w:pStyle w:val="LDTitle"/>
        <w:spacing w:before="1080"/>
        <w:outlineLvl w:val="0"/>
      </w:pPr>
      <w:bookmarkStart w:id="0" w:name="_GoBack"/>
      <w:bookmarkEnd w:id="0"/>
      <w:r w:rsidRPr="00B275EF">
        <w:t>Instrument number CASA</w:t>
      </w:r>
      <w:r w:rsidR="00FC115C" w:rsidRPr="00B275EF">
        <w:t xml:space="preserve"> </w:t>
      </w:r>
      <w:r w:rsidR="006E3802" w:rsidRPr="00B275EF">
        <w:t>EX</w:t>
      </w:r>
      <w:r w:rsidR="004847EC">
        <w:t>146</w:t>
      </w:r>
      <w:r w:rsidR="00326426" w:rsidRPr="00B275EF">
        <w:t>/</w:t>
      </w:r>
      <w:r w:rsidR="00291C2A" w:rsidRPr="00B275EF">
        <w:t>2</w:t>
      </w:r>
      <w:r w:rsidR="00B51491" w:rsidRPr="00B275EF">
        <w:t>1</w:t>
      </w:r>
    </w:p>
    <w:p w14:paraId="62FC071B" w14:textId="29E10594" w:rsidR="0030657C" w:rsidRDefault="0071745D" w:rsidP="00EC7347">
      <w:pPr>
        <w:pStyle w:val="LDBodytext"/>
        <w:ind w:right="646"/>
      </w:pPr>
      <w:bookmarkStart w:id="1" w:name="MakerPosition"/>
      <w:bookmarkStart w:id="2" w:name="OLE_LINK4"/>
      <w:bookmarkStart w:id="3" w:name="OLE_LINK5"/>
      <w:bookmarkEnd w:id="1"/>
      <w:r w:rsidRPr="00B275EF">
        <w:t xml:space="preserve">I, PHILIPPA JILLIAN SPENCE, Director of Aviation Safety, on behalf of CASA, </w:t>
      </w:r>
      <w:r w:rsidR="008D4AA7" w:rsidRPr="00B275EF">
        <w:t xml:space="preserve">make this instrument under </w:t>
      </w:r>
      <w:r w:rsidR="00FC115C" w:rsidRPr="00B275EF">
        <w:t>regulation</w:t>
      </w:r>
      <w:r w:rsidR="00FC5BE6" w:rsidRPr="00B275EF">
        <w:t>s</w:t>
      </w:r>
      <w:r w:rsidR="00FC115C" w:rsidRPr="00B275EF">
        <w:t xml:space="preserve"> 11.160</w:t>
      </w:r>
      <w:r w:rsidR="00FC2650">
        <w:t>, 11.205</w:t>
      </w:r>
      <w:r w:rsidR="00FC5BE6" w:rsidRPr="00B275EF">
        <w:t xml:space="preserve"> and 11.245</w:t>
      </w:r>
      <w:r w:rsidR="00A13727" w:rsidRPr="00B275EF">
        <w:t xml:space="preserve"> </w:t>
      </w:r>
      <w:r w:rsidR="00381C44" w:rsidRPr="00B275EF">
        <w:t xml:space="preserve">of the </w:t>
      </w:r>
      <w:r w:rsidR="00381C44" w:rsidRPr="00B275EF">
        <w:rPr>
          <w:i/>
        </w:rPr>
        <w:t>Civil Aviation Safety Regulations</w:t>
      </w:r>
      <w:r w:rsidR="00344677" w:rsidRPr="00B275EF">
        <w:rPr>
          <w:i/>
        </w:rPr>
        <w:t xml:space="preserve"> </w:t>
      </w:r>
      <w:r w:rsidR="00381C44" w:rsidRPr="00B275EF">
        <w:rPr>
          <w:i/>
        </w:rPr>
        <w:t>1998</w:t>
      </w:r>
      <w:r w:rsidR="008D4AA7" w:rsidRPr="00B275EF">
        <w:t>.</w:t>
      </w:r>
    </w:p>
    <w:p w14:paraId="603296BF" w14:textId="419D9FBD" w:rsidR="000241AF" w:rsidRPr="00F40BA5" w:rsidRDefault="008032DF" w:rsidP="007B4774">
      <w:pPr>
        <w:pStyle w:val="LDSignatory"/>
        <w:spacing w:before="1080"/>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47D9598A" w14:textId="5FDE01E8" w:rsidR="0071745D" w:rsidRPr="007B4774" w:rsidRDefault="0071745D" w:rsidP="007B4774">
      <w:pPr>
        <w:pStyle w:val="LDBodytext"/>
      </w:pPr>
      <w:r w:rsidRPr="007B4774">
        <w:t>Pip Spence</w:t>
      </w:r>
      <w:r w:rsidRPr="007B4774">
        <w:br/>
        <w:t>Director of Aviation Safety</w:t>
      </w:r>
    </w:p>
    <w:p w14:paraId="1014E0B7" w14:textId="03944BCE" w:rsidR="00CD6B2A" w:rsidRPr="00B275EF" w:rsidRDefault="008032DF" w:rsidP="00CD6B2A">
      <w:pPr>
        <w:pStyle w:val="LDDate"/>
      </w:pPr>
      <w:r>
        <w:t xml:space="preserve">30 </w:t>
      </w:r>
      <w:r w:rsidR="002D6175">
        <w:t>November</w:t>
      </w:r>
      <w:r w:rsidR="00630DAD" w:rsidRPr="00B275EF">
        <w:t xml:space="preserve"> </w:t>
      </w:r>
      <w:r w:rsidR="00B51491" w:rsidRPr="00B275EF">
        <w:t>2021</w:t>
      </w:r>
    </w:p>
    <w:p w14:paraId="0BFD8F78" w14:textId="65EBF16C" w:rsidR="00333ECB" w:rsidRPr="00B275EF" w:rsidRDefault="00056766" w:rsidP="000B7A76">
      <w:pPr>
        <w:pStyle w:val="LDDescription"/>
        <w:ind w:right="-143"/>
      </w:pPr>
      <w:bookmarkStart w:id="4" w:name="_Hlk38268511"/>
      <w:r w:rsidRPr="00B275EF">
        <w:t>CASA EX</w:t>
      </w:r>
      <w:r w:rsidR="004847EC">
        <w:t>146</w:t>
      </w:r>
      <w:r w:rsidRPr="00B275EF">
        <w:t>/</w:t>
      </w:r>
      <w:r w:rsidR="00B752E7" w:rsidRPr="00B275EF">
        <w:t>2</w:t>
      </w:r>
      <w:r w:rsidR="00B51491" w:rsidRPr="00B275EF">
        <w:t>1</w:t>
      </w:r>
      <w:r w:rsidR="000824E5" w:rsidRPr="00B275EF">
        <w:t> </w:t>
      </w:r>
      <w:r w:rsidR="003C60B3" w:rsidRPr="00B275EF">
        <w:t>–</w:t>
      </w:r>
      <w:r w:rsidR="005E0B79" w:rsidRPr="00B275EF">
        <w:t xml:space="preserve"> </w:t>
      </w:r>
      <w:r w:rsidR="00896F04">
        <w:t xml:space="preserve">Amendment of </w:t>
      </w:r>
      <w:r w:rsidR="002D6175">
        <w:t>CASA</w:t>
      </w:r>
      <w:r w:rsidR="00896F04">
        <w:t xml:space="preserve"> EX8</w:t>
      </w:r>
      <w:r w:rsidR="00CB28E0">
        <w:t>1</w:t>
      </w:r>
      <w:r w:rsidR="004A1B94">
        <w:t>/21</w:t>
      </w:r>
      <w:r w:rsidR="00896F04">
        <w:t> </w:t>
      </w:r>
      <w:r w:rsidR="004847EC">
        <w:t>–</w:t>
      </w:r>
      <w:r w:rsidR="00E63333">
        <w:t xml:space="preserve"> </w:t>
      </w:r>
      <w:r w:rsidR="005E0B79" w:rsidRPr="00B275EF">
        <w:t>Instrument 2021</w:t>
      </w:r>
    </w:p>
    <w:bookmarkEnd w:id="2"/>
    <w:bookmarkEnd w:id="3"/>
    <w:bookmarkEnd w:id="4"/>
    <w:p w14:paraId="18B65DF6" w14:textId="4498A681" w:rsidR="00934A50" w:rsidRPr="00B275EF" w:rsidRDefault="00934A50" w:rsidP="00934A50">
      <w:pPr>
        <w:pStyle w:val="LDClauseHeading"/>
        <w:tabs>
          <w:tab w:val="center" w:pos="4252"/>
        </w:tabs>
        <w:outlineLvl w:val="0"/>
      </w:pPr>
      <w:r w:rsidRPr="00B275EF">
        <w:t>1</w:t>
      </w:r>
      <w:r w:rsidRPr="00B275EF">
        <w:tab/>
        <w:t>Name</w:t>
      </w:r>
    </w:p>
    <w:p w14:paraId="273F6D7A" w14:textId="353830D0" w:rsidR="00934A50" w:rsidRPr="00B275EF" w:rsidRDefault="00934A50" w:rsidP="005C67E7">
      <w:pPr>
        <w:pStyle w:val="LDClause"/>
        <w:ind w:right="-143"/>
      </w:pPr>
      <w:r w:rsidRPr="00B275EF">
        <w:tab/>
      </w:r>
      <w:r w:rsidRPr="00B275EF">
        <w:tab/>
        <w:t xml:space="preserve">This instrument is </w:t>
      </w:r>
      <w:r w:rsidRPr="00B275EF">
        <w:rPr>
          <w:i/>
        </w:rPr>
        <w:t>CASA E</w:t>
      </w:r>
      <w:r w:rsidR="00344677" w:rsidRPr="00B275EF">
        <w:rPr>
          <w:i/>
        </w:rPr>
        <w:t>X</w:t>
      </w:r>
      <w:r w:rsidR="004847EC">
        <w:rPr>
          <w:i/>
        </w:rPr>
        <w:t>146</w:t>
      </w:r>
      <w:r w:rsidRPr="00B275EF">
        <w:rPr>
          <w:i/>
        </w:rPr>
        <w:t>/2</w:t>
      </w:r>
      <w:r w:rsidR="00B51491" w:rsidRPr="00B275EF">
        <w:rPr>
          <w:i/>
        </w:rPr>
        <w:t>1</w:t>
      </w:r>
      <w:r w:rsidRPr="00B275EF">
        <w:rPr>
          <w:i/>
        </w:rPr>
        <w:t> </w:t>
      </w:r>
      <w:r w:rsidR="005E0B79" w:rsidRPr="00B275EF">
        <w:rPr>
          <w:i/>
        </w:rPr>
        <w:t>–</w:t>
      </w:r>
      <w:r w:rsidRPr="00B275EF">
        <w:rPr>
          <w:i/>
        </w:rPr>
        <w:t xml:space="preserve"> </w:t>
      </w:r>
      <w:r w:rsidR="00896F04">
        <w:rPr>
          <w:i/>
        </w:rPr>
        <w:t>Amendment of CASA EX8</w:t>
      </w:r>
      <w:r w:rsidR="00CB28E0">
        <w:rPr>
          <w:i/>
        </w:rPr>
        <w:t>1</w:t>
      </w:r>
      <w:r w:rsidR="00896F04">
        <w:rPr>
          <w:i/>
        </w:rPr>
        <w:t>/21 </w:t>
      </w:r>
      <w:r w:rsidR="004847EC">
        <w:rPr>
          <w:i/>
        </w:rPr>
        <w:t>–</w:t>
      </w:r>
      <w:r w:rsidR="00167F7F" w:rsidRPr="00B275EF">
        <w:rPr>
          <w:i/>
        </w:rPr>
        <w:t xml:space="preserve"> </w:t>
      </w:r>
      <w:r w:rsidRPr="00B275EF">
        <w:rPr>
          <w:i/>
        </w:rPr>
        <w:t>Instrument</w:t>
      </w:r>
      <w:r w:rsidR="004847EC">
        <w:rPr>
          <w:i/>
        </w:rPr>
        <w:t> </w:t>
      </w:r>
      <w:r w:rsidRPr="00B275EF">
        <w:rPr>
          <w:i/>
        </w:rPr>
        <w:t>202</w:t>
      </w:r>
      <w:r w:rsidR="00B51491" w:rsidRPr="00B275EF">
        <w:rPr>
          <w:i/>
        </w:rPr>
        <w:t>1</w:t>
      </w:r>
      <w:r w:rsidRPr="00B275EF">
        <w:t>.</w:t>
      </w:r>
    </w:p>
    <w:p w14:paraId="04F17A91" w14:textId="013E439A" w:rsidR="00934A50" w:rsidRPr="00B275EF" w:rsidRDefault="00934A50" w:rsidP="00934A50">
      <w:pPr>
        <w:pStyle w:val="LDClauseHeading"/>
        <w:tabs>
          <w:tab w:val="center" w:pos="4252"/>
        </w:tabs>
        <w:outlineLvl w:val="0"/>
      </w:pPr>
      <w:r w:rsidRPr="00B275EF">
        <w:t>2</w:t>
      </w:r>
      <w:r w:rsidRPr="00B275EF">
        <w:tab/>
      </w:r>
      <w:r w:rsidR="00896F04">
        <w:t>Commencement</w:t>
      </w:r>
    </w:p>
    <w:p w14:paraId="043F640B" w14:textId="47026B0F" w:rsidR="009B7CE1" w:rsidRDefault="009B7CE1" w:rsidP="00896F04">
      <w:pPr>
        <w:pStyle w:val="LDClause"/>
      </w:pPr>
      <w:r w:rsidRPr="00B275EF">
        <w:tab/>
      </w:r>
      <w:r w:rsidRPr="00B275EF">
        <w:tab/>
        <w:t>This instrument</w:t>
      </w:r>
      <w:r w:rsidR="00896F04">
        <w:t xml:space="preserve"> </w:t>
      </w:r>
      <w:r w:rsidRPr="00B275EF">
        <w:t xml:space="preserve">commences on </w:t>
      </w:r>
      <w:r w:rsidR="00BA3FA3" w:rsidRPr="00B275EF">
        <w:t>2 December 2021</w:t>
      </w:r>
      <w:r w:rsidR="00B51491" w:rsidRPr="00B275EF">
        <w:t>.</w:t>
      </w:r>
    </w:p>
    <w:p w14:paraId="4B1E422D" w14:textId="3888EA0C" w:rsidR="00896F04" w:rsidRPr="004435F5" w:rsidRDefault="00896F04" w:rsidP="00896F04">
      <w:pPr>
        <w:pStyle w:val="LDClauseHeading"/>
      </w:pPr>
      <w:r w:rsidRPr="00566C10">
        <w:t>3</w:t>
      </w:r>
      <w:r w:rsidRPr="00566C10">
        <w:tab/>
      </w:r>
      <w:r w:rsidRPr="004435F5">
        <w:t>Amendment of CASA EX8</w:t>
      </w:r>
      <w:r w:rsidR="00CB28E0">
        <w:t>1</w:t>
      </w:r>
      <w:r w:rsidRPr="004435F5">
        <w:t>/21</w:t>
      </w:r>
    </w:p>
    <w:p w14:paraId="62DD8838" w14:textId="47B569CA" w:rsidR="00896F04" w:rsidRPr="00894740" w:rsidRDefault="00896F04" w:rsidP="00896F04">
      <w:pPr>
        <w:pStyle w:val="LDClause"/>
        <w:ind w:right="-143"/>
        <w:rPr>
          <w:iCs/>
        </w:rPr>
      </w:pPr>
      <w:r w:rsidRPr="00566C10">
        <w:tab/>
      </w:r>
      <w:r w:rsidRPr="00566C10">
        <w:tab/>
      </w:r>
      <w:r>
        <w:t xml:space="preserve">Schedule 1 amends </w:t>
      </w:r>
      <w:bookmarkStart w:id="5" w:name="_Hlk81912141"/>
      <w:r w:rsidR="00D230F3" w:rsidRPr="00E24E64">
        <w:rPr>
          <w:i/>
        </w:rPr>
        <w:t>CASA EX</w:t>
      </w:r>
      <w:r w:rsidR="00D230F3">
        <w:rPr>
          <w:i/>
        </w:rPr>
        <w:t>8</w:t>
      </w:r>
      <w:r w:rsidR="00CB28E0">
        <w:rPr>
          <w:i/>
        </w:rPr>
        <w:t>1</w:t>
      </w:r>
      <w:r w:rsidR="00D230F3" w:rsidRPr="00E24E64">
        <w:rPr>
          <w:i/>
        </w:rPr>
        <w:t>/21 </w:t>
      </w:r>
      <w:r w:rsidR="00D230F3">
        <w:rPr>
          <w:i/>
        </w:rPr>
        <w:t xml:space="preserve">– Part </w:t>
      </w:r>
      <w:r w:rsidR="00CB28E0">
        <w:rPr>
          <w:i/>
        </w:rPr>
        <w:t>91</w:t>
      </w:r>
      <w:r w:rsidR="00D230F3">
        <w:rPr>
          <w:i/>
        </w:rPr>
        <w:t xml:space="preserve"> of CASR – Supplementary </w:t>
      </w:r>
      <w:proofErr w:type="gramStart"/>
      <w:r w:rsidR="00D230F3">
        <w:rPr>
          <w:i/>
        </w:rPr>
        <w:t xml:space="preserve">Exemptions and Directions </w:t>
      </w:r>
      <w:r w:rsidR="00D230F3" w:rsidRPr="00E24E64">
        <w:rPr>
          <w:i/>
        </w:rPr>
        <w:t>Instrument 2021</w:t>
      </w:r>
      <w:r w:rsidR="00D230F3">
        <w:rPr>
          <w:i/>
        </w:rPr>
        <w:t xml:space="preserve"> </w:t>
      </w:r>
      <w:bookmarkEnd w:id="5"/>
      <w:r w:rsidRPr="00894740">
        <w:rPr>
          <w:iCs/>
        </w:rPr>
        <w:t>(</w:t>
      </w:r>
      <w:r w:rsidRPr="00894740">
        <w:rPr>
          <w:b/>
          <w:bCs/>
          <w:i/>
        </w:rPr>
        <w:t>CASA EX8</w:t>
      </w:r>
      <w:r w:rsidR="00CB28E0">
        <w:rPr>
          <w:b/>
          <w:bCs/>
          <w:i/>
        </w:rPr>
        <w:t>1</w:t>
      </w:r>
      <w:r w:rsidRPr="00894740">
        <w:rPr>
          <w:b/>
          <w:bCs/>
          <w:i/>
        </w:rPr>
        <w:t>/21</w:t>
      </w:r>
      <w:r w:rsidRPr="00894740">
        <w:rPr>
          <w:iCs/>
        </w:rPr>
        <w:t>).</w:t>
      </w:r>
      <w:proofErr w:type="gramEnd"/>
    </w:p>
    <w:p w14:paraId="41F4C11A" w14:textId="32B332AB" w:rsidR="00896F04" w:rsidRPr="00C07F89" w:rsidRDefault="00896F04" w:rsidP="00896F04">
      <w:pPr>
        <w:pStyle w:val="LDScheduleheading"/>
        <w:keepNext w:val="0"/>
        <w:spacing w:before="240"/>
        <w:rPr>
          <w:iCs/>
        </w:rPr>
      </w:pPr>
      <w:r w:rsidRPr="008875AB">
        <w:t xml:space="preserve">Schedule </w:t>
      </w:r>
      <w:r>
        <w:t>1</w:t>
      </w:r>
      <w:r w:rsidRPr="008875AB">
        <w:tab/>
      </w:r>
      <w:r>
        <w:t>Amendments</w:t>
      </w:r>
    </w:p>
    <w:p w14:paraId="1DEF08C8" w14:textId="1FABA6BC" w:rsidR="00324F82" w:rsidRDefault="00324F82" w:rsidP="00324F82">
      <w:pPr>
        <w:pStyle w:val="LDAmendHeading"/>
        <w:keepNext w:val="0"/>
        <w:spacing w:before="120"/>
      </w:pPr>
      <w:r w:rsidRPr="00830A35">
        <w:t>[</w:t>
      </w:r>
      <w:r>
        <w:t>1</w:t>
      </w:r>
      <w:r w:rsidRPr="00830A35">
        <w:t>]</w:t>
      </w:r>
      <w:r w:rsidRPr="00830A35">
        <w:tab/>
      </w:r>
      <w:r>
        <w:t>Subsection 3</w:t>
      </w:r>
      <w:r w:rsidR="000241AF">
        <w:t> </w:t>
      </w:r>
      <w:r>
        <w:t>(1), Definitions</w:t>
      </w:r>
    </w:p>
    <w:p w14:paraId="17838FA0" w14:textId="0B439331" w:rsidR="00324F82" w:rsidRDefault="00324F82" w:rsidP="00324F82">
      <w:pPr>
        <w:pStyle w:val="LDAmendInstruction"/>
      </w:pPr>
      <w:proofErr w:type="gramStart"/>
      <w:r>
        <w:t>insert</w:t>
      </w:r>
      <w:proofErr w:type="gramEnd"/>
    </w:p>
    <w:p w14:paraId="5A5C171B" w14:textId="1C8884AE" w:rsidR="00324F82" w:rsidRDefault="00324F82" w:rsidP="00324F82">
      <w:pPr>
        <w:pStyle w:val="LDdefinition"/>
      </w:pPr>
      <w:bookmarkStart w:id="6" w:name="_Hlk80021328"/>
      <w:proofErr w:type="gramStart"/>
      <w:r w:rsidRPr="00EB4FF0">
        <w:rPr>
          <w:b/>
          <w:bCs/>
          <w:i/>
          <w:iCs/>
        </w:rPr>
        <w:t>civil</w:t>
      </w:r>
      <w:proofErr w:type="gramEnd"/>
      <w:r w:rsidRPr="00EB4FF0">
        <w:rPr>
          <w:b/>
          <w:bCs/>
          <w:i/>
          <w:iCs/>
        </w:rPr>
        <w:t xml:space="preserve"> aviation legislation</w:t>
      </w:r>
      <w:r w:rsidRPr="00EB4FF0">
        <w:t xml:space="preserve"> has the meaning given by</w:t>
      </w:r>
      <w:r>
        <w:t xml:space="preserve"> section 3 of</w:t>
      </w:r>
      <w:r w:rsidRPr="00EB4FF0">
        <w:t xml:space="preserve"> the </w:t>
      </w:r>
      <w:r w:rsidRPr="00EB4FF0">
        <w:rPr>
          <w:i/>
          <w:iCs/>
        </w:rPr>
        <w:t>Civil Aviation Act 1988</w:t>
      </w:r>
      <w:r w:rsidRPr="00EB4FF0">
        <w:t>.</w:t>
      </w:r>
      <w:bookmarkEnd w:id="6"/>
    </w:p>
    <w:p w14:paraId="439E6347" w14:textId="29601F83" w:rsidR="000444DA" w:rsidRDefault="000444DA" w:rsidP="000444DA">
      <w:pPr>
        <w:pStyle w:val="LDdefinition"/>
      </w:pPr>
      <w:proofErr w:type="gramStart"/>
      <w:r>
        <w:rPr>
          <w:b/>
          <w:bCs/>
          <w:i/>
          <w:iCs/>
        </w:rPr>
        <w:t>exposition</w:t>
      </w:r>
      <w:proofErr w:type="gramEnd"/>
      <w:r>
        <w:rPr>
          <w:b/>
          <w:bCs/>
          <w:i/>
          <w:iCs/>
        </w:rPr>
        <w:t>,</w:t>
      </w:r>
      <w:r w:rsidRPr="000444DA">
        <w:t xml:space="preserve"> of an ASAO, </w:t>
      </w:r>
      <w:r w:rsidRPr="00EB4FF0">
        <w:t>has the meaning given by</w:t>
      </w:r>
      <w:r>
        <w:t xml:space="preserve"> </w:t>
      </w:r>
      <w:r w:rsidRPr="00A040B0">
        <w:rPr>
          <w:szCs w:val="20"/>
        </w:rPr>
        <w:t>the CASR Dictionary.</w:t>
      </w:r>
    </w:p>
    <w:p w14:paraId="227D24DC" w14:textId="00E323C3" w:rsidR="00EC6F0E" w:rsidRDefault="00EC6F0E" w:rsidP="00324F82">
      <w:pPr>
        <w:pStyle w:val="LDdefinition"/>
      </w:pPr>
      <w:r w:rsidRPr="00EC6F0E">
        <w:rPr>
          <w:b/>
          <w:bCs/>
          <w:i/>
          <w:iCs/>
        </w:rPr>
        <w:t>Part 105</w:t>
      </w:r>
      <w:r>
        <w:rPr>
          <w:b/>
          <w:bCs/>
          <w:i/>
          <w:iCs/>
        </w:rPr>
        <w:t xml:space="preserve"> </w:t>
      </w:r>
      <w:r w:rsidRPr="00EC6F0E">
        <w:rPr>
          <w:b/>
          <w:bCs/>
          <w:i/>
          <w:iCs/>
        </w:rPr>
        <w:t>ASAO</w:t>
      </w:r>
      <w:r>
        <w:t xml:space="preserve"> </w:t>
      </w:r>
      <w:r w:rsidRPr="00EB4FF0">
        <w:t>has the meaning given by</w:t>
      </w:r>
      <w:r>
        <w:t xml:space="preserve"> </w:t>
      </w:r>
      <w:r w:rsidRPr="00A040B0">
        <w:rPr>
          <w:szCs w:val="20"/>
        </w:rPr>
        <w:t>the CASR Dictionary.</w:t>
      </w:r>
    </w:p>
    <w:p w14:paraId="12096011" w14:textId="6DC08389" w:rsidR="00A546DF" w:rsidRDefault="00A546DF" w:rsidP="00A546DF">
      <w:pPr>
        <w:pStyle w:val="LDAmendHeading"/>
        <w:keepNext w:val="0"/>
        <w:spacing w:before="120"/>
      </w:pPr>
      <w:r w:rsidRPr="00830A35">
        <w:t>[</w:t>
      </w:r>
      <w:r w:rsidR="00324F82">
        <w:t>2</w:t>
      </w:r>
      <w:r w:rsidRPr="00830A35">
        <w:t>]</w:t>
      </w:r>
      <w:r w:rsidRPr="00830A35">
        <w:tab/>
      </w:r>
      <w:r>
        <w:t>Section 11</w:t>
      </w:r>
    </w:p>
    <w:p w14:paraId="0CB73010" w14:textId="77777777" w:rsidR="00A546DF" w:rsidRPr="00AF20B8" w:rsidRDefault="00A546DF" w:rsidP="007B4774">
      <w:pPr>
        <w:pStyle w:val="LDAmendInstruction"/>
        <w:keepNext w:val="0"/>
      </w:pPr>
      <w:proofErr w:type="gramStart"/>
      <w:r>
        <w:t>repeal</w:t>
      </w:r>
      <w:proofErr w:type="gramEnd"/>
      <w:r>
        <w:t xml:space="preserve"> and substitute</w:t>
      </w:r>
    </w:p>
    <w:p w14:paraId="6ABB9F04" w14:textId="77777777" w:rsidR="00A546DF" w:rsidRPr="00B275EF" w:rsidRDefault="00A546DF" w:rsidP="007B4774">
      <w:pPr>
        <w:pStyle w:val="LDClauseHeading"/>
        <w:keepNext w:val="0"/>
        <w:tabs>
          <w:tab w:val="center" w:pos="4252"/>
        </w:tabs>
        <w:outlineLvl w:val="0"/>
      </w:pPr>
      <w:r>
        <w:t>11</w:t>
      </w:r>
      <w:r w:rsidRPr="00B275EF">
        <w:tab/>
      </w:r>
      <w:r>
        <w:t>Use of military and joint military/civilian aerodromes — direction</w:t>
      </w:r>
    </w:p>
    <w:p w14:paraId="3AD0480D" w14:textId="17284142" w:rsidR="00A546DF" w:rsidRDefault="00A546DF" w:rsidP="007B4774">
      <w:pPr>
        <w:pStyle w:val="LDClause"/>
        <w:rPr>
          <w:lang w:eastAsia="en-AU"/>
        </w:rPr>
      </w:pPr>
      <w:r w:rsidRPr="00B275EF">
        <w:rPr>
          <w:lang w:eastAsia="en-AU"/>
        </w:rPr>
        <w:tab/>
        <w:t>(1)</w:t>
      </w:r>
      <w:r w:rsidRPr="00B275EF">
        <w:rPr>
          <w:lang w:eastAsia="en-AU"/>
        </w:rPr>
        <w:tab/>
        <w:t>This section applies to the</w:t>
      </w:r>
      <w:r>
        <w:rPr>
          <w:lang w:eastAsia="en-AU"/>
        </w:rPr>
        <w:t xml:space="preserve"> operator and the pilot in command of an Australian aircraft or a foreign</w:t>
      </w:r>
      <w:r w:rsidR="000241AF">
        <w:rPr>
          <w:lang w:eastAsia="en-AU"/>
        </w:rPr>
        <w:t>-</w:t>
      </w:r>
      <w:r>
        <w:rPr>
          <w:lang w:eastAsia="en-AU"/>
        </w:rPr>
        <w:t xml:space="preserve">registered aircraft (a </w:t>
      </w:r>
      <w:r w:rsidRPr="00FD6847">
        <w:rPr>
          <w:b/>
          <w:bCs/>
          <w:i/>
          <w:iCs/>
          <w:lang w:eastAsia="en-AU"/>
        </w:rPr>
        <w:t>relevant aircraft</w:t>
      </w:r>
      <w:r>
        <w:rPr>
          <w:lang w:eastAsia="en-AU"/>
        </w:rPr>
        <w:t>).</w:t>
      </w:r>
    </w:p>
    <w:p w14:paraId="6368EE44" w14:textId="77777777" w:rsidR="00A546DF" w:rsidRDefault="00A546DF" w:rsidP="004847EC">
      <w:pPr>
        <w:pStyle w:val="LDClause"/>
        <w:keepNext/>
      </w:pPr>
      <w:r w:rsidRPr="000A4FFC">
        <w:lastRenderedPageBreak/>
        <w:tab/>
        <w:t>(2)</w:t>
      </w:r>
      <w:r w:rsidRPr="000A4FFC">
        <w:tab/>
        <w:t>Before operating a flight</w:t>
      </w:r>
      <w:r>
        <w:t xml:space="preserve"> of a relevant aircraft</w:t>
      </w:r>
      <w:r w:rsidRPr="000A4FFC">
        <w:t xml:space="preserve"> into, out of, or at, a military aerodrome</w:t>
      </w:r>
      <w:r>
        <w:t>:</w:t>
      </w:r>
    </w:p>
    <w:p w14:paraId="4B8994D9" w14:textId="7D7B10D1" w:rsidR="00A546DF" w:rsidRDefault="00A546DF" w:rsidP="004847EC">
      <w:pPr>
        <w:pStyle w:val="LDP1a0"/>
      </w:pPr>
      <w:r>
        <w:t>(a)</w:t>
      </w:r>
      <w:r>
        <w:tab/>
      </w:r>
      <w:proofErr w:type="gramStart"/>
      <w:r w:rsidRPr="000A4FFC">
        <w:t>the</w:t>
      </w:r>
      <w:proofErr w:type="gramEnd"/>
      <w:r w:rsidRPr="000A4FFC">
        <w:t xml:space="preserve"> operator </w:t>
      </w:r>
      <w:r>
        <w:t>of a relevant aircraft</w:t>
      </w:r>
      <w:r w:rsidRPr="000A4FFC">
        <w:t xml:space="preserve"> must obtain permission to operate from the relevant military authority for the aerodrome</w:t>
      </w:r>
      <w:r>
        <w:t xml:space="preserve"> (</w:t>
      </w:r>
      <w:r w:rsidRPr="000A4FFC">
        <w:t xml:space="preserve">the </w:t>
      </w:r>
      <w:r w:rsidRPr="0025634B">
        <w:rPr>
          <w:b/>
          <w:bCs/>
          <w:i/>
          <w:iCs/>
        </w:rPr>
        <w:t>relevant military authority</w:t>
      </w:r>
      <w:r>
        <w:t>); and</w:t>
      </w:r>
    </w:p>
    <w:p w14:paraId="7820231E" w14:textId="2DFFA9C8" w:rsidR="00A546DF" w:rsidRDefault="00A546DF" w:rsidP="000241AF">
      <w:pPr>
        <w:pStyle w:val="LDNote"/>
        <w:tabs>
          <w:tab w:val="clear" w:pos="737"/>
          <w:tab w:val="left" w:pos="1134"/>
        </w:tabs>
        <w:ind w:left="1191"/>
      </w:pPr>
      <w:r w:rsidRPr="0025634B">
        <w:rPr>
          <w:i/>
          <w:iCs/>
        </w:rPr>
        <w:t>Note</w:t>
      </w:r>
      <w:r w:rsidR="000241AF">
        <w:rPr>
          <w:i/>
          <w:iCs/>
        </w:rPr>
        <w:t xml:space="preserve"> </w:t>
      </w:r>
      <w:r w:rsidRPr="0025634B">
        <w:rPr>
          <w:i/>
          <w:iCs/>
        </w:rPr>
        <w:t>1</w:t>
      </w:r>
      <w:proofErr w:type="gramStart"/>
      <w:r w:rsidRPr="0025634B">
        <w:t>  </w:t>
      </w:r>
      <w:r>
        <w:t>For</w:t>
      </w:r>
      <w:proofErr w:type="gramEnd"/>
      <w:r>
        <w:t xml:space="preserve"> information, m</w:t>
      </w:r>
      <w:r w:rsidRPr="0025634B">
        <w:t>ilitary aerodrome</w:t>
      </w:r>
      <w:r>
        <w:t>s</w:t>
      </w:r>
      <w:r w:rsidRPr="0025634B">
        <w:t xml:space="preserve"> are listed in the AIP-ERSA</w:t>
      </w:r>
      <w:r>
        <w:t>, identified by</w:t>
      </w:r>
      <w:r w:rsidRPr="0025634B">
        <w:t xml:space="preserve"> the </w:t>
      </w:r>
      <w:r>
        <w:t xml:space="preserve">symbol </w:t>
      </w:r>
      <w:r w:rsidRPr="0025634B">
        <w:t>“MIL”.</w:t>
      </w:r>
    </w:p>
    <w:p w14:paraId="03F03162" w14:textId="44212344" w:rsidR="00A546DF" w:rsidRPr="002D42A9" w:rsidRDefault="00A546DF" w:rsidP="000241AF">
      <w:pPr>
        <w:pStyle w:val="LDNote"/>
        <w:tabs>
          <w:tab w:val="clear" w:pos="737"/>
          <w:tab w:val="left" w:pos="1134"/>
        </w:tabs>
        <w:ind w:left="1191"/>
      </w:pPr>
      <w:r w:rsidRPr="00044298">
        <w:rPr>
          <w:i/>
          <w:iCs/>
        </w:rPr>
        <w:t>Note</w:t>
      </w:r>
      <w:r w:rsidR="000241AF">
        <w:rPr>
          <w:i/>
          <w:iCs/>
        </w:rPr>
        <w:t xml:space="preserve"> </w:t>
      </w:r>
      <w:r w:rsidRPr="00044298">
        <w:rPr>
          <w:i/>
          <w:iCs/>
        </w:rPr>
        <w:t>2</w:t>
      </w:r>
      <w:r w:rsidRPr="002D42A9">
        <w:t>   </w:t>
      </w:r>
      <w:r>
        <w:t>R</w:t>
      </w:r>
      <w:r w:rsidRPr="002D42A9">
        <w:t xml:space="preserve">elevant military authorities are </w:t>
      </w:r>
      <w:r>
        <w:t xml:space="preserve">also </w:t>
      </w:r>
      <w:r w:rsidRPr="002D42A9">
        <w:t>listed in the AIP-ERSA.</w:t>
      </w:r>
    </w:p>
    <w:p w14:paraId="30A33D44" w14:textId="65CDCDB9" w:rsidR="00A546DF" w:rsidRPr="000A4FFC" w:rsidRDefault="00A546DF" w:rsidP="000241AF">
      <w:pPr>
        <w:pStyle w:val="LDNote"/>
        <w:tabs>
          <w:tab w:val="clear" w:pos="737"/>
          <w:tab w:val="left" w:pos="1134"/>
        </w:tabs>
        <w:ind w:left="1191"/>
      </w:pPr>
      <w:r w:rsidRPr="000A4FFC">
        <w:rPr>
          <w:i/>
          <w:iCs/>
        </w:rPr>
        <w:t>Note</w:t>
      </w:r>
      <w:r w:rsidR="000241AF">
        <w:rPr>
          <w:i/>
          <w:iCs/>
        </w:rPr>
        <w:t xml:space="preserve"> </w:t>
      </w:r>
      <w:r w:rsidRPr="007B4774">
        <w:rPr>
          <w:i/>
        </w:rPr>
        <w:t>3</w:t>
      </w:r>
      <w:r>
        <w:t>  </w:t>
      </w:r>
      <w:r w:rsidR="000241AF">
        <w:t> </w:t>
      </w:r>
      <w:r>
        <w:t xml:space="preserve">The permission may be in whatever form the </w:t>
      </w:r>
      <w:r w:rsidRPr="000A4FFC">
        <w:t xml:space="preserve">relevant military authority </w:t>
      </w:r>
      <w:r>
        <w:t>cho</w:t>
      </w:r>
      <w:r w:rsidR="00556B9F">
        <w:t>o</w:t>
      </w:r>
      <w:r>
        <w:t>ses.</w:t>
      </w:r>
    </w:p>
    <w:p w14:paraId="01722A2E" w14:textId="6C636673" w:rsidR="00A546DF" w:rsidRDefault="00A546DF" w:rsidP="004847EC">
      <w:pPr>
        <w:pStyle w:val="LDP1a0"/>
      </w:pPr>
      <w:r>
        <w:t>(b)</w:t>
      </w:r>
      <w:r>
        <w:tab/>
      </w:r>
      <w:proofErr w:type="gramStart"/>
      <w:r w:rsidRPr="000A4FFC">
        <w:t>the</w:t>
      </w:r>
      <w:proofErr w:type="gramEnd"/>
      <w:r w:rsidRPr="000A4FFC">
        <w:t xml:space="preserve"> operator </w:t>
      </w:r>
      <w:r>
        <w:t>and</w:t>
      </w:r>
      <w:r w:rsidRPr="000A4FFC">
        <w:t xml:space="preserve"> the pilot in command</w:t>
      </w:r>
      <w:r>
        <w:t xml:space="preserve"> </w:t>
      </w:r>
      <w:r w:rsidR="00556B9F">
        <w:t xml:space="preserve">of a relevant aircraft </w:t>
      </w:r>
      <w:r>
        <w:t>must each</w:t>
      </w:r>
      <w:r w:rsidRPr="000A4FFC">
        <w:t xml:space="preserve"> </w:t>
      </w:r>
      <w:r>
        <w:t>comply with any applicable conditions of the permission imposed by the relevant military authority that are not contrary to the civil aviation legislation.</w:t>
      </w:r>
    </w:p>
    <w:p w14:paraId="1BDFEFAE" w14:textId="3C15260D" w:rsidR="00A546DF" w:rsidRDefault="00A546DF" w:rsidP="004847EC">
      <w:pPr>
        <w:pStyle w:val="LDClause"/>
        <w:keepNext/>
      </w:pPr>
      <w:r w:rsidRPr="00044298">
        <w:tab/>
        <w:t>(3)</w:t>
      </w:r>
      <w:r w:rsidRPr="00044298">
        <w:tab/>
        <w:t>When conducting operations at a joint military/civilian aerodrome, the operator and the pilot in command of a relevant aircraft must each comply with the applicable requirements for the aerodrome contained in the authorised aeronautical information, unless those requirements are contrary to the civil aviation legislation</w:t>
      </w:r>
      <w:r>
        <w:t>.</w:t>
      </w:r>
    </w:p>
    <w:p w14:paraId="78FAB778" w14:textId="174D4343" w:rsidR="00A546DF" w:rsidRDefault="00A546DF" w:rsidP="004847EC">
      <w:pPr>
        <w:pStyle w:val="LDNote"/>
        <w:tabs>
          <w:tab w:val="clear" w:pos="737"/>
          <w:tab w:val="left" w:pos="1134"/>
        </w:tabs>
      </w:pPr>
      <w:r w:rsidRPr="0025634B">
        <w:rPr>
          <w:i/>
          <w:iCs/>
        </w:rPr>
        <w:t>Note</w:t>
      </w:r>
      <w:r w:rsidR="000241AF">
        <w:rPr>
          <w:i/>
          <w:iCs/>
        </w:rPr>
        <w:t xml:space="preserve"> </w:t>
      </w:r>
      <w:r>
        <w:rPr>
          <w:i/>
          <w:iCs/>
        </w:rPr>
        <w:t>1  </w:t>
      </w:r>
      <w:r w:rsidRPr="0025634B">
        <w:t> </w:t>
      </w:r>
      <w:r>
        <w:t>For information, joint m</w:t>
      </w:r>
      <w:r w:rsidRPr="0025634B">
        <w:t>ilitary</w:t>
      </w:r>
      <w:r>
        <w:t>/civilian</w:t>
      </w:r>
      <w:r w:rsidRPr="0025634B">
        <w:t xml:space="preserve"> aerodrome</w:t>
      </w:r>
      <w:r>
        <w:t>s</w:t>
      </w:r>
      <w:r w:rsidRPr="0025634B">
        <w:t xml:space="preserve"> are listed in the AIP-ERSA</w:t>
      </w:r>
      <w:r>
        <w:t>, identified by</w:t>
      </w:r>
      <w:r w:rsidRPr="0025634B">
        <w:t xml:space="preserve"> the</w:t>
      </w:r>
      <w:r>
        <w:t xml:space="preserve"> symbol</w:t>
      </w:r>
      <w:r w:rsidRPr="0025634B">
        <w:t xml:space="preserve"> “</w:t>
      </w:r>
      <w:r>
        <w:t>JOINT</w:t>
      </w:r>
      <w:r w:rsidRPr="0025634B">
        <w:t>”.</w:t>
      </w:r>
    </w:p>
    <w:p w14:paraId="455D6334" w14:textId="7E5C34F9" w:rsidR="00A546DF" w:rsidRPr="00044298" w:rsidRDefault="00A546DF" w:rsidP="004847EC">
      <w:pPr>
        <w:pStyle w:val="LDNote"/>
        <w:tabs>
          <w:tab w:val="clear" w:pos="737"/>
          <w:tab w:val="left" w:pos="1134"/>
        </w:tabs>
      </w:pPr>
      <w:r w:rsidRPr="007B4774">
        <w:rPr>
          <w:i/>
        </w:rPr>
        <w:t>Note</w:t>
      </w:r>
      <w:r w:rsidR="000241AF" w:rsidRPr="007B4774">
        <w:rPr>
          <w:i/>
        </w:rPr>
        <w:t xml:space="preserve"> </w:t>
      </w:r>
      <w:r w:rsidRPr="007B4774">
        <w:rPr>
          <w:i/>
        </w:rPr>
        <w:t>2</w:t>
      </w:r>
      <w:r w:rsidRPr="00044298">
        <w:t>   </w:t>
      </w:r>
      <w:r>
        <w:t>A</w:t>
      </w:r>
      <w:r w:rsidRPr="00044298">
        <w:t xml:space="preserve">t the time of commencement of this direction, the requirements for each </w:t>
      </w:r>
      <w:r>
        <w:t>joint m</w:t>
      </w:r>
      <w:r w:rsidRPr="0025634B">
        <w:t>ilitary</w:t>
      </w:r>
      <w:r>
        <w:t>/civilian</w:t>
      </w:r>
      <w:r w:rsidRPr="0025634B">
        <w:t xml:space="preserve"> </w:t>
      </w:r>
      <w:r w:rsidRPr="00044298">
        <w:t>aerodrome are contained in the AIP-ERSA.</w:t>
      </w:r>
    </w:p>
    <w:p w14:paraId="490648BB" w14:textId="42515C11" w:rsidR="003866E8" w:rsidRDefault="003866E8" w:rsidP="003866E8">
      <w:pPr>
        <w:pStyle w:val="LDAmendHeading"/>
        <w:keepNext w:val="0"/>
        <w:spacing w:before="120"/>
      </w:pPr>
      <w:r w:rsidRPr="00830A35">
        <w:t>[</w:t>
      </w:r>
      <w:r w:rsidR="00324F82">
        <w:t>3</w:t>
      </w:r>
      <w:r w:rsidRPr="00830A35">
        <w:t>]</w:t>
      </w:r>
      <w:r w:rsidRPr="00830A35">
        <w:tab/>
      </w:r>
      <w:r>
        <w:t xml:space="preserve">After section </w:t>
      </w:r>
      <w:r w:rsidR="00CB28E0">
        <w:t>18</w:t>
      </w:r>
    </w:p>
    <w:p w14:paraId="112100BC" w14:textId="1694714D" w:rsidR="003866E8" w:rsidRPr="00AF20B8" w:rsidRDefault="003866E8" w:rsidP="003866E8">
      <w:pPr>
        <w:pStyle w:val="LDAmendInstruction"/>
      </w:pPr>
      <w:proofErr w:type="gramStart"/>
      <w:r>
        <w:t>insert</w:t>
      </w:r>
      <w:proofErr w:type="gramEnd"/>
    </w:p>
    <w:p w14:paraId="3A25D4C2" w14:textId="096C4544" w:rsidR="003866E8" w:rsidRPr="00B275EF" w:rsidRDefault="00CB28E0" w:rsidP="003866E8">
      <w:pPr>
        <w:pStyle w:val="LDClauseHeading"/>
        <w:tabs>
          <w:tab w:val="center" w:pos="4252"/>
        </w:tabs>
        <w:outlineLvl w:val="0"/>
      </w:pPr>
      <w:r w:rsidRPr="008E57AE">
        <w:t>1</w:t>
      </w:r>
      <w:r w:rsidR="00391E13" w:rsidRPr="008E57AE">
        <w:t>9</w:t>
      </w:r>
      <w:r w:rsidR="003866E8" w:rsidRPr="008E57AE">
        <w:tab/>
      </w:r>
      <w:r w:rsidRPr="008E57AE">
        <w:t>Minimum heights </w:t>
      </w:r>
      <w:r w:rsidR="008E57AE">
        <w:t>–</w:t>
      </w:r>
      <w:r w:rsidRPr="008E57AE">
        <w:t xml:space="preserve"> IFR flights </w:t>
      </w:r>
      <w:r w:rsidR="008E57AE">
        <w:t>–</w:t>
      </w:r>
      <w:r w:rsidRPr="008E57AE">
        <w:t xml:space="preserve"> exemption</w:t>
      </w:r>
    </w:p>
    <w:p w14:paraId="0C274536" w14:textId="04DD7B1A" w:rsidR="00061B91" w:rsidRDefault="003866E8" w:rsidP="004847EC">
      <w:pPr>
        <w:pStyle w:val="LDClause"/>
        <w:keepNext/>
        <w:rPr>
          <w:lang w:eastAsia="en-AU"/>
        </w:rPr>
      </w:pPr>
      <w:r w:rsidRPr="00B275EF">
        <w:rPr>
          <w:lang w:eastAsia="en-AU"/>
        </w:rPr>
        <w:tab/>
        <w:t>(1)</w:t>
      </w:r>
      <w:r w:rsidRPr="00B275EF">
        <w:rPr>
          <w:lang w:eastAsia="en-AU"/>
        </w:rPr>
        <w:tab/>
        <w:t xml:space="preserve">This section applies to the </w:t>
      </w:r>
      <w:r w:rsidR="00CB28E0">
        <w:rPr>
          <w:lang w:eastAsia="en-AU"/>
        </w:rPr>
        <w:t>pilot in command of an aircraft for an IFR flight</w:t>
      </w:r>
      <w:r w:rsidR="007116E4">
        <w:rPr>
          <w:lang w:eastAsia="en-AU"/>
        </w:rPr>
        <w:t>,</w:t>
      </w:r>
      <w:r w:rsidR="00061B91">
        <w:rPr>
          <w:lang w:eastAsia="en-AU"/>
        </w:rPr>
        <w:t xml:space="preserve"> but only if:</w:t>
      </w:r>
    </w:p>
    <w:p w14:paraId="611E089C" w14:textId="27E21AE0" w:rsidR="00061B91" w:rsidRPr="00726BA7" w:rsidRDefault="00061B91" w:rsidP="004847EC">
      <w:pPr>
        <w:pStyle w:val="LDP1a0"/>
      </w:pPr>
      <w:r w:rsidRPr="00726BA7">
        <w:t>(a)</w:t>
      </w:r>
      <w:r w:rsidRPr="00726BA7">
        <w:tab/>
      </w:r>
      <w:proofErr w:type="gramStart"/>
      <w:r w:rsidR="00CE3958" w:rsidRPr="00726BA7">
        <w:t>the</w:t>
      </w:r>
      <w:proofErr w:type="gramEnd"/>
      <w:r w:rsidR="00CE3958" w:rsidRPr="00726BA7">
        <w:t xml:space="preserve"> </w:t>
      </w:r>
      <w:r w:rsidRPr="00726BA7">
        <w:t>aircraft i</w:t>
      </w:r>
      <w:r w:rsidR="00CE3958" w:rsidRPr="00726BA7">
        <w:t>s taking off from an aerodrome</w:t>
      </w:r>
      <w:r w:rsidRPr="00726BA7">
        <w:t xml:space="preserve"> for flight </w:t>
      </w:r>
      <w:r w:rsidR="00CE3958" w:rsidRPr="00726BA7">
        <w:t>along a route or a route segment</w:t>
      </w:r>
      <w:r w:rsidRPr="00726BA7">
        <w:t xml:space="preserve"> mentioned in paragraph 91.305</w:t>
      </w:r>
      <w:r w:rsidR="008E57AE">
        <w:t> </w:t>
      </w:r>
      <w:r w:rsidRPr="00726BA7">
        <w:t>(1)</w:t>
      </w:r>
      <w:r w:rsidR="008E57AE">
        <w:t> </w:t>
      </w:r>
      <w:r w:rsidRPr="00726BA7">
        <w:t>(a); and</w:t>
      </w:r>
    </w:p>
    <w:p w14:paraId="49C20D83" w14:textId="282DD8F2" w:rsidR="00CE3958" w:rsidRPr="00726BA7" w:rsidRDefault="00061B91" w:rsidP="004847EC">
      <w:pPr>
        <w:pStyle w:val="LDP1a0"/>
      </w:pPr>
      <w:r w:rsidRPr="00726BA7">
        <w:t>(b)</w:t>
      </w:r>
      <w:r w:rsidRPr="00726BA7">
        <w:tab/>
      </w:r>
      <w:proofErr w:type="gramStart"/>
      <w:r w:rsidRPr="00726BA7">
        <w:t>the</w:t>
      </w:r>
      <w:proofErr w:type="gramEnd"/>
      <w:r w:rsidRPr="00726BA7">
        <w:t xml:space="preserve"> aircraft is flown</w:t>
      </w:r>
      <w:r w:rsidR="007116E4" w:rsidRPr="00726BA7">
        <w:t xml:space="preserve"> </w:t>
      </w:r>
      <w:r w:rsidR="00CE3958" w:rsidRPr="00726BA7">
        <w:t>at a height lower than the minimum height mentioned in subregulation 91.305</w:t>
      </w:r>
      <w:r w:rsidR="008E57AE">
        <w:t> </w:t>
      </w:r>
      <w:r w:rsidR="00CE3958" w:rsidRPr="00726BA7">
        <w:t>(2); and</w:t>
      </w:r>
    </w:p>
    <w:p w14:paraId="590AACFE" w14:textId="203CAA1F" w:rsidR="00726BA7" w:rsidRPr="00726BA7" w:rsidRDefault="00061B91" w:rsidP="004847EC">
      <w:pPr>
        <w:pStyle w:val="LDP1a0"/>
      </w:pPr>
      <w:r w:rsidRPr="00726BA7">
        <w:t>(c)</w:t>
      </w:r>
      <w:r w:rsidRPr="00726BA7">
        <w:tab/>
      </w:r>
      <w:proofErr w:type="gramStart"/>
      <w:r w:rsidR="00CE3958" w:rsidRPr="00726BA7">
        <w:t>none</w:t>
      </w:r>
      <w:proofErr w:type="gramEnd"/>
      <w:r w:rsidR="00CE3958" w:rsidRPr="00726BA7">
        <w:t xml:space="preserve"> of the </w:t>
      </w:r>
      <w:r w:rsidRPr="00726BA7">
        <w:t>circumstances</w:t>
      </w:r>
      <w:r w:rsidR="00CE3958" w:rsidRPr="00726BA7">
        <w:t xml:space="preserve"> mentioned in subregulation 91.305</w:t>
      </w:r>
      <w:r w:rsidR="008E57AE">
        <w:t> </w:t>
      </w:r>
      <w:r w:rsidR="00CE3958" w:rsidRPr="00726BA7">
        <w:t>(3) (other than paragraph 91.305</w:t>
      </w:r>
      <w:r w:rsidR="008E57AE">
        <w:t> </w:t>
      </w:r>
      <w:r w:rsidR="00CE3958" w:rsidRPr="00726BA7">
        <w:t>(3)</w:t>
      </w:r>
      <w:r w:rsidR="008E57AE">
        <w:t> </w:t>
      </w:r>
      <w:r w:rsidRPr="00726BA7">
        <w:t>(</w:t>
      </w:r>
      <w:r w:rsidR="00CE3958" w:rsidRPr="00726BA7">
        <w:t>a))</w:t>
      </w:r>
      <w:r w:rsidRPr="00726BA7">
        <w:t xml:space="preserve"> apply</w:t>
      </w:r>
      <w:r w:rsidR="00726BA7" w:rsidRPr="00726BA7">
        <w:t>; and</w:t>
      </w:r>
    </w:p>
    <w:p w14:paraId="40880EA3" w14:textId="52572C92" w:rsidR="00061B91" w:rsidRPr="00726BA7" w:rsidRDefault="00726BA7" w:rsidP="004847EC">
      <w:pPr>
        <w:pStyle w:val="LDP1a0"/>
      </w:pPr>
      <w:r w:rsidRPr="00726BA7">
        <w:t>(d)</w:t>
      </w:r>
      <w:r w:rsidRPr="00726BA7">
        <w:tab/>
      </w:r>
      <w:proofErr w:type="gramStart"/>
      <w:r w:rsidRPr="00726BA7">
        <w:t>between</w:t>
      </w:r>
      <w:proofErr w:type="gramEnd"/>
      <w:r w:rsidRPr="00726BA7">
        <w:t xml:space="preserve"> the </w:t>
      </w:r>
      <w:r>
        <w:t>t</w:t>
      </w:r>
      <w:r w:rsidRPr="00726BA7">
        <w:t>ake-off and the time the aircraft reaches a minimum height specified in subregulation 91.305</w:t>
      </w:r>
      <w:r w:rsidR="008E57AE">
        <w:t> </w:t>
      </w:r>
      <w:r w:rsidRPr="00726BA7">
        <w:t>(2)</w:t>
      </w:r>
      <w:r>
        <w:t> —</w:t>
      </w:r>
      <w:r w:rsidRPr="00726BA7">
        <w:t xml:space="preserve"> the pilot in command ensures that the aircraft clears all obstacles</w:t>
      </w:r>
      <w:r w:rsidR="000444DA">
        <w:t xml:space="preserve"> by a safe margin</w:t>
      </w:r>
      <w:r w:rsidRPr="00726BA7">
        <w:t>.</w:t>
      </w:r>
    </w:p>
    <w:p w14:paraId="698BDE45" w14:textId="7794290E" w:rsidR="007116E4" w:rsidRDefault="003866E8" w:rsidP="004847EC">
      <w:pPr>
        <w:pStyle w:val="LDClause"/>
        <w:keepNext/>
      </w:pPr>
      <w:r w:rsidRPr="002A0D4E">
        <w:tab/>
        <w:t>(2)</w:t>
      </w:r>
      <w:r w:rsidRPr="002A0D4E">
        <w:tab/>
        <w:t xml:space="preserve">The operator is exempted from compliance </w:t>
      </w:r>
      <w:r w:rsidR="005822E9">
        <w:t xml:space="preserve">with </w:t>
      </w:r>
      <w:r w:rsidRPr="002A0D4E">
        <w:t xml:space="preserve">regulation </w:t>
      </w:r>
      <w:r w:rsidR="007116E4">
        <w:t>91.305.</w:t>
      </w:r>
    </w:p>
    <w:p w14:paraId="42E8DA66" w14:textId="24B67CF6" w:rsidR="008863EC" w:rsidRPr="00B275EF" w:rsidRDefault="008863EC" w:rsidP="008863EC">
      <w:pPr>
        <w:pStyle w:val="LDClauseHeading"/>
        <w:tabs>
          <w:tab w:val="center" w:pos="4252"/>
        </w:tabs>
        <w:outlineLvl w:val="0"/>
      </w:pPr>
      <w:r>
        <w:t>20</w:t>
      </w:r>
      <w:r w:rsidRPr="00B275EF">
        <w:tab/>
      </w:r>
      <w:r>
        <w:t>Air displays in Australian territory — exemption</w:t>
      </w:r>
    </w:p>
    <w:p w14:paraId="3C7AC041" w14:textId="7555B78D" w:rsidR="008863EC" w:rsidRPr="0092743C" w:rsidRDefault="008863EC" w:rsidP="004847EC">
      <w:pPr>
        <w:pStyle w:val="LDClause"/>
        <w:keepNext/>
      </w:pPr>
      <w:r w:rsidRPr="0092743C">
        <w:tab/>
        <w:t>(1)</w:t>
      </w:r>
      <w:r w:rsidRPr="0092743C">
        <w:tab/>
        <w:t>This section applies to the pilot in command of an aircraft conducting a flight that is an air display</w:t>
      </w:r>
      <w:r w:rsidR="00F47838" w:rsidRPr="0092743C">
        <w:t xml:space="preserve"> in Australian territory</w:t>
      </w:r>
      <w:r w:rsidRPr="0092743C">
        <w:t xml:space="preserve"> for which a person holds an approval under regulation 91.045 for paragraph 91.180</w:t>
      </w:r>
      <w:r w:rsidR="008E57AE">
        <w:t> </w:t>
      </w:r>
      <w:r w:rsidRPr="0092743C">
        <w:t>(1)</w:t>
      </w:r>
      <w:r w:rsidR="008E57AE">
        <w:t> </w:t>
      </w:r>
      <w:r w:rsidRPr="0092743C">
        <w:t>(b)</w:t>
      </w:r>
      <w:r w:rsidR="00F47838" w:rsidRPr="0092743C">
        <w:t xml:space="preserve"> to conduct the air display</w:t>
      </w:r>
      <w:r w:rsidRPr="0092743C">
        <w:t>.</w:t>
      </w:r>
    </w:p>
    <w:p w14:paraId="5DAB6758" w14:textId="5C153CC6" w:rsidR="003875F9" w:rsidRDefault="008863EC" w:rsidP="004847EC">
      <w:pPr>
        <w:pStyle w:val="LDClause"/>
        <w:keepNext/>
      </w:pPr>
      <w:r w:rsidRPr="002A0D4E">
        <w:tab/>
        <w:t>(2)</w:t>
      </w:r>
      <w:r w:rsidRPr="002A0D4E">
        <w:tab/>
        <w:t xml:space="preserve">The </w:t>
      </w:r>
      <w:r w:rsidR="00883C80">
        <w:t>pilot in command</w:t>
      </w:r>
      <w:r w:rsidR="00883C80" w:rsidRPr="002A0D4E">
        <w:t xml:space="preserve"> </w:t>
      </w:r>
      <w:r w:rsidRPr="002A0D4E">
        <w:t>is exempted from compliance</w:t>
      </w:r>
      <w:r w:rsidR="003875F9">
        <w:t xml:space="preserve"> with the following provisions of CASR:</w:t>
      </w:r>
    </w:p>
    <w:p w14:paraId="0A1759AD" w14:textId="730035DB" w:rsidR="00F47838" w:rsidRDefault="003875F9" w:rsidP="004847EC">
      <w:pPr>
        <w:pStyle w:val="LDP1a0"/>
      </w:pPr>
      <w:r>
        <w:t>(a)</w:t>
      </w:r>
      <w:r>
        <w:tab/>
      </w:r>
      <w:proofErr w:type="gramStart"/>
      <w:r w:rsidR="00F47838">
        <w:t>regulation</w:t>
      </w:r>
      <w:proofErr w:type="gramEnd"/>
      <w:r w:rsidR="00F47838" w:rsidRPr="00BF0638">
        <w:t xml:space="preserve"> </w:t>
      </w:r>
      <w:r w:rsidR="00F47838">
        <w:t>9</w:t>
      </w:r>
      <w:r w:rsidR="00F47838" w:rsidRPr="00BF0638">
        <w:t>1.</w:t>
      </w:r>
      <w:r w:rsidR="00F47838">
        <w:t>090</w:t>
      </w:r>
      <w:r>
        <w:t> —</w:t>
      </w:r>
      <w:r w:rsidR="00F47838">
        <w:t xml:space="preserve"> </w:t>
      </w:r>
      <w:r w:rsidR="00F47838" w:rsidRPr="00BF0638">
        <w:t xml:space="preserve">but only </w:t>
      </w:r>
      <w:r w:rsidR="00F47838">
        <w:t xml:space="preserve">if </w:t>
      </w:r>
      <w:r w:rsidR="00F47838" w:rsidRPr="0093038F">
        <w:t xml:space="preserve">the aircraft is </w:t>
      </w:r>
      <w:r w:rsidR="00F47838">
        <w:t xml:space="preserve">not </w:t>
      </w:r>
      <w:r w:rsidR="00F47838" w:rsidRPr="0093038F">
        <w:t>operated in a manner that creates a hazard to another aircraft, a person or property</w:t>
      </w:r>
      <w:r>
        <w:t>;</w:t>
      </w:r>
    </w:p>
    <w:p w14:paraId="3CD80B21" w14:textId="7D9AD162" w:rsidR="00F47838" w:rsidRPr="0092743C" w:rsidRDefault="003875F9" w:rsidP="007B4774">
      <w:pPr>
        <w:pStyle w:val="LDP1a0"/>
        <w:keepNext/>
      </w:pPr>
      <w:r w:rsidRPr="0092743C">
        <w:lastRenderedPageBreak/>
        <w:t>(b)</w:t>
      </w:r>
      <w:r w:rsidRPr="0092743C">
        <w:tab/>
      </w:r>
      <w:proofErr w:type="gramStart"/>
      <w:r w:rsidR="00F47838" w:rsidRPr="0092743C">
        <w:t>regulation</w:t>
      </w:r>
      <w:proofErr w:type="gramEnd"/>
      <w:r w:rsidR="00F47838" w:rsidRPr="0092743C">
        <w:t xml:space="preserve"> 91.190</w:t>
      </w:r>
      <w:r w:rsidRPr="0092743C">
        <w:t> —</w:t>
      </w:r>
      <w:r w:rsidR="00F47838" w:rsidRPr="0092743C">
        <w:t xml:space="preserve"> but only if:</w:t>
      </w:r>
    </w:p>
    <w:p w14:paraId="472FBD31" w14:textId="598F46BC" w:rsidR="00F47838" w:rsidRDefault="003875F9" w:rsidP="004847EC">
      <w:pPr>
        <w:pStyle w:val="LDP2i0"/>
        <w:ind w:left="1560" w:hanging="1106"/>
      </w:pPr>
      <w:r>
        <w:tab/>
        <w:t>(i)</w:t>
      </w:r>
      <w:r>
        <w:tab/>
      </w:r>
      <w:proofErr w:type="gramStart"/>
      <w:r w:rsidR="00F47838">
        <w:t>the</w:t>
      </w:r>
      <w:proofErr w:type="gramEnd"/>
      <w:r w:rsidR="00F47838">
        <w:t xml:space="preserve"> operator of the aircraft does not hold an aerial work certificate authorising dispensing operations; and</w:t>
      </w:r>
    </w:p>
    <w:p w14:paraId="0D79D03A" w14:textId="0EAC6621" w:rsidR="00F47838" w:rsidRDefault="003875F9" w:rsidP="004847EC">
      <w:pPr>
        <w:pStyle w:val="LDP2i0"/>
        <w:ind w:left="1560" w:hanging="1106"/>
      </w:pPr>
      <w:r>
        <w:tab/>
        <w:t>(ii)</w:t>
      </w:r>
      <w:r>
        <w:tab/>
      </w:r>
      <w:proofErr w:type="gramStart"/>
      <w:r w:rsidR="00F47838">
        <w:t>the</w:t>
      </w:r>
      <w:proofErr w:type="gramEnd"/>
      <w:r w:rsidR="00F47838">
        <w:t xml:space="preserve"> operation is conducted in VMC; and</w:t>
      </w:r>
    </w:p>
    <w:p w14:paraId="1536093B" w14:textId="5B88D062" w:rsidR="00F47838" w:rsidRDefault="003875F9" w:rsidP="004847EC">
      <w:pPr>
        <w:pStyle w:val="LDP2i0"/>
        <w:ind w:left="1560" w:hanging="1106"/>
      </w:pPr>
      <w:r>
        <w:tab/>
        <w:t>(iii)</w:t>
      </w:r>
      <w:r>
        <w:tab/>
      </w:r>
      <w:proofErr w:type="gramStart"/>
      <w:r w:rsidR="00F47838">
        <w:t>sections</w:t>
      </w:r>
      <w:proofErr w:type="gramEnd"/>
      <w:r w:rsidR="00F47838">
        <w:t xml:space="preserve"> 13.02, 13.04 and 13.05 of the Part 138 Manual of Standards are complied with</w:t>
      </w:r>
      <w:r w:rsidR="00974D7B">
        <w:t xml:space="preserve"> as if they applied to the flight</w:t>
      </w:r>
      <w:r w:rsidR="008E57AE">
        <w:t>,</w:t>
      </w:r>
      <w:r w:rsidR="00974D7B">
        <w:t xml:space="preserve"> and:</w:t>
      </w:r>
    </w:p>
    <w:p w14:paraId="550CCCD6" w14:textId="7A9B92DB" w:rsidR="00F47838" w:rsidRDefault="00974D7B" w:rsidP="004847EC">
      <w:pPr>
        <w:pStyle w:val="LDP31"/>
        <w:tabs>
          <w:tab w:val="clear" w:pos="1985"/>
          <w:tab w:val="left" w:pos="1928"/>
        </w:tabs>
        <w:spacing w:before="40" w:after="40"/>
        <w:ind w:left="1928" w:hanging="454"/>
      </w:pPr>
      <w:r>
        <w:t>(A)</w:t>
      </w:r>
      <w:r>
        <w:tab/>
      </w:r>
      <w:proofErr w:type="gramStart"/>
      <w:r w:rsidR="00F47838">
        <w:t>references</w:t>
      </w:r>
      <w:proofErr w:type="gramEnd"/>
      <w:r w:rsidR="00F47838">
        <w:t xml:space="preserve"> to an operator of any kind are taken to be reference</w:t>
      </w:r>
      <w:r>
        <w:t>s</w:t>
      </w:r>
      <w:r w:rsidR="00F47838">
        <w:t xml:space="preserve"> to the pilot in command; and</w:t>
      </w:r>
    </w:p>
    <w:p w14:paraId="671B149E" w14:textId="520FFA03" w:rsidR="00F47838" w:rsidRDefault="00974D7B" w:rsidP="004847EC">
      <w:pPr>
        <w:pStyle w:val="LDP31"/>
        <w:tabs>
          <w:tab w:val="clear" w:pos="1985"/>
          <w:tab w:val="left" w:pos="1928"/>
        </w:tabs>
        <w:spacing w:before="40" w:after="40"/>
        <w:ind w:left="1928" w:hanging="454"/>
      </w:pPr>
      <w:r>
        <w:t>(B)</w:t>
      </w:r>
      <w:r>
        <w:tab/>
      </w:r>
      <w:proofErr w:type="gramStart"/>
      <w:r w:rsidR="00F47838">
        <w:t>references</w:t>
      </w:r>
      <w:proofErr w:type="gramEnd"/>
      <w:r w:rsidR="00F47838">
        <w:t xml:space="preserve"> to </w:t>
      </w:r>
      <w:r w:rsidR="00883C80">
        <w:t xml:space="preserve">an </w:t>
      </w:r>
      <w:r w:rsidR="00F47838">
        <w:t>aerial work operation are taken to be reference</w:t>
      </w:r>
      <w:r>
        <w:t>s</w:t>
      </w:r>
      <w:r w:rsidR="00F47838">
        <w:t xml:space="preserve"> to the flight conducting the dropping; and</w:t>
      </w:r>
    </w:p>
    <w:p w14:paraId="14F2DA4D" w14:textId="14E04E15" w:rsidR="00F47838" w:rsidRDefault="00974D7B" w:rsidP="004847EC">
      <w:pPr>
        <w:pStyle w:val="LDP31"/>
        <w:tabs>
          <w:tab w:val="clear" w:pos="1985"/>
          <w:tab w:val="left" w:pos="1928"/>
        </w:tabs>
        <w:spacing w:before="40" w:after="40"/>
        <w:ind w:left="1928" w:hanging="454"/>
      </w:pPr>
      <w:r>
        <w:t>(C)</w:t>
      </w:r>
      <w:r>
        <w:tab/>
      </w:r>
      <w:proofErr w:type="gramStart"/>
      <w:r w:rsidR="00F47838">
        <w:t>references</w:t>
      </w:r>
      <w:proofErr w:type="gramEnd"/>
      <w:r w:rsidR="00F47838">
        <w:t xml:space="preserve"> to aerial work passengers are taken to be references to passengers; and</w:t>
      </w:r>
    </w:p>
    <w:p w14:paraId="43AD7AD6" w14:textId="01A87775" w:rsidR="00F47838" w:rsidRDefault="00974D7B" w:rsidP="004847EC">
      <w:pPr>
        <w:pStyle w:val="LDP2i0"/>
        <w:ind w:left="1560" w:hanging="1106"/>
      </w:pPr>
      <w:r>
        <w:tab/>
        <w:t>(iv)</w:t>
      </w:r>
      <w:r>
        <w:tab/>
      </w:r>
      <w:proofErr w:type="gramStart"/>
      <w:r w:rsidR="00F47838">
        <w:t>section</w:t>
      </w:r>
      <w:proofErr w:type="gramEnd"/>
      <w:r w:rsidR="00F47838">
        <w:t xml:space="preserve"> 16.03 of the Part 138 Manual of Standards is complied with as if the flight w</w:t>
      </w:r>
      <w:r w:rsidR="0092743C">
        <w:t>ere</w:t>
      </w:r>
      <w:r w:rsidR="00F47838">
        <w:t xml:space="preserve"> a dispensing operation, </w:t>
      </w:r>
      <w:r w:rsidR="0092743C">
        <w:t>and</w:t>
      </w:r>
      <w:r w:rsidR="00F47838">
        <w:t>:</w:t>
      </w:r>
    </w:p>
    <w:p w14:paraId="714E4CCA" w14:textId="746F863E" w:rsidR="00F47838" w:rsidRDefault="0092743C" w:rsidP="004847EC">
      <w:pPr>
        <w:pStyle w:val="LDP31"/>
        <w:tabs>
          <w:tab w:val="clear" w:pos="1985"/>
          <w:tab w:val="left" w:pos="1928"/>
        </w:tabs>
        <w:spacing w:before="40" w:after="40"/>
        <w:ind w:left="1928" w:hanging="454"/>
      </w:pPr>
      <w:r>
        <w:t>(A)</w:t>
      </w:r>
      <w:r>
        <w:tab/>
      </w:r>
      <w:proofErr w:type="gramStart"/>
      <w:r w:rsidR="00F47838">
        <w:t>subsections</w:t>
      </w:r>
      <w:proofErr w:type="gramEnd"/>
      <w:r w:rsidR="00F47838">
        <w:t xml:space="preserve"> 16.03</w:t>
      </w:r>
      <w:r w:rsidR="008E57AE">
        <w:t> </w:t>
      </w:r>
      <w:r w:rsidR="00F47838">
        <w:t xml:space="preserve">(1) and (8) </w:t>
      </w:r>
      <w:r>
        <w:t>have no application</w:t>
      </w:r>
      <w:r w:rsidR="00F47838">
        <w:t>; and</w:t>
      </w:r>
    </w:p>
    <w:p w14:paraId="63E4D48C" w14:textId="2FCDE25D" w:rsidR="00F47838" w:rsidRDefault="0092743C" w:rsidP="004847EC">
      <w:pPr>
        <w:pStyle w:val="LDP31"/>
        <w:tabs>
          <w:tab w:val="clear" w:pos="1985"/>
          <w:tab w:val="left" w:pos="1928"/>
        </w:tabs>
        <w:spacing w:before="40" w:after="40"/>
        <w:ind w:left="1928" w:hanging="454"/>
      </w:pPr>
      <w:r>
        <w:t>(B)</w:t>
      </w:r>
      <w:r>
        <w:tab/>
      </w:r>
      <w:proofErr w:type="gramStart"/>
      <w:r w:rsidR="00F47838">
        <w:t>references</w:t>
      </w:r>
      <w:proofErr w:type="gramEnd"/>
      <w:r w:rsidR="00F47838">
        <w:t xml:space="preserve"> to ESO </w:t>
      </w:r>
      <w:r w:rsidR="00707B48">
        <w:t>have no application</w:t>
      </w:r>
      <w:r w:rsidR="00F47838">
        <w:t>; and</w:t>
      </w:r>
    </w:p>
    <w:p w14:paraId="5CBADFBD" w14:textId="594349C8" w:rsidR="00F47838" w:rsidRPr="00BF0638" w:rsidRDefault="0092743C" w:rsidP="004847EC">
      <w:pPr>
        <w:pStyle w:val="LDP31"/>
        <w:tabs>
          <w:tab w:val="clear" w:pos="1985"/>
          <w:tab w:val="left" w:pos="1928"/>
        </w:tabs>
        <w:spacing w:before="40" w:after="40"/>
        <w:ind w:left="1928" w:hanging="454"/>
      </w:pPr>
      <w:r>
        <w:t>(C)</w:t>
      </w:r>
      <w:r>
        <w:tab/>
      </w:r>
      <w:proofErr w:type="gramStart"/>
      <w:r w:rsidR="00F47838">
        <w:t>references</w:t>
      </w:r>
      <w:proofErr w:type="gramEnd"/>
      <w:r w:rsidR="00F47838">
        <w:t xml:space="preserve"> to </w:t>
      </w:r>
      <w:r w:rsidR="00EC6F0E">
        <w:t xml:space="preserve">a </w:t>
      </w:r>
      <w:r w:rsidR="00F47838">
        <w:t xml:space="preserve">task specialist </w:t>
      </w:r>
      <w:r>
        <w:t>are</w:t>
      </w:r>
      <w:r w:rsidR="00F47838">
        <w:t xml:space="preserve"> taken to be reference</w:t>
      </w:r>
      <w:r w:rsidR="00707B48">
        <w:t>s</w:t>
      </w:r>
      <w:r w:rsidR="00F47838">
        <w:t xml:space="preserve"> to “a crew member competent to </w:t>
      </w:r>
      <w:r w:rsidR="00F47838" w:rsidRPr="00707B48">
        <w:t>perform the dropping task to</w:t>
      </w:r>
      <w:r w:rsidR="00F47838">
        <w:t xml:space="preserve"> the satisfaction of the pilot in command”</w:t>
      </w:r>
      <w:r w:rsidR="00707B48">
        <w:t>;</w:t>
      </w:r>
    </w:p>
    <w:p w14:paraId="0826508C" w14:textId="757DF99F" w:rsidR="00F47838" w:rsidRDefault="00707B48" w:rsidP="004847EC">
      <w:pPr>
        <w:pStyle w:val="LDP1a0"/>
      </w:pPr>
      <w:r>
        <w:t>(c)</w:t>
      </w:r>
      <w:r>
        <w:tab/>
      </w:r>
      <w:proofErr w:type="gramStart"/>
      <w:r w:rsidR="00F47838">
        <w:t>subregulation</w:t>
      </w:r>
      <w:proofErr w:type="gramEnd"/>
      <w:r w:rsidR="00F47838" w:rsidRPr="004F3E18">
        <w:t xml:space="preserve"> </w:t>
      </w:r>
      <w:r w:rsidR="00F47838">
        <w:t>9</w:t>
      </w:r>
      <w:r w:rsidR="00F47838" w:rsidRPr="004F3E18">
        <w:t>1.4</w:t>
      </w:r>
      <w:r w:rsidR="00F47838">
        <w:t>5</w:t>
      </w:r>
      <w:r w:rsidR="00F47838" w:rsidRPr="004F3E18">
        <w:t>5</w:t>
      </w:r>
      <w:r w:rsidR="008E57AE">
        <w:t> </w:t>
      </w:r>
      <w:r w:rsidR="00F47838" w:rsidRPr="004F3E18">
        <w:t xml:space="preserve">(2), </w:t>
      </w:r>
      <w:r>
        <w:t>to the extent of</w:t>
      </w:r>
      <w:r w:rsidR="00F47838" w:rsidRPr="004F3E18">
        <w:t xml:space="preserve"> the requirements </w:t>
      </w:r>
      <w:r w:rsidR="004656EF">
        <w:t>in</w:t>
      </w:r>
      <w:r w:rsidR="00F47838" w:rsidRPr="004F3E18">
        <w:t xml:space="preserve"> </w:t>
      </w:r>
      <w:r w:rsidR="00F47838">
        <w:t>section 19.04 of the Part 91 Manual of Standards that an aircraft must carry onboard the aircraft final reserve fuel</w:t>
      </w:r>
      <w:r>
        <w:t> —</w:t>
      </w:r>
      <w:r w:rsidR="00F47838">
        <w:t xml:space="preserve"> but only if:</w:t>
      </w:r>
    </w:p>
    <w:p w14:paraId="40ECBA24" w14:textId="36A5442D" w:rsidR="00F47838" w:rsidRDefault="004656EF" w:rsidP="004847EC">
      <w:pPr>
        <w:pStyle w:val="LDP2i0"/>
        <w:ind w:left="1560" w:hanging="1106"/>
      </w:pPr>
      <w:r>
        <w:tab/>
        <w:t>(i)</w:t>
      </w:r>
      <w:r>
        <w:tab/>
      </w:r>
      <w:proofErr w:type="gramStart"/>
      <w:r w:rsidR="00F47838">
        <w:t>it</w:t>
      </w:r>
      <w:proofErr w:type="gramEnd"/>
      <w:r w:rsidR="00F47838">
        <w:t xml:space="preserve"> is operationally necessary for the </w:t>
      </w:r>
      <w:r>
        <w:t xml:space="preserve">aircraft </w:t>
      </w:r>
      <w:r w:rsidR="00F47838">
        <w:t>to carry out the</w:t>
      </w:r>
      <w:r w:rsidR="00C66D83">
        <w:t xml:space="preserve"> air display</w:t>
      </w:r>
      <w:r w:rsidR="00F47838">
        <w:t xml:space="preserve"> flight without</w:t>
      </w:r>
      <w:r>
        <w:t xml:space="preserve"> the</w:t>
      </w:r>
      <w:r w:rsidR="00F47838">
        <w:t xml:space="preserve"> final reserve fuel</w:t>
      </w:r>
      <w:r w:rsidR="00883C80">
        <w:t xml:space="preserve"> being carried</w:t>
      </w:r>
      <w:r w:rsidR="00F47838">
        <w:t>; and</w:t>
      </w:r>
    </w:p>
    <w:p w14:paraId="54ADC228" w14:textId="1CBC96A6" w:rsidR="00F47838" w:rsidRDefault="004656EF" w:rsidP="004847EC">
      <w:pPr>
        <w:pStyle w:val="LDP2i0"/>
        <w:ind w:left="1560" w:hanging="1106"/>
      </w:pPr>
      <w:r>
        <w:tab/>
        <w:t>(ii)</w:t>
      </w:r>
      <w:r>
        <w:tab/>
      </w:r>
      <w:proofErr w:type="gramStart"/>
      <w:r w:rsidR="00F47838">
        <w:t>the</w:t>
      </w:r>
      <w:proofErr w:type="gramEnd"/>
      <w:r w:rsidR="00F47838">
        <w:t xml:space="preserve"> pilot in command </w:t>
      </w:r>
      <w:r>
        <w:t>has</w:t>
      </w:r>
      <w:r w:rsidR="00F47838">
        <w:t xml:space="preserve"> </w:t>
      </w:r>
      <w:r w:rsidR="00F47838" w:rsidRPr="002A5E87">
        <w:t xml:space="preserve">taken reasonable steps to ensure that the aircraft carries sufficient fuel to enable the proposed flight to be undertaken </w:t>
      </w:r>
      <w:r w:rsidR="00F47838">
        <w:t>safely;</w:t>
      </w:r>
    </w:p>
    <w:p w14:paraId="0C0AB958" w14:textId="46B36D38" w:rsidR="00C66D83" w:rsidRDefault="00C66D83" w:rsidP="004847EC">
      <w:pPr>
        <w:pStyle w:val="LDP1a0"/>
      </w:pPr>
      <w:r>
        <w:t>(d)</w:t>
      </w:r>
      <w:r>
        <w:tab/>
      </w:r>
      <w:proofErr w:type="gramStart"/>
      <w:r>
        <w:t>the</w:t>
      </w:r>
      <w:proofErr w:type="gramEnd"/>
      <w:r>
        <w:t xml:space="preserve"> following provisions, namely:</w:t>
      </w:r>
    </w:p>
    <w:p w14:paraId="3E341164" w14:textId="562B405F" w:rsidR="00C66D83" w:rsidRDefault="004847EC" w:rsidP="004847EC">
      <w:pPr>
        <w:pStyle w:val="LDP1a0"/>
      </w:pPr>
      <w:r>
        <w:tab/>
      </w:r>
      <w:proofErr w:type="gramStart"/>
      <w:r w:rsidR="008E57AE" w:rsidRPr="007B4774">
        <w:rPr>
          <w:spacing w:val="4"/>
        </w:rPr>
        <w:t>subregulations</w:t>
      </w:r>
      <w:proofErr w:type="gramEnd"/>
      <w:r w:rsidR="00F47838" w:rsidRPr="007B4774">
        <w:rPr>
          <w:spacing w:val="4"/>
        </w:rPr>
        <w:t xml:space="preserve"> 91.375</w:t>
      </w:r>
      <w:r w:rsidR="004B73A1" w:rsidRPr="007B4774">
        <w:rPr>
          <w:spacing w:val="4"/>
        </w:rPr>
        <w:t> </w:t>
      </w:r>
      <w:r w:rsidR="00F47838" w:rsidRPr="007B4774">
        <w:rPr>
          <w:spacing w:val="4"/>
        </w:rPr>
        <w:t>(</w:t>
      </w:r>
      <w:r w:rsidR="00A96036" w:rsidRPr="007B4774">
        <w:rPr>
          <w:spacing w:val="4"/>
        </w:rPr>
        <w:t>1</w:t>
      </w:r>
      <w:r w:rsidR="00F47838" w:rsidRPr="007B4774">
        <w:rPr>
          <w:spacing w:val="4"/>
        </w:rPr>
        <w:t>)</w:t>
      </w:r>
      <w:r w:rsidR="00A96036" w:rsidRPr="007B4774">
        <w:rPr>
          <w:spacing w:val="4"/>
        </w:rPr>
        <w:t xml:space="preserve"> and (3) (but only in relation to</w:t>
      </w:r>
      <w:r w:rsidR="00A96036">
        <w:t xml:space="preserve"> paragraphs</w:t>
      </w:r>
      <w:r w:rsidR="008E57AE">
        <w:t> </w:t>
      </w:r>
      <w:r w:rsidR="00A96036">
        <w:t>91.375</w:t>
      </w:r>
      <w:r w:rsidR="004B73A1">
        <w:t> </w:t>
      </w:r>
      <w:r w:rsidR="00A96036">
        <w:t>(2)</w:t>
      </w:r>
      <w:r w:rsidR="004B73A1">
        <w:t> </w:t>
      </w:r>
      <w:r w:rsidR="00F47838">
        <w:t>(a) and (c)</w:t>
      </w:r>
      <w:r w:rsidR="00A96036">
        <w:t>)</w:t>
      </w:r>
      <w:r w:rsidR="00C66D83">
        <w:t>;</w:t>
      </w:r>
      <w:r w:rsidR="00F47838">
        <w:t xml:space="preserve"> subregulation</w:t>
      </w:r>
      <w:r w:rsidR="00C66D83">
        <w:t>s</w:t>
      </w:r>
      <w:r w:rsidR="00F47838">
        <w:t xml:space="preserve"> 91.405</w:t>
      </w:r>
      <w:r w:rsidR="004B73A1">
        <w:t> </w:t>
      </w:r>
      <w:r w:rsidR="00F47838">
        <w:t>(1)</w:t>
      </w:r>
      <w:r w:rsidR="00C66D83">
        <w:t xml:space="preserve"> and (6) (</w:t>
      </w:r>
      <w:r w:rsidR="00A96036">
        <w:t>subregulation (6)</w:t>
      </w:r>
      <w:r w:rsidR="00C66D83">
        <w:t xml:space="preserve"> only in relation to </w:t>
      </w:r>
      <w:r w:rsidR="002836F2">
        <w:t xml:space="preserve">subregulation </w:t>
      </w:r>
      <w:r w:rsidR="00C66D83">
        <w:t>91.405</w:t>
      </w:r>
      <w:r w:rsidR="004B73A1">
        <w:t> </w:t>
      </w:r>
      <w:r w:rsidR="00C66D83">
        <w:t>(1));</w:t>
      </w:r>
      <w:r w:rsidR="00F47838">
        <w:t xml:space="preserve"> and regulations</w:t>
      </w:r>
      <w:r w:rsidR="00F47838" w:rsidRPr="00BF0638">
        <w:t xml:space="preserve"> </w:t>
      </w:r>
      <w:r w:rsidR="00F47838">
        <w:t>91.390, 9</w:t>
      </w:r>
      <w:r w:rsidR="00F47838" w:rsidRPr="00BF0638">
        <w:t>1.</w:t>
      </w:r>
      <w:r w:rsidR="00F47838">
        <w:t>630, 91.635 and 91.640</w:t>
      </w:r>
      <w:r w:rsidR="00C66D83">
        <w:t>;</w:t>
      </w:r>
    </w:p>
    <w:p w14:paraId="28FE5286" w14:textId="5D91D7B0" w:rsidR="00F47838" w:rsidRPr="00A96036" w:rsidRDefault="00A96036" w:rsidP="004847EC">
      <w:pPr>
        <w:pStyle w:val="LDP1a0"/>
      </w:pPr>
      <w:r>
        <w:tab/>
      </w:r>
      <w:proofErr w:type="gramStart"/>
      <w:r w:rsidR="00F47838" w:rsidRPr="00A96036">
        <w:t>but</w:t>
      </w:r>
      <w:proofErr w:type="gramEnd"/>
      <w:r w:rsidR="00F47838" w:rsidRPr="00A96036">
        <w:t xml:space="preserve"> only if:</w:t>
      </w:r>
    </w:p>
    <w:p w14:paraId="3FB097ED" w14:textId="7D353794" w:rsidR="00F47838" w:rsidRDefault="00A96036" w:rsidP="004847EC">
      <w:pPr>
        <w:pStyle w:val="LDP2i0"/>
        <w:ind w:left="1560" w:hanging="1106"/>
      </w:pPr>
      <w:r>
        <w:tab/>
        <w:t>(i)</w:t>
      </w:r>
      <w:r>
        <w:tab/>
      </w:r>
      <w:r w:rsidR="00F47838">
        <w:t>for a</w:t>
      </w:r>
      <w:r>
        <w:t>n air</w:t>
      </w:r>
      <w:r w:rsidR="00F47838">
        <w:t xml:space="preserve"> display being conducted in controlled airspace</w:t>
      </w:r>
      <w:r>
        <w:t> —</w:t>
      </w:r>
      <w:r w:rsidR="009A2908">
        <w:t xml:space="preserve"> </w:t>
      </w:r>
      <w:r>
        <w:t xml:space="preserve">the person conducting </w:t>
      </w:r>
      <w:r w:rsidR="00F47838">
        <w:t>the air display</w:t>
      </w:r>
      <w:r w:rsidR="000A543D">
        <w:t>,</w:t>
      </w:r>
      <w:r w:rsidR="00F47838">
        <w:t xml:space="preserve"> or </w:t>
      </w:r>
      <w:r w:rsidR="009A2908">
        <w:t xml:space="preserve">the </w:t>
      </w:r>
      <w:r w:rsidR="00F47838">
        <w:t>pilot in command</w:t>
      </w:r>
      <w:r w:rsidR="009A2908">
        <w:t xml:space="preserve"> of the aircraft</w:t>
      </w:r>
      <w:r w:rsidR="000A543D">
        <w:t>,</w:t>
      </w:r>
      <w:r w:rsidR="009A2908">
        <w:t xml:space="preserve"> has formal arrangements in place with the Air Traffic Services responsible for the airspace, </w:t>
      </w:r>
      <w:r w:rsidR="00F47838">
        <w:t xml:space="preserve">to ensure separation between the aircraft and other aircraft in the airspace; </w:t>
      </w:r>
      <w:r w:rsidR="009A2908">
        <w:t>and</w:t>
      </w:r>
    </w:p>
    <w:p w14:paraId="3146610D" w14:textId="10FD7902" w:rsidR="009A2908" w:rsidRDefault="009A2908" w:rsidP="004847EC">
      <w:pPr>
        <w:pStyle w:val="LDP2i0"/>
        <w:ind w:left="1560" w:hanging="1106"/>
      </w:pPr>
      <w:r>
        <w:tab/>
        <w:t>(ii)</w:t>
      </w:r>
      <w:r>
        <w:tab/>
      </w:r>
      <w:proofErr w:type="gramStart"/>
      <w:r w:rsidR="00F47838">
        <w:t>for</w:t>
      </w:r>
      <w:proofErr w:type="gramEnd"/>
      <w:r w:rsidR="00F47838">
        <w:t xml:space="preserve"> a</w:t>
      </w:r>
      <w:r>
        <w:t>n air</w:t>
      </w:r>
      <w:r w:rsidR="00F47838">
        <w:t xml:space="preserve"> display being conducted in uncontrolled airspace</w:t>
      </w:r>
      <w:r>
        <w:t> —</w:t>
      </w:r>
      <w:r w:rsidR="00F47838">
        <w:t xml:space="preserve"> </w:t>
      </w:r>
      <w:r>
        <w:t>the person conducting the air display</w:t>
      </w:r>
      <w:r w:rsidR="000A543D">
        <w:t>,</w:t>
      </w:r>
      <w:r>
        <w:t xml:space="preserve"> or the pilot in command of the aircraft</w:t>
      </w:r>
      <w:r w:rsidR="000A543D">
        <w:t>,</w:t>
      </w:r>
      <w:r>
        <w:t xml:space="preserve"> </w:t>
      </w:r>
      <w:r w:rsidR="00F47838">
        <w:t xml:space="preserve">has arrangements in place to advise aircraft not involved in the air display </w:t>
      </w:r>
      <w:r w:rsidR="00D5210F">
        <w:t>that:</w:t>
      </w:r>
    </w:p>
    <w:p w14:paraId="4A3945E7" w14:textId="2B8814D7" w:rsidR="009A2908" w:rsidRDefault="000A543D" w:rsidP="004847EC">
      <w:pPr>
        <w:pStyle w:val="LDP31"/>
        <w:tabs>
          <w:tab w:val="clear" w:pos="1985"/>
          <w:tab w:val="left" w:pos="1928"/>
        </w:tabs>
        <w:spacing w:before="40" w:after="40"/>
        <w:ind w:left="1928" w:hanging="454"/>
      </w:pPr>
      <w:r>
        <w:t>(A)</w:t>
      </w:r>
      <w:r>
        <w:tab/>
      </w:r>
      <w:proofErr w:type="gramStart"/>
      <w:r w:rsidR="009A2908">
        <w:t>the</w:t>
      </w:r>
      <w:proofErr w:type="gramEnd"/>
      <w:r w:rsidR="009A2908">
        <w:t xml:space="preserve"> air</w:t>
      </w:r>
      <w:r w:rsidR="00D5210F">
        <w:t xml:space="preserve"> display</w:t>
      </w:r>
      <w:r w:rsidR="009A2908">
        <w:t xml:space="preserve"> is occurring;</w:t>
      </w:r>
      <w:r w:rsidR="00D5210F">
        <w:t xml:space="preserve"> and</w:t>
      </w:r>
    </w:p>
    <w:p w14:paraId="68AB537D" w14:textId="7FC706ED" w:rsidR="006671F7" w:rsidRDefault="000A543D" w:rsidP="004847EC">
      <w:pPr>
        <w:pStyle w:val="LDP31"/>
        <w:tabs>
          <w:tab w:val="clear" w:pos="1985"/>
          <w:tab w:val="left" w:pos="1928"/>
        </w:tabs>
        <w:spacing w:before="40" w:after="40"/>
        <w:ind w:left="1928" w:hanging="454"/>
      </w:pPr>
      <w:r>
        <w:t>(B)</w:t>
      </w:r>
      <w:r>
        <w:tab/>
      </w:r>
      <w:proofErr w:type="gramStart"/>
      <w:r>
        <w:t>pilots</w:t>
      </w:r>
      <w:proofErr w:type="gramEnd"/>
      <w:r>
        <w:t xml:space="preserve"> in command of </w:t>
      </w:r>
      <w:r w:rsidR="00F47838">
        <w:t xml:space="preserve">aircraft </w:t>
      </w:r>
      <w:r>
        <w:t>flying in the air display may</w:t>
      </w:r>
      <w:r w:rsidR="00F47838">
        <w:t xml:space="preserve"> not</w:t>
      </w:r>
      <w:r>
        <w:t xml:space="preserve"> be</w:t>
      </w:r>
      <w:r w:rsidR="00F47838">
        <w:t xml:space="preserve"> actively monitoring the relevant radio frequency for the airspace</w:t>
      </w:r>
      <w:r>
        <w:t xml:space="preserve"> or</w:t>
      </w:r>
      <w:r w:rsidR="00F47838">
        <w:t xml:space="preserve"> making the required radio calls</w:t>
      </w:r>
      <w:r>
        <w:t>.</w:t>
      </w:r>
    </w:p>
    <w:p w14:paraId="4C60F657" w14:textId="38CA8DE8" w:rsidR="00843E92" w:rsidRPr="00B275EF" w:rsidRDefault="00843E92" w:rsidP="00843E92">
      <w:pPr>
        <w:pStyle w:val="LDClauseHeading"/>
        <w:tabs>
          <w:tab w:val="center" w:pos="4252"/>
        </w:tabs>
        <w:outlineLvl w:val="0"/>
      </w:pPr>
      <w:r>
        <w:lastRenderedPageBreak/>
        <w:t>21</w:t>
      </w:r>
      <w:r w:rsidRPr="00B275EF">
        <w:tab/>
      </w:r>
      <w:r>
        <w:t>Compliance with flight manual — exemption</w:t>
      </w:r>
    </w:p>
    <w:p w14:paraId="6E6BB25A" w14:textId="77777777" w:rsidR="00843E92" w:rsidRDefault="00843E92" w:rsidP="004847EC">
      <w:pPr>
        <w:pStyle w:val="LDClause"/>
        <w:keepNext/>
        <w:rPr>
          <w:lang w:eastAsia="en-AU"/>
        </w:rPr>
      </w:pPr>
      <w:r w:rsidRPr="00B275EF">
        <w:rPr>
          <w:lang w:eastAsia="en-AU"/>
        </w:rPr>
        <w:tab/>
        <w:t>(1)</w:t>
      </w:r>
      <w:r w:rsidRPr="00B275EF">
        <w:rPr>
          <w:lang w:eastAsia="en-AU"/>
        </w:rPr>
        <w:tab/>
        <w:t>Th</w:t>
      </w:r>
      <w:r>
        <w:rPr>
          <w:lang w:eastAsia="en-AU"/>
        </w:rPr>
        <w:t>e pilot in command of an aircraft to which Part 91 applies is exempted from compliance with the following provisions of CASR:</w:t>
      </w:r>
    </w:p>
    <w:p w14:paraId="43A56953" w14:textId="530262FB" w:rsidR="00766E0F" w:rsidRDefault="00766E0F" w:rsidP="004847EC">
      <w:pPr>
        <w:pStyle w:val="LDP1a0"/>
      </w:pPr>
      <w:r>
        <w:t>(a)</w:t>
      </w:r>
      <w:r>
        <w:tab/>
      </w:r>
      <w:proofErr w:type="gramStart"/>
      <w:r w:rsidR="00843E92">
        <w:t>paragraph</w:t>
      </w:r>
      <w:proofErr w:type="gramEnd"/>
      <w:r w:rsidR="00843E92">
        <w:t xml:space="preserve"> 91.095</w:t>
      </w:r>
      <w:r w:rsidR="000241AF">
        <w:t> </w:t>
      </w:r>
      <w:r w:rsidR="00843E92">
        <w:t>(2)</w:t>
      </w:r>
      <w:r w:rsidR="000241AF">
        <w:t> </w:t>
      </w:r>
      <w:r w:rsidR="00843E92">
        <w:t>(a)</w:t>
      </w:r>
      <w:r>
        <w:t>;</w:t>
      </w:r>
    </w:p>
    <w:p w14:paraId="0A316992" w14:textId="61C73A40" w:rsidR="00766E0F" w:rsidRDefault="00766E0F" w:rsidP="004847EC">
      <w:pPr>
        <w:pStyle w:val="LDP1a0"/>
      </w:pPr>
      <w:r>
        <w:t>(b)</w:t>
      </w:r>
      <w:r>
        <w:tab/>
      </w:r>
      <w:proofErr w:type="gramStart"/>
      <w:r>
        <w:t>subregulation</w:t>
      </w:r>
      <w:proofErr w:type="gramEnd"/>
      <w:r>
        <w:t xml:space="preserve"> 91.095</w:t>
      </w:r>
      <w:r w:rsidR="000241AF">
        <w:t> </w:t>
      </w:r>
      <w:r>
        <w:t>(3) (in relation to paragraph 91.095</w:t>
      </w:r>
      <w:r w:rsidR="000241AF">
        <w:t> </w:t>
      </w:r>
      <w:r>
        <w:t>(2)</w:t>
      </w:r>
      <w:r w:rsidR="000241AF">
        <w:t> </w:t>
      </w:r>
      <w:r>
        <w:t>(a)).</w:t>
      </w:r>
    </w:p>
    <w:p w14:paraId="3ED73EA3" w14:textId="11F937BC" w:rsidR="00843E92" w:rsidRDefault="00766E0F" w:rsidP="004847EC">
      <w:pPr>
        <w:pStyle w:val="LDClause"/>
        <w:keepNext/>
      </w:pPr>
      <w:r w:rsidRPr="00766E0F">
        <w:tab/>
        <w:t>(2)</w:t>
      </w:r>
      <w:r w:rsidRPr="00766E0F">
        <w:tab/>
        <w:t>The exemptions in subsection (1) are subject to the condition that the pilot in command complies with the requirements and limitations set out in the aircraft flight manual instructions for the aircraft.</w:t>
      </w:r>
    </w:p>
    <w:p w14:paraId="669EE078" w14:textId="1CEA09A0" w:rsidR="003D270C" w:rsidRPr="00B275EF" w:rsidRDefault="003D270C" w:rsidP="003D270C">
      <w:pPr>
        <w:pStyle w:val="LDClauseHeading"/>
        <w:tabs>
          <w:tab w:val="center" w:pos="4252"/>
        </w:tabs>
        <w:outlineLvl w:val="0"/>
      </w:pPr>
      <w:r>
        <w:t>22</w:t>
      </w:r>
      <w:r w:rsidRPr="00B275EF">
        <w:tab/>
      </w:r>
      <w:r>
        <w:t>Hot fuelling aircraft — exemption</w:t>
      </w:r>
    </w:p>
    <w:p w14:paraId="4ED6ADFC" w14:textId="52125BC8" w:rsidR="0006438D" w:rsidRDefault="003D270C" w:rsidP="004847EC">
      <w:pPr>
        <w:pStyle w:val="LDClause"/>
        <w:keepNext/>
      </w:pPr>
      <w:r w:rsidRPr="0006438D">
        <w:tab/>
        <w:t>(1)</w:t>
      </w:r>
      <w:r w:rsidRPr="0006438D">
        <w:tab/>
        <w:t>This section applies to the pilot in command of a turbine-powered aeroplane</w:t>
      </w:r>
      <w:r w:rsidR="00971559">
        <w:t xml:space="preserve"> that is</w:t>
      </w:r>
      <w:r w:rsidR="0006438D">
        <w:t>:</w:t>
      </w:r>
    </w:p>
    <w:p w14:paraId="5B83DA3C" w14:textId="6B27E2A7" w:rsidR="0006438D" w:rsidRDefault="00A040B0" w:rsidP="004847EC">
      <w:pPr>
        <w:pStyle w:val="LDP1a0"/>
      </w:pPr>
      <w:r>
        <w:t>(a)</w:t>
      </w:r>
      <w:r>
        <w:tab/>
      </w:r>
      <w:proofErr w:type="gramStart"/>
      <w:r w:rsidR="003D270C" w:rsidRPr="0006438D">
        <w:t>used</w:t>
      </w:r>
      <w:proofErr w:type="gramEnd"/>
      <w:r w:rsidR="003D270C" w:rsidRPr="0006438D">
        <w:t xml:space="preserve"> to facilitate </w:t>
      </w:r>
      <w:r w:rsidR="00556B9F">
        <w:t xml:space="preserve">or conduct </w:t>
      </w:r>
      <w:r w:rsidR="003D270C" w:rsidRPr="0006438D">
        <w:t>parachute operations</w:t>
      </w:r>
      <w:r w:rsidR="0006438D">
        <w:t>; and</w:t>
      </w:r>
    </w:p>
    <w:p w14:paraId="311DD30B" w14:textId="4EB0E0E5" w:rsidR="003D270C" w:rsidRPr="0006438D" w:rsidRDefault="00A040B0" w:rsidP="004847EC">
      <w:pPr>
        <w:pStyle w:val="LDP1a0"/>
      </w:pPr>
      <w:r>
        <w:t>(b)</w:t>
      </w:r>
      <w:r>
        <w:tab/>
      </w:r>
      <w:proofErr w:type="gramStart"/>
      <w:r w:rsidR="00971559">
        <w:t>operated</w:t>
      </w:r>
      <w:proofErr w:type="gramEnd"/>
      <w:r w:rsidR="00971559">
        <w:t xml:space="preserve"> under</w:t>
      </w:r>
      <w:r w:rsidR="003D270C" w:rsidRPr="0006438D">
        <w:t xml:space="preserve"> an approval (however described) to conduct the parachute operations </w:t>
      </w:r>
      <w:r w:rsidR="0006438D" w:rsidRPr="0006438D">
        <w:t>issued by a Part 105 ASAO</w:t>
      </w:r>
      <w:r w:rsidR="003D270C" w:rsidRPr="0006438D">
        <w:t>.</w:t>
      </w:r>
    </w:p>
    <w:p w14:paraId="07FDDD42" w14:textId="35223D51" w:rsidR="003D270C" w:rsidRDefault="00ED7FAB" w:rsidP="004847EC">
      <w:pPr>
        <w:pStyle w:val="LDClause"/>
        <w:keepNext/>
        <w:rPr>
          <w:lang w:eastAsia="en-AU"/>
        </w:rPr>
      </w:pPr>
      <w:r>
        <w:rPr>
          <w:lang w:eastAsia="en-AU"/>
        </w:rPr>
        <w:tab/>
        <w:t>(2)</w:t>
      </w:r>
      <w:r>
        <w:rPr>
          <w:lang w:eastAsia="en-AU"/>
        </w:rPr>
        <w:tab/>
        <w:t>The pilot in command is exempted from regulation 91.505.</w:t>
      </w:r>
    </w:p>
    <w:p w14:paraId="0DA901CC" w14:textId="1D95A4EC" w:rsidR="00123ED3" w:rsidRPr="00123ED3" w:rsidRDefault="003D270C" w:rsidP="004847EC">
      <w:pPr>
        <w:pStyle w:val="LDClause"/>
        <w:keepNext/>
      </w:pPr>
      <w:r w:rsidRPr="00123ED3">
        <w:tab/>
        <w:t>(</w:t>
      </w:r>
      <w:r w:rsidR="00ED7FAB" w:rsidRPr="00123ED3">
        <w:t>3</w:t>
      </w:r>
      <w:r w:rsidRPr="00123ED3">
        <w:t>)</w:t>
      </w:r>
      <w:r w:rsidRPr="00123ED3">
        <w:tab/>
        <w:t>The exemption in subsection (</w:t>
      </w:r>
      <w:r w:rsidR="00ED7FAB" w:rsidRPr="00123ED3">
        <w:t>2</w:t>
      </w:r>
      <w:r w:rsidRPr="00123ED3">
        <w:t xml:space="preserve">) </w:t>
      </w:r>
      <w:r w:rsidR="00ED7FAB" w:rsidRPr="00123ED3">
        <w:t>is</w:t>
      </w:r>
      <w:r w:rsidRPr="00123ED3">
        <w:t xml:space="preserve"> subject to the condition</w:t>
      </w:r>
      <w:r w:rsidR="00556B9F">
        <w:t>s</w:t>
      </w:r>
      <w:r w:rsidRPr="00123ED3">
        <w:t xml:space="preserve"> that</w:t>
      </w:r>
      <w:r w:rsidR="00556B9F">
        <w:t>:</w:t>
      </w:r>
    </w:p>
    <w:p w14:paraId="7374C884" w14:textId="3312A063" w:rsidR="00556B9F" w:rsidRDefault="00556B9F" w:rsidP="004847EC">
      <w:pPr>
        <w:pStyle w:val="LDP1a0"/>
      </w:pPr>
      <w:r>
        <w:t>(a)</w:t>
      </w:r>
      <w:r>
        <w:tab/>
      </w:r>
      <w:proofErr w:type="gramStart"/>
      <w:r>
        <w:t>the</w:t>
      </w:r>
      <w:proofErr w:type="gramEnd"/>
      <w:r>
        <w:t xml:space="preserve"> exposition </w:t>
      </w:r>
      <w:r w:rsidR="000444DA">
        <w:t xml:space="preserve">of </w:t>
      </w:r>
      <w:r>
        <w:t xml:space="preserve">the Part 105 ASAO must include </w:t>
      </w:r>
      <w:r w:rsidR="000444DA">
        <w:t>hot refuelling requirements equivalent to the matters specified in paragraph</w:t>
      </w:r>
      <w:r w:rsidR="000241AF">
        <w:t> </w:t>
      </w:r>
      <w:r w:rsidR="000444DA">
        <w:t>138.300</w:t>
      </w:r>
      <w:r w:rsidR="000241AF">
        <w:t> </w:t>
      </w:r>
      <w:r w:rsidR="000444DA">
        <w:t>(1)</w:t>
      </w:r>
      <w:r w:rsidR="000241AF">
        <w:t> </w:t>
      </w:r>
      <w:r w:rsidR="000444DA">
        <w:t xml:space="preserve">(b) of CASR (the </w:t>
      </w:r>
      <w:r w:rsidR="000444DA" w:rsidRPr="000444DA">
        <w:rPr>
          <w:b/>
          <w:bCs/>
          <w:i/>
          <w:iCs/>
        </w:rPr>
        <w:t>ASAO hot refuelling requirements</w:t>
      </w:r>
      <w:r w:rsidR="000444DA">
        <w:t>); and</w:t>
      </w:r>
    </w:p>
    <w:p w14:paraId="623D75D9" w14:textId="08D4DF6E" w:rsidR="00556B9F" w:rsidRPr="0006438D" w:rsidRDefault="00556B9F" w:rsidP="004847EC">
      <w:pPr>
        <w:pStyle w:val="LDP1a0"/>
      </w:pPr>
      <w:r>
        <w:t>(b)</w:t>
      </w:r>
      <w:r>
        <w:tab/>
      </w:r>
      <w:proofErr w:type="gramStart"/>
      <w:r w:rsidR="000444DA">
        <w:t>the</w:t>
      </w:r>
      <w:proofErr w:type="gramEnd"/>
      <w:r w:rsidR="000444DA">
        <w:t xml:space="preserve"> </w:t>
      </w:r>
      <w:r w:rsidRPr="0006438D">
        <w:t xml:space="preserve">operator </w:t>
      </w:r>
      <w:r w:rsidR="000444DA">
        <w:t xml:space="preserve">of the aircraft must require its pilots in command to comply with the </w:t>
      </w:r>
      <w:r w:rsidR="000444DA" w:rsidRPr="000444DA">
        <w:t>ASAO hot refuelling requirements</w:t>
      </w:r>
      <w:r w:rsidR="000444DA">
        <w:t>; and</w:t>
      </w:r>
    </w:p>
    <w:p w14:paraId="4007D47C" w14:textId="23ADEB1F" w:rsidR="000444DA" w:rsidRPr="0006438D" w:rsidRDefault="000444DA" w:rsidP="004847EC">
      <w:pPr>
        <w:pStyle w:val="LDP1a0"/>
      </w:pPr>
      <w:r>
        <w:t>(c)</w:t>
      </w:r>
      <w:r>
        <w:tab/>
      </w:r>
      <w:proofErr w:type="gramStart"/>
      <w:r>
        <w:t>the</w:t>
      </w:r>
      <w:proofErr w:type="gramEnd"/>
      <w:r>
        <w:t xml:space="preserve"> pilot in command of the aircraft must comply with the </w:t>
      </w:r>
      <w:r w:rsidRPr="000444DA">
        <w:t>ASAO hot refuelling requirements</w:t>
      </w:r>
      <w:r>
        <w:t>.</w:t>
      </w:r>
    </w:p>
    <w:p w14:paraId="7A1AD61F" w14:textId="77777777" w:rsidR="002F5168" w:rsidRPr="00E24E64" w:rsidRDefault="002F5168" w:rsidP="002F5168">
      <w:pPr>
        <w:pStyle w:val="EndLine"/>
      </w:pPr>
    </w:p>
    <w:sectPr w:rsidR="002F5168" w:rsidRPr="00E24E64" w:rsidSect="002B15CD">
      <w:headerReference w:type="default" r:id="rId9"/>
      <w:footerReference w:type="even" r:id="rId10"/>
      <w:footerReference w:type="default" r:id="rId11"/>
      <w:headerReference w:type="first" r:id="rId12"/>
      <w:footerReference w:type="first" r:id="rId13"/>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8E57AE" w:rsidRDefault="008E57AE">
      <w:r>
        <w:separator/>
      </w:r>
    </w:p>
  </w:endnote>
  <w:endnote w:type="continuationSeparator" w:id="0">
    <w:p w14:paraId="26FCC4A7" w14:textId="77777777" w:rsidR="008E57AE" w:rsidRDefault="008E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6C9FC875" w:rsidR="008E57AE" w:rsidRPr="00FE25DC" w:rsidRDefault="008E57AE"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146</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0B110D">
      <w:rPr>
        <w:rStyle w:val="PageNumber"/>
        <w:noProof/>
        <w:lang w:val="fr-FR"/>
      </w:rPr>
      <w:t>4</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0B110D">
      <w:rPr>
        <w:rStyle w:val="PageNumber"/>
        <w:noProof/>
        <w:lang w:val="fr-FR"/>
      </w:rPr>
      <w:t>4</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48DA302E" w:rsidR="008E57AE" w:rsidRPr="00FE25DC" w:rsidRDefault="008E57AE" w:rsidP="00704AD0">
    <w:pPr>
      <w:pStyle w:val="LDFooter"/>
      <w:tabs>
        <w:tab w:val="clear" w:pos="8505"/>
        <w:tab w:val="right" w:pos="8647"/>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146</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0B110D">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0B110D">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75774254" w:rsidR="008E57AE" w:rsidRPr="00FE25DC" w:rsidRDefault="008E57AE" w:rsidP="000B7A76">
    <w:pPr>
      <w:pStyle w:val="LDFooter"/>
      <w:tabs>
        <w:tab w:val="clear" w:pos="8505"/>
        <w:tab w:val="right" w:pos="8504"/>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146</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0B110D">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0B110D">
      <w:rPr>
        <w:rStyle w:val="PageNumber"/>
        <w:noProof/>
        <w:lang w:val="fr-FR"/>
      </w:rPr>
      <w:t>4</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8E57AE" w:rsidRDefault="008E57AE">
      <w:r>
        <w:separator/>
      </w:r>
    </w:p>
  </w:footnote>
  <w:footnote w:type="continuationSeparator" w:id="0">
    <w:p w14:paraId="2219DB51" w14:textId="77777777" w:rsidR="008E57AE" w:rsidRDefault="008E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D4E6" w14:textId="77777777" w:rsidR="008E57AE" w:rsidRPr="00F34A8C" w:rsidRDefault="008E57AE"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8E57AE" w:rsidRDefault="008E57AE">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8E57AE" w:rsidRDefault="008E57AE" w:rsidP="006A16BA">
                          <w:pPr>
                            <w:ind w:left="993" w:hanging="936"/>
                          </w:pPr>
                          <w:r>
                            <w:rPr>
                              <w:noProof/>
                              <w:lang w:eastAsia="en-AU"/>
                            </w:rPr>
                            <w:drawing>
                              <wp:inline distT="0" distB="0" distL="0" distR="0" wp14:anchorId="44E3F884" wp14:editId="02517B94">
                                <wp:extent cx="4019550" cy="976312"/>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8E57AE" w:rsidRDefault="008E57AE" w:rsidP="006A16BA">
                    <w:pPr>
                      <w:ind w:left="993" w:hanging="936"/>
                    </w:pPr>
                    <w:r>
                      <w:rPr>
                        <w:noProof/>
                        <w:lang w:eastAsia="en-AU"/>
                      </w:rPr>
                      <w:drawing>
                        <wp:inline distT="0" distB="0" distL="0" distR="0" wp14:anchorId="44E3F884" wp14:editId="02517B94">
                          <wp:extent cx="4019550" cy="976312"/>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4">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7">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5E76B1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E16A87"/>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475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9">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7EA552FA"/>
    <w:multiLevelType w:val="hybridMultilevel"/>
    <w:tmpl w:val="23A834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21"/>
  </w:num>
  <w:num w:numId="14">
    <w:abstractNumId w:val="10"/>
  </w:num>
  <w:num w:numId="15">
    <w:abstractNumId w:val="20"/>
  </w:num>
  <w:num w:numId="16">
    <w:abstractNumId w:val="11"/>
  </w:num>
  <w:num w:numId="17">
    <w:abstractNumId w:val="33"/>
  </w:num>
  <w:num w:numId="18">
    <w:abstractNumId w:val="28"/>
  </w:num>
  <w:num w:numId="19">
    <w:abstractNumId w:val="18"/>
  </w:num>
  <w:num w:numId="20">
    <w:abstractNumId w:val="34"/>
  </w:num>
  <w:num w:numId="21">
    <w:abstractNumId w:val="32"/>
  </w:num>
  <w:num w:numId="22">
    <w:abstractNumId w:val="27"/>
  </w:num>
  <w:num w:numId="23">
    <w:abstractNumId w:val="19"/>
  </w:num>
  <w:num w:numId="24">
    <w:abstractNumId w:val="17"/>
  </w:num>
  <w:num w:numId="25">
    <w:abstractNumId w:val="26"/>
  </w:num>
  <w:num w:numId="26">
    <w:abstractNumId w:val="31"/>
  </w:num>
  <w:num w:numId="27">
    <w:abstractNumId w:val="25"/>
  </w:num>
  <w:num w:numId="28">
    <w:abstractNumId w:val="14"/>
  </w:num>
  <w:num w:numId="29">
    <w:abstractNumId w:val="29"/>
  </w:num>
  <w:num w:numId="30">
    <w:abstractNumId w:val="15"/>
  </w:num>
  <w:num w:numId="31">
    <w:abstractNumId w:val="12"/>
  </w:num>
  <w:num w:numId="32">
    <w:abstractNumId w:val="30"/>
  </w:num>
  <w:num w:numId="33">
    <w:abstractNumId w:val="23"/>
  </w:num>
  <w:num w:numId="34">
    <w:abstractNumId w:val="22"/>
  </w:num>
  <w:num w:numId="35">
    <w:abstractNumId w:val="24"/>
  </w:num>
  <w:num w:numId="3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fr-FR"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01A8"/>
    <w:rsid w:val="00000B97"/>
    <w:rsid w:val="000012A2"/>
    <w:rsid w:val="000022C3"/>
    <w:rsid w:val="0000235C"/>
    <w:rsid w:val="00003AF0"/>
    <w:rsid w:val="00005CD9"/>
    <w:rsid w:val="00006BEB"/>
    <w:rsid w:val="0001080A"/>
    <w:rsid w:val="000111DE"/>
    <w:rsid w:val="00011671"/>
    <w:rsid w:val="000136A3"/>
    <w:rsid w:val="000159CD"/>
    <w:rsid w:val="0001712C"/>
    <w:rsid w:val="00017701"/>
    <w:rsid w:val="00020B6C"/>
    <w:rsid w:val="00023D3D"/>
    <w:rsid w:val="000241AF"/>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298"/>
    <w:rsid w:val="000444DA"/>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1B91"/>
    <w:rsid w:val="000630A9"/>
    <w:rsid w:val="00063586"/>
    <w:rsid w:val="0006369F"/>
    <w:rsid w:val="0006438D"/>
    <w:rsid w:val="0006482D"/>
    <w:rsid w:val="00065E75"/>
    <w:rsid w:val="00066055"/>
    <w:rsid w:val="0006721A"/>
    <w:rsid w:val="00067803"/>
    <w:rsid w:val="0007040D"/>
    <w:rsid w:val="00071477"/>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4FFC"/>
    <w:rsid w:val="000A543D"/>
    <w:rsid w:val="000A5682"/>
    <w:rsid w:val="000A665C"/>
    <w:rsid w:val="000B110D"/>
    <w:rsid w:val="000B3429"/>
    <w:rsid w:val="000B42F1"/>
    <w:rsid w:val="000B4A61"/>
    <w:rsid w:val="000B56B4"/>
    <w:rsid w:val="000B6F84"/>
    <w:rsid w:val="000B7A76"/>
    <w:rsid w:val="000C0298"/>
    <w:rsid w:val="000C1D63"/>
    <w:rsid w:val="000C2370"/>
    <w:rsid w:val="000C2519"/>
    <w:rsid w:val="000C28BA"/>
    <w:rsid w:val="000C3F21"/>
    <w:rsid w:val="000C4F7D"/>
    <w:rsid w:val="000C52D6"/>
    <w:rsid w:val="000C60BF"/>
    <w:rsid w:val="000C6187"/>
    <w:rsid w:val="000D08F2"/>
    <w:rsid w:val="000D1E6C"/>
    <w:rsid w:val="000D2E1B"/>
    <w:rsid w:val="000D2FDE"/>
    <w:rsid w:val="000D3269"/>
    <w:rsid w:val="000D33CD"/>
    <w:rsid w:val="000D4729"/>
    <w:rsid w:val="000D5B87"/>
    <w:rsid w:val="000D5CC9"/>
    <w:rsid w:val="000D5EFF"/>
    <w:rsid w:val="000D66A0"/>
    <w:rsid w:val="000E0020"/>
    <w:rsid w:val="000E0BF3"/>
    <w:rsid w:val="000E1C02"/>
    <w:rsid w:val="000E23D9"/>
    <w:rsid w:val="000E32A8"/>
    <w:rsid w:val="000E3654"/>
    <w:rsid w:val="000E4773"/>
    <w:rsid w:val="000E493F"/>
    <w:rsid w:val="000E5D9B"/>
    <w:rsid w:val="000E6AE4"/>
    <w:rsid w:val="000E70D0"/>
    <w:rsid w:val="000E762B"/>
    <w:rsid w:val="000E77FA"/>
    <w:rsid w:val="000F03A4"/>
    <w:rsid w:val="000F1190"/>
    <w:rsid w:val="000F1479"/>
    <w:rsid w:val="000F1693"/>
    <w:rsid w:val="000F1E07"/>
    <w:rsid w:val="000F3308"/>
    <w:rsid w:val="000F5EB0"/>
    <w:rsid w:val="000F6AC8"/>
    <w:rsid w:val="000F76C9"/>
    <w:rsid w:val="001005AC"/>
    <w:rsid w:val="00100672"/>
    <w:rsid w:val="00100E38"/>
    <w:rsid w:val="00102289"/>
    <w:rsid w:val="0010248E"/>
    <w:rsid w:val="00102782"/>
    <w:rsid w:val="00102835"/>
    <w:rsid w:val="00102E3A"/>
    <w:rsid w:val="0010354C"/>
    <w:rsid w:val="001050EF"/>
    <w:rsid w:val="001059D7"/>
    <w:rsid w:val="00107225"/>
    <w:rsid w:val="001077B3"/>
    <w:rsid w:val="00110178"/>
    <w:rsid w:val="00111FDE"/>
    <w:rsid w:val="00112AE7"/>
    <w:rsid w:val="001167BC"/>
    <w:rsid w:val="00117716"/>
    <w:rsid w:val="001202D2"/>
    <w:rsid w:val="0012047E"/>
    <w:rsid w:val="0012054B"/>
    <w:rsid w:val="00120B4D"/>
    <w:rsid w:val="00122921"/>
    <w:rsid w:val="00123ED3"/>
    <w:rsid w:val="001244DF"/>
    <w:rsid w:val="001248FE"/>
    <w:rsid w:val="00125031"/>
    <w:rsid w:val="00125280"/>
    <w:rsid w:val="00125A08"/>
    <w:rsid w:val="00125EC7"/>
    <w:rsid w:val="00126032"/>
    <w:rsid w:val="00126D22"/>
    <w:rsid w:val="00126D25"/>
    <w:rsid w:val="00133662"/>
    <w:rsid w:val="00133B6D"/>
    <w:rsid w:val="001341D1"/>
    <w:rsid w:val="001345E5"/>
    <w:rsid w:val="00134638"/>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7CC7"/>
    <w:rsid w:val="00167F7F"/>
    <w:rsid w:val="0017244C"/>
    <w:rsid w:val="00172A72"/>
    <w:rsid w:val="00172F3D"/>
    <w:rsid w:val="00173394"/>
    <w:rsid w:val="001734F7"/>
    <w:rsid w:val="00173D40"/>
    <w:rsid w:val="00174816"/>
    <w:rsid w:val="001751AE"/>
    <w:rsid w:val="0017565D"/>
    <w:rsid w:val="0017574E"/>
    <w:rsid w:val="00175CEF"/>
    <w:rsid w:val="00175DA1"/>
    <w:rsid w:val="00176066"/>
    <w:rsid w:val="00176545"/>
    <w:rsid w:val="00176FF2"/>
    <w:rsid w:val="00177B00"/>
    <w:rsid w:val="00177B86"/>
    <w:rsid w:val="00180798"/>
    <w:rsid w:val="00181419"/>
    <w:rsid w:val="00182CF7"/>
    <w:rsid w:val="001837ED"/>
    <w:rsid w:val="001839B9"/>
    <w:rsid w:val="0018538B"/>
    <w:rsid w:val="001907DB"/>
    <w:rsid w:val="00193A2A"/>
    <w:rsid w:val="0019403A"/>
    <w:rsid w:val="00194100"/>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1734"/>
    <w:rsid w:val="001D2495"/>
    <w:rsid w:val="001D2541"/>
    <w:rsid w:val="001D38FA"/>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F07D5"/>
    <w:rsid w:val="001F0920"/>
    <w:rsid w:val="001F1E9E"/>
    <w:rsid w:val="001F1F46"/>
    <w:rsid w:val="001F2360"/>
    <w:rsid w:val="001F337B"/>
    <w:rsid w:val="001F4EA1"/>
    <w:rsid w:val="001F68B8"/>
    <w:rsid w:val="001F72B6"/>
    <w:rsid w:val="001F77B6"/>
    <w:rsid w:val="002000F9"/>
    <w:rsid w:val="00201824"/>
    <w:rsid w:val="00202565"/>
    <w:rsid w:val="002035A5"/>
    <w:rsid w:val="002037BB"/>
    <w:rsid w:val="00204CC1"/>
    <w:rsid w:val="002055C9"/>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88D"/>
    <w:rsid w:val="002209E4"/>
    <w:rsid w:val="00220B76"/>
    <w:rsid w:val="00220FAB"/>
    <w:rsid w:val="00221DD9"/>
    <w:rsid w:val="002224E2"/>
    <w:rsid w:val="00222DE7"/>
    <w:rsid w:val="00223CD7"/>
    <w:rsid w:val="00224DCB"/>
    <w:rsid w:val="00227B0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921"/>
    <w:rsid w:val="00241397"/>
    <w:rsid w:val="002422AC"/>
    <w:rsid w:val="002426DD"/>
    <w:rsid w:val="002432C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34B"/>
    <w:rsid w:val="00256755"/>
    <w:rsid w:val="00257234"/>
    <w:rsid w:val="002579AB"/>
    <w:rsid w:val="00257CB6"/>
    <w:rsid w:val="0026104F"/>
    <w:rsid w:val="00261381"/>
    <w:rsid w:val="00262EA4"/>
    <w:rsid w:val="00263556"/>
    <w:rsid w:val="00263804"/>
    <w:rsid w:val="002638F9"/>
    <w:rsid w:val="002644E6"/>
    <w:rsid w:val="00264CA9"/>
    <w:rsid w:val="00265374"/>
    <w:rsid w:val="00266D21"/>
    <w:rsid w:val="00267BB4"/>
    <w:rsid w:val="002707F6"/>
    <w:rsid w:val="0027189A"/>
    <w:rsid w:val="00273EDC"/>
    <w:rsid w:val="0027414E"/>
    <w:rsid w:val="00274388"/>
    <w:rsid w:val="00274D06"/>
    <w:rsid w:val="00276C1C"/>
    <w:rsid w:val="002805E3"/>
    <w:rsid w:val="0028073B"/>
    <w:rsid w:val="00281BC6"/>
    <w:rsid w:val="0028308E"/>
    <w:rsid w:val="002836F2"/>
    <w:rsid w:val="00283EE4"/>
    <w:rsid w:val="002843E3"/>
    <w:rsid w:val="002849EA"/>
    <w:rsid w:val="00285215"/>
    <w:rsid w:val="00285D45"/>
    <w:rsid w:val="0028652A"/>
    <w:rsid w:val="00287BDF"/>
    <w:rsid w:val="002916A1"/>
    <w:rsid w:val="002916FD"/>
    <w:rsid w:val="002917B6"/>
    <w:rsid w:val="00291C2A"/>
    <w:rsid w:val="00291EE2"/>
    <w:rsid w:val="00292122"/>
    <w:rsid w:val="0029382E"/>
    <w:rsid w:val="00293FCD"/>
    <w:rsid w:val="00294E3E"/>
    <w:rsid w:val="00294FB6"/>
    <w:rsid w:val="00297539"/>
    <w:rsid w:val="0029774F"/>
    <w:rsid w:val="00297EF2"/>
    <w:rsid w:val="002A0D4E"/>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441D"/>
    <w:rsid w:val="002B47BA"/>
    <w:rsid w:val="002B603F"/>
    <w:rsid w:val="002B6239"/>
    <w:rsid w:val="002B794A"/>
    <w:rsid w:val="002B7F3E"/>
    <w:rsid w:val="002C1190"/>
    <w:rsid w:val="002C16DA"/>
    <w:rsid w:val="002C1BF2"/>
    <w:rsid w:val="002C203A"/>
    <w:rsid w:val="002C292E"/>
    <w:rsid w:val="002C4326"/>
    <w:rsid w:val="002C43D5"/>
    <w:rsid w:val="002C61B7"/>
    <w:rsid w:val="002C77B6"/>
    <w:rsid w:val="002C796B"/>
    <w:rsid w:val="002C7D74"/>
    <w:rsid w:val="002C7F14"/>
    <w:rsid w:val="002D187F"/>
    <w:rsid w:val="002D27AA"/>
    <w:rsid w:val="002D2DDA"/>
    <w:rsid w:val="002D34CB"/>
    <w:rsid w:val="002D3D93"/>
    <w:rsid w:val="002D42A9"/>
    <w:rsid w:val="002D445F"/>
    <w:rsid w:val="002D4EE4"/>
    <w:rsid w:val="002D4EF2"/>
    <w:rsid w:val="002D565B"/>
    <w:rsid w:val="002D587C"/>
    <w:rsid w:val="002D58AB"/>
    <w:rsid w:val="002D5AC6"/>
    <w:rsid w:val="002D6175"/>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5168"/>
    <w:rsid w:val="00300642"/>
    <w:rsid w:val="00300B04"/>
    <w:rsid w:val="0030119C"/>
    <w:rsid w:val="00302961"/>
    <w:rsid w:val="00303BC7"/>
    <w:rsid w:val="0030415D"/>
    <w:rsid w:val="00304F38"/>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2"/>
    <w:rsid w:val="00324F88"/>
    <w:rsid w:val="0032509A"/>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5FB"/>
    <w:rsid w:val="0035748F"/>
    <w:rsid w:val="0036159F"/>
    <w:rsid w:val="003621EB"/>
    <w:rsid w:val="003631FE"/>
    <w:rsid w:val="00363501"/>
    <w:rsid w:val="00363F17"/>
    <w:rsid w:val="00364242"/>
    <w:rsid w:val="003663A9"/>
    <w:rsid w:val="00372CD3"/>
    <w:rsid w:val="00373899"/>
    <w:rsid w:val="00373E67"/>
    <w:rsid w:val="00374199"/>
    <w:rsid w:val="00374AFF"/>
    <w:rsid w:val="003758B2"/>
    <w:rsid w:val="00376D2B"/>
    <w:rsid w:val="00376F27"/>
    <w:rsid w:val="00377DF8"/>
    <w:rsid w:val="0038006B"/>
    <w:rsid w:val="00380C4F"/>
    <w:rsid w:val="0038138A"/>
    <w:rsid w:val="00381C44"/>
    <w:rsid w:val="0038248F"/>
    <w:rsid w:val="00382878"/>
    <w:rsid w:val="00382FF7"/>
    <w:rsid w:val="003833A2"/>
    <w:rsid w:val="00384987"/>
    <w:rsid w:val="00385405"/>
    <w:rsid w:val="00385DA0"/>
    <w:rsid w:val="003866E8"/>
    <w:rsid w:val="003867E1"/>
    <w:rsid w:val="00386C9D"/>
    <w:rsid w:val="003875F9"/>
    <w:rsid w:val="0039153A"/>
    <w:rsid w:val="00391E13"/>
    <w:rsid w:val="00392ECD"/>
    <w:rsid w:val="0039360F"/>
    <w:rsid w:val="00393632"/>
    <w:rsid w:val="003937DF"/>
    <w:rsid w:val="00394A72"/>
    <w:rsid w:val="00394CAB"/>
    <w:rsid w:val="00395C96"/>
    <w:rsid w:val="00396AFD"/>
    <w:rsid w:val="003A08D4"/>
    <w:rsid w:val="003A18B9"/>
    <w:rsid w:val="003A2808"/>
    <w:rsid w:val="003A35BD"/>
    <w:rsid w:val="003A4BC6"/>
    <w:rsid w:val="003B0B9C"/>
    <w:rsid w:val="003B1DB7"/>
    <w:rsid w:val="003B2079"/>
    <w:rsid w:val="003B5024"/>
    <w:rsid w:val="003B50C4"/>
    <w:rsid w:val="003B6D99"/>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270C"/>
    <w:rsid w:val="003D47F9"/>
    <w:rsid w:val="003D5296"/>
    <w:rsid w:val="003D58CB"/>
    <w:rsid w:val="003D6C67"/>
    <w:rsid w:val="003D752B"/>
    <w:rsid w:val="003E0394"/>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A71"/>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A54"/>
    <w:rsid w:val="00424B82"/>
    <w:rsid w:val="00424C8E"/>
    <w:rsid w:val="00424D70"/>
    <w:rsid w:val="00425C4F"/>
    <w:rsid w:val="00427140"/>
    <w:rsid w:val="004277F2"/>
    <w:rsid w:val="00431C6F"/>
    <w:rsid w:val="00433ACE"/>
    <w:rsid w:val="00433B74"/>
    <w:rsid w:val="00434042"/>
    <w:rsid w:val="00434289"/>
    <w:rsid w:val="004349A9"/>
    <w:rsid w:val="00437298"/>
    <w:rsid w:val="004416B4"/>
    <w:rsid w:val="00442A2D"/>
    <w:rsid w:val="0044387E"/>
    <w:rsid w:val="0044490F"/>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4809"/>
    <w:rsid w:val="00464A53"/>
    <w:rsid w:val="00464FA0"/>
    <w:rsid w:val="004656EF"/>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685"/>
    <w:rsid w:val="0048189E"/>
    <w:rsid w:val="004818EE"/>
    <w:rsid w:val="00481A10"/>
    <w:rsid w:val="004837CA"/>
    <w:rsid w:val="00484450"/>
    <w:rsid w:val="004847EC"/>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10DC"/>
    <w:rsid w:val="004A1B94"/>
    <w:rsid w:val="004A2462"/>
    <w:rsid w:val="004A2DB5"/>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3A1"/>
    <w:rsid w:val="004B7449"/>
    <w:rsid w:val="004B784A"/>
    <w:rsid w:val="004C03BF"/>
    <w:rsid w:val="004C16CA"/>
    <w:rsid w:val="004C421F"/>
    <w:rsid w:val="004C4D05"/>
    <w:rsid w:val="004C5E49"/>
    <w:rsid w:val="004C5FE7"/>
    <w:rsid w:val="004C6BBE"/>
    <w:rsid w:val="004C72DC"/>
    <w:rsid w:val="004C79C8"/>
    <w:rsid w:val="004D0481"/>
    <w:rsid w:val="004D1242"/>
    <w:rsid w:val="004D1F2B"/>
    <w:rsid w:val="004D3024"/>
    <w:rsid w:val="004D3145"/>
    <w:rsid w:val="004D469E"/>
    <w:rsid w:val="004D65E3"/>
    <w:rsid w:val="004D7ECA"/>
    <w:rsid w:val="004E06C3"/>
    <w:rsid w:val="004E125B"/>
    <w:rsid w:val="004E1A56"/>
    <w:rsid w:val="004E2513"/>
    <w:rsid w:val="004E2572"/>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CD1"/>
    <w:rsid w:val="005301A2"/>
    <w:rsid w:val="00530FB9"/>
    <w:rsid w:val="005333A8"/>
    <w:rsid w:val="00533D9A"/>
    <w:rsid w:val="00534A31"/>
    <w:rsid w:val="005356D0"/>
    <w:rsid w:val="005359D7"/>
    <w:rsid w:val="005360CD"/>
    <w:rsid w:val="00537BE1"/>
    <w:rsid w:val="005400EC"/>
    <w:rsid w:val="00540140"/>
    <w:rsid w:val="00540183"/>
    <w:rsid w:val="00541464"/>
    <w:rsid w:val="00541AEF"/>
    <w:rsid w:val="00541F42"/>
    <w:rsid w:val="0054256C"/>
    <w:rsid w:val="00542972"/>
    <w:rsid w:val="00542B23"/>
    <w:rsid w:val="00542C92"/>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3F11"/>
    <w:rsid w:val="0055414A"/>
    <w:rsid w:val="005544FC"/>
    <w:rsid w:val="00556B9F"/>
    <w:rsid w:val="005576BB"/>
    <w:rsid w:val="00561166"/>
    <w:rsid w:val="00561C27"/>
    <w:rsid w:val="00563588"/>
    <w:rsid w:val="00563A5B"/>
    <w:rsid w:val="00564939"/>
    <w:rsid w:val="00565904"/>
    <w:rsid w:val="0056682A"/>
    <w:rsid w:val="005671A9"/>
    <w:rsid w:val="005673D1"/>
    <w:rsid w:val="00570B93"/>
    <w:rsid w:val="0057205F"/>
    <w:rsid w:val="00573BCB"/>
    <w:rsid w:val="005766D8"/>
    <w:rsid w:val="005769DB"/>
    <w:rsid w:val="00577789"/>
    <w:rsid w:val="00580C0A"/>
    <w:rsid w:val="005822E9"/>
    <w:rsid w:val="00583A20"/>
    <w:rsid w:val="00583F88"/>
    <w:rsid w:val="00585993"/>
    <w:rsid w:val="00586416"/>
    <w:rsid w:val="00587167"/>
    <w:rsid w:val="00587E94"/>
    <w:rsid w:val="0059020E"/>
    <w:rsid w:val="005902B2"/>
    <w:rsid w:val="00590813"/>
    <w:rsid w:val="005910AC"/>
    <w:rsid w:val="0059146E"/>
    <w:rsid w:val="00591E0C"/>
    <w:rsid w:val="00591E31"/>
    <w:rsid w:val="005929F1"/>
    <w:rsid w:val="00593330"/>
    <w:rsid w:val="00593D15"/>
    <w:rsid w:val="00594D15"/>
    <w:rsid w:val="00595495"/>
    <w:rsid w:val="00596332"/>
    <w:rsid w:val="00596616"/>
    <w:rsid w:val="00597BE1"/>
    <w:rsid w:val="00597F42"/>
    <w:rsid w:val="005A0BBF"/>
    <w:rsid w:val="005A114A"/>
    <w:rsid w:val="005A11B3"/>
    <w:rsid w:val="005A3914"/>
    <w:rsid w:val="005A4928"/>
    <w:rsid w:val="005A6A65"/>
    <w:rsid w:val="005A7414"/>
    <w:rsid w:val="005A7588"/>
    <w:rsid w:val="005A76B5"/>
    <w:rsid w:val="005A7F64"/>
    <w:rsid w:val="005B07DA"/>
    <w:rsid w:val="005B07F4"/>
    <w:rsid w:val="005B141A"/>
    <w:rsid w:val="005B3E0F"/>
    <w:rsid w:val="005B45BF"/>
    <w:rsid w:val="005B577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2C03"/>
    <w:rsid w:val="005E37EE"/>
    <w:rsid w:val="005E5437"/>
    <w:rsid w:val="005E6157"/>
    <w:rsid w:val="005E6158"/>
    <w:rsid w:val="005F08C5"/>
    <w:rsid w:val="005F2645"/>
    <w:rsid w:val="005F2A5D"/>
    <w:rsid w:val="005F3606"/>
    <w:rsid w:val="005F4F3D"/>
    <w:rsid w:val="005F528B"/>
    <w:rsid w:val="005F5833"/>
    <w:rsid w:val="005F6BF1"/>
    <w:rsid w:val="005F77E1"/>
    <w:rsid w:val="00600EEF"/>
    <w:rsid w:val="00601D8A"/>
    <w:rsid w:val="00601EA5"/>
    <w:rsid w:val="0060224C"/>
    <w:rsid w:val="006045CA"/>
    <w:rsid w:val="00604E69"/>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DAD"/>
    <w:rsid w:val="00630ED6"/>
    <w:rsid w:val="0063178C"/>
    <w:rsid w:val="00632DDF"/>
    <w:rsid w:val="00632F7B"/>
    <w:rsid w:val="006331D4"/>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671F7"/>
    <w:rsid w:val="006700CF"/>
    <w:rsid w:val="00671201"/>
    <w:rsid w:val="006724F0"/>
    <w:rsid w:val="00673316"/>
    <w:rsid w:val="00673832"/>
    <w:rsid w:val="00673E7F"/>
    <w:rsid w:val="00674589"/>
    <w:rsid w:val="006748D8"/>
    <w:rsid w:val="006753E4"/>
    <w:rsid w:val="00676ACA"/>
    <w:rsid w:val="00676AE1"/>
    <w:rsid w:val="00677DE9"/>
    <w:rsid w:val="006800D4"/>
    <w:rsid w:val="006801E0"/>
    <w:rsid w:val="00680D07"/>
    <w:rsid w:val="00682719"/>
    <w:rsid w:val="00682C14"/>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A0DC7"/>
    <w:rsid w:val="006A0E9C"/>
    <w:rsid w:val="006A11CC"/>
    <w:rsid w:val="006A15DA"/>
    <w:rsid w:val="006A16BA"/>
    <w:rsid w:val="006A1D9A"/>
    <w:rsid w:val="006A3355"/>
    <w:rsid w:val="006A34DA"/>
    <w:rsid w:val="006A43B4"/>
    <w:rsid w:val="006A660A"/>
    <w:rsid w:val="006A6AF0"/>
    <w:rsid w:val="006A6E29"/>
    <w:rsid w:val="006A6FF9"/>
    <w:rsid w:val="006A75C1"/>
    <w:rsid w:val="006A784C"/>
    <w:rsid w:val="006B09F5"/>
    <w:rsid w:val="006B0F4E"/>
    <w:rsid w:val="006B1E22"/>
    <w:rsid w:val="006B3D9C"/>
    <w:rsid w:val="006B44DE"/>
    <w:rsid w:val="006B5523"/>
    <w:rsid w:val="006B5F76"/>
    <w:rsid w:val="006B6702"/>
    <w:rsid w:val="006B6A81"/>
    <w:rsid w:val="006B7B71"/>
    <w:rsid w:val="006C03B7"/>
    <w:rsid w:val="006C32BA"/>
    <w:rsid w:val="006C35AE"/>
    <w:rsid w:val="006C5D78"/>
    <w:rsid w:val="006D00C4"/>
    <w:rsid w:val="006D0C76"/>
    <w:rsid w:val="006D1A38"/>
    <w:rsid w:val="006D1B60"/>
    <w:rsid w:val="006D1CEA"/>
    <w:rsid w:val="006D3922"/>
    <w:rsid w:val="006D48A5"/>
    <w:rsid w:val="006D5DC6"/>
    <w:rsid w:val="006D6CE0"/>
    <w:rsid w:val="006E0DCF"/>
    <w:rsid w:val="006E0DE3"/>
    <w:rsid w:val="006E0F88"/>
    <w:rsid w:val="006E26BD"/>
    <w:rsid w:val="006E3246"/>
    <w:rsid w:val="006E3802"/>
    <w:rsid w:val="006E3836"/>
    <w:rsid w:val="006E3FC2"/>
    <w:rsid w:val="006E4ECD"/>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CEC"/>
    <w:rsid w:val="007037B8"/>
    <w:rsid w:val="00704A95"/>
    <w:rsid w:val="00704AD0"/>
    <w:rsid w:val="00705199"/>
    <w:rsid w:val="007060C9"/>
    <w:rsid w:val="007074E6"/>
    <w:rsid w:val="00707B48"/>
    <w:rsid w:val="00710712"/>
    <w:rsid w:val="007116E4"/>
    <w:rsid w:val="00711C9E"/>
    <w:rsid w:val="0071271C"/>
    <w:rsid w:val="00713BD6"/>
    <w:rsid w:val="00713D5D"/>
    <w:rsid w:val="0071492F"/>
    <w:rsid w:val="00714C3B"/>
    <w:rsid w:val="007154D8"/>
    <w:rsid w:val="0071745D"/>
    <w:rsid w:val="007175F4"/>
    <w:rsid w:val="00717640"/>
    <w:rsid w:val="00720866"/>
    <w:rsid w:val="00720A78"/>
    <w:rsid w:val="00720D5E"/>
    <w:rsid w:val="00723158"/>
    <w:rsid w:val="007239E2"/>
    <w:rsid w:val="00723CAE"/>
    <w:rsid w:val="00726BA7"/>
    <w:rsid w:val="00727D0F"/>
    <w:rsid w:val="00727EE3"/>
    <w:rsid w:val="00730485"/>
    <w:rsid w:val="00730B93"/>
    <w:rsid w:val="007317A0"/>
    <w:rsid w:val="007337BF"/>
    <w:rsid w:val="00734F67"/>
    <w:rsid w:val="00735060"/>
    <w:rsid w:val="00737F9D"/>
    <w:rsid w:val="00741F74"/>
    <w:rsid w:val="00742432"/>
    <w:rsid w:val="00742C49"/>
    <w:rsid w:val="00742E67"/>
    <w:rsid w:val="0074344D"/>
    <w:rsid w:val="00743CBF"/>
    <w:rsid w:val="00744119"/>
    <w:rsid w:val="0074419A"/>
    <w:rsid w:val="00744ACC"/>
    <w:rsid w:val="00745701"/>
    <w:rsid w:val="00745DA8"/>
    <w:rsid w:val="007461AF"/>
    <w:rsid w:val="00746A77"/>
    <w:rsid w:val="0074710C"/>
    <w:rsid w:val="00747695"/>
    <w:rsid w:val="00747E0C"/>
    <w:rsid w:val="00747FBE"/>
    <w:rsid w:val="00750882"/>
    <w:rsid w:val="007528A9"/>
    <w:rsid w:val="00753FC4"/>
    <w:rsid w:val="007549B3"/>
    <w:rsid w:val="007564D9"/>
    <w:rsid w:val="00756552"/>
    <w:rsid w:val="00756581"/>
    <w:rsid w:val="0075691A"/>
    <w:rsid w:val="00757254"/>
    <w:rsid w:val="00762C70"/>
    <w:rsid w:val="00763933"/>
    <w:rsid w:val="00766032"/>
    <w:rsid w:val="00766BE4"/>
    <w:rsid w:val="00766E0F"/>
    <w:rsid w:val="007700C4"/>
    <w:rsid w:val="00771506"/>
    <w:rsid w:val="00771A6F"/>
    <w:rsid w:val="00772F5F"/>
    <w:rsid w:val="007747DB"/>
    <w:rsid w:val="007754E8"/>
    <w:rsid w:val="00775FB8"/>
    <w:rsid w:val="00776093"/>
    <w:rsid w:val="00781BB5"/>
    <w:rsid w:val="00782CA4"/>
    <w:rsid w:val="00782E02"/>
    <w:rsid w:val="00784857"/>
    <w:rsid w:val="00784AA5"/>
    <w:rsid w:val="007851D0"/>
    <w:rsid w:val="007865DF"/>
    <w:rsid w:val="00786934"/>
    <w:rsid w:val="00787C58"/>
    <w:rsid w:val="007912AD"/>
    <w:rsid w:val="00791451"/>
    <w:rsid w:val="007916CD"/>
    <w:rsid w:val="00792D5E"/>
    <w:rsid w:val="0079363B"/>
    <w:rsid w:val="00793D6E"/>
    <w:rsid w:val="0079431B"/>
    <w:rsid w:val="007946C0"/>
    <w:rsid w:val="007954E1"/>
    <w:rsid w:val="007962A4"/>
    <w:rsid w:val="007969E6"/>
    <w:rsid w:val="007974B2"/>
    <w:rsid w:val="00797ADB"/>
    <w:rsid w:val="007A0AFF"/>
    <w:rsid w:val="007A150D"/>
    <w:rsid w:val="007A317E"/>
    <w:rsid w:val="007A4E17"/>
    <w:rsid w:val="007A6454"/>
    <w:rsid w:val="007A6C2A"/>
    <w:rsid w:val="007B045D"/>
    <w:rsid w:val="007B1313"/>
    <w:rsid w:val="007B1A8A"/>
    <w:rsid w:val="007B1CCF"/>
    <w:rsid w:val="007B20D0"/>
    <w:rsid w:val="007B4774"/>
    <w:rsid w:val="007B4CB4"/>
    <w:rsid w:val="007B53E8"/>
    <w:rsid w:val="007B68F1"/>
    <w:rsid w:val="007B796C"/>
    <w:rsid w:val="007C0446"/>
    <w:rsid w:val="007C1651"/>
    <w:rsid w:val="007C1B48"/>
    <w:rsid w:val="007C1C8D"/>
    <w:rsid w:val="007C232D"/>
    <w:rsid w:val="007C2C31"/>
    <w:rsid w:val="007C58C3"/>
    <w:rsid w:val="007C5BE5"/>
    <w:rsid w:val="007C5FD7"/>
    <w:rsid w:val="007C6105"/>
    <w:rsid w:val="007C6B25"/>
    <w:rsid w:val="007C6CBE"/>
    <w:rsid w:val="007C7A59"/>
    <w:rsid w:val="007D081E"/>
    <w:rsid w:val="007D1A20"/>
    <w:rsid w:val="007D33D4"/>
    <w:rsid w:val="007D34D1"/>
    <w:rsid w:val="007D38F7"/>
    <w:rsid w:val="007D43C7"/>
    <w:rsid w:val="007D441E"/>
    <w:rsid w:val="007D476B"/>
    <w:rsid w:val="007D5352"/>
    <w:rsid w:val="007D7659"/>
    <w:rsid w:val="007E190D"/>
    <w:rsid w:val="007E1A76"/>
    <w:rsid w:val="007E2231"/>
    <w:rsid w:val="007E24A5"/>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6085"/>
    <w:rsid w:val="007F633B"/>
    <w:rsid w:val="007F6F80"/>
    <w:rsid w:val="007F73F5"/>
    <w:rsid w:val="007F7E77"/>
    <w:rsid w:val="00800177"/>
    <w:rsid w:val="00800F8D"/>
    <w:rsid w:val="00801CCC"/>
    <w:rsid w:val="00802FC6"/>
    <w:rsid w:val="008032DF"/>
    <w:rsid w:val="00803B93"/>
    <w:rsid w:val="00804470"/>
    <w:rsid w:val="00804A9C"/>
    <w:rsid w:val="008059B5"/>
    <w:rsid w:val="00806199"/>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CA4"/>
    <w:rsid w:val="00840682"/>
    <w:rsid w:val="008419A3"/>
    <w:rsid w:val="008427FC"/>
    <w:rsid w:val="00843E92"/>
    <w:rsid w:val="00844CC3"/>
    <w:rsid w:val="00845178"/>
    <w:rsid w:val="00845EE7"/>
    <w:rsid w:val="00851185"/>
    <w:rsid w:val="00854962"/>
    <w:rsid w:val="008570A3"/>
    <w:rsid w:val="00857E9A"/>
    <w:rsid w:val="00860652"/>
    <w:rsid w:val="0086251B"/>
    <w:rsid w:val="00862831"/>
    <w:rsid w:val="00862834"/>
    <w:rsid w:val="0086294B"/>
    <w:rsid w:val="00864A9F"/>
    <w:rsid w:val="00865131"/>
    <w:rsid w:val="00866031"/>
    <w:rsid w:val="00866FCC"/>
    <w:rsid w:val="00870376"/>
    <w:rsid w:val="00870B06"/>
    <w:rsid w:val="00871D03"/>
    <w:rsid w:val="00872596"/>
    <w:rsid w:val="00872EEB"/>
    <w:rsid w:val="00874211"/>
    <w:rsid w:val="008754F7"/>
    <w:rsid w:val="008757FF"/>
    <w:rsid w:val="008761C5"/>
    <w:rsid w:val="00876E39"/>
    <w:rsid w:val="0087793A"/>
    <w:rsid w:val="008803CA"/>
    <w:rsid w:val="008804A9"/>
    <w:rsid w:val="008813F7"/>
    <w:rsid w:val="00881FC8"/>
    <w:rsid w:val="00882159"/>
    <w:rsid w:val="00882384"/>
    <w:rsid w:val="0088319A"/>
    <w:rsid w:val="00883C80"/>
    <w:rsid w:val="00884381"/>
    <w:rsid w:val="0088494C"/>
    <w:rsid w:val="008858AB"/>
    <w:rsid w:val="008863EC"/>
    <w:rsid w:val="00891243"/>
    <w:rsid w:val="00891943"/>
    <w:rsid w:val="008932FD"/>
    <w:rsid w:val="00893466"/>
    <w:rsid w:val="00893DE1"/>
    <w:rsid w:val="008953DE"/>
    <w:rsid w:val="008967D0"/>
    <w:rsid w:val="00896F04"/>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52C2"/>
    <w:rsid w:val="008E5457"/>
    <w:rsid w:val="008E57AE"/>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5E26"/>
    <w:rsid w:val="00906498"/>
    <w:rsid w:val="00907891"/>
    <w:rsid w:val="00907D00"/>
    <w:rsid w:val="00910F99"/>
    <w:rsid w:val="00913AA4"/>
    <w:rsid w:val="009141F7"/>
    <w:rsid w:val="009148EF"/>
    <w:rsid w:val="00914F46"/>
    <w:rsid w:val="00916CFD"/>
    <w:rsid w:val="00917CF3"/>
    <w:rsid w:val="009201C4"/>
    <w:rsid w:val="009204F1"/>
    <w:rsid w:val="009216C7"/>
    <w:rsid w:val="00922D97"/>
    <w:rsid w:val="00923607"/>
    <w:rsid w:val="00923AFF"/>
    <w:rsid w:val="00925111"/>
    <w:rsid w:val="009258CA"/>
    <w:rsid w:val="009267C8"/>
    <w:rsid w:val="0092743C"/>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559"/>
    <w:rsid w:val="00971731"/>
    <w:rsid w:val="00971ADD"/>
    <w:rsid w:val="00972018"/>
    <w:rsid w:val="009722D2"/>
    <w:rsid w:val="00973D70"/>
    <w:rsid w:val="00974790"/>
    <w:rsid w:val="009747AD"/>
    <w:rsid w:val="00974D7B"/>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908"/>
    <w:rsid w:val="009A2B8C"/>
    <w:rsid w:val="009A4515"/>
    <w:rsid w:val="009A59D9"/>
    <w:rsid w:val="009A5FD9"/>
    <w:rsid w:val="009A75DE"/>
    <w:rsid w:val="009A7641"/>
    <w:rsid w:val="009B1435"/>
    <w:rsid w:val="009B26A6"/>
    <w:rsid w:val="009B3937"/>
    <w:rsid w:val="009B61CE"/>
    <w:rsid w:val="009B635A"/>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E01DC"/>
    <w:rsid w:val="009E036F"/>
    <w:rsid w:val="009E18AD"/>
    <w:rsid w:val="009E40B2"/>
    <w:rsid w:val="009E4C29"/>
    <w:rsid w:val="009E4EB0"/>
    <w:rsid w:val="009E4F81"/>
    <w:rsid w:val="009E55A3"/>
    <w:rsid w:val="009E57E1"/>
    <w:rsid w:val="009E652C"/>
    <w:rsid w:val="009F057D"/>
    <w:rsid w:val="009F15DF"/>
    <w:rsid w:val="009F43F0"/>
    <w:rsid w:val="009F520F"/>
    <w:rsid w:val="009F7098"/>
    <w:rsid w:val="009F7BE9"/>
    <w:rsid w:val="00A00237"/>
    <w:rsid w:val="00A01392"/>
    <w:rsid w:val="00A03E8E"/>
    <w:rsid w:val="00A040B0"/>
    <w:rsid w:val="00A0423D"/>
    <w:rsid w:val="00A051F0"/>
    <w:rsid w:val="00A05561"/>
    <w:rsid w:val="00A064FD"/>
    <w:rsid w:val="00A06896"/>
    <w:rsid w:val="00A06FA1"/>
    <w:rsid w:val="00A101C7"/>
    <w:rsid w:val="00A10968"/>
    <w:rsid w:val="00A12687"/>
    <w:rsid w:val="00A126B8"/>
    <w:rsid w:val="00A13067"/>
    <w:rsid w:val="00A13555"/>
    <w:rsid w:val="00A13602"/>
    <w:rsid w:val="00A13727"/>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232C"/>
    <w:rsid w:val="00A43574"/>
    <w:rsid w:val="00A438BC"/>
    <w:rsid w:val="00A441E1"/>
    <w:rsid w:val="00A44AFE"/>
    <w:rsid w:val="00A50DEC"/>
    <w:rsid w:val="00A51749"/>
    <w:rsid w:val="00A51B4B"/>
    <w:rsid w:val="00A527D1"/>
    <w:rsid w:val="00A52D11"/>
    <w:rsid w:val="00A53ABE"/>
    <w:rsid w:val="00A546DF"/>
    <w:rsid w:val="00A57751"/>
    <w:rsid w:val="00A6112C"/>
    <w:rsid w:val="00A61D89"/>
    <w:rsid w:val="00A62C60"/>
    <w:rsid w:val="00A653D8"/>
    <w:rsid w:val="00A666D4"/>
    <w:rsid w:val="00A66EF7"/>
    <w:rsid w:val="00A670F8"/>
    <w:rsid w:val="00A6727A"/>
    <w:rsid w:val="00A679D2"/>
    <w:rsid w:val="00A67C55"/>
    <w:rsid w:val="00A70E49"/>
    <w:rsid w:val="00A71DEB"/>
    <w:rsid w:val="00A739ED"/>
    <w:rsid w:val="00A73ACE"/>
    <w:rsid w:val="00A76C60"/>
    <w:rsid w:val="00A773DC"/>
    <w:rsid w:val="00A810A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90145"/>
    <w:rsid w:val="00A9032F"/>
    <w:rsid w:val="00A9270F"/>
    <w:rsid w:val="00A932EA"/>
    <w:rsid w:val="00A9391A"/>
    <w:rsid w:val="00A93CB0"/>
    <w:rsid w:val="00A9467C"/>
    <w:rsid w:val="00A957B2"/>
    <w:rsid w:val="00A96036"/>
    <w:rsid w:val="00A96684"/>
    <w:rsid w:val="00AA07A5"/>
    <w:rsid w:val="00AA0BCF"/>
    <w:rsid w:val="00AA0FDA"/>
    <w:rsid w:val="00AB034D"/>
    <w:rsid w:val="00AB1DFA"/>
    <w:rsid w:val="00AB246F"/>
    <w:rsid w:val="00AB356C"/>
    <w:rsid w:val="00AB3837"/>
    <w:rsid w:val="00AB692C"/>
    <w:rsid w:val="00AB6944"/>
    <w:rsid w:val="00AB6B30"/>
    <w:rsid w:val="00AB6E32"/>
    <w:rsid w:val="00AB7DD8"/>
    <w:rsid w:val="00AC09F5"/>
    <w:rsid w:val="00AC250C"/>
    <w:rsid w:val="00AC2C23"/>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283C"/>
    <w:rsid w:val="00B0342D"/>
    <w:rsid w:val="00B04A46"/>
    <w:rsid w:val="00B070E6"/>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EEB"/>
    <w:rsid w:val="00B21270"/>
    <w:rsid w:val="00B21D2F"/>
    <w:rsid w:val="00B2353B"/>
    <w:rsid w:val="00B241DC"/>
    <w:rsid w:val="00B24611"/>
    <w:rsid w:val="00B25A8E"/>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56FB"/>
    <w:rsid w:val="00B55C66"/>
    <w:rsid w:val="00B5750B"/>
    <w:rsid w:val="00B60C9D"/>
    <w:rsid w:val="00B61BD6"/>
    <w:rsid w:val="00B6217E"/>
    <w:rsid w:val="00B63782"/>
    <w:rsid w:val="00B6413C"/>
    <w:rsid w:val="00B64570"/>
    <w:rsid w:val="00B64971"/>
    <w:rsid w:val="00B67DFE"/>
    <w:rsid w:val="00B72E94"/>
    <w:rsid w:val="00B733C4"/>
    <w:rsid w:val="00B752E7"/>
    <w:rsid w:val="00B80411"/>
    <w:rsid w:val="00B82E14"/>
    <w:rsid w:val="00B8479D"/>
    <w:rsid w:val="00B8496D"/>
    <w:rsid w:val="00B85201"/>
    <w:rsid w:val="00B867B3"/>
    <w:rsid w:val="00B90418"/>
    <w:rsid w:val="00B9158F"/>
    <w:rsid w:val="00B92A07"/>
    <w:rsid w:val="00B92BCB"/>
    <w:rsid w:val="00B92FD5"/>
    <w:rsid w:val="00B9560C"/>
    <w:rsid w:val="00B95F69"/>
    <w:rsid w:val="00B9704D"/>
    <w:rsid w:val="00BA0C1C"/>
    <w:rsid w:val="00BA109D"/>
    <w:rsid w:val="00BA1267"/>
    <w:rsid w:val="00BA1A41"/>
    <w:rsid w:val="00BA1B51"/>
    <w:rsid w:val="00BA1ED4"/>
    <w:rsid w:val="00BA1F07"/>
    <w:rsid w:val="00BA1FEC"/>
    <w:rsid w:val="00BA3FA3"/>
    <w:rsid w:val="00BA49BE"/>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200"/>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505E"/>
    <w:rsid w:val="00C57395"/>
    <w:rsid w:val="00C57C75"/>
    <w:rsid w:val="00C60BAF"/>
    <w:rsid w:val="00C617AF"/>
    <w:rsid w:val="00C6231D"/>
    <w:rsid w:val="00C62F92"/>
    <w:rsid w:val="00C630D3"/>
    <w:rsid w:val="00C63DB3"/>
    <w:rsid w:val="00C65020"/>
    <w:rsid w:val="00C66B3C"/>
    <w:rsid w:val="00C66D83"/>
    <w:rsid w:val="00C67EAB"/>
    <w:rsid w:val="00C704F8"/>
    <w:rsid w:val="00C70B56"/>
    <w:rsid w:val="00C72879"/>
    <w:rsid w:val="00C7299A"/>
    <w:rsid w:val="00C74CE7"/>
    <w:rsid w:val="00C760BC"/>
    <w:rsid w:val="00C77155"/>
    <w:rsid w:val="00C77C44"/>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28E0"/>
    <w:rsid w:val="00CB3F99"/>
    <w:rsid w:val="00CB4D9D"/>
    <w:rsid w:val="00CB50F5"/>
    <w:rsid w:val="00CB7026"/>
    <w:rsid w:val="00CC0B9B"/>
    <w:rsid w:val="00CC0EF6"/>
    <w:rsid w:val="00CC1363"/>
    <w:rsid w:val="00CC22CD"/>
    <w:rsid w:val="00CC2A30"/>
    <w:rsid w:val="00CC3B37"/>
    <w:rsid w:val="00CC46C5"/>
    <w:rsid w:val="00CC4AD5"/>
    <w:rsid w:val="00CC5870"/>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3958"/>
    <w:rsid w:val="00CE46FE"/>
    <w:rsid w:val="00CE57DE"/>
    <w:rsid w:val="00CE5B19"/>
    <w:rsid w:val="00CE6E8B"/>
    <w:rsid w:val="00CE760B"/>
    <w:rsid w:val="00CE7E29"/>
    <w:rsid w:val="00CF1B23"/>
    <w:rsid w:val="00CF1B96"/>
    <w:rsid w:val="00CF1CE0"/>
    <w:rsid w:val="00CF1CEC"/>
    <w:rsid w:val="00CF2809"/>
    <w:rsid w:val="00CF42F6"/>
    <w:rsid w:val="00CF692C"/>
    <w:rsid w:val="00CF6CB2"/>
    <w:rsid w:val="00CF7D9C"/>
    <w:rsid w:val="00D0056D"/>
    <w:rsid w:val="00D007FF"/>
    <w:rsid w:val="00D03143"/>
    <w:rsid w:val="00D04454"/>
    <w:rsid w:val="00D04868"/>
    <w:rsid w:val="00D04D80"/>
    <w:rsid w:val="00D05872"/>
    <w:rsid w:val="00D05E85"/>
    <w:rsid w:val="00D07489"/>
    <w:rsid w:val="00D1061F"/>
    <w:rsid w:val="00D10ABC"/>
    <w:rsid w:val="00D121B4"/>
    <w:rsid w:val="00D12A3A"/>
    <w:rsid w:val="00D13F00"/>
    <w:rsid w:val="00D14A42"/>
    <w:rsid w:val="00D14B88"/>
    <w:rsid w:val="00D15692"/>
    <w:rsid w:val="00D16411"/>
    <w:rsid w:val="00D171DD"/>
    <w:rsid w:val="00D201FA"/>
    <w:rsid w:val="00D20D49"/>
    <w:rsid w:val="00D21747"/>
    <w:rsid w:val="00D230F3"/>
    <w:rsid w:val="00D23640"/>
    <w:rsid w:val="00D24338"/>
    <w:rsid w:val="00D247D6"/>
    <w:rsid w:val="00D252A2"/>
    <w:rsid w:val="00D26B92"/>
    <w:rsid w:val="00D30A78"/>
    <w:rsid w:val="00D30C77"/>
    <w:rsid w:val="00D321F3"/>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10F"/>
    <w:rsid w:val="00D527F0"/>
    <w:rsid w:val="00D52CC5"/>
    <w:rsid w:val="00D55352"/>
    <w:rsid w:val="00D55AF1"/>
    <w:rsid w:val="00D55B0E"/>
    <w:rsid w:val="00D5794F"/>
    <w:rsid w:val="00D61700"/>
    <w:rsid w:val="00D63107"/>
    <w:rsid w:val="00D64DB7"/>
    <w:rsid w:val="00D64E16"/>
    <w:rsid w:val="00D6541A"/>
    <w:rsid w:val="00D65D8C"/>
    <w:rsid w:val="00D65F6D"/>
    <w:rsid w:val="00D67AA5"/>
    <w:rsid w:val="00D706F8"/>
    <w:rsid w:val="00D71794"/>
    <w:rsid w:val="00D71914"/>
    <w:rsid w:val="00D71ACD"/>
    <w:rsid w:val="00D72FD0"/>
    <w:rsid w:val="00D742C8"/>
    <w:rsid w:val="00D745D3"/>
    <w:rsid w:val="00D74B8B"/>
    <w:rsid w:val="00D74C80"/>
    <w:rsid w:val="00D750C7"/>
    <w:rsid w:val="00D766A9"/>
    <w:rsid w:val="00D774E6"/>
    <w:rsid w:val="00D81969"/>
    <w:rsid w:val="00D831F1"/>
    <w:rsid w:val="00D842F5"/>
    <w:rsid w:val="00D84A8D"/>
    <w:rsid w:val="00D84EAE"/>
    <w:rsid w:val="00D85CDE"/>
    <w:rsid w:val="00D8601C"/>
    <w:rsid w:val="00D90042"/>
    <w:rsid w:val="00D91110"/>
    <w:rsid w:val="00D919E5"/>
    <w:rsid w:val="00D92055"/>
    <w:rsid w:val="00D92F7F"/>
    <w:rsid w:val="00D93292"/>
    <w:rsid w:val="00D945BF"/>
    <w:rsid w:val="00D94799"/>
    <w:rsid w:val="00D948FE"/>
    <w:rsid w:val="00D94FC8"/>
    <w:rsid w:val="00D95C10"/>
    <w:rsid w:val="00D96C0F"/>
    <w:rsid w:val="00D9705E"/>
    <w:rsid w:val="00D97F6F"/>
    <w:rsid w:val="00D97FF3"/>
    <w:rsid w:val="00DA336C"/>
    <w:rsid w:val="00DA370C"/>
    <w:rsid w:val="00DA7132"/>
    <w:rsid w:val="00DA7237"/>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E0CC6"/>
    <w:rsid w:val="00DE371E"/>
    <w:rsid w:val="00DE4B91"/>
    <w:rsid w:val="00DE51D9"/>
    <w:rsid w:val="00DE5643"/>
    <w:rsid w:val="00DE5873"/>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2951"/>
    <w:rsid w:val="00E03A23"/>
    <w:rsid w:val="00E03F12"/>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351"/>
    <w:rsid w:val="00E4358B"/>
    <w:rsid w:val="00E436EC"/>
    <w:rsid w:val="00E4406E"/>
    <w:rsid w:val="00E44FC0"/>
    <w:rsid w:val="00E45979"/>
    <w:rsid w:val="00E462E7"/>
    <w:rsid w:val="00E469ED"/>
    <w:rsid w:val="00E46C95"/>
    <w:rsid w:val="00E46F2F"/>
    <w:rsid w:val="00E4782D"/>
    <w:rsid w:val="00E47D0F"/>
    <w:rsid w:val="00E506DC"/>
    <w:rsid w:val="00E542AA"/>
    <w:rsid w:val="00E54D8E"/>
    <w:rsid w:val="00E5669E"/>
    <w:rsid w:val="00E60408"/>
    <w:rsid w:val="00E610F1"/>
    <w:rsid w:val="00E617A0"/>
    <w:rsid w:val="00E631B0"/>
    <w:rsid w:val="00E63333"/>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1DAF"/>
    <w:rsid w:val="00EB23AD"/>
    <w:rsid w:val="00EB37E6"/>
    <w:rsid w:val="00EB3EA5"/>
    <w:rsid w:val="00EB4675"/>
    <w:rsid w:val="00EB4E95"/>
    <w:rsid w:val="00EB4FF0"/>
    <w:rsid w:val="00EB50B2"/>
    <w:rsid w:val="00EB7FA8"/>
    <w:rsid w:val="00EC015D"/>
    <w:rsid w:val="00EC043A"/>
    <w:rsid w:val="00EC460E"/>
    <w:rsid w:val="00EC49AB"/>
    <w:rsid w:val="00EC5244"/>
    <w:rsid w:val="00EC567F"/>
    <w:rsid w:val="00EC65B2"/>
    <w:rsid w:val="00EC6910"/>
    <w:rsid w:val="00EC6F0E"/>
    <w:rsid w:val="00EC72BC"/>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D8"/>
    <w:rsid w:val="00ED7FAB"/>
    <w:rsid w:val="00EE0020"/>
    <w:rsid w:val="00EE0A5C"/>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4760"/>
    <w:rsid w:val="00F057BB"/>
    <w:rsid w:val="00F06069"/>
    <w:rsid w:val="00F1036D"/>
    <w:rsid w:val="00F10D6F"/>
    <w:rsid w:val="00F11FE2"/>
    <w:rsid w:val="00F124CD"/>
    <w:rsid w:val="00F12C8B"/>
    <w:rsid w:val="00F1314E"/>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1C44"/>
    <w:rsid w:val="00F32593"/>
    <w:rsid w:val="00F33686"/>
    <w:rsid w:val="00F34400"/>
    <w:rsid w:val="00F34A8C"/>
    <w:rsid w:val="00F366A0"/>
    <w:rsid w:val="00F40BCB"/>
    <w:rsid w:val="00F41B9C"/>
    <w:rsid w:val="00F42D71"/>
    <w:rsid w:val="00F432BB"/>
    <w:rsid w:val="00F432D3"/>
    <w:rsid w:val="00F4361F"/>
    <w:rsid w:val="00F4469B"/>
    <w:rsid w:val="00F448C6"/>
    <w:rsid w:val="00F45047"/>
    <w:rsid w:val="00F4512B"/>
    <w:rsid w:val="00F46002"/>
    <w:rsid w:val="00F46C85"/>
    <w:rsid w:val="00F4712A"/>
    <w:rsid w:val="00F4731B"/>
    <w:rsid w:val="00F474DC"/>
    <w:rsid w:val="00F475CA"/>
    <w:rsid w:val="00F47838"/>
    <w:rsid w:val="00F5060D"/>
    <w:rsid w:val="00F5111D"/>
    <w:rsid w:val="00F5123D"/>
    <w:rsid w:val="00F51FF8"/>
    <w:rsid w:val="00F52BEC"/>
    <w:rsid w:val="00F52DC2"/>
    <w:rsid w:val="00F537AF"/>
    <w:rsid w:val="00F55CA1"/>
    <w:rsid w:val="00F57253"/>
    <w:rsid w:val="00F57594"/>
    <w:rsid w:val="00F610CB"/>
    <w:rsid w:val="00F63542"/>
    <w:rsid w:val="00F6482B"/>
    <w:rsid w:val="00F6593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37CF"/>
    <w:rsid w:val="00F8471B"/>
    <w:rsid w:val="00F848D2"/>
    <w:rsid w:val="00F84E9D"/>
    <w:rsid w:val="00F911FF"/>
    <w:rsid w:val="00F92C7A"/>
    <w:rsid w:val="00F93C91"/>
    <w:rsid w:val="00F94BF8"/>
    <w:rsid w:val="00F94E2F"/>
    <w:rsid w:val="00F95457"/>
    <w:rsid w:val="00FA0377"/>
    <w:rsid w:val="00FA0A7A"/>
    <w:rsid w:val="00FA0DF9"/>
    <w:rsid w:val="00FA261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12ED"/>
    <w:rsid w:val="00FC2524"/>
    <w:rsid w:val="00FC2650"/>
    <w:rsid w:val="00FC3B10"/>
    <w:rsid w:val="00FC4E3D"/>
    <w:rsid w:val="00FC59CA"/>
    <w:rsid w:val="00FC5BE6"/>
    <w:rsid w:val="00FC5CAF"/>
    <w:rsid w:val="00FC6985"/>
    <w:rsid w:val="00FC6C7C"/>
    <w:rsid w:val="00FC6DCB"/>
    <w:rsid w:val="00FD2827"/>
    <w:rsid w:val="00FD37B4"/>
    <w:rsid w:val="00FD37F5"/>
    <w:rsid w:val="00FD41BB"/>
    <w:rsid w:val="00FD433F"/>
    <w:rsid w:val="00FD5B1D"/>
    <w:rsid w:val="00FD6847"/>
    <w:rsid w:val="00FD7D1F"/>
    <w:rsid w:val="00FE22FA"/>
    <w:rsid w:val="00FE25DC"/>
    <w:rsid w:val="00FE2D95"/>
    <w:rsid w:val="00FE3809"/>
    <w:rsid w:val="00FE39A3"/>
    <w:rsid w:val="00FE4539"/>
    <w:rsid w:val="00FE4BF0"/>
    <w:rsid w:val="00FE4F16"/>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110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0B1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10D"/>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basedOn w:val="DefaultParagraphFont"/>
    <w:link w:val="CommentText"/>
    <w:semiHidden/>
    <w:rsid w:val="00A546DF"/>
    <w:rPr>
      <w:rFonts w:asciiTheme="minorHAnsi" w:eastAsiaTheme="minorHAnsi" w:hAnsiTheme="minorHAnsi" w:cstheme="minorBidi"/>
      <w:szCs w:val="22"/>
      <w:lang w:eastAsia="en-US"/>
    </w:rPr>
  </w:style>
  <w:style w:type="paragraph" w:customStyle="1" w:styleId="LDP31">
    <w:name w:val="LDP3 (1.)"/>
    <w:basedOn w:val="LDP2i0"/>
    <w:link w:val="LDP31Char"/>
    <w:qFormat/>
    <w:rsid w:val="004847EC"/>
    <w:pPr>
      <w:tabs>
        <w:tab w:val="clear" w:pos="1418"/>
        <w:tab w:val="clear" w:pos="1559"/>
        <w:tab w:val="left" w:pos="1985"/>
      </w:tabs>
      <w:ind w:left="1985" w:hanging="567"/>
    </w:pPr>
  </w:style>
  <w:style w:type="character" w:customStyle="1" w:styleId="LDP31Char">
    <w:name w:val="LDP3 (1.) Char"/>
    <w:link w:val="LDP31"/>
    <w:rsid w:val="004847E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110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0B1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10D"/>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basedOn w:val="DefaultParagraphFont"/>
    <w:link w:val="CommentText"/>
    <w:semiHidden/>
    <w:rsid w:val="00A546DF"/>
    <w:rPr>
      <w:rFonts w:asciiTheme="minorHAnsi" w:eastAsiaTheme="minorHAnsi" w:hAnsiTheme="minorHAnsi" w:cstheme="minorBidi"/>
      <w:szCs w:val="22"/>
      <w:lang w:eastAsia="en-US"/>
    </w:rPr>
  </w:style>
  <w:style w:type="paragraph" w:customStyle="1" w:styleId="LDP31">
    <w:name w:val="LDP3 (1.)"/>
    <w:basedOn w:val="LDP2i0"/>
    <w:link w:val="LDP31Char"/>
    <w:qFormat/>
    <w:rsid w:val="004847EC"/>
    <w:pPr>
      <w:tabs>
        <w:tab w:val="clear" w:pos="1418"/>
        <w:tab w:val="clear" w:pos="1559"/>
        <w:tab w:val="left" w:pos="1985"/>
      </w:tabs>
      <w:ind w:left="1985" w:hanging="567"/>
    </w:pPr>
  </w:style>
  <w:style w:type="character" w:customStyle="1" w:styleId="LDP31Char">
    <w:name w:val="LDP3 (1.) Char"/>
    <w:link w:val="LDP31"/>
    <w:rsid w:val="004847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5EA3-C515-4698-9A3D-0E9CB509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CASA EX146/21</vt:lpstr>
    </vt:vector>
  </TitlesOfParts>
  <Company>Civil Aviation Safety Authority</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EX146/21</dc:title>
  <dc:subject>Amendment of CASA EX81/21 – Instrument 2021</dc:subject>
  <dc:creator>Civil Aviation Safety Authority</dc:creator>
  <cp:lastModifiedBy>Nadia Spesyvy</cp:lastModifiedBy>
  <cp:revision>5</cp:revision>
  <cp:lastPrinted>2021-09-13T23:16:00Z</cp:lastPrinted>
  <dcterms:created xsi:type="dcterms:W3CDTF">2021-11-30T18:59:00Z</dcterms:created>
  <dcterms:modified xsi:type="dcterms:W3CDTF">2021-11-30T20:25:00Z</dcterms:modified>
  <cp:category>Exemptions</cp:category>
</cp:coreProperties>
</file>