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FCE46" w14:textId="77777777" w:rsidR="00ED3487" w:rsidRDefault="00E91983">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1D8915E5" w14:textId="77777777" w:rsidR="00ED3487" w:rsidRDefault="00E91983">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the Minister for </w:t>
      </w:r>
      <w:r w:rsidR="007523DB">
        <w:rPr>
          <w:rFonts w:ascii="Times New Roman" w:hAnsi="Times New Roman" w:cs="Times New Roman"/>
          <w:sz w:val="24"/>
          <w:szCs w:val="24"/>
          <w:u w:val="single"/>
        </w:rPr>
        <w:t xml:space="preserve">Industry, </w:t>
      </w:r>
      <w:r>
        <w:rPr>
          <w:rFonts w:ascii="Times New Roman" w:hAnsi="Times New Roman" w:cs="Times New Roman"/>
          <w:sz w:val="24"/>
          <w:szCs w:val="24"/>
          <w:u w:val="single"/>
        </w:rPr>
        <w:t>Energy and Emissions Reduction</w:t>
      </w:r>
    </w:p>
    <w:p w14:paraId="2F19AA17" w14:textId="77777777" w:rsidR="00ED3487" w:rsidRDefault="00E91983">
      <w:pPr>
        <w:spacing w:before="240" w:after="240"/>
        <w:jc w:val="center"/>
        <w:rPr>
          <w:rFonts w:ascii="Times New Roman" w:hAnsi="Times New Roman" w:cs="Times New Roman"/>
          <w:i/>
          <w:sz w:val="24"/>
          <w:szCs w:val="24"/>
        </w:rPr>
      </w:pPr>
      <w:r>
        <w:rPr>
          <w:rFonts w:ascii="Times New Roman" w:hAnsi="Times New Roman" w:cs="Times New Roman"/>
          <w:i/>
          <w:sz w:val="24"/>
          <w:szCs w:val="24"/>
        </w:rPr>
        <w:t>Industry Research and Development Act 1986</w:t>
      </w:r>
    </w:p>
    <w:p w14:paraId="069EFB2B" w14:textId="77777777" w:rsidR="00ED3487" w:rsidRDefault="00E91983">
      <w:pPr>
        <w:spacing w:before="240" w:after="240"/>
        <w:jc w:val="center"/>
        <w:rPr>
          <w:rFonts w:ascii="Times New Roman" w:hAnsi="Times New Roman" w:cs="Times New Roman"/>
          <w:i/>
          <w:sz w:val="24"/>
          <w:szCs w:val="24"/>
        </w:rPr>
      </w:pPr>
      <w:r>
        <w:rPr>
          <w:rFonts w:ascii="Times New Roman" w:hAnsi="Times New Roman" w:cs="Times New Roman"/>
          <w:i/>
          <w:sz w:val="24"/>
          <w:szCs w:val="24"/>
        </w:rPr>
        <w:t>Industry Research and Development (Underwriting New Generation Investments Program) Instrument 202</w:t>
      </w:r>
      <w:r w:rsidR="00843C6F">
        <w:rPr>
          <w:rFonts w:ascii="Times New Roman" w:hAnsi="Times New Roman" w:cs="Times New Roman"/>
          <w:i/>
          <w:sz w:val="24"/>
          <w:szCs w:val="24"/>
        </w:rPr>
        <w:t>1</w:t>
      </w:r>
    </w:p>
    <w:p w14:paraId="1C1646B0" w14:textId="77777777" w:rsidR="00ED3487" w:rsidRDefault="00E91983">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Purpose and Operation</w:t>
      </w:r>
    </w:p>
    <w:p w14:paraId="1DA28BE8" w14:textId="77777777" w:rsidR="00ED3487" w:rsidRDefault="00E91983">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Pr>
          <w:rFonts w:ascii="Times New Roman" w:hAnsi="Times New Roman" w:cs="Times New Roman"/>
          <w:sz w:val="24"/>
          <w:szCs w:val="24"/>
        </w:rPr>
        <w:t xml:space="preserve"> (the IR&amp;D Act) provides a mechanism for the Minister to prescribe programs, by disallowable legislative instrument, in relation to industry, innovation, science or research, including in relation to the expenditure of Commonwealth money under such programs. </w:t>
      </w:r>
    </w:p>
    <w:p w14:paraId="7FDDFF12" w14:textId="77777777" w:rsidR="00ED3487" w:rsidRDefault="00E91983">
      <w:pPr>
        <w:spacing w:before="240" w:after="240"/>
        <w:rPr>
          <w:rFonts w:ascii="Times New Roman" w:hAnsi="Times New Roman" w:cs="Times New Roman"/>
          <w:sz w:val="24"/>
          <w:szCs w:val="24"/>
        </w:rPr>
      </w:pPr>
      <w:r>
        <w:rPr>
          <w:rFonts w:ascii="Times New Roman" w:hAnsi="Times New Roman" w:cs="Times New Roman"/>
          <w:sz w:val="24"/>
          <w:szCs w:val="24"/>
        </w:rPr>
        <w:t xml:space="preserve">The statutory framework provided by section 33 enables a level of flexibility to provide authority for Commonwealth spending activities in relation to industry, innovation, science and research programs. This allows the </w:t>
      </w:r>
      <w:r w:rsidR="007B4E46">
        <w:rPr>
          <w:rFonts w:ascii="Times New Roman" w:hAnsi="Times New Roman" w:cs="Times New Roman"/>
          <w:sz w:val="24"/>
          <w:szCs w:val="24"/>
        </w:rPr>
        <w:t>g</w:t>
      </w:r>
      <w:r>
        <w:rPr>
          <w:rFonts w:ascii="Times New Roman" w:hAnsi="Times New Roman" w:cs="Times New Roman"/>
          <w:sz w:val="24"/>
          <w:szCs w:val="24"/>
        </w:rPr>
        <w:t xml:space="preserve">overnment to respond quickly and appropriately to the need to implement innovative ideas and pilot programs on an ongoing basis and as opportunities arise. Prescribing programs in legislative instruments provides transparency and parliamentary oversight of </w:t>
      </w:r>
      <w:r w:rsidR="003B674E">
        <w:rPr>
          <w:rFonts w:ascii="Times New Roman" w:hAnsi="Times New Roman" w:cs="Times New Roman"/>
          <w:sz w:val="24"/>
          <w:szCs w:val="24"/>
        </w:rPr>
        <w:t>g</w:t>
      </w:r>
      <w:r>
        <w:rPr>
          <w:rFonts w:ascii="Times New Roman" w:hAnsi="Times New Roman" w:cs="Times New Roman"/>
          <w:sz w:val="24"/>
          <w:szCs w:val="24"/>
        </w:rPr>
        <w:t xml:space="preserve">overnment programs and spending activities, whilst reducing administrative burden on the Commonwealth. </w:t>
      </w:r>
    </w:p>
    <w:p w14:paraId="028F53CC" w14:textId="77777777" w:rsidR="00ED3487" w:rsidRDefault="00E91983">
      <w:pPr>
        <w:spacing w:before="240" w:after="240"/>
        <w:rPr>
          <w:rFonts w:ascii="Times New Roman" w:hAnsi="Times New Roman" w:cs="Times New Roman"/>
          <w:sz w:val="24"/>
          <w:szCs w:val="24"/>
        </w:rPr>
      </w:pPr>
      <w:r>
        <w:rPr>
          <w:rFonts w:ascii="Times New Roman" w:hAnsi="Times New Roman" w:cs="Times New Roman"/>
          <w:sz w:val="24"/>
          <w:szCs w:val="24"/>
        </w:rPr>
        <w:t xml:space="preserve">Once a program is prescribed under section 33, subsection 34(1) allows the Commonwealth to make, vary or administer arrangements in relation to activities under the program. Arrangements may include contracts, funding agreements or other arrangements, and may </w:t>
      </w:r>
      <w:proofErr w:type="gramStart"/>
      <w:r>
        <w:rPr>
          <w:rFonts w:ascii="Times New Roman" w:hAnsi="Times New Roman" w:cs="Times New Roman"/>
          <w:sz w:val="24"/>
          <w:szCs w:val="24"/>
        </w:rPr>
        <w:t>provide</w:t>
      </w:r>
      <w:proofErr w:type="gramEnd"/>
      <w:r>
        <w:rPr>
          <w:rFonts w:ascii="Times New Roman" w:hAnsi="Times New Roman" w:cs="Times New Roman"/>
          <w:sz w:val="24"/>
          <w:szCs w:val="24"/>
        </w:rPr>
        <w:t xml:space="preserve"> for money to be payable by the Commonwealth to one or more third parties. The power conferred on the Commonwealth by subsection 34(1) may be exercised on behalf of the Commonwealth by a Minister or an accountable authority of a non-corporate entity, or by their delegate (under section 36). </w:t>
      </w:r>
    </w:p>
    <w:p w14:paraId="4F8E6F22" w14:textId="77777777" w:rsidR="00ED3487" w:rsidRDefault="00E91983" w:rsidP="009D27B1">
      <w:pPr>
        <w:rPr>
          <w:rFonts w:ascii="Times New Roman" w:hAnsi="Times New Roman" w:cs="Times New Roman"/>
          <w:sz w:val="24"/>
          <w:szCs w:val="24"/>
        </w:rPr>
      </w:pPr>
      <w:r>
        <w:rPr>
          <w:rFonts w:ascii="Times New Roman" w:hAnsi="Times New Roman" w:cs="Times New Roman"/>
          <w:sz w:val="24"/>
          <w:szCs w:val="24"/>
        </w:rPr>
        <w:t xml:space="preserve">The purpose of the </w:t>
      </w:r>
      <w:r>
        <w:rPr>
          <w:rFonts w:ascii="Times New Roman" w:hAnsi="Times New Roman" w:cs="Times New Roman"/>
          <w:i/>
          <w:sz w:val="24"/>
          <w:szCs w:val="24"/>
        </w:rPr>
        <w:t xml:space="preserve">Industry Research and Development (Underwriting New Generation Investments </w:t>
      </w:r>
      <w:r w:rsidR="004F4009">
        <w:rPr>
          <w:rFonts w:ascii="Times New Roman" w:hAnsi="Times New Roman" w:cs="Times New Roman"/>
          <w:i/>
          <w:sz w:val="24"/>
          <w:szCs w:val="24"/>
        </w:rPr>
        <w:t>P</w:t>
      </w:r>
      <w:r>
        <w:rPr>
          <w:rFonts w:ascii="Times New Roman" w:hAnsi="Times New Roman" w:cs="Times New Roman"/>
          <w:i/>
          <w:sz w:val="24"/>
          <w:szCs w:val="24"/>
        </w:rPr>
        <w:t>rogram) Instrument 202</w:t>
      </w:r>
      <w:r w:rsidR="00204C99">
        <w:rPr>
          <w:rFonts w:ascii="Times New Roman" w:hAnsi="Times New Roman" w:cs="Times New Roman"/>
          <w:i/>
          <w:sz w:val="24"/>
          <w:szCs w:val="24"/>
        </w:rPr>
        <w:t>1</w:t>
      </w:r>
      <w:r>
        <w:rPr>
          <w:rFonts w:ascii="Times New Roman" w:hAnsi="Times New Roman" w:cs="Times New Roman"/>
          <w:sz w:val="24"/>
          <w:szCs w:val="24"/>
        </w:rPr>
        <w:t xml:space="preserve"> (the Legislative Instrument) is to prescribe the Underwriting New Generation Investments </w:t>
      </w:r>
      <w:r w:rsidR="00237324">
        <w:rPr>
          <w:rFonts w:ascii="Times New Roman" w:hAnsi="Times New Roman" w:cs="Times New Roman"/>
          <w:sz w:val="24"/>
          <w:szCs w:val="24"/>
        </w:rPr>
        <w:t>P</w:t>
      </w:r>
      <w:r>
        <w:rPr>
          <w:rFonts w:ascii="Times New Roman" w:hAnsi="Times New Roman" w:cs="Times New Roman"/>
          <w:sz w:val="24"/>
          <w:szCs w:val="24"/>
        </w:rPr>
        <w:t xml:space="preserve">rogram (the </w:t>
      </w:r>
      <w:r w:rsidR="004F4009">
        <w:rPr>
          <w:rFonts w:ascii="Times New Roman" w:hAnsi="Times New Roman" w:cs="Times New Roman"/>
          <w:sz w:val="24"/>
          <w:szCs w:val="24"/>
        </w:rPr>
        <w:t>P</w:t>
      </w:r>
      <w:r>
        <w:rPr>
          <w:rFonts w:ascii="Times New Roman" w:hAnsi="Times New Roman" w:cs="Times New Roman"/>
          <w:sz w:val="24"/>
          <w:szCs w:val="24"/>
        </w:rPr>
        <w:t>rogram).</w:t>
      </w:r>
      <w:r w:rsidR="008D369E">
        <w:rPr>
          <w:rFonts w:ascii="Times New Roman" w:hAnsi="Times New Roman" w:cs="Times New Roman"/>
          <w:sz w:val="24"/>
          <w:szCs w:val="24"/>
        </w:rPr>
        <w:t xml:space="preserve"> </w:t>
      </w:r>
      <w:r w:rsidR="008D369E" w:rsidRPr="008D369E">
        <w:rPr>
          <w:rFonts w:ascii="Times New Roman" w:hAnsi="Times New Roman" w:cs="Times New Roman"/>
          <w:sz w:val="24"/>
          <w:szCs w:val="24"/>
        </w:rPr>
        <w:t xml:space="preserve">The purpose of the </w:t>
      </w:r>
      <w:r w:rsidR="004F4009">
        <w:rPr>
          <w:rFonts w:ascii="Times New Roman" w:hAnsi="Times New Roman" w:cs="Times New Roman"/>
          <w:sz w:val="24"/>
          <w:szCs w:val="24"/>
        </w:rPr>
        <w:t>P</w:t>
      </w:r>
      <w:r w:rsidR="008D369E" w:rsidRPr="008D369E">
        <w:rPr>
          <w:rFonts w:ascii="Times New Roman" w:hAnsi="Times New Roman" w:cs="Times New Roman"/>
          <w:sz w:val="24"/>
          <w:szCs w:val="24"/>
        </w:rPr>
        <w:t>rogram is</w:t>
      </w:r>
      <w:r w:rsidR="004B3632">
        <w:rPr>
          <w:rFonts w:ascii="Times New Roman" w:hAnsi="Times New Roman" w:cs="Times New Roman"/>
          <w:sz w:val="24"/>
          <w:szCs w:val="24"/>
        </w:rPr>
        <w:t xml:space="preserve">, by </w:t>
      </w:r>
      <w:r w:rsidR="008D369E" w:rsidRPr="008D369E">
        <w:rPr>
          <w:rFonts w:ascii="Times New Roman" w:hAnsi="Times New Roman" w:cs="Times New Roman"/>
          <w:sz w:val="24"/>
          <w:szCs w:val="24"/>
        </w:rPr>
        <w:t>support</w:t>
      </w:r>
      <w:r w:rsidR="004B3632">
        <w:rPr>
          <w:rFonts w:ascii="Times New Roman" w:hAnsi="Times New Roman" w:cs="Times New Roman"/>
          <w:sz w:val="24"/>
          <w:szCs w:val="24"/>
        </w:rPr>
        <w:t>ing</w:t>
      </w:r>
      <w:r w:rsidR="008D369E" w:rsidRPr="008D369E">
        <w:rPr>
          <w:rFonts w:ascii="Times New Roman" w:hAnsi="Times New Roman" w:cs="Times New Roman"/>
          <w:sz w:val="24"/>
          <w:szCs w:val="24"/>
        </w:rPr>
        <w:t xml:space="preserve"> new investments in </w:t>
      </w:r>
      <w:proofErr w:type="spellStart"/>
      <w:r w:rsidR="008D369E" w:rsidRPr="008D369E">
        <w:rPr>
          <w:rFonts w:ascii="Times New Roman" w:hAnsi="Times New Roman" w:cs="Times New Roman"/>
          <w:sz w:val="24"/>
          <w:szCs w:val="24"/>
        </w:rPr>
        <w:t>dispatchable</w:t>
      </w:r>
      <w:proofErr w:type="spellEnd"/>
      <w:r w:rsidR="008D369E" w:rsidRPr="008D369E">
        <w:rPr>
          <w:rFonts w:ascii="Times New Roman" w:hAnsi="Times New Roman" w:cs="Times New Roman"/>
          <w:sz w:val="24"/>
          <w:szCs w:val="24"/>
        </w:rPr>
        <w:t xml:space="preserve"> electricity generation projects</w:t>
      </w:r>
      <w:r w:rsidR="004B3632">
        <w:rPr>
          <w:rFonts w:ascii="Times New Roman" w:hAnsi="Times New Roman" w:cs="Times New Roman"/>
          <w:sz w:val="24"/>
          <w:szCs w:val="24"/>
        </w:rPr>
        <w:t>, to</w:t>
      </w:r>
      <w:r w:rsidR="008D369E" w:rsidRPr="008D369E">
        <w:rPr>
          <w:rFonts w:ascii="Times New Roman" w:hAnsi="Times New Roman" w:cs="Times New Roman"/>
          <w:sz w:val="24"/>
          <w:szCs w:val="24"/>
        </w:rPr>
        <w:t>:</w:t>
      </w:r>
    </w:p>
    <w:p w14:paraId="264A43C5" w14:textId="77777777" w:rsidR="00ED3487" w:rsidRPr="009D27B1" w:rsidRDefault="00E236BA" w:rsidP="00C807F6">
      <w:pPr>
        <w:pStyle w:val="ListParagraph"/>
        <w:numPr>
          <w:ilvl w:val="0"/>
          <w:numId w:val="30"/>
        </w:numPr>
        <w:spacing w:before="240" w:after="240"/>
        <w:rPr>
          <w:rFonts w:ascii="Times New Roman" w:hAnsi="Times New Roman" w:cs="Times New Roman"/>
          <w:sz w:val="24"/>
          <w:szCs w:val="24"/>
        </w:rPr>
      </w:pPr>
      <w:r w:rsidRPr="00E236BA">
        <w:rPr>
          <w:rFonts w:ascii="Times New Roman" w:hAnsi="Times New Roman" w:cs="Times New Roman"/>
          <w:sz w:val="24"/>
          <w:szCs w:val="24"/>
        </w:rPr>
        <w:t>reduce wholesale electricity prices by increa</w:t>
      </w:r>
      <w:r>
        <w:rPr>
          <w:rFonts w:ascii="Times New Roman" w:hAnsi="Times New Roman" w:cs="Times New Roman"/>
          <w:sz w:val="24"/>
          <w:szCs w:val="24"/>
        </w:rPr>
        <w:t>sing competition and supply</w:t>
      </w:r>
      <w:r w:rsidR="00E91983" w:rsidRPr="009D27B1">
        <w:rPr>
          <w:rFonts w:ascii="Times New Roman" w:hAnsi="Times New Roman" w:cs="Times New Roman"/>
          <w:sz w:val="24"/>
          <w:szCs w:val="24"/>
        </w:rPr>
        <w:t>; and</w:t>
      </w:r>
    </w:p>
    <w:p w14:paraId="0A16B3F0" w14:textId="77777777" w:rsidR="00ED3487" w:rsidRPr="009D27B1" w:rsidRDefault="00E236BA" w:rsidP="00E236BA">
      <w:pPr>
        <w:pStyle w:val="ListParagraph"/>
        <w:numPr>
          <w:ilvl w:val="0"/>
          <w:numId w:val="30"/>
        </w:numPr>
        <w:spacing w:before="240" w:after="240"/>
        <w:rPr>
          <w:rFonts w:ascii="Times New Roman" w:hAnsi="Times New Roman" w:cs="Times New Roman"/>
          <w:sz w:val="24"/>
          <w:szCs w:val="24"/>
        </w:rPr>
      </w:pPr>
      <w:r w:rsidRPr="00E236BA">
        <w:rPr>
          <w:rFonts w:ascii="Times New Roman" w:hAnsi="Times New Roman" w:cs="Times New Roman"/>
          <w:sz w:val="24"/>
          <w:szCs w:val="24"/>
        </w:rPr>
        <w:t>assist commercial and industrial customers and smaller retailers to access affordable energy supply arrangements</w:t>
      </w:r>
      <w:r w:rsidR="00E91983" w:rsidRPr="009D27B1">
        <w:rPr>
          <w:rFonts w:ascii="Times New Roman" w:hAnsi="Times New Roman" w:cs="Times New Roman"/>
          <w:sz w:val="24"/>
          <w:szCs w:val="24"/>
        </w:rPr>
        <w:t>; and</w:t>
      </w:r>
    </w:p>
    <w:p w14:paraId="2401A9B9" w14:textId="77777777" w:rsidR="00ED3487" w:rsidRDefault="00E236BA" w:rsidP="00E236BA">
      <w:pPr>
        <w:pStyle w:val="ListParagraph"/>
        <w:numPr>
          <w:ilvl w:val="0"/>
          <w:numId w:val="30"/>
        </w:numPr>
        <w:spacing w:before="240" w:after="240"/>
        <w:rPr>
          <w:rFonts w:ascii="Times New Roman" w:hAnsi="Times New Roman" w:cs="Times New Roman"/>
          <w:sz w:val="24"/>
          <w:szCs w:val="24"/>
        </w:rPr>
      </w:pPr>
      <w:proofErr w:type="gramStart"/>
      <w:r w:rsidRPr="00E236BA">
        <w:rPr>
          <w:rFonts w:ascii="Times New Roman" w:hAnsi="Times New Roman" w:cs="Times New Roman"/>
          <w:sz w:val="24"/>
          <w:szCs w:val="24"/>
        </w:rPr>
        <w:t>improve</w:t>
      </w:r>
      <w:proofErr w:type="gramEnd"/>
      <w:r w:rsidRPr="00E236BA">
        <w:rPr>
          <w:rFonts w:ascii="Times New Roman" w:hAnsi="Times New Roman" w:cs="Times New Roman"/>
          <w:sz w:val="24"/>
          <w:szCs w:val="24"/>
        </w:rPr>
        <w:t xml:space="preserve"> </w:t>
      </w:r>
      <w:r w:rsidR="004B3632">
        <w:rPr>
          <w:rFonts w:ascii="Times New Roman" w:hAnsi="Times New Roman" w:cs="Times New Roman"/>
          <w:sz w:val="24"/>
          <w:szCs w:val="24"/>
        </w:rPr>
        <w:t xml:space="preserve">the </w:t>
      </w:r>
      <w:r w:rsidRPr="00E236BA">
        <w:rPr>
          <w:rFonts w:ascii="Times New Roman" w:hAnsi="Times New Roman" w:cs="Times New Roman"/>
          <w:sz w:val="24"/>
          <w:szCs w:val="24"/>
        </w:rPr>
        <w:t xml:space="preserve">reliability </w:t>
      </w:r>
      <w:r w:rsidR="004B3632">
        <w:rPr>
          <w:rFonts w:ascii="Times New Roman" w:hAnsi="Times New Roman" w:cs="Times New Roman"/>
          <w:sz w:val="24"/>
          <w:szCs w:val="24"/>
        </w:rPr>
        <w:t xml:space="preserve">of the system </w:t>
      </w:r>
      <w:r w:rsidRPr="00E236BA">
        <w:rPr>
          <w:rFonts w:ascii="Times New Roman" w:hAnsi="Times New Roman" w:cs="Times New Roman"/>
          <w:sz w:val="24"/>
          <w:szCs w:val="24"/>
        </w:rPr>
        <w:t>by increasing the level</w:t>
      </w:r>
      <w:r w:rsidR="004B3632">
        <w:rPr>
          <w:rFonts w:ascii="Times New Roman" w:hAnsi="Times New Roman" w:cs="Times New Roman"/>
          <w:sz w:val="24"/>
          <w:szCs w:val="24"/>
        </w:rPr>
        <w:t xml:space="preserve"> of firm capacity.</w:t>
      </w:r>
    </w:p>
    <w:p w14:paraId="6ED8E623" w14:textId="77777777" w:rsidR="00A71F2E" w:rsidRPr="009D27B1" w:rsidRDefault="00A71F2E" w:rsidP="00A71F2E">
      <w:pPr>
        <w:pStyle w:val="ListParagraph"/>
        <w:spacing w:before="240" w:after="240"/>
        <w:rPr>
          <w:rFonts w:ascii="Times New Roman" w:hAnsi="Times New Roman" w:cs="Times New Roman"/>
          <w:sz w:val="24"/>
          <w:szCs w:val="24"/>
        </w:rPr>
      </w:pPr>
    </w:p>
    <w:p w14:paraId="1201B4F1" w14:textId="77777777" w:rsidR="00ED3487" w:rsidRDefault="00E91983">
      <w:pPr>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237324">
        <w:rPr>
          <w:rFonts w:ascii="Times New Roman" w:hAnsi="Times New Roman" w:cs="Times New Roman"/>
          <w:sz w:val="24"/>
          <w:szCs w:val="24"/>
        </w:rPr>
        <w:t>P</w:t>
      </w:r>
      <w:r>
        <w:rPr>
          <w:rFonts w:ascii="Times New Roman" w:hAnsi="Times New Roman" w:cs="Times New Roman"/>
          <w:sz w:val="24"/>
          <w:szCs w:val="24"/>
        </w:rPr>
        <w:t xml:space="preserve">rogram will achieve this objective by providing support to eligible new </w:t>
      </w:r>
      <w:proofErr w:type="spellStart"/>
      <w:r>
        <w:rPr>
          <w:rFonts w:ascii="Times New Roman" w:hAnsi="Times New Roman" w:cs="Times New Roman"/>
          <w:sz w:val="24"/>
          <w:szCs w:val="24"/>
        </w:rPr>
        <w:t>dispatchable</w:t>
      </w:r>
      <w:proofErr w:type="spellEnd"/>
      <w:r>
        <w:rPr>
          <w:rFonts w:ascii="Times New Roman" w:hAnsi="Times New Roman" w:cs="Times New Roman"/>
          <w:sz w:val="24"/>
          <w:szCs w:val="24"/>
        </w:rPr>
        <w:t xml:space="preserve"> electricity generation projects, including projects to build new </w:t>
      </w:r>
      <w:proofErr w:type="spellStart"/>
      <w:r>
        <w:rPr>
          <w:rFonts w:ascii="Times New Roman" w:hAnsi="Times New Roman" w:cs="Times New Roman"/>
          <w:sz w:val="24"/>
          <w:szCs w:val="24"/>
        </w:rPr>
        <w:t>dispatchable</w:t>
      </w:r>
      <w:proofErr w:type="spellEnd"/>
      <w:r>
        <w:rPr>
          <w:rFonts w:ascii="Times New Roman" w:hAnsi="Times New Roman" w:cs="Times New Roman"/>
          <w:sz w:val="24"/>
          <w:szCs w:val="24"/>
        </w:rPr>
        <w:t xml:space="preserve"> generators (generators that can dispatch electricity on demand) and projects to upgrade the capacity or efficiency of existing </w:t>
      </w:r>
      <w:proofErr w:type="spellStart"/>
      <w:r>
        <w:rPr>
          <w:rFonts w:ascii="Times New Roman" w:hAnsi="Times New Roman" w:cs="Times New Roman"/>
          <w:sz w:val="24"/>
          <w:szCs w:val="24"/>
        </w:rPr>
        <w:t>dispatchable</w:t>
      </w:r>
      <w:proofErr w:type="spellEnd"/>
      <w:r>
        <w:rPr>
          <w:rFonts w:ascii="Times New Roman" w:hAnsi="Times New Roman" w:cs="Times New Roman"/>
          <w:sz w:val="24"/>
          <w:szCs w:val="24"/>
        </w:rPr>
        <w:t xml:space="preserve"> generators. </w:t>
      </w:r>
    </w:p>
    <w:p w14:paraId="66874E80" w14:textId="77777777" w:rsidR="00ED3487" w:rsidRDefault="008F6038">
      <w:pPr>
        <w:spacing w:before="240" w:after="240"/>
        <w:rPr>
          <w:rFonts w:ascii="Times New Roman" w:hAnsi="Times New Roman" w:cs="Times New Roman"/>
          <w:sz w:val="24"/>
          <w:szCs w:val="24"/>
        </w:rPr>
      </w:pPr>
      <w:r>
        <w:rPr>
          <w:rFonts w:ascii="Times New Roman" w:hAnsi="Times New Roman" w:cs="Times New Roman"/>
          <w:sz w:val="24"/>
          <w:szCs w:val="24"/>
        </w:rPr>
        <w:t>S</w:t>
      </w:r>
      <w:r w:rsidR="00E91983">
        <w:rPr>
          <w:rFonts w:ascii="Times New Roman" w:hAnsi="Times New Roman" w:cs="Times New Roman"/>
          <w:sz w:val="24"/>
          <w:szCs w:val="24"/>
        </w:rPr>
        <w:t xml:space="preserve">upport </w:t>
      </w:r>
      <w:r w:rsidR="00A1407F">
        <w:rPr>
          <w:rFonts w:ascii="Times New Roman" w:hAnsi="Times New Roman" w:cs="Times New Roman"/>
          <w:sz w:val="24"/>
          <w:szCs w:val="24"/>
        </w:rPr>
        <w:t>could</w:t>
      </w:r>
      <w:r w:rsidR="00E91983">
        <w:rPr>
          <w:rFonts w:ascii="Times New Roman" w:hAnsi="Times New Roman" w:cs="Times New Roman"/>
          <w:sz w:val="24"/>
          <w:szCs w:val="24"/>
        </w:rPr>
        <w:t xml:space="preserve"> take a number of forms including:</w:t>
      </w:r>
    </w:p>
    <w:p w14:paraId="6FDB733E" w14:textId="77777777" w:rsidR="00ED3487" w:rsidRPr="009D27B1" w:rsidRDefault="00E91983" w:rsidP="00C807F6">
      <w:pPr>
        <w:pStyle w:val="ListParagraph"/>
        <w:numPr>
          <w:ilvl w:val="0"/>
          <w:numId w:val="31"/>
        </w:numPr>
        <w:spacing w:before="240" w:after="240"/>
        <w:rPr>
          <w:rFonts w:ascii="Times New Roman" w:hAnsi="Times New Roman" w:cs="Times New Roman"/>
          <w:sz w:val="24"/>
          <w:szCs w:val="24"/>
        </w:rPr>
      </w:pPr>
      <w:r>
        <w:rPr>
          <w:rFonts w:ascii="Times New Roman" w:hAnsi="Times New Roman" w:cs="Times New Roman"/>
          <w:sz w:val="24"/>
          <w:szCs w:val="24"/>
        </w:rPr>
        <w:t xml:space="preserve">revenue floor </w:t>
      </w:r>
      <w:r w:rsidRPr="009D27B1">
        <w:rPr>
          <w:rFonts w:ascii="Times New Roman" w:hAnsi="Times New Roman" w:cs="Times New Roman"/>
          <w:sz w:val="24"/>
          <w:szCs w:val="24"/>
        </w:rPr>
        <w:t>arrangements</w:t>
      </w:r>
      <w:r>
        <w:rPr>
          <w:rFonts w:ascii="Times New Roman" w:hAnsi="Times New Roman" w:cs="Times New Roman"/>
          <w:sz w:val="24"/>
          <w:szCs w:val="24"/>
        </w:rPr>
        <w:t>,</w:t>
      </w:r>
      <w:r w:rsidRPr="009D27B1">
        <w:rPr>
          <w:rFonts w:ascii="Times New Roman" w:hAnsi="Times New Roman" w:cs="Times New Roman"/>
          <w:sz w:val="24"/>
          <w:szCs w:val="24"/>
        </w:rPr>
        <w:t xml:space="preserve"> under which the Commonwealth undertakes to provide funding in respect of a project if the revenue generated by</w:t>
      </w:r>
      <w:r>
        <w:rPr>
          <w:rFonts w:ascii="Times New Roman" w:hAnsi="Times New Roman" w:cs="Times New Roman"/>
          <w:sz w:val="24"/>
          <w:szCs w:val="24"/>
        </w:rPr>
        <w:t xml:space="preserve"> specified</w:t>
      </w:r>
      <w:r w:rsidRPr="009D27B1">
        <w:rPr>
          <w:rFonts w:ascii="Times New Roman" w:hAnsi="Times New Roman" w:cs="Times New Roman"/>
          <w:sz w:val="24"/>
          <w:szCs w:val="24"/>
        </w:rPr>
        <w:t xml:space="preserve"> revenue streams</w:t>
      </w:r>
      <w:r>
        <w:rPr>
          <w:rFonts w:ascii="Times New Roman" w:hAnsi="Times New Roman" w:cs="Times New Roman"/>
          <w:sz w:val="24"/>
          <w:szCs w:val="24"/>
        </w:rPr>
        <w:t xml:space="preserve"> </w:t>
      </w:r>
      <w:r w:rsidRPr="009D27B1">
        <w:rPr>
          <w:rFonts w:ascii="Times New Roman" w:hAnsi="Times New Roman" w:cs="Times New Roman"/>
          <w:sz w:val="24"/>
          <w:szCs w:val="24"/>
        </w:rPr>
        <w:t>fall</w:t>
      </w:r>
      <w:r w:rsidR="007B79C0">
        <w:rPr>
          <w:rFonts w:ascii="Times New Roman" w:hAnsi="Times New Roman" w:cs="Times New Roman"/>
          <w:sz w:val="24"/>
          <w:szCs w:val="24"/>
        </w:rPr>
        <w:t>s</w:t>
      </w:r>
      <w:r w:rsidRPr="009D27B1">
        <w:rPr>
          <w:rFonts w:ascii="Times New Roman" w:hAnsi="Times New Roman" w:cs="Times New Roman"/>
          <w:sz w:val="24"/>
          <w:szCs w:val="24"/>
        </w:rPr>
        <w:t xml:space="preserve"> below a </w:t>
      </w:r>
      <w:r>
        <w:rPr>
          <w:rFonts w:ascii="Times New Roman" w:hAnsi="Times New Roman" w:cs="Times New Roman"/>
          <w:sz w:val="24"/>
          <w:szCs w:val="24"/>
        </w:rPr>
        <w:t xml:space="preserve">specified </w:t>
      </w:r>
      <w:r w:rsidRPr="009D27B1">
        <w:rPr>
          <w:rFonts w:ascii="Times New Roman" w:hAnsi="Times New Roman" w:cs="Times New Roman"/>
          <w:sz w:val="24"/>
          <w:szCs w:val="24"/>
        </w:rPr>
        <w:t>level;</w:t>
      </w:r>
    </w:p>
    <w:p w14:paraId="50E0FD32" w14:textId="77777777" w:rsidR="00ED3487" w:rsidRDefault="00E91983" w:rsidP="00C807F6">
      <w:pPr>
        <w:pStyle w:val="ListParagraph"/>
        <w:numPr>
          <w:ilvl w:val="0"/>
          <w:numId w:val="31"/>
        </w:numPr>
        <w:spacing w:before="240" w:after="240"/>
        <w:rPr>
          <w:rFonts w:ascii="Times New Roman" w:hAnsi="Times New Roman" w:cs="Times New Roman"/>
          <w:sz w:val="24"/>
          <w:szCs w:val="24"/>
        </w:rPr>
      </w:pPr>
      <w:r w:rsidRPr="009D27B1">
        <w:rPr>
          <w:rFonts w:ascii="Times New Roman" w:hAnsi="Times New Roman" w:cs="Times New Roman"/>
          <w:sz w:val="24"/>
          <w:szCs w:val="24"/>
        </w:rPr>
        <w:t>loans (including concessional loans</w:t>
      </w:r>
      <w:r w:rsidR="00E867B4" w:rsidRPr="009D27B1">
        <w:rPr>
          <w:rFonts w:ascii="Times New Roman" w:hAnsi="Times New Roman" w:cs="Times New Roman"/>
          <w:sz w:val="24"/>
          <w:szCs w:val="24"/>
        </w:rPr>
        <w:t>)</w:t>
      </w:r>
      <w:r w:rsidR="00E867B4">
        <w:rPr>
          <w:rFonts w:ascii="Times New Roman" w:hAnsi="Times New Roman" w:cs="Times New Roman"/>
          <w:sz w:val="24"/>
          <w:szCs w:val="24"/>
        </w:rPr>
        <w:t>;</w:t>
      </w:r>
      <w:r w:rsidR="00241C62">
        <w:rPr>
          <w:rFonts w:ascii="Times New Roman" w:hAnsi="Times New Roman" w:cs="Times New Roman"/>
          <w:sz w:val="24"/>
          <w:szCs w:val="24"/>
        </w:rPr>
        <w:t xml:space="preserve"> and</w:t>
      </w:r>
    </w:p>
    <w:p w14:paraId="625E41C0" w14:textId="1415FCC2" w:rsidR="00E236BA" w:rsidRPr="009D27B1" w:rsidRDefault="00E867B4" w:rsidP="008D369E">
      <w:pPr>
        <w:pStyle w:val="ListParagraph"/>
        <w:numPr>
          <w:ilvl w:val="0"/>
          <w:numId w:val="31"/>
        </w:numPr>
        <w:spacing w:before="240" w:after="240"/>
        <w:rPr>
          <w:rFonts w:ascii="Times New Roman" w:hAnsi="Times New Roman" w:cs="Times New Roman"/>
          <w:sz w:val="24"/>
          <w:szCs w:val="24"/>
        </w:rPr>
      </w:pPr>
      <w:proofErr w:type="gramStart"/>
      <w:r>
        <w:rPr>
          <w:rFonts w:ascii="Times New Roman" w:hAnsi="Times New Roman" w:cs="Times New Roman"/>
          <w:sz w:val="24"/>
          <w:szCs w:val="24"/>
        </w:rPr>
        <w:t>g</w:t>
      </w:r>
      <w:r w:rsidRPr="009D27B1">
        <w:rPr>
          <w:rFonts w:ascii="Times New Roman" w:hAnsi="Times New Roman" w:cs="Times New Roman"/>
          <w:sz w:val="24"/>
          <w:szCs w:val="24"/>
        </w:rPr>
        <w:t>rants</w:t>
      </w:r>
      <w:proofErr w:type="gramEnd"/>
      <w:r w:rsidR="00747C28">
        <w:rPr>
          <w:rFonts w:ascii="Times New Roman" w:hAnsi="Times New Roman" w:cs="Times New Roman"/>
          <w:sz w:val="24"/>
          <w:szCs w:val="24"/>
        </w:rPr>
        <w:t xml:space="preserve"> </w:t>
      </w:r>
      <w:r w:rsidR="00EC09E8">
        <w:rPr>
          <w:rFonts w:ascii="Times New Roman" w:hAnsi="Times New Roman" w:cs="Times New Roman"/>
          <w:sz w:val="24"/>
          <w:szCs w:val="24"/>
        </w:rPr>
        <w:t xml:space="preserve">including </w:t>
      </w:r>
      <w:r w:rsidR="00747C28">
        <w:rPr>
          <w:rFonts w:ascii="Times New Roman" w:hAnsi="Times New Roman" w:cs="Times New Roman"/>
          <w:sz w:val="24"/>
          <w:szCs w:val="24"/>
        </w:rPr>
        <w:t>for capital works or development activities</w:t>
      </w:r>
      <w:r w:rsidR="008D369E">
        <w:rPr>
          <w:rFonts w:ascii="Times New Roman" w:hAnsi="Times New Roman" w:cs="Times New Roman"/>
          <w:sz w:val="24"/>
          <w:szCs w:val="24"/>
        </w:rPr>
        <w:t>.</w:t>
      </w:r>
    </w:p>
    <w:p w14:paraId="550D53BE" w14:textId="77777777" w:rsidR="00B82009" w:rsidRDefault="00CA4AF3" w:rsidP="00C20738">
      <w:pPr>
        <w:rPr>
          <w:rFonts w:ascii="Times New Roman" w:hAnsi="Times New Roman" w:cs="Times New Roman"/>
          <w:sz w:val="24"/>
          <w:szCs w:val="24"/>
        </w:rPr>
      </w:pPr>
      <w:r>
        <w:rPr>
          <w:rFonts w:ascii="Times New Roman" w:hAnsi="Times New Roman" w:cs="Times New Roman"/>
          <w:sz w:val="24"/>
          <w:szCs w:val="24"/>
        </w:rPr>
        <w:t>The full range of s</w:t>
      </w:r>
      <w:r w:rsidR="00B82009">
        <w:rPr>
          <w:rFonts w:ascii="Times New Roman" w:hAnsi="Times New Roman" w:cs="Times New Roman"/>
          <w:sz w:val="24"/>
          <w:szCs w:val="24"/>
        </w:rPr>
        <w:t xml:space="preserve">upport options available through the Program </w:t>
      </w:r>
      <w:r>
        <w:rPr>
          <w:rFonts w:ascii="Times New Roman" w:hAnsi="Times New Roman" w:cs="Times New Roman"/>
          <w:sz w:val="24"/>
          <w:szCs w:val="24"/>
        </w:rPr>
        <w:t>is</w:t>
      </w:r>
      <w:r w:rsidR="00B82009">
        <w:rPr>
          <w:rFonts w:ascii="Times New Roman" w:hAnsi="Times New Roman" w:cs="Times New Roman"/>
          <w:sz w:val="24"/>
          <w:szCs w:val="24"/>
        </w:rPr>
        <w:t xml:space="preserve"> outlined in </w:t>
      </w:r>
      <w:r w:rsidR="00B82009" w:rsidRPr="005662D6">
        <w:rPr>
          <w:rFonts w:ascii="Times New Roman" w:hAnsi="Times New Roman" w:cs="Times New Roman"/>
          <w:i/>
          <w:sz w:val="24"/>
          <w:szCs w:val="24"/>
        </w:rPr>
        <w:t xml:space="preserve">Section 3 </w:t>
      </w:r>
      <w:r w:rsidR="00AD2E87" w:rsidRPr="00AD2E87">
        <w:rPr>
          <w:rFonts w:ascii="Times New Roman" w:hAnsi="Times New Roman" w:cs="Times New Roman"/>
          <w:i/>
          <w:sz w:val="24"/>
          <w:szCs w:val="24"/>
        </w:rPr>
        <w:t>Support Mechanisms</w:t>
      </w:r>
      <w:r w:rsidR="00B82009">
        <w:rPr>
          <w:rFonts w:ascii="Times New Roman" w:hAnsi="Times New Roman" w:cs="Times New Roman"/>
          <w:sz w:val="24"/>
          <w:szCs w:val="24"/>
        </w:rPr>
        <w:t xml:space="preserve"> of the</w:t>
      </w:r>
      <w:r w:rsidR="00954E8E">
        <w:rPr>
          <w:rFonts w:ascii="Times New Roman" w:hAnsi="Times New Roman" w:cs="Times New Roman"/>
          <w:sz w:val="24"/>
          <w:szCs w:val="24"/>
        </w:rPr>
        <w:t xml:space="preserve"> guidance document</w:t>
      </w:r>
      <w:r w:rsidR="00B82009">
        <w:rPr>
          <w:rFonts w:ascii="Times New Roman" w:hAnsi="Times New Roman" w:cs="Times New Roman"/>
          <w:sz w:val="24"/>
          <w:szCs w:val="24"/>
        </w:rPr>
        <w:t xml:space="preserve"> </w:t>
      </w:r>
      <w:r w:rsidR="00AD2E87" w:rsidRPr="00AD2E87">
        <w:rPr>
          <w:rFonts w:ascii="Times New Roman" w:hAnsi="Times New Roman" w:cs="Times New Roman"/>
          <w:sz w:val="24"/>
          <w:szCs w:val="24"/>
        </w:rPr>
        <w:t xml:space="preserve">Underwriting New Generation Investment program </w:t>
      </w:r>
      <w:r w:rsidR="00954E8E">
        <w:rPr>
          <w:rFonts w:ascii="Times New Roman" w:hAnsi="Times New Roman" w:cs="Times New Roman"/>
          <w:sz w:val="24"/>
          <w:szCs w:val="24"/>
        </w:rPr>
        <w:t>–</w:t>
      </w:r>
      <w:r w:rsidR="00AD2E87" w:rsidRPr="00AD2E87">
        <w:rPr>
          <w:rFonts w:ascii="Times New Roman" w:hAnsi="Times New Roman" w:cs="Times New Roman"/>
          <w:sz w:val="24"/>
          <w:szCs w:val="24"/>
        </w:rPr>
        <w:t xml:space="preserve"> </w:t>
      </w:r>
      <w:r w:rsidR="00954E8E">
        <w:rPr>
          <w:rFonts w:ascii="Times New Roman" w:hAnsi="Times New Roman" w:cs="Times New Roman"/>
          <w:sz w:val="24"/>
          <w:szCs w:val="24"/>
        </w:rPr>
        <w:t xml:space="preserve">Call for </w:t>
      </w:r>
      <w:r w:rsidR="00AD2E87" w:rsidRPr="00AD2E87">
        <w:rPr>
          <w:rFonts w:ascii="Times New Roman" w:hAnsi="Times New Roman" w:cs="Times New Roman"/>
          <w:sz w:val="24"/>
          <w:szCs w:val="24"/>
        </w:rPr>
        <w:t xml:space="preserve">Registrations of Interest </w:t>
      </w:r>
      <w:r w:rsidR="00AD2E87">
        <w:rPr>
          <w:rFonts w:ascii="Times New Roman" w:hAnsi="Times New Roman" w:cs="Times New Roman"/>
          <w:sz w:val="24"/>
          <w:szCs w:val="24"/>
        </w:rPr>
        <w:t xml:space="preserve">available at: </w:t>
      </w:r>
      <w:r w:rsidR="00AD2E87" w:rsidRPr="00AD2E87">
        <w:rPr>
          <w:rFonts w:ascii="Times New Roman" w:hAnsi="Times New Roman" w:cs="Times New Roman"/>
          <w:sz w:val="24"/>
          <w:szCs w:val="24"/>
        </w:rPr>
        <w:t>(</w:t>
      </w:r>
      <w:hyperlink r:id="rId12" w:history="1">
        <w:r w:rsidR="00241C62" w:rsidRPr="00A33980">
          <w:rPr>
            <w:rStyle w:val="Hyperlink"/>
            <w:rFonts w:ascii="Times New Roman" w:hAnsi="Times New Roman" w:cs="Times New Roman"/>
            <w:sz w:val="24"/>
            <w:szCs w:val="24"/>
          </w:rPr>
          <w:t>https://www.energy.gov.au/publications/underwriting-new-generation-investment-program-registrations-interest-guidance-document</w:t>
        </w:r>
      </w:hyperlink>
      <w:r w:rsidR="00AD2E87" w:rsidRPr="00AD2E87">
        <w:rPr>
          <w:rFonts w:ascii="Times New Roman" w:hAnsi="Times New Roman" w:cs="Times New Roman"/>
          <w:sz w:val="24"/>
          <w:szCs w:val="24"/>
        </w:rPr>
        <w:t>)</w:t>
      </w:r>
      <w:r w:rsidR="00B82009">
        <w:rPr>
          <w:rFonts w:ascii="Times New Roman" w:hAnsi="Times New Roman" w:cs="Times New Roman"/>
          <w:sz w:val="24"/>
          <w:szCs w:val="24"/>
        </w:rPr>
        <w:t>.</w:t>
      </w:r>
    </w:p>
    <w:p w14:paraId="7B527690" w14:textId="662A6054" w:rsidR="00C20738" w:rsidRDefault="007B79C0" w:rsidP="00C20738">
      <w:pPr>
        <w:rPr>
          <w:rFonts w:ascii="Times New Roman" w:hAnsi="Times New Roman" w:cs="Times New Roman"/>
          <w:sz w:val="24"/>
          <w:szCs w:val="24"/>
        </w:rPr>
      </w:pPr>
      <w:r>
        <w:rPr>
          <w:rFonts w:ascii="Times New Roman" w:hAnsi="Times New Roman" w:cs="Times New Roman"/>
          <w:sz w:val="24"/>
          <w:szCs w:val="24"/>
        </w:rPr>
        <w:t xml:space="preserve">The </w:t>
      </w:r>
      <w:r w:rsidR="00237324">
        <w:rPr>
          <w:rFonts w:ascii="Times New Roman" w:hAnsi="Times New Roman" w:cs="Times New Roman"/>
          <w:sz w:val="24"/>
          <w:szCs w:val="24"/>
        </w:rPr>
        <w:t>P</w:t>
      </w:r>
      <w:r>
        <w:rPr>
          <w:rFonts w:ascii="Times New Roman" w:hAnsi="Times New Roman" w:cs="Times New Roman"/>
          <w:sz w:val="24"/>
          <w:szCs w:val="24"/>
        </w:rPr>
        <w:t xml:space="preserve">rogram will focus on </w:t>
      </w:r>
      <w:r w:rsidR="005553D0">
        <w:rPr>
          <w:rFonts w:ascii="Times New Roman" w:hAnsi="Times New Roman" w:cs="Times New Roman"/>
          <w:sz w:val="24"/>
          <w:szCs w:val="24"/>
        </w:rPr>
        <w:t>1</w:t>
      </w:r>
      <w:r w:rsidR="00B54EF9">
        <w:rPr>
          <w:rFonts w:ascii="Times New Roman" w:hAnsi="Times New Roman" w:cs="Times New Roman"/>
          <w:sz w:val="24"/>
          <w:szCs w:val="24"/>
        </w:rPr>
        <w:t>0</w:t>
      </w:r>
      <w:r w:rsidR="00C20738">
        <w:rPr>
          <w:rFonts w:ascii="Times New Roman" w:hAnsi="Times New Roman" w:cs="Times New Roman"/>
          <w:sz w:val="24"/>
          <w:szCs w:val="24"/>
        </w:rPr>
        <w:t xml:space="preserve"> of the 12 </w:t>
      </w:r>
      <w:r w:rsidRPr="004D31A6">
        <w:rPr>
          <w:rFonts w:ascii="Times New Roman" w:hAnsi="Times New Roman" w:cs="Times New Roman"/>
          <w:sz w:val="24"/>
          <w:szCs w:val="24"/>
        </w:rPr>
        <w:t>project</w:t>
      </w:r>
      <w:r>
        <w:rPr>
          <w:rFonts w:ascii="Times New Roman" w:hAnsi="Times New Roman" w:cs="Times New Roman"/>
          <w:sz w:val="24"/>
          <w:szCs w:val="24"/>
        </w:rPr>
        <w:t>s</w:t>
      </w:r>
      <w:r w:rsidRPr="004D31A6">
        <w:rPr>
          <w:rFonts w:ascii="Times New Roman" w:hAnsi="Times New Roman" w:cs="Times New Roman"/>
          <w:sz w:val="24"/>
          <w:szCs w:val="24"/>
        </w:rPr>
        <w:t xml:space="preserve"> shortlisted in March 2019 as a result of </w:t>
      </w:r>
      <w:r>
        <w:rPr>
          <w:rFonts w:ascii="Times New Roman" w:hAnsi="Times New Roman" w:cs="Times New Roman"/>
          <w:sz w:val="24"/>
          <w:szCs w:val="24"/>
        </w:rPr>
        <w:t>the</w:t>
      </w:r>
      <w:r w:rsidRPr="004D31A6">
        <w:rPr>
          <w:rFonts w:ascii="Times New Roman" w:hAnsi="Times New Roman" w:cs="Times New Roman"/>
          <w:sz w:val="24"/>
          <w:szCs w:val="24"/>
        </w:rPr>
        <w:t xml:space="preserve"> registration of interest process</w:t>
      </w:r>
      <w:r>
        <w:rPr>
          <w:rFonts w:ascii="Times New Roman" w:hAnsi="Times New Roman" w:cs="Times New Roman"/>
          <w:sz w:val="24"/>
          <w:szCs w:val="24"/>
        </w:rPr>
        <w:t xml:space="preserve"> conducted during December 2018 and January 2019</w:t>
      </w:r>
      <w:r w:rsidRPr="004D31A6">
        <w:rPr>
          <w:rFonts w:ascii="Times New Roman" w:hAnsi="Times New Roman" w:cs="Times New Roman"/>
          <w:sz w:val="24"/>
          <w:szCs w:val="24"/>
        </w:rPr>
        <w:t xml:space="preserve">. </w:t>
      </w:r>
      <w:r w:rsidR="00A71F2E">
        <w:rPr>
          <w:rFonts w:ascii="Times New Roman" w:hAnsi="Times New Roman" w:cs="Times New Roman"/>
          <w:sz w:val="24"/>
          <w:szCs w:val="24"/>
        </w:rPr>
        <w:t>Sixty-six</w:t>
      </w:r>
      <w:r w:rsidR="001D21E9">
        <w:rPr>
          <w:rFonts w:ascii="Times New Roman" w:hAnsi="Times New Roman" w:cs="Times New Roman"/>
          <w:sz w:val="24"/>
          <w:szCs w:val="24"/>
        </w:rPr>
        <w:t xml:space="preserve"> </w:t>
      </w:r>
      <w:r>
        <w:rPr>
          <w:rFonts w:ascii="Times New Roman" w:hAnsi="Times New Roman" w:cs="Times New Roman"/>
          <w:sz w:val="24"/>
          <w:szCs w:val="24"/>
        </w:rPr>
        <w:t>submissions were received as part of that process</w:t>
      </w:r>
      <w:r w:rsidR="00C20738">
        <w:rPr>
          <w:rFonts w:ascii="Times New Roman" w:hAnsi="Times New Roman" w:cs="Times New Roman"/>
          <w:sz w:val="24"/>
          <w:szCs w:val="24"/>
        </w:rPr>
        <w:t xml:space="preserve"> and were assessed against the </w:t>
      </w:r>
      <w:r>
        <w:rPr>
          <w:rFonts w:ascii="Times New Roman" w:hAnsi="Times New Roman" w:cs="Times New Roman"/>
          <w:sz w:val="24"/>
          <w:szCs w:val="24"/>
        </w:rPr>
        <w:t xml:space="preserve">eligibility criteria proposed in the </w:t>
      </w:r>
      <w:r w:rsidR="00C9387A" w:rsidRPr="00C9387A">
        <w:rPr>
          <w:rFonts w:ascii="Times New Roman" w:hAnsi="Times New Roman" w:cs="Times New Roman"/>
          <w:sz w:val="24"/>
          <w:szCs w:val="24"/>
        </w:rPr>
        <w:t>Registrations of Interest Guidance Document</w:t>
      </w:r>
      <w:r>
        <w:rPr>
          <w:rFonts w:ascii="Times New Roman" w:hAnsi="Times New Roman" w:cs="Times New Roman"/>
          <w:sz w:val="24"/>
          <w:szCs w:val="24"/>
        </w:rPr>
        <w:t xml:space="preserve">. </w:t>
      </w:r>
      <w:r w:rsidR="00A71F2E">
        <w:rPr>
          <w:rFonts w:ascii="Times New Roman" w:hAnsi="Times New Roman" w:cs="Times New Roman"/>
          <w:sz w:val="24"/>
          <w:szCs w:val="24"/>
        </w:rPr>
        <w:t>Twelve</w:t>
      </w:r>
      <w:r w:rsidR="00C20738">
        <w:rPr>
          <w:rFonts w:ascii="Times New Roman" w:hAnsi="Times New Roman" w:cs="Times New Roman"/>
          <w:sz w:val="24"/>
          <w:szCs w:val="24"/>
        </w:rPr>
        <w:t xml:space="preserve"> projects were shortlisted as a result of that process, including 6 renewable pumped hydro projects, 5 gas projects and 1 coal upgrade project. The coal upgrade project is no longer </w:t>
      </w:r>
      <w:r w:rsidR="00591FD9">
        <w:rPr>
          <w:rFonts w:ascii="Times New Roman" w:hAnsi="Times New Roman" w:cs="Times New Roman"/>
          <w:sz w:val="24"/>
          <w:szCs w:val="24"/>
        </w:rPr>
        <w:t>being considered for support</w:t>
      </w:r>
      <w:r w:rsidR="00C20738">
        <w:rPr>
          <w:rFonts w:ascii="Times New Roman" w:hAnsi="Times New Roman" w:cs="Times New Roman"/>
          <w:sz w:val="24"/>
          <w:szCs w:val="24"/>
        </w:rPr>
        <w:t>.</w:t>
      </w:r>
      <w:r w:rsidR="00EC09E8">
        <w:rPr>
          <w:rFonts w:ascii="Times New Roman" w:hAnsi="Times New Roman" w:cs="Times New Roman"/>
          <w:sz w:val="24"/>
          <w:szCs w:val="24"/>
        </w:rPr>
        <w:t xml:space="preserve"> The proponent of one renewable pumped hydro project has withdrawn the project from consideration. </w:t>
      </w:r>
    </w:p>
    <w:p w14:paraId="215622A0" w14:textId="67DBEAFD" w:rsidR="008619E4" w:rsidRPr="00FF1995" w:rsidRDefault="00770BC5" w:rsidP="008619E4">
      <w:pPr>
        <w:rPr>
          <w:rFonts w:ascii="Times New Roman" w:hAnsi="Times New Roman" w:cs="Times New Roman"/>
          <w:sz w:val="24"/>
          <w:szCs w:val="24"/>
        </w:rPr>
      </w:pPr>
      <w:r w:rsidRPr="00770BC5">
        <w:rPr>
          <w:rFonts w:ascii="Times New Roman" w:hAnsi="Times New Roman" w:cs="Times New Roman"/>
          <w:sz w:val="24"/>
          <w:szCs w:val="24"/>
        </w:rPr>
        <w:t xml:space="preserve">The type and terms of any support provided to </w:t>
      </w:r>
      <w:r w:rsidR="00591FD9">
        <w:rPr>
          <w:rFonts w:ascii="Times New Roman" w:hAnsi="Times New Roman" w:cs="Times New Roman"/>
          <w:sz w:val="24"/>
          <w:szCs w:val="24"/>
        </w:rPr>
        <w:t xml:space="preserve">the shortlisted </w:t>
      </w:r>
      <w:r w:rsidRPr="00770BC5">
        <w:rPr>
          <w:rFonts w:ascii="Times New Roman" w:hAnsi="Times New Roman" w:cs="Times New Roman"/>
          <w:sz w:val="24"/>
          <w:szCs w:val="24"/>
        </w:rPr>
        <w:t>projects will be negotiated individually with project proponents, so as to ensure that the most appropriate form of support is provided. However, final spending decisions will be made by the Minister</w:t>
      </w:r>
      <w:r w:rsidR="00A71F2E">
        <w:rPr>
          <w:rFonts w:ascii="Times New Roman" w:hAnsi="Times New Roman" w:cs="Times New Roman"/>
          <w:sz w:val="24"/>
          <w:szCs w:val="24"/>
        </w:rPr>
        <w:t> </w:t>
      </w:r>
      <w:r w:rsidRPr="00770BC5">
        <w:rPr>
          <w:rFonts w:ascii="Times New Roman" w:hAnsi="Times New Roman" w:cs="Times New Roman"/>
          <w:sz w:val="24"/>
          <w:szCs w:val="24"/>
        </w:rPr>
        <w:t xml:space="preserve">for </w:t>
      </w:r>
      <w:r w:rsidR="007523DB">
        <w:rPr>
          <w:rFonts w:ascii="Times New Roman" w:hAnsi="Times New Roman" w:cs="Times New Roman"/>
          <w:sz w:val="24"/>
          <w:szCs w:val="24"/>
        </w:rPr>
        <w:t xml:space="preserve">Industry, </w:t>
      </w:r>
      <w:r w:rsidRPr="00770BC5">
        <w:rPr>
          <w:rFonts w:ascii="Times New Roman" w:hAnsi="Times New Roman" w:cs="Times New Roman"/>
          <w:sz w:val="24"/>
          <w:szCs w:val="24"/>
        </w:rPr>
        <w:t>Energy and Emissions Reduction, taking into account the recommendations of the Department of Industry, Science, Energy and Resources (the Department). The</w:t>
      </w:r>
      <w:r w:rsidR="00A71F2E">
        <w:rPr>
          <w:rFonts w:ascii="Times New Roman" w:hAnsi="Times New Roman" w:cs="Times New Roman"/>
          <w:sz w:val="24"/>
          <w:szCs w:val="24"/>
        </w:rPr>
        <w:t> </w:t>
      </w:r>
      <w:r w:rsidRPr="00770BC5">
        <w:rPr>
          <w:rFonts w:ascii="Times New Roman" w:hAnsi="Times New Roman" w:cs="Times New Roman"/>
          <w:sz w:val="24"/>
          <w:szCs w:val="24"/>
        </w:rPr>
        <w:t>Department will administer these arrangements.</w:t>
      </w:r>
      <w:r>
        <w:rPr>
          <w:rFonts w:ascii="Times New Roman" w:hAnsi="Times New Roman" w:cs="Times New Roman"/>
          <w:sz w:val="24"/>
          <w:szCs w:val="24"/>
        </w:rPr>
        <w:t xml:space="preserve"> </w:t>
      </w:r>
      <w:r w:rsidR="008619E4" w:rsidRPr="00FF1995">
        <w:rPr>
          <w:rFonts w:ascii="Times New Roman" w:hAnsi="Times New Roman" w:cs="Times New Roman"/>
          <w:sz w:val="24"/>
          <w:szCs w:val="24"/>
        </w:rPr>
        <w:t>Funding for projects will be secured through the Department’s budget on an as needs basis.</w:t>
      </w:r>
    </w:p>
    <w:p w14:paraId="5657315A" w14:textId="4D4A62A7" w:rsidR="00B51622" w:rsidRDefault="00A83931" w:rsidP="007B79C0">
      <w:pPr>
        <w:rPr>
          <w:rFonts w:ascii="Times New Roman" w:hAnsi="Times New Roman" w:cs="Times New Roman"/>
          <w:sz w:val="24"/>
          <w:szCs w:val="24"/>
        </w:rPr>
      </w:pPr>
      <w:r>
        <w:rPr>
          <w:rFonts w:ascii="Times New Roman" w:hAnsi="Times New Roman" w:cs="Times New Roman"/>
          <w:sz w:val="24"/>
          <w:szCs w:val="24"/>
        </w:rPr>
        <w:t>The</w:t>
      </w:r>
      <w:r w:rsidR="007B79C0">
        <w:rPr>
          <w:rFonts w:ascii="Times New Roman" w:hAnsi="Times New Roman" w:cs="Times New Roman"/>
          <w:sz w:val="24"/>
          <w:szCs w:val="24"/>
        </w:rPr>
        <w:t xml:space="preserve"> intention is </w:t>
      </w:r>
      <w:r w:rsidR="00734724">
        <w:rPr>
          <w:rFonts w:ascii="Times New Roman" w:hAnsi="Times New Roman" w:cs="Times New Roman"/>
          <w:sz w:val="24"/>
          <w:szCs w:val="24"/>
        </w:rPr>
        <w:t xml:space="preserve">that the </w:t>
      </w:r>
      <w:r w:rsidR="00255C1D">
        <w:rPr>
          <w:rFonts w:ascii="Times New Roman" w:hAnsi="Times New Roman" w:cs="Times New Roman"/>
          <w:sz w:val="24"/>
          <w:szCs w:val="24"/>
        </w:rPr>
        <w:t xml:space="preserve">shortlisted </w:t>
      </w:r>
      <w:r w:rsidR="007B79C0">
        <w:rPr>
          <w:rFonts w:ascii="Times New Roman" w:hAnsi="Times New Roman" w:cs="Times New Roman"/>
          <w:sz w:val="24"/>
          <w:szCs w:val="24"/>
        </w:rPr>
        <w:t xml:space="preserve">projects </w:t>
      </w:r>
      <w:r w:rsidR="00734724">
        <w:rPr>
          <w:rFonts w:ascii="Times New Roman" w:hAnsi="Times New Roman" w:cs="Times New Roman"/>
          <w:sz w:val="24"/>
          <w:szCs w:val="24"/>
        </w:rPr>
        <w:t xml:space="preserve">will be </w:t>
      </w:r>
      <w:r w:rsidR="007B79C0">
        <w:rPr>
          <w:rFonts w:ascii="Times New Roman" w:hAnsi="Times New Roman" w:cs="Times New Roman"/>
          <w:sz w:val="24"/>
          <w:szCs w:val="24"/>
        </w:rPr>
        <w:t>considered</w:t>
      </w:r>
      <w:r>
        <w:rPr>
          <w:rFonts w:ascii="Times New Roman" w:hAnsi="Times New Roman" w:cs="Times New Roman"/>
          <w:sz w:val="24"/>
          <w:szCs w:val="24"/>
        </w:rPr>
        <w:t>, in due course,</w:t>
      </w:r>
      <w:r w:rsidR="007B79C0">
        <w:rPr>
          <w:rFonts w:ascii="Times New Roman" w:hAnsi="Times New Roman" w:cs="Times New Roman"/>
          <w:sz w:val="24"/>
          <w:szCs w:val="24"/>
        </w:rPr>
        <w:t xml:space="preserve"> for investment under the proposed $1</w:t>
      </w:r>
      <w:r w:rsidR="00376CC5">
        <w:rPr>
          <w:rFonts w:ascii="Times New Roman" w:hAnsi="Times New Roman" w:cs="Times New Roman"/>
          <w:sz w:val="24"/>
          <w:szCs w:val="24"/>
        </w:rPr>
        <w:t> </w:t>
      </w:r>
      <w:r w:rsidR="007B79C0">
        <w:rPr>
          <w:rFonts w:ascii="Times New Roman" w:hAnsi="Times New Roman" w:cs="Times New Roman"/>
          <w:sz w:val="24"/>
          <w:szCs w:val="24"/>
        </w:rPr>
        <w:t>billion Grid Reliability Fund</w:t>
      </w:r>
      <w:r w:rsidR="00AA3320" w:rsidRPr="00AA3320">
        <w:t xml:space="preserve"> </w:t>
      </w:r>
      <w:r w:rsidR="00A71F2E" w:rsidRPr="00241C62">
        <w:rPr>
          <w:rFonts w:ascii="Times New Roman" w:hAnsi="Times New Roman" w:cs="Times New Roman"/>
          <w:sz w:val="24"/>
          <w:szCs w:val="24"/>
        </w:rPr>
        <w:t xml:space="preserve">(the Fund) </w:t>
      </w:r>
      <w:r w:rsidR="00AA3320" w:rsidRPr="00AA3320">
        <w:rPr>
          <w:rFonts w:ascii="Times New Roman" w:hAnsi="Times New Roman" w:cs="Times New Roman"/>
          <w:sz w:val="24"/>
          <w:szCs w:val="24"/>
        </w:rPr>
        <w:t>rather than through the mechanisms provided for in the Legislative Instrument</w:t>
      </w:r>
      <w:r w:rsidR="007B79C0">
        <w:rPr>
          <w:rFonts w:ascii="Times New Roman" w:hAnsi="Times New Roman" w:cs="Times New Roman"/>
          <w:sz w:val="24"/>
          <w:szCs w:val="24"/>
        </w:rPr>
        <w:t xml:space="preserve">. </w:t>
      </w:r>
      <w:r w:rsidR="00A71F2E">
        <w:rPr>
          <w:rFonts w:ascii="Times New Roman" w:hAnsi="Times New Roman" w:cs="Times New Roman"/>
          <w:sz w:val="24"/>
          <w:szCs w:val="24"/>
        </w:rPr>
        <w:t xml:space="preserve">The Fund </w:t>
      </w:r>
      <w:r w:rsidR="007B79C0">
        <w:rPr>
          <w:rFonts w:ascii="Times New Roman" w:hAnsi="Times New Roman" w:cs="Times New Roman"/>
          <w:sz w:val="24"/>
          <w:szCs w:val="24"/>
        </w:rPr>
        <w:t xml:space="preserve">will be established upon the enactment of the </w:t>
      </w:r>
      <w:r w:rsidR="007B79C0" w:rsidRPr="007315F8">
        <w:rPr>
          <w:rFonts w:ascii="Times New Roman" w:hAnsi="Times New Roman" w:cs="Times New Roman"/>
          <w:i/>
          <w:sz w:val="24"/>
          <w:szCs w:val="24"/>
        </w:rPr>
        <w:t>Clean Energy Finance Corporation Amendment (Grid Reliability Fund) Bill 2020</w:t>
      </w:r>
      <w:r w:rsidR="007B79C0">
        <w:rPr>
          <w:rFonts w:ascii="Times New Roman" w:hAnsi="Times New Roman" w:cs="Times New Roman"/>
          <w:sz w:val="24"/>
          <w:szCs w:val="24"/>
        </w:rPr>
        <w:t xml:space="preserve"> </w:t>
      </w:r>
      <w:r w:rsidR="00A71F2E">
        <w:rPr>
          <w:rFonts w:ascii="Times New Roman" w:hAnsi="Times New Roman" w:cs="Times New Roman"/>
          <w:sz w:val="24"/>
          <w:szCs w:val="24"/>
        </w:rPr>
        <w:t xml:space="preserve">(the Bill) </w:t>
      </w:r>
      <w:r w:rsidR="007B79C0">
        <w:rPr>
          <w:rFonts w:ascii="Times New Roman" w:hAnsi="Times New Roman" w:cs="Times New Roman"/>
          <w:sz w:val="24"/>
          <w:szCs w:val="24"/>
        </w:rPr>
        <w:t xml:space="preserve">(currently before Parliament) and will be administered by the Clean Energy Finance Corporation in accordance with the </w:t>
      </w:r>
      <w:r w:rsidR="007B79C0">
        <w:rPr>
          <w:rFonts w:ascii="Times New Roman" w:hAnsi="Times New Roman" w:cs="Times New Roman"/>
          <w:i/>
          <w:sz w:val="24"/>
          <w:szCs w:val="24"/>
        </w:rPr>
        <w:t>Clean</w:t>
      </w:r>
      <w:r w:rsidR="00A71F2E">
        <w:rPr>
          <w:rFonts w:ascii="Times New Roman" w:hAnsi="Times New Roman" w:cs="Times New Roman"/>
          <w:i/>
          <w:sz w:val="24"/>
          <w:szCs w:val="24"/>
        </w:rPr>
        <w:t> </w:t>
      </w:r>
      <w:r w:rsidR="007B79C0">
        <w:rPr>
          <w:rFonts w:ascii="Times New Roman" w:hAnsi="Times New Roman" w:cs="Times New Roman"/>
          <w:i/>
          <w:sz w:val="24"/>
          <w:szCs w:val="24"/>
        </w:rPr>
        <w:t>Energy Finance Corporation Act 2012</w:t>
      </w:r>
      <w:r w:rsidR="007B79C0">
        <w:rPr>
          <w:rFonts w:ascii="Times New Roman" w:hAnsi="Times New Roman" w:cs="Times New Roman"/>
          <w:sz w:val="24"/>
          <w:szCs w:val="24"/>
        </w:rPr>
        <w:t>, as amended</w:t>
      </w:r>
      <w:r w:rsidR="00136BD8">
        <w:rPr>
          <w:rFonts w:ascii="Times New Roman" w:hAnsi="Times New Roman" w:cs="Times New Roman"/>
          <w:sz w:val="24"/>
          <w:szCs w:val="24"/>
        </w:rPr>
        <w:t xml:space="preserve"> by </w:t>
      </w:r>
      <w:r w:rsidR="00A71F2E">
        <w:rPr>
          <w:rFonts w:ascii="Times New Roman" w:hAnsi="Times New Roman" w:cs="Times New Roman"/>
          <w:sz w:val="24"/>
          <w:szCs w:val="24"/>
        </w:rPr>
        <w:t>the</w:t>
      </w:r>
      <w:r w:rsidR="00136BD8">
        <w:rPr>
          <w:rFonts w:ascii="Times New Roman" w:hAnsi="Times New Roman" w:cs="Times New Roman"/>
          <w:sz w:val="24"/>
          <w:szCs w:val="24"/>
        </w:rPr>
        <w:t xml:space="preserve"> Bill</w:t>
      </w:r>
      <w:r w:rsidR="007B79C0">
        <w:rPr>
          <w:rFonts w:ascii="Times New Roman" w:hAnsi="Times New Roman" w:cs="Times New Roman"/>
          <w:sz w:val="24"/>
          <w:szCs w:val="24"/>
        </w:rPr>
        <w:t xml:space="preserve">. </w:t>
      </w:r>
      <w:r w:rsidR="00CA4AF3">
        <w:rPr>
          <w:rFonts w:ascii="Times New Roman" w:hAnsi="Times New Roman" w:cs="Times New Roman"/>
          <w:sz w:val="24"/>
          <w:szCs w:val="24"/>
        </w:rPr>
        <w:t xml:space="preserve">Pending the enactment of </w:t>
      </w:r>
      <w:r w:rsidR="00A71F2E">
        <w:rPr>
          <w:rFonts w:ascii="Times New Roman" w:hAnsi="Times New Roman" w:cs="Times New Roman"/>
          <w:sz w:val="24"/>
          <w:szCs w:val="24"/>
        </w:rPr>
        <w:t>the</w:t>
      </w:r>
      <w:r w:rsidR="00CA4AF3">
        <w:rPr>
          <w:rFonts w:ascii="Times New Roman" w:hAnsi="Times New Roman" w:cs="Times New Roman"/>
          <w:sz w:val="24"/>
          <w:szCs w:val="24"/>
        </w:rPr>
        <w:t xml:space="preserve"> Bill, </w:t>
      </w:r>
      <w:r w:rsidR="00E67170" w:rsidRPr="00E67170">
        <w:rPr>
          <w:rFonts w:ascii="Times New Roman" w:hAnsi="Times New Roman" w:cs="Times New Roman"/>
          <w:sz w:val="24"/>
          <w:szCs w:val="24"/>
        </w:rPr>
        <w:t>projects will be considered for support through the mechanisms provided for in the Legislative Instrument.</w:t>
      </w:r>
      <w:r w:rsidR="00B51622">
        <w:rPr>
          <w:rFonts w:ascii="Times New Roman" w:hAnsi="Times New Roman" w:cs="Times New Roman"/>
          <w:sz w:val="24"/>
          <w:szCs w:val="24"/>
        </w:rPr>
        <w:t xml:space="preserve"> </w:t>
      </w:r>
    </w:p>
    <w:p w14:paraId="6A0D3BBC" w14:textId="77777777" w:rsidR="00FF1995" w:rsidRPr="00FF1995" w:rsidRDefault="00FF1995" w:rsidP="00FF1995">
      <w:pPr>
        <w:rPr>
          <w:rFonts w:ascii="Times New Roman" w:hAnsi="Times New Roman" w:cs="Times New Roman"/>
          <w:sz w:val="24"/>
          <w:szCs w:val="24"/>
        </w:rPr>
      </w:pPr>
      <w:r w:rsidRPr="00FF1995">
        <w:rPr>
          <w:rFonts w:ascii="Times New Roman" w:hAnsi="Times New Roman" w:cs="Times New Roman"/>
          <w:sz w:val="24"/>
          <w:szCs w:val="24"/>
        </w:rPr>
        <w:lastRenderedPageBreak/>
        <w:t>Eligibility and merit criteria for the program are set out in sections 4-5 and 6 of the Call for Registrations of Interest.</w:t>
      </w:r>
    </w:p>
    <w:p w14:paraId="02E4C47F" w14:textId="09AC4A8F" w:rsidR="00784E0A" w:rsidRPr="00625675" w:rsidRDefault="00FF1995" w:rsidP="00784E0A">
      <w:pPr>
        <w:spacing w:before="240" w:after="240"/>
        <w:rPr>
          <w:rFonts w:ascii="Times New Roman" w:hAnsi="Times New Roman" w:cs="Times New Roman"/>
          <w:sz w:val="24"/>
          <w:szCs w:val="24"/>
        </w:rPr>
      </w:pPr>
      <w:r w:rsidRPr="00FF1995">
        <w:rPr>
          <w:rFonts w:ascii="Times New Roman" w:hAnsi="Times New Roman" w:cs="Times New Roman"/>
          <w:sz w:val="24"/>
          <w:szCs w:val="24"/>
        </w:rPr>
        <w:t xml:space="preserve">Grants under the Program will be administered in accordance with the </w:t>
      </w:r>
      <w:r w:rsidRPr="00FF1995">
        <w:rPr>
          <w:rFonts w:ascii="Times New Roman" w:hAnsi="Times New Roman" w:cs="Times New Roman"/>
          <w:i/>
          <w:sz w:val="24"/>
          <w:szCs w:val="24"/>
        </w:rPr>
        <w:t xml:space="preserve">Commonwealth Grant Rules and Guidelines 2017 </w:t>
      </w:r>
      <w:r w:rsidRPr="00FF1995">
        <w:rPr>
          <w:rFonts w:ascii="Times New Roman" w:hAnsi="Times New Roman" w:cs="Times New Roman"/>
          <w:sz w:val="24"/>
          <w:szCs w:val="24"/>
        </w:rPr>
        <w:t>(</w:t>
      </w:r>
      <w:hyperlink r:id="rId13" w:history="1">
        <w:r w:rsidRPr="00FF1995">
          <w:rPr>
            <w:rStyle w:val="Hyperlink"/>
            <w:rFonts w:ascii="Times New Roman" w:hAnsi="Times New Roman" w:cs="Times New Roman"/>
            <w:sz w:val="24"/>
            <w:szCs w:val="24"/>
          </w:rPr>
          <w:t>https://www.legislation.gov.au/Details/F2017L01097</w:t>
        </w:r>
      </w:hyperlink>
      <w:r w:rsidRPr="00FF1995">
        <w:rPr>
          <w:rFonts w:ascii="Times New Roman" w:hAnsi="Times New Roman" w:cs="Times New Roman"/>
          <w:sz w:val="24"/>
          <w:szCs w:val="24"/>
        </w:rPr>
        <w:t xml:space="preserve">) and delivered by the Department’s Business Grants Hub. </w:t>
      </w:r>
      <w:r w:rsidR="00784E0A">
        <w:rPr>
          <w:rFonts w:ascii="Times New Roman" w:hAnsi="Times New Roman" w:cs="Times New Roman"/>
          <w:sz w:val="24"/>
          <w:szCs w:val="24"/>
        </w:rPr>
        <w:t>E</w:t>
      </w:r>
      <w:r w:rsidR="00784E0A" w:rsidRPr="00FF1995">
        <w:rPr>
          <w:rFonts w:ascii="Times New Roman" w:hAnsi="Times New Roman" w:cs="Times New Roman"/>
          <w:sz w:val="24"/>
          <w:szCs w:val="24"/>
        </w:rPr>
        <w:t xml:space="preserve">ligibility and merit criteria </w:t>
      </w:r>
      <w:r w:rsidR="00374652">
        <w:rPr>
          <w:rFonts w:ascii="Times New Roman" w:hAnsi="Times New Roman" w:cs="Times New Roman"/>
          <w:sz w:val="24"/>
          <w:szCs w:val="24"/>
        </w:rPr>
        <w:t xml:space="preserve">will be set out in </w:t>
      </w:r>
      <w:r w:rsidR="00784E0A" w:rsidRPr="00FF1995">
        <w:rPr>
          <w:rFonts w:ascii="Times New Roman" w:hAnsi="Times New Roman" w:cs="Times New Roman"/>
          <w:sz w:val="24"/>
          <w:szCs w:val="24"/>
        </w:rPr>
        <w:t>grant guidelines.</w:t>
      </w:r>
      <w:r w:rsidR="00784E0A">
        <w:rPr>
          <w:rFonts w:ascii="Times New Roman" w:hAnsi="Times New Roman" w:cs="Times New Roman"/>
          <w:sz w:val="24"/>
          <w:szCs w:val="24"/>
        </w:rPr>
        <w:t xml:space="preserve"> The eligibility criteria for the Program includes that the grant applicant, and any recipient of grant funding, must be a corporation to which paragraph 51(xx) of the Constitution applies (i.e. a trading or financial corporation established within the limits of the Commonwealth, or foreign corporations). </w:t>
      </w:r>
      <w:r w:rsidR="00784E0A" w:rsidRPr="00625675">
        <w:rPr>
          <w:rFonts w:ascii="Times New Roman" w:hAnsi="Times New Roman" w:cs="Times New Roman"/>
          <w:sz w:val="24"/>
          <w:szCs w:val="24"/>
        </w:rPr>
        <w:t>The eligibility criteria for the program will also include that eligibility is limited to the shortlisted projects.</w:t>
      </w:r>
    </w:p>
    <w:p w14:paraId="2243E1DF" w14:textId="77777777" w:rsidR="00784E0A" w:rsidRPr="00FF1995" w:rsidRDefault="00784E0A" w:rsidP="00784E0A">
      <w:pPr>
        <w:rPr>
          <w:rFonts w:ascii="Times New Roman" w:hAnsi="Times New Roman" w:cs="Times New Roman"/>
          <w:sz w:val="24"/>
          <w:szCs w:val="24"/>
        </w:rPr>
      </w:pPr>
      <w:r w:rsidRPr="00FF1995">
        <w:rPr>
          <w:rFonts w:ascii="Times New Roman" w:hAnsi="Times New Roman" w:cs="Times New Roman"/>
          <w:sz w:val="24"/>
          <w:szCs w:val="24"/>
        </w:rPr>
        <w:t>Funding for projects (that are not supported through the Grid Reliability Fund) will be secured through the Department’s budget on an as needs basis.</w:t>
      </w:r>
    </w:p>
    <w:p w14:paraId="213CDB7D" w14:textId="77777777" w:rsidR="00784E0A" w:rsidRDefault="00784E0A" w:rsidP="00784E0A">
      <w:pPr>
        <w:spacing w:before="240" w:after="240"/>
        <w:rPr>
          <w:rFonts w:ascii="Times New Roman" w:hAnsi="Times New Roman" w:cs="Times New Roman"/>
          <w:sz w:val="24"/>
          <w:szCs w:val="24"/>
        </w:rPr>
      </w:pPr>
      <w:r>
        <w:rPr>
          <w:rFonts w:ascii="Times New Roman" w:hAnsi="Times New Roman" w:cs="Times New Roman"/>
          <w:sz w:val="24"/>
          <w:szCs w:val="24"/>
        </w:rPr>
        <w:t>Decisions made in relation to the Program will not be subject to external merits review as the Program involves the allocation of resources to selected entities following detailed commercial negotiations in a commercial market. Decisions to award funding to one entity over another will also support the implementation of policy decisions made by Government about the delivery of the Program.</w:t>
      </w:r>
    </w:p>
    <w:p w14:paraId="68EA2CBB" w14:textId="77777777" w:rsidR="00ED3487" w:rsidRDefault="00E91983">
      <w:pPr>
        <w:spacing w:before="240" w:after="240"/>
        <w:rPr>
          <w:rFonts w:ascii="Times New Roman" w:hAnsi="Times New Roman" w:cs="Times New Roman"/>
          <w:sz w:val="24"/>
          <w:szCs w:val="24"/>
        </w:rPr>
      </w:pPr>
      <w:r>
        <w:rPr>
          <w:rFonts w:ascii="Times New Roman" w:hAnsi="Times New Roman" w:cs="Times New Roman"/>
          <w:sz w:val="24"/>
          <w:szCs w:val="24"/>
        </w:rPr>
        <w:t xml:space="preserve">Persons who are affected by decisions or who have complaints about the </w:t>
      </w:r>
      <w:r w:rsidR="00B1456F">
        <w:rPr>
          <w:rFonts w:ascii="Times New Roman" w:hAnsi="Times New Roman" w:cs="Times New Roman"/>
          <w:sz w:val="24"/>
          <w:szCs w:val="24"/>
        </w:rPr>
        <w:t>P</w:t>
      </w:r>
      <w:r>
        <w:rPr>
          <w:rFonts w:ascii="Times New Roman" w:hAnsi="Times New Roman" w:cs="Times New Roman"/>
          <w:sz w:val="24"/>
          <w:szCs w:val="24"/>
        </w:rPr>
        <w:t xml:space="preserve">rogram will have recourse to the </w:t>
      </w:r>
      <w:r w:rsidR="00B1456F">
        <w:rPr>
          <w:rFonts w:ascii="Times New Roman" w:hAnsi="Times New Roman" w:cs="Times New Roman"/>
          <w:sz w:val="24"/>
          <w:szCs w:val="24"/>
        </w:rPr>
        <w:t>D</w:t>
      </w:r>
      <w:r>
        <w:rPr>
          <w:rFonts w:ascii="Times New Roman" w:hAnsi="Times New Roman" w:cs="Times New Roman"/>
          <w:sz w:val="24"/>
          <w:szCs w:val="24"/>
        </w:rPr>
        <w:t xml:space="preserve">epartment. The </w:t>
      </w:r>
      <w:r w:rsidR="00B1456F">
        <w:rPr>
          <w:rFonts w:ascii="Times New Roman" w:hAnsi="Times New Roman" w:cs="Times New Roman"/>
          <w:sz w:val="24"/>
          <w:szCs w:val="24"/>
        </w:rPr>
        <w:t>D</w:t>
      </w:r>
      <w:r>
        <w:rPr>
          <w:rFonts w:ascii="Times New Roman" w:hAnsi="Times New Roman" w:cs="Times New Roman"/>
          <w:sz w:val="24"/>
          <w:szCs w:val="24"/>
        </w:rPr>
        <w:t xml:space="preserve">epartment </w:t>
      </w:r>
      <w:r w:rsidR="006D2CA7">
        <w:rPr>
          <w:rFonts w:ascii="Times New Roman" w:hAnsi="Times New Roman" w:cs="Times New Roman"/>
          <w:sz w:val="24"/>
          <w:szCs w:val="24"/>
        </w:rPr>
        <w:t xml:space="preserve">will </w:t>
      </w:r>
      <w:r>
        <w:rPr>
          <w:rFonts w:ascii="Times New Roman" w:hAnsi="Times New Roman" w:cs="Times New Roman"/>
          <w:sz w:val="24"/>
          <w:szCs w:val="24"/>
        </w:rPr>
        <w:t xml:space="preserve">investigate complaints in accordance with its complaints policy and procedures. If a person is not satisfied with the way the </w:t>
      </w:r>
      <w:r w:rsidR="00B1456F">
        <w:rPr>
          <w:rFonts w:ascii="Times New Roman" w:hAnsi="Times New Roman" w:cs="Times New Roman"/>
          <w:sz w:val="24"/>
          <w:szCs w:val="24"/>
        </w:rPr>
        <w:t>D</w:t>
      </w:r>
      <w:r>
        <w:rPr>
          <w:rFonts w:ascii="Times New Roman" w:hAnsi="Times New Roman" w:cs="Times New Roman"/>
          <w:sz w:val="24"/>
          <w:szCs w:val="24"/>
        </w:rPr>
        <w:t>epartment handles the complaint, they may lodge a complaint with the Commonwealth Ombudsman.</w:t>
      </w:r>
    </w:p>
    <w:p w14:paraId="0DFB81C0" w14:textId="77777777" w:rsidR="00784E0A" w:rsidRDefault="00784E0A" w:rsidP="00784E0A">
      <w:pPr>
        <w:spacing w:before="240" w:after="240"/>
        <w:rPr>
          <w:rFonts w:ascii="Times New Roman" w:hAnsi="Times New Roman" w:cs="Times New Roman"/>
          <w:sz w:val="24"/>
          <w:szCs w:val="24"/>
        </w:rPr>
      </w:pPr>
      <w:r>
        <w:rPr>
          <w:rFonts w:ascii="Times New Roman" w:hAnsi="Times New Roman" w:cs="Times New Roman"/>
          <w:sz w:val="24"/>
          <w:szCs w:val="24"/>
        </w:rPr>
        <w:t xml:space="preserve">Further details of the Legislative Instrument are outlined in </w:t>
      </w:r>
      <w:r w:rsidRPr="00625675">
        <w:rPr>
          <w:rFonts w:ascii="Times New Roman" w:hAnsi="Times New Roman" w:cs="Times New Roman"/>
          <w:sz w:val="24"/>
          <w:szCs w:val="24"/>
          <w:u w:val="single"/>
        </w:rPr>
        <w:t>Attachment A</w:t>
      </w:r>
      <w:r>
        <w:rPr>
          <w:rFonts w:ascii="Times New Roman" w:hAnsi="Times New Roman" w:cs="Times New Roman"/>
          <w:sz w:val="24"/>
          <w:szCs w:val="24"/>
        </w:rPr>
        <w:t>.</w:t>
      </w:r>
    </w:p>
    <w:p w14:paraId="04AD5807" w14:textId="77777777" w:rsidR="00784E0A" w:rsidRDefault="00784E0A" w:rsidP="00784E0A">
      <w:pPr>
        <w:spacing w:before="240" w:after="240"/>
        <w:rPr>
          <w:rFonts w:ascii="Times New Roman" w:hAnsi="Times New Roman" w:cs="Times New Roman"/>
          <w:sz w:val="24"/>
          <w:szCs w:val="24"/>
        </w:rPr>
      </w:pPr>
      <w:r>
        <w:rPr>
          <w:rFonts w:ascii="Times New Roman" w:hAnsi="Times New Roman" w:cs="Times New Roman"/>
          <w:sz w:val="24"/>
          <w:szCs w:val="24"/>
        </w:rPr>
        <w:t xml:space="preserve">A Statement of Compatibility with Human Rights is set out in </w:t>
      </w:r>
      <w:r w:rsidRPr="0076637C">
        <w:rPr>
          <w:rFonts w:ascii="Times New Roman" w:hAnsi="Times New Roman" w:cs="Times New Roman"/>
          <w:sz w:val="24"/>
          <w:szCs w:val="24"/>
          <w:u w:val="single"/>
        </w:rPr>
        <w:t>Attachment B</w:t>
      </w:r>
      <w:r>
        <w:rPr>
          <w:rFonts w:ascii="Times New Roman" w:hAnsi="Times New Roman" w:cs="Times New Roman"/>
          <w:sz w:val="24"/>
          <w:szCs w:val="24"/>
        </w:rPr>
        <w:t>.</w:t>
      </w:r>
    </w:p>
    <w:p w14:paraId="7AC2E19D" w14:textId="77777777" w:rsidR="00ED3487" w:rsidRDefault="00E91983">
      <w:pPr>
        <w:keepNext/>
        <w:spacing w:before="240" w:after="240"/>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Corporations</w:t>
      </w:r>
      <w:proofErr w:type="gramEnd"/>
      <w:r>
        <w:rPr>
          <w:rFonts w:ascii="Times New Roman" w:hAnsi="Times New Roman" w:cs="Times New Roman"/>
          <w:b/>
          <w:sz w:val="24"/>
          <w:szCs w:val="24"/>
          <w:u w:val="single"/>
        </w:rPr>
        <w:t xml:space="preserve"> power</w:t>
      </w:r>
    </w:p>
    <w:p w14:paraId="21564284" w14:textId="77777777" w:rsidR="00ED3487" w:rsidRDefault="008E18A2">
      <w:pPr>
        <w:spacing w:before="240" w:after="240"/>
        <w:rPr>
          <w:rFonts w:ascii="Times New Roman" w:hAnsi="Times New Roman" w:cs="Times New Roman"/>
          <w:sz w:val="24"/>
          <w:szCs w:val="24"/>
        </w:rPr>
      </w:pPr>
      <w:r>
        <w:rPr>
          <w:rFonts w:ascii="Times New Roman" w:hAnsi="Times New Roman" w:cs="Times New Roman"/>
          <w:sz w:val="24"/>
          <w:szCs w:val="24"/>
        </w:rPr>
        <w:t>Section </w:t>
      </w:r>
      <w:r w:rsidR="00E91983">
        <w:rPr>
          <w:rFonts w:ascii="Times New Roman" w:hAnsi="Times New Roman" w:cs="Times New Roman"/>
          <w:sz w:val="24"/>
          <w:szCs w:val="24"/>
        </w:rPr>
        <w:t xml:space="preserve">51(xx) of the Constitution empowers the Parliament to make laws with respect to ‘foreign corporations, and trading or financial corporations formed within the limits of the Commonwealth’ (together, constitutional corporations). </w:t>
      </w:r>
    </w:p>
    <w:p w14:paraId="05428CCF" w14:textId="77777777" w:rsidR="00ED3487" w:rsidRDefault="00E91983">
      <w:pPr>
        <w:spacing w:before="240" w:after="240"/>
        <w:rPr>
          <w:rFonts w:ascii="Times New Roman" w:hAnsi="Times New Roman" w:cs="Times New Roman"/>
          <w:sz w:val="24"/>
          <w:szCs w:val="24"/>
        </w:rPr>
      </w:pPr>
      <w:r>
        <w:rPr>
          <w:rFonts w:ascii="Times New Roman" w:hAnsi="Times New Roman" w:cs="Times New Roman"/>
          <w:sz w:val="24"/>
          <w:szCs w:val="24"/>
        </w:rPr>
        <w:t xml:space="preserve">In </w:t>
      </w:r>
      <w:proofErr w:type="gramStart"/>
      <w:r>
        <w:rPr>
          <w:rFonts w:ascii="Times New Roman" w:hAnsi="Times New Roman" w:cs="Times New Roman"/>
          <w:i/>
          <w:sz w:val="24"/>
          <w:szCs w:val="24"/>
        </w:rPr>
        <w:t>Williams</w:t>
      </w:r>
      <w:proofErr w:type="gramEnd"/>
      <w:r>
        <w:rPr>
          <w:rFonts w:ascii="Times New Roman" w:hAnsi="Times New Roman" w:cs="Times New Roman"/>
          <w:i/>
          <w:sz w:val="24"/>
          <w:szCs w:val="24"/>
        </w:rPr>
        <w:t xml:space="preserve"> v Commonwealth</w:t>
      </w:r>
      <w:r>
        <w:rPr>
          <w:rFonts w:ascii="Times New Roman" w:hAnsi="Times New Roman" w:cs="Times New Roman"/>
          <w:sz w:val="24"/>
          <w:szCs w:val="24"/>
        </w:rPr>
        <w:t xml:space="preserve"> (2014) 252 CLR 416 (</w:t>
      </w:r>
      <w:r>
        <w:rPr>
          <w:rFonts w:ascii="Times New Roman" w:hAnsi="Times New Roman" w:cs="Times New Roman"/>
          <w:i/>
          <w:sz w:val="24"/>
          <w:szCs w:val="24"/>
        </w:rPr>
        <w:t>Williams No 2</w:t>
      </w:r>
      <w:r>
        <w:rPr>
          <w:rFonts w:ascii="Times New Roman" w:hAnsi="Times New Roman" w:cs="Times New Roman"/>
          <w:sz w:val="24"/>
          <w:szCs w:val="24"/>
        </w:rPr>
        <w:t xml:space="preserve">), the High Court, considering section 32B of the </w:t>
      </w:r>
      <w:r>
        <w:rPr>
          <w:rFonts w:ascii="Times New Roman" w:hAnsi="Times New Roman" w:cs="Times New Roman"/>
          <w:i/>
          <w:sz w:val="24"/>
          <w:szCs w:val="24"/>
        </w:rPr>
        <w:t>Financial Management and Accountability Act 1997</w:t>
      </w:r>
      <w:r>
        <w:rPr>
          <w:rFonts w:ascii="Times New Roman" w:hAnsi="Times New Roman" w:cs="Times New Roman"/>
          <w:sz w:val="24"/>
          <w:szCs w:val="24"/>
        </w:rPr>
        <w:t xml:space="preserve"> (the</w:t>
      </w:r>
      <w:r w:rsidR="00A71F2E">
        <w:rPr>
          <w:rFonts w:ascii="Times New Roman" w:hAnsi="Times New Roman" w:cs="Times New Roman"/>
          <w:sz w:val="24"/>
          <w:szCs w:val="24"/>
        </w:rPr>
        <w:t> </w:t>
      </w:r>
      <w:r>
        <w:rPr>
          <w:rFonts w:ascii="Times New Roman" w:hAnsi="Times New Roman" w:cs="Times New Roman"/>
          <w:sz w:val="24"/>
          <w:szCs w:val="24"/>
        </w:rPr>
        <w:t xml:space="preserve">FMA Act), held (at [50]) that: </w:t>
      </w:r>
    </w:p>
    <w:p w14:paraId="6520A648" w14:textId="77777777" w:rsidR="00ED3487" w:rsidRDefault="00E91983">
      <w:pPr>
        <w:shd w:val="clear" w:color="auto" w:fill="FFFFFF"/>
        <w:spacing w:before="240" w:after="240" w:line="240" w:lineRule="auto"/>
        <w:ind w:left="720"/>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eastAsia="en-GB"/>
        </w:rPr>
        <w:t>A law which gives the Commonwealth the authority to make an agreement or payment of that kind is not a law with respect to trading or financial corporations. The</w:t>
      </w:r>
      <w:r w:rsidR="00A71F2E">
        <w:rPr>
          <w:rFonts w:ascii="Times New Roman" w:eastAsia="Times New Roman" w:hAnsi="Times New Roman" w:cs="Times New Roman"/>
          <w:sz w:val="24"/>
          <w:szCs w:val="24"/>
          <w:lang w:eastAsia="en-GB"/>
        </w:rPr>
        <w:t> </w:t>
      </w:r>
      <w:r>
        <w:rPr>
          <w:rFonts w:ascii="Times New Roman" w:eastAsia="Times New Roman" w:hAnsi="Times New Roman" w:cs="Times New Roman"/>
          <w:sz w:val="24"/>
          <w:szCs w:val="24"/>
          <w:lang w:eastAsia="en-GB"/>
        </w:rPr>
        <w:t xml:space="preserve">law makes no provision regulating or permitting any act by or on behalf of any corporation. </w:t>
      </w:r>
    </w:p>
    <w:p w14:paraId="30980421" w14:textId="77777777" w:rsidR="00ED3487" w:rsidRDefault="00E91983">
      <w:pPr>
        <w:spacing w:before="240" w:after="240"/>
        <w:rPr>
          <w:rFonts w:ascii="Times New Roman" w:hAnsi="Times New Roman" w:cs="Times New Roman"/>
          <w:sz w:val="24"/>
          <w:szCs w:val="24"/>
        </w:rPr>
      </w:pPr>
      <w:r>
        <w:rPr>
          <w:rFonts w:ascii="Times New Roman" w:hAnsi="Times New Roman" w:cs="Times New Roman"/>
          <w:sz w:val="24"/>
          <w:szCs w:val="24"/>
        </w:rPr>
        <w:t xml:space="preserve">However, the relevant provisions of the IR&amp;D Act are substantially different to the provisions considered by the High Court in </w:t>
      </w:r>
      <w:r>
        <w:rPr>
          <w:rFonts w:ascii="Times New Roman" w:hAnsi="Times New Roman" w:cs="Times New Roman"/>
          <w:i/>
          <w:sz w:val="24"/>
          <w:szCs w:val="24"/>
        </w:rPr>
        <w:t>Williams No 2</w:t>
      </w:r>
      <w:r>
        <w:rPr>
          <w:rFonts w:ascii="Times New Roman" w:hAnsi="Times New Roman" w:cs="Times New Roman"/>
          <w:sz w:val="24"/>
          <w:szCs w:val="24"/>
        </w:rPr>
        <w:t xml:space="preserve">. Section 34 of the IR&amp;D Act </w:t>
      </w:r>
      <w:r>
        <w:rPr>
          <w:rFonts w:ascii="Times New Roman" w:hAnsi="Times New Roman" w:cs="Times New Roman"/>
          <w:sz w:val="24"/>
          <w:szCs w:val="24"/>
        </w:rPr>
        <w:lastRenderedPageBreak/>
        <w:t xml:space="preserve">corresponds to section 32B of the FMA Act considered by the High Court in </w:t>
      </w:r>
      <w:r>
        <w:rPr>
          <w:rFonts w:ascii="Times New Roman" w:hAnsi="Times New Roman" w:cs="Times New Roman"/>
          <w:i/>
          <w:sz w:val="24"/>
          <w:szCs w:val="24"/>
        </w:rPr>
        <w:t>Williams No 2</w:t>
      </w:r>
      <w:r>
        <w:rPr>
          <w:rFonts w:ascii="Times New Roman" w:hAnsi="Times New Roman" w:cs="Times New Roman"/>
          <w:sz w:val="24"/>
          <w:szCs w:val="24"/>
        </w:rPr>
        <w:t xml:space="preserve">. However, the FMA Act contained no provision in terms equivalent to those of section 35 of the IR&amp;D Act. </w:t>
      </w:r>
    </w:p>
    <w:p w14:paraId="52E33603" w14:textId="77777777" w:rsidR="00ED3487" w:rsidRDefault="00E91983">
      <w:pPr>
        <w:spacing w:before="240" w:after="240"/>
        <w:rPr>
          <w:rFonts w:ascii="Times New Roman" w:hAnsi="Times New Roman" w:cs="Times New Roman"/>
          <w:sz w:val="24"/>
          <w:szCs w:val="24"/>
        </w:rPr>
      </w:pPr>
      <w:r>
        <w:rPr>
          <w:rFonts w:ascii="Times New Roman" w:hAnsi="Times New Roman" w:cs="Times New Roman"/>
          <w:sz w:val="24"/>
          <w:szCs w:val="24"/>
        </w:rPr>
        <w:t xml:space="preserve">Subsection 35(2) of the IR&amp;D Act limits the arrangements made under section 34 so that, where a party to an arrangement made under section 34 is a constitutional corporation, the arrangement must be subject to a written agreement containing terms and conditions under which money is payable by the Commonwealth. The corporation must comply with the terms and conditions. The activities of the corporation are therefore regulated through the terms and conditions made under each agreement pursuant to subsection 35(2). </w:t>
      </w:r>
    </w:p>
    <w:p w14:paraId="719BEAA0" w14:textId="77777777" w:rsidR="00ED3487" w:rsidRDefault="00E91983">
      <w:pPr>
        <w:spacing w:before="240" w:after="240"/>
        <w:rPr>
          <w:rFonts w:ascii="Times New Roman" w:hAnsi="Times New Roman" w:cs="Times New Roman"/>
          <w:sz w:val="24"/>
          <w:szCs w:val="24"/>
        </w:rPr>
      </w:pPr>
      <w:r>
        <w:rPr>
          <w:rFonts w:ascii="Times New Roman" w:hAnsi="Times New Roman" w:cs="Times New Roman"/>
          <w:sz w:val="24"/>
          <w:szCs w:val="24"/>
        </w:rPr>
        <w:t>Further, subsection 35(3) provides that the agreement must provide for circumstances in which the corporation must repay amounts to the Commonwealth.</w:t>
      </w:r>
    </w:p>
    <w:p w14:paraId="0584FEA7" w14:textId="77777777" w:rsidR="00ED3487" w:rsidRDefault="00E91983">
      <w:pPr>
        <w:spacing w:before="240" w:after="240"/>
        <w:rPr>
          <w:rFonts w:ascii="Times New Roman" w:hAnsi="Times New Roman" w:cs="Times New Roman"/>
          <w:sz w:val="24"/>
          <w:szCs w:val="24"/>
        </w:rPr>
      </w:pPr>
      <w:r>
        <w:rPr>
          <w:rFonts w:ascii="Times New Roman" w:hAnsi="Times New Roman" w:cs="Times New Roman"/>
          <w:sz w:val="24"/>
          <w:szCs w:val="24"/>
        </w:rPr>
        <w:t xml:space="preserve">Only constitutional corporations will be eligible to receive support under the </w:t>
      </w:r>
      <w:r w:rsidR="00B1456F">
        <w:rPr>
          <w:rFonts w:ascii="Times New Roman" w:hAnsi="Times New Roman" w:cs="Times New Roman"/>
          <w:sz w:val="24"/>
          <w:szCs w:val="24"/>
        </w:rPr>
        <w:t>P</w:t>
      </w:r>
      <w:r>
        <w:rPr>
          <w:rFonts w:ascii="Times New Roman" w:hAnsi="Times New Roman" w:cs="Times New Roman"/>
          <w:sz w:val="24"/>
          <w:szCs w:val="24"/>
        </w:rPr>
        <w:t xml:space="preserve">rogram prescribed by the Legislative Instrument. The benefits conferred by the </w:t>
      </w:r>
      <w:r w:rsidR="00B1456F">
        <w:rPr>
          <w:rFonts w:ascii="Times New Roman" w:hAnsi="Times New Roman" w:cs="Times New Roman"/>
          <w:sz w:val="24"/>
          <w:szCs w:val="24"/>
        </w:rPr>
        <w:t>P</w:t>
      </w:r>
      <w:r>
        <w:rPr>
          <w:rFonts w:ascii="Times New Roman" w:hAnsi="Times New Roman" w:cs="Times New Roman"/>
          <w:sz w:val="24"/>
          <w:szCs w:val="24"/>
        </w:rPr>
        <w:t xml:space="preserve">rogram will be directed to assisting those corporations in the conduct of their ordinary activities (in this case, activities relating to electricity generation). The </w:t>
      </w:r>
      <w:r w:rsidR="00B1456F">
        <w:rPr>
          <w:rFonts w:ascii="Times New Roman" w:hAnsi="Times New Roman" w:cs="Times New Roman"/>
          <w:sz w:val="24"/>
          <w:szCs w:val="24"/>
        </w:rPr>
        <w:t>P</w:t>
      </w:r>
      <w:r>
        <w:rPr>
          <w:rFonts w:ascii="Times New Roman" w:hAnsi="Times New Roman" w:cs="Times New Roman"/>
          <w:sz w:val="24"/>
          <w:szCs w:val="24"/>
        </w:rPr>
        <w:t>rogram will impose terms and conditions on those corporations under a</w:t>
      </w:r>
      <w:r w:rsidR="006D2CA7">
        <w:rPr>
          <w:rFonts w:ascii="Times New Roman" w:hAnsi="Times New Roman" w:cs="Times New Roman"/>
          <w:sz w:val="24"/>
          <w:szCs w:val="24"/>
        </w:rPr>
        <w:t>n</w:t>
      </w:r>
      <w:r>
        <w:rPr>
          <w:rFonts w:ascii="Times New Roman" w:hAnsi="Times New Roman" w:cs="Times New Roman"/>
          <w:sz w:val="24"/>
          <w:szCs w:val="24"/>
        </w:rPr>
        <w:t xml:space="preserve"> agreement in accordance with section 35 of the IR&amp;D Act, in relation to receipt of benefits under the </w:t>
      </w:r>
      <w:r w:rsidR="00B1456F">
        <w:rPr>
          <w:rFonts w:ascii="Times New Roman" w:hAnsi="Times New Roman" w:cs="Times New Roman"/>
          <w:sz w:val="24"/>
          <w:szCs w:val="24"/>
        </w:rPr>
        <w:t>P</w:t>
      </w:r>
      <w:r>
        <w:rPr>
          <w:rFonts w:ascii="Times New Roman" w:hAnsi="Times New Roman" w:cs="Times New Roman"/>
          <w:sz w:val="24"/>
          <w:szCs w:val="24"/>
        </w:rPr>
        <w:t>rogram. The terms and conditions will set out what the funding may be used for, and the circumstances in which it must be repaid.</w:t>
      </w:r>
    </w:p>
    <w:p w14:paraId="5A2A1054" w14:textId="77777777" w:rsidR="00ED3487" w:rsidRDefault="00E91983">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1AC1412E" w14:textId="77777777" w:rsidR="00ED3487" w:rsidRDefault="00E91983">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IR&amp;D Act provides authority for the Legislative Instrument. </w:t>
      </w:r>
    </w:p>
    <w:p w14:paraId="02EE5350" w14:textId="77777777" w:rsidR="00ED3487" w:rsidRDefault="00E91983" w:rsidP="009D27B1">
      <w:pPr>
        <w:keepNext/>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0BFED020" w14:textId="77777777" w:rsidR="00ED3487" w:rsidRDefault="00E91983" w:rsidP="009D27B1">
      <w:pPr>
        <w:keepNext/>
        <w:spacing w:before="120" w:after="120"/>
        <w:rPr>
          <w:rFonts w:ascii="Times New Roman" w:hAnsi="Times New Roman" w:cs="Times New Roman"/>
          <w:sz w:val="24"/>
          <w:szCs w:val="24"/>
        </w:rPr>
      </w:pPr>
      <w:r>
        <w:rPr>
          <w:rFonts w:ascii="Times New Roman" w:hAnsi="Times New Roman" w:cs="Times New Roman"/>
          <w:sz w:val="24"/>
          <w:szCs w:val="24"/>
        </w:rPr>
        <w:t xml:space="preserve">In accordance with section 17 of the </w:t>
      </w:r>
      <w:r>
        <w:rPr>
          <w:rFonts w:ascii="Times New Roman" w:hAnsi="Times New Roman" w:cs="Times New Roman"/>
          <w:i/>
          <w:sz w:val="24"/>
          <w:szCs w:val="24"/>
        </w:rPr>
        <w:t>Legislation Act 2003</w:t>
      </w:r>
      <w:r>
        <w:rPr>
          <w:rFonts w:ascii="Times New Roman" w:hAnsi="Times New Roman" w:cs="Times New Roman"/>
          <w:sz w:val="24"/>
          <w:szCs w:val="24"/>
        </w:rPr>
        <w:t xml:space="preserve">, the Attorney-General’s Department has been consulted on this Legislative Instrument. </w:t>
      </w:r>
    </w:p>
    <w:p w14:paraId="69402534" w14:textId="77777777" w:rsidR="00784E0A" w:rsidRPr="00AB2F48" w:rsidRDefault="00784E0A" w:rsidP="00784E0A">
      <w:pPr>
        <w:pStyle w:val="NormalWeb"/>
        <w:shd w:val="clear" w:color="auto" w:fill="FFFFFF"/>
      </w:pPr>
      <w:r w:rsidRPr="00625675">
        <w:t>The government consulted on the </w:t>
      </w:r>
      <w:r>
        <w:t>P</w:t>
      </w:r>
      <w:r w:rsidRPr="00625675">
        <w:t xml:space="preserve">rogram </w:t>
      </w:r>
      <w:r>
        <w:t>in</w:t>
      </w:r>
      <w:r w:rsidRPr="00625675">
        <w:t xml:space="preserve"> October and November 2018. </w:t>
      </w:r>
      <w:r>
        <w:t xml:space="preserve">Consultation included a Minister hosted roundtable, a consultation forum and a consultation paper. The consultation sessions were attended by representatives of business, community and environmental organisations. </w:t>
      </w:r>
      <w:r w:rsidRPr="00625675">
        <w:t>Over 70 submissions were received in response to the consultation paper.</w:t>
      </w:r>
      <w:r>
        <w:t xml:space="preserve"> </w:t>
      </w:r>
      <w:r w:rsidRPr="00AB2F48">
        <w:t>During December 2018 and January 2019, the government called for registrations of interest (ROI) for projects under the program. </w:t>
      </w:r>
    </w:p>
    <w:p w14:paraId="4983079C" w14:textId="77777777" w:rsidR="00ED3487" w:rsidRDefault="00E91983">
      <w:pPr>
        <w:keepNext/>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42C7CE0B" w14:textId="77777777" w:rsidR="00ED3487" w:rsidRDefault="00153B0A">
      <w:pPr>
        <w:keepNext/>
        <w:spacing w:before="120" w:after="120"/>
        <w:rPr>
          <w:rFonts w:ascii="Times New Roman" w:hAnsi="Times New Roman" w:cs="Times New Roman"/>
          <w:sz w:val="24"/>
          <w:szCs w:val="24"/>
        </w:rPr>
      </w:pPr>
      <w:r>
        <w:rPr>
          <w:rFonts w:ascii="Times New Roman" w:hAnsi="Times New Roman" w:cs="Times New Roman"/>
          <w:sz w:val="24"/>
          <w:szCs w:val="24"/>
        </w:rPr>
        <w:t xml:space="preserve">A </w:t>
      </w:r>
      <w:r w:rsidR="00175EA6">
        <w:rPr>
          <w:rFonts w:ascii="Times New Roman" w:hAnsi="Times New Roman" w:cs="Times New Roman"/>
          <w:sz w:val="24"/>
          <w:szCs w:val="24"/>
        </w:rPr>
        <w:t xml:space="preserve">Regulation </w:t>
      </w:r>
      <w:r w:rsidR="00B1456F">
        <w:rPr>
          <w:rFonts w:ascii="Times New Roman" w:hAnsi="Times New Roman" w:cs="Times New Roman"/>
          <w:sz w:val="24"/>
          <w:szCs w:val="24"/>
        </w:rPr>
        <w:t>I</w:t>
      </w:r>
      <w:r>
        <w:rPr>
          <w:rFonts w:ascii="Times New Roman" w:hAnsi="Times New Roman" w:cs="Times New Roman"/>
          <w:sz w:val="24"/>
          <w:szCs w:val="24"/>
        </w:rPr>
        <w:t xml:space="preserve">mpact </w:t>
      </w:r>
      <w:r w:rsidR="00B1456F">
        <w:rPr>
          <w:rFonts w:ascii="Times New Roman" w:hAnsi="Times New Roman" w:cs="Times New Roman"/>
          <w:sz w:val="24"/>
          <w:szCs w:val="24"/>
        </w:rPr>
        <w:t>S</w:t>
      </w:r>
      <w:r>
        <w:rPr>
          <w:rFonts w:ascii="Times New Roman" w:hAnsi="Times New Roman" w:cs="Times New Roman"/>
          <w:sz w:val="24"/>
          <w:szCs w:val="24"/>
        </w:rPr>
        <w:t xml:space="preserve">tatement </w:t>
      </w:r>
      <w:r w:rsidR="00A65A1F">
        <w:rPr>
          <w:rFonts w:ascii="Times New Roman" w:hAnsi="Times New Roman" w:cs="Times New Roman"/>
          <w:sz w:val="24"/>
          <w:szCs w:val="24"/>
        </w:rPr>
        <w:t xml:space="preserve">for the </w:t>
      </w:r>
      <w:r w:rsidR="00B1456F">
        <w:rPr>
          <w:rFonts w:ascii="Times New Roman" w:hAnsi="Times New Roman" w:cs="Times New Roman"/>
          <w:sz w:val="24"/>
          <w:szCs w:val="24"/>
        </w:rPr>
        <w:t>P</w:t>
      </w:r>
      <w:r w:rsidR="00A65A1F">
        <w:rPr>
          <w:rFonts w:ascii="Times New Roman" w:hAnsi="Times New Roman" w:cs="Times New Roman"/>
          <w:sz w:val="24"/>
          <w:szCs w:val="24"/>
        </w:rPr>
        <w:t xml:space="preserve">rogram </w:t>
      </w:r>
      <w:r>
        <w:rPr>
          <w:rFonts w:ascii="Times New Roman" w:hAnsi="Times New Roman" w:cs="Times New Roman"/>
          <w:sz w:val="24"/>
          <w:szCs w:val="24"/>
        </w:rPr>
        <w:t xml:space="preserve">has been prepared </w:t>
      </w:r>
      <w:r w:rsidR="00A65A1F">
        <w:rPr>
          <w:rFonts w:ascii="Times New Roman" w:hAnsi="Times New Roman" w:cs="Times New Roman"/>
          <w:sz w:val="24"/>
          <w:szCs w:val="24"/>
        </w:rPr>
        <w:t xml:space="preserve">(OBPR Reference 24589) </w:t>
      </w:r>
      <w:r>
        <w:rPr>
          <w:rFonts w:ascii="Times New Roman" w:hAnsi="Times New Roman" w:cs="Times New Roman"/>
          <w:sz w:val="24"/>
          <w:szCs w:val="24"/>
        </w:rPr>
        <w:t xml:space="preserve">and is appended to this </w:t>
      </w:r>
      <w:r w:rsidR="00B1456F">
        <w:rPr>
          <w:rFonts w:ascii="Times New Roman" w:hAnsi="Times New Roman" w:cs="Times New Roman"/>
          <w:sz w:val="24"/>
          <w:szCs w:val="24"/>
        </w:rPr>
        <w:t>E</w:t>
      </w:r>
      <w:r>
        <w:rPr>
          <w:rFonts w:ascii="Times New Roman" w:hAnsi="Times New Roman" w:cs="Times New Roman"/>
          <w:sz w:val="24"/>
          <w:szCs w:val="24"/>
        </w:rPr>
        <w:t xml:space="preserve">xplanatory </w:t>
      </w:r>
      <w:r w:rsidR="00B1456F">
        <w:rPr>
          <w:rFonts w:ascii="Times New Roman" w:hAnsi="Times New Roman" w:cs="Times New Roman"/>
          <w:sz w:val="24"/>
          <w:szCs w:val="24"/>
        </w:rPr>
        <w:t>S</w:t>
      </w:r>
      <w:r>
        <w:rPr>
          <w:rFonts w:ascii="Times New Roman" w:hAnsi="Times New Roman" w:cs="Times New Roman"/>
          <w:sz w:val="24"/>
          <w:szCs w:val="24"/>
        </w:rPr>
        <w:t>tatement.</w:t>
      </w:r>
    </w:p>
    <w:p w14:paraId="06385983" w14:textId="77777777" w:rsidR="00ED3487" w:rsidRDefault="00ED3487">
      <w:pPr>
        <w:spacing w:before="240" w:after="240"/>
        <w:rPr>
          <w:rFonts w:ascii="Times New Roman" w:hAnsi="Times New Roman" w:cs="Times New Roman"/>
          <w:b/>
          <w:sz w:val="24"/>
          <w:szCs w:val="24"/>
          <w:u w:val="single"/>
        </w:rPr>
      </w:pPr>
    </w:p>
    <w:p w14:paraId="3ACE9E14" w14:textId="77777777" w:rsidR="00ED3487" w:rsidRDefault="00ED3487">
      <w:pPr>
        <w:spacing w:before="240" w:after="240"/>
        <w:rPr>
          <w:rFonts w:ascii="Times New Roman" w:hAnsi="Times New Roman" w:cs="Times New Roman"/>
          <w:b/>
          <w:sz w:val="24"/>
          <w:szCs w:val="24"/>
          <w:u w:val="single"/>
        </w:rPr>
        <w:sectPr w:rsidR="00ED3487">
          <w:headerReference w:type="even" r:id="rId14"/>
          <w:headerReference w:type="default" r:id="rId15"/>
          <w:footerReference w:type="default" r:id="rId16"/>
          <w:headerReference w:type="first" r:id="rId17"/>
          <w:pgSz w:w="11906" w:h="16838"/>
          <w:pgMar w:top="1440" w:right="1440" w:bottom="1440" w:left="1440" w:header="708" w:footer="708" w:gutter="0"/>
          <w:cols w:space="708"/>
          <w:docGrid w:linePitch="360"/>
        </w:sectPr>
      </w:pPr>
    </w:p>
    <w:p w14:paraId="57ADEFF9" w14:textId="77777777" w:rsidR="00784E0A" w:rsidRDefault="00784E0A" w:rsidP="00784E0A">
      <w:pPr>
        <w:spacing w:before="240" w:after="240"/>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A</w:t>
      </w:r>
    </w:p>
    <w:p w14:paraId="2393348B" w14:textId="77777777" w:rsidR="00ED3487" w:rsidRDefault="00E91983">
      <w:pPr>
        <w:spacing w:before="240" w:after="240"/>
        <w:rPr>
          <w:rFonts w:ascii="Times New Roman" w:hAnsi="Times New Roman" w:cs="Times New Roman"/>
          <w:b/>
          <w:sz w:val="24"/>
          <w:szCs w:val="24"/>
        </w:rPr>
      </w:pPr>
      <w:r>
        <w:rPr>
          <w:rFonts w:ascii="Times New Roman" w:hAnsi="Times New Roman" w:cs="Times New Roman"/>
          <w:b/>
          <w:sz w:val="24"/>
          <w:szCs w:val="24"/>
          <w:u w:val="single"/>
        </w:rPr>
        <w:t xml:space="preserve">Details of the </w:t>
      </w:r>
      <w:r>
        <w:rPr>
          <w:rFonts w:ascii="Times New Roman" w:hAnsi="Times New Roman" w:cs="Times New Roman"/>
          <w:b/>
          <w:i/>
          <w:sz w:val="24"/>
          <w:szCs w:val="24"/>
          <w:u w:val="single"/>
        </w:rPr>
        <w:t xml:space="preserve">Industry Research and Development (Underwriting New Generation Investments </w:t>
      </w:r>
      <w:r w:rsidR="001C2D83">
        <w:rPr>
          <w:rFonts w:ascii="Times New Roman" w:hAnsi="Times New Roman" w:cs="Times New Roman"/>
          <w:b/>
          <w:i/>
          <w:sz w:val="24"/>
          <w:szCs w:val="24"/>
          <w:u w:val="single"/>
        </w:rPr>
        <w:t>P</w:t>
      </w:r>
      <w:r>
        <w:rPr>
          <w:rFonts w:ascii="Times New Roman" w:hAnsi="Times New Roman" w:cs="Times New Roman"/>
          <w:b/>
          <w:i/>
          <w:sz w:val="24"/>
          <w:szCs w:val="24"/>
          <w:u w:val="single"/>
        </w:rPr>
        <w:t>rogram) Instrument 202</w:t>
      </w:r>
      <w:r w:rsidR="00204C99">
        <w:rPr>
          <w:rFonts w:ascii="Times New Roman" w:hAnsi="Times New Roman" w:cs="Times New Roman"/>
          <w:b/>
          <w:i/>
          <w:sz w:val="24"/>
          <w:szCs w:val="24"/>
          <w:u w:val="single"/>
        </w:rPr>
        <w:t>1</w:t>
      </w:r>
    </w:p>
    <w:p w14:paraId="615372B7" w14:textId="77777777" w:rsidR="00ED3487" w:rsidRDefault="00E91983">
      <w:pPr>
        <w:spacing w:before="360"/>
        <w:rPr>
          <w:rFonts w:ascii="Times New Roman" w:hAnsi="Times New Roman" w:cs="Times New Roman"/>
          <w:b/>
          <w:sz w:val="24"/>
          <w:szCs w:val="24"/>
        </w:rPr>
      </w:pPr>
      <w:r>
        <w:rPr>
          <w:rFonts w:ascii="Times New Roman" w:hAnsi="Times New Roman" w:cs="Times New Roman"/>
          <w:b/>
          <w:sz w:val="24"/>
          <w:szCs w:val="24"/>
        </w:rPr>
        <w:t xml:space="preserve">Section 1 – Name </w:t>
      </w:r>
    </w:p>
    <w:p w14:paraId="5964B57D" w14:textId="77777777" w:rsidR="00ED3487" w:rsidRDefault="00E91983">
      <w:pPr>
        <w:spacing w:before="240"/>
        <w:rPr>
          <w:rFonts w:ascii="Times New Roman" w:hAnsi="Times New Roman" w:cs="Times New Roman"/>
          <w:sz w:val="24"/>
          <w:szCs w:val="24"/>
        </w:rPr>
      </w:pPr>
      <w:r>
        <w:rPr>
          <w:rFonts w:ascii="Times New Roman" w:hAnsi="Times New Roman" w:cs="Times New Roman"/>
          <w:sz w:val="24"/>
          <w:szCs w:val="24"/>
        </w:rPr>
        <w:t xml:space="preserve">This section specifies the name of the Legislative Instrument as the </w:t>
      </w:r>
      <w:r>
        <w:rPr>
          <w:rFonts w:ascii="Times New Roman" w:hAnsi="Times New Roman" w:cs="Times New Roman"/>
          <w:i/>
          <w:sz w:val="24"/>
          <w:szCs w:val="24"/>
        </w:rPr>
        <w:t xml:space="preserve">Industry Research and Development (Underwriting New Generation Investments </w:t>
      </w:r>
      <w:r w:rsidR="00916F02">
        <w:rPr>
          <w:rFonts w:ascii="Times New Roman" w:hAnsi="Times New Roman" w:cs="Times New Roman"/>
          <w:i/>
          <w:sz w:val="24"/>
          <w:szCs w:val="24"/>
        </w:rPr>
        <w:t>P</w:t>
      </w:r>
      <w:r>
        <w:rPr>
          <w:rFonts w:ascii="Times New Roman" w:hAnsi="Times New Roman" w:cs="Times New Roman"/>
          <w:i/>
          <w:sz w:val="24"/>
          <w:szCs w:val="24"/>
        </w:rPr>
        <w:t>rogram) Instrument 202</w:t>
      </w:r>
      <w:r w:rsidR="00277D87">
        <w:rPr>
          <w:rFonts w:ascii="Times New Roman" w:hAnsi="Times New Roman" w:cs="Times New Roman"/>
          <w:i/>
          <w:sz w:val="24"/>
          <w:szCs w:val="24"/>
        </w:rPr>
        <w:t>1</w:t>
      </w:r>
      <w:r>
        <w:rPr>
          <w:rFonts w:ascii="Times New Roman" w:hAnsi="Times New Roman" w:cs="Times New Roman"/>
          <w:i/>
          <w:sz w:val="24"/>
          <w:szCs w:val="24"/>
        </w:rPr>
        <w:t>.</w:t>
      </w:r>
    </w:p>
    <w:p w14:paraId="0793628B" w14:textId="77777777" w:rsidR="00ED3487" w:rsidRDefault="00E91983">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 2 – Commencement</w:t>
      </w:r>
    </w:p>
    <w:p w14:paraId="3C3811B7" w14:textId="77777777" w:rsidR="00ED3487" w:rsidRDefault="00E91983">
      <w:pPr>
        <w:spacing w:before="240" w:after="100" w:afterAutospacing="1"/>
        <w:rPr>
          <w:rFonts w:ascii="Times New Roman" w:hAnsi="Times New Roman" w:cs="Times New Roman"/>
          <w:sz w:val="24"/>
          <w:szCs w:val="24"/>
        </w:rPr>
      </w:pPr>
      <w:r>
        <w:rPr>
          <w:rFonts w:ascii="Times New Roman" w:hAnsi="Times New Roman" w:cs="Times New Roman"/>
          <w:sz w:val="24"/>
          <w:szCs w:val="24"/>
        </w:rPr>
        <w:t xml:space="preserve">This section provides that the Legislative Instrument commences on the day after </w:t>
      </w:r>
      <w:r w:rsidR="00A71F2E">
        <w:rPr>
          <w:rFonts w:ascii="Times New Roman" w:hAnsi="Times New Roman" w:cs="Times New Roman"/>
          <w:sz w:val="24"/>
          <w:szCs w:val="24"/>
        </w:rPr>
        <w:t xml:space="preserve">it is </w:t>
      </w:r>
      <w:r>
        <w:rPr>
          <w:rFonts w:ascii="Times New Roman" w:hAnsi="Times New Roman" w:cs="Times New Roman"/>
          <w:sz w:val="24"/>
          <w:szCs w:val="24"/>
        </w:rPr>
        <w:t>regist</w:t>
      </w:r>
      <w:r w:rsidR="00A71F2E">
        <w:rPr>
          <w:rFonts w:ascii="Times New Roman" w:hAnsi="Times New Roman" w:cs="Times New Roman"/>
          <w:sz w:val="24"/>
          <w:szCs w:val="24"/>
        </w:rPr>
        <w:t>ered</w:t>
      </w:r>
      <w:r>
        <w:rPr>
          <w:rFonts w:ascii="Times New Roman" w:hAnsi="Times New Roman" w:cs="Times New Roman"/>
          <w:sz w:val="24"/>
          <w:szCs w:val="24"/>
        </w:rPr>
        <w:t xml:space="preserve"> on the Federal Register of Legislation.  </w:t>
      </w:r>
    </w:p>
    <w:p w14:paraId="4E0C5B31" w14:textId="77777777" w:rsidR="00ED3487" w:rsidRDefault="00E9198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 – Authority</w:t>
      </w:r>
    </w:p>
    <w:p w14:paraId="4B134C1A" w14:textId="77777777" w:rsidR="00ED3487" w:rsidRDefault="00E91983">
      <w:pPr>
        <w:spacing w:before="240"/>
        <w:rPr>
          <w:rFonts w:ascii="Times New Roman" w:hAnsi="Times New Roman" w:cs="Times New Roman"/>
          <w:sz w:val="24"/>
          <w:szCs w:val="24"/>
        </w:rPr>
      </w:pPr>
      <w:r>
        <w:rPr>
          <w:rFonts w:ascii="Times New Roman" w:hAnsi="Times New Roman" w:cs="Times New Roman"/>
          <w:sz w:val="24"/>
          <w:szCs w:val="24"/>
        </w:rPr>
        <w:t xml:space="preserve">This section specifies the provision of the IR&amp;D Act under which the Legislative Instrument is made. </w:t>
      </w:r>
    </w:p>
    <w:p w14:paraId="3E5B7177" w14:textId="77777777" w:rsidR="00ED3487" w:rsidRDefault="00E91983">
      <w:pPr>
        <w:spacing w:before="240"/>
        <w:rPr>
          <w:rFonts w:ascii="Times New Roman" w:hAnsi="Times New Roman" w:cs="Times New Roman"/>
          <w:b/>
          <w:sz w:val="24"/>
          <w:szCs w:val="24"/>
        </w:rPr>
      </w:pPr>
      <w:r>
        <w:rPr>
          <w:rFonts w:ascii="Times New Roman" w:hAnsi="Times New Roman" w:cs="Times New Roman"/>
          <w:b/>
          <w:sz w:val="24"/>
          <w:szCs w:val="24"/>
        </w:rPr>
        <w:t>Section 4 – Definitions</w:t>
      </w:r>
    </w:p>
    <w:p w14:paraId="551CAAE9" w14:textId="77777777" w:rsidR="00ED3487" w:rsidRDefault="00E91983">
      <w:pPr>
        <w:spacing w:before="240"/>
        <w:rPr>
          <w:rFonts w:ascii="Times New Roman" w:hAnsi="Times New Roman" w:cs="Times New Roman"/>
          <w:sz w:val="24"/>
          <w:szCs w:val="24"/>
        </w:rPr>
      </w:pPr>
      <w:r>
        <w:rPr>
          <w:rFonts w:ascii="Times New Roman" w:hAnsi="Times New Roman" w:cs="Times New Roman"/>
          <w:sz w:val="24"/>
          <w:szCs w:val="24"/>
        </w:rPr>
        <w:t>This section provides for definitions of terms used in the Legislative Instrument.</w:t>
      </w:r>
    </w:p>
    <w:p w14:paraId="47D58DD4" w14:textId="77777777" w:rsidR="00ED3487" w:rsidRDefault="00E91983">
      <w:pPr>
        <w:spacing w:before="240"/>
        <w:rPr>
          <w:rFonts w:ascii="Times New Roman" w:hAnsi="Times New Roman" w:cs="Times New Roman"/>
          <w:b/>
          <w:sz w:val="24"/>
          <w:szCs w:val="24"/>
        </w:rPr>
      </w:pPr>
      <w:r>
        <w:rPr>
          <w:rFonts w:ascii="Times New Roman" w:hAnsi="Times New Roman" w:cs="Times New Roman"/>
          <w:b/>
          <w:sz w:val="24"/>
          <w:szCs w:val="24"/>
        </w:rPr>
        <w:t>Section 5 – Prescribed program</w:t>
      </w:r>
    </w:p>
    <w:p w14:paraId="66AEC80B" w14:textId="77777777" w:rsidR="00ED3487" w:rsidRDefault="00E91983">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prescribes the Underwriting New Generation Investments </w:t>
      </w:r>
      <w:r w:rsidR="00EB29BA">
        <w:rPr>
          <w:rFonts w:ascii="Times New Roman" w:hAnsi="Times New Roman" w:cs="Times New Roman"/>
          <w:sz w:val="24"/>
          <w:szCs w:val="24"/>
        </w:rPr>
        <w:t>P</w:t>
      </w:r>
      <w:r>
        <w:rPr>
          <w:rFonts w:ascii="Times New Roman" w:hAnsi="Times New Roman" w:cs="Times New Roman"/>
          <w:sz w:val="24"/>
          <w:szCs w:val="24"/>
        </w:rPr>
        <w:t xml:space="preserve">rogram for the purposes of section 33 of the IR&amp;D Act. </w:t>
      </w:r>
    </w:p>
    <w:p w14:paraId="5A3D3984" w14:textId="77777777" w:rsidR="00ED3487" w:rsidRDefault="00E91983">
      <w:pPr>
        <w:spacing w:before="240" w:after="240"/>
        <w:rPr>
          <w:rFonts w:ascii="Times New Roman" w:hAnsi="Times New Roman" w:cs="Times New Roman"/>
          <w:sz w:val="24"/>
          <w:szCs w:val="24"/>
        </w:rPr>
      </w:pPr>
      <w:r>
        <w:rPr>
          <w:rFonts w:ascii="Times New Roman" w:hAnsi="Times New Roman" w:cs="Times New Roman"/>
          <w:sz w:val="24"/>
          <w:szCs w:val="24"/>
        </w:rPr>
        <w:t xml:space="preserve">The </w:t>
      </w:r>
      <w:r w:rsidR="00B1456F">
        <w:rPr>
          <w:rFonts w:ascii="Times New Roman" w:hAnsi="Times New Roman" w:cs="Times New Roman"/>
          <w:sz w:val="24"/>
          <w:szCs w:val="24"/>
        </w:rPr>
        <w:t>P</w:t>
      </w:r>
      <w:r>
        <w:rPr>
          <w:rFonts w:ascii="Times New Roman" w:hAnsi="Times New Roman" w:cs="Times New Roman"/>
          <w:sz w:val="24"/>
          <w:szCs w:val="24"/>
        </w:rPr>
        <w:t xml:space="preserve">rogram provides financial support for </w:t>
      </w:r>
      <w:r w:rsidRPr="009D27B1">
        <w:rPr>
          <w:rFonts w:ascii="Times New Roman" w:hAnsi="Times New Roman" w:cs="Times New Roman"/>
          <w:sz w:val="24"/>
          <w:szCs w:val="24"/>
        </w:rPr>
        <w:t xml:space="preserve">new investments in </w:t>
      </w:r>
      <w:proofErr w:type="spellStart"/>
      <w:r w:rsidRPr="009D27B1">
        <w:rPr>
          <w:rFonts w:ascii="Times New Roman" w:hAnsi="Times New Roman" w:cs="Times New Roman"/>
          <w:sz w:val="24"/>
          <w:szCs w:val="24"/>
        </w:rPr>
        <w:t>dispatchable</w:t>
      </w:r>
      <w:proofErr w:type="spellEnd"/>
      <w:r w:rsidRPr="009D27B1">
        <w:rPr>
          <w:rFonts w:ascii="Times New Roman" w:hAnsi="Times New Roman" w:cs="Times New Roman"/>
          <w:sz w:val="24"/>
          <w:szCs w:val="24"/>
        </w:rPr>
        <w:t xml:space="preserve"> electricity generation projects</w:t>
      </w:r>
      <w:r>
        <w:rPr>
          <w:rFonts w:ascii="Times New Roman" w:hAnsi="Times New Roman" w:cs="Times New Roman"/>
          <w:sz w:val="24"/>
          <w:szCs w:val="24"/>
        </w:rPr>
        <w:t>.</w:t>
      </w:r>
    </w:p>
    <w:p w14:paraId="79D46FE4" w14:textId="77777777" w:rsidR="00ED3487" w:rsidRDefault="00E91983">
      <w:pPr>
        <w:spacing w:before="240" w:after="240"/>
        <w:rPr>
          <w:rFonts w:ascii="Times New Roman" w:hAnsi="Times New Roman" w:cs="Times New Roman"/>
          <w:b/>
          <w:sz w:val="24"/>
          <w:szCs w:val="24"/>
        </w:rPr>
      </w:pPr>
      <w:r>
        <w:rPr>
          <w:rFonts w:ascii="Times New Roman" w:hAnsi="Times New Roman" w:cs="Times New Roman"/>
          <w:b/>
          <w:sz w:val="24"/>
          <w:szCs w:val="24"/>
        </w:rPr>
        <w:t>Section 6 – Specified legislative power</w:t>
      </w:r>
    </w:p>
    <w:p w14:paraId="65D57017" w14:textId="77777777" w:rsidR="00ED3487" w:rsidRDefault="00E91983">
      <w:pPr>
        <w:spacing w:before="240" w:after="240"/>
        <w:rPr>
          <w:rFonts w:ascii="Times New Roman" w:hAnsi="Times New Roman" w:cs="Times New Roman"/>
          <w:sz w:val="24"/>
          <w:szCs w:val="24"/>
        </w:rPr>
      </w:pPr>
      <w:r>
        <w:rPr>
          <w:rFonts w:ascii="Times New Roman" w:hAnsi="Times New Roman" w:cs="Times New Roman"/>
          <w:sz w:val="24"/>
          <w:szCs w:val="24"/>
        </w:rPr>
        <w:t>This section specifies that the legislative power in respect of which the Legislative Instrument is made is the power of the Parliament to make laws with respect to foreign corporations, and trading or financial corporations formed within the limits of the Commonwealth (paragraph 51(xx) of the Constitution).</w:t>
      </w:r>
    </w:p>
    <w:p w14:paraId="483A22B5" w14:textId="77777777" w:rsidR="00ED3487" w:rsidRDefault="00E91983">
      <w:pPr>
        <w:spacing w:before="240" w:after="240"/>
        <w:rPr>
          <w:rFonts w:ascii="Times New Roman" w:hAnsi="Times New Roman" w:cs="Times New Roman"/>
          <w:b/>
          <w:sz w:val="24"/>
          <w:szCs w:val="24"/>
        </w:rPr>
      </w:pPr>
      <w:r>
        <w:rPr>
          <w:rFonts w:ascii="Times New Roman" w:hAnsi="Times New Roman" w:cs="Times New Roman"/>
          <w:b/>
          <w:sz w:val="24"/>
          <w:szCs w:val="24"/>
        </w:rPr>
        <w:t>Section 7 – Eligibility criteria relating to program</w:t>
      </w:r>
    </w:p>
    <w:p w14:paraId="7952595C" w14:textId="77777777" w:rsidR="00ED3487" w:rsidRDefault="00E91983">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specifies that applicants in relation to the </w:t>
      </w:r>
      <w:r w:rsidR="00B1456F">
        <w:rPr>
          <w:rFonts w:ascii="Times New Roman" w:hAnsi="Times New Roman" w:cs="Times New Roman"/>
          <w:sz w:val="24"/>
          <w:szCs w:val="24"/>
        </w:rPr>
        <w:t>P</w:t>
      </w:r>
      <w:r>
        <w:rPr>
          <w:rFonts w:ascii="Times New Roman" w:hAnsi="Times New Roman" w:cs="Times New Roman"/>
          <w:sz w:val="24"/>
          <w:szCs w:val="24"/>
        </w:rPr>
        <w:t xml:space="preserve">rogram, as well as those who receive funding under the </w:t>
      </w:r>
      <w:r w:rsidR="00B1456F">
        <w:rPr>
          <w:rFonts w:ascii="Times New Roman" w:hAnsi="Times New Roman" w:cs="Times New Roman"/>
          <w:sz w:val="24"/>
          <w:szCs w:val="24"/>
        </w:rPr>
        <w:t>P</w:t>
      </w:r>
      <w:r>
        <w:rPr>
          <w:rFonts w:ascii="Times New Roman" w:hAnsi="Times New Roman" w:cs="Times New Roman"/>
          <w:sz w:val="24"/>
          <w:szCs w:val="24"/>
        </w:rPr>
        <w:t>rogram (for example, an approved subsequent owner of the relevant power station</w:t>
      </w:r>
      <w:r w:rsidR="00154ADD">
        <w:rPr>
          <w:rFonts w:ascii="Times New Roman" w:hAnsi="Times New Roman" w:cs="Times New Roman"/>
          <w:sz w:val="24"/>
          <w:szCs w:val="24"/>
        </w:rPr>
        <w:t xml:space="preserve"> to which an existing funding agreement relates</w:t>
      </w:r>
      <w:r>
        <w:rPr>
          <w:rFonts w:ascii="Times New Roman" w:hAnsi="Times New Roman" w:cs="Times New Roman"/>
          <w:sz w:val="24"/>
          <w:szCs w:val="24"/>
        </w:rPr>
        <w:t>)</w:t>
      </w:r>
      <w:r w:rsidR="00507631">
        <w:rPr>
          <w:rFonts w:ascii="Times New Roman" w:hAnsi="Times New Roman" w:cs="Times New Roman"/>
          <w:sz w:val="24"/>
          <w:szCs w:val="24"/>
        </w:rPr>
        <w:t>,</w:t>
      </w:r>
      <w:r>
        <w:rPr>
          <w:rFonts w:ascii="Times New Roman" w:hAnsi="Times New Roman" w:cs="Times New Roman"/>
          <w:sz w:val="24"/>
          <w:szCs w:val="24"/>
        </w:rPr>
        <w:t xml:space="preserve"> must be corporations to which paragraph 51(xx) of the Constitution applies. </w:t>
      </w:r>
    </w:p>
    <w:p w14:paraId="673B15EE" w14:textId="77777777" w:rsidR="00ED3487" w:rsidRDefault="00ED3487">
      <w:pPr>
        <w:keepNext/>
        <w:spacing w:before="240"/>
        <w:rPr>
          <w:rFonts w:ascii="Times New Roman" w:hAnsi="Times New Roman" w:cs="Times New Roman"/>
          <w:sz w:val="24"/>
          <w:szCs w:val="24"/>
        </w:rPr>
      </w:pPr>
    </w:p>
    <w:p w14:paraId="60C540DF" w14:textId="77777777" w:rsidR="00ED3487" w:rsidRDefault="00ED3487">
      <w:pPr>
        <w:spacing w:before="240" w:after="240"/>
        <w:rPr>
          <w:rFonts w:ascii="Times New Roman" w:hAnsi="Times New Roman" w:cs="Times New Roman"/>
          <w:b/>
          <w:sz w:val="24"/>
          <w:szCs w:val="24"/>
        </w:rPr>
        <w:sectPr w:rsidR="00ED3487">
          <w:pgSz w:w="11906" w:h="16838"/>
          <w:pgMar w:top="1440" w:right="1440" w:bottom="1440" w:left="1440" w:header="708" w:footer="708" w:gutter="0"/>
          <w:cols w:space="708"/>
          <w:docGrid w:linePitch="360"/>
        </w:sectPr>
      </w:pPr>
    </w:p>
    <w:p w14:paraId="7B88755A" w14:textId="77777777" w:rsidR="00784E0A" w:rsidRPr="003F69AC" w:rsidRDefault="00784E0A" w:rsidP="00784E0A">
      <w:pPr>
        <w:spacing w:before="360" w:after="120"/>
        <w:ind w:left="-851"/>
        <w:jc w:val="right"/>
        <w:rPr>
          <w:rFonts w:ascii="Times New Roman" w:hAnsi="Times New Roman" w:cs="Times New Roman"/>
          <w:b/>
          <w:sz w:val="24"/>
          <w:szCs w:val="24"/>
        </w:rPr>
      </w:pPr>
      <w:r w:rsidRPr="003F69AC">
        <w:rPr>
          <w:rFonts w:ascii="Times New Roman" w:hAnsi="Times New Roman" w:cs="Times New Roman"/>
          <w:b/>
          <w:sz w:val="24"/>
          <w:szCs w:val="24"/>
        </w:rPr>
        <w:lastRenderedPageBreak/>
        <w:t>Attachment B</w:t>
      </w:r>
    </w:p>
    <w:p w14:paraId="0A569D0E" w14:textId="77777777" w:rsidR="00ED3487" w:rsidRDefault="00E91983" w:rsidP="00153B0A">
      <w:pPr>
        <w:spacing w:before="360" w:after="120"/>
        <w:ind w:left="-851"/>
        <w:jc w:val="center"/>
        <w:rPr>
          <w:rFonts w:ascii="Times New Roman" w:hAnsi="Times New Roman" w:cs="Times New Roman"/>
          <w:b/>
          <w:sz w:val="28"/>
          <w:szCs w:val="28"/>
        </w:rPr>
      </w:pPr>
      <w:r>
        <w:rPr>
          <w:rFonts w:ascii="Times New Roman" w:hAnsi="Times New Roman" w:cs="Times New Roman"/>
          <w:b/>
          <w:sz w:val="28"/>
          <w:szCs w:val="28"/>
        </w:rPr>
        <w:t>Statement of Compatibility with Human Rights</w:t>
      </w:r>
    </w:p>
    <w:p w14:paraId="37D3E719" w14:textId="77777777" w:rsidR="00ED3487" w:rsidRDefault="00E91983" w:rsidP="00153B0A">
      <w:pPr>
        <w:spacing w:before="240" w:after="240"/>
        <w:ind w:left="-851"/>
        <w:jc w:val="center"/>
        <w:rPr>
          <w:rFonts w:ascii="Times New Roman" w:hAnsi="Times New Roman" w:cs="Times New Roman"/>
          <w:sz w:val="24"/>
          <w:szCs w:val="24"/>
        </w:rPr>
      </w:pPr>
      <w:r>
        <w:rPr>
          <w:rFonts w:ascii="Times New Roman" w:hAnsi="Times New Roman" w:cs="Times New Roman"/>
          <w:i/>
          <w:sz w:val="24"/>
          <w:szCs w:val="24"/>
        </w:rPr>
        <w:t>Prepared in accordance with Part 3 of the Human Rights (Parliamentary Scrutiny) Act 2011</w:t>
      </w:r>
    </w:p>
    <w:p w14:paraId="575568B9" w14:textId="77777777" w:rsidR="00ED3487" w:rsidRDefault="00E91983" w:rsidP="00153B0A">
      <w:pPr>
        <w:spacing w:before="240" w:after="240"/>
        <w:ind w:left="-851"/>
        <w:jc w:val="center"/>
        <w:rPr>
          <w:rFonts w:ascii="Times New Roman" w:hAnsi="Times New Roman" w:cs="Times New Roman"/>
          <w:i/>
          <w:sz w:val="24"/>
          <w:szCs w:val="24"/>
        </w:rPr>
      </w:pPr>
      <w:r>
        <w:rPr>
          <w:rFonts w:ascii="Times New Roman" w:hAnsi="Times New Roman" w:cs="Times New Roman"/>
          <w:i/>
          <w:sz w:val="24"/>
          <w:szCs w:val="24"/>
        </w:rPr>
        <w:t xml:space="preserve">Industry Research and Development (Underwriting New Generation Investments </w:t>
      </w:r>
      <w:r w:rsidR="00237324">
        <w:rPr>
          <w:rFonts w:ascii="Times New Roman" w:hAnsi="Times New Roman" w:cs="Times New Roman"/>
          <w:i/>
          <w:sz w:val="24"/>
          <w:szCs w:val="24"/>
        </w:rPr>
        <w:t>P</w:t>
      </w:r>
      <w:r>
        <w:rPr>
          <w:rFonts w:ascii="Times New Roman" w:hAnsi="Times New Roman" w:cs="Times New Roman"/>
          <w:i/>
          <w:sz w:val="24"/>
          <w:szCs w:val="24"/>
        </w:rPr>
        <w:t>rogram) Instrument 202</w:t>
      </w:r>
      <w:r w:rsidR="00204C99">
        <w:rPr>
          <w:rFonts w:ascii="Times New Roman" w:hAnsi="Times New Roman" w:cs="Times New Roman"/>
          <w:i/>
          <w:sz w:val="24"/>
          <w:szCs w:val="24"/>
        </w:rPr>
        <w:t>1</w:t>
      </w:r>
    </w:p>
    <w:p w14:paraId="029F555B" w14:textId="77777777" w:rsidR="00ED3487" w:rsidRDefault="00E91983" w:rsidP="000E1C8F">
      <w:pPr>
        <w:spacing w:before="240" w:after="240"/>
        <w:ind w:left="-851"/>
        <w:rPr>
          <w:rFonts w:ascii="Times New Roman" w:hAnsi="Times New Roman" w:cs="Times New Roman"/>
          <w:sz w:val="24"/>
          <w:szCs w:val="24"/>
        </w:rPr>
      </w:pPr>
      <w:r>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Pr>
          <w:rFonts w:ascii="Times New Roman" w:hAnsi="Times New Roman" w:cs="Times New Roman"/>
          <w:i/>
          <w:sz w:val="24"/>
          <w:szCs w:val="24"/>
        </w:rPr>
        <w:t>Human Rights (Parliamentary Scrutiny) Act 2011</w:t>
      </w:r>
      <w:r>
        <w:rPr>
          <w:rFonts w:ascii="Times New Roman" w:hAnsi="Times New Roman" w:cs="Times New Roman"/>
          <w:sz w:val="24"/>
          <w:szCs w:val="24"/>
        </w:rPr>
        <w:t>.</w:t>
      </w:r>
    </w:p>
    <w:p w14:paraId="359A36DC" w14:textId="77777777" w:rsidR="00ED3487" w:rsidRDefault="00E91983" w:rsidP="00153B0A">
      <w:pPr>
        <w:tabs>
          <w:tab w:val="left" w:pos="6000"/>
        </w:tabs>
        <w:spacing w:before="240" w:after="240"/>
        <w:ind w:left="-851"/>
        <w:jc w:val="both"/>
        <w:rPr>
          <w:rFonts w:ascii="Times New Roman" w:hAnsi="Times New Roman" w:cs="Times New Roman"/>
          <w:b/>
          <w:sz w:val="24"/>
          <w:szCs w:val="24"/>
        </w:rPr>
      </w:pPr>
      <w:r>
        <w:rPr>
          <w:rFonts w:ascii="Times New Roman" w:hAnsi="Times New Roman" w:cs="Times New Roman"/>
          <w:b/>
          <w:sz w:val="24"/>
          <w:szCs w:val="24"/>
        </w:rPr>
        <w:t>Overview of the Legislative Instrument</w:t>
      </w:r>
    </w:p>
    <w:p w14:paraId="0283FB63" w14:textId="77777777" w:rsidR="00784E0A" w:rsidRDefault="00E91983" w:rsidP="00784E0A">
      <w:pPr>
        <w:ind w:left="-851"/>
        <w:rPr>
          <w:rFonts w:ascii="Times New Roman" w:hAnsi="Times New Roman" w:cs="Times New Roman"/>
          <w:sz w:val="24"/>
          <w:szCs w:val="24"/>
        </w:rPr>
      </w:pPr>
      <w:r>
        <w:rPr>
          <w:rFonts w:ascii="Times New Roman" w:hAnsi="Times New Roman" w:cs="Times New Roman"/>
          <w:sz w:val="24"/>
          <w:szCs w:val="24"/>
        </w:rPr>
        <w:t xml:space="preserve">This Legislative Instrument provides legislative authority to commit Commonwealth funds for the Underwriting New Generation Investments </w:t>
      </w:r>
      <w:r w:rsidR="00EB29BA">
        <w:rPr>
          <w:rFonts w:ascii="Times New Roman" w:hAnsi="Times New Roman" w:cs="Times New Roman"/>
          <w:sz w:val="24"/>
          <w:szCs w:val="24"/>
        </w:rPr>
        <w:t>P</w:t>
      </w:r>
      <w:r>
        <w:rPr>
          <w:rFonts w:ascii="Times New Roman" w:hAnsi="Times New Roman" w:cs="Times New Roman"/>
          <w:sz w:val="24"/>
          <w:szCs w:val="24"/>
        </w:rPr>
        <w:t xml:space="preserve">rogram. The </w:t>
      </w:r>
      <w:r w:rsidR="00237324">
        <w:rPr>
          <w:rFonts w:ascii="Times New Roman" w:hAnsi="Times New Roman" w:cs="Times New Roman"/>
          <w:sz w:val="24"/>
          <w:szCs w:val="24"/>
        </w:rPr>
        <w:t>P</w:t>
      </w:r>
      <w:r>
        <w:rPr>
          <w:rFonts w:ascii="Times New Roman" w:hAnsi="Times New Roman" w:cs="Times New Roman"/>
          <w:sz w:val="24"/>
          <w:szCs w:val="24"/>
        </w:rPr>
        <w:t xml:space="preserve">rogram provides financial support for investments in </w:t>
      </w:r>
      <w:proofErr w:type="spellStart"/>
      <w:r>
        <w:rPr>
          <w:rFonts w:ascii="Times New Roman" w:hAnsi="Times New Roman" w:cs="Times New Roman"/>
          <w:sz w:val="24"/>
          <w:szCs w:val="24"/>
        </w:rPr>
        <w:t>dispatchable</w:t>
      </w:r>
      <w:proofErr w:type="spellEnd"/>
      <w:r>
        <w:rPr>
          <w:rFonts w:ascii="Times New Roman" w:hAnsi="Times New Roman" w:cs="Times New Roman"/>
          <w:sz w:val="24"/>
          <w:szCs w:val="24"/>
        </w:rPr>
        <w:t xml:space="preserve"> electricity generation projects.</w:t>
      </w:r>
      <w:r w:rsidR="00784E0A">
        <w:rPr>
          <w:rFonts w:ascii="Times New Roman" w:hAnsi="Times New Roman" w:cs="Times New Roman"/>
          <w:sz w:val="24"/>
          <w:szCs w:val="24"/>
        </w:rPr>
        <w:t xml:space="preserve"> </w:t>
      </w:r>
      <w:r w:rsidR="00784E0A" w:rsidRPr="008D369E">
        <w:rPr>
          <w:rFonts w:ascii="Times New Roman" w:hAnsi="Times New Roman" w:cs="Times New Roman"/>
          <w:sz w:val="24"/>
          <w:szCs w:val="24"/>
        </w:rPr>
        <w:t xml:space="preserve">The purpose of the </w:t>
      </w:r>
      <w:r w:rsidR="00784E0A">
        <w:rPr>
          <w:rFonts w:ascii="Times New Roman" w:hAnsi="Times New Roman" w:cs="Times New Roman"/>
          <w:sz w:val="24"/>
          <w:szCs w:val="24"/>
        </w:rPr>
        <w:t>P</w:t>
      </w:r>
      <w:r w:rsidR="00784E0A" w:rsidRPr="008D369E">
        <w:rPr>
          <w:rFonts w:ascii="Times New Roman" w:hAnsi="Times New Roman" w:cs="Times New Roman"/>
          <w:sz w:val="24"/>
          <w:szCs w:val="24"/>
        </w:rPr>
        <w:t>rogram is</w:t>
      </w:r>
      <w:r w:rsidR="00784E0A">
        <w:rPr>
          <w:rFonts w:ascii="Times New Roman" w:hAnsi="Times New Roman" w:cs="Times New Roman"/>
          <w:sz w:val="24"/>
          <w:szCs w:val="24"/>
        </w:rPr>
        <w:t xml:space="preserve">, by </w:t>
      </w:r>
      <w:r w:rsidR="00784E0A" w:rsidRPr="008D369E">
        <w:rPr>
          <w:rFonts w:ascii="Times New Roman" w:hAnsi="Times New Roman" w:cs="Times New Roman"/>
          <w:sz w:val="24"/>
          <w:szCs w:val="24"/>
        </w:rPr>
        <w:t>support</w:t>
      </w:r>
      <w:r w:rsidR="00784E0A">
        <w:rPr>
          <w:rFonts w:ascii="Times New Roman" w:hAnsi="Times New Roman" w:cs="Times New Roman"/>
          <w:sz w:val="24"/>
          <w:szCs w:val="24"/>
        </w:rPr>
        <w:t>ing</w:t>
      </w:r>
      <w:r w:rsidR="00784E0A" w:rsidRPr="008D369E">
        <w:rPr>
          <w:rFonts w:ascii="Times New Roman" w:hAnsi="Times New Roman" w:cs="Times New Roman"/>
          <w:sz w:val="24"/>
          <w:szCs w:val="24"/>
        </w:rPr>
        <w:t xml:space="preserve"> new investments in </w:t>
      </w:r>
      <w:proofErr w:type="spellStart"/>
      <w:r w:rsidR="00784E0A" w:rsidRPr="008D369E">
        <w:rPr>
          <w:rFonts w:ascii="Times New Roman" w:hAnsi="Times New Roman" w:cs="Times New Roman"/>
          <w:sz w:val="24"/>
          <w:szCs w:val="24"/>
        </w:rPr>
        <w:t>dispatchable</w:t>
      </w:r>
      <w:proofErr w:type="spellEnd"/>
      <w:r w:rsidR="00784E0A" w:rsidRPr="008D369E">
        <w:rPr>
          <w:rFonts w:ascii="Times New Roman" w:hAnsi="Times New Roman" w:cs="Times New Roman"/>
          <w:sz w:val="24"/>
          <w:szCs w:val="24"/>
        </w:rPr>
        <w:t xml:space="preserve"> electricity generation projects</w:t>
      </w:r>
      <w:r w:rsidR="00784E0A">
        <w:rPr>
          <w:rFonts w:ascii="Times New Roman" w:hAnsi="Times New Roman" w:cs="Times New Roman"/>
          <w:sz w:val="24"/>
          <w:szCs w:val="24"/>
        </w:rPr>
        <w:t>, to</w:t>
      </w:r>
      <w:r w:rsidR="00784E0A" w:rsidRPr="008D369E">
        <w:rPr>
          <w:rFonts w:ascii="Times New Roman" w:hAnsi="Times New Roman" w:cs="Times New Roman"/>
          <w:sz w:val="24"/>
          <w:szCs w:val="24"/>
        </w:rPr>
        <w:t>:</w:t>
      </w:r>
    </w:p>
    <w:p w14:paraId="1C4FBBAA" w14:textId="77777777" w:rsidR="00784E0A" w:rsidRPr="009D27B1" w:rsidRDefault="00784E0A" w:rsidP="00784E0A">
      <w:pPr>
        <w:pStyle w:val="ListParagraph"/>
        <w:numPr>
          <w:ilvl w:val="0"/>
          <w:numId w:val="49"/>
        </w:numPr>
        <w:spacing w:before="240" w:after="240"/>
        <w:ind w:left="-142"/>
        <w:rPr>
          <w:rFonts w:ascii="Times New Roman" w:hAnsi="Times New Roman" w:cs="Times New Roman"/>
          <w:sz w:val="24"/>
          <w:szCs w:val="24"/>
        </w:rPr>
      </w:pPr>
      <w:r w:rsidRPr="00E236BA">
        <w:rPr>
          <w:rFonts w:ascii="Times New Roman" w:hAnsi="Times New Roman" w:cs="Times New Roman"/>
          <w:sz w:val="24"/>
          <w:szCs w:val="24"/>
        </w:rPr>
        <w:t>reduce wholesale electricity prices by increa</w:t>
      </w:r>
      <w:r>
        <w:rPr>
          <w:rFonts w:ascii="Times New Roman" w:hAnsi="Times New Roman" w:cs="Times New Roman"/>
          <w:sz w:val="24"/>
          <w:szCs w:val="24"/>
        </w:rPr>
        <w:t>sing competition and supply</w:t>
      </w:r>
      <w:r w:rsidRPr="009D27B1">
        <w:rPr>
          <w:rFonts w:ascii="Times New Roman" w:hAnsi="Times New Roman" w:cs="Times New Roman"/>
          <w:sz w:val="24"/>
          <w:szCs w:val="24"/>
        </w:rPr>
        <w:t>; and</w:t>
      </w:r>
    </w:p>
    <w:p w14:paraId="39DF332A" w14:textId="77777777" w:rsidR="00784E0A" w:rsidRPr="009D27B1" w:rsidRDefault="00784E0A" w:rsidP="00784E0A">
      <w:pPr>
        <w:pStyle w:val="ListParagraph"/>
        <w:numPr>
          <w:ilvl w:val="0"/>
          <w:numId w:val="49"/>
        </w:numPr>
        <w:spacing w:before="240" w:after="240"/>
        <w:ind w:left="-142"/>
        <w:rPr>
          <w:rFonts w:ascii="Times New Roman" w:hAnsi="Times New Roman" w:cs="Times New Roman"/>
          <w:sz w:val="24"/>
          <w:szCs w:val="24"/>
        </w:rPr>
      </w:pPr>
      <w:r w:rsidRPr="00E236BA">
        <w:rPr>
          <w:rFonts w:ascii="Times New Roman" w:hAnsi="Times New Roman" w:cs="Times New Roman"/>
          <w:sz w:val="24"/>
          <w:szCs w:val="24"/>
        </w:rPr>
        <w:t>assist commercial and industrial customers and smaller retailers to access affordable energy supply arrangements</w:t>
      </w:r>
      <w:r w:rsidRPr="009D27B1">
        <w:rPr>
          <w:rFonts w:ascii="Times New Roman" w:hAnsi="Times New Roman" w:cs="Times New Roman"/>
          <w:sz w:val="24"/>
          <w:szCs w:val="24"/>
        </w:rPr>
        <w:t>; and</w:t>
      </w:r>
    </w:p>
    <w:p w14:paraId="42BAAAE6" w14:textId="77777777" w:rsidR="00784E0A" w:rsidRDefault="00784E0A" w:rsidP="00784E0A">
      <w:pPr>
        <w:pStyle w:val="ListParagraph"/>
        <w:numPr>
          <w:ilvl w:val="0"/>
          <w:numId w:val="49"/>
        </w:numPr>
        <w:spacing w:before="240" w:after="240"/>
        <w:ind w:left="-142"/>
        <w:rPr>
          <w:rFonts w:ascii="Times New Roman" w:hAnsi="Times New Roman" w:cs="Times New Roman"/>
          <w:sz w:val="24"/>
          <w:szCs w:val="24"/>
        </w:rPr>
      </w:pPr>
      <w:proofErr w:type="gramStart"/>
      <w:r w:rsidRPr="00E236BA">
        <w:rPr>
          <w:rFonts w:ascii="Times New Roman" w:hAnsi="Times New Roman" w:cs="Times New Roman"/>
          <w:sz w:val="24"/>
          <w:szCs w:val="24"/>
        </w:rPr>
        <w:t>improve</w:t>
      </w:r>
      <w:proofErr w:type="gramEnd"/>
      <w:r w:rsidRPr="00E236BA">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E236BA">
        <w:rPr>
          <w:rFonts w:ascii="Times New Roman" w:hAnsi="Times New Roman" w:cs="Times New Roman"/>
          <w:sz w:val="24"/>
          <w:szCs w:val="24"/>
        </w:rPr>
        <w:t xml:space="preserve">reliability </w:t>
      </w:r>
      <w:r>
        <w:rPr>
          <w:rFonts w:ascii="Times New Roman" w:hAnsi="Times New Roman" w:cs="Times New Roman"/>
          <w:sz w:val="24"/>
          <w:szCs w:val="24"/>
        </w:rPr>
        <w:t xml:space="preserve">of the system </w:t>
      </w:r>
      <w:r w:rsidRPr="00E236BA">
        <w:rPr>
          <w:rFonts w:ascii="Times New Roman" w:hAnsi="Times New Roman" w:cs="Times New Roman"/>
          <w:sz w:val="24"/>
          <w:szCs w:val="24"/>
        </w:rPr>
        <w:t>by increasing the level</w:t>
      </w:r>
      <w:r>
        <w:rPr>
          <w:rFonts w:ascii="Times New Roman" w:hAnsi="Times New Roman" w:cs="Times New Roman"/>
          <w:sz w:val="24"/>
          <w:szCs w:val="24"/>
        </w:rPr>
        <w:t xml:space="preserve"> of firm capacity.</w:t>
      </w:r>
    </w:p>
    <w:p w14:paraId="0E3B0ED4" w14:textId="77777777" w:rsidR="00784E0A" w:rsidRDefault="00784E0A" w:rsidP="00784E0A">
      <w:pPr>
        <w:spacing w:before="240" w:after="240"/>
        <w:ind w:left="-851"/>
        <w:rPr>
          <w:rFonts w:ascii="Times New Roman" w:hAnsi="Times New Roman" w:cs="Times New Roman"/>
          <w:sz w:val="24"/>
          <w:szCs w:val="24"/>
        </w:rPr>
      </w:pPr>
      <w:r>
        <w:rPr>
          <w:rFonts w:ascii="Times New Roman" w:hAnsi="Times New Roman" w:cs="Times New Roman"/>
          <w:sz w:val="24"/>
          <w:szCs w:val="24"/>
        </w:rPr>
        <w:t xml:space="preserve">The Program will achieve this objective by providing support to eligible new </w:t>
      </w:r>
      <w:proofErr w:type="spellStart"/>
      <w:r>
        <w:rPr>
          <w:rFonts w:ascii="Times New Roman" w:hAnsi="Times New Roman" w:cs="Times New Roman"/>
          <w:sz w:val="24"/>
          <w:szCs w:val="24"/>
        </w:rPr>
        <w:t>dispatchable</w:t>
      </w:r>
      <w:proofErr w:type="spellEnd"/>
      <w:r>
        <w:rPr>
          <w:rFonts w:ascii="Times New Roman" w:hAnsi="Times New Roman" w:cs="Times New Roman"/>
          <w:sz w:val="24"/>
          <w:szCs w:val="24"/>
        </w:rPr>
        <w:t xml:space="preserve"> electricity generation projects, including projects to build new </w:t>
      </w:r>
      <w:proofErr w:type="spellStart"/>
      <w:r>
        <w:rPr>
          <w:rFonts w:ascii="Times New Roman" w:hAnsi="Times New Roman" w:cs="Times New Roman"/>
          <w:sz w:val="24"/>
          <w:szCs w:val="24"/>
        </w:rPr>
        <w:t>dispatchable</w:t>
      </w:r>
      <w:proofErr w:type="spellEnd"/>
      <w:r>
        <w:rPr>
          <w:rFonts w:ascii="Times New Roman" w:hAnsi="Times New Roman" w:cs="Times New Roman"/>
          <w:sz w:val="24"/>
          <w:szCs w:val="24"/>
        </w:rPr>
        <w:t xml:space="preserve"> generators (generators that can dispatch electricity on demand) and projects to upgrade the capacity or efficiency of existing </w:t>
      </w:r>
      <w:proofErr w:type="spellStart"/>
      <w:r>
        <w:rPr>
          <w:rFonts w:ascii="Times New Roman" w:hAnsi="Times New Roman" w:cs="Times New Roman"/>
          <w:sz w:val="24"/>
          <w:szCs w:val="24"/>
        </w:rPr>
        <w:t>dispatchable</w:t>
      </w:r>
      <w:proofErr w:type="spellEnd"/>
      <w:r>
        <w:rPr>
          <w:rFonts w:ascii="Times New Roman" w:hAnsi="Times New Roman" w:cs="Times New Roman"/>
          <w:sz w:val="24"/>
          <w:szCs w:val="24"/>
        </w:rPr>
        <w:t xml:space="preserve"> generators.</w:t>
      </w:r>
    </w:p>
    <w:p w14:paraId="02A7AA6E" w14:textId="77777777" w:rsidR="00ED3487" w:rsidRDefault="00E91983" w:rsidP="00153B0A">
      <w:pPr>
        <w:spacing w:before="240" w:after="240"/>
        <w:ind w:left="-851"/>
        <w:rPr>
          <w:rFonts w:ascii="Times New Roman" w:hAnsi="Times New Roman" w:cs="Times New Roman"/>
          <w:b/>
          <w:sz w:val="24"/>
          <w:szCs w:val="24"/>
        </w:rPr>
      </w:pPr>
      <w:r>
        <w:rPr>
          <w:rFonts w:ascii="Times New Roman" w:hAnsi="Times New Roman" w:cs="Times New Roman"/>
          <w:b/>
          <w:sz w:val="24"/>
          <w:szCs w:val="24"/>
        </w:rPr>
        <w:t>Human rights implications</w:t>
      </w:r>
    </w:p>
    <w:p w14:paraId="7541FFD2" w14:textId="77777777" w:rsidR="00ED3487" w:rsidRDefault="00E91983" w:rsidP="00153B0A">
      <w:pPr>
        <w:spacing w:before="120" w:after="120"/>
        <w:ind w:left="-851"/>
        <w:rPr>
          <w:rFonts w:ascii="Times New Roman" w:hAnsi="Times New Roman" w:cs="Times New Roman"/>
          <w:sz w:val="24"/>
          <w:szCs w:val="24"/>
        </w:rPr>
      </w:pPr>
      <w:r>
        <w:rPr>
          <w:rFonts w:ascii="Times New Roman" w:hAnsi="Times New Roman" w:cs="Times New Roman"/>
          <w:sz w:val="24"/>
          <w:szCs w:val="24"/>
        </w:rPr>
        <w:t>This Legislative Instrument does not engage any of the applicable rights or freedoms.</w:t>
      </w:r>
    </w:p>
    <w:p w14:paraId="00000E89" w14:textId="77777777" w:rsidR="00ED3487" w:rsidRDefault="00E91983" w:rsidP="00153B0A">
      <w:pPr>
        <w:spacing w:before="240" w:after="240"/>
        <w:ind w:left="-851"/>
        <w:rPr>
          <w:rFonts w:ascii="Times New Roman" w:hAnsi="Times New Roman" w:cs="Times New Roman"/>
          <w:b/>
          <w:sz w:val="24"/>
          <w:szCs w:val="24"/>
        </w:rPr>
      </w:pPr>
      <w:r>
        <w:rPr>
          <w:rFonts w:ascii="Times New Roman" w:hAnsi="Times New Roman" w:cs="Times New Roman"/>
          <w:b/>
          <w:sz w:val="24"/>
          <w:szCs w:val="24"/>
        </w:rPr>
        <w:t>Conclusion</w:t>
      </w:r>
    </w:p>
    <w:p w14:paraId="1D3A4FE6" w14:textId="77777777" w:rsidR="00ED3487" w:rsidRDefault="00E91983" w:rsidP="00153B0A">
      <w:pPr>
        <w:spacing w:before="120" w:after="120"/>
        <w:ind w:left="-851"/>
        <w:rPr>
          <w:rFonts w:ascii="Times New Roman" w:hAnsi="Times New Roman" w:cs="Times New Roman"/>
          <w:sz w:val="24"/>
          <w:szCs w:val="24"/>
        </w:rPr>
      </w:pPr>
      <w:r>
        <w:rPr>
          <w:rFonts w:ascii="Times New Roman" w:hAnsi="Times New Roman" w:cs="Times New Roman"/>
          <w:sz w:val="24"/>
          <w:szCs w:val="24"/>
        </w:rPr>
        <w:t>This Legislative Instrument is compatible with human rights as it does not raise any human rights issues.</w:t>
      </w:r>
    </w:p>
    <w:p w14:paraId="6EA77617" w14:textId="77777777" w:rsidR="00ED3487" w:rsidRDefault="00E91983" w:rsidP="00153B0A">
      <w:pPr>
        <w:spacing w:before="120" w:after="120"/>
        <w:ind w:left="-851"/>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The Hon Angus Taylor MP</w:t>
      </w:r>
    </w:p>
    <w:p w14:paraId="296A4E63" w14:textId="77777777" w:rsidR="00ED3487" w:rsidRDefault="00E91983" w:rsidP="00153B0A">
      <w:pPr>
        <w:spacing w:before="120" w:after="120"/>
        <w:ind w:left="-851"/>
        <w:jc w:val="center"/>
        <w:rPr>
          <w:rFonts w:ascii="Times New Roman" w:hAnsi="Times New Roman" w:cs="Times New Roman"/>
          <w:b/>
          <w:sz w:val="24"/>
          <w:szCs w:val="24"/>
        </w:rPr>
      </w:pPr>
      <w:r>
        <w:rPr>
          <w:rFonts w:ascii="Times New Roman" w:hAnsi="Times New Roman" w:cs="Times New Roman"/>
          <w:b/>
          <w:sz w:val="24"/>
          <w:szCs w:val="24"/>
        </w:rPr>
        <w:t xml:space="preserve">Minister for </w:t>
      </w:r>
      <w:r w:rsidR="007523DB">
        <w:rPr>
          <w:rFonts w:ascii="Times New Roman" w:hAnsi="Times New Roman" w:cs="Times New Roman"/>
          <w:b/>
          <w:sz w:val="24"/>
          <w:szCs w:val="24"/>
        </w:rPr>
        <w:t xml:space="preserve">Industry, </w:t>
      </w:r>
      <w:r>
        <w:rPr>
          <w:rFonts w:ascii="Times New Roman" w:hAnsi="Times New Roman" w:cs="Times New Roman"/>
          <w:b/>
          <w:sz w:val="24"/>
          <w:szCs w:val="24"/>
        </w:rPr>
        <w:t>Energy and Emissions Reduction</w:t>
      </w:r>
    </w:p>
    <w:p w14:paraId="6E4DF385" w14:textId="77777777" w:rsidR="00153B0A" w:rsidRDefault="00153B0A" w:rsidP="006B61B0">
      <w:pPr>
        <w:spacing w:before="120" w:after="120"/>
        <w:ind w:left="-851"/>
        <w:rPr>
          <w:rFonts w:ascii="Times New Roman" w:hAnsi="Times New Roman" w:cs="Times New Roman"/>
          <w:b/>
          <w:sz w:val="24"/>
          <w:szCs w:val="24"/>
        </w:rPr>
        <w:sectPr w:rsidR="00153B0A">
          <w:footerReference w:type="default" r:id="rId18"/>
          <w:pgSz w:w="11906" w:h="16838"/>
          <w:pgMar w:top="1985" w:right="1418" w:bottom="1701" w:left="2268" w:header="709" w:footer="709" w:gutter="0"/>
          <w:cols w:space="708"/>
          <w:docGrid w:linePitch="360"/>
        </w:sectPr>
      </w:pPr>
    </w:p>
    <w:p w14:paraId="3F842110" w14:textId="77777777" w:rsidR="00C807F6" w:rsidRPr="00C807F6" w:rsidRDefault="00C807F6" w:rsidP="00C807F6">
      <w:pPr>
        <w:pBdr>
          <w:bottom w:val="single" w:sz="8" w:space="4" w:color="4F81BD"/>
        </w:pBdr>
        <w:spacing w:after="300" w:line="240" w:lineRule="auto"/>
        <w:contextualSpacing/>
        <w:rPr>
          <w:rFonts w:ascii="Cambria" w:eastAsia="Times New Roman" w:hAnsi="Cambria" w:cs="Times New Roman"/>
          <w:color w:val="17365D"/>
          <w:spacing w:val="5"/>
          <w:kern w:val="28"/>
          <w:sz w:val="52"/>
          <w:szCs w:val="52"/>
        </w:rPr>
      </w:pPr>
      <w:r w:rsidRPr="00C807F6">
        <w:rPr>
          <w:rFonts w:ascii="Cambria" w:eastAsia="Times New Roman" w:hAnsi="Cambria" w:cs="Times New Roman"/>
          <w:color w:val="17365D"/>
          <w:spacing w:val="5"/>
          <w:kern w:val="28"/>
          <w:sz w:val="52"/>
          <w:szCs w:val="52"/>
        </w:rPr>
        <w:lastRenderedPageBreak/>
        <w:t>Regulation Impact Statement – Underwriting New Generation Investments Program</w:t>
      </w:r>
    </w:p>
    <w:p w14:paraId="4AF54472" w14:textId="77777777" w:rsidR="00C807F6" w:rsidRPr="00C807F6" w:rsidRDefault="00C807F6" w:rsidP="00C807F6">
      <w:pPr>
        <w:spacing w:after="0" w:line="240" w:lineRule="auto"/>
        <w:rPr>
          <w:rFonts w:ascii="Arial" w:eastAsia="Calibri" w:hAnsi="Arial" w:cs="Times New Roman"/>
        </w:rPr>
      </w:pPr>
    </w:p>
    <w:p w14:paraId="3E4F96E4" w14:textId="77777777" w:rsidR="00C807F6" w:rsidRPr="00C807F6" w:rsidRDefault="00C807F6" w:rsidP="00C807F6">
      <w:pPr>
        <w:spacing w:after="0" w:line="240" w:lineRule="auto"/>
        <w:rPr>
          <w:rFonts w:ascii="Cambria" w:eastAsia="Calibri" w:hAnsi="Cambria" w:cs="Times New Roman"/>
          <w:sz w:val="28"/>
        </w:rPr>
      </w:pPr>
      <w:r w:rsidRPr="00C807F6">
        <w:rPr>
          <w:rFonts w:ascii="Cambria" w:eastAsia="Calibri" w:hAnsi="Cambria" w:cs="Times New Roman"/>
          <w:sz w:val="28"/>
        </w:rPr>
        <w:t>The Department of the Environment and Energy</w:t>
      </w:r>
    </w:p>
    <w:p w14:paraId="0E5C7BA1" w14:textId="77777777" w:rsidR="00C807F6" w:rsidRPr="00C807F6" w:rsidRDefault="00C807F6" w:rsidP="00C807F6">
      <w:pPr>
        <w:spacing w:after="0" w:line="240" w:lineRule="auto"/>
        <w:rPr>
          <w:rFonts w:ascii="Cambria" w:eastAsia="Calibri" w:hAnsi="Cambria" w:cs="Times New Roman"/>
          <w:sz w:val="28"/>
        </w:rPr>
      </w:pPr>
    </w:p>
    <w:p w14:paraId="0CFF77F4" w14:textId="77777777" w:rsidR="00C807F6" w:rsidRPr="00C807F6" w:rsidRDefault="00C807F6" w:rsidP="00C807F6">
      <w:pPr>
        <w:spacing w:after="0" w:line="240" w:lineRule="auto"/>
        <w:rPr>
          <w:rFonts w:ascii="Arial" w:eastAsia="Calibri" w:hAnsi="Arial" w:cs="Times New Roman"/>
        </w:rPr>
      </w:pPr>
      <w:r w:rsidRPr="00C807F6">
        <w:rPr>
          <w:rFonts w:ascii="Cambria" w:eastAsia="Calibri" w:hAnsi="Cambria" w:cs="Times New Roman"/>
          <w:sz w:val="24"/>
        </w:rPr>
        <w:t>24 September 2019</w:t>
      </w:r>
      <w:r w:rsidRPr="00C807F6">
        <w:rPr>
          <w:rFonts w:ascii="Arial" w:eastAsia="Calibri" w:hAnsi="Arial" w:cs="Times New Roman"/>
        </w:rPr>
        <w:br w:type="page"/>
      </w:r>
    </w:p>
    <w:sdt>
      <w:sdtPr>
        <w:rPr>
          <w:rFonts w:ascii="Arial" w:eastAsia="Calibri" w:hAnsi="Arial" w:cs="Times New Roman"/>
        </w:rPr>
        <w:id w:val="-1593007157"/>
        <w:docPartObj>
          <w:docPartGallery w:val="Table of Contents"/>
          <w:docPartUnique/>
        </w:docPartObj>
      </w:sdtPr>
      <w:sdtEndPr>
        <w:rPr>
          <w:noProof/>
        </w:rPr>
      </w:sdtEndPr>
      <w:sdtContent>
        <w:p w14:paraId="3FA9826A" w14:textId="77777777" w:rsidR="00C807F6" w:rsidRPr="00C807F6" w:rsidRDefault="00C807F6" w:rsidP="00C807F6">
          <w:pPr>
            <w:keepNext/>
            <w:keepLines/>
            <w:spacing w:before="480" w:after="0"/>
            <w:ind w:left="360"/>
            <w:rPr>
              <w:rFonts w:ascii="Cambria" w:eastAsia="Times New Roman" w:hAnsi="Cambria" w:cs="Times New Roman"/>
              <w:b/>
              <w:bCs/>
              <w:color w:val="365F91"/>
              <w:sz w:val="28"/>
              <w:szCs w:val="28"/>
              <w:lang w:val="en-US" w:eastAsia="ja-JP"/>
            </w:rPr>
          </w:pPr>
          <w:r w:rsidRPr="00C807F6">
            <w:rPr>
              <w:rFonts w:ascii="Cambria" w:eastAsia="Times New Roman" w:hAnsi="Cambria" w:cs="Times New Roman"/>
              <w:b/>
              <w:bCs/>
              <w:color w:val="365F91"/>
              <w:sz w:val="28"/>
              <w:szCs w:val="28"/>
              <w:lang w:val="en-US" w:eastAsia="ja-JP"/>
            </w:rPr>
            <w:t>Contents</w:t>
          </w:r>
        </w:p>
        <w:p w14:paraId="64FCEDE1" w14:textId="77777777" w:rsidR="00C807F6" w:rsidRPr="00C807F6" w:rsidRDefault="00C807F6" w:rsidP="00C807F6">
          <w:pPr>
            <w:tabs>
              <w:tab w:val="left" w:pos="440"/>
              <w:tab w:val="right" w:leader="dot" w:pos="9202"/>
            </w:tabs>
            <w:spacing w:after="100"/>
            <w:rPr>
              <w:rFonts w:ascii="Calibri" w:eastAsia="Times New Roman" w:hAnsi="Calibri" w:cs="Times New Roman"/>
              <w:noProof/>
              <w:lang w:eastAsia="en-AU"/>
            </w:rPr>
          </w:pPr>
          <w:r w:rsidRPr="00C807F6">
            <w:rPr>
              <w:rFonts w:ascii="Calibri" w:eastAsia="Calibri" w:hAnsi="Calibri" w:cs="Times New Roman"/>
              <w:b/>
              <w:bCs/>
              <w:noProof/>
            </w:rPr>
            <w:fldChar w:fldCharType="begin"/>
          </w:r>
          <w:r w:rsidRPr="00C807F6">
            <w:rPr>
              <w:rFonts w:ascii="Calibri" w:eastAsia="Calibri" w:hAnsi="Calibri" w:cs="Times New Roman"/>
              <w:b/>
              <w:bCs/>
              <w:noProof/>
            </w:rPr>
            <w:instrText xml:space="preserve"> TOC \o "1-1" \h \z \u </w:instrText>
          </w:r>
          <w:r w:rsidRPr="00C807F6">
            <w:rPr>
              <w:rFonts w:ascii="Calibri" w:eastAsia="Calibri" w:hAnsi="Calibri" w:cs="Times New Roman"/>
              <w:b/>
              <w:bCs/>
              <w:noProof/>
            </w:rPr>
            <w:fldChar w:fldCharType="separate"/>
          </w:r>
          <w:hyperlink w:anchor="_Toc12367645" w:history="1">
            <w:r w:rsidRPr="00C807F6">
              <w:rPr>
                <w:rFonts w:ascii="Calibri" w:eastAsia="Calibri" w:hAnsi="Calibri" w:cs="Times New Roman"/>
                <w:noProof/>
                <w:color w:val="0000FF"/>
                <w:u w:val="single"/>
              </w:rPr>
              <w:t>1.</w:t>
            </w:r>
            <w:r w:rsidRPr="00C807F6">
              <w:rPr>
                <w:rFonts w:ascii="Calibri" w:eastAsia="Times New Roman" w:hAnsi="Calibri" w:cs="Times New Roman"/>
                <w:noProof/>
                <w:lang w:eastAsia="en-AU"/>
              </w:rPr>
              <w:tab/>
            </w:r>
            <w:r w:rsidRPr="00C807F6">
              <w:rPr>
                <w:rFonts w:ascii="Calibri" w:eastAsia="Calibri" w:hAnsi="Calibri" w:cs="Times New Roman"/>
                <w:noProof/>
                <w:color w:val="0000FF"/>
                <w:u w:val="single"/>
              </w:rPr>
              <w:t>The problem</w:t>
            </w:r>
            <w:r w:rsidRPr="00C807F6">
              <w:rPr>
                <w:rFonts w:ascii="Calibri" w:eastAsia="Calibri" w:hAnsi="Calibri" w:cs="Times New Roman"/>
                <w:noProof/>
                <w:webHidden/>
              </w:rPr>
              <w:tab/>
            </w:r>
            <w:r w:rsidRPr="00C807F6">
              <w:rPr>
                <w:rFonts w:ascii="Calibri" w:eastAsia="Calibri" w:hAnsi="Calibri" w:cs="Times New Roman"/>
                <w:noProof/>
                <w:webHidden/>
              </w:rPr>
              <w:fldChar w:fldCharType="begin"/>
            </w:r>
            <w:r w:rsidRPr="00C807F6">
              <w:rPr>
                <w:rFonts w:ascii="Calibri" w:eastAsia="Calibri" w:hAnsi="Calibri" w:cs="Times New Roman"/>
                <w:noProof/>
                <w:webHidden/>
              </w:rPr>
              <w:instrText xml:space="preserve"> PAGEREF _Toc12367645 \h </w:instrText>
            </w:r>
            <w:r w:rsidRPr="00C807F6">
              <w:rPr>
                <w:rFonts w:ascii="Calibri" w:eastAsia="Calibri" w:hAnsi="Calibri" w:cs="Times New Roman"/>
                <w:noProof/>
                <w:webHidden/>
              </w:rPr>
            </w:r>
            <w:r w:rsidRPr="00C807F6">
              <w:rPr>
                <w:rFonts w:ascii="Calibri" w:eastAsia="Calibri" w:hAnsi="Calibri" w:cs="Times New Roman"/>
                <w:noProof/>
                <w:webHidden/>
              </w:rPr>
              <w:fldChar w:fldCharType="separate"/>
            </w:r>
            <w:r>
              <w:rPr>
                <w:rFonts w:ascii="Calibri" w:eastAsia="Calibri" w:hAnsi="Calibri" w:cs="Times New Roman"/>
                <w:noProof/>
                <w:webHidden/>
              </w:rPr>
              <w:t>9</w:t>
            </w:r>
            <w:r w:rsidRPr="00C807F6">
              <w:rPr>
                <w:rFonts w:ascii="Calibri" w:eastAsia="Calibri" w:hAnsi="Calibri" w:cs="Times New Roman"/>
                <w:noProof/>
                <w:webHidden/>
              </w:rPr>
              <w:fldChar w:fldCharType="end"/>
            </w:r>
          </w:hyperlink>
        </w:p>
        <w:p w14:paraId="563EB49E" w14:textId="77777777" w:rsidR="00C807F6" w:rsidRPr="00C807F6" w:rsidRDefault="007C106F" w:rsidP="00C807F6">
          <w:pPr>
            <w:tabs>
              <w:tab w:val="left" w:pos="440"/>
              <w:tab w:val="right" w:leader="dot" w:pos="9202"/>
            </w:tabs>
            <w:spacing w:after="100"/>
            <w:rPr>
              <w:rFonts w:ascii="Calibri" w:eastAsia="Times New Roman" w:hAnsi="Calibri" w:cs="Times New Roman"/>
              <w:noProof/>
              <w:lang w:eastAsia="en-AU"/>
            </w:rPr>
          </w:pPr>
          <w:hyperlink w:anchor="_Toc12367646" w:history="1">
            <w:r w:rsidR="00C807F6" w:rsidRPr="00C807F6">
              <w:rPr>
                <w:rFonts w:ascii="Calibri" w:eastAsia="Calibri" w:hAnsi="Calibri" w:cs="Times New Roman"/>
                <w:noProof/>
                <w:color w:val="0000FF"/>
                <w:u w:val="single"/>
              </w:rPr>
              <w:t>2.</w:t>
            </w:r>
            <w:r w:rsidR="00C807F6" w:rsidRPr="00C807F6">
              <w:rPr>
                <w:rFonts w:ascii="Calibri" w:eastAsia="Times New Roman" w:hAnsi="Calibri" w:cs="Times New Roman"/>
                <w:noProof/>
                <w:lang w:eastAsia="en-AU"/>
              </w:rPr>
              <w:tab/>
            </w:r>
            <w:r w:rsidR="00C807F6" w:rsidRPr="00C807F6">
              <w:rPr>
                <w:rFonts w:ascii="Calibri" w:eastAsia="Calibri" w:hAnsi="Calibri" w:cs="Times New Roman"/>
                <w:noProof/>
                <w:color w:val="0000FF"/>
                <w:u w:val="single"/>
              </w:rPr>
              <w:t>Case for government action / Objective of reform</w:t>
            </w:r>
            <w:r w:rsidR="00C807F6" w:rsidRPr="00C807F6">
              <w:rPr>
                <w:rFonts w:ascii="Calibri" w:eastAsia="Calibri" w:hAnsi="Calibri" w:cs="Times New Roman"/>
                <w:noProof/>
                <w:webHidden/>
              </w:rPr>
              <w:tab/>
            </w:r>
            <w:r w:rsidR="00C807F6" w:rsidRPr="00C807F6">
              <w:rPr>
                <w:rFonts w:ascii="Calibri" w:eastAsia="Calibri" w:hAnsi="Calibri" w:cs="Times New Roman"/>
                <w:noProof/>
                <w:webHidden/>
              </w:rPr>
              <w:fldChar w:fldCharType="begin"/>
            </w:r>
            <w:r w:rsidR="00C807F6" w:rsidRPr="00C807F6">
              <w:rPr>
                <w:rFonts w:ascii="Calibri" w:eastAsia="Calibri" w:hAnsi="Calibri" w:cs="Times New Roman"/>
                <w:noProof/>
                <w:webHidden/>
              </w:rPr>
              <w:instrText xml:space="preserve"> PAGEREF _Toc12367646 \h </w:instrText>
            </w:r>
            <w:r w:rsidR="00C807F6" w:rsidRPr="00C807F6">
              <w:rPr>
                <w:rFonts w:ascii="Calibri" w:eastAsia="Calibri" w:hAnsi="Calibri" w:cs="Times New Roman"/>
                <w:noProof/>
                <w:webHidden/>
              </w:rPr>
            </w:r>
            <w:r w:rsidR="00C807F6" w:rsidRPr="00C807F6">
              <w:rPr>
                <w:rFonts w:ascii="Calibri" w:eastAsia="Calibri" w:hAnsi="Calibri" w:cs="Times New Roman"/>
                <w:noProof/>
                <w:webHidden/>
              </w:rPr>
              <w:fldChar w:fldCharType="separate"/>
            </w:r>
            <w:r w:rsidR="00C807F6">
              <w:rPr>
                <w:rFonts w:ascii="Calibri" w:eastAsia="Calibri" w:hAnsi="Calibri" w:cs="Times New Roman"/>
                <w:noProof/>
                <w:webHidden/>
              </w:rPr>
              <w:t>17</w:t>
            </w:r>
            <w:r w:rsidR="00C807F6" w:rsidRPr="00C807F6">
              <w:rPr>
                <w:rFonts w:ascii="Calibri" w:eastAsia="Calibri" w:hAnsi="Calibri" w:cs="Times New Roman"/>
                <w:noProof/>
                <w:webHidden/>
              </w:rPr>
              <w:fldChar w:fldCharType="end"/>
            </w:r>
          </w:hyperlink>
        </w:p>
        <w:p w14:paraId="3EA3F01C" w14:textId="77777777" w:rsidR="00C807F6" w:rsidRPr="00C807F6" w:rsidRDefault="007C106F" w:rsidP="00C807F6">
          <w:pPr>
            <w:tabs>
              <w:tab w:val="left" w:pos="440"/>
              <w:tab w:val="right" w:leader="dot" w:pos="9202"/>
            </w:tabs>
            <w:spacing w:after="100"/>
            <w:rPr>
              <w:rFonts w:ascii="Calibri" w:eastAsia="Times New Roman" w:hAnsi="Calibri" w:cs="Times New Roman"/>
              <w:noProof/>
              <w:lang w:eastAsia="en-AU"/>
            </w:rPr>
          </w:pPr>
          <w:hyperlink w:anchor="_Toc12367647" w:history="1">
            <w:r w:rsidR="00C807F6" w:rsidRPr="00C807F6">
              <w:rPr>
                <w:rFonts w:ascii="Calibri" w:eastAsia="Calibri" w:hAnsi="Calibri" w:cs="Times New Roman"/>
                <w:noProof/>
                <w:color w:val="0000FF"/>
                <w:u w:val="single"/>
              </w:rPr>
              <w:t>3.</w:t>
            </w:r>
            <w:r w:rsidR="00C807F6" w:rsidRPr="00C807F6">
              <w:rPr>
                <w:rFonts w:ascii="Calibri" w:eastAsia="Times New Roman" w:hAnsi="Calibri" w:cs="Times New Roman"/>
                <w:noProof/>
                <w:lang w:eastAsia="en-AU"/>
              </w:rPr>
              <w:tab/>
            </w:r>
            <w:r w:rsidR="00C807F6" w:rsidRPr="00C807F6">
              <w:rPr>
                <w:rFonts w:ascii="Calibri" w:eastAsia="Calibri" w:hAnsi="Calibri" w:cs="Times New Roman"/>
                <w:noProof/>
                <w:color w:val="0000FF"/>
                <w:u w:val="single"/>
              </w:rPr>
              <w:t>Policy options</w:t>
            </w:r>
            <w:r w:rsidR="00C807F6" w:rsidRPr="00C807F6">
              <w:rPr>
                <w:rFonts w:ascii="Calibri" w:eastAsia="Calibri" w:hAnsi="Calibri" w:cs="Times New Roman"/>
                <w:noProof/>
                <w:webHidden/>
              </w:rPr>
              <w:tab/>
            </w:r>
            <w:r w:rsidR="00C807F6" w:rsidRPr="00C807F6">
              <w:rPr>
                <w:rFonts w:ascii="Calibri" w:eastAsia="Calibri" w:hAnsi="Calibri" w:cs="Times New Roman"/>
                <w:noProof/>
                <w:webHidden/>
              </w:rPr>
              <w:fldChar w:fldCharType="begin"/>
            </w:r>
            <w:r w:rsidR="00C807F6" w:rsidRPr="00C807F6">
              <w:rPr>
                <w:rFonts w:ascii="Calibri" w:eastAsia="Calibri" w:hAnsi="Calibri" w:cs="Times New Roman"/>
                <w:noProof/>
                <w:webHidden/>
              </w:rPr>
              <w:instrText xml:space="preserve"> PAGEREF _Toc12367647 \h </w:instrText>
            </w:r>
            <w:r w:rsidR="00C807F6" w:rsidRPr="00C807F6">
              <w:rPr>
                <w:rFonts w:ascii="Calibri" w:eastAsia="Calibri" w:hAnsi="Calibri" w:cs="Times New Roman"/>
                <w:noProof/>
                <w:webHidden/>
              </w:rPr>
            </w:r>
            <w:r w:rsidR="00C807F6" w:rsidRPr="00C807F6">
              <w:rPr>
                <w:rFonts w:ascii="Calibri" w:eastAsia="Calibri" w:hAnsi="Calibri" w:cs="Times New Roman"/>
                <w:noProof/>
                <w:webHidden/>
              </w:rPr>
              <w:fldChar w:fldCharType="separate"/>
            </w:r>
            <w:r w:rsidR="00C807F6">
              <w:rPr>
                <w:rFonts w:ascii="Calibri" w:eastAsia="Calibri" w:hAnsi="Calibri" w:cs="Times New Roman"/>
                <w:noProof/>
                <w:webHidden/>
              </w:rPr>
              <w:t>19</w:t>
            </w:r>
            <w:r w:rsidR="00C807F6" w:rsidRPr="00C807F6">
              <w:rPr>
                <w:rFonts w:ascii="Calibri" w:eastAsia="Calibri" w:hAnsi="Calibri" w:cs="Times New Roman"/>
                <w:noProof/>
                <w:webHidden/>
              </w:rPr>
              <w:fldChar w:fldCharType="end"/>
            </w:r>
          </w:hyperlink>
        </w:p>
        <w:p w14:paraId="323F2C6D" w14:textId="77777777" w:rsidR="00C807F6" w:rsidRPr="00C807F6" w:rsidRDefault="007C106F" w:rsidP="00C807F6">
          <w:pPr>
            <w:tabs>
              <w:tab w:val="left" w:pos="440"/>
              <w:tab w:val="right" w:leader="dot" w:pos="9202"/>
            </w:tabs>
            <w:spacing w:after="100"/>
            <w:rPr>
              <w:rFonts w:ascii="Calibri" w:eastAsia="Times New Roman" w:hAnsi="Calibri" w:cs="Times New Roman"/>
              <w:noProof/>
              <w:lang w:eastAsia="en-AU"/>
            </w:rPr>
          </w:pPr>
          <w:hyperlink w:anchor="_Toc12367648" w:history="1">
            <w:r w:rsidR="00C807F6" w:rsidRPr="00C807F6">
              <w:rPr>
                <w:rFonts w:ascii="Calibri" w:eastAsia="Calibri" w:hAnsi="Calibri" w:cs="Times New Roman"/>
                <w:noProof/>
                <w:color w:val="0000FF"/>
                <w:u w:val="single"/>
              </w:rPr>
              <w:t>4.</w:t>
            </w:r>
            <w:r w:rsidR="00C807F6" w:rsidRPr="00C807F6">
              <w:rPr>
                <w:rFonts w:ascii="Calibri" w:eastAsia="Times New Roman" w:hAnsi="Calibri" w:cs="Times New Roman"/>
                <w:noProof/>
                <w:lang w:eastAsia="en-AU"/>
              </w:rPr>
              <w:tab/>
            </w:r>
            <w:r w:rsidR="00C807F6" w:rsidRPr="00C807F6">
              <w:rPr>
                <w:rFonts w:ascii="Calibri" w:eastAsia="Calibri" w:hAnsi="Calibri" w:cs="Times New Roman"/>
                <w:noProof/>
                <w:color w:val="0000FF"/>
                <w:u w:val="single"/>
              </w:rPr>
              <w:t>Impact analysis</w:t>
            </w:r>
            <w:r w:rsidR="00C807F6" w:rsidRPr="00C807F6">
              <w:rPr>
                <w:rFonts w:ascii="Calibri" w:eastAsia="Calibri" w:hAnsi="Calibri" w:cs="Times New Roman"/>
                <w:noProof/>
                <w:webHidden/>
              </w:rPr>
              <w:tab/>
            </w:r>
            <w:r w:rsidR="00C807F6" w:rsidRPr="00C807F6">
              <w:rPr>
                <w:rFonts w:ascii="Calibri" w:eastAsia="Calibri" w:hAnsi="Calibri" w:cs="Times New Roman"/>
                <w:noProof/>
                <w:webHidden/>
              </w:rPr>
              <w:fldChar w:fldCharType="begin"/>
            </w:r>
            <w:r w:rsidR="00C807F6" w:rsidRPr="00C807F6">
              <w:rPr>
                <w:rFonts w:ascii="Calibri" w:eastAsia="Calibri" w:hAnsi="Calibri" w:cs="Times New Roman"/>
                <w:noProof/>
                <w:webHidden/>
              </w:rPr>
              <w:instrText xml:space="preserve"> PAGEREF _Toc12367648 \h </w:instrText>
            </w:r>
            <w:r w:rsidR="00C807F6" w:rsidRPr="00C807F6">
              <w:rPr>
                <w:rFonts w:ascii="Calibri" w:eastAsia="Calibri" w:hAnsi="Calibri" w:cs="Times New Roman"/>
                <w:noProof/>
                <w:webHidden/>
              </w:rPr>
            </w:r>
            <w:r w:rsidR="00C807F6" w:rsidRPr="00C807F6">
              <w:rPr>
                <w:rFonts w:ascii="Calibri" w:eastAsia="Calibri" w:hAnsi="Calibri" w:cs="Times New Roman"/>
                <w:noProof/>
                <w:webHidden/>
              </w:rPr>
              <w:fldChar w:fldCharType="separate"/>
            </w:r>
            <w:r w:rsidR="00C807F6">
              <w:rPr>
                <w:rFonts w:ascii="Calibri" w:eastAsia="Calibri" w:hAnsi="Calibri" w:cs="Times New Roman"/>
                <w:noProof/>
                <w:webHidden/>
              </w:rPr>
              <w:t>25</w:t>
            </w:r>
            <w:r w:rsidR="00C807F6" w:rsidRPr="00C807F6">
              <w:rPr>
                <w:rFonts w:ascii="Calibri" w:eastAsia="Calibri" w:hAnsi="Calibri" w:cs="Times New Roman"/>
                <w:noProof/>
                <w:webHidden/>
              </w:rPr>
              <w:fldChar w:fldCharType="end"/>
            </w:r>
          </w:hyperlink>
        </w:p>
        <w:p w14:paraId="3C982BA9" w14:textId="77777777" w:rsidR="00C807F6" w:rsidRPr="00C807F6" w:rsidRDefault="007C106F" w:rsidP="00C807F6">
          <w:pPr>
            <w:tabs>
              <w:tab w:val="left" w:pos="440"/>
              <w:tab w:val="right" w:leader="dot" w:pos="9202"/>
            </w:tabs>
            <w:spacing w:after="100"/>
            <w:rPr>
              <w:rFonts w:ascii="Calibri" w:eastAsia="Times New Roman" w:hAnsi="Calibri" w:cs="Times New Roman"/>
              <w:noProof/>
              <w:lang w:eastAsia="en-AU"/>
            </w:rPr>
          </w:pPr>
          <w:hyperlink w:anchor="_Toc12367649" w:history="1">
            <w:r w:rsidR="00C807F6" w:rsidRPr="00C807F6">
              <w:rPr>
                <w:rFonts w:ascii="Calibri" w:eastAsia="Calibri" w:hAnsi="Calibri" w:cs="Times New Roman"/>
                <w:noProof/>
                <w:color w:val="0000FF"/>
                <w:u w:val="single"/>
              </w:rPr>
              <w:t>5.</w:t>
            </w:r>
            <w:r w:rsidR="00C807F6" w:rsidRPr="00C807F6">
              <w:rPr>
                <w:rFonts w:ascii="Calibri" w:eastAsia="Times New Roman" w:hAnsi="Calibri" w:cs="Times New Roman"/>
                <w:noProof/>
                <w:lang w:eastAsia="en-AU"/>
              </w:rPr>
              <w:tab/>
            </w:r>
            <w:r w:rsidR="00C807F6" w:rsidRPr="00C807F6">
              <w:rPr>
                <w:rFonts w:ascii="Calibri" w:eastAsia="Calibri" w:hAnsi="Calibri" w:cs="Times New Roman"/>
                <w:noProof/>
                <w:color w:val="0000FF"/>
                <w:u w:val="single"/>
              </w:rPr>
              <w:t>Consultation</w:t>
            </w:r>
            <w:r w:rsidR="00C807F6" w:rsidRPr="00C807F6">
              <w:rPr>
                <w:rFonts w:ascii="Calibri" w:eastAsia="Calibri" w:hAnsi="Calibri" w:cs="Times New Roman"/>
                <w:noProof/>
                <w:webHidden/>
              </w:rPr>
              <w:tab/>
            </w:r>
            <w:r w:rsidR="00C807F6" w:rsidRPr="00C807F6">
              <w:rPr>
                <w:rFonts w:ascii="Calibri" w:eastAsia="Calibri" w:hAnsi="Calibri" w:cs="Times New Roman"/>
                <w:noProof/>
                <w:webHidden/>
              </w:rPr>
              <w:fldChar w:fldCharType="begin"/>
            </w:r>
            <w:r w:rsidR="00C807F6" w:rsidRPr="00C807F6">
              <w:rPr>
                <w:rFonts w:ascii="Calibri" w:eastAsia="Calibri" w:hAnsi="Calibri" w:cs="Times New Roman"/>
                <w:noProof/>
                <w:webHidden/>
              </w:rPr>
              <w:instrText xml:space="preserve"> PAGEREF _Toc12367649 \h </w:instrText>
            </w:r>
            <w:r w:rsidR="00C807F6" w:rsidRPr="00C807F6">
              <w:rPr>
                <w:rFonts w:ascii="Calibri" w:eastAsia="Calibri" w:hAnsi="Calibri" w:cs="Times New Roman"/>
                <w:noProof/>
                <w:webHidden/>
              </w:rPr>
            </w:r>
            <w:r w:rsidR="00C807F6" w:rsidRPr="00C807F6">
              <w:rPr>
                <w:rFonts w:ascii="Calibri" w:eastAsia="Calibri" w:hAnsi="Calibri" w:cs="Times New Roman"/>
                <w:noProof/>
                <w:webHidden/>
              </w:rPr>
              <w:fldChar w:fldCharType="separate"/>
            </w:r>
            <w:r w:rsidR="00C807F6">
              <w:rPr>
                <w:rFonts w:ascii="Calibri" w:eastAsia="Calibri" w:hAnsi="Calibri" w:cs="Times New Roman"/>
                <w:noProof/>
                <w:webHidden/>
              </w:rPr>
              <w:t>36</w:t>
            </w:r>
            <w:r w:rsidR="00C807F6" w:rsidRPr="00C807F6">
              <w:rPr>
                <w:rFonts w:ascii="Calibri" w:eastAsia="Calibri" w:hAnsi="Calibri" w:cs="Times New Roman"/>
                <w:noProof/>
                <w:webHidden/>
              </w:rPr>
              <w:fldChar w:fldCharType="end"/>
            </w:r>
          </w:hyperlink>
        </w:p>
        <w:p w14:paraId="34CFD8F9" w14:textId="77777777" w:rsidR="00C807F6" w:rsidRPr="00C807F6" w:rsidRDefault="007C106F" w:rsidP="00C807F6">
          <w:pPr>
            <w:tabs>
              <w:tab w:val="left" w:pos="440"/>
              <w:tab w:val="right" w:leader="dot" w:pos="9202"/>
            </w:tabs>
            <w:spacing w:after="100"/>
            <w:rPr>
              <w:rFonts w:ascii="Calibri" w:eastAsia="Times New Roman" w:hAnsi="Calibri" w:cs="Times New Roman"/>
              <w:noProof/>
              <w:lang w:eastAsia="en-AU"/>
            </w:rPr>
          </w:pPr>
          <w:hyperlink w:anchor="_Toc12367650" w:history="1">
            <w:r w:rsidR="00C807F6" w:rsidRPr="00C807F6">
              <w:rPr>
                <w:rFonts w:ascii="Calibri" w:eastAsia="Calibri" w:hAnsi="Calibri" w:cs="Times New Roman"/>
                <w:noProof/>
                <w:color w:val="0000FF"/>
                <w:u w:val="single"/>
              </w:rPr>
              <w:t>6.</w:t>
            </w:r>
            <w:r w:rsidR="00C807F6" w:rsidRPr="00C807F6">
              <w:rPr>
                <w:rFonts w:ascii="Calibri" w:eastAsia="Times New Roman" w:hAnsi="Calibri" w:cs="Times New Roman"/>
                <w:noProof/>
                <w:lang w:eastAsia="en-AU"/>
              </w:rPr>
              <w:tab/>
            </w:r>
            <w:r w:rsidR="00C807F6" w:rsidRPr="00C807F6">
              <w:rPr>
                <w:rFonts w:ascii="Calibri" w:eastAsia="Calibri" w:hAnsi="Calibri" w:cs="Times New Roman"/>
                <w:noProof/>
                <w:color w:val="0000FF"/>
                <w:u w:val="single"/>
              </w:rPr>
              <w:t>Preferred option</w:t>
            </w:r>
            <w:r w:rsidR="00C807F6" w:rsidRPr="00C807F6">
              <w:rPr>
                <w:rFonts w:ascii="Calibri" w:eastAsia="Calibri" w:hAnsi="Calibri" w:cs="Times New Roman"/>
                <w:noProof/>
                <w:webHidden/>
              </w:rPr>
              <w:tab/>
            </w:r>
            <w:r w:rsidR="00C807F6" w:rsidRPr="00C807F6">
              <w:rPr>
                <w:rFonts w:ascii="Calibri" w:eastAsia="Calibri" w:hAnsi="Calibri" w:cs="Times New Roman"/>
                <w:noProof/>
                <w:webHidden/>
              </w:rPr>
              <w:fldChar w:fldCharType="begin"/>
            </w:r>
            <w:r w:rsidR="00C807F6" w:rsidRPr="00C807F6">
              <w:rPr>
                <w:rFonts w:ascii="Calibri" w:eastAsia="Calibri" w:hAnsi="Calibri" w:cs="Times New Roman"/>
                <w:noProof/>
                <w:webHidden/>
              </w:rPr>
              <w:instrText xml:space="preserve"> PAGEREF _Toc12367650 \h </w:instrText>
            </w:r>
            <w:r w:rsidR="00C807F6" w:rsidRPr="00C807F6">
              <w:rPr>
                <w:rFonts w:ascii="Calibri" w:eastAsia="Calibri" w:hAnsi="Calibri" w:cs="Times New Roman"/>
                <w:noProof/>
                <w:webHidden/>
              </w:rPr>
            </w:r>
            <w:r w:rsidR="00C807F6" w:rsidRPr="00C807F6">
              <w:rPr>
                <w:rFonts w:ascii="Calibri" w:eastAsia="Calibri" w:hAnsi="Calibri" w:cs="Times New Roman"/>
                <w:noProof/>
                <w:webHidden/>
              </w:rPr>
              <w:fldChar w:fldCharType="separate"/>
            </w:r>
            <w:r w:rsidR="00C807F6">
              <w:rPr>
                <w:rFonts w:ascii="Calibri" w:eastAsia="Calibri" w:hAnsi="Calibri" w:cs="Times New Roman"/>
                <w:noProof/>
                <w:webHidden/>
              </w:rPr>
              <w:t>40</w:t>
            </w:r>
            <w:r w:rsidR="00C807F6" w:rsidRPr="00C807F6">
              <w:rPr>
                <w:rFonts w:ascii="Calibri" w:eastAsia="Calibri" w:hAnsi="Calibri" w:cs="Times New Roman"/>
                <w:noProof/>
                <w:webHidden/>
              </w:rPr>
              <w:fldChar w:fldCharType="end"/>
            </w:r>
          </w:hyperlink>
        </w:p>
        <w:p w14:paraId="24C3957C" w14:textId="77777777" w:rsidR="00C807F6" w:rsidRPr="00C807F6" w:rsidRDefault="007C106F" w:rsidP="00C807F6">
          <w:pPr>
            <w:tabs>
              <w:tab w:val="left" w:pos="440"/>
              <w:tab w:val="right" w:leader="dot" w:pos="9202"/>
            </w:tabs>
            <w:spacing w:after="100"/>
            <w:rPr>
              <w:rFonts w:ascii="Calibri" w:eastAsia="Times New Roman" w:hAnsi="Calibri" w:cs="Times New Roman"/>
              <w:noProof/>
              <w:lang w:eastAsia="en-AU"/>
            </w:rPr>
          </w:pPr>
          <w:hyperlink w:anchor="_Toc12367651" w:history="1">
            <w:r w:rsidR="00C807F6" w:rsidRPr="00C807F6">
              <w:rPr>
                <w:rFonts w:ascii="Calibri" w:eastAsia="Calibri" w:hAnsi="Calibri" w:cs="Times New Roman"/>
                <w:noProof/>
                <w:color w:val="0000FF"/>
                <w:u w:val="single"/>
              </w:rPr>
              <w:t>7.</w:t>
            </w:r>
            <w:r w:rsidR="00C807F6" w:rsidRPr="00C807F6">
              <w:rPr>
                <w:rFonts w:ascii="Calibri" w:eastAsia="Times New Roman" w:hAnsi="Calibri" w:cs="Times New Roman"/>
                <w:noProof/>
                <w:lang w:eastAsia="en-AU"/>
              </w:rPr>
              <w:tab/>
            </w:r>
            <w:r w:rsidR="00C807F6" w:rsidRPr="00C807F6">
              <w:rPr>
                <w:rFonts w:ascii="Calibri" w:eastAsia="Calibri" w:hAnsi="Calibri" w:cs="Times New Roman"/>
                <w:noProof/>
                <w:color w:val="0000FF"/>
                <w:u w:val="single"/>
              </w:rPr>
              <w:t>Implementation and evaluation</w:t>
            </w:r>
            <w:r w:rsidR="00C807F6" w:rsidRPr="00C807F6">
              <w:rPr>
                <w:rFonts w:ascii="Calibri" w:eastAsia="Calibri" w:hAnsi="Calibri" w:cs="Times New Roman"/>
                <w:noProof/>
                <w:webHidden/>
              </w:rPr>
              <w:tab/>
            </w:r>
            <w:r w:rsidR="00C807F6" w:rsidRPr="00C807F6">
              <w:rPr>
                <w:rFonts w:ascii="Calibri" w:eastAsia="Calibri" w:hAnsi="Calibri" w:cs="Times New Roman"/>
                <w:noProof/>
                <w:webHidden/>
              </w:rPr>
              <w:fldChar w:fldCharType="begin"/>
            </w:r>
            <w:r w:rsidR="00C807F6" w:rsidRPr="00C807F6">
              <w:rPr>
                <w:rFonts w:ascii="Calibri" w:eastAsia="Calibri" w:hAnsi="Calibri" w:cs="Times New Roman"/>
                <w:noProof/>
                <w:webHidden/>
              </w:rPr>
              <w:instrText xml:space="preserve"> PAGEREF _Toc12367651 \h </w:instrText>
            </w:r>
            <w:r w:rsidR="00C807F6" w:rsidRPr="00C807F6">
              <w:rPr>
                <w:rFonts w:ascii="Calibri" w:eastAsia="Calibri" w:hAnsi="Calibri" w:cs="Times New Roman"/>
                <w:noProof/>
                <w:webHidden/>
              </w:rPr>
            </w:r>
            <w:r w:rsidR="00C807F6" w:rsidRPr="00C807F6">
              <w:rPr>
                <w:rFonts w:ascii="Calibri" w:eastAsia="Calibri" w:hAnsi="Calibri" w:cs="Times New Roman"/>
                <w:noProof/>
                <w:webHidden/>
              </w:rPr>
              <w:fldChar w:fldCharType="separate"/>
            </w:r>
            <w:r w:rsidR="00C807F6">
              <w:rPr>
                <w:rFonts w:ascii="Calibri" w:eastAsia="Calibri" w:hAnsi="Calibri" w:cs="Times New Roman"/>
                <w:noProof/>
                <w:webHidden/>
              </w:rPr>
              <w:t>42</w:t>
            </w:r>
            <w:r w:rsidR="00C807F6" w:rsidRPr="00C807F6">
              <w:rPr>
                <w:rFonts w:ascii="Calibri" w:eastAsia="Calibri" w:hAnsi="Calibri" w:cs="Times New Roman"/>
                <w:noProof/>
                <w:webHidden/>
              </w:rPr>
              <w:fldChar w:fldCharType="end"/>
            </w:r>
          </w:hyperlink>
        </w:p>
        <w:p w14:paraId="7E4A8564" w14:textId="77777777" w:rsidR="00C807F6" w:rsidRPr="00C807F6" w:rsidRDefault="007C106F" w:rsidP="00C807F6">
          <w:pPr>
            <w:tabs>
              <w:tab w:val="left" w:pos="440"/>
              <w:tab w:val="right" w:leader="dot" w:pos="9202"/>
            </w:tabs>
            <w:spacing w:after="100"/>
            <w:rPr>
              <w:rFonts w:ascii="Calibri" w:eastAsia="Times New Roman" w:hAnsi="Calibri" w:cs="Times New Roman"/>
              <w:noProof/>
              <w:lang w:eastAsia="en-AU"/>
            </w:rPr>
          </w:pPr>
          <w:hyperlink w:anchor="_Toc12367652" w:history="1">
            <w:r w:rsidR="00C807F6" w:rsidRPr="00C807F6">
              <w:rPr>
                <w:rFonts w:ascii="Calibri" w:eastAsia="Calibri" w:hAnsi="Calibri" w:cs="Times New Roman"/>
                <w:noProof/>
                <w:color w:val="0000FF"/>
                <w:u w:val="single"/>
              </w:rPr>
              <w:t>8.</w:t>
            </w:r>
            <w:r w:rsidR="00C807F6" w:rsidRPr="00C807F6">
              <w:rPr>
                <w:rFonts w:ascii="Calibri" w:eastAsia="Times New Roman" w:hAnsi="Calibri" w:cs="Times New Roman"/>
                <w:noProof/>
                <w:lang w:eastAsia="en-AU"/>
              </w:rPr>
              <w:tab/>
            </w:r>
            <w:r w:rsidR="00C807F6" w:rsidRPr="00C807F6">
              <w:rPr>
                <w:rFonts w:ascii="Calibri" w:eastAsia="Calibri" w:hAnsi="Calibri" w:cs="Times New Roman"/>
                <w:noProof/>
                <w:color w:val="0000FF"/>
                <w:u w:val="single"/>
              </w:rPr>
              <w:t>Regulatory burden</w:t>
            </w:r>
            <w:r w:rsidR="00C807F6" w:rsidRPr="00C807F6">
              <w:rPr>
                <w:rFonts w:ascii="Calibri" w:eastAsia="Calibri" w:hAnsi="Calibri" w:cs="Times New Roman"/>
                <w:noProof/>
                <w:webHidden/>
              </w:rPr>
              <w:tab/>
            </w:r>
            <w:r w:rsidR="00C807F6" w:rsidRPr="00C807F6">
              <w:rPr>
                <w:rFonts w:ascii="Calibri" w:eastAsia="Calibri" w:hAnsi="Calibri" w:cs="Times New Roman"/>
                <w:noProof/>
                <w:webHidden/>
              </w:rPr>
              <w:fldChar w:fldCharType="begin"/>
            </w:r>
            <w:r w:rsidR="00C807F6" w:rsidRPr="00C807F6">
              <w:rPr>
                <w:rFonts w:ascii="Calibri" w:eastAsia="Calibri" w:hAnsi="Calibri" w:cs="Times New Roman"/>
                <w:noProof/>
                <w:webHidden/>
              </w:rPr>
              <w:instrText xml:space="preserve"> PAGEREF _Toc12367652 \h </w:instrText>
            </w:r>
            <w:r w:rsidR="00C807F6" w:rsidRPr="00C807F6">
              <w:rPr>
                <w:rFonts w:ascii="Calibri" w:eastAsia="Calibri" w:hAnsi="Calibri" w:cs="Times New Roman"/>
                <w:noProof/>
                <w:webHidden/>
              </w:rPr>
            </w:r>
            <w:r w:rsidR="00C807F6" w:rsidRPr="00C807F6">
              <w:rPr>
                <w:rFonts w:ascii="Calibri" w:eastAsia="Calibri" w:hAnsi="Calibri" w:cs="Times New Roman"/>
                <w:noProof/>
                <w:webHidden/>
              </w:rPr>
              <w:fldChar w:fldCharType="separate"/>
            </w:r>
            <w:r w:rsidR="00C807F6">
              <w:rPr>
                <w:rFonts w:ascii="Calibri" w:eastAsia="Calibri" w:hAnsi="Calibri" w:cs="Times New Roman"/>
                <w:noProof/>
                <w:webHidden/>
              </w:rPr>
              <w:t>46</w:t>
            </w:r>
            <w:r w:rsidR="00C807F6" w:rsidRPr="00C807F6">
              <w:rPr>
                <w:rFonts w:ascii="Calibri" w:eastAsia="Calibri" w:hAnsi="Calibri" w:cs="Times New Roman"/>
                <w:noProof/>
                <w:webHidden/>
              </w:rPr>
              <w:fldChar w:fldCharType="end"/>
            </w:r>
          </w:hyperlink>
        </w:p>
        <w:p w14:paraId="0BEC5B3F" w14:textId="77777777" w:rsidR="00C807F6" w:rsidRPr="00C807F6" w:rsidRDefault="00C807F6" w:rsidP="00C807F6">
          <w:pPr>
            <w:rPr>
              <w:rFonts w:ascii="Arial" w:eastAsia="Calibri" w:hAnsi="Arial" w:cs="Times New Roman"/>
            </w:rPr>
          </w:pPr>
          <w:r w:rsidRPr="00C807F6">
            <w:rPr>
              <w:rFonts w:ascii="Calibri" w:eastAsia="Calibri" w:hAnsi="Calibri" w:cs="Times New Roman"/>
              <w:b/>
              <w:bCs/>
              <w:noProof/>
            </w:rPr>
            <w:fldChar w:fldCharType="end"/>
          </w:r>
        </w:p>
      </w:sdtContent>
    </w:sdt>
    <w:p w14:paraId="05753491" w14:textId="77777777" w:rsidR="00C807F6" w:rsidRPr="00C807F6" w:rsidRDefault="00C807F6" w:rsidP="00C807F6">
      <w:pPr>
        <w:spacing w:after="0" w:line="240" w:lineRule="auto"/>
        <w:rPr>
          <w:rFonts w:ascii="Arial" w:eastAsia="Calibri" w:hAnsi="Arial" w:cs="Times New Roman"/>
        </w:rPr>
      </w:pPr>
      <w:r w:rsidRPr="00C807F6">
        <w:rPr>
          <w:rFonts w:ascii="Arial" w:eastAsia="Calibri" w:hAnsi="Arial" w:cs="Times New Roman"/>
        </w:rPr>
        <w:br w:type="page"/>
      </w:r>
    </w:p>
    <w:p w14:paraId="7C6E4662" w14:textId="77777777" w:rsidR="00C807F6" w:rsidRPr="00C807F6" w:rsidRDefault="00C807F6" w:rsidP="00C807F6">
      <w:pPr>
        <w:keepNext/>
        <w:ind w:left="360" w:hanging="360"/>
        <w:outlineLvl w:val="0"/>
        <w:rPr>
          <w:rFonts w:ascii="Calibri" w:eastAsia="Calibri" w:hAnsi="Calibri" w:cs="Arial"/>
          <w:b/>
          <w:caps/>
          <w:color w:val="365F91"/>
          <w:sz w:val="28"/>
          <w:szCs w:val="28"/>
        </w:rPr>
      </w:pPr>
      <w:bookmarkStart w:id="1" w:name="_Toc528774698"/>
      <w:bookmarkStart w:id="2" w:name="_Toc12367645"/>
      <w:r w:rsidRPr="00C807F6">
        <w:rPr>
          <w:rFonts w:ascii="Calibri" w:eastAsia="Calibri" w:hAnsi="Calibri" w:cs="Arial"/>
          <w:b/>
          <w:caps/>
          <w:color w:val="365F91"/>
          <w:sz w:val="28"/>
          <w:szCs w:val="28"/>
        </w:rPr>
        <w:lastRenderedPageBreak/>
        <w:t>The problem</w:t>
      </w:r>
      <w:bookmarkEnd w:id="1"/>
      <w:bookmarkEnd w:id="2"/>
    </w:p>
    <w:p w14:paraId="2D8F2825" w14:textId="77777777" w:rsidR="00C807F6" w:rsidRPr="00C807F6" w:rsidRDefault="00C807F6" w:rsidP="00C807F6">
      <w:pPr>
        <w:spacing w:after="120"/>
        <w:rPr>
          <w:rFonts w:ascii="Arial" w:eastAsia="Calibri" w:hAnsi="Arial" w:cs="Times New Roman"/>
        </w:rPr>
      </w:pPr>
      <w:r w:rsidRPr="00C807F6">
        <w:rPr>
          <w:rFonts w:ascii="Arial" w:eastAsia="Calibri" w:hAnsi="Arial" w:cs="Times New Roman"/>
        </w:rPr>
        <w:t xml:space="preserve">In July 2018, the Australian Competition and Consumer Commission (ACCC) released its </w:t>
      </w:r>
      <w:r w:rsidRPr="00C807F6">
        <w:rPr>
          <w:rFonts w:ascii="Arial" w:eastAsia="Calibri" w:hAnsi="Arial" w:cs="Times New Roman"/>
          <w:i/>
        </w:rPr>
        <w:t>Retail Electricity Pricing Inquiry – Final Report</w:t>
      </w:r>
      <w:r w:rsidRPr="00C807F6">
        <w:rPr>
          <w:rFonts w:ascii="Arial" w:eastAsia="Calibri" w:hAnsi="Arial" w:cs="Times New Roman"/>
        </w:rPr>
        <w:t xml:space="preserve"> (REPI) which investigated electricity pricing outcomes in the National Electricity Market (NEM).</w:t>
      </w:r>
    </w:p>
    <w:p w14:paraId="6803E7BC" w14:textId="77777777" w:rsidR="00C807F6" w:rsidRPr="00C807F6" w:rsidRDefault="00C807F6" w:rsidP="00C807F6">
      <w:pPr>
        <w:spacing w:after="120"/>
        <w:rPr>
          <w:rFonts w:ascii="Arial" w:eastAsia="Calibri" w:hAnsi="Arial" w:cs="Times New Roman"/>
        </w:rPr>
      </w:pPr>
      <w:r w:rsidRPr="00C807F6">
        <w:rPr>
          <w:rFonts w:ascii="Arial" w:eastAsia="Calibri" w:hAnsi="Arial" w:cs="Times New Roman"/>
        </w:rPr>
        <w:t xml:space="preserve">The ACCC’s overarching finding was that the market was not working in the best interests of consumers and reforms were needed. </w:t>
      </w:r>
    </w:p>
    <w:p w14:paraId="78DDFE65" w14:textId="77777777" w:rsidR="00C807F6" w:rsidRPr="00C807F6" w:rsidRDefault="00C807F6" w:rsidP="00C807F6">
      <w:pPr>
        <w:spacing w:after="120"/>
        <w:rPr>
          <w:rFonts w:ascii="Arial" w:eastAsia="Calibri" w:hAnsi="Arial" w:cs="Times New Roman"/>
        </w:rPr>
      </w:pPr>
      <w:r w:rsidRPr="00C807F6">
        <w:rPr>
          <w:rFonts w:ascii="Arial" w:eastAsia="Calibri" w:hAnsi="Arial" w:cs="Times New Roman"/>
        </w:rPr>
        <w:t xml:space="preserve">In relation to the wholesale market, it found increases in the wholesale price of electricity had been the second largest contributor to consumer price increases in the NEM over the past decade, with network costs being the largest driver. Wholesale costs were particularly significant drivers of costs over the two years prior to the ACCC’s report, with wholesale prices increasing substantially during this time. Amongst other factors, the ACCC identified high levels of market concentration, the exit of some low-cost generation, and a tightening supply and demand balance as reasons for the higher wholesale prices. The ACCC’s view was that these factors have led to a lack of competitive constraint on market participants, which in turn has negatively affected electricity affordability.  </w:t>
      </w:r>
    </w:p>
    <w:p w14:paraId="7775667E" w14:textId="77777777" w:rsidR="00C807F6" w:rsidRPr="00C807F6" w:rsidRDefault="00C807F6" w:rsidP="00C807F6">
      <w:pPr>
        <w:keepNext/>
        <w:spacing w:before="200" w:after="120"/>
        <w:outlineLvl w:val="1"/>
        <w:rPr>
          <w:rFonts w:ascii="Arial" w:eastAsia="Calibri" w:hAnsi="Arial" w:cs="Arial"/>
          <w:b/>
          <w:color w:val="365F91"/>
        </w:rPr>
      </w:pPr>
      <w:r w:rsidRPr="00C807F6">
        <w:rPr>
          <w:rFonts w:ascii="Arial" w:eastAsia="Calibri" w:hAnsi="Arial" w:cs="Arial"/>
          <w:b/>
          <w:color w:val="365F91"/>
        </w:rPr>
        <w:t>Market concentration drives elevated pricing</w:t>
      </w:r>
    </w:p>
    <w:p w14:paraId="6DE9EF13" w14:textId="77777777" w:rsidR="00C807F6" w:rsidRPr="00C807F6" w:rsidRDefault="00C807F6" w:rsidP="00C807F6">
      <w:pPr>
        <w:spacing w:after="120"/>
        <w:rPr>
          <w:rFonts w:ascii="Arial" w:eastAsia="Calibri" w:hAnsi="Arial" w:cs="Times New Roman"/>
        </w:rPr>
      </w:pPr>
      <w:r w:rsidRPr="00C807F6">
        <w:rPr>
          <w:rFonts w:ascii="Arial" w:eastAsia="Calibri" w:hAnsi="Arial" w:cs="Times New Roman"/>
        </w:rPr>
        <w:t xml:space="preserve">Generation ownership in the NEM has become increasingly concentrated over recent years, and is concentrated amongst a few key players in most regions (see Figure 1). </w:t>
      </w:r>
    </w:p>
    <w:p w14:paraId="42859D1F" w14:textId="77777777" w:rsidR="00C807F6" w:rsidRPr="00C807F6" w:rsidRDefault="00C807F6" w:rsidP="00C807F6">
      <w:pPr>
        <w:keepNext/>
        <w:spacing w:after="120"/>
        <w:rPr>
          <w:rFonts w:ascii="Arial" w:eastAsia="Calibri" w:hAnsi="Arial" w:cs="Times New Roman"/>
          <w:b/>
          <w:sz w:val="20"/>
          <w:szCs w:val="20"/>
        </w:rPr>
      </w:pPr>
      <w:r w:rsidRPr="00C807F6">
        <w:rPr>
          <w:rFonts w:ascii="Arial" w:eastAsia="Calibri" w:hAnsi="Arial" w:cs="Times New Roman"/>
          <w:b/>
          <w:sz w:val="20"/>
          <w:szCs w:val="20"/>
        </w:rPr>
        <w:t>Figure 1: Market share by generation dispatched by region, year to April 2018</w:t>
      </w:r>
    </w:p>
    <w:p w14:paraId="1AE9736C" w14:textId="77777777" w:rsidR="00C807F6" w:rsidRPr="00C807F6" w:rsidRDefault="00C807F6" w:rsidP="00C807F6">
      <w:pPr>
        <w:spacing w:after="120" w:line="240" w:lineRule="auto"/>
        <w:rPr>
          <w:rFonts w:ascii="Arial" w:eastAsia="Calibri" w:hAnsi="Arial" w:cs="Times New Roman"/>
        </w:rPr>
      </w:pPr>
      <w:r w:rsidRPr="00C807F6">
        <w:rPr>
          <w:rFonts w:ascii="Arial" w:eastAsia="Calibri" w:hAnsi="Arial" w:cs="Times New Roman"/>
          <w:noProof/>
          <w:lang w:eastAsia="en-AU"/>
        </w:rPr>
        <w:drawing>
          <wp:inline distT="0" distB="0" distL="0" distR="0" wp14:anchorId="218AB259" wp14:editId="60E8C484">
            <wp:extent cx="4660784" cy="326707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4211"/>
                    <a:stretch/>
                  </pic:blipFill>
                  <pic:spPr bwMode="auto">
                    <a:xfrm>
                      <a:off x="0" y="0"/>
                      <a:ext cx="4684053" cy="3283386"/>
                    </a:xfrm>
                    <a:prstGeom prst="rect">
                      <a:avLst/>
                    </a:prstGeom>
                    <a:ln>
                      <a:noFill/>
                    </a:ln>
                    <a:extLst>
                      <a:ext uri="{53640926-AAD7-44D8-BBD7-CCE9431645EC}">
                        <a14:shadowObscured xmlns:a14="http://schemas.microsoft.com/office/drawing/2010/main"/>
                      </a:ext>
                    </a:extLst>
                  </pic:spPr>
                </pic:pic>
              </a:graphicData>
            </a:graphic>
          </wp:inline>
        </w:drawing>
      </w:r>
    </w:p>
    <w:p w14:paraId="08FDC2D1" w14:textId="77777777" w:rsidR="00C807F6" w:rsidRPr="00C807F6" w:rsidRDefault="00C807F6" w:rsidP="00C807F6">
      <w:pPr>
        <w:spacing w:after="120"/>
        <w:rPr>
          <w:rFonts w:ascii="Arial" w:eastAsia="Calibri" w:hAnsi="Arial" w:cs="Times New Roman"/>
        </w:rPr>
      </w:pPr>
      <w:r w:rsidRPr="00C807F6">
        <w:rPr>
          <w:rFonts w:ascii="Arial" w:eastAsia="Calibri" w:hAnsi="Arial" w:cs="Times New Roman"/>
        </w:rPr>
        <w:t xml:space="preserve">The closure of two, low-cost coal generators in 2016 and 2017 increased the concentration of generation ownership. The closure of the Northern Power Station in </w:t>
      </w:r>
      <w:r w:rsidRPr="00C807F6">
        <w:rPr>
          <w:rFonts w:ascii="Arial" w:eastAsia="Calibri" w:hAnsi="Arial" w:cs="Times New Roman"/>
        </w:rPr>
        <w:lastRenderedPageBreak/>
        <w:t>South Australia in May 2016 and the Hazelwood power station in Victoria in March 2017 removed more than 2000 megawatts (MW) of capacity from the market over a very short period, increasing the market share of other existing generators. The reduction in firm generation capacity</w:t>
      </w:r>
      <w:r w:rsidRPr="00C807F6">
        <w:rPr>
          <w:rFonts w:ascii="Arial" w:eastAsia="Calibri" w:hAnsi="Arial" w:cs="Times New Roman"/>
          <w:vertAlign w:val="superscript"/>
        </w:rPr>
        <w:footnoteReference w:id="2"/>
      </w:r>
      <w:r w:rsidRPr="00C807F6">
        <w:rPr>
          <w:rFonts w:ascii="Arial" w:eastAsia="Calibri" w:hAnsi="Arial" w:cs="Times New Roman"/>
        </w:rPr>
        <w:t xml:space="preserve"> has also tightened the supply demand balance in the electricity market.</w:t>
      </w:r>
    </w:p>
    <w:p w14:paraId="0A277178" w14:textId="77777777" w:rsidR="00C807F6" w:rsidRPr="00C807F6" w:rsidRDefault="00C807F6" w:rsidP="00C807F6">
      <w:pPr>
        <w:spacing w:after="120"/>
        <w:rPr>
          <w:rFonts w:ascii="Arial" w:eastAsia="Calibri" w:hAnsi="Arial" w:cs="Times New Roman"/>
        </w:rPr>
      </w:pPr>
      <w:r w:rsidRPr="00C807F6">
        <w:rPr>
          <w:rFonts w:ascii="Arial" w:eastAsia="Calibri" w:hAnsi="Arial" w:cs="Times New Roman"/>
        </w:rPr>
        <w:t>The ACCC concluded that:</w:t>
      </w:r>
    </w:p>
    <w:p w14:paraId="2638BC25" w14:textId="77777777" w:rsidR="00C807F6" w:rsidRPr="00C807F6" w:rsidRDefault="00C807F6" w:rsidP="00C807F6">
      <w:pPr>
        <w:spacing w:after="120"/>
        <w:rPr>
          <w:rFonts w:ascii="Arial" w:eastAsia="Calibri" w:hAnsi="Arial" w:cs="Times New Roman"/>
          <w:i/>
        </w:rPr>
      </w:pPr>
      <w:r w:rsidRPr="00C807F6">
        <w:rPr>
          <w:rFonts w:ascii="Arial" w:eastAsia="Calibri" w:hAnsi="Arial" w:cs="Times New Roman"/>
          <w:i/>
        </w:rPr>
        <w:t>“[T]he current wholesale market structure is not conducive to vigorous competition. In an energy-only bidding market, it is particularly important that there is sufficient competition between generators to deliver efficient prices”</w:t>
      </w:r>
      <w:r w:rsidRPr="00C807F6">
        <w:rPr>
          <w:rFonts w:ascii="Arial" w:eastAsia="Calibri" w:hAnsi="Arial" w:cs="Times New Roman"/>
          <w:i/>
          <w:vertAlign w:val="superscript"/>
        </w:rPr>
        <w:footnoteReference w:id="3"/>
      </w:r>
    </w:p>
    <w:p w14:paraId="6996B014" w14:textId="77777777" w:rsidR="00C807F6" w:rsidRPr="00C807F6" w:rsidRDefault="00C807F6" w:rsidP="00C807F6">
      <w:pPr>
        <w:spacing w:after="120"/>
        <w:rPr>
          <w:rFonts w:ascii="Arial" w:eastAsia="Calibri" w:hAnsi="Arial" w:cs="Times New Roman"/>
        </w:rPr>
      </w:pPr>
      <w:proofErr w:type="gramStart"/>
      <w:r w:rsidRPr="00C807F6">
        <w:rPr>
          <w:rFonts w:ascii="Arial" w:eastAsia="Calibri" w:hAnsi="Arial" w:cs="Times New Roman"/>
        </w:rPr>
        <w:t>and</w:t>
      </w:r>
      <w:proofErr w:type="gramEnd"/>
    </w:p>
    <w:p w14:paraId="54EDEAE5" w14:textId="77777777" w:rsidR="00C807F6" w:rsidRPr="00C807F6" w:rsidRDefault="00C807F6" w:rsidP="00C807F6">
      <w:pPr>
        <w:spacing w:after="120"/>
        <w:rPr>
          <w:rFonts w:ascii="Arial" w:eastAsia="Calibri" w:hAnsi="Arial" w:cs="Times New Roman"/>
        </w:rPr>
      </w:pPr>
      <w:r w:rsidRPr="00C807F6">
        <w:rPr>
          <w:rFonts w:ascii="Arial" w:eastAsia="Calibri" w:hAnsi="Arial" w:cs="Times New Roman"/>
          <w:i/>
        </w:rPr>
        <w:t>“[E]</w:t>
      </w:r>
      <w:proofErr w:type="spellStart"/>
      <w:r w:rsidRPr="00C807F6">
        <w:rPr>
          <w:rFonts w:ascii="Arial" w:eastAsia="Calibri" w:hAnsi="Arial" w:cs="Times New Roman"/>
          <w:i/>
        </w:rPr>
        <w:t>levated</w:t>
      </w:r>
      <w:proofErr w:type="spellEnd"/>
      <w:r w:rsidRPr="00C807F6">
        <w:rPr>
          <w:rFonts w:ascii="Arial" w:eastAsia="Calibri" w:hAnsi="Arial" w:cs="Times New Roman"/>
        </w:rPr>
        <w:t xml:space="preserve"> </w:t>
      </w:r>
      <w:r w:rsidRPr="00C807F6">
        <w:rPr>
          <w:rFonts w:ascii="Arial" w:eastAsia="Calibri" w:hAnsi="Arial" w:cs="Times New Roman"/>
          <w:i/>
        </w:rPr>
        <w:t>prices have generally been driven by high and entrenched levels of concentration in the market, combined with fuel source cost factors</w:t>
      </w:r>
      <w:r w:rsidRPr="00C807F6">
        <w:rPr>
          <w:rFonts w:ascii="Arial" w:eastAsia="Calibri" w:hAnsi="Arial" w:cs="Times New Roman"/>
        </w:rPr>
        <w:t xml:space="preserve">”. </w:t>
      </w:r>
      <w:r w:rsidRPr="00C807F6">
        <w:rPr>
          <w:rFonts w:ascii="Arial" w:eastAsia="Calibri" w:hAnsi="Arial" w:cs="Times New Roman"/>
          <w:vertAlign w:val="superscript"/>
        </w:rPr>
        <w:footnoteReference w:id="4"/>
      </w:r>
    </w:p>
    <w:p w14:paraId="46594828" w14:textId="77777777" w:rsidR="00C807F6" w:rsidRPr="00C807F6" w:rsidRDefault="00C807F6" w:rsidP="00C807F6">
      <w:pPr>
        <w:keepNext/>
        <w:spacing w:before="200" w:after="120"/>
        <w:outlineLvl w:val="1"/>
        <w:rPr>
          <w:rFonts w:ascii="Arial" w:eastAsia="Calibri" w:hAnsi="Arial" w:cs="Arial"/>
          <w:b/>
          <w:color w:val="365F91"/>
        </w:rPr>
      </w:pPr>
      <w:r w:rsidRPr="00C807F6">
        <w:rPr>
          <w:rFonts w:ascii="Arial" w:eastAsia="Calibri" w:hAnsi="Arial" w:cs="Arial"/>
          <w:b/>
          <w:color w:val="365F91"/>
        </w:rPr>
        <w:t>There are supply and demand pressures</w:t>
      </w:r>
    </w:p>
    <w:p w14:paraId="6A31EEC3" w14:textId="77777777" w:rsidR="00C807F6" w:rsidRPr="00C807F6" w:rsidRDefault="00C807F6" w:rsidP="00C807F6">
      <w:pPr>
        <w:rPr>
          <w:rFonts w:ascii="Arial" w:eastAsia="Calibri" w:hAnsi="Arial" w:cs="Times New Roman"/>
        </w:rPr>
      </w:pPr>
      <w:r w:rsidRPr="00C807F6">
        <w:rPr>
          <w:rFonts w:ascii="Arial" w:eastAsia="Calibri" w:hAnsi="Arial" w:cs="Times New Roman"/>
        </w:rPr>
        <w:t>Australia’s energy system is in transition. The coal generation fleet that has been the mainstay of Australia’s energy supply is aging, and many plants are reaching the end of their technical life. Since 2014, 4,200 MW of coal generation capacity has been withdrawn from the NEM</w:t>
      </w:r>
      <w:r w:rsidRPr="00C807F6">
        <w:rPr>
          <w:rFonts w:ascii="Arial" w:eastAsia="Calibri" w:hAnsi="Arial" w:cs="Times New Roman"/>
          <w:vertAlign w:val="superscript"/>
        </w:rPr>
        <w:footnoteReference w:id="5"/>
      </w:r>
      <w:r w:rsidRPr="00C807F6">
        <w:rPr>
          <w:rFonts w:ascii="Arial" w:eastAsia="Calibri" w:hAnsi="Arial" w:cs="Times New Roman"/>
        </w:rPr>
        <w:t>. The exit of large generators places pressure on remaining generators to meet the nation’s energy needs. In 2017-18, coal-fired generation accounted for 73 per cent of electricity output and had the highest summer output in a decade.</w:t>
      </w:r>
      <w:r w:rsidRPr="00C807F6">
        <w:rPr>
          <w:rFonts w:ascii="Arial" w:eastAsia="Calibri" w:hAnsi="Arial" w:cs="Times New Roman"/>
          <w:vertAlign w:val="superscript"/>
        </w:rPr>
        <w:footnoteReference w:id="6"/>
      </w:r>
      <w:r w:rsidRPr="00C807F6">
        <w:rPr>
          <w:rFonts w:ascii="Arial" w:eastAsia="Calibri" w:hAnsi="Arial" w:cs="Times New Roman"/>
        </w:rPr>
        <w:t xml:space="preserve"> </w:t>
      </w:r>
    </w:p>
    <w:p w14:paraId="18A18C94" w14:textId="77777777" w:rsidR="00C807F6" w:rsidRPr="00C807F6" w:rsidRDefault="00C807F6" w:rsidP="00C807F6">
      <w:pPr>
        <w:rPr>
          <w:rFonts w:ascii="Arial" w:eastAsia="Calibri" w:hAnsi="Arial" w:cs="Times New Roman"/>
        </w:rPr>
      </w:pPr>
      <w:r w:rsidRPr="00C807F6">
        <w:rPr>
          <w:rFonts w:ascii="Arial" w:eastAsia="Calibri" w:hAnsi="Arial" w:cs="Times New Roman"/>
        </w:rPr>
        <w:t>During this transition, the NEM is continuing to experience significant supply and demand pressures. For example, on 25 January 2019, 200,000 customers across Victoria experienced blackouts when demand was greater than supply during hot summer conditions.</w:t>
      </w:r>
    </w:p>
    <w:p w14:paraId="089AC629" w14:textId="77777777" w:rsidR="00C807F6" w:rsidRPr="00C807F6" w:rsidRDefault="00C807F6" w:rsidP="00C807F6">
      <w:pPr>
        <w:rPr>
          <w:rFonts w:ascii="Arial" w:eastAsia="Calibri" w:hAnsi="Arial" w:cs="Arial"/>
        </w:rPr>
      </w:pPr>
      <w:r w:rsidRPr="00C807F6">
        <w:rPr>
          <w:rFonts w:ascii="Arial" w:eastAsia="Calibri" w:hAnsi="Arial" w:cs="Times New Roman"/>
        </w:rPr>
        <w:t xml:space="preserve">A number of </w:t>
      </w:r>
      <w:r w:rsidRPr="00C807F6">
        <w:rPr>
          <w:rFonts w:ascii="Arial" w:eastAsia="Calibri" w:hAnsi="Arial" w:cs="Arial"/>
        </w:rPr>
        <w:t xml:space="preserve">coal plants are forecast to reach the end of their technical life in the next decade, including </w:t>
      </w:r>
      <w:r w:rsidRPr="00C807F6">
        <w:rPr>
          <w:rFonts w:ascii="Arial" w:eastAsia="Calibri" w:hAnsi="Arial" w:cs="Times New Roman"/>
        </w:rPr>
        <w:t>the Liddell Power Station in 2022-23,</w:t>
      </w:r>
      <w:r w:rsidRPr="00C807F6">
        <w:rPr>
          <w:rFonts w:ascii="Arial" w:eastAsia="Calibri" w:hAnsi="Arial" w:cs="Arial"/>
        </w:rPr>
        <w:t xml:space="preserve"> Vales Point in 2028</w:t>
      </w:r>
      <w:r w:rsidRPr="00C807F6">
        <w:rPr>
          <w:rFonts w:ascii="Arial" w:eastAsia="Calibri" w:hAnsi="Arial" w:cs="Arial"/>
        </w:rPr>
        <w:noBreakHyphen/>
        <w:t>29 and Gladstone in 2029</w:t>
      </w:r>
      <w:r w:rsidRPr="00C807F6">
        <w:rPr>
          <w:rFonts w:ascii="Arial" w:eastAsia="Calibri" w:hAnsi="Arial" w:cs="Arial"/>
        </w:rPr>
        <w:noBreakHyphen/>
        <w:t xml:space="preserve">30 (Figure 2). Further, Energy Australia has announced it will close Yallourn Power Station’s four units from 2029–2032. </w:t>
      </w:r>
    </w:p>
    <w:p w14:paraId="34B0D5CE" w14:textId="77777777" w:rsidR="00C807F6" w:rsidRPr="00C807F6" w:rsidRDefault="00C807F6" w:rsidP="00C807F6">
      <w:pPr>
        <w:keepNext/>
        <w:spacing w:after="120"/>
        <w:rPr>
          <w:rFonts w:ascii="Arial" w:eastAsia="Calibri" w:hAnsi="Arial" w:cs="Times New Roman"/>
          <w:b/>
          <w:sz w:val="20"/>
          <w:szCs w:val="20"/>
        </w:rPr>
      </w:pPr>
      <w:r w:rsidRPr="00C807F6">
        <w:rPr>
          <w:rFonts w:ascii="Arial" w:eastAsia="Calibri" w:hAnsi="Arial" w:cs="Times New Roman"/>
          <w:b/>
          <w:sz w:val="20"/>
          <w:szCs w:val="20"/>
        </w:rPr>
        <w:lastRenderedPageBreak/>
        <w:t>Figure 2: NEM coal-fired generation fleet operating life to 2040, by 50th year from full operation or announced retirement</w:t>
      </w:r>
    </w:p>
    <w:p w14:paraId="7F07218A" w14:textId="77777777" w:rsidR="00C807F6" w:rsidRPr="00C807F6" w:rsidRDefault="00C807F6" w:rsidP="00C807F6">
      <w:pPr>
        <w:keepNext/>
        <w:spacing w:after="0"/>
        <w:rPr>
          <w:rFonts w:ascii="Arial" w:eastAsia="Calibri" w:hAnsi="Arial" w:cs="Times New Roman"/>
        </w:rPr>
      </w:pPr>
      <w:r w:rsidRPr="00C807F6">
        <w:rPr>
          <w:rFonts w:ascii="Arial" w:eastAsia="Calibri" w:hAnsi="Arial" w:cs="Times New Roman"/>
          <w:noProof/>
          <w:lang w:eastAsia="en-AU"/>
        </w:rPr>
        <w:drawing>
          <wp:inline distT="0" distB="0" distL="0" distR="0" wp14:anchorId="5CC7E108" wp14:editId="7B10CB04">
            <wp:extent cx="5849620" cy="2703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49620" cy="2703830"/>
                    </a:xfrm>
                    <a:prstGeom prst="rect">
                      <a:avLst/>
                    </a:prstGeom>
                  </pic:spPr>
                </pic:pic>
              </a:graphicData>
            </a:graphic>
          </wp:inline>
        </w:drawing>
      </w:r>
    </w:p>
    <w:p w14:paraId="4F9EA5F1" w14:textId="77777777" w:rsidR="00C807F6" w:rsidRPr="00C807F6" w:rsidRDefault="00C807F6" w:rsidP="00C807F6">
      <w:pPr>
        <w:rPr>
          <w:rFonts w:ascii="Arial" w:eastAsia="Calibri" w:hAnsi="Arial" w:cs="Times New Roman"/>
          <w:sz w:val="18"/>
          <w:szCs w:val="18"/>
        </w:rPr>
      </w:pPr>
      <w:r w:rsidRPr="00C807F6">
        <w:rPr>
          <w:rFonts w:ascii="Arial" w:eastAsia="Calibri" w:hAnsi="Arial" w:cs="Times New Roman"/>
          <w:sz w:val="18"/>
          <w:szCs w:val="18"/>
        </w:rPr>
        <w:t>Source: AEMO, Integrated System Plan, July 2018, p. 22.</w:t>
      </w:r>
    </w:p>
    <w:p w14:paraId="1450DD4E" w14:textId="77777777" w:rsidR="00C807F6" w:rsidRPr="00C807F6" w:rsidRDefault="00C807F6" w:rsidP="00C807F6">
      <w:pPr>
        <w:spacing w:after="120"/>
        <w:rPr>
          <w:rFonts w:ascii="Arial" w:eastAsia="Calibri" w:hAnsi="Arial" w:cs="Times New Roman"/>
        </w:rPr>
      </w:pPr>
      <w:r w:rsidRPr="00C807F6">
        <w:rPr>
          <w:rFonts w:ascii="Arial" w:eastAsia="Calibri" w:hAnsi="Arial" w:cs="Times New Roman"/>
        </w:rPr>
        <w:t>Maintaining existing coal-fired generation up to the end of its technical life is a key element of a least-cost approach outlined in the Australian Energy Market Operator’s (AEMO) Integrated System Plan.</w:t>
      </w:r>
      <w:r w:rsidRPr="00C807F6">
        <w:rPr>
          <w:rFonts w:ascii="Arial" w:eastAsia="Calibri" w:hAnsi="Arial" w:cs="Times New Roman"/>
          <w:vertAlign w:val="superscript"/>
        </w:rPr>
        <w:footnoteReference w:id="7"/>
      </w:r>
      <w:r w:rsidRPr="00C807F6">
        <w:rPr>
          <w:rFonts w:ascii="Arial" w:eastAsia="Calibri" w:hAnsi="Arial" w:cs="Times New Roman"/>
        </w:rPr>
        <w:t xml:space="preserve"> However, aging plants can have increased reliability issues and may not operate as anticipated. This could lead to some closures occurring sooner, particularly if major maintenance and upgrades are delayed. </w:t>
      </w:r>
    </w:p>
    <w:p w14:paraId="7D46A923" w14:textId="77777777" w:rsidR="00C807F6" w:rsidRPr="00C807F6" w:rsidRDefault="00C807F6" w:rsidP="00C807F6">
      <w:pPr>
        <w:keepNext/>
        <w:spacing w:before="200" w:after="120"/>
        <w:outlineLvl w:val="1"/>
        <w:rPr>
          <w:rFonts w:ascii="Arial" w:eastAsia="Calibri" w:hAnsi="Arial" w:cs="Arial"/>
          <w:b/>
          <w:color w:val="365F91"/>
        </w:rPr>
      </w:pPr>
      <w:r w:rsidRPr="00C807F6">
        <w:rPr>
          <w:rFonts w:ascii="Arial" w:eastAsia="Calibri" w:hAnsi="Arial" w:cs="Arial"/>
          <w:b/>
          <w:color w:val="365F91"/>
        </w:rPr>
        <w:t>The importance of reliability</w:t>
      </w:r>
    </w:p>
    <w:p w14:paraId="1AD39F93" w14:textId="77777777" w:rsidR="00C807F6" w:rsidRPr="00C807F6" w:rsidRDefault="00C807F6" w:rsidP="00C807F6">
      <w:pPr>
        <w:spacing w:after="120"/>
        <w:rPr>
          <w:rFonts w:ascii="Arial" w:eastAsia="Calibri" w:hAnsi="Arial" w:cs="Times New Roman"/>
        </w:rPr>
      </w:pPr>
      <w:r w:rsidRPr="00C807F6">
        <w:rPr>
          <w:rFonts w:ascii="Arial" w:eastAsia="Calibri" w:hAnsi="Arial" w:cs="Times New Roman"/>
        </w:rPr>
        <w:t xml:space="preserve">The Australian Energy Market Operator (AEMO) currently identify 7.1 gigawatts (GW) of committed new generation, of which less than 2.3 GW could be considered </w:t>
      </w:r>
      <w:proofErr w:type="spellStart"/>
      <w:r w:rsidRPr="00C807F6">
        <w:rPr>
          <w:rFonts w:ascii="Arial" w:eastAsia="Calibri" w:hAnsi="Arial" w:cs="Times New Roman"/>
        </w:rPr>
        <w:t>dispatchable</w:t>
      </w:r>
      <w:proofErr w:type="spellEnd"/>
      <w:r w:rsidRPr="00C807F6">
        <w:rPr>
          <w:rFonts w:ascii="Arial" w:eastAsia="Calibri" w:hAnsi="Arial" w:cs="Times New Roman"/>
        </w:rPr>
        <w:t>.</w:t>
      </w:r>
      <w:r w:rsidRPr="00C807F6">
        <w:rPr>
          <w:rFonts w:ascii="Arial" w:eastAsia="Calibri" w:hAnsi="Arial" w:cs="Times New Roman"/>
          <w:vertAlign w:val="superscript"/>
        </w:rPr>
        <w:footnoteReference w:id="8"/>
      </w:r>
      <w:r w:rsidRPr="00C807F6">
        <w:rPr>
          <w:rFonts w:ascii="Arial" w:eastAsia="Calibri" w:hAnsi="Arial" w:cs="Times New Roman"/>
        </w:rPr>
        <w:t xml:space="preserve"> The amount of </w:t>
      </w:r>
      <w:proofErr w:type="spellStart"/>
      <w:r w:rsidRPr="00C807F6">
        <w:rPr>
          <w:rFonts w:ascii="Arial" w:eastAsia="Calibri" w:hAnsi="Arial" w:cs="Times New Roman"/>
        </w:rPr>
        <w:t>dispatchable</w:t>
      </w:r>
      <w:proofErr w:type="spellEnd"/>
      <w:r w:rsidRPr="00C807F6">
        <w:rPr>
          <w:rFonts w:ascii="Arial" w:eastAsia="Calibri" w:hAnsi="Arial" w:cs="Times New Roman"/>
        </w:rPr>
        <w:t xml:space="preserve"> generation scheduled to retire from the NEM over the next decade is 3,087MW, equivalent to two Hazelwood power stations. This includes: 1036 MW of gas (Torrens Island A, Osbourne, Swanbank, Tamar and Mackay); and 1800 MW of coal (Liddell).</w:t>
      </w:r>
      <w:r w:rsidRPr="00C807F6">
        <w:rPr>
          <w:rFonts w:ascii="Arial" w:eastAsia="Calibri" w:hAnsi="Arial" w:cs="Times New Roman"/>
          <w:vertAlign w:val="superscript"/>
        </w:rPr>
        <w:footnoteReference w:id="9"/>
      </w:r>
      <w:r w:rsidRPr="00C807F6">
        <w:rPr>
          <w:rFonts w:ascii="Arial" w:eastAsia="Calibri" w:hAnsi="Arial" w:cs="Times New Roman"/>
          <w:sz w:val="16"/>
          <w:szCs w:val="16"/>
        </w:rPr>
        <w:t xml:space="preserve"> </w:t>
      </w:r>
      <w:r w:rsidRPr="00C807F6">
        <w:rPr>
          <w:rFonts w:ascii="Arial" w:eastAsia="Calibri" w:hAnsi="Arial" w:cs="Times New Roman"/>
        </w:rPr>
        <w:t xml:space="preserve">The proposed Snowy 2.0 project, which would add 2,000 MW of fast-start, </w:t>
      </w:r>
      <w:proofErr w:type="spellStart"/>
      <w:r w:rsidRPr="00C807F6">
        <w:rPr>
          <w:rFonts w:ascii="Arial" w:eastAsia="Calibri" w:hAnsi="Arial" w:cs="Times New Roman"/>
        </w:rPr>
        <w:t>dispatchable</w:t>
      </w:r>
      <w:proofErr w:type="spellEnd"/>
      <w:r w:rsidRPr="00C807F6">
        <w:rPr>
          <w:rFonts w:ascii="Arial" w:eastAsia="Calibri" w:hAnsi="Arial" w:cs="Times New Roman"/>
        </w:rPr>
        <w:t xml:space="preserve"> capacity, will go some way to addressing this gap and AEMO has identified 53 GW of proposed generation developments for the NEM,</w:t>
      </w:r>
      <w:r w:rsidRPr="00C807F6">
        <w:rPr>
          <w:rFonts w:ascii="Arial" w:eastAsia="Calibri" w:hAnsi="Arial" w:cs="Times New Roman"/>
          <w:vertAlign w:val="superscript"/>
        </w:rPr>
        <w:t xml:space="preserve"> </w:t>
      </w:r>
      <w:r w:rsidRPr="00C807F6">
        <w:rPr>
          <w:rFonts w:ascii="Arial" w:eastAsia="Calibri" w:hAnsi="Arial" w:cs="Times New Roman"/>
          <w:vertAlign w:val="superscript"/>
        </w:rPr>
        <w:footnoteReference w:id="10"/>
      </w:r>
      <w:r w:rsidRPr="00C807F6">
        <w:rPr>
          <w:rFonts w:ascii="Arial" w:eastAsia="Calibri" w:hAnsi="Arial" w:cs="Times New Roman"/>
        </w:rPr>
        <w:t xml:space="preserve"> but there is uncertainty as to whether the private sector will build the additional estimated generation required.</w:t>
      </w:r>
    </w:p>
    <w:p w14:paraId="439D879E" w14:textId="77777777" w:rsidR="00C807F6" w:rsidRPr="00C807F6" w:rsidRDefault="00C807F6" w:rsidP="00C807F6">
      <w:pPr>
        <w:spacing w:after="120"/>
        <w:rPr>
          <w:rFonts w:ascii="Arial" w:eastAsia="Calibri" w:hAnsi="Arial" w:cs="Times New Roman"/>
          <w:sz w:val="16"/>
          <w:szCs w:val="16"/>
        </w:rPr>
      </w:pPr>
      <w:r w:rsidRPr="00C807F6">
        <w:rPr>
          <w:rFonts w:ascii="Arial" w:eastAsia="Calibri" w:hAnsi="Arial" w:cs="Times New Roman"/>
        </w:rPr>
        <w:lastRenderedPageBreak/>
        <w:t xml:space="preserve">Given these assumed exits, and other assumptions about future demand and market conditions, AEMO estimated the NEM could need up to 1160 MW of generation with ‘firming capability’ to enter the market in the next decade if the reliability standard is to be met. The reliability standard is set at 0.002 per cent of unserved energy (USE) per financial year. </w:t>
      </w:r>
    </w:p>
    <w:p w14:paraId="0D68A19A" w14:textId="77777777" w:rsidR="00C807F6" w:rsidRPr="00C807F6" w:rsidRDefault="00C807F6" w:rsidP="00C807F6">
      <w:pPr>
        <w:spacing w:after="120"/>
        <w:rPr>
          <w:rFonts w:ascii="Arial" w:eastAsia="Calibri" w:hAnsi="Arial" w:cs="Times New Roman"/>
        </w:rPr>
      </w:pPr>
      <w:r w:rsidRPr="00C807F6">
        <w:rPr>
          <w:rFonts w:ascii="Arial" w:eastAsia="Calibri" w:hAnsi="Arial" w:cs="Times New Roman"/>
        </w:rPr>
        <w:t xml:space="preserve">Moreover, as mentioned above, much of the NEM’s </w:t>
      </w:r>
      <w:proofErr w:type="spellStart"/>
      <w:r w:rsidRPr="00C807F6">
        <w:rPr>
          <w:rFonts w:ascii="Arial" w:eastAsia="Calibri" w:hAnsi="Arial" w:cs="Times New Roman"/>
        </w:rPr>
        <w:t>dispatchable</w:t>
      </w:r>
      <w:proofErr w:type="spellEnd"/>
      <w:r w:rsidRPr="00C807F6">
        <w:rPr>
          <w:rFonts w:ascii="Arial" w:eastAsia="Calibri" w:hAnsi="Arial" w:cs="Times New Roman"/>
        </w:rPr>
        <w:t xml:space="preserve"> thermal generation fleet—coal and gas-fired generators that continue to provide the majority of electricity in the NEM—is old. The average age of coal-fired generation in 2017 was 33 years and, since 2012, the average retirement age of coal-fired generation has been 35 years.</w:t>
      </w:r>
      <w:r w:rsidRPr="00C807F6">
        <w:rPr>
          <w:rFonts w:ascii="Arial" w:eastAsia="Calibri" w:hAnsi="Arial" w:cs="Times New Roman"/>
          <w:vertAlign w:val="superscript"/>
        </w:rPr>
        <w:footnoteReference w:id="11"/>
      </w:r>
      <w:r w:rsidRPr="00C807F6">
        <w:rPr>
          <w:rFonts w:ascii="Arial" w:eastAsia="Calibri" w:hAnsi="Arial" w:cs="Times New Roman"/>
        </w:rPr>
        <w:t xml:space="preserve"> The expected retirement dates for coal generators can be found at Figure 2 above. Consequently, the retirement of further generation in the short-term cannot be ruled out. And the amount of additional generation needed in the system may be higher than that outlined by AEMO.</w:t>
      </w:r>
    </w:p>
    <w:p w14:paraId="020C4553" w14:textId="77777777" w:rsidR="00C807F6" w:rsidRPr="00C807F6" w:rsidRDefault="00C807F6" w:rsidP="00C807F6">
      <w:pPr>
        <w:spacing w:after="120"/>
        <w:rPr>
          <w:rFonts w:ascii="Arial" w:eastAsia="Calibri" w:hAnsi="Arial" w:cs="Times New Roman"/>
        </w:rPr>
      </w:pPr>
      <w:r w:rsidRPr="00C807F6">
        <w:rPr>
          <w:rFonts w:ascii="Arial" w:eastAsia="Calibri" w:hAnsi="Arial" w:cs="Times New Roman"/>
        </w:rPr>
        <w:t xml:space="preserve">There is a gap in the medium term on mechanisms to help address reliability issues. For in the short-term, reliability issues are managed through AEMO’s Reliability and Emergency Reserve Trader (RERT) provisions and the Government’s Retailer Reliability Obligation (RRO). </w:t>
      </w:r>
      <w:r w:rsidRPr="00C807F6">
        <w:rPr>
          <w:rFonts w:ascii="Arial" w:eastAsia="Calibri" w:hAnsi="Arial" w:cs="Arial"/>
        </w:rPr>
        <w:t xml:space="preserve">For </w:t>
      </w:r>
      <w:r w:rsidRPr="00C807F6">
        <w:rPr>
          <w:rFonts w:ascii="Arial" w:eastAsia="Calibri" w:hAnsi="Arial" w:cs="Times New Roman"/>
        </w:rPr>
        <w:t xml:space="preserve">the longer term, the </w:t>
      </w:r>
      <w:r w:rsidRPr="00C807F6">
        <w:rPr>
          <w:rFonts w:ascii="Arial" w:eastAsia="Calibri" w:hAnsi="Arial" w:cs="Times New Roman"/>
          <w:lang w:val="en"/>
        </w:rPr>
        <w:t>Energy Security Board (</w:t>
      </w:r>
      <w:r w:rsidRPr="00C807F6">
        <w:rPr>
          <w:rFonts w:ascii="Arial" w:eastAsia="Calibri" w:hAnsi="Arial" w:cs="Times New Roman"/>
        </w:rPr>
        <w:t xml:space="preserve">ESB) </w:t>
      </w:r>
      <w:r w:rsidRPr="00C807F6">
        <w:rPr>
          <w:rFonts w:ascii="Arial" w:eastAsia="Calibri" w:hAnsi="Arial" w:cs="Times New Roman"/>
          <w:lang w:val="en"/>
        </w:rPr>
        <w:t xml:space="preserve">been tasked with </w:t>
      </w:r>
      <w:r w:rsidRPr="00C807F6">
        <w:rPr>
          <w:rFonts w:ascii="Arial" w:eastAsia="Calibri" w:hAnsi="Arial" w:cs="Times New Roman"/>
        </w:rPr>
        <w:t>developing a fit for purpose market framework to ensure investment signals and operational approaches can maintain a reliable system in the context of technological change and uncertainty.</w:t>
      </w:r>
    </w:p>
    <w:p w14:paraId="2BCC335B" w14:textId="77777777" w:rsidR="00C807F6" w:rsidRPr="00C807F6" w:rsidRDefault="00C807F6" w:rsidP="00C807F6">
      <w:pPr>
        <w:keepNext/>
        <w:spacing w:before="200" w:after="120"/>
        <w:outlineLvl w:val="1"/>
        <w:rPr>
          <w:rFonts w:ascii="Arial" w:eastAsia="Calibri" w:hAnsi="Arial" w:cs="Arial"/>
          <w:b/>
          <w:color w:val="365F91"/>
        </w:rPr>
      </w:pPr>
      <w:r w:rsidRPr="00C807F6">
        <w:rPr>
          <w:rFonts w:ascii="Arial" w:eastAsia="Calibri" w:hAnsi="Arial" w:cs="Arial"/>
          <w:b/>
          <w:color w:val="365F91"/>
        </w:rPr>
        <w:t xml:space="preserve">Investment is needed in </w:t>
      </w:r>
      <w:proofErr w:type="spellStart"/>
      <w:r w:rsidRPr="00C807F6">
        <w:rPr>
          <w:rFonts w:ascii="Arial" w:eastAsia="Calibri" w:hAnsi="Arial" w:cs="Arial"/>
          <w:b/>
          <w:color w:val="365F91"/>
        </w:rPr>
        <w:t>dispatchable</w:t>
      </w:r>
      <w:proofErr w:type="spellEnd"/>
      <w:r w:rsidRPr="00C807F6">
        <w:rPr>
          <w:rFonts w:ascii="Arial" w:eastAsia="Calibri" w:hAnsi="Arial" w:cs="Arial"/>
          <w:b/>
          <w:color w:val="365F91"/>
        </w:rPr>
        <w:t xml:space="preserve"> generation </w:t>
      </w:r>
    </w:p>
    <w:p w14:paraId="53DAF85C" w14:textId="77777777" w:rsidR="00C807F6" w:rsidRPr="00C807F6" w:rsidRDefault="00C807F6" w:rsidP="00C807F6">
      <w:pPr>
        <w:spacing w:after="120"/>
        <w:rPr>
          <w:rFonts w:ascii="Arial" w:eastAsia="Calibri" w:hAnsi="Arial" w:cs="Times New Roman"/>
        </w:rPr>
      </w:pPr>
      <w:r w:rsidRPr="00C807F6">
        <w:rPr>
          <w:rFonts w:ascii="Arial" w:eastAsia="Calibri" w:hAnsi="Arial" w:cs="Times New Roman"/>
        </w:rPr>
        <w:t xml:space="preserve">In the NEM, generators bid their availability into the wholesale market at different price points. Generators are dispatched in order of lowest cost up to the amount required to meet demand. All generators dispatched receive the asking price of the marginal generator in that dispatch period, not according to their individual bids. </w:t>
      </w:r>
    </w:p>
    <w:p w14:paraId="1276CB26" w14:textId="77777777" w:rsidR="00C807F6" w:rsidRPr="00C807F6" w:rsidRDefault="00C807F6" w:rsidP="00C807F6">
      <w:pPr>
        <w:spacing w:after="120"/>
        <w:rPr>
          <w:rFonts w:ascii="Arial" w:eastAsia="Calibri" w:hAnsi="Arial" w:cs="Times New Roman"/>
        </w:rPr>
      </w:pPr>
      <w:r w:rsidRPr="00C807F6">
        <w:rPr>
          <w:rFonts w:ascii="Arial" w:eastAsia="Calibri" w:hAnsi="Arial" w:cs="Times New Roman"/>
        </w:rPr>
        <w:t>In the NEM, generators’ revenues are almost entirely dependent on selling the electricity they produce, through the wholesale spot and contracts markets.</w:t>
      </w:r>
      <w:r w:rsidRPr="00C807F6">
        <w:rPr>
          <w:rFonts w:ascii="Arial" w:eastAsia="Calibri" w:hAnsi="Arial" w:cs="Times New Roman"/>
          <w:vertAlign w:val="superscript"/>
        </w:rPr>
        <w:footnoteReference w:id="12"/>
      </w:r>
      <w:r w:rsidRPr="00C807F6">
        <w:rPr>
          <w:rFonts w:ascii="Arial" w:eastAsia="Calibri" w:hAnsi="Arial" w:cs="Times New Roman"/>
        </w:rPr>
        <w:t xml:space="preserve"> If a generator does not produce electricity it does not receive any revenue (with the exception of generators holding cap contracts, which are typically offered by open cycle gas generators operating as ‘peaking plants’). </w:t>
      </w:r>
    </w:p>
    <w:p w14:paraId="725C2F98" w14:textId="77777777" w:rsidR="00C807F6" w:rsidRPr="00C807F6" w:rsidRDefault="00C807F6" w:rsidP="00C807F6">
      <w:pPr>
        <w:spacing w:after="120"/>
        <w:rPr>
          <w:rFonts w:ascii="Arial" w:eastAsia="Calibri" w:hAnsi="Arial" w:cs="Times New Roman"/>
        </w:rPr>
      </w:pPr>
      <w:r w:rsidRPr="00C807F6">
        <w:rPr>
          <w:rFonts w:ascii="Arial" w:eastAsia="Calibri" w:hAnsi="Arial" w:cs="Times New Roman"/>
        </w:rPr>
        <w:t xml:space="preserve">Persistent high spot prices in the NEM would be expected to encourage new investment in generation in the market, which in turn would increase available supply and drive prices down. </w:t>
      </w:r>
    </w:p>
    <w:p w14:paraId="559ABC4D" w14:textId="77777777" w:rsidR="00C807F6" w:rsidRPr="00C807F6" w:rsidRDefault="00C807F6" w:rsidP="00C807F6">
      <w:pPr>
        <w:spacing w:after="120"/>
        <w:rPr>
          <w:rFonts w:ascii="Arial" w:eastAsia="Calibri" w:hAnsi="Arial" w:cs="Times New Roman"/>
        </w:rPr>
      </w:pPr>
      <w:r w:rsidRPr="00C807F6">
        <w:rPr>
          <w:rFonts w:ascii="Arial" w:eastAsia="Calibri" w:hAnsi="Arial" w:cs="Times New Roman"/>
        </w:rPr>
        <w:t xml:space="preserve">Consistent with this, the market has been responding to the recent high electricity spot prices by investing in generation. But the vast majority of the investment has </w:t>
      </w:r>
      <w:r w:rsidRPr="00C807F6">
        <w:rPr>
          <w:rFonts w:ascii="Arial" w:eastAsia="Calibri" w:hAnsi="Arial" w:cs="Times New Roman"/>
        </w:rPr>
        <w:lastRenderedPageBreak/>
        <w:t>been in the form of wind and solar generation. O</w:t>
      </w:r>
      <w:r w:rsidRPr="00C807F6">
        <w:rPr>
          <w:rFonts w:ascii="Arial" w:eastAsia="Calibri" w:hAnsi="Arial" w:cs="Arial"/>
        </w:rPr>
        <w:t>ver the last three years almost 5000 MW of intermittent renewable generation has come online.</w:t>
      </w:r>
      <w:r w:rsidRPr="00C807F6">
        <w:rPr>
          <w:rFonts w:ascii="Arial" w:eastAsia="Calibri" w:hAnsi="Arial" w:cs="Arial"/>
          <w:vertAlign w:val="superscript"/>
        </w:rPr>
        <w:footnoteReference w:id="13"/>
      </w:r>
    </w:p>
    <w:p w14:paraId="2C36A6F9" w14:textId="77777777" w:rsidR="00C807F6" w:rsidRPr="00C807F6" w:rsidRDefault="00C807F6" w:rsidP="00C807F6">
      <w:pPr>
        <w:rPr>
          <w:rFonts w:ascii="Arial" w:eastAsia="Calibri" w:hAnsi="Arial" w:cs="Times New Roman"/>
        </w:rPr>
      </w:pPr>
      <w:r w:rsidRPr="00C807F6">
        <w:rPr>
          <w:rFonts w:ascii="Arial" w:eastAsia="Calibri" w:hAnsi="Arial" w:cs="Times New Roman"/>
        </w:rPr>
        <w:t>AEMO’s Integrated System Plan has stated that almost 80 per cent of all currently announced, proposed, advanced or committed projects in the NEM are wind or solar generators.</w:t>
      </w:r>
      <w:r w:rsidRPr="00C807F6">
        <w:rPr>
          <w:rFonts w:ascii="Arial" w:eastAsia="Calibri" w:hAnsi="Arial" w:cs="Times New Roman"/>
          <w:vertAlign w:val="superscript"/>
        </w:rPr>
        <w:footnoteReference w:id="14"/>
      </w:r>
      <w:r w:rsidRPr="00C807F6">
        <w:rPr>
          <w:rFonts w:ascii="Arial" w:eastAsia="Calibri" w:hAnsi="Arial" w:cs="Times New Roman"/>
        </w:rPr>
        <w:t xml:space="preserve"> This has been due to a range of factors including Commonwealth and State renewable energy schemes, the rise of corporate Power Purchase Agreements (PPA) and the declining cost of variable renewable energy (VRE) technologies. </w:t>
      </w:r>
    </w:p>
    <w:p w14:paraId="47B05F7F" w14:textId="77777777" w:rsidR="00C807F6" w:rsidRPr="00C807F6" w:rsidRDefault="00C807F6" w:rsidP="00C807F6">
      <w:pPr>
        <w:rPr>
          <w:rFonts w:ascii="Arial" w:eastAsia="Calibri" w:hAnsi="Arial" w:cs="Arial"/>
          <w:lang w:val="en-GB"/>
        </w:rPr>
      </w:pPr>
      <w:r w:rsidRPr="00C807F6">
        <w:rPr>
          <w:rFonts w:ascii="Arial" w:eastAsia="Calibri" w:hAnsi="Arial" w:cs="Times New Roman"/>
          <w:lang w:val="en-GB"/>
        </w:rPr>
        <w:t xml:space="preserve">While VRE investment has grown rapidly in the NEM over recent years, the growth in </w:t>
      </w:r>
      <w:proofErr w:type="spellStart"/>
      <w:r w:rsidRPr="00C807F6">
        <w:rPr>
          <w:rFonts w:ascii="Arial" w:eastAsia="Calibri" w:hAnsi="Arial" w:cs="Times New Roman"/>
          <w:lang w:val="en-GB"/>
        </w:rPr>
        <w:t>dispatchable</w:t>
      </w:r>
      <w:proofErr w:type="spellEnd"/>
      <w:r w:rsidRPr="00C807F6">
        <w:rPr>
          <w:rFonts w:ascii="Arial" w:eastAsia="Calibri" w:hAnsi="Arial" w:cs="Times New Roman"/>
          <w:lang w:val="en-GB"/>
        </w:rPr>
        <w:t xml:space="preserve"> technologies has been largely stagnant. Most of the investment that has occurred, such as the 100 MW/129 MWh </w:t>
      </w:r>
      <w:proofErr w:type="spellStart"/>
      <w:r w:rsidRPr="00C807F6">
        <w:rPr>
          <w:rFonts w:ascii="Arial" w:eastAsia="Calibri" w:hAnsi="Arial" w:cs="Times New Roman"/>
          <w:lang w:val="en-GB"/>
        </w:rPr>
        <w:t>Hornsdale</w:t>
      </w:r>
      <w:proofErr w:type="spellEnd"/>
      <w:r w:rsidRPr="00C807F6">
        <w:rPr>
          <w:rFonts w:ascii="Arial" w:eastAsia="Calibri" w:hAnsi="Arial" w:cs="Times New Roman"/>
          <w:lang w:val="en-GB"/>
        </w:rPr>
        <w:t xml:space="preserve"> Power Reserve ‘big battery’ and 262 MW of back up diesel generation in South Australia, has benefited from government underwriting.</w:t>
      </w:r>
      <w:r w:rsidRPr="00C807F6">
        <w:rPr>
          <w:rFonts w:ascii="Arial" w:eastAsia="Calibri" w:hAnsi="Arial" w:cs="Arial"/>
        </w:rPr>
        <w:t xml:space="preserve"> One exception is AGL’s 210 MW Barker Inlet Power Station which is expected to commence operation in late 2019, replacing two of the four Torrens </w:t>
      </w:r>
      <w:proofErr w:type="gramStart"/>
      <w:r w:rsidRPr="00C807F6">
        <w:rPr>
          <w:rFonts w:ascii="Arial" w:eastAsia="Calibri" w:hAnsi="Arial" w:cs="Arial"/>
        </w:rPr>
        <w:t>A</w:t>
      </w:r>
      <w:proofErr w:type="gramEnd"/>
      <w:r w:rsidRPr="00C807F6">
        <w:rPr>
          <w:rFonts w:ascii="Arial" w:eastAsia="Calibri" w:hAnsi="Arial" w:cs="Arial"/>
        </w:rPr>
        <w:t xml:space="preserve"> turbines. The last significant large-scale firm generation built in the NEM was the 550 MW Mortlake gas power plant in 2012 in Victoria.</w:t>
      </w:r>
    </w:p>
    <w:p w14:paraId="544C5816" w14:textId="77777777" w:rsidR="00C807F6" w:rsidRPr="00C807F6" w:rsidRDefault="00C807F6" w:rsidP="00C807F6">
      <w:pPr>
        <w:rPr>
          <w:rFonts w:ascii="Calibri" w:eastAsia="Calibri" w:hAnsi="Calibri" w:cs="Calibri"/>
          <w:lang w:val="en-GB"/>
        </w:rPr>
      </w:pPr>
      <w:r w:rsidRPr="00C807F6">
        <w:rPr>
          <w:rFonts w:ascii="Arial" w:eastAsia="Calibri" w:hAnsi="Arial" w:cs="Times New Roman"/>
          <w:lang w:val="en-GB"/>
        </w:rPr>
        <w:t xml:space="preserve">The </w:t>
      </w:r>
      <w:proofErr w:type="spellStart"/>
      <w:r w:rsidRPr="00C807F6">
        <w:rPr>
          <w:rFonts w:ascii="Arial" w:eastAsia="Calibri" w:hAnsi="Arial" w:cs="Times New Roman"/>
          <w:lang w:val="en-GB"/>
        </w:rPr>
        <w:t>levelised</w:t>
      </w:r>
      <w:proofErr w:type="spellEnd"/>
      <w:r w:rsidRPr="00C807F6">
        <w:rPr>
          <w:rFonts w:ascii="Arial" w:eastAsia="Calibri" w:hAnsi="Arial" w:cs="Times New Roman"/>
          <w:lang w:val="en-GB"/>
        </w:rPr>
        <w:t xml:space="preserve"> cost of electricity (LCOE) is an effective method of calculating the average return a new facility will need to make a return on the initial investment and ongoing costs over its lifetime. The average required rate of return for variable renewables has seen a rapid decline, as technologies improve and economies of scale come to bear. This trend is projected to continue, making variable renewables some of the cheapest investment opportunities (Figure 3).</w:t>
      </w:r>
    </w:p>
    <w:p w14:paraId="0FDC32BD" w14:textId="77777777" w:rsidR="00C807F6" w:rsidRPr="00C807F6" w:rsidRDefault="00C807F6" w:rsidP="00C807F6">
      <w:pPr>
        <w:rPr>
          <w:rFonts w:ascii="Arial" w:eastAsia="Calibri" w:hAnsi="Arial" w:cs="Times New Roman"/>
          <w:lang w:val="en-GB"/>
        </w:rPr>
      </w:pPr>
      <w:r w:rsidRPr="00C807F6">
        <w:rPr>
          <w:rFonts w:ascii="Arial" w:eastAsia="Calibri" w:hAnsi="Arial" w:cs="Times New Roman"/>
          <w:lang w:val="en-GB"/>
        </w:rPr>
        <w:t xml:space="preserve">However, the LCOE calculation is not designed to consider the effect the new capacity has on the grid. </w:t>
      </w:r>
      <w:proofErr w:type="spellStart"/>
      <w:r w:rsidRPr="00C807F6">
        <w:rPr>
          <w:rFonts w:ascii="Arial" w:eastAsia="Calibri" w:hAnsi="Arial" w:cs="Times New Roman"/>
          <w:lang w:val="en-GB"/>
        </w:rPr>
        <w:t>Dispatchable</w:t>
      </w:r>
      <w:proofErr w:type="spellEnd"/>
      <w:r w:rsidRPr="00C807F6">
        <w:rPr>
          <w:rFonts w:ascii="Arial" w:eastAsia="Calibri" w:hAnsi="Arial" w:cs="Times New Roman"/>
          <w:lang w:val="en-GB"/>
        </w:rPr>
        <w:t xml:space="preserve"> generation is able to provide additional value to the grid that is not measured explicitly, and which variable renewables cannot supply. This includes frequency services, response to changes in demand or supply, and inertia services that help the management of the grid. </w:t>
      </w:r>
    </w:p>
    <w:p w14:paraId="0D9341F9" w14:textId="77777777" w:rsidR="00C807F6" w:rsidRPr="00C807F6" w:rsidRDefault="00C807F6" w:rsidP="00C807F6">
      <w:pPr>
        <w:rPr>
          <w:rFonts w:ascii="Arial" w:eastAsia="Calibri" w:hAnsi="Arial" w:cs="Times New Roman"/>
          <w:lang w:val="en-GB"/>
        </w:rPr>
      </w:pPr>
      <w:r w:rsidRPr="00C807F6">
        <w:rPr>
          <w:rFonts w:ascii="Arial" w:eastAsia="Calibri" w:hAnsi="Arial" w:cs="Times New Roman"/>
          <w:lang w:val="en-GB"/>
        </w:rPr>
        <w:t xml:space="preserve">There are currently no explicit signals in the NEM to provide </w:t>
      </w:r>
      <w:proofErr w:type="spellStart"/>
      <w:r w:rsidRPr="00C807F6">
        <w:rPr>
          <w:rFonts w:ascii="Arial" w:eastAsia="Calibri" w:hAnsi="Arial" w:cs="Times New Roman"/>
          <w:lang w:val="en-GB"/>
        </w:rPr>
        <w:t>dispatchable</w:t>
      </w:r>
      <w:proofErr w:type="spellEnd"/>
      <w:r w:rsidRPr="00C807F6">
        <w:rPr>
          <w:rFonts w:ascii="Arial" w:eastAsia="Calibri" w:hAnsi="Arial" w:cs="Times New Roman"/>
          <w:lang w:val="en-GB"/>
        </w:rPr>
        <w:t xml:space="preserve"> generation that is effective at responding to the peaks and troughs in supply which the growth in variable technologies is introducing to the grid (as opposed to explicit signals driving renewable investment through the Renewable Energy Target, and state and territory renewable energy policies).</w:t>
      </w:r>
    </w:p>
    <w:p w14:paraId="6556A19B" w14:textId="77777777" w:rsidR="00C807F6" w:rsidRPr="00C807F6" w:rsidRDefault="00C807F6" w:rsidP="00C807F6">
      <w:pPr>
        <w:keepNext/>
        <w:spacing w:after="120"/>
        <w:rPr>
          <w:rFonts w:ascii="Arial" w:eastAsia="Calibri" w:hAnsi="Arial" w:cs="Times New Roman"/>
          <w:b/>
          <w:sz w:val="20"/>
          <w:szCs w:val="20"/>
        </w:rPr>
      </w:pPr>
      <w:r w:rsidRPr="00C807F6">
        <w:rPr>
          <w:rFonts w:ascii="Arial" w:eastAsia="Calibri" w:hAnsi="Arial" w:cs="Times New Roman"/>
          <w:b/>
          <w:sz w:val="20"/>
          <w:szCs w:val="20"/>
        </w:rPr>
        <w:lastRenderedPageBreak/>
        <w:t xml:space="preserve">Figure 3: </w:t>
      </w:r>
      <w:proofErr w:type="spellStart"/>
      <w:r w:rsidRPr="00C807F6">
        <w:rPr>
          <w:rFonts w:ascii="Arial" w:eastAsia="Calibri" w:hAnsi="Arial" w:cs="Times New Roman"/>
          <w:b/>
          <w:sz w:val="20"/>
          <w:szCs w:val="20"/>
        </w:rPr>
        <w:t>Levelised</w:t>
      </w:r>
      <w:proofErr w:type="spellEnd"/>
      <w:r w:rsidRPr="00C807F6">
        <w:rPr>
          <w:rFonts w:ascii="Arial" w:eastAsia="Calibri" w:hAnsi="Arial" w:cs="Times New Roman"/>
          <w:b/>
          <w:sz w:val="20"/>
          <w:szCs w:val="20"/>
        </w:rPr>
        <w:t xml:space="preserve"> Cost of Electricity ($A2018/MWh)</w:t>
      </w:r>
    </w:p>
    <w:p w14:paraId="4782A155" w14:textId="77777777" w:rsidR="00C807F6" w:rsidRPr="00C807F6" w:rsidRDefault="00C807F6" w:rsidP="00C807F6">
      <w:pPr>
        <w:keepNext/>
        <w:rPr>
          <w:rFonts w:ascii="Arial" w:eastAsia="Calibri" w:hAnsi="Arial" w:cs="Times New Roman"/>
        </w:rPr>
      </w:pPr>
      <w:r w:rsidRPr="00C807F6">
        <w:rPr>
          <w:rFonts w:ascii="Arial" w:eastAsia="Calibri" w:hAnsi="Arial" w:cs="Times New Roman"/>
          <w:noProof/>
          <w:lang w:eastAsia="en-AU"/>
        </w:rPr>
        <w:drawing>
          <wp:inline distT="0" distB="0" distL="0" distR="0" wp14:anchorId="4E4953DC" wp14:editId="6E22FF0D">
            <wp:extent cx="5849620" cy="33127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49620" cy="3312795"/>
                    </a:xfrm>
                    <a:prstGeom prst="rect">
                      <a:avLst/>
                    </a:prstGeom>
                    <a:noFill/>
                    <a:ln>
                      <a:noFill/>
                    </a:ln>
                  </pic:spPr>
                </pic:pic>
              </a:graphicData>
            </a:graphic>
          </wp:inline>
        </w:drawing>
      </w:r>
    </w:p>
    <w:p w14:paraId="7974148A" w14:textId="77777777" w:rsidR="00C807F6" w:rsidRPr="00C807F6" w:rsidRDefault="00C807F6" w:rsidP="00C807F6">
      <w:pPr>
        <w:spacing w:after="120"/>
        <w:rPr>
          <w:rFonts w:ascii="Arial" w:eastAsia="Calibri" w:hAnsi="Arial" w:cs="Times New Roman"/>
          <w:sz w:val="20"/>
          <w:szCs w:val="20"/>
        </w:rPr>
      </w:pPr>
      <w:r w:rsidRPr="00C807F6">
        <w:rPr>
          <w:rFonts w:ascii="Arial" w:eastAsia="Calibri" w:hAnsi="Arial" w:cs="Times New Roman"/>
          <w:sz w:val="20"/>
          <w:szCs w:val="20"/>
        </w:rPr>
        <w:t>Source: CSIRO, GenCost2018, Updated projections of electricity generation technology costs</w:t>
      </w:r>
    </w:p>
    <w:p w14:paraId="7544EA17" w14:textId="77777777" w:rsidR="00C807F6" w:rsidRPr="00C807F6" w:rsidRDefault="00C807F6" w:rsidP="00C807F6">
      <w:pPr>
        <w:spacing w:after="120"/>
        <w:rPr>
          <w:rFonts w:ascii="Arial" w:eastAsia="Calibri" w:hAnsi="Arial" w:cs="Times New Roman"/>
        </w:rPr>
      </w:pPr>
      <w:r w:rsidRPr="00C807F6">
        <w:rPr>
          <w:rFonts w:ascii="Arial" w:eastAsia="Calibri" w:hAnsi="Arial" w:cs="Times New Roman"/>
        </w:rPr>
        <w:t xml:space="preserve">Sufficient firm generation sources that can operate flexibly and provide power when needed—such as gas turbines, pumped hydro and battery storage—are critical to the future reliability and price outcomes in the market, particularly as the proportion of new renewables increases. </w:t>
      </w:r>
      <w:proofErr w:type="spellStart"/>
      <w:r w:rsidRPr="00C807F6">
        <w:rPr>
          <w:rFonts w:ascii="Arial" w:eastAsia="Calibri" w:hAnsi="Arial" w:cs="Times New Roman"/>
        </w:rPr>
        <w:t>Dispatchable</w:t>
      </w:r>
      <w:proofErr w:type="spellEnd"/>
      <w:r w:rsidRPr="00C807F6">
        <w:rPr>
          <w:rFonts w:ascii="Arial" w:eastAsia="Calibri" w:hAnsi="Arial" w:cs="Times New Roman"/>
        </w:rPr>
        <w:t xml:space="preserve"> generation can provide power when intermittent generators are not producing, and importantly can offer the market firm hedge contracts which are critical for retailers and large energy users to protect them from wholesale market volatility. </w:t>
      </w:r>
    </w:p>
    <w:p w14:paraId="6FD56D36" w14:textId="77777777" w:rsidR="00C807F6" w:rsidRPr="00C807F6" w:rsidRDefault="00C807F6" w:rsidP="00C807F6">
      <w:pPr>
        <w:spacing w:after="120"/>
        <w:rPr>
          <w:rFonts w:ascii="Arial" w:eastAsia="Calibri" w:hAnsi="Arial" w:cs="Times New Roman"/>
        </w:rPr>
      </w:pPr>
      <w:r w:rsidRPr="00C807F6">
        <w:rPr>
          <w:rFonts w:ascii="Arial" w:eastAsia="Calibri" w:hAnsi="Arial" w:cs="Times New Roman"/>
        </w:rPr>
        <w:t xml:space="preserve">In relation to price effects, the ACCC noted that: </w:t>
      </w:r>
    </w:p>
    <w:p w14:paraId="69CBB05E" w14:textId="77777777" w:rsidR="00C807F6" w:rsidRPr="00C807F6" w:rsidRDefault="00C807F6" w:rsidP="00C807F6">
      <w:pPr>
        <w:spacing w:after="120"/>
        <w:rPr>
          <w:rFonts w:ascii="Arial" w:eastAsia="Calibri" w:hAnsi="Arial" w:cs="Arial"/>
        </w:rPr>
      </w:pPr>
      <w:r w:rsidRPr="00C807F6">
        <w:rPr>
          <w:rFonts w:ascii="Arial" w:eastAsia="Calibri" w:hAnsi="Arial" w:cs="Times New Roman"/>
        </w:rPr>
        <w:t>“</w:t>
      </w:r>
      <w:r w:rsidRPr="00C807F6">
        <w:rPr>
          <w:rFonts w:ascii="Arial" w:eastAsia="Calibri" w:hAnsi="Arial" w:cs="Times New Roman"/>
          <w:i/>
        </w:rPr>
        <w:t>The [price] impacts of concentration are exacerbated by the tight supply-demand balance, particularly in South Australia and Victoria. While the supply demand balance will change as the committed and proposed new generation…enters the market, in the absence of further generation coming into the market, it is likely to tighten again as we see the further retirement of coal generation over the coming years.”</w:t>
      </w:r>
      <w:r w:rsidRPr="00C807F6">
        <w:rPr>
          <w:rFonts w:ascii="Arial" w:eastAsia="Calibri" w:hAnsi="Arial" w:cs="Times New Roman"/>
          <w:i/>
          <w:vertAlign w:val="superscript"/>
        </w:rPr>
        <w:footnoteReference w:id="15"/>
      </w:r>
    </w:p>
    <w:p w14:paraId="4639FAD0" w14:textId="77777777" w:rsidR="00C807F6" w:rsidRPr="00C807F6" w:rsidRDefault="00C807F6" w:rsidP="00C807F6">
      <w:pPr>
        <w:keepNext/>
        <w:spacing w:before="200" w:after="120"/>
        <w:outlineLvl w:val="1"/>
        <w:rPr>
          <w:rFonts w:ascii="Arial" w:eastAsia="Calibri" w:hAnsi="Arial" w:cs="Arial"/>
          <w:b/>
          <w:color w:val="365F91"/>
        </w:rPr>
      </w:pPr>
      <w:r w:rsidRPr="00C807F6">
        <w:rPr>
          <w:rFonts w:ascii="Arial" w:eastAsia="Calibri" w:hAnsi="Arial" w:cs="Arial"/>
          <w:b/>
          <w:color w:val="365F91"/>
        </w:rPr>
        <w:t>Some larger customers and smaller retailers cannot access affordable generation</w:t>
      </w:r>
    </w:p>
    <w:p w14:paraId="3957D049" w14:textId="77777777" w:rsidR="00C807F6" w:rsidRPr="00C807F6" w:rsidRDefault="00C807F6" w:rsidP="00C807F6">
      <w:pPr>
        <w:spacing w:after="120"/>
        <w:rPr>
          <w:rFonts w:ascii="Arial" w:eastAsia="Calibri" w:hAnsi="Arial" w:cs="Times New Roman"/>
        </w:rPr>
      </w:pPr>
      <w:r w:rsidRPr="00C807F6">
        <w:rPr>
          <w:rFonts w:ascii="Arial" w:eastAsia="Calibri" w:hAnsi="Arial" w:cs="Times New Roman"/>
        </w:rPr>
        <w:t xml:space="preserve">The ACCC received confidential feedback from a number of market participants, including project developers and smaller retailers, that they were keen to invest in </w:t>
      </w:r>
      <w:r w:rsidRPr="00C807F6">
        <w:rPr>
          <w:rFonts w:ascii="Arial" w:eastAsia="Calibri" w:hAnsi="Arial" w:cs="Times New Roman"/>
        </w:rPr>
        <w:lastRenderedPageBreak/>
        <w:t xml:space="preserve">new generation projects but were unable to proceed due to an inability to secure project financing. A key barrier identified by the ACCC was a lack of long-term offtake agreements available to underwrite project debt. In relation to this, the ACCC noted that: </w:t>
      </w:r>
    </w:p>
    <w:p w14:paraId="78DE485F" w14:textId="77777777" w:rsidR="00C807F6" w:rsidRPr="00C807F6" w:rsidRDefault="00C807F6" w:rsidP="00C807F6">
      <w:pPr>
        <w:spacing w:after="120"/>
        <w:rPr>
          <w:rFonts w:ascii="Arial" w:eastAsia="Calibri" w:hAnsi="Arial" w:cs="Times New Roman"/>
        </w:rPr>
      </w:pPr>
      <w:r w:rsidRPr="00C807F6">
        <w:rPr>
          <w:rFonts w:ascii="Arial" w:eastAsia="Calibri" w:hAnsi="Arial" w:cs="Times New Roman"/>
          <w:i/>
        </w:rPr>
        <w:t>“New large-scale generation projects require considerable upfront investment and carry significant risk. Where such projects are proposed by new entrants without a stable long-term downstream customer base, they are unattractive for traditional financing.”</w:t>
      </w:r>
    </w:p>
    <w:p w14:paraId="028B6C23" w14:textId="77777777" w:rsidR="00C807F6" w:rsidRPr="00C807F6" w:rsidRDefault="00C807F6" w:rsidP="00C807F6">
      <w:pPr>
        <w:spacing w:after="120"/>
        <w:rPr>
          <w:rFonts w:ascii="Arial" w:eastAsia="Calibri" w:hAnsi="Arial" w:cs="Times New Roman"/>
        </w:rPr>
      </w:pPr>
      <w:r w:rsidRPr="00C807F6">
        <w:rPr>
          <w:rFonts w:ascii="Arial" w:eastAsia="Calibri" w:hAnsi="Arial" w:cs="Times New Roman"/>
        </w:rPr>
        <w:t xml:space="preserve">A </w:t>
      </w:r>
      <w:r w:rsidRPr="00C807F6" w:rsidDel="007B6A72">
        <w:rPr>
          <w:rFonts w:ascii="Arial" w:eastAsia="Calibri" w:hAnsi="Arial" w:cs="Times New Roman"/>
        </w:rPr>
        <w:t>PPA</w:t>
      </w:r>
      <w:r w:rsidRPr="00C807F6">
        <w:rPr>
          <w:rFonts w:ascii="Arial" w:eastAsia="Calibri" w:hAnsi="Arial" w:cs="Times New Roman"/>
        </w:rPr>
        <w:t xml:space="preserve"> is a contract between the generator and customer where the customer agrees to purchase a certain amount of power over a period of time for a set price.</w:t>
      </w:r>
      <w:r w:rsidRPr="00C807F6">
        <w:rPr>
          <w:rFonts w:ascii="Arial" w:eastAsia="Calibri" w:hAnsi="Arial" w:cs="Times New Roman"/>
          <w:vertAlign w:val="superscript"/>
        </w:rPr>
        <w:footnoteReference w:id="16"/>
      </w:r>
      <w:r w:rsidRPr="00C807F6">
        <w:rPr>
          <w:rFonts w:ascii="Arial" w:eastAsia="Calibri" w:hAnsi="Arial" w:cs="Times New Roman"/>
        </w:rPr>
        <w:t xml:space="preserve"> A PPA (or other forms of offtake agreement) gives new project proponents revenue stream certainty and provides the assurance that private financiers, including banks, need to underwrite an investment. </w:t>
      </w:r>
    </w:p>
    <w:p w14:paraId="39C02580" w14:textId="77777777" w:rsidR="00C807F6" w:rsidRPr="00C807F6" w:rsidRDefault="00C807F6" w:rsidP="00C807F6">
      <w:pPr>
        <w:spacing w:after="120"/>
        <w:rPr>
          <w:rFonts w:ascii="Arial" w:eastAsia="Calibri" w:hAnsi="Arial" w:cs="Times New Roman"/>
        </w:rPr>
      </w:pPr>
      <w:r w:rsidRPr="00C807F6">
        <w:rPr>
          <w:rFonts w:ascii="Arial" w:eastAsia="Calibri" w:hAnsi="Arial" w:cs="Times New Roman"/>
        </w:rPr>
        <w:t xml:space="preserve">The ACCC identified that large commercial and industrial customers are often unable or unwilling to commit to a contract term that would provide investors with adequate certainty of long-term returns. These customers are sometimes able to sign up to shorter agreements (ACCC gave the example of 5 years), but only at prices which would be insufficient to finance the generation project. </w:t>
      </w:r>
    </w:p>
    <w:p w14:paraId="1B6B6E7B" w14:textId="77777777" w:rsidR="00C807F6" w:rsidRPr="00C807F6" w:rsidRDefault="00C807F6" w:rsidP="00C807F6">
      <w:pPr>
        <w:spacing w:after="120"/>
        <w:rPr>
          <w:rFonts w:ascii="Arial" w:eastAsia="Calibri" w:hAnsi="Arial" w:cs="Times New Roman"/>
        </w:rPr>
      </w:pPr>
      <w:r w:rsidRPr="00C807F6">
        <w:rPr>
          <w:rFonts w:ascii="Arial" w:eastAsia="Calibri" w:hAnsi="Arial" w:cs="Times New Roman"/>
        </w:rPr>
        <w:t>The ACCC identified a market failure where some large industrial or manufacturing customers with high electricity needs are unable to invest in, or sponsor, low-cost sources of generation in the same way that major electricity retailers or some large corporate customers have done. As such, these customers are missing out on access to new low-cost generation in the market.</w:t>
      </w:r>
    </w:p>
    <w:p w14:paraId="037A1A09" w14:textId="77777777" w:rsidR="00C807F6" w:rsidRPr="00C807F6" w:rsidRDefault="00C807F6" w:rsidP="00C807F6">
      <w:pPr>
        <w:keepNext/>
        <w:spacing w:before="200" w:after="120"/>
        <w:outlineLvl w:val="1"/>
        <w:rPr>
          <w:rFonts w:ascii="Arial" w:eastAsia="Calibri" w:hAnsi="Arial" w:cs="Arial"/>
          <w:b/>
          <w:color w:val="365F91"/>
        </w:rPr>
      </w:pPr>
      <w:r w:rsidRPr="00C807F6">
        <w:rPr>
          <w:rFonts w:ascii="Arial" w:eastAsia="Calibri" w:hAnsi="Arial" w:cs="Arial"/>
          <w:b/>
          <w:color w:val="365F91"/>
        </w:rPr>
        <w:t>The ACCC Retail Pricing Inquiry Recommendation</w:t>
      </w:r>
    </w:p>
    <w:p w14:paraId="7E458B54" w14:textId="77777777" w:rsidR="00C807F6" w:rsidRPr="00C807F6" w:rsidRDefault="00C807F6" w:rsidP="00C807F6">
      <w:pPr>
        <w:spacing w:after="120"/>
        <w:rPr>
          <w:rFonts w:ascii="Arial" w:eastAsia="Calibri" w:hAnsi="Arial" w:cs="Times New Roman"/>
        </w:rPr>
      </w:pPr>
      <w:r w:rsidRPr="00C807F6">
        <w:rPr>
          <w:rFonts w:ascii="Arial" w:eastAsia="Calibri" w:hAnsi="Arial" w:cs="Times New Roman"/>
        </w:rPr>
        <w:t xml:space="preserve">To address the problem of some project proponents being unable to attract sufficient debt financing for new generation capacity, the ACCC recommended the Australian Government operate a program under which it underwrite new generation investments in select circumstances (Recommendation 4). The full recommendation is at figure 4 below.  </w:t>
      </w:r>
    </w:p>
    <w:p w14:paraId="4CFF2155" w14:textId="77777777" w:rsidR="00C807F6" w:rsidRPr="00C807F6" w:rsidRDefault="00C807F6" w:rsidP="00C807F6">
      <w:pPr>
        <w:spacing w:after="120"/>
        <w:rPr>
          <w:rFonts w:ascii="Arial" w:eastAsia="Calibri" w:hAnsi="Arial" w:cs="Times New Roman"/>
        </w:rPr>
      </w:pPr>
      <w:r w:rsidRPr="00C807F6">
        <w:rPr>
          <w:rFonts w:ascii="Arial" w:eastAsia="Calibri" w:hAnsi="Arial" w:cs="Times New Roman"/>
          <w:i/>
        </w:rPr>
        <w:t>“Where private sector banks are unwilling to finance projects…the ACCC considers there is a role for the Australian Government in providing support for such projects in appropriate circumstances”</w:t>
      </w:r>
      <w:r w:rsidRPr="00C807F6">
        <w:rPr>
          <w:rFonts w:ascii="Arial" w:eastAsia="Calibri" w:hAnsi="Arial" w:cs="Times New Roman"/>
          <w:i/>
          <w:vertAlign w:val="superscript"/>
        </w:rPr>
        <w:footnoteReference w:id="17"/>
      </w:r>
    </w:p>
    <w:p w14:paraId="72AE919E" w14:textId="77777777" w:rsidR="00C807F6" w:rsidRPr="00C807F6" w:rsidRDefault="00C807F6" w:rsidP="00C807F6">
      <w:pPr>
        <w:spacing w:after="120"/>
        <w:rPr>
          <w:rFonts w:ascii="Arial" w:eastAsia="Calibri" w:hAnsi="Arial" w:cs="Times New Roman"/>
        </w:rPr>
      </w:pPr>
      <w:r w:rsidRPr="00C807F6">
        <w:rPr>
          <w:rFonts w:ascii="Arial" w:eastAsia="Calibri" w:hAnsi="Arial" w:cs="Times New Roman"/>
        </w:rPr>
        <w:t xml:space="preserve">To help address the issue of market concentration, the ACCC also recommended that support under the program be limited to companies who did not have a significant market share of generation capacity in the relevant NEM region. The ACCC recommended support be provided through a mechanism to underwrite the future revenues of new generation projects for later years of operation. Proponents </w:t>
      </w:r>
      <w:r w:rsidRPr="00C807F6">
        <w:rPr>
          <w:rFonts w:ascii="Arial" w:eastAsia="Calibri" w:hAnsi="Arial" w:cs="Times New Roman"/>
        </w:rPr>
        <w:lastRenderedPageBreak/>
        <w:t>would need to have contracts with commercial and industrial customers for the first few years of operation, to demonstrate their commercial viability.</w:t>
      </w:r>
    </w:p>
    <w:p w14:paraId="2E154F23" w14:textId="77777777" w:rsidR="00C807F6" w:rsidRPr="00C807F6" w:rsidRDefault="00C807F6" w:rsidP="00C807F6">
      <w:pPr>
        <w:spacing w:after="120"/>
        <w:rPr>
          <w:rFonts w:ascii="Arial" w:eastAsia="Calibri" w:hAnsi="Arial" w:cs="Times New Roman"/>
        </w:rPr>
      </w:pPr>
      <w:r w:rsidRPr="00C807F6">
        <w:rPr>
          <w:rFonts w:ascii="Arial" w:eastAsia="Calibri" w:hAnsi="Arial" w:cs="Times New Roman"/>
        </w:rPr>
        <w:t>The ACCC considered this approach would encourage new entry, promote competition and enable commercial and industrial customers to access low-cost new generation. It noted:</w:t>
      </w:r>
    </w:p>
    <w:p w14:paraId="0289CB8F" w14:textId="77777777" w:rsidR="00C807F6" w:rsidRPr="00C807F6" w:rsidRDefault="00C807F6" w:rsidP="00C807F6">
      <w:pPr>
        <w:spacing w:after="120"/>
        <w:rPr>
          <w:rFonts w:ascii="Arial" w:eastAsia="Calibri" w:hAnsi="Arial" w:cs="Times New Roman"/>
        </w:rPr>
      </w:pPr>
      <w:r w:rsidRPr="00C807F6">
        <w:rPr>
          <w:rFonts w:ascii="Arial" w:eastAsia="Calibri" w:hAnsi="Arial" w:cs="Times New Roman"/>
          <w:i/>
        </w:rPr>
        <w:t>“The ACCC believes it is critical to ensure that challenges with project financing do not preclude large industrial and manufacturing customers from gaining access to the benefits of independent new low-cost generation in the market. As well as directly benefitting the business in question, such investments will support the development of a competitive market by introducing additional independent supply and reducing concentration”.</w:t>
      </w:r>
      <w:r w:rsidRPr="00C807F6">
        <w:rPr>
          <w:rFonts w:ascii="Arial" w:eastAsia="Calibri" w:hAnsi="Arial" w:cs="Times New Roman"/>
          <w:i/>
          <w:vertAlign w:val="superscript"/>
        </w:rPr>
        <w:footnoteReference w:id="18"/>
      </w:r>
    </w:p>
    <w:p w14:paraId="7B52D841" w14:textId="77777777" w:rsidR="00C807F6" w:rsidRPr="00C807F6" w:rsidRDefault="00C807F6" w:rsidP="00C807F6">
      <w:pPr>
        <w:keepNext/>
        <w:numPr>
          <w:ilvl w:val="0"/>
          <w:numId w:val="37"/>
        </w:numPr>
        <w:spacing w:line="240" w:lineRule="auto"/>
        <w:ind w:firstLine="0"/>
        <w:rPr>
          <w:rFonts w:ascii="Arial" w:eastAsia="Calibri" w:hAnsi="Arial" w:cs="Times New Roman"/>
          <w:b/>
          <w:iCs/>
          <w:color w:val="1F497D"/>
          <w:sz w:val="20"/>
          <w:szCs w:val="20"/>
        </w:rPr>
      </w:pPr>
      <w:r w:rsidRPr="00C807F6">
        <w:rPr>
          <w:rFonts w:ascii="Arial" w:eastAsia="Calibri" w:hAnsi="Arial" w:cs="Times New Roman"/>
          <w:b/>
          <w:iCs/>
          <w:color w:val="1F497D"/>
          <w:sz w:val="20"/>
          <w:szCs w:val="20"/>
        </w:rPr>
        <w:t>Figure 4 – ACCC Recommendation 4</w:t>
      </w:r>
    </w:p>
    <w:tbl>
      <w:tblPr>
        <w:tblStyle w:val="TableGrid10"/>
        <w:tblW w:w="0" w:type="auto"/>
        <w:tblLook w:val="04A0" w:firstRow="1" w:lastRow="0" w:firstColumn="1" w:lastColumn="0" w:noHBand="0" w:noVBand="1"/>
      </w:tblPr>
      <w:tblGrid>
        <w:gridCol w:w="8210"/>
      </w:tblGrid>
      <w:tr w:rsidR="00C807F6" w:rsidRPr="00C807F6" w14:paraId="1A0C756A" w14:textId="77777777" w:rsidTr="00C807F6">
        <w:trPr>
          <w:cnfStyle w:val="100000000000" w:firstRow="1" w:lastRow="0" w:firstColumn="0" w:lastColumn="0" w:oddVBand="0" w:evenVBand="0" w:oddHBand="0" w:evenHBand="0" w:firstRowFirstColumn="0" w:firstRowLastColumn="0" w:lastRowFirstColumn="0" w:lastRowLastColumn="0"/>
        </w:trPr>
        <w:tc>
          <w:tcPr>
            <w:tcW w:w="9202" w:type="dxa"/>
            <w:shd w:val="clear" w:color="auto" w:fill="F2F2F2"/>
          </w:tcPr>
          <w:p w14:paraId="343F355F" w14:textId="77777777" w:rsidR="00C807F6" w:rsidRPr="00C807F6" w:rsidRDefault="00C807F6" w:rsidP="00C807F6">
            <w:pPr>
              <w:rPr>
                <w:rFonts w:ascii="Arial" w:eastAsia="Calibri" w:hAnsi="Arial" w:cs="Times New Roman"/>
              </w:rPr>
            </w:pPr>
            <w:r w:rsidRPr="00C807F6">
              <w:rPr>
                <w:rFonts w:ascii="Arial" w:eastAsia="Calibri" w:hAnsi="Arial" w:cs="Times New Roman"/>
              </w:rPr>
              <w:t>The Australian Government should operate a program under which it will enter into low fixed-price (for example, $45–50/MWh) energy offtake agreements for the later years (say 6–15) of appropriate new generation projects which meet certain criteria. In doing so, project developers will be able to secure debt finance for projects where they do not have sufficient offtake commitments from [Commercial &amp; Industrial (C&amp;I)] customers for later years of projects. This will encourage new entry, promote competition and enable C&amp;I customers to access low-cost new generation.</w:t>
            </w:r>
          </w:p>
          <w:p w14:paraId="77EF3C60" w14:textId="77777777" w:rsidR="00C807F6" w:rsidRPr="00C807F6" w:rsidRDefault="00C807F6" w:rsidP="00C807F6">
            <w:pPr>
              <w:rPr>
                <w:rFonts w:ascii="Arial" w:eastAsia="Calibri" w:hAnsi="Arial" w:cs="Times New Roman"/>
              </w:rPr>
            </w:pPr>
            <w:r w:rsidRPr="00C807F6">
              <w:rPr>
                <w:rFonts w:ascii="Arial" w:eastAsia="Calibri" w:hAnsi="Arial" w:cs="Times New Roman"/>
              </w:rPr>
              <w:t>The program should operate for at least a four-year period, with support provided for qualifying projects. To qualify, a project proposal must:</w:t>
            </w:r>
          </w:p>
          <w:p w14:paraId="2FEC17ED" w14:textId="77777777" w:rsidR="00C807F6" w:rsidRPr="0052368B" w:rsidRDefault="00C807F6" w:rsidP="0052368B">
            <w:pPr>
              <w:pStyle w:val="ListParagraph"/>
              <w:numPr>
                <w:ilvl w:val="0"/>
                <w:numId w:val="37"/>
              </w:numPr>
              <w:rPr>
                <w:rFonts w:ascii="Arial" w:eastAsia="Calibri" w:hAnsi="Arial" w:cs="Times New Roman"/>
              </w:rPr>
            </w:pPr>
            <w:r w:rsidRPr="0052368B">
              <w:rPr>
                <w:rFonts w:ascii="Arial" w:eastAsia="Calibri" w:hAnsi="Arial" w:cs="Times New Roman"/>
              </w:rPr>
              <w:t>have at least three customers who have committed to acquire energy from the project for at least the first five years of operation</w:t>
            </w:r>
          </w:p>
          <w:p w14:paraId="0F5EAC0D" w14:textId="77777777" w:rsidR="00C807F6" w:rsidRPr="0052368B" w:rsidRDefault="00C807F6" w:rsidP="0052368B">
            <w:pPr>
              <w:pStyle w:val="ListParagraph"/>
              <w:numPr>
                <w:ilvl w:val="0"/>
                <w:numId w:val="37"/>
              </w:numPr>
              <w:rPr>
                <w:rFonts w:ascii="Arial" w:eastAsia="Calibri" w:hAnsi="Arial" w:cs="Times New Roman"/>
              </w:rPr>
            </w:pPr>
            <w:r w:rsidRPr="0052368B">
              <w:rPr>
                <w:rFonts w:ascii="Arial" w:eastAsia="Calibri" w:hAnsi="Arial" w:cs="Times New Roman"/>
              </w:rPr>
              <w:t>not involve any existing retail or wholesale market participant with a significant market share (say a share of 10 per cent or more in any NEM region)</w:t>
            </w:r>
          </w:p>
          <w:p w14:paraId="3DFB371B" w14:textId="77777777" w:rsidR="00C807F6" w:rsidRPr="0052368B" w:rsidRDefault="00C807F6" w:rsidP="0052368B">
            <w:pPr>
              <w:pStyle w:val="ListParagraph"/>
              <w:numPr>
                <w:ilvl w:val="0"/>
                <w:numId w:val="37"/>
              </w:numPr>
              <w:rPr>
                <w:rFonts w:ascii="Arial" w:eastAsia="Calibri" w:hAnsi="Arial" w:cs="Times New Roman"/>
              </w:rPr>
            </w:pPr>
            <w:r w:rsidRPr="0052368B">
              <w:rPr>
                <w:rFonts w:ascii="Arial" w:eastAsia="Calibri" w:hAnsi="Arial" w:cs="Times New Roman"/>
              </w:rPr>
              <w:t>be of sufficient capacity to serve the needs of a number of large customers</w:t>
            </w:r>
          </w:p>
          <w:p w14:paraId="697DCC1D" w14:textId="77777777" w:rsidR="00C807F6" w:rsidRPr="0052368B" w:rsidRDefault="00C807F6" w:rsidP="0052368B">
            <w:pPr>
              <w:pStyle w:val="ListParagraph"/>
              <w:numPr>
                <w:ilvl w:val="0"/>
                <w:numId w:val="37"/>
              </w:numPr>
              <w:rPr>
                <w:rFonts w:ascii="Arial" w:eastAsia="Calibri" w:hAnsi="Arial" w:cs="Times New Roman"/>
              </w:rPr>
            </w:pPr>
            <w:proofErr w:type="gramStart"/>
            <w:r w:rsidRPr="0052368B">
              <w:rPr>
                <w:rFonts w:ascii="Arial" w:eastAsia="Calibri" w:hAnsi="Arial" w:cs="Times New Roman"/>
              </w:rPr>
              <w:t>be</w:t>
            </w:r>
            <w:proofErr w:type="gramEnd"/>
            <w:r w:rsidRPr="0052368B">
              <w:rPr>
                <w:rFonts w:ascii="Arial" w:eastAsia="Calibri" w:hAnsi="Arial" w:cs="Times New Roman"/>
              </w:rPr>
              <w:t xml:space="preserve"> capable of providing a firm product so that it can meet the needs of C&amp;I customers.</w:t>
            </w:r>
          </w:p>
        </w:tc>
      </w:tr>
    </w:tbl>
    <w:p w14:paraId="6B01272A" w14:textId="77777777" w:rsidR="00C807F6" w:rsidRPr="00C807F6" w:rsidRDefault="00C807F6" w:rsidP="00C807F6">
      <w:pPr>
        <w:spacing w:after="120"/>
        <w:rPr>
          <w:rFonts w:ascii="Arial" w:eastAsia="Calibri" w:hAnsi="Arial" w:cs="Times New Roman"/>
        </w:rPr>
      </w:pPr>
    </w:p>
    <w:p w14:paraId="26487749" w14:textId="77777777" w:rsidR="00C807F6" w:rsidRPr="00C807F6" w:rsidRDefault="00C807F6" w:rsidP="00C807F6">
      <w:pPr>
        <w:keepNext/>
        <w:spacing w:before="200" w:after="120"/>
        <w:outlineLvl w:val="1"/>
        <w:rPr>
          <w:rFonts w:ascii="Arial" w:eastAsia="Calibri" w:hAnsi="Arial" w:cs="Arial"/>
          <w:b/>
          <w:color w:val="365F91"/>
        </w:rPr>
      </w:pPr>
      <w:r w:rsidRPr="00C807F6">
        <w:rPr>
          <w:rFonts w:ascii="Arial" w:eastAsia="Calibri" w:hAnsi="Arial" w:cs="Arial"/>
          <w:b/>
          <w:color w:val="365F91"/>
        </w:rPr>
        <w:t>The Underwriting New Generation Investments program</w:t>
      </w:r>
    </w:p>
    <w:p w14:paraId="4514FD44" w14:textId="77777777" w:rsidR="00C807F6" w:rsidRPr="00C807F6" w:rsidRDefault="00C807F6" w:rsidP="00C807F6">
      <w:pPr>
        <w:spacing w:after="120"/>
        <w:rPr>
          <w:rFonts w:ascii="Arial" w:eastAsia="Calibri" w:hAnsi="Arial" w:cs="Times New Roman"/>
        </w:rPr>
      </w:pPr>
      <w:r w:rsidRPr="00C807F6">
        <w:rPr>
          <w:rFonts w:ascii="Arial" w:eastAsia="Calibri" w:hAnsi="Arial" w:cs="Times New Roman"/>
        </w:rPr>
        <w:t xml:space="preserve">On 20 August 2018, the Government announced it supported the ACCC’s recommendation and would introduce a program to underwrite investment in new, competitive, </w:t>
      </w:r>
      <w:proofErr w:type="spellStart"/>
      <w:r w:rsidRPr="00C807F6">
        <w:rPr>
          <w:rFonts w:ascii="Arial" w:eastAsia="Calibri" w:hAnsi="Arial" w:cs="Times New Roman"/>
        </w:rPr>
        <w:t>dispatchable</w:t>
      </w:r>
      <w:proofErr w:type="spellEnd"/>
      <w:r w:rsidRPr="00C807F6">
        <w:rPr>
          <w:rFonts w:ascii="Arial" w:eastAsia="Calibri" w:hAnsi="Arial" w:cs="Times New Roman"/>
        </w:rPr>
        <w:t xml:space="preserve"> generation. The Underwriting New Generation </w:t>
      </w:r>
      <w:r w:rsidRPr="00C807F6">
        <w:rPr>
          <w:rFonts w:ascii="Arial" w:eastAsia="Calibri" w:hAnsi="Arial" w:cs="Times New Roman"/>
        </w:rPr>
        <w:lastRenderedPageBreak/>
        <w:t xml:space="preserve">Investments (UNGI) program is intended as an interim measure to reduce barriers to entry for new firm generation in the electricity generation sector in the medium-term. </w:t>
      </w:r>
    </w:p>
    <w:p w14:paraId="5144FA0F" w14:textId="77777777" w:rsidR="00C807F6" w:rsidRPr="00C807F6" w:rsidRDefault="00C807F6" w:rsidP="00C807F6">
      <w:pPr>
        <w:spacing w:after="120"/>
        <w:rPr>
          <w:rFonts w:ascii="Arial" w:eastAsia="Calibri" w:hAnsi="Arial" w:cs="Times New Roman"/>
        </w:rPr>
      </w:pPr>
      <w:r w:rsidRPr="00C807F6">
        <w:rPr>
          <w:rFonts w:ascii="Arial" w:eastAsia="Calibri" w:hAnsi="Arial" w:cs="Times New Roman"/>
        </w:rPr>
        <w:t>This, in turn, is expected to increase supply, enhance competition and reduce power prices in the wholesale electricity market. The objectives of UNGI are to enable commercial and industrial customers and smaller retailers to access low cost generation, increase competition and improve reliability and system security across the NEM. This is not specific to regions or technologies. These outcomes are anticipated to happen over the next decade as new investment brought on by the program enters the market.</w:t>
      </w:r>
    </w:p>
    <w:p w14:paraId="5E3A01EA" w14:textId="77777777" w:rsidR="00C807F6" w:rsidRPr="00C807F6" w:rsidRDefault="00C807F6" w:rsidP="00C807F6">
      <w:pPr>
        <w:keepNext/>
        <w:ind w:left="360" w:hanging="360"/>
        <w:outlineLvl w:val="0"/>
        <w:rPr>
          <w:rFonts w:ascii="Calibri" w:eastAsia="Calibri" w:hAnsi="Calibri" w:cs="Arial"/>
          <w:b/>
          <w:caps/>
          <w:color w:val="365F91"/>
          <w:sz w:val="28"/>
          <w:szCs w:val="28"/>
        </w:rPr>
      </w:pPr>
      <w:bookmarkStart w:id="3" w:name="_Toc528774699"/>
      <w:bookmarkStart w:id="4" w:name="_Toc12367646"/>
      <w:r w:rsidRPr="00C807F6">
        <w:rPr>
          <w:rFonts w:ascii="Calibri" w:eastAsia="Calibri" w:hAnsi="Calibri" w:cs="Arial"/>
          <w:b/>
          <w:caps/>
          <w:color w:val="365F91"/>
          <w:sz w:val="28"/>
          <w:szCs w:val="28"/>
        </w:rPr>
        <w:t>Case for government action / Objective of reform</w:t>
      </w:r>
      <w:bookmarkEnd w:id="3"/>
      <w:bookmarkEnd w:id="4"/>
    </w:p>
    <w:p w14:paraId="7268607F" w14:textId="77777777" w:rsidR="00C807F6" w:rsidRPr="00C807F6" w:rsidRDefault="00C807F6" w:rsidP="00C807F6">
      <w:pPr>
        <w:spacing w:after="120" w:line="288" w:lineRule="auto"/>
        <w:rPr>
          <w:rFonts w:ascii="Arial" w:eastAsia="Calibri" w:hAnsi="Arial" w:cs="Times New Roman"/>
        </w:rPr>
      </w:pPr>
      <w:r w:rsidRPr="00C807F6">
        <w:rPr>
          <w:rFonts w:ascii="Arial" w:eastAsia="Calibri" w:hAnsi="Arial" w:cs="Times New Roman"/>
        </w:rPr>
        <w:t xml:space="preserve">There are three objectives of the Underwriting New Generation Investments program. </w:t>
      </w:r>
    </w:p>
    <w:p w14:paraId="294AD6F5" w14:textId="77777777" w:rsidR="00C807F6" w:rsidRPr="00C807F6" w:rsidRDefault="00C807F6" w:rsidP="00C807F6">
      <w:pPr>
        <w:keepNext/>
        <w:spacing w:before="200" w:after="120"/>
        <w:outlineLvl w:val="1"/>
        <w:rPr>
          <w:rFonts w:ascii="Arial" w:eastAsia="Calibri" w:hAnsi="Arial" w:cs="Arial"/>
          <w:b/>
          <w:color w:val="365F91"/>
        </w:rPr>
      </w:pPr>
      <w:r w:rsidRPr="00C807F6">
        <w:rPr>
          <w:rFonts w:ascii="Arial" w:eastAsia="Calibri" w:hAnsi="Arial" w:cs="Arial"/>
          <w:b/>
          <w:color w:val="365F91"/>
        </w:rPr>
        <w:t>1. To reduce wholesale electricity prices by increasing competition and supply</w:t>
      </w:r>
    </w:p>
    <w:p w14:paraId="3725415B" w14:textId="77777777" w:rsidR="00C807F6" w:rsidRPr="00C807F6" w:rsidRDefault="00C807F6" w:rsidP="00C807F6">
      <w:pPr>
        <w:spacing w:after="120" w:line="288" w:lineRule="auto"/>
        <w:rPr>
          <w:rFonts w:ascii="Arial" w:eastAsia="Calibri" w:hAnsi="Arial" w:cs="Times New Roman"/>
        </w:rPr>
      </w:pPr>
      <w:r w:rsidRPr="00C807F6">
        <w:rPr>
          <w:rFonts w:ascii="Arial" w:eastAsia="Calibri" w:hAnsi="Arial" w:cs="Times New Roman"/>
        </w:rPr>
        <w:t xml:space="preserve">The ACCC identified that a lack of competitive pressure in the NEM is a contributing factor to recent increases in wholesale electricity prices. The inability of some generation projects to secure finance was identified as a market failure by the ACCC, creating a barrier to entry for new projects. Barriers to entry impede competition and place upward pressure on prices. </w:t>
      </w:r>
    </w:p>
    <w:p w14:paraId="2B491D6C" w14:textId="77777777" w:rsidR="00C807F6" w:rsidRPr="00C807F6" w:rsidRDefault="00C807F6" w:rsidP="00C807F6">
      <w:pPr>
        <w:keepNext/>
        <w:spacing w:before="200" w:after="120"/>
        <w:outlineLvl w:val="1"/>
        <w:rPr>
          <w:rFonts w:ascii="Arial" w:eastAsia="Calibri" w:hAnsi="Arial" w:cs="Arial"/>
          <w:b/>
          <w:color w:val="365F91"/>
        </w:rPr>
      </w:pPr>
      <w:r w:rsidRPr="00C807F6">
        <w:rPr>
          <w:rFonts w:ascii="Arial" w:eastAsia="Calibri" w:hAnsi="Arial" w:cs="Arial"/>
          <w:b/>
          <w:color w:val="365F91"/>
        </w:rPr>
        <w:t>2. To assist commercial and industrial (C&amp;I) customers and smaller retailers to access affordable energy supply arrangements</w:t>
      </w:r>
    </w:p>
    <w:p w14:paraId="2EFA7826" w14:textId="77777777" w:rsidR="00C807F6" w:rsidRPr="00C807F6" w:rsidRDefault="00C807F6" w:rsidP="00C807F6">
      <w:pPr>
        <w:spacing w:after="120" w:line="288" w:lineRule="auto"/>
        <w:rPr>
          <w:rFonts w:ascii="Arial" w:eastAsia="Calibri" w:hAnsi="Arial" w:cs="Times New Roman"/>
        </w:rPr>
      </w:pPr>
      <w:r w:rsidRPr="00C807F6">
        <w:rPr>
          <w:rFonts w:ascii="Arial" w:eastAsia="Calibri" w:hAnsi="Arial" w:cs="Times New Roman"/>
        </w:rPr>
        <w:t xml:space="preserve">Government intervention will encourage new generation capacity where there is a demonstrated short to medium term demand for that capacity. The ACCC stated that generation projects must be capable of providing a firm product to meet the needs of </w:t>
      </w:r>
      <w:proofErr w:type="gramStart"/>
      <w:r w:rsidRPr="00C807F6">
        <w:rPr>
          <w:rFonts w:ascii="Arial" w:eastAsia="Calibri" w:hAnsi="Arial" w:cs="Times New Roman"/>
        </w:rPr>
        <w:t>C&amp;I</w:t>
      </w:r>
      <w:proofErr w:type="gramEnd"/>
      <w:r w:rsidRPr="00C807F6">
        <w:rPr>
          <w:rFonts w:ascii="Arial" w:eastAsia="Calibri" w:hAnsi="Arial" w:cs="Times New Roman"/>
        </w:rPr>
        <w:t xml:space="preserve"> customers. </w:t>
      </w:r>
    </w:p>
    <w:p w14:paraId="59E02152" w14:textId="77777777" w:rsidR="00C807F6" w:rsidRPr="00C807F6" w:rsidRDefault="00C807F6" w:rsidP="00C807F6">
      <w:pPr>
        <w:spacing w:after="120" w:line="288" w:lineRule="auto"/>
        <w:rPr>
          <w:rFonts w:ascii="Arial" w:eastAsia="Calibri" w:hAnsi="Arial" w:cs="Times New Roman"/>
        </w:rPr>
      </w:pPr>
      <w:r w:rsidRPr="00C807F6">
        <w:rPr>
          <w:rFonts w:ascii="Arial" w:eastAsia="Calibri" w:hAnsi="Arial" w:cs="Times New Roman"/>
        </w:rPr>
        <w:t>Stakeholder consultation identified that some smaller retailers also struggle to access competitively priced energy supply arrangements due to the relatively small size of their customer base and uncertainty around their future requirements. The program also has potential to provide small retailers with access to cheaper electricity contracts, which will provide increased competition in the retail market.</w:t>
      </w:r>
    </w:p>
    <w:p w14:paraId="066B26A0" w14:textId="77777777" w:rsidR="00C807F6" w:rsidRPr="00C807F6" w:rsidRDefault="00C807F6" w:rsidP="00C807F6">
      <w:pPr>
        <w:keepNext/>
        <w:spacing w:before="200" w:after="120"/>
        <w:outlineLvl w:val="1"/>
        <w:rPr>
          <w:rFonts w:ascii="Arial" w:eastAsia="Calibri" w:hAnsi="Arial" w:cs="Arial"/>
          <w:b/>
          <w:color w:val="365F91"/>
        </w:rPr>
      </w:pPr>
      <w:r w:rsidRPr="00C807F6">
        <w:rPr>
          <w:rFonts w:ascii="Arial" w:eastAsia="Calibri" w:hAnsi="Arial" w:cs="Arial"/>
          <w:b/>
          <w:color w:val="365F91"/>
        </w:rPr>
        <w:t>3. To improve reliability by increasing the level of firm capacity in the system.</w:t>
      </w:r>
    </w:p>
    <w:p w14:paraId="57B587D0" w14:textId="77777777" w:rsidR="00C807F6" w:rsidRPr="00C807F6" w:rsidRDefault="00C807F6" w:rsidP="00C807F6">
      <w:pPr>
        <w:spacing w:after="120" w:line="288" w:lineRule="auto"/>
        <w:rPr>
          <w:rFonts w:ascii="Arial" w:eastAsia="Calibri" w:hAnsi="Arial" w:cs="Times New Roman"/>
        </w:rPr>
      </w:pPr>
      <w:r w:rsidRPr="00C807F6">
        <w:rPr>
          <w:rFonts w:ascii="Arial" w:eastAsia="Calibri" w:hAnsi="Arial" w:cs="Times New Roman"/>
        </w:rPr>
        <w:t xml:space="preserve">The exit of the Northern and Hazelwood power stations, in addition to the planned closure of the Liddell power station in New South Wales in 2022-23, has reduced the amount of firm or </w:t>
      </w:r>
      <w:proofErr w:type="spellStart"/>
      <w:r w:rsidRPr="00C807F6">
        <w:rPr>
          <w:rFonts w:ascii="Arial" w:eastAsia="Calibri" w:hAnsi="Arial" w:cs="Times New Roman"/>
        </w:rPr>
        <w:t>dispatchable</w:t>
      </w:r>
      <w:proofErr w:type="spellEnd"/>
      <w:r w:rsidRPr="00C807F6">
        <w:rPr>
          <w:rFonts w:ascii="Arial" w:eastAsia="Calibri" w:hAnsi="Arial" w:cs="Times New Roman"/>
        </w:rPr>
        <w:t xml:space="preserve"> capacity in the NEM relative to demand, when compared to historic levels. Further, the amount of </w:t>
      </w:r>
      <w:proofErr w:type="spellStart"/>
      <w:r w:rsidRPr="00C807F6">
        <w:rPr>
          <w:rFonts w:ascii="Arial" w:eastAsia="Calibri" w:hAnsi="Arial" w:cs="Times New Roman"/>
        </w:rPr>
        <w:t>dispatchable</w:t>
      </w:r>
      <w:proofErr w:type="spellEnd"/>
      <w:r w:rsidRPr="00C807F6">
        <w:rPr>
          <w:rFonts w:ascii="Arial" w:eastAsia="Calibri" w:hAnsi="Arial" w:cs="Times New Roman"/>
        </w:rPr>
        <w:t xml:space="preserve"> generation scheduled to retire from the NEM over the next decade is 3,087MW, equivalent to two further Hazelwood power stations.</w:t>
      </w:r>
    </w:p>
    <w:p w14:paraId="6A281F89" w14:textId="77777777" w:rsidR="00C807F6" w:rsidRPr="00C807F6" w:rsidRDefault="00C807F6" w:rsidP="00C807F6">
      <w:pPr>
        <w:spacing w:after="120" w:line="288" w:lineRule="auto"/>
        <w:rPr>
          <w:rFonts w:ascii="Arial" w:eastAsia="Calibri" w:hAnsi="Arial" w:cs="Times New Roman"/>
        </w:rPr>
      </w:pPr>
      <w:r w:rsidRPr="00C807F6">
        <w:rPr>
          <w:rFonts w:ascii="Arial" w:eastAsia="Calibri" w:hAnsi="Arial" w:cs="Times New Roman"/>
        </w:rPr>
        <w:t xml:space="preserve">Investment in new generation is occurring, but much of this new generation is in the form of variable renewables, which generate intermittently and do not provide a </w:t>
      </w:r>
      <w:r w:rsidRPr="00C807F6">
        <w:rPr>
          <w:rFonts w:ascii="Arial" w:eastAsia="Calibri" w:hAnsi="Arial" w:cs="Times New Roman"/>
        </w:rPr>
        <w:lastRenderedPageBreak/>
        <w:t xml:space="preserve">direct substitute for the </w:t>
      </w:r>
      <w:proofErr w:type="spellStart"/>
      <w:r w:rsidRPr="00C807F6">
        <w:rPr>
          <w:rFonts w:ascii="Arial" w:eastAsia="Calibri" w:hAnsi="Arial" w:cs="Times New Roman"/>
        </w:rPr>
        <w:t>dispatchable</w:t>
      </w:r>
      <w:proofErr w:type="spellEnd"/>
      <w:r w:rsidRPr="00C807F6">
        <w:rPr>
          <w:rFonts w:ascii="Arial" w:eastAsia="Calibri" w:hAnsi="Arial" w:cs="Times New Roman"/>
        </w:rPr>
        <w:t xml:space="preserve"> generation capacity that is exiting the market. The proposes Snowy 2.0 project, which would add 2,000 MW of fast-start, </w:t>
      </w:r>
      <w:proofErr w:type="spellStart"/>
      <w:r w:rsidRPr="00C807F6">
        <w:rPr>
          <w:rFonts w:ascii="Arial" w:eastAsia="Calibri" w:hAnsi="Arial" w:cs="Times New Roman"/>
        </w:rPr>
        <w:t>dispatchable</w:t>
      </w:r>
      <w:proofErr w:type="spellEnd"/>
      <w:r w:rsidRPr="00C807F6">
        <w:rPr>
          <w:rFonts w:ascii="Arial" w:eastAsia="Calibri" w:hAnsi="Arial" w:cs="Times New Roman"/>
        </w:rPr>
        <w:t xml:space="preserve"> capacity, will go some way to addressing this gap but there is uncertainty as to whether the private sector will build the additional generation required. </w:t>
      </w:r>
    </w:p>
    <w:p w14:paraId="204EB6F8" w14:textId="77777777" w:rsidR="00C807F6" w:rsidRPr="00C807F6" w:rsidRDefault="00C807F6" w:rsidP="00C807F6">
      <w:pPr>
        <w:spacing w:after="120" w:line="288" w:lineRule="auto"/>
        <w:rPr>
          <w:rFonts w:ascii="Arial" w:eastAsia="Calibri" w:hAnsi="Arial" w:cs="Times New Roman"/>
        </w:rPr>
      </w:pPr>
      <w:r w:rsidRPr="00C807F6">
        <w:rPr>
          <w:rFonts w:ascii="Arial" w:eastAsia="Calibri" w:hAnsi="Arial" w:cs="Times New Roman"/>
        </w:rPr>
        <w:t xml:space="preserve">There are existing or planned mechanisms to manage short-term reliability—ensuring there is enough generation in the market to meet demand—including the RERT and the RRO. However, supporting new </w:t>
      </w:r>
      <w:proofErr w:type="spellStart"/>
      <w:r w:rsidRPr="00C807F6">
        <w:rPr>
          <w:rFonts w:ascii="Arial" w:eastAsia="Calibri" w:hAnsi="Arial" w:cs="Times New Roman"/>
        </w:rPr>
        <w:t>dispatchable</w:t>
      </w:r>
      <w:proofErr w:type="spellEnd"/>
      <w:r w:rsidRPr="00C807F6">
        <w:rPr>
          <w:rFonts w:ascii="Arial" w:eastAsia="Calibri" w:hAnsi="Arial" w:cs="Times New Roman"/>
        </w:rPr>
        <w:t xml:space="preserve"> generation may reduce the likelihood of triggering these mechanisms, and the costs they impose. Further, intervention is needed to provide incentives which encourage new firm generation to be built, ensuring reliability for the long term. </w:t>
      </w:r>
    </w:p>
    <w:p w14:paraId="06CE06AA" w14:textId="77777777" w:rsidR="00C807F6" w:rsidRPr="00C807F6" w:rsidRDefault="00C807F6" w:rsidP="00C807F6">
      <w:pPr>
        <w:spacing w:after="120" w:line="240" w:lineRule="auto"/>
        <w:rPr>
          <w:rFonts w:ascii="Arial" w:eastAsia="Calibri" w:hAnsi="Arial" w:cs="Times New Roman"/>
        </w:rPr>
      </w:pPr>
      <w:r w:rsidRPr="00C807F6">
        <w:rPr>
          <w:rFonts w:ascii="Arial" w:eastAsia="Calibri" w:hAnsi="Arial" w:cs="Times New Roman"/>
        </w:rPr>
        <w:br w:type="page"/>
      </w:r>
    </w:p>
    <w:p w14:paraId="28E24E93" w14:textId="77777777" w:rsidR="00C807F6" w:rsidRPr="00C807F6" w:rsidRDefault="00C807F6" w:rsidP="00C807F6">
      <w:pPr>
        <w:keepNext/>
        <w:ind w:left="360" w:hanging="360"/>
        <w:outlineLvl w:val="0"/>
        <w:rPr>
          <w:rFonts w:ascii="Calibri" w:eastAsia="Calibri" w:hAnsi="Calibri" w:cs="Arial"/>
          <w:b/>
          <w:caps/>
          <w:color w:val="365F91"/>
          <w:sz w:val="28"/>
          <w:szCs w:val="28"/>
        </w:rPr>
      </w:pPr>
      <w:bookmarkStart w:id="5" w:name="_Toc528774700"/>
      <w:bookmarkStart w:id="6" w:name="_Toc12367647"/>
      <w:r w:rsidRPr="00C807F6">
        <w:rPr>
          <w:rFonts w:ascii="Calibri" w:eastAsia="Calibri" w:hAnsi="Calibri" w:cs="Arial"/>
          <w:b/>
          <w:caps/>
          <w:color w:val="365F91"/>
          <w:sz w:val="28"/>
          <w:szCs w:val="28"/>
        </w:rPr>
        <w:lastRenderedPageBreak/>
        <w:t>Policy options</w:t>
      </w:r>
      <w:bookmarkEnd w:id="5"/>
      <w:bookmarkEnd w:id="6"/>
    </w:p>
    <w:p w14:paraId="0CED1454" w14:textId="77777777" w:rsidR="00C807F6" w:rsidRPr="00C807F6" w:rsidRDefault="00C807F6" w:rsidP="00C807F6">
      <w:pPr>
        <w:keepNext/>
        <w:spacing w:before="200" w:after="120"/>
        <w:outlineLvl w:val="1"/>
        <w:rPr>
          <w:rFonts w:ascii="Arial" w:eastAsia="Calibri" w:hAnsi="Arial" w:cs="Arial"/>
          <w:b/>
          <w:color w:val="365F91"/>
        </w:rPr>
      </w:pPr>
      <w:r w:rsidRPr="00C807F6">
        <w:rPr>
          <w:rFonts w:ascii="Arial" w:eastAsia="Calibri" w:hAnsi="Arial" w:cs="Arial"/>
          <w:b/>
          <w:color w:val="365F91"/>
        </w:rPr>
        <w:t>Option 1: Do nothing</w:t>
      </w:r>
    </w:p>
    <w:p w14:paraId="7E319375" w14:textId="77777777" w:rsidR="00C807F6" w:rsidRPr="00C807F6" w:rsidRDefault="00C807F6" w:rsidP="00C807F6">
      <w:pPr>
        <w:rPr>
          <w:rFonts w:ascii="Arial" w:eastAsia="Calibri" w:hAnsi="Arial" w:cs="Arial"/>
        </w:rPr>
      </w:pPr>
      <w:r w:rsidRPr="00C807F6">
        <w:rPr>
          <w:rFonts w:ascii="Arial" w:eastAsia="Calibri" w:hAnsi="Arial" w:cs="Arial"/>
        </w:rPr>
        <w:t xml:space="preserve">Under a do nothing approach, the Government would continue to be reliant on the market to ensure that sufficient firm generation is developed by non-incumbents to meet the policy objectives. As noted, the market relies on high prices in the wholesale and contract markets to signal to investors to build new generation in the market. </w:t>
      </w:r>
    </w:p>
    <w:p w14:paraId="4EF2F181" w14:textId="77777777" w:rsidR="00C807F6" w:rsidRPr="00C807F6" w:rsidRDefault="00C807F6" w:rsidP="00C807F6">
      <w:pPr>
        <w:keepNext/>
        <w:spacing w:before="200" w:after="120"/>
        <w:outlineLvl w:val="1"/>
        <w:rPr>
          <w:rFonts w:ascii="Arial" w:eastAsia="Calibri" w:hAnsi="Arial" w:cs="Arial"/>
          <w:b/>
          <w:color w:val="365F91"/>
        </w:rPr>
      </w:pPr>
      <w:r w:rsidRPr="00C807F6">
        <w:rPr>
          <w:rFonts w:ascii="Arial" w:eastAsia="Calibri" w:hAnsi="Arial" w:cs="Arial"/>
          <w:b/>
          <w:color w:val="365F91"/>
        </w:rPr>
        <w:t>Option 2: Government funded new generation</w:t>
      </w:r>
    </w:p>
    <w:p w14:paraId="5927C165" w14:textId="77777777" w:rsidR="00C807F6" w:rsidRPr="00C807F6" w:rsidRDefault="00C807F6" w:rsidP="00C807F6">
      <w:pPr>
        <w:rPr>
          <w:rFonts w:ascii="Arial" w:eastAsia="Calibri" w:hAnsi="Arial" w:cs="Arial"/>
        </w:rPr>
      </w:pPr>
      <w:r w:rsidRPr="00C807F6">
        <w:rPr>
          <w:rFonts w:ascii="Arial" w:eastAsia="Calibri" w:hAnsi="Arial" w:cs="Arial"/>
        </w:rPr>
        <w:t xml:space="preserve">The Government could directly provide the upfront capital to build new firm generation. This could mean funding a large generator or a series of smaller generators to address shortfalls in particular regions. It may also include targeting particular technology types that are identified to be most suitable, efficient and economical for addressing the market failure identified. For example, the Government could identify the need for a new 500MW combined-cycle gas turbine gas plant in a region and provide the estimated $750 million to build the plant. </w:t>
      </w:r>
    </w:p>
    <w:p w14:paraId="6533303B" w14:textId="77777777" w:rsidR="00C807F6" w:rsidRPr="00C807F6" w:rsidRDefault="00C807F6" w:rsidP="00C807F6">
      <w:pPr>
        <w:rPr>
          <w:rFonts w:ascii="Arial" w:eastAsia="Calibri" w:hAnsi="Arial" w:cs="Arial"/>
        </w:rPr>
      </w:pPr>
      <w:r w:rsidRPr="00C807F6">
        <w:rPr>
          <w:rFonts w:ascii="Arial" w:eastAsia="Calibri" w:hAnsi="Arial" w:cs="Arial"/>
        </w:rPr>
        <w:t xml:space="preserve">This option could result in sufficient firm capacity to meet the reliability issues identified in the market being built. The Government would effectively own the gas plant and could, as owner, ensure that generation from the plant is contracted with C&amp;I customers. </w:t>
      </w:r>
    </w:p>
    <w:p w14:paraId="77CE40E4" w14:textId="77777777" w:rsidR="00C807F6" w:rsidRPr="00C807F6" w:rsidRDefault="00C807F6" w:rsidP="00C807F6">
      <w:pPr>
        <w:keepNext/>
        <w:spacing w:before="200" w:after="120"/>
        <w:outlineLvl w:val="1"/>
        <w:rPr>
          <w:rFonts w:ascii="Arial" w:eastAsia="Calibri" w:hAnsi="Arial" w:cs="Arial"/>
          <w:b/>
          <w:color w:val="365F91"/>
        </w:rPr>
      </w:pPr>
      <w:r w:rsidRPr="00C807F6">
        <w:rPr>
          <w:rFonts w:ascii="Arial" w:eastAsia="Calibri" w:hAnsi="Arial" w:cs="Arial"/>
          <w:b/>
          <w:color w:val="365F91"/>
        </w:rPr>
        <w:t>Option 3: Underwriting New Generation Investments (UNGI) program</w:t>
      </w:r>
    </w:p>
    <w:p w14:paraId="3E9C5587" w14:textId="77777777" w:rsidR="00C807F6" w:rsidRPr="00C807F6" w:rsidRDefault="00C807F6" w:rsidP="00C807F6">
      <w:pPr>
        <w:rPr>
          <w:rFonts w:ascii="Arial" w:eastAsia="Calibri" w:hAnsi="Arial" w:cs="Times New Roman"/>
        </w:rPr>
      </w:pPr>
      <w:r w:rsidRPr="00C807F6">
        <w:rPr>
          <w:rFonts w:ascii="Arial" w:eastAsia="Calibri" w:hAnsi="Arial" w:cs="Arial"/>
        </w:rPr>
        <w:t>Under an UNGI program the Government would support the development of new firm generation capacity by private entities through a range of financial mechanisms that</w:t>
      </w:r>
      <w:r w:rsidRPr="00C807F6">
        <w:rPr>
          <w:rFonts w:ascii="Arial" w:eastAsia="Calibri" w:hAnsi="Arial" w:cs="Times New Roman"/>
        </w:rPr>
        <w:t xml:space="preserve"> help to address a market failure. In this instance there is a barrier to entry for new generation due to an inability to sign up C&amp;I customers on long term contracts. </w:t>
      </w:r>
    </w:p>
    <w:p w14:paraId="0E89E8B3"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The program is intended to facilitate access to finance for projects that are otherwise economically viable but that are unable to secure the type of long-term customer offtake agreement required to underwrite debt finance. The program should not provide non-commercial projects with access to finance. </w:t>
      </w:r>
    </w:p>
    <w:p w14:paraId="5BB0C789"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Possible mechanisms that could be used by the Government under the UNGI program are outlined below. </w:t>
      </w:r>
    </w:p>
    <w:p w14:paraId="27E3A890" w14:textId="77777777" w:rsidR="00C807F6" w:rsidRPr="00C807F6" w:rsidRDefault="00C807F6" w:rsidP="00C807F6">
      <w:pPr>
        <w:keepNext/>
        <w:spacing w:before="200" w:after="120"/>
        <w:outlineLvl w:val="2"/>
        <w:rPr>
          <w:rFonts w:ascii="Arial" w:eastAsia="Calibri" w:hAnsi="Arial" w:cs="Arial"/>
          <w:b/>
          <w:i/>
        </w:rPr>
      </w:pPr>
      <w:r w:rsidRPr="00C807F6">
        <w:rPr>
          <w:rFonts w:ascii="Arial" w:eastAsia="Calibri" w:hAnsi="Arial" w:cs="Arial"/>
          <w:b/>
          <w:i/>
        </w:rPr>
        <w:t>Mechanism 1: Floor Price/Revenue Floor</w:t>
      </w:r>
    </w:p>
    <w:p w14:paraId="63C67553"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The ACCC recommended the introduction of a floor price mechanism, where there is a guaranteed minimum price that a generator will receive for any electricity generated and sold. </w:t>
      </w:r>
    </w:p>
    <w:p w14:paraId="4F8FE943" w14:textId="77777777" w:rsidR="00C807F6" w:rsidRPr="00C807F6" w:rsidRDefault="00C807F6" w:rsidP="00C807F6">
      <w:pPr>
        <w:keepNext/>
        <w:rPr>
          <w:rFonts w:ascii="Arial" w:eastAsia="Calibri" w:hAnsi="Arial" w:cs="Times New Roman"/>
          <w:i/>
          <w:iCs/>
          <w:color w:val="404040"/>
        </w:rPr>
      </w:pPr>
      <w:r w:rsidRPr="00C807F6">
        <w:rPr>
          <w:rFonts w:ascii="Arial" w:eastAsia="Calibri" w:hAnsi="Arial" w:cs="Times New Roman"/>
          <w:i/>
          <w:iCs/>
          <w:color w:val="404040"/>
        </w:rPr>
        <w:t>Price Floor</w:t>
      </w:r>
    </w:p>
    <w:p w14:paraId="5EF48FB2"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It would operate like a ‘put option’, with the Government agreeing to pay the generator the difference between an agreed price floor and the price they receive </w:t>
      </w:r>
      <w:r w:rsidRPr="00C807F6">
        <w:rPr>
          <w:rFonts w:ascii="Arial" w:eastAsia="Calibri" w:hAnsi="Arial" w:cs="Times New Roman"/>
        </w:rPr>
        <w:lastRenderedPageBreak/>
        <w:t>from selling electricity into the NEM (the settlement price) where the settlement price is lower than the price floor.</w:t>
      </w:r>
    </w:p>
    <w:p w14:paraId="67399021" w14:textId="77777777" w:rsidR="00C807F6" w:rsidRPr="00C807F6" w:rsidRDefault="00C807F6" w:rsidP="00C807F6">
      <w:pPr>
        <w:rPr>
          <w:rFonts w:ascii="Arial" w:eastAsia="Calibri" w:hAnsi="Arial" w:cs="Times New Roman"/>
        </w:rPr>
      </w:pPr>
      <w:r w:rsidRPr="00C807F6">
        <w:rPr>
          <w:rFonts w:ascii="Arial" w:eastAsia="Calibri" w:hAnsi="Arial" w:cs="Times New Roman"/>
        </w:rPr>
        <w:t>One approach would be to base the price floor on a project’s weighted average dispatch price over a defined period (such as 3, 6 or 12 months, and subject to defined trigger thresholds being met) rather than a 30 minute (or 5 minute) settlement price (the price actually received by the generator for each unit of electricity delivered to the NEM).</w:t>
      </w:r>
    </w:p>
    <w:p w14:paraId="265B347B"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Under such an approach, the Government would only make financial contributions to the proponent where the project’s average weighted dispatch price over the defined period falls below the floor price, but not for individual trading intervals which fall below the floor price. This approach would limit the financial liability to Government because it is relatively common for wholesale prices to fall to low levels in individual trading intervals (the price floor in the NEM is </w:t>
      </w:r>
      <w:r w:rsidRPr="00C807F6">
        <w:rPr>
          <w:rFonts w:ascii="Arial" w:eastAsia="Calibri" w:hAnsi="Arial" w:cs="Times New Roman"/>
        </w:rPr>
        <w:noBreakHyphen/>
        <w:t xml:space="preserve">$1,000/MWh), but far less likely that prices for a period would </w:t>
      </w:r>
      <w:r w:rsidRPr="00C807F6">
        <w:rPr>
          <w:rFonts w:ascii="Arial" w:eastAsia="Calibri" w:hAnsi="Arial" w:cs="Times New Roman"/>
          <w:i/>
        </w:rPr>
        <w:t xml:space="preserve">on average </w:t>
      </w:r>
      <w:r w:rsidRPr="00C807F6">
        <w:rPr>
          <w:rFonts w:ascii="Arial" w:eastAsia="Calibri" w:hAnsi="Arial" w:cs="Times New Roman"/>
        </w:rPr>
        <w:t xml:space="preserve">be below an expected floor price. </w:t>
      </w:r>
      <w:r w:rsidRPr="00C807F6" w:rsidDel="009C332A">
        <w:rPr>
          <w:rFonts w:ascii="Arial" w:eastAsia="Calibri" w:hAnsi="Arial" w:cs="Times New Roman"/>
        </w:rPr>
        <w:t xml:space="preserve"> </w:t>
      </w:r>
    </w:p>
    <w:p w14:paraId="13F91B24" w14:textId="77777777" w:rsidR="00C807F6" w:rsidRPr="00C807F6" w:rsidRDefault="00C807F6" w:rsidP="00C807F6">
      <w:pPr>
        <w:rPr>
          <w:rFonts w:ascii="Arial" w:eastAsia="Calibri" w:hAnsi="Arial" w:cs="Times New Roman"/>
        </w:rPr>
      </w:pPr>
      <w:r w:rsidRPr="00C807F6">
        <w:rPr>
          <w:rFonts w:ascii="Arial" w:eastAsia="Calibri" w:hAnsi="Arial" w:cs="Times New Roman"/>
        </w:rPr>
        <w:t>The Government would only cover the price difference between zero and the floor price. It would not provide payments to cover negative average prices</w:t>
      </w:r>
      <w:r w:rsidRPr="00C807F6">
        <w:rPr>
          <w:rFonts w:ascii="Arial" w:eastAsia="Calibri" w:hAnsi="Arial" w:cs="Times New Roman"/>
          <w:vertAlign w:val="superscript"/>
        </w:rPr>
        <w:footnoteReference w:id="19"/>
      </w:r>
      <w:r w:rsidRPr="00C807F6">
        <w:rPr>
          <w:rFonts w:ascii="Arial" w:eastAsia="Calibri" w:hAnsi="Arial" w:cs="Times New Roman"/>
        </w:rPr>
        <w:t>.</w:t>
      </w:r>
    </w:p>
    <w:p w14:paraId="5693005B" w14:textId="77777777" w:rsidR="00C807F6" w:rsidRPr="00C807F6" w:rsidRDefault="00C807F6" w:rsidP="00C807F6">
      <w:pPr>
        <w:rPr>
          <w:rFonts w:ascii="Arial" w:eastAsia="Calibri" w:hAnsi="Arial" w:cs="Times New Roman"/>
        </w:rPr>
      </w:pPr>
      <w:r w:rsidRPr="00C807F6">
        <w:rPr>
          <w:rFonts w:ascii="Arial" w:eastAsia="Calibri" w:hAnsi="Arial" w:cs="Times New Roman"/>
        </w:rPr>
        <w:t>The ACCC did not specify the level at which a low fixed-price floor should be set but suggested an example price floor of $45-$50/MWh. The price floor should be sufficient to ensure the project would be able to secure debt financing.</w:t>
      </w:r>
    </w:p>
    <w:p w14:paraId="60817973"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Price floors would need to be negotiated on a project-by-project basis. This creates flexibility for project specific factors such as capital costs, gearing ratios, and differences in wholesale price outcomes between regions. </w:t>
      </w:r>
    </w:p>
    <w:p w14:paraId="621D1B2C" w14:textId="77777777" w:rsidR="00C807F6" w:rsidRPr="00C807F6" w:rsidRDefault="00C807F6" w:rsidP="00C807F6">
      <w:pPr>
        <w:keepNext/>
        <w:rPr>
          <w:rFonts w:ascii="Arial" w:eastAsia="Calibri" w:hAnsi="Arial" w:cs="Times New Roman"/>
          <w:i/>
          <w:iCs/>
          <w:color w:val="404040"/>
        </w:rPr>
      </w:pPr>
      <w:r w:rsidRPr="00C807F6">
        <w:rPr>
          <w:rFonts w:ascii="Arial" w:eastAsia="Calibri" w:hAnsi="Arial" w:cs="Times New Roman"/>
          <w:i/>
          <w:iCs/>
          <w:color w:val="404040"/>
        </w:rPr>
        <w:t>Revenue Floor</w:t>
      </w:r>
    </w:p>
    <w:p w14:paraId="11A8647E"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Differing technology types also require specific methodologies to determine the appropriate underwriting amount. For example, the type of price floor described above may be appropriate for traditional baseload generators, while peaking generators, such as open-cycle gas turbines and pumped hydro are sufficiently different in their output profile and revenue model to necessitate a variation on this approach. </w:t>
      </w:r>
    </w:p>
    <w:p w14:paraId="0423F2C5"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Peaking generators generally make a significant portion of their revenue from selling cap contracts, which act as an insurance against high price events for the buyer. Peaking generators make money from charging a premium for these cap contracts, as well from the spot market when they generate electricity. </w:t>
      </w:r>
    </w:p>
    <w:p w14:paraId="72251D7F" w14:textId="77777777" w:rsidR="00C807F6" w:rsidRPr="00C807F6" w:rsidRDefault="00C807F6" w:rsidP="00C807F6">
      <w:pPr>
        <w:rPr>
          <w:rFonts w:ascii="Arial" w:eastAsia="Calibri" w:hAnsi="Arial" w:cs="Times New Roman"/>
        </w:rPr>
      </w:pPr>
      <w:r w:rsidRPr="00C807F6">
        <w:rPr>
          <w:rFonts w:ascii="Arial" w:eastAsia="Calibri" w:hAnsi="Arial" w:cs="Times New Roman"/>
        </w:rPr>
        <w:lastRenderedPageBreak/>
        <w:t xml:space="preserve">A floor price based only on average dispatch prices is not appropriate for peaking generators as this would not take into account revenue related to cap contract premium. In addition, the value of the cap contract premium is determined based on market volatility, not average prices, further reducing the appropriateness of a floor price for these generation types. </w:t>
      </w:r>
    </w:p>
    <w:p w14:paraId="14E9783E" w14:textId="77777777" w:rsidR="00C807F6" w:rsidRPr="00C807F6" w:rsidRDefault="00C807F6" w:rsidP="00C807F6">
      <w:pPr>
        <w:rPr>
          <w:rFonts w:ascii="Arial" w:eastAsia="Calibri" w:hAnsi="Arial" w:cs="Times New Roman"/>
        </w:rPr>
      </w:pPr>
      <w:r w:rsidRPr="00C807F6">
        <w:rPr>
          <w:rFonts w:ascii="Arial" w:eastAsia="Calibri" w:hAnsi="Arial" w:cs="Times New Roman"/>
        </w:rPr>
        <w:t>A price floor would also be of limited value to pumped hydro generators. Pumped hydro uses energy during low demand and lower cost periods to pump water uphill to a storage reservoir. The water is stored until needed to produce electricity during higher price periods and to defend contracts. Aside from contracts, pumped hydro generators’ revenue comes from the price differential between the price of pumping water and the price received from producing electricity (less the efficiencies lost from pumping, which are typically 23 to 35 per cent). As such, storage revenues are highly correlated with price volatility and a wholesale floor price would be of limited assistance to this generation type.</w:t>
      </w:r>
    </w:p>
    <w:p w14:paraId="5BB6939A"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A form of support more appropriate for peaking generators, including pumped hydro storage, is a revenue floor, whereby the total revenues of the generator (spot market revenues and contract market revenues) are assessed over a period (again, say 3, 6, or 12 months) to determine if project revenues are adequate to cover debt financing costs. </w:t>
      </w:r>
    </w:p>
    <w:p w14:paraId="064953D0" w14:textId="77777777" w:rsidR="00C807F6" w:rsidRPr="00C807F6" w:rsidRDefault="00C807F6" w:rsidP="00C807F6">
      <w:pPr>
        <w:keepNext/>
        <w:rPr>
          <w:rFonts w:ascii="Arial" w:eastAsia="Calibri" w:hAnsi="Arial" w:cs="Times New Roman"/>
          <w:i/>
          <w:iCs/>
          <w:color w:val="404040"/>
        </w:rPr>
      </w:pPr>
      <w:r w:rsidRPr="00C807F6">
        <w:rPr>
          <w:rFonts w:ascii="Arial" w:eastAsia="Calibri" w:hAnsi="Arial" w:cs="Times New Roman"/>
          <w:i/>
          <w:iCs/>
          <w:color w:val="404040"/>
        </w:rPr>
        <w:t>Assessment periods for price and revenue floor</w:t>
      </w:r>
    </w:p>
    <w:p w14:paraId="4621165F"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Seasonality of electricity revenues and electricity prices must be considered when determining the assessment period for each price or revenue floor agreement. This price seasonality in the NEM is most often seen over Quarter 1 where the price of electricity is often substantially higher than other quarters in the year. As such, a flat price floor settled quarterly could result in the project receiving significant market earnings over the summer quarter but top up payments from the government over the winter quarters when spot prices are lower. </w:t>
      </w:r>
    </w:p>
    <w:p w14:paraId="7E64231C" w14:textId="77777777" w:rsidR="00C807F6" w:rsidRPr="00C807F6" w:rsidRDefault="00C807F6" w:rsidP="00C807F6">
      <w:pPr>
        <w:rPr>
          <w:rFonts w:ascii="Arial" w:eastAsia="Calibri" w:hAnsi="Arial" w:cs="Times New Roman"/>
        </w:rPr>
      </w:pPr>
      <w:r w:rsidRPr="00C807F6">
        <w:rPr>
          <w:rFonts w:ascii="Arial" w:eastAsia="Calibri" w:hAnsi="Arial" w:cs="Times New Roman"/>
        </w:rPr>
        <w:t>As the underwriting is focused on supporting debt and as different projects will have different repayment arrangements, the assessment period will need to be determined on an individual project basis. However, at a minimum the assessment period would be three months and additional options to address seasonality could include:</w:t>
      </w:r>
    </w:p>
    <w:p w14:paraId="62A3D8E3" w14:textId="77777777" w:rsidR="00C807F6" w:rsidRPr="00C807F6" w:rsidRDefault="00C807F6" w:rsidP="00C807F6">
      <w:pPr>
        <w:numPr>
          <w:ilvl w:val="0"/>
          <w:numId w:val="45"/>
        </w:numPr>
        <w:rPr>
          <w:rFonts w:ascii="Arial" w:eastAsia="Calibri" w:hAnsi="Arial" w:cs="Times New Roman"/>
        </w:rPr>
      </w:pPr>
      <w:r w:rsidRPr="00C807F6">
        <w:rPr>
          <w:rFonts w:ascii="Arial" w:eastAsia="Calibri" w:hAnsi="Arial" w:cs="Times New Roman"/>
        </w:rPr>
        <w:t>Calculating settlements over a longer period of six to 12 months;</w:t>
      </w:r>
    </w:p>
    <w:p w14:paraId="42C47613" w14:textId="77777777" w:rsidR="00C807F6" w:rsidRPr="00C807F6" w:rsidRDefault="00C807F6" w:rsidP="00C807F6">
      <w:pPr>
        <w:numPr>
          <w:ilvl w:val="0"/>
          <w:numId w:val="45"/>
        </w:numPr>
        <w:rPr>
          <w:rFonts w:ascii="Arial" w:eastAsia="Calibri" w:hAnsi="Arial" w:cs="Times New Roman"/>
        </w:rPr>
      </w:pPr>
      <w:r w:rsidRPr="00C807F6">
        <w:rPr>
          <w:rFonts w:ascii="Arial" w:eastAsia="Calibri" w:hAnsi="Arial" w:cs="Times New Roman"/>
        </w:rPr>
        <w:t>Allow different strike prices or revenue floors over the four quarters;</w:t>
      </w:r>
    </w:p>
    <w:p w14:paraId="05F2892D" w14:textId="77777777" w:rsidR="00C807F6" w:rsidRPr="00C807F6" w:rsidRDefault="00C807F6" w:rsidP="00C807F6">
      <w:pPr>
        <w:numPr>
          <w:ilvl w:val="0"/>
          <w:numId w:val="45"/>
        </w:numPr>
        <w:rPr>
          <w:rFonts w:ascii="Arial" w:eastAsia="Calibri" w:hAnsi="Arial" w:cs="Times New Roman"/>
        </w:rPr>
      </w:pPr>
      <w:r w:rsidRPr="00C807F6">
        <w:rPr>
          <w:rFonts w:ascii="Arial" w:eastAsia="Calibri" w:hAnsi="Arial" w:cs="Times New Roman"/>
        </w:rPr>
        <w:t xml:space="preserve">Allowing surpluses from previous periods to be considered before a top up payment can be made. </w:t>
      </w:r>
    </w:p>
    <w:p w14:paraId="448547C2" w14:textId="77777777" w:rsidR="00C807F6" w:rsidRPr="00C807F6" w:rsidRDefault="00C807F6" w:rsidP="00C807F6">
      <w:pPr>
        <w:keepNext/>
        <w:rPr>
          <w:rFonts w:ascii="Arial" w:eastAsia="Calibri" w:hAnsi="Arial" w:cs="Times New Roman"/>
          <w:i/>
          <w:iCs/>
          <w:color w:val="404040"/>
        </w:rPr>
      </w:pPr>
      <w:r w:rsidRPr="00C807F6">
        <w:rPr>
          <w:rFonts w:ascii="Arial" w:eastAsia="Calibri" w:hAnsi="Arial" w:cs="Times New Roman"/>
          <w:i/>
          <w:iCs/>
          <w:color w:val="404040"/>
        </w:rPr>
        <w:lastRenderedPageBreak/>
        <w:t>Duration of support</w:t>
      </w:r>
    </w:p>
    <w:p w14:paraId="481EB119"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Another variable to consider in designing a price floor mechanism is to consider when the price floor should apply. The ACCC recommended that for a project to qualify for support from the Government, the project should have contracts in place with C&amp;I customers for at least the first 5 years of its operation. However, submissions received during the consultation process, as well as information provided by project proponents and financiers, suggest it may be necessary for Government support to commence prior to five years into a plant’s operational life. For example, if construction of a new gas-fired project takes 2 to 3 years, a C&amp;I customer would need to sign up for electricity 8 years in advance if the 5 year timeframe were imposed. The length of this timeframe has been noted as potentially prohibitive to new generation projects, as C&amp;I customers may be unwilling to enter into offtake agreements of this duration.  </w:t>
      </w:r>
    </w:p>
    <w:p w14:paraId="5C7CDAD5" w14:textId="77777777" w:rsidR="00C807F6" w:rsidRPr="00C807F6" w:rsidRDefault="00C807F6" w:rsidP="00C807F6">
      <w:pPr>
        <w:rPr>
          <w:rFonts w:ascii="Arial" w:eastAsia="Calibri" w:hAnsi="Arial" w:cs="Times New Roman"/>
        </w:rPr>
      </w:pPr>
      <w:r w:rsidRPr="00C807F6">
        <w:rPr>
          <w:rFonts w:ascii="Arial" w:eastAsia="Calibri" w:hAnsi="Arial" w:cs="Times New Roman"/>
        </w:rPr>
        <w:t>The ACCC also suggested the price floor could be made available for a period of ten years after the end of a project’s C&amp;I contracts. An alternative approach could be to consider different periods of support for different projects. As with negotiating price floors on a project-by-project basis, this could allow better targeting of assistance to take into account the need for specific types of generation capacity in different regions.</w:t>
      </w:r>
    </w:p>
    <w:p w14:paraId="3CE3F38C" w14:textId="77777777" w:rsidR="00C807F6" w:rsidRPr="00C807F6" w:rsidRDefault="00C807F6" w:rsidP="00C807F6">
      <w:pPr>
        <w:keepNext/>
        <w:spacing w:before="200" w:after="120"/>
        <w:outlineLvl w:val="2"/>
        <w:rPr>
          <w:rFonts w:ascii="Arial" w:eastAsia="Calibri" w:hAnsi="Arial" w:cs="Arial"/>
          <w:b/>
          <w:i/>
        </w:rPr>
      </w:pPr>
      <w:r w:rsidRPr="00C807F6">
        <w:rPr>
          <w:rFonts w:ascii="Arial" w:eastAsia="Calibri" w:hAnsi="Arial" w:cs="Arial"/>
          <w:b/>
          <w:i/>
        </w:rPr>
        <w:t>Mechanism 2: Loans</w:t>
      </w:r>
    </w:p>
    <w:p w14:paraId="1003175B"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The Government could provide loans (including on concessional terms) to project proponents in order to get a generation project up and running. </w:t>
      </w:r>
    </w:p>
    <w:p w14:paraId="61A3BB33"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Under this arrangement, the Government would provide upfront capital for projects and receive a return over a set repayment period, with terms to be agreed. </w:t>
      </w:r>
    </w:p>
    <w:p w14:paraId="615175C2"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Project proponents would still be expected to offer contracts to C&amp;I customers, but allow them to sign up to shorter term contracts than would normally be necessary to obtain private financing.  </w:t>
      </w:r>
    </w:p>
    <w:p w14:paraId="0D1F7257" w14:textId="77777777" w:rsidR="00C807F6" w:rsidRPr="00C807F6" w:rsidRDefault="00C807F6" w:rsidP="00C807F6">
      <w:pPr>
        <w:keepNext/>
        <w:spacing w:before="200" w:after="120"/>
        <w:outlineLvl w:val="2"/>
        <w:rPr>
          <w:rFonts w:ascii="Arial" w:eastAsia="Calibri" w:hAnsi="Arial" w:cs="Arial"/>
          <w:b/>
          <w:i/>
        </w:rPr>
      </w:pPr>
      <w:r w:rsidRPr="00C807F6">
        <w:rPr>
          <w:rFonts w:ascii="Arial" w:eastAsia="Calibri" w:hAnsi="Arial" w:cs="Arial"/>
          <w:b/>
          <w:i/>
        </w:rPr>
        <w:t>Mechanism 3: Small grants</w:t>
      </w:r>
    </w:p>
    <w:p w14:paraId="0A722570"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Small grants are another option that could be used to incentivise new firm generation capacity in the electricity market. Prior to the decision to build new generation, project proponents undertake feasibility studies and establish a business case to ensure an investment makes sense. Existing power stations can also undertake upgrades that deliver additional firm capacity. </w:t>
      </w:r>
    </w:p>
    <w:p w14:paraId="5812E525" w14:textId="77777777" w:rsidR="00C807F6" w:rsidRPr="00C807F6" w:rsidRDefault="00C807F6" w:rsidP="00C807F6">
      <w:pPr>
        <w:rPr>
          <w:rFonts w:ascii="Arial" w:eastAsia="Calibri" w:hAnsi="Arial" w:cs="Times New Roman"/>
        </w:rPr>
      </w:pPr>
      <w:r w:rsidRPr="00C807F6">
        <w:rPr>
          <w:rFonts w:ascii="Arial" w:eastAsia="Calibri" w:hAnsi="Arial" w:cs="Times New Roman"/>
        </w:rPr>
        <w:t>The Government could provide direct funding to firms to undertake feasibility studies or minor upgrades to their power station through a small grants program. Project proponents who fulfilled a set of criteria would be given funds to undertake their projects. The Government would monitor progress against project milestones to ensure that the project is meeting the desired outcomes of the small grants program.</w:t>
      </w:r>
    </w:p>
    <w:p w14:paraId="67EDA3C4" w14:textId="77777777" w:rsidR="00C807F6" w:rsidRPr="00C807F6" w:rsidRDefault="00C807F6" w:rsidP="00C807F6">
      <w:pPr>
        <w:keepNext/>
        <w:spacing w:before="200" w:after="120"/>
        <w:outlineLvl w:val="2"/>
        <w:rPr>
          <w:rFonts w:ascii="Arial" w:eastAsia="Calibri" w:hAnsi="Arial" w:cs="Arial"/>
          <w:b/>
          <w:i/>
        </w:rPr>
      </w:pPr>
      <w:r w:rsidRPr="00C807F6">
        <w:rPr>
          <w:rFonts w:ascii="Arial" w:eastAsia="Calibri" w:hAnsi="Arial" w:cs="Arial"/>
          <w:b/>
          <w:i/>
        </w:rPr>
        <w:lastRenderedPageBreak/>
        <w:t>Mechanism 4: Cap and floor (collar) contracts</w:t>
      </w:r>
    </w:p>
    <w:p w14:paraId="22B0828D" w14:textId="77777777" w:rsidR="00C807F6" w:rsidRPr="00C807F6" w:rsidRDefault="00C807F6" w:rsidP="00C807F6">
      <w:pPr>
        <w:rPr>
          <w:rFonts w:ascii="Arial" w:eastAsia="Calibri" w:hAnsi="Arial" w:cs="Times New Roman"/>
        </w:rPr>
      </w:pPr>
      <w:r w:rsidRPr="00C807F6">
        <w:rPr>
          <w:rFonts w:ascii="Arial" w:eastAsia="Calibri" w:hAnsi="Arial" w:cs="Times New Roman"/>
        </w:rPr>
        <w:t>An alternative to a floor price would be to use a collar contract where both a floor price and cap price would be enacted. Similar to the floor price contract, the Government would pay the project the difference when the spot price is below the floor price, but not below zero prices. However, if the spot price exceeded the cap price set, the project would pay the difference between the spot price and the cap to the Government. The project proponent would keep the gains between the floor and cap prices.</w:t>
      </w:r>
    </w:p>
    <w:p w14:paraId="688D27B9"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Under this mechanism, the Government would bear the risk that prices may fall below the price floor, but would also benefit when prices exceed the price cap. Because there are two variables—the floor and the cap—a collar contract is more complex to set than a floor contract. In addition to the specifics of the actual project, both the floor and cap prices will depend on where the other is set. </w:t>
      </w:r>
    </w:p>
    <w:p w14:paraId="0A39CF82"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Similar to the floor price, a project proponent would need to have engaged with potential customers, demonstrating the project is economically viable. This would incentivise project proponents to contract with </w:t>
      </w:r>
      <w:proofErr w:type="gramStart"/>
      <w:r w:rsidRPr="00C807F6">
        <w:rPr>
          <w:rFonts w:ascii="Arial" w:eastAsia="Calibri" w:hAnsi="Arial" w:cs="Times New Roman"/>
        </w:rPr>
        <w:t>C&amp;I</w:t>
      </w:r>
      <w:proofErr w:type="gramEnd"/>
      <w:r w:rsidRPr="00C807F6">
        <w:rPr>
          <w:rFonts w:ascii="Arial" w:eastAsia="Calibri" w:hAnsi="Arial" w:cs="Times New Roman"/>
        </w:rPr>
        <w:t xml:space="preserve"> customers and/or small retailers to meet the objectives of the reform.</w:t>
      </w:r>
    </w:p>
    <w:p w14:paraId="66DA65E5" w14:textId="77777777" w:rsidR="00C807F6" w:rsidRPr="00C807F6" w:rsidRDefault="00C807F6" w:rsidP="00C807F6">
      <w:pPr>
        <w:keepNext/>
        <w:spacing w:before="200" w:after="120"/>
        <w:outlineLvl w:val="2"/>
        <w:rPr>
          <w:rFonts w:ascii="Arial" w:eastAsia="Calibri" w:hAnsi="Arial" w:cs="Arial"/>
          <w:b/>
          <w:i/>
        </w:rPr>
      </w:pPr>
      <w:r w:rsidRPr="00C807F6">
        <w:rPr>
          <w:rFonts w:ascii="Arial" w:eastAsia="Calibri" w:hAnsi="Arial" w:cs="Arial"/>
          <w:b/>
          <w:i/>
        </w:rPr>
        <w:t>Mechanism 5: Contracts for difference</w:t>
      </w:r>
    </w:p>
    <w:p w14:paraId="638400D2" w14:textId="77777777" w:rsidR="00C807F6" w:rsidRPr="00C807F6" w:rsidRDefault="00C807F6" w:rsidP="00C807F6">
      <w:pPr>
        <w:rPr>
          <w:rFonts w:ascii="Arial" w:eastAsia="Calibri" w:hAnsi="Arial" w:cs="Times New Roman"/>
        </w:rPr>
      </w:pPr>
      <w:r w:rsidRPr="00C807F6">
        <w:rPr>
          <w:rFonts w:ascii="Arial" w:eastAsia="Calibri" w:hAnsi="Arial" w:cs="Times New Roman"/>
        </w:rPr>
        <w:t>A number of governments use contracts-for-difference (</w:t>
      </w:r>
      <w:proofErr w:type="spellStart"/>
      <w:r w:rsidRPr="00C807F6">
        <w:rPr>
          <w:rFonts w:ascii="Arial" w:eastAsia="Calibri" w:hAnsi="Arial" w:cs="Times New Roman"/>
        </w:rPr>
        <w:t>CfD</w:t>
      </w:r>
      <w:proofErr w:type="spellEnd"/>
      <w:r w:rsidRPr="00C807F6">
        <w:rPr>
          <w:rFonts w:ascii="Arial" w:eastAsia="Calibri" w:hAnsi="Arial" w:cs="Times New Roman"/>
        </w:rPr>
        <w:t>) to help finance renewable projects in Australia.</w:t>
      </w:r>
      <w:r w:rsidRPr="00C807F6">
        <w:rPr>
          <w:rFonts w:ascii="Arial" w:eastAsia="Calibri" w:hAnsi="Arial" w:cs="Times New Roman"/>
          <w:vertAlign w:val="superscript"/>
        </w:rPr>
        <w:footnoteReference w:id="20"/>
      </w:r>
      <w:r w:rsidRPr="00C807F6">
        <w:rPr>
          <w:rFonts w:ascii="Arial" w:eastAsia="Calibri" w:hAnsi="Arial" w:cs="Times New Roman"/>
        </w:rPr>
        <w:t xml:space="preserve"> Under a </w:t>
      </w:r>
      <w:proofErr w:type="spellStart"/>
      <w:r w:rsidRPr="00C807F6">
        <w:rPr>
          <w:rFonts w:ascii="Arial" w:eastAsia="Calibri" w:hAnsi="Arial" w:cs="Times New Roman"/>
        </w:rPr>
        <w:t>CfD</w:t>
      </w:r>
      <w:proofErr w:type="spellEnd"/>
      <w:r w:rsidRPr="00C807F6">
        <w:rPr>
          <w:rFonts w:ascii="Arial" w:eastAsia="Calibri" w:hAnsi="Arial" w:cs="Times New Roman"/>
        </w:rPr>
        <w:t xml:space="preserve">, the government agrees a strike price with the project proponent. The project then sells the electricity into the wholesale market. When the wholesale spot price is below the strike price, the government pays the project the difference. When the wholesale spot price is above the strike price, the project proponent pays the government the difference. </w:t>
      </w:r>
    </w:p>
    <w:p w14:paraId="5A205114" w14:textId="77777777" w:rsidR="00C807F6" w:rsidRPr="00C807F6" w:rsidRDefault="00C807F6" w:rsidP="00C807F6">
      <w:pPr>
        <w:rPr>
          <w:rFonts w:ascii="Arial" w:eastAsia="Calibri" w:hAnsi="Arial" w:cs="Times New Roman"/>
        </w:rPr>
      </w:pPr>
      <w:r w:rsidRPr="00C807F6">
        <w:rPr>
          <w:rFonts w:ascii="Arial" w:eastAsia="Calibri" w:hAnsi="Arial" w:cs="Times New Roman"/>
        </w:rPr>
        <w:t>To ensure the program only targets firm generation, the strike price may be on the basis of:</w:t>
      </w:r>
    </w:p>
    <w:p w14:paraId="24D34F79" w14:textId="77777777" w:rsidR="00C807F6" w:rsidRPr="00C807F6" w:rsidRDefault="00C807F6" w:rsidP="00C807F6">
      <w:pPr>
        <w:numPr>
          <w:ilvl w:val="0"/>
          <w:numId w:val="35"/>
        </w:numPr>
        <w:rPr>
          <w:rFonts w:ascii="Arial" w:eastAsia="Calibri" w:hAnsi="Arial" w:cs="Times New Roman"/>
        </w:rPr>
      </w:pPr>
      <w:r w:rsidRPr="00C807F6">
        <w:rPr>
          <w:rFonts w:ascii="Arial" w:eastAsia="Calibri" w:hAnsi="Arial" w:cs="Times New Roman"/>
        </w:rPr>
        <w:t>a pre-specified and fixed volume of output, akin to existing ‘flat’ baseload swaps, or</w:t>
      </w:r>
    </w:p>
    <w:p w14:paraId="599C9B50" w14:textId="77777777" w:rsidR="00C807F6" w:rsidRPr="00C807F6" w:rsidRDefault="00C807F6" w:rsidP="00C807F6">
      <w:pPr>
        <w:numPr>
          <w:ilvl w:val="0"/>
          <w:numId w:val="35"/>
        </w:numPr>
        <w:rPr>
          <w:rFonts w:ascii="Arial" w:eastAsia="Calibri" w:hAnsi="Arial" w:cs="Times New Roman"/>
        </w:rPr>
      </w:pPr>
      <w:proofErr w:type="gramStart"/>
      <w:r w:rsidRPr="00C807F6">
        <w:rPr>
          <w:rFonts w:ascii="Arial" w:eastAsia="Calibri" w:hAnsi="Arial" w:cs="Times New Roman"/>
        </w:rPr>
        <w:t>a</w:t>
      </w:r>
      <w:proofErr w:type="gramEnd"/>
      <w:r w:rsidRPr="00C807F6">
        <w:rPr>
          <w:rFonts w:ascii="Arial" w:eastAsia="Calibri" w:hAnsi="Arial" w:cs="Times New Roman"/>
        </w:rPr>
        <w:t xml:space="preserve"> particular load profile, akin to existing ‘load following’ hedges.</w:t>
      </w:r>
    </w:p>
    <w:p w14:paraId="67FF3B67"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A </w:t>
      </w:r>
      <w:proofErr w:type="spellStart"/>
      <w:r w:rsidRPr="00C807F6">
        <w:rPr>
          <w:rFonts w:ascii="Arial" w:eastAsia="Calibri" w:hAnsi="Arial" w:cs="Times New Roman"/>
        </w:rPr>
        <w:t>CfD</w:t>
      </w:r>
      <w:proofErr w:type="spellEnd"/>
      <w:r w:rsidRPr="00C807F6">
        <w:rPr>
          <w:rFonts w:ascii="Arial" w:eastAsia="Calibri" w:hAnsi="Arial" w:cs="Times New Roman"/>
        </w:rPr>
        <w:t xml:space="preserve"> provides revenue certainty to the project proponent in that they are guaranteed a set price for the electricity that they sell. The Government takes all the market risks (and benefits). The strike price and length of the contract would be dependent on the specific needs of the generation project. </w:t>
      </w:r>
    </w:p>
    <w:p w14:paraId="4596DB79" w14:textId="77777777" w:rsidR="00C807F6" w:rsidRPr="00C807F6" w:rsidRDefault="00C807F6" w:rsidP="00C807F6">
      <w:pPr>
        <w:rPr>
          <w:rFonts w:ascii="Arial" w:eastAsia="Calibri" w:hAnsi="Arial" w:cs="Times New Roman"/>
        </w:rPr>
      </w:pPr>
      <w:r w:rsidRPr="00C807F6">
        <w:rPr>
          <w:rFonts w:ascii="Arial" w:eastAsia="Calibri" w:hAnsi="Arial" w:cs="Times New Roman"/>
        </w:rPr>
        <w:lastRenderedPageBreak/>
        <w:t xml:space="preserve">To incentivise contracting with </w:t>
      </w:r>
      <w:proofErr w:type="gramStart"/>
      <w:r w:rsidRPr="00C807F6">
        <w:rPr>
          <w:rFonts w:ascii="Arial" w:eastAsia="Calibri" w:hAnsi="Arial" w:cs="Times New Roman"/>
        </w:rPr>
        <w:t>C&amp;I</w:t>
      </w:r>
      <w:proofErr w:type="gramEnd"/>
      <w:r w:rsidRPr="00C807F6">
        <w:rPr>
          <w:rFonts w:ascii="Arial" w:eastAsia="Calibri" w:hAnsi="Arial" w:cs="Times New Roman"/>
        </w:rPr>
        <w:t xml:space="preserve"> customers and/or small retailers, the project proponent would be required to have contracts for at least three years prior to the contract with the government commencing.  </w:t>
      </w:r>
    </w:p>
    <w:p w14:paraId="476E90DD" w14:textId="77777777" w:rsidR="00C807F6" w:rsidRPr="00C807F6" w:rsidRDefault="00C807F6" w:rsidP="00C807F6">
      <w:pPr>
        <w:keepNext/>
        <w:spacing w:before="200" w:after="120"/>
        <w:outlineLvl w:val="2"/>
        <w:rPr>
          <w:rFonts w:ascii="Arial" w:eastAsia="Calibri" w:hAnsi="Arial" w:cs="Arial"/>
          <w:b/>
          <w:i/>
        </w:rPr>
      </w:pPr>
      <w:r w:rsidRPr="00C807F6">
        <w:rPr>
          <w:rFonts w:ascii="Arial" w:eastAsia="Calibri" w:hAnsi="Arial" w:cs="Arial"/>
          <w:b/>
          <w:i/>
        </w:rPr>
        <w:t>Mechanism 6: Capacity payments</w:t>
      </w:r>
    </w:p>
    <w:p w14:paraId="77B85B4E"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The government could support new generation projects by providing capacity payments for the availability of firm generation. A number of electricity markets have capacity markets, including in Western Australia. In markets with a capacity market, generators receive payments to ensure capacity is available. Generators then receive additional revenue for the electricity that they sell. </w:t>
      </w:r>
    </w:p>
    <w:p w14:paraId="7693A430"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Under this option, the Government would provide a direct payment to new projects for each megawatt of firm capacity available. The mechanism could stipulate that the generator must be available for dispatch at peak times—for example, over the summer period. The generator effectively receives a payment every year if it agrees to be available over the peak period. </w:t>
      </w:r>
    </w:p>
    <w:p w14:paraId="190EB229"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The generator would also receive revenue from selling its electricity. </w:t>
      </w:r>
    </w:p>
    <w:p w14:paraId="63D597F3" w14:textId="77777777" w:rsidR="00C807F6" w:rsidRPr="00C807F6" w:rsidRDefault="00C807F6" w:rsidP="00C807F6">
      <w:pPr>
        <w:spacing w:after="0" w:line="240" w:lineRule="auto"/>
        <w:rPr>
          <w:rFonts w:ascii="Arial" w:eastAsia="Calibri" w:hAnsi="Arial" w:cs="Times New Roman"/>
        </w:rPr>
      </w:pPr>
      <w:r w:rsidRPr="00C807F6">
        <w:rPr>
          <w:rFonts w:ascii="Arial" w:eastAsia="Calibri" w:hAnsi="Arial" w:cs="Times New Roman"/>
        </w:rPr>
        <w:br w:type="page"/>
      </w:r>
    </w:p>
    <w:p w14:paraId="143322F1" w14:textId="77777777" w:rsidR="00C807F6" w:rsidRPr="00C807F6" w:rsidRDefault="00C807F6" w:rsidP="00C807F6">
      <w:pPr>
        <w:keepNext/>
        <w:ind w:left="360" w:hanging="360"/>
        <w:outlineLvl w:val="0"/>
        <w:rPr>
          <w:rFonts w:ascii="Calibri" w:eastAsia="Calibri" w:hAnsi="Calibri" w:cs="Arial"/>
          <w:b/>
          <w:caps/>
          <w:color w:val="365F91"/>
          <w:sz w:val="28"/>
          <w:szCs w:val="28"/>
        </w:rPr>
      </w:pPr>
      <w:bookmarkStart w:id="7" w:name="_Toc528774701"/>
      <w:bookmarkStart w:id="8" w:name="_Ref535333046"/>
      <w:bookmarkStart w:id="9" w:name="_Ref535333052"/>
      <w:bookmarkStart w:id="10" w:name="_Ref535333057"/>
      <w:bookmarkStart w:id="11" w:name="_Ref535333389"/>
      <w:bookmarkStart w:id="12" w:name="_Toc12367648"/>
      <w:r w:rsidRPr="00C807F6">
        <w:rPr>
          <w:rFonts w:ascii="Calibri" w:eastAsia="Calibri" w:hAnsi="Calibri" w:cs="Arial"/>
          <w:b/>
          <w:caps/>
          <w:color w:val="365F91"/>
          <w:sz w:val="28"/>
          <w:szCs w:val="28"/>
        </w:rPr>
        <w:lastRenderedPageBreak/>
        <w:t>Impact analysis</w:t>
      </w:r>
      <w:bookmarkEnd w:id="7"/>
      <w:bookmarkEnd w:id="8"/>
      <w:bookmarkEnd w:id="9"/>
      <w:bookmarkEnd w:id="10"/>
      <w:bookmarkEnd w:id="11"/>
      <w:bookmarkEnd w:id="12"/>
    </w:p>
    <w:p w14:paraId="08D02CFA" w14:textId="77777777" w:rsidR="00C807F6" w:rsidRPr="00C807F6" w:rsidRDefault="00C807F6" w:rsidP="00C807F6">
      <w:pPr>
        <w:keepNext/>
        <w:spacing w:before="200" w:after="120"/>
        <w:outlineLvl w:val="1"/>
        <w:rPr>
          <w:rFonts w:ascii="Arial" w:eastAsia="Calibri" w:hAnsi="Arial" w:cs="Arial"/>
          <w:b/>
          <w:color w:val="365F91"/>
        </w:rPr>
      </w:pPr>
      <w:r w:rsidRPr="00C807F6">
        <w:rPr>
          <w:rFonts w:ascii="Arial" w:eastAsia="Calibri" w:hAnsi="Arial" w:cs="Arial"/>
          <w:b/>
          <w:color w:val="365F91"/>
        </w:rPr>
        <w:t>Option 1: Do nothing</w:t>
      </w:r>
    </w:p>
    <w:p w14:paraId="355A39DA" w14:textId="77777777" w:rsidR="00C807F6" w:rsidRPr="00C807F6" w:rsidRDefault="00C807F6" w:rsidP="00C807F6">
      <w:pPr>
        <w:rPr>
          <w:rFonts w:ascii="Arial" w:eastAsia="Calibri" w:hAnsi="Arial" w:cs="Arial"/>
        </w:rPr>
      </w:pPr>
      <w:r w:rsidRPr="00C807F6">
        <w:rPr>
          <w:rFonts w:ascii="Arial" w:eastAsia="Calibri" w:hAnsi="Arial" w:cs="Arial"/>
        </w:rPr>
        <w:t xml:space="preserve">Current electricity prices have been high by historic levels since 2016 and are forecast to remain above historic levels. Under a do nothing approach, the Government would rely on these high prices to drive investment in new generation. </w:t>
      </w:r>
    </w:p>
    <w:p w14:paraId="616A4187" w14:textId="77777777" w:rsidR="00C807F6" w:rsidRPr="00C807F6" w:rsidRDefault="00C807F6" w:rsidP="00C807F6">
      <w:pPr>
        <w:rPr>
          <w:rFonts w:ascii="Arial" w:eastAsia="Calibri" w:hAnsi="Arial" w:cs="Arial"/>
        </w:rPr>
      </w:pPr>
      <w:r w:rsidRPr="00C807F6">
        <w:rPr>
          <w:rFonts w:ascii="Arial" w:eastAsia="Calibri" w:hAnsi="Arial" w:cs="Arial"/>
        </w:rPr>
        <w:t xml:space="preserve">But, as noted, there has not been significant action in the market to commit to new, firm generation projects. Further, as noted in Chapter 1, there has been limited </w:t>
      </w:r>
      <w:proofErr w:type="spellStart"/>
      <w:r w:rsidRPr="00C807F6">
        <w:rPr>
          <w:rFonts w:ascii="Arial" w:eastAsia="Calibri" w:hAnsi="Arial" w:cs="Arial"/>
        </w:rPr>
        <w:t>dispatchable</w:t>
      </w:r>
      <w:proofErr w:type="spellEnd"/>
      <w:r w:rsidRPr="00C807F6">
        <w:rPr>
          <w:rFonts w:ascii="Arial" w:eastAsia="Calibri" w:hAnsi="Arial" w:cs="Arial"/>
        </w:rPr>
        <w:t xml:space="preserve"> generation build in the last 5 years and many of these investments only occurred with government support. </w:t>
      </w:r>
      <w:r w:rsidRPr="00C807F6">
        <w:rPr>
          <w:rFonts w:ascii="Arial" w:eastAsia="Calibri" w:hAnsi="Arial" w:cs="Times New Roman"/>
        </w:rPr>
        <w:t xml:space="preserve">The amount of </w:t>
      </w:r>
      <w:proofErr w:type="spellStart"/>
      <w:r w:rsidRPr="00C807F6">
        <w:rPr>
          <w:rFonts w:ascii="Arial" w:eastAsia="Calibri" w:hAnsi="Arial" w:cs="Times New Roman"/>
        </w:rPr>
        <w:t>dispatchable</w:t>
      </w:r>
      <w:proofErr w:type="spellEnd"/>
      <w:r w:rsidRPr="00C807F6">
        <w:rPr>
          <w:rFonts w:ascii="Arial" w:eastAsia="Calibri" w:hAnsi="Arial" w:cs="Times New Roman"/>
        </w:rPr>
        <w:t xml:space="preserve"> generation scheduled to retire over the next decade is 3,087MW.</w:t>
      </w:r>
      <w:r w:rsidRPr="00C807F6">
        <w:rPr>
          <w:rFonts w:ascii="Arial" w:eastAsia="Calibri" w:hAnsi="Arial" w:cs="Times New Roman"/>
          <w:vertAlign w:val="superscript"/>
        </w:rPr>
        <w:footnoteReference w:id="21"/>
      </w:r>
      <w:r w:rsidRPr="00C807F6">
        <w:rPr>
          <w:rFonts w:ascii="Arial" w:eastAsia="Calibri" w:hAnsi="Arial" w:cs="Times New Roman"/>
          <w:sz w:val="16"/>
          <w:szCs w:val="16"/>
        </w:rPr>
        <w:t xml:space="preserve"> </w:t>
      </w:r>
      <w:r w:rsidRPr="00C807F6">
        <w:rPr>
          <w:rFonts w:ascii="Arial" w:eastAsia="Calibri" w:hAnsi="Arial" w:cs="Arial"/>
        </w:rPr>
        <w:t xml:space="preserve"> Even with further expected withdrawals of firm generation, as outlined by the ACCC 2018 REPI, the market has not been responsive in commissioning new firm generation. </w:t>
      </w:r>
      <w:r w:rsidRPr="00C807F6">
        <w:rPr>
          <w:rFonts w:ascii="Arial" w:eastAsia="Calibri" w:hAnsi="Arial" w:cs="Times New Roman"/>
        </w:rPr>
        <w:t xml:space="preserve"> </w:t>
      </w:r>
      <w:r w:rsidRPr="00C807F6">
        <w:rPr>
          <w:rFonts w:ascii="Arial" w:eastAsia="Calibri" w:hAnsi="Arial" w:cs="Arial"/>
        </w:rPr>
        <w:t>The recent blackouts that occurred in Victoria on 25 January 2019 highlight the urgent need for new firm generation to ensure reliable supply.</w:t>
      </w:r>
      <w:r w:rsidRPr="00C807F6">
        <w:rPr>
          <w:rFonts w:ascii="Arial" w:eastAsia="Calibri" w:hAnsi="Arial" w:cs="Times New Roman"/>
        </w:rPr>
        <w:t xml:space="preserve"> The proposed Snowy 2.0 project, which would add 2,000 MW of fast-start, </w:t>
      </w:r>
      <w:proofErr w:type="spellStart"/>
      <w:r w:rsidRPr="00C807F6">
        <w:rPr>
          <w:rFonts w:ascii="Arial" w:eastAsia="Calibri" w:hAnsi="Arial" w:cs="Times New Roman"/>
        </w:rPr>
        <w:t>dispatchable</w:t>
      </w:r>
      <w:proofErr w:type="spellEnd"/>
      <w:r w:rsidRPr="00C807F6">
        <w:rPr>
          <w:rFonts w:ascii="Arial" w:eastAsia="Calibri" w:hAnsi="Arial" w:cs="Times New Roman"/>
        </w:rPr>
        <w:t xml:space="preserve"> capacity, will go some way to addressing this gap but there is uncertainty as to whether the private sector will build the additional generation required.</w:t>
      </w:r>
    </w:p>
    <w:p w14:paraId="4460B002" w14:textId="77777777" w:rsidR="00C807F6" w:rsidRPr="00C807F6" w:rsidRDefault="00C807F6" w:rsidP="00C807F6">
      <w:pPr>
        <w:spacing w:after="120"/>
        <w:rPr>
          <w:rFonts w:ascii="Arial" w:eastAsia="Calibri" w:hAnsi="Arial" w:cs="Times New Roman"/>
        </w:rPr>
      </w:pPr>
      <w:r w:rsidRPr="00C807F6">
        <w:rPr>
          <w:rFonts w:ascii="Arial" w:eastAsia="Calibri" w:hAnsi="Arial" w:cs="Times New Roman"/>
        </w:rPr>
        <w:t xml:space="preserve">It should be noted that, in response to concerns around the reliability of supply in the NEM, the Council of Australian Governments (COAG) Energy Council has agreed to introduce the Retailer Reliability Obligation (RRO). The RRO will impose an obligation on retailers to ensure they have access to sufficient generation—through ownership or contracting with the generator owner—to meet their customers’ needs. </w:t>
      </w:r>
    </w:p>
    <w:p w14:paraId="4C4D2002" w14:textId="77777777" w:rsidR="00C807F6" w:rsidRPr="00C807F6" w:rsidRDefault="00C807F6" w:rsidP="00C807F6">
      <w:pPr>
        <w:spacing w:after="120"/>
        <w:rPr>
          <w:rFonts w:ascii="Arial" w:eastAsia="Calibri" w:hAnsi="Arial" w:cs="Times New Roman"/>
        </w:rPr>
      </w:pPr>
      <w:r w:rsidRPr="00C807F6">
        <w:rPr>
          <w:rFonts w:ascii="Arial" w:eastAsia="Calibri" w:hAnsi="Arial" w:cs="Times New Roman"/>
        </w:rPr>
        <w:t>But the RRO is only triggered when there is a risk there will not be enough generation in the market to meet the reliability standard</w:t>
      </w:r>
      <w:r w:rsidRPr="00C807F6">
        <w:rPr>
          <w:rFonts w:ascii="Arial" w:eastAsia="Calibri" w:hAnsi="Arial" w:cs="Times New Roman"/>
          <w:vertAlign w:val="superscript"/>
        </w:rPr>
        <w:footnoteReference w:id="22"/>
      </w:r>
      <w:r w:rsidRPr="00C807F6">
        <w:rPr>
          <w:rFonts w:ascii="Arial" w:eastAsia="Calibri" w:hAnsi="Arial" w:cs="Times New Roman"/>
        </w:rPr>
        <w:t xml:space="preserve"> based on a peak demand event which would be expected every one-in-two years, which may not deliver sufficient generation to maintain reliability in years when demand is above average. </w:t>
      </w:r>
    </w:p>
    <w:p w14:paraId="45D1BA0D" w14:textId="77777777" w:rsidR="00C807F6" w:rsidRPr="00C807F6" w:rsidRDefault="00C807F6" w:rsidP="00C807F6">
      <w:pPr>
        <w:rPr>
          <w:rFonts w:ascii="Arial" w:eastAsia="Calibri" w:hAnsi="Arial" w:cs="Arial"/>
        </w:rPr>
      </w:pPr>
      <w:r w:rsidRPr="00C807F6">
        <w:rPr>
          <w:rFonts w:ascii="Arial" w:eastAsia="Calibri" w:hAnsi="Arial" w:cs="Arial"/>
        </w:rPr>
        <w:t xml:space="preserve">Even if the market were to respond to price signals and bring on new generation in a timely fashion, the new generation may be owned by one of the existing big players in the market and not necessarily assist with addressing market concentration and competition concerns. </w:t>
      </w:r>
    </w:p>
    <w:p w14:paraId="19DB6FF3" w14:textId="77777777" w:rsidR="00C807F6" w:rsidRPr="00C807F6" w:rsidRDefault="00C807F6" w:rsidP="00C807F6">
      <w:pPr>
        <w:rPr>
          <w:rFonts w:ascii="Arial" w:eastAsia="Calibri" w:hAnsi="Arial" w:cs="Arial"/>
        </w:rPr>
      </w:pPr>
      <w:r w:rsidRPr="00C807F6">
        <w:rPr>
          <w:rFonts w:ascii="Arial" w:eastAsia="Calibri" w:hAnsi="Arial" w:cs="Arial"/>
        </w:rPr>
        <w:t xml:space="preserve">As a result, a do nothing approach is unlikely to address the objectives of the reform, and improve competition in the market to reduce electricity prices. Moreover, the market failure identified by the ACCC will not be addressed. </w:t>
      </w:r>
    </w:p>
    <w:p w14:paraId="12626DFC" w14:textId="77777777" w:rsidR="00C807F6" w:rsidRPr="00C807F6" w:rsidRDefault="00C807F6" w:rsidP="00C807F6">
      <w:pPr>
        <w:rPr>
          <w:rFonts w:ascii="Arial" w:eastAsia="Calibri" w:hAnsi="Arial" w:cs="Arial"/>
        </w:rPr>
      </w:pPr>
      <w:r w:rsidRPr="00C807F6">
        <w:rPr>
          <w:rFonts w:ascii="Arial" w:eastAsia="Calibri" w:hAnsi="Arial" w:cs="Arial"/>
        </w:rPr>
        <w:lastRenderedPageBreak/>
        <w:t xml:space="preserve">The benefit of a do nothing approach would be to avoid any potential adverse impacts on the market, such as reducing incentives for private investment in new generation. However, as noted above, there has been a lack of investment in new firm generation and there is a risk that the market will not address the shortfall in firm generation capacity in the short to medium term in the absence of government intervention. </w:t>
      </w:r>
    </w:p>
    <w:p w14:paraId="65221291" w14:textId="77777777" w:rsidR="00C807F6" w:rsidRPr="00C807F6" w:rsidRDefault="00C807F6" w:rsidP="00C807F6">
      <w:pPr>
        <w:rPr>
          <w:rFonts w:ascii="Arial" w:eastAsia="Calibri" w:hAnsi="Arial" w:cs="Arial"/>
        </w:rPr>
      </w:pPr>
      <w:r w:rsidRPr="00C807F6">
        <w:rPr>
          <w:rFonts w:ascii="Arial" w:eastAsia="Calibri" w:hAnsi="Arial" w:cs="Arial"/>
        </w:rPr>
        <w:t>Further, doing nothing will reduce the cost to taxpayers by reducing the impact on Government. However, no action will mean that consumers are not able to benefit from improved competition and reliability.</w:t>
      </w:r>
    </w:p>
    <w:p w14:paraId="672F4374" w14:textId="77777777" w:rsidR="00C807F6" w:rsidRPr="00C807F6" w:rsidRDefault="00C807F6" w:rsidP="00C807F6">
      <w:pPr>
        <w:rPr>
          <w:rFonts w:ascii="Arial" w:eastAsia="Calibri" w:hAnsi="Arial" w:cs="Arial"/>
        </w:rPr>
      </w:pPr>
      <w:r w:rsidRPr="00C807F6">
        <w:rPr>
          <w:rFonts w:ascii="Arial" w:eastAsia="Calibri" w:hAnsi="Arial" w:cs="Arial"/>
        </w:rPr>
        <w:t>There are zero regulatory costs for businesses associated with the do-nothing option.</w:t>
      </w:r>
    </w:p>
    <w:p w14:paraId="1B3B9FDF" w14:textId="77777777" w:rsidR="00C807F6" w:rsidRPr="00C807F6" w:rsidRDefault="00C807F6" w:rsidP="00C807F6">
      <w:pPr>
        <w:keepNext/>
        <w:spacing w:before="200" w:after="120"/>
        <w:outlineLvl w:val="1"/>
        <w:rPr>
          <w:rFonts w:ascii="Arial" w:eastAsia="Calibri" w:hAnsi="Arial" w:cs="Arial"/>
          <w:b/>
          <w:color w:val="365F91"/>
        </w:rPr>
      </w:pPr>
      <w:r w:rsidRPr="00C807F6">
        <w:rPr>
          <w:rFonts w:ascii="Arial" w:eastAsia="Calibri" w:hAnsi="Arial" w:cs="Arial"/>
          <w:b/>
          <w:color w:val="365F91"/>
        </w:rPr>
        <w:t>Option 2: Government funded new generation</w:t>
      </w:r>
    </w:p>
    <w:p w14:paraId="5970E29C" w14:textId="77777777" w:rsidR="00C807F6" w:rsidRPr="00C807F6" w:rsidRDefault="00C807F6" w:rsidP="00C807F6">
      <w:pPr>
        <w:rPr>
          <w:rFonts w:ascii="Arial" w:eastAsia="Calibri" w:hAnsi="Arial" w:cs="Arial"/>
        </w:rPr>
      </w:pPr>
      <w:r w:rsidRPr="00C807F6">
        <w:rPr>
          <w:rFonts w:ascii="Arial" w:eastAsia="Calibri" w:hAnsi="Arial" w:cs="Arial"/>
        </w:rPr>
        <w:t xml:space="preserve">The Government building and owning new generators could help address the objectives of the reform by ensuring there is sufficient firm generation in the market leading to improved reliability and reduced wholesale prices. Direct Government ownership could also ensure that generation is contracted with </w:t>
      </w:r>
      <w:proofErr w:type="gramStart"/>
      <w:r w:rsidRPr="00C807F6">
        <w:rPr>
          <w:rFonts w:ascii="Arial" w:eastAsia="Calibri" w:hAnsi="Arial" w:cs="Arial"/>
        </w:rPr>
        <w:t>C&amp;I</w:t>
      </w:r>
      <w:proofErr w:type="gramEnd"/>
      <w:r w:rsidRPr="00C807F6">
        <w:rPr>
          <w:rFonts w:ascii="Arial" w:eastAsia="Calibri" w:hAnsi="Arial" w:cs="Arial"/>
        </w:rPr>
        <w:t xml:space="preserve"> customers.</w:t>
      </w:r>
    </w:p>
    <w:p w14:paraId="5AB26824" w14:textId="77777777" w:rsidR="00C807F6" w:rsidRPr="00C807F6" w:rsidRDefault="00C807F6" w:rsidP="00C807F6">
      <w:pPr>
        <w:rPr>
          <w:rFonts w:ascii="Arial" w:eastAsia="Calibri" w:hAnsi="Arial" w:cs="Arial"/>
        </w:rPr>
      </w:pPr>
      <w:r w:rsidRPr="00C807F6">
        <w:rPr>
          <w:rFonts w:ascii="Arial" w:eastAsia="Calibri" w:hAnsi="Arial" w:cs="Arial"/>
        </w:rPr>
        <w:t>The introduction of new generation could impact on higher cost generators. Additional lower cost generation could result in these higher cost generators either lowering their bid prices to keep getting dispatched or, if they keep their prices high, these generators would get dispatched less. In both situations, this would result in lower revenues for these higher cost generators. The lower revenues may mean some generators need to exit the market, but it is more likely to impact on profit margins. As highlighted by the ACCC in the 2018 REPI, there is a tightening of supply and demand which has driven up wholesale prices across the NEM in recent years. In this option, the new investment would help lower the wholesale market price through the increased competition.</w:t>
      </w:r>
    </w:p>
    <w:p w14:paraId="09521562" w14:textId="77777777" w:rsidR="00C807F6" w:rsidRPr="00C807F6" w:rsidRDefault="00C807F6" w:rsidP="00C807F6">
      <w:pPr>
        <w:rPr>
          <w:rFonts w:ascii="Arial" w:eastAsia="Calibri" w:hAnsi="Arial" w:cs="Arial"/>
        </w:rPr>
      </w:pPr>
      <w:r w:rsidRPr="00C807F6">
        <w:rPr>
          <w:rFonts w:ascii="Arial" w:eastAsia="Calibri" w:hAnsi="Arial" w:cs="Arial"/>
        </w:rPr>
        <w:t xml:space="preserve">But this option would not address competition concerns in the market as it may discourage new private entrants into the market. Action by the Government to fill firm generation needs is likely to crowd out private investment, making it less likely there will be new competitors in the market to create further competition and put downward pressure on wholesale prices. Direct Government investment will increase the perceived risk for private sector investors, and likely further supress private investment in the market due to fears of further direct intervention in the market. </w:t>
      </w:r>
    </w:p>
    <w:p w14:paraId="2D0AFE16" w14:textId="77777777" w:rsidR="00C807F6" w:rsidRPr="00C807F6" w:rsidRDefault="00C807F6" w:rsidP="00C807F6">
      <w:pPr>
        <w:rPr>
          <w:rFonts w:ascii="Arial" w:eastAsia="Calibri" w:hAnsi="Arial" w:cs="Arial"/>
        </w:rPr>
      </w:pPr>
      <w:r w:rsidRPr="00C807F6">
        <w:rPr>
          <w:rFonts w:ascii="Arial" w:eastAsia="Calibri" w:hAnsi="Arial" w:cs="Arial"/>
        </w:rPr>
        <w:t xml:space="preserve">Moreover, the building of new generation would impose a significant upfront cost to taxpayers. Although there may be a dividend from the Government operating the new generation assets, there is no guarantee that this will provide benefits to taxpayers and taxpayers would bear the risk of the generation asset not operating at a profit. For example, the new generation asset may bid low into the market at a price that would cover operating costs in order to address the objectives of the </w:t>
      </w:r>
      <w:r w:rsidRPr="00C807F6">
        <w:rPr>
          <w:rFonts w:ascii="Arial" w:eastAsia="Calibri" w:hAnsi="Arial" w:cs="Arial"/>
        </w:rPr>
        <w:lastRenderedPageBreak/>
        <w:t xml:space="preserve">program to reduce wholesale prices. The building of a new generator may also create ongoing risks and liabilities for the Government in terms of the future management and maintenance of the facility. </w:t>
      </w:r>
    </w:p>
    <w:p w14:paraId="19C24F49" w14:textId="77777777" w:rsidR="00C807F6" w:rsidRPr="00C807F6" w:rsidRDefault="00C807F6" w:rsidP="00C807F6">
      <w:pPr>
        <w:rPr>
          <w:rFonts w:ascii="Arial" w:eastAsia="Calibri" w:hAnsi="Arial" w:cs="Arial"/>
        </w:rPr>
      </w:pPr>
      <w:r w:rsidRPr="00C807F6">
        <w:rPr>
          <w:rFonts w:ascii="Arial" w:eastAsia="Calibri" w:hAnsi="Arial" w:cs="Arial"/>
        </w:rPr>
        <w:t xml:space="preserve">Direct Government investment would present significant financial and reputational risks for the Government if the project failed. This risk could be managed by ensuring appropriate due diligence is undertaken as part of the program selection process. This risk could also be mitigated by the Government partnering with private investors, including leveraging off the due diligence and business risk assessment conducted by private investment partners. </w:t>
      </w:r>
    </w:p>
    <w:p w14:paraId="4E686D53" w14:textId="77777777" w:rsidR="00C807F6" w:rsidRPr="00C807F6" w:rsidRDefault="00C807F6" w:rsidP="00C807F6">
      <w:pPr>
        <w:rPr>
          <w:rFonts w:ascii="Arial" w:eastAsia="Calibri" w:hAnsi="Arial" w:cs="Arial"/>
        </w:rPr>
      </w:pPr>
      <w:r w:rsidRPr="00C807F6">
        <w:rPr>
          <w:rFonts w:ascii="Arial" w:eastAsia="Calibri" w:hAnsi="Arial" w:cs="Arial"/>
        </w:rPr>
        <w:t>There are zero regulatory costs for businesses associated with this option as Government would be making the direct investment.</w:t>
      </w:r>
    </w:p>
    <w:p w14:paraId="1736DFC6" w14:textId="77777777" w:rsidR="00C807F6" w:rsidRPr="00C807F6" w:rsidRDefault="00C807F6" w:rsidP="00C807F6">
      <w:pPr>
        <w:keepNext/>
        <w:spacing w:before="200" w:after="120"/>
        <w:outlineLvl w:val="1"/>
        <w:rPr>
          <w:rFonts w:ascii="Arial" w:eastAsia="Calibri" w:hAnsi="Arial" w:cs="Arial"/>
          <w:b/>
          <w:color w:val="365F91"/>
        </w:rPr>
      </w:pPr>
      <w:r w:rsidRPr="00C807F6">
        <w:rPr>
          <w:rFonts w:ascii="Arial" w:eastAsia="Calibri" w:hAnsi="Arial" w:cs="Arial"/>
          <w:b/>
          <w:color w:val="365F91"/>
        </w:rPr>
        <w:t>Option 3: The UNGI program</w:t>
      </w:r>
    </w:p>
    <w:p w14:paraId="2F336182"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The Government has announced it supports the ACCC recommendation to underwrite new generation through the UNGI program. The impact of the program will be dependent on which mechanisms are used, which will be determined based on project details and timing. </w:t>
      </w:r>
    </w:p>
    <w:p w14:paraId="61308301"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The program will provide financial support to project proponents to bring new firm generation into the wholesale market to meet the objectives of increasing reliability; increasing competition and putting downward pressure on electricity prices; and assisting C&amp;I customers access affordable energy supply arrangements. </w:t>
      </w:r>
    </w:p>
    <w:p w14:paraId="1D1EA1D8" w14:textId="77777777" w:rsidR="00C807F6" w:rsidRPr="00C807F6" w:rsidRDefault="00C807F6" w:rsidP="00C807F6">
      <w:pPr>
        <w:rPr>
          <w:rFonts w:ascii="Arial" w:eastAsia="Calibri" w:hAnsi="Arial" w:cs="Times New Roman"/>
        </w:rPr>
      </w:pPr>
      <w:r w:rsidRPr="00C807F6">
        <w:rPr>
          <w:rFonts w:ascii="Arial" w:eastAsia="Calibri" w:hAnsi="Arial" w:cs="Times New Roman"/>
        </w:rPr>
        <w:t>As outlined in Option 2, t</w:t>
      </w:r>
      <w:r w:rsidRPr="00C807F6">
        <w:rPr>
          <w:rFonts w:ascii="Arial" w:eastAsia="Calibri" w:hAnsi="Arial" w:cs="Arial"/>
        </w:rPr>
        <w:t>he introduction of new generation could impact on higher cost generators. Additional lower cost generation could result in these higher cost generators either lowering their bid prices to keep getting dispatched or, if they keep their prices high, getting dispatched less. In both situations, this would result in lower revenues for these higher cost generators. The lower revenues may mean some generators need to exit the market, but it is more likely to impact on profit margins. As highlighted by the ACCC in the 2018 REPI, there is a tightening of supply and demand which has driven up wholesale prices across the NEM in recent years. The new investment would help lower the wholesale market price through increased competition.</w:t>
      </w:r>
    </w:p>
    <w:p w14:paraId="3B33A533"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The provision of Government support to certain projects carries risks to the market, including over-investment in new generation capacity and crowding-out private sector investment. </w:t>
      </w:r>
    </w:p>
    <w:p w14:paraId="4755652D" w14:textId="77777777" w:rsidR="00C807F6" w:rsidRPr="00C807F6" w:rsidRDefault="00C807F6" w:rsidP="00C807F6">
      <w:pPr>
        <w:rPr>
          <w:rFonts w:ascii="Arial" w:eastAsia="Calibri" w:hAnsi="Arial" w:cs="Times New Roman"/>
        </w:rPr>
      </w:pPr>
      <w:r w:rsidRPr="00C807F6">
        <w:rPr>
          <w:rFonts w:ascii="Arial" w:eastAsia="Calibri" w:hAnsi="Arial" w:cs="Times New Roman"/>
        </w:rPr>
        <w:t>These risks will be addressed in program design by ensuring that the level of support is determined on a needs basis, informed by expert advice, and ensuring the level and type of support is not such that it completely shields project proponents from market risk. Market impacts of the program will be affected by the support mechanisms provided. To minimise the potential for negative market impacts, the financial mechanisms used should be those which are least distortionary. In particular:</w:t>
      </w:r>
    </w:p>
    <w:p w14:paraId="32174C69" w14:textId="77777777" w:rsidR="00C807F6" w:rsidRPr="00C807F6" w:rsidRDefault="00C807F6" w:rsidP="00C807F6">
      <w:pPr>
        <w:ind w:left="369" w:hanging="369"/>
        <w:rPr>
          <w:rFonts w:ascii="Arial" w:eastAsia="Calibri" w:hAnsi="Arial" w:cs="Times New Roman"/>
        </w:rPr>
      </w:pPr>
      <w:r w:rsidRPr="00C807F6">
        <w:rPr>
          <w:rFonts w:ascii="Arial" w:eastAsia="Calibri" w:hAnsi="Arial" w:cs="Times New Roman"/>
        </w:rPr>
        <w:lastRenderedPageBreak/>
        <w:t>The support provided should not create perverse incentives in terms of bidding and plant operation. Market signals which incentivise generators to be available when they are most needed should be preserved;</w:t>
      </w:r>
    </w:p>
    <w:p w14:paraId="42DB228C" w14:textId="77777777" w:rsidR="00C807F6" w:rsidRPr="00C807F6" w:rsidRDefault="00C807F6" w:rsidP="00C807F6">
      <w:pPr>
        <w:ind w:left="369" w:hanging="369"/>
        <w:rPr>
          <w:rFonts w:ascii="Arial" w:eastAsia="Calibri" w:hAnsi="Arial" w:cs="Times New Roman"/>
        </w:rPr>
      </w:pPr>
      <w:r w:rsidRPr="00C807F6">
        <w:rPr>
          <w:rFonts w:ascii="Arial" w:eastAsia="Calibri" w:hAnsi="Arial" w:cs="Times New Roman"/>
        </w:rPr>
        <w:t>Consistent with the ACCC recommendation, the support mechanisms used should aim to remove some, but not all, of the project risk. Underwriting debt but not equity will ensure project proponents retain a strong incentive to maximise profitability, thereby reducing the likelihood that support payments will be called on by the project proponent;</w:t>
      </w:r>
    </w:p>
    <w:p w14:paraId="6BC93CDC" w14:textId="77777777" w:rsidR="00C807F6" w:rsidRPr="00C807F6" w:rsidRDefault="00C807F6" w:rsidP="00C807F6">
      <w:pPr>
        <w:ind w:left="369" w:hanging="369"/>
        <w:rPr>
          <w:rFonts w:ascii="Arial" w:eastAsia="Calibri" w:hAnsi="Arial" w:cs="Times New Roman"/>
        </w:rPr>
      </w:pPr>
      <w:r w:rsidRPr="00C807F6">
        <w:rPr>
          <w:rFonts w:ascii="Arial" w:eastAsia="Calibri" w:hAnsi="Arial" w:cs="Times New Roman"/>
        </w:rPr>
        <w:t>Generators with a significant market share should not be eligible, by excluding applicants which currently hold a generation capacity market share of 10% or more across the project location in the NEM, or 20% or more in the interconnected system as a whole;</w:t>
      </w:r>
    </w:p>
    <w:p w14:paraId="2230A242" w14:textId="77777777" w:rsidR="00C807F6" w:rsidRPr="00C807F6" w:rsidRDefault="00C807F6" w:rsidP="00C807F6">
      <w:pPr>
        <w:ind w:left="369" w:hanging="369"/>
        <w:rPr>
          <w:rFonts w:ascii="Arial" w:eastAsia="Calibri" w:hAnsi="Arial" w:cs="Times New Roman"/>
        </w:rPr>
      </w:pPr>
      <w:r w:rsidRPr="00C807F6">
        <w:rPr>
          <w:rFonts w:ascii="Arial" w:eastAsia="Calibri" w:hAnsi="Arial" w:cs="Times New Roman"/>
        </w:rPr>
        <w:t>For project financing the typical debt service coverage is usually set at a margin above one. However, a significant buffer above insolvency or to fund debt reserves is unnecessary and may lead to underwriting payments flowing to equity. The underwriting should be limited to cash required to maintain solvency, and, as such, debt service providers should be prepared to accept a lower debt service coverage ratio compared to other projects; and</w:t>
      </w:r>
    </w:p>
    <w:p w14:paraId="3ECD8BD4" w14:textId="77777777" w:rsidR="00C807F6" w:rsidRPr="00C807F6" w:rsidRDefault="00C807F6" w:rsidP="00C807F6">
      <w:pPr>
        <w:ind w:left="369" w:hanging="369"/>
        <w:rPr>
          <w:rFonts w:ascii="Arial" w:eastAsia="Calibri" w:hAnsi="Arial" w:cs="Times New Roman"/>
        </w:rPr>
      </w:pPr>
      <w:r w:rsidRPr="00C807F6">
        <w:rPr>
          <w:rFonts w:ascii="Arial" w:eastAsia="Calibri" w:hAnsi="Arial" w:cs="Times New Roman"/>
        </w:rPr>
        <w:t>The support mechanisms should not fully ‘shield’ generators from the operation of the market.</w:t>
      </w:r>
    </w:p>
    <w:p w14:paraId="6E7A134A"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There is also the risk of creating an expectation of ongoing Government support for any new generation project. Ensuring long-term investment signals are adequate to maintain reliability is a key element of the program. The risk will be minimised by first ensuring the project has considered all commercial options and all available Government support options, including under the Clean Energy Finance Corporation. Further, as the UNGI program is an interim measure, it will be time-limited with no new support agreements entered into after 30 June 2023. </w:t>
      </w:r>
    </w:p>
    <w:p w14:paraId="5C42DE77"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The Energy Security Board is currently designing a long-term market framework which will apply in the NEM from 2025 onwards. The UNGI program will bridge the gap until this framework is in place. </w:t>
      </w:r>
    </w:p>
    <w:p w14:paraId="0C5D5A51"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The provision of support also carries financial and reputational risks to the Government, including if projects fail or if government liabilities are higher than anticipated. These risks would be mitigated through rigorous due diligence and appropriate design of financial mechanisms based on expert advice. </w:t>
      </w:r>
    </w:p>
    <w:p w14:paraId="745E9C28"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To further limit the Government’s exposure, any potential UNGI support will be capped both at a project and a program level. Capping the risk to Government, will result in greater risk sharing with debt and equity providers. Through sharing the project risk, there will be improved incentives for generation projects to have robust </w:t>
      </w:r>
      <w:r w:rsidRPr="00C807F6">
        <w:rPr>
          <w:rFonts w:ascii="Arial" w:eastAsia="Calibri" w:hAnsi="Arial" w:cs="Times New Roman"/>
        </w:rPr>
        <w:lastRenderedPageBreak/>
        <w:t xml:space="preserve">business cases and revenue models. As the intention of the program is one of last resort, it is not intended to release information on specific project and program caps. </w:t>
      </w:r>
    </w:p>
    <w:p w14:paraId="6C99965A" w14:textId="77777777" w:rsidR="00C807F6" w:rsidRPr="00C807F6" w:rsidRDefault="00C807F6" w:rsidP="00C807F6">
      <w:pPr>
        <w:rPr>
          <w:rFonts w:ascii="Arial" w:eastAsia="Calibri" w:hAnsi="Arial" w:cs="Times New Roman"/>
        </w:rPr>
      </w:pPr>
      <w:r w:rsidRPr="00C807F6">
        <w:rPr>
          <w:rFonts w:ascii="Arial" w:eastAsia="Calibri" w:hAnsi="Arial" w:cs="Times New Roman"/>
        </w:rPr>
        <w:t>There will be ongoing monitoring of the impact of the program, including with reference to individual projects and the market as a whole. The Department will also conduct a full evaluation of the program after two years to assess the effectiveness and efficiency of the support provided.</w:t>
      </w:r>
    </w:p>
    <w:p w14:paraId="5B29E338"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The regulatory cost of this option for businesses is estimated to be $573,253 per annum over 10 years. See Chapter 8 for more explanation. </w:t>
      </w:r>
    </w:p>
    <w:p w14:paraId="70FEC42A"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The potential impacts of each of the mechanisms outlined in in the Policy Options section are considered below. </w:t>
      </w:r>
    </w:p>
    <w:p w14:paraId="78B883E1" w14:textId="77777777" w:rsidR="00C807F6" w:rsidRPr="00C807F6" w:rsidRDefault="00C807F6" w:rsidP="00C807F6">
      <w:pPr>
        <w:keepNext/>
        <w:spacing w:before="200" w:after="120"/>
        <w:outlineLvl w:val="1"/>
        <w:rPr>
          <w:rFonts w:ascii="Arial" w:eastAsia="Calibri" w:hAnsi="Arial" w:cs="Arial"/>
          <w:b/>
          <w:i/>
          <w:color w:val="365F91"/>
        </w:rPr>
      </w:pPr>
      <w:r w:rsidRPr="00C807F6">
        <w:rPr>
          <w:rFonts w:ascii="Arial" w:eastAsia="Calibri" w:hAnsi="Arial" w:cs="Arial"/>
          <w:b/>
          <w:i/>
          <w:color w:val="365F91"/>
        </w:rPr>
        <w:t xml:space="preserve">Mechanism 1: Price floor/Revenue Floor </w:t>
      </w:r>
    </w:p>
    <w:p w14:paraId="59A83C0F" w14:textId="77777777" w:rsidR="00C807F6" w:rsidRPr="00C807F6" w:rsidRDefault="00C807F6" w:rsidP="00C807F6">
      <w:pPr>
        <w:tabs>
          <w:tab w:val="left" w:pos="1095"/>
        </w:tabs>
        <w:spacing w:after="120"/>
        <w:rPr>
          <w:rFonts w:ascii="Arial" w:eastAsia="Calibri" w:hAnsi="Arial" w:cs="Arial"/>
        </w:rPr>
      </w:pPr>
      <w:r w:rsidRPr="00C807F6">
        <w:rPr>
          <w:rFonts w:ascii="Arial" w:eastAsia="Calibri" w:hAnsi="Arial" w:cs="Arial"/>
        </w:rPr>
        <w:t>Introducing a floor price or revenue floor mechanism would address the problem identified by the ACCC, that some project proponents are having difficulties securing financing for new generation in the NEM. This is particularly an issue for new entrants, who are unable to fund new developments from their corporate balance sheet and instead must rely on project finance.</w:t>
      </w:r>
    </w:p>
    <w:p w14:paraId="2614E5E4" w14:textId="77777777" w:rsidR="00C807F6" w:rsidRPr="00C807F6" w:rsidRDefault="00C807F6" w:rsidP="00C807F6">
      <w:pPr>
        <w:tabs>
          <w:tab w:val="left" w:pos="1095"/>
        </w:tabs>
        <w:spacing w:after="120"/>
        <w:rPr>
          <w:rFonts w:ascii="Arial" w:eastAsia="Calibri" w:hAnsi="Arial" w:cs="Arial"/>
        </w:rPr>
      </w:pPr>
      <w:r w:rsidRPr="00C807F6">
        <w:rPr>
          <w:rFonts w:ascii="Arial" w:eastAsia="Calibri" w:hAnsi="Arial" w:cs="Arial"/>
        </w:rPr>
        <w:t>The floor mechanism would encourage the development of firm generation projects in regions where supply shortfalls exist or are reasonably likely to exist in the near future. It is intended to encourage new generation that is additional to that which is likely to come on stream in the future in the normal course of business. The new generation is expected to be viable in the longer term without the need for ongoing government support.</w:t>
      </w:r>
    </w:p>
    <w:p w14:paraId="0AC41886" w14:textId="77777777" w:rsidR="00C807F6" w:rsidRPr="00C807F6" w:rsidRDefault="00C807F6" w:rsidP="00C807F6">
      <w:pPr>
        <w:tabs>
          <w:tab w:val="left" w:pos="1095"/>
        </w:tabs>
        <w:spacing w:after="120"/>
        <w:rPr>
          <w:rFonts w:ascii="Arial" w:eastAsia="Calibri" w:hAnsi="Arial" w:cs="Arial"/>
        </w:rPr>
      </w:pPr>
      <w:r w:rsidRPr="00C807F6">
        <w:rPr>
          <w:rFonts w:ascii="Arial" w:eastAsia="Calibri" w:hAnsi="Arial" w:cs="Arial"/>
        </w:rPr>
        <w:t xml:space="preserve">Providing support through a floor price involves risks to the market, including crowding out other </w:t>
      </w:r>
      <w:r w:rsidRPr="00C807F6" w:rsidDel="0080391C">
        <w:rPr>
          <w:rFonts w:ascii="Arial" w:eastAsia="Calibri" w:hAnsi="Arial" w:cs="Arial"/>
        </w:rPr>
        <w:t>project proponents who would otherwise be able to fund new generating capacity</w:t>
      </w:r>
      <w:r w:rsidRPr="00C807F6">
        <w:rPr>
          <w:rFonts w:ascii="Arial" w:eastAsia="Calibri" w:hAnsi="Arial" w:cs="Arial"/>
        </w:rPr>
        <w:t xml:space="preserve">. It could also have unintended consequences in the market, such as increasing market volatility and creating stranded assets due to investment in inappropriate locations and types of generation. </w:t>
      </w:r>
    </w:p>
    <w:p w14:paraId="1FED851A" w14:textId="77777777" w:rsidR="00C807F6" w:rsidRPr="00C807F6" w:rsidRDefault="00C807F6" w:rsidP="00C807F6">
      <w:pPr>
        <w:tabs>
          <w:tab w:val="left" w:pos="1095"/>
        </w:tabs>
        <w:spacing w:after="120"/>
        <w:rPr>
          <w:rFonts w:ascii="Arial" w:eastAsia="Calibri" w:hAnsi="Arial" w:cs="Arial"/>
        </w:rPr>
      </w:pPr>
      <w:r w:rsidRPr="00C807F6">
        <w:rPr>
          <w:rFonts w:ascii="Arial" w:eastAsia="Calibri" w:hAnsi="Arial" w:cs="Arial"/>
        </w:rPr>
        <w:t xml:space="preserve">Providing support through a price or revenue floor also has significant financial and reputational risks for the Government. In particular, there are likely to be significant information asymmetries between the Government and the project developer which may make it challenging for the Government to determine the appropriate setting of the price or revenue floor. </w:t>
      </w:r>
    </w:p>
    <w:p w14:paraId="761807AA" w14:textId="77777777" w:rsidR="00C807F6" w:rsidRPr="00C807F6" w:rsidRDefault="00C807F6" w:rsidP="00C807F6">
      <w:pPr>
        <w:tabs>
          <w:tab w:val="left" w:pos="1095"/>
        </w:tabs>
        <w:spacing w:after="120"/>
        <w:rPr>
          <w:rFonts w:ascii="Arial" w:eastAsia="Calibri" w:hAnsi="Arial" w:cs="Arial"/>
        </w:rPr>
      </w:pPr>
      <w:r w:rsidRPr="00C807F6">
        <w:rPr>
          <w:rFonts w:ascii="Arial" w:eastAsia="Calibri" w:hAnsi="Arial" w:cs="Arial"/>
        </w:rPr>
        <w:t xml:space="preserve">Setting a price or revenue floor that is too high could mean a significant transfer of private investment risk to taxpayers and higher than expected future liabilities for the Government. On the other hand, setting a price or revenue floor too low may not provide sufficient support to facilitate new generation and will therefore not meet the Government’s intended objectives. Consistent with the ACCC’s recommendation, ensuring the floors are set appropriately is critical to the effectiveness of the mechanism and managing risks to the Government and the market.  </w:t>
      </w:r>
    </w:p>
    <w:p w14:paraId="12EB0111" w14:textId="77777777" w:rsidR="00C807F6" w:rsidRPr="00C807F6" w:rsidRDefault="00C807F6" w:rsidP="00C807F6">
      <w:pPr>
        <w:keepNext/>
        <w:outlineLvl w:val="3"/>
        <w:rPr>
          <w:rFonts w:ascii="Arial" w:eastAsia="Calibri" w:hAnsi="Arial" w:cs="Arial"/>
          <w:i/>
        </w:rPr>
      </w:pPr>
      <w:r w:rsidRPr="00C807F6">
        <w:rPr>
          <w:rFonts w:ascii="Arial" w:eastAsia="Calibri" w:hAnsi="Arial" w:cs="Arial"/>
          <w:i/>
        </w:rPr>
        <w:lastRenderedPageBreak/>
        <w:t>Price floor risks</w:t>
      </w:r>
    </w:p>
    <w:p w14:paraId="5C94A9D6" w14:textId="77777777" w:rsidR="00C807F6" w:rsidRPr="00C807F6" w:rsidRDefault="00C807F6" w:rsidP="00C807F6">
      <w:pPr>
        <w:tabs>
          <w:tab w:val="left" w:pos="1095"/>
        </w:tabs>
        <w:spacing w:after="120"/>
        <w:rPr>
          <w:rFonts w:ascii="Arial" w:eastAsia="Calibri" w:hAnsi="Arial" w:cs="Arial"/>
        </w:rPr>
      </w:pPr>
      <w:r w:rsidRPr="00C807F6">
        <w:rPr>
          <w:rFonts w:ascii="Arial" w:eastAsia="Calibri" w:hAnsi="Arial" w:cs="Arial"/>
        </w:rPr>
        <w:t>The risks of setting a price floor can be effectively managed in several ways. Firstly, price floors would be set on a project by project basis based on appropriate due diligence and expert advice. Providing a uniform floor price to successful applicants for a uniform length of time would be the simplest approach. However, a one-size-fits-all approach would not be suitable for the different needs of different market regions and of different technologies that may be required. Instead a tailored assistance package on a project by project basis will allow the Government to select projects that may fill particular expected shortfalls in particular regions, target particular technologies, and/or involve the Government taking on less financial risk.</w:t>
      </w:r>
    </w:p>
    <w:p w14:paraId="4E446D94" w14:textId="77777777" w:rsidR="00C807F6" w:rsidRPr="00C807F6" w:rsidRDefault="00C807F6" w:rsidP="00C807F6">
      <w:pPr>
        <w:tabs>
          <w:tab w:val="left" w:pos="1095"/>
        </w:tabs>
        <w:spacing w:after="120"/>
        <w:rPr>
          <w:rFonts w:ascii="Arial" w:eastAsia="Calibri" w:hAnsi="Arial" w:cs="Arial"/>
        </w:rPr>
      </w:pPr>
      <w:r w:rsidRPr="00C807F6">
        <w:rPr>
          <w:rFonts w:ascii="Arial" w:eastAsia="Calibri" w:hAnsi="Arial" w:cs="Arial"/>
        </w:rPr>
        <w:t xml:space="preserve">The risks of a price floor can also be managed by requiring project proponents to demonstrate strong commercial support for their project. This will provide confidence in the commercial viability of the project and will help assess the appropriate level of assistance required to achieve the Government’s objectives and to minimise potential distortion to the market and financial risk to the Government. </w:t>
      </w:r>
    </w:p>
    <w:p w14:paraId="322CA3C1" w14:textId="77777777" w:rsidR="00C807F6" w:rsidRPr="00C807F6" w:rsidRDefault="00C807F6" w:rsidP="00C807F6">
      <w:pPr>
        <w:tabs>
          <w:tab w:val="left" w:pos="1095"/>
        </w:tabs>
        <w:spacing w:after="120"/>
        <w:rPr>
          <w:rFonts w:ascii="Arial" w:eastAsia="Calibri" w:hAnsi="Arial" w:cs="Times New Roman"/>
        </w:rPr>
      </w:pPr>
      <w:r w:rsidRPr="00C807F6">
        <w:rPr>
          <w:rFonts w:ascii="Arial" w:eastAsia="Calibri" w:hAnsi="Arial" w:cs="Times New Roman"/>
        </w:rPr>
        <w:t>Over the life of the project, the Government should not be expected to underwrite all generation between zero and the price floor. As such the project, as well as equity providers and debt providers will need to share some of the project risks. This risk sharing will increase the incentive for robust revenue models and demonstration of the commercial case for this generation in the market.</w:t>
      </w:r>
    </w:p>
    <w:p w14:paraId="7592E68C" w14:textId="77777777" w:rsidR="00C807F6" w:rsidRPr="00C807F6" w:rsidRDefault="00C807F6" w:rsidP="00C807F6">
      <w:pPr>
        <w:tabs>
          <w:tab w:val="left" w:pos="1095"/>
        </w:tabs>
        <w:spacing w:after="120"/>
        <w:rPr>
          <w:rFonts w:ascii="Arial" w:eastAsia="Calibri" w:hAnsi="Arial" w:cs="Arial"/>
        </w:rPr>
      </w:pPr>
      <w:r w:rsidRPr="00C807F6">
        <w:rPr>
          <w:rFonts w:ascii="Arial" w:eastAsia="Calibri" w:hAnsi="Arial" w:cs="Arial"/>
        </w:rPr>
        <w:t>It is intended that proponents of feasible projects will demonstrate purchase commitment from commercial and industrial customers and/or small retailers for a period of at least three years. This reflects feedback from stakeholders that a minimum period of five years, as suggested by the ACCC, does not consider the commercial realities of designing, building and commissioning new generation. This is particularly the case with long lead time generation projects, such as pumped hydro.</w:t>
      </w:r>
    </w:p>
    <w:p w14:paraId="1FA374FC" w14:textId="77777777" w:rsidR="00C807F6" w:rsidRPr="00C807F6" w:rsidRDefault="00C807F6" w:rsidP="00C807F6">
      <w:pPr>
        <w:tabs>
          <w:tab w:val="left" w:pos="1095"/>
        </w:tabs>
        <w:spacing w:after="120"/>
        <w:rPr>
          <w:rFonts w:ascii="Arial" w:eastAsia="Calibri" w:hAnsi="Arial" w:cs="Arial"/>
        </w:rPr>
      </w:pPr>
      <w:r w:rsidRPr="00C807F6">
        <w:rPr>
          <w:rFonts w:ascii="Arial" w:eastAsia="Calibri" w:hAnsi="Arial" w:cs="Arial"/>
        </w:rPr>
        <w:t xml:space="preserve">The price floor mechanism would only underwrite the revenues earned by generators (rather than set them, as is the case with a contract for difference). The risk that it will affect supported generators bidding behaviour would therefore be minimised provided it is set at an appropriate level. Supported generators would still have an incentive to offer hedging products (such as swaps and cap contracts to the market), increasing competition in the market consistent with the Government’s objectives. </w:t>
      </w:r>
    </w:p>
    <w:p w14:paraId="5CCB9F38" w14:textId="77777777" w:rsidR="00C807F6" w:rsidRPr="00C807F6" w:rsidRDefault="00C807F6" w:rsidP="00C807F6">
      <w:pPr>
        <w:keepNext/>
        <w:outlineLvl w:val="3"/>
        <w:rPr>
          <w:rFonts w:ascii="Arial" w:eastAsia="Calibri" w:hAnsi="Arial" w:cs="Arial"/>
          <w:i/>
        </w:rPr>
      </w:pPr>
      <w:r w:rsidRPr="00C807F6">
        <w:rPr>
          <w:rFonts w:ascii="Arial" w:eastAsia="Calibri" w:hAnsi="Arial" w:cs="Arial"/>
          <w:i/>
        </w:rPr>
        <w:t>Managing revenue floor risks</w:t>
      </w:r>
    </w:p>
    <w:p w14:paraId="0AA7FF9D" w14:textId="77777777" w:rsidR="00C807F6" w:rsidRPr="00C807F6" w:rsidRDefault="00C807F6" w:rsidP="00C807F6">
      <w:pPr>
        <w:tabs>
          <w:tab w:val="left" w:pos="1095"/>
        </w:tabs>
        <w:spacing w:after="120"/>
        <w:rPr>
          <w:rFonts w:ascii="Arial" w:eastAsia="Calibri" w:hAnsi="Arial" w:cs="Arial"/>
        </w:rPr>
      </w:pPr>
      <w:r w:rsidRPr="00C807F6">
        <w:rPr>
          <w:rFonts w:ascii="Arial" w:eastAsia="Calibri" w:hAnsi="Arial" w:cs="Arial"/>
        </w:rPr>
        <w:t>The revenue floor will provide top up payments if a generator’s revenue (including revenue from both the spot and contract markets) falls below the level required to cover its debt obligations. As a generator’s contract revenues are commercially sensitive and not publicly available, project proponents should be required to agree to an ‘open book’ process, whereby they will provide the Government with a range of commercial-in-confidence information.</w:t>
      </w:r>
    </w:p>
    <w:p w14:paraId="6A05DC76" w14:textId="77777777" w:rsidR="00C807F6" w:rsidRPr="00C807F6" w:rsidRDefault="00C807F6" w:rsidP="00C807F6">
      <w:pPr>
        <w:tabs>
          <w:tab w:val="left" w:pos="1095"/>
        </w:tabs>
        <w:spacing w:after="120"/>
        <w:rPr>
          <w:rFonts w:ascii="Arial" w:eastAsia="Calibri" w:hAnsi="Arial" w:cs="Arial"/>
        </w:rPr>
      </w:pPr>
      <w:r w:rsidRPr="00C807F6">
        <w:rPr>
          <w:rFonts w:ascii="Arial" w:eastAsia="Calibri" w:hAnsi="Arial" w:cs="Arial"/>
        </w:rPr>
        <w:lastRenderedPageBreak/>
        <w:t xml:space="preserve">Under the project finance ‘cash flow waterfall’, operating costs have priority payment ahead of debt service costs. Therefore, in order to guarantee a project’s revenues are sufficient to meet debt repayments, the price floor must also be sufficient to first cover variable and fixed operating costs. </w:t>
      </w:r>
    </w:p>
    <w:p w14:paraId="7DE77E12" w14:textId="77777777" w:rsidR="00C807F6" w:rsidRPr="00C807F6" w:rsidRDefault="00C807F6" w:rsidP="00C807F6">
      <w:pPr>
        <w:tabs>
          <w:tab w:val="left" w:pos="1095"/>
        </w:tabs>
        <w:spacing w:after="120"/>
        <w:rPr>
          <w:rFonts w:ascii="Arial" w:eastAsia="Calibri" w:hAnsi="Arial" w:cs="Times New Roman"/>
        </w:rPr>
      </w:pPr>
      <w:r w:rsidRPr="00C807F6">
        <w:rPr>
          <w:rFonts w:ascii="Arial" w:eastAsia="Calibri" w:hAnsi="Arial" w:cs="Times New Roman"/>
        </w:rPr>
        <w:t xml:space="preserve">Over the life of the project, the revenue needed to cover operating costs and debt service would be considerable. For the Government to assume the full risk would reduce the incentive of debt providers to undertake thorough due diligence on the project. Therefore, the Government should not bear the risks in full and it is reasonable to expect some risk sharing with debt providers. </w:t>
      </w:r>
    </w:p>
    <w:p w14:paraId="34DC6543" w14:textId="77777777" w:rsidR="00C807F6" w:rsidRPr="00C807F6" w:rsidRDefault="00C807F6" w:rsidP="00C807F6">
      <w:pPr>
        <w:tabs>
          <w:tab w:val="left" w:pos="1095"/>
        </w:tabs>
        <w:spacing w:after="120"/>
        <w:rPr>
          <w:rFonts w:ascii="Arial" w:eastAsia="Calibri" w:hAnsi="Arial" w:cs="Times New Roman"/>
        </w:rPr>
      </w:pPr>
      <w:r w:rsidRPr="00C807F6">
        <w:rPr>
          <w:rFonts w:ascii="Arial" w:eastAsia="Calibri" w:hAnsi="Arial" w:cs="Times New Roman"/>
        </w:rPr>
        <w:t>Equity providers will retain the full risk of their investment which will help provide incentives to ensure there are robust revenue models for the proposed generation project.</w:t>
      </w:r>
    </w:p>
    <w:p w14:paraId="06258466" w14:textId="77777777" w:rsidR="00C807F6" w:rsidRPr="00C807F6" w:rsidRDefault="00C807F6" w:rsidP="00C807F6">
      <w:pPr>
        <w:tabs>
          <w:tab w:val="left" w:pos="1095"/>
        </w:tabs>
        <w:spacing w:after="120"/>
        <w:rPr>
          <w:rFonts w:ascii="Arial" w:eastAsia="Calibri" w:hAnsi="Arial" w:cs="Arial"/>
        </w:rPr>
      </w:pPr>
      <w:r w:rsidRPr="00C807F6">
        <w:rPr>
          <w:rFonts w:ascii="Arial" w:eastAsia="Calibri" w:hAnsi="Arial" w:cs="Arial"/>
        </w:rPr>
        <w:t>In order to manage both the Government’s and proponent’s risk under a revenue floor agreement the following conditions should guide the agreement:</w:t>
      </w:r>
    </w:p>
    <w:p w14:paraId="6854F45A" w14:textId="77777777" w:rsidR="00C807F6" w:rsidRPr="00C807F6" w:rsidRDefault="00C807F6" w:rsidP="00C807F6">
      <w:pPr>
        <w:numPr>
          <w:ilvl w:val="0"/>
          <w:numId w:val="46"/>
        </w:numPr>
        <w:tabs>
          <w:tab w:val="left" w:pos="1095"/>
        </w:tabs>
        <w:spacing w:after="120"/>
        <w:rPr>
          <w:rFonts w:ascii="Arial" w:eastAsia="Calibri" w:hAnsi="Arial" w:cs="Arial"/>
        </w:rPr>
      </w:pPr>
      <w:r w:rsidRPr="00C807F6">
        <w:rPr>
          <w:rFonts w:ascii="Arial" w:eastAsia="Calibri" w:hAnsi="Arial" w:cs="Arial"/>
        </w:rPr>
        <w:t>The maximum length of the agreement to be in line with the proponent’s debt agreement.</w:t>
      </w:r>
    </w:p>
    <w:p w14:paraId="1E2EFC7C" w14:textId="77777777" w:rsidR="00C807F6" w:rsidRPr="00C807F6" w:rsidRDefault="00C807F6" w:rsidP="00C807F6">
      <w:pPr>
        <w:numPr>
          <w:ilvl w:val="0"/>
          <w:numId w:val="46"/>
        </w:numPr>
        <w:tabs>
          <w:tab w:val="left" w:pos="1095"/>
        </w:tabs>
        <w:spacing w:after="120"/>
        <w:rPr>
          <w:rFonts w:ascii="Arial" w:eastAsia="Calibri" w:hAnsi="Arial" w:cs="Arial"/>
        </w:rPr>
      </w:pPr>
      <w:r w:rsidRPr="00C807F6">
        <w:rPr>
          <w:rFonts w:ascii="Arial" w:eastAsia="Calibri" w:hAnsi="Arial" w:cs="Arial"/>
        </w:rPr>
        <w:t>The agreement can be structured as a series of back-to-back contracts of for example 2-3 years in duration to account for changing market conditions. The market conditions subject to reassessment and the methodology by which they are determined will be agreed at the project outset. Examples of contract terms for possible reset include interest rates, fuel costs and regulatory change events.</w:t>
      </w:r>
    </w:p>
    <w:p w14:paraId="0B98E815" w14:textId="77777777" w:rsidR="00C807F6" w:rsidRPr="00C807F6" w:rsidRDefault="00C807F6" w:rsidP="00C807F6">
      <w:pPr>
        <w:numPr>
          <w:ilvl w:val="0"/>
          <w:numId w:val="46"/>
        </w:numPr>
        <w:tabs>
          <w:tab w:val="left" w:pos="1095"/>
        </w:tabs>
        <w:spacing w:after="120"/>
        <w:rPr>
          <w:rFonts w:ascii="Arial" w:eastAsia="Calibri" w:hAnsi="Arial" w:cs="Arial"/>
        </w:rPr>
      </w:pPr>
      <w:r w:rsidRPr="00C807F6">
        <w:rPr>
          <w:rFonts w:ascii="Arial" w:eastAsia="Calibri" w:hAnsi="Arial" w:cs="Arial"/>
        </w:rPr>
        <w:t xml:space="preserve">The revenue assessment period is expected to be three to 12 months duration, to account for seasonal variation in earnings. </w:t>
      </w:r>
    </w:p>
    <w:p w14:paraId="040C289A" w14:textId="77777777" w:rsidR="00C807F6" w:rsidRPr="00C807F6" w:rsidRDefault="00C807F6" w:rsidP="00C807F6">
      <w:pPr>
        <w:numPr>
          <w:ilvl w:val="0"/>
          <w:numId w:val="46"/>
        </w:numPr>
        <w:tabs>
          <w:tab w:val="left" w:pos="1095"/>
        </w:tabs>
        <w:spacing w:after="120"/>
        <w:rPr>
          <w:rFonts w:ascii="Arial" w:eastAsia="Calibri" w:hAnsi="Arial" w:cs="Arial"/>
        </w:rPr>
      </w:pPr>
      <w:r w:rsidRPr="00C807F6">
        <w:rPr>
          <w:rFonts w:ascii="Arial" w:eastAsia="Calibri" w:hAnsi="Arial" w:cs="Arial"/>
        </w:rPr>
        <w:t xml:space="preserve">Payments would be made to the project proponent if total revenues over the assessment period were insufficient to cover debt obligations over the same period. </w:t>
      </w:r>
    </w:p>
    <w:p w14:paraId="617E4D8C" w14:textId="77777777" w:rsidR="00C807F6" w:rsidRPr="00C807F6" w:rsidRDefault="00C807F6" w:rsidP="00C807F6">
      <w:pPr>
        <w:numPr>
          <w:ilvl w:val="0"/>
          <w:numId w:val="46"/>
        </w:numPr>
        <w:tabs>
          <w:tab w:val="left" w:pos="1095"/>
        </w:tabs>
        <w:spacing w:after="120"/>
        <w:rPr>
          <w:rFonts w:ascii="Arial" w:eastAsia="Calibri" w:hAnsi="Arial" w:cs="Arial"/>
        </w:rPr>
      </w:pPr>
      <w:r w:rsidRPr="00C807F6">
        <w:rPr>
          <w:rFonts w:ascii="Arial" w:eastAsia="Calibri" w:hAnsi="Arial" w:cs="Arial"/>
        </w:rPr>
        <w:t>The Government’s maximum liability will be capped at a pre-determined level across each assessment period as well as across the life of the agreement, including all back</w:t>
      </w:r>
      <w:r w:rsidRPr="00C807F6">
        <w:rPr>
          <w:rFonts w:ascii="Arial" w:eastAsia="Calibri" w:hAnsi="Arial" w:cs="Arial"/>
        </w:rPr>
        <w:noBreakHyphen/>
        <w:t>to-back contracts. The cap will be determined on an individual project basis.</w:t>
      </w:r>
    </w:p>
    <w:p w14:paraId="4571D724" w14:textId="77777777" w:rsidR="00C807F6" w:rsidRPr="00C807F6" w:rsidRDefault="00C807F6" w:rsidP="00C807F6">
      <w:pPr>
        <w:numPr>
          <w:ilvl w:val="0"/>
          <w:numId w:val="46"/>
        </w:numPr>
        <w:tabs>
          <w:tab w:val="left" w:pos="1095"/>
        </w:tabs>
        <w:spacing w:after="120"/>
        <w:rPr>
          <w:rFonts w:ascii="Arial" w:eastAsia="Calibri" w:hAnsi="Arial" w:cs="Arial"/>
        </w:rPr>
      </w:pPr>
      <w:r w:rsidRPr="00C807F6">
        <w:rPr>
          <w:rFonts w:ascii="Arial" w:eastAsia="Calibri" w:hAnsi="Arial" w:cs="Arial"/>
        </w:rPr>
        <w:t>All sources of a generator’s revenue are included in determining the price floor to account for payments for the provision of ancillary services and future revenue streams.</w:t>
      </w:r>
    </w:p>
    <w:p w14:paraId="3B574D68" w14:textId="77777777" w:rsidR="00C807F6" w:rsidRPr="00C807F6" w:rsidRDefault="00C807F6" w:rsidP="00C807F6">
      <w:pPr>
        <w:numPr>
          <w:ilvl w:val="0"/>
          <w:numId w:val="46"/>
        </w:numPr>
        <w:tabs>
          <w:tab w:val="left" w:pos="1095"/>
        </w:tabs>
        <w:spacing w:after="120"/>
        <w:rPr>
          <w:rFonts w:ascii="Arial" w:eastAsia="Calibri" w:hAnsi="Arial" w:cs="Arial"/>
        </w:rPr>
      </w:pPr>
      <w:r w:rsidRPr="00C807F6">
        <w:rPr>
          <w:rFonts w:ascii="Arial" w:eastAsia="Calibri" w:hAnsi="Arial" w:cs="Arial"/>
        </w:rPr>
        <w:t>Related party contracts should also be interrogated to ensure no returns to equity through pre</w:t>
      </w:r>
      <w:r w:rsidRPr="00C807F6">
        <w:rPr>
          <w:rFonts w:ascii="Arial" w:eastAsia="Calibri" w:hAnsi="Arial" w:cs="Arial"/>
        </w:rPr>
        <w:noBreakHyphen/>
        <w:t>debt revenue streams.</w:t>
      </w:r>
    </w:p>
    <w:p w14:paraId="1F4153A5" w14:textId="77777777" w:rsidR="00C807F6" w:rsidRPr="00C807F6" w:rsidRDefault="00C807F6" w:rsidP="00C807F6">
      <w:pPr>
        <w:keepNext/>
        <w:spacing w:before="200" w:after="120"/>
        <w:outlineLvl w:val="1"/>
        <w:rPr>
          <w:rFonts w:ascii="Arial" w:eastAsia="Calibri" w:hAnsi="Arial" w:cs="Arial"/>
          <w:b/>
          <w:i/>
          <w:color w:val="365F91"/>
        </w:rPr>
      </w:pPr>
      <w:r w:rsidRPr="00C807F6">
        <w:rPr>
          <w:rFonts w:ascii="Arial" w:eastAsia="Calibri" w:hAnsi="Arial" w:cs="Arial"/>
          <w:b/>
          <w:i/>
          <w:color w:val="365F91"/>
        </w:rPr>
        <w:t>Mechanism 2: Loans</w:t>
      </w:r>
    </w:p>
    <w:p w14:paraId="283291A6" w14:textId="77777777" w:rsidR="00C807F6" w:rsidRPr="00C807F6" w:rsidRDefault="00C807F6" w:rsidP="00C807F6">
      <w:pPr>
        <w:spacing w:after="120"/>
        <w:rPr>
          <w:rFonts w:ascii="Arial" w:eastAsia="Calibri" w:hAnsi="Arial" w:cs="Arial"/>
        </w:rPr>
      </w:pPr>
      <w:r w:rsidRPr="00C807F6">
        <w:rPr>
          <w:rFonts w:ascii="Arial" w:eastAsia="Calibri" w:hAnsi="Arial" w:cs="Arial"/>
        </w:rPr>
        <w:t xml:space="preserve">A Government loan to support generation will address the Government’s objectives if it is designed in a manner to ensure that only projects that were genuinely unable </w:t>
      </w:r>
      <w:r w:rsidRPr="00C807F6">
        <w:rPr>
          <w:rFonts w:ascii="Arial" w:eastAsia="Calibri" w:hAnsi="Arial" w:cs="Arial"/>
        </w:rPr>
        <w:lastRenderedPageBreak/>
        <w:t>to attract sufficient debt financing were eligible. As with all support mechanisms, proponents will also be requested to demonstrate support for their project from commercial and industrial and/or retailer businesses.</w:t>
      </w:r>
    </w:p>
    <w:p w14:paraId="370A4354" w14:textId="77777777" w:rsidR="00C807F6" w:rsidRPr="00C807F6" w:rsidRDefault="00C807F6" w:rsidP="00C807F6">
      <w:pPr>
        <w:spacing w:after="120"/>
        <w:rPr>
          <w:rFonts w:ascii="Arial" w:eastAsia="Calibri" w:hAnsi="Arial" w:cs="Arial"/>
        </w:rPr>
      </w:pPr>
      <w:r w:rsidRPr="00C807F6">
        <w:rPr>
          <w:rFonts w:ascii="Arial" w:eastAsia="Calibri" w:hAnsi="Arial" w:cs="Arial"/>
        </w:rPr>
        <w:t>There are likely to be significant information asymmetries between the Government and the project developer which may make it challenging for the Government to determine the actual level of assistance required to ensure additionality of generating capacity to the market.</w:t>
      </w:r>
    </w:p>
    <w:p w14:paraId="1FC5C5EF" w14:textId="77777777" w:rsidR="00C807F6" w:rsidRPr="00C807F6" w:rsidRDefault="00C807F6" w:rsidP="00C807F6">
      <w:pPr>
        <w:spacing w:after="120"/>
        <w:rPr>
          <w:rFonts w:ascii="Arial" w:eastAsia="Calibri" w:hAnsi="Arial" w:cs="Arial"/>
        </w:rPr>
      </w:pPr>
      <w:r w:rsidRPr="00C807F6">
        <w:rPr>
          <w:rFonts w:ascii="Arial" w:eastAsia="Calibri" w:hAnsi="Arial" w:cs="Arial"/>
        </w:rPr>
        <w:t>This could have two consequences:</w:t>
      </w:r>
    </w:p>
    <w:p w14:paraId="01472231" w14:textId="77777777" w:rsidR="00C807F6" w:rsidRPr="00C807F6" w:rsidRDefault="00C807F6" w:rsidP="00C807F6">
      <w:pPr>
        <w:numPr>
          <w:ilvl w:val="0"/>
          <w:numId w:val="36"/>
        </w:numPr>
        <w:spacing w:after="120"/>
        <w:rPr>
          <w:rFonts w:ascii="Arial" w:eastAsia="Calibri" w:hAnsi="Arial" w:cs="Arial"/>
        </w:rPr>
      </w:pPr>
      <w:r w:rsidRPr="00C807F6">
        <w:rPr>
          <w:rFonts w:ascii="Arial" w:eastAsia="Calibri" w:hAnsi="Arial" w:cs="Arial"/>
        </w:rPr>
        <w:t>Investment that would otherwise occur in the private sector would seek a Government loan. If those projects were to gain loans from the Government, the investment would not be additional to that which would occur under a business-as-usual scenario.</w:t>
      </w:r>
    </w:p>
    <w:p w14:paraId="20F76667" w14:textId="77777777" w:rsidR="00C807F6" w:rsidRPr="00C807F6" w:rsidRDefault="00C807F6" w:rsidP="00C807F6">
      <w:pPr>
        <w:numPr>
          <w:ilvl w:val="0"/>
          <w:numId w:val="36"/>
        </w:numPr>
        <w:spacing w:after="120"/>
        <w:rPr>
          <w:rFonts w:ascii="Arial" w:eastAsia="Calibri" w:hAnsi="Arial" w:cs="Arial"/>
        </w:rPr>
      </w:pPr>
      <w:r w:rsidRPr="00C807F6">
        <w:rPr>
          <w:rFonts w:ascii="Arial" w:eastAsia="Calibri" w:hAnsi="Arial" w:cs="Arial"/>
        </w:rPr>
        <w:t xml:space="preserve">Private sector investment may become depressed as project developers wait until the availability of Government loans. Even though a project developer may not initially be granted a loan, it may prefer to wait until subsequent rounds of the program rather than funding the investment privately.  </w:t>
      </w:r>
    </w:p>
    <w:p w14:paraId="4E204487" w14:textId="77777777" w:rsidR="00C807F6" w:rsidRPr="00C807F6" w:rsidRDefault="00C807F6" w:rsidP="00C807F6">
      <w:pPr>
        <w:spacing w:after="120"/>
        <w:rPr>
          <w:rFonts w:ascii="Arial" w:eastAsia="Calibri" w:hAnsi="Arial" w:cs="Arial"/>
        </w:rPr>
      </w:pPr>
      <w:r w:rsidRPr="00C807F6">
        <w:rPr>
          <w:rFonts w:ascii="Arial" w:eastAsia="Calibri" w:hAnsi="Arial" w:cs="Arial"/>
        </w:rPr>
        <w:t xml:space="preserve">To mitigate these risks, it will be important that loans be designed in a manner that limits the </w:t>
      </w:r>
      <w:proofErr w:type="spellStart"/>
      <w:r w:rsidRPr="00C807F6">
        <w:rPr>
          <w:rFonts w:ascii="Arial" w:eastAsia="Calibri" w:hAnsi="Arial" w:cs="Arial"/>
        </w:rPr>
        <w:t>concessionality</w:t>
      </w:r>
      <w:proofErr w:type="spellEnd"/>
      <w:r w:rsidRPr="00C807F6">
        <w:rPr>
          <w:rFonts w:ascii="Arial" w:eastAsia="Calibri" w:hAnsi="Arial" w:cs="Arial"/>
        </w:rPr>
        <w:t>. Government loans should ideally avoid non-commercial concessions such as interest-free periods.</w:t>
      </w:r>
    </w:p>
    <w:p w14:paraId="46F1BC7B" w14:textId="77777777" w:rsidR="00C807F6" w:rsidRPr="00C807F6" w:rsidRDefault="00C807F6" w:rsidP="00C807F6">
      <w:pPr>
        <w:rPr>
          <w:rFonts w:ascii="Arial" w:eastAsia="Calibri" w:hAnsi="Arial" w:cs="Times New Roman"/>
        </w:rPr>
      </w:pPr>
      <w:r w:rsidRPr="00C807F6">
        <w:rPr>
          <w:rFonts w:ascii="Arial" w:eastAsia="Calibri" w:hAnsi="Arial" w:cs="Times New Roman"/>
        </w:rPr>
        <w:t>The provision of loans also involves the Government taking on financial risks in the event the project defaults. Default could also result in the Government acquiring the asset. This risk can be managed by ensuring appropriate due diligence is undertaken as part of the program selection process. The risk can also be shared by the Government being the sole debt provider to the project. In addition to sharing the risk, other debt providers also demonstrate that the project also satisfies the strict due diligence requirements of commercial banks.</w:t>
      </w:r>
    </w:p>
    <w:p w14:paraId="42D89D24" w14:textId="77777777" w:rsidR="00C807F6" w:rsidRPr="00C807F6" w:rsidRDefault="00C807F6" w:rsidP="00C807F6">
      <w:pPr>
        <w:keepNext/>
        <w:spacing w:before="200" w:after="120"/>
        <w:outlineLvl w:val="1"/>
        <w:rPr>
          <w:rFonts w:ascii="Arial" w:eastAsia="Calibri" w:hAnsi="Arial" w:cs="Arial"/>
          <w:b/>
          <w:i/>
          <w:color w:val="365F91"/>
        </w:rPr>
      </w:pPr>
      <w:r w:rsidRPr="00C807F6">
        <w:rPr>
          <w:rFonts w:ascii="Arial" w:eastAsia="Calibri" w:hAnsi="Arial" w:cs="Arial"/>
          <w:b/>
          <w:i/>
          <w:color w:val="365F91"/>
        </w:rPr>
        <w:t>Mechanism 3: Small grants</w:t>
      </w:r>
    </w:p>
    <w:p w14:paraId="0B113B7C" w14:textId="77777777" w:rsidR="00C807F6" w:rsidRPr="00C807F6" w:rsidRDefault="00C807F6" w:rsidP="00C807F6">
      <w:pPr>
        <w:spacing w:after="120"/>
        <w:rPr>
          <w:rFonts w:ascii="Arial" w:eastAsia="Calibri" w:hAnsi="Arial" w:cs="Arial"/>
        </w:rPr>
      </w:pPr>
      <w:r w:rsidRPr="00C807F6">
        <w:rPr>
          <w:rFonts w:ascii="Arial" w:eastAsia="Calibri" w:hAnsi="Arial" w:cs="Arial"/>
        </w:rPr>
        <w:t xml:space="preserve">Consultation with stakeholders identified that some project proponents are struggling to gain approval for undertaking feasibility studies owing to the current investment environment for electricity projects. Although feasibility studies cannot guarantee more capacity in the market, feasibility studies are an important step in the process to build new generation. </w:t>
      </w:r>
    </w:p>
    <w:p w14:paraId="2F23A983" w14:textId="77777777" w:rsidR="00C807F6" w:rsidRPr="00C807F6" w:rsidRDefault="00C807F6" w:rsidP="00C807F6">
      <w:pPr>
        <w:spacing w:after="120"/>
        <w:rPr>
          <w:rFonts w:ascii="Arial" w:eastAsia="Calibri" w:hAnsi="Arial" w:cs="Arial"/>
        </w:rPr>
      </w:pPr>
      <w:r w:rsidRPr="00C807F6">
        <w:rPr>
          <w:rFonts w:ascii="Arial" w:eastAsia="Calibri" w:hAnsi="Arial" w:cs="Arial"/>
        </w:rPr>
        <w:t xml:space="preserve">The provision of small grants to fund feasibility studies would assist some project proponents to firm up their projects and accelerate the process of bringing them to the development stage. As government support of a feasibility study will not impact on the manner in which a generator will operate if it proves to be feasible, supporting feasibility studies will not risk distorting the market.   </w:t>
      </w:r>
    </w:p>
    <w:p w14:paraId="062AD98A" w14:textId="77777777" w:rsidR="00C807F6" w:rsidRPr="00C807F6" w:rsidRDefault="00C807F6" w:rsidP="00C807F6">
      <w:pPr>
        <w:rPr>
          <w:rFonts w:ascii="Arial" w:eastAsia="Calibri" w:hAnsi="Arial" w:cs="Arial"/>
        </w:rPr>
      </w:pPr>
      <w:r w:rsidRPr="00C807F6">
        <w:rPr>
          <w:rFonts w:ascii="Arial" w:eastAsia="Calibri" w:hAnsi="Arial" w:cs="Arial"/>
        </w:rPr>
        <w:t xml:space="preserve">Small grant programs to fund upgrades to existing power stations could quickly add capacity to the system, either through increasing the efficiency of the plant or through extending its life. Given the modest size of resulting capacity improvements, </w:t>
      </w:r>
      <w:r w:rsidRPr="00C807F6">
        <w:rPr>
          <w:rFonts w:ascii="Arial" w:eastAsia="Calibri" w:hAnsi="Arial" w:cs="Arial"/>
        </w:rPr>
        <w:lastRenderedPageBreak/>
        <w:t>supporting upgrades through the provision of small grants is unlikely to distort the market, but could help meet some of the objectives of the Government, including increasing reliability. However, there is unlikely to be a material impact on competition in the market, regardless of the proponent’s market share in the particular region of the market due to the modest size of the capacity improvements.</w:t>
      </w:r>
    </w:p>
    <w:p w14:paraId="34E83988" w14:textId="77777777" w:rsidR="00C807F6" w:rsidRPr="00C807F6" w:rsidRDefault="00C807F6" w:rsidP="00C807F6">
      <w:pPr>
        <w:rPr>
          <w:rFonts w:ascii="Arial" w:eastAsia="Calibri" w:hAnsi="Arial" w:cs="Arial"/>
        </w:rPr>
      </w:pPr>
      <w:r w:rsidRPr="00C807F6">
        <w:rPr>
          <w:rFonts w:ascii="Arial" w:eastAsia="Calibri" w:hAnsi="Arial" w:cs="Arial"/>
        </w:rPr>
        <w:t xml:space="preserve">The grants mechanism may provide perverse incentives for existing generators to postpone routine upgrades in order to possibly have the Government fund these, thereby introducing further instability into the electricity network. Grant funds will not cover the entire cost of the upgrades. The grants mechanism will only be used in instances where deemed appropriate and where the value of the grant is relatively small. </w:t>
      </w:r>
    </w:p>
    <w:p w14:paraId="4BF3EB4D" w14:textId="77777777" w:rsidR="00C807F6" w:rsidRPr="00C807F6" w:rsidRDefault="00C807F6" w:rsidP="00C807F6">
      <w:pPr>
        <w:spacing w:after="120"/>
        <w:rPr>
          <w:rFonts w:ascii="Arial" w:eastAsia="Calibri" w:hAnsi="Arial" w:cs="Arial"/>
        </w:rPr>
      </w:pPr>
      <w:r w:rsidRPr="00C807F6">
        <w:rPr>
          <w:rFonts w:ascii="Arial" w:eastAsia="Calibri" w:hAnsi="Arial" w:cs="Arial"/>
        </w:rPr>
        <w:t>As mentioned above, the ACCC noted that large incumbents have limited incentive to invest in new capacity while they are reaping the benefits of higher spot prices and future prices. Small grants may not be attractive for large incumbents to undertake upgrade works as they may need to contribute significant finance to cover the cost. The Government would need to consider the size of a grant depending on the incentive needed for a specific project. The size of the grant proportional to the benefits of an upgrade will affect whether a grant is the most cost effective approach to achieve the outcomes of the program.</w:t>
      </w:r>
    </w:p>
    <w:p w14:paraId="6796BB18" w14:textId="77777777" w:rsidR="00C807F6" w:rsidRPr="00C807F6" w:rsidRDefault="00C807F6" w:rsidP="00C807F6">
      <w:pPr>
        <w:spacing w:after="120"/>
        <w:rPr>
          <w:rFonts w:ascii="Arial" w:eastAsia="Calibri" w:hAnsi="Arial" w:cs="Arial"/>
        </w:rPr>
      </w:pPr>
      <w:r w:rsidRPr="00C807F6">
        <w:rPr>
          <w:rFonts w:ascii="Arial" w:eastAsia="Calibri" w:hAnsi="Arial" w:cs="Arial"/>
        </w:rPr>
        <w:t xml:space="preserve">However, unlike other mechanisms which involve the Government taking on a contingent liability that may not crystallise by assuming some of the financing risk of a project (through a loan or floor price for instance), the provision of Government grants will have a direct and known cost to Budget.  </w:t>
      </w:r>
    </w:p>
    <w:p w14:paraId="1C94648F" w14:textId="77777777" w:rsidR="00C807F6" w:rsidRPr="00C807F6" w:rsidRDefault="00C807F6" w:rsidP="00C807F6">
      <w:pPr>
        <w:keepNext/>
        <w:spacing w:before="200" w:after="120"/>
        <w:outlineLvl w:val="1"/>
        <w:rPr>
          <w:rFonts w:ascii="Arial" w:eastAsia="Calibri" w:hAnsi="Arial" w:cs="Arial"/>
          <w:b/>
          <w:i/>
          <w:color w:val="365F91"/>
        </w:rPr>
      </w:pPr>
      <w:r w:rsidRPr="00C807F6">
        <w:rPr>
          <w:rFonts w:ascii="Arial" w:eastAsia="Calibri" w:hAnsi="Arial" w:cs="Arial"/>
          <w:b/>
          <w:i/>
          <w:color w:val="365F91"/>
        </w:rPr>
        <w:t>Mechanism 4: Cap and floor (collar) contracts</w:t>
      </w:r>
    </w:p>
    <w:p w14:paraId="03E27774" w14:textId="77777777" w:rsidR="00C807F6" w:rsidRPr="00C807F6" w:rsidRDefault="00C807F6" w:rsidP="00C807F6">
      <w:pPr>
        <w:tabs>
          <w:tab w:val="left" w:pos="1095"/>
        </w:tabs>
        <w:spacing w:after="120"/>
        <w:rPr>
          <w:rFonts w:ascii="Arial" w:eastAsia="Calibri" w:hAnsi="Arial" w:cs="Arial"/>
        </w:rPr>
      </w:pPr>
      <w:r w:rsidRPr="00C807F6">
        <w:rPr>
          <w:rFonts w:ascii="Arial" w:eastAsia="Calibri" w:hAnsi="Arial" w:cs="Arial"/>
        </w:rPr>
        <w:t xml:space="preserve">A collar contract is similar to a floor contract and has similar advantages. But the existence of a cap, or ceiling price, means that Government could expect to receive some revenue if the average price exceeds the cap. </w:t>
      </w:r>
    </w:p>
    <w:p w14:paraId="220D44C8" w14:textId="77777777" w:rsidR="00C807F6" w:rsidRPr="00C807F6" w:rsidRDefault="00C807F6" w:rsidP="00C807F6">
      <w:pPr>
        <w:tabs>
          <w:tab w:val="left" w:pos="1095"/>
        </w:tabs>
        <w:spacing w:after="120"/>
        <w:rPr>
          <w:rFonts w:ascii="Arial" w:eastAsia="Calibri" w:hAnsi="Arial" w:cs="Arial"/>
        </w:rPr>
      </w:pPr>
      <w:r w:rsidRPr="00C807F6">
        <w:rPr>
          <w:rFonts w:ascii="Arial" w:eastAsia="Calibri" w:hAnsi="Arial" w:cs="Arial"/>
        </w:rPr>
        <w:t xml:space="preserve">Effectively a collar contract will provide Government with a form of risk management in that, while it takes on some of the downside risk by imposing a floor price, it gains the upside benefit by imposing a cap. The floor price under the collar contract should be the same as under the floor price option. So while a collar contract will be less attractive to project proponents, it will provide less of a risk to Government finances.  </w:t>
      </w:r>
    </w:p>
    <w:p w14:paraId="72146380" w14:textId="77777777" w:rsidR="00C807F6" w:rsidRPr="00C807F6" w:rsidRDefault="00C807F6" w:rsidP="00C807F6">
      <w:pPr>
        <w:spacing w:after="120"/>
        <w:rPr>
          <w:rFonts w:ascii="Arial" w:eastAsia="Calibri" w:hAnsi="Arial" w:cs="Arial"/>
        </w:rPr>
      </w:pPr>
      <w:r w:rsidRPr="00C807F6">
        <w:rPr>
          <w:rFonts w:ascii="Arial" w:eastAsia="Calibri" w:hAnsi="Arial" w:cs="Arial"/>
        </w:rPr>
        <w:t xml:space="preserve">Cap and floor contracts are already used in the market and industry is familiar with how they work. But they are currently used to manage day-to-day fluctuations in prices and not the average price changes over a longer period as envisaged by this reform.     </w:t>
      </w:r>
    </w:p>
    <w:p w14:paraId="133A2435" w14:textId="77777777" w:rsidR="00C807F6" w:rsidRPr="00C807F6" w:rsidRDefault="00C807F6" w:rsidP="00C807F6">
      <w:pPr>
        <w:tabs>
          <w:tab w:val="left" w:pos="1095"/>
        </w:tabs>
        <w:spacing w:after="120"/>
        <w:rPr>
          <w:rFonts w:ascii="Arial" w:eastAsia="Calibri" w:hAnsi="Arial" w:cs="Arial"/>
        </w:rPr>
      </w:pPr>
      <w:r w:rsidRPr="00C807F6">
        <w:rPr>
          <w:rFonts w:ascii="Arial" w:eastAsia="Calibri" w:hAnsi="Arial" w:cs="Arial"/>
        </w:rPr>
        <w:t>Unlike a floor price, a collar contract would involve an increased risk of altering the bidding behaviour of recipient generation projects. For example, a generator would have no incentive to bid into the market above the price set by the cap.</w:t>
      </w:r>
    </w:p>
    <w:p w14:paraId="388BBEBA" w14:textId="77777777" w:rsidR="00C807F6" w:rsidRPr="00C807F6" w:rsidRDefault="00C807F6" w:rsidP="00C807F6">
      <w:pPr>
        <w:tabs>
          <w:tab w:val="left" w:pos="1095"/>
        </w:tabs>
        <w:spacing w:after="120"/>
        <w:rPr>
          <w:rFonts w:ascii="Arial" w:eastAsia="Calibri" w:hAnsi="Arial" w:cs="Arial"/>
        </w:rPr>
      </w:pPr>
      <w:r w:rsidRPr="00C807F6">
        <w:rPr>
          <w:rFonts w:ascii="Arial" w:eastAsia="Calibri" w:hAnsi="Arial" w:cs="Arial"/>
        </w:rPr>
        <w:lastRenderedPageBreak/>
        <w:t>A collar contract is more complex to design because there are two variables for the Government to calculate and negotiate. This increases the likelihood that the prices set will not be accurate, potentially creating distortions in the market. It also potentially opens the Government to significant financial risks if the wrong parameters are set. Further, collar contracts usually require a higher floor price to compensate for the possible loss of revenue when the ceiling price is reached.</w:t>
      </w:r>
    </w:p>
    <w:p w14:paraId="6420A542" w14:textId="77777777" w:rsidR="00C807F6" w:rsidRPr="00C807F6" w:rsidRDefault="00C807F6" w:rsidP="00C807F6">
      <w:pPr>
        <w:keepNext/>
        <w:spacing w:before="200" w:after="120"/>
        <w:outlineLvl w:val="1"/>
        <w:rPr>
          <w:rFonts w:ascii="Arial" w:eastAsia="Calibri" w:hAnsi="Arial" w:cs="Arial"/>
          <w:b/>
          <w:i/>
          <w:color w:val="365F91"/>
        </w:rPr>
      </w:pPr>
      <w:r w:rsidRPr="00C807F6">
        <w:rPr>
          <w:rFonts w:ascii="Arial" w:eastAsia="Calibri" w:hAnsi="Arial" w:cs="Arial"/>
          <w:b/>
          <w:i/>
          <w:color w:val="365F91"/>
        </w:rPr>
        <w:t>Mechanism 5: Contracts-for-difference</w:t>
      </w:r>
    </w:p>
    <w:p w14:paraId="5370BDF3" w14:textId="77777777" w:rsidR="00C807F6" w:rsidRPr="00C807F6" w:rsidRDefault="00C807F6" w:rsidP="00C807F6">
      <w:pPr>
        <w:spacing w:after="120"/>
        <w:rPr>
          <w:rFonts w:ascii="Arial" w:eastAsia="Calibri" w:hAnsi="Arial" w:cs="Arial"/>
        </w:rPr>
      </w:pPr>
      <w:proofErr w:type="spellStart"/>
      <w:r w:rsidRPr="00C807F6">
        <w:rPr>
          <w:rFonts w:ascii="Arial" w:eastAsia="Calibri" w:hAnsi="Arial" w:cs="Arial"/>
        </w:rPr>
        <w:t>CfDs</w:t>
      </w:r>
      <w:proofErr w:type="spellEnd"/>
      <w:r w:rsidRPr="00C807F6">
        <w:rPr>
          <w:rFonts w:ascii="Arial" w:eastAsia="Calibri" w:hAnsi="Arial" w:cs="Arial"/>
        </w:rPr>
        <w:t xml:space="preserve"> are a well-understood mechanism that has been utilised by many governments, including the Victorian and ACT governments in Australia. As the form and function of a </w:t>
      </w:r>
      <w:proofErr w:type="spellStart"/>
      <w:r w:rsidRPr="00C807F6">
        <w:rPr>
          <w:rFonts w:ascii="Arial" w:eastAsia="Calibri" w:hAnsi="Arial" w:cs="Arial"/>
        </w:rPr>
        <w:t>CfD</w:t>
      </w:r>
      <w:proofErr w:type="spellEnd"/>
      <w:r w:rsidRPr="00C807F6">
        <w:rPr>
          <w:rFonts w:ascii="Arial" w:eastAsia="Calibri" w:hAnsi="Arial" w:cs="Arial"/>
        </w:rPr>
        <w:t xml:space="preserve"> can mirror the PPAs used by the market, they are also well understood by industry. </w:t>
      </w:r>
    </w:p>
    <w:p w14:paraId="2733FF7A" w14:textId="77777777" w:rsidR="00C807F6" w:rsidRPr="00C807F6" w:rsidRDefault="00C807F6" w:rsidP="00C807F6">
      <w:pPr>
        <w:spacing w:after="120"/>
        <w:rPr>
          <w:rFonts w:ascii="Arial" w:eastAsia="Calibri" w:hAnsi="Arial" w:cs="Arial"/>
        </w:rPr>
      </w:pPr>
      <w:proofErr w:type="spellStart"/>
      <w:r w:rsidRPr="00C807F6">
        <w:rPr>
          <w:rFonts w:ascii="Arial" w:eastAsia="Calibri" w:hAnsi="Arial" w:cs="Arial"/>
        </w:rPr>
        <w:t>CfDs</w:t>
      </w:r>
      <w:proofErr w:type="spellEnd"/>
      <w:r w:rsidRPr="00C807F6">
        <w:rPr>
          <w:rFonts w:ascii="Arial" w:eastAsia="Calibri" w:hAnsi="Arial" w:cs="Arial"/>
        </w:rPr>
        <w:t xml:space="preserve"> are likely to be welcomed by industry players as they would provide projects with a guaranteed revenue stream. Projects would neither take the downside risk nor gain from any upside benefit. They would get a guaranteed price that should be sufficient to cover their fixed and marginal costs.  </w:t>
      </w:r>
    </w:p>
    <w:p w14:paraId="10DCA9E3" w14:textId="77777777" w:rsidR="00C807F6" w:rsidRPr="00C807F6" w:rsidRDefault="00C807F6" w:rsidP="00C807F6">
      <w:pPr>
        <w:spacing w:after="120"/>
        <w:rPr>
          <w:rFonts w:ascii="Arial" w:eastAsia="Calibri" w:hAnsi="Arial" w:cs="Arial"/>
        </w:rPr>
      </w:pPr>
      <w:r w:rsidRPr="00C807F6">
        <w:rPr>
          <w:rFonts w:ascii="Arial" w:eastAsia="Calibri" w:hAnsi="Arial" w:cs="Arial"/>
        </w:rPr>
        <w:t xml:space="preserve">However, </w:t>
      </w:r>
      <w:proofErr w:type="spellStart"/>
      <w:r w:rsidRPr="00C807F6">
        <w:rPr>
          <w:rFonts w:ascii="Arial" w:eastAsia="Calibri" w:hAnsi="Arial" w:cs="Arial"/>
        </w:rPr>
        <w:t>CfDs</w:t>
      </w:r>
      <w:proofErr w:type="spellEnd"/>
      <w:r w:rsidRPr="00C807F6">
        <w:rPr>
          <w:rFonts w:ascii="Arial" w:eastAsia="Calibri" w:hAnsi="Arial" w:cs="Arial"/>
        </w:rPr>
        <w:t xml:space="preserve"> do not directly address the problem some stakeholders raised with the ACCC. A strike price under a </w:t>
      </w:r>
      <w:proofErr w:type="spellStart"/>
      <w:r w:rsidRPr="00C807F6">
        <w:rPr>
          <w:rFonts w:ascii="Arial" w:eastAsia="Calibri" w:hAnsi="Arial" w:cs="Arial"/>
        </w:rPr>
        <w:t>CfD</w:t>
      </w:r>
      <w:proofErr w:type="spellEnd"/>
      <w:r w:rsidRPr="00C807F6">
        <w:rPr>
          <w:rFonts w:ascii="Arial" w:eastAsia="Calibri" w:hAnsi="Arial" w:cs="Arial"/>
        </w:rPr>
        <w:t xml:space="preserve"> would provide little incentive for the project to seek out new commercial contracts given they would receive no benefit from striking a contract price higher than the strike price of the </w:t>
      </w:r>
      <w:proofErr w:type="spellStart"/>
      <w:r w:rsidRPr="00C807F6">
        <w:rPr>
          <w:rFonts w:ascii="Arial" w:eastAsia="Calibri" w:hAnsi="Arial" w:cs="Arial"/>
        </w:rPr>
        <w:t>CfD</w:t>
      </w:r>
      <w:proofErr w:type="spellEnd"/>
      <w:r w:rsidRPr="00C807F6">
        <w:rPr>
          <w:rFonts w:ascii="Arial" w:eastAsia="Calibri" w:hAnsi="Arial" w:cs="Arial"/>
        </w:rPr>
        <w:t xml:space="preserve">. In effect, the Government would hold the swap contract, and so liquidity in the contract market would not be enhanced.  </w:t>
      </w:r>
    </w:p>
    <w:p w14:paraId="7C6E36A3" w14:textId="77777777" w:rsidR="00C807F6" w:rsidRPr="00C807F6" w:rsidRDefault="00C807F6" w:rsidP="00C807F6">
      <w:pPr>
        <w:spacing w:after="120"/>
        <w:rPr>
          <w:rFonts w:ascii="Arial" w:eastAsia="Calibri" w:hAnsi="Arial" w:cs="Arial"/>
        </w:rPr>
      </w:pPr>
      <w:proofErr w:type="spellStart"/>
      <w:r w:rsidRPr="00C807F6">
        <w:rPr>
          <w:rFonts w:ascii="Arial" w:eastAsia="Calibri" w:hAnsi="Arial" w:cs="Arial"/>
        </w:rPr>
        <w:t>CfDs</w:t>
      </w:r>
      <w:proofErr w:type="spellEnd"/>
      <w:r w:rsidRPr="00C807F6">
        <w:rPr>
          <w:rFonts w:ascii="Arial" w:eastAsia="Calibri" w:hAnsi="Arial" w:cs="Arial"/>
        </w:rPr>
        <w:t xml:space="preserve"> are also likely to distort the market, due to recipient generators altering their bidding behaviour. Output from the generators is set at a guaranteed price. So the incentive on the generator is to ensure that the electricity it generates is dispatched, earning it revenue. The best way to do this is by bidding into the market at zero (or lower), notwithstanding its short run marginal cost may be substantially higher. </w:t>
      </w:r>
    </w:p>
    <w:p w14:paraId="2B330EDE" w14:textId="77777777" w:rsidR="00C807F6" w:rsidRPr="00C807F6" w:rsidRDefault="00C807F6" w:rsidP="00C807F6">
      <w:pPr>
        <w:keepNext/>
        <w:spacing w:before="200" w:after="120"/>
        <w:outlineLvl w:val="1"/>
        <w:rPr>
          <w:rFonts w:ascii="Arial" w:eastAsia="Calibri" w:hAnsi="Arial" w:cs="Arial"/>
          <w:b/>
          <w:i/>
          <w:color w:val="365F91"/>
        </w:rPr>
      </w:pPr>
      <w:r w:rsidRPr="00C807F6">
        <w:rPr>
          <w:rFonts w:ascii="Arial" w:eastAsia="Calibri" w:hAnsi="Arial" w:cs="Arial"/>
          <w:b/>
          <w:i/>
          <w:color w:val="365F91"/>
        </w:rPr>
        <w:t>Mechanism 7: Capacity payments</w:t>
      </w:r>
    </w:p>
    <w:p w14:paraId="60CE13AB" w14:textId="77777777" w:rsidR="00C807F6" w:rsidRPr="00C807F6" w:rsidRDefault="00C807F6" w:rsidP="00C807F6">
      <w:pPr>
        <w:spacing w:after="120"/>
        <w:rPr>
          <w:rFonts w:ascii="Arial" w:eastAsia="Calibri" w:hAnsi="Arial" w:cs="Arial"/>
        </w:rPr>
      </w:pPr>
      <w:r w:rsidRPr="00C807F6">
        <w:rPr>
          <w:rFonts w:ascii="Arial" w:eastAsia="Calibri" w:hAnsi="Arial" w:cs="Arial"/>
        </w:rPr>
        <w:t xml:space="preserve">Capacity payments would offer projects an alternative source of revenue, reducing generators’ reliance on prices in the market and the risks that that brings to their revenue. Capacity payments would be highly likely to result in new generation entering the market. </w:t>
      </w:r>
    </w:p>
    <w:p w14:paraId="5CD569BA" w14:textId="77777777" w:rsidR="00C807F6" w:rsidRPr="00C807F6" w:rsidRDefault="00C807F6" w:rsidP="00C807F6">
      <w:pPr>
        <w:spacing w:after="120"/>
        <w:rPr>
          <w:rFonts w:ascii="Arial" w:eastAsia="Calibri" w:hAnsi="Arial" w:cs="Arial"/>
        </w:rPr>
      </w:pPr>
      <w:r w:rsidRPr="00C807F6">
        <w:rPr>
          <w:rFonts w:ascii="Arial" w:eastAsia="Calibri" w:hAnsi="Arial" w:cs="Arial"/>
        </w:rPr>
        <w:t>But the NEM is designed to be an energy-only market. Introducing capacity payments would constitute a major change, with potentially significant consequences. Such a change may be a disproportionate response to the problem the program is trying to address.</w:t>
      </w:r>
    </w:p>
    <w:p w14:paraId="0245DFE9" w14:textId="77777777" w:rsidR="00C807F6" w:rsidRPr="00C807F6" w:rsidRDefault="00C807F6" w:rsidP="00C807F6">
      <w:pPr>
        <w:spacing w:after="120"/>
        <w:rPr>
          <w:rFonts w:ascii="Arial" w:eastAsia="Calibri" w:hAnsi="Arial" w:cs="Arial"/>
        </w:rPr>
      </w:pPr>
      <w:r w:rsidRPr="00C807F6">
        <w:rPr>
          <w:rFonts w:ascii="Arial" w:eastAsia="Calibri" w:hAnsi="Arial" w:cs="Arial"/>
        </w:rPr>
        <w:t xml:space="preserve">A capacity payment—a payment direct from Government or consumers to a generator—would not automatically incentivise generators to contract with large industrial customers. But because of the upfront payment, generators may be able to offer businesses cheaper contracts than existing generators in the market. </w:t>
      </w:r>
    </w:p>
    <w:p w14:paraId="4DABB13B" w14:textId="77777777" w:rsidR="00C807F6" w:rsidRPr="00C807F6" w:rsidRDefault="00C807F6" w:rsidP="00C807F6">
      <w:pPr>
        <w:spacing w:after="120"/>
        <w:rPr>
          <w:rFonts w:ascii="Arial" w:eastAsia="Calibri" w:hAnsi="Arial" w:cs="Arial"/>
        </w:rPr>
      </w:pPr>
      <w:r w:rsidRPr="00C807F6">
        <w:rPr>
          <w:rFonts w:ascii="Arial" w:eastAsia="Calibri" w:hAnsi="Arial" w:cs="Arial"/>
        </w:rPr>
        <w:lastRenderedPageBreak/>
        <w:t>Such an approach effectively gives new generation an advantage over existing generation, which will distort the market. One unintended consequence of such an approach could be to see new generation force existing generation out of the market. As such, serious consideration would need to be given to the impact capacity payments would have on the market prior to such an option being used to incentivise new generation.</w:t>
      </w:r>
    </w:p>
    <w:p w14:paraId="4EBAF821" w14:textId="77777777" w:rsidR="00C807F6" w:rsidRPr="00C807F6" w:rsidRDefault="00C807F6" w:rsidP="00C807F6">
      <w:pPr>
        <w:spacing w:after="0" w:line="240" w:lineRule="auto"/>
        <w:rPr>
          <w:rFonts w:ascii="Arial" w:eastAsia="Calibri" w:hAnsi="Arial" w:cs="Arial"/>
        </w:rPr>
      </w:pPr>
      <w:r w:rsidRPr="00C807F6">
        <w:rPr>
          <w:rFonts w:ascii="Arial" w:eastAsia="Calibri" w:hAnsi="Arial" w:cs="Arial"/>
        </w:rPr>
        <w:br w:type="page"/>
      </w:r>
    </w:p>
    <w:p w14:paraId="75CDF6B5" w14:textId="77777777" w:rsidR="00C807F6" w:rsidRPr="00C807F6" w:rsidRDefault="00C807F6" w:rsidP="00C807F6">
      <w:pPr>
        <w:keepNext/>
        <w:ind w:left="360" w:hanging="360"/>
        <w:outlineLvl w:val="0"/>
        <w:rPr>
          <w:rFonts w:ascii="Calibri" w:eastAsia="Calibri" w:hAnsi="Calibri" w:cs="Arial"/>
          <w:b/>
          <w:caps/>
          <w:color w:val="365F91"/>
          <w:sz w:val="28"/>
          <w:szCs w:val="28"/>
        </w:rPr>
      </w:pPr>
      <w:bookmarkStart w:id="13" w:name="_Toc12367649"/>
      <w:r w:rsidRPr="00C807F6">
        <w:rPr>
          <w:rFonts w:ascii="Calibri" w:eastAsia="Calibri" w:hAnsi="Calibri" w:cs="Arial"/>
          <w:b/>
          <w:caps/>
          <w:color w:val="365F91"/>
          <w:sz w:val="28"/>
          <w:szCs w:val="28"/>
        </w:rPr>
        <w:lastRenderedPageBreak/>
        <w:t>Consultation</w:t>
      </w:r>
      <w:bookmarkEnd w:id="13"/>
      <w:r w:rsidRPr="00C807F6">
        <w:rPr>
          <w:rFonts w:ascii="Calibri" w:eastAsia="Calibri" w:hAnsi="Calibri" w:cs="Arial"/>
          <w:b/>
          <w:caps/>
          <w:color w:val="365F91"/>
          <w:sz w:val="28"/>
          <w:szCs w:val="28"/>
        </w:rPr>
        <w:t xml:space="preserve"> </w:t>
      </w:r>
    </w:p>
    <w:p w14:paraId="797E6D18" w14:textId="77777777" w:rsidR="00C807F6" w:rsidRPr="00C807F6" w:rsidRDefault="00C807F6" w:rsidP="00C807F6">
      <w:pPr>
        <w:keepNext/>
        <w:spacing w:before="200" w:after="120"/>
        <w:outlineLvl w:val="1"/>
        <w:rPr>
          <w:rFonts w:ascii="Arial" w:eastAsia="Calibri" w:hAnsi="Arial" w:cs="Arial"/>
          <w:b/>
          <w:color w:val="365F91"/>
        </w:rPr>
      </w:pPr>
      <w:r w:rsidRPr="00C807F6">
        <w:rPr>
          <w:rFonts w:ascii="Arial" w:eastAsia="Calibri" w:hAnsi="Arial" w:cs="Arial"/>
          <w:b/>
          <w:color w:val="365F91"/>
        </w:rPr>
        <w:t>Overview</w:t>
      </w:r>
    </w:p>
    <w:p w14:paraId="022C2EEE" w14:textId="77777777" w:rsidR="00C807F6" w:rsidRPr="00C807F6" w:rsidRDefault="00C807F6" w:rsidP="00C807F6">
      <w:pPr>
        <w:rPr>
          <w:rFonts w:ascii="Arial" w:eastAsia="Calibri" w:hAnsi="Arial" w:cs="Times New Roman"/>
        </w:rPr>
      </w:pPr>
      <w:r w:rsidRPr="00C807F6">
        <w:rPr>
          <w:rFonts w:ascii="Arial" w:eastAsia="Calibri" w:hAnsi="Arial" w:cs="Times New Roman"/>
        </w:rPr>
        <w:t>In October 2018, the Government released a consultation paper</w:t>
      </w:r>
      <w:r w:rsidRPr="00C807F6">
        <w:rPr>
          <w:rFonts w:ascii="Arial" w:eastAsia="Calibri" w:hAnsi="Arial" w:cs="Times New Roman"/>
          <w:vertAlign w:val="superscript"/>
        </w:rPr>
        <w:footnoteReference w:id="23"/>
      </w:r>
      <w:r w:rsidRPr="00C807F6">
        <w:rPr>
          <w:rFonts w:ascii="Arial" w:eastAsia="Calibri" w:hAnsi="Arial" w:cs="Times New Roman"/>
        </w:rPr>
        <w:t xml:space="preserve"> on underwriting new generation investments. The consultation paper outlined the problem identified by the ACCC and suggested potential mechanisms that could deliver new investment. Submissions for the consultation paper closed on 9 November 2018. </w:t>
      </w:r>
    </w:p>
    <w:p w14:paraId="741101A7"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The Government undertook further consultation during October and November 2018. The Minister for Energy hosted a roundtable in Sydney on Wednesday 7 November 2018, and the Department of Environment and Energy hosted a consultation forum in Melbourne on Friday 9 November 2018. Over 70 submissions were received in response to the Government’s Underwriting New Generation Investments consultation paper. These submissions assisted in development of the Registration of Interest process and the design the program. </w:t>
      </w:r>
    </w:p>
    <w:p w14:paraId="4B794F6B" w14:textId="77777777" w:rsidR="00C807F6" w:rsidRPr="00C807F6" w:rsidRDefault="00C807F6" w:rsidP="00C807F6">
      <w:pPr>
        <w:rPr>
          <w:rFonts w:ascii="Arial" w:eastAsia="Calibri" w:hAnsi="Arial" w:cs="Times New Roman"/>
        </w:rPr>
      </w:pPr>
      <w:r w:rsidRPr="00C807F6">
        <w:rPr>
          <w:rFonts w:ascii="Arial" w:eastAsia="Calibri" w:hAnsi="Arial" w:cs="Times New Roman"/>
        </w:rPr>
        <w:t>On 13 December 2018, the Government released a further paper calling for Registrations of Interest (ROI) in the program.</w:t>
      </w:r>
      <w:r w:rsidRPr="00C807F6">
        <w:rPr>
          <w:rFonts w:ascii="Arial" w:eastAsia="Calibri" w:hAnsi="Arial" w:cs="Times New Roman"/>
          <w:vertAlign w:val="superscript"/>
        </w:rPr>
        <w:footnoteReference w:id="24"/>
      </w:r>
      <w:r w:rsidRPr="00C807F6">
        <w:rPr>
          <w:rFonts w:ascii="Arial" w:eastAsia="Calibri" w:hAnsi="Arial" w:cs="Times New Roman"/>
        </w:rPr>
        <w:t xml:space="preserve"> The paper asked for potential project proponents to submit ROIs outlining a description of the proposed project, participants in the project including any customers, the project’s development status and which support mechanism would be most appropriate. ROIs were requested to be submitted by 23 January 2019. The intention of the ROI was to:</w:t>
      </w:r>
    </w:p>
    <w:p w14:paraId="07E88E12" w14:textId="77777777" w:rsidR="00C807F6" w:rsidRPr="0052368B" w:rsidRDefault="00C807F6" w:rsidP="0052368B">
      <w:pPr>
        <w:pStyle w:val="ListParagraph"/>
        <w:numPr>
          <w:ilvl w:val="0"/>
          <w:numId w:val="47"/>
        </w:numPr>
        <w:rPr>
          <w:rFonts w:ascii="Arial" w:eastAsia="Calibri" w:hAnsi="Arial" w:cs="Times New Roman"/>
        </w:rPr>
      </w:pPr>
      <w:r w:rsidRPr="0052368B">
        <w:rPr>
          <w:rFonts w:ascii="Arial" w:eastAsia="Calibri" w:hAnsi="Arial" w:cs="Times New Roman"/>
        </w:rPr>
        <w:t>Sound out the market to enable the Government to develop an understanding of the range of potential projects that are available and could be supported under the program.</w:t>
      </w:r>
    </w:p>
    <w:p w14:paraId="7F9F05FA" w14:textId="77777777" w:rsidR="00C807F6" w:rsidRPr="0052368B" w:rsidRDefault="00C807F6" w:rsidP="0052368B">
      <w:pPr>
        <w:pStyle w:val="ListParagraph"/>
        <w:numPr>
          <w:ilvl w:val="0"/>
          <w:numId w:val="47"/>
        </w:numPr>
        <w:rPr>
          <w:rFonts w:ascii="Arial" w:eastAsia="Calibri" w:hAnsi="Arial" w:cs="Times New Roman"/>
        </w:rPr>
      </w:pPr>
      <w:r w:rsidRPr="0052368B">
        <w:rPr>
          <w:rFonts w:ascii="Arial" w:eastAsia="Calibri" w:hAnsi="Arial" w:cs="Times New Roman"/>
        </w:rPr>
        <w:t xml:space="preserve">Inform the design of the program, including the eligibility and merit criteria to be applied in the current phase of the program. </w:t>
      </w:r>
    </w:p>
    <w:p w14:paraId="12B545ED" w14:textId="77777777" w:rsidR="00C807F6" w:rsidRPr="0052368B" w:rsidRDefault="00C807F6" w:rsidP="0052368B">
      <w:pPr>
        <w:pStyle w:val="ListParagraph"/>
        <w:numPr>
          <w:ilvl w:val="0"/>
          <w:numId w:val="47"/>
        </w:numPr>
        <w:rPr>
          <w:rFonts w:ascii="Arial" w:eastAsia="Calibri" w:hAnsi="Arial" w:cs="Times New Roman"/>
        </w:rPr>
      </w:pPr>
      <w:r w:rsidRPr="0052368B">
        <w:rPr>
          <w:rFonts w:ascii="Arial" w:eastAsia="Calibri" w:hAnsi="Arial" w:cs="Times New Roman"/>
        </w:rPr>
        <w:t>Develop an initial pipeline of projects that covers all firmed technologies.</w:t>
      </w:r>
    </w:p>
    <w:p w14:paraId="4F48638C" w14:textId="77777777" w:rsidR="00C807F6" w:rsidRPr="00C807F6" w:rsidRDefault="00C807F6" w:rsidP="00C807F6">
      <w:pPr>
        <w:rPr>
          <w:rFonts w:ascii="Arial" w:eastAsia="Calibri" w:hAnsi="Arial" w:cs="Times New Roman"/>
        </w:rPr>
      </w:pPr>
      <w:r w:rsidRPr="00C807F6">
        <w:rPr>
          <w:rFonts w:ascii="Arial" w:eastAsia="Calibri" w:hAnsi="Arial" w:cs="Times New Roman"/>
        </w:rPr>
        <w:t>On 26 March 2019, the Government agreed to a shortlist of twelve projects</w:t>
      </w:r>
      <w:r w:rsidRPr="00C807F6">
        <w:rPr>
          <w:rFonts w:ascii="Arial" w:eastAsia="Calibri" w:hAnsi="Arial" w:cs="Times New Roman"/>
          <w:vertAlign w:val="superscript"/>
        </w:rPr>
        <w:footnoteReference w:id="25"/>
      </w:r>
      <w:r w:rsidRPr="00C807F6">
        <w:rPr>
          <w:rFonts w:ascii="Arial" w:eastAsia="Calibri" w:hAnsi="Arial" w:cs="Times New Roman"/>
        </w:rPr>
        <w:t xml:space="preserve">. The Department of the Environment and Energy also held targeted consultations with the short-listed project proponents as well as financiers in June 2019. These consultations were to discuss the shape of the program and potential mechanisms of support. </w:t>
      </w:r>
    </w:p>
    <w:p w14:paraId="271FD285" w14:textId="77777777" w:rsidR="00C807F6" w:rsidRPr="00C807F6" w:rsidRDefault="00C807F6" w:rsidP="00C807F6">
      <w:pPr>
        <w:keepNext/>
        <w:spacing w:before="200" w:after="120"/>
        <w:outlineLvl w:val="1"/>
        <w:rPr>
          <w:rFonts w:ascii="Arial" w:eastAsia="Calibri" w:hAnsi="Arial" w:cs="Arial"/>
          <w:b/>
          <w:color w:val="365F91"/>
        </w:rPr>
      </w:pPr>
      <w:r w:rsidRPr="00C807F6">
        <w:rPr>
          <w:rFonts w:ascii="Arial" w:eastAsia="Calibri" w:hAnsi="Arial" w:cs="Arial"/>
          <w:b/>
          <w:color w:val="365F91"/>
        </w:rPr>
        <w:lastRenderedPageBreak/>
        <w:t>Key messages</w:t>
      </w:r>
    </w:p>
    <w:p w14:paraId="0ADBF7EF" w14:textId="77777777" w:rsidR="00C807F6" w:rsidRPr="00C807F6" w:rsidRDefault="00C807F6" w:rsidP="00C807F6">
      <w:pPr>
        <w:keepNext/>
        <w:spacing w:before="200" w:after="120"/>
        <w:outlineLvl w:val="1"/>
        <w:rPr>
          <w:rFonts w:ascii="Arial" w:eastAsia="Calibri" w:hAnsi="Arial" w:cs="Arial"/>
          <w:b/>
          <w:i/>
          <w:color w:val="365F91"/>
        </w:rPr>
      </w:pPr>
      <w:r w:rsidRPr="00C807F6">
        <w:rPr>
          <w:rFonts w:ascii="Arial" w:eastAsia="Calibri" w:hAnsi="Arial" w:cs="Arial"/>
          <w:b/>
          <w:i/>
          <w:color w:val="365F91"/>
        </w:rPr>
        <w:t>Program as a whole</w:t>
      </w:r>
    </w:p>
    <w:p w14:paraId="33C34778" w14:textId="77777777" w:rsidR="00C807F6" w:rsidRPr="00C807F6" w:rsidRDefault="00C807F6" w:rsidP="00C807F6">
      <w:pPr>
        <w:rPr>
          <w:rFonts w:ascii="Arial" w:eastAsia="Calibri" w:hAnsi="Arial" w:cs="Times New Roman"/>
        </w:rPr>
      </w:pPr>
      <w:r w:rsidRPr="00C807F6">
        <w:rPr>
          <w:rFonts w:ascii="Arial" w:eastAsia="Calibri" w:hAnsi="Arial" w:cs="Times New Roman"/>
        </w:rPr>
        <w:t>From the responses to the October 2018 consultation paper, support for the reform was mixed. Incumbent generation companies considered that Government intervention was not required, and raised concerns the program could distort the market and discourage private sector investment. A concern was also raised that the probable outcome of the program was that private investors would seek Government support before committing to any new investment.</w:t>
      </w:r>
    </w:p>
    <w:p w14:paraId="6599908C"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Against this, C&amp;I customers, members of the business community, and potential new investors viewed the proposal favourably. </w:t>
      </w:r>
    </w:p>
    <w:p w14:paraId="4F4B2F6A" w14:textId="77777777" w:rsidR="00C807F6" w:rsidRPr="00C807F6" w:rsidRDefault="00C807F6" w:rsidP="00C807F6">
      <w:pPr>
        <w:rPr>
          <w:rFonts w:ascii="Arial" w:eastAsia="Calibri" w:hAnsi="Arial" w:cs="Times New Roman"/>
        </w:rPr>
      </w:pPr>
      <w:r w:rsidRPr="00C807F6">
        <w:rPr>
          <w:rFonts w:ascii="Arial" w:eastAsia="Calibri" w:hAnsi="Arial" w:cs="Times New Roman"/>
        </w:rPr>
        <w:t>Strong governance frameworks were considered vital to mitigating the risks of the program. It was argued that strong governance and a competitive process was needed to ensure that the best projects are funded. It was also argued that transparency and robust processes are key.</w:t>
      </w:r>
    </w:p>
    <w:p w14:paraId="1266C635"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During targeted consultation sessions in June 2019, project proponents noted support from the program may be required earlier than year five of a plant’s operational life. </w:t>
      </w:r>
    </w:p>
    <w:p w14:paraId="0BCEAAC9" w14:textId="77777777" w:rsidR="00C807F6" w:rsidRPr="00C807F6" w:rsidRDefault="00C807F6" w:rsidP="00C807F6">
      <w:pPr>
        <w:keepNext/>
        <w:spacing w:before="200" w:after="120"/>
        <w:outlineLvl w:val="1"/>
        <w:rPr>
          <w:rFonts w:ascii="Arial" w:eastAsia="Calibri" w:hAnsi="Arial" w:cs="Arial"/>
          <w:b/>
          <w:i/>
          <w:color w:val="365F91"/>
        </w:rPr>
      </w:pPr>
      <w:r w:rsidRPr="00C807F6">
        <w:rPr>
          <w:rFonts w:ascii="Arial" w:eastAsia="Calibri" w:hAnsi="Arial" w:cs="Arial"/>
          <w:b/>
          <w:i/>
          <w:color w:val="365F91"/>
        </w:rPr>
        <w:t>Timing of support</w:t>
      </w:r>
    </w:p>
    <w:p w14:paraId="127A9818" w14:textId="77777777" w:rsidR="00C807F6" w:rsidRPr="00C807F6" w:rsidRDefault="00C807F6" w:rsidP="00C807F6">
      <w:pPr>
        <w:spacing w:after="120"/>
        <w:rPr>
          <w:rFonts w:ascii="Arial" w:eastAsia="Calibri" w:hAnsi="Arial" w:cs="Times New Roman"/>
        </w:rPr>
      </w:pPr>
      <w:r w:rsidRPr="00C807F6">
        <w:rPr>
          <w:rFonts w:ascii="Arial" w:eastAsia="Calibri" w:hAnsi="Arial" w:cs="Times New Roman"/>
        </w:rPr>
        <w:t>On the timing of support for projects the ACCC put forward:</w:t>
      </w:r>
    </w:p>
    <w:p w14:paraId="0429979B" w14:textId="77777777" w:rsidR="00C807F6" w:rsidRPr="00C807F6" w:rsidRDefault="00C807F6" w:rsidP="00C807F6">
      <w:pPr>
        <w:spacing w:after="120"/>
        <w:rPr>
          <w:rFonts w:ascii="Arial" w:eastAsia="Calibri" w:hAnsi="Arial" w:cs="Times New Roman"/>
          <w:i/>
        </w:rPr>
      </w:pPr>
      <w:r w:rsidRPr="00C807F6">
        <w:rPr>
          <w:rFonts w:ascii="Arial" w:eastAsia="Calibri" w:hAnsi="Arial" w:cs="Times New Roman"/>
          <w:i/>
        </w:rPr>
        <w:t>“Specifically, the ACCC proposes the government introduce a program under which it will guarantee offtake from a new generation asset (or group of assets) in the later years of the project (say years 6–10 or 6–15) at a low fixed price sufficient to enable the project to meet financing requirements.”</w:t>
      </w:r>
      <w:r w:rsidRPr="00C807F6">
        <w:rPr>
          <w:rFonts w:ascii="Arial" w:eastAsia="Calibri" w:hAnsi="Arial" w:cs="Times New Roman"/>
          <w:i/>
          <w:vertAlign w:val="superscript"/>
        </w:rPr>
        <w:footnoteReference w:id="26"/>
      </w:r>
    </w:p>
    <w:p w14:paraId="4AA9C257" w14:textId="77777777" w:rsidR="00C807F6" w:rsidRPr="00C807F6" w:rsidRDefault="00C807F6" w:rsidP="00C807F6">
      <w:pPr>
        <w:spacing w:after="120"/>
        <w:rPr>
          <w:rFonts w:ascii="Arial" w:eastAsia="Calibri" w:hAnsi="Arial" w:cs="Times New Roman"/>
        </w:rPr>
      </w:pPr>
      <w:r w:rsidRPr="00C807F6">
        <w:rPr>
          <w:rFonts w:ascii="Arial" w:eastAsia="Calibri" w:hAnsi="Arial" w:cs="Times New Roman"/>
        </w:rPr>
        <w:t>The Department has received feedback which indicates the timing on the support is too restrictive and could create technology bias.</w:t>
      </w:r>
    </w:p>
    <w:p w14:paraId="6D9163D0" w14:textId="77777777" w:rsidR="00C807F6" w:rsidRPr="00C807F6" w:rsidRDefault="00C807F6" w:rsidP="00C807F6">
      <w:pPr>
        <w:numPr>
          <w:ilvl w:val="0"/>
          <w:numId w:val="41"/>
        </w:numPr>
        <w:spacing w:after="120"/>
        <w:rPr>
          <w:rFonts w:ascii="Arial" w:eastAsia="Calibri" w:hAnsi="Arial" w:cs="Times New Roman"/>
        </w:rPr>
      </w:pPr>
      <w:r w:rsidRPr="00C807F6">
        <w:rPr>
          <w:rFonts w:ascii="Arial" w:eastAsia="Calibri" w:hAnsi="Arial" w:cs="Times New Roman"/>
        </w:rPr>
        <w:t xml:space="preserve">Generation types with long construction periods of three or more years, such as pumped hydro, would be disadvantaged if support could only start from year 5. This is due to customers not being able to commit at final close for an energy supply agreement which would not commence for more than three years </w:t>
      </w:r>
    </w:p>
    <w:p w14:paraId="7DAF0517" w14:textId="77777777" w:rsidR="00C807F6" w:rsidRPr="00C807F6" w:rsidRDefault="00C807F6" w:rsidP="00C807F6">
      <w:pPr>
        <w:numPr>
          <w:ilvl w:val="0"/>
          <w:numId w:val="41"/>
        </w:numPr>
        <w:spacing w:after="120"/>
        <w:rPr>
          <w:rFonts w:ascii="Arial" w:eastAsia="Calibri" w:hAnsi="Arial" w:cs="Times New Roman"/>
        </w:rPr>
      </w:pPr>
      <w:r w:rsidRPr="00C807F6">
        <w:rPr>
          <w:rFonts w:ascii="Arial" w:eastAsia="Calibri" w:hAnsi="Arial" w:cs="Times New Roman"/>
        </w:rPr>
        <w:t>There is a lack of liquid electricity contract markets beyond three years.</w:t>
      </w:r>
    </w:p>
    <w:p w14:paraId="3E633E2A" w14:textId="77777777" w:rsidR="00C807F6" w:rsidRPr="00C807F6" w:rsidRDefault="00C807F6" w:rsidP="00C807F6">
      <w:pPr>
        <w:numPr>
          <w:ilvl w:val="0"/>
          <w:numId w:val="41"/>
        </w:numPr>
        <w:spacing w:after="120"/>
        <w:rPr>
          <w:rFonts w:ascii="Arial" w:eastAsia="Calibri" w:hAnsi="Arial" w:cs="Times New Roman"/>
        </w:rPr>
      </w:pPr>
      <w:r w:rsidRPr="00C807F6">
        <w:rPr>
          <w:rFonts w:ascii="Arial" w:eastAsia="Calibri" w:hAnsi="Arial" w:cs="Times New Roman"/>
        </w:rPr>
        <w:t>The later years of some generation types is not in the range of 6</w:t>
      </w:r>
      <w:r w:rsidRPr="00C807F6">
        <w:rPr>
          <w:rFonts w:ascii="Arial" w:eastAsia="Calibri" w:hAnsi="Arial" w:cs="Times New Roman"/>
          <w:i/>
        </w:rPr>
        <w:t>–</w:t>
      </w:r>
      <w:r w:rsidRPr="00C807F6">
        <w:rPr>
          <w:rFonts w:ascii="Arial" w:eastAsia="Calibri" w:hAnsi="Arial" w:cs="Times New Roman"/>
        </w:rPr>
        <w:t>15 years. Pumped hydro may have a life of 50 or more years and support covering longer than 15 years should be considered.</w:t>
      </w:r>
    </w:p>
    <w:p w14:paraId="0054A003" w14:textId="77777777" w:rsidR="00C807F6" w:rsidRPr="00C807F6" w:rsidRDefault="00C807F6" w:rsidP="00C807F6">
      <w:pPr>
        <w:spacing w:after="120"/>
        <w:rPr>
          <w:rFonts w:ascii="Arial" w:eastAsia="Calibri" w:hAnsi="Arial" w:cs="Times New Roman"/>
        </w:rPr>
      </w:pPr>
      <w:r w:rsidRPr="00C807F6">
        <w:rPr>
          <w:rFonts w:ascii="Arial" w:eastAsia="Calibri" w:hAnsi="Arial" w:cs="Times New Roman"/>
        </w:rPr>
        <w:lastRenderedPageBreak/>
        <w:t xml:space="preserve">Generation project proponents have also provided feedback from customers which would prefer to sign only 1-2 years and are only willing to go up to 3 years. Further, some smaller retailers are asset poor and while generation projects can sign supply agreements with these companies, debt providers do not consider these firm revenue streams for debt repayment. </w:t>
      </w:r>
    </w:p>
    <w:p w14:paraId="498B42E5" w14:textId="77777777" w:rsidR="00C807F6" w:rsidRPr="00C807F6" w:rsidRDefault="00C807F6" w:rsidP="00C807F6">
      <w:pPr>
        <w:keepNext/>
        <w:spacing w:before="200" w:after="120"/>
        <w:outlineLvl w:val="1"/>
        <w:rPr>
          <w:rFonts w:ascii="Arial" w:eastAsia="Calibri" w:hAnsi="Arial" w:cs="Arial"/>
          <w:b/>
          <w:i/>
          <w:color w:val="365F91"/>
        </w:rPr>
      </w:pPr>
      <w:r w:rsidRPr="00C807F6">
        <w:rPr>
          <w:rFonts w:ascii="Arial" w:eastAsia="Calibri" w:hAnsi="Arial" w:cs="Arial"/>
          <w:b/>
          <w:i/>
          <w:color w:val="365F91"/>
        </w:rPr>
        <w:t>Support mechanisms</w:t>
      </w:r>
    </w:p>
    <w:p w14:paraId="7E9220AF" w14:textId="77777777" w:rsidR="00C807F6" w:rsidRPr="00C807F6" w:rsidRDefault="00C807F6" w:rsidP="00C807F6">
      <w:pPr>
        <w:rPr>
          <w:rFonts w:ascii="Arial" w:eastAsia="Calibri" w:hAnsi="Arial" w:cs="Times New Roman"/>
          <w:b/>
          <w:i/>
        </w:rPr>
      </w:pPr>
      <w:r w:rsidRPr="00C807F6">
        <w:rPr>
          <w:rFonts w:ascii="Arial" w:eastAsia="Calibri" w:hAnsi="Arial" w:cs="Times New Roman"/>
        </w:rPr>
        <w:t xml:space="preserve">In relation to the possible support mechanisms provided under the program, stakeholder views have been mixed.   </w:t>
      </w:r>
    </w:p>
    <w:p w14:paraId="46FCCB77" w14:textId="77777777" w:rsidR="00C807F6" w:rsidRPr="00C807F6" w:rsidRDefault="00C807F6" w:rsidP="00C807F6">
      <w:pPr>
        <w:spacing w:after="120"/>
        <w:rPr>
          <w:rFonts w:ascii="Arial" w:eastAsia="Calibri" w:hAnsi="Arial" w:cs="Arial"/>
        </w:rPr>
      </w:pPr>
      <w:r w:rsidRPr="00C807F6">
        <w:rPr>
          <w:rFonts w:ascii="Arial" w:eastAsia="Calibri" w:hAnsi="Arial" w:cs="Arial"/>
          <w:u w:val="single"/>
        </w:rPr>
        <w:t>Floor price</w:t>
      </w:r>
      <w:r w:rsidRPr="00C807F6">
        <w:rPr>
          <w:rFonts w:ascii="Arial" w:eastAsia="Calibri" w:hAnsi="Arial" w:cs="Arial"/>
        </w:rPr>
        <w:t>:</w:t>
      </w:r>
    </w:p>
    <w:p w14:paraId="6B1671AA" w14:textId="77777777" w:rsidR="00C807F6" w:rsidRPr="00C807F6" w:rsidRDefault="00C807F6" w:rsidP="00C807F6">
      <w:pPr>
        <w:numPr>
          <w:ilvl w:val="0"/>
          <w:numId w:val="41"/>
        </w:numPr>
        <w:spacing w:after="120"/>
        <w:rPr>
          <w:rFonts w:ascii="Arial" w:eastAsia="Calibri" w:hAnsi="Arial" w:cs="Arial"/>
        </w:rPr>
      </w:pPr>
      <w:r w:rsidRPr="00C807F6">
        <w:rPr>
          <w:rFonts w:ascii="Arial" w:eastAsia="Calibri" w:hAnsi="Arial" w:cs="Arial"/>
        </w:rPr>
        <w:t xml:space="preserve">The ACCC’s recommendation for the Australian Government to introduce a price floor received support during the consultation processes. Some industry players described the price floor mechanism as being the one that provided the best-fit with the problem identified by the ACCC, and noted some other options carried much greater risks. </w:t>
      </w:r>
    </w:p>
    <w:p w14:paraId="57137401" w14:textId="77777777" w:rsidR="00C807F6" w:rsidRPr="00C807F6" w:rsidRDefault="00C807F6" w:rsidP="00C807F6">
      <w:pPr>
        <w:numPr>
          <w:ilvl w:val="0"/>
          <w:numId w:val="41"/>
        </w:numPr>
        <w:spacing w:after="120"/>
        <w:rPr>
          <w:rFonts w:ascii="Arial" w:eastAsia="Calibri" w:hAnsi="Arial" w:cs="Arial"/>
        </w:rPr>
      </w:pPr>
      <w:r w:rsidRPr="00C807F6">
        <w:rPr>
          <w:rFonts w:ascii="Arial" w:eastAsia="Calibri" w:hAnsi="Arial" w:cs="Arial"/>
        </w:rPr>
        <w:t xml:space="preserve">Some submissions also noted that a floor price, if set appropriately, would minimise Government exposure, and that some of the other mechanisms (such as </w:t>
      </w:r>
      <w:proofErr w:type="spellStart"/>
      <w:r w:rsidRPr="00C807F6">
        <w:rPr>
          <w:rFonts w:ascii="Arial" w:eastAsia="Calibri" w:hAnsi="Arial" w:cs="Arial"/>
        </w:rPr>
        <w:t>CfDs</w:t>
      </w:r>
      <w:proofErr w:type="spellEnd"/>
      <w:r w:rsidRPr="00C807F6">
        <w:rPr>
          <w:rFonts w:ascii="Arial" w:eastAsia="Calibri" w:hAnsi="Arial" w:cs="Arial"/>
        </w:rPr>
        <w:t xml:space="preserve">) did not provide projects with the incentive to contract with customers after the initial contracting period. Against this, others noted that a floor price, if set inappropriately, could result in supported generation pushing out existing capacity, and that a floor price based on electricity dispatched would favour generators with high capacity factors.  </w:t>
      </w:r>
    </w:p>
    <w:p w14:paraId="20561DE9" w14:textId="77777777" w:rsidR="00C807F6" w:rsidRPr="00C807F6" w:rsidRDefault="00C807F6" w:rsidP="00C807F6">
      <w:pPr>
        <w:numPr>
          <w:ilvl w:val="0"/>
          <w:numId w:val="41"/>
        </w:numPr>
        <w:spacing w:after="120"/>
        <w:rPr>
          <w:rFonts w:ascii="Arial" w:eastAsia="Calibri" w:hAnsi="Arial" w:cs="Arial"/>
        </w:rPr>
      </w:pPr>
      <w:r w:rsidRPr="00C807F6">
        <w:rPr>
          <w:rFonts w:ascii="Arial" w:eastAsia="Calibri" w:hAnsi="Arial" w:cs="Arial"/>
        </w:rPr>
        <w:t xml:space="preserve">It was noted that a price floor was a mechanism that could be designed to act as a ‘safety net’, effectively remaining unused if the market is functioning adequately, and minimising any distortions in the market.  </w:t>
      </w:r>
    </w:p>
    <w:p w14:paraId="22C63B6E" w14:textId="77777777" w:rsidR="00C807F6" w:rsidRPr="00C807F6" w:rsidRDefault="00C807F6" w:rsidP="00C807F6">
      <w:pPr>
        <w:keepNext/>
        <w:spacing w:after="120"/>
        <w:rPr>
          <w:rFonts w:ascii="Arial" w:eastAsia="Calibri" w:hAnsi="Arial" w:cs="Arial"/>
          <w:u w:val="single"/>
        </w:rPr>
      </w:pPr>
      <w:r w:rsidRPr="00C807F6">
        <w:rPr>
          <w:rFonts w:ascii="Arial" w:eastAsia="Calibri" w:hAnsi="Arial" w:cs="Arial"/>
          <w:u w:val="single"/>
        </w:rPr>
        <w:t>Loans:</w:t>
      </w:r>
    </w:p>
    <w:p w14:paraId="29E29EE3" w14:textId="77777777" w:rsidR="00C807F6" w:rsidRPr="00C807F6" w:rsidRDefault="00C807F6" w:rsidP="00C807F6">
      <w:pPr>
        <w:numPr>
          <w:ilvl w:val="0"/>
          <w:numId w:val="42"/>
        </w:numPr>
        <w:spacing w:after="120"/>
        <w:rPr>
          <w:rFonts w:ascii="Arial" w:eastAsia="Calibri" w:hAnsi="Arial" w:cs="Arial"/>
        </w:rPr>
      </w:pPr>
      <w:r w:rsidRPr="00C807F6">
        <w:rPr>
          <w:rFonts w:ascii="Arial" w:eastAsia="Calibri" w:hAnsi="Arial" w:cs="Arial"/>
        </w:rPr>
        <w:t xml:space="preserve">The use of Government loans was supported by some stakeholders. They considered it would directly address the problem faced by new entrants in accessing private financing and would avoid complexity. It was noted, however that setting competitive rates for loans is challenging and that there is the risk that Government provides overly concessional loans. </w:t>
      </w:r>
    </w:p>
    <w:p w14:paraId="75F63F95" w14:textId="77777777" w:rsidR="00C807F6" w:rsidRPr="00C807F6" w:rsidRDefault="00C807F6" w:rsidP="00C807F6">
      <w:pPr>
        <w:spacing w:after="120"/>
        <w:rPr>
          <w:rFonts w:ascii="Arial" w:eastAsia="Calibri" w:hAnsi="Arial" w:cs="Arial"/>
          <w:u w:val="single"/>
        </w:rPr>
      </w:pPr>
      <w:r w:rsidRPr="00C807F6">
        <w:rPr>
          <w:rFonts w:ascii="Arial" w:eastAsia="Calibri" w:hAnsi="Arial" w:cs="Arial"/>
          <w:u w:val="single"/>
        </w:rPr>
        <w:t>Collar contracts:</w:t>
      </w:r>
    </w:p>
    <w:p w14:paraId="02F21E29" w14:textId="77777777" w:rsidR="00C807F6" w:rsidRPr="00C807F6" w:rsidRDefault="00C807F6" w:rsidP="00C807F6">
      <w:pPr>
        <w:numPr>
          <w:ilvl w:val="0"/>
          <w:numId w:val="42"/>
        </w:numPr>
        <w:spacing w:after="120"/>
        <w:rPr>
          <w:rFonts w:ascii="Arial" w:eastAsia="Calibri" w:hAnsi="Arial" w:cs="Arial"/>
        </w:rPr>
      </w:pPr>
      <w:r w:rsidRPr="00C807F6">
        <w:rPr>
          <w:rFonts w:ascii="Arial" w:eastAsia="Calibri" w:hAnsi="Arial" w:cs="Arial"/>
        </w:rPr>
        <w:t xml:space="preserve">Limited comments were received in relation to the possible use of cap and floor contracts through the consultation. Some who commented suggested that such a mechanism could achieve a similar outcome to a floor price mechanism, but with greater risk-sharing between the Government and the proponent, albeit at the cost of greater complexity,   </w:t>
      </w:r>
    </w:p>
    <w:p w14:paraId="1D7BB515" w14:textId="77777777" w:rsidR="00C807F6" w:rsidRPr="00C807F6" w:rsidRDefault="00C807F6" w:rsidP="00C807F6">
      <w:pPr>
        <w:numPr>
          <w:ilvl w:val="0"/>
          <w:numId w:val="42"/>
        </w:numPr>
        <w:spacing w:after="120"/>
        <w:rPr>
          <w:rFonts w:ascii="Arial" w:eastAsia="Calibri" w:hAnsi="Arial" w:cs="Arial"/>
        </w:rPr>
      </w:pPr>
      <w:r w:rsidRPr="00C807F6">
        <w:rPr>
          <w:rFonts w:ascii="Arial" w:eastAsia="Calibri" w:hAnsi="Arial" w:cs="Arial"/>
        </w:rPr>
        <w:t xml:space="preserve">Others, however, considered that a cap and floor mechanism would leave Government subject to much greater risk than a simple price floor because the strike price of the floor under a collar arrangement would need to be </w:t>
      </w:r>
      <w:r w:rsidRPr="00C807F6">
        <w:rPr>
          <w:rFonts w:ascii="Arial" w:eastAsia="Calibri" w:hAnsi="Arial" w:cs="Arial"/>
        </w:rPr>
        <w:lastRenderedPageBreak/>
        <w:t xml:space="preserve">higher, and that it would go beyond what is needed to address the problem identified. </w:t>
      </w:r>
    </w:p>
    <w:p w14:paraId="2DDEA439" w14:textId="77777777" w:rsidR="00C807F6" w:rsidRPr="00C807F6" w:rsidRDefault="00C807F6" w:rsidP="00C807F6">
      <w:pPr>
        <w:spacing w:after="120"/>
        <w:rPr>
          <w:rFonts w:ascii="Arial" w:eastAsia="Calibri" w:hAnsi="Arial" w:cs="Arial"/>
          <w:u w:val="single"/>
        </w:rPr>
      </w:pPr>
      <w:r w:rsidRPr="00C807F6">
        <w:rPr>
          <w:rFonts w:ascii="Arial" w:eastAsia="Calibri" w:hAnsi="Arial" w:cs="Arial"/>
          <w:u w:val="single"/>
        </w:rPr>
        <w:t>Contracts for difference:</w:t>
      </w:r>
    </w:p>
    <w:p w14:paraId="514EF506" w14:textId="77777777" w:rsidR="00C807F6" w:rsidRPr="00C807F6" w:rsidRDefault="00C807F6" w:rsidP="00C807F6">
      <w:pPr>
        <w:numPr>
          <w:ilvl w:val="0"/>
          <w:numId w:val="43"/>
        </w:numPr>
        <w:spacing w:after="120"/>
        <w:rPr>
          <w:rFonts w:ascii="Arial" w:eastAsia="Calibri" w:hAnsi="Arial" w:cs="Arial"/>
        </w:rPr>
      </w:pPr>
      <w:proofErr w:type="spellStart"/>
      <w:r w:rsidRPr="00C807F6">
        <w:rPr>
          <w:rFonts w:ascii="Arial" w:eastAsia="Calibri" w:hAnsi="Arial" w:cs="Arial"/>
        </w:rPr>
        <w:t>CfDs</w:t>
      </w:r>
      <w:proofErr w:type="spellEnd"/>
      <w:r w:rsidRPr="00C807F6">
        <w:rPr>
          <w:rFonts w:ascii="Arial" w:eastAsia="Calibri" w:hAnsi="Arial" w:cs="Arial"/>
        </w:rPr>
        <w:t xml:space="preserve"> received limited support in consultations. A few parties argued </w:t>
      </w:r>
      <w:proofErr w:type="spellStart"/>
      <w:r w:rsidRPr="00C807F6">
        <w:rPr>
          <w:rFonts w:ascii="Arial" w:eastAsia="Calibri" w:hAnsi="Arial" w:cs="Arial"/>
        </w:rPr>
        <w:t>CfDs</w:t>
      </w:r>
      <w:proofErr w:type="spellEnd"/>
      <w:r w:rsidRPr="00C807F6">
        <w:rPr>
          <w:rFonts w:ascii="Arial" w:eastAsia="Calibri" w:hAnsi="Arial" w:cs="Arial"/>
        </w:rPr>
        <w:t xml:space="preserve"> should be the preferred mechanism, on the basis that they are a well know mechanism for bringing on investment and that the strike price is the key to managing taxpayer cost and risk. </w:t>
      </w:r>
    </w:p>
    <w:p w14:paraId="5D1ACA9C" w14:textId="77777777" w:rsidR="00C807F6" w:rsidRPr="00C807F6" w:rsidRDefault="00C807F6" w:rsidP="00C807F6">
      <w:pPr>
        <w:numPr>
          <w:ilvl w:val="0"/>
          <w:numId w:val="43"/>
        </w:numPr>
        <w:spacing w:after="120"/>
        <w:rPr>
          <w:rFonts w:ascii="Arial" w:eastAsia="Calibri" w:hAnsi="Arial" w:cs="Arial"/>
        </w:rPr>
      </w:pPr>
      <w:r w:rsidRPr="00C807F6">
        <w:rPr>
          <w:rFonts w:ascii="Arial" w:eastAsia="Calibri" w:hAnsi="Arial" w:cs="Arial"/>
        </w:rPr>
        <w:t xml:space="preserve">Against this, other submissions noted </w:t>
      </w:r>
      <w:proofErr w:type="spellStart"/>
      <w:r w:rsidRPr="00C807F6">
        <w:rPr>
          <w:rFonts w:ascii="Arial" w:eastAsia="Calibri" w:hAnsi="Arial" w:cs="Arial"/>
        </w:rPr>
        <w:t>CfDs</w:t>
      </w:r>
      <w:proofErr w:type="spellEnd"/>
      <w:r w:rsidRPr="00C807F6">
        <w:rPr>
          <w:rFonts w:ascii="Arial" w:eastAsia="Calibri" w:hAnsi="Arial" w:cs="Arial"/>
        </w:rPr>
        <w:t xml:space="preserve"> would completely delink supported projects from risk and the operation of the market. Moreover, they noted that using such a mechanism would not increase contract liquidity, and so result in lower prices, as large customers and retailers would not be able to contract with generators with </w:t>
      </w:r>
      <w:proofErr w:type="spellStart"/>
      <w:r w:rsidRPr="00C807F6">
        <w:rPr>
          <w:rFonts w:ascii="Arial" w:eastAsia="Calibri" w:hAnsi="Arial" w:cs="Arial"/>
        </w:rPr>
        <w:t>CfDs</w:t>
      </w:r>
      <w:proofErr w:type="spellEnd"/>
      <w:r w:rsidRPr="00C807F6">
        <w:rPr>
          <w:rFonts w:ascii="Arial" w:eastAsia="Calibri" w:hAnsi="Arial" w:cs="Arial"/>
        </w:rPr>
        <w:t xml:space="preserve">, unless the Government </w:t>
      </w:r>
      <w:proofErr w:type="spellStart"/>
      <w:r w:rsidRPr="00C807F6">
        <w:rPr>
          <w:rFonts w:ascii="Arial" w:eastAsia="Calibri" w:hAnsi="Arial" w:cs="Arial"/>
        </w:rPr>
        <w:t>onsold</w:t>
      </w:r>
      <w:proofErr w:type="spellEnd"/>
      <w:r w:rsidRPr="00C807F6">
        <w:rPr>
          <w:rFonts w:ascii="Arial" w:eastAsia="Calibri" w:hAnsi="Arial" w:cs="Arial"/>
        </w:rPr>
        <w:t xml:space="preserve"> the</w:t>
      </w:r>
      <w:r w:rsidRPr="00C807F6">
        <w:rPr>
          <w:rFonts w:ascii="Arial" w:eastAsia="Calibri" w:hAnsi="Arial" w:cs="Times New Roman"/>
        </w:rPr>
        <w:t> </w:t>
      </w:r>
      <w:proofErr w:type="spellStart"/>
      <w:r w:rsidRPr="00C807F6">
        <w:rPr>
          <w:rFonts w:ascii="Arial" w:eastAsia="Calibri" w:hAnsi="Arial" w:cs="Arial"/>
        </w:rPr>
        <w:t>CfD</w:t>
      </w:r>
      <w:proofErr w:type="spellEnd"/>
      <w:r w:rsidRPr="00C807F6">
        <w:rPr>
          <w:rFonts w:ascii="Arial" w:eastAsia="Calibri" w:hAnsi="Arial" w:cs="Arial"/>
        </w:rPr>
        <w:t xml:space="preserve">. </w:t>
      </w:r>
    </w:p>
    <w:p w14:paraId="67DB9DEF" w14:textId="77777777" w:rsidR="00C807F6" w:rsidRPr="00C807F6" w:rsidRDefault="00C807F6" w:rsidP="00C807F6">
      <w:pPr>
        <w:spacing w:after="120"/>
        <w:rPr>
          <w:rFonts w:ascii="Arial" w:eastAsia="Calibri" w:hAnsi="Arial" w:cs="Arial"/>
          <w:u w:val="single"/>
        </w:rPr>
      </w:pPr>
      <w:r w:rsidRPr="00C807F6">
        <w:rPr>
          <w:rFonts w:ascii="Arial" w:eastAsia="Calibri" w:hAnsi="Arial" w:cs="Arial"/>
          <w:u w:val="single"/>
        </w:rPr>
        <w:t>Capacity payments</w:t>
      </w:r>
    </w:p>
    <w:p w14:paraId="6F46BCCD" w14:textId="77777777" w:rsidR="00C807F6" w:rsidRPr="00C807F6" w:rsidRDefault="00C807F6" w:rsidP="00C807F6">
      <w:pPr>
        <w:numPr>
          <w:ilvl w:val="0"/>
          <w:numId w:val="44"/>
        </w:numPr>
        <w:spacing w:after="120"/>
        <w:rPr>
          <w:rFonts w:ascii="Arial" w:eastAsia="Calibri" w:hAnsi="Arial" w:cs="Arial"/>
        </w:rPr>
      </w:pPr>
      <w:r w:rsidRPr="00C807F6">
        <w:rPr>
          <w:rFonts w:ascii="Arial" w:eastAsia="Calibri" w:hAnsi="Arial" w:cs="Arial"/>
        </w:rPr>
        <w:t>While some respondents considered capacity payments would be the best way of bringing on new investment, many others noted that the introduction of capacity payments would represent a dramatic departure from the energy-only market, and noted the use of such payments would involve transferring significant financial cost to the taxpayer.</w:t>
      </w:r>
    </w:p>
    <w:p w14:paraId="07C602A8" w14:textId="77777777" w:rsidR="00C807F6" w:rsidRPr="00C807F6" w:rsidRDefault="00C807F6" w:rsidP="00C807F6">
      <w:pPr>
        <w:numPr>
          <w:ilvl w:val="0"/>
          <w:numId w:val="44"/>
        </w:numPr>
        <w:spacing w:after="120"/>
        <w:rPr>
          <w:rFonts w:ascii="Arial" w:eastAsia="Calibri" w:hAnsi="Arial" w:cs="Arial"/>
        </w:rPr>
      </w:pPr>
      <w:r w:rsidRPr="00C807F6">
        <w:rPr>
          <w:rFonts w:ascii="Arial" w:eastAsia="Calibri" w:hAnsi="Arial" w:cs="Arial"/>
        </w:rPr>
        <w:t xml:space="preserve">Others noted that, while international experience showed that capacity payments could reduce ‘headline’ energy costs, they can lead to inefficient investment and higher costs overall. </w:t>
      </w:r>
    </w:p>
    <w:p w14:paraId="52609603" w14:textId="77777777" w:rsidR="00C807F6" w:rsidRPr="00C807F6" w:rsidRDefault="00C807F6" w:rsidP="00C807F6">
      <w:pPr>
        <w:spacing w:after="120"/>
        <w:rPr>
          <w:rFonts w:ascii="Arial" w:eastAsia="Calibri" w:hAnsi="Arial" w:cs="Arial"/>
          <w:u w:val="single"/>
        </w:rPr>
      </w:pPr>
      <w:r w:rsidRPr="00C807F6">
        <w:rPr>
          <w:rFonts w:ascii="Arial" w:eastAsia="Calibri" w:hAnsi="Arial" w:cs="Arial"/>
          <w:u w:val="single"/>
        </w:rPr>
        <w:t>Small grants</w:t>
      </w:r>
    </w:p>
    <w:p w14:paraId="5E67C6A8" w14:textId="77777777" w:rsidR="00C807F6" w:rsidRPr="00C807F6" w:rsidRDefault="00C807F6" w:rsidP="00C807F6">
      <w:pPr>
        <w:numPr>
          <w:ilvl w:val="0"/>
          <w:numId w:val="44"/>
        </w:numPr>
        <w:spacing w:after="120"/>
        <w:rPr>
          <w:rFonts w:ascii="Arial" w:eastAsia="Calibri" w:hAnsi="Arial" w:cs="Arial"/>
        </w:rPr>
      </w:pPr>
      <w:r w:rsidRPr="00C807F6">
        <w:rPr>
          <w:rFonts w:ascii="Arial" w:eastAsia="Calibri" w:hAnsi="Arial" w:cs="Arial"/>
        </w:rPr>
        <w:t>Grants were not raised as a support option in the October 2018 consultation paper.</w:t>
      </w:r>
    </w:p>
    <w:p w14:paraId="4E3D0581" w14:textId="77777777" w:rsidR="00C807F6" w:rsidRPr="00C807F6" w:rsidRDefault="00C807F6" w:rsidP="00C807F6">
      <w:pPr>
        <w:numPr>
          <w:ilvl w:val="0"/>
          <w:numId w:val="44"/>
        </w:numPr>
        <w:spacing w:after="120"/>
        <w:rPr>
          <w:rFonts w:ascii="Arial" w:eastAsia="Calibri" w:hAnsi="Arial" w:cs="Arial"/>
        </w:rPr>
      </w:pPr>
      <w:r w:rsidRPr="00C807F6">
        <w:rPr>
          <w:rFonts w:ascii="Arial" w:eastAsia="Calibri" w:hAnsi="Arial" w:cs="Arial"/>
        </w:rPr>
        <w:t>Consultation with stakeholders identified that some project proponents are struggling to gain approval for undertaking feasibility studies owing to the current investment environment for electricity projects.</w:t>
      </w:r>
    </w:p>
    <w:p w14:paraId="160903FA" w14:textId="77777777" w:rsidR="00C807F6" w:rsidRPr="00C807F6" w:rsidRDefault="00C807F6" w:rsidP="00C807F6">
      <w:pPr>
        <w:numPr>
          <w:ilvl w:val="0"/>
          <w:numId w:val="44"/>
        </w:numPr>
        <w:spacing w:after="0" w:line="240" w:lineRule="auto"/>
        <w:rPr>
          <w:rFonts w:ascii="Arial" w:eastAsia="Calibri" w:hAnsi="Arial" w:cs="Times New Roman"/>
        </w:rPr>
      </w:pPr>
      <w:r w:rsidRPr="00C807F6">
        <w:rPr>
          <w:rFonts w:ascii="Arial" w:eastAsia="Calibri" w:hAnsi="Arial" w:cs="Times New Roman"/>
        </w:rPr>
        <w:t>Further, some generation projects expressed their preferred mechanism as grants where support is needed for a specific purpose. For example, for a small upgrade (such as components of a generator) where a revenue floor would underwrite the entire generator not just the upgrade. This in turn would reduce the Government’s liabilities.</w:t>
      </w:r>
      <w:r w:rsidRPr="00C807F6">
        <w:rPr>
          <w:rFonts w:ascii="Arial" w:eastAsia="Calibri" w:hAnsi="Arial" w:cs="Times New Roman"/>
        </w:rPr>
        <w:br w:type="page"/>
      </w:r>
    </w:p>
    <w:p w14:paraId="72EA46B0" w14:textId="77777777" w:rsidR="00C807F6" w:rsidRPr="00C807F6" w:rsidRDefault="00C807F6" w:rsidP="00C807F6">
      <w:pPr>
        <w:keepNext/>
        <w:ind w:left="360" w:hanging="360"/>
        <w:outlineLvl w:val="0"/>
        <w:rPr>
          <w:rFonts w:ascii="Calibri" w:eastAsia="Calibri" w:hAnsi="Calibri" w:cs="Arial"/>
          <w:b/>
          <w:caps/>
          <w:color w:val="365F91"/>
          <w:sz w:val="28"/>
          <w:szCs w:val="28"/>
        </w:rPr>
      </w:pPr>
      <w:bookmarkStart w:id="14" w:name="_Toc12367650"/>
      <w:r w:rsidRPr="00C807F6">
        <w:rPr>
          <w:rFonts w:ascii="Calibri" w:eastAsia="Calibri" w:hAnsi="Calibri" w:cs="Arial"/>
          <w:b/>
          <w:caps/>
          <w:color w:val="365F91"/>
          <w:sz w:val="28"/>
          <w:szCs w:val="28"/>
        </w:rPr>
        <w:lastRenderedPageBreak/>
        <w:t>Preferred option</w:t>
      </w:r>
      <w:bookmarkEnd w:id="14"/>
    </w:p>
    <w:p w14:paraId="20A6C8F9"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The Government has announced it supports the ACCC recommendation to underwrite new generation through the UNGI program. This option represents the greatest net benefit to address the objectives of the reform. The UNGI program, as outlined in the impact analysis section above, represents the least risk approach to increasing firm capacity in the system, reducing wholesale electricity prices by increasing competition and supply, and assisting C&amp;I customers to access affordable energy supply arrangements.  </w:t>
      </w:r>
    </w:p>
    <w:p w14:paraId="3978B5D3" w14:textId="77777777" w:rsidR="00C807F6" w:rsidRPr="00C807F6" w:rsidRDefault="00C807F6" w:rsidP="00C807F6">
      <w:pPr>
        <w:rPr>
          <w:rFonts w:ascii="Arial" w:eastAsia="Calibri" w:hAnsi="Arial" w:cs="Arial"/>
        </w:rPr>
      </w:pPr>
      <w:r w:rsidRPr="00C807F6">
        <w:rPr>
          <w:rFonts w:ascii="Arial" w:eastAsia="Calibri" w:hAnsi="Arial" w:cs="Times New Roman"/>
        </w:rPr>
        <w:t>The do nothing option</w:t>
      </w:r>
      <w:r w:rsidRPr="00C807F6">
        <w:rPr>
          <w:rFonts w:ascii="Arial" w:eastAsia="Calibri" w:hAnsi="Arial" w:cs="Arial"/>
        </w:rPr>
        <w:t xml:space="preserve"> involves the highest risk that the market will not address the shortfall in firm generation capacity in the short to medium term. If no new investment is made under the do nothing approach or investment is undertaken only by the large incumbents, there will be no increase in competition and as a result little downward pressure in the wholesale market price or opportunities for C&amp;I customers to contract with new generation. </w:t>
      </w:r>
    </w:p>
    <w:p w14:paraId="66E4306C" w14:textId="77777777" w:rsidR="00C807F6" w:rsidRPr="00C807F6" w:rsidRDefault="00C807F6" w:rsidP="00C807F6">
      <w:pPr>
        <w:rPr>
          <w:rFonts w:ascii="Arial" w:eastAsia="Calibri" w:hAnsi="Arial" w:cs="Times New Roman"/>
        </w:rPr>
      </w:pPr>
      <w:r w:rsidRPr="00C807F6">
        <w:rPr>
          <w:rFonts w:ascii="Arial" w:eastAsia="Calibri" w:hAnsi="Arial" w:cs="Arial"/>
        </w:rPr>
        <w:t xml:space="preserve">The option for Government funded new generation could help address the shortfall in firm generation capacity which could lead to improved reliability and reduced wholesale prices. Direct Government ownership could also ensure that generation from the new generators is contracted with </w:t>
      </w:r>
      <w:proofErr w:type="gramStart"/>
      <w:r w:rsidRPr="00C807F6">
        <w:rPr>
          <w:rFonts w:ascii="Arial" w:eastAsia="Calibri" w:hAnsi="Arial" w:cs="Arial"/>
        </w:rPr>
        <w:t>C&amp;I</w:t>
      </w:r>
      <w:proofErr w:type="gramEnd"/>
      <w:r w:rsidRPr="00C807F6">
        <w:rPr>
          <w:rFonts w:ascii="Arial" w:eastAsia="Calibri" w:hAnsi="Arial" w:cs="Arial"/>
        </w:rPr>
        <w:t xml:space="preserve"> customers. However, there is a high risk that this option would not address competition concerns in the market as it may crowd out private investment, making it less likely there will be new competitors in the market.  </w:t>
      </w:r>
    </w:p>
    <w:p w14:paraId="5B229818"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In order to provide flexibility and to ensure that the objectives of the reform are achieved, the UNGI program will be a multi-phase program that will open to agreeing to support for projects over a four year period up until 30 June 2023. The phased approach provides the program with the flexibility to respond to emerging market trends or changed market dynamics and reduce the risk of unintended market distortion. </w:t>
      </w:r>
    </w:p>
    <w:p w14:paraId="5931AA08"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The program will also undertake a flexible approach to supporting new generation, including price floors, revenue floors, small grants and government loans. For each phase of the program appropriate support mechanisms will be determined and a detailed assessment process will be undertaken to select the appropriate mechanism and level of support for each project to minimise risk to the taxpayer. </w:t>
      </w:r>
    </w:p>
    <w:p w14:paraId="6154E286" w14:textId="77777777" w:rsidR="00C807F6" w:rsidRPr="00C807F6" w:rsidRDefault="00C807F6" w:rsidP="00C807F6">
      <w:pPr>
        <w:rPr>
          <w:rFonts w:ascii="Arial" w:eastAsia="Calibri" w:hAnsi="Arial" w:cs="Times New Roman"/>
        </w:rPr>
      </w:pPr>
      <w:r w:rsidRPr="00C807F6">
        <w:rPr>
          <w:rFonts w:ascii="Arial" w:eastAsia="Calibri" w:hAnsi="Arial" w:cs="Times New Roman"/>
        </w:rPr>
        <w:t>While the other mechanisms identified might also meet some objectives of the reform, they involve greater risks to the Government and the market. All identified mechanisms carry less risk than a do nothing or direct Government ownership approach as identified in section 4 of this RIS. Ongoing analysis will be used to assess the effectiveness of support provided, and determine if changed market dynamics mean an alternative support mechanism could result in lower</w:t>
      </w:r>
      <w:r w:rsidRPr="00C807F6">
        <w:rPr>
          <w:rFonts w:ascii="Arial" w:eastAsia="Calibri" w:hAnsi="Arial" w:cs="Times New Roman"/>
        </w:rPr>
        <w:noBreakHyphen/>
        <w:t>cost achievement of the program objectives.</w:t>
      </w:r>
    </w:p>
    <w:p w14:paraId="108324EB" w14:textId="77777777" w:rsidR="00C807F6" w:rsidRPr="00C807F6" w:rsidRDefault="00C807F6" w:rsidP="00C807F6">
      <w:pPr>
        <w:rPr>
          <w:rFonts w:ascii="Arial" w:eastAsia="Calibri" w:hAnsi="Arial" w:cs="Times New Roman"/>
        </w:rPr>
      </w:pPr>
      <w:r w:rsidRPr="00C807F6">
        <w:rPr>
          <w:rFonts w:ascii="Arial" w:eastAsia="Calibri" w:hAnsi="Arial" w:cs="Times New Roman"/>
        </w:rPr>
        <w:lastRenderedPageBreak/>
        <w:t xml:space="preserve">Only Option 3 has any impact from a regulatory burden perspective. The estimated cost of $573,235 per annum over 10 years is considered minimal in comparison to the expected benefits of the program, including enhanced competition. To constrain the burden, where possible, the Government should use standard project development reports, for example the legal and technical due diligence reports required by commercial banks, as part of the assessment process. </w:t>
      </w:r>
      <w:r w:rsidRPr="00C807F6">
        <w:rPr>
          <w:rFonts w:ascii="Arial" w:eastAsia="Calibri" w:hAnsi="Arial" w:cs="Times New Roman"/>
        </w:rPr>
        <w:br w:type="page"/>
      </w:r>
    </w:p>
    <w:p w14:paraId="122C16FA" w14:textId="77777777" w:rsidR="00C807F6" w:rsidRPr="00C807F6" w:rsidRDefault="00C807F6" w:rsidP="00C807F6">
      <w:pPr>
        <w:keepNext/>
        <w:ind w:left="360" w:hanging="360"/>
        <w:outlineLvl w:val="0"/>
        <w:rPr>
          <w:rFonts w:ascii="Calibri" w:eastAsia="Calibri" w:hAnsi="Calibri" w:cs="Arial"/>
          <w:b/>
          <w:caps/>
          <w:color w:val="365F91"/>
          <w:sz w:val="28"/>
          <w:szCs w:val="28"/>
        </w:rPr>
      </w:pPr>
      <w:bookmarkStart w:id="15" w:name="_Toc528774704"/>
      <w:bookmarkStart w:id="16" w:name="_Toc12367651"/>
      <w:r w:rsidRPr="00C807F6">
        <w:rPr>
          <w:rFonts w:ascii="Calibri" w:eastAsia="Calibri" w:hAnsi="Calibri" w:cs="Arial"/>
          <w:b/>
          <w:caps/>
          <w:color w:val="365F91"/>
          <w:sz w:val="28"/>
          <w:szCs w:val="28"/>
        </w:rPr>
        <w:lastRenderedPageBreak/>
        <w:t>Implementation and evaluation</w:t>
      </w:r>
      <w:bookmarkEnd w:id="15"/>
      <w:bookmarkEnd w:id="16"/>
    </w:p>
    <w:p w14:paraId="407A32DC"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The Underwriting New Generation Investments program will be a multi-phase program that will be open to agreeing to support for projects until 30 June 2023. As discussed in section 6 of this RIS, the program will take a flexible approach to supporting new generation, starting with the price floor, grants and government loans. In later phases of the program, other mechanisms may be made available dependent on further work occurring in developing those options and the needs of project proponents. </w:t>
      </w:r>
    </w:p>
    <w:p w14:paraId="2AFE0B0C"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The program’s objectives are to: </w:t>
      </w:r>
    </w:p>
    <w:p w14:paraId="6EFA9F20" w14:textId="77777777" w:rsidR="00C807F6" w:rsidRPr="00C807F6" w:rsidRDefault="00C807F6" w:rsidP="00C807F6">
      <w:pPr>
        <w:numPr>
          <w:ilvl w:val="0"/>
          <w:numId w:val="39"/>
        </w:numPr>
        <w:rPr>
          <w:rFonts w:ascii="Arial" w:eastAsia="Calibri" w:hAnsi="Arial" w:cs="Times New Roman"/>
        </w:rPr>
      </w:pPr>
      <w:r w:rsidRPr="00C807F6">
        <w:rPr>
          <w:rFonts w:ascii="Arial" w:eastAsia="Calibri" w:hAnsi="Arial" w:cs="Times New Roman"/>
        </w:rPr>
        <w:t>reduce wholesale electricity prices by increasing competition and supply;</w:t>
      </w:r>
    </w:p>
    <w:p w14:paraId="1FB791AD" w14:textId="77777777" w:rsidR="00C807F6" w:rsidRPr="00C807F6" w:rsidRDefault="00C807F6" w:rsidP="00C807F6">
      <w:pPr>
        <w:numPr>
          <w:ilvl w:val="0"/>
          <w:numId w:val="39"/>
        </w:numPr>
        <w:rPr>
          <w:rFonts w:ascii="Arial" w:eastAsia="Calibri" w:hAnsi="Arial" w:cs="Times New Roman"/>
        </w:rPr>
      </w:pPr>
      <w:r w:rsidRPr="00C807F6">
        <w:rPr>
          <w:rFonts w:ascii="Arial" w:eastAsia="Calibri" w:hAnsi="Arial" w:cs="Times New Roman"/>
        </w:rPr>
        <w:t>assist commercial and industrial customers and small retailers access affordable energy; and</w:t>
      </w:r>
    </w:p>
    <w:p w14:paraId="605C67D9" w14:textId="77777777" w:rsidR="00C807F6" w:rsidRPr="00C807F6" w:rsidRDefault="00C807F6" w:rsidP="00C807F6">
      <w:pPr>
        <w:numPr>
          <w:ilvl w:val="0"/>
          <w:numId w:val="39"/>
        </w:numPr>
        <w:rPr>
          <w:rFonts w:ascii="Arial" w:eastAsia="Calibri" w:hAnsi="Arial" w:cs="Times New Roman"/>
        </w:rPr>
      </w:pPr>
      <w:proofErr w:type="gramStart"/>
      <w:r w:rsidRPr="00C807F6">
        <w:rPr>
          <w:rFonts w:ascii="Arial" w:eastAsia="Calibri" w:hAnsi="Arial" w:cs="Times New Roman"/>
        </w:rPr>
        <w:t>improve</w:t>
      </w:r>
      <w:proofErr w:type="gramEnd"/>
      <w:r w:rsidRPr="00C807F6">
        <w:rPr>
          <w:rFonts w:ascii="Arial" w:eastAsia="Calibri" w:hAnsi="Arial" w:cs="Times New Roman"/>
        </w:rPr>
        <w:t xml:space="preserve"> reliability by increasing the level of firm capacity in the system.</w:t>
      </w:r>
    </w:p>
    <w:p w14:paraId="5408CD0B" w14:textId="77777777" w:rsidR="00C807F6" w:rsidRPr="00C807F6" w:rsidRDefault="00C807F6" w:rsidP="00C807F6">
      <w:pPr>
        <w:rPr>
          <w:rFonts w:ascii="Arial" w:eastAsia="Calibri" w:hAnsi="Arial" w:cs="Times New Roman"/>
        </w:rPr>
      </w:pPr>
      <w:r w:rsidRPr="00C807F6">
        <w:rPr>
          <w:rFonts w:ascii="Arial" w:eastAsia="Calibri" w:hAnsi="Arial" w:cs="Times New Roman"/>
        </w:rPr>
        <w:t>Any program that seeks to deliver additional capacity creates risks for the market. Government intervention that is not tightly targeted risks drying up private investment, oversupplying the market and/or not providing any additionality. As such the program should:</w:t>
      </w:r>
    </w:p>
    <w:p w14:paraId="70AEF755" w14:textId="77777777" w:rsidR="00C807F6" w:rsidRPr="00C807F6" w:rsidRDefault="00C807F6" w:rsidP="00C807F6">
      <w:pPr>
        <w:numPr>
          <w:ilvl w:val="0"/>
          <w:numId w:val="38"/>
        </w:numPr>
        <w:rPr>
          <w:rFonts w:ascii="Arial" w:eastAsia="Calibri" w:hAnsi="Arial" w:cs="Times New Roman"/>
        </w:rPr>
      </w:pPr>
      <w:r w:rsidRPr="00C807F6">
        <w:rPr>
          <w:rFonts w:ascii="Arial" w:eastAsia="Calibri" w:hAnsi="Arial" w:cs="Times New Roman"/>
        </w:rPr>
        <w:t xml:space="preserve">Be time bound. The program must have a clear end date. Consistent with the ACCC recommendation the program will be open over four years. </w:t>
      </w:r>
    </w:p>
    <w:p w14:paraId="03537E01" w14:textId="77777777" w:rsidR="00C807F6" w:rsidRPr="00C807F6" w:rsidRDefault="00C807F6" w:rsidP="00C807F6">
      <w:pPr>
        <w:numPr>
          <w:ilvl w:val="0"/>
          <w:numId w:val="38"/>
        </w:numPr>
        <w:rPr>
          <w:rFonts w:ascii="Arial" w:eastAsia="Calibri" w:hAnsi="Arial" w:cs="Times New Roman"/>
        </w:rPr>
      </w:pPr>
      <w:r w:rsidRPr="00C807F6">
        <w:rPr>
          <w:rFonts w:ascii="Arial" w:eastAsia="Calibri" w:hAnsi="Arial" w:cs="Times New Roman"/>
        </w:rPr>
        <w:t xml:space="preserve">Limit the level of assistance provided to what is necessary to meet the objectives of the program. </w:t>
      </w:r>
    </w:p>
    <w:p w14:paraId="3515A53C" w14:textId="77777777" w:rsidR="00C807F6" w:rsidRPr="00C807F6" w:rsidRDefault="00C807F6" w:rsidP="00C807F6">
      <w:pPr>
        <w:numPr>
          <w:ilvl w:val="0"/>
          <w:numId w:val="38"/>
        </w:numPr>
        <w:rPr>
          <w:rFonts w:ascii="Arial" w:eastAsia="Calibri" w:hAnsi="Arial" w:cs="Times New Roman"/>
        </w:rPr>
      </w:pPr>
      <w:r w:rsidRPr="00C807F6">
        <w:rPr>
          <w:rFonts w:ascii="Arial" w:eastAsia="Calibri" w:hAnsi="Arial" w:cs="Times New Roman"/>
        </w:rPr>
        <w:t xml:space="preserve">Ensure the amount of additional capacity supported is appropriate to market conditions. The amount should take account of capacity gaps in the market, based on the best evidence available at the time decisions are made on preferred projects.  </w:t>
      </w:r>
    </w:p>
    <w:p w14:paraId="1A70C379" w14:textId="77777777" w:rsidR="00C807F6" w:rsidRPr="00C807F6" w:rsidRDefault="00C807F6" w:rsidP="00C807F6">
      <w:pPr>
        <w:numPr>
          <w:ilvl w:val="0"/>
          <w:numId w:val="38"/>
        </w:numPr>
        <w:rPr>
          <w:rFonts w:ascii="Arial" w:eastAsia="Calibri" w:hAnsi="Arial" w:cs="Times New Roman"/>
        </w:rPr>
      </w:pPr>
      <w:r w:rsidRPr="00C807F6">
        <w:rPr>
          <w:rFonts w:ascii="Arial" w:eastAsia="Calibri" w:hAnsi="Arial" w:cs="Times New Roman"/>
        </w:rPr>
        <w:t xml:space="preserve">Address the needs of customers. A pre-requisite of projects receiving Government support will be that they have in-principle support from large customers, either C&amp;I or retailers. </w:t>
      </w:r>
    </w:p>
    <w:p w14:paraId="7307A6CF" w14:textId="77777777" w:rsidR="00C807F6" w:rsidRPr="00C807F6" w:rsidRDefault="00C807F6" w:rsidP="00C807F6">
      <w:pPr>
        <w:numPr>
          <w:ilvl w:val="0"/>
          <w:numId w:val="38"/>
        </w:numPr>
        <w:rPr>
          <w:rFonts w:ascii="Arial" w:eastAsia="Calibri" w:hAnsi="Arial" w:cs="Times New Roman"/>
        </w:rPr>
      </w:pPr>
      <w:r w:rsidRPr="00C807F6">
        <w:rPr>
          <w:rFonts w:ascii="Arial" w:eastAsia="Calibri" w:hAnsi="Arial" w:cs="Times New Roman"/>
        </w:rPr>
        <w:t>Ensure the generation supported is appropriate to changing market conditions. The projects supported by the program will be capable of providing firm generation to the market.</w:t>
      </w:r>
    </w:p>
    <w:p w14:paraId="079759B3" w14:textId="77777777" w:rsidR="00C807F6" w:rsidRPr="00C807F6" w:rsidRDefault="00C807F6" w:rsidP="00C807F6">
      <w:pPr>
        <w:rPr>
          <w:rFonts w:ascii="Arial" w:eastAsia="Calibri" w:hAnsi="Arial" w:cs="Times New Roman"/>
        </w:rPr>
      </w:pPr>
      <w:r w:rsidRPr="00C807F6">
        <w:rPr>
          <w:rFonts w:ascii="Arial" w:eastAsia="Calibri" w:hAnsi="Arial" w:cs="Times New Roman"/>
        </w:rPr>
        <w:t>By adopting these parameters, the program will effectively target the objectives of the reform, while mitigating the risks that it will have a distortionary effect on the electricity market and the investment environment.</w:t>
      </w:r>
    </w:p>
    <w:p w14:paraId="5458DD4D" w14:textId="77777777" w:rsidR="00C807F6" w:rsidRPr="00C807F6" w:rsidRDefault="00C807F6" w:rsidP="00C807F6">
      <w:pPr>
        <w:rPr>
          <w:rFonts w:ascii="Arial" w:eastAsia="Calibri" w:hAnsi="Arial" w:cs="Times New Roman"/>
        </w:rPr>
      </w:pPr>
      <w:r w:rsidRPr="00C807F6">
        <w:rPr>
          <w:rFonts w:ascii="Arial" w:eastAsia="Calibri" w:hAnsi="Arial" w:cs="Times New Roman"/>
        </w:rPr>
        <w:lastRenderedPageBreak/>
        <w:t>The implementation process commenced with the Registration of Interest (ROI) as explained in section 5 of this document. The ROI process was used to gain an understanding of the potential projects in the market, and to inform the design of the program and program guidelines, including the eligibility and selection criteria.</w:t>
      </w:r>
    </w:p>
    <w:p w14:paraId="702EB26E"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Ahead of project proponents submitting documentation against the eligibility criteria a screening process is planned to ensure: </w:t>
      </w:r>
    </w:p>
    <w:p w14:paraId="4A800F89" w14:textId="77777777" w:rsidR="00C807F6" w:rsidRPr="00C807F6" w:rsidRDefault="00C807F6" w:rsidP="00C807F6">
      <w:pPr>
        <w:numPr>
          <w:ilvl w:val="0"/>
          <w:numId w:val="39"/>
        </w:numPr>
        <w:rPr>
          <w:rFonts w:ascii="Arial" w:eastAsia="Calibri" w:hAnsi="Arial" w:cs="Times New Roman"/>
        </w:rPr>
      </w:pPr>
      <w:r w:rsidRPr="00C807F6">
        <w:rPr>
          <w:rFonts w:ascii="Arial" w:eastAsia="Calibri" w:hAnsi="Arial" w:cs="Times New Roman"/>
        </w:rPr>
        <w:t>Project is sufficiently advanced to be considering project financing</w:t>
      </w:r>
    </w:p>
    <w:p w14:paraId="2DE0D210" w14:textId="77777777" w:rsidR="00C807F6" w:rsidRPr="00C807F6" w:rsidRDefault="00C807F6" w:rsidP="00C807F6">
      <w:pPr>
        <w:numPr>
          <w:ilvl w:val="0"/>
          <w:numId w:val="39"/>
        </w:numPr>
        <w:rPr>
          <w:rFonts w:ascii="Arial" w:eastAsia="Calibri" w:hAnsi="Arial" w:cs="Times New Roman"/>
        </w:rPr>
      </w:pPr>
      <w:r w:rsidRPr="00C807F6">
        <w:rPr>
          <w:rFonts w:ascii="Arial" w:eastAsia="Calibri" w:hAnsi="Arial" w:cs="Times New Roman"/>
        </w:rPr>
        <w:t>Project revenue models are strong</w:t>
      </w:r>
    </w:p>
    <w:p w14:paraId="24E77ABE" w14:textId="77777777" w:rsidR="00C807F6" w:rsidRPr="00C807F6" w:rsidRDefault="00C807F6" w:rsidP="00C807F6">
      <w:pPr>
        <w:numPr>
          <w:ilvl w:val="0"/>
          <w:numId w:val="39"/>
        </w:numPr>
        <w:rPr>
          <w:rFonts w:ascii="Arial" w:eastAsia="Calibri" w:hAnsi="Arial" w:cs="Times New Roman"/>
        </w:rPr>
      </w:pPr>
      <w:r w:rsidRPr="00C807F6">
        <w:rPr>
          <w:rFonts w:ascii="Arial" w:eastAsia="Calibri" w:hAnsi="Arial" w:cs="Times New Roman"/>
        </w:rPr>
        <w:t>Project is technically feasible</w:t>
      </w:r>
    </w:p>
    <w:p w14:paraId="5F5C9713" w14:textId="77777777" w:rsidR="00C807F6" w:rsidRPr="00C807F6" w:rsidRDefault="00C807F6" w:rsidP="00C807F6">
      <w:pPr>
        <w:numPr>
          <w:ilvl w:val="0"/>
          <w:numId w:val="39"/>
        </w:numPr>
        <w:rPr>
          <w:rFonts w:ascii="Arial" w:eastAsia="Calibri" w:hAnsi="Arial" w:cs="Times New Roman"/>
        </w:rPr>
      </w:pPr>
      <w:r w:rsidRPr="00C807F6">
        <w:rPr>
          <w:rFonts w:ascii="Arial" w:eastAsia="Calibri" w:hAnsi="Arial" w:cs="Times New Roman"/>
        </w:rPr>
        <w:t>Project proponents and project partners are of sufficient reputational standing to have dealings with the Commonwealth</w:t>
      </w:r>
    </w:p>
    <w:p w14:paraId="7E1C9BC0" w14:textId="77777777" w:rsidR="00C807F6" w:rsidRPr="00C807F6" w:rsidRDefault="00C807F6" w:rsidP="00C807F6">
      <w:pPr>
        <w:numPr>
          <w:ilvl w:val="0"/>
          <w:numId w:val="39"/>
        </w:numPr>
        <w:rPr>
          <w:rFonts w:ascii="Arial" w:eastAsia="Calibri" w:hAnsi="Arial" w:cs="Times New Roman"/>
        </w:rPr>
      </w:pPr>
      <w:r w:rsidRPr="00C807F6">
        <w:rPr>
          <w:rFonts w:ascii="Arial" w:eastAsia="Calibri" w:hAnsi="Arial" w:cs="Times New Roman"/>
        </w:rPr>
        <w:t>Project proponents have been engaging or have a plan to engage in good faith with the local community</w:t>
      </w:r>
    </w:p>
    <w:p w14:paraId="2A900B83" w14:textId="77777777" w:rsidR="00C807F6" w:rsidRPr="00C807F6" w:rsidRDefault="00C807F6" w:rsidP="00C807F6">
      <w:pPr>
        <w:numPr>
          <w:ilvl w:val="0"/>
          <w:numId w:val="39"/>
        </w:numPr>
        <w:rPr>
          <w:rFonts w:ascii="Arial" w:eastAsia="Calibri" w:hAnsi="Arial" w:cs="Times New Roman"/>
        </w:rPr>
      </w:pPr>
      <w:r w:rsidRPr="00C807F6">
        <w:rPr>
          <w:rFonts w:ascii="Arial" w:eastAsia="Calibri" w:hAnsi="Arial" w:cs="Times New Roman"/>
        </w:rPr>
        <w:t>Project proponents have pursued all other options available for Government support, including through ARENA.</w:t>
      </w:r>
    </w:p>
    <w:p w14:paraId="731676AE" w14:textId="77777777" w:rsidR="00C807F6" w:rsidRPr="00C807F6" w:rsidRDefault="00C807F6" w:rsidP="00C807F6">
      <w:pPr>
        <w:rPr>
          <w:rFonts w:ascii="Arial" w:eastAsia="Calibri" w:hAnsi="Arial" w:cs="Times New Roman"/>
        </w:rPr>
      </w:pPr>
      <w:r w:rsidRPr="00C807F6">
        <w:rPr>
          <w:rFonts w:ascii="Arial" w:eastAsia="Calibri" w:hAnsi="Arial" w:cs="Times New Roman"/>
        </w:rPr>
        <w:t>To be eligible for support, projects proponents will have to demonstrate that the project will:</w:t>
      </w:r>
    </w:p>
    <w:p w14:paraId="3FD3E619" w14:textId="77777777" w:rsidR="00C807F6" w:rsidRPr="00C807F6" w:rsidRDefault="00C807F6" w:rsidP="00C807F6">
      <w:pPr>
        <w:numPr>
          <w:ilvl w:val="0"/>
          <w:numId w:val="39"/>
        </w:numPr>
        <w:rPr>
          <w:rFonts w:ascii="Arial" w:eastAsia="Calibri" w:hAnsi="Arial" w:cs="Times New Roman"/>
        </w:rPr>
      </w:pPr>
      <w:r w:rsidRPr="00C807F6">
        <w:rPr>
          <w:rFonts w:ascii="Arial" w:eastAsia="Calibri" w:hAnsi="Arial" w:cs="Times New Roman"/>
        </w:rPr>
        <w:t>Deliver firm new generation capacity of at least 30MW by 2025 for new projects or 15MW of additional generation capacity for upgrades or augmentation projects. Storage projects must be capable of delivering the required additional capacity for a period of no less than four (4) hours. Capacity is defined as the maximum power output (AC) that the system will produce, as measured at the metered point of connection to the interconnected network.</w:t>
      </w:r>
    </w:p>
    <w:p w14:paraId="3F2F34B5" w14:textId="77777777" w:rsidR="00C807F6" w:rsidRPr="00C807F6" w:rsidRDefault="00C807F6" w:rsidP="00C807F6">
      <w:pPr>
        <w:numPr>
          <w:ilvl w:val="0"/>
          <w:numId w:val="39"/>
        </w:numPr>
        <w:rPr>
          <w:rFonts w:ascii="Arial" w:eastAsia="Calibri" w:hAnsi="Arial" w:cs="Times New Roman"/>
        </w:rPr>
      </w:pPr>
      <w:r w:rsidRPr="00C807F6">
        <w:rPr>
          <w:rFonts w:ascii="Arial" w:eastAsia="Calibri" w:hAnsi="Arial" w:cs="Times New Roman"/>
        </w:rPr>
        <w:t>Require Government support.</w:t>
      </w:r>
    </w:p>
    <w:p w14:paraId="1105E59D" w14:textId="77777777" w:rsidR="00C807F6" w:rsidRPr="00C807F6" w:rsidRDefault="00C807F6" w:rsidP="00C807F6">
      <w:pPr>
        <w:numPr>
          <w:ilvl w:val="0"/>
          <w:numId w:val="39"/>
        </w:numPr>
        <w:rPr>
          <w:rFonts w:ascii="Arial" w:eastAsia="Calibri" w:hAnsi="Arial" w:cs="Times New Roman"/>
        </w:rPr>
      </w:pPr>
      <w:r w:rsidRPr="00C807F6">
        <w:rPr>
          <w:rFonts w:ascii="Arial" w:eastAsia="Calibri" w:hAnsi="Arial" w:cs="Times New Roman"/>
        </w:rPr>
        <w:t>Take place within an interconnected network within Australia.</w:t>
      </w:r>
    </w:p>
    <w:p w14:paraId="2A46740E" w14:textId="77777777" w:rsidR="00C807F6" w:rsidRPr="00C807F6" w:rsidRDefault="00C807F6" w:rsidP="00C807F6">
      <w:pPr>
        <w:rPr>
          <w:rFonts w:ascii="Arial" w:eastAsia="Calibri" w:hAnsi="Arial" w:cs="Times New Roman"/>
        </w:rPr>
      </w:pPr>
      <w:r w:rsidRPr="00C807F6">
        <w:rPr>
          <w:rFonts w:ascii="Arial" w:eastAsia="Calibri" w:hAnsi="Arial" w:cs="Times New Roman"/>
        </w:rPr>
        <w:t>Project proponents will have to also demonstrate that they meet the following requirements:</w:t>
      </w:r>
    </w:p>
    <w:p w14:paraId="6BDF0384" w14:textId="77777777" w:rsidR="00C807F6" w:rsidRPr="00C807F6" w:rsidRDefault="00C807F6" w:rsidP="0052368B">
      <w:pPr>
        <w:numPr>
          <w:ilvl w:val="0"/>
          <w:numId w:val="39"/>
        </w:numPr>
        <w:rPr>
          <w:rFonts w:ascii="Arial" w:eastAsia="Calibri" w:hAnsi="Arial" w:cs="Times New Roman"/>
        </w:rPr>
      </w:pPr>
      <w:r w:rsidRPr="00C807F6">
        <w:rPr>
          <w:rFonts w:ascii="Arial" w:eastAsia="Calibri" w:hAnsi="Arial" w:cs="Times New Roman"/>
        </w:rPr>
        <w:t>Be a corporation to which section 51(xx) of the Constitution applies. Foreign investors can apply to the extent they meet the criteria, subject to normal Foreign Investment Review Board approval that must be obtained prior to lodging an application for support under the program.</w:t>
      </w:r>
    </w:p>
    <w:p w14:paraId="6596D543" w14:textId="77777777" w:rsidR="00C807F6" w:rsidRPr="00C807F6" w:rsidRDefault="00C807F6" w:rsidP="0052368B">
      <w:pPr>
        <w:numPr>
          <w:ilvl w:val="0"/>
          <w:numId w:val="39"/>
        </w:numPr>
        <w:rPr>
          <w:rFonts w:ascii="Arial" w:eastAsia="Calibri" w:hAnsi="Arial" w:cs="Times New Roman"/>
        </w:rPr>
      </w:pPr>
      <w:r w:rsidRPr="00C807F6">
        <w:rPr>
          <w:rFonts w:ascii="Arial" w:eastAsia="Calibri" w:hAnsi="Arial" w:cs="Times New Roman"/>
        </w:rPr>
        <w:t xml:space="preserve">Neither as an individual company or in aggregate with all related bodies corporate as defined in the </w:t>
      </w:r>
      <w:r w:rsidRPr="00C807F6">
        <w:rPr>
          <w:rFonts w:ascii="Arial" w:eastAsia="Calibri" w:hAnsi="Arial" w:cs="Times New Roman"/>
          <w:i/>
        </w:rPr>
        <w:t>Corporations Act 2001 (</w:t>
      </w:r>
      <w:proofErr w:type="spellStart"/>
      <w:r w:rsidRPr="00C807F6">
        <w:rPr>
          <w:rFonts w:ascii="Arial" w:eastAsia="Calibri" w:hAnsi="Arial" w:cs="Times New Roman"/>
          <w:i/>
        </w:rPr>
        <w:t>Cth</w:t>
      </w:r>
      <w:proofErr w:type="spellEnd"/>
      <w:r w:rsidRPr="00C807F6">
        <w:rPr>
          <w:rFonts w:ascii="Arial" w:eastAsia="Calibri" w:hAnsi="Arial" w:cs="Times New Roman"/>
          <w:i/>
        </w:rPr>
        <w:t>)</w:t>
      </w:r>
      <w:r w:rsidRPr="00C807F6">
        <w:rPr>
          <w:rFonts w:ascii="Arial" w:eastAsia="Calibri" w:hAnsi="Arial" w:cs="Times New Roman"/>
        </w:rPr>
        <w:t xml:space="preserve"> (the Group), currently hold a generation capacity market share of 10% or more across the project location in the NEM, or 20% or more in the interconnected system as a whole. </w:t>
      </w:r>
    </w:p>
    <w:p w14:paraId="66806459" w14:textId="77777777" w:rsidR="00C807F6" w:rsidRPr="00C807F6" w:rsidRDefault="00C807F6" w:rsidP="0052368B">
      <w:pPr>
        <w:numPr>
          <w:ilvl w:val="0"/>
          <w:numId w:val="39"/>
        </w:numPr>
        <w:rPr>
          <w:rFonts w:ascii="Arial" w:eastAsia="Calibri" w:hAnsi="Arial" w:cs="Times New Roman"/>
        </w:rPr>
      </w:pPr>
      <w:r w:rsidRPr="00C807F6">
        <w:rPr>
          <w:rFonts w:ascii="Arial" w:eastAsia="Calibri" w:hAnsi="Arial" w:cs="Times New Roman"/>
        </w:rPr>
        <w:lastRenderedPageBreak/>
        <w:t>No Group entity has any outstanding amounts payable in relation to a judicial decision relating to employee entitlements made against it.</w:t>
      </w:r>
    </w:p>
    <w:p w14:paraId="66969195" w14:textId="77777777" w:rsidR="00C807F6" w:rsidRPr="00C807F6" w:rsidRDefault="00C807F6" w:rsidP="0052368B">
      <w:pPr>
        <w:numPr>
          <w:ilvl w:val="0"/>
          <w:numId w:val="39"/>
        </w:numPr>
        <w:rPr>
          <w:rFonts w:ascii="Arial" w:eastAsia="Calibri" w:hAnsi="Arial" w:cs="Times New Roman"/>
        </w:rPr>
      </w:pPr>
      <w:r w:rsidRPr="00C807F6">
        <w:rPr>
          <w:rFonts w:ascii="Arial" w:eastAsia="Calibri" w:hAnsi="Arial" w:cs="Times New Roman"/>
        </w:rPr>
        <w:t xml:space="preserve">Not named as an organisation that has not complied with the </w:t>
      </w:r>
      <w:r w:rsidRPr="00C807F6">
        <w:rPr>
          <w:rFonts w:ascii="Arial" w:eastAsia="Calibri" w:hAnsi="Arial" w:cs="Times New Roman"/>
          <w:i/>
        </w:rPr>
        <w:t>Workplace Gender Equality Act 2012 (</w:t>
      </w:r>
      <w:proofErr w:type="spellStart"/>
      <w:r w:rsidRPr="00C807F6">
        <w:rPr>
          <w:rFonts w:ascii="Arial" w:eastAsia="Calibri" w:hAnsi="Arial" w:cs="Times New Roman"/>
          <w:i/>
        </w:rPr>
        <w:t>Cth</w:t>
      </w:r>
      <w:proofErr w:type="spellEnd"/>
      <w:r w:rsidRPr="00C807F6">
        <w:rPr>
          <w:rFonts w:ascii="Arial" w:eastAsia="Calibri" w:hAnsi="Arial" w:cs="Times New Roman"/>
          <w:i/>
        </w:rPr>
        <w:t>)</w:t>
      </w:r>
      <w:r w:rsidRPr="00C807F6">
        <w:rPr>
          <w:rFonts w:ascii="Arial" w:eastAsia="Calibri" w:hAnsi="Arial" w:cs="Times New Roman"/>
        </w:rPr>
        <w:t>.</w:t>
      </w:r>
    </w:p>
    <w:p w14:paraId="395BE682" w14:textId="77777777" w:rsidR="00C807F6" w:rsidRPr="00C807F6" w:rsidRDefault="00C807F6" w:rsidP="0052368B">
      <w:pPr>
        <w:numPr>
          <w:ilvl w:val="0"/>
          <w:numId w:val="39"/>
        </w:numPr>
        <w:rPr>
          <w:rFonts w:ascii="Arial" w:eastAsia="Calibri" w:hAnsi="Arial" w:cs="Times New Roman"/>
        </w:rPr>
      </w:pPr>
      <w:r w:rsidRPr="00C807F6">
        <w:rPr>
          <w:rFonts w:ascii="Arial" w:eastAsia="Calibri" w:hAnsi="Arial" w:cs="Times New Roman"/>
        </w:rPr>
        <w:t>No Group entity is named as a person or entity designated as terrorists. The list and more information on the anti-terrorism requirements are available at dfat.gov.au//</w:t>
      </w:r>
      <w:proofErr w:type="spellStart"/>
      <w:r w:rsidRPr="00C807F6">
        <w:rPr>
          <w:rFonts w:ascii="Arial" w:eastAsia="Calibri" w:hAnsi="Arial" w:cs="Times New Roman"/>
        </w:rPr>
        <w:t>icat</w:t>
      </w:r>
      <w:proofErr w:type="spellEnd"/>
      <w:r w:rsidRPr="00C807F6">
        <w:rPr>
          <w:rFonts w:ascii="Arial" w:eastAsia="Calibri" w:hAnsi="Arial" w:cs="Times New Roman"/>
        </w:rPr>
        <w:t xml:space="preserve">/UNSC_financial_sanctions.html </w:t>
      </w:r>
    </w:p>
    <w:p w14:paraId="15A6D9DA" w14:textId="77777777" w:rsidR="00C807F6" w:rsidRPr="00C807F6" w:rsidRDefault="00C807F6" w:rsidP="00C807F6">
      <w:pPr>
        <w:rPr>
          <w:rFonts w:ascii="Arial" w:eastAsia="Calibri" w:hAnsi="Arial" w:cs="Times New Roman"/>
        </w:rPr>
      </w:pPr>
      <w:r w:rsidRPr="00C807F6">
        <w:rPr>
          <w:rFonts w:ascii="Arial" w:eastAsia="Calibri" w:hAnsi="Arial" w:cs="Times New Roman"/>
        </w:rPr>
        <w:t>At the eligibility stage proponents should also be required to disclose any legal proceedings or investigation, or other material claims, including litigation, arbitration, mediation or conciliation that to the best of your knowledge, after having made proper enquiry are taking place, pending or threatened against any Group entity.</w:t>
      </w:r>
    </w:p>
    <w:p w14:paraId="3D0044C1"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Once a proposal has been assessed to have satisfied the eligibility criteria, the project will be invited to submit evidence to support claims against the selection criteria. </w:t>
      </w:r>
    </w:p>
    <w:p w14:paraId="4E5A81AB" w14:textId="77777777" w:rsidR="00C807F6" w:rsidRPr="00C807F6" w:rsidRDefault="00C807F6" w:rsidP="00C807F6">
      <w:pPr>
        <w:rPr>
          <w:rFonts w:ascii="Arial" w:eastAsia="Calibri" w:hAnsi="Arial" w:cs="Times New Roman"/>
        </w:rPr>
      </w:pPr>
      <w:r w:rsidRPr="00C807F6">
        <w:rPr>
          <w:rFonts w:ascii="Arial" w:eastAsia="Calibri" w:hAnsi="Arial" w:cs="Times New Roman"/>
        </w:rPr>
        <w:t>To be successful, the project must be viable (Selection Criterion A), the proponent must have the capacity, capability and resources to undertake the project (Selection Criterion B) and the project must contribute to one or more of the program objectives (Selection Criterion C).</w:t>
      </w:r>
    </w:p>
    <w:p w14:paraId="012D69FF"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The program will be run in phases. These may include ad-hoc work with proponents on individual projects as well as formal Requests for Proposals (RFPs). These processes will seek detailed proposals for projects to be considered for support under the program.  </w:t>
      </w:r>
    </w:p>
    <w:p w14:paraId="46480C31"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There will be multiple phases of the program. Each phase of the program will be determined by the identified future generation needs of the market, the requirements of individual project proponents and the needs of C&amp;I customers.    </w:t>
      </w:r>
    </w:p>
    <w:p w14:paraId="55088240" w14:textId="77777777" w:rsidR="00C807F6" w:rsidRPr="00C807F6" w:rsidRDefault="00C807F6" w:rsidP="00C807F6">
      <w:pPr>
        <w:rPr>
          <w:rFonts w:ascii="Arial" w:eastAsia="Calibri" w:hAnsi="Arial" w:cs="Times New Roman"/>
        </w:rPr>
      </w:pPr>
      <w:r w:rsidRPr="00C807F6">
        <w:rPr>
          <w:rFonts w:ascii="Arial" w:eastAsia="Calibri" w:hAnsi="Arial" w:cs="Times New Roman"/>
        </w:rPr>
        <w:t>The amount of support available under each phase of the program will be capped. This will include caps on both the amount of financial support/ government liability available, and the amount of generation capacity that will be supported. These thresholds are yet to be determined. Upper limits will not be published in order to maintain competitive pressure under the program. The minimum eligible project size is anticipated to be 30 MW for new generation projects and 15MW for upgrades to existing generation.</w:t>
      </w:r>
    </w:p>
    <w:p w14:paraId="4279BD5F"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Over its life, the program may offer support through a range of mechanisms including floor price contracts, revenue floors, cap and floor (collar) contracts, contracts for difference, underwriting of cap contracts, loans and grants. The range of support mechanisms available in each phase will be specified at the commencement of that phase. The support mechanisms available during the first phase of the program are anticipated to be limited to those that the government can </w:t>
      </w:r>
      <w:r w:rsidRPr="00C807F6">
        <w:rPr>
          <w:rFonts w:ascii="Arial" w:eastAsia="Calibri" w:hAnsi="Arial" w:cs="Times New Roman"/>
        </w:rPr>
        <w:lastRenderedPageBreak/>
        <w:t>implement quickly, such as a floor price, grants and loans. Other mechanisms not made available in phase one may be made available under subsequent phases after engagement with project proponents. These will be developed in parallel with the implementation of Phase One so they may be available in subsequent phases.</w:t>
      </w:r>
    </w:p>
    <w:p w14:paraId="5362C379" w14:textId="77777777" w:rsidR="00C807F6" w:rsidRPr="00C807F6" w:rsidRDefault="00C807F6" w:rsidP="00C807F6">
      <w:pPr>
        <w:rPr>
          <w:rFonts w:ascii="Arial" w:eastAsia="Calibri" w:hAnsi="Arial" w:cs="Times New Roman"/>
        </w:rPr>
      </w:pPr>
      <w:r w:rsidRPr="00C807F6">
        <w:rPr>
          <w:rFonts w:ascii="Arial" w:eastAsia="Calibri" w:hAnsi="Arial" w:cs="Times New Roman"/>
        </w:rPr>
        <w:t>The program will be evaluated monitored during each phase of the program. The real time monitoring will provide further information for the design of future phases of the program and will include:</w:t>
      </w:r>
    </w:p>
    <w:p w14:paraId="0EF1CA42" w14:textId="77777777" w:rsidR="00C807F6" w:rsidRPr="00C807F6" w:rsidRDefault="00C807F6" w:rsidP="00C807F6">
      <w:pPr>
        <w:numPr>
          <w:ilvl w:val="0"/>
          <w:numId w:val="40"/>
        </w:numPr>
        <w:rPr>
          <w:rFonts w:ascii="Arial" w:eastAsia="Calibri" w:hAnsi="Arial" w:cs="Times New Roman"/>
        </w:rPr>
      </w:pPr>
      <w:r w:rsidRPr="00C807F6">
        <w:rPr>
          <w:rFonts w:ascii="Arial" w:eastAsia="Calibri" w:hAnsi="Arial" w:cs="Times New Roman"/>
        </w:rPr>
        <w:t>identifying future generation capacity requirements over a ten-year period, considering generation incentivised by the program;</w:t>
      </w:r>
    </w:p>
    <w:p w14:paraId="6CE8FC86" w14:textId="77777777" w:rsidR="00C807F6" w:rsidRPr="00C807F6" w:rsidRDefault="00C807F6" w:rsidP="00C807F6">
      <w:pPr>
        <w:numPr>
          <w:ilvl w:val="0"/>
          <w:numId w:val="40"/>
        </w:numPr>
        <w:rPr>
          <w:rFonts w:ascii="Arial" w:eastAsia="Calibri" w:hAnsi="Arial" w:cs="Times New Roman"/>
        </w:rPr>
      </w:pPr>
      <w:r w:rsidRPr="00C807F6">
        <w:rPr>
          <w:rFonts w:ascii="Arial" w:eastAsia="Calibri" w:hAnsi="Arial" w:cs="Times New Roman"/>
        </w:rPr>
        <w:t>undertaking a qualitative impact on the availability and price of contracts available to large C&amp;I businesses; and</w:t>
      </w:r>
    </w:p>
    <w:p w14:paraId="412C8383" w14:textId="77777777" w:rsidR="00C807F6" w:rsidRPr="00C807F6" w:rsidRDefault="00C807F6" w:rsidP="00C807F6">
      <w:pPr>
        <w:numPr>
          <w:ilvl w:val="0"/>
          <w:numId w:val="40"/>
        </w:numPr>
        <w:rPr>
          <w:rFonts w:ascii="Arial" w:eastAsia="Calibri" w:hAnsi="Arial" w:cs="Times New Roman"/>
        </w:rPr>
      </w:pPr>
      <w:proofErr w:type="gramStart"/>
      <w:r w:rsidRPr="00C807F6">
        <w:rPr>
          <w:rFonts w:ascii="Arial" w:eastAsia="Calibri" w:hAnsi="Arial" w:cs="Times New Roman"/>
        </w:rPr>
        <w:t>undertaking</w:t>
      </w:r>
      <w:proofErr w:type="gramEnd"/>
      <w:r w:rsidRPr="00C807F6">
        <w:rPr>
          <w:rFonts w:ascii="Arial" w:eastAsia="Calibri" w:hAnsi="Arial" w:cs="Times New Roman"/>
        </w:rPr>
        <w:t xml:space="preserve"> an analysis of the impact of the program on relevant electricity systems and the investment environment for new generation. </w:t>
      </w:r>
    </w:p>
    <w:p w14:paraId="63BE028B" w14:textId="77777777" w:rsidR="00C807F6" w:rsidRPr="00C807F6" w:rsidRDefault="00C807F6" w:rsidP="00C807F6">
      <w:pPr>
        <w:rPr>
          <w:rFonts w:ascii="Calibri" w:eastAsia="Calibri" w:hAnsi="Calibri" w:cs="Arial"/>
          <w:b/>
          <w:caps/>
          <w:color w:val="365F91"/>
          <w:sz w:val="28"/>
          <w:szCs w:val="28"/>
        </w:rPr>
      </w:pPr>
      <w:r w:rsidRPr="00C807F6">
        <w:rPr>
          <w:rFonts w:ascii="Arial" w:eastAsia="Calibri" w:hAnsi="Arial" w:cs="Times New Roman"/>
        </w:rPr>
        <w:t xml:space="preserve">In 2022, prior to the end of the four-year period, the program will evaluated for its effectiveness and ongoing need and there will be a full evaluation at the end of the program. </w:t>
      </w:r>
      <w:r w:rsidRPr="00C807F6">
        <w:rPr>
          <w:rFonts w:ascii="Calibri" w:eastAsia="Calibri" w:hAnsi="Calibri" w:cs="Times New Roman"/>
          <w:color w:val="365F91"/>
          <w:sz w:val="28"/>
          <w:szCs w:val="28"/>
        </w:rPr>
        <w:br w:type="page"/>
      </w:r>
    </w:p>
    <w:p w14:paraId="0B74730E" w14:textId="77777777" w:rsidR="00C807F6" w:rsidRPr="00C807F6" w:rsidRDefault="00C807F6" w:rsidP="00C807F6">
      <w:pPr>
        <w:keepNext/>
        <w:ind w:left="360" w:hanging="360"/>
        <w:outlineLvl w:val="0"/>
        <w:rPr>
          <w:rFonts w:ascii="Calibri" w:eastAsia="Calibri" w:hAnsi="Calibri" w:cs="Arial"/>
          <w:b/>
          <w:caps/>
          <w:color w:val="365F91"/>
          <w:sz w:val="28"/>
          <w:szCs w:val="28"/>
        </w:rPr>
      </w:pPr>
      <w:bookmarkStart w:id="17" w:name="_Toc12367652"/>
      <w:r w:rsidRPr="00C807F6">
        <w:rPr>
          <w:rFonts w:ascii="Calibri" w:eastAsia="Calibri" w:hAnsi="Calibri" w:cs="Arial"/>
          <w:b/>
          <w:caps/>
          <w:color w:val="365F91"/>
          <w:sz w:val="28"/>
          <w:szCs w:val="28"/>
        </w:rPr>
        <w:lastRenderedPageBreak/>
        <w:t>Regulatory burden</w:t>
      </w:r>
      <w:bookmarkEnd w:id="17"/>
    </w:p>
    <w:p w14:paraId="0D6E8A6D" w14:textId="77777777" w:rsidR="00C807F6" w:rsidRPr="00C807F6" w:rsidRDefault="00C807F6" w:rsidP="00C807F6">
      <w:pPr>
        <w:rPr>
          <w:rFonts w:ascii="Arial" w:eastAsia="Calibri" w:hAnsi="Arial" w:cs="Times New Roman"/>
        </w:rPr>
      </w:pPr>
      <w:r w:rsidRPr="00C807F6">
        <w:rPr>
          <w:rFonts w:ascii="Arial" w:eastAsia="Calibri" w:hAnsi="Arial" w:cs="Times New Roman"/>
        </w:rPr>
        <w:t>The preferred option has regulatory costs of $573,235 per annum over 10 years.</w:t>
      </w:r>
    </w:p>
    <w:p w14:paraId="64C11CC3" w14:textId="77777777" w:rsidR="00C807F6" w:rsidRPr="00C807F6" w:rsidRDefault="00C807F6" w:rsidP="00C807F6">
      <w:pPr>
        <w:keepNext/>
        <w:spacing w:before="200" w:after="120"/>
        <w:outlineLvl w:val="1"/>
        <w:rPr>
          <w:rFonts w:ascii="Arial" w:eastAsia="Calibri" w:hAnsi="Arial" w:cs="Arial"/>
          <w:b/>
          <w:color w:val="365F91"/>
        </w:rPr>
      </w:pPr>
      <w:r w:rsidRPr="00C807F6">
        <w:rPr>
          <w:rFonts w:ascii="Arial" w:eastAsia="Calibri" w:hAnsi="Arial" w:cs="Arial"/>
          <w:b/>
          <w:color w:val="365F91"/>
        </w:rPr>
        <w:t>Task: Developing a project proposal</w:t>
      </w:r>
    </w:p>
    <w:p w14:paraId="5F794246"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Consistent with investment in new generation projects, and the intention of this program, we assume proponents develop their projects primarily with a view to attracting private finance. </w:t>
      </w:r>
    </w:p>
    <w:p w14:paraId="49F064AD" w14:textId="77777777" w:rsidR="00C807F6" w:rsidRPr="00C807F6" w:rsidRDefault="00C807F6" w:rsidP="00C807F6">
      <w:pPr>
        <w:rPr>
          <w:rFonts w:ascii="Arial" w:eastAsia="Calibri" w:hAnsi="Arial" w:cs="Times New Roman"/>
        </w:rPr>
      </w:pPr>
      <w:r w:rsidRPr="00C807F6">
        <w:rPr>
          <w:rFonts w:ascii="Arial" w:eastAsia="Calibri" w:hAnsi="Arial" w:cs="Times New Roman"/>
        </w:rPr>
        <w:t>The UNGI program provides an additional avenue for financial support that proponents may seek to access. Participation in the program is likely to marginally increase proponents’ costs, but the majority of costs associated with developing a project are business as usual and are unrelated to the program. In this context, an estimate of the regulatory burden of the program must focus on the marginal increase in costs due to participation in the program.</w:t>
      </w:r>
    </w:p>
    <w:p w14:paraId="2653143F"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It is assumed that a project proponent will devote three people working for nine weeks to developing their proposal. This equates to 1,012.5 FTE hours per project proposal, assuming an FTE working week of 37.5 hours. </w:t>
      </w:r>
    </w:p>
    <w:p w14:paraId="5C3C6EBB" w14:textId="77777777" w:rsidR="00C807F6" w:rsidRPr="00C807F6" w:rsidRDefault="00C807F6" w:rsidP="00C807F6">
      <w:pPr>
        <w:rPr>
          <w:rFonts w:ascii="Arial" w:eastAsia="Calibri" w:hAnsi="Arial" w:cs="Times New Roman"/>
          <w:lang w:val="en-US"/>
        </w:rPr>
      </w:pPr>
      <w:r w:rsidRPr="00C807F6">
        <w:rPr>
          <w:rFonts w:ascii="Arial" w:eastAsia="Calibri" w:hAnsi="Arial" w:cs="Times New Roman"/>
        </w:rPr>
        <w:t xml:space="preserve">It is assumed that the hourly rate will be the Government approved labour rate of </w:t>
      </w:r>
      <w:r w:rsidRPr="00C807F6">
        <w:rPr>
          <w:rFonts w:ascii="Arial" w:eastAsia="Calibri" w:hAnsi="Arial" w:cs="Times New Roman"/>
          <w:lang w:val="en-US"/>
        </w:rPr>
        <w:t xml:space="preserve">$68.79 per hour. </w:t>
      </w:r>
    </w:p>
    <w:p w14:paraId="1570DE78" w14:textId="77777777" w:rsidR="00C807F6" w:rsidRPr="00C807F6" w:rsidRDefault="00C807F6" w:rsidP="00C807F6">
      <w:pPr>
        <w:rPr>
          <w:rFonts w:ascii="Arial" w:eastAsia="Calibri" w:hAnsi="Arial" w:cs="Times New Roman"/>
        </w:rPr>
      </w:pPr>
      <w:r w:rsidRPr="00C807F6">
        <w:rPr>
          <w:rFonts w:ascii="Arial" w:eastAsia="Calibri" w:hAnsi="Arial" w:cs="Times New Roman"/>
        </w:rPr>
        <w:t>Proponents are also assumed to spend around $100,000 on consultants to assist with the proposal.</w:t>
      </w:r>
    </w:p>
    <w:p w14:paraId="26134F9A"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Over the four years of the program it is anticipated that the Government will run four RFP processes, one each year. </w:t>
      </w:r>
    </w:p>
    <w:p w14:paraId="4DE18EA7" w14:textId="77777777" w:rsidR="00C807F6" w:rsidRPr="00C807F6" w:rsidRDefault="00C807F6" w:rsidP="00C807F6">
      <w:pPr>
        <w:rPr>
          <w:rFonts w:ascii="Arial" w:eastAsia="Calibri" w:hAnsi="Arial" w:cs="Times New Roman"/>
        </w:rPr>
      </w:pPr>
      <w:r w:rsidRPr="00C807F6">
        <w:rPr>
          <w:rFonts w:ascii="Arial" w:eastAsia="Calibri" w:hAnsi="Arial" w:cs="Times New Roman"/>
        </w:rPr>
        <w:t>The recent Registration of Interest (ROI) process received 66 submissions but it is unlikely that all projects that have responded to the ROI will submit a proposal in the initial phase of the program, as many are not sufficiently developed. We expect that the number of projects will be spread out over the course of the program, with limited new projects in later rounds given the time taken to develop a project to an advanced stage. It is also anticipated that some projects may apply to any RFP processes more than once. On this basis, it is assumed that there will be a maximum of 30 unique project proposals submitted over the four years the program is open to new support agreement. The minimum likely duration for any agreement is likely to 10 years, so the regulatory costs have been averaged against this time period.</w:t>
      </w:r>
    </w:p>
    <w:p w14:paraId="612A6FFD"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The calculation for the annual regulatory burden of this task is: </w:t>
      </w:r>
    </w:p>
    <w:p w14:paraId="34171627" w14:textId="77777777" w:rsidR="00C807F6" w:rsidRPr="00C807F6" w:rsidRDefault="00C807F6" w:rsidP="00C807F6">
      <w:pPr>
        <w:spacing w:after="0"/>
        <w:jc w:val="center"/>
        <w:rPr>
          <w:rFonts w:ascii="Arial" w:eastAsia="Calibri" w:hAnsi="Arial" w:cs="Times New Roman"/>
          <w:i/>
          <w:sz w:val="20"/>
          <w:szCs w:val="20"/>
          <w:u w:val="single"/>
        </w:rPr>
      </w:pPr>
      <w:r w:rsidRPr="00C807F6">
        <w:rPr>
          <w:rFonts w:ascii="Arial" w:eastAsia="Calibri" w:hAnsi="Arial" w:cs="Times New Roman"/>
          <w:i/>
          <w:sz w:val="20"/>
          <w:szCs w:val="20"/>
          <w:u w:val="single"/>
        </w:rPr>
        <w:t>[(Time on proposal (1012.5 hrs) x hourly rate ($68.79)) + consultant fees $100 000] x submissions (30)</w:t>
      </w:r>
    </w:p>
    <w:p w14:paraId="74B99674" w14:textId="77777777" w:rsidR="00C807F6" w:rsidRPr="00C807F6" w:rsidRDefault="00C807F6" w:rsidP="00C807F6">
      <w:pPr>
        <w:jc w:val="center"/>
        <w:rPr>
          <w:rFonts w:ascii="Arial" w:eastAsia="Calibri" w:hAnsi="Arial" w:cs="Times New Roman"/>
          <w:i/>
          <w:sz w:val="20"/>
          <w:szCs w:val="20"/>
        </w:rPr>
      </w:pPr>
      <w:r w:rsidRPr="00C807F6">
        <w:rPr>
          <w:rFonts w:ascii="Arial" w:eastAsia="Calibri" w:hAnsi="Arial" w:cs="Times New Roman"/>
          <w:i/>
          <w:sz w:val="20"/>
          <w:szCs w:val="20"/>
        </w:rPr>
        <w:t>Divided by number of years of the program (10)</w:t>
      </w:r>
    </w:p>
    <w:p w14:paraId="0ECDDA80" w14:textId="77777777" w:rsidR="00C807F6" w:rsidRPr="00C807F6" w:rsidRDefault="00C807F6" w:rsidP="00C807F6">
      <w:pPr>
        <w:rPr>
          <w:rFonts w:ascii="Arial" w:eastAsia="Calibri" w:hAnsi="Arial" w:cs="Times New Roman"/>
        </w:rPr>
      </w:pPr>
      <w:r w:rsidRPr="00C807F6">
        <w:rPr>
          <w:rFonts w:ascii="Arial" w:eastAsia="Calibri" w:hAnsi="Arial" w:cs="Times New Roman"/>
        </w:rPr>
        <w:lastRenderedPageBreak/>
        <w:t>On this basis, the annual regulatory burden for developing project proposals is $508,950.</w:t>
      </w:r>
    </w:p>
    <w:p w14:paraId="0A442BCE" w14:textId="77777777" w:rsidR="00C807F6" w:rsidRPr="00C807F6" w:rsidRDefault="00C807F6" w:rsidP="00C807F6">
      <w:pPr>
        <w:keepNext/>
        <w:spacing w:before="200" w:after="120"/>
        <w:outlineLvl w:val="1"/>
        <w:rPr>
          <w:rFonts w:ascii="Arial" w:eastAsia="Calibri" w:hAnsi="Arial" w:cs="Arial"/>
          <w:b/>
          <w:color w:val="365F91"/>
        </w:rPr>
      </w:pPr>
      <w:r w:rsidRPr="00C807F6">
        <w:rPr>
          <w:rFonts w:ascii="Arial" w:eastAsia="Calibri" w:hAnsi="Arial" w:cs="Arial"/>
          <w:b/>
          <w:color w:val="365F91"/>
        </w:rPr>
        <w:t>Task: Complying with the program in the development phase</w:t>
      </w:r>
    </w:p>
    <w:p w14:paraId="7451465D"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Successful applicants to the program will be required to provide regular reports back to the Government on progress towards the generation becoming operational. Reporting will focus on whether the project is meeting its milestones on being completed on time and assurances regarding the financing of the project. It is anticipated that a project will be required to report back to Government every quarter on the development of the process. </w:t>
      </w:r>
    </w:p>
    <w:p w14:paraId="6D055764"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The number of projects that are successful at each phase of the program will be dependent on the reliability needs of the system at the time and the quality of project. For example, it may be that under some phase of the process four projects are chosen to progress and in others no projects meet the criteria. As such, over the phases it is assumed that a total of eight projects will be chosen.  </w:t>
      </w:r>
    </w:p>
    <w:p w14:paraId="00F6900B" w14:textId="77777777" w:rsidR="00C807F6" w:rsidRPr="00C807F6" w:rsidRDefault="00C807F6" w:rsidP="00C807F6">
      <w:pPr>
        <w:rPr>
          <w:rFonts w:ascii="Arial" w:eastAsia="Calibri" w:hAnsi="Arial" w:cs="Times New Roman"/>
        </w:rPr>
      </w:pPr>
      <w:r w:rsidRPr="00C807F6">
        <w:rPr>
          <w:rFonts w:ascii="Arial" w:eastAsia="Calibri" w:hAnsi="Arial" w:cs="Times New Roman"/>
        </w:rPr>
        <w:t>It is assumed that a project proponent will devote one person working for two days on providing a compliance report to Government. This equates to eight days per project per year.</w:t>
      </w:r>
    </w:p>
    <w:p w14:paraId="0E009B17"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It is assumed that the hourly rate will be the Government approved labour rate of </w:t>
      </w:r>
      <w:r w:rsidRPr="00C807F6">
        <w:rPr>
          <w:rFonts w:ascii="Arial" w:eastAsia="Calibri" w:hAnsi="Arial" w:cs="Times New Roman"/>
          <w:lang w:val="en-US"/>
        </w:rPr>
        <w:t xml:space="preserve">$68.79 per hour. </w:t>
      </w:r>
    </w:p>
    <w:p w14:paraId="484A7176" w14:textId="77777777" w:rsidR="00C807F6" w:rsidRPr="00C807F6" w:rsidRDefault="00C807F6" w:rsidP="00C807F6">
      <w:pPr>
        <w:rPr>
          <w:rFonts w:ascii="Arial" w:eastAsia="Calibri" w:hAnsi="Arial" w:cs="Times New Roman"/>
        </w:rPr>
      </w:pPr>
      <w:r w:rsidRPr="00C807F6">
        <w:rPr>
          <w:rFonts w:ascii="Arial" w:eastAsia="Calibri" w:hAnsi="Arial" w:cs="Times New Roman"/>
        </w:rPr>
        <w:t>The time between a project being approved under the UNGI program and being operational will differ depending on the type of technology and a stage of development it is at when it is approved. Some renewable projects can take under two years to be built, while a coal-fired power station can take up to seven years. It is assumed that, on average, each project will be in the development phase for four years. This equates to 32 days or 240 hours for each project, assuming an FTE working day of 7.5 hours.</w:t>
      </w:r>
    </w:p>
    <w:p w14:paraId="6AEF925F"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The calculation for the annual regulatory burden of this task is: </w:t>
      </w:r>
    </w:p>
    <w:p w14:paraId="03CF2839" w14:textId="77777777" w:rsidR="00C807F6" w:rsidRPr="00C807F6" w:rsidRDefault="00C807F6" w:rsidP="00C807F6">
      <w:pPr>
        <w:spacing w:after="0"/>
        <w:jc w:val="center"/>
        <w:rPr>
          <w:rFonts w:ascii="Arial" w:eastAsia="Calibri" w:hAnsi="Arial" w:cs="Times New Roman"/>
          <w:i/>
          <w:sz w:val="20"/>
          <w:szCs w:val="20"/>
          <w:u w:val="single"/>
        </w:rPr>
      </w:pPr>
      <w:r w:rsidRPr="00C807F6">
        <w:rPr>
          <w:rFonts w:ascii="Arial" w:eastAsia="Calibri" w:hAnsi="Arial" w:cs="Times New Roman"/>
          <w:i/>
          <w:sz w:val="20"/>
          <w:szCs w:val="20"/>
          <w:u w:val="single"/>
        </w:rPr>
        <w:t>Time taken to undertake compliance reports (240 hours) x hourly rate ($68.79) x number of projects (8)</w:t>
      </w:r>
    </w:p>
    <w:p w14:paraId="3D46C0CA" w14:textId="77777777" w:rsidR="00C807F6" w:rsidRPr="00C807F6" w:rsidRDefault="00C807F6" w:rsidP="00C807F6">
      <w:pPr>
        <w:jc w:val="center"/>
        <w:rPr>
          <w:rFonts w:ascii="Arial" w:eastAsia="Calibri" w:hAnsi="Arial" w:cs="Times New Roman"/>
          <w:i/>
          <w:sz w:val="20"/>
          <w:szCs w:val="20"/>
        </w:rPr>
      </w:pPr>
      <w:r w:rsidRPr="00C807F6">
        <w:rPr>
          <w:rFonts w:ascii="Arial" w:eastAsia="Calibri" w:hAnsi="Arial" w:cs="Times New Roman"/>
          <w:i/>
          <w:sz w:val="20"/>
          <w:szCs w:val="20"/>
        </w:rPr>
        <w:t>Divided by number of years of the program (10)</w:t>
      </w:r>
    </w:p>
    <w:p w14:paraId="5E5ED40E" w14:textId="77777777" w:rsidR="00C807F6" w:rsidRPr="00C807F6" w:rsidRDefault="00C807F6" w:rsidP="00C807F6">
      <w:pPr>
        <w:rPr>
          <w:rFonts w:ascii="Arial" w:eastAsia="Calibri" w:hAnsi="Arial" w:cs="Times New Roman"/>
        </w:rPr>
      </w:pPr>
      <w:r w:rsidRPr="00C807F6">
        <w:rPr>
          <w:rFonts w:ascii="Arial" w:eastAsia="Calibri" w:hAnsi="Arial" w:cs="Times New Roman"/>
        </w:rPr>
        <w:t>The annual regulatory burden for complying with the program during development is $13,208.</w:t>
      </w:r>
    </w:p>
    <w:p w14:paraId="76FA12A5" w14:textId="77777777" w:rsidR="00C807F6" w:rsidRPr="00C807F6" w:rsidRDefault="00C807F6" w:rsidP="00C807F6">
      <w:pPr>
        <w:keepNext/>
        <w:spacing w:before="200" w:after="120"/>
        <w:outlineLvl w:val="1"/>
        <w:rPr>
          <w:rFonts w:ascii="Arial" w:eastAsia="Calibri" w:hAnsi="Arial" w:cs="Arial"/>
          <w:b/>
          <w:color w:val="365F91"/>
        </w:rPr>
      </w:pPr>
      <w:r w:rsidRPr="00C807F6">
        <w:rPr>
          <w:rFonts w:ascii="Arial" w:eastAsia="Calibri" w:hAnsi="Arial" w:cs="Arial"/>
          <w:b/>
          <w:color w:val="365F91"/>
        </w:rPr>
        <w:t>Task: Complying with the program in the operational phase</w:t>
      </w:r>
    </w:p>
    <w:p w14:paraId="72AA43EB"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Some mechanisms that will be used under the UNGI program will require the program to regularly report back to Government for the mechanism to be effective.  </w:t>
      </w:r>
    </w:p>
    <w:p w14:paraId="08FC7181" w14:textId="77777777" w:rsidR="00C807F6" w:rsidRPr="00C807F6" w:rsidRDefault="00C807F6" w:rsidP="00C807F6">
      <w:pPr>
        <w:rPr>
          <w:rFonts w:ascii="Arial" w:eastAsia="Calibri" w:hAnsi="Arial" w:cs="Times New Roman"/>
        </w:rPr>
      </w:pPr>
      <w:r w:rsidRPr="00C807F6">
        <w:rPr>
          <w:rFonts w:ascii="Arial" w:eastAsia="Calibri" w:hAnsi="Arial" w:cs="Times New Roman"/>
        </w:rPr>
        <w:lastRenderedPageBreak/>
        <w:t xml:space="preserve">Complying with the financial mechanism will be different depending on which mechanism is used. A Government loan should not provide any additional costs to a business than would occur under a business as usual approach. </w:t>
      </w:r>
    </w:p>
    <w:p w14:paraId="579B2154" w14:textId="77777777" w:rsidR="00C807F6" w:rsidRPr="00C807F6" w:rsidRDefault="00C807F6" w:rsidP="00C807F6">
      <w:pPr>
        <w:rPr>
          <w:rFonts w:ascii="Arial" w:eastAsia="Calibri" w:hAnsi="Arial" w:cs="Times New Roman"/>
        </w:rPr>
      </w:pPr>
      <w:r w:rsidRPr="00C807F6">
        <w:rPr>
          <w:rFonts w:ascii="Arial" w:eastAsia="Calibri" w:hAnsi="Arial" w:cs="Times New Roman"/>
        </w:rPr>
        <w:t>A grant will require reporting according to the terms and conditions set out in the funding agreement, likely on a quarterly basis. This reporting could entail information on development applications, approvals, and information on whether the project is tracking to the intended timeline. At the end of the project there will be a final report (a more detailed and overarching report to determine that program objectives have been met). We assume the quarterly reports will be covered in the above task (</w:t>
      </w:r>
      <w:r w:rsidRPr="00C807F6">
        <w:rPr>
          <w:rFonts w:ascii="Arial" w:eastAsia="Calibri" w:hAnsi="Arial" w:cs="Times New Roman"/>
          <w:i/>
        </w:rPr>
        <w:t>complying with the program in the development phase</w:t>
      </w:r>
      <w:r w:rsidRPr="00C807F6">
        <w:rPr>
          <w:rFonts w:ascii="Arial" w:eastAsia="Calibri" w:hAnsi="Arial" w:cs="Times New Roman"/>
        </w:rPr>
        <w:t xml:space="preserve">), but the final report will take up to an additional three working days.  </w:t>
      </w:r>
    </w:p>
    <w:p w14:paraId="755A6795"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Under a price floor approach there may need to be at least monthly reporting to determine what, if any, money is to be paid to the project proponent. Even if the mechanism were not to be triggered there would need to be reporting on an at least annual basis that the requisite contracts with C&amp;I customers and/or small retailers are in place. </w:t>
      </w:r>
    </w:p>
    <w:p w14:paraId="2844B7B1"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We assume that the Government’s commitment to the projects will be over a ten-year period, on average. However, it may be that the Government’s commitment is for a shorter or longer time frame. </w:t>
      </w:r>
    </w:p>
    <w:p w14:paraId="6F47BED0"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To be conservative we will assume that the project will be required to report to Government on a monthly basis under a floor price agreement. The needs for compliance will require one day of work every month. This will equate to 12 days of work per year over 10 years or 900 hours over the compliance period, assuming an FTE working day of 7.5 hours. </w:t>
      </w:r>
    </w:p>
    <w:p w14:paraId="2E7036A3"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It is assumed that the hourly rate will be the Government approved labour rate of </w:t>
      </w:r>
      <w:r w:rsidRPr="00C807F6">
        <w:rPr>
          <w:rFonts w:ascii="Arial" w:eastAsia="Calibri" w:hAnsi="Arial" w:cs="Times New Roman"/>
          <w:lang w:val="en-US"/>
        </w:rPr>
        <w:t xml:space="preserve">$68.79 per hour. </w:t>
      </w:r>
    </w:p>
    <w:p w14:paraId="21ECD579"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The number of projects that are successful at each phase of the program will be dependent on the reliability needs of the system at the time and the quality of project put forward through the RFP. For example, it may be that under some phase of the process 4 projects are chosen to progress and in others no projects meet the criteria. As such, over the four phases it is assumed that a total of 8 new generation projects will be chosen (two per year), plus one efficiency upgrade. We assume that the new generation projects will be supported by a floor price, while an upgrade will be supported by a grant.  </w:t>
      </w:r>
    </w:p>
    <w:p w14:paraId="15C636A9"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The calculation for the annual regulatory burden for the floor price projects is: </w:t>
      </w:r>
    </w:p>
    <w:p w14:paraId="702BB19B" w14:textId="77777777" w:rsidR="00C807F6" w:rsidRPr="00C807F6" w:rsidRDefault="00C807F6" w:rsidP="00C807F6">
      <w:pPr>
        <w:spacing w:after="0"/>
        <w:jc w:val="center"/>
        <w:rPr>
          <w:rFonts w:ascii="Arial" w:eastAsia="Calibri" w:hAnsi="Arial" w:cs="Times New Roman"/>
          <w:i/>
          <w:sz w:val="20"/>
          <w:szCs w:val="20"/>
          <w:u w:val="single"/>
        </w:rPr>
      </w:pPr>
      <w:r w:rsidRPr="00C807F6">
        <w:rPr>
          <w:rFonts w:ascii="Arial" w:eastAsia="Calibri" w:hAnsi="Arial" w:cs="Times New Roman"/>
          <w:i/>
          <w:sz w:val="20"/>
          <w:szCs w:val="20"/>
          <w:u w:val="single"/>
        </w:rPr>
        <w:t>Time taken to undertake compliance reports (900 hours) x hourly rate ($68.79) x number of projects (8)</w:t>
      </w:r>
    </w:p>
    <w:p w14:paraId="57497AB2" w14:textId="77777777" w:rsidR="00C807F6" w:rsidRPr="00C807F6" w:rsidRDefault="00C807F6" w:rsidP="00C807F6">
      <w:pPr>
        <w:jc w:val="center"/>
        <w:rPr>
          <w:rFonts w:ascii="Arial" w:eastAsia="Calibri" w:hAnsi="Arial" w:cs="Times New Roman"/>
          <w:i/>
          <w:sz w:val="20"/>
          <w:szCs w:val="20"/>
        </w:rPr>
      </w:pPr>
      <w:r w:rsidRPr="00C807F6">
        <w:rPr>
          <w:rFonts w:ascii="Arial" w:eastAsia="Calibri" w:hAnsi="Arial" w:cs="Times New Roman"/>
          <w:i/>
          <w:sz w:val="20"/>
          <w:szCs w:val="20"/>
        </w:rPr>
        <w:t>Divided by number of years of the program (10)</w:t>
      </w:r>
    </w:p>
    <w:p w14:paraId="38F4F461" w14:textId="77777777" w:rsidR="00C807F6" w:rsidRPr="00C807F6" w:rsidRDefault="00C807F6" w:rsidP="00C807F6">
      <w:pPr>
        <w:spacing w:after="0"/>
        <w:jc w:val="center"/>
        <w:rPr>
          <w:rFonts w:ascii="Arial" w:eastAsia="Calibri" w:hAnsi="Arial" w:cs="Times New Roman"/>
          <w:i/>
          <w:sz w:val="20"/>
          <w:szCs w:val="20"/>
          <w:u w:val="single"/>
        </w:rPr>
      </w:pPr>
      <w:r w:rsidRPr="00C807F6">
        <w:rPr>
          <w:rFonts w:ascii="Arial" w:eastAsia="Calibri" w:hAnsi="Arial" w:cs="Times New Roman"/>
          <w:i/>
          <w:sz w:val="20"/>
          <w:szCs w:val="20"/>
          <w:u w:val="single"/>
        </w:rPr>
        <w:t xml:space="preserve">= $49,529 </w:t>
      </w:r>
    </w:p>
    <w:p w14:paraId="284FEE6D" w14:textId="77777777" w:rsidR="00C807F6" w:rsidRPr="00C807F6" w:rsidRDefault="00C807F6" w:rsidP="00C807F6">
      <w:pPr>
        <w:rPr>
          <w:rFonts w:ascii="Arial" w:eastAsia="Calibri" w:hAnsi="Arial" w:cs="Times New Roman"/>
        </w:rPr>
      </w:pPr>
      <w:r w:rsidRPr="00C807F6">
        <w:rPr>
          <w:rFonts w:ascii="Arial" w:eastAsia="Calibri" w:hAnsi="Arial" w:cs="Times New Roman"/>
        </w:rPr>
        <w:lastRenderedPageBreak/>
        <w:t>And for a grant:</w:t>
      </w:r>
    </w:p>
    <w:p w14:paraId="1D7AA67D" w14:textId="77777777" w:rsidR="00C807F6" w:rsidRPr="00C807F6" w:rsidRDefault="00C807F6" w:rsidP="00C807F6">
      <w:pPr>
        <w:jc w:val="center"/>
        <w:rPr>
          <w:rFonts w:ascii="Arial" w:eastAsia="Calibri" w:hAnsi="Arial" w:cs="Times New Roman"/>
          <w:i/>
          <w:sz w:val="20"/>
          <w:szCs w:val="20"/>
          <w:u w:val="single"/>
        </w:rPr>
      </w:pPr>
      <w:r w:rsidRPr="00C807F6">
        <w:rPr>
          <w:rFonts w:ascii="Arial" w:eastAsia="Calibri" w:hAnsi="Arial" w:cs="Times New Roman"/>
          <w:i/>
          <w:sz w:val="20"/>
          <w:szCs w:val="20"/>
          <w:u w:val="single"/>
        </w:rPr>
        <w:t>Time taken to produce final report (22.5 hours) x hourly rate ($68.79)</w:t>
      </w:r>
    </w:p>
    <w:p w14:paraId="0551C98D" w14:textId="77777777" w:rsidR="00C807F6" w:rsidRPr="00C807F6" w:rsidRDefault="00C807F6" w:rsidP="00C807F6">
      <w:pPr>
        <w:spacing w:after="0"/>
        <w:jc w:val="center"/>
        <w:rPr>
          <w:rFonts w:ascii="Arial" w:eastAsia="Calibri" w:hAnsi="Arial" w:cs="Times New Roman"/>
          <w:i/>
          <w:sz w:val="20"/>
          <w:szCs w:val="20"/>
          <w:u w:val="single"/>
        </w:rPr>
      </w:pPr>
      <w:r w:rsidRPr="00C807F6">
        <w:rPr>
          <w:rFonts w:ascii="Arial" w:eastAsia="Calibri" w:hAnsi="Arial" w:cs="Times New Roman"/>
          <w:i/>
          <w:sz w:val="20"/>
          <w:szCs w:val="20"/>
          <w:u w:val="single"/>
        </w:rPr>
        <w:t>= $1,548</w:t>
      </w:r>
    </w:p>
    <w:p w14:paraId="2DADEC48" w14:textId="77777777" w:rsidR="00C807F6" w:rsidRPr="00C807F6" w:rsidRDefault="00C807F6" w:rsidP="00C807F6">
      <w:pPr>
        <w:rPr>
          <w:rFonts w:ascii="Arial" w:eastAsia="Calibri" w:hAnsi="Arial" w:cs="Times New Roman"/>
        </w:rPr>
      </w:pPr>
    </w:p>
    <w:p w14:paraId="044E59A1" w14:textId="77777777" w:rsidR="00C807F6" w:rsidRPr="00C807F6" w:rsidRDefault="00C807F6" w:rsidP="00C807F6">
      <w:pPr>
        <w:rPr>
          <w:rFonts w:ascii="Arial" w:eastAsia="Calibri" w:hAnsi="Arial" w:cs="Times New Roman"/>
        </w:rPr>
      </w:pPr>
      <w:r w:rsidRPr="00C807F6">
        <w:rPr>
          <w:rFonts w:ascii="Arial" w:eastAsia="Calibri" w:hAnsi="Arial" w:cs="Times New Roman"/>
        </w:rPr>
        <w:t>The annual regulatory burden for complying with the program during operation is $51,077.</w:t>
      </w:r>
    </w:p>
    <w:p w14:paraId="4CD1364D" w14:textId="77777777" w:rsidR="00C807F6" w:rsidRPr="00C807F6" w:rsidRDefault="00C807F6" w:rsidP="00C807F6">
      <w:pPr>
        <w:rPr>
          <w:rFonts w:ascii="Arial" w:eastAsia="Calibri" w:hAnsi="Arial" w:cs="Times New Roman"/>
        </w:rPr>
      </w:pPr>
      <w:r w:rsidRPr="00C807F6">
        <w:rPr>
          <w:rFonts w:ascii="Arial" w:eastAsia="Calibri" w:hAnsi="Arial" w:cs="Times New Roman"/>
        </w:rPr>
        <w:t xml:space="preserve">  </w:t>
      </w:r>
    </w:p>
    <w:p w14:paraId="111D0663" w14:textId="77777777" w:rsidR="00153B0A" w:rsidRDefault="00153B0A" w:rsidP="00153B0A">
      <w:pPr>
        <w:spacing w:before="120" w:after="120"/>
        <w:ind w:left="-851"/>
        <w:jc w:val="center"/>
        <w:rPr>
          <w:rFonts w:ascii="Times New Roman" w:hAnsi="Times New Roman" w:cs="Times New Roman"/>
          <w:b/>
          <w:sz w:val="24"/>
          <w:szCs w:val="24"/>
        </w:rPr>
      </w:pPr>
    </w:p>
    <w:p w14:paraId="5F865387" w14:textId="77777777" w:rsidR="005C6902" w:rsidRDefault="005C6902" w:rsidP="00153B0A">
      <w:pPr>
        <w:spacing w:before="120" w:after="120"/>
        <w:ind w:left="-851"/>
        <w:jc w:val="center"/>
        <w:rPr>
          <w:rFonts w:ascii="Times New Roman" w:hAnsi="Times New Roman" w:cs="Times New Roman"/>
          <w:b/>
          <w:sz w:val="24"/>
          <w:szCs w:val="24"/>
        </w:rPr>
      </w:pPr>
    </w:p>
    <w:p w14:paraId="3F3F3B0F" w14:textId="77777777" w:rsidR="005C6902" w:rsidRDefault="005C6902" w:rsidP="00153B0A">
      <w:pPr>
        <w:spacing w:before="120" w:after="120"/>
        <w:ind w:left="-851"/>
        <w:jc w:val="center"/>
        <w:rPr>
          <w:rFonts w:ascii="Times New Roman" w:hAnsi="Times New Roman" w:cs="Times New Roman"/>
          <w:b/>
          <w:sz w:val="24"/>
          <w:szCs w:val="24"/>
        </w:rPr>
      </w:pPr>
    </w:p>
    <w:p w14:paraId="77C98031" w14:textId="77777777" w:rsidR="005C6902" w:rsidRDefault="005C6902" w:rsidP="00153B0A">
      <w:pPr>
        <w:spacing w:before="120" w:after="120"/>
        <w:ind w:left="-851"/>
        <w:jc w:val="center"/>
        <w:rPr>
          <w:rFonts w:ascii="Times New Roman" w:hAnsi="Times New Roman" w:cs="Times New Roman"/>
          <w:b/>
          <w:sz w:val="24"/>
          <w:szCs w:val="24"/>
        </w:rPr>
      </w:pPr>
    </w:p>
    <w:p w14:paraId="0847DE87" w14:textId="77777777" w:rsidR="005C6902" w:rsidRDefault="005C6902" w:rsidP="00153B0A">
      <w:pPr>
        <w:spacing w:before="120" w:after="120"/>
        <w:ind w:left="-851"/>
        <w:jc w:val="center"/>
        <w:rPr>
          <w:rFonts w:ascii="Times New Roman" w:hAnsi="Times New Roman" w:cs="Times New Roman"/>
          <w:b/>
          <w:sz w:val="24"/>
          <w:szCs w:val="24"/>
        </w:rPr>
      </w:pPr>
    </w:p>
    <w:p w14:paraId="483084EF" w14:textId="77777777" w:rsidR="005C6902" w:rsidRDefault="005C6902" w:rsidP="00153B0A">
      <w:pPr>
        <w:spacing w:before="120" w:after="120"/>
        <w:ind w:left="-851"/>
        <w:jc w:val="center"/>
        <w:rPr>
          <w:rFonts w:ascii="Times New Roman" w:hAnsi="Times New Roman" w:cs="Times New Roman"/>
          <w:b/>
          <w:sz w:val="24"/>
          <w:szCs w:val="24"/>
        </w:rPr>
      </w:pPr>
    </w:p>
    <w:p w14:paraId="08689EE4" w14:textId="77777777" w:rsidR="005C6902" w:rsidRDefault="005C6902" w:rsidP="00153B0A">
      <w:pPr>
        <w:spacing w:before="120" w:after="120"/>
        <w:ind w:left="-851"/>
        <w:jc w:val="center"/>
        <w:rPr>
          <w:rFonts w:ascii="Times New Roman" w:hAnsi="Times New Roman" w:cs="Times New Roman"/>
          <w:b/>
          <w:sz w:val="24"/>
          <w:szCs w:val="24"/>
        </w:rPr>
      </w:pPr>
    </w:p>
    <w:p w14:paraId="30A4510B" w14:textId="77777777" w:rsidR="005C6902" w:rsidRDefault="005C6902" w:rsidP="00153B0A">
      <w:pPr>
        <w:spacing w:before="120" w:after="120"/>
        <w:ind w:left="-851"/>
        <w:jc w:val="center"/>
        <w:rPr>
          <w:rFonts w:ascii="Times New Roman" w:hAnsi="Times New Roman" w:cs="Times New Roman"/>
          <w:b/>
          <w:sz w:val="24"/>
          <w:szCs w:val="24"/>
        </w:rPr>
      </w:pPr>
    </w:p>
    <w:p w14:paraId="2AC5E006" w14:textId="77777777" w:rsidR="005C6902" w:rsidRDefault="005C6902" w:rsidP="00153B0A">
      <w:pPr>
        <w:spacing w:before="120" w:after="120"/>
        <w:ind w:left="-851"/>
        <w:jc w:val="center"/>
        <w:rPr>
          <w:rFonts w:ascii="Times New Roman" w:hAnsi="Times New Roman" w:cs="Times New Roman"/>
          <w:b/>
          <w:sz w:val="24"/>
          <w:szCs w:val="24"/>
        </w:rPr>
      </w:pPr>
    </w:p>
    <w:p w14:paraId="04301588" w14:textId="77777777" w:rsidR="005C6902" w:rsidRDefault="005C6902" w:rsidP="00153B0A">
      <w:pPr>
        <w:spacing w:before="120" w:after="120"/>
        <w:ind w:left="-851"/>
        <w:jc w:val="center"/>
        <w:rPr>
          <w:rFonts w:ascii="Times New Roman" w:hAnsi="Times New Roman" w:cs="Times New Roman"/>
          <w:b/>
          <w:sz w:val="24"/>
          <w:szCs w:val="24"/>
        </w:rPr>
      </w:pPr>
    </w:p>
    <w:p w14:paraId="43B6C398" w14:textId="77777777" w:rsidR="005C6902" w:rsidRDefault="005C6902" w:rsidP="00153B0A">
      <w:pPr>
        <w:spacing w:before="120" w:after="120"/>
        <w:ind w:left="-851"/>
        <w:jc w:val="center"/>
        <w:rPr>
          <w:rFonts w:ascii="Times New Roman" w:hAnsi="Times New Roman" w:cs="Times New Roman"/>
          <w:b/>
          <w:sz w:val="24"/>
          <w:szCs w:val="24"/>
        </w:rPr>
      </w:pPr>
    </w:p>
    <w:p w14:paraId="557A791B" w14:textId="77777777" w:rsidR="005C6902" w:rsidRDefault="005C6902" w:rsidP="00153B0A">
      <w:pPr>
        <w:spacing w:before="120" w:after="120"/>
        <w:ind w:left="-851"/>
        <w:jc w:val="center"/>
        <w:rPr>
          <w:rFonts w:ascii="Times New Roman" w:hAnsi="Times New Roman" w:cs="Times New Roman"/>
          <w:b/>
          <w:sz w:val="24"/>
          <w:szCs w:val="24"/>
        </w:rPr>
      </w:pPr>
    </w:p>
    <w:p w14:paraId="5684E74F" w14:textId="77777777" w:rsidR="005C6902" w:rsidRDefault="005C6902" w:rsidP="00153B0A">
      <w:pPr>
        <w:spacing w:before="120" w:after="120"/>
        <w:ind w:left="-851"/>
        <w:jc w:val="center"/>
        <w:rPr>
          <w:rFonts w:ascii="Times New Roman" w:hAnsi="Times New Roman" w:cs="Times New Roman"/>
          <w:b/>
          <w:sz w:val="24"/>
          <w:szCs w:val="24"/>
        </w:rPr>
      </w:pPr>
    </w:p>
    <w:p w14:paraId="43AAAE1F" w14:textId="77777777" w:rsidR="005C6902" w:rsidRDefault="005C6902" w:rsidP="00153B0A">
      <w:pPr>
        <w:spacing w:before="120" w:after="120"/>
        <w:ind w:left="-851"/>
        <w:jc w:val="center"/>
        <w:rPr>
          <w:rFonts w:ascii="Times New Roman" w:hAnsi="Times New Roman" w:cs="Times New Roman"/>
          <w:b/>
          <w:sz w:val="24"/>
          <w:szCs w:val="24"/>
        </w:rPr>
      </w:pPr>
    </w:p>
    <w:p w14:paraId="05E6AEBC" w14:textId="77777777" w:rsidR="005C6902" w:rsidRDefault="005C6902" w:rsidP="00153B0A">
      <w:pPr>
        <w:spacing w:before="120" w:after="120"/>
        <w:ind w:left="-851"/>
        <w:jc w:val="center"/>
        <w:rPr>
          <w:rFonts w:ascii="Times New Roman" w:hAnsi="Times New Roman" w:cs="Times New Roman"/>
          <w:b/>
          <w:sz w:val="24"/>
          <w:szCs w:val="24"/>
        </w:rPr>
      </w:pPr>
    </w:p>
    <w:p w14:paraId="7DCA231B" w14:textId="77777777" w:rsidR="005C6902" w:rsidRDefault="005C6902" w:rsidP="00153B0A">
      <w:pPr>
        <w:spacing w:before="120" w:after="120"/>
        <w:ind w:left="-851"/>
        <w:jc w:val="center"/>
        <w:rPr>
          <w:rFonts w:ascii="Times New Roman" w:hAnsi="Times New Roman" w:cs="Times New Roman"/>
          <w:b/>
          <w:sz w:val="24"/>
          <w:szCs w:val="24"/>
        </w:rPr>
      </w:pPr>
    </w:p>
    <w:p w14:paraId="4EB1C795" w14:textId="77777777" w:rsidR="005C6902" w:rsidRDefault="005C6902" w:rsidP="00153B0A">
      <w:pPr>
        <w:spacing w:before="120" w:after="120"/>
        <w:ind w:left="-851"/>
        <w:jc w:val="center"/>
        <w:rPr>
          <w:rFonts w:ascii="Times New Roman" w:hAnsi="Times New Roman" w:cs="Times New Roman"/>
          <w:b/>
          <w:sz w:val="24"/>
          <w:szCs w:val="24"/>
        </w:rPr>
      </w:pPr>
    </w:p>
    <w:p w14:paraId="154273E0" w14:textId="77777777" w:rsidR="005C6902" w:rsidRDefault="005C6902" w:rsidP="00153B0A">
      <w:pPr>
        <w:spacing w:before="120" w:after="120"/>
        <w:ind w:left="-851"/>
        <w:jc w:val="center"/>
        <w:rPr>
          <w:rFonts w:ascii="Times New Roman" w:hAnsi="Times New Roman" w:cs="Times New Roman"/>
          <w:b/>
          <w:sz w:val="24"/>
          <w:szCs w:val="24"/>
        </w:rPr>
      </w:pPr>
    </w:p>
    <w:p w14:paraId="31641C90" w14:textId="77777777" w:rsidR="005C6902" w:rsidRDefault="005C6902" w:rsidP="00153B0A">
      <w:pPr>
        <w:spacing w:before="120" w:after="120"/>
        <w:ind w:left="-851"/>
        <w:jc w:val="center"/>
        <w:rPr>
          <w:rFonts w:ascii="Times New Roman" w:hAnsi="Times New Roman" w:cs="Times New Roman"/>
          <w:b/>
          <w:sz w:val="24"/>
          <w:szCs w:val="24"/>
        </w:rPr>
      </w:pPr>
    </w:p>
    <w:p w14:paraId="68A87F06" w14:textId="77777777" w:rsidR="005C6902" w:rsidRDefault="005C6902" w:rsidP="00153B0A">
      <w:pPr>
        <w:spacing w:before="120" w:after="120"/>
        <w:ind w:left="-851"/>
        <w:jc w:val="center"/>
        <w:rPr>
          <w:rFonts w:ascii="Times New Roman" w:hAnsi="Times New Roman" w:cs="Times New Roman"/>
          <w:b/>
          <w:sz w:val="24"/>
          <w:szCs w:val="24"/>
        </w:rPr>
      </w:pPr>
    </w:p>
    <w:p w14:paraId="231E0AA8" w14:textId="77777777" w:rsidR="005C6902" w:rsidRDefault="005C6902" w:rsidP="00153B0A">
      <w:pPr>
        <w:spacing w:before="120" w:after="120"/>
        <w:ind w:left="-851"/>
        <w:jc w:val="center"/>
        <w:rPr>
          <w:rFonts w:ascii="Times New Roman" w:hAnsi="Times New Roman" w:cs="Times New Roman"/>
          <w:b/>
          <w:sz w:val="24"/>
          <w:szCs w:val="24"/>
        </w:rPr>
      </w:pPr>
    </w:p>
    <w:p w14:paraId="4C329AF6" w14:textId="77777777" w:rsidR="005C6902" w:rsidRDefault="005C6902" w:rsidP="005C6902">
      <w:pPr>
        <w:rPr>
          <w:rFonts w:ascii="Times New Roman" w:hAnsi="Times New Roman" w:cs="Times New Roman"/>
          <w:b/>
          <w:sz w:val="24"/>
          <w:szCs w:val="24"/>
        </w:rPr>
      </w:pPr>
    </w:p>
    <w:p w14:paraId="3BDE35AE" w14:textId="77777777" w:rsidR="003824D8" w:rsidRDefault="003824D8" w:rsidP="003824D8">
      <w:pPr>
        <w:rPr>
          <w:b/>
        </w:rPr>
      </w:pPr>
      <w:r>
        <w:rPr>
          <w:b/>
        </w:rPr>
        <w:lastRenderedPageBreak/>
        <w:t xml:space="preserve">Update to the Regulation Impact Statement— Underwriting New Generation </w:t>
      </w:r>
      <w:r w:rsidRPr="00BA0A83">
        <w:rPr>
          <w:b/>
        </w:rPr>
        <w:t>Investments Program</w:t>
      </w:r>
    </w:p>
    <w:p w14:paraId="56BE1720" w14:textId="77777777" w:rsidR="003824D8" w:rsidRPr="00BA0A83" w:rsidRDefault="003824D8" w:rsidP="003824D8">
      <w:r>
        <w:t xml:space="preserve">The Regulation Impact Statement (RIS) for the Underwriting New Generation Investments (UNGI) program was developed throughout July and September 2019 by the former Department of the Environment and Energy. The final version was assessed by the Office of Best Practice Regulation as compliant with the Government’s requirements and consistent with best practice on 24 September 2019. </w:t>
      </w:r>
    </w:p>
    <w:p w14:paraId="5589F8F8" w14:textId="77777777" w:rsidR="003824D8" w:rsidRDefault="003824D8" w:rsidP="003824D8">
      <w:r>
        <w:t>The</w:t>
      </w:r>
      <w:r w:rsidRPr="00BA0A83">
        <w:t xml:space="preserve"> UNGI program </w:t>
      </w:r>
      <w:r>
        <w:t>i</w:t>
      </w:r>
      <w:r w:rsidRPr="00BA0A83">
        <w:t xml:space="preserve">s </w:t>
      </w:r>
      <w:r>
        <w:t xml:space="preserve">one policy lever to </w:t>
      </w:r>
      <w:r w:rsidRPr="0074025D">
        <w:t xml:space="preserve">support firm generation capacity and increase competition as part of the Australian Government's commitment to </w:t>
      </w:r>
      <w:r>
        <w:t xml:space="preserve">increase competition, </w:t>
      </w:r>
      <w:r w:rsidRPr="0074025D">
        <w:t xml:space="preserve">lower electricity prices and </w:t>
      </w:r>
      <w:r>
        <w:t>improve</w:t>
      </w:r>
      <w:r w:rsidRPr="0074025D">
        <w:t xml:space="preserve"> reliability in the </w:t>
      </w:r>
      <w:r>
        <w:t xml:space="preserve">National Electricity Market (NEM). </w:t>
      </w:r>
    </w:p>
    <w:p w14:paraId="292133D6" w14:textId="77777777" w:rsidR="003824D8" w:rsidRDefault="003824D8" w:rsidP="003824D8">
      <w:r>
        <w:t xml:space="preserve">During the more than two years since the RIS was developed, there have been several major developments across Australia’s energy landscape exacerbating significant supply and demand pressures across the NEM. This has increased the scope of necessary action to ensure adequate </w:t>
      </w:r>
      <w:proofErr w:type="spellStart"/>
      <w:r>
        <w:t>dispatchable</w:t>
      </w:r>
      <w:proofErr w:type="spellEnd"/>
      <w:r>
        <w:t xml:space="preserve"> capacity across the grid. Examples of these pressures are outlined below.</w:t>
      </w:r>
    </w:p>
    <w:p w14:paraId="79CE683D" w14:textId="77777777" w:rsidR="003824D8" w:rsidRDefault="003824D8" w:rsidP="003824D8">
      <w:pPr>
        <w:pStyle w:val="ListParagraph"/>
        <w:numPr>
          <w:ilvl w:val="0"/>
          <w:numId w:val="50"/>
        </w:numPr>
        <w:tabs>
          <w:tab w:val="left" w:pos="851"/>
        </w:tabs>
        <w:spacing w:after="160" w:line="22" w:lineRule="atLeast"/>
        <w:ind w:left="714" w:hanging="357"/>
      </w:pPr>
      <w:r>
        <w:t xml:space="preserve">The Australian Energy Market Operator’s (AEMO) Integrated System Plan (ISP), released on 30 July 2020, forecast up to 19,000 megawatts of new </w:t>
      </w:r>
      <w:proofErr w:type="spellStart"/>
      <w:r>
        <w:t>dispatchable</w:t>
      </w:r>
      <w:proofErr w:type="spellEnd"/>
      <w:r>
        <w:t xml:space="preserve"> capacity will be required across the National Electricity Market by 2040.</w:t>
      </w:r>
    </w:p>
    <w:p w14:paraId="7E81E1A5" w14:textId="77777777" w:rsidR="003824D8" w:rsidRDefault="003824D8" w:rsidP="003824D8">
      <w:pPr>
        <w:pStyle w:val="ListParagraph"/>
        <w:numPr>
          <w:ilvl w:val="0"/>
          <w:numId w:val="50"/>
        </w:numPr>
        <w:spacing w:after="160" w:line="22" w:lineRule="atLeast"/>
      </w:pPr>
      <w:r>
        <w:t>Clean Energy Regulator data shows that in the two years since the original RIS was developed, a</w:t>
      </w:r>
      <w:r w:rsidRPr="000C65A3">
        <w:t xml:space="preserve"> record 13,300 MW of renewable capacity was installed over 2019 and 2020</w:t>
      </w:r>
      <w:r>
        <w:t xml:space="preserve"> –</w:t>
      </w:r>
      <w:r w:rsidRPr="000C65A3">
        <w:t xml:space="preserve"> the equivalent of four thermal power stations. </w:t>
      </w:r>
      <w:r>
        <w:t>I</w:t>
      </w:r>
      <w:r w:rsidRPr="000C65A3">
        <w:t xml:space="preserve">n this same period only 235 MW of new </w:t>
      </w:r>
      <w:proofErr w:type="spellStart"/>
      <w:r w:rsidRPr="000C65A3">
        <w:t>dispatchable</w:t>
      </w:r>
      <w:proofErr w:type="spellEnd"/>
      <w:r w:rsidRPr="000C65A3">
        <w:t xml:space="preserve"> capacity was added to the grid, a ratio of 56 to 1. </w:t>
      </w:r>
    </w:p>
    <w:p w14:paraId="57BA6FF3" w14:textId="77777777" w:rsidR="003824D8" w:rsidRDefault="003824D8" w:rsidP="003824D8">
      <w:pPr>
        <w:pStyle w:val="ListParagraph"/>
        <w:numPr>
          <w:ilvl w:val="0"/>
          <w:numId w:val="50"/>
        </w:numPr>
        <w:tabs>
          <w:tab w:val="left" w:pos="851"/>
        </w:tabs>
        <w:spacing w:after="160" w:line="22" w:lineRule="atLeast"/>
        <w:ind w:left="714" w:hanging="357"/>
      </w:pPr>
      <w:r>
        <w:t xml:space="preserve">The significant increase in the level of variable renewable energy is occurring alongside the looming retirement or mothballing of large thermal generation. </w:t>
      </w:r>
    </w:p>
    <w:p w14:paraId="2665A49B" w14:textId="77777777" w:rsidR="003824D8" w:rsidRDefault="003824D8" w:rsidP="003824D8">
      <w:pPr>
        <w:pStyle w:val="ListParagraph"/>
        <w:numPr>
          <w:ilvl w:val="1"/>
          <w:numId w:val="50"/>
        </w:numPr>
        <w:tabs>
          <w:tab w:val="left" w:pos="851"/>
        </w:tabs>
        <w:spacing w:after="160" w:line="22" w:lineRule="atLeast"/>
      </w:pPr>
      <w:r>
        <w:t xml:space="preserve">The Energy Security Board’s final advice on Post 2025 market design forecasts that over half the coal fleet in the NEM could retire by 2030. </w:t>
      </w:r>
    </w:p>
    <w:p w14:paraId="2468944B" w14:textId="77777777" w:rsidR="003824D8" w:rsidRDefault="003824D8" w:rsidP="003824D8">
      <w:pPr>
        <w:pStyle w:val="ListParagraph"/>
        <w:numPr>
          <w:ilvl w:val="1"/>
          <w:numId w:val="50"/>
        </w:numPr>
        <w:tabs>
          <w:tab w:val="left" w:pos="851"/>
        </w:tabs>
        <w:spacing w:after="160" w:line="22" w:lineRule="atLeast"/>
      </w:pPr>
      <w:r w:rsidRPr="000C65A3">
        <w:t>AEMO’s 2020</w:t>
      </w:r>
      <w:r>
        <w:t xml:space="preserve"> ISP </w:t>
      </w:r>
      <w:r w:rsidRPr="000C65A3">
        <w:t>forecasts 63% of today’s coal-fired power stations will retire by 2040</w:t>
      </w:r>
      <w:r>
        <w:t>.</w:t>
      </w:r>
    </w:p>
    <w:p w14:paraId="5B0DCDBF" w14:textId="77777777" w:rsidR="003824D8" w:rsidRDefault="003824D8" w:rsidP="003824D8">
      <w:pPr>
        <w:pStyle w:val="ListParagraph"/>
        <w:numPr>
          <w:ilvl w:val="0"/>
          <w:numId w:val="50"/>
        </w:numPr>
        <w:tabs>
          <w:tab w:val="left" w:pos="851"/>
        </w:tabs>
        <w:spacing w:after="160" w:line="22" w:lineRule="atLeast"/>
        <w:ind w:left="714" w:hanging="357"/>
      </w:pPr>
      <w:r>
        <w:t>I</w:t>
      </w:r>
      <w:r w:rsidRPr="000C65A3">
        <w:t xml:space="preserve">n </w:t>
      </w:r>
      <w:r>
        <w:t xml:space="preserve">2021 there have been four major announcements about bringing forward the closure of </w:t>
      </w:r>
      <w:proofErr w:type="spellStart"/>
      <w:r>
        <w:t>dispatchable</w:t>
      </w:r>
      <w:proofErr w:type="spellEnd"/>
      <w:r>
        <w:t xml:space="preserve"> capacity. This includes:</w:t>
      </w:r>
    </w:p>
    <w:p w14:paraId="3B9B03AF" w14:textId="77777777" w:rsidR="003824D8" w:rsidRDefault="003824D8" w:rsidP="003824D8">
      <w:pPr>
        <w:pStyle w:val="ListParagraph"/>
        <w:numPr>
          <w:ilvl w:val="1"/>
          <w:numId w:val="50"/>
        </w:numPr>
        <w:tabs>
          <w:tab w:val="left" w:pos="851"/>
        </w:tabs>
        <w:spacing w:after="160" w:line="22" w:lineRule="atLeast"/>
      </w:pPr>
      <w:r>
        <w:t>closure of a coal fired power station in Victoria brought forward by four years</w:t>
      </w:r>
    </w:p>
    <w:p w14:paraId="44E92E9C" w14:textId="77777777" w:rsidR="003824D8" w:rsidRDefault="003824D8" w:rsidP="003824D8">
      <w:pPr>
        <w:pStyle w:val="ListParagraph"/>
        <w:numPr>
          <w:ilvl w:val="1"/>
          <w:numId w:val="50"/>
        </w:numPr>
        <w:tabs>
          <w:tab w:val="left" w:pos="851"/>
        </w:tabs>
        <w:spacing w:after="160" w:line="22" w:lineRule="atLeast"/>
      </w:pPr>
      <w:r>
        <w:t>closure of a units at a coal fired power station in New South Wales (NSW) brought forward by two years</w:t>
      </w:r>
    </w:p>
    <w:p w14:paraId="40ADEEF0" w14:textId="77777777" w:rsidR="003824D8" w:rsidRDefault="003824D8" w:rsidP="003824D8">
      <w:pPr>
        <w:pStyle w:val="ListParagraph"/>
        <w:numPr>
          <w:ilvl w:val="1"/>
          <w:numId w:val="50"/>
        </w:numPr>
        <w:tabs>
          <w:tab w:val="left" w:pos="851"/>
        </w:tabs>
        <w:spacing w:after="160" w:line="22" w:lineRule="atLeast"/>
      </w:pPr>
      <w:r>
        <w:t>closure of a coal fired power station, also in NSW, brought forward by two years</w:t>
      </w:r>
    </w:p>
    <w:p w14:paraId="6BB445FA" w14:textId="77777777" w:rsidR="003824D8" w:rsidRDefault="003824D8" w:rsidP="003824D8">
      <w:pPr>
        <w:pStyle w:val="ListParagraph"/>
        <w:numPr>
          <w:ilvl w:val="1"/>
          <w:numId w:val="50"/>
        </w:numPr>
        <w:tabs>
          <w:tab w:val="left" w:pos="851"/>
        </w:tabs>
        <w:spacing w:after="160" w:line="22" w:lineRule="atLeast"/>
      </w:pPr>
      <w:proofErr w:type="gramStart"/>
      <w:r>
        <w:t>mothballing</w:t>
      </w:r>
      <w:proofErr w:type="gramEnd"/>
      <w:r>
        <w:t xml:space="preserve"> units at a gas fired generator in South Australia.  </w:t>
      </w:r>
    </w:p>
    <w:p w14:paraId="7DED6B06" w14:textId="77777777" w:rsidR="003824D8" w:rsidRDefault="003824D8" w:rsidP="003824D8">
      <w:pPr>
        <w:pStyle w:val="ListParagraph"/>
        <w:numPr>
          <w:ilvl w:val="0"/>
          <w:numId w:val="50"/>
        </w:numPr>
        <w:tabs>
          <w:tab w:val="left" w:pos="851"/>
        </w:tabs>
        <w:spacing w:after="160" w:line="22" w:lineRule="atLeast"/>
        <w:ind w:left="714" w:hanging="357"/>
      </w:pPr>
      <w:r>
        <w:lastRenderedPageBreak/>
        <w:t xml:space="preserve">The market is not responding sufficiently to clear gaps in </w:t>
      </w:r>
      <w:proofErr w:type="spellStart"/>
      <w:r>
        <w:t>dispatchable</w:t>
      </w:r>
      <w:proofErr w:type="spellEnd"/>
      <w:r>
        <w:t xml:space="preserve"> capacity with new investment, for example, the announced closure of the 1680 MW Liddell power station in 2023:</w:t>
      </w:r>
    </w:p>
    <w:p w14:paraId="182FB1E7" w14:textId="77777777" w:rsidR="003824D8" w:rsidRDefault="003824D8" w:rsidP="003824D8">
      <w:pPr>
        <w:pStyle w:val="ListParagraph"/>
        <w:numPr>
          <w:ilvl w:val="1"/>
          <w:numId w:val="50"/>
        </w:numPr>
        <w:tabs>
          <w:tab w:val="left" w:pos="851"/>
        </w:tabs>
        <w:spacing w:after="160" w:line="22" w:lineRule="atLeast"/>
      </w:pPr>
      <w:r>
        <w:t xml:space="preserve">Independent modelling </w:t>
      </w:r>
      <w:r w:rsidRPr="001E642F">
        <w:t>completed in 2020</w:t>
      </w:r>
      <w:r>
        <w:t xml:space="preserve"> showed around 1000 MW of new </w:t>
      </w:r>
      <w:proofErr w:type="spellStart"/>
      <w:r>
        <w:t>dispatchable</w:t>
      </w:r>
      <w:proofErr w:type="spellEnd"/>
      <w:r>
        <w:t xml:space="preserve"> capacity would be needed to replace the Liddell power station on its closure in 2023. </w:t>
      </w:r>
    </w:p>
    <w:p w14:paraId="78C8B3F8" w14:textId="77777777" w:rsidR="003824D8" w:rsidRDefault="003824D8" w:rsidP="003824D8">
      <w:pPr>
        <w:pStyle w:val="ListParagraph"/>
        <w:numPr>
          <w:ilvl w:val="1"/>
          <w:numId w:val="50"/>
        </w:numPr>
        <w:tabs>
          <w:tab w:val="left" w:pos="851"/>
        </w:tabs>
        <w:spacing w:after="160" w:line="22" w:lineRule="atLeast"/>
      </w:pPr>
      <w:r>
        <w:t xml:space="preserve">The Government called for an industry-led response to fill this gap, providing the private sector with an opportunity to reach final investment decision on 1000 MW of </w:t>
      </w:r>
      <w:proofErr w:type="spellStart"/>
      <w:r>
        <w:t>dispatchable</w:t>
      </w:r>
      <w:proofErr w:type="spellEnd"/>
      <w:r>
        <w:t xml:space="preserve"> capacity by the end of April 2021. The private sector did not sufficiently fill this gap, with decision reached for only 316MW of replacement capacity, with some government support. </w:t>
      </w:r>
    </w:p>
    <w:p w14:paraId="46AD351E" w14:textId="77777777" w:rsidR="003824D8" w:rsidRDefault="003824D8" w:rsidP="003824D8">
      <w:pPr>
        <w:pStyle w:val="ListParagraph"/>
        <w:numPr>
          <w:ilvl w:val="0"/>
          <w:numId w:val="50"/>
        </w:numPr>
        <w:tabs>
          <w:tab w:val="left" w:pos="851"/>
        </w:tabs>
        <w:spacing w:after="160" w:line="22" w:lineRule="atLeast"/>
        <w:ind w:left="714" w:hanging="357"/>
      </w:pPr>
      <w:r>
        <w:t xml:space="preserve">Continued examples of high wholesale prices occurring following the closure or unavailability of </w:t>
      </w:r>
      <w:proofErr w:type="spellStart"/>
      <w:r>
        <w:t>dispatchable</w:t>
      </w:r>
      <w:proofErr w:type="spellEnd"/>
      <w:r>
        <w:t xml:space="preserve"> generation. Following the closure of the Hazelwood Power Station, average wholesale electricity prices in Victoria jumped by 95% </w:t>
      </w:r>
      <w:r w:rsidRPr="00D70B30">
        <w:t>from</w:t>
      </w:r>
      <w:r>
        <w:t xml:space="preserve"> </w:t>
      </w:r>
      <w:r w:rsidRPr="00D70B30">
        <w:t>2016 to 2017</w:t>
      </w:r>
      <w:r>
        <w:t xml:space="preserve">. </w:t>
      </w:r>
    </w:p>
    <w:p w14:paraId="7DDB9BD5" w14:textId="77777777" w:rsidR="003824D8" w:rsidRDefault="003824D8" w:rsidP="003824D8">
      <w:pPr>
        <w:pStyle w:val="ListParagraph"/>
        <w:numPr>
          <w:ilvl w:val="1"/>
          <w:numId w:val="50"/>
        </w:numPr>
        <w:tabs>
          <w:tab w:val="left" w:pos="851"/>
        </w:tabs>
        <w:spacing w:after="160" w:line="22" w:lineRule="atLeast"/>
      </w:pPr>
      <w:r>
        <w:t xml:space="preserve">Modelling for the closure of the Liddell power station found power prices could rise by up to 30% in two years if not replaced with sufficient </w:t>
      </w:r>
      <w:proofErr w:type="spellStart"/>
      <w:r>
        <w:t>dispatchable</w:t>
      </w:r>
      <w:proofErr w:type="spellEnd"/>
      <w:r>
        <w:t xml:space="preserve"> capacity. </w:t>
      </w:r>
    </w:p>
    <w:p w14:paraId="6CF635B5" w14:textId="77777777" w:rsidR="003824D8" w:rsidRDefault="003824D8" w:rsidP="003824D8">
      <w:pPr>
        <w:pStyle w:val="ListParagraph"/>
        <w:numPr>
          <w:ilvl w:val="1"/>
          <w:numId w:val="50"/>
        </w:numPr>
        <w:tabs>
          <w:tab w:val="left" w:pos="851"/>
        </w:tabs>
        <w:spacing w:after="160" w:line="22" w:lineRule="atLeast"/>
      </w:pPr>
      <w:r>
        <w:t>In Quarter 2 2021, outages at a power station in Queensland combined with reduced coal availability in NSW saw average wholesale prices across the NEM nearly triple to a top of $123/</w:t>
      </w:r>
      <w:r w:rsidRPr="007642EF">
        <w:t>MWh. Prices returned to $37/MWh by Q</w:t>
      </w:r>
      <w:r>
        <w:t xml:space="preserve">uarter </w:t>
      </w:r>
      <w:r w:rsidRPr="007642EF">
        <w:t xml:space="preserve">3 on return of most </w:t>
      </w:r>
      <w:proofErr w:type="spellStart"/>
      <w:r w:rsidRPr="007642EF">
        <w:t>dispatchable</w:t>
      </w:r>
      <w:proofErr w:type="spellEnd"/>
      <w:r w:rsidRPr="007642EF">
        <w:t xml:space="preserve"> capacity. </w:t>
      </w:r>
    </w:p>
    <w:p w14:paraId="3C77605B" w14:textId="77777777" w:rsidR="003824D8" w:rsidRDefault="003824D8" w:rsidP="003824D8">
      <w:pPr>
        <w:pStyle w:val="ListParagraph"/>
        <w:numPr>
          <w:ilvl w:val="0"/>
          <w:numId w:val="50"/>
        </w:numPr>
        <w:tabs>
          <w:tab w:val="left" w:pos="851"/>
        </w:tabs>
        <w:spacing w:after="160" w:line="22" w:lineRule="atLeast"/>
        <w:ind w:left="714" w:hanging="357"/>
      </w:pPr>
      <w:r>
        <w:t xml:space="preserve">Release of state based renewable energy policies, including commitments to increased renewable energy and decreased thermal generation, has also impacted operation of the market and investment decisions around new </w:t>
      </w:r>
      <w:proofErr w:type="spellStart"/>
      <w:r>
        <w:t>dispatchable</w:t>
      </w:r>
      <w:proofErr w:type="spellEnd"/>
      <w:r>
        <w:t xml:space="preserve"> generation projects. </w:t>
      </w:r>
    </w:p>
    <w:p w14:paraId="4AB869C9" w14:textId="77777777" w:rsidR="003824D8" w:rsidRDefault="003824D8" w:rsidP="003824D8">
      <w:pPr>
        <w:pStyle w:val="ListParagraph"/>
        <w:numPr>
          <w:ilvl w:val="1"/>
          <w:numId w:val="50"/>
        </w:numPr>
        <w:tabs>
          <w:tab w:val="left" w:pos="851"/>
        </w:tabs>
        <w:spacing w:after="160" w:line="22" w:lineRule="atLeast"/>
      </w:pPr>
      <w:r>
        <w:t xml:space="preserve">At least three announced </w:t>
      </w:r>
      <w:proofErr w:type="spellStart"/>
      <w:r>
        <w:t>dispatchable</w:t>
      </w:r>
      <w:proofErr w:type="spellEnd"/>
      <w:r>
        <w:t xml:space="preserve"> generation projects have made a commercial decision not to proceed in the last 18 months – a gas </w:t>
      </w:r>
      <w:proofErr w:type="spellStart"/>
      <w:r>
        <w:t>peaker</w:t>
      </w:r>
      <w:proofErr w:type="spellEnd"/>
      <w:r>
        <w:t xml:space="preserve">, an upgrade to a coal fired power station and a large battery. </w:t>
      </w:r>
    </w:p>
    <w:p w14:paraId="1FBF1EFC" w14:textId="77777777" w:rsidR="003824D8" w:rsidRDefault="003824D8" w:rsidP="003824D8">
      <w:r>
        <w:t xml:space="preserve">These developments have necessitated a suite of reforms, alongside the UNGI program, to keep prices low and ensure reliability of the system is maintained. Examples of the reforms include: </w:t>
      </w:r>
    </w:p>
    <w:p w14:paraId="021470A8" w14:textId="77777777" w:rsidR="003824D8" w:rsidRDefault="003824D8" w:rsidP="003824D8">
      <w:pPr>
        <w:pStyle w:val="ListParagraph"/>
        <w:numPr>
          <w:ilvl w:val="0"/>
          <w:numId w:val="50"/>
        </w:numPr>
        <w:tabs>
          <w:tab w:val="left" w:pos="851"/>
        </w:tabs>
        <w:spacing w:after="160" w:line="22" w:lineRule="atLeast"/>
        <w:ind w:left="714" w:hanging="357"/>
      </w:pPr>
      <w:r w:rsidRPr="009223C6">
        <w:t xml:space="preserve">The Government’s commitment to the </w:t>
      </w:r>
      <w:r>
        <w:t xml:space="preserve">660 MW </w:t>
      </w:r>
      <w:r w:rsidRPr="009223C6">
        <w:t xml:space="preserve">Hunter Power Project through Snowy Hydro, to address </w:t>
      </w:r>
      <w:r>
        <w:t>the</w:t>
      </w:r>
      <w:r w:rsidRPr="009223C6">
        <w:t xml:space="preserve"> lack of private sector investment in </w:t>
      </w:r>
      <w:proofErr w:type="spellStart"/>
      <w:r w:rsidRPr="009223C6">
        <w:t>dispatchable</w:t>
      </w:r>
      <w:proofErr w:type="spellEnd"/>
      <w:r w:rsidRPr="009223C6">
        <w:t xml:space="preserve"> capacity </w:t>
      </w:r>
      <w:r>
        <w:t xml:space="preserve">to replace the </w:t>
      </w:r>
      <w:r w:rsidRPr="009223C6">
        <w:t>Liddell power station</w:t>
      </w:r>
      <w:r>
        <w:t xml:space="preserve">. </w:t>
      </w:r>
    </w:p>
    <w:p w14:paraId="65329EF7" w14:textId="77777777" w:rsidR="003824D8" w:rsidRDefault="003824D8" w:rsidP="003824D8">
      <w:pPr>
        <w:pStyle w:val="ListParagraph"/>
        <w:numPr>
          <w:ilvl w:val="0"/>
          <w:numId w:val="50"/>
        </w:numPr>
        <w:tabs>
          <w:tab w:val="left" w:pos="851"/>
        </w:tabs>
        <w:spacing w:after="160" w:line="22" w:lineRule="atLeast"/>
        <w:ind w:left="714" w:hanging="357"/>
      </w:pPr>
      <w:r w:rsidRPr="009223C6">
        <w:t>National Cabinet</w:t>
      </w:r>
      <w:r>
        <w:t>’s endorsement, in October 2021, of a</w:t>
      </w:r>
      <w:r w:rsidRPr="009223C6">
        <w:t xml:space="preserve"> final package of reforms for the Post-2025 </w:t>
      </w:r>
      <w:r>
        <w:t xml:space="preserve">market design of the </w:t>
      </w:r>
      <w:r w:rsidRPr="009223C6">
        <w:t xml:space="preserve">NEM. </w:t>
      </w:r>
      <w:r>
        <w:t xml:space="preserve">The Energy Security Board found that changes in the market, driven by the rapid increase in variable renewables, are creating investment uncertainty “that the existing architecture of the market may no longer be equipped to address”. A capacity mechanism was recommended by the Energy Security Board as a key means to address the weakened investment signals for existing and new </w:t>
      </w:r>
      <w:proofErr w:type="spellStart"/>
      <w:r>
        <w:t>dispatchable</w:t>
      </w:r>
      <w:proofErr w:type="spellEnd"/>
      <w:r>
        <w:t xml:space="preserve"> capacity. The capacity mechanism can </w:t>
      </w:r>
      <w:r>
        <w:lastRenderedPageBreak/>
        <w:t xml:space="preserve">provide the long term signals needed to support investment in </w:t>
      </w:r>
      <w:proofErr w:type="spellStart"/>
      <w:r>
        <w:t>dispatchable</w:t>
      </w:r>
      <w:proofErr w:type="spellEnd"/>
      <w:r>
        <w:t xml:space="preserve"> capacity and </w:t>
      </w:r>
      <w:r w:rsidRPr="009223C6">
        <w:t xml:space="preserve">ensure a sufficient level of </w:t>
      </w:r>
      <w:proofErr w:type="spellStart"/>
      <w:r w:rsidRPr="009223C6">
        <w:t>dispatchable</w:t>
      </w:r>
      <w:proofErr w:type="spellEnd"/>
      <w:r w:rsidRPr="009223C6">
        <w:t xml:space="preserve"> capacity is available to firm up the influx of variable renewable generation</w:t>
      </w:r>
      <w:r>
        <w:t xml:space="preserve">. </w:t>
      </w:r>
    </w:p>
    <w:p w14:paraId="620963F0" w14:textId="77777777" w:rsidR="003824D8" w:rsidRDefault="003824D8" w:rsidP="003824D8">
      <w:pPr>
        <w:tabs>
          <w:tab w:val="left" w:pos="851"/>
        </w:tabs>
        <w:spacing w:line="22" w:lineRule="atLeast"/>
      </w:pPr>
      <w:r w:rsidRPr="009223C6">
        <w:t xml:space="preserve">The UNGI program remains an important short-to-medium-term solution to ensure a pipeline of investment in </w:t>
      </w:r>
      <w:proofErr w:type="spellStart"/>
      <w:r w:rsidRPr="009223C6">
        <w:t>dispatchable</w:t>
      </w:r>
      <w:proofErr w:type="spellEnd"/>
      <w:r w:rsidRPr="009223C6">
        <w:t xml:space="preserve"> capacity</w:t>
      </w:r>
      <w:r>
        <w:t>, as part of this suite of measures</w:t>
      </w:r>
      <w:r w:rsidRPr="009223C6">
        <w:t xml:space="preserve">. </w:t>
      </w:r>
      <w:r>
        <w:t>T</w:t>
      </w:r>
      <w:r w:rsidRPr="009223C6">
        <w:t>he UNGI program RIS is representative of the time it was developed</w:t>
      </w:r>
      <w:r>
        <w:t>,</w:t>
      </w:r>
      <w:r w:rsidRPr="009223C6">
        <w:t xml:space="preserve"> especially regarding its analysis of the costs and benefits of the UNGI program, as well as its broader discussion of the energy market and government policy. </w:t>
      </w:r>
    </w:p>
    <w:p w14:paraId="1D4BE8D9" w14:textId="77777777" w:rsidR="003824D8" w:rsidRDefault="003824D8" w:rsidP="003824D8">
      <w:r w:rsidRPr="009223C6">
        <w:t>The UNGI program RIS</w:t>
      </w:r>
      <w:r>
        <w:t xml:space="preserve"> developed in 2019</w:t>
      </w:r>
      <w:r w:rsidRPr="009223C6">
        <w:t xml:space="preserve"> is no longer representative of the most recent analysis of the Department of Industry, Science, Energy and Resources, nor</w:t>
      </w:r>
      <w:r>
        <w:t xml:space="preserve"> does it reflect broader </w:t>
      </w:r>
      <w:r w:rsidRPr="009223C6">
        <w:t>market analysis and policy discussion</w:t>
      </w:r>
      <w:r>
        <w:t xml:space="preserve"> that has informed </w:t>
      </w:r>
      <w:r w:rsidRPr="009223C6">
        <w:t xml:space="preserve">the Government’s current suite of energy policies. </w:t>
      </w:r>
      <w:r>
        <w:t xml:space="preserve">The RIS notes that changed market dynamics may mean an alternative support mechanism could result in achievement of the program objectives. What we have seen is that a combination of measures, including those contemplated in the RIS, in addition to the UNGI program are now necessary to achieve the Government’s objective’s for the program.  </w:t>
      </w:r>
    </w:p>
    <w:p w14:paraId="25AC5572" w14:textId="77777777" w:rsidR="005C6902" w:rsidRDefault="005C6902" w:rsidP="003824D8">
      <w:pPr>
        <w:rPr>
          <w:rFonts w:ascii="Times New Roman" w:hAnsi="Times New Roman" w:cs="Times New Roman"/>
          <w:b/>
          <w:sz w:val="24"/>
          <w:szCs w:val="24"/>
        </w:rPr>
      </w:pPr>
    </w:p>
    <w:sectPr w:rsidR="005C6902">
      <w:pgSz w:w="11906" w:h="16838"/>
      <w:pgMar w:top="1985" w:right="1418"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A4BCC" w14:textId="77777777" w:rsidR="00C36FD5" w:rsidRDefault="00C36FD5">
      <w:r>
        <w:separator/>
      </w:r>
    </w:p>
  </w:endnote>
  <w:endnote w:type="continuationSeparator" w:id="0">
    <w:p w14:paraId="36B2561E" w14:textId="77777777" w:rsidR="00C36FD5" w:rsidRDefault="00C36FD5">
      <w:r>
        <w:continuationSeparator/>
      </w:r>
    </w:p>
  </w:endnote>
  <w:endnote w:type="continuationNotice" w:id="1">
    <w:p w14:paraId="4879E8CC" w14:textId="77777777" w:rsidR="00C36FD5" w:rsidRDefault="00C36F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156101"/>
      <w:docPartObj>
        <w:docPartGallery w:val="Page Numbers (Bottom of Page)"/>
        <w:docPartUnique/>
      </w:docPartObj>
    </w:sdtPr>
    <w:sdtEndPr>
      <w:rPr>
        <w:noProof/>
      </w:rPr>
    </w:sdtEndPr>
    <w:sdtContent>
      <w:p w14:paraId="3580688F" w14:textId="77777777" w:rsidR="00C36FD5" w:rsidRDefault="00C36FD5">
        <w:pPr>
          <w:pStyle w:val="Footer"/>
          <w:jc w:val="center"/>
        </w:pPr>
        <w:r>
          <w:fldChar w:fldCharType="begin"/>
        </w:r>
        <w:r>
          <w:instrText xml:space="preserve"> PAGE   \* MERGEFORMAT </w:instrText>
        </w:r>
        <w:r>
          <w:fldChar w:fldCharType="separate"/>
        </w:r>
        <w:r w:rsidR="007C106F">
          <w:rPr>
            <w:noProof/>
          </w:rPr>
          <w:t>5</w:t>
        </w:r>
        <w:r>
          <w:rPr>
            <w:noProof/>
          </w:rPr>
          <w:fldChar w:fldCharType="end"/>
        </w:r>
      </w:p>
    </w:sdtContent>
  </w:sdt>
  <w:p w14:paraId="1A3806A6" w14:textId="77777777" w:rsidR="00C36FD5" w:rsidRDefault="00C36FD5" w:rsidP="00153B0A">
    <w:pPr>
      <w:pStyle w:val="Footer"/>
      <w:tabs>
        <w:tab w:val="clear" w:pos="8220"/>
        <w:tab w:val="left" w:pos="178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D8DEE" w14:textId="77777777" w:rsidR="00C36FD5" w:rsidRDefault="00C36FD5">
    <w:pPr>
      <w:pStyle w:val="Footer"/>
    </w:pPr>
  </w:p>
  <w:p w14:paraId="5E9AB967" w14:textId="77777777" w:rsidR="00C36FD5" w:rsidRDefault="003824D8">
    <w:pPr>
      <w:pStyle w:val="Footer"/>
    </w:pPr>
    <w:fldSimple w:instr=" DOCPROPERTY  WSFooter  \* MERGEFORMAT ">
      <w:r w:rsidR="00C36FD5">
        <w:t>41347055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B59AC" w14:textId="77777777" w:rsidR="00C36FD5" w:rsidRDefault="00C36FD5">
      <w:r>
        <w:separator/>
      </w:r>
    </w:p>
  </w:footnote>
  <w:footnote w:type="continuationSeparator" w:id="0">
    <w:p w14:paraId="68BB7F00" w14:textId="77777777" w:rsidR="00C36FD5" w:rsidRDefault="00C36FD5">
      <w:r>
        <w:continuationSeparator/>
      </w:r>
    </w:p>
  </w:footnote>
  <w:footnote w:type="continuationNotice" w:id="1">
    <w:p w14:paraId="415DA663" w14:textId="77777777" w:rsidR="00C36FD5" w:rsidRDefault="00C36FD5">
      <w:pPr>
        <w:spacing w:after="0" w:line="240" w:lineRule="auto"/>
      </w:pPr>
    </w:p>
  </w:footnote>
  <w:footnote w:id="2">
    <w:p w14:paraId="0A0DCBA4" w14:textId="77777777" w:rsidR="00C36FD5" w:rsidRDefault="00C36FD5" w:rsidP="00C807F6">
      <w:pPr>
        <w:pStyle w:val="FootnoteText"/>
      </w:pPr>
      <w:r>
        <w:rPr>
          <w:rStyle w:val="FootnoteReference"/>
        </w:rPr>
        <w:footnoteRef/>
      </w:r>
      <w:r>
        <w:t xml:space="preserve"> Firm generation capacity, also known as </w:t>
      </w:r>
      <w:proofErr w:type="spellStart"/>
      <w:r>
        <w:t>dispatchable</w:t>
      </w:r>
      <w:proofErr w:type="spellEnd"/>
      <w:r>
        <w:t xml:space="preserve"> generation, is electricity generation that is able to be dispatched on request to meet demand. This could include coal-fired generation, combined cycle gas-fired generation, open cycle gas generation. </w:t>
      </w:r>
    </w:p>
  </w:footnote>
  <w:footnote w:id="3">
    <w:p w14:paraId="4E49F63E" w14:textId="77777777" w:rsidR="00C36FD5" w:rsidRDefault="00C36FD5" w:rsidP="00C807F6">
      <w:pPr>
        <w:pStyle w:val="FootnoteText"/>
      </w:pPr>
      <w:r>
        <w:rPr>
          <w:rStyle w:val="FootnoteReference"/>
        </w:rPr>
        <w:footnoteRef/>
      </w:r>
      <w:r>
        <w:t xml:space="preserve"> ACCC, REPI, July 2018, p. 88</w:t>
      </w:r>
    </w:p>
  </w:footnote>
  <w:footnote w:id="4">
    <w:p w14:paraId="0678940D" w14:textId="77777777" w:rsidR="00C36FD5" w:rsidRDefault="00C36FD5" w:rsidP="00C807F6">
      <w:pPr>
        <w:pStyle w:val="FootnoteText"/>
      </w:pPr>
      <w:r>
        <w:rPr>
          <w:rStyle w:val="FootnoteReference"/>
        </w:rPr>
        <w:footnoteRef/>
      </w:r>
      <w:r>
        <w:t xml:space="preserve"> ACCC, REPI, July 2018, p. vii</w:t>
      </w:r>
    </w:p>
  </w:footnote>
  <w:footnote w:id="5">
    <w:p w14:paraId="5AD45CEF" w14:textId="77777777" w:rsidR="00C36FD5" w:rsidRDefault="00C36FD5" w:rsidP="00C807F6">
      <w:pPr>
        <w:pStyle w:val="FootnoteText"/>
      </w:pPr>
      <w:r>
        <w:rPr>
          <w:rStyle w:val="FootnoteReference"/>
        </w:rPr>
        <w:footnoteRef/>
      </w:r>
      <w:r>
        <w:t xml:space="preserve"> AER, State of the Energy Market 2018, p. 5.</w:t>
      </w:r>
    </w:p>
  </w:footnote>
  <w:footnote w:id="6">
    <w:p w14:paraId="1FFE2F18" w14:textId="77777777" w:rsidR="00C36FD5" w:rsidRDefault="00C36FD5" w:rsidP="00C807F6">
      <w:pPr>
        <w:pStyle w:val="FootnoteText"/>
      </w:pPr>
      <w:r>
        <w:rPr>
          <w:rStyle w:val="FootnoteReference"/>
        </w:rPr>
        <w:footnoteRef/>
      </w:r>
      <w:r>
        <w:t xml:space="preserve"> Ibid, p.15</w:t>
      </w:r>
    </w:p>
  </w:footnote>
  <w:footnote w:id="7">
    <w:p w14:paraId="75615F44" w14:textId="77777777" w:rsidR="00C36FD5" w:rsidRDefault="00C36FD5" w:rsidP="00C807F6">
      <w:pPr>
        <w:pStyle w:val="FootnoteText"/>
      </w:pPr>
      <w:r>
        <w:rPr>
          <w:rStyle w:val="FootnoteReference"/>
        </w:rPr>
        <w:footnoteRef/>
      </w:r>
      <w:r>
        <w:t xml:space="preserve"> </w:t>
      </w:r>
      <w:r w:rsidRPr="0036054D">
        <w:t>AEMO, Integra</w:t>
      </w:r>
      <w:r>
        <w:t>ted System Plan, July 2018.</w:t>
      </w:r>
    </w:p>
  </w:footnote>
  <w:footnote w:id="8">
    <w:p w14:paraId="3390B2B5" w14:textId="77777777" w:rsidR="00C36FD5" w:rsidRDefault="00C36FD5" w:rsidP="00C807F6">
      <w:pPr>
        <w:pStyle w:val="FootnoteText"/>
      </w:pPr>
      <w:r>
        <w:rPr>
          <w:rStyle w:val="FootnoteReference"/>
        </w:rPr>
        <w:footnoteRef/>
      </w:r>
      <w:r>
        <w:t xml:space="preserve"> AEMO, Generation Information, 8 August 2019, </w:t>
      </w:r>
      <w:hyperlink r:id="rId1" w:history="1">
        <w:r>
          <w:rPr>
            <w:rStyle w:val="Hyperlink"/>
          </w:rPr>
          <w:t>https://www.aemo.com.au/Electricity/National-Electricity-Market-NEM/Planning-and-forecasting/Generation-information</w:t>
        </w:r>
      </w:hyperlink>
      <w:r>
        <w:t>.</w:t>
      </w:r>
    </w:p>
  </w:footnote>
  <w:footnote w:id="9">
    <w:p w14:paraId="51249F19" w14:textId="77777777" w:rsidR="00C36FD5" w:rsidRDefault="00C36FD5" w:rsidP="00C807F6">
      <w:pPr>
        <w:pStyle w:val="FootnoteText"/>
      </w:pPr>
      <w:r>
        <w:rPr>
          <w:rStyle w:val="FootnoteReference"/>
        </w:rPr>
        <w:footnoteRef/>
      </w:r>
      <w:r>
        <w:t xml:space="preserve"> AEMO, 2019 </w:t>
      </w:r>
      <w:r w:rsidRPr="004E2CA4">
        <w:t>Electricity Statement of Opportunities</w:t>
      </w:r>
      <w:r>
        <w:t>, August 2019, p.66.</w:t>
      </w:r>
    </w:p>
  </w:footnote>
  <w:footnote w:id="10">
    <w:p w14:paraId="04F857A7" w14:textId="77777777" w:rsidR="00C36FD5" w:rsidRDefault="00C36FD5" w:rsidP="00C807F6">
      <w:pPr>
        <w:pStyle w:val="FootnoteText"/>
      </w:pPr>
      <w:r>
        <w:rPr>
          <w:rStyle w:val="FootnoteReference"/>
        </w:rPr>
        <w:footnoteRef/>
      </w:r>
      <w:r>
        <w:t xml:space="preserve"> AEMO, Generation Information, 8 August 2019, </w:t>
      </w:r>
      <w:hyperlink r:id="rId2" w:history="1">
        <w:r>
          <w:rPr>
            <w:rStyle w:val="Hyperlink"/>
          </w:rPr>
          <w:t>https://www.aemo.com.au/Electricity/National-Electricity-Market-NEM/Planning-and-forecasting/Generation-information</w:t>
        </w:r>
      </w:hyperlink>
      <w:r>
        <w:t>.</w:t>
      </w:r>
    </w:p>
  </w:footnote>
  <w:footnote w:id="11">
    <w:p w14:paraId="464765C7" w14:textId="77777777" w:rsidR="00C36FD5" w:rsidRDefault="00C36FD5" w:rsidP="00C807F6">
      <w:pPr>
        <w:pStyle w:val="FootnoteText"/>
      </w:pPr>
      <w:r>
        <w:rPr>
          <w:rStyle w:val="FootnoteReference"/>
        </w:rPr>
        <w:footnoteRef/>
      </w:r>
      <w:r>
        <w:t xml:space="preserve"> </w:t>
      </w:r>
      <w:r w:rsidRPr="004A3557">
        <w:t>https://www.energycouncil.com.au/analysis/aging-generation-australias-coal-fired-fleet/</w:t>
      </w:r>
    </w:p>
  </w:footnote>
  <w:footnote w:id="12">
    <w:p w14:paraId="3C186167" w14:textId="77777777" w:rsidR="00C36FD5" w:rsidRDefault="00C36FD5" w:rsidP="00C807F6">
      <w:pPr>
        <w:pStyle w:val="FootnoteText"/>
      </w:pPr>
      <w:r>
        <w:rPr>
          <w:rStyle w:val="FootnoteReference"/>
        </w:rPr>
        <w:footnoteRef/>
      </w:r>
      <w:r>
        <w:t xml:space="preserve"> The NEM also has ancillary services markets through which generators can generate a small proportion of their revenue.</w:t>
      </w:r>
    </w:p>
  </w:footnote>
  <w:footnote w:id="13">
    <w:p w14:paraId="0E5D8BA8" w14:textId="77777777" w:rsidR="00C36FD5" w:rsidRDefault="00C36FD5" w:rsidP="00C807F6">
      <w:pPr>
        <w:pStyle w:val="FootnoteText"/>
      </w:pPr>
      <w:r>
        <w:rPr>
          <w:rStyle w:val="FootnoteReference"/>
        </w:rPr>
        <w:footnoteRef/>
      </w:r>
      <w:r>
        <w:t xml:space="preserve"> Clean Energy Regulator, </w:t>
      </w:r>
      <w:hyperlink r:id="rId3" w:history="1">
        <w:r w:rsidRPr="0060166C">
          <w:rPr>
            <w:rStyle w:val="Hyperlink"/>
          </w:rPr>
          <w:t>http://www.cleanenergyregulator.gov.au/RET/About-the-Renewable-Energy-Target/Large-scale-Renewable-Energy-Target-market-data</w:t>
        </w:r>
      </w:hyperlink>
      <w:r>
        <w:t>.</w:t>
      </w:r>
    </w:p>
  </w:footnote>
  <w:footnote w:id="14">
    <w:p w14:paraId="35C35A56" w14:textId="77777777" w:rsidR="00C36FD5" w:rsidRDefault="00C36FD5" w:rsidP="00C807F6">
      <w:pPr>
        <w:pStyle w:val="FootnoteText"/>
      </w:pPr>
      <w:r>
        <w:rPr>
          <w:rStyle w:val="FootnoteReference"/>
        </w:rPr>
        <w:footnoteRef/>
      </w:r>
      <w:r>
        <w:t xml:space="preserve"> AEMO, ISP, July 2018, p. 22</w:t>
      </w:r>
    </w:p>
  </w:footnote>
  <w:footnote w:id="15">
    <w:p w14:paraId="226D78D3" w14:textId="77777777" w:rsidR="00C36FD5" w:rsidRDefault="00C36FD5" w:rsidP="00C807F6">
      <w:pPr>
        <w:pStyle w:val="FootnoteText"/>
      </w:pPr>
      <w:r>
        <w:rPr>
          <w:rStyle w:val="FootnoteReference"/>
        </w:rPr>
        <w:footnoteRef/>
      </w:r>
      <w:r>
        <w:t xml:space="preserve"> ACCC, REPI, July 2018, p. 88</w:t>
      </w:r>
    </w:p>
  </w:footnote>
  <w:footnote w:id="16">
    <w:p w14:paraId="5CC0F97D" w14:textId="77777777" w:rsidR="00C36FD5" w:rsidRDefault="00C36FD5" w:rsidP="00C807F6">
      <w:pPr>
        <w:pStyle w:val="FootnoteText"/>
      </w:pPr>
      <w:r>
        <w:rPr>
          <w:rStyle w:val="FootnoteReference"/>
        </w:rPr>
        <w:footnoteRef/>
      </w:r>
      <w:r>
        <w:t xml:space="preserve"> The price may not be constant over the lifetime of the agreement. </w:t>
      </w:r>
    </w:p>
  </w:footnote>
  <w:footnote w:id="17">
    <w:p w14:paraId="72300B25" w14:textId="77777777" w:rsidR="00C36FD5" w:rsidRDefault="00C36FD5" w:rsidP="00C807F6">
      <w:pPr>
        <w:pStyle w:val="FootnoteText"/>
      </w:pPr>
      <w:r>
        <w:rPr>
          <w:rStyle w:val="FootnoteReference"/>
        </w:rPr>
        <w:footnoteRef/>
      </w:r>
      <w:r>
        <w:t xml:space="preserve"> ACCC, REPI, July 2018, p. 99</w:t>
      </w:r>
    </w:p>
  </w:footnote>
  <w:footnote w:id="18">
    <w:p w14:paraId="3828895F" w14:textId="77777777" w:rsidR="00C36FD5" w:rsidRDefault="00C36FD5" w:rsidP="00C807F6">
      <w:pPr>
        <w:pStyle w:val="FootnoteText"/>
      </w:pPr>
      <w:r>
        <w:rPr>
          <w:rStyle w:val="FootnoteReference"/>
        </w:rPr>
        <w:footnoteRef/>
      </w:r>
      <w:r>
        <w:t xml:space="preserve"> ACCC, REPI, July 2018, p. 99</w:t>
      </w:r>
    </w:p>
  </w:footnote>
  <w:footnote w:id="19">
    <w:p w14:paraId="062ACFF7" w14:textId="77777777" w:rsidR="00C36FD5" w:rsidRDefault="00C36FD5" w:rsidP="00C807F6">
      <w:pPr>
        <w:pStyle w:val="FootnoteText"/>
      </w:pPr>
      <w:r>
        <w:rPr>
          <w:rStyle w:val="FootnoteReference"/>
        </w:rPr>
        <w:footnoteRef/>
      </w:r>
      <w:r>
        <w:t xml:space="preserve"> The NEM spot market has a market price cap of $14,500/MWh (for the period from 1 July 2018 to 30 June 2019) and a market floor price of -$1,000/MWh. The negative market floor price allows generators to pay to stay online when the cost of staying online is lower than the cost of shutting down and re-starting their plants.    </w:t>
      </w:r>
    </w:p>
  </w:footnote>
  <w:footnote w:id="20">
    <w:p w14:paraId="3378F107" w14:textId="77777777" w:rsidR="00C36FD5" w:rsidRDefault="00C36FD5" w:rsidP="00C807F6">
      <w:pPr>
        <w:pStyle w:val="FootnoteText"/>
      </w:pPr>
      <w:r>
        <w:rPr>
          <w:rStyle w:val="FootnoteReference"/>
        </w:rPr>
        <w:footnoteRef/>
      </w:r>
      <w:r>
        <w:t xml:space="preserve"> In particular, the ACT and Victoria. </w:t>
      </w:r>
    </w:p>
  </w:footnote>
  <w:footnote w:id="21">
    <w:p w14:paraId="41C35928" w14:textId="77777777" w:rsidR="00C36FD5" w:rsidRDefault="00C36FD5" w:rsidP="00C807F6">
      <w:pPr>
        <w:pStyle w:val="FootnoteText"/>
      </w:pPr>
      <w:r>
        <w:rPr>
          <w:rStyle w:val="FootnoteReference"/>
        </w:rPr>
        <w:footnoteRef/>
      </w:r>
      <w:r>
        <w:t xml:space="preserve"> AEMO, 2019 </w:t>
      </w:r>
      <w:r w:rsidRPr="004E2CA4">
        <w:t>Electricity Statement of Opportunities</w:t>
      </w:r>
      <w:r>
        <w:t>, August 2019, p.66.</w:t>
      </w:r>
    </w:p>
  </w:footnote>
  <w:footnote w:id="22">
    <w:p w14:paraId="7E403589" w14:textId="77777777" w:rsidR="00C36FD5" w:rsidRDefault="00C36FD5" w:rsidP="00C807F6">
      <w:pPr>
        <w:spacing w:after="120"/>
      </w:pPr>
      <w:r>
        <w:rPr>
          <w:rStyle w:val="FootnoteReference"/>
        </w:rPr>
        <w:footnoteRef/>
      </w:r>
      <w:r>
        <w:t xml:space="preserve"> </w:t>
      </w:r>
      <w:r w:rsidRPr="00EF02CA">
        <w:rPr>
          <w:sz w:val="20"/>
          <w:szCs w:val="20"/>
        </w:rPr>
        <w:t xml:space="preserve">The </w:t>
      </w:r>
      <w:r>
        <w:rPr>
          <w:sz w:val="20"/>
          <w:szCs w:val="20"/>
        </w:rPr>
        <w:t xml:space="preserve">reliability standard is currently set at the expectation that there be </w:t>
      </w:r>
      <w:r w:rsidRPr="00EF02CA">
        <w:rPr>
          <w:sz w:val="20"/>
          <w:szCs w:val="20"/>
        </w:rPr>
        <w:t>sufficient generation such that 99.998% of annual demand for electricity is expected to be supplied</w:t>
      </w:r>
      <w:r>
        <w:rPr>
          <w:sz w:val="20"/>
          <w:szCs w:val="20"/>
        </w:rPr>
        <w:t xml:space="preserve"> on a one in two year scenario</w:t>
      </w:r>
      <w:r w:rsidRPr="00EF02CA">
        <w:rPr>
          <w:sz w:val="20"/>
          <w:szCs w:val="20"/>
        </w:rPr>
        <w:t>.</w:t>
      </w:r>
    </w:p>
    <w:p w14:paraId="0052B917" w14:textId="77777777" w:rsidR="00C36FD5" w:rsidRDefault="00C36FD5" w:rsidP="00C807F6">
      <w:pPr>
        <w:pStyle w:val="FootnoteText"/>
      </w:pPr>
    </w:p>
  </w:footnote>
  <w:footnote w:id="23">
    <w:p w14:paraId="009365A0" w14:textId="77777777" w:rsidR="00C36FD5" w:rsidRDefault="00C36FD5" w:rsidP="00C807F6">
      <w:pPr>
        <w:pStyle w:val="FootnoteText"/>
      </w:pPr>
      <w:r>
        <w:rPr>
          <w:rStyle w:val="FootnoteReference"/>
        </w:rPr>
        <w:footnoteRef/>
      </w:r>
      <w:r>
        <w:t xml:space="preserve"> </w:t>
      </w:r>
      <w:r w:rsidRPr="00AC3C47">
        <w:t>https://www.environment.gov.au/energy/underwritingnewgeneration</w:t>
      </w:r>
    </w:p>
  </w:footnote>
  <w:footnote w:id="24">
    <w:p w14:paraId="31AE5C6E" w14:textId="77777777" w:rsidR="00C36FD5" w:rsidRDefault="00C36FD5" w:rsidP="00C807F6">
      <w:pPr>
        <w:pStyle w:val="FootnoteText"/>
      </w:pPr>
      <w:r>
        <w:rPr>
          <w:rStyle w:val="FootnoteReference"/>
        </w:rPr>
        <w:footnoteRef/>
      </w:r>
      <w:r>
        <w:t xml:space="preserve"> </w:t>
      </w:r>
      <w:hyperlink r:id="rId4" w:history="1">
        <w:r>
          <w:rPr>
            <w:rStyle w:val="Hyperlink"/>
          </w:rPr>
          <w:t>https://www.environment.gov.au/energy/underwritingnewgeneration/registration-of-interest</w:t>
        </w:r>
      </w:hyperlink>
    </w:p>
  </w:footnote>
  <w:footnote w:id="25">
    <w:p w14:paraId="091CBDBF" w14:textId="77777777" w:rsidR="00C36FD5" w:rsidRDefault="00C36FD5" w:rsidP="00C807F6">
      <w:pPr>
        <w:pStyle w:val="FootnoteText"/>
      </w:pPr>
      <w:r>
        <w:rPr>
          <w:rStyle w:val="FootnoteReference"/>
        </w:rPr>
        <w:footnoteRef/>
      </w:r>
      <w:r>
        <w:t xml:space="preserve"> </w:t>
      </w:r>
      <w:r w:rsidRPr="005E0896">
        <w:t>Delivering Affordable and Reliable Power</w:t>
      </w:r>
      <w:r>
        <w:t>,</w:t>
      </w:r>
      <w:r w:rsidRPr="005E0896">
        <w:t xml:space="preserve"> Prime Minister</w:t>
      </w:r>
      <w:r>
        <w:t>,</w:t>
      </w:r>
      <w:r w:rsidRPr="005E0896">
        <w:t xml:space="preserve"> </w:t>
      </w:r>
      <w:r>
        <w:t>M</w:t>
      </w:r>
      <w:r w:rsidRPr="005E0896">
        <w:t xml:space="preserve">edia </w:t>
      </w:r>
      <w:r>
        <w:t>R</w:t>
      </w:r>
      <w:r w:rsidRPr="005E0896">
        <w:t>elease 26 March 2019</w:t>
      </w:r>
    </w:p>
  </w:footnote>
  <w:footnote w:id="26">
    <w:p w14:paraId="2EA7EFA7" w14:textId="77777777" w:rsidR="00C36FD5" w:rsidRDefault="00C36FD5" w:rsidP="00C807F6">
      <w:pPr>
        <w:pStyle w:val="FootnoteText"/>
      </w:pPr>
      <w:r>
        <w:rPr>
          <w:rStyle w:val="FootnoteReference"/>
        </w:rPr>
        <w:footnoteRef/>
      </w:r>
      <w:r>
        <w:t xml:space="preserve"> ACCC, REPI, 2018 pg. 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92B27" w14:textId="77777777" w:rsidR="00C36FD5" w:rsidRDefault="00C36FD5">
    <w:pPr>
      <w:pStyle w:val="Header"/>
    </w:pPr>
  </w:p>
  <w:p w14:paraId="2529598D" w14:textId="77777777" w:rsidR="00C36FD5" w:rsidRDefault="00C36FD5">
    <w:pPr>
      <w:pStyle w:val="DraftinHeader"/>
    </w:pPr>
  </w:p>
  <w:p w14:paraId="3E5D3CBB" w14:textId="77777777" w:rsidR="00C36FD5" w:rsidRDefault="00C36FD5">
    <w:pPr>
      <w:pStyle w:val="DraftinHeader"/>
    </w:pPr>
  </w:p>
  <w:p w14:paraId="19EFA8DA" w14:textId="77777777" w:rsidR="00C36FD5" w:rsidRDefault="00C36FD5" w:rsidP="008F6038">
    <w:pPr>
      <w:pStyle w:val="DraftinHeader"/>
    </w:pPr>
    <w:proofErr w:type="gramStart"/>
    <w:r w:rsidRPr="008F6038">
      <w:t>DRAFT  02</w:t>
    </w:r>
    <w:proofErr w:type="gramEnd"/>
    <w:r w:rsidRPr="008F6038">
      <w:t>-11-2020  10:13 AM  v7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37799" w14:textId="77777777" w:rsidR="00C36FD5" w:rsidRDefault="00C36FD5" w:rsidP="006B61B0">
    <w:pPr>
      <w:pStyle w:val="Header"/>
      <w:tabs>
        <w:tab w:val="clear" w:pos="8220"/>
        <w:tab w:val="left" w:pos="2042"/>
      </w:tabs>
    </w:pPr>
    <w:r>
      <w:tab/>
    </w:r>
  </w:p>
  <w:p w14:paraId="71A00E8F" w14:textId="77777777" w:rsidR="00C36FD5" w:rsidRDefault="00C36FD5">
    <w:pPr>
      <w:pStyle w:val="DraftinHeader"/>
    </w:pPr>
  </w:p>
  <w:p w14:paraId="245B65F5" w14:textId="77777777" w:rsidR="00C36FD5" w:rsidRDefault="00C36FD5" w:rsidP="00497D35">
    <w:pPr>
      <w:pStyle w:val="DraftinHeader"/>
      <w:tabs>
        <w:tab w:val="clear" w:pos="8220"/>
        <w:tab w:val="left" w:pos="179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89DD0" w14:textId="77777777" w:rsidR="00C36FD5" w:rsidRDefault="00C36FD5">
    <w:pPr>
      <w:pStyle w:val="Header"/>
    </w:pPr>
  </w:p>
  <w:p w14:paraId="0EBB21E3" w14:textId="77777777" w:rsidR="00C36FD5" w:rsidRDefault="00C36FD5">
    <w:pPr>
      <w:pStyle w:val="DraftinHeader"/>
    </w:pPr>
  </w:p>
  <w:p w14:paraId="3C0FB58A" w14:textId="77777777" w:rsidR="00C36FD5" w:rsidRDefault="00C36FD5">
    <w:pPr>
      <w:pStyle w:val="DraftinHeader"/>
    </w:pPr>
  </w:p>
  <w:p w14:paraId="41B45230" w14:textId="77777777" w:rsidR="00C36FD5" w:rsidRDefault="00C36FD5">
    <w:pPr>
      <w:pStyle w:val="DraftinHeader"/>
    </w:pPr>
    <w:proofErr w:type="gramStart"/>
    <w:r w:rsidRPr="008F6038">
      <w:t>DRAFT  02</w:t>
    </w:r>
    <w:proofErr w:type="gramEnd"/>
    <w:r w:rsidRPr="008F6038">
      <w:t>-11-2020  10:13 AM  v7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2"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3"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4"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5"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6" w15:restartNumberingAfterBreak="0">
    <w:nsid w:val="0E52185A"/>
    <w:multiLevelType w:val="hybridMultilevel"/>
    <w:tmpl w:val="C262B0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6D46C43"/>
    <w:multiLevelType w:val="hybridMultilevel"/>
    <w:tmpl w:val="0928A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9"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20"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21"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2" w15:restartNumberingAfterBreak="0">
    <w:nsid w:val="251718CD"/>
    <w:multiLevelType w:val="hybridMultilevel"/>
    <w:tmpl w:val="5B843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4"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5"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6" w15:restartNumberingAfterBreak="0">
    <w:nsid w:val="2E3E4180"/>
    <w:multiLevelType w:val="hybridMultilevel"/>
    <w:tmpl w:val="0576E8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8" w15:restartNumberingAfterBreak="0">
    <w:nsid w:val="2FBB4BA1"/>
    <w:multiLevelType w:val="hybridMultilevel"/>
    <w:tmpl w:val="26C48D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pStyle w:val="programheading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6FD3B63"/>
    <w:multiLevelType w:val="hybridMultilevel"/>
    <w:tmpl w:val="F9641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35"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77B6D56"/>
    <w:multiLevelType w:val="multilevel"/>
    <w:tmpl w:val="840A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480048A"/>
    <w:multiLevelType w:val="hybridMultilevel"/>
    <w:tmpl w:val="7652AA4C"/>
    <w:lvl w:ilvl="0" w:tplc="0AFA608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3" w15:restartNumberingAfterBreak="0">
    <w:nsid w:val="5CA4597B"/>
    <w:multiLevelType w:val="hybridMultilevel"/>
    <w:tmpl w:val="F4921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0892F49"/>
    <w:multiLevelType w:val="hybridMultilevel"/>
    <w:tmpl w:val="137868E0"/>
    <w:lvl w:ilvl="0" w:tplc="C62ADE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11E0B1B"/>
    <w:multiLevelType w:val="hybridMultilevel"/>
    <w:tmpl w:val="137868E0"/>
    <w:lvl w:ilvl="0" w:tplc="C62ADE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1541CD7"/>
    <w:multiLevelType w:val="hybridMultilevel"/>
    <w:tmpl w:val="1AC2FA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8A07D9A"/>
    <w:multiLevelType w:val="hybridMultilevel"/>
    <w:tmpl w:val="137868E0"/>
    <w:lvl w:ilvl="0" w:tplc="C62ADE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94011FD"/>
    <w:multiLevelType w:val="hybridMultilevel"/>
    <w:tmpl w:val="83584F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C071946"/>
    <w:multiLevelType w:val="hybridMultilevel"/>
    <w:tmpl w:val="734A65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56"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57" w15:restartNumberingAfterBreak="0">
    <w:nsid w:val="7815128A"/>
    <w:multiLevelType w:val="hybridMultilevel"/>
    <w:tmpl w:val="B764E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93B2440"/>
    <w:multiLevelType w:val="hybridMultilevel"/>
    <w:tmpl w:val="E744B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E862207"/>
    <w:multiLevelType w:val="hybridMultilevel"/>
    <w:tmpl w:val="376815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25"/>
  </w:num>
  <w:num w:numId="3">
    <w:abstractNumId w:val="14"/>
  </w:num>
  <w:num w:numId="4">
    <w:abstractNumId w:val="19"/>
  </w:num>
  <w:num w:numId="5">
    <w:abstractNumId w:val="13"/>
  </w:num>
  <w:num w:numId="6">
    <w:abstractNumId w:val="50"/>
  </w:num>
  <w:num w:numId="7">
    <w:abstractNumId w:val="59"/>
  </w:num>
  <w:num w:numId="8">
    <w:abstractNumId w:val="3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4"/>
  </w:num>
  <w:num w:numId="20">
    <w:abstractNumId w:val="24"/>
  </w:num>
  <w:num w:numId="21">
    <w:abstractNumId w:val="42"/>
  </w:num>
  <w:num w:numId="22">
    <w:abstractNumId w:val="20"/>
  </w:num>
  <w:num w:numId="23">
    <w:abstractNumId w:val="55"/>
  </w:num>
  <w:num w:numId="24">
    <w:abstractNumId w:val="18"/>
  </w:num>
  <w:num w:numId="25">
    <w:abstractNumId w:val="15"/>
  </w:num>
  <w:num w:numId="26">
    <w:abstractNumId w:val="27"/>
  </w:num>
  <w:num w:numId="27">
    <w:abstractNumId w:val="11"/>
  </w:num>
  <w:num w:numId="28">
    <w:abstractNumId w:val="21"/>
  </w:num>
  <w:num w:numId="29">
    <w:abstractNumId w:val="23"/>
  </w:num>
  <w:num w:numId="30">
    <w:abstractNumId w:val="46"/>
  </w:num>
  <w:num w:numId="31">
    <w:abstractNumId w:val="51"/>
  </w:num>
  <w:num w:numId="32">
    <w:abstractNumId w:val="56"/>
  </w:num>
  <w:num w:numId="33">
    <w:abstractNumId w:val="10"/>
  </w:num>
  <w:num w:numId="34">
    <w:abstractNumId w:val="31"/>
  </w:num>
  <w:num w:numId="35">
    <w:abstractNumId w:val="26"/>
  </w:num>
  <w:num w:numId="36">
    <w:abstractNumId w:val="38"/>
  </w:num>
  <w:num w:numId="37">
    <w:abstractNumId w:val="60"/>
  </w:num>
  <w:num w:numId="38">
    <w:abstractNumId w:val="48"/>
  </w:num>
  <w:num w:numId="39">
    <w:abstractNumId w:val="53"/>
  </w:num>
  <w:num w:numId="40">
    <w:abstractNumId w:val="16"/>
  </w:num>
  <w:num w:numId="41">
    <w:abstractNumId w:val="32"/>
  </w:num>
  <w:num w:numId="42">
    <w:abstractNumId w:val="57"/>
  </w:num>
  <w:num w:numId="43">
    <w:abstractNumId w:val="17"/>
  </w:num>
  <w:num w:numId="44">
    <w:abstractNumId w:val="43"/>
  </w:num>
  <w:num w:numId="45">
    <w:abstractNumId w:val="58"/>
  </w:num>
  <w:num w:numId="46">
    <w:abstractNumId w:val="22"/>
  </w:num>
  <w:num w:numId="47">
    <w:abstractNumId w:val="28"/>
  </w:num>
  <w:num w:numId="48">
    <w:abstractNumId w:val="36"/>
  </w:num>
  <w:num w:numId="49">
    <w:abstractNumId w:val="47"/>
  </w:num>
  <w:num w:numId="50">
    <w:abstractNumId w:val="5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425"/>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yleWS" w:val="bWSLetter"/>
  </w:docVars>
  <w:rsids>
    <w:rsidRoot w:val="00ED3487"/>
    <w:rsid w:val="00015325"/>
    <w:rsid w:val="000325E1"/>
    <w:rsid w:val="00037216"/>
    <w:rsid w:val="00054B50"/>
    <w:rsid w:val="000622AF"/>
    <w:rsid w:val="000627D0"/>
    <w:rsid w:val="0006745C"/>
    <w:rsid w:val="000917FC"/>
    <w:rsid w:val="000C02FD"/>
    <w:rsid w:val="000C2AAC"/>
    <w:rsid w:val="000C2E73"/>
    <w:rsid w:val="000C636C"/>
    <w:rsid w:val="000E1C8F"/>
    <w:rsid w:val="000E6E60"/>
    <w:rsid w:val="000F52F8"/>
    <w:rsid w:val="00100184"/>
    <w:rsid w:val="0010055A"/>
    <w:rsid w:val="001029C3"/>
    <w:rsid w:val="001036AC"/>
    <w:rsid w:val="0012156C"/>
    <w:rsid w:val="0012590C"/>
    <w:rsid w:val="00135EF4"/>
    <w:rsid w:val="00136BD8"/>
    <w:rsid w:val="00146BDE"/>
    <w:rsid w:val="00147FCA"/>
    <w:rsid w:val="001504AD"/>
    <w:rsid w:val="00153B0A"/>
    <w:rsid w:val="00154ADD"/>
    <w:rsid w:val="001553E1"/>
    <w:rsid w:val="00175EA6"/>
    <w:rsid w:val="00181DD2"/>
    <w:rsid w:val="00184A09"/>
    <w:rsid w:val="001A1E4F"/>
    <w:rsid w:val="001C2D83"/>
    <w:rsid w:val="001C33F3"/>
    <w:rsid w:val="001C39E4"/>
    <w:rsid w:val="001C5528"/>
    <w:rsid w:val="001D21E9"/>
    <w:rsid w:val="001F239D"/>
    <w:rsid w:val="002047E3"/>
    <w:rsid w:val="00204C99"/>
    <w:rsid w:val="00233364"/>
    <w:rsid w:val="00237324"/>
    <w:rsid w:val="00241C62"/>
    <w:rsid w:val="002463BC"/>
    <w:rsid w:val="00255C1D"/>
    <w:rsid w:val="00256F5C"/>
    <w:rsid w:val="00271E82"/>
    <w:rsid w:val="00277D87"/>
    <w:rsid w:val="00282EB7"/>
    <w:rsid w:val="002A4CB3"/>
    <w:rsid w:val="002A5C3F"/>
    <w:rsid w:val="002C5DD7"/>
    <w:rsid w:val="002C68AF"/>
    <w:rsid w:val="002E6565"/>
    <w:rsid w:val="003005D3"/>
    <w:rsid w:val="00304CDD"/>
    <w:rsid w:val="00343F09"/>
    <w:rsid w:val="00346578"/>
    <w:rsid w:val="00363C30"/>
    <w:rsid w:val="003661BA"/>
    <w:rsid w:val="00374652"/>
    <w:rsid w:val="00376CC5"/>
    <w:rsid w:val="003824D8"/>
    <w:rsid w:val="00387C02"/>
    <w:rsid w:val="00395C27"/>
    <w:rsid w:val="003B2BFA"/>
    <w:rsid w:val="003B4BB7"/>
    <w:rsid w:val="003B674E"/>
    <w:rsid w:val="003C6929"/>
    <w:rsid w:val="003D3D33"/>
    <w:rsid w:val="003D4507"/>
    <w:rsid w:val="0042467E"/>
    <w:rsid w:val="00430893"/>
    <w:rsid w:val="0044358A"/>
    <w:rsid w:val="004762A0"/>
    <w:rsid w:val="00477185"/>
    <w:rsid w:val="004879B9"/>
    <w:rsid w:val="00497D35"/>
    <w:rsid w:val="004A0E24"/>
    <w:rsid w:val="004A6685"/>
    <w:rsid w:val="004B3632"/>
    <w:rsid w:val="004C4587"/>
    <w:rsid w:val="004F4009"/>
    <w:rsid w:val="00507631"/>
    <w:rsid w:val="0051221C"/>
    <w:rsid w:val="00513588"/>
    <w:rsid w:val="00516AFA"/>
    <w:rsid w:val="00522521"/>
    <w:rsid w:val="0052368B"/>
    <w:rsid w:val="00531C1B"/>
    <w:rsid w:val="005553D0"/>
    <w:rsid w:val="005659F6"/>
    <w:rsid w:val="00591FD9"/>
    <w:rsid w:val="005C41C7"/>
    <w:rsid w:val="005C6902"/>
    <w:rsid w:val="005D6DAB"/>
    <w:rsid w:val="005E1E7A"/>
    <w:rsid w:val="006126D7"/>
    <w:rsid w:val="00631A26"/>
    <w:rsid w:val="00640E93"/>
    <w:rsid w:val="0068073E"/>
    <w:rsid w:val="006906C5"/>
    <w:rsid w:val="006A062E"/>
    <w:rsid w:val="006A4EF1"/>
    <w:rsid w:val="006A5780"/>
    <w:rsid w:val="006B61B0"/>
    <w:rsid w:val="006D2CA7"/>
    <w:rsid w:val="006E3B48"/>
    <w:rsid w:val="006F1442"/>
    <w:rsid w:val="006F7B23"/>
    <w:rsid w:val="0070596E"/>
    <w:rsid w:val="007315F8"/>
    <w:rsid w:val="00734724"/>
    <w:rsid w:val="00741B16"/>
    <w:rsid w:val="00747C28"/>
    <w:rsid w:val="007523DB"/>
    <w:rsid w:val="00770BC5"/>
    <w:rsid w:val="0078124E"/>
    <w:rsid w:val="00784E0A"/>
    <w:rsid w:val="007910AD"/>
    <w:rsid w:val="00793B87"/>
    <w:rsid w:val="007B4E46"/>
    <w:rsid w:val="007B5925"/>
    <w:rsid w:val="007B79C0"/>
    <w:rsid w:val="007C106F"/>
    <w:rsid w:val="007C493C"/>
    <w:rsid w:val="007D2D39"/>
    <w:rsid w:val="007D4102"/>
    <w:rsid w:val="00835E0E"/>
    <w:rsid w:val="00843C6F"/>
    <w:rsid w:val="008619E4"/>
    <w:rsid w:val="00874ACF"/>
    <w:rsid w:val="0087718D"/>
    <w:rsid w:val="0089143A"/>
    <w:rsid w:val="008C25E5"/>
    <w:rsid w:val="008D369E"/>
    <w:rsid w:val="008E18A2"/>
    <w:rsid w:val="008F0390"/>
    <w:rsid w:val="008F0B86"/>
    <w:rsid w:val="008F6038"/>
    <w:rsid w:val="009106BC"/>
    <w:rsid w:val="0091079F"/>
    <w:rsid w:val="009138FA"/>
    <w:rsid w:val="00916F02"/>
    <w:rsid w:val="00954E8E"/>
    <w:rsid w:val="009D27B1"/>
    <w:rsid w:val="009F3EB4"/>
    <w:rsid w:val="00A00893"/>
    <w:rsid w:val="00A1407F"/>
    <w:rsid w:val="00A15088"/>
    <w:rsid w:val="00A61460"/>
    <w:rsid w:val="00A65A1F"/>
    <w:rsid w:val="00A71F2E"/>
    <w:rsid w:val="00A83931"/>
    <w:rsid w:val="00AA3320"/>
    <w:rsid w:val="00AD2E87"/>
    <w:rsid w:val="00AE322A"/>
    <w:rsid w:val="00AF4A1A"/>
    <w:rsid w:val="00B07935"/>
    <w:rsid w:val="00B1456F"/>
    <w:rsid w:val="00B364B7"/>
    <w:rsid w:val="00B443FF"/>
    <w:rsid w:val="00B51622"/>
    <w:rsid w:val="00B54EF9"/>
    <w:rsid w:val="00B82009"/>
    <w:rsid w:val="00BA2E4A"/>
    <w:rsid w:val="00BB200A"/>
    <w:rsid w:val="00C10E6D"/>
    <w:rsid w:val="00C20738"/>
    <w:rsid w:val="00C2677B"/>
    <w:rsid w:val="00C36FD5"/>
    <w:rsid w:val="00C669C7"/>
    <w:rsid w:val="00C70797"/>
    <w:rsid w:val="00C807F6"/>
    <w:rsid w:val="00C9387A"/>
    <w:rsid w:val="00CA4AF3"/>
    <w:rsid w:val="00CD547F"/>
    <w:rsid w:val="00CE5DCE"/>
    <w:rsid w:val="00D06CBB"/>
    <w:rsid w:val="00D36E65"/>
    <w:rsid w:val="00D576CC"/>
    <w:rsid w:val="00D7220B"/>
    <w:rsid w:val="00DB1FA7"/>
    <w:rsid w:val="00DB5F21"/>
    <w:rsid w:val="00DC058F"/>
    <w:rsid w:val="00DD2D09"/>
    <w:rsid w:val="00DE6577"/>
    <w:rsid w:val="00E017D8"/>
    <w:rsid w:val="00E150BD"/>
    <w:rsid w:val="00E236BA"/>
    <w:rsid w:val="00E67170"/>
    <w:rsid w:val="00E74073"/>
    <w:rsid w:val="00E867B4"/>
    <w:rsid w:val="00E91983"/>
    <w:rsid w:val="00EB29BA"/>
    <w:rsid w:val="00EC09E8"/>
    <w:rsid w:val="00ED1F10"/>
    <w:rsid w:val="00ED3487"/>
    <w:rsid w:val="00ED57BE"/>
    <w:rsid w:val="00EE0552"/>
    <w:rsid w:val="00F05BEA"/>
    <w:rsid w:val="00F065F6"/>
    <w:rsid w:val="00F10503"/>
    <w:rsid w:val="00F12360"/>
    <w:rsid w:val="00F130F4"/>
    <w:rsid w:val="00F3772B"/>
    <w:rsid w:val="00F45951"/>
    <w:rsid w:val="00F52A96"/>
    <w:rsid w:val="00F77DA0"/>
    <w:rsid w:val="00F80B6B"/>
    <w:rsid w:val="00FC324C"/>
    <w:rsid w:val="00FF1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5C9BE04"/>
  <w15:chartTrackingRefBased/>
  <w15:docId w15:val="{7E944B6C-9C9A-4E2E-AC08-53211916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4" w:qFormat="1"/>
    <w:lsdException w:name="heading 6" w:semiHidden="1" w:uiPriority="4" w:unhideWhenUsed="1"/>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5" w:unhideWhenUsed="1"/>
    <w:lsdException w:name="toc 5" w:semiHidden="1" w:uiPriority="35" w:unhideWhenUsed="1"/>
    <w:lsdException w:name="toc 6" w:semiHidden="1" w:uiPriority="35" w:unhideWhenUsed="1"/>
    <w:lsdException w:name="toc 7" w:semiHidden="1" w:uiPriority="35" w:unhideWhenUsed="1"/>
    <w:lsdException w:name="toc 8" w:semiHidden="1" w:uiPriority="35" w:unhideWhenUsed="1"/>
    <w:lsdException w:name="toc 9" w:semiHidden="1" w:uiPriority="35"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4" w:unhideWhenUsed="1"/>
    <w:lsdException w:name="endnote reference" w:semiHidden="1" w:uiPriority="31" w:unhideWhenUsed="1"/>
    <w:lsdException w:name="endnote text" w:semiHidden="1" w:uiPriority="3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uiPriority="21" w:qFormat="1"/>
    <w:lsdException w:name="Subtle Reference" w:semiHidden="1" w:uiPriority="98"/>
    <w:lsdException w:name="Intense Reference" w:uiPriority="98"/>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aliases w:val="H1"/>
    <w:basedOn w:val="HeadingBase"/>
    <w:next w:val="NumberLevel1"/>
    <w:link w:val="Heading1Char"/>
    <w:uiPriority w:val="9"/>
    <w:qFormat/>
    <w:pPr>
      <w:keepNext/>
      <w:keepLines/>
      <w:outlineLvl w:val="0"/>
    </w:pPr>
    <w:rPr>
      <w:b/>
      <w:bCs/>
      <w:caps/>
      <w:kern w:val="32"/>
      <w:szCs w:val="32"/>
    </w:rPr>
  </w:style>
  <w:style w:type="paragraph" w:styleId="Heading2">
    <w:name w:val="heading 2"/>
    <w:aliases w:val="H2"/>
    <w:basedOn w:val="HeadingBase"/>
    <w:next w:val="NumberLevel1"/>
    <w:link w:val="Heading2Char"/>
    <w:uiPriority w:val="9"/>
    <w:qFormat/>
    <w:pPr>
      <w:keepNext/>
      <w:keepLines/>
      <w:outlineLvl w:val="1"/>
    </w:pPr>
    <w:rPr>
      <w:b/>
      <w:bCs/>
      <w:iCs/>
      <w:sz w:val="22"/>
      <w:szCs w:val="28"/>
    </w:rPr>
  </w:style>
  <w:style w:type="paragraph" w:styleId="Heading3">
    <w:name w:val="heading 3"/>
    <w:aliases w:val="H3"/>
    <w:basedOn w:val="HeadingBase"/>
    <w:next w:val="NumberLevel1"/>
    <w:link w:val="Heading3Char"/>
    <w:uiPriority w:val="9"/>
    <w:qFormat/>
    <w:pPr>
      <w:keepNext/>
      <w:keepLines/>
      <w:outlineLvl w:val="2"/>
    </w:pPr>
    <w:rPr>
      <w:b/>
      <w:bCs/>
      <w:i/>
      <w:szCs w:val="26"/>
    </w:rPr>
  </w:style>
  <w:style w:type="paragraph" w:styleId="Heading4">
    <w:name w:val="heading 4"/>
    <w:aliases w:val="H4"/>
    <w:basedOn w:val="HeadingBase"/>
    <w:next w:val="NumberLevel1"/>
    <w:link w:val="Heading4Char"/>
    <w:uiPriority w:val="9"/>
    <w:qFormat/>
    <w:pPr>
      <w:keepNext/>
      <w:keepLines/>
      <w:outlineLvl w:val="3"/>
    </w:pPr>
    <w:rPr>
      <w:bCs/>
      <w:i/>
      <w:szCs w:val="28"/>
    </w:rPr>
  </w:style>
  <w:style w:type="paragraph" w:styleId="Heading5">
    <w:name w:val="heading 5"/>
    <w:aliases w:val="H5"/>
    <w:basedOn w:val="HeadingBase"/>
    <w:next w:val="NumberLevel1"/>
    <w:link w:val="Heading5Char"/>
    <w:uiPriority w:val="4"/>
    <w:qFormat/>
    <w:pPr>
      <w:keepNext/>
      <w:keepLines/>
      <w:outlineLvl w:val="4"/>
    </w:pPr>
    <w:rPr>
      <w:b/>
      <w:bCs/>
      <w:iCs/>
      <w:sz w:val="18"/>
      <w:szCs w:val="26"/>
    </w:rPr>
  </w:style>
  <w:style w:type="paragraph" w:styleId="Heading6">
    <w:name w:val="heading 6"/>
    <w:basedOn w:val="Normal"/>
    <w:next w:val="Normal"/>
    <w:uiPriority w:val="4"/>
    <w:semiHidden/>
    <w:unhideWhenUsed/>
    <w:pPr>
      <w:spacing w:before="240" w:after="60"/>
      <w:outlineLvl w:val="5"/>
    </w:pPr>
    <w:rPr>
      <w:rFonts w:eastAsiaTheme="minorEastAsia"/>
      <w:b/>
      <w:bCs/>
    </w:rPr>
  </w:style>
  <w:style w:type="paragraph" w:styleId="Heading7">
    <w:name w:val="heading 7"/>
    <w:basedOn w:val="Normal"/>
    <w:next w:val="Normal"/>
    <w:uiPriority w:val="4"/>
    <w:semiHidden/>
    <w:unhideWhenUsed/>
    <w:pPr>
      <w:spacing w:before="240" w:after="60"/>
      <w:outlineLvl w:val="6"/>
    </w:pPr>
    <w:rPr>
      <w:rFonts w:eastAsiaTheme="minorEastAsia"/>
      <w:sz w:val="24"/>
      <w:szCs w:val="24"/>
    </w:rPr>
  </w:style>
  <w:style w:type="paragraph" w:styleId="Heading8">
    <w:name w:val="heading 8"/>
    <w:basedOn w:val="Normal"/>
    <w:next w:val="Normal"/>
    <w:uiPriority w:val="4"/>
    <w:semiHidden/>
    <w:unhideWhenUsed/>
    <w:pPr>
      <w:spacing w:before="240" w:after="60"/>
      <w:outlineLvl w:val="7"/>
    </w:pPr>
    <w:rPr>
      <w:rFonts w:eastAsiaTheme="minorEastAsia"/>
      <w:i/>
      <w:iCs/>
      <w:sz w:val="24"/>
      <w:szCs w:val="24"/>
    </w:rPr>
  </w:style>
  <w:style w:type="paragraph" w:styleId="Heading9">
    <w:name w:val="heading 9"/>
    <w:basedOn w:val="Normal"/>
    <w:next w:val="Normal"/>
    <w:uiPriority w:val="4"/>
    <w:semiHidden/>
    <w:unhideWhenUsed/>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pPr>
      <w:spacing w:before="140" w:after="140" w:line="280" w:lineRule="atLeast"/>
    </w:pPr>
    <w:rPr>
      <w:rFonts w:ascii="Arial" w:hAnsi="Arial" w:cs="Arial"/>
      <w:sz w:val="22"/>
      <w:szCs w:val="22"/>
    </w:rPr>
  </w:style>
  <w:style w:type="paragraph" w:customStyle="1" w:styleId="HeadingBase">
    <w:name w:val="Heading Base"/>
    <w:uiPriority w:val="98"/>
    <w:semiHidden/>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style>
  <w:style w:type="paragraph" w:customStyle="1" w:styleId="HeaderBase">
    <w:name w:val="Header Base"/>
    <w:next w:val="Header"/>
    <w:uiPriority w:val="37"/>
    <w:semiHidden/>
    <w:pPr>
      <w:spacing w:line="200" w:lineRule="atLeast"/>
    </w:pPr>
    <w:rPr>
      <w:rFonts w:ascii="Arial" w:hAnsi="Arial" w:cs="Arial"/>
      <w:szCs w:val="22"/>
    </w:rPr>
  </w:style>
  <w:style w:type="paragraph" w:customStyle="1" w:styleId="FooterBase">
    <w:name w:val="Footer Base"/>
    <w:next w:val="Footer"/>
    <w:uiPriority w:val="37"/>
    <w:semiHidden/>
    <w:pPr>
      <w:spacing w:line="200" w:lineRule="atLeast"/>
    </w:pPr>
    <w:rPr>
      <w:rFonts w:ascii="Arial" w:hAnsi="Arial" w:cs="Arial"/>
      <w:sz w:val="16"/>
      <w:szCs w:val="22"/>
    </w:rPr>
  </w:style>
  <w:style w:type="paragraph" w:customStyle="1" w:styleId="1Reference">
    <w:name w:val="1. Reference"/>
    <w:basedOn w:val="PlainParagraph"/>
    <w:uiPriority w:val="19"/>
    <w:pPr>
      <w:spacing w:before="0" w:after="0" w:line="200" w:lineRule="atLeast"/>
    </w:pPr>
    <w:rPr>
      <w:sz w:val="20"/>
    </w:rPr>
  </w:style>
  <w:style w:type="paragraph" w:customStyle="1" w:styleId="2Date">
    <w:name w:val="2. Date"/>
    <w:basedOn w:val="PlainParagraph"/>
    <w:next w:val="3Address"/>
    <w:uiPriority w:val="19"/>
    <w:pPr>
      <w:spacing w:before="280" w:after="420"/>
    </w:pPr>
  </w:style>
  <w:style w:type="paragraph" w:customStyle="1" w:styleId="3Address">
    <w:name w:val="3. Address"/>
    <w:basedOn w:val="PlainParagraph"/>
    <w:uiPriority w:val="19"/>
    <w:pPr>
      <w:keepLines/>
      <w:widowControl w:val="0"/>
      <w:spacing w:before="0" w:after="0"/>
    </w:pPr>
  </w:style>
  <w:style w:type="paragraph" w:customStyle="1" w:styleId="4Addressee">
    <w:name w:val="4. Addressee"/>
    <w:basedOn w:val="PlainParagraph"/>
    <w:next w:val="SubjectTitle"/>
    <w:uiPriority w:val="19"/>
    <w:pPr>
      <w:keepLines/>
      <w:widowControl w:val="0"/>
      <w:spacing w:before="700" w:after="280"/>
    </w:pPr>
  </w:style>
  <w:style w:type="paragraph" w:customStyle="1" w:styleId="SubjectTitle">
    <w:name w:val="Subject/Title"/>
    <w:aliases w:val="S/T"/>
    <w:basedOn w:val="PlainParagraph"/>
    <w:next w:val="PlainParagraph"/>
    <w:uiPriority w:val="10"/>
    <w:qFormat/>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pPr>
      <w:spacing w:before="420" w:after="0"/>
    </w:pPr>
    <w:rPr>
      <w:caps/>
      <w:sz w:val="20"/>
    </w:rPr>
  </w:style>
  <w:style w:type="paragraph" w:customStyle="1" w:styleId="Classificationlegalheader">
    <w:name w:val="Classification legal: header"/>
    <w:basedOn w:val="PlainParagraph"/>
    <w:uiPriority w:val="20"/>
    <w:semiHidden/>
    <w:pPr>
      <w:spacing w:before="0" w:after="0" w:line="200" w:lineRule="atLeast"/>
    </w:pPr>
    <w:rPr>
      <w:caps/>
      <w:sz w:val="20"/>
    </w:rPr>
  </w:style>
  <w:style w:type="paragraph" w:customStyle="1" w:styleId="Classificationsecurityheader">
    <w:name w:val="Classification security: header"/>
    <w:basedOn w:val="PlainParagraph"/>
    <w:uiPriority w:val="20"/>
    <w:semiHidden/>
    <w:pPr>
      <w:spacing w:before="0" w:after="0"/>
    </w:pPr>
    <w:rPr>
      <w:b/>
      <w:caps/>
      <w:color w:val="FFFFFF"/>
      <w:shd w:val="clear" w:color="auto" w:fill="000000"/>
    </w:rPr>
  </w:style>
  <w:style w:type="paragraph" w:customStyle="1" w:styleId="Classificationsecurityfooter">
    <w:name w:val="Classification security: footer"/>
    <w:uiPriority w:val="20"/>
    <w:semiHidden/>
    <w:pPr>
      <w:widowControl w:val="0"/>
      <w:spacing w:line="280" w:lineRule="atLeast"/>
    </w:pPr>
    <w:rPr>
      <w:rFonts w:ascii="Arial" w:hAnsi="Arial" w:cs="Arial"/>
      <w:b/>
      <w:caps/>
      <w:color w:val="FFFFFF"/>
      <w:sz w:val="22"/>
      <w:szCs w:val="22"/>
      <w:shd w:val="clear" w:color="auto" w:fill="000000"/>
    </w:rPr>
  </w:style>
  <w:style w:type="paragraph" w:styleId="Footer">
    <w:name w:val="footer"/>
    <w:basedOn w:val="FooterBase"/>
    <w:link w:val="FooterChar"/>
    <w:uiPriority w:val="99"/>
    <w:pPr>
      <w:tabs>
        <w:tab w:val="right" w:pos="8220"/>
      </w:tabs>
    </w:pPr>
  </w:style>
  <w:style w:type="paragraph" w:customStyle="1" w:styleId="FooterSubject">
    <w:name w:val="Footer Subject"/>
    <w:basedOn w:val="FooterBase"/>
    <w:uiPriority w:val="37"/>
    <w:semiHidden/>
    <w:pPr>
      <w:ind w:right="1417"/>
    </w:pPr>
  </w:style>
  <w:style w:type="paragraph" w:customStyle="1" w:styleId="FooterLandscape">
    <w:name w:val="Footer Landscape"/>
    <w:basedOn w:val="FooterBase"/>
    <w:uiPriority w:val="37"/>
    <w:semiHidden/>
    <w:pPr>
      <w:tabs>
        <w:tab w:val="right" w:pos="13175"/>
      </w:tabs>
    </w:pPr>
  </w:style>
  <w:style w:type="paragraph" w:styleId="Header">
    <w:name w:val="header"/>
    <w:basedOn w:val="HeaderBase"/>
    <w:link w:val="HeaderChar"/>
    <w:uiPriority w:val="99"/>
    <w:pPr>
      <w:tabs>
        <w:tab w:val="right" w:pos="8220"/>
      </w:tabs>
    </w:pPr>
  </w:style>
  <w:style w:type="paragraph" w:customStyle="1" w:styleId="HeaderLandscape">
    <w:name w:val="Header Landscape"/>
    <w:basedOn w:val="HeaderBase"/>
    <w:uiPriority w:val="27"/>
    <w:semiHidden/>
    <w:pPr>
      <w:tabs>
        <w:tab w:val="right" w:pos="13175"/>
      </w:tabs>
    </w:pPr>
  </w:style>
  <w:style w:type="paragraph" w:customStyle="1" w:styleId="DraftinHeader">
    <w:name w:val="Draft in Header"/>
    <w:basedOn w:val="HeaderBase"/>
    <w:uiPriority w:val="37"/>
    <w:semiHidden/>
    <w:pPr>
      <w:tabs>
        <w:tab w:val="right" w:pos="8220"/>
      </w:tabs>
    </w:pPr>
  </w:style>
  <w:style w:type="paragraph" w:customStyle="1" w:styleId="Sig1Salutation">
    <w:name w:val="Sig. 1 Salutation"/>
    <w:basedOn w:val="PlainParagraph"/>
    <w:uiPriority w:val="19"/>
    <w:pPr>
      <w:keepNext/>
      <w:widowControl w:val="0"/>
    </w:pPr>
  </w:style>
  <w:style w:type="paragraph" w:customStyle="1" w:styleId="Sig2Officer">
    <w:name w:val="Sig. 2 Officer"/>
    <w:basedOn w:val="PlainParagraph"/>
    <w:uiPriority w:val="19"/>
    <w:pPr>
      <w:keepNext/>
      <w:widowControl w:val="0"/>
      <w:tabs>
        <w:tab w:val="left" w:pos="4535"/>
      </w:tabs>
      <w:spacing w:before="0" w:after="0"/>
    </w:pPr>
    <w:rPr>
      <w:b/>
    </w:rPr>
  </w:style>
  <w:style w:type="paragraph" w:customStyle="1" w:styleId="Sig3Title">
    <w:name w:val="Sig. 3 Title"/>
    <w:basedOn w:val="PlainParagraph"/>
    <w:uiPriority w:val="19"/>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pPr>
      <w:keepNext/>
      <w:keepLines/>
      <w:spacing w:before="0" w:after="420"/>
    </w:pPr>
    <w:rPr>
      <w:caps/>
    </w:rPr>
  </w:style>
  <w:style w:type="paragraph" w:customStyle="1" w:styleId="ContentsHeading">
    <w:name w:val="Contents Heading"/>
    <w:basedOn w:val="HeadingBase"/>
    <w:next w:val="PlainParagraph"/>
    <w:uiPriority w:val="10"/>
    <w:pPr>
      <w:keepNext/>
      <w:keepLines/>
      <w:spacing w:before="0" w:after="280"/>
    </w:pPr>
    <w:rPr>
      <w:b/>
      <w:caps/>
    </w:rPr>
  </w:style>
  <w:style w:type="paragraph" w:customStyle="1" w:styleId="Leg1SecHead1">
    <w:name w:val="Leg1 Sec Head: 1."/>
    <w:aliases w:val="L1"/>
    <w:basedOn w:val="PlainParagraph"/>
    <w:uiPriority w:val="5"/>
    <w:qFormat/>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pPr>
      <w:spacing w:before="60" w:after="60" w:line="260" w:lineRule="atLeast"/>
      <w:ind w:left="1276" w:right="567" w:hanging="425"/>
    </w:pPr>
    <w:rPr>
      <w:sz w:val="20"/>
    </w:rPr>
  </w:style>
  <w:style w:type="paragraph" w:customStyle="1" w:styleId="Leg5Paraa">
    <w:name w:val="Leg5 Para: (a)"/>
    <w:aliases w:val="L5"/>
    <w:basedOn w:val="PlainParagraph"/>
    <w:uiPriority w:val="5"/>
    <w:qFormat/>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pPr>
      <w:tabs>
        <w:tab w:val="left" w:pos="425"/>
        <w:tab w:val="left" w:pos="850"/>
      </w:tabs>
      <w:spacing w:before="0"/>
      <w:ind w:left="850" w:hanging="850"/>
    </w:pPr>
  </w:style>
  <w:style w:type="paragraph" w:customStyle="1" w:styleId="QAText">
    <w:name w:val="Q&amp;A: Text"/>
    <w:basedOn w:val="PlainParagraph"/>
    <w:uiPriority w:val="7"/>
    <w:semiHidden/>
    <w:pPr>
      <w:keepNext/>
      <w:widowControl w:val="0"/>
      <w:ind w:left="425"/>
    </w:pPr>
    <w:rPr>
      <w:i/>
    </w:rPr>
  </w:style>
  <w:style w:type="paragraph" w:customStyle="1" w:styleId="Quotation">
    <w:name w:val="Quotation"/>
    <w:basedOn w:val="PlainParagraph"/>
    <w:uiPriority w:val="9"/>
    <w:semiHidden/>
    <w:pPr>
      <w:numPr>
        <w:numId w:val="29"/>
      </w:numPr>
      <w:spacing w:before="0" w:line="260" w:lineRule="atLeast"/>
    </w:pPr>
    <w:rPr>
      <w:sz w:val="20"/>
    </w:rPr>
  </w:style>
  <w:style w:type="paragraph" w:customStyle="1" w:styleId="Quotation1">
    <w:name w:val="Quotation 1"/>
    <w:aliases w:val="&quot;Q&quot;"/>
    <w:basedOn w:val="PlainParagraph"/>
    <w:uiPriority w:val="9"/>
    <w:qFormat/>
    <w:pPr>
      <w:numPr>
        <w:ilvl w:val="1"/>
        <w:numId w:val="29"/>
      </w:numPr>
      <w:spacing w:before="0" w:line="260" w:lineRule="atLeast"/>
    </w:pPr>
    <w:rPr>
      <w:sz w:val="20"/>
    </w:rPr>
  </w:style>
  <w:style w:type="paragraph" w:customStyle="1" w:styleId="Quotation2">
    <w:name w:val="Quotation 2"/>
    <w:basedOn w:val="PlainParagraph"/>
    <w:uiPriority w:val="9"/>
    <w:semiHidden/>
    <w:pPr>
      <w:numPr>
        <w:ilvl w:val="2"/>
        <w:numId w:val="29"/>
      </w:numPr>
      <w:spacing w:before="0" w:line="260" w:lineRule="atLeast"/>
    </w:pPr>
    <w:rPr>
      <w:sz w:val="20"/>
    </w:rPr>
  </w:style>
  <w:style w:type="paragraph" w:customStyle="1" w:styleId="Quotation3">
    <w:name w:val="Quotation 3"/>
    <w:basedOn w:val="PlainParagraph"/>
    <w:uiPriority w:val="9"/>
    <w:semiHidden/>
    <w:pPr>
      <w:numPr>
        <w:ilvl w:val="3"/>
        <w:numId w:val="29"/>
      </w:numPr>
      <w:spacing w:before="0" w:line="260" w:lineRule="atLeast"/>
    </w:pPr>
    <w:rPr>
      <w:sz w:val="20"/>
    </w:rPr>
  </w:style>
  <w:style w:type="paragraph" w:customStyle="1" w:styleId="Quotation4">
    <w:name w:val="Quotation 4"/>
    <w:basedOn w:val="PlainParagraph"/>
    <w:uiPriority w:val="9"/>
    <w:semiHidden/>
    <w:pPr>
      <w:numPr>
        <w:ilvl w:val="4"/>
        <w:numId w:val="29"/>
      </w:numPr>
      <w:spacing w:before="0" w:line="260" w:lineRule="atLeast"/>
    </w:pPr>
    <w:rPr>
      <w:sz w:val="20"/>
    </w:rPr>
  </w:style>
  <w:style w:type="paragraph" w:customStyle="1" w:styleId="Quotation5">
    <w:name w:val="Quotation 5"/>
    <w:basedOn w:val="PlainParagraph"/>
    <w:uiPriority w:val="9"/>
    <w:semiHidden/>
    <w:pPr>
      <w:numPr>
        <w:ilvl w:val="5"/>
        <w:numId w:val="29"/>
      </w:numPr>
      <w:spacing w:before="0" w:line="260" w:lineRule="atLeast"/>
    </w:pPr>
    <w:rPr>
      <w:sz w:val="20"/>
    </w:rPr>
  </w:style>
  <w:style w:type="paragraph" w:customStyle="1" w:styleId="Quotation6">
    <w:name w:val="Quotation 6"/>
    <w:basedOn w:val="PlainParagraph"/>
    <w:uiPriority w:val="9"/>
    <w:semiHidden/>
    <w:pPr>
      <w:numPr>
        <w:ilvl w:val="6"/>
        <w:numId w:val="29"/>
      </w:numPr>
      <w:spacing w:before="0" w:line="260" w:lineRule="atLeast"/>
    </w:pPr>
    <w:rPr>
      <w:sz w:val="20"/>
    </w:rPr>
  </w:style>
  <w:style w:type="paragraph" w:customStyle="1" w:styleId="Quotation7">
    <w:name w:val="Quotation 7"/>
    <w:basedOn w:val="PlainParagraph"/>
    <w:uiPriority w:val="9"/>
    <w:semiHidden/>
    <w:pPr>
      <w:numPr>
        <w:ilvl w:val="7"/>
        <w:numId w:val="29"/>
      </w:numPr>
      <w:spacing w:before="0" w:line="260" w:lineRule="atLeast"/>
    </w:pPr>
    <w:rPr>
      <w:sz w:val="20"/>
    </w:rPr>
  </w:style>
  <w:style w:type="paragraph" w:customStyle="1" w:styleId="Quotation8">
    <w:name w:val="Quotation 8"/>
    <w:basedOn w:val="PlainParagraph"/>
    <w:uiPriority w:val="9"/>
    <w:semiHidden/>
    <w:pPr>
      <w:numPr>
        <w:ilvl w:val="8"/>
        <w:numId w:val="29"/>
      </w:numPr>
      <w:spacing w:before="0" w:line="260" w:lineRule="atLeast"/>
    </w:pPr>
    <w:rPr>
      <w:sz w:val="20"/>
    </w:rPr>
  </w:style>
  <w:style w:type="paragraph" w:customStyle="1" w:styleId="NumberLevel1">
    <w:name w:val="Number Level 1"/>
    <w:aliases w:val="N1"/>
    <w:basedOn w:val="PlainParagraph"/>
    <w:uiPriority w:val="1"/>
    <w:qFormat/>
    <w:pPr>
      <w:numPr>
        <w:numId w:val="24"/>
      </w:numPr>
    </w:pPr>
  </w:style>
  <w:style w:type="paragraph" w:customStyle="1" w:styleId="NumberLevel2">
    <w:name w:val="Number Level 2"/>
    <w:aliases w:val="N2"/>
    <w:basedOn w:val="PlainParagraph"/>
    <w:uiPriority w:val="1"/>
    <w:qFormat/>
    <w:pPr>
      <w:numPr>
        <w:ilvl w:val="1"/>
        <w:numId w:val="24"/>
      </w:numPr>
    </w:pPr>
  </w:style>
  <w:style w:type="paragraph" w:customStyle="1" w:styleId="NumberLevel3">
    <w:name w:val="Number Level 3"/>
    <w:aliases w:val="N3"/>
    <w:basedOn w:val="PlainParagraph"/>
    <w:uiPriority w:val="1"/>
    <w:qFormat/>
    <w:pPr>
      <w:numPr>
        <w:ilvl w:val="2"/>
        <w:numId w:val="24"/>
      </w:numPr>
    </w:pPr>
  </w:style>
  <w:style w:type="paragraph" w:customStyle="1" w:styleId="NumberLevel4">
    <w:name w:val="Number Level 4"/>
    <w:aliases w:val="N4"/>
    <w:basedOn w:val="PlainParagraph"/>
    <w:uiPriority w:val="1"/>
    <w:qFormat/>
    <w:pPr>
      <w:numPr>
        <w:ilvl w:val="3"/>
        <w:numId w:val="24"/>
      </w:numPr>
      <w:spacing w:before="0"/>
    </w:pPr>
  </w:style>
  <w:style w:type="paragraph" w:customStyle="1" w:styleId="NumberLevel5">
    <w:name w:val="Number Level 5"/>
    <w:aliases w:val="N5"/>
    <w:basedOn w:val="PlainParagraph"/>
    <w:uiPriority w:val="1"/>
    <w:pPr>
      <w:numPr>
        <w:ilvl w:val="4"/>
        <w:numId w:val="24"/>
      </w:numPr>
      <w:spacing w:before="0"/>
    </w:pPr>
  </w:style>
  <w:style w:type="paragraph" w:customStyle="1" w:styleId="NumberLevel6">
    <w:name w:val="Number Level 6"/>
    <w:basedOn w:val="NumberLevel5"/>
    <w:uiPriority w:val="1"/>
    <w:pPr>
      <w:numPr>
        <w:ilvl w:val="5"/>
      </w:numPr>
    </w:pPr>
  </w:style>
  <w:style w:type="paragraph" w:customStyle="1" w:styleId="NumberLevel7">
    <w:name w:val="Number Level 7"/>
    <w:basedOn w:val="NumberLevel6"/>
    <w:uiPriority w:val="1"/>
    <w:pPr>
      <w:numPr>
        <w:ilvl w:val="6"/>
      </w:numPr>
    </w:pPr>
  </w:style>
  <w:style w:type="paragraph" w:customStyle="1" w:styleId="NumberLevel8">
    <w:name w:val="Number Level 8"/>
    <w:basedOn w:val="NumberLevel7"/>
    <w:uiPriority w:val="1"/>
    <w:pPr>
      <w:numPr>
        <w:ilvl w:val="7"/>
      </w:numPr>
    </w:pPr>
  </w:style>
  <w:style w:type="paragraph" w:customStyle="1" w:styleId="NumberLevel9">
    <w:name w:val="Number Level 9"/>
    <w:basedOn w:val="NumberLevel8"/>
    <w:uiPriority w:val="1"/>
    <w:pPr>
      <w:numPr>
        <w:ilvl w:val="8"/>
      </w:numPr>
    </w:pPr>
  </w:style>
  <w:style w:type="paragraph" w:customStyle="1" w:styleId="DashEm">
    <w:name w:val="Dash: Em"/>
    <w:basedOn w:val="PlainParagraph"/>
    <w:uiPriority w:val="3"/>
    <w:semiHidden/>
    <w:pPr>
      <w:numPr>
        <w:ilvl w:val="1"/>
        <w:numId w:val="23"/>
      </w:numPr>
      <w:spacing w:before="0"/>
    </w:pPr>
  </w:style>
  <w:style w:type="paragraph" w:customStyle="1" w:styleId="DashEm1">
    <w:name w:val="Dash: Em 1"/>
    <w:aliases w:val="-EM"/>
    <w:basedOn w:val="PlainParagraph"/>
    <w:link w:val="DashEm1Char"/>
    <w:uiPriority w:val="3"/>
    <w:semiHidden/>
    <w:pPr>
      <w:numPr>
        <w:numId w:val="23"/>
      </w:numPr>
      <w:spacing w:before="0"/>
    </w:pPr>
  </w:style>
  <w:style w:type="paragraph" w:customStyle="1" w:styleId="DashEn1">
    <w:name w:val="Dash: En 1"/>
    <w:aliases w:val="-EN"/>
    <w:basedOn w:val="DashEm"/>
    <w:link w:val="DashEn1Char"/>
    <w:uiPriority w:val="3"/>
    <w:qFormat/>
    <w:pPr>
      <w:numPr>
        <w:ilvl w:val="2"/>
      </w:numPr>
    </w:pPr>
  </w:style>
  <w:style w:type="paragraph" w:customStyle="1" w:styleId="DashEn2">
    <w:name w:val="Dash: En 2"/>
    <w:basedOn w:val="DashEn1"/>
    <w:uiPriority w:val="3"/>
    <w:semiHidden/>
    <w:pPr>
      <w:numPr>
        <w:ilvl w:val="3"/>
      </w:numPr>
    </w:pPr>
  </w:style>
  <w:style w:type="paragraph" w:customStyle="1" w:styleId="DashEn3">
    <w:name w:val="Dash: En 3"/>
    <w:basedOn w:val="DashEn2"/>
    <w:uiPriority w:val="3"/>
    <w:semiHidden/>
    <w:pPr>
      <w:numPr>
        <w:ilvl w:val="4"/>
      </w:numPr>
    </w:pPr>
  </w:style>
  <w:style w:type="paragraph" w:customStyle="1" w:styleId="DashEn4">
    <w:name w:val="Dash: En 4"/>
    <w:basedOn w:val="DashEn3"/>
    <w:uiPriority w:val="3"/>
    <w:semiHidden/>
    <w:pPr>
      <w:numPr>
        <w:ilvl w:val="5"/>
      </w:numPr>
    </w:pPr>
  </w:style>
  <w:style w:type="paragraph" w:customStyle="1" w:styleId="DashEn5">
    <w:name w:val="Dash: En 5"/>
    <w:basedOn w:val="DashEn4"/>
    <w:uiPriority w:val="3"/>
    <w:semiHidden/>
    <w:pPr>
      <w:numPr>
        <w:ilvl w:val="6"/>
      </w:numPr>
    </w:pPr>
  </w:style>
  <w:style w:type="paragraph" w:customStyle="1" w:styleId="DashEn6">
    <w:name w:val="Dash: En 6"/>
    <w:basedOn w:val="DashEn5"/>
    <w:uiPriority w:val="3"/>
    <w:semiHidden/>
    <w:pPr>
      <w:numPr>
        <w:ilvl w:val="7"/>
      </w:numPr>
    </w:pPr>
  </w:style>
  <w:style w:type="paragraph" w:customStyle="1" w:styleId="DashEn7">
    <w:name w:val="Dash: En 7"/>
    <w:basedOn w:val="DashEn6"/>
    <w:uiPriority w:val="3"/>
    <w:semiHidden/>
    <w:pPr>
      <w:numPr>
        <w:ilvl w:val="8"/>
      </w:numPr>
    </w:pPr>
  </w:style>
  <w:style w:type="paragraph" w:customStyle="1" w:styleId="IndentHanging">
    <w:name w:val="Indent: Hanging"/>
    <w:aliases w:val="--&gt;H"/>
    <w:basedOn w:val="PlainParagraph"/>
    <w:uiPriority w:val="9"/>
    <w:qFormat/>
    <w:pPr>
      <w:numPr>
        <w:numId w:val="28"/>
      </w:numPr>
      <w:spacing w:before="0"/>
    </w:pPr>
  </w:style>
  <w:style w:type="paragraph" w:customStyle="1" w:styleId="IndentHanging1">
    <w:name w:val="Indent: Hanging 1"/>
    <w:basedOn w:val="IndentHanging"/>
    <w:uiPriority w:val="4"/>
    <w:semiHidden/>
    <w:pPr>
      <w:numPr>
        <w:ilvl w:val="1"/>
      </w:numPr>
    </w:pPr>
  </w:style>
  <w:style w:type="paragraph" w:customStyle="1" w:styleId="IndentHanging2">
    <w:name w:val="Indent: Hanging 2"/>
    <w:basedOn w:val="IndentHanging1"/>
    <w:uiPriority w:val="4"/>
    <w:semiHidden/>
    <w:pPr>
      <w:numPr>
        <w:ilvl w:val="2"/>
      </w:numPr>
    </w:pPr>
  </w:style>
  <w:style w:type="paragraph" w:customStyle="1" w:styleId="IndentHanging3">
    <w:name w:val="Indent: Hanging 3"/>
    <w:basedOn w:val="IndentHanging2"/>
    <w:uiPriority w:val="4"/>
    <w:semiHidden/>
    <w:pPr>
      <w:numPr>
        <w:ilvl w:val="3"/>
      </w:numPr>
    </w:pPr>
  </w:style>
  <w:style w:type="paragraph" w:customStyle="1" w:styleId="IndentHanging4">
    <w:name w:val="Indent: Hanging 4"/>
    <w:basedOn w:val="IndentHanging3"/>
    <w:uiPriority w:val="4"/>
    <w:semiHidden/>
    <w:pPr>
      <w:numPr>
        <w:ilvl w:val="4"/>
      </w:numPr>
    </w:pPr>
  </w:style>
  <w:style w:type="paragraph" w:customStyle="1" w:styleId="IndentHanging5">
    <w:name w:val="Indent: Hanging 5"/>
    <w:basedOn w:val="IndentHanging4"/>
    <w:uiPriority w:val="4"/>
    <w:semiHidden/>
    <w:pPr>
      <w:numPr>
        <w:ilvl w:val="5"/>
      </w:numPr>
    </w:pPr>
  </w:style>
  <w:style w:type="paragraph" w:customStyle="1" w:styleId="IndentHanging6">
    <w:name w:val="Indent: Hanging 6"/>
    <w:basedOn w:val="IndentHanging5"/>
    <w:uiPriority w:val="4"/>
    <w:semiHidden/>
    <w:pPr>
      <w:numPr>
        <w:ilvl w:val="6"/>
      </w:numPr>
    </w:pPr>
  </w:style>
  <w:style w:type="paragraph" w:customStyle="1" w:styleId="IndentHanging7">
    <w:name w:val="Indent: Hanging 7"/>
    <w:basedOn w:val="IndentHanging6"/>
    <w:uiPriority w:val="4"/>
    <w:semiHidden/>
    <w:pPr>
      <w:numPr>
        <w:ilvl w:val="7"/>
      </w:numPr>
    </w:pPr>
  </w:style>
  <w:style w:type="paragraph" w:customStyle="1" w:styleId="IndentHanging8">
    <w:name w:val="Indent: Hanging 8"/>
    <w:basedOn w:val="IndentHanging7"/>
    <w:uiPriority w:val="4"/>
    <w:semiHidden/>
    <w:pPr>
      <w:numPr>
        <w:ilvl w:val="8"/>
      </w:numPr>
    </w:pPr>
  </w:style>
  <w:style w:type="paragraph" w:customStyle="1" w:styleId="IndentFull">
    <w:name w:val="Indent: Full"/>
    <w:aliases w:val="--&gt;F"/>
    <w:basedOn w:val="PlainParagraph"/>
    <w:uiPriority w:val="9"/>
    <w:qFormat/>
    <w:pPr>
      <w:numPr>
        <w:numId w:val="27"/>
      </w:numPr>
      <w:spacing w:before="0"/>
    </w:pPr>
  </w:style>
  <w:style w:type="paragraph" w:customStyle="1" w:styleId="IndentFull1">
    <w:name w:val="Indent: Full 1"/>
    <w:basedOn w:val="IndentFull"/>
    <w:uiPriority w:val="4"/>
    <w:semiHidden/>
    <w:pPr>
      <w:numPr>
        <w:ilvl w:val="1"/>
      </w:numPr>
    </w:pPr>
  </w:style>
  <w:style w:type="paragraph" w:customStyle="1" w:styleId="IndentFull2">
    <w:name w:val="Indent: Full 2"/>
    <w:basedOn w:val="IndentFull1"/>
    <w:uiPriority w:val="4"/>
    <w:semiHidden/>
    <w:pPr>
      <w:numPr>
        <w:ilvl w:val="2"/>
      </w:numPr>
    </w:pPr>
  </w:style>
  <w:style w:type="paragraph" w:customStyle="1" w:styleId="IndentFull3">
    <w:name w:val="Indent: Full 3"/>
    <w:basedOn w:val="IndentFull2"/>
    <w:uiPriority w:val="4"/>
    <w:semiHidden/>
    <w:pPr>
      <w:numPr>
        <w:ilvl w:val="3"/>
      </w:numPr>
    </w:pPr>
  </w:style>
  <w:style w:type="paragraph" w:customStyle="1" w:styleId="IndentFull4">
    <w:name w:val="Indent: Full 4"/>
    <w:basedOn w:val="IndentFull3"/>
    <w:uiPriority w:val="4"/>
    <w:semiHidden/>
    <w:pPr>
      <w:numPr>
        <w:ilvl w:val="4"/>
      </w:numPr>
    </w:pPr>
  </w:style>
  <w:style w:type="paragraph" w:customStyle="1" w:styleId="IndentFull5">
    <w:name w:val="Indent: Full 5"/>
    <w:basedOn w:val="IndentFull4"/>
    <w:uiPriority w:val="4"/>
    <w:semiHidden/>
    <w:pPr>
      <w:numPr>
        <w:ilvl w:val="5"/>
      </w:numPr>
    </w:pPr>
  </w:style>
  <w:style w:type="paragraph" w:customStyle="1" w:styleId="IndentFull6">
    <w:name w:val="Indent: Full 6"/>
    <w:basedOn w:val="IndentFull5"/>
    <w:uiPriority w:val="4"/>
    <w:semiHidden/>
    <w:pPr>
      <w:numPr>
        <w:ilvl w:val="6"/>
      </w:numPr>
    </w:pPr>
  </w:style>
  <w:style w:type="paragraph" w:customStyle="1" w:styleId="IndentFull7">
    <w:name w:val="Indent: Full 7"/>
    <w:basedOn w:val="IndentFull6"/>
    <w:uiPriority w:val="4"/>
    <w:semiHidden/>
    <w:pPr>
      <w:numPr>
        <w:ilvl w:val="7"/>
      </w:numPr>
    </w:pPr>
  </w:style>
  <w:style w:type="paragraph" w:customStyle="1" w:styleId="IndentFull8">
    <w:name w:val="Indent: Full 8"/>
    <w:basedOn w:val="IndentFull7"/>
    <w:uiPriority w:val="4"/>
    <w:semiHidden/>
    <w:pPr>
      <w:numPr>
        <w:ilvl w:val="8"/>
      </w:numPr>
    </w:pPr>
  </w:style>
  <w:style w:type="paragraph" w:customStyle="1" w:styleId="NumberedList1">
    <w:name w:val="Numbered List: 1)"/>
    <w:basedOn w:val="PlainParagraph"/>
    <w:uiPriority w:val="4"/>
    <w:semiHidden/>
    <w:pPr>
      <w:numPr>
        <w:numId w:val="25"/>
      </w:numPr>
      <w:spacing w:before="0"/>
    </w:pPr>
  </w:style>
  <w:style w:type="paragraph" w:customStyle="1" w:styleId="NumberedList11">
    <w:name w:val="Numbered List: 1) 1"/>
    <w:aliases w:val="1)"/>
    <w:basedOn w:val="NumberedList1"/>
    <w:uiPriority w:val="8"/>
    <w:qFormat/>
    <w:pPr>
      <w:numPr>
        <w:ilvl w:val="1"/>
      </w:numPr>
    </w:pPr>
  </w:style>
  <w:style w:type="paragraph" w:customStyle="1" w:styleId="NumberedList12">
    <w:name w:val="Numbered List: 1) 2"/>
    <w:basedOn w:val="NumberedList11"/>
    <w:uiPriority w:val="4"/>
    <w:semiHidden/>
    <w:pPr>
      <w:numPr>
        <w:ilvl w:val="2"/>
      </w:numPr>
    </w:pPr>
  </w:style>
  <w:style w:type="paragraph" w:customStyle="1" w:styleId="NumberedList13">
    <w:name w:val="Numbered List: 1) 3"/>
    <w:basedOn w:val="NumberedList12"/>
    <w:uiPriority w:val="4"/>
    <w:semiHidden/>
    <w:pPr>
      <w:numPr>
        <w:ilvl w:val="3"/>
      </w:numPr>
    </w:pPr>
  </w:style>
  <w:style w:type="paragraph" w:customStyle="1" w:styleId="NumberedList14">
    <w:name w:val="Numbered List: 1) 4"/>
    <w:basedOn w:val="NumberedList13"/>
    <w:uiPriority w:val="4"/>
    <w:semiHidden/>
    <w:pPr>
      <w:numPr>
        <w:ilvl w:val="4"/>
      </w:numPr>
    </w:pPr>
  </w:style>
  <w:style w:type="paragraph" w:customStyle="1" w:styleId="NumberedList15">
    <w:name w:val="Numbered List: 1) 5"/>
    <w:basedOn w:val="NumberedList14"/>
    <w:uiPriority w:val="4"/>
    <w:semiHidden/>
    <w:pPr>
      <w:numPr>
        <w:ilvl w:val="5"/>
      </w:numPr>
    </w:pPr>
  </w:style>
  <w:style w:type="paragraph" w:customStyle="1" w:styleId="NumberedList16">
    <w:name w:val="Numbered List: 1) 6"/>
    <w:basedOn w:val="NumberedList15"/>
    <w:uiPriority w:val="4"/>
    <w:semiHidden/>
    <w:pPr>
      <w:numPr>
        <w:ilvl w:val="6"/>
      </w:numPr>
    </w:pPr>
  </w:style>
  <w:style w:type="paragraph" w:customStyle="1" w:styleId="NumberedList17">
    <w:name w:val="Numbered List: 1) 7"/>
    <w:basedOn w:val="NumberedList16"/>
    <w:uiPriority w:val="4"/>
    <w:semiHidden/>
    <w:pPr>
      <w:numPr>
        <w:ilvl w:val="7"/>
      </w:numPr>
    </w:pPr>
  </w:style>
  <w:style w:type="paragraph" w:customStyle="1" w:styleId="NumberedList18">
    <w:name w:val="Numbered List: 1) 8"/>
    <w:basedOn w:val="NumberedList17"/>
    <w:uiPriority w:val="4"/>
    <w:semiHidden/>
    <w:pPr>
      <w:numPr>
        <w:ilvl w:val="8"/>
      </w:numPr>
    </w:pPr>
  </w:style>
  <w:style w:type="paragraph" w:customStyle="1" w:styleId="NumberedLista">
    <w:name w:val="Numbered List: a)"/>
    <w:basedOn w:val="PlainParagraph"/>
    <w:uiPriority w:val="4"/>
    <w:semiHidden/>
    <w:pPr>
      <w:numPr>
        <w:numId w:val="26"/>
      </w:numPr>
      <w:spacing w:before="0"/>
    </w:pPr>
  </w:style>
  <w:style w:type="paragraph" w:customStyle="1" w:styleId="NumberedLista1">
    <w:name w:val="Numbered List: a) 1"/>
    <w:aliases w:val="a)"/>
    <w:basedOn w:val="NumberedLista"/>
    <w:uiPriority w:val="8"/>
    <w:qFormat/>
    <w:pPr>
      <w:numPr>
        <w:ilvl w:val="1"/>
      </w:numPr>
    </w:pPr>
  </w:style>
  <w:style w:type="paragraph" w:customStyle="1" w:styleId="NumberedLista2">
    <w:name w:val="Numbered List: a) 2"/>
    <w:basedOn w:val="NumberedLista1"/>
    <w:uiPriority w:val="4"/>
    <w:semiHidden/>
    <w:pPr>
      <w:numPr>
        <w:ilvl w:val="2"/>
      </w:numPr>
    </w:pPr>
  </w:style>
  <w:style w:type="paragraph" w:customStyle="1" w:styleId="NumberedLista3">
    <w:name w:val="Numbered List: a) 3"/>
    <w:basedOn w:val="NumberedLista2"/>
    <w:uiPriority w:val="4"/>
    <w:semiHidden/>
    <w:pPr>
      <w:numPr>
        <w:ilvl w:val="3"/>
      </w:numPr>
    </w:pPr>
  </w:style>
  <w:style w:type="paragraph" w:customStyle="1" w:styleId="NumberedLista4">
    <w:name w:val="Numbered List: a) 4"/>
    <w:basedOn w:val="NumberedLista3"/>
    <w:uiPriority w:val="4"/>
    <w:semiHidden/>
    <w:pPr>
      <w:numPr>
        <w:ilvl w:val="4"/>
      </w:numPr>
    </w:pPr>
  </w:style>
  <w:style w:type="paragraph" w:customStyle="1" w:styleId="NumberedLista5">
    <w:name w:val="Numbered List: a) 5"/>
    <w:basedOn w:val="NumberedLista4"/>
    <w:uiPriority w:val="4"/>
    <w:semiHidden/>
    <w:pPr>
      <w:numPr>
        <w:ilvl w:val="5"/>
      </w:numPr>
    </w:pPr>
  </w:style>
  <w:style w:type="paragraph" w:customStyle="1" w:styleId="NumberedLista6">
    <w:name w:val="Numbered List: a) 6"/>
    <w:basedOn w:val="NumberedLista5"/>
    <w:uiPriority w:val="4"/>
    <w:semiHidden/>
    <w:pPr>
      <w:numPr>
        <w:ilvl w:val="6"/>
      </w:numPr>
    </w:pPr>
  </w:style>
  <w:style w:type="paragraph" w:customStyle="1" w:styleId="NumberedLista7">
    <w:name w:val="Numbered List: a) 7"/>
    <w:basedOn w:val="NumberedLista6"/>
    <w:uiPriority w:val="4"/>
    <w:semiHidden/>
    <w:pPr>
      <w:numPr>
        <w:ilvl w:val="7"/>
      </w:numPr>
    </w:pPr>
  </w:style>
  <w:style w:type="paragraph" w:customStyle="1" w:styleId="NumberedLista8">
    <w:name w:val="Numbered List: a) 8"/>
    <w:basedOn w:val="NumberedLista7"/>
    <w:uiPriority w:val="4"/>
    <w:semiHidden/>
    <w:pPr>
      <w:numPr>
        <w:ilvl w:val="8"/>
      </w:numPr>
    </w:pPr>
  </w:style>
  <w:style w:type="paragraph" w:styleId="FootnoteText">
    <w:name w:val="footnote text"/>
    <w:basedOn w:val="PlainParagraph"/>
    <w:link w:val="FootnoteTextChar"/>
    <w:uiPriority w:val="99"/>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99"/>
    <w:rPr>
      <w:rFonts w:ascii="Arial" w:hAnsi="Arial" w:cs="Arial"/>
      <w:b w:val="0"/>
      <w:i w:val="0"/>
      <w:sz w:val="22"/>
      <w:vertAlign w:val="superscript"/>
    </w:rPr>
  </w:style>
  <w:style w:type="character" w:styleId="EndnoteReference">
    <w:name w:val="endnote reference"/>
    <w:basedOn w:val="DefaultParagraphFont"/>
    <w:uiPriority w:val="31"/>
    <w:rPr>
      <w:rFonts w:ascii="Arial" w:hAnsi="Arial" w:cs="Arial"/>
      <w:b w:val="0"/>
      <w:i w:val="0"/>
      <w:sz w:val="22"/>
      <w:vertAlign w:val="superscript"/>
    </w:rPr>
  </w:style>
  <w:style w:type="character" w:styleId="PageNumber">
    <w:name w:val="page number"/>
    <w:basedOn w:val="DefaultParagraphFont"/>
    <w:uiPriority w:val="34"/>
    <w:semiHidden/>
    <w:rPr>
      <w:rFonts w:ascii="Arial" w:hAnsi="Arial" w:cs="Arial"/>
      <w:b w:val="0"/>
      <w:i w:val="0"/>
      <w:sz w:val="16"/>
    </w:rPr>
  </w:style>
  <w:style w:type="character" w:styleId="Hyperlink">
    <w:name w:val="Hyperlink"/>
    <w:basedOn w:val="DefaultParagraphFont"/>
    <w:uiPriority w:val="99"/>
    <w:rPr>
      <w:rFonts w:ascii="Arial" w:hAnsi="Arial" w:cs="Arial"/>
      <w:color w:val="0000FF"/>
      <w:u w:val="single" w:color="0000FF"/>
    </w:rPr>
  </w:style>
  <w:style w:type="paragraph" w:styleId="TOC1">
    <w:name w:val="toc 1"/>
    <w:next w:val="Normal"/>
    <w:autoRedefine/>
    <w:uiPriority w:val="39"/>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9"/>
    <w:pPr>
      <w:pBdr>
        <w:bottom w:val="none" w:sz="0" w:space="0" w:color="auto"/>
      </w:pBdr>
      <w:spacing w:before="60"/>
    </w:pPr>
    <w:rPr>
      <w:b w:val="0"/>
    </w:rPr>
  </w:style>
  <w:style w:type="paragraph" w:styleId="TOC3">
    <w:name w:val="toc 3"/>
    <w:basedOn w:val="TOC2"/>
    <w:next w:val="Normal"/>
    <w:autoRedefine/>
    <w:uiPriority w:val="39"/>
    <w:pPr>
      <w:ind w:left="425" w:hanging="425"/>
    </w:pPr>
  </w:style>
  <w:style w:type="paragraph" w:customStyle="1" w:styleId="Notes-client">
    <w:name w:val="Notes - client"/>
    <w:aliases w:val="N Client"/>
    <w:basedOn w:val="PlainParagraph"/>
    <w:uiPriority w:val="6"/>
    <w:qFormat/>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Pr>
      <w:vanish/>
      <w:color w:val="0000FF"/>
    </w:rPr>
  </w:style>
  <w:style w:type="paragraph" w:customStyle="1" w:styleId="TablePlainParagraph">
    <w:name w:val="Table: Plain Paragraph"/>
    <w:aliases w:val="Table PP"/>
    <w:basedOn w:val="PlainParagraph"/>
    <w:uiPriority w:val="11"/>
    <w:qFormat/>
    <w:pPr>
      <w:spacing w:before="60" w:after="60" w:line="240" w:lineRule="atLeast"/>
    </w:pPr>
    <w:rPr>
      <w:sz w:val="20"/>
    </w:rPr>
  </w:style>
  <w:style w:type="paragraph" w:customStyle="1" w:styleId="TableHeading1">
    <w:name w:val="Table: Heading 1"/>
    <w:basedOn w:val="PlainParagraph"/>
    <w:uiPriority w:val="12"/>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pPr>
      <w:keepNext/>
      <w:keepLines/>
      <w:spacing w:before="60" w:line="240" w:lineRule="atLeast"/>
    </w:pPr>
    <w:rPr>
      <w:b/>
    </w:rPr>
  </w:style>
  <w:style w:type="paragraph" w:customStyle="1" w:styleId="TableHeading3">
    <w:name w:val="Table: Heading 3"/>
    <w:basedOn w:val="HeadingBase"/>
    <w:next w:val="TablePlainParagraph"/>
    <w:uiPriority w:val="12"/>
    <w:pPr>
      <w:keepNext/>
      <w:keepLines/>
      <w:spacing w:before="60" w:line="240" w:lineRule="atLeast"/>
    </w:pPr>
    <w:rPr>
      <w:b/>
      <w:i/>
    </w:rPr>
  </w:style>
  <w:style w:type="paragraph" w:customStyle="1" w:styleId="TableHeading4">
    <w:name w:val="Table: Heading 4"/>
    <w:basedOn w:val="HeadingBase"/>
    <w:next w:val="TablePlainParagraph"/>
    <w:uiPriority w:val="12"/>
    <w:pPr>
      <w:keepNext/>
      <w:keepLines/>
      <w:spacing w:before="60" w:line="240" w:lineRule="atLeast"/>
    </w:pPr>
    <w:rPr>
      <w:i/>
    </w:rPr>
  </w:style>
  <w:style w:type="paragraph" w:customStyle="1" w:styleId="TableHeading5">
    <w:name w:val="Table: Heading 5"/>
    <w:basedOn w:val="HeadingBase"/>
    <w:next w:val="TablePlainParagraph"/>
    <w:uiPriority w:val="12"/>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pPr>
      <w:tabs>
        <w:tab w:val="left" w:pos="283"/>
        <w:tab w:val="left" w:pos="567"/>
      </w:tabs>
      <w:spacing w:before="0"/>
      <w:ind w:left="283" w:hanging="283"/>
    </w:pPr>
  </w:style>
  <w:style w:type="paragraph" w:customStyle="1" w:styleId="TableQAText">
    <w:name w:val="Table: Q&amp;A: Text"/>
    <w:basedOn w:val="TablePlainParagraph"/>
    <w:uiPriority w:val="12"/>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pPr>
      <w:numPr>
        <w:numId w:val="1"/>
      </w:numPr>
    </w:pPr>
  </w:style>
  <w:style w:type="paragraph" w:customStyle="1" w:styleId="TableNumberLevel2">
    <w:name w:val="Table: Number Level 2"/>
    <w:basedOn w:val="TablePlainParagraph"/>
    <w:uiPriority w:val="12"/>
    <w:pPr>
      <w:numPr>
        <w:ilvl w:val="1"/>
        <w:numId w:val="1"/>
      </w:numPr>
    </w:pPr>
  </w:style>
  <w:style w:type="paragraph" w:customStyle="1" w:styleId="TableNumberLevel3">
    <w:name w:val="Table: Number Level 3"/>
    <w:basedOn w:val="TablePlainParagraph"/>
    <w:uiPriority w:val="12"/>
    <w:pPr>
      <w:numPr>
        <w:ilvl w:val="2"/>
        <w:numId w:val="1"/>
      </w:numPr>
    </w:pPr>
  </w:style>
  <w:style w:type="paragraph" w:customStyle="1" w:styleId="TableNumberLevel4">
    <w:name w:val="Table: Number Level 4"/>
    <w:basedOn w:val="TablePlainParagraph"/>
    <w:uiPriority w:val="12"/>
    <w:pPr>
      <w:numPr>
        <w:ilvl w:val="3"/>
        <w:numId w:val="1"/>
      </w:numPr>
      <w:spacing w:before="0"/>
    </w:pPr>
  </w:style>
  <w:style w:type="paragraph" w:customStyle="1" w:styleId="TableNumberLevel5">
    <w:name w:val="Table: Number Level 5"/>
    <w:basedOn w:val="TablePlainParagraph"/>
    <w:uiPriority w:val="12"/>
    <w:semiHidden/>
    <w:pPr>
      <w:numPr>
        <w:ilvl w:val="4"/>
        <w:numId w:val="1"/>
      </w:numPr>
      <w:spacing w:before="0"/>
    </w:pPr>
  </w:style>
  <w:style w:type="paragraph" w:customStyle="1" w:styleId="TableNumberLevel6">
    <w:name w:val="Table: Number Level 6"/>
    <w:basedOn w:val="TablePlainParagraph"/>
    <w:uiPriority w:val="12"/>
    <w:semiHidden/>
    <w:pPr>
      <w:numPr>
        <w:ilvl w:val="5"/>
        <w:numId w:val="1"/>
      </w:numPr>
      <w:spacing w:before="0"/>
    </w:pPr>
  </w:style>
  <w:style w:type="paragraph" w:customStyle="1" w:styleId="TableNumberLevel7">
    <w:name w:val="Table: Number Level 7"/>
    <w:basedOn w:val="TablePlainParagraph"/>
    <w:uiPriority w:val="12"/>
    <w:semiHidden/>
    <w:pPr>
      <w:numPr>
        <w:ilvl w:val="6"/>
        <w:numId w:val="1"/>
      </w:numPr>
      <w:spacing w:before="0"/>
    </w:pPr>
  </w:style>
  <w:style w:type="paragraph" w:customStyle="1" w:styleId="TableNumberLevel8">
    <w:name w:val="Table: Number Level 8"/>
    <w:basedOn w:val="TablePlainParagraph"/>
    <w:uiPriority w:val="12"/>
    <w:semiHidden/>
    <w:pPr>
      <w:numPr>
        <w:ilvl w:val="7"/>
        <w:numId w:val="1"/>
      </w:numPr>
      <w:spacing w:before="0"/>
    </w:pPr>
  </w:style>
  <w:style w:type="paragraph" w:customStyle="1" w:styleId="TableNumberLevel9">
    <w:name w:val="Table: Number Level 9"/>
    <w:basedOn w:val="TablePlainParagraph"/>
    <w:uiPriority w:val="12"/>
    <w:semiHidden/>
    <w:pPr>
      <w:numPr>
        <w:ilvl w:val="8"/>
        <w:numId w:val="1"/>
      </w:numPr>
      <w:spacing w:before="0"/>
    </w:pPr>
  </w:style>
  <w:style w:type="paragraph" w:customStyle="1" w:styleId="TableDashEm">
    <w:name w:val="Table: Dash: Em"/>
    <w:basedOn w:val="TablePlainParagraph"/>
    <w:uiPriority w:val="12"/>
    <w:semiHidden/>
    <w:pPr>
      <w:spacing w:before="0"/>
    </w:pPr>
  </w:style>
  <w:style w:type="paragraph" w:customStyle="1" w:styleId="TableDashEm1">
    <w:name w:val="Table: Dash: Em 1"/>
    <w:basedOn w:val="TablePlainParagraph"/>
    <w:uiPriority w:val="12"/>
    <w:semiHidden/>
    <w:pPr>
      <w:spacing w:before="0"/>
    </w:pPr>
  </w:style>
  <w:style w:type="paragraph" w:customStyle="1" w:styleId="TableDashEn1">
    <w:name w:val="Table: Dash: En 1"/>
    <w:basedOn w:val="TablePlainParagraph"/>
    <w:uiPriority w:val="12"/>
    <w:pPr>
      <w:numPr>
        <w:ilvl w:val="2"/>
        <w:numId w:val="22"/>
      </w:numPr>
      <w:spacing w:before="0"/>
    </w:pPr>
  </w:style>
  <w:style w:type="paragraph" w:customStyle="1" w:styleId="TableDashEn2">
    <w:name w:val="Table: Dash: En 2"/>
    <w:basedOn w:val="TablePlainParagraph"/>
    <w:uiPriority w:val="12"/>
    <w:semiHidden/>
    <w:pPr>
      <w:numPr>
        <w:ilvl w:val="3"/>
        <w:numId w:val="22"/>
      </w:numPr>
      <w:spacing w:before="0"/>
    </w:pPr>
  </w:style>
  <w:style w:type="paragraph" w:customStyle="1" w:styleId="TableDashEn3">
    <w:name w:val="Table: Dash: En 3"/>
    <w:basedOn w:val="TablePlainParagraph"/>
    <w:uiPriority w:val="12"/>
    <w:semiHidden/>
    <w:pPr>
      <w:numPr>
        <w:ilvl w:val="4"/>
        <w:numId w:val="22"/>
      </w:numPr>
      <w:spacing w:before="0"/>
    </w:pPr>
  </w:style>
  <w:style w:type="paragraph" w:customStyle="1" w:styleId="TableDashEn4">
    <w:name w:val="Table: Dash: En 4"/>
    <w:basedOn w:val="TablePlainParagraph"/>
    <w:uiPriority w:val="12"/>
    <w:semiHidden/>
    <w:pPr>
      <w:numPr>
        <w:ilvl w:val="5"/>
        <w:numId w:val="22"/>
      </w:numPr>
      <w:spacing w:before="0"/>
    </w:pPr>
  </w:style>
  <w:style w:type="paragraph" w:customStyle="1" w:styleId="TableDashEn5">
    <w:name w:val="Table: Dash: En 5"/>
    <w:basedOn w:val="TablePlainParagraph"/>
    <w:uiPriority w:val="12"/>
    <w:semiHidden/>
    <w:pPr>
      <w:numPr>
        <w:ilvl w:val="6"/>
        <w:numId w:val="22"/>
      </w:numPr>
      <w:spacing w:before="0"/>
    </w:pPr>
  </w:style>
  <w:style w:type="paragraph" w:customStyle="1" w:styleId="TableDashEn6">
    <w:name w:val="Table: Dash: En 6"/>
    <w:basedOn w:val="TablePlainParagraph"/>
    <w:uiPriority w:val="12"/>
    <w:semiHidden/>
    <w:pPr>
      <w:numPr>
        <w:ilvl w:val="7"/>
        <w:numId w:val="22"/>
      </w:numPr>
      <w:spacing w:before="0"/>
    </w:pPr>
  </w:style>
  <w:style w:type="paragraph" w:customStyle="1" w:styleId="TableDashEn7">
    <w:name w:val="Table: Dash: En 7"/>
    <w:basedOn w:val="TablePlainParagraph"/>
    <w:uiPriority w:val="12"/>
    <w:semiHidden/>
    <w:pPr>
      <w:numPr>
        <w:ilvl w:val="8"/>
        <w:numId w:val="22"/>
      </w:numPr>
      <w:spacing w:before="0"/>
    </w:pPr>
  </w:style>
  <w:style w:type="paragraph" w:customStyle="1" w:styleId="TableIndentHanging">
    <w:name w:val="Table: Indent: Hanging"/>
    <w:basedOn w:val="TablePlainParagraph"/>
    <w:uiPriority w:val="12"/>
    <w:semiHidden/>
    <w:pPr>
      <w:numPr>
        <w:numId w:val="2"/>
      </w:numPr>
      <w:tabs>
        <w:tab w:val="left" w:pos="283"/>
      </w:tabs>
      <w:spacing w:before="0"/>
    </w:pPr>
  </w:style>
  <w:style w:type="paragraph" w:customStyle="1" w:styleId="TableIndentHanging1">
    <w:name w:val="Table: Indent: Hanging 1"/>
    <w:basedOn w:val="TablePlainParagraph"/>
    <w:uiPriority w:val="12"/>
    <w:pPr>
      <w:numPr>
        <w:ilvl w:val="1"/>
        <w:numId w:val="2"/>
      </w:numPr>
      <w:tabs>
        <w:tab w:val="left" w:pos="283"/>
      </w:tabs>
      <w:spacing w:before="0"/>
    </w:pPr>
  </w:style>
  <w:style w:type="paragraph" w:customStyle="1" w:styleId="TableIndentHanging2">
    <w:name w:val="Table: Indent: Hanging 2"/>
    <w:basedOn w:val="TablePlainParagraph"/>
    <w:uiPriority w:val="12"/>
    <w:semiHidden/>
    <w:pPr>
      <w:numPr>
        <w:ilvl w:val="2"/>
        <w:numId w:val="2"/>
      </w:numPr>
      <w:spacing w:before="0"/>
    </w:pPr>
  </w:style>
  <w:style w:type="paragraph" w:customStyle="1" w:styleId="TableIndentHanging3">
    <w:name w:val="Table: Indent: Hanging 3"/>
    <w:basedOn w:val="TablePlainParagraph"/>
    <w:uiPriority w:val="12"/>
    <w:semiHidden/>
    <w:pPr>
      <w:numPr>
        <w:ilvl w:val="3"/>
        <w:numId w:val="2"/>
      </w:numPr>
      <w:spacing w:before="0"/>
    </w:pPr>
  </w:style>
  <w:style w:type="paragraph" w:customStyle="1" w:styleId="TableIndentHanging4">
    <w:name w:val="Table: Indent: Hanging 4"/>
    <w:basedOn w:val="TablePlainParagraph"/>
    <w:uiPriority w:val="12"/>
    <w:semiHidden/>
    <w:pPr>
      <w:numPr>
        <w:ilvl w:val="4"/>
        <w:numId w:val="2"/>
      </w:numPr>
      <w:tabs>
        <w:tab w:val="left" w:pos="1134"/>
      </w:tabs>
      <w:spacing w:before="0"/>
    </w:pPr>
  </w:style>
  <w:style w:type="paragraph" w:customStyle="1" w:styleId="TableIndentHanging5">
    <w:name w:val="Table: Indent: Hanging 5"/>
    <w:basedOn w:val="TablePlainParagraph"/>
    <w:uiPriority w:val="12"/>
    <w:semiHidden/>
    <w:pPr>
      <w:numPr>
        <w:ilvl w:val="5"/>
        <w:numId w:val="2"/>
      </w:numPr>
      <w:tabs>
        <w:tab w:val="left" w:pos="1417"/>
      </w:tabs>
      <w:spacing w:before="0"/>
    </w:pPr>
  </w:style>
  <w:style w:type="paragraph" w:customStyle="1" w:styleId="TableIndentHanging6">
    <w:name w:val="Table: Indent: Hanging 6"/>
    <w:basedOn w:val="TablePlainParagraph"/>
    <w:uiPriority w:val="12"/>
    <w:semiHidden/>
    <w:pPr>
      <w:numPr>
        <w:ilvl w:val="6"/>
        <w:numId w:val="2"/>
      </w:numPr>
      <w:tabs>
        <w:tab w:val="left" w:pos="1701"/>
      </w:tabs>
      <w:spacing w:before="0"/>
    </w:pPr>
  </w:style>
  <w:style w:type="paragraph" w:customStyle="1" w:styleId="TableIndentHanging7">
    <w:name w:val="Table: Indent: Hanging 7"/>
    <w:basedOn w:val="TablePlainParagraph"/>
    <w:uiPriority w:val="12"/>
    <w:semiHidden/>
    <w:pPr>
      <w:numPr>
        <w:ilvl w:val="7"/>
        <w:numId w:val="2"/>
      </w:numPr>
      <w:tabs>
        <w:tab w:val="left" w:pos="1984"/>
      </w:tabs>
      <w:spacing w:before="0"/>
    </w:pPr>
  </w:style>
  <w:style w:type="paragraph" w:customStyle="1" w:styleId="TableIndentHanging8">
    <w:name w:val="Table: Indent: Hanging 8"/>
    <w:basedOn w:val="TablePlainParagraph"/>
    <w:uiPriority w:val="12"/>
    <w:semiHidden/>
    <w:pPr>
      <w:numPr>
        <w:ilvl w:val="8"/>
        <w:numId w:val="2"/>
      </w:numPr>
      <w:tabs>
        <w:tab w:val="left" w:pos="2268"/>
      </w:tabs>
      <w:spacing w:before="0"/>
    </w:pPr>
  </w:style>
  <w:style w:type="paragraph" w:customStyle="1" w:styleId="TableIndentFull">
    <w:name w:val="Table: Indent: Full"/>
    <w:basedOn w:val="TablePlainParagraph"/>
    <w:uiPriority w:val="12"/>
    <w:semiHidden/>
    <w:pPr>
      <w:numPr>
        <w:numId w:val="3"/>
      </w:numPr>
      <w:spacing w:before="0"/>
    </w:pPr>
  </w:style>
  <w:style w:type="paragraph" w:customStyle="1" w:styleId="TableIndentFull1">
    <w:name w:val="Table: Indent: Full 1"/>
    <w:basedOn w:val="TablePlainParagraph"/>
    <w:uiPriority w:val="12"/>
    <w:pPr>
      <w:numPr>
        <w:ilvl w:val="1"/>
        <w:numId w:val="3"/>
      </w:numPr>
      <w:spacing w:before="0"/>
    </w:pPr>
  </w:style>
  <w:style w:type="paragraph" w:customStyle="1" w:styleId="TableIndentFull2">
    <w:name w:val="Table: Indent: Full 2"/>
    <w:basedOn w:val="TablePlainParagraph"/>
    <w:uiPriority w:val="12"/>
    <w:semiHidden/>
    <w:pPr>
      <w:numPr>
        <w:ilvl w:val="2"/>
        <w:numId w:val="3"/>
      </w:numPr>
      <w:spacing w:before="0"/>
    </w:pPr>
  </w:style>
  <w:style w:type="paragraph" w:customStyle="1" w:styleId="TableIndentFull3">
    <w:name w:val="Table: Indent: Full 3"/>
    <w:basedOn w:val="TablePlainParagraph"/>
    <w:uiPriority w:val="12"/>
    <w:semiHidden/>
    <w:pPr>
      <w:numPr>
        <w:ilvl w:val="3"/>
        <w:numId w:val="3"/>
      </w:numPr>
      <w:spacing w:before="0"/>
    </w:pPr>
  </w:style>
  <w:style w:type="paragraph" w:customStyle="1" w:styleId="TableIndentFull4">
    <w:name w:val="Table: Indent: Full 4"/>
    <w:basedOn w:val="TablePlainParagraph"/>
    <w:uiPriority w:val="12"/>
    <w:semiHidden/>
    <w:pPr>
      <w:numPr>
        <w:ilvl w:val="4"/>
        <w:numId w:val="3"/>
      </w:numPr>
      <w:spacing w:before="0"/>
    </w:pPr>
  </w:style>
  <w:style w:type="paragraph" w:customStyle="1" w:styleId="TableIndentFull5">
    <w:name w:val="Table: Indent: Full 5"/>
    <w:basedOn w:val="TablePlainParagraph"/>
    <w:uiPriority w:val="12"/>
    <w:semiHidden/>
    <w:pPr>
      <w:numPr>
        <w:ilvl w:val="5"/>
        <w:numId w:val="3"/>
      </w:numPr>
      <w:spacing w:before="0"/>
    </w:pPr>
  </w:style>
  <w:style w:type="paragraph" w:customStyle="1" w:styleId="TableIndentFull6">
    <w:name w:val="Table: Indent: Full 6"/>
    <w:basedOn w:val="TablePlainParagraph"/>
    <w:uiPriority w:val="12"/>
    <w:semiHidden/>
    <w:pPr>
      <w:numPr>
        <w:ilvl w:val="6"/>
        <w:numId w:val="3"/>
      </w:numPr>
      <w:spacing w:before="0"/>
    </w:pPr>
  </w:style>
  <w:style w:type="paragraph" w:customStyle="1" w:styleId="TableIndentFull7">
    <w:name w:val="Table: Indent: Full 7"/>
    <w:basedOn w:val="TablePlainParagraph"/>
    <w:uiPriority w:val="12"/>
    <w:semiHidden/>
    <w:pPr>
      <w:numPr>
        <w:ilvl w:val="7"/>
        <w:numId w:val="3"/>
      </w:numPr>
      <w:spacing w:before="0"/>
    </w:pPr>
  </w:style>
  <w:style w:type="paragraph" w:customStyle="1" w:styleId="TableIndentFull8">
    <w:name w:val="Table: Indent: Full 8"/>
    <w:basedOn w:val="TablePlainParagraph"/>
    <w:uiPriority w:val="12"/>
    <w:semiHidden/>
    <w:pPr>
      <w:numPr>
        <w:ilvl w:val="8"/>
        <w:numId w:val="3"/>
      </w:numPr>
      <w:spacing w:before="0"/>
    </w:pPr>
  </w:style>
  <w:style w:type="paragraph" w:customStyle="1" w:styleId="TableNumberedList1">
    <w:name w:val="Table: Numbered List: 1)"/>
    <w:basedOn w:val="TablePlainParagraph"/>
    <w:uiPriority w:val="12"/>
    <w:semiHidden/>
    <w:pPr>
      <w:numPr>
        <w:numId w:val="4"/>
      </w:numPr>
      <w:spacing w:before="0"/>
    </w:pPr>
  </w:style>
  <w:style w:type="paragraph" w:customStyle="1" w:styleId="TableNumberedList11">
    <w:name w:val="Table: Numbered List: 1) 1"/>
    <w:basedOn w:val="TablePlainParagraph"/>
    <w:uiPriority w:val="12"/>
    <w:pPr>
      <w:numPr>
        <w:ilvl w:val="1"/>
        <w:numId w:val="4"/>
      </w:numPr>
      <w:spacing w:before="0"/>
    </w:pPr>
  </w:style>
  <w:style w:type="paragraph" w:customStyle="1" w:styleId="TableNumberedList12">
    <w:name w:val="Table: Numbered List: 1) 2"/>
    <w:basedOn w:val="TablePlainParagraph"/>
    <w:uiPriority w:val="12"/>
    <w:semiHidden/>
    <w:pPr>
      <w:numPr>
        <w:ilvl w:val="2"/>
        <w:numId w:val="4"/>
      </w:numPr>
      <w:spacing w:before="0"/>
    </w:pPr>
  </w:style>
  <w:style w:type="paragraph" w:customStyle="1" w:styleId="TableNumberedList13">
    <w:name w:val="Table: Numbered List: 1) 3"/>
    <w:basedOn w:val="TablePlainParagraph"/>
    <w:uiPriority w:val="12"/>
    <w:semiHidden/>
    <w:pPr>
      <w:numPr>
        <w:ilvl w:val="3"/>
        <w:numId w:val="4"/>
      </w:numPr>
      <w:spacing w:before="0"/>
    </w:pPr>
  </w:style>
  <w:style w:type="paragraph" w:customStyle="1" w:styleId="TableNumberedList14">
    <w:name w:val="Table: Numbered List: 1) 4"/>
    <w:basedOn w:val="TablePlainParagraph"/>
    <w:uiPriority w:val="12"/>
    <w:semiHidden/>
    <w:pPr>
      <w:numPr>
        <w:ilvl w:val="4"/>
        <w:numId w:val="4"/>
      </w:numPr>
      <w:spacing w:before="0"/>
    </w:pPr>
  </w:style>
  <w:style w:type="paragraph" w:customStyle="1" w:styleId="TableNumberedList15">
    <w:name w:val="Table: Numbered List: 1) 5"/>
    <w:basedOn w:val="TablePlainParagraph"/>
    <w:uiPriority w:val="12"/>
    <w:semiHidden/>
    <w:pPr>
      <w:numPr>
        <w:ilvl w:val="5"/>
        <w:numId w:val="4"/>
      </w:numPr>
      <w:spacing w:before="0"/>
    </w:pPr>
  </w:style>
  <w:style w:type="paragraph" w:customStyle="1" w:styleId="TableNumberedList16">
    <w:name w:val="Table: Numbered List: 1) 6"/>
    <w:basedOn w:val="TablePlainParagraph"/>
    <w:uiPriority w:val="12"/>
    <w:semiHidden/>
    <w:pPr>
      <w:numPr>
        <w:ilvl w:val="6"/>
        <w:numId w:val="4"/>
      </w:numPr>
      <w:spacing w:before="0"/>
    </w:pPr>
  </w:style>
  <w:style w:type="paragraph" w:customStyle="1" w:styleId="TableNumberedList17">
    <w:name w:val="Table: Numbered List: 1) 7"/>
    <w:basedOn w:val="TablePlainParagraph"/>
    <w:uiPriority w:val="12"/>
    <w:semiHidden/>
    <w:pPr>
      <w:numPr>
        <w:ilvl w:val="7"/>
        <w:numId w:val="4"/>
      </w:numPr>
      <w:spacing w:before="0"/>
    </w:pPr>
  </w:style>
  <w:style w:type="paragraph" w:customStyle="1" w:styleId="TableNumberedList18">
    <w:name w:val="Table: Numbered List: 1) 8"/>
    <w:basedOn w:val="TablePlainParagraph"/>
    <w:uiPriority w:val="12"/>
    <w:semiHidden/>
    <w:pPr>
      <w:numPr>
        <w:ilvl w:val="8"/>
        <w:numId w:val="4"/>
      </w:numPr>
      <w:spacing w:before="0"/>
    </w:pPr>
  </w:style>
  <w:style w:type="paragraph" w:customStyle="1" w:styleId="TableNumberedLista">
    <w:name w:val="Table: Numbered List: a)"/>
    <w:basedOn w:val="TablePlainParagraph"/>
    <w:uiPriority w:val="12"/>
    <w:semiHidden/>
    <w:pPr>
      <w:numPr>
        <w:numId w:val="5"/>
      </w:numPr>
      <w:spacing w:before="0"/>
    </w:pPr>
  </w:style>
  <w:style w:type="paragraph" w:customStyle="1" w:styleId="TableNumberedLista1">
    <w:name w:val="Table: Numbered List: a) 1"/>
    <w:basedOn w:val="TablePlainParagraph"/>
    <w:uiPriority w:val="12"/>
    <w:pPr>
      <w:numPr>
        <w:ilvl w:val="1"/>
        <w:numId w:val="5"/>
      </w:numPr>
      <w:spacing w:before="0"/>
    </w:pPr>
  </w:style>
  <w:style w:type="paragraph" w:customStyle="1" w:styleId="TableNumberedLista2">
    <w:name w:val="Table: Numbered List: a) 2"/>
    <w:basedOn w:val="TablePlainParagraph"/>
    <w:uiPriority w:val="12"/>
    <w:semiHidden/>
    <w:pPr>
      <w:numPr>
        <w:ilvl w:val="2"/>
        <w:numId w:val="5"/>
      </w:numPr>
      <w:spacing w:before="0"/>
    </w:pPr>
  </w:style>
  <w:style w:type="paragraph" w:customStyle="1" w:styleId="TableNumberedLista3">
    <w:name w:val="Table: Numbered List: a) 3"/>
    <w:basedOn w:val="TablePlainParagraph"/>
    <w:uiPriority w:val="12"/>
    <w:semiHidden/>
    <w:pPr>
      <w:numPr>
        <w:ilvl w:val="3"/>
        <w:numId w:val="5"/>
      </w:numPr>
      <w:spacing w:before="0"/>
    </w:pPr>
  </w:style>
  <w:style w:type="paragraph" w:customStyle="1" w:styleId="TableNumberedLista4">
    <w:name w:val="Table: Numbered List: a) 4"/>
    <w:basedOn w:val="TablePlainParagraph"/>
    <w:uiPriority w:val="12"/>
    <w:semiHidden/>
    <w:pPr>
      <w:numPr>
        <w:ilvl w:val="4"/>
        <w:numId w:val="5"/>
      </w:numPr>
      <w:spacing w:before="0"/>
    </w:pPr>
  </w:style>
  <w:style w:type="paragraph" w:customStyle="1" w:styleId="TableNumberedLista5">
    <w:name w:val="Table: Numbered List: a) 5"/>
    <w:basedOn w:val="TablePlainParagraph"/>
    <w:uiPriority w:val="12"/>
    <w:semiHidden/>
    <w:pPr>
      <w:numPr>
        <w:ilvl w:val="5"/>
        <w:numId w:val="5"/>
      </w:numPr>
      <w:spacing w:before="0"/>
    </w:pPr>
  </w:style>
  <w:style w:type="paragraph" w:customStyle="1" w:styleId="TableNumberedLista6">
    <w:name w:val="Table: Numbered List: a) 6"/>
    <w:basedOn w:val="TablePlainParagraph"/>
    <w:uiPriority w:val="12"/>
    <w:semiHidden/>
    <w:pPr>
      <w:numPr>
        <w:ilvl w:val="6"/>
        <w:numId w:val="5"/>
      </w:numPr>
      <w:spacing w:before="0"/>
    </w:pPr>
  </w:style>
  <w:style w:type="paragraph" w:customStyle="1" w:styleId="TableNumberedLista7">
    <w:name w:val="Table: Numbered List: a) 7"/>
    <w:basedOn w:val="TablePlainParagraph"/>
    <w:uiPriority w:val="12"/>
    <w:semiHidden/>
    <w:pPr>
      <w:numPr>
        <w:ilvl w:val="7"/>
        <w:numId w:val="5"/>
      </w:numPr>
      <w:spacing w:before="0"/>
    </w:pPr>
  </w:style>
  <w:style w:type="paragraph" w:customStyle="1" w:styleId="TableNumberedLista8">
    <w:name w:val="Table: Numbered List: a) 8"/>
    <w:basedOn w:val="TablePlainParagraph"/>
    <w:uiPriority w:val="12"/>
    <w:semiHidden/>
    <w:pPr>
      <w:numPr>
        <w:ilvl w:val="8"/>
        <w:numId w:val="5"/>
      </w:numPr>
      <w:spacing w:before="0"/>
    </w:pPr>
  </w:style>
  <w:style w:type="paragraph" w:customStyle="1" w:styleId="Subrand">
    <w:name w:val="Subrand"/>
    <w:semiHidden/>
    <w:pPr>
      <w:spacing w:line="200" w:lineRule="atLeast"/>
      <w:jc w:val="right"/>
    </w:pPr>
    <w:rPr>
      <w:rFonts w:ascii="Arial" w:hAnsi="Arial" w:cs="Arial"/>
      <w:b/>
      <w:i/>
      <w:szCs w:val="22"/>
    </w:rPr>
  </w:style>
  <w:style w:type="table" w:styleId="TableGrid">
    <w:name w:val="Table Grid"/>
    <w:basedOn w:val="TableNormal"/>
    <w:rPr>
      <w:rFonts w:ascii="Arial" w:hAnsi="Arial"/>
    </w:rPr>
    <w:tblPr/>
    <w:tcPr>
      <w:vAlign w:val="center"/>
    </w:tcPr>
  </w:style>
  <w:style w:type="paragraph" w:styleId="TOC4">
    <w:name w:val="toc 4"/>
    <w:basedOn w:val="Normal"/>
    <w:next w:val="Normal"/>
    <w:autoRedefine/>
    <w:uiPriority w:val="35"/>
    <w:semiHidden/>
    <w:pPr>
      <w:ind w:left="660"/>
    </w:pPr>
  </w:style>
  <w:style w:type="paragraph" w:styleId="TOC5">
    <w:name w:val="toc 5"/>
    <w:basedOn w:val="Normal"/>
    <w:next w:val="Normal"/>
    <w:autoRedefine/>
    <w:uiPriority w:val="35"/>
    <w:semiHidden/>
    <w:pPr>
      <w:ind w:left="880"/>
    </w:pPr>
  </w:style>
  <w:style w:type="numbering" w:styleId="111111">
    <w:name w:val="Outline List 2"/>
    <w:basedOn w:val="NoList"/>
    <w:uiPriority w:val="99"/>
    <w:semiHidden/>
    <w:unhideWhenUsed/>
    <w:pPr>
      <w:numPr>
        <w:numId w:val="6"/>
      </w:numPr>
    </w:pPr>
  </w:style>
  <w:style w:type="numbering" w:styleId="1ai">
    <w:name w:val="Outline List 1"/>
    <w:basedOn w:val="NoList"/>
    <w:uiPriority w:val="99"/>
    <w:semiHidden/>
    <w:unhideWhenUsed/>
    <w:pPr>
      <w:numPr>
        <w:numId w:val="7"/>
      </w:numPr>
    </w:pPr>
  </w:style>
  <w:style w:type="numbering" w:styleId="ArticleSection">
    <w:name w:val="Outline List 3"/>
    <w:basedOn w:val="NoList"/>
    <w:uiPriority w:val="99"/>
    <w:semiHidden/>
    <w:unhideWhenUsed/>
    <w:pPr>
      <w:numPr>
        <w:numId w:val="8"/>
      </w:numPr>
    </w:p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pPr>
      <w:ind w:firstLine="210"/>
    </w:pPr>
  </w:style>
  <w:style w:type="paragraph" w:styleId="BodyTextIndent">
    <w:name w:val="Body Text Indent"/>
    <w:basedOn w:val="Normal"/>
    <w:uiPriority w:val="99"/>
    <w:semiHidden/>
    <w:unhideWhenUsed/>
    <w:pPr>
      <w:spacing w:after="120"/>
      <w:ind w:left="283"/>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283"/>
    </w:pPr>
  </w:style>
  <w:style w:type="paragraph" w:styleId="BodyTextIndent3">
    <w:name w:val="Body Text Indent 3"/>
    <w:basedOn w:val="Normal"/>
    <w:uiPriority w:val="99"/>
    <w:semiHidden/>
    <w:unhideWhenUsed/>
    <w:pPr>
      <w:spacing w:after="120"/>
      <w:ind w:left="283"/>
    </w:pPr>
    <w:rPr>
      <w:sz w:val="16"/>
      <w:szCs w:val="16"/>
    </w:rPr>
  </w:style>
  <w:style w:type="paragraph" w:styleId="Caption">
    <w:name w:val="caption"/>
    <w:basedOn w:val="Normal"/>
    <w:next w:val="Normal"/>
    <w:uiPriority w:val="35"/>
    <w:unhideWhenUsed/>
    <w:qFormat/>
    <w:rPr>
      <w:b/>
      <w:bCs/>
      <w:sz w:val="20"/>
      <w:szCs w:val="20"/>
    </w:rPr>
  </w:style>
  <w:style w:type="paragraph" w:styleId="Closing">
    <w:name w:val="Closing"/>
    <w:basedOn w:val="Normal"/>
    <w:uiPriority w:val="99"/>
    <w:semiHidden/>
    <w:unhideWhenUsed/>
    <w:pPr>
      <w:ind w:left="4252"/>
    </w:pPr>
  </w:style>
  <w:style w:type="table" w:styleId="ColorfulGrid">
    <w:name w:val="Colorful Grid"/>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table" w:styleId="DarkList">
    <w:name w:val="Dark List"/>
    <w:basedOn w:val="TableNormal"/>
    <w:uiPriority w:val="7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style>
  <w:style w:type="paragraph" w:styleId="DocumentMap">
    <w:name w:val="Document Map"/>
    <w:basedOn w:val="Normal"/>
    <w:uiPriority w:val="99"/>
    <w:semiHidden/>
    <w:unhideWhenUsed/>
    <w:rPr>
      <w:rFonts w:ascii="Tahoma" w:hAnsi="Tahoma" w:cs="Tahoma"/>
      <w:sz w:val="16"/>
      <w:szCs w:val="16"/>
    </w:rPr>
  </w:style>
  <w:style w:type="paragraph" w:styleId="E-mailSignature">
    <w:name w:val="E-mail Signature"/>
    <w:basedOn w:val="Normal"/>
    <w:uiPriority w:val="99"/>
    <w:semiHidden/>
    <w:unhideWhenUsed/>
  </w:style>
  <w:style w:type="character" w:styleId="Emphasis">
    <w:name w:val="Emphasis"/>
    <w:basedOn w:val="DefaultParagraphFont"/>
    <w:uiPriority w:val="98"/>
    <w:semiHidden/>
    <w:rPr>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table" w:styleId="GridTable1Light">
    <w:name w:val="Grid Table 1 Light"/>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ind w:left="220" w:hanging="220"/>
    </w:pPr>
  </w:style>
  <w:style w:type="paragraph" w:styleId="Index2">
    <w:name w:val="index 2"/>
    <w:basedOn w:val="Normal"/>
    <w:next w:val="Normal"/>
    <w:autoRedefine/>
    <w:uiPriority w:val="99"/>
    <w:semiHidden/>
    <w:unhideWhenUsed/>
    <w:pPr>
      <w:ind w:left="440" w:hanging="220"/>
    </w:pPr>
  </w:style>
  <w:style w:type="paragraph" w:styleId="Index3">
    <w:name w:val="index 3"/>
    <w:basedOn w:val="Normal"/>
    <w:next w:val="Normal"/>
    <w:autoRedefine/>
    <w:uiPriority w:val="99"/>
    <w:semiHidden/>
    <w:unhideWhenUsed/>
    <w:pPr>
      <w:ind w:left="660" w:hanging="220"/>
    </w:pPr>
  </w:style>
  <w:style w:type="paragraph" w:styleId="Index4">
    <w:name w:val="index 4"/>
    <w:basedOn w:val="Normal"/>
    <w:next w:val="Normal"/>
    <w:autoRedefine/>
    <w:uiPriority w:val="99"/>
    <w:semiHidden/>
    <w:unhideWhenUsed/>
    <w:pPr>
      <w:ind w:left="880" w:hanging="220"/>
    </w:pPr>
  </w:style>
  <w:style w:type="paragraph" w:styleId="Index5">
    <w:name w:val="index 5"/>
    <w:basedOn w:val="Normal"/>
    <w:next w:val="Normal"/>
    <w:autoRedefine/>
    <w:uiPriority w:val="99"/>
    <w:semiHidden/>
    <w:unhideWhenUsed/>
    <w:pPr>
      <w:ind w:left="1100" w:hanging="220"/>
    </w:pPr>
  </w:style>
  <w:style w:type="paragraph" w:styleId="Index6">
    <w:name w:val="index 6"/>
    <w:basedOn w:val="Normal"/>
    <w:next w:val="Normal"/>
    <w:autoRedefine/>
    <w:uiPriority w:val="99"/>
    <w:semiHidden/>
    <w:unhideWhenUsed/>
    <w:pPr>
      <w:ind w:left="1320" w:hanging="220"/>
    </w:pPr>
  </w:style>
  <w:style w:type="paragraph" w:styleId="Index7">
    <w:name w:val="index 7"/>
    <w:basedOn w:val="Normal"/>
    <w:next w:val="Normal"/>
    <w:autoRedefine/>
    <w:uiPriority w:val="99"/>
    <w:semiHidden/>
    <w:unhideWhenUsed/>
    <w:pPr>
      <w:ind w:left="1540" w:hanging="220"/>
    </w:pPr>
  </w:style>
  <w:style w:type="paragraph" w:styleId="Index8">
    <w:name w:val="index 8"/>
    <w:basedOn w:val="Normal"/>
    <w:next w:val="Normal"/>
    <w:autoRedefine/>
    <w:uiPriority w:val="99"/>
    <w:semiHidden/>
    <w:unhideWhenUsed/>
    <w:pPr>
      <w:ind w:left="1760" w:hanging="220"/>
    </w:pPr>
  </w:style>
  <w:style w:type="paragraph" w:styleId="Index9">
    <w:name w:val="index 9"/>
    <w:basedOn w:val="Normal"/>
    <w:next w:val="Normal"/>
    <w:autoRedefine/>
    <w:uiPriority w:val="99"/>
    <w:semiHidden/>
    <w:unhideWhenUsed/>
    <w:pPr>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qFormat/>
    <w:rPr>
      <w:b/>
      <w:bCs/>
      <w:i/>
      <w:iCs/>
      <w:color w:val="4F81BD" w:themeColor="accent1"/>
    </w:rPr>
  </w:style>
  <w:style w:type="paragraph" w:styleId="IntenseQuote">
    <w:name w:val="Intense Quote"/>
    <w:basedOn w:val="Normal"/>
    <w:next w:val="Normal"/>
    <w:uiPriority w:val="98"/>
    <w:semiHidden/>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Pr>
      <w:b/>
      <w:bCs/>
      <w:smallCaps/>
      <w:color w:val="C0504D" w:themeColor="accent2"/>
      <w:spacing w:val="5"/>
      <w:u w:val="single"/>
    </w:rPr>
  </w:style>
  <w:style w:type="table" w:styleId="LightGrid">
    <w:name w:val="Light Grid"/>
    <w:basedOn w:val="TableNormal"/>
    <w:uiPriority w:val="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pPr>
      <w:ind w:left="1132" w:hanging="283"/>
      <w:contextualSpacing/>
    </w:pPr>
  </w:style>
  <w:style w:type="paragraph" w:styleId="List5">
    <w:name w:val="List 5"/>
    <w:basedOn w:val="Normal"/>
    <w:uiPriority w:val="99"/>
    <w:semiHidden/>
    <w:pPr>
      <w:ind w:left="1415" w:hanging="283"/>
      <w:contextualSpacing/>
    </w:pPr>
  </w:style>
  <w:style w:type="paragraph" w:styleId="ListBullet">
    <w:name w:val="List Bullet"/>
    <w:basedOn w:val="Normal"/>
    <w:uiPriority w:val="99"/>
    <w:unhideWhenUsed/>
    <w:qFormat/>
    <w:pPr>
      <w:numPr>
        <w:numId w:val="9"/>
      </w:numPr>
      <w:contextualSpacing/>
    </w:pPr>
  </w:style>
  <w:style w:type="paragraph" w:styleId="ListBullet2">
    <w:name w:val="List Bullet 2"/>
    <w:basedOn w:val="Normal"/>
    <w:uiPriority w:val="99"/>
    <w:unhideWhenUsed/>
    <w:pPr>
      <w:numPr>
        <w:numId w:val="10"/>
      </w:numPr>
      <w:contextualSpacing/>
    </w:pPr>
  </w:style>
  <w:style w:type="paragraph" w:styleId="ListBullet3">
    <w:name w:val="List Bullet 3"/>
    <w:basedOn w:val="Normal"/>
    <w:uiPriority w:val="99"/>
    <w:unhideWhenUsed/>
    <w:pPr>
      <w:numPr>
        <w:numId w:val="11"/>
      </w:numPr>
      <w:contextualSpacing/>
    </w:pPr>
  </w:style>
  <w:style w:type="paragraph" w:styleId="ListBullet4">
    <w:name w:val="List Bullet 4"/>
    <w:basedOn w:val="Normal"/>
    <w:uiPriority w:val="99"/>
    <w:unhideWhenUsed/>
    <w:pPr>
      <w:numPr>
        <w:numId w:val="12"/>
      </w:numPr>
      <w:contextualSpacing/>
    </w:pPr>
  </w:style>
  <w:style w:type="paragraph" w:styleId="ListBullet5">
    <w:name w:val="List Bullet 5"/>
    <w:basedOn w:val="Normal"/>
    <w:uiPriority w:val="99"/>
    <w:unhideWhenUsed/>
    <w:pPr>
      <w:numPr>
        <w:numId w:val="13"/>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qFormat/>
    <w:pPr>
      <w:numPr>
        <w:numId w:val="14"/>
      </w:numPr>
      <w:contextualSpacing/>
    </w:pPr>
  </w:style>
  <w:style w:type="paragraph" w:styleId="ListNumber2">
    <w:name w:val="List Number 2"/>
    <w:basedOn w:val="Normal"/>
    <w:uiPriority w:val="99"/>
    <w:pPr>
      <w:numPr>
        <w:numId w:val="15"/>
      </w:numPr>
      <w:contextualSpacing/>
    </w:pPr>
  </w:style>
  <w:style w:type="paragraph" w:styleId="ListNumber3">
    <w:name w:val="List Number 3"/>
    <w:basedOn w:val="Normal"/>
    <w:uiPriority w:val="99"/>
    <w:pPr>
      <w:numPr>
        <w:numId w:val="16"/>
      </w:numPr>
      <w:contextualSpacing/>
    </w:pPr>
  </w:style>
  <w:style w:type="paragraph" w:styleId="ListNumber4">
    <w:name w:val="List Number 4"/>
    <w:basedOn w:val="Normal"/>
    <w:uiPriority w:val="99"/>
    <w:pPr>
      <w:numPr>
        <w:numId w:val="17"/>
      </w:numPr>
      <w:contextualSpacing/>
    </w:pPr>
  </w:style>
  <w:style w:type="paragraph" w:styleId="ListNumber5">
    <w:name w:val="List Number 5"/>
    <w:basedOn w:val="Normal"/>
    <w:uiPriority w:val="99"/>
    <w:pPr>
      <w:numPr>
        <w:numId w:val="18"/>
      </w:numPr>
      <w:contextualSpacing/>
    </w:pPr>
  </w:style>
  <w:style w:type="paragraph" w:styleId="ListParagraph">
    <w:name w:val="List Paragraph"/>
    <w:aliases w:val="1 heading,Bullet point,Bulleted Para,CAB - List Bullet,CV text,Dot point 1.5 line spacing,Dot pt,FooterText,L,List Bullet Cab,List Paragraph - bullets,List Paragraph1,List Paragraph11,NFP GP Bulleted List,Recommendation,bullet point list"/>
    <w:basedOn w:val="Normal"/>
    <w:link w:val="ListParagraphChar"/>
    <w:uiPriority w:val="34"/>
    <w:qFormat/>
    <w:pPr>
      <w:ind w:left="720"/>
    </w:pPr>
  </w:style>
  <w:style w:type="table" w:styleId="ListTable1Light">
    <w:name w:val="List Table 1 Light"/>
    <w:basedOn w:val="TableNormal"/>
    <w:uiPriority w:val="4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8"/>
    <w:semiHidden/>
    <w:rPr>
      <w:rFonts w:ascii="Arial" w:hAnsi="Arial" w:cs="Arial"/>
      <w:sz w:val="22"/>
      <w:szCs w:val="22"/>
    </w:r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laceholderText">
    <w:name w:val="Placeholder Text"/>
    <w:basedOn w:val="DefaultParagraphFont"/>
    <w:uiPriority w:val="99"/>
    <w:semiHidden/>
    <w:rPr>
      <w:color w:val="808080"/>
    </w:rPr>
  </w:style>
  <w:style w:type="table" w:styleId="PlainTable1">
    <w:name w:val="Plain Table 1"/>
    <w:basedOn w:val="Table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Pr>
      <w:rFonts w:ascii="Courier New" w:hAnsi="Courier New" w:cs="Courier New"/>
      <w:sz w:val="20"/>
      <w:szCs w:val="20"/>
    </w:rPr>
  </w:style>
  <w:style w:type="paragraph" w:styleId="Quote">
    <w:name w:val="Quote"/>
    <w:basedOn w:val="Normal"/>
    <w:next w:val="Normal"/>
    <w:link w:val="QuoteChar"/>
    <w:uiPriority w:val="29"/>
    <w:qFormat/>
    <w:rPr>
      <w:i/>
      <w:iCs/>
      <w:color w:val="000000" w:themeColor="text1"/>
    </w:rPr>
  </w:style>
  <w:style w:type="paragraph" w:styleId="Salutation">
    <w:name w:val="Salutation"/>
    <w:basedOn w:val="Normal"/>
    <w:next w:val="Normal"/>
    <w:uiPriority w:val="99"/>
    <w:semiHidden/>
  </w:style>
  <w:style w:type="paragraph" w:styleId="Signature">
    <w:name w:val="Signature"/>
    <w:basedOn w:val="Normal"/>
    <w:uiPriority w:val="99"/>
    <w:semiHidden/>
    <w:unhideWhenUsed/>
    <w:pPr>
      <w:ind w:left="4252"/>
    </w:pPr>
  </w:style>
  <w:style w:type="character" w:styleId="Strong">
    <w:name w:val="Strong"/>
    <w:basedOn w:val="DefaultParagraphFont"/>
    <w:uiPriority w:val="22"/>
    <w:qFormat/>
    <w:rPr>
      <w:b/>
      <w:bCs/>
    </w:rPr>
  </w:style>
  <w:style w:type="paragraph" w:styleId="Subtitle">
    <w:name w:val="Subtitle"/>
    <w:basedOn w:val="Normal"/>
    <w:next w:val="Normal"/>
    <w:uiPriority w:val="98"/>
    <w:semiHidden/>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5"/>
    <w:semiHidden/>
    <w:unhideWhenUsed/>
    <w:pPr>
      <w:ind w:left="1100"/>
    </w:pPr>
  </w:style>
  <w:style w:type="paragraph" w:styleId="TOC7">
    <w:name w:val="toc 7"/>
    <w:basedOn w:val="Normal"/>
    <w:next w:val="Normal"/>
    <w:autoRedefine/>
    <w:uiPriority w:val="35"/>
    <w:semiHidden/>
    <w:unhideWhenUsed/>
    <w:pPr>
      <w:ind w:left="1320"/>
    </w:pPr>
  </w:style>
  <w:style w:type="paragraph" w:styleId="TOC8">
    <w:name w:val="toc 8"/>
    <w:basedOn w:val="Normal"/>
    <w:next w:val="Normal"/>
    <w:autoRedefine/>
    <w:uiPriority w:val="35"/>
    <w:semiHidden/>
    <w:unhideWhenUsed/>
    <w:pPr>
      <w:ind w:left="1540"/>
    </w:pPr>
  </w:style>
  <w:style w:type="paragraph" w:styleId="TOC9">
    <w:name w:val="toc 9"/>
    <w:basedOn w:val="Normal"/>
    <w:next w:val="Normal"/>
    <w:autoRedefine/>
    <w:uiPriority w:val="35"/>
    <w:semiHidden/>
    <w:unhideWhenUsed/>
    <w:pPr>
      <w:ind w:left="1760"/>
    </w:pPr>
  </w:style>
  <w:style w:type="paragraph" w:styleId="TOCHeading">
    <w:name w:val="TOC Heading"/>
    <w:basedOn w:val="Heading1"/>
    <w:next w:val="Normal"/>
    <w:uiPriority w:val="39"/>
    <w:unhideWhenUsed/>
    <w:qFormat/>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uiPriority w:val="9"/>
    <w:rPr>
      <w:rFonts w:ascii="Arial" w:hAnsi="Arial" w:cs="Arial"/>
      <w:b/>
      <w:bCs/>
      <w:caps/>
      <w:kern w:val="32"/>
      <w:szCs w:val="32"/>
    </w:rPr>
  </w:style>
  <w:style w:type="paragraph" w:customStyle="1" w:styleId="TableTitle">
    <w:name w:val="Table Title"/>
    <w:uiPriority w:val="98"/>
    <w:semiHidden/>
    <w:pPr>
      <w:spacing w:before="60" w:line="240" w:lineRule="exact"/>
    </w:pPr>
    <w:rPr>
      <w:rFonts w:ascii="Arial" w:hAnsi="Arial" w:cs="Arial"/>
      <w:b/>
      <w:sz w:val="22"/>
      <w:szCs w:val="22"/>
    </w:rPr>
  </w:style>
  <w:style w:type="paragraph" w:customStyle="1" w:styleId="TableLabel">
    <w:name w:val="Table Label"/>
    <w:uiPriority w:val="98"/>
    <w:semiHidden/>
    <w:pPr>
      <w:spacing w:before="60" w:line="240" w:lineRule="exact"/>
      <w:jc w:val="right"/>
    </w:pPr>
    <w:rPr>
      <w:rFonts w:ascii="Arial" w:hAnsi="Arial" w:cs="Arial"/>
      <w:b/>
    </w:rPr>
  </w:style>
  <w:style w:type="paragraph" w:customStyle="1" w:styleId="TableText">
    <w:name w:val="Table Text"/>
    <w:uiPriority w:val="98"/>
    <w:semiHidden/>
    <w:pPr>
      <w:spacing w:before="60" w:line="240" w:lineRule="exact"/>
    </w:pPr>
    <w:rPr>
      <w:rFonts w:ascii="Arial" w:hAnsi="Arial" w:cs="Arial"/>
      <w:sz w:val="22"/>
      <w:szCs w:val="22"/>
    </w:rPr>
  </w:style>
  <w:style w:type="paragraph" w:customStyle="1" w:styleId="TableSubject">
    <w:name w:val="Table Subject"/>
    <w:uiPriority w:val="98"/>
    <w:semiHidden/>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Pr>
      <w:sz w:val="22"/>
    </w:rPr>
  </w:style>
  <w:style w:type="paragraph" w:customStyle="1" w:styleId="NumberLevel2-NoIndent">
    <w:name w:val="Number Level 2 - No Indent"/>
    <w:basedOn w:val="TableNumberLevel2"/>
    <w:uiPriority w:val="1"/>
    <w:semiHidden/>
    <w:rPr>
      <w:sz w:val="22"/>
    </w:rPr>
  </w:style>
  <w:style w:type="character" w:customStyle="1" w:styleId="TableNumberLevel1Char">
    <w:name w:val="Table: Number Level 1 Char"/>
    <w:aliases w:val="Table N1 Char"/>
    <w:basedOn w:val="DefaultParagraphFont"/>
    <w:link w:val="TableNumberLevel1"/>
    <w:uiPriority w:val="12"/>
    <w:rPr>
      <w:rFonts w:ascii="Arial" w:hAnsi="Arial" w:cs="Arial"/>
      <w:szCs w:val="22"/>
    </w:rPr>
  </w:style>
  <w:style w:type="paragraph" w:customStyle="1" w:styleId="NumberLevel3-NoIndent">
    <w:name w:val="Number Level 3 - No Indent"/>
    <w:basedOn w:val="TableNumberLevel3"/>
    <w:uiPriority w:val="1"/>
    <w:semiHidden/>
    <w:rPr>
      <w:sz w:val="22"/>
    </w:rPr>
  </w:style>
  <w:style w:type="paragraph" w:customStyle="1" w:styleId="NumberLevel4-NoIndent">
    <w:name w:val="Number Level 4 - No Indent"/>
    <w:basedOn w:val="TableNumberLevel4"/>
    <w:uiPriority w:val="1"/>
    <w:semiHidden/>
    <w:rPr>
      <w:sz w:val="22"/>
    </w:rPr>
  </w:style>
  <w:style w:type="paragraph" w:customStyle="1" w:styleId="NumberLevel5-NoIndent">
    <w:name w:val="Number Level 5 - No Indent"/>
    <w:basedOn w:val="TableNumberLevel5"/>
    <w:uiPriority w:val="1"/>
    <w:semiHidden/>
    <w:rPr>
      <w:sz w:val="22"/>
    </w:rPr>
  </w:style>
  <w:style w:type="paragraph" w:customStyle="1" w:styleId="NumberLevel6-NoIndent">
    <w:name w:val="Number Level 6 - No Indent"/>
    <w:basedOn w:val="TableNumberLevel6"/>
    <w:uiPriority w:val="1"/>
    <w:semiHidden/>
    <w:rPr>
      <w:sz w:val="22"/>
    </w:rPr>
  </w:style>
  <w:style w:type="paragraph" w:customStyle="1" w:styleId="NumberLevel7-NoIndent">
    <w:name w:val="Number Level 7 - No Indent"/>
    <w:basedOn w:val="TableNumberLevel7"/>
    <w:uiPriority w:val="1"/>
    <w:semiHidden/>
    <w:rPr>
      <w:sz w:val="22"/>
    </w:rPr>
  </w:style>
  <w:style w:type="paragraph" w:customStyle="1" w:styleId="NumberLevel8-NoIndent">
    <w:name w:val="Number Level 8 - No Indent"/>
    <w:basedOn w:val="TableNumberLevel8"/>
    <w:uiPriority w:val="1"/>
    <w:semiHidden/>
    <w:rPr>
      <w:sz w:val="22"/>
    </w:rPr>
  </w:style>
  <w:style w:type="paragraph" w:customStyle="1" w:styleId="NumberLevel9-NoIndent">
    <w:name w:val="Number Level 9 - No Indent"/>
    <w:basedOn w:val="TableNumberLevel9"/>
    <w:uiPriority w:val="1"/>
    <w:semiHidden/>
    <w:rPr>
      <w:sz w:val="22"/>
    </w:rPr>
  </w:style>
  <w:style w:type="character" w:customStyle="1" w:styleId="Heading2Char">
    <w:name w:val="Heading 2 Char"/>
    <w:aliases w:val="H2 Char"/>
    <w:basedOn w:val="DefaultParagraphFont"/>
    <w:link w:val="Heading2"/>
    <w:uiPriority w:val="9"/>
    <w:rPr>
      <w:rFonts w:ascii="Arial" w:hAnsi="Arial" w:cs="Arial"/>
      <w:b/>
      <w:bCs/>
      <w:iCs/>
      <w:sz w:val="22"/>
      <w:szCs w:val="28"/>
    </w:rPr>
  </w:style>
  <w:style w:type="character" w:customStyle="1" w:styleId="Heading3Char">
    <w:name w:val="Heading 3 Char"/>
    <w:aliases w:val="H3 Char"/>
    <w:basedOn w:val="DefaultParagraphFont"/>
    <w:link w:val="Heading3"/>
    <w:uiPriority w:val="9"/>
    <w:rPr>
      <w:rFonts w:ascii="Arial" w:hAnsi="Arial" w:cs="Arial"/>
      <w:b/>
      <w:bCs/>
      <w:i/>
      <w:szCs w:val="26"/>
    </w:rPr>
  </w:style>
  <w:style w:type="character" w:customStyle="1" w:styleId="Heading4Char">
    <w:name w:val="Heading 4 Char"/>
    <w:aliases w:val="H4 Char"/>
    <w:basedOn w:val="DefaultParagraphFont"/>
    <w:link w:val="Heading4"/>
    <w:uiPriority w:val="9"/>
    <w:rPr>
      <w:rFonts w:ascii="Arial" w:hAnsi="Arial" w:cs="Arial"/>
      <w:bCs/>
      <w:i/>
      <w:szCs w:val="28"/>
    </w:rPr>
  </w:style>
  <w:style w:type="character" w:customStyle="1" w:styleId="Heading5Char">
    <w:name w:val="Heading 5 Char"/>
    <w:aliases w:val="H5 Char"/>
    <w:basedOn w:val="DefaultParagraphFont"/>
    <w:link w:val="Heading5"/>
    <w:uiPriority w:val="4"/>
    <w:rPr>
      <w:rFonts w:ascii="Arial" w:hAnsi="Arial" w:cs="Arial"/>
      <w:b/>
      <w:bCs/>
      <w:iCs/>
      <w:sz w:val="18"/>
      <w:szCs w:val="26"/>
    </w:rPr>
  </w:style>
  <w:style w:type="paragraph" w:customStyle="1" w:styleId="Answer">
    <w:name w:val="Answer"/>
    <w:aliases w:val="?A"/>
    <w:basedOn w:val="PlainParagraph"/>
    <w:next w:val="Question"/>
    <w:uiPriority w:val="7"/>
    <w:qFormat/>
    <w:pPr>
      <w:tabs>
        <w:tab w:val="left" w:pos="425"/>
        <w:tab w:val="left" w:pos="850"/>
      </w:tabs>
      <w:spacing w:before="0"/>
      <w:ind w:left="850" w:hanging="850"/>
    </w:pPr>
  </w:style>
  <w:style w:type="paragraph" w:customStyle="1" w:styleId="Question">
    <w:name w:val="Question"/>
    <w:aliases w:val="?Q"/>
    <w:basedOn w:val="PlainParagraph"/>
    <w:next w:val="Answer"/>
    <w:uiPriority w:val="7"/>
    <w:qFormat/>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pPr>
      <w:keepNext/>
      <w:widowControl w:val="0"/>
      <w:ind w:left="425"/>
    </w:pPr>
    <w:rPr>
      <w:i/>
    </w:rPr>
  </w:style>
  <w:style w:type="paragraph" w:customStyle="1" w:styleId="Subbrand">
    <w:name w:val="Subbrand"/>
    <w:uiPriority w:val="98"/>
    <w:semiHidden/>
    <w:pPr>
      <w:spacing w:line="200" w:lineRule="atLeast"/>
      <w:jc w:val="right"/>
    </w:pPr>
    <w:rPr>
      <w:rFonts w:ascii="Arial" w:hAnsi="Arial" w:cs="Arial"/>
      <w:b/>
      <w:i/>
      <w:szCs w:val="24"/>
    </w:rPr>
  </w:style>
  <w:style w:type="paragraph" w:customStyle="1" w:styleId="DashEM1outlook">
    <w:name w:val="Dash: EM 1 outlook"/>
    <w:basedOn w:val="DashEm1"/>
    <w:uiPriority w:val="98"/>
    <w:semiHidden/>
    <w:pPr>
      <w:ind w:left="850"/>
    </w:pPr>
  </w:style>
  <w:style w:type="paragraph" w:customStyle="1" w:styleId="Dashen1outlook">
    <w:name w:val="Dash: en 1 outlook"/>
    <w:basedOn w:val="DashEn1"/>
    <w:uiPriority w:val="98"/>
    <w:semiHidden/>
    <w:pPr>
      <w:ind w:left="1275"/>
    </w:pPr>
  </w:style>
  <w:style w:type="character" w:customStyle="1" w:styleId="PlainParagraphChar">
    <w:name w:val="Plain Paragraph Char"/>
    <w:aliases w:val="PP Char"/>
    <w:basedOn w:val="DefaultParagraphFont"/>
    <w:link w:val="PlainParagraph"/>
    <w:rPr>
      <w:rFonts w:ascii="Arial" w:hAnsi="Arial" w:cs="Arial"/>
      <w:sz w:val="22"/>
      <w:szCs w:val="22"/>
    </w:rPr>
  </w:style>
  <w:style w:type="character" w:customStyle="1" w:styleId="DashEm1Char">
    <w:name w:val="Dash: Em 1 Char"/>
    <w:aliases w:val="-EM Char"/>
    <w:basedOn w:val="PlainParagraphChar"/>
    <w:link w:val="DashEm1"/>
    <w:uiPriority w:val="3"/>
    <w:semiHidden/>
    <w:rPr>
      <w:rFonts w:ascii="Arial" w:hAnsi="Arial" w:cs="Arial"/>
      <w:sz w:val="22"/>
      <w:szCs w:val="22"/>
    </w:rPr>
  </w:style>
  <w:style w:type="character" w:customStyle="1" w:styleId="DashEn1Char">
    <w:name w:val="Dash: En 1 Char"/>
    <w:aliases w:val="-EN Char"/>
    <w:basedOn w:val="DefaultParagraphFont"/>
    <w:link w:val="DashEn1"/>
    <w:uiPriority w:val="3"/>
    <w:rPr>
      <w:rFonts w:ascii="Arial" w:hAnsi="Arial" w:cs="Arial"/>
      <w:sz w:val="22"/>
      <w:szCs w:val="22"/>
    </w:rPr>
  </w:style>
  <w:style w:type="paragraph" w:customStyle="1" w:styleId="DashEM1forOutlook">
    <w:name w:val="Dash EM1 for Outlook"/>
    <w:basedOn w:val="DashEm1"/>
    <w:uiPriority w:val="98"/>
    <w:semiHidden/>
    <w:pPr>
      <w:numPr>
        <w:numId w:val="19"/>
      </w:numPr>
    </w:pPr>
    <w:rPr>
      <w:lang w:val="en-US"/>
    </w:rPr>
  </w:style>
  <w:style w:type="paragraph" w:customStyle="1" w:styleId="DashEN1forOutlook">
    <w:name w:val="Dash EN1 for Outlook"/>
    <w:basedOn w:val="DashEn1"/>
    <w:uiPriority w:val="98"/>
    <w:semiHidden/>
    <w:pPr>
      <w:numPr>
        <w:numId w:val="19"/>
      </w:numPr>
    </w:pPr>
  </w:style>
  <w:style w:type="paragraph" w:customStyle="1" w:styleId="ClassificationDLMheader">
    <w:name w:val="Classification DLM: header"/>
    <w:basedOn w:val="ClassificationDLMfooter"/>
    <w:uiPriority w:val="20"/>
    <w:semiHidden/>
  </w:style>
  <w:style w:type="paragraph" w:customStyle="1" w:styleId="ClassificationDLMfooter">
    <w:name w:val="Classification DLM: footer"/>
    <w:uiPriority w:val="20"/>
    <w:semiHidden/>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pPr>
      <w:ind w:left="3060"/>
    </w:pPr>
    <w:rPr>
      <w:rFonts w:cs="Times New Roman"/>
      <w:szCs w:val="20"/>
    </w:rPr>
  </w:style>
  <w:style w:type="paragraph" w:customStyle="1" w:styleId="LegislativeNote">
    <w:name w:val="Legislative Note"/>
    <w:aliases w:val="LN"/>
    <w:basedOn w:val="Leg4Subsec1"/>
    <w:uiPriority w:val="5"/>
    <w:qFormat/>
    <w:pPr>
      <w:ind w:left="2127" w:hanging="851"/>
    </w:pPr>
    <w:rPr>
      <w:rFonts w:cs="Times New Roman"/>
      <w:sz w:val="16"/>
      <w:szCs w:val="20"/>
    </w:rPr>
  </w:style>
  <w:style w:type="paragraph" w:customStyle="1" w:styleId="Dot1">
    <w:name w:val="Dot1"/>
    <w:aliases w:val="DOT"/>
    <w:basedOn w:val="DashEm1"/>
    <w:link w:val="Dot1Char"/>
    <w:uiPriority w:val="2"/>
    <w:qFormat/>
    <w:pPr>
      <w:numPr>
        <w:ilvl w:val="1"/>
        <w:numId w:val="20"/>
      </w:numPr>
    </w:pPr>
  </w:style>
  <w:style w:type="character" w:customStyle="1" w:styleId="Dot1Char">
    <w:name w:val="Dot1 Char"/>
    <w:aliases w:val="DOT Char"/>
    <w:basedOn w:val="DashEm1Char"/>
    <w:link w:val="Dot1"/>
    <w:uiPriority w:val="2"/>
    <w:rPr>
      <w:rFonts w:ascii="Arial" w:hAnsi="Arial" w:cs="Arial"/>
      <w:sz w:val="22"/>
      <w:szCs w:val="22"/>
    </w:rPr>
  </w:style>
  <w:style w:type="paragraph" w:customStyle="1" w:styleId="Dot">
    <w:name w:val="Dot"/>
    <w:basedOn w:val="Dot1"/>
    <w:uiPriority w:val="2"/>
    <w:semiHidden/>
    <w:pPr>
      <w:numPr>
        <w:ilvl w:val="0"/>
        <w:numId w:val="0"/>
      </w:numPr>
      <w:tabs>
        <w:tab w:val="num" w:pos="425"/>
      </w:tabs>
      <w:ind w:left="425" w:hanging="425"/>
    </w:pPr>
  </w:style>
  <w:style w:type="paragraph" w:customStyle="1" w:styleId="Dot1forOutlook">
    <w:name w:val="Dot1 for Outlook"/>
    <w:basedOn w:val="DashEM1forOutlook"/>
    <w:uiPriority w:val="98"/>
    <w:semiHidden/>
    <w:pPr>
      <w:numPr>
        <w:numId w:val="21"/>
      </w:numPr>
    </w:pPr>
  </w:style>
  <w:style w:type="character" w:customStyle="1" w:styleId="OGCSubbrand">
    <w:name w:val="OGCSubbrand"/>
    <w:basedOn w:val="DefaultParagraphFont"/>
    <w:uiPriority w:val="9"/>
    <w:semiHidden/>
    <w:rPr>
      <w:rFonts w:ascii="Arial" w:hAnsi="Arial" w:cs="Arial"/>
      <w:b/>
      <w:i/>
      <w:sz w:val="20"/>
      <w:szCs w:val="22"/>
    </w:rPr>
  </w:style>
  <w:style w:type="paragraph" w:customStyle="1" w:styleId="TableDot">
    <w:name w:val="Table: Dot"/>
    <w:basedOn w:val="TableDashEm1"/>
    <w:uiPriority w:val="12"/>
    <w:semiHidden/>
    <w:pPr>
      <w:numPr>
        <w:numId w:val="22"/>
      </w:numPr>
    </w:pPr>
  </w:style>
  <w:style w:type="paragraph" w:customStyle="1" w:styleId="TableDot1">
    <w:name w:val="Table: Dot1"/>
    <w:basedOn w:val="TableDot"/>
    <w:uiPriority w:val="12"/>
    <w:pPr>
      <w:numPr>
        <w:ilvl w:val="1"/>
      </w:numPr>
    </w:pPr>
  </w:style>
  <w:style w:type="paragraph" w:customStyle="1" w:styleId="Body">
    <w:name w:val="Body"/>
    <w:pPr>
      <w:pBdr>
        <w:top w:val="nil"/>
        <w:left w:val="nil"/>
        <w:bottom w:val="nil"/>
        <w:right w:val="nil"/>
        <w:between w:val="nil"/>
        <w:bar w:val="nil"/>
      </w:pBdr>
      <w:spacing w:before="40" w:after="120" w:line="280" w:lineRule="atLeast"/>
    </w:pPr>
    <w:rPr>
      <w:rFonts w:ascii="Arial" w:eastAsia="Arial" w:hAnsi="Arial" w:cs="Arial"/>
      <w:color w:val="000000"/>
      <w:u w:color="000000"/>
      <w:bdr w:val="nil"/>
    </w:rPr>
  </w:style>
  <w:style w:type="character" w:customStyle="1" w:styleId="HeaderChar">
    <w:name w:val="Header Char"/>
    <w:basedOn w:val="DefaultParagraphFont"/>
    <w:link w:val="Header"/>
    <w:uiPriority w:val="99"/>
    <w:rPr>
      <w:rFonts w:ascii="Arial" w:hAnsi="Arial" w:cs="Arial"/>
      <w:szCs w:val="22"/>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customStyle="1" w:styleId="paragraph">
    <w:name w:val="paragraph"/>
    <w:aliases w:val="a"/>
    <w:basedOn w:val="Normal"/>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FooterChar">
    <w:name w:val="Footer Char"/>
    <w:basedOn w:val="DefaultParagraphFont"/>
    <w:link w:val="Footer"/>
    <w:uiPriority w:val="99"/>
    <w:rsid w:val="00153B0A"/>
    <w:rPr>
      <w:rFonts w:ascii="Arial" w:hAnsi="Arial" w:cs="Arial"/>
      <w:sz w:val="16"/>
      <w:szCs w:val="22"/>
    </w:rPr>
  </w:style>
  <w:style w:type="numbering" w:customStyle="1" w:styleId="NoList1">
    <w:name w:val="No List1"/>
    <w:next w:val="NoList"/>
    <w:uiPriority w:val="99"/>
    <w:semiHidden/>
    <w:unhideWhenUsed/>
    <w:rsid w:val="00C807F6"/>
  </w:style>
  <w:style w:type="character" w:customStyle="1" w:styleId="BalloonTextChar">
    <w:name w:val="Balloon Text Char"/>
    <w:basedOn w:val="DefaultParagraphFont"/>
    <w:link w:val="BalloonText"/>
    <w:uiPriority w:val="99"/>
    <w:semiHidden/>
    <w:rsid w:val="00C807F6"/>
    <w:rPr>
      <w:rFonts w:ascii="Tahoma" w:eastAsiaTheme="minorHAnsi" w:hAnsi="Tahoma" w:cs="Tahoma"/>
      <w:sz w:val="16"/>
      <w:szCs w:val="16"/>
      <w:lang w:eastAsia="en-US"/>
    </w:rPr>
  </w:style>
  <w:style w:type="numbering" w:customStyle="1" w:styleId="KeyPoints">
    <w:name w:val="Key Points"/>
    <w:basedOn w:val="NoList"/>
    <w:uiPriority w:val="99"/>
    <w:rsid w:val="00C807F6"/>
    <w:pPr>
      <w:numPr>
        <w:numId w:val="32"/>
      </w:numPr>
    </w:pPr>
  </w:style>
  <w:style w:type="paragraph" w:customStyle="1" w:styleId="1NumberedPointsStyle">
    <w:name w:val="1. Numbered Points Style"/>
    <w:basedOn w:val="ListParagraph"/>
    <w:rsid w:val="00C807F6"/>
    <w:pPr>
      <w:ind w:left="0"/>
    </w:pPr>
    <w:rPr>
      <w:rFonts w:ascii="Arial" w:eastAsia="Calibri" w:hAnsi="Arial" w:cs="Times New Roman"/>
    </w:rPr>
  </w:style>
  <w:style w:type="numbering" w:customStyle="1" w:styleId="BulletList">
    <w:name w:val="Bullet List"/>
    <w:uiPriority w:val="99"/>
    <w:rsid w:val="00C807F6"/>
    <w:pPr>
      <w:numPr>
        <w:numId w:val="33"/>
      </w:numPr>
    </w:pPr>
  </w:style>
  <w:style w:type="paragraph" w:customStyle="1" w:styleId="1BulletStyleList">
    <w:name w:val="1. Bullet Style List"/>
    <w:basedOn w:val="Normal"/>
    <w:rsid w:val="00C807F6"/>
    <w:pPr>
      <w:spacing w:line="240" w:lineRule="auto"/>
    </w:pPr>
    <w:rPr>
      <w:rFonts w:ascii="Arial" w:eastAsia="Times New Roman" w:hAnsi="Arial" w:cs="Times New Roman"/>
      <w:szCs w:val="20"/>
      <w:lang w:eastAsia="en-AU"/>
    </w:rPr>
  </w:style>
  <w:style w:type="numbering" w:customStyle="1" w:styleId="Attach">
    <w:name w:val="Attach"/>
    <w:basedOn w:val="NoList"/>
    <w:uiPriority w:val="99"/>
    <w:rsid w:val="00C807F6"/>
    <w:pPr>
      <w:numPr>
        <w:numId w:val="34"/>
      </w:numPr>
    </w:pPr>
  </w:style>
  <w:style w:type="paragraph" w:customStyle="1" w:styleId="Classification">
    <w:name w:val="Classification"/>
    <w:basedOn w:val="Normal"/>
    <w:uiPriority w:val="10"/>
    <w:qFormat/>
    <w:rsid w:val="00C807F6"/>
    <w:pPr>
      <w:tabs>
        <w:tab w:val="center" w:pos="4536"/>
        <w:tab w:val="center" w:pos="4819"/>
        <w:tab w:val="right" w:pos="9356"/>
      </w:tabs>
      <w:spacing w:after="240"/>
      <w:jc w:val="center"/>
    </w:pPr>
    <w:rPr>
      <w:rFonts w:ascii="Arial" w:eastAsia="Times New Roman" w:hAnsi="Arial" w:cs="Arial"/>
      <w:color w:val="FF0000"/>
      <w:sz w:val="28"/>
      <w:szCs w:val="28"/>
      <w:lang w:eastAsia="en-AU"/>
    </w:rPr>
  </w:style>
  <w:style w:type="character" w:styleId="BookTitle">
    <w:name w:val="Book Title"/>
    <w:basedOn w:val="DefaultParagraphFont"/>
    <w:uiPriority w:val="33"/>
    <w:rsid w:val="00C807F6"/>
    <w:rPr>
      <w:bCs/>
      <w:i/>
      <w:smallCaps/>
      <w:spacing w:val="5"/>
    </w:rPr>
  </w:style>
  <w:style w:type="paragraph" w:customStyle="1" w:styleId="Footerclassification">
    <w:name w:val="Footer classification"/>
    <w:basedOn w:val="Classification"/>
    <w:rsid w:val="00C807F6"/>
    <w:pPr>
      <w:spacing w:before="240" w:after="0"/>
    </w:pPr>
  </w:style>
  <w:style w:type="table" w:customStyle="1" w:styleId="TableGrid10">
    <w:name w:val="Table Grid1"/>
    <w:basedOn w:val="TableNormal"/>
    <w:next w:val="TableGrid"/>
    <w:uiPriority w:val="59"/>
    <w:rsid w:val="00C807F6"/>
    <w:rPr>
      <w:rFonts w:ascii="Arial" w:eastAsia="Calibri"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0">
    <w:name w:val="Table text"/>
    <w:basedOn w:val="Normal"/>
    <w:uiPriority w:val="9"/>
    <w:qFormat/>
    <w:rsid w:val="00C807F6"/>
    <w:pPr>
      <w:spacing w:after="0"/>
    </w:pPr>
    <w:rPr>
      <w:rFonts w:ascii="Arial" w:eastAsia="Calibri" w:hAnsi="Arial" w:cs="Times New Roman"/>
    </w:rPr>
  </w:style>
  <w:style w:type="paragraph" w:customStyle="1" w:styleId="Classificationsensitivity">
    <w:name w:val="Classification sensitivity"/>
    <w:basedOn w:val="Classification"/>
    <w:rsid w:val="00C807F6"/>
    <w:rPr>
      <w:sz w:val="22"/>
    </w:rPr>
  </w:style>
  <w:style w:type="character" w:customStyle="1" w:styleId="TitleChar">
    <w:name w:val="Title Char"/>
    <w:basedOn w:val="DefaultParagraphFont"/>
    <w:link w:val="Title"/>
    <w:uiPriority w:val="10"/>
    <w:rsid w:val="00C807F6"/>
    <w:rPr>
      <w:rFonts w:asciiTheme="majorHAnsi" w:eastAsiaTheme="majorEastAsia" w:hAnsiTheme="majorHAnsi" w:cstheme="majorBidi"/>
      <w:b/>
      <w:bCs/>
      <w:kern w:val="28"/>
      <w:sz w:val="32"/>
      <w:szCs w:val="32"/>
      <w:lang w:eastAsia="en-US"/>
    </w:rPr>
  </w:style>
  <w:style w:type="character" w:customStyle="1" w:styleId="CommentSubjectChar">
    <w:name w:val="Comment Subject Char"/>
    <w:basedOn w:val="CommentTextChar"/>
    <w:link w:val="CommentSubject"/>
    <w:uiPriority w:val="99"/>
    <w:semiHidden/>
    <w:rsid w:val="00C807F6"/>
    <w:rPr>
      <w:rFonts w:asciiTheme="minorHAnsi" w:eastAsiaTheme="minorHAnsi" w:hAnsiTheme="minorHAnsi" w:cstheme="minorBidi"/>
      <w:b/>
      <w:bCs/>
      <w:lang w:eastAsia="en-US"/>
    </w:rPr>
  </w:style>
  <w:style w:type="character" w:customStyle="1" w:styleId="FootnoteTextChar">
    <w:name w:val="Footnote Text Char"/>
    <w:basedOn w:val="DefaultParagraphFont"/>
    <w:link w:val="FootnoteText"/>
    <w:uiPriority w:val="99"/>
    <w:rsid w:val="00C807F6"/>
    <w:rPr>
      <w:rFonts w:ascii="Arial" w:hAnsi="Arial" w:cs="Arial"/>
      <w:sz w:val="18"/>
    </w:rPr>
  </w:style>
  <w:style w:type="paragraph" w:customStyle="1" w:styleId="Default">
    <w:name w:val="Default"/>
    <w:rsid w:val="00C807F6"/>
    <w:pPr>
      <w:autoSpaceDE w:val="0"/>
      <w:autoSpaceDN w:val="0"/>
      <w:adjustRightInd w:val="0"/>
    </w:pPr>
    <w:rPr>
      <w:rFonts w:ascii="Calibri" w:eastAsia="Calibri" w:hAnsi="Calibri" w:cs="Calibri"/>
      <w:color w:val="000000"/>
      <w:sz w:val="24"/>
      <w:szCs w:val="24"/>
    </w:rPr>
  </w:style>
  <w:style w:type="table" w:customStyle="1" w:styleId="PlainTable11">
    <w:name w:val="Plain Table 11"/>
    <w:basedOn w:val="TableNormal"/>
    <w:next w:val="PlainTable1"/>
    <w:uiPriority w:val="41"/>
    <w:rsid w:val="00C807F6"/>
    <w:rPr>
      <w:rFonts w:ascii="Arial" w:eastAsia="Calibri" w:hAnsi="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ubtleEmphasis1">
    <w:name w:val="Subtle Emphasis1"/>
    <w:basedOn w:val="DefaultParagraphFont"/>
    <w:uiPriority w:val="19"/>
    <w:qFormat/>
    <w:rsid w:val="00C807F6"/>
    <w:rPr>
      <w:i/>
      <w:iCs/>
      <w:color w:val="404040"/>
    </w:rPr>
  </w:style>
  <w:style w:type="character" w:customStyle="1" w:styleId="programheading3Char">
    <w:name w:val="program heading 3 Char"/>
    <w:basedOn w:val="DefaultParagraphFont"/>
    <w:link w:val="programheading3"/>
    <w:locked/>
    <w:rsid w:val="00C807F6"/>
    <w:rPr>
      <w:rFonts w:ascii="Calibri" w:hAnsi="Calibri" w:cs="Calibri"/>
      <w:color w:val="44546A"/>
      <w:sz w:val="22"/>
      <w:szCs w:val="22"/>
      <w:lang w:val="x-none" w:eastAsia="en-US"/>
    </w:rPr>
  </w:style>
  <w:style w:type="paragraph" w:customStyle="1" w:styleId="programheading3">
    <w:name w:val="program heading 3"/>
    <w:basedOn w:val="Normal"/>
    <w:link w:val="programheading3Char"/>
    <w:rsid w:val="00C807F6"/>
    <w:pPr>
      <w:numPr>
        <w:ilvl w:val="2"/>
        <w:numId w:val="34"/>
      </w:numPr>
      <w:spacing w:line="240" w:lineRule="auto"/>
    </w:pPr>
    <w:rPr>
      <w:rFonts w:ascii="Calibri" w:eastAsia="Times New Roman" w:hAnsi="Calibri" w:cs="Calibri"/>
      <w:color w:val="44546A"/>
      <w:lang w:val="x-none"/>
    </w:rPr>
  </w:style>
  <w:style w:type="character" w:styleId="SubtleEmphasis">
    <w:name w:val="Subtle Emphasis"/>
    <w:basedOn w:val="DefaultParagraphFont"/>
    <w:uiPriority w:val="98"/>
    <w:semiHidden/>
    <w:rsid w:val="00C807F6"/>
    <w:rPr>
      <w:i/>
      <w:iCs/>
      <w:color w:val="404040" w:themeColor="text1" w:themeTint="BF"/>
    </w:rPr>
  </w:style>
  <w:style w:type="character" w:customStyle="1" w:styleId="QuoteChar">
    <w:name w:val="Quote Char"/>
    <w:basedOn w:val="DefaultParagraphFont"/>
    <w:link w:val="Quote"/>
    <w:uiPriority w:val="29"/>
    <w:rsid w:val="002A5C3F"/>
    <w:rPr>
      <w:rFonts w:asciiTheme="minorHAnsi" w:eastAsiaTheme="minorHAnsi" w:hAnsiTheme="minorHAnsi" w:cstheme="minorBidi"/>
      <w:i/>
      <w:iCs/>
      <w:color w:val="000000" w:themeColor="text1"/>
      <w:sz w:val="22"/>
      <w:szCs w:val="22"/>
      <w:lang w:eastAsia="en-US"/>
    </w:rPr>
  </w:style>
  <w:style w:type="character" w:customStyle="1" w:styleId="ListParagraphChar">
    <w:name w:val="List Paragraph Char"/>
    <w:aliases w:val="1 heading Char,Bullet point Char,Bulleted Para Char,CAB - List Bullet Char,CV text Char,Dot point 1.5 line spacing Char,Dot pt Char,FooterText Char,L Char,List Bullet Cab Char,List Paragraph - bullets Char,List Paragraph1 Char"/>
    <w:link w:val="ListParagraph"/>
    <w:uiPriority w:val="34"/>
    <w:qFormat/>
    <w:locked/>
    <w:rsid w:val="005C690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51815">
      <w:bodyDiv w:val="1"/>
      <w:marLeft w:val="0"/>
      <w:marRight w:val="0"/>
      <w:marTop w:val="0"/>
      <w:marBottom w:val="0"/>
      <w:divBdr>
        <w:top w:val="none" w:sz="0" w:space="0" w:color="auto"/>
        <w:left w:val="none" w:sz="0" w:space="0" w:color="auto"/>
        <w:bottom w:val="none" w:sz="0" w:space="0" w:color="auto"/>
        <w:right w:val="none" w:sz="0" w:space="0" w:color="auto"/>
      </w:divBdr>
      <w:divsChild>
        <w:div w:id="883179585">
          <w:marLeft w:val="0"/>
          <w:marRight w:val="0"/>
          <w:marTop w:val="0"/>
          <w:marBottom w:val="0"/>
          <w:divBdr>
            <w:top w:val="none" w:sz="0" w:space="0" w:color="auto"/>
            <w:left w:val="none" w:sz="0" w:space="0" w:color="auto"/>
            <w:bottom w:val="none" w:sz="0" w:space="0" w:color="auto"/>
            <w:right w:val="none" w:sz="0" w:space="0" w:color="auto"/>
          </w:divBdr>
          <w:divsChild>
            <w:div w:id="1214466445">
              <w:marLeft w:val="0"/>
              <w:marRight w:val="0"/>
              <w:marTop w:val="0"/>
              <w:marBottom w:val="0"/>
              <w:divBdr>
                <w:top w:val="none" w:sz="0" w:space="0" w:color="auto"/>
                <w:left w:val="none" w:sz="0" w:space="0" w:color="auto"/>
                <w:bottom w:val="none" w:sz="0" w:space="0" w:color="auto"/>
                <w:right w:val="none" w:sz="0" w:space="0" w:color="auto"/>
              </w:divBdr>
              <w:divsChild>
                <w:div w:id="1748843473">
                  <w:marLeft w:val="0"/>
                  <w:marRight w:val="0"/>
                  <w:marTop w:val="0"/>
                  <w:marBottom w:val="0"/>
                  <w:divBdr>
                    <w:top w:val="none" w:sz="0" w:space="0" w:color="auto"/>
                    <w:left w:val="none" w:sz="0" w:space="0" w:color="auto"/>
                    <w:bottom w:val="none" w:sz="0" w:space="0" w:color="auto"/>
                    <w:right w:val="none" w:sz="0" w:space="0" w:color="auto"/>
                  </w:divBdr>
                  <w:divsChild>
                    <w:div w:id="107823615">
                      <w:marLeft w:val="0"/>
                      <w:marRight w:val="0"/>
                      <w:marTop w:val="0"/>
                      <w:marBottom w:val="0"/>
                      <w:divBdr>
                        <w:top w:val="none" w:sz="0" w:space="0" w:color="auto"/>
                        <w:left w:val="none" w:sz="0" w:space="0" w:color="auto"/>
                        <w:bottom w:val="none" w:sz="0" w:space="0" w:color="auto"/>
                        <w:right w:val="none" w:sz="0" w:space="0" w:color="auto"/>
                      </w:divBdr>
                      <w:divsChild>
                        <w:div w:id="1710453418">
                          <w:marLeft w:val="0"/>
                          <w:marRight w:val="0"/>
                          <w:marTop w:val="0"/>
                          <w:marBottom w:val="0"/>
                          <w:divBdr>
                            <w:top w:val="none" w:sz="0" w:space="0" w:color="auto"/>
                            <w:left w:val="none" w:sz="0" w:space="0" w:color="auto"/>
                            <w:bottom w:val="none" w:sz="0" w:space="0" w:color="auto"/>
                            <w:right w:val="none" w:sz="0" w:space="0" w:color="auto"/>
                          </w:divBdr>
                          <w:divsChild>
                            <w:div w:id="785344365">
                              <w:marLeft w:val="0"/>
                              <w:marRight w:val="0"/>
                              <w:marTop w:val="0"/>
                              <w:marBottom w:val="0"/>
                              <w:divBdr>
                                <w:top w:val="none" w:sz="0" w:space="0" w:color="auto"/>
                                <w:left w:val="none" w:sz="0" w:space="0" w:color="auto"/>
                                <w:bottom w:val="none" w:sz="0" w:space="0" w:color="auto"/>
                                <w:right w:val="none" w:sz="0" w:space="0" w:color="auto"/>
                              </w:divBdr>
                              <w:divsChild>
                                <w:div w:id="1603031951">
                                  <w:marLeft w:val="0"/>
                                  <w:marRight w:val="0"/>
                                  <w:marTop w:val="0"/>
                                  <w:marBottom w:val="0"/>
                                  <w:divBdr>
                                    <w:top w:val="none" w:sz="0" w:space="0" w:color="auto"/>
                                    <w:left w:val="none" w:sz="0" w:space="0" w:color="auto"/>
                                    <w:bottom w:val="none" w:sz="0" w:space="0" w:color="auto"/>
                                    <w:right w:val="none" w:sz="0" w:space="0" w:color="auto"/>
                                  </w:divBdr>
                                  <w:divsChild>
                                    <w:div w:id="255986451">
                                      <w:marLeft w:val="0"/>
                                      <w:marRight w:val="0"/>
                                      <w:marTop w:val="0"/>
                                      <w:marBottom w:val="0"/>
                                      <w:divBdr>
                                        <w:top w:val="none" w:sz="0" w:space="0" w:color="auto"/>
                                        <w:left w:val="none" w:sz="0" w:space="0" w:color="auto"/>
                                        <w:bottom w:val="none" w:sz="0" w:space="0" w:color="auto"/>
                                        <w:right w:val="none" w:sz="0" w:space="0" w:color="auto"/>
                                      </w:divBdr>
                                      <w:divsChild>
                                        <w:div w:id="1798059132">
                                          <w:marLeft w:val="0"/>
                                          <w:marRight w:val="0"/>
                                          <w:marTop w:val="0"/>
                                          <w:marBottom w:val="0"/>
                                          <w:divBdr>
                                            <w:top w:val="none" w:sz="0" w:space="0" w:color="auto"/>
                                            <w:left w:val="none" w:sz="0" w:space="0" w:color="auto"/>
                                            <w:bottom w:val="none" w:sz="0" w:space="0" w:color="auto"/>
                                            <w:right w:val="none" w:sz="0" w:space="0" w:color="auto"/>
                                          </w:divBdr>
                                          <w:divsChild>
                                            <w:div w:id="762647409">
                                              <w:marLeft w:val="0"/>
                                              <w:marRight w:val="0"/>
                                              <w:marTop w:val="0"/>
                                              <w:marBottom w:val="0"/>
                                              <w:divBdr>
                                                <w:top w:val="none" w:sz="0" w:space="0" w:color="auto"/>
                                                <w:left w:val="none" w:sz="0" w:space="0" w:color="auto"/>
                                                <w:bottom w:val="none" w:sz="0" w:space="0" w:color="auto"/>
                                                <w:right w:val="none" w:sz="0" w:space="0" w:color="auto"/>
                                              </w:divBdr>
                                              <w:divsChild>
                                                <w:div w:id="1942758617">
                                                  <w:marLeft w:val="0"/>
                                                  <w:marRight w:val="0"/>
                                                  <w:marTop w:val="0"/>
                                                  <w:marBottom w:val="0"/>
                                                  <w:divBdr>
                                                    <w:top w:val="none" w:sz="0" w:space="0" w:color="auto"/>
                                                    <w:left w:val="none" w:sz="0" w:space="0" w:color="auto"/>
                                                    <w:bottom w:val="none" w:sz="0" w:space="0" w:color="auto"/>
                                                    <w:right w:val="none" w:sz="0" w:space="0" w:color="auto"/>
                                                  </w:divBdr>
                                                  <w:divsChild>
                                                    <w:div w:id="950404379">
                                                      <w:marLeft w:val="0"/>
                                                      <w:marRight w:val="0"/>
                                                      <w:marTop w:val="0"/>
                                                      <w:marBottom w:val="0"/>
                                                      <w:divBdr>
                                                        <w:top w:val="none" w:sz="0" w:space="0" w:color="auto"/>
                                                        <w:left w:val="none" w:sz="0" w:space="0" w:color="auto"/>
                                                        <w:bottom w:val="none" w:sz="0" w:space="0" w:color="auto"/>
                                                        <w:right w:val="none" w:sz="0" w:space="0" w:color="auto"/>
                                                      </w:divBdr>
                                                      <w:divsChild>
                                                        <w:div w:id="126229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2008793">
      <w:bodyDiv w:val="1"/>
      <w:marLeft w:val="0"/>
      <w:marRight w:val="0"/>
      <w:marTop w:val="0"/>
      <w:marBottom w:val="0"/>
      <w:divBdr>
        <w:top w:val="none" w:sz="0" w:space="0" w:color="auto"/>
        <w:left w:val="none" w:sz="0" w:space="0" w:color="auto"/>
        <w:bottom w:val="none" w:sz="0" w:space="0" w:color="auto"/>
        <w:right w:val="none" w:sz="0" w:space="0" w:color="auto"/>
      </w:divBdr>
      <w:divsChild>
        <w:div w:id="439689712">
          <w:marLeft w:val="0"/>
          <w:marRight w:val="0"/>
          <w:marTop w:val="0"/>
          <w:marBottom w:val="0"/>
          <w:divBdr>
            <w:top w:val="none" w:sz="0" w:space="0" w:color="auto"/>
            <w:left w:val="none" w:sz="0" w:space="0" w:color="auto"/>
            <w:bottom w:val="none" w:sz="0" w:space="0" w:color="auto"/>
            <w:right w:val="none" w:sz="0" w:space="0" w:color="auto"/>
          </w:divBdr>
          <w:divsChild>
            <w:div w:id="1688367633">
              <w:marLeft w:val="0"/>
              <w:marRight w:val="0"/>
              <w:marTop w:val="0"/>
              <w:marBottom w:val="0"/>
              <w:divBdr>
                <w:top w:val="none" w:sz="0" w:space="0" w:color="auto"/>
                <w:left w:val="none" w:sz="0" w:space="0" w:color="auto"/>
                <w:bottom w:val="none" w:sz="0" w:space="0" w:color="auto"/>
                <w:right w:val="none" w:sz="0" w:space="0" w:color="auto"/>
              </w:divBdr>
              <w:divsChild>
                <w:div w:id="514274247">
                  <w:marLeft w:val="0"/>
                  <w:marRight w:val="0"/>
                  <w:marTop w:val="0"/>
                  <w:marBottom w:val="0"/>
                  <w:divBdr>
                    <w:top w:val="none" w:sz="0" w:space="0" w:color="auto"/>
                    <w:left w:val="none" w:sz="0" w:space="0" w:color="auto"/>
                    <w:bottom w:val="none" w:sz="0" w:space="0" w:color="auto"/>
                    <w:right w:val="none" w:sz="0" w:space="0" w:color="auto"/>
                  </w:divBdr>
                  <w:divsChild>
                    <w:div w:id="140392933">
                      <w:marLeft w:val="0"/>
                      <w:marRight w:val="0"/>
                      <w:marTop w:val="0"/>
                      <w:marBottom w:val="0"/>
                      <w:divBdr>
                        <w:top w:val="none" w:sz="0" w:space="0" w:color="auto"/>
                        <w:left w:val="none" w:sz="0" w:space="0" w:color="auto"/>
                        <w:bottom w:val="none" w:sz="0" w:space="0" w:color="auto"/>
                        <w:right w:val="none" w:sz="0" w:space="0" w:color="auto"/>
                      </w:divBdr>
                      <w:divsChild>
                        <w:div w:id="2059891967">
                          <w:marLeft w:val="0"/>
                          <w:marRight w:val="0"/>
                          <w:marTop w:val="0"/>
                          <w:marBottom w:val="0"/>
                          <w:divBdr>
                            <w:top w:val="none" w:sz="0" w:space="0" w:color="auto"/>
                            <w:left w:val="none" w:sz="0" w:space="0" w:color="auto"/>
                            <w:bottom w:val="none" w:sz="0" w:space="0" w:color="auto"/>
                            <w:right w:val="none" w:sz="0" w:space="0" w:color="auto"/>
                          </w:divBdr>
                          <w:divsChild>
                            <w:div w:id="839655569">
                              <w:marLeft w:val="0"/>
                              <w:marRight w:val="0"/>
                              <w:marTop w:val="0"/>
                              <w:marBottom w:val="0"/>
                              <w:divBdr>
                                <w:top w:val="none" w:sz="0" w:space="0" w:color="auto"/>
                                <w:left w:val="none" w:sz="0" w:space="0" w:color="auto"/>
                                <w:bottom w:val="none" w:sz="0" w:space="0" w:color="auto"/>
                                <w:right w:val="none" w:sz="0" w:space="0" w:color="auto"/>
                              </w:divBdr>
                              <w:divsChild>
                                <w:div w:id="59528269">
                                  <w:marLeft w:val="0"/>
                                  <w:marRight w:val="0"/>
                                  <w:marTop w:val="0"/>
                                  <w:marBottom w:val="0"/>
                                  <w:divBdr>
                                    <w:top w:val="none" w:sz="0" w:space="0" w:color="auto"/>
                                    <w:left w:val="none" w:sz="0" w:space="0" w:color="auto"/>
                                    <w:bottom w:val="none" w:sz="0" w:space="0" w:color="auto"/>
                                    <w:right w:val="none" w:sz="0" w:space="0" w:color="auto"/>
                                  </w:divBdr>
                                  <w:divsChild>
                                    <w:div w:id="1999383552">
                                      <w:marLeft w:val="0"/>
                                      <w:marRight w:val="0"/>
                                      <w:marTop w:val="0"/>
                                      <w:marBottom w:val="0"/>
                                      <w:divBdr>
                                        <w:top w:val="none" w:sz="0" w:space="0" w:color="auto"/>
                                        <w:left w:val="none" w:sz="0" w:space="0" w:color="auto"/>
                                        <w:bottom w:val="none" w:sz="0" w:space="0" w:color="auto"/>
                                        <w:right w:val="none" w:sz="0" w:space="0" w:color="auto"/>
                                      </w:divBdr>
                                      <w:divsChild>
                                        <w:div w:id="899898684">
                                          <w:marLeft w:val="0"/>
                                          <w:marRight w:val="0"/>
                                          <w:marTop w:val="0"/>
                                          <w:marBottom w:val="0"/>
                                          <w:divBdr>
                                            <w:top w:val="none" w:sz="0" w:space="0" w:color="auto"/>
                                            <w:left w:val="none" w:sz="0" w:space="0" w:color="auto"/>
                                            <w:bottom w:val="none" w:sz="0" w:space="0" w:color="auto"/>
                                            <w:right w:val="none" w:sz="0" w:space="0" w:color="auto"/>
                                          </w:divBdr>
                                          <w:divsChild>
                                            <w:div w:id="1743134700">
                                              <w:marLeft w:val="0"/>
                                              <w:marRight w:val="0"/>
                                              <w:marTop w:val="0"/>
                                              <w:marBottom w:val="0"/>
                                              <w:divBdr>
                                                <w:top w:val="none" w:sz="0" w:space="0" w:color="auto"/>
                                                <w:left w:val="none" w:sz="0" w:space="0" w:color="auto"/>
                                                <w:bottom w:val="none" w:sz="0" w:space="0" w:color="auto"/>
                                                <w:right w:val="none" w:sz="0" w:space="0" w:color="auto"/>
                                              </w:divBdr>
                                              <w:divsChild>
                                                <w:div w:id="508906964">
                                                  <w:marLeft w:val="0"/>
                                                  <w:marRight w:val="0"/>
                                                  <w:marTop w:val="0"/>
                                                  <w:marBottom w:val="0"/>
                                                  <w:divBdr>
                                                    <w:top w:val="none" w:sz="0" w:space="0" w:color="auto"/>
                                                    <w:left w:val="none" w:sz="0" w:space="0" w:color="auto"/>
                                                    <w:bottom w:val="none" w:sz="0" w:space="0" w:color="auto"/>
                                                    <w:right w:val="none" w:sz="0" w:space="0" w:color="auto"/>
                                                  </w:divBdr>
                                                  <w:divsChild>
                                                    <w:div w:id="44067368">
                                                      <w:marLeft w:val="0"/>
                                                      <w:marRight w:val="0"/>
                                                      <w:marTop w:val="0"/>
                                                      <w:marBottom w:val="0"/>
                                                      <w:divBdr>
                                                        <w:top w:val="none" w:sz="0" w:space="0" w:color="auto"/>
                                                        <w:left w:val="none" w:sz="0" w:space="0" w:color="auto"/>
                                                        <w:bottom w:val="none" w:sz="0" w:space="0" w:color="auto"/>
                                                        <w:right w:val="none" w:sz="0" w:space="0" w:color="auto"/>
                                                      </w:divBdr>
                                                      <w:divsChild>
                                                        <w:div w:id="9015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593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Details/F2017L01097"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hyperlink" Target="https://www.energy.gov.au/publications/underwriting-new-generation-investment-program-registrations-interest-guidance-docume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leanenergyregulator.gov.au/RET/About-the-Renewable-Energy-Target/Large-scale-Renewable-Energy-Target-market-data" TargetMode="External"/><Relationship Id="rId2" Type="http://schemas.openxmlformats.org/officeDocument/2006/relationships/hyperlink" Target="https://www.aemo.com.au/Electricity/National-Electricity-Market-NEM/Planning-and-forecasting/Generation-information" TargetMode="External"/><Relationship Id="rId1" Type="http://schemas.openxmlformats.org/officeDocument/2006/relationships/hyperlink" Target="https://www.aemo.com.au/Electricity/National-Electricity-Market-NEM/Planning-and-forecasting/Generation-information" TargetMode="External"/><Relationship Id="rId4" Type="http://schemas.openxmlformats.org/officeDocument/2006/relationships/hyperlink" Target="https://www.environment.gov.au/energy/underwritingnewgeneration/registration-of-inter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78b35-490f-48b4-943c-d6459051e24e">
      <Value>1240</Value>
      <Value>661</Value>
      <Value>460</Value>
      <Value>130</Value>
      <Value>1042</Value>
      <Value>1402</Value>
      <Value>6</Value>
      <Value>754</Value>
      <Value>1072</Value>
      <Value>748</Value>
    </TaxCatchAll>
    <pe2555c81638466f9eb614edb9ecde52 xmlns="e1078b35-490f-48b4-943c-d6459051e24e">
      <Terms xmlns="http://schemas.microsoft.com/office/infopath/2007/PartnerControls">
        <TermInfo xmlns="http://schemas.microsoft.com/office/infopath/2007/PartnerControls">
          <TermName>Legislation</TermName>
          <TermId>dc0ffd85-1015-4b7b-9d37-44dde8257333</TermId>
        </TermInfo>
      </Terms>
    </pe2555c81638466f9eb614edb9ecde52>
    <g7bcb40ba23249a78edca7d43a67c1c9 xmlns="e1078b35-490f-48b4-943c-d6459051e24e">
      <Terms xmlns="http://schemas.microsoft.com/office/infopath/2007/PartnerControls">
        <TermInfo xmlns="http://schemas.microsoft.com/office/infopath/2007/PartnerControls">
          <TermName>Policy Implementation</TermName>
          <TermId>76a12992-328c-489f-9a4f-d0b6b90382c5</TermId>
        </TermInfo>
      </Terms>
    </g7bcb40ba23249a78edca7d43a67c1c9>
    <IconOverlay xmlns="http://schemas.microsoft.com/sharepoint/v4" xsi:nil="true"/>
    <aa25a1a23adf4c92a153145de6afe324 xmlns="e1078b35-490f-48b4-943c-d6459051e24e">
      <Terms xmlns="http://schemas.microsoft.com/office/infopath/2007/PartnerControls">
        <TermInfo xmlns="http://schemas.microsoft.com/office/infopath/2007/PartnerControls">
          <TermName>OFFICIAL</TermName>
          <TermId>6106d03b-a1a0-4e30-9d91-d5e9fb4314f9</TermId>
        </TermInfo>
      </Terms>
    </aa25a1a23adf4c92a153145de6afe324>
    <jc3604ffa1fe4d4cb5ea1621b976752c xmlns="b607d1c6-0cb7-4682-894b-7ec85b3b05c6">
      <Terms xmlns="http://schemas.microsoft.com/office/infopath/2007/PartnerControls">
        <TermInfo xmlns="http://schemas.microsoft.com/office/infopath/2007/PartnerControls">
          <TermName>All Projects</TermName>
          <TermId>26300ccb-1780-4a01-9d1f-df839ea67257</TermId>
        </TermInfo>
      </Terms>
    </jc3604ffa1fe4d4cb5ea1621b976752c>
    <adb9bed2e36e4a93af574aeb444da63e xmlns="e1078b35-490f-48b4-943c-d6459051e24e">
      <Terms xmlns="http://schemas.microsoft.com/office/infopath/2007/PartnerControls">
        <TermInfo xmlns="http://schemas.microsoft.com/office/infopath/2007/PartnerControls">
          <TermName>UNGI</TermName>
          <TermId>6a1443f5-214e-46f7-a28e-eb7f70888e93</TermId>
        </TermInfo>
        <TermInfo xmlns="http://schemas.microsoft.com/office/infopath/2007/PartnerControls">
          <TermName>Legal Services</TermName>
          <TermId>9e419dca-0efb-4b2c-b96b-bf816227bb4a</TermId>
        </TermInfo>
        <TermInfo xmlns="http://schemas.microsoft.com/office/infopath/2007/PartnerControls">
          <TermName>legislative</TermName>
          <TermId>3034b035-6966-4e80-8816-4bf7b646630d</TermId>
        </TermInfo>
        <TermInfo xmlns="http://schemas.microsoft.com/office/infopath/2007/PartnerControls">
          <TermName>legislative drafting</TermName>
          <TermId>f439478d-e47e-451d-bfe3-85052a86f221</TermId>
        </TermInfo>
        <TermInfo xmlns="http://schemas.microsoft.com/office/infopath/2007/PartnerControls">
          <TermName>Explanatory statement</TermName>
          <TermId>4977cf07-7cd7-4fb4-be31-8f3a3251090d</TermId>
        </TermInfo>
        <TermInfo xmlns="http://schemas.microsoft.com/office/infopath/2007/PartnerControls">
          <TermName>RIS</TermName>
          <TermId>63dbdcd0-2367-4c30-b0f9-fdd7ff502bf5</TermId>
        </TermInfo>
      </Terms>
    </adb9bed2e36e4a93af574aeb444da63e>
    <n99e4c9942c6404eb103464a00e6097b xmlns="e1078b35-490f-48b4-943c-d6459051e24e">
      <Terms xmlns="http://schemas.microsoft.com/office/infopath/2007/PartnerControls"/>
    </n99e4c9942c6404eb103464a00e6097b>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15944C802150479AA806FE613A3A98" ma:contentTypeVersion="16" ma:contentTypeDescription="Create a new document." ma:contentTypeScope="" ma:versionID="24f58e78e68cc39b46765bfd18fde369">
  <xsd:schema xmlns:xsd="http://www.w3.org/2001/XMLSchema" xmlns:xs="http://www.w3.org/2001/XMLSchema" xmlns:p="http://schemas.microsoft.com/office/2006/metadata/properties" xmlns:ns1="http://schemas.microsoft.com/sharepoint/v3" xmlns:ns2="e1078b35-490f-48b4-943c-d6459051e24e" xmlns:ns3="09d4091d-be30-4096-a07c-1cf07f1fd34b" xmlns:ns4="http://schemas.microsoft.com/sharepoint/v4" xmlns:ns5="b607d1c6-0cb7-4682-894b-7ec85b3b05c6" targetNamespace="http://schemas.microsoft.com/office/2006/metadata/properties" ma:root="true" ma:fieldsID="1b35ed1cb3bb6abece02e4f27c7061ba" ns1:_="" ns2:_="" ns3:_="" ns4:_="" ns5:_="">
    <xsd:import namespace="http://schemas.microsoft.com/sharepoint/v3"/>
    <xsd:import namespace="e1078b35-490f-48b4-943c-d6459051e24e"/>
    <xsd:import namespace="09d4091d-be30-4096-a07c-1cf07f1fd34b"/>
    <xsd:import namespace="http://schemas.microsoft.com/sharepoint/v4"/>
    <xsd:import namespace="b607d1c6-0cb7-4682-894b-7ec85b3b05c6"/>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element ref="ns5:jc3604ffa1fe4d4cb5ea1621b97675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078b35-490f-48b4-943c-d6459051e2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4303ec4-fa4d-4aba-b07c-0dfa74773820}" ma:internalName="TaxCatchAll" ma:showField="CatchAllData" ma:web="b607d1c6-0cb7-4682-894b-7ec85b3b05c6">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403fb540-4f4c-43fd-9354-4e074a5f743f"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d4091d-be30-4096-a07c-1cf07f1fd34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07d1c6-0cb7-4682-894b-7ec85b3b05c6" elementFormDefault="qualified">
    <xsd:import namespace="http://schemas.microsoft.com/office/2006/documentManagement/types"/>
    <xsd:import namespace="http://schemas.microsoft.com/office/infopath/2007/PartnerControls"/>
    <xsd:element name="jc3604ffa1fe4d4cb5ea1621b976752c" ma:index="26" nillable="true" ma:taxonomy="true" ma:internalName="jc3604ffa1fe4d4cb5ea1621b976752c" ma:taxonomyFieldName="DocHub_UNGIProjects" ma:displayName="Project" ma:indexed="true" ma:default="" ma:fieldId="{3c3604ff-a1fe-4d4c-b5ea-1621b976752c}" ma:sspId="fb0313f7-9433-48c0-866e-9e0bbee59a50" ma:termSetId="7f3a97ee-b0ae-4fcc-8a9a-7542d6d03c2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AE70A-B07C-4AEE-AB59-5DC33234C261}">
  <ds:schemaRefs>
    <ds:schemaRef ds:uri="http://schemas.microsoft.com/sharepoint/v3"/>
    <ds:schemaRef ds:uri="e1078b35-490f-48b4-943c-d6459051e24e"/>
    <ds:schemaRef ds:uri="http://purl.org/dc/terms/"/>
    <ds:schemaRef ds:uri="b607d1c6-0cb7-4682-894b-7ec85b3b05c6"/>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 ds:uri="http://purl.org/dc/elements/1.1/"/>
    <ds:schemaRef ds:uri="http://schemas.microsoft.com/office/2006/metadata/properties"/>
    <ds:schemaRef ds:uri="09d4091d-be30-4096-a07c-1cf07f1fd34b"/>
    <ds:schemaRef ds:uri="http://www.w3.org/XML/1998/namespace"/>
    <ds:schemaRef ds:uri="http://purl.org/dc/dcmitype/"/>
  </ds:schemaRefs>
</ds:datastoreItem>
</file>

<file path=customXml/itemProps2.xml><?xml version="1.0" encoding="utf-8"?>
<ds:datastoreItem xmlns:ds="http://schemas.openxmlformats.org/officeDocument/2006/customXml" ds:itemID="{890A6A5B-EEA8-42BE-A12D-71C1B05E4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078b35-490f-48b4-943c-d6459051e24e"/>
    <ds:schemaRef ds:uri="09d4091d-be30-4096-a07c-1cf07f1fd34b"/>
    <ds:schemaRef ds:uri="http://schemas.microsoft.com/sharepoint/v4"/>
    <ds:schemaRef ds:uri="b607d1c6-0cb7-4682-894b-7ec85b3b0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483061-C3CE-4426-9C41-61E8B1033783}">
  <ds:schemaRefs>
    <ds:schemaRef ds:uri="http://schemas.microsoft.com/sharepoint/events"/>
  </ds:schemaRefs>
</ds:datastoreItem>
</file>

<file path=customXml/itemProps4.xml><?xml version="1.0" encoding="utf-8"?>
<ds:datastoreItem xmlns:ds="http://schemas.openxmlformats.org/officeDocument/2006/customXml" ds:itemID="{B645D391-2D38-492D-92E4-27242AA7B8A8}">
  <ds:schemaRefs>
    <ds:schemaRef ds:uri="http://schemas.microsoft.com/sharepoint/v3/contenttype/forms"/>
  </ds:schemaRefs>
</ds:datastoreItem>
</file>

<file path=customXml/itemProps5.xml><?xml version="1.0" encoding="utf-8"?>
<ds:datastoreItem xmlns:ds="http://schemas.openxmlformats.org/officeDocument/2006/customXml" ds:itemID="{DA84E1FC-EC79-41B8-90ED-1EFF05A78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17076</Words>
  <Characters>93679</Characters>
  <Application>Microsoft Office Word</Application>
  <DocSecurity>0</DocSecurity>
  <Lines>780</Lines>
  <Paragraphs>221</Paragraphs>
  <ScaleCrop>false</ScaleCrop>
  <HeadingPairs>
    <vt:vector size="2" baseType="variant">
      <vt:variant>
        <vt:lpstr>Title</vt:lpstr>
      </vt:variant>
      <vt:variant>
        <vt:i4>1</vt:i4>
      </vt:variant>
    </vt:vector>
  </HeadingPairs>
  <TitlesOfParts>
    <vt:vector size="1" baseType="lpstr">
      <vt:lpstr>Normal</vt:lpstr>
    </vt:vector>
  </TitlesOfParts>
  <Company>Australian Government Solicitor</Company>
  <LinksUpToDate>false</LinksUpToDate>
  <CharactersWithSpaces>110534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Lukeman, Anna</dc:creator>
  <cp:keywords/>
  <dc:description/>
  <cp:lastModifiedBy>Osborne, Lea</cp:lastModifiedBy>
  <cp:revision>4</cp:revision>
  <dcterms:created xsi:type="dcterms:W3CDTF">2021-12-03T04:45:00Z</dcterms:created>
  <dcterms:modified xsi:type="dcterms:W3CDTF">2021-12-03T05:14:00Z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WSFooter">
    <vt:lpwstr>41347055</vt:lpwstr>
  </property>
  <property fmtid="{D5CDD505-2E9C-101B-9397-08002B2CF9AE}" pid="7" name="ContentTypeId">
    <vt:lpwstr>0x0101009115944C802150479AA806FE613A3A98</vt:lpwstr>
  </property>
  <property fmtid="{D5CDD505-2E9C-101B-9397-08002B2CF9AE}" pid="8" name="DocHub_Year">
    <vt:lpwstr/>
  </property>
  <property fmtid="{D5CDD505-2E9C-101B-9397-08002B2CF9AE}" pid="9" name="DocHub_DocumentType">
    <vt:lpwstr>661;#Legislation|dc0ffd85-1015-4b7b-9d37-44dde8257333</vt:lpwstr>
  </property>
  <property fmtid="{D5CDD505-2E9C-101B-9397-08002B2CF9AE}" pid="10" name="DocHub_SecurityClassification">
    <vt:lpwstr>6;#OFFICIAL|6106d03b-a1a0-4e30-9d91-d5e9fb4314f9</vt:lpwstr>
  </property>
  <property fmtid="{D5CDD505-2E9C-101B-9397-08002B2CF9AE}" pid="11" name="DocHub_Keywords">
    <vt:lpwstr>130;#UNGI|6a1443f5-214e-46f7-a28e-eb7f70888e93;#1072;#Legal Services|9e419dca-0efb-4b2c-b96b-bf816227bb4a;#1240;#legislative|3034b035-6966-4e80-8816-4bf7b646630d;#748;#legislative drafting|f439478d-e47e-451d-bfe3-85052a86f221;#754;#Explanatory statement|4</vt:lpwstr>
  </property>
  <property fmtid="{D5CDD505-2E9C-101B-9397-08002B2CF9AE}" pid="12" name="DocHub_UNGIProjects">
    <vt:lpwstr>1402;#All Projects|26300ccb-1780-4a01-9d1f-df839ea67257</vt:lpwstr>
  </property>
  <property fmtid="{D5CDD505-2E9C-101B-9397-08002B2CF9AE}" pid="13" name="DocHub_WorkActivity">
    <vt:lpwstr>460;#Policy Implementation|76a12992-328c-489f-9a4f-d0b6b90382c5</vt:lpwstr>
  </property>
  <property fmtid="{D5CDD505-2E9C-101B-9397-08002B2CF9AE}" pid="14" name="AGS Draft Text">
    <vt:lpwstr>DRAFT  02-11-2020  10:13 AM  v7</vt:lpwstr>
  </property>
  <property fmtid="{D5CDD505-2E9C-101B-9397-08002B2CF9AE}" pid="15" name="DocHub_LegalKeywords">
    <vt:lpwstr/>
  </property>
  <property fmtid="{D5CDD505-2E9C-101B-9397-08002B2CF9AE}" pid="16" name="DocHub_LegalClient">
    <vt:lpwstr/>
  </property>
  <property fmtid="{D5CDD505-2E9C-101B-9397-08002B2CF9AE}" pid="17" name="_dlc_DocIdItemGuid">
    <vt:lpwstr>afaa3f9f-1691-4445-ba42-6b6136eb56de</vt:lpwstr>
  </property>
</Properties>
</file>