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2D7A08" w:rsidRDefault="00FF6E25" w:rsidP="00FF6E25">
      <w:pPr>
        <w:jc w:val="center"/>
        <w:rPr>
          <w:rFonts w:asciiTheme="minorHAnsi" w:hAnsiTheme="minorHAnsi" w:cstheme="minorHAnsi"/>
          <w:b/>
          <w:szCs w:val="24"/>
          <w:u w:val="single"/>
        </w:rPr>
      </w:pPr>
      <w:r w:rsidRPr="002D7A08">
        <w:rPr>
          <w:rFonts w:asciiTheme="minorHAnsi" w:hAnsiTheme="minorHAnsi" w:cstheme="minorHAnsi"/>
          <w:b/>
          <w:szCs w:val="24"/>
          <w:u w:val="single"/>
        </w:rPr>
        <w:t>EXPLANATORY STATEMENT</w:t>
      </w:r>
    </w:p>
    <w:p w14:paraId="145EC655" w14:textId="68C6537B" w:rsidR="0088497A" w:rsidRPr="0088497A" w:rsidRDefault="0088497A" w:rsidP="00FF6E25">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2D7A08">
        <w:rPr>
          <w:rFonts w:asciiTheme="minorHAnsi" w:hAnsiTheme="minorHAnsi" w:cstheme="minorHAnsi"/>
          <w:szCs w:val="24"/>
          <w:u w:val="single"/>
        </w:rPr>
        <w:t xml:space="preserve"> Minister for Education and Youth</w:t>
      </w:r>
    </w:p>
    <w:p w14:paraId="12EB6806" w14:textId="0DB19E85" w:rsidR="00455C2A" w:rsidRPr="002D7A08" w:rsidRDefault="005734C5" w:rsidP="00FF6E25">
      <w:pPr>
        <w:jc w:val="center"/>
        <w:rPr>
          <w:rFonts w:asciiTheme="minorHAnsi" w:hAnsiTheme="minorHAnsi" w:cstheme="minorHAnsi"/>
          <w:b/>
          <w:i/>
          <w:szCs w:val="24"/>
        </w:rPr>
      </w:pPr>
      <w:r w:rsidRPr="005734C5">
        <w:rPr>
          <w:rFonts w:asciiTheme="minorHAnsi" w:hAnsiTheme="minorHAnsi" w:cstheme="minorHAnsi"/>
          <w:b/>
          <w:i/>
          <w:szCs w:val="24"/>
        </w:rPr>
        <w:t>Tertiary Education Quality and Standards Agency Act 2011</w:t>
      </w:r>
    </w:p>
    <w:p w14:paraId="6C026A0C" w14:textId="07072D5F" w:rsidR="00503218" w:rsidRPr="0088497A" w:rsidRDefault="005734C5" w:rsidP="00DA552F">
      <w:pPr>
        <w:jc w:val="center"/>
        <w:rPr>
          <w:rFonts w:asciiTheme="minorHAnsi" w:hAnsiTheme="minorHAnsi" w:cstheme="minorHAnsi"/>
          <w:b/>
          <w:i/>
          <w:szCs w:val="24"/>
        </w:rPr>
      </w:pPr>
      <w:r w:rsidRPr="005734C5">
        <w:rPr>
          <w:rFonts w:asciiTheme="minorHAnsi" w:hAnsiTheme="minorHAnsi" w:cstheme="minorHAnsi"/>
          <w:b/>
          <w:i/>
          <w:szCs w:val="24"/>
        </w:rPr>
        <w:t>Tertiary Education Quality and Standards Agency Higher Education Standards Framework Amendment (Threshold Standards—Freedom of Speech and Academic Freedom) 2021</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56E04FCB" w14:textId="2AD9246B" w:rsidR="005734C5" w:rsidRPr="005734C5" w:rsidRDefault="002D7A08" w:rsidP="005734C5">
      <w:pPr>
        <w:pStyle w:val="Heading2"/>
        <w:spacing w:after="240"/>
        <w:rPr>
          <w:rFonts w:asciiTheme="minorHAnsi" w:hAnsiTheme="minorHAnsi" w:cstheme="minorHAnsi"/>
          <w:b w:val="0"/>
          <w:iCs/>
          <w:color w:val="auto"/>
        </w:rPr>
      </w:pPr>
      <w:r w:rsidRPr="002D7A08">
        <w:rPr>
          <w:rFonts w:asciiTheme="minorHAnsi" w:hAnsiTheme="minorHAnsi" w:cstheme="minorHAnsi"/>
          <w:b w:val="0"/>
          <w:iCs/>
          <w:color w:val="auto"/>
        </w:rPr>
        <w:t xml:space="preserve">The </w:t>
      </w:r>
      <w:r w:rsidR="005734C5" w:rsidRPr="005734C5">
        <w:rPr>
          <w:rFonts w:asciiTheme="minorHAnsi" w:hAnsiTheme="minorHAnsi" w:cstheme="minorHAnsi"/>
          <w:b w:val="0"/>
          <w:i/>
          <w:color w:val="auto"/>
        </w:rPr>
        <w:t>Tertiary Education Quality and Standards Agency Higher Education Standards Framework Amendment (Threshold Standards—Freedom of Speech and Academic Freedom)</w:t>
      </w:r>
      <w:r w:rsidR="00320EA1">
        <w:rPr>
          <w:rFonts w:asciiTheme="minorHAnsi" w:hAnsiTheme="minorHAnsi" w:cstheme="minorHAnsi"/>
          <w:b w:val="0"/>
          <w:i/>
          <w:color w:val="auto"/>
        </w:rPr>
        <w:t> </w:t>
      </w:r>
      <w:r w:rsidR="005734C5" w:rsidRPr="005734C5">
        <w:rPr>
          <w:rFonts w:asciiTheme="minorHAnsi" w:hAnsiTheme="minorHAnsi" w:cstheme="minorHAnsi"/>
          <w:b w:val="0"/>
          <w:i/>
          <w:color w:val="auto"/>
        </w:rPr>
        <w:t xml:space="preserve">2021 </w:t>
      </w:r>
      <w:r w:rsidRPr="002D7A08">
        <w:rPr>
          <w:rFonts w:asciiTheme="minorHAnsi" w:hAnsiTheme="minorHAnsi" w:cstheme="minorHAnsi"/>
          <w:b w:val="0"/>
          <w:iCs/>
          <w:color w:val="auto"/>
        </w:rPr>
        <w:t xml:space="preserve">(the </w:t>
      </w:r>
      <w:r w:rsidR="005734C5">
        <w:rPr>
          <w:rFonts w:asciiTheme="minorHAnsi" w:hAnsiTheme="minorHAnsi" w:cstheme="minorHAnsi"/>
          <w:b w:val="0"/>
          <w:iCs/>
          <w:color w:val="auto"/>
        </w:rPr>
        <w:t>Amending Instrument</w:t>
      </w:r>
      <w:r w:rsidRPr="002D7A08">
        <w:rPr>
          <w:rFonts w:asciiTheme="minorHAnsi" w:hAnsiTheme="minorHAnsi" w:cstheme="minorHAnsi"/>
          <w:b w:val="0"/>
          <w:iCs/>
          <w:color w:val="auto"/>
        </w:rPr>
        <w:t>) is made by the Minister</w:t>
      </w:r>
      <w:r w:rsidR="005734C5">
        <w:rPr>
          <w:rFonts w:asciiTheme="minorHAnsi" w:hAnsiTheme="minorHAnsi" w:cstheme="minorHAnsi"/>
          <w:b w:val="0"/>
          <w:iCs/>
          <w:color w:val="auto"/>
        </w:rPr>
        <w:t xml:space="preserve"> for Education and Youth</w:t>
      </w:r>
      <w:r w:rsidRPr="002D7A08">
        <w:rPr>
          <w:rFonts w:asciiTheme="minorHAnsi" w:hAnsiTheme="minorHAnsi" w:cstheme="minorHAnsi"/>
          <w:b w:val="0"/>
          <w:iCs/>
          <w:color w:val="auto"/>
        </w:rPr>
        <w:t xml:space="preserve"> under subsection </w:t>
      </w:r>
      <w:r w:rsidR="005734C5">
        <w:rPr>
          <w:rFonts w:asciiTheme="minorHAnsi" w:hAnsiTheme="minorHAnsi" w:cstheme="minorHAnsi"/>
          <w:b w:val="0"/>
          <w:iCs/>
          <w:color w:val="auto"/>
        </w:rPr>
        <w:t>58</w:t>
      </w:r>
      <w:r w:rsidRPr="002D7A08">
        <w:rPr>
          <w:rFonts w:asciiTheme="minorHAnsi" w:hAnsiTheme="minorHAnsi" w:cstheme="minorHAnsi"/>
          <w:b w:val="0"/>
          <w:iCs/>
          <w:color w:val="auto"/>
        </w:rPr>
        <w:t xml:space="preserve">(1) of the </w:t>
      </w:r>
      <w:r w:rsidR="005734C5" w:rsidRPr="005734C5">
        <w:rPr>
          <w:rFonts w:asciiTheme="minorHAnsi" w:hAnsiTheme="minorHAnsi" w:cstheme="minorHAnsi"/>
          <w:b w:val="0"/>
          <w:i/>
          <w:color w:val="auto"/>
        </w:rPr>
        <w:t>Tertiary Education Quality and Standards Agency Act 2011</w:t>
      </w:r>
      <w:r w:rsidR="005734C5" w:rsidRPr="005734C5">
        <w:rPr>
          <w:rFonts w:asciiTheme="minorHAnsi" w:hAnsiTheme="minorHAnsi" w:cstheme="minorHAnsi"/>
          <w:b w:val="0"/>
          <w:iCs/>
          <w:color w:val="auto"/>
        </w:rPr>
        <w:t xml:space="preserve"> </w:t>
      </w:r>
      <w:r w:rsidRPr="002D7A08">
        <w:rPr>
          <w:rFonts w:asciiTheme="minorHAnsi" w:hAnsiTheme="minorHAnsi" w:cstheme="minorHAnsi"/>
          <w:b w:val="0"/>
          <w:iCs/>
          <w:color w:val="auto"/>
        </w:rPr>
        <w:t>(</w:t>
      </w:r>
      <w:r w:rsidR="005734C5">
        <w:rPr>
          <w:rFonts w:asciiTheme="minorHAnsi" w:hAnsiTheme="minorHAnsi" w:cstheme="minorHAnsi"/>
          <w:b w:val="0"/>
          <w:iCs/>
          <w:color w:val="auto"/>
        </w:rPr>
        <w:t>TEQSA</w:t>
      </w:r>
      <w:r w:rsidRPr="002D7A08">
        <w:rPr>
          <w:rFonts w:asciiTheme="minorHAnsi" w:hAnsiTheme="minorHAnsi" w:cstheme="minorHAnsi"/>
          <w:b w:val="0"/>
          <w:iCs/>
          <w:color w:val="auto"/>
        </w:rPr>
        <w:t xml:space="preserve"> Act)</w:t>
      </w:r>
      <w:r w:rsidR="005734C5">
        <w:rPr>
          <w:rFonts w:asciiTheme="minorHAnsi" w:hAnsiTheme="minorHAnsi" w:cstheme="minorHAnsi"/>
          <w:b w:val="0"/>
          <w:iCs/>
          <w:color w:val="auto"/>
        </w:rPr>
        <w:t>.</w:t>
      </w:r>
      <w:r w:rsidR="00CA1AD6">
        <w:rPr>
          <w:rFonts w:asciiTheme="minorHAnsi" w:hAnsiTheme="minorHAnsi" w:cstheme="minorHAnsi"/>
          <w:b w:val="0"/>
          <w:iCs/>
          <w:color w:val="auto"/>
        </w:rPr>
        <w:t xml:space="preserve"> </w:t>
      </w:r>
      <w:r w:rsidR="005734C5">
        <w:rPr>
          <w:rFonts w:asciiTheme="minorHAnsi" w:hAnsiTheme="minorHAnsi" w:cstheme="minorHAnsi"/>
          <w:b w:val="0"/>
          <w:iCs/>
          <w:color w:val="auto"/>
        </w:rPr>
        <w:t xml:space="preserve">The Amending Instrument amends the </w:t>
      </w:r>
      <w:r w:rsidR="005734C5" w:rsidRPr="005734C5">
        <w:rPr>
          <w:rFonts w:asciiTheme="minorHAnsi" w:hAnsiTheme="minorHAnsi" w:cstheme="minorHAnsi"/>
          <w:b w:val="0"/>
          <w:i/>
          <w:color w:val="auto"/>
        </w:rPr>
        <w:t>Higher Education Standards Framework (Threshold Standards) 2021</w:t>
      </w:r>
      <w:r w:rsidR="005734C5">
        <w:rPr>
          <w:rFonts w:asciiTheme="minorHAnsi" w:hAnsiTheme="minorHAnsi" w:cstheme="minorHAnsi"/>
          <w:b w:val="0"/>
          <w:iCs/>
          <w:color w:val="auto"/>
        </w:rPr>
        <w:t xml:space="preserve"> (the Principal Instrument).</w:t>
      </w:r>
    </w:p>
    <w:p w14:paraId="07DBCEF2" w14:textId="4925082C" w:rsidR="005734C5" w:rsidRPr="005734C5" w:rsidRDefault="005734C5" w:rsidP="005734C5">
      <w:pPr>
        <w:rPr>
          <w:rFonts w:asciiTheme="minorHAnsi" w:eastAsiaTheme="majorEastAsia" w:hAnsiTheme="minorHAnsi" w:cstheme="minorHAnsi"/>
          <w:iCs/>
          <w:szCs w:val="26"/>
        </w:rPr>
      </w:pPr>
      <w:r w:rsidRPr="005734C5">
        <w:rPr>
          <w:rFonts w:asciiTheme="minorHAnsi" w:eastAsiaTheme="majorEastAsia" w:hAnsiTheme="minorHAnsi" w:cstheme="minorHAnsi"/>
          <w:iCs/>
          <w:szCs w:val="26"/>
        </w:rPr>
        <w:t xml:space="preserve">As </w:t>
      </w:r>
      <w:r>
        <w:rPr>
          <w:rFonts w:asciiTheme="minorHAnsi" w:eastAsiaTheme="majorEastAsia" w:hAnsiTheme="minorHAnsi" w:cstheme="minorHAnsi"/>
          <w:iCs/>
          <w:szCs w:val="26"/>
        </w:rPr>
        <w:t xml:space="preserve">an amendment, the Minister also relies on subsection 33(3) of the </w:t>
      </w:r>
      <w:r w:rsidRPr="005734C5">
        <w:rPr>
          <w:rFonts w:asciiTheme="minorHAnsi" w:eastAsiaTheme="majorEastAsia" w:hAnsiTheme="minorHAnsi" w:cstheme="minorHAnsi"/>
          <w:i/>
          <w:szCs w:val="26"/>
        </w:rPr>
        <w:t>Acts Interpretation Act 1901</w:t>
      </w:r>
      <w:r>
        <w:rPr>
          <w:rFonts w:asciiTheme="minorHAnsi" w:eastAsiaTheme="majorEastAsia" w:hAnsiTheme="minorHAnsi" w:cstheme="minorHAnsi"/>
          <w:iCs/>
          <w:szCs w:val="26"/>
        </w:rPr>
        <w:t>, which clarifies that the power to make the Principal Instrument includes the power to amend it.</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52E9E88A" w14:textId="0CEBE35E" w:rsidR="008070EB" w:rsidRDefault="005734C5"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Principal Instrument was made on </w:t>
      </w:r>
      <w:r w:rsidRPr="005734C5">
        <w:rPr>
          <w:rFonts w:asciiTheme="minorHAnsi" w:hAnsiTheme="minorHAnsi" w:cstheme="minorHAnsi"/>
          <w:iCs/>
          <w:szCs w:val="24"/>
        </w:rPr>
        <w:t>24 April 2021</w:t>
      </w:r>
      <w:r>
        <w:rPr>
          <w:rFonts w:asciiTheme="minorHAnsi" w:hAnsiTheme="minorHAnsi" w:cstheme="minorHAnsi"/>
          <w:iCs/>
          <w:szCs w:val="24"/>
        </w:rPr>
        <w:t xml:space="preserve"> to set out new</w:t>
      </w:r>
      <w:r w:rsidRPr="005734C5">
        <w:rPr>
          <w:rFonts w:asciiTheme="minorHAnsi" w:hAnsiTheme="minorHAnsi" w:cstheme="minorHAnsi"/>
          <w:iCs/>
          <w:szCs w:val="24"/>
        </w:rPr>
        <w:t xml:space="preserve"> </w:t>
      </w:r>
      <w:r>
        <w:rPr>
          <w:rFonts w:asciiTheme="minorHAnsi" w:hAnsiTheme="minorHAnsi" w:cstheme="minorHAnsi"/>
          <w:iCs/>
          <w:szCs w:val="24"/>
        </w:rPr>
        <w:t>“</w:t>
      </w:r>
      <w:r w:rsidRPr="005734C5">
        <w:rPr>
          <w:rFonts w:asciiTheme="minorHAnsi" w:hAnsiTheme="minorHAnsi" w:cstheme="minorHAnsi"/>
          <w:iCs/>
          <w:szCs w:val="24"/>
        </w:rPr>
        <w:t>Threshold Standards</w:t>
      </w:r>
      <w:r>
        <w:rPr>
          <w:rFonts w:asciiTheme="minorHAnsi" w:hAnsiTheme="minorHAnsi" w:cstheme="minorHAnsi"/>
          <w:iCs/>
          <w:szCs w:val="24"/>
        </w:rPr>
        <w:t>”</w:t>
      </w:r>
      <w:r w:rsidRPr="005734C5">
        <w:rPr>
          <w:rFonts w:asciiTheme="minorHAnsi" w:hAnsiTheme="minorHAnsi" w:cstheme="minorHAnsi"/>
          <w:iCs/>
          <w:szCs w:val="24"/>
        </w:rPr>
        <w:t xml:space="preserve"> </w:t>
      </w:r>
      <w:r>
        <w:rPr>
          <w:rFonts w:asciiTheme="minorHAnsi" w:hAnsiTheme="minorHAnsi" w:cstheme="minorHAnsi"/>
          <w:iCs/>
          <w:szCs w:val="24"/>
        </w:rPr>
        <w:t>under</w:t>
      </w:r>
      <w:r w:rsidRPr="005734C5">
        <w:rPr>
          <w:rFonts w:asciiTheme="minorHAnsi" w:hAnsiTheme="minorHAnsi" w:cstheme="minorHAnsi"/>
          <w:iCs/>
          <w:szCs w:val="24"/>
        </w:rPr>
        <w:t xml:space="preserve"> the TEQSA Act and </w:t>
      </w:r>
      <w:r>
        <w:rPr>
          <w:rFonts w:asciiTheme="minorHAnsi" w:hAnsiTheme="minorHAnsi" w:cstheme="minorHAnsi"/>
          <w:iCs/>
          <w:szCs w:val="24"/>
        </w:rPr>
        <w:t xml:space="preserve">to </w:t>
      </w:r>
      <w:r w:rsidRPr="005734C5">
        <w:rPr>
          <w:rFonts w:asciiTheme="minorHAnsi" w:hAnsiTheme="minorHAnsi" w:cstheme="minorHAnsi"/>
          <w:iCs/>
          <w:szCs w:val="24"/>
        </w:rPr>
        <w:t xml:space="preserve">set the requirements that a higher education provider must meet, and continue to meet, </w:t>
      </w:r>
      <w:proofErr w:type="gramStart"/>
      <w:r w:rsidRPr="005734C5">
        <w:rPr>
          <w:rFonts w:asciiTheme="minorHAnsi" w:hAnsiTheme="minorHAnsi" w:cstheme="minorHAnsi"/>
          <w:iCs/>
          <w:szCs w:val="24"/>
        </w:rPr>
        <w:t>in order to</w:t>
      </w:r>
      <w:proofErr w:type="gramEnd"/>
      <w:r w:rsidRPr="005734C5">
        <w:rPr>
          <w:rFonts w:asciiTheme="minorHAnsi" w:hAnsiTheme="minorHAnsi" w:cstheme="minorHAnsi"/>
          <w:iCs/>
          <w:szCs w:val="24"/>
        </w:rPr>
        <w:t xml:space="preserve"> be registered by </w:t>
      </w:r>
      <w:r w:rsidR="00320EA1">
        <w:rPr>
          <w:rFonts w:asciiTheme="minorHAnsi" w:hAnsiTheme="minorHAnsi" w:cstheme="minorHAnsi"/>
          <w:iCs/>
          <w:szCs w:val="24"/>
        </w:rPr>
        <w:t>the Te</w:t>
      </w:r>
      <w:r w:rsidR="00320EA1" w:rsidRPr="00320EA1">
        <w:rPr>
          <w:rFonts w:asciiTheme="minorHAnsi" w:hAnsiTheme="minorHAnsi" w:cstheme="minorHAnsi"/>
          <w:iCs/>
          <w:szCs w:val="24"/>
        </w:rPr>
        <w:t xml:space="preserve">rtiary </w:t>
      </w:r>
      <w:r w:rsidR="00320EA1" w:rsidRPr="00320EA1">
        <w:rPr>
          <w:rFonts w:asciiTheme="minorHAnsi" w:hAnsiTheme="minorHAnsi" w:cstheme="minorHAnsi"/>
          <w:iCs/>
        </w:rPr>
        <w:t>Education Quality and Standards Agency (</w:t>
      </w:r>
      <w:r w:rsidRPr="00320EA1">
        <w:rPr>
          <w:rFonts w:asciiTheme="minorHAnsi" w:hAnsiTheme="minorHAnsi" w:cstheme="minorHAnsi"/>
          <w:iCs/>
          <w:szCs w:val="24"/>
        </w:rPr>
        <w:t>TEQSA</w:t>
      </w:r>
      <w:r w:rsidR="00320EA1" w:rsidRPr="00320EA1">
        <w:rPr>
          <w:rFonts w:asciiTheme="minorHAnsi" w:hAnsiTheme="minorHAnsi" w:cstheme="minorHAnsi"/>
          <w:iCs/>
          <w:szCs w:val="24"/>
        </w:rPr>
        <w:t>)</w:t>
      </w:r>
      <w:r w:rsidRPr="005734C5">
        <w:rPr>
          <w:rFonts w:asciiTheme="minorHAnsi" w:hAnsiTheme="minorHAnsi" w:cstheme="minorHAnsi"/>
          <w:iCs/>
          <w:szCs w:val="24"/>
        </w:rPr>
        <w:t xml:space="preserve"> to operate in Australia. </w:t>
      </w:r>
      <w:r>
        <w:rPr>
          <w:rFonts w:asciiTheme="minorHAnsi" w:hAnsiTheme="minorHAnsi" w:cstheme="minorHAnsi"/>
          <w:iCs/>
          <w:szCs w:val="24"/>
        </w:rPr>
        <w:t>The Threshold Standards provide</w:t>
      </w:r>
      <w:r w:rsidRPr="005734C5">
        <w:rPr>
          <w:rFonts w:asciiTheme="minorHAnsi" w:hAnsiTheme="minorHAnsi" w:cstheme="minorHAnsi"/>
          <w:iCs/>
          <w:szCs w:val="24"/>
        </w:rPr>
        <w:t xml:space="preserve"> the basis for the regulation of Australian higher education providers by TEQSA. The Threshold Standards</w:t>
      </w:r>
      <w:r w:rsidR="00990111">
        <w:rPr>
          <w:rFonts w:asciiTheme="minorHAnsi" w:hAnsiTheme="minorHAnsi" w:cstheme="minorHAnsi"/>
          <w:iCs/>
          <w:szCs w:val="24"/>
        </w:rPr>
        <w:t xml:space="preserve"> are intended to</w:t>
      </w:r>
      <w:r w:rsidRPr="005734C5">
        <w:rPr>
          <w:rFonts w:asciiTheme="minorHAnsi" w:hAnsiTheme="minorHAnsi" w:cstheme="minorHAnsi"/>
          <w:iCs/>
          <w:szCs w:val="24"/>
        </w:rPr>
        <w:t xml:space="preserve"> ensure that the barrier to entry into the higher education sector is set sufficiently high to underpin and protect the quality and reputation of the </w:t>
      </w:r>
      <w:proofErr w:type="gramStart"/>
      <w:r w:rsidRPr="005734C5">
        <w:rPr>
          <w:rFonts w:asciiTheme="minorHAnsi" w:hAnsiTheme="minorHAnsi" w:cstheme="minorHAnsi"/>
          <w:iCs/>
          <w:szCs w:val="24"/>
        </w:rPr>
        <w:t>sector as a whole</w:t>
      </w:r>
      <w:proofErr w:type="gramEnd"/>
      <w:r w:rsidRPr="005734C5">
        <w:rPr>
          <w:rFonts w:asciiTheme="minorHAnsi" w:hAnsiTheme="minorHAnsi" w:cstheme="minorHAnsi"/>
          <w:iCs/>
          <w:szCs w:val="24"/>
        </w:rPr>
        <w:t>. They also establish a basis of operational quality and integrity from which all providers can continue to build excellence and diversity.</w:t>
      </w:r>
    </w:p>
    <w:p w14:paraId="5B17F3DB" w14:textId="09B66DBD" w:rsidR="005621AA" w:rsidRDefault="005734C5" w:rsidP="00144E95">
      <w:pPr>
        <w:shd w:val="clear" w:color="auto" w:fill="FFFFFF"/>
        <w:rPr>
          <w:rFonts w:asciiTheme="minorHAnsi" w:hAnsiTheme="minorHAnsi" w:cstheme="minorHAnsi"/>
          <w:iCs/>
          <w:szCs w:val="24"/>
        </w:rPr>
      </w:pPr>
      <w:r>
        <w:rPr>
          <w:rFonts w:asciiTheme="minorHAnsi" w:hAnsiTheme="minorHAnsi" w:cstheme="minorHAnsi"/>
          <w:iCs/>
          <w:szCs w:val="24"/>
        </w:rPr>
        <w:t>The purpose of this Amending Instrument is to make some minor amendments to</w:t>
      </w:r>
      <w:r w:rsidR="005621AA">
        <w:rPr>
          <w:rFonts w:asciiTheme="minorHAnsi" w:hAnsiTheme="minorHAnsi" w:cstheme="minorHAnsi"/>
          <w:iCs/>
          <w:szCs w:val="24"/>
        </w:rPr>
        <w:t xml:space="preserve"> the Principal Instrument to</w:t>
      </w:r>
      <w:r>
        <w:rPr>
          <w:rFonts w:asciiTheme="minorHAnsi" w:hAnsiTheme="minorHAnsi" w:cstheme="minorHAnsi"/>
          <w:iCs/>
          <w:szCs w:val="24"/>
        </w:rPr>
        <w:t xml:space="preserve"> reflect recent amendments to the </w:t>
      </w:r>
      <w:r>
        <w:rPr>
          <w:rFonts w:asciiTheme="minorHAnsi" w:hAnsiTheme="minorHAnsi" w:cstheme="minorHAnsi"/>
          <w:i/>
          <w:szCs w:val="24"/>
        </w:rPr>
        <w:t>Higher Education Support Act 2003</w:t>
      </w:r>
      <w:r w:rsidR="005621AA">
        <w:t xml:space="preserve"> </w:t>
      </w:r>
      <w:r w:rsidR="005621AA" w:rsidRPr="005621AA">
        <w:rPr>
          <w:rFonts w:asciiTheme="minorHAnsi" w:hAnsiTheme="minorHAnsi" w:cstheme="minorHAnsi"/>
          <w:iCs/>
          <w:szCs w:val="24"/>
        </w:rPr>
        <w:t xml:space="preserve">made by the </w:t>
      </w:r>
      <w:r w:rsidR="005621AA" w:rsidRPr="005621AA">
        <w:rPr>
          <w:rFonts w:asciiTheme="minorHAnsi" w:hAnsiTheme="minorHAnsi" w:cstheme="minorHAnsi"/>
          <w:i/>
          <w:szCs w:val="24"/>
        </w:rPr>
        <w:t>Higher Education Support Amendment (Freedom of Speech) Act 2021</w:t>
      </w:r>
      <w:r>
        <w:rPr>
          <w:rFonts w:asciiTheme="minorHAnsi" w:hAnsiTheme="minorHAnsi" w:cstheme="minorHAnsi"/>
          <w:iCs/>
          <w:szCs w:val="24"/>
        </w:rPr>
        <w:t xml:space="preserve">, which </w:t>
      </w:r>
      <w:r w:rsidR="00725471">
        <w:rPr>
          <w:rFonts w:asciiTheme="minorHAnsi" w:hAnsiTheme="minorHAnsi" w:cstheme="minorHAnsi"/>
          <w:iCs/>
          <w:szCs w:val="24"/>
        </w:rPr>
        <w:t>amended</w:t>
      </w:r>
      <w:r>
        <w:rPr>
          <w:rFonts w:asciiTheme="minorHAnsi" w:hAnsiTheme="minorHAnsi" w:cstheme="minorHAnsi"/>
          <w:iCs/>
          <w:szCs w:val="24"/>
        </w:rPr>
        <w:t xml:space="preserve"> section 19-115 </w:t>
      </w:r>
      <w:r w:rsidR="00725471">
        <w:rPr>
          <w:rFonts w:asciiTheme="minorHAnsi" w:hAnsiTheme="minorHAnsi" w:cstheme="minorHAnsi"/>
          <w:iCs/>
          <w:szCs w:val="24"/>
        </w:rPr>
        <w:t xml:space="preserve">of </w:t>
      </w:r>
      <w:r>
        <w:rPr>
          <w:rFonts w:asciiTheme="minorHAnsi" w:hAnsiTheme="minorHAnsi" w:cstheme="minorHAnsi"/>
          <w:iCs/>
          <w:szCs w:val="24"/>
        </w:rPr>
        <w:t>that Act to require Table A and Table B providers to</w:t>
      </w:r>
      <w:r w:rsidR="005621AA">
        <w:rPr>
          <w:rFonts w:asciiTheme="minorHAnsi" w:hAnsiTheme="minorHAnsi" w:cstheme="minorHAnsi"/>
          <w:iCs/>
          <w:szCs w:val="24"/>
        </w:rPr>
        <w:t xml:space="preserve"> have</w:t>
      </w:r>
      <w:r>
        <w:rPr>
          <w:rFonts w:asciiTheme="minorHAnsi" w:hAnsiTheme="minorHAnsi" w:cstheme="minorHAnsi"/>
          <w:iCs/>
          <w:szCs w:val="24"/>
        </w:rPr>
        <w:t xml:space="preserve"> </w:t>
      </w:r>
      <w:r w:rsidR="005621AA" w:rsidRPr="005621AA">
        <w:rPr>
          <w:rFonts w:asciiTheme="minorHAnsi" w:hAnsiTheme="minorHAnsi" w:cstheme="minorHAnsi"/>
          <w:iCs/>
          <w:szCs w:val="24"/>
        </w:rPr>
        <w:t xml:space="preserve">a policy that upholds </w:t>
      </w:r>
      <w:r w:rsidR="00725471">
        <w:rPr>
          <w:rFonts w:asciiTheme="minorHAnsi" w:hAnsiTheme="minorHAnsi" w:cstheme="minorHAnsi"/>
          <w:iCs/>
          <w:szCs w:val="24"/>
        </w:rPr>
        <w:t>“</w:t>
      </w:r>
      <w:r w:rsidR="005621AA" w:rsidRPr="005621AA">
        <w:rPr>
          <w:rFonts w:asciiTheme="minorHAnsi" w:hAnsiTheme="minorHAnsi" w:cstheme="minorHAnsi"/>
          <w:iCs/>
          <w:szCs w:val="24"/>
        </w:rPr>
        <w:t>freedom of speech and academic freedom</w:t>
      </w:r>
      <w:r w:rsidR="005621AA">
        <w:rPr>
          <w:rFonts w:asciiTheme="minorHAnsi" w:hAnsiTheme="minorHAnsi" w:cstheme="minorHAnsi"/>
          <w:iCs/>
          <w:szCs w:val="24"/>
        </w:rPr>
        <w:t>”</w:t>
      </w:r>
      <w:r w:rsidR="00725471">
        <w:rPr>
          <w:rFonts w:asciiTheme="minorHAnsi" w:hAnsiTheme="minorHAnsi" w:cstheme="minorHAnsi"/>
          <w:iCs/>
          <w:szCs w:val="24"/>
        </w:rPr>
        <w:t>, as opposed to the previous requirement for a policy that upholds “free intellectual inquiry</w:t>
      </w:r>
      <w:r w:rsidR="001C05A9">
        <w:rPr>
          <w:rFonts w:asciiTheme="minorHAnsi" w:hAnsiTheme="minorHAnsi" w:cstheme="minorHAnsi"/>
          <w:iCs/>
          <w:szCs w:val="24"/>
        </w:rPr>
        <w:t>”</w:t>
      </w:r>
      <w:r w:rsidR="005621AA">
        <w:rPr>
          <w:rFonts w:asciiTheme="minorHAnsi" w:hAnsiTheme="minorHAnsi" w:cstheme="minorHAnsi"/>
          <w:iCs/>
          <w:szCs w:val="24"/>
        </w:rPr>
        <w:t>.</w:t>
      </w:r>
      <w:r w:rsidR="00CA1AD6">
        <w:rPr>
          <w:rFonts w:asciiTheme="minorHAnsi" w:hAnsiTheme="minorHAnsi" w:cstheme="minorHAnsi"/>
          <w:iCs/>
          <w:szCs w:val="24"/>
        </w:rPr>
        <w:t xml:space="preserve"> </w:t>
      </w:r>
      <w:r w:rsidR="005621AA">
        <w:rPr>
          <w:rFonts w:asciiTheme="minorHAnsi" w:hAnsiTheme="minorHAnsi" w:cstheme="minorHAnsi"/>
          <w:iCs/>
          <w:szCs w:val="24"/>
        </w:rPr>
        <w:t>Those amendments also inserted a definition of “academic freedom” to mean:</w:t>
      </w:r>
    </w:p>
    <w:p w14:paraId="5B850A2E" w14:textId="77777777" w:rsidR="005621AA" w:rsidRPr="005621AA" w:rsidRDefault="005621AA" w:rsidP="005621AA">
      <w:pPr>
        <w:pStyle w:val="paragraph"/>
        <w:shd w:val="clear" w:color="auto" w:fill="FFFFFF"/>
        <w:spacing w:before="40" w:beforeAutospacing="0" w:after="0" w:afterAutospacing="0"/>
        <w:ind w:left="1644" w:hanging="1644"/>
        <w:rPr>
          <w:rFonts w:asciiTheme="minorHAnsi" w:eastAsiaTheme="minorHAnsi" w:hAnsiTheme="minorHAnsi" w:cstheme="minorHAnsi"/>
          <w:iCs/>
          <w:lang w:eastAsia="en-US"/>
        </w:rPr>
      </w:pPr>
      <w:r w:rsidRPr="005621AA">
        <w:rPr>
          <w:rFonts w:asciiTheme="minorHAnsi" w:eastAsiaTheme="minorHAnsi" w:hAnsiTheme="minorHAnsi" w:cstheme="minorHAnsi"/>
          <w:iCs/>
          <w:lang w:eastAsia="en-US"/>
        </w:rPr>
        <w:t xml:space="preserve">                     (a)  the freedom of academic staff to teach, discuss, and research and to disseminate and publish the results of their </w:t>
      </w:r>
      <w:proofErr w:type="gramStart"/>
      <w:r w:rsidRPr="005621AA">
        <w:rPr>
          <w:rFonts w:asciiTheme="minorHAnsi" w:eastAsiaTheme="minorHAnsi" w:hAnsiTheme="minorHAnsi" w:cstheme="minorHAnsi"/>
          <w:iCs/>
          <w:lang w:eastAsia="en-US"/>
        </w:rPr>
        <w:t>research;</w:t>
      </w:r>
      <w:proofErr w:type="gramEnd"/>
    </w:p>
    <w:p w14:paraId="19E46293" w14:textId="77777777" w:rsidR="005621AA" w:rsidRPr="005621AA" w:rsidRDefault="005621AA" w:rsidP="005621AA">
      <w:pPr>
        <w:pStyle w:val="paragraph"/>
        <w:shd w:val="clear" w:color="auto" w:fill="FFFFFF"/>
        <w:spacing w:before="40" w:beforeAutospacing="0" w:after="0" w:afterAutospacing="0"/>
        <w:ind w:left="1644" w:hanging="1644"/>
        <w:rPr>
          <w:rFonts w:asciiTheme="minorHAnsi" w:eastAsiaTheme="minorHAnsi" w:hAnsiTheme="minorHAnsi" w:cstheme="minorHAnsi"/>
          <w:iCs/>
          <w:lang w:eastAsia="en-US"/>
        </w:rPr>
      </w:pPr>
      <w:r w:rsidRPr="005621AA">
        <w:rPr>
          <w:rFonts w:asciiTheme="minorHAnsi" w:eastAsiaTheme="minorHAnsi" w:hAnsiTheme="minorHAnsi" w:cstheme="minorHAnsi"/>
          <w:iCs/>
          <w:lang w:eastAsia="en-US"/>
        </w:rPr>
        <w:lastRenderedPageBreak/>
        <w:t xml:space="preserve">                     (b)  the freedom of academic staff and students to engage in intellectual inquiry, to express their opinions and beliefs, and to contribute to public debate, in relation to their subjects of study and </w:t>
      </w:r>
      <w:proofErr w:type="gramStart"/>
      <w:r w:rsidRPr="005621AA">
        <w:rPr>
          <w:rFonts w:asciiTheme="minorHAnsi" w:eastAsiaTheme="minorHAnsi" w:hAnsiTheme="minorHAnsi" w:cstheme="minorHAnsi"/>
          <w:iCs/>
          <w:lang w:eastAsia="en-US"/>
        </w:rPr>
        <w:t>research;</w:t>
      </w:r>
      <w:proofErr w:type="gramEnd"/>
    </w:p>
    <w:p w14:paraId="69A66F67" w14:textId="77777777" w:rsidR="005621AA" w:rsidRPr="005621AA" w:rsidRDefault="005621AA" w:rsidP="005621AA">
      <w:pPr>
        <w:pStyle w:val="paragraph"/>
        <w:shd w:val="clear" w:color="auto" w:fill="FFFFFF"/>
        <w:spacing w:before="40" w:beforeAutospacing="0" w:after="0" w:afterAutospacing="0"/>
        <w:ind w:left="1644" w:hanging="1644"/>
        <w:rPr>
          <w:rFonts w:asciiTheme="minorHAnsi" w:eastAsiaTheme="minorHAnsi" w:hAnsiTheme="minorHAnsi" w:cstheme="minorHAnsi"/>
          <w:iCs/>
          <w:lang w:eastAsia="en-US"/>
        </w:rPr>
      </w:pPr>
      <w:r w:rsidRPr="005621AA">
        <w:rPr>
          <w:rFonts w:asciiTheme="minorHAnsi" w:eastAsiaTheme="minorHAnsi" w:hAnsiTheme="minorHAnsi" w:cstheme="minorHAnsi"/>
          <w:iCs/>
          <w:lang w:eastAsia="en-US"/>
        </w:rPr>
        <w:t xml:space="preserve">                     (c)  the freedom of academic staff and students to express their opinions in relation to the higher education provider in which they work or are </w:t>
      </w:r>
      <w:proofErr w:type="gramStart"/>
      <w:r w:rsidRPr="005621AA">
        <w:rPr>
          <w:rFonts w:asciiTheme="minorHAnsi" w:eastAsiaTheme="minorHAnsi" w:hAnsiTheme="minorHAnsi" w:cstheme="minorHAnsi"/>
          <w:iCs/>
          <w:lang w:eastAsia="en-US"/>
        </w:rPr>
        <w:t>enrolled;</w:t>
      </w:r>
      <w:proofErr w:type="gramEnd"/>
    </w:p>
    <w:p w14:paraId="310C9FA1" w14:textId="77777777" w:rsidR="005621AA" w:rsidRPr="005621AA" w:rsidRDefault="005621AA" w:rsidP="005621AA">
      <w:pPr>
        <w:pStyle w:val="paragraph"/>
        <w:shd w:val="clear" w:color="auto" w:fill="FFFFFF"/>
        <w:spacing w:before="40" w:beforeAutospacing="0" w:after="0" w:afterAutospacing="0"/>
        <w:ind w:left="1644" w:hanging="1644"/>
        <w:rPr>
          <w:rFonts w:asciiTheme="minorHAnsi" w:eastAsiaTheme="minorHAnsi" w:hAnsiTheme="minorHAnsi" w:cstheme="minorHAnsi"/>
          <w:iCs/>
          <w:lang w:eastAsia="en-US"/>
        </w:rPr>
      </w:pPr>
      <w:r w:rsidRPr="005621AA">
        <w:rPr>
          <w:rFonts w:asciiTheme="minorHAnsi" w:eastAsiaTheme="minorHAnsi" w:hAnsiTheme="minorHAnsi" w:cstheme="minorHAnsi"/>
          <w:iCs/>
          <w:lang w:eastAsia="en-US"/>
        </w:rPr>
        <w:t xml:space="preserve">                     (d)  the freedom of academic staff to participate in professional or representative academic </w:t>
      </w:r>
      <w:proofErr w:type="gramStart"/>
      <w:r w:rsidRPr="005621AA">
        <w:rPr>
          <w:rFonts w:asciiTheme="minorHAnsi" w:eastAsiaTheme="minorHAnsi" w:hAnsiTheme="minorHAnsi" w:cstheme="minorHAnsi"/>
          <w:iCs/>
          <w:lang w:eastAsia="en-US"/>
        </w:rPr>
        <w:t>bodies;</w:t>
      </w:r>
      <w:proofErr w:type="gramEnd"/>
    </w:p>
    <w:p w14:paraId="4C54BBD4" w14:textId="77777777" w:rsidR="005621AA" w:rsidRPr="005621AA" w:rsidRDefault="005621AA" w:rsidP="005621AA">
      <w:pPr>
        <w:pStyle w:val="paragraph"/>
        <w:shd w:val="clear" w:color="auto" w:fill="FFFFFF"/>
        <w:spacing w:before="40" w:beforeAutospacing="0" w:after="0" w:afterAutospacing="0"/>
        <w:ind w:left="1644" w:hanging="1644"/>
        <w:rPr>
          <w:rFonts w:asciiTheme="minorHAnsi" w:eastAsiaTheme="minorHAnsi" w:hAnsiTheme="minorHAnsi" w:cstheme="minorHAnsi"/>
          <w:iCs/>
          <w:lang w:eastAsia="en-US"/>
        </w:rPr>
      </w:pPr>
      <w:r w:rsidRPr="005621AA">
        <w:rPr>
          <w:rFonts w:asciiTheme="minorHAnsi" w:eastAsiaTheme="minorHAnsi" w:hAnsiTheme="minorHAnsi" w:cstheme="minorHAnsi"/>
          <w:iCs/>
          <w:lang w:eastAsia="en-US"/>
        </w:rPr>
        <w:t xml:space="preserve">                     (e)  the freedom of students to participate in student societies and </w:t>
      </w:r>
      <w:proofErr w:type="gramStart"/>
      <w:r w:rsidRPr="005621AA">
        <w:rPr>
          <w:rFonts w:asciiTheme="minorHAnsi" w:eastAsiaTheme="minorHAnsi" w:hAnsiTheme="minorHAnsi" w:cstheme="minorHAnsi"/>
          <w:iCs/>
          <w:lang w:eastAsia="en-US"/>
        </w:rPr>
        <w:t>associations;</w:t>
      </w:r>
      <w:proofErr w:type="gramEnd"/>
    </w:p>
    <w:p w14:paraId="69B693C6" w14:textId="77777777" w:rsidR="005621AA" w:rsidRPr="005621AA" w:rsidRDefault="005621AA" w:rsidP="005621AA">
      <w:pPr>
        <w:pStyle w:val="paragraph"/>
        <w:shd w:val="clear" w:color="auto" w:fill="FFFFFF"/>
        <w:spacing w:before="40" w:beforeAutospacing="0" w:after="0" w:afterAutospacing="0"/>
        <w:ind w:left="1644" w:hanging="1644"/>
        <w:rPr>
          <w:rFonts w:asciiTheme="minorHAnsi" w:eastAsiaTheme="minorHAnsi" w:hAnsiTheme="minorHAnsi" w:cstheme="minorHAnsi"/>
          <w:iCs/>
          <w:lang w:eastAsia="en-US"/>
        </w:rPr>
      </w:pPr>
      <w:r w:rsidRPr="005621AA">
        <w:rPr>
          <w:rFonts w:asciiTheme="minorHAnsi" w:eastAsiaTheme="minorHAnsi" w:hAnsiTheme="minorHAnsi" w:cstheme="minorHAnsi"/>
          <w:iCs/>
          <w:lang w:eastAsia="en-US"/>
        </w:rPr>
        <w:t>                      (f)  the autonomy of the higher education provider in relation to the choice of academic courses and offerings, the ways in which they are taught and the choices of research activities and the ways in which they are conducted.</w:t>
      </w:r>
    </w:p>
    <w:p w14:paraId="48259B11" w14:textId="18BEFD20" w:rsidR="00725471" w:rsidRDefault="00C87F05" w:rsidP="005E42A5">
      <w:pPr>
        <w:spacing w:before="120" w:after="120"/>
        <w:rPr>
          <w:rFonts w:asciiTheme="minorHAnsi" w:hAnsiTheme="minorHAnsi" w:cstheme="minorHAnsi"/>
          <w:iCs/>
          <w:szCs w:val="24"/>
        </w:rPr>
      </w:pPr>
      <w:r>
        <w:rPr>
          <w:rFonts w:asciiTheme="minorHAnsi" w:hAnsiTheme="minorHAnsi" w:cstheme="minorHAnsi"/>
          <w:iCs/>
          <w:szCs w:val="24"/>
        </w:rPr>
        <w:t>The Hon</w:t>
      </w:r>
      <w:r w:rsidR="00E52EE5">
        <w:rPr>
          <w:rFonts w:asciiTheme="minorHAnsi" w:hAnsiTheme="minorHAnsi" w:cstheme="minorHAnsi"/>
          <w:iCs/>
          <w:szCs w:val="24"/>
        </w:rPr>
        <w:t>ourable</w:t>
      </w:r>
      <w:r>
        <w:rPr>
          <w:rFonts w:asciiTheme="minorHAnsi" w:hAnsiTheme="minorHAnsi" w:cstheme="minorHAnsi"/>
          <w:iCs/>
          <w:szCs w:val="24"/>
        </w:rPr>
        <w:t xml:space="preserve"> Robert French AC, former Chief Justice of the High Court of Australia, recommended t</w:t>
      </w:r>
      <w:r w:rsidR="00725471">
        <w:rPr>
          <w:rFonts w:asciiTheme="minorHAnsi" w:hAnsiTheme="minorHAnsi" w:cstheme="minorHAnsi"/>
          <w:iCs/>
          <w:szCs w:val="24"/>
        </w:rPr>
        <w:t>his change in his 2019 Independent R</w:t>
      </w:r>
      <w:r w:rsidR="00725471" w:rsidRPr="00BE1179">
        <w:rPr>
          <w:rFonts w:asciiTheme="minorHAnsi" w:hAnsiTheme="minorHAnsi" w:cstheme="minorHAnsi"/>
          <w:iCs/>
          <w:szCs w:val="24"/>
        </w:rPr>
        <w:t xml:space="preserve">eview </w:t>
      </w:r>
      <w:r w:rsidR="00725471">
        <w:rPr>
          <w:rFonts w:asciiTheme="minorHAnsi" w:hAnsiTheme="minorHAnsi" w:cstheme="minorHAnsi"/>
          <w:iCs/>
          <w:szCs w:val="24"/>
        </w:rPr>
        <w:t xml:space="preserve">of Freedom of Speech in Australian Higher Education Providers (French Review) to ensure consistency of language between HESA and the </w:t>
      </w:r>
      <w:r w:rsidR="00725471" w:rsidRPr="00BE1179">
        <w:rPr>
          <w:rFonts w:asciiTheme="minorHAnsi" w:hAnsiTheme="minorHAnsi" w:cstheme="minorHAnsi"/>
          <w:iCs/>
          <w:szCs w:val="24"/>
        </w:rPr>
        <w:t>Model Code for the P</w:t>
      </w:r>
      <w:r w:rsidR="00725471" w:rsidRPr="00146796">
        <w:rPr>
          <w:rFonts w:asciiTheme="minorHAnsi" w:hAnsiTheme="minorHAnsi" w:cstheme="minorHAnsi"/>
          <w:iCs/>
          <w:szCs w:val="24"/>
        </w:rPr>
        <w:t xml:space="preserve">rotection of Freedom of Speech and Academic Freedom </w:t>
      </w:r>
      <w:r w:rsidR="00725471">
        <w:rPr>
          <w:rFonts w:asciiTheme="minorHAnsi" w:hAnsiTheme="minorHAnsi" w:cstheme="minorHAnsi"/>
          <w:iCs/>
          <w:szCs w:val="24"/>
        </w:rPr>
        <w:t>proposed in the review report.</w:t>
      </w:r>
    </w:p>
    <w:p w14:paraId="4E5678F3" w14:textId="394BFCAA" w:rsidR="008070EB" w:rsidRDefault="00C87F05" w:rsidP="00C87F05">
      <w:pPr>
        <w:spacing w:before="120" w:after="120"/>
        <w:rPr>
          <w:rFonts w:asciiTheme="minorHAnsi" w:hAnsiTheme="minorHAnsi" w:cstheme="minorHAnsi"/>
          <w:iCs/>
          <w:szCs w:val="24"/>
        </w:rPr>
      </w:pPr>
      <w:r w:rsidRPr="00725471">
        <w:rPr>
          <w:rFonts w:asciiTheme="minorHAnsi" w:hAnsiTheme="minorHAnsi" w:cstheme="minorHAnsi"/>
          <w:iCs/>
          <w:szCs w:val="24"/>
        </w:rPr>
        <w:t xml:space="preserve">These </w:t>
      </w:r>
      <w:r>
        <w:rPr>
          <w:rFonts w:asciiTheme="minorHAnsi" w:hAnsiTheme="minorHAnsi" w:cstheme="minorHAnsi"/>
          <w:iCs/>
          <w:szCs w:val="24"/>
        </w:rPr>
        <w:t xml:space="preserve">new </w:t>
      </w:r>
      <w:r w:rsidRPr="00725471">
        <w:rPr>
          <w:rFonts w:asciiTheme="minorHAnsi" w:hAnsiTheme="minorHAnsi" w:cstheme="minorHAnsi"/>
          <w:iCs/>
          <w:szCs w:val="24"/>
        </w:rPr>
        <w:t xml:space="preserve">amendments will </w:t>
      </w:r>
      <w:r>
        <w:rPr>
          <w:rFonts w:asciiTheme="minorHAnsi" w:hAnsiTheme="minorHAnsi" w:cstheme="minorHAnsi"/>
          <w:iCs/>
          <w:szCs w:val="24"/>
        </w:rPr>
        <w:t xml:space="preserve">further </w:t>
      </w:r>
      <w:r w:rsidRPr="00725471">
        <w:rPr>
          <w:rFonts w:asciiTheme="minorHAnsi" w:hAnsiTheme="minorHAnsi" w:cstheme="minorHAnsi"/>
          <w:iCs/>
          <w:szCs w:val="24"/>
        </w:rPr>
        <w:t xml:space="preserve">support higher education providers by ensuring consistency of language between </w:t>
      </w:r>
      <w:r>
        <w:rPr>
          <w:rFonts w:asciiTheme="minorHAnsi" w:hAnsiTheme="minorHAnsi" w:cstheme="minorHAnsi"/>
          <w:iCs/>
          <w:szCs w:val="24"/>
        </w:rPr>
        <w:t xml:space="preserve">all three of </w:t>
      </w:r>
      <w:r w:rsidRPr="00725471">
        <w:rPr>
          <w:rFonts w:asciiTheme="minorHAnsi" w:hAnsiTheme="minorHAnsi" w:cstheme="minorHAnsi"/>
          <w:iCs/>
          <w:szCs w:val="24"/>
        </w:rPr>
        <w:t xml:space="preserve">the </w:t>
      </w:r>
      <w:r>
        <w:rPr>
          <w:rFonts w:asciiTheme="minorHAnsi" w:hAnsiTheme="minorHAnsi" w:cstheme="minorHAnsi"/>
          <w:iCs/>
          <w:szCs w:val="24"/>
        </w:rPr>
        <w:t xml:space="preserve">Principal </w:t>
      </w:r>
      <w:r w:rsidRPr="00725471">
        <w:rPr>
          <w:rFonts w:asciiTheme="minorHAnsi" w:hAnsiTheme="minorHAnsi" w:cstheme="minorHAnsi"/>
          <w:iCs/>
          <w:szCs w:val="24"/>
        </w:rPr>
        <w:t>Instrument</w:t>
      </w:r>
      <w:r>
        <w:rPr>
          <w:rFonts w:asciiTheme="minorHAnsi" w:hAnsiTheme="minorHAnsi" w:cstheme="minorHAnsi"/>
          <w:iCs/>
          <w:szCs w:val="24"/>
        </w:rPr>
        <w:t xml:space="preserve">, </w:t>
      </w:r>
      <w:proofErr w:type="gramStart"/>
      <w:r>
        <w:rPr>
          <w:rFonts w:asciiTheme="minorHAnsi" w:hAnsiTheme="minorHAnsi" w:cstheme="minorHAnsi"/>
          <w:iCs/>
          <w:szCs w:val="24"/>
        </w:rPr>
        <w:t>HESA</w:t>
      </w:r>
      <w:proofErr w:type="gramEnd"/>
      <w:r>
        <w:rPr>
          <w:rFonts w:asciiTheme="minorHAnsi" w:hAnsiTheme="minorHAnsi" w:cstheme="minorHAnsi"/>
          <w:iCs/>
          <w:szCs w:val="24"/>
        </w:rPr>
        <w:t xml:space="preserve"> and</w:t>
      </w:r>
      <w:r w:rsidRPr="00725471">
        <w:rPr>
          <w:rFonts w:asciiTheme="minorHAnsi" w:hAnsiTheme="minorHAnsi" w:cstheme="minorHAnsi"/>
          <w:iCs/>
          <w:szCs w:val="24"/>
        </w:rPr>
        <w:t xml:space="preserve"> </w:t>
      </w:r>
      <w:r>
        <w:rPr>
          <w:rFonts w:asciiTheme="minorHAnsi" w:hAnsiTheme="minorHAnsi" w:cstheme="minorHAnsi"/>
          <w:iCs/>
          <w:szCs w:val="24"/>
        </w:rPr>
        <w:t xml:space="preserve">the </w:t>
      </w:r>
      <w:r w:rsidRPr="00725471">
        <w:rPr>
          <w:rFonts w:asciiTheme="minorHAnsi" w:hAnsiTheme="minorHAnsi" w:cstheme="minorHAnsi"/>
          <w:iCs/>
          <w:szCs w:val="24"/>
        </w:rPr>
        <w:t xml:space="preserve">Model Code, which </w:t>
      </w:r>
      <w:r>
        <w:rPr>
          <w:rFonts w:asciiTheme="minorHAnsi" w:hAnsiTheme="minorHAnsi" w:cstheme="minorHAnsi"/>
          <w:iCs/>
          <w:szCs w:val="24"/>
        </w:rPr>
        <w:t>all Table A and Table B</w:t>
      </w:r>
      <w:r w:rsidRPr="00725471">
        <w:rPr>
          <w:rFonts w:asciiTheme="minorHAnsi" w:hAnsiTheme="minorHAnsi" w:cstheme="minorHAnsi"/>
          <w:iCs/>
          <w:szCs w:val="24"/>
        </w:rPr>
        <w:t xml:space="preserve"> universities have </w:t>
      </w:r>
      <w:r>
        <w:rPr>
          <w:rFonts w:asciiTheme="minorHAnsi" w:hAnsiTheme="minorHAnsi" w:cstheme="minorHAnsi"/>
          <w:iCs/>
          <w:szCs w:val="24"/>
        </w:rPr>
        <w:t xml:space="preserve">now </w:t>
      </w:r>
      <w:r w:rsidRPr="00725471">
        <w:rPr>
          <w:rFonts w:asciiTheme="minorHAnsi" w:hAnsiTheme="minorHAnsi" w:cstheme="minorHAnsi"/>
          <w:iCs/>
          <w:szCs w:val="24"/>
        </w:rPr>
        <w:t>adopted.</w:t>
      </w:r>
    </w:p>
    <w:p w14:paraId="17F96AFA" w14:textId="51AA817C" w:rsidR="00E22555" w:rsidRDefault="00E22555" w:rsidP="00E22555">
      <w:pPr>
        <w:spacing w:before="120" w:after="120"/>
        <w:rPr>
          <w:rFonts w:asciiTheme="minorHAnsi" w:hAnsiTheme="minorHAnsi" w:cstheme="minorHAnsi"/>
          <w:iCs/>
          <w:szCs w:val="24"/>
        </w:rPr>
      </w:pPr>
      <w:r>
        <w:rPr>
          <w:rFonts w:asciiTheme="minorHAnsi" w:hAnsiTheme="minorHAnsi" w:cstheme="minorHAnsi"/>
          <w:iCs/>
          <w:szCs w:val="24"/>
        </w:rPr>
        <w:t>This instrument will also make a minor amendment to correct the unintended omission of a requirement that, to become registered, universities must self-accredit and deliver both undergraduate and postgraduate courses of study, as was the case in the preceding 2015 and 2011 Threshold Standards and recommended by the Review of the Higher Education Provider Category Standards.</w:t>
      </w:r>
    </w:p>
    <w:p w14:paraId="08CFE546" w14:textId="3DE32CB7" w:rsidR="00A52F06" w:rsidRDefault="00A52F06" w:rsidP="00E22555">
      <w:pPr>
        <w:spacing w:before="120" w:after="120"/>
        <w:rPr>
          <w:rFonts w:asciiTheme="minorHAnsi" w:hAnsiTheme="minorHAnsi" w:cstheme="minorHAnsi"/>
          <w:iCs/>
          <w:szCs w:val="24"/>
        </w:rPr>
      </w:pPr>
      <w:r>
        <w:rPr>
          <w:rFonts w:asciiTheme="minorHAnsi" w:hAnsiTheme="minorHAnsi" w:cstheme="minorHAnsi"/>
          <w:iCs/>
          <w:szCs w:val="24"/>
        </w:rPr>
        <w:t xml:space="preserve">Schedule 2 of the instrument repeals the entirety of the </w:t>
      </w:r>
      <w:r w:rsidRPr="00A52F06">
        <w:rPr>
          <w:rFonts w:asciiTheme="minorHAnsi" w:hAnsiTheme="minorHAnsi" w:cstheme="minorHAnsi"/>
          <w:i/>
          <w:szCs w:val="24"/>
        </w:rPr>
        <w:t>Higher Education Standards Framework (Threshold Standards) 2015</w:t>
      </w:r>
      <w:r>
        <w:rPr>
          <w:rFonts w:asciiTheme="minorHAnsi" w:hAnsiTheme="minorHAnsi" w:cstheme="minorHAnsi"/>
          <w:iCs/>
          <w:szCs w:val="24"/>
        </w:rPr>
        <w:t>, as that instrument has been superseded by the 2021 version.</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0BEE007F" w14:textId="2D950618" w:rsidR="002D7A08" w:rsidRDefault="002D7A08" w:rsidP="002D7A08">
      <w:pPr>
        <w:spacing w:before="120" w:after="120"/>
        <w:rPr>
          <w:rFonts w:asciiTheme="minorHAnsi" w:hAnsiTheme="minorHAnsi" w:cstheme="minorHAnsi"/>
          <w:szCs w:val="24"/>
        </w:rPr>
      </w:pPr>
      <w:r>
        <w:rPr>
          <w:rFonts w:asciiTheme="minorHAnsi" w:hAnsiTheme="minorHAnsi" w:cstheme="minorHAnsi"/>
          <w:szCs w:val="24"/>
        </w:rPr>
        <w:t>The Office of Best Practice Regulation advises that a Regulat</w:t>
      </w:r>
      <w:r w:rsidR="00BE1179">
        <w:rPr>
          <w:rFonts w:asciiTheme="minorHAnsi" w:hAnsiTheme="minorHAnsi" w:cstheme="minorHAnsi"/>
          <w:szCs w:val="24"/>
        </w:rPr>
        <w:t>ion</w:t>
      </w:r>
      <w:r>
        <w:rPr>
          <w:rFonts w:asciiTheme="minorHAnsi" w:hAnsiTheme="minorHAnsi" w:cstheme="minorHAnsi"/>
          <w:szCs w:val="24"/>
        </w:rPr>
        <w:t xml:space="preserve"> Impact Statement is not required, as</w:t>
      </w:r>
      <w:r w:rsidR="008466D2">
        <w:rPr>
          <w:rFonts w:asciiTheme="minorHAnsi" w:hAnsiTheme="minorHAnsi" w:cstheme="minorHAnsi"/>
          <w:szCs w:val="24"/>
        </w:rPr>
        <w:t xml:space="preserve"> </w:t>
      </w:r>
      <w:r w:rsidR="008466D2" w:rsidRPr="008466D2">
        <w:rPr>
          <w:rFonts w:asciiTheme="minorHAnsi" w:hAnsiTheme="minorHAnsi" w:cstheme="minorHAnsi"/>
          <w:szCs w:val="24"/>
        </w:rPr>
        <w:t>the OBPR considers that the proposal is unlikely to have a more than minor regulatory impact</w:t>
      </w:r>
      <w:r w:rsidR="008466D2">
        <w:rPr>
          <w:rFonts w:asciiTheme="minorHAnsi" w:hAnsiTheme="minorHAnsi" w:cstheme="minorHAnsi"/>
          <w:szCs w:val="24"/>
        </w:rPr>
        <w:t xml:space="preserve"> </w:t>
      </w:r>
      <w:r>
        <w:rPr>
          <w:rFonts w:asciiTheme="minorHAnsi" w:hAnsiTheme="minorHAnsi" w:cstheme="minorHAnsi"/>
          <w:szCs w:val="24"/>
        </w:rPr>
        <w:t xml:space="preserve">(OBPR reference number </w:t>
      </w:r>
      <w:r w:rsidR="008466D2" w:rsidRPr="008466D2">
        <w:rPr>
          <w:rFonts w:asciiTheme="minorHAnsi" w:hAnsiTheme="minorHAnsi" w:cstheme="minorHAnsi"/>
          <w:szCs w:val="24"/>
        </w:rPr>
        <w:t>ID 43142</w:t>
      </w:r>
      <w:r>
        <w:rPr>
          <w:rFonts w:asciiTheme="minorHAnsi" w:hAnsiTheme="minorHAnsi" w:cstheme="minorHAnsi"/>
          <w:szCs w:val="24"/>
        </w:rPr>
        <w:t>).</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404AD6A0" w14:textId="2F7B9B0D" w:rsidR="002D7A08" w:rsidRPr="00FC4B4B" w:rsidRDefault="002D7A08" w:rsidP="002D7A08">
      <w:pPr>
        <w:spacing w:before="120" w:after="120"/>
        <w:rPr>
          <w:rFonts w:asciiTheme="minorHAnsi" w:hAnsiTheme="minorHAnsi" w:cstheme="minorHAnsi"/>
          <w:iCs/>
          <w:szCs w:val="24"/>
        </w:rPr>
      </w:pPr>
      <w:bookmarkStart w:id="2" w:name="_Toc34293360"/>
      <w:r w:rsidRPr="00442657">
        <w:rPr>
          <w:rFonts w:asciiTheme="minorHAnsi" w:hAnsiTheme="minorHAnsi" w:cstheme="minorHAnsi"/>
          <w:iCs/>
          <w:szCs w:val="24"/>
        </w:rPr>
        <w:t xml:space="preserve">The Instrument commences on </w:t>
      </w:r>
      <w:r w:rsidR="005621AA">
        <w:rPr>
          <w:rFonts w:asciiTheme="minorHAnsi" w:hAnsiTheme="minorHAnsi" w:cstheme="minorHAnsi"/>
          <w:iCs/>
          <w:szCs w:val="24"/>
        </w:rPr>
        <w:t>the day after it is registered on the Federal Register of Legislation</w:t>
      </w:r>
      <w:r>
        <w:rPr>
          <w:rFonts w:asciiTheme="minorHAnsi" w:hAnsiTheme="minorHAnsi" w:cstheme="minorHAnsi"/>
          <w:iCs/>
          <w:szCs w:val="24"/>
        </w:rPr>
        <w:t xml:space="preserve">. </w:t>
      </w:r>
    </w:p>
    <w:p w14:paraId="59906F74" w14:textId="77777777" w:rsidR="00696CF0" w:rsidRPr="008134D5" w:rsidRDefault="00144950" w:rsidP="00696CF0">
      <w:pPr>
        <w:pStyle w:val="Heading2"/>
        <w:rPr>
          <w:rFonts w:asciiTheme="minorHAnsi" w:hAnsiTheme="minorHAnsi" w:cstheme="minorHAnsi"/>
          <w:color w:val="auto"/>
        </w:rPr>
      </w:pPr>
      <w:r w:rsidRPr="008134D5">
        <w:rPr>
          <w:rFonts w:asciiTheme="minorHAnsi" w:hAnsiTheme="minorHAnsi" w:cstheme="minorHAnsi"/>
          <w:color w:val="auto"/>
        </w:rPr>
        <w:t>CONSULTATION</w:t>
      </w:r>
      <w:bookmarkEnd w:id="2"/>
    </w:p>
    <w:p w14:paraId="6DEFC8F3" w14:textId="670D6CA9" w:rsidR="00943309" w:rsidRPr="00BE1179" w:rsidRDefault="00943309" w:rsidP="005E42A5">
      <w:pPr>
        <w:spacing w:before="120" w:after="120"/>
        <w:rPr>
          <w:rFonts w:asciiTheme="minorHAnsi" w:hAnsiTheme="minorHAnsi" w:cstheme="minorHAnsi"/>
          <w:iCs/>
          <w:szCs w:val="24"/>
        </w:rPr>
      </w:pPr>
      <w:r w:rsidRPr="00BE1179">
        <w:rPr>
          <w:rFonts w:asciiTheme="minorHAnsi" w:hAnsiTheme="minorHAnsi" w:cstheme="minorHAnsi"/>
          <w:iCs/>
          <w:szCs w:val="24"/>
        </w:rPr>
        <w:t>These amendments have been the subject of significant stakeholder consultation between 201</w:t>
      </w:r>
      <w:r w:rsidR="00BE1179">
        <w:rPr>
          <w:rFonts w:asciiTheme="minorHAnsi" w:hAnsiTheme="minorHAnsi" w:cstheme="minorHAnsi"/>
          <w:iCs/>
          <w:szCs w:val="24"/>
        </w:rPr>
        <w:t>8</w:t>
      </w:r>
      <w:r w:rsidRPr="00BE1179">
        <w:rPr>
          <w:rFonts w:asciiTheme="minorHAnsi" w:hAnsiTheme="minorHAnsi" w:cstheme="minorHAnsi"/>
          <w:iCs/>
          <w:szCs w:val="24"/>
        </w:rPr>
        <w:t xml:space="preserve"> and 2</w:t>
      </w:r>
      <w:r w:rsidR="00BE1179">
        <w:rPr>
          <w:rFonts w:asciiTheme="minorHAnsi" w:hAnsiTheme="minorHAnsi" w:cstheme="minorHAnsi"/>
          <w:iCs/>
          <w:szCs w:val="24"/>
        </w:rPr>
        <w:t>0</w:t>
      </w:r>
      <w:r w:rsidRPr="00BE1179">
        <w:rPr>
          <w:rFonts w:asciiTheme="minorHAnsi" w:hAnsiTheme="minorHAnsi" w:cstheme="minorHAnsi"/>
          <w:iCs/>
          <w:szCs w:val="24"/>
        </w:rPr>
        <w:t>21</w:t>
      </w:r>
      <w:r w:rsidR="00140024">
        <w:rPr>
          <w:rFonts w:asciiTheme="minorHAnsi" w:hAnsiTheme="minorHAnsi" w:cstheme="minorHAnsi"/>
          <w:iCs/>
          <w:szCs w:val="24"/>
        </w:rPr>
        <w:t xml:space="preserve">, variously by </w:t>
      </w:r>
      <w:r w:rsidR="00C87F05">
        <w:rPr>
          <w:rFonts w:asciiTheme="minorHAnsi" w:hAnsiTheme="minorHAnsi" w:cstheme="minorHAnsi"/>
          <w:iCs/>
          <w:szCs w:val="24"/>
        </w:rPr>
        <w:t>the Hon</w:t>
      </w:r>
      <w:r w:rsidR="00E52EE5">
        <w:rPr>
          <w:rFonts w:asciiTheme="minorHAnsi" w:hAnsiTheme="minorHAnsi" w:cstheme="minorHAnsi"/>
          <w:iCs/>
          <w:szCs w:val="24"/>
        </w:rPr>
        <w:t>ourable</w:t>
      </w:r>
      <w:r w:rsidR="00C87F05">
        <w:rPr>
          <w:rFonts w:asciiTheme="minorHAnsi" w:hAnsiTheme="minorHAnsi" w:cstheme="minorHAnsi"/>
          <w:iCs/>
          <w:szCs w:val="24"/>
        </w:rPr>
        <w:t xml:space="preserve"> Robert</w:t>
      </w:r>
      <w:r w:rsidR="00140024">
        <w:rPr>
          <w:rFonts w:asciiTheme="minorHAnsi" w:hAnsiTheme="minorHAnsi" w:cstheme="minorHAnsi"/>
          <w:iCs/>
          <w:szCs w:val="24"/>
        </w:rPr>
        <w:t xml:space="preserve"> French</w:t>
      </w:r>
      <w:r w:rsidR="00C87F05">
        <w:rPr>
          <w:rFonts w:asciiTheme="minorHAnsi" w:hAnsiTheme="minorHAnsi" w:cstheme="minorHAnsi"/>
          <w:iCs/>
          <w:szCs w:val="24"/>
        </w:rPr>
        <w:t xml:space="preserve"> AC</w:t>
      </w:r>
      <w:r w:rsidR="00140024">
        <w:rPr>
          <w:rFonts w:asciiTheme="minorHAnsi" w:hAnsiTheme="minorHAnsi" w:cstheme="minorHAnsi"/>
          <w:iCs/>
          <w:szCs w:val="24"/>
        </w:rPr>
        <w:t>, the Higher Education Standards Panel (the Panel) and Ministers</w:t>
      </w:r>
      <w:r w:rsidRPr="00BE1179">
        <w:rPr>
          <w:rFonts w:asciiTheme="minorHAnsi" w:hAnsiTheme="minorHAnsi" w:cstheme="minorHAnsi"/>
          <w:iCs/>
          <w:szCs w:val="24"/>
        </w:rPr>
        <w:t>.</w:t>
      </w:r>
    </w:p>
    <w:p w14:paraId="1F1E06FB" w14:textId="15F87DBE" w:rsidR="00BE1179" w:rsidRPr="00146796" w:rsidRDefault="00C87F05" w:rsidP="00BE1179">
      <w:pPr>
        <w:spacing w:before="120" w:after="120"/>
        <w:rPr>
          <w:rFonts w:asciiTheme="minorHAnsi" w:hAnsiTheme="minorHAnsi" w:cstheme="minorHAnsi"/>
          <w:iCs/>
          <w:szCs w:val="24"/>
        </w:rPr>
      </w:pPr>
      <w:r>
        <w:rPr>
          <w:rFonts w:asciiTheme="minorHAnsi" w:hAnsiTheme="minorHAnsi" w:cstheme="minorHAnsi"/>
          <w:iCs/>
          <w:szCs w:val="24"/>
        </w:rPr>
        <w:lastRenderedPageBreak/>
        <w:t>The Hon</w:t>
      </w:r>
      <w:r w:rsidR="00217CD8">
        <w:rPr>
          <w:rFonts w:asciiTheme="minorHAnsi" w:hAnsiTheme="minorHAnsi" w:cstheme="minorHAnsi"/>
          <w:iCs/>
          <w:szCs w:val="24"/>
        </w:rPr>
        <w:t>ourable</w:t>
      </w:r>
      <w:r>
        <w:rPr>
          <w:rFonts w:asciiTheme="minorHAnsi" w:hAnsiTheme="minorHAnsi" w:cstheme="minorHAnsi"/>
          <w:iCs/>
          <w:szCs w:val="24"/>
        </w:rPr>
        <w:t xml:space="preserve"> Robert</w:t>
      </w:r>
      <w:r w:rsidR="00BE1179" w:rsidRPr="00BE1179">
        <w:rPr>
          <w:rFonts w:asciiTheme="minorHAnsi" w:hAnsiTheme="minorHAnsi" w:cstheme="minorHAnsi"/>
          <w:iCs/>
          <w:szCs w:val="24"/>
        </w:rPr>
        <w:t xml:space="preserve"> French</w:t>
      </w:r>
      <w:r>
        <w:rPr>
          <w:rFonts w:asciiTheme="minorHAnsi" w:hAnsiTheme="minorHAnsi" w:cstheme="minorHAnsi"/>
          <w:iCs/>
          <w:szCs w:val="24"/>
        </w:rPr>
        <w:t xml:space="preserve"> AC</w:t>
      </w:r>
      <w:r w:rsidR="00BE1179" w:rsidRPr="00BE1179">
        <w:rPr>
          <w:rFonts w:asciiTheme="minorHAnsi" w:hAnsiTheme="minorHAnsi" w:cstheme="minorHAnsi"/>
          <w:iCs/>
          <w:szCs w:val="24"/>
        </w:rPr>
        <w:t xml:space="preserve"> provided </w:t>
      </w:r>
      <w:r w:rsidR="00C14C4D">
        <w:rPr>
          <w:rFonts w:asciiTheme="minorHAnsi" w:hAnsiTheme="minorHAnsi" w:cstheme="minorHAnsi"/>
          <w:iCs/>
          <w:szCs w:val="24"/>
        </w:rPr>
        <w:t>the</w:t>
      </w:r>
      <w:r w:rsidR="00BE1179" w:rsidRPr="00BE1179">
        <w:rPr>
          <w:rFonts w:asciiTheme="minorHAnsi" w:hAnsiTheme="minorHAnsi" w:cstheme="minorHAnsi"/>
          <w:iCs/>
          <w:szCs w:val="24"/>
        </w:rPr>
        <w:t xml:space="preserve"> </w:t>
      </w:r>
      <w:r w:rsidR="00725471">
        <w:rPr>
          <w:rFonts w:asciiTheme="minorHAnsi" w:hAnsiTheme="minorHAnsi" w:cstheme="minorHAnsi"/>
          <w:iCs/>
          <w:szCs w:val="24"/>
        </w:rPr>
        <w:t xml:space="preserve">final </w:t>
      </w:r>
      <w:r w:rsidR="00140024">
        <w:rPr>
          <w:rFonts w:asciiTheme="minorHAnsi" w:hAnsiTheme="minorHAnsi" w:cstheme="minorHAnsi"/>
          <w:iCs/>
          <w:szCs w:val="24"/>
        </w:rPr>
        <w:t>report of</w:t>
      </w:r>
      <w:r w:rsidR="00C14C4D">
        <w:rPr>
          <w:rFonts w:asciiTheme="minorHAnsi" w:hAnsiTheme="minorHAnsi" w:cstheme="minorHAnsi"/>
          <w:iCs/>
          <w:szCs w:val="24"/>
        </w:rPr>
        <w:t xml:space="preserve"> the</w:t>
      </w:r>
      <w:r w:rsidR="00140024">
        <w:rPr>
          <w:rFonts w:asciiTheme="minorHAnsi" w:hAnsiTheme="minorHAnsi" w:cstheme="minorHAnsi"/>
          <w:iCs/>
          <w:szCs w:val="24"/>
        </w:rPr>
        <w:t xml:space="preserve"> </w:t>
      </w:r>
      <w:r w:rsidR="00725471">
        <w:rPr>
          <w:rFonts w:asciiTheme="minorHAnsi" w:hAnsiTheme="minorHAnsi" w:cstheme="minorHAnsi"/>
          <w:iCs/>
          <w:szCs w:val="24"/>
        </w:rPr>
        <w:t xml:space="preserve">French </w:t>
      </w:r>
      <w:r w:rsidR="00BE1179">
        <w:rPr>
          <w:rFonts w:asciiTheme="minorHAnsi" w:hAnsiTheme="minorHAnsi" w:cstheme="minorHAnsi"/>
          <w:iCs/>
          <w:szCs w:val="24"/>
        </w:rPr>
        <w:t>R</w:t>
      </w:r>
      <w:r w:rsidR="00BE1179" w:rsidRPr="00BE1179">
        <w:rPr>
          <w:rFonts w:asciiTheme="minorHAnsi" w:hAnsiTheme="minorHAnsi" w:cstheme="minorHAnsi"/>
          <w:iCs/>
          <w:szCs w:val="24"/>
        </w:rPr>
        <w:t xml:space="preserve">eview to </w:t>
      </w:r>
      <w:r w:rsidR="00BE1179">
        <w:rPr>
          <w:rFonts w:asciiTheme="minorHAnsi" w:hAnsiTheme="minorHAnsi" w:cstheme="minorHAnsi"/>
          <w:iCs/>
          <w:szCs w:val="24"/>
        </w:rPr>
        <w:t xml:space="preserve">the </w:t>
      </w:r>
      <w:r w:rsidR="00BE1179" w:rsidRPr="00BE1179">
        <w:rPr>
          <w:rFonts w:asciiTheme="minorHAnsi" w:hAnsiTheme="minorHAnsi" w:cstheme="minorHAnsi"/>
          <w:iCs/>
          <w:szCs w:val="24"/>
        </w:rPr>
        <w:t xml:space="preserve">Government in </w:t>
      </w:r>
      <w:r w:rsidR="006D3B2A">
        <w:rPr>
          <w:rFonts w:asciiTheme="minorHAnsi" w:hAnsiTheme="minorHAnsi" w:cstheme="minorHAnsi"/>
          <w:iCs/>
          <w:szCs w:val="24"/>
        </w:rPr>
        <w:t>March</w:t>
      </w:r>
      <w:r w:rsidR="00BE1179" w:rsidRPr="00BE1179">
        <w:rPr>
          <w:rFonts w:asciiTheme="minorHAnsi" w:hAnsiTheme="minorHAnsi" w:cstheme="minorHAnsi"/>
          <w:iCs/>
          <w:szCs w:val="24"/>
        </w:rPr>
        <w:t xml:space="preserve"> 2019. He recommended amending Standards A.6.1.4 and B.1.1 to change ‘free intellectual inquiry’ to ‘freedom of speech and academic freedom’, reflecting the language in his proposed Model Code</w:t>
      </w:r>
      <w:r w:rsidR="00BE1179" w:rsidRPr="00146796">
        <w:rPr>
          <w:rFonts w:asciiTheme="minorHAnsi" w:hAnsiTheme="minorHAnsi" w:cstheme="minorHAnsi"/>
          <w:iCs/>
          <w:szCs w:val="24"/>
        </w:rPr>
        <w:t>, and his recommended amendments to HESA.</w:t>
      </w:r>
      <w:r w:rsidR="00BE1179">
        <w:rPr>
          <w:rFonts w:asciiTheme="minorHAnsi" w:hAnsiTheme="minorHAnsi" w:cstheme="minorHAnsi"/>
          <w:iCs/>
          <w:szCs w:val="24"/>
        </w:rPr>
        <w:t xml:space="preserve"> In developing his report and recommendations, </w:t>
      </w:r>
      <w:r>
        <w:rPr>
          <w:rFonts w:asciiTheme="minorHAnsi" w:hAnsiTheme="minorHAnsi" w:cstheme="minorHAnsi"/>
          <w:iCs/>
          <w:szCs w:val="24"/>
        </w:rPr>
        <w:t>The Hon</w:t>
      </w:r>
      <w:r w:rsidR="00217CD8">
        <w:rPr>
          <w:rFonts w:asciiTheme="minorHAnsi" w:hAnsiTheme="minorHAnsi" w:cstheme="minorHAnsi"/>
          <w:iCs/>
          <w:szCs w:val="24"/>
        </w:rPr>
        <w:t>ourable</w:t>
      </w:r>
      <w:r>
        <w:rPr>
          <w:rFonts w:asciiTheme="minorHAnsi" w:hAnsiTheme="minorHAnsi" w:cstheme="minorHAnsi"/>
          <w:iCs/>
          <w:szCs w:val="24"/>
        </w:rPr>
        <w:t xml:space="preserve"> Robert French AC</w:t>
      </w:r>
      <w:r w:rsidR="00BE1179">
        <w:rPr>
          <w:rFonts w:asciiTheme="minorHAnsi" w:hAnsiTheme="minorHAnsi" w:cstheme="minorHAnsi"/>
          <w:iCs/>
          <w:szCs w:val="24"/>
        </w:rPr>
        <w:t xml:space="preserve"> undertook two rounds of stakeholder consultation with higher education providers, including seeking comment on a draft of the Model Code.</w:t>
      </w:r>
    </w:p>
    <w:p w14:paraId="0F003B89" w14:textId="5398A124" w:rsidR="00943309" w:rsidRPr="00BE1179" w:rsidRDefault="00943309" w:rsidP="005E42A5">
      <w:pPr>
        <w:spacing w:before="120" w:after="120"/>
        <w:rPr>
          <w:rFonts w:asciiTheme="minorHAnsi" w:hAnsiTheme="minorHAnsi" w:cstheme="minorHAnsi"/>
          <w:iCs/>
          <w:szCs w:val="24"/>
        </w:rPr>
      </w:pPr>
      <w:r w:rsidRPr="00BE1179">
        <w:rPr>
          <w:rFonts w:asciiTheme="minorHAnsi" w:hAnsiTheme="minorHAnsi" w:cstheme="minorHAnsi"/>
          <w:iCs/>
          <w:szCs w:val="24"/>
        </w:rPr>
        <w:t xml:space="preserve">Section 58 of the TEQSA Act establishes specific requirements before the Minister responsible for higher education can make new standards for higher education. The Minister may only make and vary the standards for higher education if a draft has been developed by the </w:t>
      </w:r>
      <w:r w:rsidR="00BE1179">
        <w:rPr>
          <w:rFonts w:asciiTheme="minorHAnsi" w:hAnsiTheme="minorHAnsi" w:cstheme="minorHAnsi"/>
          <w:iCs/>
          <w:szCs w:val="24"/>
        </w:rPr>
        <w:t xml:space="preserve">Higher Education Standards </w:t>
      </w:r>
      <w:r w:rsidRPr="00BE1179">
        <w:rPr>
          <w:rFonts w:asciiTheme="minorHAnsi" w:hAnsiTheme="minorHAnsi" w:cstheme="minorHAnsi"/>
          <w:iCs/>
          <w:szCs w:val="24"/>
        </w:rPr>
        <w:t xml:space="preserve">Panel and the Minister has sought and considered comments on the draft from both TEQSA and the Council of Commonwealth, </w:t>
      </w:r>
      <w:proofErr w:type="gramStart"/>
      <w:r w:rsidRPr="00BE1179">
        <w:rPr>
          <w:rFonts w:asciiTheme="minorHAnsi" w:hAnsiTheme="minorHAnsi" w:cstheme="minorHAnsi"/>
          <w:iCs/>
          <w:szCs w:val="24"/>
        </w:rPr>
        <w:t>state</w:t>
      </w:r>
      <w:proofErr w:type="gramEnd"/>
      <w:r w:rsidRPr="00BE1179">
        <w:rPr>
          <w:rFonts w:asciiTheme="minorHAnsi" w:hAnsiTheme="minorHAnsi" w:cstheme="minorHAnsi"/>
          <w:iCs/>
          <w:szCs w:val="24"/>
        </w:rPr>
        <w:t xml:space="preserve"> and territory ministers responsible for higher education.</w:t>
      </w:r>
    </w:p>
    <w:p w14:paraId="1D38C571" w14:textId="7A106EB9" w:rsidR="006D3B2A" w:rsidRPr="00D7198F" w:rsidRDefault="00140024" w:rsidP="005E42A5">
      <w:pPr>
        <w:spacing w:before="120" w:after="120"/>
        <w:rPr>
          <w:rFonts w:asciiTheme="minorHAnsi" w:hAnsiTheme="minorHAnsi" w:cstheme="minorHAnsi"/>
          <w:iCs/>
          <w:szCs w:val="24"/>
        </w:rPr>
      </w:pPr>
      <w:r>
        <w:rPr>
          <w:rFonts w:asciiTheme="minorHAnsi" w:hAnsiTheme="minorHAnsi" w:cstheme="minorHAnsi"/>
          <w:iCs/>
          <w:szCs w:val="24"/>
        </w:rPr>
        <w:t xml:space="preserve">The Government </w:t>
      </w:r>
      <w:r w:rsidR="00DB7404" w:rsidRPr="00D7198F">
        <w:rPr>
          <w:rFonts w:asciiTheme="minorHAnsi" w:hAnsiTheme="minorHAnsi" w:cstheme="minorHAnsi"/>
          <w:iCs/>
          <w:szCs w:val="24"/>
        </w:rPr>
        <w:t xml:space="preserve">accepted </w:t>
      </w:r>
      <w:r w:rsidR="00AD1FB4">
        <w:rPr>
          <w:rFonts w:asciiTheme="minorHAnsi" w:hAnsiTheme="minorHAnsi" w:cstheme="minorHAnsi"/>
          <w:iCs/>
          <w:szCs w:val="24"/>
        </w:rPr>
        <w:t>the</w:t>
      </w:r>
      <w:r w:rsidR="00C87F05">
        <w:rPr>
          <w:rFonts w:asciiTheme="minorHAnsi" w:hAnsiTheme="minorHAnsi" w:cstheme="minorHAnsi"/>
          <w:iCs/>
          <w:szCs w:val="24"/>
        </w:rPr>
        <w:t xml:space="preserve"> French </w:t>
      </w:r>
      <w:r w:rsidR="00AD1FB4">
        <w:rPr>
          <w:rFonts w:asciiTheme="minorHAnsi" w:hAnsiTheme="minorHAnsi" w:cstheme="minorHAnsi"/>
          <w:iCs/>
          <w:szCs w:val="24"/>
        </w:rPr>
        <w:t>Review’</w:t>
      </w:r>
      <w:r w:rsidR="00DB7404" w:rsidRPr="00D7198F">
        <w:rPr>
          <w:rFonts w:asciiTheme="minorHAnsi" w:hAnsiTheme="minorHAnsi" w:cstheme="minorHAnsi"/>
          <w:iCs/>
          <w:szCs w:val="24"/>
        </w:rPr>
        <w:t>s recommendations</w:t>
      </w:r>
      <w:r w:rsidR="00D7198F">
        <w:rPr>
          <w:rFonts w:asciiTheme="minorHAnsi" w:hAnsiTheme="minorHAnsi" w:cstheme="minorHAnsi"/>
          <w:iCs/>
          <w:szCs w:val="24"/>
        </w:rPr>
        <w:t xml:space="preserve">. </w:t>
      </w:r>
      <w:r>
        <w:rPr>
          <w:rFonts w:asciiTheme="minorHAnsi" w:hAnsiTheme="minorHAnsi" w:cstheme="minorHAnsi"/>
          <w:iCs/>
          <w:szCs w:val="24"/>
        </w:rPr>
        <w:t>The then responsible Minister</w:t>
      </w:r>
      <w:r w:rsidR="00D7198F">
        <w:rPr>
          <w:rFonts w:asciiTheme="minorHAnsi" w:hAnsiTheme="minorHAnsi" w:cstheme="minorHAnsi"/>
          <w:iCs/>
          <w:szCs w:val="24"/>
        </w:rPr>
        <w:t xml:space="preserve"> </w:t>
      </w:r>
      <w:r w:rsidR="00DB7404" w:rsidRPr="00D7198F">
        <w:rPr>
          <w:rFonts w:asciiTheme="minorHAnsi" w:hAnsiTheme="minorHAnsi" w:cstheme="minorHAnsi"/>
          <w:iCs/>
          <w:szCs w:val="24"/>
        </w:rPr>
        <w:t xml:space="preserve">asked the Panel to provide him with advice on amending the </w:t>
      </w:r>
      <w:proofErr w:type="gramStart"/>
      <w:r w:rsidR="00DB7404" w:rsidRPr="00D7198F">
        <w:rPr>
          <w:rFonts w:asciiTheme="minorHAnsi" w:hAnsiTheme="minorHAnsi" w:cstheme="minorHAnsi"/>
          <w:iCs/>
          <w:szCs w:val="24"/>
        </w:rPr>
        <w:t>Standards, and</w:t>
      </w:r>
      <w:proofErr w:type="gramEnd"/>
      <w:r w:rsidR="00DB7404" w:rsidRPr="00D7198F">
        <w:rPr>
          <w:rFonts w:asciiTheme="minorHAnsi" w:hAnsiTheme="minorHAnsi" w:cstheme="minorHAnsi"/>
          <w:iCs/>
          <w:szCs w:val="24"/>
        </w:rPr>
        <w:t xml:space="preserve"> wrote to </w:t>
      </w:r>
      <w:r w:rsidR="00D7198F">
        <w:rPr>
          <w:rFonts w:asciiTheme="minorHAnsi" w:hAnsiTheme="minorHAnsi" w:cstheme="minorHAnsi"/>
          <w:iCs/>
          <w:szCs w:val="24"/>
        </w:rPr>
        <w:t>s</w:t>
      </w:r>
      <w:r w:rsidR="00DB7404" w:rsidRPr="00D7198F">
        <w:rPr>
          <w:rFonts w:asciiTheme="minorHAnsi" w:hAnsiTheme="minorHAnsi" w:cstheme="minorHAnsi"/>
          <w:iCs/>
          <w:szCs w:val="24"/>
        </w:rPr>
        <w:t xml:space="preserve">tate and </w:t>
      </w:r>
      <w:r w:rsidR="00D7198F">
        <w:rPr>
          <w:rFonts w:asciiTheme="minorHAnsi" w:hAnsiTheme="minorHAnsi" w:cstheme="minorHAnsi"/>
          <w:iCs/>
          <w:szCs w:val="24"/>
        </w:rPr>
        <w:t>t</w:t>
      </w:r>
      <w:r w:rsidR="00DB7404" w:rsidRPr="00D7198F">
        <w:rPr>
          <w:rFonts w:asciiTheme="minorHAnsi" w:hAnsiTheme="minorHAnsi" w:cstheme="minorHAnsi"/>
          <w:iCs/>
          <w:szCs w:val="24"/>
        </w:rPr>
        <w:t xml:space="preserve">erritory </w:t>
      </w:r>
      <w:r w:rsidR="00D7198F">
        <w:rPr>
          <w:rFonts w:asciiTheme="minorHAnsi" w:hAnsiTheme="minorHAnsi" w:cstheme="minorHAnsi"/>
          <w:iCs/>
          <w:szCs w:val="24"/>
        </w:rPr>
        <w:t>m</w:t>
      </w:r>
      <w:r w:rsidR="00DB7404" w:rsidRPr="00D7198F">
        <w:rPr>
          <w:rFonts w:asciiTheme="minorHAnsi" w:hAnsiTheme="minorHAnsi" w:cstheme="minorHAnsi"/>
          <w:iCs/>
          <w:szCs w:val="24"/>
        </w:rPr>
        <w:t xml:space="preserve">inisters </w:t>
      </w:r>
      <w:r w:rsidR="00D7198F">
        <w:rPr>
          <w:rFonts w:asciiTheme="minorHAnsi" w:hAnsiTheme="minorHAnsi" w:cstheme="minorHAnsi"/>
          <w:iCs/>
          <w:szCs w:val="24"/>
        </w:rPr>
        <w:t>advis</w:t>
      </w:r>
      <w:r w:rsidR="00DB7404" w:rsidRPr="00D7198F">
        <w:rPr>
          <w:rFonts w:asciiTheme="minorHAnsi" w:hAnsiTheme="minorHAnsi" w:cstheme="minorHAnsi"/>
          <w:iCs/>
          <w:szCs w:val="24"/>
        </w:rPr>
        <w:t>ing them of his intentions.</w:t>
      </w:r>
      <w:r w:rsidR="006D3B2A">
        <w:rPr>
          <w:rFonts w:asciiTheme="minorHAnsi" w:hAnsiTheme="minorHAnsi" w:cstheme="minorHAnsi"/>
          <w:iCs/>
          <w:szCs w:val="24"/>
        </w:rPr>
        <w:t xml:space="preserve"> </w:t>
      </w:r>
      <w:r w:rsidR="009A7143" w:rsidRPr="006D3B2A">
        <w:rPr>
          <w:rFonts w:asciiTheme="minorHAnsi" w:hAnsiTheme="minorHAnsi" w:cstheme="minorHAnsi"/>
          <w:iCs/>
          <w:szCs w:val="24"/>
        </w:rPr>
        <w:t xml:space="preserve">In October 2019, the Panel provided the former Minister with draft amendments consistent with </w:t>
      </w:r>
      <w:r w:rsidR="00C87F05">
        <w:rPr>
          <w:rFonts w:asciiTheme="minorHAnsi" w:hAnsiTheme="minorHAnsi" w:cstheme="minorHAnsi"/>
          <w:iCs/>
          <w:szCs w:val="24"/>
        </w:rPr>
        <w:t xml:space="preserve">the </w:t>
      </w:r>
      <w:r w:rsidR="00735161">
        <w:rPr>
          <w:rFonts w:asciiTheme="minorHAnsi" w:hAnsiTheme="minorHAnsi" w:cstheme="minorHAnsi"/>
          <w:iCs/>
          <w:szCs w:val="24"/>
        </w:rPr>
        <w:t>recommendation</w:t>
      </w:r>
      <w:r w:rsidR="009A7143" w:rsidRPr="006D3B2A">
        <w:rPr>
          <w:rFonts w:asciiTheme="minorHAnsi" w:hAnsiTheme="minorHAnsi" w:cstheme="minorHAnsi"/>
          <w:iCs/>
          <w:szCs w:val="24"/>
        </w:rPr>
        <w:t>.</w:t>
      </w:r>
    </w:p>
    <w:p w14:paraId="17902F35" w14:textId="3CFD3DF3" w:rsidR="00251A96" w:rsidRPr="006D3B2A" w:rsidRDefault="00251A96" w:rsidP="005E42A5">
      <w:pPr>
        <w:spacing w:before="120" w:after="120"/>
        <w:rPr>
          <w:rFonts w:asciiTheme="minorHAnsi" w:hAnsiTheme="minorHAnsi" w:cstheme="minorHAnsi"/>
          <w:iCs/>
          <w:szCs w:val="24"/>
        </w:rPr>
      </w:pPr>
      <w:r w:rsidRPr="00D7198F">
        <w:rPr>
          <w:rFonts w:asciiTheme="minorHAnsi" w:hAnsiTheme="minorHAnsi" w:cstheme="minorHAnsi"/>
          <w:iCs/>
          <w:szCs w:val="24"/>
        </w:rPr>
        <w:t>Under Section 168 of the TEQSA Act, the Panel must consult interested parties in the performance of its functions. In developing its advice to the Minister in 2019, the Panel undertook</w:t>
      </w:r>
      <w:r w:rsidRPr="006D3B2A">
        <w:rPr>
          <w:rFonts w:asciiTheme="minorHAnsi" w:hAnsiTheme="minorHAnsi" w:cstheme="minorHAnsi"/>
          <w:iCs/>
          <w:szCs w:val="24"/>
        </w:rPr>
        <w:t xml:space="preserve"> consultation with the higher education sector</w:t>
      </w:r>
      <w:r w:rsidR="009A7143">
        <w:rPr>
          <w:rFonts w:asciiTheme="minorHAnsi" w:hAnsiTheme="minorHAnsi" w:cstheme="minorHAnsi"/>
          <w:iCs/>
          <w:szCs w:val="24"/>
        </w:rPr>
        <w:t>, seeking submissions on a draft of the amendments</w:t>
      </w:r>
      <w:r w:rsidR="007653D4">
        <w:rPr>
          <w:rFonts w:asciiTheme="minorHAnsi" w:hAnsiTheme="minorHAnsi" w:cstheme="minorHAnsi"/>
          <w:iCs/>
          <w:szCs w:val="24"/>
        </w:rPr>
        <w:t>.</w:t>
      </w:r>
      <w:r w:rsidR="009A7143">
        <w:rPr>
          <w:rFonts w:asciiTheme="minorHAnsi" w:hAnsiTheme="minorHAnsi" w:cstheme="minorHAnsi"/>
          <w:iCs/>
          <w:szCs w:val="24"/>
        </w:rPr>
        <w:t xml:space="preserve"> </w:t>
      </w:r>
      <w:r w:rsidR="007653D4">
        <w:rPr>
          <w:rFonts w:asciiTheme="minorHAnsi" w:hAnsiTheme="minorHAnsi" w:cstheme="minorHAnsi"/>
          <w:iCs/>
          <w:szCs w:val="24"/>
        </w:rPr>
        <w:t>Twelve submissions</w:t>
      </w:r>
      <w:r w:rsidR="009A7143">
        <w:rPr>
          <w:rFonts w:asciiTheme="minorHAnsi" w:hAnsiTheme="minorHAnsi" w:cstheme="minorHAnsi"/>
          <w:iCs/>
          <w:szCs w:val="24"/>
        </w:rPr>
        <w:t xml:space="preserve"> were received. The Panel recommended </w:t>
      </w:r>
      <w:r w:rsidR="003D2742">
        <w:rPr>
          <w:rFonts w:asciiTheme="minorHAnsi" w:hAnsiTheme="minorHAnsi" w:cstheme="minorHAnsi"/>
          <w:iCs/>
          <w:szCs w:val="24"/>
        </w:rPr>
        <w:t>a</w:t>
      </w:r>
      <w:r w:rsidR="009A7143">
        <w:rPr>
          <w:rFonts w:asciiTheme="minorHAnsi" w:hAnsiTheme="minorHAnsi" w:cstheme="minorHAnsi"/>
          <w:iCs/>
          <w:szCs w:val="24"/>
        </w:rPr>
        <w:t xml:space="preserve"> minor grammatical change to </w:t>
      </w:r>
      <w:r w:rsidR="00C87F05">
        <w:rPr>
          <w:rFonts w:asciiTheme="minorHAnsi" w:hAnsiTheme="minorHAnsi" w:cstheme="minorHAnsi"/>
          <w:iCs/>
          <w:szCs w:val="24"/>
        </w:rPr>
        <w:t>the Hon</w:t>
      </w:r>
      <w:r w:rsidR="00217CD8">
        <w:rPr>
          <w:rFonts w:asciiTheme="minorHAnsi" w:hAnsiTheme="minorHAnsi" w:cstheme="minorHAnsi"/>
          <w:iCs/>
          <w:szCs w:val="24"/>
        </w:rPr>
        <w:t>ourable</w:t>
      </w:r>
      <w:r w:rsidR="00C87F05">
        <w:rPr>
          <w:rFonts w:asciiTheme="minorHAnsi" w:hAnsiTheme="minorHAnsi" w:cstheme="minorHAnsi"/>
          <w:iCs/>
          <w:szCs w:val="24"/>
        </w:rPr>
        <w:t xml:space="preserve"> Robert French AC’s</w:t>
      </w:r>
      <w:r w:rsidR="00C87F05" w:rsidRPr="006D3B2A">
        <w:rPr>
          <w:rFonts w:asciiTheme="minorHAnsi" w:hAnsiTheme="minorHAnsi" w:cstheme="minorHAnsi"/>
          <w:iCs/>
          <w:szCs w:val="24"/>
        </w:rPr>
        <w:t xml:space="preserve"> </w:t>
      </w:r>
      <w:r w:rsidR="009A7143">
        <w:rPr>
          <w:rFonts w:asciiTheme="minorHAnsi" w:hAnsiTheme="minorHAnsi" w:cstheme="minorHAnsi"/>
          <w:iCs/>
          <w:szCs w:val="24"/>
        </w:rPr>
        <w:t>proposed text, based on that input.</w:t>
      </w:r>
    </w:p>
    <w:p w14:paraId="0A43A06E" w14:textId="0C3D54AB" w:rsidR="00251A96" w:rsidRDefault="00251A96" w:rsidP="005E42A5">
      <w:pPr>
        <w:spacing w:before="120" w:after="120"/>
        <w:rPr>
          <w:rFonts w:asciiTheme="minorHAnsi" w:hAnsiTheme="minorHAnsi" w:cstheme="minorHAnsi"/>
          <w:iCs/>
          <w:szCs w:val="24"/>
        </w:rPr>
      </w:pPr>
      <w:r w:rsidRPr="006D3B2A">
        <w:rPr>
          <w:rFonts w:asciiTheme="minorHAnsi" w:hAnsiTheme="minorHAnsi" w:cstheme="minorHAnsi"/>
          <w:iCs/>
          <w:szCs w:val="24"/>
        </w:rPr>
        <w:t xml:space="preserve">The Panel recommended </w:t>
      </w:r>
      <w:r w:rsidR="00D4457A">
        <w:rPr>
          <w:rFonts w:asciiTheme="minorHAnsi" w:hAnsiTheme="minorHAnsi" w:cstheme="minorHAnsi"/>
          <w:iCs/>
          <w:szCs w:val="24"/>
        </w:rPr>
        <w:t>delaying any</w:t>
      </w:r>
      <w:r w:rsidRPr="006D3B2A">
        <w:rPr>
          <w:rFonts w:asciiTheme="minorHAnsi" w:hAnsiTheme="minorHAnsi" w:cstheme="minorHAnsi"/>
          <w:iCs/>
          <w:szCs w:val="24"/>
        </w:rPr>
        <w:t xml:space="preserve"> chang</w:t>
      </w:r>
      <w:r w:rsidRPr="009A7143">
        <w:rPr>
          <w:rFonts w:asciiTheme="minorHAnsi" w:hAnsiTheme="minorHAnsi" w:cstheme="minorHAnsi"/>
          <w:iCs/>
          <w:szCs w:val="24"/>
        </w:rPr>
        <w:t xml:space="preserve">es to the Threshold Standards until Parliament passed </w:t>
      </w:r>
      <w:r w:rsidR="00C87F05">
        <w:rPr>
          <w:rFonts w:asciiTheme="minorHAnsi" w:hAnsiTheme="minorHAnsi" w:cstheme="minorHAnsi"/>
          <w:iCs/>
          <w:szCs w:val="24"/>
        </w:rPr>
        <w:t xml:space="preserve">the French </w:t>
      </w:r>
      <w:r w:rsidR="00D4457A">
        <w:rPr>
          <w:rFonts w:asciiTheme="minorHAnsi" w:hAnsiTheme="minorHAnsi" w:cstheme="minorHAnsi"/>
          <w:iCs/>
          <w:szCs w:val="24"/>
        </w:rPr>
        <w:t>Review</w:t>
      </w:r>
      <w:r w:rsidR="00C87F05">
        <w:rPr>
          <w:rFonts w:asciiTheme="minorHAnsi" w:hAnsiTheme="minorHAnsi" w:cstheme="minorHAnsi"/>
          <w:iCs/>
          <w:szCs w:val="24"/>
        </w:rPr>
        <w:t>’s</w:t>
      </w:r>
      <w:r w:rsidR="00C87F05" w:rsidRPr="006D3B2A">
        <w:rPr>
          <w:rFonts w:asciiTheme="minorHAnsi" w:hAnsiTheme="minorHAnsi" w:cstheme="minorHAnsi"/>
          <w:iCs/>
          <w:szCs w:val="24"/>
        </w:rPr>
        <w:t xml:space="preserve"> </w:t>
      </w:r>
      <w:r w:rsidRPr="009A7143">
        <w:rPr>
          <w:rFonts w:asciiTheme="minorHAnsi" w:hAnsiTheme="minorHAnsi" w:cstheme="minorHAnsi"/>
          <w:iCs/>
          <w:szCs w:val="24"/>
        </w:rPr>
        <w:t>recommended amendments to HESA, to ensure consistency between the statutes.</w:t>
      </w:r>
      <w:r w:rsidR="003D2742">
        <w:rPr>
          <w:rFonts w:asciiTheme="minorHAnsi" w:hAnsiTheme="minorHAnsi" w:cstheme="minorHAnsi"/>
          <w:iCs/>
          <w:szCs w:val="24"/>
        </w:rPr>
        <w:t xml:space="preserve"> </w:t>
      </w:r>
      <w:r w:rsidR="00943309" w:rsidRPr="009A7143">
        <w:rPr>
          <w:rFonts w:asciiTheme="minorHAnsi" w:hAnsiTheme="minorHAnsi" w:cstheme="minorHAnsi"/>
          <w:iCs/>
          <w:szCs w:val="24"/>
        </w:rPr>
        <w:t xml:space="preserve">Following receipt of the Panel’s advice, the Minister sought comment from both </w:t>
      </w:r>
      <w:proofErr w:type="gramStart"/>
      <w:r w:rsidR="00943309" w:rsidRPr="009A7143">
        <w:rPr>
          <w:rFonts w:asciiTheme="minorHAnsi" w:hAnsiTheme="minorHAnsi" w:cstheme="minorHAnsi"/>
          <w:iCs/>
          <w:szCs w:val="24"/>
        </w:rPr>
        <w:t>TEQSA</w:t>
      </w:r>
      <w:proofErr w:type="gramEnd"/>
      <w:r w:rsidR="00943309" w:rsidRPr="009A7143">
        <w:rPr>
          <w:rFonts w:asciiTheme="minorHAnsi" w:hAnsiTheme="minorHAnsi" w:cstheme="minorHAnsi"/>
          <w:iCs/>
          <w:szCs w:val="24"/>
        </w:rPr>
        <w:t xml:space="preserve"> and </w:t>
      </w:r>
      <w:r w:rsidR="009A7143">
        <w:rPr>
          <w:rFonts w:asciiTheme="minorHAnsi" w:hAnsiTheme="minorHAnsi" w:cstheme="minorHAnsi"/>
          <w:iCs/>
          <w:szCs w:val="24"/>
        </w:rPr>
        <w:t>s</w:t>
      </w:r>
      <w:r w:rsidR="00943309" w:rsidRPr="009A7143">
        <w:rPr>
          <w:rFonts w:asciiTheme="minorHAnsi" w:hAnsiTheme="minorHAnsi" w:cstheme="minorHAnsi"/>
          <w:iCs/>
          <w:szCs w:val="24"/>
        </w:rPr>
        <w:t xml:space="preserve">tate and </w:t>
      </w:r>
      <w:r w:rsidR="009A7143">
        <w:rPr>
          <w:rFonts w:asciiTheme="minorHAnsi" w:hAnsiTheme="minorHAnsi" w:cstheme="minorHAnsi"/>
          <w:iCs/>
          <w:szCs w:val="24"/>
        </w:rPr>
        <w:t>t</w:t>
      </w:r>
      <w:r w:rsidR="00943309" w:rsidRPr="009A7143">
        <w:rPr>
          <w:rFonts w:asciiTheme="minorHAnsi" w:hAnsiTheme="minorHAnsi" w:cstheme="minorHAnsi"/>
          <w:iCs/>
          <w:szCs w:val="24"/>
        </w:rPr>
        <w:t xml:space="preserve">erritory </w:t>
      </w:r>
      <w:r w:rsidR="009A7143">
        <w:rPr>
          <w:rFonts w:asciiTheme="minorHAnsi" w:hAnsiTheme="minorHAnsi" w:cstheme="minorHAnsi"/>
          <w:iCs/>
          <w:szCs w:val="24"/>
        </w:rPr>
        <w:t>e</w:t>
      </w:r>
      <w:r w:rsidR="00943309" w:rsidRPr="009A7143">
        <w:rPr>
          <w:rFonts w:asciiTheme="minorHAnsi" w:hAnsiTheme="minorHAnsi" w:cstheme="minorHAnsi"/>
          <w:iCs/>
          <w:szCs w:val="24"/>
        </w:rPr>
        <w:t xml:space="preserve">ducation </w:t>
      </w:r>
      <w:r w:rsidR="009A7143">
        <w:rPr>
          <w:rFonts w:asciiTheme="minorHAnsi" w:hAnsiTheme="minorHAnsi" w:cstheme="minorHAnsi"/>
          <w:iCs/>
          <w:szCs w:val="24"/>
        </w:rPr>
        <w:t>m</w:t>
      </w:r>
      <w:r w:rsidR="00943309" w:rsidRPr="009A7143">
        <w:rPr>
          <w:rFonts w:asciiTheme="minorHAnsi" w:hAnsiTheme="minorHAnsi" w:cstheme="minorHAnsi"/>
          <w:iCs/>
          <w:szCs w:val="24"/>
        </w:rPr>
        <w:t>inisters</w:t>
      </w:r>
      <w:r w:rsidR="009A7143">
        <w:rPr>
          <w:rFonts w:asciiTheme="minorHAnsi" w:hAnsiTheme="minorHAnsi" w:cstheme="minorHAnsi"/>
          <w:iCs/>
          <w:szCs w:val="24"/>
        </w:rPr>
        <w:t xml:space="preserve"> as required by the TEQSA Act,</w:t>
      </w:r>
      <w:r w:rsidR="00943309" w:rsidRPr="009A7143">
        <w:rPr>
          <w:rFonts w:asciiTheme="minorHAnsi" w:hAnsiTheme="minorHAnsi" w:cstheme="minorHAnsi"/>
          <w:iCs/>
          <w:szCs w:val="24"/>
        </w:rPr>
        <w:t xml:space="preserve"> and has taken account of their views in drafting the</w:t>
      </w:r>
      <w:r w:rsidR="00063010">
        <w:rPr>
          <w:rFonts w:asciiTheme="minorHAnsi" w:hAnsiTheme="minorHAnsi" w:cstheme="minorHAnsi"/>
          <w:iCs/>
          <w:szCs w:val="24"/>
        </w:rPr>
        <w:t xml:space="preserve"> Amending</w:t>
      </w:r>
      <w:r w:rsidR="00943309" w:rsidRPr="009A7143">
        <w:rPr>
          <w:rFonts w:asciiTheme="minorHAnsi" w:hAnsiTheme="minorHAnsi" w:cstheme="minorHAnsi"/>
          <w:iCs/>
          <w:szCs w:val="24"/>
        </w:rPr>
        <w:t xml:space="preserve"> Instrument.</w:t>
      </w:r>
    </w:p>
    <w:p w14:paraId="1CCFE853" w14:textId="37DECE5D" w:rsidR="00D411CC" w:rsidRDefault="00E22555" w:rsidP="00E32929">
      <w:pPr>
        <w:spacing w:before="120" w:after="120"/>
        <w:rPr>
          <w:rFonts w:asciiTheme="minorHAnsi" w:hAnsiTheme="minorHAnsi" w:cstheme="minorHAnsi"/>
          <w:iCs/>
          <w:szCs w:val="24"/>
        </w:rPr>
      </w:pPr>
      <w:r w:rsidRPr="00E32929">
        <w:rPr>
          <w:rFonts w:asciiTheme="minorHAnsi" w:hAnsiTheme="minorHAnsi" w:cstheme="minorHAnsi"/>
          <w:iCs/>
          <w:szCs w:val="24"/>
        </w:rPr>
        <w:t xml:space="preserve">The 2019 Review of the Higher Education Provider Category Standards undertook extensive consultation with the higher education sector and was overseen by the Panel. The </w:t>
      </w:r>
      <w:r w:rsidR="007B46ED">
        <w:rPr>
          <w:rFonts w:asciiTheme="minorHAnsi" w:hAnsiTheme="minorHAnsi" w:cstheme="minorHAnsi"/>
          <w:iCs/>
          <w:szCs w:val="24"/>
        </w:rPr>
        <w:t>r</w:t>
      </w:r>
      <w:r w:rsidR="008F0B64">
        <w:rPr>
          <w:rFonts w:asciiTheme="minorHAnsi" w:hAnsiTheme="minorHAnsi" w:cstheme="minorHAnsi"/>
          <w:iCs/>
          <w:szCs w:val="24"/>
        </w:rPr>
        <w:t xml:space="preserve">eview </w:t>
      </w:r>
      <w:r w:rsidR="008F0B64" w:rsidRPr="00E32929">
        <w:rPr>
          <w:rFonts w:asciiTheme="minorHAnsi" w:hAnsiTheme="minorHAnsi" w:cstheme="minorHAnsi"/>
          <w:iCs/>
          <w:szCs w:val="24"/>
        </w:rPr>
        <w:t>canvassed</w:t>
      </w:r>
      <w:r w:rsidR="008F0B64">
        <w:rPr>
          <w:rFonts w:asciiTheme="minorHAnsi" w:hAnsiTheme="minorHAnsi" w:cstheme="minorHAnsi"/>
          <w:iCs/>
          <w:szCs w:val="24"/>
        </w:rPr>
        <w:t xml:space="preserve"> the</w:t>
      </w:r>
      <w:r w:rsidR="008F0B64" w:rsidRPr="00E32929">
        <w:rPr>
          <w:rFonts w:asciiTheme="minorHAnsi" w:hAnsiTheme="minorHAnsi" w:cstheme="minorHAnsi"/>
          <w:iCs/>
          <w:szCs w:val="24"/>
        </w:rPr>
        <w:t xml:space="preserve"> </w:t>
      </w:r>
      <w:r w:rsidR="00D411CC" w:rsidRPr="00E32929">
        <w:rPr>
          <w:rFonts w:asciiTheme="minorHAnsi" w:hAnsiTheme="minorHAnsi" w:cstheme="minorHAnsi"/>
          <w:iCs/>
          <w:szCs w:val="24"/>
        </w:rPr>
        <w:t>longstanding</w:t>
      </w:r>
      <w:r w:rsidRPr="00E32929">
        <w:rPr>
          <w:rFonts w:asciiTheme="minorHAnsi" w:hAnsiTheme="minorHAnsi" w:cstheme="minorHAnsi"/>
          <w:iCs/>
          <w:szCs w:val="24"/>
        </w:rPr>
        <w:t xml:space="preserve"> requirement </w:t>
      </w:r>
      <w:r w:rsidR="00D411CC" w:rsidRPr="00E32929">
        <w:rPr>
          <w:rFonts w:asciiTheme="minorHAnsi" w:hAnsiTheme="minorHAnsi" w:cstheme="minorHAnsi"/>
          <w:iCs/>
          <w:szCs w:val="24"/>
        </w:rPr>
        <w:t xml:space="preserve">that </w:t>
      </w:r>
      <w:r w:rsidRPr="00E32929">
        <w:rPr>
          <w:rFonts w:asciiTheme="minorHAnsi" w:hAnsiTheme="minorHAnsi" w:cstheme="minorHAnsi"/>
          <w:iCs/>
          <w:szCs w:val="24"/>
        </w:rPr>
        <w:t>university category providers deliver both undergraduate and postgraduate courses in a discussion paper and assessed</w:t>
      </w:r>
      <w:r w:rsidR="007B46ED">
        <w:rPr>
          <w:rFonts w:asciiTheme="minorHAnsi" w:hAnsiTheme="minorHAnsi" w:cstheme="minorHAnsi"/>
          <w:iCs/>
          <w:szCs w:val="24"/>
        </w:rPr>
        <w:t xml:space="preserve"> the idea</w:t>
      </w:r>
      <w:r w:rsidRPr="00E32929">
        <w:rPr>
          <w:rFonts w:asciiTheme="minorHAnsi" w:hAnsiTheme="minorHAnsi" w:cstheme="minorHAnsi"/>
          <w:iCs/>
          <w:szCs w:val="24"/>
        </w:rPr>
        <w:t xml:space="preserve"> in the final report. The review concluded that the requirement remained warranted. Words to this effect were inadvertently omitted from the relevant clause in the Threshold Standards during drafting of the Principal Instrument. </w:t>
      </w:r>
    </w:p>
    <w:p w14:paraId="41E94254" w14:textId="14B4522D" w:rsidR="00431CCA" w:rsidRPr="005919D6" w:rsidRDefault="00D411CC" w:rsidP="005919D6">
      <w:pPr>
        <w:spacing w:before="120" w:after="120"/>
        <w:rPr>
          <w:rFonts w:asciiTheme="minorHAnsi" w:hAnsiTheme="minorHAnsi" w:cstheme="minorHAnsi"/>
          <w:iCs/>
          <w:szCs w:val="24"/>
        </w:rPr>
      </w:pPr>
      <w:r>
        <w:rPr>
          <w:rFonts w:asciiTheme="minorHAnsi" w:hAnsiTheme="minorHAnsi" w:cstheme="minorHAnsi"/>
          <w:iCs/>
          <w:szCs w:val="24"/>
        </w:rPr>
        <w:t xml:space="preserve">As an unintentional omission, this was not highlighted during stakeholder consultation on the draft instrument and consequently was not identified through that process. Given the issue was considered and addressed by the PCS Review itself, the matter has been </w:t>
      </w:r>
      <w:r>
        <w:rPr>
          <w:rFonts w:asciiTheme="minorHAnsi" w:hAnsiTheme="minorHAnsi" w:cstheme="minorHAnsi"/>
          <w:iCs/>
          <w:szCs w:val="24"/>
        </w:rPr>
        <w:lastRenderedPageBreak/>
        <w:t>adequately addressed. I</w:t>
      </w:r>
      <w:r w:rsidRPr="00E32929">
        <w:rPr>
          <w:rFonts w:asciiTheme="minorHAnsi" w:hAnsiTheme="minorHAnsi" w:cstheme="minorHAnsi"/>
          <w:iCs/>
          <w:szCs w:val="24"/>
        </w:rPr>
        <w:t>t is not considered that further consideration is needed</w:t>
      </w:r>
      <w:r>
        <w:rPr>
          <w:rFonts w:asciiTheme="minorHAnsi" w:hAnsiTheme="minorHAnsi" w:cstheme="minorHAnsi"/>
          <w:iCs/>
          <w:szCs w:val="24"/>
        </w:rPr>
        <w:t xml:space="preserve"> before correcting the text error</w:t>
      </w:r>
      <w:r w:rsidRPr="00E32929">
        <w:rPr>
          <w:rFonts w:asciiTheme="minorHAnsi" w:hAnsiTheme="minorHAnsi" w:cstheme="minorHAnsi"/>
          <w:iCs/>
          <w:szCs w:val="24"/>
        </w:rPr>
        <w:t>.</w:t>
      </w:r>
      <w:bookmarkStart w:id="3" w:name="_Toc23942241"/>
      <w:bookmarkStart w:id="4" w:name="_Toc34293362"/>
      <w:r w:rsidR="00431CCA">
        <w:rPr>
          <w:rFonts w:asciiTheme="minorHAnsi" w:hAnsiTheme="minorHAnsi" w:cstheme="minorHAnsi"/>
        </w:rPr>
        <w:br w:type="page"/>
      </w:r>
    </w:p>
    <w:p w14:paraId="2023D52E" w14:textId="16151592" w:rsidR="00DA552F" w:rsidRPr="00C87F05" w:rsidRDefault="00DA552F" w:rsidP="00C87F05">
      <w:pPr>
        <w:pStyle w:val="Heading2"/>
        <w:jc w:val="center"/>
        <w:rPr>
          <w:rFonts w:asciiTheme="minorHAnsi" w:hAnsiTheme="minorHAnsi" w:cstheme="minorHAnsi"/>
          <w:color w:val="auto"/>
        </w:rPr>
      </w:pPr>
      <w:r w:rsidRPr="00C87F05">
        <w:rPr>
          <w:rFonts w:asciiTheme="minorHAnsi" w:hAnsiTheme="minorHAnsi" w:cstheme="minorHAnsi"/>
          <w:color w:val="auto"/>
        </w:rPr>
        <w:lastRenderedPageBreak/>
        <w:t>STATEMENT OF COMPATIBILITY WITH HUMAN RIGHTS</w:t>
      </w:r>
      <w:bookmarkEnd w:id="3"/>
      <w:bookmarkEnd w:id="4"/>
    </w:p>
    <w:p w14:paraId="19B61A02" w14:textId="77777777" w:rsidR="00DA552F" w:rsidRPr="008134D5" w:rsidRDefault="00DA552F" w:rsidP="00C87F05">
      <w:pPr>
        <w:spacing w:before="120" w:after="120"/>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1D5FD277" w:rsidR="00DA552F" w:rsidRPr="002D7A08" w:rsidRDefault="005621AA" w:rsidP="00C87F05">
      <w:pPr>
        <w:spacing w:before="120" w:after="120"/>
        <w:rPr>
          <w:rFonts w:asciiTheme="minorHAnsi" w:hAnsiTheme="minorHAnsi" w:cstheme="minorHAnsi"/>
          <w:iCs/>
          <w:szCs w:val="24"/>
          <w:u w:val="single"/>
        </w:rPr>
      </w:pPr>
      <w:r w:rsidRPr="005621AA">
        <w:rPr>
          <w:rFonts w:asciiTheme="minorHAnsi" w:hAnsiTheme="minorHAnsi" w:cstheme="minorHAnsi"/>
          <w:iCs/>
          <w:u w:val="single"/>
        </w:rPr>
        <w:t>Tertiary Education Quality and Standards Agency Higher Education Standards Framework Amendment (Threshold Standards—Freedom of Speech and Academic Freedom) 2021</w:t>
      </w:r>
    </w:p>
    <w:p w14:paraId="65F6CFAB" w14:textId="5B80A296"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5621AA" w:rsidRPr="005621AA">
        <w:rPr>
          <w:rFonts w:asciiTheme="minorHAnsi" w:hAnsiTheme="minorHAnsi" w:cstheme="minorHAnsi"/>
          <w:i/>
        </w:rPr>
        <w:t>Tertiary Education Quality and Standards Agency Higher Education Standards Framework Amendment (Threshold Standards—Freedom of Speech and Academic Freedom)</w:t>
      </w:r>
      <w:r w:rsidR="00990111">
        <w:rPr>
          <w:rFonts w:asciiTheme="minorHAnsi" w:hAnsiTheme="minorHAnsi" w:cstheme="minorHAnsi"/>
          <w:i/>
        </w:rPr>
        <w:t> </w:t>
      </w:r>
      <w:r w:rsidR="005621AA" w:rsidRPr="005621AA">
        <w:rPr>
          <w:rFonts w:asciiTheme="minorHAnsi" w:hAnsiTheme="minorHAnsi" w:cstheme="minorHAnsi"/>
          <w:i/>
        </w:rPr>
        <w:t>2021</w:t>
      </w:r>
      <w:r w:rsidR="001E52EB">
        <w:rPr>
          <w:rFonts w:asciiTheme="minorHAnsi" w:hAnsiTheme="minorHAnsi" w:cstheme="minorHAnsi"/>
          <w:szCs w:val="24"/>
        </w:rPr>
        <w:t xml:space="preserve"> (the </w:t>
      </w:r>
      <w:r w:rsidR="005621AA">
        <w:rPr>
          <w:rFonts w:asciiTheme="minorHAnsi" w:hAnsiTheme="minorHAnsi" w:cstheme="minorHAnsi"/>
          <w:szCs w:val="24"/>
        </w:rPr>
        <w:t>Amending 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5E42A5">
      <w:pPr>
        <w:keepNext/>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29AFC95B" w14:textId="04CE812C" w:rsidR="00E8671C" w:rsidRPr="00E8671C" w:rsidRDefault="005621AA" w:rsidP="00E8671C">
      <w:pPr>
        <w:spacing w:before="120" w:after="120"/>
        <w:rPr>
          <w:rFonts w:asciiTheme="minorHAnsi" w:hAnsiTheme="minorHAnsi" w:cstheme="minorHAnsi"/>
        </w:rPr>
      </w:pPr>
      <w:r>
        <w:rPr>
          <w:rFonts w:asciiTheme="minorHAnsi" w:hAnsiTheme="minorHAnsi" w:cstheme="minorHAnsi"/>
          <w:iCs/>
          <w:szCs w:val="24"/>
        </w:rPr>
        <w:t xml:space="preserve">The purpose of this Amending Instrument is to make some minor amendments to the Principal Instrument to reflect recent amendments to the </w:t>
      </w:r>
      <w:r>
        <w:rPr>
          <w:rFonts w:asciiTheme="minorHAnsi" w:hAnsiTheme="minorHAnsi" w:cstheme="minorHAnsi"/>
          <w:i/>
          <w:szCs w:val="24"/>
        </w:rPr>
        <w:t>Higher Education Support Act 2003</w:t>
      </w:r>
      <w:r>
        <w:t xml:space="preserve"> </w:t>
      </w:r>
      <w:r w:rsidRPr="005621AA">
        <w:rPr>
          <w:rFonts w:asciiTheme="minorHAnsi" w:hAnsiTheme="minorHAnsi" w:cstheme="minorHAnsi"/>
          <w:iCs/>
          <w:szCs w:val="24"/>
        </w:rPr>
        <w:t xml:space="preserve">made by the </w:t>
      </w:r>
      <w:r w:rsidRPr="005621AA">
        <w:rPr>
          <w:rFonts w:asciiTheme="minorHAnsi" w:hAnsiTheme="minorHAnsi" w:cstheme="minorHAnsi"/>
          <w:i/>
          <w:szCs w:val="24"/>
        </w:rPr>
        <w:t>Higher Education Support Amendment (Freedom of Speech) Act 2021</w:t>
      </w:r>
      <w:r>
        <w:rPr>
          <w:rFonts w:asciiTheme="minorHAnsi" w:hAnsiTheme="minorHAnsi" w:cstheme="minorHAnsi"/>
          <w:iCs/>
          <w:szCs w:val="24"/>
        </w:rPr>
        <w:t xml:space="preserve">, which inserted new section 19-115 into that Act to require Table A and Table B providers to “have </w:t>
      </w:r>
      <w:r w:rsidRPr="005621AA">
        <w:rPr>
          <w:rFonts w:asciiTheme="minorHAnsi" w:hAnsiTheme="minorHAnsi" w:cstheme="minorHAnsi"/>
          <w:iCs/>
          <w:szCs w:val="24"/>
        </w:rPr>
        <w:t>a policy that upholds freedom of speech and academic freedom</w:t>
      </w:r>
      <w:r>
        <w:rPr>
          <w:rFonts w:asciiTheme="minorHAnsi" w:hAnsiTheme="minorHAnsi" w:cstheme="minorHAnsi"/>
          <w:iCs/>
          <w:szCs w:val="24"/>
        </w:rPr>
        <w:t xml:space="preserve">”.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5390523" w14:textId="5506C5CA" w:rsidR="00E8671C" w:rsidRPr="006E5E0B" w:rsidRDefault="00F9205E" w:rsidP="006E5E0B">
      <w:pPr>
        <w:spacing w:before="120" w:after="120"/>
        <w:rPr>
          <w:rFonts w:asciiTheme="minorHAnsi" w:hAnsiTheme="minorHAnsi" w:cstheme="minorHAnsi"/>
          <w:szCs w:val="24"/>
        </w:rPr>
      </w:pPr>
      <w:r w:rsidRPr="006E5E0B">
        <w:rPr>
          <w:rFonts w:asciiTheme="minorHAnsi" w:hAnsiTheme="minorHAnsi" w:cstheme="minorHAnsi"/>
          <w:szCs w:val="24"/>
        </w:rPr>
        <w:t xml:space="preserve">The </w:t>
      </w:r>
      <w:r w:rsidR="00FF6E25" w:rsidRPr="006E5E0B">
        <w:rPr>
          <w:rFonts w:asciiTheme="minorHAnsi" w:hAnsiTheme="minorHAnsi" w:cstheme="minorHAnsi"/>
          <w:szCs w:val="24"/>
        </w:rPr>
        <w:t>Instrument</w:t>
      </w:r>
      <w:r w:rsidRPr="006E5E0B">
        <w:rPr>
          <w:rFonts w:asciiTheme="minorHAnsi" w:hAnsiTheme="minorHAnsi" w:cstheme="minorHAnsi"/>
          <w:szCs w:val="24"/>
        </w:rPr>
        <w:t xml:space="preserve"> engages the following rights:</w:t>
      </w:r>
    </w:p>
    <w:p w14:paraId="7E66425D" w14:textId="22D3DA06" w:rsidR="006E5E0B" w:rsidRPr="00B3381B" w:rsidRDefault="006E5E0B" w:rsidP="00AF3FBD">
      <w:pPr>
        <w:pStyle w:val="ListParagraph"/>
        <w:numPr>
          <w:ilvl w:val="0"/>
          <w:numId w:val="1"/>
        </w:numPr>
        <w:shd w:val="clear" w:color="auto" w:fill="FFFFFF"/>
        <w:spacing w:after="240"/>
        <w:rPr>
          <w:rFonts w:eastAsia="Times New Roman" w:cs="Times New Roman"/>
          <w:color w:val="000000"/>
          <w:szCs w:val="24"/>
          <w:lang w:eastAsia="en-AU"/>
        </w:rPr>
      </w:pPr>
      <w:r w:rsidRPr="006E5E0B">
        <w:rPr>
          <w:rFonts w:ascii="Calibri" w:eastAsia="Times New Roman" w:hAnsi="Calibri" w:cs="Calibri"/>
          <w:color w:val="000000"/>
          <w:szCs w:val="24"/>
          <w:lang w:eastAsia="en-AU"/>
        </w:rPr>
        <w:t>the right to education – Article 13 of the </w:t>
      </w:r>
      <w:r w:rsidRPr="006E5E0B">
        <w:rPr>
          <w:rFonts w:ascii="Calibri" w:eastAsia="Times New Roman" w:hAnsi="Calibri" w:cs="Calibri"/>
          <w:i/>
          <w:iCs/>
          <w:color w:val="000000"/>
          <w:szCs w:val="24"/>
          <w:lang w:eastAsia="en-AU"/>
        </w:rPr>
        <w:t>International Covenant on Economic, Social and Cultural Rights </w:t>
      </w:r>
      <w:r w:rsidRPr="006E5E0B">
        <w:rPr>
          <w:rFonts w:ascii="Calibri" w:eastAsia="Times New Roman" w:hAnsi="Calibri" w:cs="Calibri"/>
          <w:color w:val="000000"/>
          <w:szCs w:val="24"/>
          <w:lang w:eastAsia="en-AU"/>
        </w:rPr>
        <w:t>(ICESCR), and Article 28 of the </w:t>
      </w:r>
      <w:r w:rsidRPr="006E5E0B">
        <w:rPr>
          <w:rFonts w:ascii="Calibri" w:eastAsia="Times New Roman" w:hAnsi="Calibri" w:cs="Calibri"/>
          <w:i/>
          <w:iCs/>
          <w:color w:val="000000"/>
          <w:szCs w:val="24"/>
          <w:lang w:eastAsia="en-AU"/>
        </w:rPr>
        <w:t>Convention on the Rights of the Child </w:t>
      </w:r>
      <w:r w:rsidRPr="006E5E0B">
        <w:rPr>
          <w:rFonts w:ascii="Calibri" w:eastAsia="Times New Roman" w:hAnsi="Calibri" w:cs="Calibri"/>
          <w:color w:val="000000"/>
          <w:szCs w:val="24"/>
          <w:lang w:eastAsia="en-AU"/>
        </w:rPr>
        <w:t>(UNCRC)</w:t>
      </w:r>
      <w:r w:rsidR="00B3381B">
        <w:rPr>
          <w:rFonts w:ascii="Calibri" w:eastAsia="Times New Roman" w:hAnsi="Calibri" w:cs="Calibri"/>
          <w:color w:val="000000"/>
          <w:szCs w:val="24"/>
          <w:lang w:eastAsia="en-AU"/>
        </w:rPr>
        <w:t>; and</w:t>
      </w:r>
    </w:p>
    <w:p w14:paraId="29154CF7" w14:textId="6AFF96BE" w:rsidR="00B3381B" w:rsidRPr="006E5E0B" w:rsidRDefault="005621AA" w:rsidP="00AF3FBD">
      <w:pPr>
        <w:pStyle w:val="ListParagraph"/>
        <w:numPr>
          <w:ilvl w:val="0"/>
          <w:numId w:val="1"/>
        </w:numPr>
        <w:shd w:val="clear" w:color="auto" w:fill="FFFFFF"/>
        <w:spacing w:after="240"/>
        <w:rPr>
          <w:rFonts w:eastAsia="Times New Roman" w:cs="Times New Roman"/>
          <w:color w:val="000000"/>
          <w:szCs w:val="24"/>
          <w:lang w:eastAsia="en-AU"/>
        </w:rPr>
      </w:pPr>
      <w:r w:rsidRPr="005621AA">
        <w:rPr>
          <w:rFonts w:ascii="Calibri" w:eastAsia="Times New Roman" w:hAnsi="Calibri" w:cs="Calibri"/>
          <w:color w:val="000000"/>
          <w:szCs w:val="24"/>
          <w:lang w:eastAsia="en-AU"/>
        </w:rPr>
        <w:t xml:space="preserve">the right to freedom of expression – Article 19 of the </w:t>
      </w:r>
      <w:r w:rsidRPr="005621AA">
        <w:rPr>
          <w:rFonts w:ascii="Calibri" w:eastAsia="Times New Roman" w:hAnsi="Calibri" w:cs="Calibri"/>
          <w:i/>
          <w:iCs/>
          <w:color w:val="000000"/>
          <w:szCs w:val="24"/>
          <w:lang w:eastAsia="en-AU"/>
        </w:rPr>
        <w:t>International Covenant on Civil and Political Rights</w:t>
      </w:r>
      <w:r w:rsidRPr="005621AA">
        <w:rPr>
          <w:rFonts w:ascii="Calibri" w:eastAsia="Times New Roman" w:hAnsi="Calibri" w:cs="Calibri"/>
          <w:color w:val="000000"/>
          <w:szCs w:val="24"/>
          <w:lang w:eastAsia="en-AU"/>
        </w:rPr>
        <w:t xml:space="preserve"> (ICCPR)</w:t>
      </w:r>
      <w:r w:rsidR="00B3381B">
        <w:rPr>
          <w:rFonts w:ascii="Calibri" w:eastAsia="Times New Roman" w:hAnsi="Calibri" w:cs="Calibri"/>
          <w:color w:val="000000"/>
          <w:szCs w:val="24"/>
          <w:lang w:eastAsia="en-AU"/>
        </w:rPr>
        <w:t>.</w:t>
      </w:r>
    </w:p>
    <w:p w14:paraId="3786EE0D" w14:textId="200FBCFD" w:rsidR="00E8671C" w:rsidRPr="006E5E0B" w:rsidRDefault="006E5E0B" w:rsidP="006E5E0B">
      <w:pPr>
        <w:shd w:val="clear" w:color="auto" w:fill="FFFFFF"/>
        <w:spacing w:after="240" w:line="276" w:lineRule="atLeast"/>
        <w:rPr>
          <w:rFonts w:eastAsia="Times New Roman" w:cs="Times New Roman"/>
          <w:color w:val="000000"/>
          <w:szCs w:val="24"/>
          <w:u w:val="single"/>
          <w:lang w:eastAsia="en-AU"/>
        </w:rPr>
      </w:pPr>
      <w:r w:rsidRPr="006E5E0B">
        <w:rPr>
          <w:rFonts w:ascii="Calibri" w:eastAsia="Times New Roman" w:hAnsi="Calibri" w:cs="Calibri"/>
          <w:color w:val="000000"/>
          <w:szCs w:val="24"/>
          <w:u w:val="single"/>
          <w:lang w:eastAsia="en-AU"/>
        </w:rPr>
        <w:t>Right to education</w:t>
      </w:r>
    </w:p>
    <w:p w14:paraId="308124B7" w14:textId="7E1CE355" w:rsidR="008D3F81" w:rsidRPr="00A87E1E" w:rsidRDefault="008D3F81" w:rsidP="008D3F81">
      <w:pPr>
        <w:autoSpaceDE w:val="0"/>
        <w:autoSpaceDN w:val="0"/>
        <w:adjustRightInd w:val="0"/>
        <w:rPr>
          <w:rFonts w:asciiTheme="minorHAnsi" w:hAnsiTheme="minorHAnsi" w:cstheme="minorHAnsi"/>
          <w:szCs w:val="24"/>
        </w:rPr>
      </w:pPr>
      <w:r w:rsidRPr="00692287">
        <w:rPr>
          <w:rFonts w:asciiTheme="minorHAnsi" w:hAnsiTheme="minorHAnsi" w:cstheme="minorHAnsi"/>
          <w:color w:val="000000"/>
          <w:szCs w:val="24"/>
        </w:rPr>
        <w:t>The principle of academic freedom derives in part from the right to education enshrined in Article 13 of the ICESCR</w:t>
      </w:r>
      <w:r w:rsidRPr="00692287">
        <w:rPr>
          <w:rFonts w:asciiTheme="minorHAnsi" w:hAnsiTheme="minorHAnsi" w:cstheme="minorHAnsi"/>
          <w:szCs w:val="24"/>
          <w:lang w:val="en-US"/>
        </w:rPr>
        <w:t xml:space="preserve">. </w:t>
      </w:r>
      <w:r w:rsidRPr="00692287">
        <w:rPr>
          <w:rFonts w:asciiTheme="minorHAnsi" w:hAnsiTheme="minorHAnsi" w:cstheme="minorHAnsi"/>
          <w:szCs w:val="24"/>
        </w:rPr>
        <w:t>The UN Committee on Economic, Social, and Cultural Rights (UN CESCR) has emphasised that the “right to education can only be enjoyed if accompanied by the academic freedom of staff and students”. It has also indicated that “staff and students in higher education are especially vulnerable to political and other pressures which undermine academic freedom”</w:t>
      </w:r>
      <w:r w:rsidRPr="00692287">
        <w:rPr>
          <w:rFonts w:asciiTheme="minorHAnsi" w:hAnsiTheme="minorHAnsi" w:cstheme="minorHAnsi"/>
          <w:color w:val="000000"/>
          <w:szCs w:val="24"/>
        </w:rPr>
        <w:t xml:space="preserve"> (</w:t>
      </w:r>
      <w:r w:rsidRPr="00692287">
        <w:rPr>
          <w:rFonts w:asciiTheme="minorHAnsi" w:hAnsiTheme="minorHAnsi" w:cstheme="minorHAnsi"/>
          <w:color w:val="000000"/>
          <w:szCs w:val="24"/>
          <w:shd w:val="clear" w:color="auto" w:fill="FFFFFF"/>
        </w:rPr>
        <w:t>UN CESCR, General Comment 13 at paragraph 38).</w:t>
      </w:r>
      <w:r w:rsidRPr="00692287">
        <w:rPr>
          <w:rFonts w:asciiTheme="minorHAnsi" w:hAnsiTheme="minorHAnsi" w:cstheme="minorHAnsi"/>
          <w:color w:val="000000"/>
          <w:szCs w:val="24"/>
        </w:rPr>
        <w:t xml:space="preserve"> Academic freedom supports the right to education as it facilitates the ability of students, </w:t>
      </w:r>
      <w:proofErr w:type="gramStart"/>
      <w:r w:rsidRPr="00692287">
        <w:rPr>
          <w:rFonts w:asciiTheme="minorHAnsi" w:hAnsiTheme="minorHAnsi" w:cstheme="minorHAnsi"/>
          <w:color w:val="000000"/>
          <w:szCs w:val="24"/>
        </w:rPr>
        <w:t>academics</w:t>
      </w:r>
      <w:proofErr w:type="gramEnd"/>
      <w:r w:rsidRPr="00692287">
        <w:rPr>
          <w:rFonts w:asciiTheme="minorHAnsi" w:hAnsiTheme="minorHAnsi" w:cstheme="minorHAnsi"/>
          <w:color w:val="000000"/>
          <w:szCs w:val="24"/>
        </w:rPr>
        <w:t xml:space="preserve"> and researchers to proffer views</w:t>
      </w:r>
      <w:r w:rsidR="008D43E8" w:rsidRPr="008D43E8">
        <w:rPr>
          <w:rFonts w:asciiTheme="minorHAnsi" w:hAnsiTheme="minorHAnsi" w:cstheme="minorHAnsi"/>
          <w:color w:val="000000"/>
          <w:szCs w:val="24"/>
        </w:rPr>
        <w:t xml:space="preserve"> </w:t>
      </w:r>
      <w:r w:rsidR="008D43E8" w:rsidRPr="00692287">
        <w:rPr>
          <w:rFonts w:asciiTheme="minorHAnsi" w:hAnsiTheme="minorHAnsi" w:cstheme="minorHAnsi"/>
          <w:color w:val="000000"/>
          <w:szCs w:val="24"/>
        </w:rPr>
        <w:t>freely</w:t>
      </w:r>
      <w:r w:rsidRPr="00692287">
        <w:rPr>
          <w:rFonts w:asciiTheme="minorHAnsi" w:hAnsiTheme="minorHAnsi" w:cstheme="minorHAnsi"/>
          <w:color w:val="000000"/>
          <w:szCs w:val="24"/>
        </w:rPr>
        <w:t xml:space="preserve">, inquire </w:t>
      </w:r>
      <w:r w:rsidR="008D43E8" w:rsidRPr="00692287">
        <w:rPr>
          <w:rFonts w:asciiTheme="minorHAnsi" w:hAnsiTheme="minorHAnsi" w:cstheme="minorHAnsi"/>
          <w:color w:val="000000"/>
          <w:szCs w:val="24"/>
        </w:rPr>
        <w:t xml:space="preserve">critically </w:t>
      </w:r>
      <w:r w:rsidRPr="00692287">
        <w:rPr>
          <w:rFonts w:asciiTheme="minorHAnsi" w:hAnsiTheme="minorHAnsi" w:cstheme="minorHAnsi"/>
          <w:color w:val="000000"/>
          <w:szCs w:val="24"/>
        </w:rPr>
        <w:t>and examine issues, challenge orthodoxies, contribute to the body of knowledge across disciplines and exchange ideas without reproach</w:t>
      </w:r>
      <w:r w:rsidRPr="00A87E1E">
        <w:rPr>
          <w:rFonts w:asciiTheme="minorHAnsi" w:hAnsiTheme="minorHAnsi" w:cstheme="minorHAnsi"/>
          <w:color w:val="000000"/>
          <w:szCs w:val="24"/>
        </w:rPr>
        <w:t xml:space="preserve">. </w:t>
      </w:r>
    </w:p>
    <w:p w14:paraId="0C96F703" w14:textId="451F00D8" w:rsidR="006E5E0B" w:rsidRPr="006E5E0B" w:rsidRDefault="006E5E0B" w:rsidP="006E5E0B">
      <w:pPr>
        <w:shd w:val="clear" w:color="auto" w:fill="FFFFFF"/>
        <w:spacing w:after="24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Article 13(1) of the ICESCR recognises each person’s right to education, and that education is important to </w:t>
      </w:r>
      <w:r w:rsidRPr="006E5E0B">
        <w:rPr>
          <w:rFonts w:ascii="Calibri" w:eastAsia="Times New Roman" w:hAnsi="Calibri" w:cs="Calibri"/>
          <w:i/>
          <w:iCs/>
          <w:color w:val="000000"/>
          <w:szCs w:val="24"/>
          <w:lang w:eastAsia="en-AU"/>
        </w:rPr>
        <w:t>“the full development of the human personality</w:t>
      </w:r>
      <w:proofErr w:type="gramStart"/>
      <w:r w:rsidRPr="006E5E0B">
        <w:rPr>
          <w:rFonts w:ascii="Calibri" w:eastAsia="Times New Roman" w:hAnsi="Calibri" w:cs="Calibri"/>
          <w:i/>
          <w:iCs/>
          <w:color w:val="000000"/>
          <w:szCs w:val="24"/>
          <w:lang w:eastAsia="en-AU"/>
        </w:rPr>
        <w:t>”</w:t>
      </w:r>
      <w:r w:rsidRPr="006E5E0B">
        <w:rPr>
          <w:rFonts w:ascii="Calibri" w:eastAsia="Times New Roman" w:hAnsi="Calibri" w:cs="Calibri"/>
          <w:color w:val="000000"/>
          <w:szCs w:val="24"/>
          <w:lang w:eastAsia="en-AU"/>
        </w:rPr>
        <w:t>, and</w:t>
      </w:r>
      <w:proofErr w:type="gramEnd"/>
      <w:r w:rsidRPr="006E5E0B">
        <w:rPr>
          <w:rFonts w:ascii="Calibri" w:eastAsia="Times New Roman" w:hAnsi="Calibri" w:cs="Calibri"/>
          <w:color w:val="000000"/>
          <w:szCs w:val="24"/>
          <w:lang w:eastAsia="en-AU"/>
        </w:rPr>
        <w:t xml:space="preserve"> enables </w:t>
      </w:r>
      <w:r w:rsidRPr="006E5E0B">
        <w:rPr>
          <w:rFonts w:ascii="Calibri" w:eastAsia="Times New Roman" w:hAnsi="Calibri" w:cs="Calibri"/>
          <w:i/>
          <w:iCs/>
          <w:color w:val="000000"/>
          <w:szCs w:val="24"/>
          <w:lang w:eastAsia="en-AU"/>
        </w:rPr>
        <w:t xml:space="preserve">“all persons to </w:t>
      </w:r>
      <w:r w:rsidRPr="006E5E0B">
        <w:rPr>
          <w:rFonts w:ascii="Calibri" w:eastAsia="Times New Roman" w:hAnsi="Calibri" w:cs="Calibri"/>
          <w:i/>
          <w:iCs/>
          <w:color w:val="000000"/>
          <w:szCs w:val="24"/>
          <w:lang w:eastAsia="en-AU"/>
        </w:rPr>
        <w:lastRenderedPageBreak/>
        <w:t>participate effectively in a free society, promote understanding, tolerance and friendship among all nations and all racial, ethnic or religious groups”</w:t>
      </w:r>
      <w:r w:rsidRPr="006E5E0B">
        <w:rPr>
          <w:rFonts w:ascii="Calibri" w:eastAsia="Times New Roman" w:hAnsi="Calibri" w:cs="Calibri"/>
          <w:color w:val="000000"/>
          <w:szCs w:val="24"/>
          <w:lang w:eastAsia="en-AU"/>
        </w:rPr>
        <w:t>.</w:t>
      </w:r>
    </w:p>
    <w:p w14:paraId="1447E1F6" w14:textId="77777777" w:rsidR="001034C8" w:rsidRDefault="006E5E0B" w:rsidP="006E5E0B">
      <w:pPr>
        <w:shd w:val="clear" w:color="auto" w:fill="FFFFFF"/>
        <w:spacing w:after="24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Similarly, Article 28(1) of the UNCRC recognises the </w:t>
      </w:r>
      <w:r w:rsidRPr="006E5E0B">
        <w:rPr>
          <w:rFonts w:ascii="Calibri" w:eastAsia="Times New Roman" w:hAnsi="Calibri" w:cs="Calibri"/>
          <w:i/>
          <w:iCs/>
          <w:color w:val="000000"/>
          <w:szCs w:val="24"/>
          <w:lang w:eastAsia="en-AU"/>
        </w:rPr>
        <w:t>“right of the child to education, and with a view to achieving this right progressively and on the basis of equal opportunity”</w:t>
      </w:r>
      <w:r w:rsidRPr="006E5E0B">
        <w:rPr>
          <w:rFonts w:ascii="Calibri" w:eastAsia="Times New Roman" w:hAnsi="Calibri" w:cs="Calibri"/>
          <w:color w:val="000000"/>
          <w:szCs w:val="24"/>
          <w:lang w:eastAsia="en-AU"/>
        </w:rPr>
        <w:t>.</w:t>
      </w:r>
    </w:p>
    <w:p w14:paraId="021A0D3B" w14:textId="3FD345AD" w:rsidR="006E5E0B" w:rsidRPr="006E5E0B" w:rsidRDefault="006E5E0B" w:rsidP="006E5E0B">
      <w:pPr>
        <w:shd w:val="clear" w:color="auto" w:fill="FFFFFF"/>
        <w:spacing w:after="240"/>
        <w:rPr>
          <w:rFonts w:ascii="Calibri" w:eastAsia="Times New Roman" w:hAnsi="Calibri" w:cs="Calibri"/>
          <w:color w:val="000000"/>
          <w:szCs w:val="24"/>
          <w:lang w:eastAsia="en-AU"/>
        </w:rPr>
      </w:pPr>
      <w:r w:rsidRPr="006E5E0B">
        <w:rPr>
          <w:rFonts w:ascii="Calibri" w:eastAsia="Times New Roman" w:hAnsi="Calibri" w:cs="Calibri"/>
          <w:color w:val="000000"/>
          <w:szCs w:val="24"/>
          <w:lang w:eastAsia="en-AU"/>
        </w:rPr>
        <w:t xml:space="preserve">The </w:t>
      </w:r>
      <w:r w:rsidR="005621AA">
        <w:rPr>
          <w:rFonts w:ascii="Calibri" w:eastAsia="Times New Roman" w:hAnsi="Calibri" w:cs="Calibri"/>
          <w:color w:val="000000"/>
          <w:szCs w:val="24"/>
          <w:lang w:eastAsia="en-AU"/>
        </w:rPr>
        <w:t xml:space="preserve">Amending Instrument makes minor changes to the Threshold Standards already in place under the TEQSA Act, which operate to continue to ensure that higher education providers provide quality education to students, consistent with the principles of freedom of speech and academic freedom.  </w:t>
      </w:r>
    </w:p>
    <w:p w14:paraId="2F7D2A55" w14:textId="1A86D3EF" w:rsidR="006E5E0B" w:rsidRPr="00B3381B" w:rsidRDefault="006E5E0B" w:rsidP="00412BB7">
      <w:pPr>
        <w:keepNext/>
        <w:spacing w:before="120" w:after="120"/>
        <w:rPr>
          <w:rFonts w:asciiTheme="minorHAnsi" w:hAnsiTheme="minorHAnsi" w:cstheme="minorHAnsi"/>
          <w:szCs w:val="24"/>
          <w:u w:val="single"/>
        </w:rPr>
      </w:pPr>
      <w:r w:rsidRPr="00B3381B">
        <w:rPr>
          <w:rFonts w:asciiTheme="minorHAnsi" w:hAnsiTheme="minorHAnsi" w:cstheme="minorHAnsi"/>
          <w:szCs w:val="24"/>
          <w:u w:val="single"/>
        </w:rPr>
        <w:t xml:space="preserve">Right to </w:t>
      </w:r>
      <w:r w:rsidR="005621AA">
        <w:rPr>
          <w:rFonts w:asciiTheme="minorHAnsi" w:hAnsiTheme="minorHAnsi" w:cstheme="minorHAnsi"/>
          <w:szCs w:val="24"/>
          <w:u w:val="single"/>
        </w:rPr>
        <w:t>freedom of expression</w:t>
      </w:r>
      <w:r w:rsidR="005621AA" w:rsidRPr="005621AA">
        <w:rPr>
          <w:rFonts w:asciiTheme="minorHAnsi" w:hAnsiTheme="minorHAnsi" w:cstheme="minorHAnsi"/>
          <w:szCs w:val="24"/>
        </w:rPr>
        <w:t xml:space="preserve"> </w:t>
      </w:r>
    </w:p>
    <w:p w14:paraId="7B4863B7" w14:textId="2B91ECCC" w:rsidR="00412BB7" w:rsidRPr="00412BB7" w:rsidRDefault="00412BB7" w:rsidP="00412BB7">
      <w:pPr>
        <w:keepNext/>
        <w:spacing w:before="120" w:after="120"/>
        <w:rPr>
          <w:rFonts w:asciiTheme="minorHAnsi" w:hAnsiTheme="minorHAnsi" w:cstheme="minorHAnsi"/>
          <w:szCs w:val="24"/>
        </w:rPr>
      </w:pPr>
      <w:r w:rsidRPr="00412BB7">
        <w:rPr>
          <w:rFonts w:asciiTheme="minorHAnsi" w:hAnsiTheme="minorHAnsi" w:cstheme="minorHAnsi"/>
          <w:szCs w:val="24"/>
        </w:rPr>
        <w:t xml:space="preserve">Article 19 of the ICCPR states that everyone shall have the right to hold opinions without interference and have the right to freedom of expression, which includes freedom to seek, receive and impart information and ideas of all kinds, regardless of frontiers, either orally, in writing or in print, in form of art, or through any other media of their choice. Article 19 can be read in conjunction with Article 15(3) of the ICESCR which also obliges states parties to respect the freedom </w:t>
      </w:r>
      <w:r w:rsidR="00990111">
        <w:rPr>
          <w:rFonts w:asciiTheme="minorHAnsi" w:hAnsiTheme="minorHAnsi" w:cstheme="minorHAnsi"/>
          <w:szCs w:val="24"/>
        </w:rPr>
        <w:t>“</w:t>
      </w:r>
      <w:r w:rsidRPr="00412BB7">
        <w:rPr>
          <w:rFonts w:asciiTheme="minorHAnsi" w:hAnsiTheme="minorHAnsi" w:cstheme="minorHAnsi"/>
          <w:szCs w:val="24"/>
        </w:rPr>
        <w:t>indispensable for scientific research and creative activity</w:t>
      </w:r>
      <w:r w:rsidR="00990111">
        <w:rPr>
          <w:rFonts w:asciiTheme="minorHAnsi" w:hAnsiTheme="minorHAnsi" w:cstheme="minorHAnsi"/>
          <w:szCs w:val="24"/>
        </w:rPr>
        <w:t>”</w:t>
      </w:r>
      <w:r w:rsidRPr="00412BB7">
        <w:rPr>
          <w:rFonts w:asciiTheme="minorHAnsi" w:hAnsiTheme="minorHAnsi" w:cstheme="minorHAnsi"/>
          <w:szCs w:val="24"/>
        </w:rPr>
        <w:t>. At the core of the right to academic freedom is the right of the individual to conduct research, to publish and to disseminate learning through teaching and inquiry, without unreasonable interference.</w:t>
      </w:r>
    </w:p>
    <w:p w14:paraId="5A90920D" w14:textId="3FD743BA" w:rsidR="00412BB7" w:rsidRPr="00412BB7" w:rsidRDefault="00990111" w:rsidP="00412BB7">
      <w:pPr>
        <w:spacing w:before="120" w:after="120"/>
        <w:rPr>
          <w:rFonts w:asciiTheme="minorHAnsi" w:hAnsiTheme="minorHAnsi" w:cstheme="minorHAnsi"/>
          <w:szCs w:val="24"/>
        </w:rPr>
      </w:pPr>
      <w:r>
        <w:rPr>
          <w:rFonts w:asciiTheme="minorHAnsi" w:hAnsiTheme="minorHAnsi" w:cstheme="minorHAnsi"/>
          <w:szCs w:val="24"/>
        </w:rPr>
        <w:t>In</w:t>
      </w:r>
      <w:r w:rsidR="00412BB7" w:rsidRPr="00412BB7">
        <w:rPr>
          <w:rFonts w:asciiTheme="minorHAnsi" w:hAnsiTheme="minorHAnsi" w:cstheme="minorHAnsi"/>
          <w:szCs w:val="24"/>
        </w:rPr>
        <w:t xml:space="preserve"> its General Comment on Article 13 of ICESCR (which relates to the right to education), the UN CESCR observed:</w:t>
      </w:r>
    </w:p>
    <w:p w14:paraId="773FEE63" w14:textId="77777777" w:rsidR="00412BB7" w:rsidRPr="00412BB7" w:rsidRDefault="00412BB7" w:rsidP="00412BB7">
      <w:pPr>
        <w:spacing w:before="120" w:after="120"/>
        <w:ind w:left="720"/>
        <w:rPr>
          <w:rFonts w:asciiTheme="minorHAnsi" w:hAnsiTheme="minorHAnsi" w:cstheme="minorHAnsi"/>
          <w:szCs w:val="24"/>
        </w:rPr>
      </w:pPr>
      <w:r w:rsidRPr="00412BB7">
        <w:rPr>
          <w:rFonts w:asciiTheme="minorHAnsi" w:hAnsiTheme="minorHAnsi" w:cstheme="minorHAnsi"/>
          <w:szCs w:val="24"/>
        </w:rPr>
        <w:t>“Academic freedom includes the liberty of individuals to express freely opinions about the institution or system in which they work, to fulfil their functions without discrimination or fear of repression by the State or any other actor, to participate in professional or representative academic bodies, and to enjoy all the internationally recognized human rights applicable to other individuals and ‘[t]he enjoyment of academic freedom requires the autonomy of institutions of higher education” (UN CESCR, General Comment 13, paras. 38 and 40).</w:t>
      </w:r>
    </w:p>
    <w:p w14:paraId="1D4223DB" w14:textId="7B182D73" w:rsidR="00E8671C" w:rsidRPr="00B3381B" w:rsidRDefault="00412BB7" w:rsidP="00412BB7">
      <w:pPr>
        <w:spacing w:before="120" w:after="120"/>
        <w:rPr>
          <w:rFonts w:asciiTheme="minorHAnsi" w:hAnsiTheme="minorHAnsi" w:cstheme="minorHAnsi"/>
          <w:b/>
          <w:iCs/>
          <w:szCs w:val="24"/>
        </w:rPr>
      </w:pPr>
      <w:r w:rsidRPr="00412BB7">
        <w:rPr>
          <w:rFonts w:asciiTheme="minorHAnsi" w:hAnsiTheme="minorHAnsi" w:cstheme="minorHAnsi"/>
          <w:szCs w:val="24"/>
        </w:rPr>
        <w:t xml:space="preserve">The new definition of </w:t>
      </w:r>
      <w:r>
        <w:rPr>
          <w:rFonts w:asciiTheme="minorHAnsi" w:hAnsiTheme="minorHAnsi" w:cstheme="minorHAnsi"/>
          <w:szCs w:val="24"/>
        </w:rPr>
        <w:t>“</w:t>
      </w:r>
      <w:r w:rsidRPr="00412BB7">
        <w:rPr>
          <w:rFonts w:asciiTheme="minorHAnsi" w:hAnsiTheme="minorHAnsi" w:cstheme="minorHAnsi"/>
          <w:szCs w:val="24"/>
        </w:rPr>
        <w:t>academic freedom</w:t>
      </w:r>
      <w:r>
        <w:rPr>
          <w:rFonts w:asciiTheme="minorHAnsi" w:hAnsiTheme="minorHAnsi" w:cstheme="minorHAnsi"/>
          <w:szCs w:val="24"/>
        </w:rPr>
        <w:t xml:space="preserve">” inserted into the </w:t>
      </w:r>
      <w:r w:rsidRPr="00412BB7">
        <w:rPr>
          <w:rFonts w:asciiTheme="minorHAnsi" w:hAnsiTheme="minorHAnsi" w:cstheme="minorHAnsi"/>
          <w:i/>
          <w:iCs/>
          <w:szCs w:val="24"/>
        </w:rPr>
        <w:t xml:space="preserve">Higher Education Support Act </w:t>
      </w:r>
      <w:proofErr w:type="gramStart"/>
      <w:r w:rsidRPr="00412BB7">
        <w:rPr>
          <w:rFonts w:asciiTheme="minorHAnsi" w:hAnsiTheme="minorHAnsi" w:cstheme="minorHAnsi"/>
          <w:i/>
          <w:iCs/>
          <w:szCs w:val="24"/>
        </w:rPr>
        <w:t>2003</w:t>
      </w:r>
      <w:r>
        <w:rPr>
          <w:rFonts w:asciiTheme="minorHAnsi" w:hAnsiTheme="minorHAnsi" w:cstheme="minorHAnsi"/>
          <w:szCs w:val="24"/>
        </w:rPr>
        <w:t>,</w:t>
      </w:r>
      <w:r w:rsidRPr="00412BB7">
        <w:rPr>
          <w:rFonts w:asciiTheme="minorHAnsi" w:hAnsiTheme="minorHAnsi" w:cstheme="minorHAnsi"/>
          <w:szCs w:val="24"/>
        </w:rPr>
        <w:t xml:space="preserve"> </w:t>
      </w:r>
      <w:r>
        <w:rPr>
          <w:rFonts w:asciiTheme="minorHAnsi" w:hAnsiTheme="minorHAnsi" w:cstheme="minorHAnsi"/>
          <w:szCs w:val="24"/>
        </w:rPr>
        <w:t>and</w:t>
      </w:r>
      <w:proofErr w:type="gramEnd"/>
      <w:r>
        <w:rPr>
          <w:rFonts w:asciiTheme="minorHAnsi" w:hAnsiTheme="minorHAnsi" w:cstheme="minorHAnsi"/>
          <w:szCs w:val="24"/>
        </w:rPr>
        <w:t xml:space="preserve"> reflected by the amendments made by this Amending Instrument to the Threshold Standards under the TEQSA Act, is intended to ensure that providers </w:t>
      </w:r>
      <w:r w:rsidRPr="00412BB7">
        <w:rPr>
          <w:rFonts w:asciiTheme="minorHAnsi" w:hAnsiTheme="minorHAnsi" w:cstheme="minorHAnsi"/>
          <w:szCs w:val="24"/>
        </w:rPr>
        <w:t>develop and maintain an institutional environment in which freedom of speech and academic freedom are freedom of intellectual inquiry is upheld and protected</w:t>
      </w:r>
      <w:r>
        <w:rPr>
          <w:rFonts w:asciiTheme="minorHAnsi" w:hAnsiTheme="minorHAnsi" w:cstheme="minorHAnsi"/>
          <w:szCs w:val="24"/>
        </w:rPr>
        <w:t>.</w:t>
      </w:r>
      <w:r w:rsidR="00CA1AD6">
        <w:rPr>
          <w:rFonts w:asciiTheme="minorHAnsi" w:hAnsiTheme="minorHAnsi" w:cstheme="minorHAnsi"/>
          <w:szCs w:val="24"/>
        </w:rPr>
        <w:t xml:space="preserve"> </w:t>
      </w:r>
      <w:r>
        <w:rPr>
          <w:rFonts w:asciiTheme="minorHAnsi" w:hAnsiTheme="minorHAnsi" w:cstheme="minorHAnsi"/>
          <w:szCs w:val="24"/>
        </w:rPr>
        <w:t xml:space="preserve">The amendments are intended to </w:t>
      </w:r>
      <w:r w:rsidRPr="00412BB7">
        <w:rPr>
          <w:rFonts w:asciiTheme="minorHAnsi" w:hAnsiTheme="minorHAnsi" w:cstheme="minorHAnsi"/>
          <w:szCs w:val="24"/>
        </w:rPr>
        <w:t xml:space="preserve">implement recommendations arising from the 2019 </w:t>
      </w:r>
      <w:r w:rsidRPr="00412BB7">
        <w:rPr>
          <w:rFonts w:asciiTheme="minorHAnsi" w:hAnsiTheme="minorHAnsi" w:cstheme="minorHAnsi"/>
          <w:i/>
          <w:iCs/>
          <w:szCs w:val="24"/>
        </w:rPr>
        <w:t>Report of the Independent Review of Freedom of Speech in Australian Higher Education Providers</w:t>
      </w:r>
      <w:r w:rsidRPr="00412BB7">
        <w:rPr>
          <w:rFonts w:asciiTheme="minorHAnsi" w:hAnsiTheme="minorHAnsi" w:cstheme="minorHAnsi"/>
          <w:szCs w:val="24"/>
        </w:rPr>
        <w:t>, undertaken by the Honourable Robert French AC, former Chief Justice of the High Court of Australia</w:t>
      </w:r>
      <w:r>
        <w:rPr>
          <w:rFonts w:asciiTheme="minorHAnsi" w:hAnsiTheme="minorHAnsi" w:cstheme="minorHAnsi"/>
          <w:szCs w:val="24"/>
        </w:rPr>
        <w:t>.</w:t>
      </w:r>
      <w:r w:rsidR="00CA1AD6">
        <w:rPr>
          <w:rFonts w:asciiTheme="minorHAnsi" w:hAnsiTheme="minorHAnsi" w:cstheme="minorHAnsi"/>
          <w:szCs w:val="24"/>
        </w:rPr>
        <w:t xml:space="preserve"> </w:t>
      </w:r>
      <w:r w:rsidR="00990111">
        <w:rPr>
          <w:rFonts w:asciiTheme="minorHAnsi" w:hAnsiTheme="minorHAnsi" w:cstheme="minorHAnsi"/>
          <w:szCs w:val="24"/>
        </w:rPr>
        <w:t>The amendments are intended to be compatible with, and further, the right to freedom of expression.</w:t>
      </w:r>
    </w:p>
    <w:p w14:paraId="0D664062" w14:textId="77777777" w:rsidR="00DA552F" w:rsidRPr="008134D5" w:rsidRDefault="00F9205E" w:rsidP="00431CCA">
      <w:pPr>
        <w:keepNext/>
        <w:spacing w:before="120" w:after="120"/>
        <w:rPr>
          <w:rFonts w:asciiTheme="minorHAnsi" w:hAnsiTheme="minorHAnsi" w:cstheme="minorHAnsi"/>
          <w:szCs w:val="24"/>
        </w:rPr>
      </w:pPr>
      <w:r w:rsidRPr="008134D5">
        <w:rPr>
          <w:rFonts w:asciiTheme="minorHAnsi" w:hAnsiTheme="minorHAnsi" w:cstheme="minorHAnsi"/>
          <w:b/>
          <w:szCs w:val="24"/>
        </w:rPr>
        <w:lastRenderedPageBreak/>
        <w:t>Conclusion</w:t>
      </w:r>
    </w:p>
    <w:p w14:paraId="26C0AF71" w14:textId="1741B706" w:rsidR="00F9205E" w:rsidRPr="008134D5" w:rsidRDefault="00F9205E" w:rsidP="00431CCA">
      <w:pPr>
        <w:keepNext/>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sidRPr="00412BB7">
        <w:rPr>
          <w:rFonts w:asciiTheme="minorHAnsi" w:hAnsiTheme="minorHAnsi" w:cstheme="minorHAnsi"/>
          <w:szCs w:val="24"/>
        </w:rPr>
        <w:t xml:space="preserve">Instrument </w:t>
      </w:r>
      <w:r w:rsidRPr="00412BB7">
        <w:rPr>
          <w:rFonts w:asciiTheme="minorHAnsi" w:hAnsiTheme="minorHAnsi" w:cstheme="minorHAnsi"/>
          <w:szCs w:val="24"/>
        </w:rPr>
        <w:t xml:space="preserve">is compatible with human rights because </w:t>
      </w:r>
      <w:r w:rsidR="002B5C28" w:rsidRPr="00412BB7">
        <w:rPr>
          <w:rFonts w:asciiTheme="minorHAnsi" w:hAnsiTheme="minorHAnsi" w:cstheme="minorHAnsi"/>
          <w:szCs w:val="24"/>
        </w:rPr>
        <w:t xml:space="preserve">it promotes the protection of </w:t>
      </w:r>
      <w:r w:rsidR="00412BB7" w:rsidRPr="00412BB7">
        <w:rPr>
          <w:rFonts w:asciiTheme="minorHAnsi" w:hAnsiTheme="minorHAnsi" w:cstheme="minorHAnsi"/>
          <w:szCs w:val="24"/>
        </w:rPr>
        <w:t xml:space="preserve">the </w:t>
      </w:r>
      <w:r w:rsidR="002B5C28" w:rsidRPr="00412BB7">
        <w:rPr>
          <w:rFonts w:asciiTheme="minorHAnsi" w:hAnsiTheme="minorHAnsi" w:cstheme="minorHAnsi"/>
          <w:szCs w:val="24"/>
        </w:rPr>
        <w:t>human rights</w:t>
      </w:r>
      <w:r w:rsidR="00412BB7" w:rsidRPr="00412BB7">
        <w:rPr>
          <w:rFonts w:asciiTheme="minorHAnsi" w:hAnsiTheme="minorHAnsi" w:cstheme="minorHAnsi"/>
          <w:szCs w:val="24"/>
        </w:rPr>
        <w:t xml:space="preserve"> engaged</w:t>
      </w:r>
      <w:r w:rsidRPr="00412BB7">
        <w:rPr>
          <w:rFonts w:asciiTheme="minorHAnsi" w:hAnsiTheme="minorHAnsi" w:cstheme="minorHAnsi"/>
          <w:szCs w:val="24"/>
        </w:rPr>
        <w:t>.</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6658C049"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6E5E0B">
        <w:rPr>
          <w:rFonts w:asciiTheme="minorHAnsi" w:hAnsiTheme="minorHAnsi" w:cstheme="minorHAnsi"/>
          <w:b/>
          <w:szCs w:val="24"/>
        </w:rPr>
        <w:t xml:space="preserve"> Education and Youth</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1"/>
          <w:pgSz w:w="11906" w:h="16838"/>
          <w:pgMar w:top="1440" w:right="1440" w:bottom="1440" w:left="1440" w:header="708" w:footer="708" w:gutter="0"/>
          <w:pgNumType w:start="1"/>
          <w:cols w:space="708"/>
          <w:docGrid w:linePitch="360"/>
        </w:sectPr>
      </w:pP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lastRenderedPageBreak/>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653BF745" w:rsidR="00DA552F" w:rsidRPr="00936796" w:rsidRDefault="00DA552F" w:rsidP="00936796">
      <w:pPr>
        <w:spacing w:before="360" w:after="120"/>
        <w:ind w:left="360"/>
        <w:rPr>
          <w:rFonts w:asciiTheme="minorHAnsi" w:hAnsiTheme="minorHAnsi" w:cstheme="minorHAnsi"/>
          <w:szCs w:val="24"/>
        </w:rPr>
      </w:pPr>
      <w:r w:rsidRPr="00936796">
        <w:rPr>
          <w:rFonts w:asciiTheme="minorHAnsi" w:hAnsiTheme="minorHAnsi" w:cstheme="minorHAnsi"/>
          <w:szCs w:val="24"/>
        </w:rPr>
        <w:t xml:space="preserve">This </w:t>
      </w:r>
      <w:r w:rsidR="00412BB7" w:rsidRPr="00936796">
        <w:rPr>
          <w:rFonts w:asciiTheme="minorHAnsi" w:hAnsiTheme="minorHAnsi" w:cstheme="minorHAnsi"/>
          <w:szCs w:val="24"/>
        </w:rPr>
        <w:t>section states</w:t>
      </w:r>
      <w:r w:rsidRPr="00936796">
        <w:rPr>
          <w:rFonts w:asciiTheme="minorHAnsi" w:hAnsiTheme="minorHAnsi" w:cstheme="minorHAnsi"/>
          <w:szCs w:val="24"/>
        </w:rPr>
        <w:t xml:space="preserve"> the </w:t>
      </w:r>
      <w:r w:rsidR="00E631F9" w:rsidRPr="00936796">
        <w:rPr>
          <w:rFonts w:asciiTheme="minorHAnsi" w:hAnsiTheme="minorHAnsi" w:cstheme="minorHAnsi"/>
          <w:szCs w:val="24"/>
        </w:rPr>
        <w:t xml:space="preserve">name of the </w:t>
      </w:r>
      <w:r w:rsidR="00412BB7" w:rsidRPr="00936796">
        <w:rPr>
          <w:rFonts w:asciiTheme="minorHAnsi" w:hAnsiTheme="minorHAnsi" w:cstheme="minorHAnsi"/>
          <w:szCs w:val="24"/>
        </w:rPr>
        <w:t>Amending I</w:t>
      </w:r>
      <w:r w:rsidR="00E631F9" w:rsidRPr="00936796">
        <w:rPr>
          <w:rFonts w:asciiTheme="minorHAnsi" w:hAnsiTheme="minorHAnsi" w:cstheme="minorHAnsi"/>
          <w:szCs w:val="24"/>
        </w:rPr>
        <w:t>nstrument</w:t>
      </w:r>
      <w:r w:rsidR="00412BB7" w:rsidRPr="00936796">
        <w:rPr>
          <w:rFonts w:asciiTheme="minorHAnsi" w:hAnsiTheme="minorHAnsi" w:cstheme="minorHAnsi"/>
          <w:szCs w:val="24"/>
        </w:rPr>
        <w:t>, which is how it is to be cited</w:t>
      </w:r>
      <w:r w:rsidR="00E631F9" w:rsidRPr="00936796">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0CF70F6F" w:rsidR="00E631F9" w:rsidRPr="00936796" w:rsidRDefault="00412BB7" w:rsidP="00936796">
      <w:pPr>
        <w:keepNext/>
        <w:spacing w:before="360" w:after="120"/>
        <w:ind w:left="426"/>
        <w:rPr>
          <w:rFonts w:asciiTheme="minorHAnsi" w:hAnsiTheme="minorHAnsi" w:cstheme="minorHAnsi"/>
          <w:szCs w:val="24"/>
        </w:rPr>
      </w:pPr>
      <w:r w:rsidRPr="00936796">
        <w:rPr>
          <w:rFonts w:asciiTheme="minorHAnsi" w:hAnsiTheme="minorHAnsi" w:cstheme="minorHAnsi"/>
          <w:szCs w:val="24"/>
        </w:rPr>
        <w:t>This section states that the Amending Instrument commences on the day after it is registered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74A819DC" w:rsidR="00E631F9" w:rsidRPr="009C10C1" w:rsidRDefault="00412BB7" w:rsidP="00936796">
      <w:pPr>
        <w:keepNext/>
        <w:spacing w:before="360" w:after="120"/>
        <w:ind w:left="426"/>
        <w:rPr>
          <w:rFonts w:asciiTheme="minorHAnsi" w:hAnsiTheme="minorHAnsi" w:cstheme="minorHAnsi"/>
          <w:i/>
          <w:color w:val="FF0000"/>
        </w:rPr>
      </w:pPr>
      <w:r w:rsidRPr="00412BB7">
        <w:rPr>
          <w:rFonts w:asciiTheme="minorHAnsi" w:hAnsiTheme="minorHAnsi" w:cstheme="minorHAnsi"/>
          <w:szCs w:val="24"/>
        </w:rPr>
        <w:t>This section</w:t>
      </w:r>
      <w:r>
        <w:rPr>
          <w:rFonts w:asciiTheme="minorHAnsi" w:hAnsiTheme="minorHAnsi" w:cstheme="minorHAnsi"/>
          <w:szCs w:val="24"/>
        </w:rPr>
        <w:t xml:space="preserve"> </w:t>
      </w:r>
      <w:r w:rsidR="00936796">
        <w:rPr>
          <w:rFonts w:asciiTheme="minorHAnsi" w:hAnsiTheme="minorHAnsi" w:cstheme="minorHAnsi"/>
          <w:szCs w:val="24"/>
        </w:rPr>
        <w:t xml:space="preserve">refers to the power to make the instrument, which is </w:t>
      </w:r>
      <w:r w:rsidR="00936796" w:rsidRPr="00936796">
        <w:rPr>
          <w:rFonts w:asciiTheme="minorHAnsi" w:hAnsiTheme="minorHAnsi" w:cstheme="minorHAnsi"/>
          <w:szCs w:val="24"/>
        </w:rPr>
        <w:t xml:space="preserve">subsection 58(1) of the </w:t>
      </w:r>
      <w:r w:rsidR="00936796" w:rsidRPr="00936796">
        <w:rPr>
          <w:rFonts w:asciiTheme="minorHAnsi" w:hAnsiTheme="minorHAnsi" w:cstheme="minorHAnsi"/>
          <w:i/>
          <w:iCs/>
          <w:szCs w:val="24"/>
        </w:rPr>
        <w:t>Tertiary Education Quality and Standards Agency Act 2011</w:t>
      </w:r>
      <w:r w:rsidR="00936796">
        <w:rPr>
          <w:rFonts w:asciiTheme="minorHAnsi" w:hAnsiTheme="minorHAnsi" w:cstheme="minorHAnsi"/>
          <w:szCs w:val="24"/>
        </w:rPr>
        <w:t>.</w:t>
      </w:r>
      <w:r w:rsidR="00CA1AD6">
        <w:rPr>
          <w:rFonts w:asciiTheme="minorHAnsi" w:hAnsiTheme="minorHAnsi" w:cstheme="minorHAnsi"/>
          <w:szCs w:val="24"/>
        </w:rPr>
        <w:t xml:space="preserve"> </w:t>
      </w:r>
      <w:r w:rsidR="00936796">
        <w:rPr>
          <w:rFonts w:asciiTheme="minorHAnsi" w:hAnsiTheme="minorHAnsi" w:cstheme="minorHAnsi"/>
          <w:szCs w:val="24"/>
        </w:rPr>
        <w:t>The amendment is also authorised by s</w:t>
      </w:r>
      <w:r w:rsidR="00936796" w:rsidRPr="00936796">
        <w:rPr>
          <w:rFonts w:asciiTheme="minorHAnsi" w:hAnsiTheme="minorHAnsi" w:cstheme="minorHAnsi"/>
          <w:szCs w:val="24"/>
        </w:rPr>
        <w:t xml:space="preserve">ubsection 33(3) of the </w:t>
      </w:r>
      <w:r w:rsidR="00936796" w:rsidRPr="00936796">
        <w:rPr>
          <w:rFonts w:asciiTheme="minorHAnsi" w:hAnsiTheme="minorHAnsi" w:cstheme="minorHAnsi"/>
          <w:i/>
          <w:iCs/>
          <w:szCs w:val="24"/>
        </w:rPr>
        <w:t>Acts Interpretation Act 1901</w:t>
      </w:r>
      <w:r w:rsidR="00936796" w:rsidRPr="00936796">
        <w:rPr>
          <w:rFonts w:asciiTheme="minorHAnsi" w:hAnsiTheme="minorHAnsi" w:cstheme="minorHAnsi"/>
          <w:szCs w:val="24"/>
        </w:rPr>
        <w:t xml:space="preserve">, </w:t>
      </w:r>
      <w:r w:rsidR="00936796">
        <w:rPr>
          <w:rFonts w:asciiTheme="minorHAnsi" w:hAnsiTheme="minorHAnsi" w:cstheme="minorHAnsi"/>
          <w:szCs w:val="24"/>
        </w:rPr>
        <w:t xml:space="preserve">which </w:t>
      </w:r>
      <w:r w:rsidR="00936796" w:rsidRPr="00936796">
        <w:rPr>
          <w:rFonts w:asciiTheme="minorHAnsi" w:hAnsiTheme="minorHAnsi" w:cstheme="minorHAnsi"/>
          <w:szCs w:val="24"/>
        </w:rPr>
        <w:t xml:space="preserve">clarifies </w:t>
      </w:r>
      <w:r w:rsidR="00936796">
        <w:rPr>
          <w:rFonts w:asciiTheme="minorHAnsi" w:hAnsiTheme="minorHAnsi" w:cstheme="minorHAnsi"/>
          <w:szCs w:val="24"/>
        </w:rPr>
        <w:t>that the power to make a legislative instrument includes the power to amend it.</w:t>
      </w:r>
    </w:p>
    <w:p w14:paraId="698CBFB4" w14:textId="07236B3C" w:rsidR="00936796" w:rsidRPr="008134D5" w:rsidRDefault="00936796" w:rsidP="00936796">
      <w:pPr>
        <w:keepNext/>
        <w:spacing w:before="360"/>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w:t>
      </w:r>
      <w:r>
        <w:rPr>
          <w:rFonts w:asciiTheme="minorHAnsi" w:hAnsiTheme="minorHAnsi" w:cstheme="minorHAnsi"/>
          <w:b/>
          <w:u w:val="single"/>
        </w:rPr>
        <w:t>4</w:t>
      </w:r>
      <w:r w:rsidRPr="008134D5">
        <w:rPr>
          <w:rFonts w:asciiTheme="minorHAnsi" w:hAnsiTheme="minorHAnsi" w:cstheme="minorHAnsi"/>
          <w:b/>
          <w:u w:val="single"/>
        </w:rPr>
        <w:t xml:space="preserve">: </w:t>
      </w:r>
      <w:r>
        <w:rPr>
          <w:rFonts w:asciiTheme="minorHAnsi" w:hAnsiTheme="minorHAnsi" w:cstheme="minorHAnsi"/>
          <w:b/>
          <w:u w:val="single"/>
        </w:rPr>
        <w:t>Definition</w:t>
      </w:r>
    </w:p>
    <w:p w14:paraId="57A34D3B" w14:textId="7C6A1BD4" w:rsidR="00936796" w:rsidRPr="00412BB7" w:rsidRDefault="00936796" w:rsidP="00936796">
      <w:pPr>
        <w:keepNext/>
        <w:spacing w:before="360" w:after="120"/>
        <w:ind w:left="426"/>
        <w:rPr>
          <w:rFonts w:asciiTheme="minorHAnsi" w:hAnsiTheme="minorHAnsi" w:cstheme="minorHAnsi"/>
          <w:szCs w:val="24"/>
        </w:rPr>
      </w:pPr>
      <w:r w:rsidRPr="00412BB7">
        <w:rPr>
          <w:rFonts w:asciiTheme="minorHAnsi" w:hAnsiTheme="minorHAnsi" w:cstheme="minorHAnsi"/>
          <w:szCs w:val="24"/>
        </w:rPr>
        <w:t>This section</w:t>
      </w:r>
      <w:r>
        <w:rPr>
          <w:rFonts w:asciiTheme="minorHAnsi" w:hAnsiTheme="minorHAnsi" w:cstheme="minorHAnsi"/>
          <w:szCs w:val="24"/>
        </w:rPr>
        <w:t xml:space="preserve"> clarifies that the “Principal Instrument” referred to in the Schedule is </w:t>
      </w:r>
      <w:r w:rsidRPr="00936796">
        <w:rPr>
          <w:rFonts w:asciiTheme="minorHAnsi" w:hAnsiTheme="minorHAnsi" w:cstheme="minorHAnsi"/>
          <w:szCs w:val="24"/>
        </w:rPr>
        <w:t xml:space="preserve">the </w:t>
      </w:r>
      <w:r w:rsidRPr="00936796">
        <w:rPr>
          <w:rFonts w:asciiTheme="minorHAnsi" w:hAnsiTheme="minorHAnsi" w:cstheme="minorHAnsi"/>
          <w:i/>
          <w:iCs/>
          <w:szCs w:val="24"/>
        </w:rPr>
        <w:t>Higher Education Standards Framework (Threshold Standards) 2021</w:t>
      </w:r>
      <w:r w:rsidRPr="00936796">
        <w:rPr>
          <w:rFonts w:asciiTheme="minorHAnsi" w:hAnsiTheme="minorHAnsi" w:cstheme="minorHAnsi"/>
          <w:szCs w:val="24"/>
        </w:rPr>
        <w:t xml:space="preserve">, which was made on 24 April 2021 under the </w:t>
      </w:r>
      <w:r w:rsidRPr="00936796">
        <w:rPr>
          <w:rFonts w:asciiTheme="minorHAnsi" w:hAnsiTheme="minorHAnsi" w:cstheme="minorHAnsi"/>
          <w:i/>
          <w:iCs/>
          <w:szCs w:val="24"/>
        </w:rPr>
        <w:t>Tertiary Education Quality and Standards Agency Act 2011</w:t>
      </w:r>
      <w:r>
        <w:rPr>
          <w:rFonts w:asciiTheme="minorHAnsi" w:hAnsiTheme="minorHAnsi" w:cstheme="minorHAnsi"/>
          <w:szCs w:val="24"/>
        </w:rPr>
        <w:t>.</w:t>
      </w:r>
    </w:p>
    <w:p w14:paraId="2ED6BF67" w14:textId="314A9F8B" w:rsidR="00936796" w:rsidRPr="00E631F9" w:rsidRDefault="00936796" w:rsidP="00936796">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Pr>
          <w:rFonts w:asciiTheme="minorHAnsi" w:hAnsiTheme="minorHAnsi" w:cstheme="minorHAnsi"/>
          <w:b/>
          <w:u w:val="single"/>
        </w:rPr>
        <w:t>5</w:t>
      </w:r>
      <w:r w:rsidRPr="00E631F9">
        <w:rPr>
          <w:rFonts w:asciiTheme="minorHAnsi" w:hAnsiTheme="minorHAnsi" w:cstheme="minorHAnsi"/>
          <w:b/>
          <w:u w:val="single"/>
        </w:rPr>
        <w:t xml:space="preserve">: </w:t>
      </w:r>
      <w:r>
        <w:rPr>
          <w:rFonts w:asciiTheme="minorHAnsi" w:hAnsiTheme="minorHAnsi" w:cstheme="minorHAnsi"/>
          <w:b/>
          <w:u w:val="single"/>
        </w:rPr>
        <w:t>Schedule</w:t>
      </w:r>
      <w:r w:rsidR="00B501B6">
        <w:rPr>
          <w:rFonts w:asciiTheme="minorHAnsi" w:hAnsiTheme="minorHAnsi" w:cstheme="minorHAnsi"/>
          <w:b/>
          <w:u w:val="single"/>
        </w:rPr>
        <w:t>s</w:t>
      </w:r>
    </w:p>
    <w:p w14:paraId="7F79ACA1" w14:textId="1F652E6F" w:rsidR="00936796" w:rsidRDefault="00936796" w:rsidP="00936796">
      <w:pPr>
        <w:keepNext/>
        <w:spacing w:before="360" w:after="120"/>
        <w:ind w:left="426"/>
        <w:rPr>
          <w:rFonts w:asciiTheme="minorHAnsi" w:hAnsiTheme="minorHAnsi" w:cstheme="minorHAnsi"/>
          <w:szCs w:val="24"/>
        </w:rPr>
      </w:pPr>
      <w:r w:rsidRPr="00412BB7">
        <w:rPr>
          <w:rFonts w:asciiTheme="minorHAnsi" w:hAnsiTheme="minorHAnsi" w:cstheme="minorHAnsi"/>
          <w:szCs w:val="24"/>
        </w:rPr>
        <w:t>This section</w:t>
      </w:r>
      <w:r>
        <w:rPr>
          <w:rFonts w:asciiTheme="minorHAnsi" w:hAnsiTheme="minorHAnsi" w:cstheme="minorHAnsi"/>
          <w:szCs w:val="24"/>
        </w:rPr>
        <w:t xml:space="preserve"> clarifies that the amendments in the Schedule</w:t>
      </w:r>
      <w:r w:rsidR="00B501B6">
        <w:rPr>
          <w:rFonts w:asciiTheme="minorHAnsi" w:hAnsiTheme="minorHAnsi" w:cstheme="minorHAnsi"/>
          <w:szCs w:val="24"/>
        </w:rPr>
        <w:t>s</w:t>
      </w:r>
      <w:r>
        <w:rPr>
          <w:rFonts w:asciiTheme="minorHAnsi" w:hAnsiTheme="minorHAnsi" w:cstheme="minorHAnsi"/>
          <w:szCs w:val="24"/>
        </w:rPr>
        <w:t xml:space="preserve"> are effective to amend the Principal Instrument</w:t>
      </w:r>
      <w:r w:rsidR="00B501B6">
        <w:rPr>
          <w:rFonts w:asciiTheme="minorHAnsi" w:hAnsiTheme="minorHAnsi" w:cstheme="minorHAnsi"/>
          <w:szCs w:val="24"/>
        </w:rPr>
        <w:t xml:space="preserve">, and to repeal the </w:t>
      </w:r>
      <w:r w:rsidR="00B501B6" w:rsidRPr="00B501B6">
        <w:rPr>
          <w:rFonts w:asciiTheme="minorHAnsi" w:hAnsiTheme="minorHAnsi" w:cstheme="minorHAnsi"/>
          <w:i/>
          <w:iCs/>
          <w:szCs w:val="24"/>
        </w:rPr>
        <w:t>Higher Education Standards Framework (Threshold Standards) 2015</w:t>
      </w:r>
      <w:r>
        <w:rPr>
          <w:rFonts w:asciiTheme="minorHAnsi" w:hAnsiTheme="minorHAnsi" w:cstheme="minorHAnsi"/>
          <w:szCs w:val="24"/>
        </w:rPr>
        <w:t>.</w:t>
      </w:r>
    </w:p>
    <w:p w14:paraId="2AB55D93" w14:textId="07B3165E" w:rsidR="00756D99" w:rsidRDefault="00936796" w:rsidP="00936796">
      <w:pPr>
        <w:spacing w:before="360" w:after="160" w:line="259" w:lineRule="auto"/>
        <w:rPr>
          <w:rFonts w:asciiTheme="minorHAnsi" w:hAnsiTheme="minorHAnsi" w:cstheme="minorHAnsi"/>
          <w:b/>
          <w:bCs/>
          <w:u w:val="single"/>
        </w:rPr>
      </w:pPr>
      <w:r w:rsidRPr="00936796">
        <w:rPr>
          <w:rFonts w:asciiTheme="minorHAnsi" w:hAnsiTheme="minorHAnsi" w:cstheme="minorHAnsi"/>
          <w:b/>
          <w:bCs/>
          <w:u w:val="single"/>
        </w:rPr>
        <w:t>Amendments made by the Schedule</w:t>
      </w:r>
      <w:r w:rsidR="00B501B6">
        <w:rPr>
          <w:rFonts w:asciiTheme="minorHAnsi" w:hAnsiTheme="minorHAnsi" w:cstheme="minorHAnsi"/>
          <w:b/>
          <w:bCs/>
          <w:u w:val="single"/>
        </w:rPr>
        <w:t>s</w:t>
      </w:r>
    </w:p>
    <w:p w14:paraId="65A343FE" w14:textId="4CF8554F" w:rsidR="00936796" w:rsidRDefault="00936796" w:rsidP="00936796">
      <w:pPr>
        <w:keepNext/>
        <w:spacing w:before="360" w:after="120"/>
        <w:ind w:left="426"/>
        <w:rPr>
          <w:rFonts w:asciiTheme="minorHAnsi" w:hAnsiTheme="minorHAnsi" w:cstheme="minorHAnsi"/>
          <w:iCs/>
          <w:szCs w:val="24"/>
        </w:rPr>
      </w:pPr>
      <w:r>
        <w:rPr>
          <w:rFonts w:asciiTheme="minorHAnsi" w:hAnsiTheme="minorHAnsi" w:cstheme="minorHAnsi"/>
          <w:iCs/>
          <w:szCs w:val="24"/>
        </w:rPr>
        <w:t xml:space="preserve">The amendments made by </w:t>
      </w:r>
      <w:r w:rsidRPr="00936796">
        <w:rPr>
          <w:rFonts w:asciiTheme="minorHAnsi" w:hAnsiTheme="minorHAnsi" w:cstheme="minorHAnsi"/>
          <w:b/>
          <w:bCs/>
          <w:iCs/>
          <w:szCs w:val="24"/>
        </w:rPr>
        <w:t xml:space="preserve">items 1 to </w:t>
      </w:r>
      <w:r w:rsidR="00F93585">
        <w:rPr>
          <w:rFonts w:asciiTheme="minorHAnsi" w:hAnsiTheme="minorHAnsi" w:cstheme="minorHAnsi"/>
          <w:b/>
          <w:bCs/>
          <w:iCs/>
          <w:szCs w:val="24"/>
        </w:rPr>
        <w:t>3</w:t>
      </w:r>
      <w:r>
        <w:rPr>
          <w:rFonts w:asciiTheme="minorHAnsi" w:hAnsiTheme="minorHAnsi" w:cstheme="minorHAnsi"/>
          <w:iCs/>
          <w:szCs w:val="24"/>
        </w:rPr>
        <w:t xml:space="preserve"> in Schedule </w:t>
      </w:r>
      <w:r w:rsidR="00B501B6">
        <w:rPr>
          <w:rFonts w:asciiTheme="minorHAnsi" w:hAnsiTheme="minorHAnsi" w:cstheme="minorHAnsi"/>
          <w:iCs/>
          <w:szCs w:val="24"/>
        </w:rPr>
        <w:t xml:space="preserve">1 </w:t>
      </w:r>
      <w:r>
        <w:rPr>
          <w:rFonts w:asciiTheme="minorHAnsi" w:hAnsiTheme="minorHAnsi" w:cstheme="minorHAnsi"/>
          <w:iCs/>
          <w:szCs w:val="24"/>
        </w:rPr>
        <w:t xml:space="preserve">are minor </w:t>
      </w:r>
      <w:r w:rsidRPr="00936796">
        <w:rPr>
          <w:rFonts w:asciiTheme="minorHAnsi" w:hAnsiTheme="minorHAnsi" w:cstheme="minorHAnsi"/>
          <w:szCs w:val="24"/>
        </w:rPr>
        <w:t>amendments</w:t>
      </w:r>
      <w:r>
        <w:rPr>
          <w:rFonts w:asciiTheme="minorHAnsi" w:hAnsiTheme="minorHAnsi" w:cstheme="minorHAnsi"/>
          <w:iCs/>
          <w:szCs w:val="24"/>
        </w:rPr>
        <w:t xml:space="preserve"> to the Principal Instrument to reflect recent amendments to the </w:t>
      </w:r>
      <w:r>
        <w:rPr>
          <w:rFonts w:asciiTheme="minorHAnsi" w:hAnsiTheme="minorHAnsi" w:cstheme="minorHAnsi"/>
          <w:i/>
          <w:szCs w:val="24"/>
        </w:rPr>
        <w:t>Higher Education Support Act</w:t>
      </w:r>
      <w:r w:rsidR="00933D45">
        <w:rPr>
          <w:rFonts w:asciiTheme="minorHAnsi" w:hAnsiTheme="minorHAnsi" w:cstheme="minorHAnsi"/>
          <w:i/>
          <w:szCs w:val="24"/>
        </w:rPr>
        <w:t> </w:t>
      </w:r>
      <w:r>
        <w:rPr>
          <w:rFonts w:asciiTheme="minorHAnsi" w:hAnsiTheme="minorHAnsi" w:cstheme="minorHAnsi"/>
          <w:i/>
          <w:szCs w:val="24"/>
        </w:rPr>
        <w:t>2003</w:t>
      </w:r>
      <w:r>
        <w:t xml:space="preserve"> </w:t>
      </w:r>
      <w:r w:rsidRPr="005621AA">
        <w:rPr>
          <w:rFonts w:asciiTheme="minorHAnsi" w:hAnsiTheme="minorHAnsi" w:cstheme="minorHAnsi"/>
          <w:iCs/>
          <w:szCs w:val="24"/>
        </w:rPr>
        <w:t xml:space="preserve">made by the </w:t>
      </w:r>
      <w:r w:rsidRPr="005621AA">
        <w:rPr>
          <w:rFonts w:asciiTheme="minorHAnsi" w:hAnsiTheme="minorHAnsi" w:cstheme="minorHAnsi"/>
          <w:i/>
          <w:szCs w:val="24"/>
        </w:rPr>
        <w:t>Higher Education Support Amendment (Freedom of Speech) Act</w:t>
      </w:r>
      <w:r w:rsidR="00933D45">
        <w:rPr>
          <w:rFonts w:asciiTheme="minorHAnsi" w:hAnsiTheme="minorHAnsi" w:cstheme="minorHAnsi"/>
          <w:i/>
          <w:szCs w:val="24"/>
        </w:rPr>
        <w:t> </w:t>
      </w:r>
      <w:r w:rsidRPr="005621AA">
        <w:rPr>
          <w:rFonts w:asciiTheme="minorHAnsi" w:hAnsiTheme="minorHAnsi" w:cstheme="minorHAnsi"/>
          <w:i/>
          <w:szCs w:val="24"/>
        </w:rPr>
        <w:t>2021</w:t>
      </w:r>
      <w:r>
        <w:rPr>
          <w:rFonts w:asciiTheme="minorHAnsi" w:hAnsiTheme="minorHAnsi" w:cstheme="minorHAnsi"/>
          <w:iCs/>
          <w:szCs w:val="24"/>
        </w:rPr>
        <w:t xml:space="preserve">, which </w:t>
      </w:r>
      <w:r w:rsidR="00595C41">
        <w:rPr>
          <w:rFonts w:asciiTheme="minorHAnsi" w:hAnsiTheme="minorHAnsi" w:cstheme="minorHAnsi"/>
          <w:iCs/>
          <w:szCs w:val="24"/>
        </w:rPr>
        <w:t xml:space="preserve">amended </w:t>
      </w:r>
      <w:r>
        <w:rPr>
          <w:rFonts w:asciiTheme="minorHAnsi" w:hAnsiTheme="minorHAnsi" w:cstheme="minorHAnsi"/>
          <w:iCs/>
          <w:szCs w:val="24"/>
        </w:rPr>
        <w:t xml:space="preserve">section 19-115 </w:t>
      </w:r>
      <w:r w:rsidR="00595C41">
        <w:rPr>
          <w:rFonts w:asciiTheme="minorHAnsi" w:hAnsiTheme="minorHAnsi" w:cstheme="minorHAnsi"/>
          <w:iCs/>
          <w:szCs w:val="24"/>
        </w:rPr>
        <w:t xml:space="preserve">of </w:t>
      </w:r>
      <w:r>
        <w:rPr>
          <w:rFonts w:asciiTheme="minorHAnsi" w:hAnsiTheme="minorHAnsi" w:cstheme="minorHAnsi"/>
          <w:iCs/>
          <w:szCs w:val="24"/>
        </w:rPr>
        <w:t xml:space="preserve">that Act to require Table A and Table B providers to have </w:t>
      </w:r>
      <w:r w:rsidRPr="005621AA">
        <w:rPr>
          <w:rFonts w:asciiTheme="minorHAnsi" w:hAnsiTheme="minorHAnsi" w:cstheme="minorHAnsi"/>
          <w:iCs/>
          <w:szCs w:val="24"/>
        </w:rPr>
        <w:t xml:space="preserve">a policy that upholds </w:t>
      </w:r>
      <w:r w:rsidR="00595C41">
        <w:rPr>
          <w:rFonts w:asciiTheme="minorHAnsi" w:hAnsiTheme="minorHAnsi" w:cstheme="minorHAnsi"/>
          <w:iCs/>
          <w:szCs w:val="24"/>
        </w:rPr>
        <w:t>“</w:t>
      </w:r>
      <w:r w:rsidRPr="005621AA">
        <w:rPr>
          <w:rFonts w:asciiTheme="minorHAnsi" w:hAnsiTheme="minorHAnsi" w:cstheme="minorHAnsi"/>
          <w:iCs/>
          <w:szCs w:val="24"/>
        </w:rPr>
        <w:t>freedom of speech and academic freedom</w:t>
      </w:r>
      <w:r>
        <w:rPr>
          <w:rFonts w:asciiTheme="minorHAnsi" w:hAnsiTheme="minorHAnsi" w:cstheme="minorHAnsi"/>
          <w:iCs/>
          <w:szCs w:val="24"/>
        </w:rPr>
        <w:t>”</w:t>
      </w:r>
      <w:r w:rsidR="00595C41">
        <w:rPr>
          <w:rFonts w:asciiTheme="minorHAnsi" w:hAnsiTheme="minorHAnsi" w:cstheme="minorHAnsi"/>
          <w:iCs/>
          <w:szCs w:val="24"/>
        </w:rPr>
        <w:t xml:space="preserve"> instead of a policy that upholds free intellectual inquiry, as it previously read</w:t>
      </w:r>
      <w:r w:rsidR="00F93585">
        <w:rPr>
          <w:rFonts w:asciiTheme="minorHAnsi" w:hAnsiTheme="minorHAnsi" w:cstheme="minorHAnsi"/>
          <w:iCs/>
          <w:szCs w:val="24"/>
        </w:rPr>
        <w:t>,</w:t>
      </w:r>
      <w:r w:rsidR="00CA1AD6">
        <w:rPr>
          <w:rFonts w:asciiTheme="minorHAnsi" w:hAnsiTheme="minorHAnsi" w:cstheme="minorHAnsi"/>
          <w:iCs/>
          <w:szCs w:val="24"/>
        </w:rPr>
        <w:t xml:space="preserve"> </w:t>
      </w:r>
    </w:p>
    <w:p w14:paraId="5C4EF831" w14:textId="19C576D8" w:rsidR="00936796" w:rsidRDefault="00936796" w:rsidP="00936796">
      <w:pPr>
        <w:keepNext/>
        <w:spacing w:before="360" w:after="120"/>
        <w:ind w:left="426"/>
        <w:rPr>
          <w:rFonts w:asciiTheme="minorHAnsi" w:hAnsiTheme="minorHAnsi" w:cstheme="minorHAnsi"/>
          <w:iCs/>
          <w:szCs w:val="24"/>
        </w:rPr>
      </w:pPr>
      <w:r>
        <w:rPr>
          <w:rFonts w:asciiTheme="minorHAnsi" w:hAnsiTheme="minorHAnsi" w:cstheme="minorHAnsi"/>
          <w:iCs/>
          <w:szCs w:val="24"/>
        </w:rPr>
        <w:t>The amendments will ensure that existing references to “freedom of intellectual enquiry”</w:t>
      </w:r>
      <w:r w:rsidR="00933D45">
        <w:rPr>
          <w:rFonts w:asciiTheme="minorHAnsi" w:hAnsiTheme="minorHAnsi" w:cstheme="minorHAnsi"/>
          <w:iCs/>
          <w:szCs w:val="24"/>
        </w:rPr>
        <w:t xml:space="preserve"> in the Principal Instrument</w:t>
      </w:r>
      <w:r>
        <w:rPr>
          <w:rFonts w:asciiTheme="minorHAnsi" w:hAnsiTheme="minorHAnsi" w:cstheme="minorHAnsi"/>
          <w:iCs/>
          <w:szCs w:val="24"/>
        </w:rPr>
        <w:t xml:space="preserve"> will be replaced with references to “freedom of </w:t>
      </w:r>
      <w:r>
        <w:rPr>
          <w:rFonts w:asciiTheme="minorHAnsi" w:hAnsiTheme="minorHAnsi" w:cstheme="minorHAnsi"/>
          <w:iCs/>
          <w:szCs w:val="24"/>
        </w:rPr>
        <w:lastRenderedPageBreak/>
        <w:t xml:space="preserve">speech and academic freedom”, in line with terminology used in the </w:t>
      </w:r>
      <w:r>
        <w:rPr>
          <w:rFonts w:asciiTheme="minorHAnsi" w:hAnsiTheme="minorHAnsi" w:cstheme="minorHAnsi"/>
          <w:i/>
          <w:szCs w:val="24"/>
        </w:rPr>
        <w:t>Higher Education Support Act 2003</w:t>
      </w:r>
      <w:r>
        <w:rPr>
          <w:rFonts w:asciiTheme="minorHAnsi" w:hAnsiTheme="minorHAnsi" w:cstheme="minorHAnsi"/>
          <w:iCs/>
          <w:szCs w:val="24"/>
        </w:rPr>
        <w:t>.</w:t>
      </w:r>
    </w:p>
    <w:p w14:paraId="0E87D728" w14:textId="77AED110" w:rsidR="00595C41" w:rsidRDefault="00936796" w:rsidP="00936796">
      <w:pPr>
        <w:keepNext/>
        <w:spacing w:before="360" w:after="120"/>
        <w:ind w:left="426"/>
        <w:rPr>
          <w:rFonts w:asciiTheme="minorHAnsi" w:hAnsiTheme="minorHAnsi" w:cstheme="minorHAnsi"/>
          <w:iCs/>
          <w:szCs w:val="24"/>
        </w:rPr>
      </w:pPr>
      <w:r>
        <w:rPr>
          <w:rFonts w:asciiTheme="minorHAnsi" w:hAnsiTheme="minorHAnsi" w:cstheme="minorHAnsi"/>
          <w:iCs/>
          <w:szCs w:val="24"/>
        </w:rPr>
        <w:t xml:space="preserve">The amendments will mean that the Threshold Standards will contain </w:t>
      </w:r>
      <w:r w:rsidR="00933D45">
        <w:rPr>
          <w:rFonts w:asciiTheme="minorHAnsi" w:hAnsiTheme="minorHAnsi" w:cstheme="minorHAnsi"/>
          <w:iCs/>
          <w:szCs w:val="24"/>
        </w:rPr>
        <w:t>standards requiring th</w:t>
      </w:r>
      <w:r w:rsidR="00933D45" w:rsidRPr="00933D45">
        <w:rPr>
          <w:rFonts w:asciiTheme="minorHAnsi" w:hAnsiTheme="minorHAnsi" w:cstheme="minorHAnsi"/>
          <w:iCs/>
          <w:szCs w:val="24"/>
        </w:rPr>
        <w:t>e governing body</w:t>
      </w:r>
      <w:r w:rsidR="00933D45">
        <w:rPr>
          <w:rFonts w:asciiTheme="minorHAnsi" w:hAnsiTheme="minorHAnsi" w:cstheme="minorHAnsi"/>
          <w:iCs/>
          <w:szCs w:val="24"/>
        </w:rPr>
        <w:t xml:space="preserve"> of a registered higher education provider to</w:t>
      </w:r>
      <w:r w:rsidR="00933D45" w:rsidRPr="00933D45">
        <w:rPr>
          <w:rFonts w:asciiTheme="minorHAnsi" w:hAnsiTheme="minorHAnsi" w:cstheme="minorHAnsi"/>
          <w:iCs/>
          <w:szCs w:val="24"/>
        </w:rPr>
        <w:t xml:space="preserve"> take steps to develop and maintain an institutional environment in which freedom of speech and academic freedom are upheld and protected, students and staff are treated equitably, the wellbeing of students and staff is fostered, informed decision making by students is supported and students have opportunities to participate in the deliberative and decision making processes of the higher education provider</w:t>
      </w:r>
      <w:r w:rsidR="00933D45">
        <w:rPr>
          <w:rFonts w:asciiTheme="minorHAnsi" w:hAnsiTheme="minorHAnsi" w:cstheme="minorHAnsi"/>
          <w:iCs/>
          <w:szCs w:val="24"/>
        </w:rPr>
        <w:t xml:space="preserve"> (this is the amendment to paragraph 4 in the provision </w:t>
      </w:r>
      <w:r w:rsidR="00933D45" w:rsidRPr="00933D45">
        <w:rPr>
          <w:rFonts w:asciiTheme="minorHAnsi" w:hAnsiTheme="minorHAnsi" w:cstheme="minorHAnsi"/>
          <w:iCs/>
          <w:szCs w:val="24"/>
        </w:rPr>
        <w:t>numbered “6.1” under the “Governance and Accountability” heading</w:t>
      </w:r>
      <w:r w:rsidR="00933D45">
        <w:rPr>
          <w:rFonts w:asciiTheme="minorHAnsi" w:hAnsiTheme="minorHAnsi" w:cstheme="minorHAnsi"/>
          <w:iCs/>
          <w:szCs w:val="24"/>
        </w:rPr>
        <w:t>)</w:t>
      </w:r>
      <w:r w:rsidR="00933D45" w:rsidRPr="00933D45">
        <w:rPr>
          <w:rFonts w:asciiTheme="minorHAnsi" w:hAnsiTheme="minorHAnsi" w:cstheme="minorHAnsi"/>
          <w:iCs/>
          <w:szCs w:val="24"/>
        </w:rPr>
        <w:t>.</w:t>
      </w:r>
      <w:r w:rsidR="00CA1AD6">
        <w:rPr>
          <w:rFonts w:asciiTheme="minorHAnsi" w:hAnsiTheme="minorHAnsi" w:cstheme="minorHAnsi"/>
          <w:iCs/>
          <w:szCs w:val="24"/>
        </w:rPr>
        <w:t xml:space="preserve"> </w:t>
      </w:r>
    </w:p>
    <w:p w14:paraId="4A709A65" w14:textId="0FCBC1FB" w:rsidR="00936796" w:rsidRDefault="00933D45" w:rsidP="00936796">
      <w:pPr>
        <w:keepNext/>
        <w:spacing w:before="360" w:after="120"/>
        <w:ind w:left="426"/>
        <w:rPr>
          <w:rFonts w:asciiTheme="minorHAnsi" w:hAnsiTheme="minorHAnsi" w:cstheme="minorHAnsi"/>
          <w:iCs/>
          <w:szCs w:val="24"/>
        </w:rPr>
      </w:pPr>
      <w:r>
        <w:rPr>
          <w:rFonts w:asciiTheme="minorHAnsi" w:hAnsiTheme="minorHAnsi" w:cstheme="minorHAnsi"/>
          <w:iCs/>
          <w:szCs w:val="24"/>
        </w:rPr>
        <w:t xml:space="preserve">Providers </w:t>
      </w:r>
      <w:r w:rsidR="00595C41">
        <w:rPr>
          <w:rFonts w:asciiTheme="minorHAnsi" w:hAnsiTheme="minorHAnsi" w:cstheme="minorHAnsi"/>
          <w:iCs/>
          <w:szCs w:val="24"/>
        </w:rPr>
        <w:t xml:space="preserve">will </w:t>
      </w:r>
      <w:r>
        <w:rPr>
          <w:rFonts w:asciiTheme="minorHAnsi" w:hAnsiTheme="minorHAnsi" w:cstheme="minorHAnsi"/>
          <w:iCs/>
          <w:szCs w:val="24"/>
        </w:rPr>
        <w:t xml:space="preserve">also </w:t>
      </w:r>
      <w:r w:rsidR="00595C41">
        <w:rPr>
          <w:rFonts w:asciiTheme="minorHAnsi" w:hAnsiTheme="minorHAnsi" w:cstheme="minorHAnsi"/>
          <w:iCs/>
          <w:szCs w:val="24"/>
        </w:rPr>
        <w:t xml:space="preserve">be required to </w:t>
      </w:r>
      <w:r>
        <w:rPr>
          <w:rFonts w:asciiTheme="minorHAnsi" w:hAnsiTheme="minorHAnsi" w:cstheme="minorHAnsi"/>
          <w:iCs/>
          <w:szCs w:val="24"/>
        </w:rPr>
        <w:t>have</w:t>
      </w:r>
      <w:r w:rsidRPr="00933D45">
        <w:rPr>
          <w:rFonts w:asciiTheme="minorHAnsi" w:hAnsiTheme="minorHAnsi" w:cstheme="minorHAnsi"/>
          <w:iCs/>
          <w:szCs w:val="24"/>
        </w:rPr>
        <w:t xml:space="preserve"> a clearly articulated higher education purpose that includes a commitment to freedom of speech and academic freedom</w:t>
      </w:r>
      <w:r w:rsidR="00320EA1">
        <w:rPr>
          <w:rFonts w:asciiTheme="minorHAnsi" w:hAnsiTheme="minorHAnsi" w:cstheme="minorHAnsi"/>
          <w:iCs/>
          <w:szCs w:val="24"/>
        </w:rPr>
        <w:t xml:space="preserve"> (</w:t>
      </w:r>
      <w:r w:rsidR="00595C41">
        <w:rPr>
          <w:rFonts w:asciiTheme="minorHAnsi" w:hAnsiTheme="minorHAnsi" w:cstheme="minorHAnsi"/>
          <w:iCs/>
          <w:szCs w:val="24"/>
        </w:rPr>
        <w:t>through</w:t>
      </w:r>
      <w:r w:rsidR="00320EA1">
        <w:rPr>
          <w:rFonts w:asciiTheme="minorHAnsi" w:hAnsiTheme="minorHAnsi" w:cstheme="minorHAnsi"/>
          <w:iCs/>
          <w:szCs w:val="24"/>
        </w:rPr>
        <w:t xml:space="preserve"> the amendment to paragraph 1 in the provision numbered </w:t>
      </w:r>
      <w:r w:rsidR="00320EA1" w:rsidRPr="00320EA1">
        <w:rPr>
          <w:rFonts w:asciiTheme="minorHAnsi" w:hAnsiTheme="minorHAnsi" w:cstheme="minorHAnsi"/>
          <w:iCs/>
          <w:szCs w:val="24"/>
        </w:rPr>
        <w:t>“B1.1” in Part B</w:t>
      </w:r>
      <w:r w:rsidR="00AF3FBD">
        <w:rPr>
          <w:rFonts w:asciiTheme="minorHAnsi" w:hAnsiTheme="minorHAnsi" w:cstheme="minorHAnsi"/>
          <w:iCs/>
          <w:szCs w:val="24"/>
        </w:rPr>
        <w:t xml:space="preserve"> of the Principal Instrument)</w:t>
      </w:r>
      <w:r>
        <w:rPr>
          <w:rFonts w:asciiTheme="minorHAnsi" w:hAnsiTheme="minorHAnsi" w:cstheme="minorHAnsi"/>
          <w:iCs/>
          <w:szCs w:val="24"/>
        </w:rPr>
        <w:t>.</w:t>
      </w:r>
    </w:p>
    <w:p w14:paraId="16DD86C3" w14:textId="31FCCAD5" w:rsidR="00F93585" w:rsidRDefault="00A97E01" w:rsidP="00A97E01">
      <w:pPr>
        <w:keepNext/>
        <w:spacing w:before="360" w:after="120"/>
        <w:ind w:left="426"/>
        <w:rPr>
          <w:rFonts w:asciiTheme="minorHAnsi" w:hAnsiTheme="minorHAnsi" w:cstheme="minorHAnsi"/>
          <w:iCs/>
          <w:szCs w:val="24"/>
        </w:rPr>
      </w:pPr>
      <w:r w:rsidRPr="00A97E01">
        <w:rPr>
          <w:rFonts w:asciiTheme="minorHAnsi" w:hAnsiTheme="minorHAnsi" w:cstheme="minorHAnsi"/>
          <w:iCs/>
          <w:szCs w:val="24"/>
        </w:rPr>
        <w:t xml:space="preserve">The amendment made by </w:t>
      </w:r>
      <w:r w:rsidRPr="00A97E01">
        <w:rPr>
          <w:rFonts w:asciiTheme="minorHAnsi" w:hAnsiTheme="minorHAnsi" w:cstheme="minorHAnsi"/>
          <w:b/>
          <w:bCs/>
          <w:iCs/>
          <w:szCs w:val="24"/>
        </w:rPr>
        <w:t>item 4</w:t>
      </w:r>
      <w:r w:rsidRPr="00A97E01">
        <w:rPr>
          <w:rFonts w:asciiTheme="minorHAnsi" w:hAnsiTheme="minorHAnsi" w:cstheme="minorHAnsi"/>
          <w:iCs/>
          <w:szCs w:val="24"/>
        </w:rPr>
        <w:t xml:space="preserve"> corrects an inadvertent omission in the Principal Instrument, to specify that providers in the Australian University category must self-accredit and deliver courses of study at both undergraduate and postgraduate level.</w:t>
      </w:r>
      <w:r w:rsidRPr="00A97E01" w:rsidDel="00A97E01">
        <w:rPr>
          <w:rFonts w:asciiTheme="minorHAnsi" w:hAnsiTheme="minorHAnsi" w:cstheme="minorHAnsi"/>
          <w:iCs/>
          <w:szCs w:val="24"/>
        </w:rPr>
        <w:t xml:space="preserve"> </w:t>
      </w:r>
    </w:p>
    <w:p w14:paraId="5CA8551E" w14:textId="397E71DD" w:rsidR="00B501B6" w:rsidRPr="00B501B6" w:rsidRDefault="00B501B6" w:rsidP="00B501B6">
      <w:pPr>
        <w:keepNext/>
        <w:spacing w:before="360" w:after="120"/>
        <w:ind w:left="426"/>
        <w:rPr>
          <w:rFonts w:asciiTheme="minorHAnsi" w:hAnsiTheme="minorHAnsi" w:cstheme="minorHAnsi"/>
          <w:iCs/>
          <w:szCs w:val="24"/>
        </w:rPr>
      </w:pPr>
      <w:r w:rsidRPr="00B501B6">
        <w:rPr>
          <w:rFonts w:asciiTheme="minorHAnsi" w:hAnsiTheme="minorHAnsi" w:cstheme="minorHAnsi"/>
          <w:b/>
          <w:bCs/>
          <w:iCs/>
          <w:szCs w:val="24"/>
        </w:rPr>
        <w:t>Item 1</w:t>
      </w:r>
      <w:r>
        <w:rPr>
          <w:rFonts w:asciiTheme="minorHAnsi" w:hAnsiTheme="minorHAnsi" w:cstheme="minorHAnsi"/>
          <w:iCs/>
          <w:szCs w:val="24"/>
        </w:rPr>
        <w:t xml:space="preserve"> in Schedule 2 repeals the </w:t>
      </w:r>
      <w:r w:rsidRPr="00B501B6">
        <w:rPr>
          <w:rFonts w:asciiTheme="minorHAnsi" w:hAnsiTheme="minorHAnsi" w:cstheme="minorHAnsi"/>
          <w:i/>
          <w:szCs w:val="24"/>
        </w:rPr>
        <w:t>Higher Education Standards Framework (Threshold Standards) 2015</w:t>
      </w:r>
      <w:r>
        <w:rPr>
          <w:rFonts w:asciiTheme="minorHAnsi" w:hAnsiTheme="minorHAnsi" w:cstheme="minorHAnsi"/>
          <w:iCs/>
          <w:szCs w:val="24"/>
        </w:rPr>
        <w:t>, as that instrument has been superseded by the 2021 version.</w:t>
      </w:r>
    </w:p>
    <w:sectPr w:rsidR="00B501B6" w:rsidRPr="00B501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CA57E" w14:textId="77777777" w:rsidR="0098061C" w:rsidRDefault="0098061C" w:rsidP="00783FAB">
      <w:pPr>
        <w:spacing w:after="0" w:line="240" w:lineRule="auto"/>
      </w:pPr>
      <w:r>
        <w:separator/>
      </w:r>
    </w:p>
  </w:endnote>
  <w:endnote w:type="continuationSeparator" w:id="0">
    <w:p w14:paraId="31E83825" w14:textId="77777777" w:rsidR="0098061C" w:rsidRDefault="0098061C" w:rsidP="00783FAB">
      <w:pPr>
        <w:spacing w:after="0" w:line="240" w:lineRule="auto"/>
      </w:pPr>
      <w:r>
        <w:continuationSeparator/>
      </w:r>
    </w:p>
  </w:endnote>
  <w:endnote w:type="continuationNotice" w:id="1">
    <w:p w14:paraId="111D6B1D" w14:textId="77777777" w:rsidR="0098061C" w:rsidRDefault="00980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5D5C6EA9" w:rsidR="008134D5" w:rsidRDefault="008134D5">
        <w:pPr>
          <w:pStyle w:val="Footer"/>
          <w:jc w:val="center"/>
        </w:pPr>
        <w:r>
          <w:fldChar w:fldCharType="begin"/>
        </w:r>
        <w:r>
          <w:instrText xml:space="preserve"> PAGE   \* MERGEFORMAT </w:instrText>
        </w:r>
        <w:r>
          <w:fldChar w:fldCharType="separate"/>
        </w:r>
        <w:r w:rsidR="00C95779">
          <w:rPr>
            <w:noProof/>
          </w:rPr>
          <w:t>8</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4585" w14:textId="77777777" w:rsidR="0098061C" w:rsidRDefault="0098061C" w:rsidP="00783FAB">
      <w:pPr>
        <w:spacing w:after="0" w:line="240" w:lineRule="auto"/>
      </w:pPr>
      <w:r>
        <w:separator/>
      </w:r>
    </w:p>
  </w:footnote>
  <w:footnote w:type="continuationSeparator" w:id="0">
    <w:p w14:paraId="5BC2C43D" w14:textId="77777777" w:rsidR="0098061C" w:rsidRDefault="0098061C" w:rsidP="00783FAB">
      <w:pPr>
        <w:spacing w:after="0" w:line="240" w:lineRule="auto"/>
      </w:pPr>
      <w:r>
        <w:continuationSeparator/>
      </w:r>
    </w:p>
  </w:footnote>
  <w:footnote w:type="continuationNotice" w:id="1">
    <w:p w14:paraId="4CCA88B8" w14:textId="77777777" w:rsidR="0098061C" w:rsidRDefault="009806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46506E"/>
    <w:multiLevelType w:val="hybridMultilevel"/>
    <w:tmpl w:val="835A8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104FCE"/>
    <w:multiLevelType w:val="hybridMultilevel"/>
    <w:tmpl w:val="A67E9BC4"/>
    <w:lvl w:ilvl="0" w:tplc="8F52B7AE">
      <w:start w:val="1"/>
      <w:numFmt w:val="decimal"/>
      <w:pStyle w:val="MBPoint"/>
      <w:lvlText w:val="%1."/>
      <w:lvlJc w:val="left"/>
      <w:pPr>
        <w:ind w:left="-207" w:hanging="360"/>
      </w:pPr>
      <w:rPr>
        <w:rFonts w:hint="default"/>
      </w:rPr>
    </w:lvl>
    <w:lvl w:ilvl="1" w:tplc="3A2C3262">
      <w:start w:val="1"/>
      <w:numFmt w:val="bullet"/>
      <w:lvlText w:val=""/>
      <w:lvlJc w:val="left"/>
      <w:pPr>
        <w:ind w:left="513" w:hanging="360"/>
      </w:pPr>
      <w:rPr>
        <w:rFonts w:ascii="Symbol" w:hAnsi="Symbol" w:hint="default"/>
      </w:rPr>
    </w:lvl>
    <w:lvl w:ilvl="2" w:tplc="37B0AA40" w:tentative="1">
      <w:start w:val="1"/>
      <w:numFmt w:val="lowerRoman"/>
      <w:lvlText w:val="%3."/>
      <w:lvlJc w:val="right"/>
      <w:pPr>
        <w:ind w:left="1233" w:hanging="180"/>
      </w:pPr>
    </w:lvl>
    <w:lvl w:ilvl="3" w:tplc="F14809C4" w:tentative="1">
      <w:start w:val="1"/>
      <w:numFmt w:val="decimal"/>
      <w:lvlText w:val="%4."/>
      <w:lvlJc w:val="left"/>
      <w:pPr>
        <w:ind w:left="1953" w:hanging="360"/>
      </w:pPr>
    </w:lvl>
    <w:lvl w:ilvl="4" w:tplc="E0E07656" w:tentative="1">
      <w:start w:val="1"/>
      <w:numFmt w:val="lowerLetter"/>
      <w:lvlText w:val="%5."/>
      <w:lvlJc w:val="left"/>
      <w:pPr>
        <w:ind w:left="2673" w:hanging="360"/>
      </w:pPr>
    </w:lvl>
    <w:lvl w:ilvl="5" w:tplc="1FC2A8E0" w:tentative="1">
      <w:start w:val="1"/>
      <w:numFmt w:val="lowerRoman"/>
      <w:lvlText w:val="%6."/>
      <w:lvlJc w:val="right"/>
      <w:pPr>
        <w:ind w:left="3393" w:hanging="180"/>
      </w:pPr>
    </w:lvl>
    <w:lvl w:ilvl="6" w:tplc="395837C0" w:tentative="1">
      <w:start w:val="1"/>
      <w:numFmt w:val="decimal"/>
      <w:lvlText w:val="%7."/>
      <w:lvlJc w:val="left"/>
      <w:pPr>
        <w:ind w:left="4113" w:hanging="360"/>
      </w:pPr>
    </w:lvl>
    <w:lvl w:ilvl="7" w:tplc="30C8C966" w:tentative="1">
      <w:start w:val="1"/>
      <w:numFmt w:val="lowerLetter"/>
      <w:lvlText w:val="%8."/>
      <w:lvlJc w:val="left"/>
      <w:pPr>
        <w:ind w:left="4833" w:hanging="360"/>
      </w:pPr>
    </w:lvl>
    <w:lvl w:ilvl="8" w:tplc="C91023BC" w:tentative="1">
      <w:start w:val="1"/>
      <w:numFmt w:val="lowerRoman"/>
      <w:lvlText w:val="%9."/>
      <w:lvlJc w:val="right"/>
      <w:pPr>
        <w:ind w:left="5553" w:hanging="180"/>
      </w:p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19A"/>
    <w:rsid w:val="00011E4D"/>
    <w:rsid w:val="000138CF"/>
    <w:rsid w:val="000140D5"/>
    <w:rsid w:val="000146FA"/>
    <w:rsid w:val="0001554B"/>
    <w:rsid w:val="00016AFF"/>
    <w:rsid w:val="0001745C"/>
    <w:rsid w:val="00017F54"/>
    <w:rsid w:val="000305EA"/>
    <w:rsid w:val="00031E3C"/>
    <w:rsid w:val="00032CB3"/>
    <w:rsid w:val="00036FAE"/>
    <w:rsid w:val="00044508"/>
    <w:rsid w:val="00047668"/>
    <w:rsid w:val="00047A2A"/>
    <w:rsid w:val="0005020B"/>
    <w:rsid w:val="00057815"/>
    <w:rsid w:val="00057A1E"/>
    <w:rsid w:val="000614A1"/>
    <w:rsid w:val="00062794"/>
    <w:rsid w:val="00063010"/>
    <w:rsid w:val="0006484E"/>
    <w:rsid w:val="000668B0"/>
    <w:rsid w:val="00076E76"/>
    <w:rsid w:val="00083F41"/>
    <w:rsid w:val="000846B7"/>
    <w:rsid w:val="00096285"/>
    <w:rsid w:val="000A2A28"/>
    <w:rsid w:val="000A2D3A"/>
    <w:rsid w:val="000A3124"/>
    <w:rsid w:val="000A35D6"/>
    <w:rsid w:val="000B1BE1"/>
    <w:rsid w:val="000B3914"/>
    <w:rsid w:val="000B6430"/>
    <w:rsid w:val="000C224C"/>
    <w:rsid w:val="000C34FD"/>
    <w:rsid w:val="000C4D6B"/>
    <w:rsid w:val="000C60C0"/>
    <w:rsid w:val="000D1472"/>
    <w:rsid w:val="000D5E6D"/>
    <w:rsid w:val="000E3516"/>
    <w:rsid w:val="000E57DB"/>
    <w:rsid w:val="000E6FD6"/>
    <w:rsid w:val="000F1811"/>
    <w:rsid w:val="000F7A8C"/>
    <w:rsid w:val="00103015"/>
    <w:rsid w:val="00103253"/>
    <w:rsid w:val="001034C8"/>
    <w:rsid w:val="001042BA"/>
    <w:rsid w:val="00120A34"/>
    <w:rsid w:val="00122A06"/>
    <w:rsid w:val="00124260"/>
    <w:rsid w:val="00125A8E"/>
    <w:rsid w:val="00127CD8"/>
    <w:rsid w:val="001301AD"/>
    <w:rsid w:val="001334D9"/>
    <w:rsid w:val="001377D9"/>
    <w:rsid w:val="00137ACD"/>
    <w:rsid w:val="00140024"/>
    <w:rsid w:val="00140DAD"/>
    <w:rsid w:val="00140E3D"/>
    <w:rsid w:val="001421FE"/>
    <w:rsid w:val="001437EA"/>
    <w:rsid w:val="00144950"/>
    <w:rsid w:val="00144E95"/>
    <w:rsid w:val="00145BE1"/>
    <w:rsid w:val="0015276C"/>
    <w:rsid w:val="00152947"/>
    <w:rsid w:val="00154638"/>
    <w:rsid w:val="0015508C"/>
    <w:rsid w:val="00160153"/>
    <w:rsid w:val="00161A1F"/>
    <w:rsid w:val="0017006A"/>
    <w:rsid w:val="00173A64"/>
    <w:rsid w:val="00173E0C"/>
    <w:rsid w:val="00185491"/>
    <w:rsid w:val="00195030"/>
    <w:rsid w:val="00197C3F"/>
    <w:rsid w:val="001A1C12"/>
    <w:rsid w:val="001A2FE9"/>
    <w:rsid w:val="001A4389"/>
    <w:rsid w:val="001A686C"/>
    <w:rsid w:val="001B3C7A"/>
    <w:rsid w:val="001C05A9"/>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17CD8"/>
    <w:rsid w:val="00223F82"/>
    <w:rsid w:val="00224C52"/>
    <w:rsid w:val="00232304"/>
    <w:rsid w:val="002378EE"/>
    <w:rsid w:val="002445E3"/>
    <w:rsid w:val="00246D65"/>
    <w:rsid w:val="00247EBF"/>
    <w:rsid w:val="00251A96"/>
    <w:rsid w:val="00261499"/>
    <w:rsid w:val="00266C6A"/>
    <w:rsid w:val="002672A4"/>
    <w:rsid w:val="002747E8"/>
    <w:rsid w:val="00274EEA"/>
    <w:rsid w:val="0027686D"/>
    <w:rsid w:val="002808A9"/>
    <w:rsid w:val="00284C9D"/>
    <w:rsid w:val="00292863"/>
    <w:rsid w:val="00294430"/>
    <w:rsid w:val="00296CA7"/>
    <w:rsid w:val="00296FAF"/>
    <w:rsid w:val="00297EAB"/>
    <w:rsid w:val="002A15F1"/>
    <w:rsid w:val="002A2E06"/>
    <w:rsid w:val="002A4961"/>
    <w:rsid w:val="002B313C"/>
    <w:rsid w:val="002B5C28"/>
    <w:rsid w:val="002C1F84"/>
    <w:rsid w:val="002C40FB"/>
    <w:rsid w:val="002D1504"/>
    <w:rsid w:val="002D564A"/>
    <w:rsid w:val="002D7A08"/>
    <w:rsid w:val="002E12E6"/>
    <w:rsid w:val="002F15DF"/>
    <w:rsid w:val="002F76C6"/>
    <w:rsid w:val="00303987"/>
    <w:rsid w:val="00304A88"/>
    <w:rsid w:val="00304E64"/>
    <w:rsid w:val="00307358"/>
    <w:rsid w:val="0031070C"/>
    <w:rsid w:val="00313612"/>
    <w:rsid w:val="00316053"/>
    <w:rsid w:val="00316D9C"/>
    <w:rsid w:val="003170AC"/>
    <w:rsid w:val="003174A8"/>
    <w:rsid w:val="00320EA1"/>
    <w:rsid w:val="00326C24"/>
    <w:rsid w:val="0033070E"/>
    <w:rsid w:val="003415BC"/>
    <w:rsid w:val="003440C7"/>
    <w:rsid w:val="00344806"/>
    <w:rsid w:val="00350779"/>
    <w:rsid w:val="00353D81"/>
    <w:rsid w:val="00354743"/>
    <w:rsid w:val="00364630"/>
    <w:rsid w:val="00365D2C"/>
    <w:rsid w:val="00367C2D"/>
    <w:rsid w:val="0037028F"/>
    <w:rsid w:val="003719BF"/>
    <w:rsid w:val="00375010"/>
    <w:rsid w:val="0037728A"/>
    <w:rsid w:val="00377427"/>
    <w:rsid w:val="00386B68"/>
    <w:rsid w:val="00386E17"/>
    <w:rsid w:val="0038758C"/>
    <w:rsid w:val="003913F1"/>
    <w:rsid w:val="00393789"/>
    <w:rsid w:val="00393A61"/>
    <w:rsid w:val="00394454"/>
    <w:rsid w:val="00395655"/>
    <w:rsid w:val="0039773F"/>
    <w:rsid w:val="003A0965"/>
    <w:rsid w:val="003A373E"/>
    <w:rsid w:val="003A3D0E"/>
    <w:rsid w:val="003A4424"/>
    <w:rsid w:val="003A530C"/>
    <w:rsid w:val="003A5841"/>
    <w:rsid w:val="003A6D54"/>
    <w:rsid w:val="003A7B17"/>
    <w:rsid w:val="003B29B0"/>
    <w:rsid w:val="003B2DA8"/>
    <w:rsid w:val="003B3044"/>
    <w:rsid w:val="003B6C2D"/>
    <w:rsid w:val="003C0D20"/>
    <w:rsid w:val="003C16A9"/>
    <w:rsid w:val="003C202D"/>
    <w:rsid w:val="003C2606"/>
    <w:rsid w:val="003D2742"/>
    <w:rsid w:val="003D47C4"/>
    <w:rsid w:val="003D7CE2"/>
    <w:rsid w:val="003E4413"/>
    <w:rsid w:val="003E5B26"/>
    <w:rsid w:val="003F09F7"/>
    <w:rsid w:val="003F1AA1"/>
    <w:rsid w:val="003F24BC"/>
    <w:rsid w:val="003F492F"/>
    <w:rsid w:val="00402CC7"/>
    <w:rsid w:val="00402D70"/>
    <w:rsid w:val="0040374E"/>
    <w:rsid w:val="00403CE4"/>
    <w:rsid w:val="004075A3"/>
    <w:rsid w:val="00410A3F"/>
    <w:rsid w:val="0041144F"/>
    <w:rsid w:val="00412BB7"/>
    <w:rsid w:val="004143B1"/>
    <w:rsid w:val="00415A55"/>
    <w:rsid w:val="00425A1E"/>
    <w:rsid w:val="00425FCB"/>
    <w:rsid w:val="00430F1B"/>
    <w:rsid w:val="00431CCA"/>
    <w:rsid w:val="004327E1"/>
    <w:rsid w:val="00434240"/>
    <w:rsid w:val="00434641"/>
    <w:rsid w:val="00434CDD"/>
    <w:rsid w:val="004355D0"/>
    <w:rsid w:val="004355E8"/>
    <w:rsid w:val="00436435"/>
    <w:rsid w:val="00443CF0"/>
    <w:rsid w:val="00445460"/>
    <w:rsid w:val="00446B03"/>
    <w:rsid w:val="0044797F"/>
    <w:rsid w:val="00455C2A"/>
    <w:rsid w:val="00472F61"/>
    <w:rsid w:val="00481DE1"/>
    <w:rsid w:val="00484DBC"/>
    <w:rsid w:val="00490BA0"/>
    <w:rsid w:val="00494834"/>
    <w:rsid w:val="0049486C"/>
    <w:rsid w:val="00497009"/>
    <w:rsid w:val="004A198B"/>
    <w:rsid w:val="004A2F70"/>
    <w:rsid w:val="004A3523"/>
    <w:rsid w:val="004A409F"/>
    <w:rsid w:val="004A48D9"/>
    <w:rsid w:val="004A6B2D"/>
    <w:rsid w:val="004B2C3F"/>
    <w:rsid w:val="004C600D"/>
    <w:rsid w:val="004D5695"/>
    <w:rsid w:val="004D665B"/>
    <w:rsid w:val="004D7B86"/>
    <w:rsid w:val="004E20A7"/>
    <w:rsid w:val="004E33C7"/>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621AA"/>
    <w:rsid w:val="00572335"/>
    <w:rsid w:val="00572401"/>
    <w:rsid w:val="005732E6"/>
    <w:rsid w:val="005734C5"/>
    <w:rsid w:val="00577C30"/>
    <w:rsid w:val="005812FF"/>
    <w:rsid w:val="005819C8"/>
    <w:rsid w:val="0058422E"/>
    <w:rsid w:val="00584B84"/>
    <w:rsid w:val="00586893"/>
    <w:rsid w:val="005905A0"/>
    <w:rsid w:val="005919D6"/>
    <w:rsid w:val="00591EC0"/>
    <w:rsid w:val="00592E69"/>
    <w:rsid w:val="00595C41"/>
    <w:rsid w:val="00597535"/>
    <w:rsid w:val="005A54B4"/>
    <w:rsid w:val="005A7050"/>
    <w:rsid w:val="005B3CBC"/>
    <w:rsid w:val="005B510A"/>
    <w:rsid w:val="005C0740"/>
    <w:rsid w:val="005C18D0"/>
    <w:rsid w:val="005D1D8B"/>
    <w:rsid w:val="005E2026"/>
    <w:rsid w:val="005E42A5"/>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2287"/>
    <w:rsid w:val="006930D1"/>
    <w:rsid w:val="006931AD"/>
    <w:rsid w:val="006940BB"/>
    <w:rsid w:val="00696CF0"/>
    <w:rsid w:val="00697001"/>
    <w:rsid w:val="006A1788"/>
    <w:rsid w:val="006A666D"/>
    <w:rsid w:val="006B2D99"/>
    <w:rsid w:val="006B6E38"/>
    <w:rsid w:val="006D3B2A"/>
    <w:rsid w:val="006D58E2"/>
    <w:rsid w:val="006D7B6B"/>
    <w:rsid w:val="006E3838"/>
    <w:rsid w:val="006E3C40"/>
    <w:rsid w:val="006E5E0B"/>
    <w:rsid w:val="006E7699"/>
    <w:rsid w:val="006F27AC"/>
    <w:rsid w:val="006F3C1B"/>
    <w:rsid w:val="006F3E5C"/>
    <w:rsid w:val="006F627D"/>
    <w:rsid w:val="00701CB8"/>
    <w:rsid w:val="00701E47"/>
    <w:rsid w:val="00707E57"/>
    <w:rsid w:val="00707F49"/>
    <w:rsid w:val="007103B5"/>
    <w:rsid w:val="007213BB"/>
    <w:rsid w:val="00722B24"/>
    <w:rsid w:val="00725471"/>
    <w:rsid w:val="0072758F"/>
    <w:rsid w:val="007314EF"/>
    <w:rsid w:val="00735161"/>
    <w:rsid w:val="0073763E"/>
    <w:rsid w:val="007452A0"/>
    <w:rsid w:val="00745FCA"/>
    <w:rsid w:val="00747943"/>
    <w:rsid w:val="00752BD5"/>
    <w:rsid w:val="00753090"/>
    <w:rsid w:val="0075573F"/>
    <w:rsid w:val="00756861"/>
    <w:rsid w:val="00756D99"/>
    <w:rsid w:val="00756F20"/>
    <w:rsid w:val="00760772"/>
    <w:rsid w:val="00760DDE"/>
    <w:rsid w:val="007620AE"/>
    <w:rsid w:val="007653D4"/>
    <w:rsid w:val="00772715"/>
    <w:rsid w:val="0077536C"/>
    <w:rsid w:val="00782538"/>
    <w:rsid w:val="007828DD"/>
    <w:rsid w:val="00783FAB"/>
    <w:rsid w:val="00785B13"/>
    <w:rsid w:val="00791AAC"/>
    <w:rsid w:val="00795969"/>
    <w:rsid w:val="007A6AF0"/>
    <w:rsid w:val="007B44CD"/>
    <w:rsid w:val="007B46E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070EB"/>
    <w:rsid w:val="00811E34"/>
    <w:rsid w:val="00812C37"/>
    <w:rsid w:val="008134D5"/>
    <w:rsid w:val="00813A38"/>
    <w:rsid w:val="00823B66"/>
    <w:rsid w:val="00824911"/>
    <w:rsid w:val="00824A98"/>
    <w:rsid w:val="008310AA"/>
    <w:rsid w:val="00834114"/>
    <w:rsid w:val="00844D23"/>
    <w:rsid w:val="008466D2"/>
    <w:rsid w:val="008517D8"/>
    <w:rsid w:val="00853AE6"/>
    <w:rsid w:val="00855239"/>
    <w:rsid w:val="00856BC4"/>
    <w:rsid w:val="00862641"/>
    <w:rsid w:val="00867101"/>
    <w:rsid w:val="008755D8"/>
    <w:rsid w:val="0088497A"/>
    <w:rsid w:val="008A1F97"/>
    <w:rsid w:val="008A6224"/>
    <w:rsid w:val="008B478B"/>
    <w:rsid w:val="008B61B7"/>
    <w:rsid w:val="008C48EF"/>
    <w:rsid w:val="008C497B"/>
    <w:rsid w:val="008C76FD"/>
    <w:rsid w:val="008D3F81"/>
    <w:rsid w:val="008D43E8"/>
    <w:rsid w:val="008D72EA"/>
    <w:rsid w:val="008D7625"/>
    <w:rsid w:val="008E30D6"/>
    <w:rsid w:val="008E30D9"/>
    <w:rsid w:val="008E68D3"/>
    <w:rsid w:val="008E79DF"/>
    <w:rsid w:val="008F002D"/>
    <w:rsid w:val="008F0B64"/>
    <w:rsid w:val="008F13EE"/>
    <w:rsid w:val="008F43E8"/>
    <w:rsid w:val="00902A26"/>
    <w:rsid w:val="00903257"/>
    <w:rsid w:val="009048A2"/>
    <w:rsid w:val="00905C61"/>
    <w:rsid w:val="00906084"/>
    <w:rsid w:val="00907D61"/>
    <w:rsid w:val="00910064"/>
    <w:rsid w:val="009114DC"/>
    <w:rsid w:val="00911D92"/>
    <w:rsid w:val="009121D3"/>
    <w:rsid w:val="009173F5"/>
    <w:rsid w:val="009176F5"/>
    <w:rsid w:val="00933AD6"/>
    <w:rsid w:val="00933D45"/>
    <w:rsid w:val="00936796"/>
    <w:rsid w:val="009421AA"/>
    <w:rsid w:val="00943309"/>
    <w:rsid w:val="0094388F"/>
    <w:rsid w:val="0094476A"/>
    <w:rsid w:val="0094774B"/>
    <w:rsid w:val="0096680A"/>
    <w:rsid w:val="00970AAB"/>
    <w:rsid w:val="00974504"/>
    <w:rsid w:val="009757B5"/>
    <w:rsid w:val="00975A4A"/>
    <w:rsid w:val="00976413"/>
    <w:rsid w:val="009767B4"/>
    <w:rsid w:val="00977D37"/>
    <w:rsid w:val="0098061C"/>
    <w:rsid w:val="009807AE"/>
    <w:rsid w:val="00990111"/>
    <w:rsid w:val="00990334"/>
    <w:rsid w:val="00991158"/>
    <w:rsid w:val="0099199E"/>
    <w:rsid w:val="00995C44"/>
    <w:rsid w:val="009A04A5"/>
    <w:rsid w:val="009A35A0"/>
    <w:rsid w:val="009A7143"/>
    <w:rsid w:val="009A7CFA"/>
    <w:rsid w:val="009B0C51"/>
    <w:rsid w:val="009B2183"/>
    <w:rsid w:val="009B29AC"/>
    <w:rsid w:val="009B4B7F"/>
    <w:rsid w:val="009B68E7"/>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16767"/>
    <w:rsid w:val="00A20031"/>
    <w:rsid w:val="00A202D5"/>
    <w:rsid w:val="00A23CDC"/>
    <w:rsid w:val="00A24596"/>
    <w:rsid w:val="00A24B24"/>
    <w:rsid w:val="00A25E6C"/>
    <w:rsid w:val="00A40E3D"/>
    <w:rsid w:val="00A40EA6"/>
    <w:rsid w:val="00A47C4E"/>
    <w:rsid w:val="00A52753"/>
    <w:rsid w:val="00A52F06"/>
    <w:rsid w:val="00A550E8"/>
    <w:rsid w:val="00A556D1"/>
    <w:rsid w:val="00A56E8B"/>
    <w:rsid w:val="00A71133"/>
    <w:rsid w:val="00A7209C"/>
    <w:rsid w:val="00A761C7"/>
    <w:rsid w:val="00A77D42"/>
    <w:rsid w:val="00A82E17"/>
    <w:rsid w:val="00A85075"/>
    <w:rsid w:val="00A87E1E"/>
    <w:rsid w:val="00A90245"/>
    <w:rsid w:val="00A93821"/>
    <w:rsid w:val="00A93F1F"/>
    <w:rsid w:val="00A97E01"/>
    <w:rsid w:val="00AA12F7"/>
    <w:rsid w:val="00AA2C95"/>
    <w:rsid w:val="00AA3173"/>
    <w:rsid w:val="00AA3A3E"/>
    <w:rsid w:val="00AB19B6"/>
    <w:rsid w:val="00AB1E18"/>
    <w:rsid w:val="00AB6F0B"/>
    <w:rsid w:val="00AC6ABA"/>
    <w:rsid w:val="00AD1C80"/>
    <w:rsid w:val="00AD1FB4"/>
    <w:rsid w:val="00AD2E24"/>
    <w:rsid w:val="00AD5627"/>
    <w:rsid w:val="00AD65C9"/>
    <w:rsid w:val="00AD6639"/>
    <w:rsid w:val="00AE4A25"/>
    <w:rsid w:val="00AE5CCB"/>
    <w:rsid w:val="00AE7179"/>
    <w:rsid w:val="00AF3FBD"/>
    <w:rsid w:val="00AF40D5"/>
    <w:rsid w:val="00AF58D0"/>
    <w:rsid w:val="00AF6215"/>
    <w:rsid w:val="00AF6F6E"/>
    <w:rsid w:val="00B00A18"/>
    <w:rsid w:val="00B11323"/>
    <w:rsid w:val="00B13A2F"/>
    <w:rsid w:val="00B145D2"/>
    <w:rsid w:val="00B178D3"/>
    <w:rsid w:val="00B22F73"/>
    <w:rsid w:val="00B3381B"/>
    <w:rsid w:val="00B339F8"/>
    <w:rsid w:val="00B4065C"/>
    <w:rsid w:val="00B43512"/>
    <w:rsid w:val="00B501B6"/>
    <w:rsid w:val="00B52CD8"/>
    <w:rsid w:val="00B604EB"/>
    <w:rsid w:val="00B6108C"/>
    <w:rsid w:val="00B67F7B"/>
    <w:rsid w:val="00B73786"/>
    <w:rsid w:val="00B737B4"/>
    <w:rsid w:val="00B739E2"/>
    <w:rsid w:val="00B77B27"/>
    <w:rsid w:val="00B8151D"/>
    <w:rsid w:val="00B819AA"/>
    <w:rsid w:val="00B82317"/>
    <w:rsid w:val="00BA3D62"/>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1179"/>
    <w:rsid w:val="00BE214C"/>
    <w:rsid w:val="00BE68F9"/>
    <w:rsid w:val="00BF2A9B"/>
    <w:rsid w:val="00BF3DAE"/>
    <w:rsid w:val="00C02595"/>
    <w:rsid w:val="00C12151"/>
    <w:rsid w:val="00C12197"/>
    <w:rsid w:val="00C1330A"/>
    <w:rsid w:val="00C145EB"/>
    <w:rsid w:val="00C14C4D"/>
    <w:rsid w:val="00C165A8"/>
    <w:rsid w:val="00C2416A"/>
    <w:rsid w:val="00C30E45"/>
    <w:rsid w:val="00C325A5"/>
    <w:rsid w:val="00C36A15"/>
    <w:rsid w:val="00C3701B"/>
    <w:rsid w:val="00C37043"/>
    <w:rsid w:val="00C4300F"/>
    <w:rsid w:val="00C438CB"/>
    <w:rsid w:val="00C45661"/>
    <w:rsid w:val="00C5010C"/>
    <w:rsid w:val="00C5359B"/>
    <w:rsid w:val="00C53A01"/>
    <w:rsid w:val="00C62BC1"/>
    <w:rsid w:val="00C64879"/>
    <w:rsid w:val="00C66953"/>
    <w:rsid w:val="00C71DF7"/>
    <w:rsid w:val="00C73133"/>
    <w:rsid w:val="00C731FA"/>
    <w:rsid w:val="00C7617C"/>
    <w:rsid w:val="00C81AA8"/>
    <w:rsid w:val="00C82C91"/>
    <w:rsid w:val="00C846A2"/>
    <w:rsid w:val="00C87F05"/>
    <w:rsid w:val="00C90EFC"/>
    <w:rsid w:val="00C90FC4"/>
    <w:rsid w:val="00C954B7"/>
    <w:rsid w:val="00C95779"/>
    <w:rsid w:val="00C9591A"/>
    <w:rsid w:val="00CA1AD6"/>
    <w:rsid w:val="00CA1F5B"/>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4BCE"/>
    <w:rsid w:val="00CF5A8C"/>
    <w:rsid w:val="00D010D3"/>
    <w:rsid w:val="00D05A8C"/>
    <w:rsid w:val="00D119DD"/>
    <w:rsid w:val="00D14A9D"/>
    <w:rsid w:val="00D17A67"/>
    <w:rsid w:val="00D17FC6"/>
    <w:rsid w:val="00D20A38"/>
    <w:rsid w:val="00D217D1"/>
    <w:rsid w:val="00D2517F"/>
    <w:rsid w:val="00D3758C"/>
    <w:rsid w:val="00D411CC"/>
    <w:rsid w:val="00D4457A"/>
    <w:rsid w:val="00D447E7"/>
    <w:rsid w:val="00D46134"/>
    <w:rsid w:val="00D468A9"/>
    <w:rsid w:val="00D50946"/>
    <w:rsid w:val="00D5387E"/>
    <w:rsid w:val="00D56A3B"/>
    <w:rsid w:val="00D61A73"/>
    <w:rsid w:val="00D63270"/>
    <w:rsid w:val="00D63CDD"/>
    <w:rsid w:val="00D66B65"/>
    <w:rsid w:val="00D70EAE"/>
    <w:rsid w:val="00D7198F"/>
    <w:rsid w:val="00D73415"/>
    <w:rsid w:val="00D74B9B"/>
    <w:rsid w:val="00D773CB"/>
    <w:rsid w:val="00D8103E"/>
    <w:rsid w:val="00D818BA"/>
    <w:rsid w:val="00D842A2"/>
    <w:rsid w:val="00D84946"/>
    <w:rsid w:val="00D93741"/>
    <w:rsid w:val="00D94B8F"/>
    <w:rsid w:val="00DA552F"/>
    <w:rsid w:val="00DB1C9E"/>
    <w:rsid w:val="00DB2434"/>
    <w:rsid w:val="00DB461B"/>
    <w:rsid w:val="00DB4D35"/>
    <w:rsid w:val="00DB6247"/>
    <w:rsid w:val="00DB7404"/>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2555"/>
    <w:rsid w:val="00E24E50"/>
    <w:rsid w:val="00E251EE"/>
    <w:rsid w:val="00E302D5"/>
    <w:rsid w:val="00E32929"/>
    <w:rsid w:val="00E33927"/>
    <w:rsid w:val="00E33FED"/>
    <w:rsid w:val="00E43542"/>
    <w:rsid w:val="00E52EE5"/>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B2707"/>
    <w:rsid w:val="00EC0A15"/>
    <w:rsid w:val="00EE412B"/>
    <w:rsid w:val="00EF4ACB"/>
    <w:rsid w:val="00EF7F0A"/>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3A1E"/>
    <w:rsid w:val="00F54266"/>
    <w:rsid w:val="00F552D2"/>
    <w:rsid w:val="00F5679F"/>
    <w:rsid w:val="00F57300"/>
    <w:rsid w:val="00F60D6A"/>
    <w:rsid w:val="00F60F15"/>
    <w:rsid w:val="00F62708"/>
    <w:rsid w:val="00F6460E"/>
    <w:rsid w:val="00F64CB4"/>
    <w:rsid w:val="00F65889"/>
    <w:rsid w:val="00F71466"/>
    <w:rsid w:val="00F72398"/>
    <w:rsid w:val="00F74CC9"/>
    <w:rsid w:val="00F77106"/>
    <w:rsid w:val="00F85973"/>
    <w:rsid w:val="00F85B48"/>
    <w:rsid w:val="00F861AE"/>
    <w:rsid w:val="00F871D7"/>
    <w:rsid w:val="00F87FB6"/>
    <w:rsid w:val="00F90098"/>
    <w:rsid w:val="00F9205E"/>
    <w:rsid w:val="00F92FA5"/>
    <w:rsid w:val="00F93585"/>
    <w:rsid w:val="00F935BD"/>
    <w:rsid w:val="00F9419B"/>
    <w:rsid w:val="00F96889"/>
    <w:rsid w:val="00FA6309"/>
    <w:rsid w:val="00FA6319"/>
    <w:rsid w:val="00FB14CA"/>
    <w:rsid w:val="00FB46DD"/>
    <w:rsid w:val="00FB656A"/>
    <w:rsid w:val="00FB7019"/>
    <w:rsid w:val="00FC522B"/>
    <w:rsid w:val="00FD0A30"/>
    <w:rsid w:val="00FD1A80"/>
    <w:rsid w:val="00FD303E"/>
    <w:rsid w:val="00FD350E"/>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subsection">
    <w:name w:val="subsection"/>
    <w:basedOn w:val="Normal"/>
    <w:rsid w:val="008070EB"/>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070EB"/>
    <w:pPr>
      <w:spacing w:before="100" w:beforeAutospacing="1" w:after="100" w:afterAutospacing="1" w:line="240" w:lineRule="auto"/>
    </w:pPr>
    <w:rPr>
      <w:rFonts w:eastAsia="Times New Roman" w:cs="Times New Roman"/>
      <w:szCs w:val="24"/>
      <w:lang w:eastAsia="en-AU"/>
    </w:rPr>
  </w:style>
  <w:style w:type="character" w:customStyle="1" w:styleId="UnresolvedMention1">
    <w:name w:val="Unresolved Mention1"/>
    <w:basedOn w:val="DefaultParagraphFont"/>
    <w:uiPriority w:val="99"/>
    <w:semiHidden/>
    <w:unhideWhenUsed/>
    <w:rsid w:val="003F492F"/>
    <w:rPr>
      <w:color w:val="605E5C"/>
      <w:shd w:val="clear" w:color="auto" w:fill="E1DFDD"/>
    </w:rPr>
  </w:style>
  <w:style w:type="paragraph" w:customStyle="1" w:styleId="definition">
    <w:name w:val="definition"/>
    <w:basedOn w:val="Normal"/>
    <w:rsid w:val="005621AA"/>
    <w:pPr>
      <w:spacing w:before="100" w:beforeAutospacing="1" w:after="100" w:afterAutospacing="1" w:line="240" w:lineRule="auto"/>
    </w:pPr>
    <w:rPr>
      <w:rFonts w:eastAsia="Times New Roman" w:cs="Times New Roman"/>
      <w:szCs w:val="24"/>
      <w:lang w:eastAsia="en-AU"/>
    </w:rPr>
  </w:style>
  <w:style w:type="paragraph" w:customStyle="1" w:styleId="MBPoint">
    <w:name w:val="MB Point"/>
    <w:basedOn w:val="ListParagraph"/>
    <w:link w:val="MBPointChar"/>
    <w:qFormat/>
    <w:rsid w:val="00586893"/>
    <w:pPr>
      <w:numPr>
        <w:numId w:val="4"/>
      </w:numPr>
      <w:spacing w:after="60" w:line="240" w:lineRule="auto"/>
      <w:contextualSpacing w:val="0"/>
    </w:pPr>
    <w:rPr>
      <w:rFonts w:cs="Times New Roman"/>
      <w:szCs w:val="24"/>
    </w:rPr>
  </w:style>
  <w:style w:type="paragraph" w:customStyle="1" w:styleId="MBPointSub">
    <w:name w:val="MB Point Sub"/>
    <w:basedOn w:val="ListParagraph"/>
    <w:link w:val="MBPointSubChar"/>
    <w:qFormat/>
    <w:rsid w:val="00586893"/>
    <w:pPr>
      <w:spacing w:after="60" w:line="240" w:lineRule="auto"/>
      <w:ind w:left="0"/>
      <w:contextualSpacing w:val="0"/>
    </w:pPr>
    <w:rPr>
      <w:rFonts w:cs="Times New Roman"/>
      <w:szCs w:val="24"/>
    </w:rPr>
  </w:style>
  <w:style w:type="character" w:customStyle="1" w:styleId="MBPointChar">
    <w:name w:val="MB Point Char"/>
    <w:basedOn w:val="DefaultParagraphFont"/>
    <w:link w:val="MBPoint"/>
    <w:rsid w:val="00586893"/>
    <w:rPr>
      <w:rFonts w:cs="Times New Roman"/>
      <w:szCs w:val="24"/>
    </w:rPr>
  </w:style>
  <w:style w:type="character" w:customStyle="1" w:styleId="MBPointSubChar">
    <w:name w:val="MB Point Sub Char"/>
    <w:basedOn w:val="DefaultParagraphFont"/>
    <w:link w:val="MBPointSub"/>
    <w:rsid w:val="0058689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196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84929773">
      <w:bodyDiv w:val="1"/>
      <w:marLeft w:val="0"/>
      <w:marRight w:val="0"/>
      <w:marTop w:val="0"/>
      <w:marBottom w:val="0"/>
      <w:divBdr>
        <w:top w:val="none" w:sz="0" w:space="0" w:color="auto"/>
        <w:left w:val="none" w:sz="0" w:space="0" w:color="auto"/>
        <w:bottom w:val="none" w:sz="0" w:space="0" w:color="auto"/>
        <w:right w:val="none" w:sz="0" w:space="0" w:color="auto"/>
      </w:divBdr>
    </w:div>
    <w:div w:id="503403839">
      <w:bodyDiv w:val="1"/>
      <w:marLeft w:val="0"/>
      <w:marRight w:val="0"/>
      <w:marTop w:val="0"/>
      <w:marBottom w:val="0"/>
      <w:divBdr>
        <w:top w:val="none" w:sz="0" w:space="0" w:color="auto"/>
        <w:left w:val="none" w:sz="0" w:space="0" w:color="auto"/>
        <w:bottom w:val="none" w:sz="0" w:space="0" w:color="auto"/>
        <w:right w:val="none" w:sz="0" w:space="0" w:color="auto"/>
      </w:divBdr>
    </w:div>
    <w:div w:id="525605112">
      <w:bodyDiv w:val="1"/>
      <w:marLeft w:val="0"/>
      <w:marRight w:val="0"/>
      <w:marTop w:val="0"/>
      <w:marBottom w:val="0"/>
      <w:divBdr>
        <w:top w:val="none" w:sz="0" w:space="0" w:color="auto"/>
        <w:left w:val="none" w:sz="0" w:space="0" w:color="auto"/>
        <w:bottom w:val="none" w:sz="0" w:space="0" w:color="auto"/>
        <w:right w:val="none" w:sz="0" w:space="0" w:color="auto"/>
      </w:divBdr>
    </w:div>
    <w:div w:id="590545243">
      <w:bodyDiv w:val="1"/>
      <w:marLeft w:val="0"/>
      <w:marRight w:val="0"/>
      <w:marTop w:val="0"/>
      <w:marBottom w:val="0"/>
      <w:divBdr>
        <w:top w:val="none" w:sz="0" w:space="0" w:color="auto"/>
        <w:left w:val="none" w:sz="0" w:space="0" w:color="auto"/>
        <w:bottom w:val="none" w:sz="0" w:space="0" w:color="auto"/>
        <w:right w:val="none" w:sz="0" w:space="0" w:color="auto"/>
      </w:divBdr>
    </w:div>
    <w:div w:id="655954262">
      <w:bodyDiv w:val="1"/>
      <w:marLeft w:val="0"/>
      <w:marRight w:val="0"/>
      <w:marTop w:val="0"/>
      <w:marBottom w:val="0"/>
      <w:divBdr>
        <w:top w:val="none" w:sz="0" w:space="0" w:color="auto"/>
        <w:left w:val="none" w:sz="0" w:space="0" w:color="auto"/>
        <w:bottom w:val="none" w:sz="0" w:space="0" w:color="auto"/>
        <w:right w:val="none" w:sz="0" w:space="0" w:color="auto"/>
      </w:divBdr>
    </w:div>
    <w:div w:id="725567733">
      <w:bodyDiv w:val="1"/>
      <w:marLeft w:val="0"/>
      <w:marRight w:val="0"/>
      <w:marTop w:val="0"/>
      <w:marBottom w:val="0"/>
      <w:divBdr>
        <w:top w:val="none" w:sz="0" w:space="0" w:color="auto"/>
        <w:left w:val="none" w:sz="0" w:space="0" w:color="auto"/>
        <w:bottom w:val="none" w:sz="0" w:space="0" w:color="auto"/>
        <w:right w:val="none" w:sz="0" w:space="0" w:color="auto"/>
      </w:divBdr>
    </w:div>
    <w:div w:id="781073732">
      <w:bodyDiv w:val="1"/>
      <w:marLeft w:val="0"/>
      <w:marRight w:val="0"/>
      <w:marTop w:val="0"/>
      <w:marBottom w:val="0"/>
      <w:divBdr>
        <w:top w:val="none" w:sz="0" w:space="0" w:color="auto"/>
        <w:left w:val="none" w:sz="0" w:space="0" w:color="auto"/>
        <w:bottom w:val="none" w:sz="0" w:space="0" w:color="auto"/>
        <w:right w:val="none" w:sz="0" w:space="0" w:color="auto"/>
      </w:divBdr>
    </w:div>
    <w:div w:id="889268882">
      <w:bodyDiv w:val="1"/>
      <w:marLeft w:val="0"/>
      <w:marRight w:val="0"/>
      <w:marTop w:val="0"/>
      <w:marBottom w:val="0"/>
      <w:divBdr>
        <w:top w:val="none" w:sz="0" w:space="0" w:color="auto"/>
        <w:left w:val="none" w:sz="0" w:space="0" w:color="auto"/>
        <w:bottom w:val="none" w:sz="0" w:space="0" w:color="auto"/>
        <w:right w:val="none" w:sz="0" w:space="0" w:color="auto"/>
      </w:divBdr>
    </w:div>
    <w:div w:id="1341664109">
      <w:bodyDiv w:val="1"/>
      <w:marLeft w:val="0"/>
      <w:marRight w:val="0"/>
      <w:marTop w:val="0"/>
      <w:marBottom w:val="0"/>
      <w:divBdr>
        <w:top w:val="none" w:sz="0" w:space="0" w:color="auto"/>
        <w:left w:val="none" w:sz="0" w:space="0" w:color="auto"/>
        <w:bottom w:val="none" w:sz="0" w:space="0" w:color="auto"/>
        <w:right w:val="none" w:sz="0" w:space="0" w:color="auto"/>
      </w:divBdr>
    </w:div>
    <w:div w:id="15947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D9CF7EE1-1BE0-40FB-80E7-3F817A54C00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93253F94-BA1D-413D-B5D8-8F778CA5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EF27B-E622-48A4-8CD1-95058ED9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2555</Words>
  <Characters>14567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HARRIS,Sonia</cp:lastModifiedBy>
  <cp:revision>2</cp:revision>
  <cp:lastPrinted>2019-11-17T23:12:00Z</cp:lastPrinted>
  <dcterms:created xsi:type="dcterms:W3CDTF">2021-12-07T06:02:00Z</dcterms:created>
  <dcterms:modified xsi:type="dcterms:W3CDTF">2021-12-07T06:02:00Z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0x010100266966F133664895A6EE3632470D45F500CC920727172C444F91B4BB220875CFB3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