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3A537B1F"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348D119" w14:textId="299ABBAC" w:rsidR="00D45DFF" w:rsidRPr="006868AE" w:rsidRDefault="00D45DFF" w:rsidP="000D0E22">
      <w:pPr>
        <w:spacing w:before="240" w:after="240"/>
        <w:jc w:val="center"/>
        <w:rPr>
          <w:rFonts w:ascii="Times New Roman" w:hAnsi="Times New Roman" w:cs="Times New Roman"/>
          <w:sz w:val="24"/>
          <w:szCs w:val="24"/>
          <w:u w:val="single"/>
        </w:rPr>
      </w:pPr>
      <w:r w:rsidRPr="006868AE">
        <w:rPr>
          <w:rFonts w:ascii="Times New Roman" w:hAnsi="Times New Roman" w:cs="Times New Roman"/>
          <w:sz w:val="24"/>
          <w:szCs w:val="24"/>
          <w:u w:val="single"/>
        </w:rPr>
        <w:t xml:space="preserve">Issued by the authority of </w:t>
      </w:r>
      <w:r w:rsidR="000D0E22" w:rsidRPr="006868AE">
        <w:rPr>
          <w:rFonts w:ascii="Times New Roman" w:hAnsi="Times New Roman" w:cs="Times New Roman"/>
          <w:sz w:val="24"/>
          <w:szCs w:val="24"/>
          <w:u w:val="single"/>
        </w:rPr>
        <w:t xml:space="preserve">the Minister for </w:t>
      </w:r>
      <w:r w:rsidR="006868AE" w:rsidRPr="006868AE">
        <w:rPr>
          <w:rFonts w:ascii="Times New Roman" w:hAnsi="Times New Roman" w:cs="Times New Roman"/>
          <w:sz w:val="24"/>
          <w:szCs w:val="24"/>
          <w:u w:val="single"/>
        </w:rPr>
        <w:t xml:space="preserve">Resources </w:t>
      </w:r>
    </w:p>
    <w:p w14:paraId="7B8A89BD" w14:textId="4A6D496C" w:rsidR="000D0E22" w:rsidRPr="001B755D" w:rsidRDefault="006868AE" w:rsidP="000D0E22">
      <w:pPr>
        <w:spacing w:before="240" w:after="240"/>
        <w:jc w:val="center"/>
        <w:rPr>
          <w:rFonts w:ascii="Times New Roman" w:hAnsi="Times New Roman" w:cs="Times New Roman"/>
          <w:i/>
          <w:sz w:val="24"/>
          <w:szCs w:val="24"/>
        </w:rPr>
      </w:pPr>
      <w:r w:rsidRPr="001B755D">
        <w:rPr>
          <w:rFonts w:ascii="Times New Roman" w:hAnsi="Times New Roman" w:cs="Times New Roman"/>
          <w:i/>
          <w:sz w:val="24"/>
          <w:szCs w:val="24"/>
        </w:rPr>
        <w:t>Offshore Petroleum and Greenhouse Gas Storage Act 2006</w:t>
      </w:r>
    </w:p>
    <w:p w14:paraId="0CD319D0" w14:textId="1A73CE1E" w:rsidR="000D0E22" w:rsidRPr="001B755D" w:rsidRDefault="006868AE" w:rsidP="000D0E22">
      <w:pPr>
        <w:spacing w:before="240" w:after="240"/>
        <w:jc w:val="center"/>
        <w:rPr>
          <w:rFonts w:ascii="Times New Roman" w:hAnsi="Times New Roman" w:cs="Times New Roman"/>
          <w:i/>
          <w:sz w:val="24"/>
          <w:szCs w:val="24"/>
        </w:rPr>
      </w:pPr>
      <w:r w:rsidRPr="001B755D">
        <w:rPr>
          <w:rFonts w:ascii="Times New Roman" w:hAnsi="Times New Roman" w:cs="Times New Roman"/>
          <w:i/>
          <w:sz w:val="24"/>
          <w:szCs w:val="24"/>
        </w:rPr>
        <w:t>Offshore Petroleum and Greenhouse Gas Storage Legislation Amendment (Titles</w:t>
      </w:r>
      <w:r w:rsidR="001B755D">
        <w:rPr>
          <w:rFonts w:ascii="Times New Roman" w:hAnsi="Times New Roman" w:cs="Times New Roman"/>
          <w:i/>
          <w:sz w:val="24"/>
          <w:szCs w:val="24"/>
        </w:rPr>
        <w:t> </w:t>
      </w:r>
      <w:r w:rsidRPr="001B755D">
        <w:rPr>
          <w:rFonts w:ascii="Times New Roman" w:hAnsi="Times New Roman" w:cs="Times New Roman"/>
          <w:i/>
          <w:sz w:val="24"/>
          <w:szCs w:val="24"/>
        </w:rPr>
        <w:t>Administration) Regulations 2021</w:t>
      </w:r>
    </w:p>
    <w:p w14:paraId="199207AC"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1824E345" w14:textId="554381C7" w:rsidR="00D82777" w:rsidRDefault="00D82777" w:rsidP="00D82777">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6868AE">
        <w:rPr>
          <w:rFonts w:ascii="Times New Roman" w:hAnsi="Times New Roman" w:cs="Times New Roman"/>
          <w:i/>
          <w:sz w:val="24"/>
          <w:szCs w:val="24"/>
        </w:rPr>
        <w:t>Offshore Petroleum and Greenhouse Gas Storage Act 2006</w:t>
      </w:r>
      <w:r>
        <w:rPr>
          <w:rFonts w:ascii="Times New Roman" w:hAnsi="Times New Roman" w:cs="Times New Roman"/>
          <w:sz w:val="24"/>
          <w:szCs w:val="24"/>
        </w:rPr>
        <w:t xml:space="preserve"> (the OPGGS Act) provides the legal framework for the exploration for and recovery of petroleum, and for the injection and storage of greenhouse gas substances, in offshore areas.</w:t>
      </w:r>
      <w:r w:rsidR="00246E87">
        <w:rPr>
          <w:rFonts w:ascii="Times New Roman" w:hAnsi="Times New Roman" w:cs="Times New Roman"/>
          <w:sz w:val="24"/>
          <w:szCs w:val="24"/>
        </w:rPr>
        <w:t xml:space="preserve"> This includes the imposition of fees in relation to petroleum and </w:t>
      </w:r>
      <w:r w:rsidR="00134A24">
        <w:rPr>
          <w:rFonts w:ascii="Times New Roman" w:hAnsi="Times New Roman" w:cs="Times New Roman"/>
          <w:sz w:val="24"/>
          <w:szCs w:val="24"/>
        </w:rPr>
        <w:t>greenhouse gas</w:t>
      </w:r>
      <w:r w:rsidR="00246E87">
        <w:rPr>
          <w:rFonts w:ascii="Times New Roman" w:hAnsi="Times New Roman" w:cs="Times New Roman"/>
          <w:sz w:val="24"/>
          <w:szCs w:val="24"/>
        </w:rPr>
        <w:t xml:space="preserve"> titles. </w:t>
      </w:r>
    </w:p>
    <w:p w14:paraId="5A2F84D6" w14:textId="44551E86" w:rsidR="00D82777" w:rsidRDefault="00D82777" w:rsidP="00D82777">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2F37CB">
        <w:rPr>
          <w:rFonts w:ascii="Times New Roman" w:hAnsi="Times New Roman" w:cs="Times New Roman"/>
          <w:i/>
          <w:sz w:val="24"/>
          <w:szCs w:val="24"/>
        </w:rPr>
        <w:t>Offshore Petroleum and Greenhouse Gas Storage (Environment) Regulations 2009</w:t>
      </w:r>
      <w:r w:rsidR="002407FC">
        <w:rPr>
          <w:rFonts w:ascii="Times New Roman" w:hAnsi="Times New Roman" w:cs="Times New Roman"/>
          <w:sz w:val="24"/>
          <w:szCs w:val="24"/>
        </w:rPr>
        <w:t xml:space="preserve"> (the </w:t>
      </w:r>
      <w:r>
        <w:rPr>
          <w:rFonts w:ascii="Times New Roman" w:hAnsi="Times New Roman" w:cs="Times New Roman"/>
          <w:sz w:val="24"/>
          <w:szCs w:val="24"/>
        </w:rPr>
        <w:t xml:space="preserve">Environment Regulations) provide for the regulation of environmental management of petroleum and </w:t>
      </w:r>
      <w:r w:rsidR="00134A24">
        <w:rPr>
          <w:rFonts w:ascii="Times New Roman" w:hAnsi="Times New Roman" w:cs="Times New Roman"/>
          <w:sz w:val="24"/>
          <w:szCs w:val="24"/>
        </w:rPr>
        <w:t xml:space="preserve">greenhouse gas </w:t>
      </w:r>
      <w:r>
        <w:rPr>
          <w:rFonts w:ascii="Times New Roman" w:hAnsi="Times New Roman" w:cs="Times New Roman"/>
          <w:sz w:val="24"/>
          <w:szCs w:val="24"/>
        </w:rPr>
        <w:t>activities in offshore areas. The</w:t>
      </w:r>
      <w:r w:rsidR="00651163">
        <w:rPr>
          <w:rFonts w:ascii="Times New Roman" w:hAnsi="Times New Roman" w:cs="Times New Roman"/>
          <w:sz w:val="24"/>
          <w:szCs w:val="24"/>
        </w:rPr>
        <w:t xml:space="preserve"> object of the</w:t>
      </w:r>
      <w:r>
        <w:rPr>
          <w:rFonts w:ascii="Times New Roman" w:hAnsi="Times New Roman" w:cs="Times New Roman"/>
          <w:sz w:val="24"/>
          <w:szCs w:val="24"/>
        </w:rPr>
        <w:t>se Regulations</w:t>
      </w:r>
      <w:r w:rsidR="00651163">
        <w:rPr>
          <w:rFonts w:ascii="Times New Roman" w:hAnsi="Times New Roman" w:cs="Times New Roman"/>
          <w:sz w:val="24"/>
          <w:szCs w:val="24"/>
        </w:rPr>
        <w:t xml:space="preserve"> is to</w:t>
      </w:r>
      <w:r>
        <w:rPr>
          <w:rFonts w:ascii="Times New Roman" w:hAnsi="Times New Roman" w:cs="Times New Roman"/>
          <w:sz w:val="24"/>
          <w:szCs w:val="24"/>
        </w:rPr>
        <w:t xml:space="preserve"> ensure that an offshore petroleum or </w:t>
      </w:r>
      <w:r w:rsidR="00134A24">
        <w:rPr>
          <w:rFonts w:ascii="Times New Roman" w:hAnsi="Times New Roman" w:cs="Times New Roman"/>
          <w:sz w:val="24"/>
          <w:szCs w:val="24"/>
        </w:rPr>
        <w:t xml:space="preserve">greenhouse gas </w:t>
      </w:r>
      <w:r>
        <w:rPr>
          <w:rFonts w:ascii="Times New Roman" w:hAnsi="Times New Roman" w:cs="Times New Roman"/>
          <w:sz w:val="24"/>
          <w:szCs w:val="24"/>
        </w:rPr>
        <w:t xml:space="preserve">activity is carried out in a manner that is consistent with the principles of ecologically sustainable development, and in a manner by which the environmental impacts </w:t>
      </w:r>
      <w:r w:rsidR="00A74E12">
        <w:rPr>
          <w:rFonts w:ascii="Times New Roman" w:hAnsi="Times New Roman" w:cs="Times New Roman"/>
          <w:sz w:val="24"/>
          <w:szCs w:val="24"/>
        </w:rPr>
        <w:t xml:space="preserve">and risks </w:t>
      </w:r>
      <w:r>
        <w:rPr>
          <w:rFonts w:ascii="Times New Roman" w:hAnsi="Times New Roman" w:cs="Times New Roman"/>
          <w:sz w:val="24"/>
          <w:szCs w:val="24"/>
        </w:rPr>
        <w:t xml:space="preserve">of the activity will be reduced to as low as reasonably practicable and an acceptable level. </w:t>
      </w:r>
    </w:p>
    <w:p w14:paraId="65B97F10" w14:textId="67B71E7A" w:rsidR="005D5612" w:rsidRDefault="00651163" w:rsidP="00D82777">
      <w:pPr>
        <w:spacing w:before="120" w:after="120"/>
        <w:rPr>
          <w:rFonts w:ascii="Times New Roman" w:hAnsi="Times New Roman" w:cs="Times New Roman"/>
          <w:sz w:val="24"/>
          <w:szCs w:val="24"/>
        </w:rPr>
      </w:pPr>
      <w:r>
        <w:rPr>
          <w:rFonts w:ascii="Times New Roman" w:hAnsi="Times New Roman" w:cs="Times New Roman"/>
          <w:sz w:val="24"/>
          <w:szCs w:val="24"/>
        </w:rPr>
        <w:t>Part 5 of t</w:t>
      </w:r>
      <w:r w:rsidR="00D82777">
        <w:rPr>
          <w:rFonts w:ascii="Times New Roman" w:hAnsi="Times New Roman" w:cs="Times New Roman"/>
          <w:sz w:val="24"/>
          <w:szCs w:val="24"/>
        </w:rPr>
        <w:t xml:space="preserve">he </w:t>
      </w:r>
      <w:r w:rsidR="00D82777" w:rsidRPr="002F37CB">
        <w:rPr>
          <w:rFonts w:ascii="Times New Roman" w:hAnsi="Times New Roman" w:cs="Times New Roman"/>
          <w:i/>
          <w:sz w:val="24"/>
          <w:szCs w:val="24"/>
        </w:rPr>
        <w:t>Offshore Petroleum and Greenhouse Gas Storage (</w:t>
      </w:r>
      <w:r w:rsidR="00D82777">
        <w:rPr>
          <w:rFonts w:ascii="Times New Roman" w:hAnsi="Times New Roman" w:cs="Times New Roman"/>
          <w:i/>
          <w:sz w:val="24"/>
          <w:szCs w:val="24"/>
        </w:rPr>
        <w:t>Resource Management and Administration</w:t>
      </w:r>
      <w:r w:rsidR="00D82777" w:rsidRPr="002F37CB">
        <w:rPr>
          <w:rFonts w:ascii="Times New Roman" w:hAnsi="Times New Roman" w:cs="Times New Roman"/>
          <w:i/>
          <w:sz w:val="24"/>
          <w:szCs w:val="24"/>
        </w:rPr>
        <w:t>) Regulations 20</w:t>
      </w:r>
      <w:r w:rsidR="00D82777">
        <w:rPr>
          <w:rFonts w:ascii="Times New Roman" w:hAnsi="Times New Roman" w:cs="Times New Roman"/>
          <w:i/>
          <w:sz w:val="24"/>
          <w:szCs w:val="24"/>
        </w:rPr>
        <w:t>11</w:t>
      </w:r>
      <w:r w:rsidR="00D82777">
        <w:rPr>
          <w:rFonts w:ascii="Times New Roman" w:hAnsi="Times New Roman" w:cs="Times New Roman"/>
          <w:sz w:val="24"/>
          <w:szCs w:val="24"/>
        </w:rPr>
        <w:t xml:space="preserve"> (the RMA Regulations) provide</w:t>
      </w:r>
      <w:r>
        <w:rPr>
          <w:rFonts w:ascii="Times New Roman" w:hAnsi="Times New Roman" w:cs="Times New Roman"/>
          <w:sz w:val="24"/>
          <w:szCs w:val="24"/>
        </w:rPr>
        <w:t>s</w:t>
      </w:r>
      <w:r w:rsidR="00D82777">
        <w:rPr>
          <w:rFonts w:ascii="Times New Roman" w:hAnsi="Times New Roman" w:cs="Times New Roman"/>
          <w:sz w:val="24"/>
          <w:szCs w:val="24"/>
        </w:rPr>
        <w:t xml:space="preserve"> for the regulation of the maintenance of the integrity of offshore petroleum and </w:t>
      </w:r>
      <w:r w:rsidR="00134A24">
        <w:rPr>
          <w:rFonts w:ascii="Times New Roman" w:hAnsi="Times New Roman" w:cs="Times New Roman"/>
          <w:sz w:val="24"/>
          <w:szCs w:val="24"/>
        </w:rPr>
        <w:t xml:space="preserve">greenhouse gas </w:t>
      </w:r>
      <w:r w:rsidR="00D82777">
        <w:rPr>
          <w:rFonts w:ascii="Times New Roman" w:hAnsi="Times New Roman" w:cs="Times New Roman"/>
          <w:sz w:val="24"/>
          <w:szCs w:val="24"/>
        </w:rPr>
        <w:t>wells. The</w:t>
      </w:r>
      <w:r>
        <w:rPr>
          <w:rFonts w:ascii="Times New Roman" w:hAnsi="Times New Roman" w:cs="Times New Roman"/>
          <w:sz w:val="24"/>
          <w:szCs w:val="24"/>
        </w:rPr>
        <w:t xml:space="preserve"> object of Part 5</w:t>
      </w:r>
      <w:r w:rsidR="00D82777">
        <w:rPr>
          <w:rFonts w:ascii="Times New Roman" w:hAnsi="Times New Roman" w:cs="Times New Roman"/>
          <w:sz w:val="24"/>
          <w:szCs w:val="24"/>
        </w:rPr>
        <w:t xml:space="preserve"> </w:t>
      </w:r>
      <w:r>
        <w:rPr>
          <w:rFonts w:ascii="Times New Roman" w:hAnsi="Times New Roman" w:cs="Times New Roman"/>
          <w:sz w:val="24"/>
          <w:szCs w:val="24"/>
        </w:rPr>
        <w:t xml:space="preserve">is to </w:t>
      </w:r>
      <w:r w:rsidR="00D82777">
        <w:rPr>
          <w:rFonts w:ascii="Times New Roman" w:hAnsi="Times New Roman" w:cs="Times New Roman"/>
          <w:sz w:val="24"/>
          <w:szCs w:val="24"/>
        </w:rPr>
        <w:t>ensure that risks to well integrity are reduced to as low as reasonably practicable.</w:t>
      </w:r>
      <w:r w:rsidR="00246E87">
        <w:rPr>
          <w:rFonts w:ascii="Times New Roman" w:hAnsi="Times New Roman" w:cs="Times New Roman"/>
          <w:sz w:val="24"/>
          <w:szCs w:val="24"/>
        </w:rPr>
        <w:t xml:space="preserve"> </w:t>
      </w:r>
      <w:r w:rsidR="005D5612">
        <w:rPr>
          <w:rFonts w:ascii="Times New Roman" w:hAnsi="Times New Roman" w:cs="Times New Roman"/>
          <w:sz w:val="24"/>
          <w:szCs w:val="24"/>
        </w:rPr>
        <w:t xml:space="preserve">Schedule 6 </w:t>
      </w:r>
      <w:r w:rsidR="00746EB0">
        <w:rPr>
          <w:rFonts w:ascii="Times New Roman" w:hAnsi="Times New Roman" w:cs="Times New Roman"/>
          <w:sz w:val="24"/>
          <w:szCs w:val="24"/>
        </w:rPr>
        <w:t xml:space="preserve">to </w:t>
      </w:r>
      <w:r w:rsidR="005D5612">
        <w:rPr>
          <w:rFonts w:ascii="Times New Roman" w:hAnsi="Times New Roman" w:cs="Times New Roman"/>
          <w:sz w:val="24"/>
          <w:szCs w:val="24"/>
        </w:rPr>
        <w:t>the RMA Regulations prescribe</w:t>
      </w:r>
      <w:r>
        <w:rPr>
          <w:rFonts w:ascii="Times New Roman" w:hAnsi="Times New Roman" w:cs="Times New Roman"/>
          <w:sz w:val="24"/>
          <w:szCs w:val="24"/>
        </w:rPr>
        <w:t>s</w:t>
      </w:r>
      <w:r w:rsidR="005D5612">
        <w:rPr>
          <w:rFonts w:ascii="Times New Roman" w:hAnsi="Times New Roman" w:cs="Times New Roman"/>
          <w:sz w:val="24"/>
          <w:szCs w:val="24"/>
        </w:rPr>
        <w:t xml:space="preserve"> the amounts of fees payable under the OPGGS Act. </w:t>
      </w:r>
    </w:p>
    <w:p w14:paraId="75CCE076" w14:textId="77191665" w:rsidR="00D82777" w:rsidRDefault="00D82777" w:rsidP="00685A33">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Pr="002F37CB">
        <w:rPr>
          <w:rFonts w:ascii="Times New Roman" w:hAnsi="Times New Roman" w:cs="Times New Roman"/>
          <w:i/>
          <w:sz w:val="24"/>
          <w:szCs w:val="24"/>
        </w:rPr>
        <w:t>Offshore Petroleum and Greenhouse Gas Storage (</w:t>
      </w:r>
      <w:r>
        <w:rPr>
          <w:rFonts w:ascii="Times New Roman" w:hAnsi="Times New Roman" w:cs="Times New Roman"/>
          <w:i/>
          <w:sz w:val="24"/>
          <w:szCs w:val="24"/>
        </w:rPr>
        <w:t>Safety</w:t>
      </w:r>
      <w:r w:rsidRPr="002F37CB">
        <w:rPr>
          <w:rFonts w:ascii="Times New Roman" w:hAnsi="Times New Roman" w:cs="Times New Roman"/>
          <w:i/>
          <w:sz w:val="24"/>
          <w:szCs w:val="24"/>
        </w:rPr>
        <w:t>) Regulations 2009</w:t>
      </w:r>
      <w:r>
        <w:rPr>
          <w:rFonts w:ascii="Times New Roman" w:hAnsi="Times New Roman" w:cs="Times New Roman"/>
          <w:sz w:val="24"/>
          <w:szCs w:val="24"/>
        </w:rPr>
        <w:t xml:space="preserve"> (the Safety Regulations), along with Schedule 3 </w:t>
      </w:r>
      <w:r w:rsidR="00746EB0">
        <w:rPr>
          <w:rFonts w:ascii="Times New Roman" w:hAnsi="Times New Roman" w:cs="Times New Roman"/>
          <w:sz w:val="24"/>
          <w:szCs w:val="24"/>
        </w:rPr>
        <w:t xml:space="preserve">to </w:t>
      </w:r>
      <w:r>
        <w:rPr>
          <w:rFonts w:ascii="Times New Roman" w:hAnsi="Times New Roman" w:cs="Times New Roman"/>
          <w:sz w:val="24"/>
          <w:szCs w:val="24"/>
        </w:rPr>
        <w:t xml:space="preserve">the OPGGS Act, regulate occupational health and safety (OHS) at or near facilities located in Commonwealth waters that are being used for offshore petroleum or </w:t>
      </w:r>
      <w:r w:rsidR="00134A24">
        <w:rPr>
          <w:rFonts w:ascii="Times New Roman" w:hAnsi="Times New Roman" w:cs="Times New Roman"/>
          <w:sz w:val="24"/>
          <w:szCs w:val="24"/>
        </w:rPr>
        <w:t xml:space="preserve">greenhouse gas </w:t>
      </w:r>
      <w:r>
        <w:rPr>
          <w:rFonts w:ascii="Times New Roman" w:hAnsi="Times New Roman" w:cs="Times New Roman"/>
          <w:sz w:val="24"/>
          <w:szCs w:val="24"/>
        </w:rPr>
        <w:t>storage operations. The</w:t>
      </w:r>
      <w:r w:rsidR="00651163">
        <w:rPr>
          <w:rFonts w:ascii="Times New Roman" w:hAnsi="Times New Roman" w:cs="Times New Roman"/>
          <w:sz w:val="24"/>
          <w:szCs w:val="24"/>
        </w:rPr>
        <w:t xml:space="preserve"> object of the</w:t>
      </w:r>
      <w:r>
        <w:rPr>
          <w:rFonts w:ascii="Times New Roman" w:hAnsi="Times New Roman" w:cs="Times New Roman"/>
          <w:sz w:val="24"/>
          <w:szCs w:val="24"/>
        </w:rPr>
        <w:t>se Regulations</w:t>
      </w:r>
      <w:r w:rsidR="00651163">
        <w:rPr>
          <w:rFonts w:ascii="Times New Roman" w:hAnsi="Times New Roman" w:cs="Times New Roman"/>
          <w:sz w:val="24"/>
          <w:szCs w:val="24"/>
        </w:rPr>
        <w:t xml:space="preserve"> i</w:t>
      </w:r>
      <w:r w:rsidR="00336F15">
        <w:rPr>
          <w:rFonts w:ascii="Times New Roman" w:hAnsi="Times New Roman" w:cs="Times New Roman"/>
          <w:sz w:val="24"/>
          <w:szCs w:val="24"/>
        </w:rPr>
        <w:t>nclude</w:t>
      </w:r>
      <w:r w:rsidR="00651163">
        <w:rPr>
          <w:rFonts w:ascii="Times New Roman" w:hAnsi="Times New Roman" w:cs="Times New Roman"/>
          <w:sz w:val="24"/>
          <w:szCs w:val="24"/>
        </w:rPr>
        <w:t>s to</w:t>
      </w:r>
      <w:r>
        <w:rPr>
          <w:rFonts w:ascii="Times New Roman" w:hAnsi="Times New Roman" w:cs="Times New Roman"/>
          <w:sz w:val="24"/>
          <w:szCs w:val="24"/>
        </w:rPr>
        <w:t xml:space="preserve"> ensure that</w:t>
      </w:r>
      <w:r w:rsidR="00336F15">
        <w:rPr>
          <w:rFonts w:ascii="Times New Roman" w:hAnsi="Times New Roman" w:cs="Times New Roman"/>
          <w:sz w:val="24"/>
          <w:szCs w:val="24"/>
        </w:rPr>
        <w:t xml:space="preserve"> </w:t>
      </w:r>
      <w:r>
        <w:rPr>
          <w:rFonts w:ascii="Times New Roman" w:hAnsi="Times New Roman" w:cs="Times New Roman"/>
          <w:sz w:val="24"/>
          <w:szCs w:val="24"/>
        </w:rPr>
        <w:t>the risks to the health and safety of persons at facilities are reduced to a level that is as low as reasonably practicable.</w:t>
      </w:r>
    </w:p>
    <w:p w14:paraId="4A31DFBB" w14:textId="681A5937" w:rsidR="009D78A0" w:rsidRDefault="009D78A0" w:rsidP="009D78A0">
      <w:pPr>
        <w:spacing w:before="120" w:after="120"/>
        <w:rPr>
          <w:rFonts w:ascii="Times New Roman" w:hAnsi="Times New Roman" w:cs="Times New Roman"/>
          <w:sz w:val="24"/>
          <w:szCs w:val="24"/>
        </w:rPr>
      </w:pPr>
      <w:r>
        <w:rPr>
          <w:rFonts w:ascii="Times New Roman" w:hAnsi="Times New Roman" w:cs="Times New Roman"/>
          <w:sz w:val="24"/>
          <w:szCs w:val="24"/>
        </w:rPr>
        <w:t xml:space="preserve">The purpose of the </w:t>
      </w:r>
      <w:r w:rsidRPr="009D78A0">
        <w:rPr>
          <w:rFonts w:ascii="Times New Roman" w:hAnsi="Times New Roman" w:cs="Times New Roman"/>
          <w:i/>
          <w:sz w:val="24"/>
          <w:szCs w:val="24"/>
        </w:rPr>
        <w:t>Offshore Petroleum and Greenhouse Gas Storage Legislation Amendment (Titles Administration) Regulations 2021</w:t>
      </w:r>
      <w:r>
        <w:rPr>
          <w:rFonts w:ascii="Times New Roman" w:hAnsi="Times New Roman" w:cs="Times New Roman"/>
          <w:sz w:val="24"/>
          <w:szCs w:val="24"/>
        </w:rPr>
        <w:t xml:space="preserve"> (the </w:t>
      </w:r>
      <w:r w:rsidR="0048391A">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300B25">
        <w:rPr>
          <w:rFonts w:ascii="Times New Roman" w:hAnsi="Times New Roman" w:cs="Times New Roman"/>
          <w:sz w:val="24"/>
          <w:szCs w:val="24"/>
        </w:rPr>
        <w:t xml:space="preserve">is to amend regulations under the OPGGS Act to give </w:t>
      </w:r>
      <w:r w:rsidR="00651163">
        <w:rPr>
          <w:rFonts w:ascii="Times New Roman" w:hAnsi="Times New Roman" w:cs="Times New Roman"/>
          <w:sz w:val="24"/>
          <w:szCs w:val="24"/>
        </w:rPr>
        <w:t xml:space="preserve">full </w:t>
      </w:r>
      <w:r w:rsidR="00300B25">
        <w:rPr>
          <w:rFonts w:ascii="Times New Roman" w:hAnsi="Times New Roman" w:cs="Times New Roman"/>
          <w:sz w:val="24"/>
          <w:szCs w:val="24"/>
        </w:rPr>
        <w:t xml:space="preserve">effect to two measures provided by the </w:t>
      </w:r>
      <w:r w:rsidR="00300B25" w:rsidRPr="00C278FF">
        <w:rPr>
          <w:rFonts w:ascii="Times New Roman" w:hAnsi="Times New Roman" w:cs="Times New Roman"/>
          <w:i/>
          <w:sz w:val="24"/>
          <w:szCs w:val="24"/>
        </w:rPr>
        <w:t xml:space="preserve">Offshore Petroleum and Greenhouse Gas Storage Amendment (Titles Administration and Other Measures) </w:t>
      </w:r>
      <w:r w:rsidR="00C278FF" w:rsidRPr="00C278FF">
        <w:rPr>
          <w:rFonts w:ascii="Times New Roman" w:hAnsi="Times New Roman" w:cs="Times New Roman"/>
          <w:i/>
          <w:sz w:val="24"/>
          <w:szCs w:val="24"/>
        </w:rPr>
        <w:t>Act</w:t>
      </w:r>
      <w:r w:rsidR="00300B25" w:rsidRPr="00C278FF">
        <w:rPr>
          <w:rFonts w:ascii="Times New Roman" w:hAnsi="Times New Roman" w:cs="Times New Roman"/>
          <w:i/>
          <w:sz w:val="24"/>
          <w:szCs w:val="24"/>
        </w:rPr>
        <w:t xml:space="preserve"> 2021</w:t>
      </w:r>
      <w:r w:rsidR="00300B25">
        <w:rPr>
          <w:rFonts w:ascii="Times New Roman" w:hAnsi="Times New Roman" w:cs="Times New Roman"/>
          <w:sz w:val="24"/>
          <w:szCs w:val="24"/>
        </w:rPr>
        <w:t xml:space="preserve"> (the </w:t>
      </w:r>
      <w:r w:rsidR="00B331E1">
        <w:rPr>
          <w:rFonts w:ascii="Times New Roman" w:hAnsi="Times New Roman" w:cs="Times New Roman"/>
          <w:sz w:val="24"/>
          <w:szCs w:val="24"/>
        </w:rPr>
        <w:t>Titles Administration</w:t>
      </w:r>
      <w:r w:rsidR="00300B25">
        <w:rPr>
          <w:rFonts w:ascii="Times New Roman" w:hAnsi="Times New Roman" w:cs="Times New Roman"/>
          <w:sz w:val="24"/>
          <w:szCs w:val="24"/>
        </w:rPr>
        <w:t xml:space="preserve"> </w:t>
      </w:r>
      <w:r w:rsidR="00C278FF">
        <w:rPr>
          <w:rFonts w:ascii="Times New Roman" w:hAnsi="Times New Roman" w:cs="Times New Roman"/>
          <w:sz w:val="24"/>
          <w:szCs w:val="24"/>
        </w:rPr>
        <w:t>Act</w:t>
      </w:r>
      <w:r w:rsidR="00300B25">
        <w:rPr>
          <w:rFonts w:ascii="Times New Roman" w:hAnsi="Times New Roman" w:cs="Times New Roman"/>
          <w:sz w:val="24"/>
          <w:szCs w:val="24"/>
        </w:rPr>
        <w:t>)</w:t>
      </w:r>
      <w:r w:rsidR="000915EB">
        <w:rPr>
          <w:rFonts w:ascii="Times New Roman" w:hAnsi="Times New Roman" w:cs="Times New Roman"/>
          <w:sz w:val="24"/>
          <w:szCs w:val="24"/>
        </w:rPr>
        <w:t>. These measures</w:t>
      </w:r>
      <w:r w:rsidR="00455197">
        <w:rPr>
          <w:rFonts w:ascii="Times New Roman" w:hAnsi="Times New Roman" w:cs="Times New Roman"/>
          <w:sz w:val="24"/>
          <w:szCs w:val="24"/>
        </w:rPr>
        <w:t xml:space="preserve"> are</w:t>
      </w:r>
      <w:r w:rsidR="00AC686A">
        <w:rPr>
          <w:rFonts w:ascii="Times New Roman" w:hAnsi="Times New Roman" w:cs="Times New Roman"/>
          <w:sz w:val="24"/>
          <w:szCs w:val="24"/>
        </w:rPr>
        <w:t xml:space="preserve"> </w:t>
      </w:r>
      <w:r w:rsidR="00300B25">
        <w:rPr>
          <w:rFonts w:ascii="Times New Roman" w:hAnsi="Times New Roman" w:cs="Times New Roman"/>
          <w:sz w:val="24"/>
          <w:szCs w:val="24"/>
        </w:rPr>
        <w:t>changes</w:t>
      </w:r>
      <w:r w:rsidR="00C278FF">
        <w:rPr>
          <w:rFonts w:ascii="Times New Roman" w:hAnsi="Times New Roman" w:cs="Times New Roman"/>
          <w:sz w:val="24"/>
          <w:szCs w:val="24"/>
        </w:rPr>
        <w:t xml:space="preserve"> </w:t>
      </w:r>
      <w:r w:rsidR="00300B25">
        <w:rPr>
          <w:rFonts w:ascii="Times New Roman" w:hAnsi="Times New Roman" w:cs="Times New Roman"/>
          <w:sz w:val="24"/>
          <w:szCs w:val="24"/>
        </w:rPr>
        <w:t>in control of titleholders and trailing liability</w:t>
      </w:r>
      <w:r w:rsidR="00C278FF">
        <w:rPr>
          <w:rFonts w:ascii="Times New Roman" w:hAnsi="Times New Roman" w:cs="Times New Roman"/>
          <w:sz w:val="24"/>
          <w:szCs w:val="24"/>
        </w:rPr>
        <w:t>.</w:t>
      </w:r>
    </w:p>
    <w:p w14:paraId="68ECC797" w14:textId="187D05FF" w:rsidR="0030121A" w:rsidRDefault="00F77713" w:rsidP="002A0948">
      <w:pPr>
        <w:spacing w:before="120" w:after="120"/>
        <w:rPr>
          <w:rFonts w:ascii="Times New Roman" w:hAnsi="Times New Roman" w:cs="Times New Roman"/>
          <w:sz w:val="24"/>
          <w:szCs w:val="24"/>
        </w:rPr>
      </w:pPr>
      <w:r>
        <w:rPr>
          <w:rFonts w:ascii="Times New Roman" w:hAnsi="Times New Roman" w:cs="Times New Roman"/>
          <w:sz w:val="24"/>
          <w:szCs w:val="24"/>
        </w:rPr>
        <w:t>T</w:t>
      </w:r>
      <w:r w:rsidR="000915EB">
        <w:rPr>
          <w:rFonts w:ascii="Times New Roman" w:hAnsi="Times New Roman" w:cs="Times New Roman"/>
          <w:sz w:val="24"/>
          <w:szCs w:val="24"/>
        </w:rPr>
        <w:t xml:space="preserve">he changes in control of titleholders measure </w:t>
      </w:r>
      <w:r>
        <w:rPr>
          <w:rFonts w:ascii="Times New Roman" w:hAnsi="Times New Roman" w:cs="Times New Roman"/>
          <w:sz w:val="24"/>
          <w:szCs w:val="24"/>
        </w:rPr>
        <w:t xml:space="preserve">is implemented by Schedule 1 </w:t>
      </w:r>
      <w:r w:rsidR="00746EB0">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48391A">
        <w:rPr>
          <w:rFonts w:ascii="Times New Roman" w:hAnsi="Times New Roman" w:cs="Times New Roman"/>
          <w:sz w:val="24"/>
          <w:szCs w:val="24"/>
        </w:rPr>
        <w:t>Amendment</w:t>
      </w:r>
      <w:r w:rsidR="00F638E7">
        <w:rPr>
          <w:rFonts w:ascii="Times New Roman" w:hAnsi="Times New Roman" w:cs="Times New Roman"/>
          <w:sz w:val="24"/>
          <w:szCs w:val="24"/>
        </w:rPr>
        <w:t xml:space="preserve"> Regulations, which amends </w:t>
      </w:r>
      <w:r w:rsidR="00CE1CB9">
        <w:rPr>
          <w:rFonts w:ascii="Times New Roman" w:hAnsi="Times New Roman" w:cs="Times New Roman"/>
          <w:sz w:val="24"/>
          <w:szCs w:val="24"/>
        </w:rPr>
        <w:t>the RMA Regulation</w:t>
      </w:r>
      <w:r w:rsidR="009B507E">
        <w:rPr>
          <w:rFonts w:ascii="Times New Roman" w:hAnsi="Times New Roman" w:cs="Times New Roman"/>
          <w:sz w:val="24"/>
          <w:szCs w:val="24"/>
        </w:rPr>
        <w:t>s</w:t>
      </w:r>
      <w:r w:rsidR="00CE1CB9">
        <w:rPr>
          <w:rFonts w:ascii="Times New Roman" w:hAnsi="Times New Roman" w:cs="Times New Roman"/>
          <w:sz w:val="24"/>
          <w:szCs w:val="24"/>
        </w:rPr>
        <w:t xml:space="preserve"> </w:t>
      </w:r>
      <w:r w:rsidR="000915EB">
        <w:rPr>
          <w:rFonts w:ascii="Times New Roman" w:hAnsi="Times New Roman" w:cs="Times New Roman"/>
          <w:sz w:val="24"/>
          <w:szCs w:val="24"/>
        </w:rPr>
        <w:t>to prescribe the</w:t>
      </w:r>
      <w:r w:rsidR="002A0948">
        <w:rPr>
          <w:rFonts w:ascii="Times New Roman" w:hAnsi="Times New Roman" w:cs="Times New Roman"/>
          <w:sz w:val="24"/>
          <w:szCs w:val="24"/>
        </w:rPr>
        <w:t xml:space="preserve"> fee pay</w:t>
      </w:r>
      <w:r w:rsidR="00CE1CB9">
        <w:rPr>
          <w:rFonts w:ascii="Times New Roman" w:hAnsi="Times New Roman" w:cs="Times New Roman"/>
          <w:sz w:val="24"/>
          <w:szCs w:val="24"/>
        </w:rPr>
        <w:t>able</w:t>
      </w:r>
      <w:r w:rsidR="002A0948">
        <w:rPr>
          <w:rFonts w:ascii="Times New Roman" w:hAnsi="Times New Roman" w:cs="Times New Roman"/>
          <w:sz w:val="24"/>
          <w:szCs w:val="24"/>
        </w:rPr>
        <w:t xml:space="preserve"> under new section 566M</w:t>
      </w:r>
      <w:r w:rsidR="000915EB">
        <w:rPr>
          <w:rFonts w:ascii="Times New Roman" w:hAnsi="Times New Roman" w:cs="Times New Roman"/>
          <w:sz w:val="24"/>
          <w:szCs w:val="24"/>
        </w:rPr>
        <w:t xml:space="preserve"> of the OPGGS Act</w:t>
      </w:r>
      <w:r w:rsidR="002A0948">
        <w:rPr>
          <w:rFonts w:ascii="Times New Roman" w:hAnsi="Times New Roman" w:cs="Times New Roman"/>
          <w:sz w:val="24"/>
          <w:szCs w:val="24"/>
        </w:rPr>
        <w:t xml:space="preserve"> </w:t>
      </w:r>
      <w:r w:rsidR="00E47763">
        <w:rPr>
          <w:rFonts w:ascii="Times New Roman" w:hAnsi="Times New Roman" w:cs="Times New Roman"/>
          <w:sz w:val="24"/>
          <w:szCs w:val="24"/>
        </w:rPr>
        <w:t xml:space="preserve">for </w:t>
      </w:r>
      <w:r w:rsidR="002A0948">
        <w:rPr>
          <w:rFonts w:ascii="Times New Roman" w:hAnsi="Times New Roman" w:cs="Times New Roman"/>
          <w:sz w:val="24"/>
          <w:szCs w:val="24"/>
        </w:rPr>
        <w:t xml:space="preserve">an application for </w:t>
      </w:r>
      <w:r w:rsidR="002A0948" w:rsidRPr="002A0948">
        <w:rPr>
          <w:rFonts w:ascii="Times New Roman" w:hAnsi="Times New Roman" w:cs="Times New Roman"/>
          <w:sz w:val="24"/>
          <w:szCs w:val="24"/>
        </w:rPr>
        <w:t xml:space="preserve">the approval of a change in </w:t>
      </w:r>
      <w:r w:rsidR="002A0948" w:rsidRPr="002A0948">
        <w:rPr>
          <w:rFonts w:ascii="Times New Roman" w:hAnsi="Times New Roman" w:cs="Times New Roman"/>
          <w:sz w:val="24"/>
          <w:szCs w:val="24"/>
        </w:rPr>
        <w:lastRenderedPageBreak/>
        <w:t>control of a titleholder</w:t>
      </w:r>
      <w:r w:rsidR="008B78DE">
        <w:rPr>
          <w:rFonts w:ascii="Times New Roman" w:hAnsi="Times New Roman" w:cs="Times New Roman"/>
          <w:sz w:val="24"/>
          <w:szCs w:val="24"/>
        </w:rPr>
        <w:t xml:space="preserve">. </w:t>
      </w:r>
      <w:r w:rsidR="00662095">
        <w:rPr>
          <w:rFonts w:ascii="Times New Roman" w:hAnsi="Times New Roman" w:cs="Times New Roman"/>
          <w:sz w:val="24"/>
          <w:szCs w:val="24"/>
        </w:rPr>
        <w:t>This</w:t>
      </w:r>
      <w:r w:rsidR="000915EB">
        <w:rPr>
          <w:rFonts w:ascii="Times New Roman" w:hAnsi="Times New Roman" w:cs="Times New Roman"/>
          <w:sz w:val="24"/>
          <w:szCs w:val="24"/>
        </w:rPr>
        <w:t xml:space="preserve"> </w:t>
      </w:r>
      <w:r w:rsidR="00FB4E03">
        <w:rPr>
          <w:rFonts w:ascii="Times New Roman" w:hAnsi="Times New Roman" w:cs="Times New Roman"/>
          <w:sz w:val="24"/>
          <w:szCs w:val="24"/>
        </w:rPr>
        <w:t xml:space="preserve">amendment </w:t>
      </w:r>
      <w:r w:rsidR="002A0948" w:rsidRPr="002A0948">
        <w:rPr>
          <w:rFonts w:ascii="Times New Roman" w:hAnsi="Times New Roman" w:cs="Times New Roman"/>
          <w:sz w:val="24"/>
          <w:szCs w:val="24"/>
        </w:rPr>
        <w:t>enable</w:t>
      </w:r>
      <w:r w:rsidR="00806886">
        <w:rPr>
          <w:rFonts w:ascii="Times New Roman" w:hAnsi="Times New Roman" w:cs="Times New Roman"/>
          <w:sz w:val="24"/>
          <w:szCs w:val="24"/>
        </w:rPr>
        <w:t>s</w:t>
      </w:r>
      <w:r w:rsidR="000915EB">
        <w:rPr>
          <w:rFonts w:ascii="Times New Roman" w:hAnsi="Times New Roman" w:cs="Times New Roman"/>
          <w:sz w:val="24"/>
          <w:szCs w:val="24"/>
        </w:rPr>
        <w:t xml:space="preserve"> </w:t>
      </w:r>
      <w:r w:rsidR="000915EB" w:rsidRPr="002A0948">
        <w:rPr>
          <w:rFonts w:ascii="Times New Roman" w:hAnsi="Times New Roman" w:cs="Times New Roman"/>
          <w:sz w:val="24"/>
          <w:szCs w:val="24"/>
        </w:rPr>
        <w:t xml:space="preserve">the </w:t>
      </w:r>
      <w:r w:rsidR="000915EB">
        <w:rPr>
          <w:rFonts w:ascii="Times New Roman" w:hAnsi="Times New Roman" w:cs="Times New Roman"/>
          <w:sz w:val="24"/>
          <w:szCs w:val="24"/>
        </w:rPr>
        <w:t>National Offshore Petroleum Titles Administrator</w:t>
      </w:r>
      <w:r w:rsidR="002A0948" w:rsidRPr="002A0948">
        <w:rPr>
          <w:rFonts w:ascii="Times New Roman" w:hAnsi="Times New Roman" w:cs="Times New Roman"/>
          <w:sz w:val="24"/>
          <w:szCs w:val="24"/>
        </w:rPr>
        <w:t xml:space="preserve"> </w:t>
      </w:r>
      <w:r w:rsidR="000915EB">
        <w:rPr>
          <w:rFonts w:ascii="Times New Roman" w:hAnsi="Times New Roman" w:cs="Times New Roman"/>
          <w:sz w:val="24"/>
          <w:szCs w:val="24"/>
        </w:rPr>
        <w:t>(</w:t>
      </w:r>
      <w:r w:rsidR="002A0948" w:rsidRPr="002A0948">
        <w:rPr>
          <w:rFonts w:ascii="Times New Roman" w:hAnsi="Times New Roman" w:cs="Times New Roman"/>
          <w:sz w:val="24"/>
          <w:szCs w:val="24"/>
        </w:rPr>
        <w:t>the Titles Administrator</w:t>
      </w:r>
      <w:r w:rsidR="000915EB">
        <w:rPr>
          <w:rFonts w:ascii="Times New Roman" w:hAnsi="Times New Roman" w:cs="Times New Roman"/>
          <w:sz w:val="24"/>
          <w:szCs w:val="24"/>
        </w:rPr>
        <w:t>)</w:t>
      </w:r>
      <w:r w:rsidR="002A0948" w:rsidRPr="002A0948">
        <w:rPr>
          <w:rFonts w:ascii="Times New Roman" w:hAnsi="Times New Roman" w:cs="Times New Roman"/>
          <w:sz w:val="24"/>
          <w:szCs w:val="24"/>
        </w:rPr>
        <w:t xml:space="preserve">, whose regulatory activities are fully cost-recovered, to recover the costs </w:t>
      </w:r>
      <w:r w:rsidR="00FB4E03">
        <w:rPr>
          <w:rFonts w:ascii="Times New Roman" w:hAnsi="Times New Roman" w:cs="Times New Roman"/>
          <w:sz w:val="24"/>
          <w:szCs w:val="24"/>
        </w:rPr>
        <w:t xml:space="preserve">that </w:t>
      </w:r>
      <w:r w:rsidR="002A0948" w:rsidRPr="002A0948">
        <w:rPr>
          <w:rFonts w:ascii="Times New Roman" w:hAnsi="Times New Roman" w:cs="Times New Roman"/>
          <w:sz w:val="24"/>
          <w:szCs w:val="24"/>
        </w:rPr>
        <w:t xml:space="preserve">it will incur in relation to </w:t>
      </w:r>
      <w:r w:rsidR="00022778">
        <w:rPr>
          <w:rFonts w:ascii="Times New Roman" w:hAnsi="Times New Roman" w:cs="Times New Roman"/>
          <w:sz w:val="24"/>
          <w:szCs w:val="24"/>
        </w:rPr>
        <w:t>an</w:t>
      </w:r>
      <w:r w:rsidR="002A0948" w:rsidRPr="002A0948">
        <w:rPr>
          <w:rFonts w:ascii="Times New Roman" w:hAnsi="Times New Roman" w:cs="Times New Roman"/>
          <w:sz w:val="24"/>
          <w:szCs w:val="24"/>
        </w:rPr>
        <w:t xml:space="preserve"> assessment of </w:t>
      </w:r>
      <w:r w:rsidR="00022778">
        <w:rPr>
          <w:rFonts w:ascii="Times New Roman" w:hAnsi="Times New Roman" w:cs="Times New Roman"/>
          <w:sz w:val="24"/>
          <w:szCs w:val="24"/>
        </w:rPr>
        <w:t>an application for the approval of a change in control of a titleholder</w:t>
      </w:r>
      <w:r w:rsidR="002A0948" w:rsidRPr="002A0948">
        <w:rPr>
          <w:rFonts w:ascii="Times New Roman" w:hAnsi="Times New Roman" w:cs="Times New Roman"/>
          <w:sz w:val="24"/>
          <w:szCs w:val="24"/>
        </w:rPr>
        <w:t>.</w:t>
      </w:r>
    </w:p>
    <w:p w14:paraId="31666260" w14:textId="6BDCFE8E" w:rsidR="002A0948" w:rsidRDefault="0030121A" w:rsidP="002A0948">
      <w:pPr>
        <w:spacing w:before="120" w:after="120"/>
        <w:rPr>
          <w:rFonts w:ascii="Times New Roman" w:hAnsi="Times New Roman" w:cs="Times New Roman"/>
          <w:sz w:val="24"/>
          <w:szCs w:val="24"/>
        </w:rPr>
      </w:pPr>
      <w:r w:rsidRPr="004076BD">
        <w:rPr>
          <w:rFonts w:ascii="Times New Roman" w:eastAsia="Times New Roman" w:hAnsi="Times New Roman" w:cs="Times New Roman"/>
          <w:sz w:val="24"/>
          <w:szCs w:val="24"/>
          <w:lang w:eastAsia="en-AU"/>
        </w:rPr>
        <w:t xml:space="preserve">The mechanism for setting </w:t>
      </w:r>
      <w:r>
        <w:rPr>
          <w:rFonts w:ascii="Times New Roman" w:eastAsia="Times New Roman" w:hAnsi="Times New Roman" w:cs="Times New Roman"/>
          <w:sz w:val="24"/>
          <w:szCs w:val="24"/>
          <w:lang w:eastAsia="en-AU"/>
        </w:rPr>
        <w:t>fee</w:t>
      </w:r>
      <w:r w:rsidRPr="004076BD">
        <w:rPr>
          <w:rFonts w:ascii="Times New Roman" w:eastAsia="Times New Roman" w:hAnsi="Times New Roman" w:cs="Times New Roman"/>
          <w:sz w:val="24"/>
          <w:szCs w:val="24"/>
          <w:lang w:eastAsia="en-AU"/>
        </w:rPr>
        <w:t xml:space="preserve"> amounts is through the preparation of a cost recovery implementation statement (CRIS) that meets the requirements of the Australian Government Cost Recovery Guidelines. </w:t>
      </w:r>
      <w:r>
        <w:rPr>
          <w:rFonts w:ascii="Times New Roman" w:eastAsia="Times New Roman" w:hAnsi="Times New Roman" w:cs="Times New Roman"/>
          <w:sz w:val="24"/>
          <w:szCs w:val="24"/>
          <w:lang w:eastAsia="en-AU"/>
        </w:rPr>
        <w:t>The Titles Administrator undertook a review of its CRIS in 2021, which included determining the amount of the new fee for assessing an application for a change in control of a titleholder.</w:t>
      </w:r>
      <w:r w:rsidR="002A0948">
        <w:rPr>
          <w:rFonts w:ascii="Times New Roman" w:hAnsi="Times New Roman" w:cs="Times New Roman"/>
          <w:sz w:val="24"/>
          <w:szCs w:val="24"/>
        </w:rPr>
        <w:t xml:space="preserve"> </w:t>
      </w:r>
    </w:p>
    <w:p w14:paraId="1CA4DD1E" w14:textId="4FF4F89E" w:rsidR="008B700B" w:rsidRDefault="00F638E7" w:rsidP="00806886">
      <w:pPr>
        <w:spacing w:before="120" w:after="120"/>
        <w:rPr>
          <w:rFonts w:ascii="Times New Roman" w:hAnsi="Times New Roman" w:cs="Times New Roman"/>
          <w:sz w:val="24"/>
          <w:szCs w:val="24"/>
        </w:rPr>
      </w:pPr>
      <w:r>
        <w:rPr>
          <w:rFonts w:ascii="Times New Roman" w:hAnsi="Times New Roman" w:cs="Times New Roman"/>
          <w:sz w:val="24"/>
          <w:szCs w:val="24"/>
        </w:rPr>
        <w:t xml:space="preserve">The trailing liability measure is implemented by </w:t>
      </w:r>
      <w:r w:rsidR="00DD1915">
        <w:rPr>
          <w:rFonts w:ascii="Times New Roman" w:hAnsi="Times New Roman" w:cs="Times New Roman"/>
          <w:sz w:val="24"/>
          <w:szCs w:val="24"/>
        </w:rPr>
        <w:t xml:space="preserve">Schedule </w:t>
      </w:r>
      <w:r w:rsidR="00606732">
        <w:rPr>
          <w:rFonts w:ascii="Times New Roman" w:hAnsi="Times New Roman" w:cs="Times New Roman"/>
          <w:sz w:val="24"/>
          <w:szCs w:val="24"/>
        </w:rPr>
        <w:t>2</w:t>
      </w:r>
      <w:r w:rsidR="00DD1915">
        <w:rPr>
          <w:rFonts w:ascii="Times New Roman" w:hAnsi="Times New Roman" w:cs="Times New Roman"/>
          <w:sz w:val="24"/>
          <w:szCs w:val="24"/>
        </w:rPr>
        <w:t xml:space="preserve"> </w:t>
      </w:r>
      <w:r w:rsidR="00746EB0">
        <w:rPr>
          <w:rFonts w:ascii="Times New Roman" w:hAnsi="Times New Roman" w:cs="Times New Roman"/>
          <w:sz w:val="24"/>
          <w:szCs w:val="24"/>
        </w:rPr>
        <w:t xml:space="preserve">to </w:t>
      </w:r>
      <w:r w:rsidR="00DD1915">
        <w:rPr>
          <w:rFonts w:ascii="Times New Roman" w:hAnsi="Times New Roman" w:cs="Times New Roman"/>
          <w:sz w:val="24"/>
          <w:szCs w:val="24"/>
        </w:rPr>
        <w:t xml:space="preserve">the </w:t>
      </w:r>
      <w:r w:rsidR="0048391A">
        <w:rPr>
          <w:rFonts w:ascii="Times New Roman" w:hAnsi="Times New Roman" w:cs="Times New Roman"/>
          <w:sz w:val="24"/>
          <w:szCs w:val="24"/>
        </w:rPr>
        <w:t>Amendment</w:t>
      </w:r>
      <w:r w:rsidR="00606732">
        <w:rPr>
          <w:rFonts w:ascii="Times New Roman" w:hAnsi="Times New Roman" w:cs="Times New Roman"/>
          <w:sz w:val="24"/>
          <w:szCs w:val="24"/>
        </w:rPr>
        <w:t xml:space="preserve"> Regulations</w:t>
      </w:r>
      <w:r w:rsidR="008C63F8">
        <w:rPr>
          <w:rFonts w:ascii="Times New Roman" w:hAnsi="Times New Roman" w:cs="Times New Roman"/>
          <w:sz w:val="24"/>
          <w:szCs w:val="24"/>
        </w:rPr>
        <w:t>.</w:t>
      </w:r>
      <w:r w:rsidR="00707292">
        <w:rPr>
          <w:rFonts w:ascii="Times New Roman" w:hAnsi="Times New Roman" w:cs="Times New Roman"/>
          <w:sz w:val="24"/>
          <w:szCs w:val="24"/>
        </w:rPr>
        <w:t xml:space="preserve"> </w:t>
      </w:r>
      <w:r w:rsidR="00182D11">
        <w:rPr>
          <w:rFonts w:ascii="Times New Roman" w:hAnsi="Times New Roman" w:cs="Times New Roman"/>
          <w:sz w:val="24"/>
          <w:szCs w:val="24"/>
        </w:rPr>
        <w:t>Th</w:t>
      </w:r>
      <w:r w:rsidR="007677E8">
        <w:rPr>
          <w:rFonts w:ascii="Times New Roman" w:hAnsi="Times New Roman" w:cs="Times New Roman"/>
          <w:sz w:val="24"/>
          <w:szCs w:val="24"/>
        </w:rPr>
        <w:t>is</w:t>
      </w:r>
      <w:r w:rsidR="00182D11">
        <w:rPr>
          <w:rFonts w:ascii="Times New Roman" w:hAnsi="Times New Roman" w:cs="Times New Roman"/>
          <w:sz w:val="24"/>
          <w:szCs w:val="24"/>
        </w:rPr>
        <w:t xml:space="preserve"> measure</w:t>
      </w:r>
      <w:r w:rsidR="006050ED">
        <w:rPr>
          <w:rFonts w:ascii="Times New Roman" w:hAnsi="Times New Roman" w:cs="Times New Roman"/>
          <w:sz w:val="24"/>
          <w:szCs w:val="24"/>
        </w:rPr>
        <w:t xml:space="preserve"> expands the existing powers of</w:t>
      </w:r>
      <w:r w:rsidR="00182D11">
        <w:rPr>
          <w:rFonts w:ascii="Times New Roman" w:hAnsi="Times New Roman" w:cs="Times New Roman"/>
          <w:sz w:val="24"/>
          <w:szCs w:val="24"/>
        </w:rPr>
        <w:t xml:space="preserve"> </w:t>
      </w:r>
      <w:r w:rsidR="006050ED">
        <w:rPr>
          <w:rFonts w:ascii="Times New Roman" w:hAnsi="Times New Roman" w:cs="Times New Roman"/>
          <w:sz w:val="24"/>
          <w:szCs w:val="24"/>
        </w:rPr>
        <w:t>the National Offshore Petroleum Safety and Environmental Management Authority (</w:t>
      </w:r>
      <w:r w:rsidR="00182D11">
        <w:rPr>
          <w:rFonts w:ascii="Times New Roman" w:hAnsi="Times New Roman" w:cs="Times New Roman"/>
          <w:sz w:val="24"/>
          <w:szCs w:val="24"/>
        </w:rPr>
        <w:t>NOP</w:t>
      </w:r>
      <w:r w:rsidR="006050ED">
        <w:rPr>
          <w:rFonts w:ascii="Times New Roman" w:hAnsi="Times New Roman" w:cs="Times New Roman"/>
          <w:sz w:val="24"/>
          <w:szCs w:val="24"/>
        </w:rPr>
        <w:t>S</w:t>
      </w:r>
      <w:r w:rsidR="00182D11">
        <w:rPr>
          <w:rFonts w:ascii="Times New Roman" w:hAnsi="Times New Roman" w:cs="Times New Roman"/>
          <w:sz w:val="24"/>
          <w:szCs w:val="24"/>
        </w:rPr>
        <w:t>EMA</w:t>
      </w:r>
      <w:r w:rsidR="006050ED">
        <w:rPr>
          <w:rFonts w:ascii="Times New Roman" w:hAnsi="Times New Roman" w:cs="Times New Roman"/>
          <w:sz w:val="24"/>
          <w:szCs w:val="24"/>
        </w:rPr>
        <w:t>)</w:t>
      </w:r>
      <w:r w:rsidR="00182D11">
        <w:rPr>
          <w:rFonts w:ascii="Times New Roman" w:hAnsi="Times New Roman" w:cs="Times New Roman"/>
          <w:sz w:val="24"/>
          <w:szCs w:val="24"/>
        </w:rPr>
        <w:t xml:space="preserve"> and the responsible Commonwealth</w:t>
      </w:r>
      <w:r w:rsidR="00A37347">
        <w:rPr>
          <w:rFonts w:ascii="Times New Roman" w:hAnsi="Times New Roman" w:cs="Times New Roman"/>
          <w:sz w:val="24"/>
          <w:szCs w:val="24"/>
        </w:rPr>
        <w:t> </w:t>
      </w:r>
      <w:r w:rsidR="00182D11">
        <w:rPr>
          <w:rFonts w:ascii="Times New Roman" w:hAnsi="Times New Roman" w:cs="Times New Roman"/>
          <w:sz w:val="24"/>
          <w:szCs w:val="24"/>
        </w:rPr>
        <w:t xml:space="preserve">Minister </w:t>
      </w:r>
      <w:r w:rsidR="007677E8">
        <w:rPr>
          <w:rFonts w:ascii="Times New Roman" w:hAnsi="Times New Roman" w:cs="Times New Roman"/>
          <w:sz w:val="24"/>
          <w:szCs w:val="24"/>
        </w:rPr>
        <w:t>by enabling</w:t>
      </w:r>
      <w:r w:rsidR="00182D11">
        <w:rPr>
          <w:rFonts w:ascii="Times New Roman" w:hAnsi="Times New Roman" w:cs="Times New Roman"/>
          <w:sz w:val="24"/>
          <w:szCs w:val="24"/>
        </w:rPr>
        <w:t xml:space="preserve"> remedial directions to</w:t>
      </w:r>
      <w:r w:rsidR="00613978">
        <w:rPr>
          <w:rFonts w:ascii="Times New Roman" w:hAnsi="Times New Roman" w:cs="Times New Roman"/>
          <w:sz w:val="24"/>
          <w:szCs w:val="24"/>
        </w:rPr>
        <w:t xml:space="preserve"> be given to</w:t>
      </w:r>
      <w:r w:rsidR="00182D11">
        <w:rPr>
          <w:rFonts w:ascii="Times New Roman" w:hAnsi="Times New Roman" w:cs="Times New Roman"/>
          <w:sz w:val="24"/>
          <w:szCs w:val="24"/>
        </w:rPr>
        <w:t xml:space="preserve"> a broader range of persons to decommission</w:t>
      </w:r>
      <w:r w:rsidR="006050ED">
        <w:rPr>
          <w:rFonts w:ascii="Times New Roman" w:hAnsi="Times New Roman" w:cs="Times New Roman"/>
          <w:sz w:val="24"/>
          <w:szCs w:val="24"/>
        </w:rPr>
        <w:t xml:space="preserve"> infrastructure</w:t>
      </w:r>
      <w:r w:rsidR="00182D11">
        <w:rPr>
          <w:rFonts w:ascii="Times New Roman" w:hAnsi="Times New Roman" w:cs="Times New Roman"/>
          <w:sz w:val="24"/>
          <w:szCs w:val="24"/>
        </w:rPr>
        <w:t xml:space="preserve"> and </w:t>
      </w:r>
      <w:r w:rsidR="003E0B7B">
        <w:rPr>
          <w:rFonts w:ascii="Times New Roman" w:hAnsi="Times New Roman" w:cs="Times New Roman"/>
          <w:sz w:val="24"/>
          <w:szCs w:val="24"/>
        </w:rPr>
        <w:t xml:space="preserve">remediate </w:t>
      </w:r>
      <w:r w:rsidR="006050ED">
        <w:rPr>
          <w:rFonts w:ascii="Times New Roman" w:hAnsi="Times New Roman" w:cs="Times New Roman"/>
          <w:sz w:val="24"/>
          <w:szCs w:val="24"/>
        </w:rPr>
        <w:t>the marine environment</w:t>
      </w:r>
      <w:r w:rsidR="00182D11">
        <w:rPr>
          <w:rFonts w:ascii="Times New Roman" w:hAnsi="Times New Roman" w:cs="Times New Roman"/>
          <w:sz w:val="24"/>
          <w:szCs w:val="24"/>
        </w:rPr>
        <w:t xml:space="preserve"> </w:t>
      </w:r>
      <w:r w:rsidR="00613978">
        <w:rPr>
          <w:rFonts w:ascii="Times New Roman" w:hAnsi="Times New Roman" w:cs="Times New Roman"/>
          <w:sz w:val="24"/>
          <w:szCs w:val="24"/>
        </w:rPr>
        <w:t>if the current or immediate former titleholder is unable to do so (referred to as ‘trailing liability’)</w:t>
      </w:r>
      <w:r w:rsidR="00182D11">
        <w:rPr>
          <w:rFonts w:ascii="Times New Roman" w:hAnsi="Times New Roman" w:cs="Times New Roman"/>
          <w:sz w:val="24"/>
          <w:szCs w:val="24"/>
        </w:rPr>
        <w:t xml:space="preserve">. </w:t>
      </w:r>
      <w:r w:rsidR="00613978">
        <w:rPr>
          <w:rFonts w:ascii="Times New Roman" w:hAnsi="Times New Roman" w:cs="Times New Roman"/>
          <w:sz w:val="24"/>
          <w:szCs w:val="24"/>
        </w:rPr>
        <w:t>The</w:t>
      </w:r>
      <w:r w:rsidR="00A37347">
        <w:rPr>
          <w:rFonts w:ascii="Times New Roman" w:hAnsi="Times New Roman" w:cs="Times New Roman"/>
          <w:sz w:val="24"/>
          <w:szCs w:val="24"/>
        </w:rPr>
        <w:t> </w:t>
      </w:r>
      <w:r w:rsidR="00613978">
        <w:rPr>
          <w:rFonts w:ascii="Times New Roman" w:hAnsi="Times New Roman" w:cs="Times New Roman"/>
          <w:sz w:val="24"/>
          <w:szCs w:val="24"/>
        </w:rPr>
        <w:t xml:space="preserve">remedial directions powers are provided for in Part 6.4 of the OPGGS Act. </w:t>
      </w:r>
      <w:r w:rsidR="00707292">
        <w:rPr>
          <w:rFonts w:ascii="Times New Roman" w:hAnsi="Times New Roman" w:cs="Times New Roman"/>
          <w:sz w:val="24"/>
          <w:szCs w:val="24"/>
        </w:rPr>
        <w:t>Under regulations made under the OPGGS Act, titleholders and other regulated entities are subject to requirements</w:t>
      </w:r>
      <w:r>
        <w:rPr>
          <w:rFonts w:ascii="Times New Roman" w:hAnsi="Times New Roman" w:cs="Times New Roman"/>
          <w:sz w:val="24"/>
          <w:szCs w:val="24"/>
        </w:rPr>
        <w:t xml:space="preserve"> </w:t>
      </w:r>
      <w:r w:rsidR="00707292">
        <w:rPr>
          <w:rFonts w:ascii="Times New Roman" w:hAnsi="Times New Roman" w:cs="Times New Roman"/>
          <w:sz w:val="24"/>
          <w:szCs w:val="24"/>
        </w:rPr>
        <w:t>prior to undertaking, and while carrying out, offshore activities.</w:t>
      </w:r>
      <w:r w:rsidR="008B700B">
        <w:rPr>
          <w:rFonts w:ascii="Times New Roman" w:hAnsi="Times New Roman" w:cs="Times New Roman"/>
          <w:sz w:val="24"/>
          <w:szCs w:val="24"/>
        </w:rPr>
        <w:t xml:space="preserve"> These include the requirement</w:t>
      </w:r>
      <w:r w:rsidR="009B619D">
        <w:rPr>
          <w:rFonts w:ascii="Times New Roman" w:hAnsi="Times New Roman" w:cs="Times New Roman"/>
          <w:sz w:val="24"/>
          <w:szCs w:val="24"/>
        </w:rPr>
        <w:t>s</w:t>
      </w:r>
      <w:r w:rsidR="008B700B">
        <w:rPr>
          <w:rFonts w:ascii="Times New Roman" w:hAnsi="Times New Roman" w:cs="Times New Roman"/>
          <w:sz w:val="24"/>
          <w:szCs w:val="24"/>
        </w:rPr>
        <w:t xml:space="preserve"> to have in force and comply with an environment plan, </w:t>
      </w:r>
      <w:r w:rsidR="00662095">
        <w:rPr>
          <w:rFonts w:ascii="Times New Roman" w:hAnsi="Times New Roman" w:cs="Times New Roman"/>
          <w:sz w:val="24"/>
          <w:szCs w:val="24"/>
        </w:rPr>
        <w:t xml:space="preserve">a </w:t>
      </w:r>
      <w:r w:rsidR="008B700B">
        <w:rPr>
          <w:rFonts w:ascii="Times New Roman" w:hAnsi="Times New Roman" w:cs="Times New Roman"/>
          <w:sz w:val="24"/>
          <w:szCs w:val="24"/>
        </w:rPr>
        <w:t>well operations management plan and a safety case.</w:t>
      </w:r>
      <w:r w:rsidR="00707292">
        <w:rPr>
          <w:rFonts w:ascii="Times New Roman" w:hAnsi="Times New Roman" w:cs="Times New Roman"/>
          <w:sz w:val="24"/>
          <w:szCs w:val="24"/>
        </w:rPr>
        <w:t xml:space="preserve"> </w:t>
      </w:r>
    </w:p>
    <w:p w14:paraId="1AFC3B94" w14:textId="12729F1D" w:rsidR="00F638E7" w:rsidRDefault="00182D11" w:rsidP="00806886">
      <w:pPr>
        <w:spacing w:before="120" w:after="120"/>
        <w:rPr>
          <w:rFonts w:ascii="Times New Roman" w:hAnsi="Times New Roman" w:cs="Times New Roman"/>
          <w:sz w:val="24"/>
          <w:szCs w:val="24"/>
        </w:rPr>
      </w:pPr>
      <w:r>
        <w:rPr>
          <w:rFonts w:ascii="Times New Roman" w:hAnsi="Times New Roman" w:cs="Times New Roman"/>
          <w:sz w:val="24"/>
          <w:szCs w:val="24"/>
        </w:rPr>
        <w:t>To give effect to the trailing liability measure, t</w:t>
      </w:r>
      <w:r w:rsidR="008C63F8">
        <w:rPr>
          <w:rFonts w:ascii="Times New Roman" w:hAnsi="Times New Roman" w:cs="Times New Roman"/>
          <w:sz w:val="24"/>
          <w:szCs w:val="24"/>
        </w:rPr>
        <w:t xml:space="preserve">he </w:t>
      </w:r>
      <w:r w:rsidR="007F5F4B">
        <w:rPr>
          <w:rFonts w:ascii="Times New Roman" w:hAnsi="Times New Roman" w:cs="Times New Roman"/>
          <w:sz w:val="24"/>
          <w:szCs w:val="24"/>
        </w:rPr>
        <w:t>A</w:t>
      </w:r>
      <w:r w:rsidR="008C63F8">
        <w:rPr>
          <w:rFonts w:ascii="Times New Roman" w:hAnsi="Times New Roman" w:cs="Times New Roman"/>
          <w:sz w:val="24"/>
          <w:szCs w:val="24"/>
        </w:rPr>
        <w:t>mendment</w:t>
      </w:r>
      <w:r w:rsidR="007F5F4B">
        <w:rPr>
          <w:rFonts w:ascii="Times New Roman" w:hAnsi="Times New Roman" w:cs="Times New Roman"/>
          <w:sz w:val="24"/>
          <w:szCs w:val="24"/>
        </w:rPr>
        <w:t xml:space="preserve"> Regulations</w:t>
      </w:r>
      <w:r w:rsidR="008C63F8">
        <w:rPr>
          <w:rFonts w:ascii="Times New Roman" w:hAnsi="Times New Roman" w:cs="Times New Roman"/>
          <w:sz w:val="24"/>
          <w:szCs w:val="24"/>
        </w:rPr>
        <w:t xml:space="preserve"> ensure that,</w:t>
      </w:r>
      <w:r w:rsidR="00022778">
        <w:rPr>
          <w:rFonts w:ascii="Times New Roman" w:hAnsi="Times New Roman" w:cs="Times New Roman"/>
          <w:sz w:val="24"/>
          <w:szCs w:val="24"/>
        </w:rPr>
        <w:t xml:space="preserve"> </w:t>
      </w:r>
      <w:r w:rsidR="008C63F8">
        <w:rPr>
          <w:rFonts w:ascii="Times New Roman" w:hAnsi="Times New Roman" w:cs="Times New Roman"/>
          <w:sz w:val="24"/>
          <w:szCs w:val="24"/>
        </w:rPr>
        <w:t>if a</w:t>
      </w:r>
      <w:r w:rsidR="00A37347">
        <w:rPr>
          <w:rFonts w:ascii="Times New Roman" w:hAnsi="Times New Roman" w:cs="Times New Roman"/>
          <w:sz w:val="24"/>
          <w:szCs w:val="24"/>
        </w:rPr>
        <w:t> </w:t>
      </w:r>
      <w:r w:rsidR="008C63F8">
        <w:rPr>
          <w:rFonts w:ascii="Times New Roman" w:hAnsi="Times New Roman" w:cs="Times New Roman"/>
          <w:sz w:val="24"/>
          <w:szCs w:val="24"/>
        </w:rPr>
        <w:t xml:space="preserve">person is given a remedial direction under the OPGGS Act, </w:t>
      </w:r>
      <w:r w:rsidR="00707292">
        <w:rPr>
          <w:rFonts w:ascii="Times New Roman" w:hAnsi="Times New Roman" w:cs="Times New Roman"/>
          <w:sz w:val="24"/>
          <w:szCs w:val="24"/>
        </w:rPr>
        <w:t xml:space="preserve">the </w:t>
      </w:r>
      <w:r w:rsidR="00022778">
        <w:rPr>
          <w:rFonts w:ascii="Times New Roman" w:hAnsi="Times New Roman" w:cs="Times New Roman"/>
          <w:sz w:val="24"/>
          <w:szCs w:val="24"/>
        </w:rPr>
        <w:t>regulations</w:t>
      </w:r>
      <w:r w:rsidR="00361139" w:rsidRPr="003F3EF7">
        <w:rPr>
          <w:rFonts w:ascii="Times New Roman" w:hAnsi="Times New Roman" w:cs="Times New Roman"/>
          <w:sz w:val="24"/>
          <w:szCs w:val="24"/>
        </w:rPr>
        <w:t xml:space="preserve"> </w:t>
      </w:r>
      <w:r w:rsidR="00707292">
        <w:rPr>
          <w:rFonts w:ascii="Times New Roman" w:hAnsi="Times New Roman" w:cs="Times New Roman"/>
          <w:sz w:val="24"/>
          <w:szCs w:val="24"/>
        </w:rPr>
        <w:t>also</w:t>
      </w:r>
      <w:r w:rsidR="003E00E2">
        <w:rPr>
          <w:rFonts w:ascii="Times New Roman" w:hAnsi="Times New Roman" w:cs="Times New Roman"/>
          <w:sz w:val="24"/>
          <w:szCs w:val="24"/>
        </w:rPr>
        <w:t xml:space="preserve"> </w:t>
      </w:r>
      <w:r w:rsidR="00361139">
        <w:rPr>
          <w:rFonts w:ascii="Times New Roman" w:hAnsi="Times New Roman" w:cs="Times New Roman"/>
          <w:sz w:val="24"/>
          <w:szCs w:val="24"/>
        </w:rPr>
        <w:t>apply</w:t>
      </w:r>
      <w:r w:rsidR="00CB3D20">
        <w:rPr>
          <w:rFonts w:ascii="Times New Roman" w:hAnsi="Times New Roman" w:cs="Times New Roman"/>
          <w:sz w:val="24"/>
          <w:szCs w:val="24"/>
        </w:rPr>
        <w:t xml:space="preserve"> in relation to </w:t>
      </w:r>
      <w:r w:rsidR="008C63F8">
        <w:rPr>
          <w:rFonts w:ascii="Times New Roman" w:hAnsi="Times New Roman" w:cs="Times New Roman"/>
          <w:sz w:val="24"/>
          <w:szCs w:val="24"/>
        </w:rPr>
        <w:t xml:space="preserve">activities carried out under </w:t>
      </w:r>
      <w:r w:rsidR="00CB3D20">
        <w:rPr>
          <w:rFonts w:ascii="Times New Roman" w:hAnsi="Times New Roman" w:cs="Times New Roman"/>
          <w:sz w:val="24"/>
          <w:szCs w:val="24"/>
        </w:rPr>
        <w:t>the direction</w:t>
      </w:r>
      <w:r w:rsidR="00F66373">
        <w:rPr>
          <w:rFonts w:ascii="Times New Roman" w:hAnsi="Times New Roman" w:cs="Times New Roman"/>
          <w:sz w:val="24"/>
          <w:szCs w:val="24"/>
        </w:rPr>
        <w:t>.</w:t>
      </w:r>
      <w:r w:rsidR="00707292">
        <w:rPr>
          <w:rFonts w:ascii="Times New Roman" w:hAnsi="Times New Roman" w:cs="Times New Roman"/>
          <w:sz w:val="24"/>
          <w:szCs w:val="24"/>
        </w:rPr>
        <w:t xml:space="preserve"> </w:t>
      </w:r>
      <w:r w:rsidR="0027593E">
        <w:rPr>
          <w:rFonts w:ascii="Times New Roman" w:hAnsi="Times New Roman" w:cs="Times New Roman"/>
          <w:sz w:val="24"/>
          <w:szCs w:val="24"/>
        </w:rPr>
        <w:t>Th</w:t>
      </w:r>
      <w:r w:rsidR="00707292">
        <w:rPr>
          <w:rFonts w:ascii="Times New Roman" w:hAnsi="Times New Roman" w:cs="Times New Roman"/>
          <w:sz w:val="24"/>
          <w:szCs w:val="24"/>
        </w:rPr>
        <w:t>is</w:t>
      </w:r>
      <w:r w:rsidR="00806886">
        <w:rPr>
          <w:rFonts w:ascii="Times New Roman" w:hAnsi="Times New Roman" w:cs="Times New Roman"/>
          <w:sz w:val="24"/>
          <w:szCs w:val="24"/>
        </w:rPr>
        <w:t xml:space="preserve"> </w:t>
      </w:r>
      <w:r w:rsidR="00F638E7" w:rsidRPr="003F3EF7">
        <w:rPr>
          <w:rFonts w:ascii="Times New Roman" w:hAnsi="Times New Roman" w:cs="Times New Roman"/>
          <w:sz w:val="24"/>
          <w:szCs w:val="24"/>
        </w:rPr>
        <w:t>ensure</w:t>
      </w:r>
      <w:r w:rsidR="00707292">
        <w:rPr>
          <w:rFonts w:ascii="Times New Roman" w:hAnsi="Times New Roman" w:cs="Times New Roman"/>
          <w:sz w:val="24"/>
          <w:szCs w:val="24"/>
        </w:rPr>
        <w:t>s</w:t>
      </w:r>
      <w:r w:rsidR="00F638E7" w:rsidRPr="003F3EF7">
        <w:rPr>
          <w:rFonts w:ascii="Times New Roman" w:hAnsi="Times New Roman" w:cs="Times New Roman"/>
          <w:sz w:val="24"/>
          <w:szCs w:val="24"/>
        </w:rPr>
        <w:t xml:space="preserve"> that </w:t>
      </w:r>
      <w:r w:rsidR="0027593E">
        <w:rPr>
          <w:rFonts w:ascii="Times New Roman" w:hAnsi="Times New Roman" w:cs="Times New Roman"/>
          <w:sz w:val="24"/>
          <w:szCs w:val="24"/>
        </w:rPr>
        <w:t xml:space="preserve">there is regulatory oversight of </w:t>
      </w:r>
      <w:r w:rsidR="00F638E7" w:rsidRPr="003F3EF7">
        <w:rPr>
          <w:rFonts w:ascii="Times New Roman" w:hAnsi="Times New Roman" w:cs="Times New Roman"/>
          <w:sz w:val="24"/>
          <w:szCs w:val="24"/>
        </w:rPr>
        <w:t xml:space="preserve">the decommissioning and remediation works that are </w:t>
      </w:r>
      <w:r w:rsidR="0027593E">
        <w:rPr>
          <w:rFonts w:ascii="Times New Roman" w:hAnsi="Times New Roman" w:cs="Times New Roman"/>
          <w:sz w:val="24"/>
          <w:szCs w:val="24"/>
        </w:rPr>
        <w:t>undertaken</w:t>
      </w:r>
      <w:r w:rsidR="0027593E" w:rsidRPr="003F3EF7">
        <w:rPr>
          <w:rFonts w:ascii="Times New Roman" w:hAnsi="Times New Roman" w:cs="Times New Roman"/>
          <w:sz w:val="24"/>
          <w:szCs w:val="24"/>
        </w:rPr>
        <w:t xml:space="preserve"> </w:t>
      </w:r>
      <w:r w:rsidR="00F638E7" w:rsidRPr="003F3EF7">
        <w:rPr>
          <w:rFonts w:ascii="Times New Roman" w:hAnsi="Times New Roman" w:cs="Times New Roman"/>
          <w:sz w:val="24"/>
          <w:szCs w:val="24"/>
        </w:rPr>
        <w:t xml:space="preserve">to comply with </w:t>
      </w:r>
      <w:r w:rsidR="00F638E7">
        <w:rPr>
          <w:rFonts w:ascii="Times New Roman" w:hAnsi="Times New Roman" w:cs="Times New Roman"/>
          <w:sz w:val="24"/>
          <w:szCs w:val="24"/>
        </w:rPr>
        <w:t>a remedial</w:t>
      </w:r>
      <w:r w:rsidR="00F638E7" w:rsidRPr="003F3EF7">
        <w:rPr>
          <w:rFonts w:ascii="Times New Roman" w:hAnsi="Times New Roman" w:cs="Times New Roman"/>
          <w:sz w:val="24"/>
          <w:szCs w:val="24"/>
        </w:rPr>
        <w:t xml:space="preserve"> direction</w:t>
      </w:r>
      <w:r w:rsidR="0027593E">
        <w:rPr>
          <w:rFonts w:ascii="Times New Roman" w:hAnsi="Times New Roman" w:cs="Times New Roman"/>
          <w:sz w:val="24"/>
          <w:szCs w:val="24"/>
        </w:rPr>
        <w:t xml:space="preserve"> in order</w:t>
      </w:r>
      <w:r w:rsidR="00F638E7" w:rsidRPr="003F3EF7">
        <w:rPr>
          <w:rFonts w:ascii="Times New Roman" w:hAnsi="Times New Roman" w:cs="Times New Roman"/>
          <w:sz w:val="24"/>
          <w:szCs w:val="24"/>
        </w:rPr>
        <w:t xml:space="preserve"> </w:t>
      </w:r>
      <w:r w:rsidR="0027593E">
        <w:rPr>
          <w:rFonts w:ascii="Times New Roman" w:hAnsi="Times New Roman" w:cs="Times New Roman"/>
          <w:sz w:val="24"/>
          <w:szCs w:val="24"/>
        </w:rPr>
        <w:t xml:space="preserve">to </w:t>
      </w:r>
      <w:r w:rsidR="00F638E7" w:rsidRPr="003F3EF7">
        <w:rPr>
          <w:rFonts w:ascii="Times New Roman" w:hAnsi="Times New Roman" w:cs="Times New Roman"/>
          <w:sz w:val="24"/>
          <w:szCs w:val="24"/>
        </w:rPr>
        <w:t xml:space="preserve">manage risks to </w:t>
      </w:r>
      <w:r w:rsidR="00F638E7">
        <w:rPr>
          <w:rFonts w:ascii="Times New Roman" w:hAnsi="Times New Roman" w:cs="Times New Roman"/>
          <w:sz w:val="24"/>
          <w:szCs w:val="24"/>
        </w:rPr>
        <w:t>safety, well integrity and the environment</w:t>
      </w:r>
      <w:r w:rsidR="00F638E7" w:rsidRPr="003F3EF7">
        <w:rPr>
          <w:rFonts w:ascii="Times New Roman" w:hAnsi="Times New Roman" w:cs="Times New Roman"/>
          <w:sz w:val="24"/>
          <w:szCs w:val="24"/>
        </w:rPr>
        <w:t>.</w:t>
      </w:r>
    </w:p>
    <w:p w14:paraId="42619269" w14:textId="343AA96D" w:rsidR="00EF5477" w:rsidRPr="008B78DE" w:rsidRDefault="00EF5477" w:rsidP="00806886">
      <w:pPr>
        <w:spacing w:before="120" w:after="120"/>
        <w:rPr>
          <w:rFonts w:ascii="Times New Roman" w:hAnsi="Times New Roman" w:cs="Times New Roman"/>
          <w:sz w:val="24"/>
          <w:szCs w:val="24"/>
        </w:rPr>
      </w:pPr>
      <w:r>
        <w:rPr>
          <w:rFonts w:ascii="Times New Roman" w:hAnsi="Times New Roman" w:cs="Times New Roman"/>
          <w:sz w:val="24"/>
          <w:szCs w:val="24"/>
        </w:rPr>
        <w:t xml:space="preserve">Further details of the proposed Regulations are outlined in </w:t>
      </w:r>
      <w:r w:rsidRPr="00EF5477">
        <w:rPr>
          <w:rFonts w:ascii="Times New Roman" w:hAnsi="Times New Roman" w:cs="Times New Roman"/>
          <w:sz w:val="24"/>
          <w:szCs w:val="24"/>
          <w:u w:val="single"/>
        </w:rPr>
        <w:t>Attachment A</w:t>
      </w:r>
      <w:r>
        <w:rPr>
          <w:rFonts w:ascii="Times New Roman" w:hAnsi="Times New Roman" w:cs="Times New Roman"/>
          <w:sz w:val="24"/>
          <w:szCs w:val="24"/>
        </w:rPr>
        <w:t>.</w:t>
      </w:r>
    </w:p>
    <w:p w14:paraId="6E434214" w14:textId="77777777" w:rsidR="000D0E22" w:rsidRDefault="000D0E22" w:rsidP="001C5D3C">
      <w:pPr>
        <w:spacing w:before="120" w:after="120"/>
        <w:rPr>
          <w:rFonts w:ascii="Times New Roman" w:hAnsi="Times New Roman" w:cs="Times New Roman"/>
          <w:b/>
          <w:sz w:val="24"/>
          <w:szCs w:val="24"/>
          <w:u w:val="single"/>
        </w:rPr>
      </w:pPr>
      <w:r>
        <w:rPr>
          <w:rFonts w:ascii="Times New Roman" w:hAnsi="Times New Roman" w:cs="Times New Roman"/>
          <w:b/>
          <w:sz w:val="24"/>
          <w:szCs w:val="24"/>
          <w:u w:val="single"/>
        </w:rPr>
        <w:t>Background</w:t>
      </w:r>
    </w:p>
    <w:p w14:paraId="30F1C8CB" w14:textId="712C5E5E" w:rsidR="00707C43" w:rsidRPr="00DA1952" w:rsidRDefault="00AC686A" w:rsidP="00401CF3">
      <w:pPr>
        <w:spacing w:before="120" w:after="120"/>
      </w:pPr>
      <w:r>
        <w:rPr>
          <w:rFonts w:ascii="Times New Roman" w:hAnsi="Times New Roman" w:cs="Times New Roman"/>
          <w:sz w:val="24"/>
          <w:szCs w:val="24"/>
        </w:rPr>
        <w:t xml:space="preserve">The </w:t>
      </w:r>
      <w:r w:rsidR="0048391A">
        <w:rPr>
          <w:rFonts w:ascii="Times New Roman" w:hAnsi="Times New Roman" w:cs="Times New Roman"/>
          <w:sz w:val="24"/>
          <w:szCs w:val="24"/>
        </w:rPr>
        <w:t>Amendment</w:t>
      </w:r>
      <w:r w:rsidR="00053058">
        <w:rPr>
          <w:rFonts w:ascii="Times New Roman" w:hAnsi="Times New Roman" w:cs="Times New Roman"/>
          <w:sz w:val="24"/>
          <w:szCs w:val="24"/>
        </w:rPr>
        <w:t xml:space="preserve"> Regulations</w:t>
      </w:r>
      <w:r w:rsidR="0048391A">
        <w:rPr>
          <w:rFonts w:ascii="Times New Roman" w:hAnsi="Times New Roman" w:cs="Times New Roman"/>
          <w:sz w:val="24"/>
          <w:szCs w:val="24"/>
        </w:rPr>
        <w:t>, along with</w:t>
      </w:r>
      <w:r w:rsidR="00053058">
        <w:rPr>
          <w:rFonts w:ascii="Times New Roman" w:hAnsi="Times New Roman" w:cs="Times New Roman"/>
          <w:sz w:val="24"/>
          <w:szCs w:val="24"/>
        </w:rPr>
        <w:t xml:space="preserve"> </w:t>
      </w:r>
      <w:r w:rsidR="00F66373">
        <w:rPr>
          <w:rFonts w:ascii="Times New Roman" w:hAnsi="Times New Roman" w:cs="Times New Roman"/>
          <w:sz w:val="24"/>
          <w:szCs w:val="24"/>
        </w:rPr>
        <w:t xml:space="preserve">the </w:t>
      </w:r>
      <w:r w:rsidR="00F66373" w:rsidRPr="00F66373">
        <w:rPr>
          <w:rFonts w:ascii="Times New Roman" w:hAnsi="Times New Roman" w:cs="Times New Roman"/>
          <w:i/>
          <w:sz w:val="24"/>
          <w:szCs w:val="24"/>
        </w:rPr>
        <w:t>Offshore Petroleum and Greenhouse Gas Storage (Regulatory Levies) Amendment (Titles Administration) Regulations 2021</w:t>
      </w:r>
      <w:r w:rsidR="0048391A">
        <w:rPr>
          <w:rFonts w:ascii="Times New Roman" w:hAnsi="Times New Roman" w:cs="Times New Roman"/>
          <w:sz w:val="24"/>
          <w:szCs w:val="24"/>
        </w:rPr>
        <w:t xml:space="preserve"> (the</w:t>
      </w:r>
      <w:r w:rsidR="00A37347">
        <w:rPr>
          <w:rFonts w:ascii="Times New Roman" w:hAnsi="Times New Roman" w:cs="Times New Roman"/>
          <w:sz w:val="24"/>
          <w:szCs w:val="24"/>
        </w:rPr>
        <w:t> </w:t>
      </w:r>
      <w:r w:rsidR="0048391A">
        <w:rPr>
          <w:rFonts w:ascii="Times New Roman" w:hAnsi="Times New Roman" w:cs="Times New Roman"/>
          <w:sz w:val="24"/>
          <w:szCs w:val="24"/>
        </w:rPr>
        <w:t>Levies Amendment Regulations),</w:t>
      </w:r>
      <w:r w:rsidR="00F66373">
        <w:rPr>
          <w:rFonts w:ascii="Times New Roman" w:hAnsi="Times New Roman" w:cs="Times New Roman"/>
          <w:sz w:val="24"/>
          <w:szCs w:val="24"/>
        </w:rPr>
        <w:t xml:space="preserve"> </w:t>
      </w:r>
      <w:r w:rsidR="008F3B91">
        <w:rPr>
          <w:rFonts w:ascii="Times New Roman" w:hAnsi="Times New Roman" w:cs="Times New Roman"/>
          <w:sz w:val="24"/>
          <w:szCs w:val="24"/>
        </w:rPr>
        <w:t>are required to fully implement</w:t>
      </w:r>
      <w:r>
        <w:rPr>
          <w:rFonts w:ascii="Times New Roman" w:hAnsi="Times New Roman" w:cs="Times New Roman"/>
          <w:sz w:val="24"/>
          <w:szCs w:val="24"/>
        </w:rPr>
        <w:t xml:space="preserve"> the changes in control of titleholders and trailing liability measures</w:t>
      </w:r>
      <w:r w:rsidR="00053058">
        <w:rPr>
          <w:rFonts w:ascii="Times New Roman" w:hAnsi="Times New Roman" w:cs="Times New Roman"/>
          <w:sz w:val="24"/>
          <w:szCs w:val="24"/>
        </w:rPr>
        <w:t xml:space="preserve"> </w:t>
      </w:r>
      <w:r w:rsidR="00336F15">
        <w:rPr>
          <w:rFonts w:ascii="Times New Roman" w:hAnsi="Times New Roman" w:cs="Times New Roman"/>
          <w:sz w:val="24"/>
          <w:szCs w:val="24"/>
        </w:rPr>
        <w:t>in</w:t>
      </w:r>
      <w:r w:rsidR="00053058">
        <w:rPr>
          <w:rFonts w:ascii="Times New Roman" w:hAnsi="Times New Roman" w:cs="Times New Roman"/>
          <w:sz w:val="24"/>
          <w:szCs w:val="24"/>
        </w:rPr>
        <w:t xml:space="preserve"> the Titles Administration Act</w:t>
      </w:r>
      <w:r w:rsidR="008F3B91">
        <w:rPr>
          <w:rFonts w:ascii="Times New Roman" w:hAnsi="Times New Roman" w:cs="Times New Roman"/>
          <w:sz w:val="24"/>
          <w:szCs w:val="24"/>
        </w:rPr>
        <w:t>.</w:t>
      </w:r>
      <w:r w:rsidR="00C77CB7" w:rsidRPr="001C5D3C">
        <w:rPr>
          <w:rFonts w:ascii="Times New Roman" w:hAnsi="Times New Roman" w:cs="Times New Roman"/>
          <w:sz w:val="24"/>
          <w:szCs w:val="24"/>
        </w:rPr>
        <w:t xml:space="preserve"> </w:t>
      </w:r>
    </w:p>
    <w:p w14:paraId="79033B2B" w14:textId="7E6BA1F0" w:rsidR="00134D27" w:rsidRDefault="003B50A3" w:rsidP="003E00E2">
      <w:pPr>
        <w:spacing w:before="120" w:after="120"/>
        <w:rPr>
          <w:rFonts w:ascii="Times New Roman" w:hAnsi="Times New Roman" w:cs="Times New Roman"/>
          <w:sz w:val="24"/>
          <w:szCs w:val="24"/>
        </w:rPr>
      </w:pPr>
      <w:r>
        <w:rPr>
          <w:rFonts w:ascii="Times New Roman" w:hAnsi="Times New Roman" w:cs="Times New Roman"/>
          <w:sz w:val="24"/>
          <w:szCs w:val="24"/>
        </w:rPr>
        <w:t>T</w:t>
      </w:r>
      <w:r w:rsidR="008F3B91" w:rsidRPr="00F07DE3">
        <w:rPr>
          <w:rFonts w:ascii="Times New Roman" w:hAnsi="Times New Roman" w:cs="Times New Roman"/>
          <w:sz w:val="24"/>
          <w:szCs w:val="24"/>
        </w:rPr>
        <w:t xml:space="preserve">he Titles Administration Act </w:t>
      </w:r>
      <w:r>
        <w:rPr>
          <w:rFonts w:ascii="Times New Roman" w:hAnsi="Times New Roman" w:cs="Times New Roman"/>
          <w:sz w:val="24"/>
          <w:szCs w:val="24"/>
        </w:rPr>
        <w:t xml:space="preserve">implements the changes in control of </w:t>
      </w:r>
      <w:r w:rsidR="00A37347">
        <w:rPr>
          <w:rFonts w:ascii="Times New Roman" w:hAnsi="Times New Roman" w:cs="Times New Roman"/>
          <w:sz w:val="24"/>
          <w:szCs w:val="24"/>
        </w:rPr>
        <w:t xml:space="preserve">the </w:t>
      </w:r>
      <w:r>
        <w:rPr>
          <w:rFonts w:ascii="Times New Roman" w:hAnsi="Times New Roman" w:cs="Times New Roman"/>
          <w:sz w:val="24"/>
          <w:szCs w:val="24"/>
        </w:rPr>
        <w:t>titleholders measure by amending</w:t>
      </w:r>
      <w:r w:rsidRPr="00F07DE3">
        <w:rPr>
          <w:rFonts w:ascii="Times New Roman" w:hAnsi="Times New Roman" w:cs="Times New Roman"/>
          <w:sz w:val="24"/>
          <w:szCs w:val="24"/>
        </w:rPr>
        <w:t xml:space="preserve"> </w:t>
      </w:r>
      <w:r w:rsidR="00F07DE3" w:rsidRPr="00F07DE3">
        <w:rPr>
          <w:rFonts w:ascii="Times New Roman" w:hAnsi="Times New Roman" w:cs="Times New Roman"/>
          <w:sz w:val="24"/>
          <w:szCs w:val="24"/>
        </w:rPr>
        <w:t>the OPGGS Act to provide</w:t>
      </w:r>
      <w:r w:rsidR="00134D27" w:rsidRPr="00F07DE3">
        <w:rPr>
          <w:rFonts w:ascii="Times New Roman" w:hAnsi="Times New Roman" w:cs="Times New Roman"/>
          <w:sz w:val="24"/>
          <w:szCs w:val="24"/>
        </w:rPr>
        <w:t xml:space="preserve"> for government oversight of transactions involving a change in control of a titleholder</w:t>
      </w:r>
      <w:r w:rsidR="008C63F8">
        <w:rPr>
          <w:rFonts w:ascii="Times New Roman" w:hAnsi="Times New Roman" w:cs="Times New Roman"/>
          <w:sz w:val="24"/>
          <w:szCs w:val="24"/>
        </w:rPr>
        <w:t xml:space="preserve">, </w:t>
      </w:r>
      <w:r w:rsidR="00662095">
        <w:rPr>
          <w:rFonts w:ascii="Times New Roman" w:hAnsi="Times New Roman" w:cs="Times New Roman"/>
          <w:sz w:val="24"/>
          <w:szCs w:val="24"/>
        </w:rPr>
        <w:t>for example,</w:t>
      </w:r>
      <w:r w:rsidR="008C63F8">
        <w:rPr>
          <w:rFonts w:ascii="Times New Roman" w:hAnsi="Times New Roman" w:cs="Times New Roman"/>
          <w:sz w:val="24"/>
          <w:szCs w:val="24"/>
        </w:rPr>
        <w:t xml:space="preserve"> </w:t>
      </w:r>
      <w:r w:rsidR="003E00E2">
        <w:rPr>
          <w:rFonts w:ascii="Times New Roman" w:hAnsi="Times New Roman" w:cs="Times New Roman"/>
          <w:sz w:val="24"/>
          <w:szCs w:val="24"/>
        </w:rPr>
        <w:t xml:space="preserve">through a transfer of the shares in the company that is the </w:t>
      </w:r>
      <w:r w:rsidR="00053058">
        <w:rPr>
          <w:rFonts w:ascii="Times New Roman" w:hAnsi="Times New Roman" w:cs="Times New Roman"/>
          <w:sz w:val="24"/>
          <w:szCs w:val="24"/>
        </w:rPr>
        <w:t>titleholder</w:t>
      </w:r>
      <w:r>
        <w:rPr>
          <w:rFonts w:ascii="Times New Roman" w:hAnsi="Times New Roman" w:cs="Times New Roman"/>
          <w:sz w:val="24"/>
          <w:szCs w:val="24"/>
        </w:rPr>
        <w:t xml:space="preserve"> (see Schedule 1 </w:t>
      </w:r>
      <w:r w:rsidR="00746EB0">
        <w:rPr>
          <w:rFonts w:ascii="Times New Roman" w:hAnsi="Times New Roman" w:cs="Times New Roman"/>
          <w:sz w:val="24"/>
          <w:szCs w:val="24"/>
        </w:rPr>
        <w:t>to</w:t>
      </w:r>
      <w:r>
        <w:rPr>
          <w:rFonts w:ascii="Times New Roman" w:hAnsi="Times New Roman" w:cs="Times New Roman"/>
          <w:sz w:val="24"/>
          <w:szCs w:val="24"/>
        </w:rPr>
        <w:t xml:space="preserve"> the Titles Administration Act)</w:t>
      </w:r>
      <w:r w:rsidR="003E00E2">
        <w:rPr>
          <w:rFonts w:ascii="Times New Roman" w:hAnsi="Times New Roman" w:cs="Times New Roman"/>
          <w:sz w:val="24"/>
          <w:szCs w:val="24"/>
        </w:rPr>
        <w:t>. By providing for government oversight of changes in control of titleholders, t</w:t>
      </w:r>
      <w:r w:rsidR="00022778">
        <w:rPr>
          <w:rFonts w:ascii="Times New Roman" w:hAnsi="Times New Roman" w:cs="Times New Roman"/>
          <w:sz w:val="24"/>
          <w:szCs w:val="24"/>
        </w:rPr>
        <w:t xml:space="preserve">his </w:t>
      </w:r>
      <w:r w:rsidR="003E00E2">
        <w:rPr>
          <w:rFonts w:ascii="Times New Roman" w:hAnsi="Times New Roman" w:cs="Times New Roman"/>
          <w:sz w:val="24"/>
          <w:szCs w:val="24"/>
        </w:rPr>
        <w:t>measure aims</w:t>
      </w:r>
      <w:r w:rsidR="005D3D67" w:rsidRPr="00F07DE3">
        <w:rPr>
          <w:rFonts w:ascii="Times New Roman" w:hAnsi="Times New Roman" w:cs="Times New Roman"/>
          <w:sz w:val="24"/>
          <w:szCs w:val="24"/>
        </w:rPr>
        <w:t xml:space="preserve"> to ensure</w:t>
      </w:r>
      <w:r w:rsidR="00134D27" w:rsidRPr="00F07DE3">
        <w:rPr>
          <w:rFonts w:ascii="Times New Roman" w:hAnsi="Times New Roman" w:cs="Times New Roman"/>
          <w:sz w:val="24"/>
          <w:szCs w:val="24"/>
        </w:rPr>
        <w:t xml:space="preserve"> that titleholder</w:t>
      </w:r>
      <w:r w:rsidR="003E00E2">
        <w:rPr>
          <w:rFonts w:ascii="Times New Roman" w:hAnsi="Times New Roman" w:cs="Times New Roman"/>
          <w:sz w:val="24"/>
          <w:szCs w:val="24"/>
        </w:rPr>
        <w:t>s</w:t>
      </w:r>
      <w:r w:rsidR="00134D27" w:rsidRPr="00F07DE3">
        <w:rPr>
          <w:rFonts w:ascii="Times New Roman" w:hAnsi="Times New Roman" w:cs="Times New Roman"/>
          <w:sz w:val="24"/>
          <w:szCs w:val="24"/>
        </w:rPr>
        <w:t xml:space="preserve"> will remain suitable </w:t>
      </w:r>
      <w:r w:rsidR="00DA1952">
        <w:rPr>
          <w:rFonts w:ascii="Times New Roman" w:hAnsi="Times New Roman" w:cs="Times New Roman"/>
          <w:sz w:val="24"/>
          <w:szCs w:val="24"/>
        </w:rPr>
        <w:t xml:space="preserve">(including technically and financially capable) </w:t>
      </w:r>
      <w:r w:rsidR="00134D27" w:rsidRPr="00F07DE3">
        <w:rPr>
          <w:rFonts w:ascii="Times New Roman" w:hAnsi="Times New Roman" w:cs="Times New Roman"/>
          <w:sz w:val="24"/>
          <w:szCs w:val="24"/>
        </w:rPr>
        <w:t xml:space="preserve">to </w:t>
      </w:r>
      <w:r w:rsidR="00DA1952">
        <w:rPr>
          <w:rFonts w:ascii="Times New Roman" w:hAnsi="Times New Roman" w:cs="Times New Roman"/>
          <w:sz w:val="24"/>
          <w:szCs w:val="24"/>
        </w:rPr>
        <w:t>carry out</w:t>
      </w:r>
      <w:r w:rsidR="00DA1952" w:rsidRPr="00F07DE3">
        <w:rPr>
          <w:rFonts w:ascii="Times New Roman" w:hAnsi="Times New Roman" w:cs="Times New Roman"/>
          <w:sz w:val="24"/>
          <w:szCs w:val="24"/>
        </w:rPr>
        <w:t xml:space="preserve"> </w:t>
      </w:r>
      <w:r w:rsidR="00134D27" w:rsidRPr="00F07DE3">
        <w:rPr>
          <w:rFonts w:ascii="Times New Roman" w:hAnsi="Times New Roman" w:cs="Times New Roman"/>
          <w:sz w:val="24"/>
          <w:szCs w:val="24"/>
        </w:rPr>
        <w:t>the</w:t>
      </w:r>
      <w:r w:rsidR="003E00E2">
        <w:rPr>
          <w:rFonts w:ascii="Times New Roman" w:hAnsi="Times New Roman" w:cs="Times New Roman"/>
          <w:sz w:val="24"/>
          <w:szCs w:val="24"/>
        </w:rPr>
        <w:t xml:space="preserve">ir </w:t>
      </w:r>
      <w:r w:rsidR="00DA1952">
        <w:rPr>
          <w:rFonts w:ascii="Times New Roman" w:hAnsi="Times New Roman" w:cs="Times New Roman"/>
          <w:sz w:val="24"/>
          <w:szCs w:val="24"/>
        </w:rPr>
        <w:t xml:space="preserve">activities under a </w:t>
      </w:r>
      <w:r w:rsidR="003E00E2">
        <w:rPr>
          <w:rFonts w:ascii="Times New Roman" w:hAnsi="Times New Roman" w:cs="Times New Roman"/>
          <w:sz w:val="24"/>
          <w:szCs w:val="24"/>
        </w:rPr>
        <w:t>title</w:t>
      </w:r>
      <w:r w:rsidR="00DA1952">
        <w:rPr>
          <w:rFonts w:ascii="Times New Roman" w:hAnsi="Times New Roman" w:cs="Times New Roman"/>
          <w:sz w:val="24"/>
          <w:szCs w:val="24"/>
        </w:rPr>
        <w:t xml:space="preserve"> and discharge their obligations under the OPGGS Act</w:t>
      </w:r>
      <w:r w:rsidR="00134D27" w:rsidRPr="00F07DE3">
        <w:rPr>
          <w:rFonts w:ascii="Times New Roman" w:hAnsi="Times New Roman" w:cs="Times New Roman"/>
          <w:sz w:val="24"/>
          <w:szCs w:val="24"/>
        </w:rPr>
        <w:t xml:space="preserve"> </w:t>
      </w:r>
      <w:r w:rsidR="008C63F8">
        <w:rPr>
          <w:rFonts w:ascii="Times New Roman" w:hAnsi="Times New Roman" w:cs="Times New Roman"/>
          <w:sz w:val="24"/>
          <w:szCs w:val="24"/>
        </w:rPr>
        <w:t>after</w:t>
      </w:r>
      <w:r w:rsidR="003E00E2">
        <w:rPr>
          <w:rFonts w:ascii="Times New Roman" w:hAnsi="Times New Roman" w:cs="Times New Roman"/>
          <w:sz w:val="24"/>
          <w:szCs w:val="24"/>
        </w:rPr>
        <w:t xml:space="preserve"> such transactions</w:t>
      </w:r>
      <w:r w:rsidR="008C63F8">
        <w:rPr>
          <w:rFonts w:ascii="Times New Roman" w:hAnsi="Times New Roman" w:cs="Times New Roman"/>
          <w:sz w:val="24"/>
          <w:szCs w:val="24"/>
        </w:rPr>
        <w:t xml:space="preserve"> occur</w:t>
      </w:r>
      <w:r w:rsidR="003E00E2">
        <w:rPr>
          <w:rFonts w:ascii="Times New Roman" w:hAnsi="Times New Roman" w:cs="Times New Roman"/>
          <w:sz w:val="24"/>
          <w:szCs w:val="24"/>
        </w:rPr>
        <w:t>.</w:t>
      </w:r>
    </w:p>
    <w:p w14:paraId="02307166" w14:textId="77777777" w:rsidR="00A37347" w:rsidRDefault="00A37347" w:rsidP="003E00E2">
      <w:pPr>
        <w:spacing w:before="120" w:after="120"/>
        <w:rPr>
          <w:rFonts w:ascii="Times New Roman" w:hAnsi="Times New Roman" w:cs="Times New Roman"/>
          <w:sz w:val="24"/>
          <w:szCs w:val="24"/>
        </w:rPr>
      </w:pPr>
    </w:p>
    <w:p w14:paraId="177AF740" w14:textId="77777777" w:rsidR="00A37347" w:rsidRPr="00F07DE3" w:rsidRDefault="00A37347" w:rsidP="003E00E2">
      <w:pPr>
        <w:spacing w:before="120" w:after="120"/>
        <w:rPr>
          <w:rFonts w:ascii="Times New Roman" w:hAnsi="Times New Roman" w:cs="Times New Roman"/>
          <w:sz w:val="24"/>
          <w:szCs w:val="24"/>
          <w:highlight w:val="yellow"/>
        </w:rPr>
      </w:pPr>
    </w:p>
    <w:p w14:paraId="0C01DEE1" w14:textId="44D39A56" w:rsidR="00134D27" w:rsidRDefault="00053058" w:rsidP="00134D27">
      <w:pPr>
        <w:spacing w:before="120" w:after="120"/>
        <w:rPr>
          <w:rFonts w:ascii="Times New Roman" w:hAnsi="Times New Roman" w:cs="Times New Roman"/>
          <w:sz w:val="24"/>
          <w:szCs w:val="24"/>
        </w:rPr>
      </w:pPr>
      <w:r>
        <w:rPr>
          <w:rFonts w:ascii="Times New Roman" w:hAnsi="Times New Roman" w:cs="Times New Roman"/>
          <w:sz w:val="24"/>
          <w:szCs w:val="24"/>
        </w:rPr>
        <w:t>Persons</w:t>
      </w:r>
      <w:r w:rsidRPr="003E00E2">
        <w:rPr>
          <w:rFonts w:ascii="Times New Roman" w:hAnsi="Times New Roman" w:cs="Times New Roman"/>
          <w:sz w:val="24"/>
          <w:szCs w:val="24"/>
        </w:rPr>
        <w:t xml:space="preserve"> who propose to begin or cease to control a titleholder are eligible to make an application to the Titles Administrator for approval of the change in control.</w:t>
      </w:r>
      <w:r w:rsidR="00134D27" w:rsidRPr="003E00E2">
        <w:rPr>
          <w:rFonts w:ascii="Times New Roman" w:hAnsi="Times New Roman" w:cs="Times New Roman"/>
          <w:sz w:val="24"/>
          <w:szCs w:val="24"/>
        </w:rPr>
        <w:t xml:space="preserve"> New section</w:t>
      </w:r>
      <w:r w:rsidR="00A37347">
        <w:rPr>
          <w:rFonts w:ascii="Times New Roman" w:hAnsi="Times New Roman" w:cs="Times New Roman"/>
          <w:sz w:val="24"/>
          <w:szCs w:val="24"/>
        </w:rPr>
        <w:t> </w:t>
      </w:r>
      <w:r w:rsidR="00134D27" w:rsidRPr="003E00E2">
        <w:rPr>
          <w:rFonts w:ascii="Times New Roman" w:hAnsi="Times New Roman" w:cs="Times New Roman"/>
          <w:sz w:val="24"/>
          <w:szCs w:val="24"/>
        </w:rPr>
        <w:t>566M provides that an application</w:t>
      </w:r>
      <w:r>
        <w:rPr>
          <w:rFonts w:ascii="Times New Roman" w:hAnsi="Times New Roman" w:cs="Times New Roman"/>
          <w:sz w:val="24"/>
          <w:szCs w:val="24"/>
        </w:rPr>
        <w:t xml:space="preserve"> for the approval of a change in control</w:t>
      </w:r>
      <w:r w:rsidR="00134D27" w:rsidRPr="003E00E2">
        <w:rPr>
          <w:rFonts w:ascii="Times New Roman" w:hAnsi="Times New Roman" w:cs="Times New Roman"/>
          <w:sz w:val="24"/>
          <w:szCs w:val="24"/>
        </w:rPr>
        <w:t xml:space="preserve"> must be accompanied by the fee (if any) prescribed in the regulations.</w:t>
      </w:r>
    </w:p>
    <w:p w14:paraId="67181824" w14:textId="12AD387A" w:rsidR="008C5F3A" w:rsidRDefault="00182D11" w:rsidP="00134D27">
      <w:pPr>
        <w:spacing w:before="120" w:after="120"/>
        <w:rPr>
          <w:rFonts w:ascii="Times New Roman" w:hAnsi="Times New Roman" w:cs="Times New Roman"/>
          <w:sz w:val="24"/>
          <w:szCs w:val="24"/>
        </w:rPr>
      </w:pPr>
      <w:r>
        <w:rPr>
          <w:rFonts w:ascii="Times New Roman" w:hAnsi="Times New Roman" w:cs="Times New Roman"/>
          <w:sz w:val="24"/>
          <w:szCs w:val="24"/>
        </w:rPr>
        <w:t>T</w:t>
      </w:r>
      <w:r w:rsidR="00134D27" w:rsidRPr="008B78DE">
        <w:rPr>
          <w:rFonts w:ascii="Times New Roman" w:hAnsi="Times New Roman" w:cs="Times New Roman"/>
          <w:sz w:val="24"/>
          <w:szCs w:val="24"/>
        </w:rPr>
        <w:t xml:space="preserve">he Titles Administration </w:t>
      </w:r>
      <w:r w:rsidR="00134D27">
        <w:rPr>
          <w:rFonts w:ascii="Times New Roman" w:hAnsi="Times New Roman" w:cs="Times New Roman"/>
          <w:sz w:val="24"/>
          <w:szCs w:val="24"/>
        </w:rPr>
        <w:t>Act</w:t>
      </w:r>
      <w:r w:rsidR="0016450C">
        <w:rPr>
          <w:rFonts w:ascii="Times New Roman" w:hAnsi="Times New Roman" w:cs="Times New Roman"/>
          <w:sz w:val="24"/>
          <w:szCs w:val="24"/>
        </w:rPr>
        <w:t xml:space="preserve"> </w:t>
      </w:r>
      <w:r>
        <w:rPr>
          <w:rFonts w:ascii="Times New Roman" w:hAnsi="Times New Roman" w:cs="Times New Roman"/>
          <w:sz w:val="24"/>
          <w:szCs w:val="24"/>
        </w:rPr>
        <w:t xml:space="preserve">implements the trailing liability measure by amending </w:t>
      </w:r>
      <w:r w:rsidR="0016450C">
        <w:rPr>
          <w:rFonts w:ascii="Times New Roman" w:hAnsi="Times New Roman" w:cs="Times New Roman"/>
          <w:sz w:val="24"/>
          <w:szCs w:val="24"/>
        </w:rPr>
        <w:t xml:space="preserve">the OPGGS Act to expand the </w:t>
      </w:r>
      <w:r w:rsidR="008C5F3A">
        <w:rPr>
          <w:rFonts w:ascii="Times New Roman" w:hAnsi="Times New Roman" w:cs="Times New Roman"/>
          <w:sz w:val="24"/>
          <w:szCs w:val="24"/>
        </w:rPr>
        <w:t>remedial directions</w:t>
      </w:r>
      <w:r w:rsidR="0016450C">
        <w:rPr>
          <w:rFonts w:ascii="Times New Roman" w:hAnsi="Times New Roman" w:cs="Times New Roman"/>
          <w:sz w:val="24"/>
          <w:szCs w:val="24"/>
        </w:rPr>
        <w:t xml:space="preserve"> powers of NOPSEMA and the responsible Commonwealth Minister </w:t>
      </w:r>
      <w:r w:rsidR="00F66373">
        <w:rPr>
          <w:rFonts w:ascii="Times New Roman" w:hAnsi="Times New Roman" w:cs="Times New Roman"/>
          <w:sz w:val="24"/>
          <w:szCs w:val="24"/>
        </w:rPr>
        <w:t xml:space="preserve">to enable remedial directions to be given to a broader range of persons </w:t>
      </w:r>
      <w:r w:rsidR="00B80CD0">
        <w:rPr>
          <w:rFonts w:ascii="Times New Roman" w:hAnsi="Times New Roman" w:cs="Times New Roman"/>
          <w:sz w:val="24"/>
          <w:szCs w:val="24"/>
        </w:rPr>
        <w:t>in addition to</w:t>
      </w:r>
      <w:r w:rsidR="00F66373">
        <w:rPr>
          <w:rFonts w:ascii="Times New Roman" w:hAnsi="Times New Roman" w:cs="Times New Roman"/>
          <w:sz w:val="24"/>
          <w:szCs w:val="24"/>
        </w:rPr>
        <w:t xml:space="preserve"> the current or immediate former titleholder</w:t>
      </w:r>
      <w:r w:rsidR="003B50A3">
        <w:rPr>
          <w:rFonts w:ascii="Times New Roman" w:hAnsi="Times New Roman" w:cs="Times New Roman"/>
          <w:sz w:val="24"/>
          <w:szCs w:val="24"/>
        </w:rPr>
        <w:t xml:space="preserve"> (see Schedule 2 </w:t>
      </w:r>
      <w:r w:rsidR="00746EB0">
        <w:rPr>
          <w:rFonts w:ascii="Times New Roman" w:hAnsi="Times New Roman" w:cs="Times New Roman"/>
          <w:sz w:val="24"/>
          <w:szCs w:val="24"/>
        </w:rPr>
        <w:t>to</w:t>
      </w:r>
      <w:r w:rsidR="003B50A3">
        <w:rPr>
          <w:rFonts w:ascii="Times New Roman" w:hAnsi="Times New Roman" w:cs="Times New Roman"/>
          <w:sz w:val="24"/>
          <w:szCs w:val="24"/>
        </w:rPr>
        <w:t xml:space="preserve"> the Titles Administration Act)</w:t>
      </w:r>
      <w:r w:rsidR="00F66373">
        <w:rPr>
          <w:rFonts w:ascii="Times New Roman" w:hAnsi="Times New Roman" w:cs="Times New Roman"/>
          <w:sz w:val="24"/>
          <w:szCs w:val="24"/>
        </w:rPr>
        <w:t xml:space="preserve">. </w:t>
      </w:r>
      <w:r w:rsidR="00BA12D0">
        <w:rPr>
          <w:rFonts w:ascii="Times New Roman" w:hAnsi="Times New Roman" w:cs="Times New Roman"/>
          <w:sz w:val="24"/>
          <w:szCs w:val="24"/>
        </w:rPr>
        <w:t>T</w:t>
      </w:r>
      <w:r w:rsidR="008C5F3A">
        <w:rPr>
          <w:rFonts w:ascii="Times New Roman" w:hAnsi="Times New Roman" w:cs="Times New Roman"/>
          <w:sz w:val="24"/>
          <w:szCs w:val="24"/>
        </w:rPr>
        <w:t>his measure aims to ensure</w:t>
      </w:r>
      <w:r w:rsidR="008C5F3A" w:rsidRPr="008B78DE">
        <w:rPr>
          <w:rFonts w:ascii="Times New Roman" w:hAnsi="Times New Roman" w:cs="Times New Roman"/>
          <w:sz w:val="24"/>
          <w:szCs w:val="24"/>
        </w:rPr>
        <w:t xml:space="preserve"> that, if a titleholder is unable to meet its decommissioning obligations and all other regulatory options have been exhausted, the costs of decommissioning remain with those who </w:t>
      </w:r>
      <w:r w:rsidR="008C5F3A">
        <w:rPr>
          <w:rFonts w:ascii="Times New Roman" w:hAnsi="Times New Roman" w:cs="Times New Roman"/>
          <w:sz w:val="24"/>
          <w:szCs w:val="24"/>
        </w:rPr>
        <w:t xml:space="preserve">had </w:t>
      </w:r>
      <w:r w:rsidR="008C5F3A" w:rsidRPr="008B78DE">
        <w:rPr>
          <w:rFonts w:ascii="Times New Roman" w:hAnsi="Times New Roman" w:cs="Times New Roman"/>
          <w:sz w:val="24"/>
          <w:szCs w:val="24"/>
        </w:rPr>
        <w:t>held the title, or become the responsibility of those who significantly benefited financially from or influenced operations under the title</w:t>
      </w:r>
      <w:r w:rsidR="008C5F3A">
        <w:rPr>
          <w:rFonts w:ascii="Times New Roman" w:hAnsi="Times New Roman" w:cs="Times New Roman"/>
          <w:sz w:val="24"/>
          <w:szCs w:val="24"/>
        </w:rPr>
        <w:t>, rather than falling to Australian taxpayers.</w:t>
      </w:r>
    </w:p>
    <w:p w14:paraId="08089238" w14:textId="6BBDC373" w:rsidR="00134D27" w:rsidRDefault="008C5F3A"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If </w:t>
      </w:r>
      <w:r w:rsidRPr="003F3EF7">
        <w:rPr>
          <w:rFonts w:ascii="Times New Roman" w:hAnsi="Times New Roman" w:cs="Times New Roman"/>
          <w:sz w:val="24"/>
          <w:szCs w:val="24"/>
        </w:rPr>
        <w:t>a remedial direction</w:t>
      </w:r>
      <w:r>
        <w:rPr>
          <w:rFonts w:ascii="Times New Roman" w:hAnsi="Times New Roman" w:cs="Times New Roman"/>
          <w:sz w:val="24"/>
          <w:szCs w:val="24"/>
        </w:rPr>
        <w:t xml:space="preserve"> is in force, certain</w:t>
      </w:r>
      <w:r w:rsidR="00134D27" w:rsidRPr="008B78DE">
        <w:rPr>
          <w:rFonts w:ascii="Times New Roman" w:hAnsi="Times New Roman" w:cs="Times New Roman"/>
          <w:sz w:val="24"/>
          <w:szCs w:val="24"/>
        </w:rPr>
        <w:t xml:space="preserve"> obligations and provisions in </w:t>
      </w:r>
      <w:r w:rsidR="007477F8">
        <w:rPr>
          <w:rFonts w:ascii="Times New Roman" w:hAnsi="Times New Roman" w:cs="Times New Roman"/>
          <w:sz w:val="24"/>
          <w:szCs w:val="24"/>
        </w:rPr>
        <w:t xml:space="preserve">the </w:t>
      </w:r>
      <w:r w:rsidR="00134D27" w:rsidRPr="008B78DE">
        <w:rPr>
          <w:rFonts w:ascii="Times New Roman" w:hAnsi="Times New Roman" w:cs="Times New Roman"/>
          <w:sz w:val="24"/>
          <w:szCs w:val="24"/>
        </w:rPr>
        <w:t>OPGGS Act</w:t>
      </w:r>
      <w:r>
        <w:rPr>
          <w:rFonts w:ascii="Times New Roman" w:hAnsi="Times New Roman" w:cs="Times New Roman"/>
          <w:sz w:val="24"/>
          <w:szCs w:val="24"/>
        </w:rPr>
        <w:t>, which apply to titleholders,</w:t>
      </w:r>
      <w:r w:rsidR="00134D27" w:rsidRPr="008B78DE">
        <w:rPr>
          <w:rFonts w:ascii="Times New Roman" w:hAnsi="Times New Roman" w:cs="Times New Roman"/>
          <w:sz w:val="24"/>
          <w:szCs w:val="24"/>
        </w:rPr>
        <w:t xml:space="preserve"> </w:t>
      </w:r>
      <w:r>
        <w:rPr>
          <w:rFonts w:ascii="Times New Roman" w:hAnsi="Times New Roman" w:cs="Times New Roman"/>
          <w:sz w:val="24"/>
          <w:szCs w:val="24"/>
        </w:rPr>
        <w:t>apply to the person who</w:t>
      </w:r>
      <w:r w:rsidR="00134D27" w:rsidRPr="008B78DE">
        <w:rPr>
          <w:rFonts w:ascii="Times New Roman" w:hAnsi="Times New Roman" w:cs="Times New Roman"/>
          <w:sz w:val="24"/>
          <w:szCs w:val="24"/>
        </w:rPr>
        <w:t xml:space="preserve"> </w:t>
      </w:r>
      <w:r>
        <w:rPr>
          <w:rFonts w:ascii="Times New Roman" w:hAnsi="Times New Roman" w:cs="Times New Roman"/>
          <w:sz w:val="24"/>
          <w:szCs w:val="24"/>
        </w:rPr>
        <w:t xml:space="preserve">is </w:t>
      </w:r>
      <w:r w:rsidR="00134D27" w:rsidRPr="008B78DE">
        <w:rPr>
          <w:rFonts w:ascii="Times New Roman" w:hAnsi="Times New Roman" w:cs="Times New Roman"/>
          <w:sz w:val="24"/>
          <w:szCs w:val="24"/>
        </w:rPr>
        <w:t xml:space="preserve">subject to </w:t>
      </w:r>
      <w:r>
        <w:rPr>
          <w:rFonts w:ascii="Times New Roman" w:hAnsi="Times New Roman" w:cs="Times New Roman"/>
          <w:sz w:val="24"/>
          <w:szCs w:val="24"/>
        </w:rPr>
        <w:t>the</w:t>
      </w:r>
      <w:r w:rsidR="00134D27" w:rsidRPr="008B78DE">
        <w:rPr>
          <w:rFonts w:ascii="Times New Roman" w:hAnsi="Times New Roman" w:cs="Times New Roman"/>
          <w:sz w:val="24"/>
          <w:szCs w:val="24"/>
        </w:rPr>
        <w:t xml:space="preserve"> direction</w:t>
      </w:r>
      <w:r>
        <w:rPr>
          <w:rFonts w:ascii="Times New Roman" w:hAnsi="Times New Roman" w:cs="Times New Roman"/>
          <w:sz w:val="24"/>
          <w:szCs w:val="24"/>
        </w:rPr>
        <w:t>.</w:t>
      </w:r>
      <w:r w:rsidR="00134D27" w:rsidRPr="008B78DE">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134D27" w:rsidRPr="008B78DE">
        <w:rPr>
          <w:rFonts w:ascii="Times New Roman" w:hAnsi="Times New Roman" w:cs="Times New Roman"/>
          <w:sz w:val="24"/>
          <w:szCs w:val="24"/>
        </w:rPr>
        <w:t>include</w:t>
      </w:r>
      <w:r w:rsidR="007477F8">
        <w:rPr>
          <w:rFonts w:ascii="Times New Roman" w:hAnsi="Times New Roman" w:cs="Times New Roman"/>
          <w:sz w:val="24"/>
          <w:szCs w:val="24"/>
        </w:rPr>
        <w:t xml:space="preserve"> the financial assurance obligation under section 571</w:t>
      </w:r>
      <w:r w:rsidR="00D41890">
        <w:rPr>
          <w:rFonts w:ascii="Times New Roman" w:hAnsi="Times New Roman" w:cs="Times New Roman"/>
          <w:sz w:val="24"/>
          <w:szCs w:val="24"/>
        </w:rPr>
        <w:t xml:space="preserve"> (for petroleum titleholders)</w:t>
      </w:r>
      <w:r w:rsidR="007477F8">
        <w:rPr>
          <w:rFonts w:ascii="Times New Roman" w:hAnsi="Times New Roman" w:cs="Times New Roman"/>
          <w:sz w:val="24"/>
          <w:szCs w:val="24"/>
        </w:rPr>
        <w:t xml:space="preserve">, the polluter pays obligations under Part 6.1A, and the compliance and enforcement powers under Part 6.5. </w:t>
      </w:r>
      <w:r w:rsidR="00134D27">
        <w:rPr>
          <w:rFonts w:ascii="Times New Roman" w:hAnsi="Times New Roman" w:cs="Times New Roman"/>
          <w:sz w:val="24"/>
          <w:szCs w:val="24"/>
        </w:rPr>
        <w:t>Compliance with these obligations ensures</w:t>
      </w:r>
      <w:r w:rsidR="00134D27" w:rsidRPr="00361139">
        <w:rPr>
          <w:rFonts w:ascii="Times New Roman" w:hAnsi="Times New Roman" w:cs="Times New Roman"/>
          <w:sz w:val="24"/>
          <w:szCs w:val="24"/>
        </w:rPr>
        <w:t xml:space="preserve"> that </w:t>
      </w:r>
      <w:r w:rsidR="007477F8">
        <w:rPr>
          <w:rFonts w:ascii="Times New Roman" w:hAnsi="Times New Roman" w:cs="Times New Roman"/>
          <w:sz w:val="24"/>
          <w:szCs w:val="24"/>
        </w:rPr>
        <w:t>activities to</w:t>
      </w:r>
      <w:r w:rsidR="00134D27" w:rsidRPr="00361139">
        <w:rPr>
          <w:rFonts w:ascii="Times New Roman" w:hAnsi="Times New Roman" w:cs="Times New Roman"/>
          <w:sz w:val="24"/>
          <w:szCs w:val="24"/>
        </w:rPr>
        <w:t xml:space="preserve"> decommission an offshore project and remediat</w:t>
      </w:r>
      <w:r w:rsidR="007477F8">
        <w:rPr>
          <w:rFonts w:ascii="Times New Roman" w:hAnsi="Times New Roman" w:cs="Times New Roman"/>
          <w:sz w:val="24"/>
          <w:szCs w:val="24"/>
        </w:rPr>
        <w:t>e</w:t>
      </w:r>
      <w:r w:rsidR="00134D27" w:rsidRPr="00361139">
        <w:rPr>
          <w:rFonts w:ascii="Times New Roman" w:hAnsi="Times New Roman" w:cs="Times New Roman"/>
          <w:sz w:val="24"/>
          <w:szCs w:val="24"/>
        </w:rPr>
        <w:t xml:space="preserve"> the marine environment in a title or vacated area in compliance with a remedial direction are undertaken in a safe and responsible manner</w:t>
      </w:r>
      <w:r w:rsidR="004A1F05">
        <w:rPr>
          <w:rFonts w:ascii="Times New Roman" w:hAnsi="Times New Roman" w:cs="Times New Roman"/>
          <w:sz w:val="24"/>
          <w:szCs w:val="24"/>
        </w:rPr>
        <w:t>.</w:t>
      </w:r>
    </w:p>
    <w:p w14:paraId="442F71EF"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6B32AC32" w14:textId="0B1DA130" w:rsidR="0072540E" w:rsidRDefault="0097305A"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New section 566M of the OPGGS Act, which </w:t>
      </w:r>
      <w:r w:rsidR="00603643">
        <w:rPr>
          <w:rFonts w:ascii="Times New Roman" w:hAnsi="Times New Roman" w:cs="Times New Roman"/>
          <w:sz w:val="24"/>
          <w:szCs w:val="24"/>
        </w:rPr>
        <w:t>will come into force on commencement of</w:t>
      </w:r>
      <w:r>
        <w:rPr>
          <w:rFonts w:ascii="Times New Roman" w:hAnsi="Times New Roman" w:cs="Times New Roman"/>
          <w:sz w:val="24"/>
          <w:szCs w:val="24"/>
        </w:rPr>
        <w:t xml:space="preserve"> the Titles Administration Act, confers a power to prescribe a fee payable for an application for the approval of a change in control of a titleholder (see item 1 of Schedule 1 </w:t>
      </w:r>
      <w:r w:rsidR="00746EB0">
        <w:rPr>
          <w:rFonts w:ascii="Times New Roman" w:hAnsi="Times New Roman" w:cs="Times New Roman"/>
          <w:sz w:val="24"/>
          <w:szCs w:val="24"/>
        </w:rPr>
        <w:t xml:space="preserve">to </w:t>
      </w:r>
      <w:r>
        <w:rPr>
          <w:rFonts w:ascii="Times New Roman" w:hAnsi="Times New Roman" w:cs="Times New Roman"/>
          <w:sz w:val="24"/>
          <w:szCs w:val="24"/>
        </w:rPr>
        <w:t>the Titles</w:t>
      </w:r>
      <w:r w:rsidR="00A37347">
        <w:rPr>
          <w:rFonts w:ascii="Times New Roman" w:hAnsi="Times New Roman" w:cs="Times New Roman"/>
          <w:sz w:val="24"/>
          <w:szCs w:val="24"/>
        </w:rPr>
        <w:t> </w:t>
      </w:r>
      <w:r>
        <w:rPr>
          <w:rFonts w:ascii="Times New Roman" w:hAnsi="Times New Roman" w:cs="Times New Roman"/>
          <w:sz w:val="24"/>
          <w:szCs w:val="24"/>
        </w:rPr>
        <w:t>Administration Act).</w:t>
      </w:r>
    </w:p>
    <w:p w14:paraId="3EBA3D0A" w14:textId="3AE099A6" w:rsidR="0097305A" w:rsidRDefault="0097305A" w:rsidP="00547F8D">
      <w:pPr>
        <w:spacing w:before="120" w:after="120"/>
        <w:rPr>
          <w:rFonts w:ascii="Times New Roman" w:hAnsi="Times New Roman" w:cs="Times New Roman"/>
          <w:sz w:val="24"/>
          <w:szCs w:val="24"/>
        </w:rPr>
      </w:pPr>
      <w:r>
        <w:rPr>
          <w:rFonts w:ascii="Times New Roman" w:hAnsi="Times New Roman" w:cs="Times New Roman"/>
          <w:sz w:val="24"/>
          <w:szCs w:val="24"/>
        </w:rPr>
        <w:t>Section 781 of the OPGGS Act confers a power to make regulations prescribing matters required or permitted by the Act to be prescribed, or necessary or convenient to be prescribed for carrying o</w:t>
      </w:r>
      <w:r w:rsidR="004A1F05">
        <w:rPr>
          <w:rFonts w:ascii="Times New Roman" w:hAnsi="Times New Roman" w:cs="Times New Roman"/>
          <w:sz w:val="24"/>
          <w:szCs w:val="24"/>
        </w:rPr>
        <w:t>ut or giving effect to the Act.</w:t>
      </w:r>
    </w:p>
    <w:p w14:paraId="421DDCA6" w14:textId="18BEC6C5" w:rsidR="0097305A" w:rsidRDefault="0097305A" w:rsidP="00547F8D">
      <w:pPr>
        <w:spacing w:before="120" w:after="120"/>
        <w:rPr>
          <w:rFonts w:ascii="Times New Roman" w:hAnsi="Times New Roman" w:cs="Times New Roman"/>
          <w:sz w:val="24"/>
          <w:szCs w:val="24"/>
        </w:rPr>
      </w:pPr>
      <w:r>
        <w:rPr>
          <w:rFonts w:ascii="Times New Roman" w:hAnsi="Times New Roman" w:cs="Times New Roman"/>
          <w:sz w:val="24"/>
          <w:szCs w:val="24"/>
        </w:rPr>
        <w:t>Section 782 of the OPGGS Act provides that the regulations may make provision for</w:t>
      </w:r>
      <w:r w:rsidR="00A94D03">
        <w:rPr>
          <w:rFonts w:ascii="Times New Roman" w:hAnsi="Times New Roman" w:cs="Times New Roman"/>
          <w:sz w:val="24"/>
          <w:szCs w:val="24"/>
        </w:rPr>
        <w:t xml:space="preserve"> </w:t>
      </w:r>
      <w:r>
        <w:rPr>
          <w:rFonts w:ascii="Times New Roman" w:hAnsi="Times New Roman" w:cs="Times New Roman"/>
          <w:sz w:val="24"/>
          <w:szCs w:val="24"/>
        </w:rPr>
        <w:t>securing, regulating, controlling or restricting</w:t>
      </w:r>
      <w:r w:rsidR="00A94D03">
        <w:rPr>
          <w:rFonts w:ascii="Times New Roman" w:hAnsi="Times New Roman" w:cs="Times New Roman"/>
          <w:sz w:val="24"/>
          <w:szCs w:val="24"/>
        </w:rPr>
        <w:t>, among other matters,</w:t>
      </w:r>
      <w:r>
        <w:rPr>
          <w:rFonts w:ascii="Times New Roman" w:hAnsi="Times New Roman" w:cs="Times New Roman"/>
          <w:sz w:val="24"/>
          <w:szCs w:val="24"/>
        </w:rPr>
        <w:t xml:space="preserve"> the </w:t>
      </w:r>
      <w:r w:rsidR="00662095">
        <w:rPr>
          <w:rFonts w:ascii="Times New Roman" w:hAnsi="Times New Roman" w:cs="Times New Roman"/>
          <w:sz w:val="24"/>
          <w:szCs w:val="24"/>
        </w:rPr>
        <w:t xml:space="preserve">removal and </w:t>
      </w:r>
      <w:r>
        <w:rPr>
          <w:rFonts w:ascii="Times New Roman" w:hAnsi="Times New Roman" w:cs="Times New Roman"/>
          <w:sz w:val="24"/>
          <w:szCs w:val="24"/>
        </w:rPr>
        <w:t xml:space="preserve">decommissioning of structures, equipment and </w:t>
      </w:r>
      <w:r w:rsidR="005A015A">
        <w:rPr>
          <w:rFonts w:ascii="Times New Roman" w:hAnsi="Times New Roman" w:cs="Times New Roman"/>
          <w:sz w:val="24"/>
          <w:szCs w:val="24"/>
        </w:rPr>
        <w:t>other items of property that were</w:t>
      </w:r>
      <w:r>
        <w:rPr>
          <w:rFonts w:ascii="Times New Roman" w:hAnsi="Times New Roman" w:cs="Times New Roman"/>
          <w:sz w:val="24"/>
          <w:szCs w:val="24"/>
        </w:rPr>
        <w:t xml:space="preserve"> brought into an offshore area</w:t>
      </w:r>
      <w:r w:rsidR="004A1F05">
        <w:rPr>
          <w:rFonts w:ascii="Times New Roman" w:hAnsi="Times New Roman" w:cs="Times New Roman"/>
          <w:sz w:val="24"/>
          <w:szCs w:val="24"/>
        </w:rPr>
        <w:t>.</w:t>
      </w:r>
    </w:p>
    <w:p w14:paraId="7983DD94" w14:textId="1C9D9EB2" w:rsidR="00A94D03" w:rsidRPr="0072540E" w:rsidRDefault="00A94D03"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Clause 17 of Schedule 3 </w:t>
      </w:r>
      <w:r w:rsidR="00746EB0">
        <w:rPr>
          <w:rFonts w:ascii="Times New Roman" w:hAnsi="Times New Roman" w:cs="Times New Roman"/>
          <w:sz w:val="24"/>
          <w:szCs w:val="24"/>
        </w:rPr>
        <w:t xml:space="preserve">to </w:t>
      </w:r>
      <w:r>
        <w:rPr>
          <w:rFonts w:ascii="Times New Roman" w:hAnsi="Times New Roman" w:cs="Times New Roman"/>
          <w:sz w:val="24"/>
          <w:szCs w:val="24"/>
        </w:rPr>
        <w:t>the OPGGS Act provides that the regulations may make provision relating to any matter affecting, or likely to affect, th</w:t>
      </w:r>
      <w:r w:rsidR="004A1F05">
        <w:rPr>
          <w:rFonts w:ascii="Times New Roman" w:hAnsi="Times New Roman" w:cs="Times New Roman"/>
          <w:sz w:val="24"/>
          <w:szCs w:val="24"/>
        </w:rPr>
        <w:t>e OHS of persons at a facility.</w:t>
      </w:r>
    </w:p>
    <w:p w14:paraId="1204FA3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057042CA" w14:textId="30E5FCCE" w:rsidR="00DE2E1E" w:rsidRDefault="00DE2E1E" w:rsidP="00DE2E1E">
      <w:pPr>
        <w:spacing w:before="120" w:after="120"/>
        <w:rPr>
          <w:rFonts w:ascii="Times New Roman" w:hAnsi="Times New Roman" w:cs="Times New Roman"/>
          <w:sz w:val="24"/>
          <w:szCs w:val="24"/>
        </w:rPr>
      </w:pPr>
      <w:r w:rsidRPr="00DE2E1E">
        <w:rPr>
          <w:rFonts w:ascii="Times New Roman" w:hAnsi="Times New Roman" w:cs="Times New Roman"/>
          <w:sz w:val="24"/>
          <w:szCs w:val="24"/>
        </w:rPr>
        <w:t xml:space="preserve">Significant consultation was undertaken throughout the policy planning and drafting process for the measures </w:t>
      </w:r>
      <w:r w:rsidR="00FA42C2">
        <w:rPr>
          <w:rFonts w:ascii="Times New Roman" w:hAnsi="Times New Roman" w:cs="Times New Roman"/>
          <w:sz w:val="24"/>
          <w:szCs w:val="24"/>
        </w:rPr>
        <w:t>provided by</w:t>
      </w:r>
      <w:r w:rsidRPr="00DE2E1E">
        <w:rPr>
          <w:rFonts w:ascii="Times New Roman" w:hAnsi="Times New Roman" w:cs="Times New Roman"/>
          <w:sz w:val="24"/>
          <w:szCs w:val="24"/>
        </w:rPr>
        <w:t xml:space="preserve"> the </w:t>
      </w:r>
      <w:r w:rsidR="008F3B91">
        <w:rPr>
          <w:rFonts w:ascii="Times New Roman" w:hAnsi="Times New Roman" w:cs="Times New Roman"/>
          <w:sz w:val="24"/>
          <w:szCs w:val="24"/>
        </w:rPr>
        <w:t>Titles Administration Act</w:t>
      </w:r>
      <w:r w:rsidRPr="00DE2E1E">
        <w:rPr>
          <w:rFonts w:ascii="Times New Roman" w:hAnsi="Times New Roman" w:cs="Times New Roman"/>
          <w:sz w:val="24"/>
          <w:szCs w:val="24"/>
        </w:rPr>
        <w:t xml:space="preserve">, including consultation with the </w:t>
      </w:r>
      <w:r w:rsidRPr="00DE2E1E">
        <w:rPr>
          <w:rFonts w:ascii="Times New Roman" w:hAnsi="Times New Roman" w:cs="Times New Roman"/>
          <w:sz w:val="24"/>
          <w:szCs w:val="24"/>
        </w:rPr>
        <w:lastRenderedPageBreak/>
        <w:t>offshore petroleum industry</w:t>
      </w:r>
      <w:r>
        <w:rPr>
          <w:rFonts w:ascii="Times New Roman" w:hAnsi="Times New Roman" w:cs="Times New Roman"/>
          <w:sz w:val="24"/>
          <w:szCs w:val="24"/>
        </w:rPr>
        <w:t xml:space="preserve">, </w:t>
      </w:r>
      <w:r w:rsidR="00D35944">
        <w:rPr>
          <w:rFonts w:ascii="Times New Roman" w:hAnsi="Times New Roman" w:cs="Times New Roman"/>
          <w:sz w:val="24"/>
          <w:szCs w:val="24"/>
        </w:rPr>
        <w:t>NOPSEMA</w:t>
      </w:r>
      <w:r w:rsidR="0048391A">
        <w:rPr>
          <w:rFonts w:ascii="Times New Roman" w:hAnsi="Times New Roman" w:cs="Times New Roman"/>
          <w:sz w:val="24"/>
          <w:szCs w:val="24"/>
        </w:rPr>
        <w:t xml:space="preserve"> and the Titles Administrator</w:t>
      </w:r>
      <w:r w:rsidR="00D35944">
        <w:rPr>
          <w:rFonts w:ascii="Times New Roman" w:hAnsi="Times New Roman" w:cs="Times New Roman"/>
          <w:sz w:val="24"/>
          <w:szCs w:val="24"/>
        </w:rPr>
        <w:t xml:space="preserve">. </w:t>
      </w:r>
      <w:r w:rsidRPr="00DE2E1E">
        <w:rPr>
          <w:rFonts w:ascii="Times New Roman" w:hAnsi="Times New Roman" w:cs="Times New Roman"/>
          <w:sz w:val="24"/>
          <w:szCs w:val="24"/>
        </w:rPr>
        <w:t xml:space="preserve">Public consultation was also undertaken on an Exposure Draft of </w:t>
      </w:r>
      <w:r w:rsidR="00FA42C2">
        <w:rPr>
          <w:rFonts w:ascii="Times New Roman" w:hAnsi="Times New Roman" w:cs="Times New Roman"/>
          <w:sz w:val="24"/>
          <w:szCs w:val="24"/>
        </w:rPr>
        <w:t>the</w:t>
      </w:r>
      <w:r w:rsidRPr="00DE2E1E">
        <w:rPr>
          <w:rFonts w:ascii="Times New Roman" w:hAnsi="Times New Roman" w:cs="Times New Roman"/>
          <w:sz w:val="24"/>
          <w:szCs w:val="24"/>
        </w:rPr>
        <w:t xml:space="preserve"> Bill </w:t>
      </w:r>
      <w:r w:rsidR="00FA42C2">
        <w:rPr>
          <w:rFonts w:ascii="Times New Roman" w:hAnsi="Times New Roman" w:cs="Times New Roman"/>
          <w:sz w:val="24"/>
          <w:szCs w:val="24"/>
        </w:rPr>
        <w:t>for the Titles Administration Act</w:t>
      </w:r>
      <w:r w:rsidRPr="00DE2E1E">
        <w:rPr>
          <w:rFonts w:ascii="Times New Roman" w:hAnsi="Times New Roman" w:cs="Times New Roman"/>
          <w:sz w:val="24"/>
          <w:szCs w:val="24"/>
        </w:rPr>
        <w:t>, which invited written submissions from all stakeholders and included face-to-face meetings with key stakeholders.</w:t>
      </w:r>
      <w:r w:rsidR="005D0E9F" w:rsidRPr="005D0E9F">
        <w:rPr>
          <w:rFonts w:ascii="Times New Roman" w:hAnsi="Times New Roman" w:cs="Times New Roman"/>
          <w:sz w:val="24"/>
          <w:szCs w:val="24"/>
        </w:rPr>
        <w:t xml:space="preserve"> </w:t>
      </w:r>
      <w:r w:rsidR="005D0E9F">
        <w:rPr>
          <w:rFonts w:ascii="Times New Roman" w:hAnsi="Times New Roman" w:cs="Times New Roman"/>
          <w:sz w:val="24"/>
          <w:szCs w:val="24"/>
        </w:rPr>
        <w:t>The amendments made by the Amendment Regulations are required to fully implement the measure</w:t>
      </w:r>
      <w:r w:rsidR="00B40D5B">
        <w:rPr>
          <w:rFonts w:ascii="Times New Roman" w:hAnsi="Times New Roman" w:cs="Times New Roman"/>
          <w:sz w:val="24"/>
          <w:szCs w:val="24"/>
        </w:rPr>
        <w:t>s</w:t>
      </w:r>
      <w:r w:rsidR="005D0E9F">
        <w:rPr>
          <w:rFonts w:ascii="Times New Roman" w:hAnsi="Times New Roman" w:cs="Times New Roman"/>
          <w:sz w:val="24"/>
          <w:szCs w:val="24"/>
        </w:rPr>
        <w:t xml:space="preserve"> provided by the Titles Administration Act.</w:t>
      </w:r>
    </w:p>
    <w:p w14:paraId="5D009124" w14:textId="58EC1F30" w:rsidR="0030121A" w:rsidRPr="0030121A" w:rsidRDefault="0030121A" w:rsidP="0030121A">
      <w:pPr>
        <w:spacing w:before="120" w:after="120"/>
        <w:rPr>
          <w:rFonts w:ascii="Times New Roman" w:hAnsi="Times New Roman" w:cs="Times New Roman"/>
          <w:sz w:val="24"/>
          <w:szCs w:val="24"/>
        </w:rPr>
      </w:pPr>
      <w:r w:rsidRPr="0030121A">
        <w:rPr>
          <w:rFonts w:ascii="Times New Roman" w:eastAsia="Times New Roman" w:hAnsi="Times New Roman" w:cs="Times New Roman"/>
          <w:sz w:val="24"/>
          <w:szCs w:val="24"/>
          <w:lang w:eastAsia="en-AU"/>
        </w:rPr>
        <w:t>The Titles Administrator undertook a review of its cost recovery arrangements in 2021, followed by consultation with titleholders (fee payers) and the industry peak body, the Australian Petroleum Production and Exploration Association (APPEA). Neither the industry representatives nor APPEA raised any concerns</w:t>
      </w:r>
      <w:r>
        <w:rPr>
          <w:rFonts w:ascii="Times New Roman" w:hAnsi="Times New Roman" w:cs="Times New Roman"/>
          <w:sz w:val="24"/>
          <w:szCs w:val="24"/>
        </w:rPr>
        <w:t>, including in relation to the proposed amount of the</w:t>
      </w:r>
      <w:r w:rsidRPr="0030121A">
        <w:rPr>
          <w:rFonts w:ascii="Times New Roman" w:hAnsi="Times New Roman" w:cs="Times New Roman"/>
          <w:sz w:val="24"/>
          <w:szCs w:val="24"/>
        </w:rPr>
        <w:t xml:space="preserve"> fee</w:t>
      </w:r>
      <w:r>
        <w:rPr>
          <w:rFonts w:ascii="Times New Roman" w:hAnsi="Times New Roman" w:cs="Times New Roman"/>
          <w:sz w:val="24"/>
          <w:szCs w:val="24"/>
        </w:rPr>
        <w:t xml:space="preserve"> for an application for a change in control of a titleholder</w:t>
      </w:r>
      <w:r w:rsidRPr="0030121A">
        <w:rPr>
          <w:rFonts w:ascii="Times New Roman" w:hAnsi="Times New Roman" w:cs="Times New Roman"/>
          <w:sz w:val="24"/>
          <w:szCs w:val="24"/>
        </w:rPr>
        <w:t>. The Titles Administrator also consulted the Department of Finance in relation to its review of its CRIS.</w:t>
      </w:r>
    </w:p>
    <w:p w14:paraId="6E2C92C4" w14:textId="77777777" w:rsidR="000D0E22" w:rsidRDefault="000D0E22" w:rsidP="00AE66CE">
      <w:pPr>
        <w:keepNext/>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338FF775" w14:textId="0B5FE0ED" w:rsidR="000D0E22" w:rsidRDefault="007473EC" w:rsidP="007473EC">
      <w:pPr>
        <w:spacing w:before="120" w:after="120"/>
        <w:rPr>
          <w:rFonts w:ascii="Times New Roman" w:hAnsi="Times New Roman" w:cs="Times New Roman"/>
          <w:sz w:val="24"/>
          <w:szCs w:val="24"/>
        </w:rPr>
      </w:pPr>
      <w:r w:rsidRPr="007473EC">
        <w:rPr>
          <w:rFonts w:ascii="Times New Roman" w:hAnsi="Times New Roman" w:cs="Times New Roman"/>
          <w:sz w:val="24"/>
          <w:szCs w:val="24"/>
        </w:rPr>
        <w:t xml:space="preserve">A Regulation Impact Statement (RIS) </w:t>
      </w:r>
      <w:r>
        <w:rPr>
          <w:rFonts w:ascii="Times New Roman" w:hAnsi="Times New Roman" w:cs="Times New Roman"/>
          <w:sz w:val="24"/>
          <w:szCs w:val="24"/>
        </w:rPr>
        <w:t>on</w:t>
      </w:r>
      <w:r w:rsidRPr="007473EC">
        <w:rPr>
          <w:rFonts w:ascii="Times New Roman" w:hAnsi="Times New Roman" w:cs="Times New Roman"/>
          <w:sz w:val="24"/>
          <w:szCs w:val="24"/>
        </w:rPr>
        <w:t xml:space="preserve"> the </w:t>
      </w:r>
      <w:r>
        <w:rPr>
          <w:rFonts w:ascii="Times New Roman" w:hAnsi="Times New Roman" w:cs="Times New Roman"/>
          <w:sz w:val="24"/>
          <w:szCs w:val="24"/>
        </w:rPr>
        <w:t xml:space="preserve">changes in control of titleholders and the trailing liability measures, which are provided by the Titles Administration Act and the </w:t>
      </w:r>
      <w:r w:rsidR="000926EE">
        <w:rPr>
          <w:rFonts w:ascii="Times New Roman" w:hAnsi="Times New Roman" w:cs="Times New Roman"/>
          <w:sz w:val="24"/>
          <w:szCs w:val="24"/>
        </w:rPr>
        <w:t>Amendment</w:t>
      </w:r>
      <w:r>
        <w:rPr>
          <w:rFonts w:ascii="Times New Roman" w:hAnsi="Times New Roman" w:cs="Times New Roman"/>
          <w:sz w:val="24"/>
          <w:szCs w:val="24"/>
        </w:rPr>
        <w:t xml:space="preserve"> Regulations</w:t>
      </w:r>
      <w:r w:rsidR="000915EB">
        <w:rPr>
          <w:rFonts w:ascii="Times New Roman" w:hAnsi="Times New Roman" w:cs="Times New Roman"/>
          <w:sz w:val="24"/>
          <w:szCs w:val="24"/>
        </w:rPr>
        <w:t xml:space="preserve"> (</w:t>
      </w:r>
      <w:r w:rsidR="008F3B91">
        <w:rPr>
          <w:rFonts w:ascii="Times New Roman" w:hAnsi="Times New Roman" w:cs="Times New Roman"/>
          <w:sz w:val="24"/>
          <w:szCs w:val="24"/>
        </w:rPr>
        <w:t>along with</w:t>
      </w:r>
      <w:r w:rsidR="000915EB">
        <w:rPr>
          <w:rFonts w:ascii="Times New Roman" w:hAnsi="Times New Roman" w:cs="Times New Roman"/>
          <w:sz w:val="24"/>
          <w:szCs w:val="24"/>
        </w:rPr>
        <w:t xml:space="preserve"> the </w:t>
      </w:r>
      <w:r w:rsidR="0048391A" w:rsidRPr="00E6492B">
        <w:rPr>
          <w:rFonts w:ascii="Times New Roman" w:hAnsi="Times New Roman" w:cs="Times New Roman"/>
          <w:i/>
          <w:sz w:val="24"/>
          <w:szCs w:val="24"/>
        </w:rPr>
        <w:t xml:space="preserve">Offshore Petroleum and Greenhouse Gas Amendment (Regulatory </w:t>
      </w:r>
      <w:r w:rsidR="000915EB" w:rsidRPr="00E6492B">
        <w:rPr>
          <w:rFonts w:ascii="Times New Roman" w:hAnsi="Times New Roman" w:cs="Times New Roman"/>
          <w:i/>
          <w:sz w:val="24"/>
          <w:szCs w:val="24"/>
        </w:rPr>
        <w:t>Levies</w:t>
      </w:r>
      <w:r w:rsidR="0048391A" w:rsidRPr="00E6492B">
        <w:rPr>
          <w:rFonts w:ascii="Times New Roman" w:hAnsi="Times New Roman" w:cs="Times New Roman"/>
          <w:i/>
          <w:sz w:val="24"/>
          <w:szCs w:val="24"/>
        </w:rPr>
        <w:t>)</w:t>
      </w:r>
      <w:r w:rsidR="000915EB" w:rsidRPr="00E6492B">
        <w:rPr>
          <w:rFonts w:ascii="Times New Roman" w:hAnsi="Times New Roman" w:cs="Times New Roman"/>
          <w:i/>
          <w:sz w:val="24"/>
          <w:szCs w:val="24"/>
        </w:rPr>
        <w:t xml:space="preserve"> Amendment Act </w:t>
      </w:r>
      <w:r w:rsidR="0048391A" w:rsidRPr="00E6492B">
        <w:rPr>
          <w:rFonts w:ascii="Times New Roman" w:hAnsi="Times New Roman" w:cs="Times New Roman"/>
          <w:i/>
          <w:sz w:val="24"/>
          <w:szCs w:val="24"/>
        </w:rPr>
        <w:t>2021</w:t>
      </w:r>
      <w:r w:rsidR="0048391A">
        <w:rPr>
          <w:rFonts w:ascii="Times New Roman" w:hAnsi="Times New Roman" w:cs="Times New Roman"/>
          <w:sz w:val="24"/>
          <w:szCs w:val="24"/>
        </w:rPr>
        <w:t xml:space="preserve"> </w:t>
      </w:r>
      <w:r w:rsidR="000915EB">
        <w:rPr>
          <w:rFonts w:ascii="Times New Roman" w:hAnsi="Times New Roman" w:cs="Times New Roman"/>
          <w:sz w:val="24"/>
          <w:szCs w:val="24"/>
        </w:rPr>
        <w:t xml:space="preserve">and the </w:t>
      </w:r>
      <w:r w:rsidR="000915EB" w:rsidRPr="00162418">
        <w:rPr>
          <w:rFonts w:ascii="Times New Roman" w:hAnsi="Times New Roman" w:cs="Times New Roman"/>
          <w:sz w:val="24"/>
          <w:szCs w:val="24"/>
        </w:rPr>
        <w:t>Levies Amendment Regulations</w:t>
      </w:r>
      <w:r w:rsidR="000915EB">
        <w:rPr>
          <w:rFonts w:ascii="Times New Roman" w:hAnsi="Times New Roman" w:cs="Times New Roman"/>
          <w:sz w:val="24"/>
          <w:szCs w:val="24"/>
        </w:rPr>
        <w:t xml:space="preserve"> in relation to cost recovery</w:t>
      </w:r>
      <w:r w:rsidR="005A015A">
        <w:rPr>
          <w:rFonts w:ascii="Times New Roman" w:hAnsi="Times New Roman" w:cs="Times New Roman"/>
          <w:sz w:val="24"/>
          <w:szCs w:val="24"/>
        </w:rPr>
        <w:t xml:space="preserve"> for the trailing liability measure</w:t>
      </w:r>
      <w:r w:rsidR="000915EB">
        <w:rPr>
          <w:rFonts w:ascii="Times New Roman" w:hAnsi="Times New Roman" w:cs="Times New Roman"/>
          <w:sz w:val="24"/>
          <w:szCs w:val="24"/>
        </w:rPr>
        <w:t>)</w:t>
      </w:r>
      <w:r>
        <w:rPr>
          <w:rFonts w:ascii="Times New Roman" w:hAnsi="Times New Roman" w:cs="Times New Roman"/>
          <w:sz w:val="24"/>
          <w:szCs w:val="24"/>
        </w:rPr>
        <w:t xml:space="preserve">, </w:t>
      </w:r>
      <w:r w:rsidR="000915EB">
        <w:rPr>
          <w:rFonts w:ascii="Times New Roman" w:hAnsi="Times New Roman" w:cs="Times New Roman"/>
          <w:sz w:val="24"/>
          <w:szCs w:val="24"/>
        </w:rPr>
        <w:t>was</w:t>
      </w:r>
      <w:r>
        <w:rPr>
          <w:rFonts w:ascii="Times New Roman" w:hAnsi="Times New Roman" w:cs="Times New Roman"/>
          <w:sz w:val="24"/>
          <w:szCs w:val="24"/>
        </w:rPr>
        <w:t xml:space="preserve"> prepared</w:t>
      </w:r>
      <w:r w:rsidRPr="007473EC">
        <w:rPr>
          <w:rFonts w:ascii="Times New Roman" w:hAnsi="Times New Roman" w:cs="Times New Roman"/>
          <w:sz w:val="24"/>
          <w:szCs w:val="24"/>
        </w:rPr>
        <w:t xml:space="preserve"> in accordance with the </w:t>
      </w:r>
      <w:r w:rsidR="008F3B91" w:rsidRPr="008F3B91">
        <w:rPr>
          <w:rFonts w:ascii="Times New Roman" w:hAnsi="Times New Roman" w:cs="Times New Roman"/>
          <w:i/>
          <w:sz w:val="24"/>
          <w:szCs w:val="24"/>
        </w:rPr>
        <w:t xml:space="preserve">Australian </w:t>
      </w:r>
      <w:r w:rsidRPr="008F3B91">
        <w:rPr>
          <w:rFonts w:ascii="Times New Roman" w:hAnsi="Times New Roman" w:cs="Times New Roman"/>
          <w:i/>
          <w:sz w:val="24"/>
          <w:szCs w:val="24"/>
        </w:rPr>
        <w:t>Government Guide to Regulation</w:t>
      </w:r>
      <w:r w:rsidRPr="007473EC">
        <w:rPr>
          <w:rFonts w:ascii="Times New Roman" w:hAnsi="Times New Roman" w:cs="Times New Roman"/>
          <w:sz w:val="24"/>
          <w:szCs w:val="24"/>
        </w:rPr>
        <w:t xml:space="preserve">. </w:t>
      </w:r>
      <w:r>
        <w:rPr>
          <w:rFonts w:ascii="Times New Roman" w:hAnsi="Times New Roman" w:cs="Times New Roman"/>
          <w:sz w:val="24"/>
          <w:szCs w:val="24"/>
        </w:rPr>
        <w:t>The RIS mee</w:t>
      </w:r>
      <w:r w:rsidRPr="007473EC">
        <w:rPr>
          <w:rFonts w:ascii="Times New Roman" w:hAnsi="Times New Roman" w:cs="Times New Roman"/>
          <w:sz w:val="24"/>
          <w:szCs w:val="24"/>
        </w:rPr>
        <w:t>t</w:t>
      </w:r>
      <w:r>
        <w:rPr>
          <w:rFonts w:ascii="Times New Roman" w:hAnsi="Times New Roman" w:cs="Times New Roman"/>
          <w:sz w:val="24"/>
          <w:szCs w:val="24"/>
        </w:rPr>
        <w:t>s</w:t>
      </w:r>
      <w:r w:rsidRPr="007473EC">
        <w:rPr>
          <w:rFonts w:ascii="Times New Roman" w:hAnsi="Times New Roman" w:cs="Times New Roman"/>
          <w:sz w:val="24"/>
          <w:szCs w:val="24"/>
        </w:rPr>
        <w:t xml:space="preserve"> the Government’s regulatory impact assessment requirements (OBPR ID Number: 25323) and is included at the end of this Explanatory </w:t>
      </w:r>
      <w:r>
        <w:rPr>
          <w:rFonts w:ascii="Times New Roman" w:hAnsi="Times New Roman" w:cs="Times New Roman"/>
          <w:sz w:val="24"/>
          <w:szCs w:val="24"/>
        </w:rPr>
        <w:t>Statement</w:t>
      </w:r>
      <w:r w:rsidRPr="007473EC">
        <w:rPr>
          <w:rFonts w:ascii="Times New Roman" w:hAnsi="Times New Roman" w:cs="Times New Roman"/>
          <w:sz w:val="24"/>
          <w:szCs w:val="24"/>
        </w:rPr>
        <w:t>.</w:t>
      </w:r>
    </w:p>
    <w:p w14:paraId="498287EC" w14:textId="457E92D6" w:rsidR="00EF5477" w:rsidRDefault="00EF5477" w:rsidP="007473EC">
      <w:pPr>
        <w:spacing w:before="120" w:after="120"/>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is set out in </w:t>
      </w:r>
      <w:r w:rsidRPr="00785D15">
        <w:rPr>
          <w:rFonts w:ascii="Times New Roman" w:hAnsi="Times New Roman" w:cs="Times New Roman"/>
          <w:sz w:val="24"/>
          <w:szCs w:val="24"/>
          <w:u w:val="single"/>
        </w:rPr>
        <w:t>Attachment B</w:t>
      </w:r>
      <w:r>
        <w:rPr>
          <w:rFonts w:ascii="Times New Roman" w:hAnsi="Times New Roman" w:cs="Times New Roman"/>
          <w:sz w:val="24"/>
          <w:szCs w:val="24"/>
          <w:u w:val="single"/>
        </w:rPr>
        <w:t>.</w:t>
      </w:r>
    </w:p>
    <w:p w14:paraId="7492B511" w14:textId="77777777" w:rsidR="00EF5477" w:rsidRDefault="00EF5477" w:rsidP="007473EC">
      <w:pPr>
        <w:spacing w:before="120" w:after="120"/>
        <w:rPr>
          <w:rFonts w:ascii="Times New Roman" w:hAnsi="Times New Roman" w:cs="Times New Roman"/>
          <w:sz w:val="24"/>
          <w:szCs w:val="24"/>
        </w:rPr>
      </w:pPr>
    </w:p>
    <w:p w14:paraId="6588D991" w14:textId="77777777" w:rsidR="00EF5477" w:rsidRPr="007473EC" w:rsidRDefault="00EF5477" w:rsidP="007473EC">
      <w:pPr>
        <w:spacing w:before="120" w:after="120"/>
        <w:rPr>
          <w:rFonts w:ascii="Times New Roman" w:hAnsi="Times New Roman" w:cs="Times New Roman"/>
          <w:sz w:val="24"/>
          <w:szCs w:val="24"/>
        </w:rPr>
        <w:sectPr w:rsidR="00EF5477" w:rsidRPr="007473EC">
          <w:footerReference w:type="default" r:id="rId12"/>
          <w:pgSz w:w="11906" w:h="16838"/>
          <w:pgMar w:top="1440" w:right="1440" w:bottom="1440" w:left="1440" w:header="708" w:footer="708" w:gutter="0"/>
          <w:cols w:space="708"/>
          <w:docGrid w:linePitch="360"/>
        </w:sectPr>
      </w:pPr>
    </w:p>
    <w:p w14:paraId="23D40804" w14:textId="184446FD" w:rsidR="00EF5477" w:rsidRDefault="00EF5477" w:rsidP="00EF5477">
      <w:pPr>
        <w:spacing w:before="240" w:after="24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Attachment A</w:t>
      </w:r>
    </w:p>
    <w:p w14:paraId="351507EA" w14:textId="243E9253" w:rsidR="000D0E22" w:rsidRPr="00143CA7" w:rsidRDefault="000D0E22" w:rsidP="000D0E22">
      <w:pPr>
        <w:spacing w:before="240" w:after="240"/>
        <w:rPr>
          <w:rFonts w:ascii="Times New Roman" w:hAnsi="Times New Roman" w:cs="Times New Roman"/>
          <w:i/>
          <w:sz w:val="24"/>
          <w:szCs w:val="24"/>
          <w:u w:val="single"/>
        </w:rPr>
      </w:pPr>
      <w:r>
        <w:rPr>
          <w:rFonts w:ascii="Times New Roman" w:hAnsi="Times New Roman" w:cs="Times New Roman"/>
          <w:b/>
          <w:sz w:val="24"/>
          <w:szCs w:val="24"/>
          <w:u w:val="single"/>
        </w:rPr>
        <w:t xml:space="preserve">Details of the </w:t>
      </w:r>
      <w:r w:rsidR="00143CA7" w:rsidRPr="00143CA7">
        <w:rPr>
          <w:rFonts w:ascii="Times New Roman" w:hAnsi="Times New Roman" w:cs="Times New Roman"/>
          <w:b/>
          <w:i/>
          <w:sz w:val="24"/>
          <w:szCs w:val="24"/>
          <w:u w:val="single"/>
        </w:rPr>
        <w:t>Offshore Petroleum and Greenhouse Gas Storage Legislation Amendment (Titles Administration) Regulations 2021</w:t>
      </w:r>
    </w:p>
    <w:p w14:paraId="7EC9F454" w14:textId="0E6A83E5"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w:t>
      </w:r>
    </w:p>
    <w:p w14:paraId="24AF2701" w14:textId="2D0774CE"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w:t>
      </w:r>
      <w:r w:rsidR="000E17E2">
        <w:rPr>
          <w:rFonts w:ascii="Times New Roman" w:hAnsi="Times New Roman" w:cs="Times New Roman"/>
          <w:sz w:val="24"/>
          <w:szCs w:val="24"/>
        </w:rPr>
        <w:t xml:space="preserve"> that</w:t>
      </w:r>
      <w:r w:rsidRPr="006745C3">
        <w:rPr>
          <w:rFonts w:ascii="Times New Roman" w:hAnsi="Times New Roman" w:cs="Times New Roman"/>
          <w:sz w:val="24"/>
          <w:szCs w:val="24"/>
        </w:rPr>
        <w:t xml:space="preserve"> the name of </w:t>
      </w:r>
      <w:r w:rsidR="006916B6">
        <w:rPr>
          <w:rFonts w:ascii="Times New Roman" w:hAnsi="Times New Roman" w:cs="Times New Roman"/>
          <w:sz w:val="24"/>
          <w:szCs w:val="24"/>
        </w:rPr>
        <w:t>this instrument</w:t>
      </w:r>
      <w:r>
        <w:rPr>
          <w:rFonts w:ascii="Times New Roman" w:hAnsi="Times New Roman" w:cs="Times New Roman"/>
          <w:sz w:val="24"/>
          <w:szCs w:val="24"/>
        </w:rPr>
        <w:t xml:space="preserve"> </w:t>
      </w:r>
      <w:r w:rsidR="000E17E2">
        <w:rPr>
          <w:rFonts w:ascii="Times New Roman" w:hAnsi="Times New Roman" w:cs="Times New Roman"/>
          <w:sz w:val="24"/>
          <w:szCs w:val="24"/>
        </w:rPr>
        <w:t>i</w:t>
      </w:r>
      <w:r w:rsidRPr="006745C3">
        <w:rPr>
          <w:rFonts w:ascii="Times New Roman" w:hAnsi="Times New Roman" w:cs="Times New Roman"/>
          <w:sz w:val="24"/>
          <w:szCs w:val="24"/>
        </w:rPr>
        <w:t xml:space="preserve">s the </w:t>
      </w:r>
      <w:r w:rsidR="00143CA7" w:rsidRPr="00143CA7">
        <w:rPr>
          <w:rFonts w:ascii="Times New Roman" w:hAnsi="Times New Roman" w:cs="Times New Roman"/>
          <w:i/>
          <w:sz w:val="24"/>
          <w:szCs w:val="24"/>
        </w:rPr>
        <w:t>Offshore Petroleum and Greenhouse Gas Storage Legislation Amendment (Titles Administration) Regulations 2021</w:t>
      </w:r>
      <w:r w:rsidR="006E6823">
        <w:rPr>
          <w:rFonts w:ascii="Times New Roman" w:hAnsi="Times New Roman" w:cs="Times New Roman"/>
          <w:i/>
          <w:sz w:val="24"/>
          <w:szCs w:val="24"/>
        </w:rPr>
        <w:t xml:space="preserve"> </w:t>
      </w:r>
      <w:r w:rsidR="006E6823">
        <w:rPr>
          <w:rFonts w:ascii="Times New Roman" w:hAnsi="Times New Roman" w:cs="Times New Roman"/>
          <w:sz w:val="24"/>
          <w:szCs w:val="24"/>
        </w:rPr>
        <w:t>(the Amendment Regulations)</w:t>
      </w:r>
      <w:r w:rsidR="00143CA7">
        <w:rPr>
          <w:rFonts w:ascii="Times New Roman" w:hAnsi="Times New Roman" w:cs="Times New Roman"/>
          <w:i/>
          <w:sz w:val="24"/>
          <w:szCs w:val="24"/>
        </w:rPr>
        <w:t>.</w:t>
      </w:r>
    </w:p>
    <w:p w14:paraId="6E781CAA"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434E623" w14:textId="7A1038BA" w:rsidR="00143CA7" w:rsidRDefault="00143CA7" w:rsidP="00143CA7">
      <w:pPr>
        <w:spacing w:before="240" w:after="100" w:afterAutospacing="1"/>
        <w:rPr>
          <w:rFonts w:ascii="Times New Roman" w:hAnsi="Times New Roman" w:cs="Times New Roman"/>
          <w:i/>
          <w:sz w:val="24"/>
          <w:szCs w:val="24"/>
        </w:rPr>
      </w:pPr>
      <w:r>
        <w:rPr>
          <w:rFonts w:ascii="Times New Roman" w:hAnsi="Times New Roman" w:cs="Times New Roman"/>
          <w:sz w:val="24"/>
          <w:szCs w:val="24"/>
        </w:rPr>
        <w:t xml:space="preserve">This section </w:t>
      </w:r>
      <w:r w:rsidR="00FD5F83">
        <w:rPr>
          <w:rFonts w:ascii="Times New Roman" w:hAnsi="Times New Roman" w:cs="Times New Roman"/>
          <w:sz w:val="24"/>
          <w:szCs w:val="24"/>
        </w:rPr>
        <w:t xml:space="preserve">provides for </w:t>
      </w:r>
      <w:r>
        <w:rPr>
          <w:rFonts w:ascii="Times New Roman" w:hAnsi="Times New Roman" w:cs="Times New Roman"/>
          <w:sz w:val="24"/>
          <w:szCs w:val="24"/>
        </w:rPr>
        <w:t xml:space="preserve">the commencement </w:t>
      </w:r>
      <w:r w:rsidR="00FD5F83">
        <w:rPr>
          <w:rFonts w:ascii="Times New Roman" w:hAnsi="Times New Roman" w:cs="Times New Roman"/>
          <w:sz w:val="24"/>
          <w:szCs w:val="24"/>
        </w:rPr>
        <w:t xml:space="preserve">of </w:t>
      </w:r>
      <w:r>
        <w:rPr>
          <w:rFonts w:ascii="Times New Roman" w:hAnsi="Times New Roman" w:cs="Times New Roman"/>
          <w:sz w:val="24"/>
          <w:szCs w:val="24"/>
        </w:rPr>
        <w:t xml:space="preserve">the provisions of the </w:t>
      </w:r>
      <w:r w:rsidR="006916B6">
        <w:rPr>
          <w:rFonts w:ascii="Times New Roman" w:hAnsi="Times New Roman" w:cs="Times New Roman"/>
          <w:sz w:val="24"/>
          <w:szCs w:val="24"/>
        </w:rPr>
        <w:t>Amendment Regulations</w:t>
      </w:r>
      <w:r w:rsidRPr="008F256F">
        <w:rPr>
          <w:rFonts w:ascii="Times New Roman" w:hAnsi="Times New Roman" w:cs="Times New Roman"/>
          <w:i/>
          <w:sz w:val="24"/>
          <w:szCs w:val="24"/>
        </w:rPr>
        <w:t>.</w:t>
      </w:r>
      <w:r>
        <w:rPr>
          <w:rFonts w:ascii="Times New Roman" w:hAnsi="Times New Roman" w:cs="Times New Roman"/>
          <w:i/>
          <w:sz w:val="24"/>
          <w:szCs w:val="24"/>
        </w:rPr>
        <w:t xml:space="preserve"> </w:t>
      </w:r>
    </w:p>
    <w:p w14:paraId="1C6DA356" w14:textId="6D3F5DE7" w:rsidR="00143CA7" w:rsidRDefault="00143CA7" w:rsidP="00143CA7">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Sections 1 to </w:t>
      </w:r>
      <w:r w:rsidR="006916B6">
        <w:rPr>
          <w:rFonts w:ascii="Times New Roman" w:hAnsi="Times New Roman" w:cs="Times New Roman"/>
          <w:sz w:val="24"/>
          <w:szCs w:val="24"/>
        </w:rPr>
        <w:t xml:space="preserve">4 </w:t>
      </w:r>
      <w:r>
        <w:rPr>
          <w:rFonts w:ascii="Times New Roman" w:hAnsi="Times New Roman" w:cs="Times New Roman"/>
          <w:sz w:val="24"/>
          <w:szCs w:val="24"/>
        </w:rPr>
        <w:t xml:space="preserve">of the Amendment Regulations commence on the day after the Amendment Regulations are registered. </w:t>
      </w:r>
    </w:p>
    <w:p w14:paraId="351FCCD2" w14:textId="0F5BD14B" w:rsidR="00143CA7" w:rsidRDefault="00143CA7" w:rsidP="00143CA7">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Schedule 1 to the Amendment Regulations commences at the same time as the commencement of Schedule 1 </w:t>
      </w:r>
      <w:r w:rsidR="00746EB0">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3D33B8">
        <w:rPr>
          <w:rFonts w:ascii="Times New Roman" w:hAnsi="Times New Roman" w:cs="Times New Roman"/>
          <w:i/>
          <w:sz w:val="24"/>
          <w:szCs w:val="24"/>
        </w:rPr>
        <w:t>Offshore Petroleum and Greenhouse Storage Amendment (Titles Administration and Other Measures) Act 2021</w:t>
      </w:r>
      <w:r w:rsidR="00E029A8">
        <w:rPr>
          <w:rFonts w:ascii="Times New Roman" w:hAnsi="Times New Roman" w:cs="Times New Roman"/>
          <w:i/>
          <w:sz w:val="24"/>
          <w:szCs w:val="24"/>
        </w:rPr>
        <w:t xml:space="preserve"> </w:t>
      </w:r>
      <w:r w:rsidR="00E029A8">
        <w:rPr>
          <w:rFonts w:ascii="Times New Roman" w:hAnsi="Times New Roman" w:cs="Times New Roman"/>
          <w:sz w:val="24"/>
          <w:szCs w:val="24"/>
        </w:rPr>
        <w:t>(the Titles Administration Act). This Schedule of the Titles Administration Act provides for the changes in control of titleholders measure</w:t>
      </w:r>
      <w:r>
        <w:rPr>
          <w:rFonts w:ascii="Times New Roman" w:hAnsi="Times New Roman" w:cs="Times New Roman"/>
          <w:sz w:val="24"/>
          <w:szCs w:val="24"/>
        </w:rPr>
        <w:t xml:space="preserve">. </w:t>
      </w:r>
    </w:p>
    <w:p w14:paraId="20015F12" w14:textId="5078F2ED" w:rsidR="00143CA7" w:rsidRDefault="00143CA7" w:rsidP="00143CA7">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Schedule 2 to the Amendment Regulations commences at the same time as </w:t>
      </w:r>
      <w:r w:rsidR="00FD5F83">
        <w:rPr>
          <w:rFonts w:ascii="Times New Roman" w:hAnsi="Times New Roman" w:cs="Times New Roman"/>
          <w:sz w:val="24"/>
          <w:szCs w:val="24"/>
        </w:rPr>
        <w:t xml:space="preserve">the commencement of </w:t>
      </w:r>
      <w:r>
        <w:rPr>
          <w:rFonts w:ascii="Times New Roman" w:hAnsi="Times New Roman" w:cs="Times New Roman"/>
          <w:sz w:val="24"/>
          <w:szCs w:val="24"/>
        </w:rPr>
        <w:t xml:space="preserve">Schedule 2 </w:t>
      </w:r>
      <w:r w:rsidR="00746EB0">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E029A8">
        <w:rPr>
          <w:rFonts w:ascii="Times New Roman" w:hAnsi="Times New Roman" w:cs="Times New Roman"/>
          <w:sz w:val="24"/>
          <w:szCs w:val="24"/>
        </w:rPr>
        <w:t>Titles Administration Act. This Schedule of the Titles Administration Act provides for the trailing liability measure</w:t>
      </w:r>
      <w:r>
        <w:rPr>
          <w:rFonts w:ascii="Times New Roman" w:hAnsi="Times New Roman" w:cs="Times New Roman"/>
          <w:sz w:val="24"/>
          <w:szCs w:val="24"/>
        </w:rPr>
        <w:t>.</w:t>
      </w:r>
    </w:p>
    <w:p w14:paraId="591D22C7" w14:textId="4B0C4F48" w:rsidR="00FD5F83" w:rsidRDefault="00FD5F83" w:rsidP="00143CA7">
      <w:pPr>
        <w:spacing w:before="240" w:after="100" w:afterAutospacing="1"/>
        <w:rPr>
          <w:rFonts w:ascii="Times New Roman" w:hAnsi="Times New Roman" w:cs="Times New Roman"/>
          <w:sz w:val="24"/>
          <w:szCs w:val="24"/>
        </w:rPr>
      </w:pPr>
      <w:r>
        <w:rPr>
          <w:rFonts w:ascii="Times New Roman" w:hAnsi="Times New Roman" w:cs="Times New Roman"/>
          <w:sz w:val="24"/>
          <w:szCs w:val="24"/>
        </w:rPr>
        <w:t xml:space="preserve">Schedules 1 and 2 </w:t>
      </w:r>
      <w:r w:rsidR="00746EB0">
        <w:rPr>
          <w:rFonts w:ascii="Times New Roman" w:hAnsi="Times New Roman" w:cs="Times New Roman"/>
          <w:sz w:val="24"/>
          <w:szCs w:val="24"/>
        </w:rPr>
        <w:t xml:space="preserve">to </w:t>
      </w:r>
      <w:r>
        <w:rPr>
          <w:rFonts w:ascii="Times New Roman" w:hAnsi="Times New Roman" w:cs="Times New Roman"/>
          <w:sz w:val="24"/>
          <w:szCs w:val="24"/>
        </w:rPr>
        <w:t>the Titles Administration Act commence on 2 March 2022, unless they commence earlier by Proclamation.</w:t>
      </w:r>
    </w:p>
    <w:p w14:paraId="78839DE9"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17A0EC25" w14:textId="5B219D14" w:rsidR="00143CA7" w:rsidRDefault="00143CA7"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provides that the Amendment </w:t>
      </w:r>
      <w:r w:rsidR="000E17E2">
        <w:rPr>
          <w:rFonts w:ascii="Times New Roman" w:hAnsi="Times New Roman" w:cs="Times New Roman"/>
          <w:sz w:val="24"/>
          <w:szCs w:val="24"/>
        </w:rPr>
        <w:t xml:space="preserve">Regulations </w:t>
      </w:r>
      <w:r w:rsidR="00FD5F83">
        <w:rPr>
          <w:rFonts w:ascii="Times New Roman" w:hAnsi="Times New Roman" w:cs="Times New Roman"/>
          <w:sz w:val="24"/>
          <w:szCs w:val="24"/>
        </w:rPr>
        <w:t xml:space="preserve">are </w:t>
      </w:r>
      <w:r>
        <w:rPr>
          <w:rFonts w:ascii="Times New Roman" w:hAnsi="Times New Roman" w:cs="Times New Roman"/>
          <w:sz w:val="24"/>
          <w:szCs w:val="24"/>
        </w:rPr>
        <w:t xml:space="preserve">made under the </w:t>
      </w:r>
      <w:r w:rsidR="00E029A8" w:rsidRPr="00E6492B">
        <w:rPr>
          <w:rFonts w:ascii="Times New Roman" w:hAnsi="Times New Roman" w:cs="Times New Roman"/>
          <w:i/>
          <w:sz w:val="24"/>
          <w:szCs w:val="24"/>
        </w:rPr>
        <w:t>Offshore Petroleum and Greenhouse Gas Storage Act</w:t>
      </w:r>
      <w:r w:rsidR="00E029A8">
        <w:rPr>
          <w:rFonts w:ascii="Times New Roman" w:hAnsi="Times New Roman" w:cs="Times New Roman"/>
          <w:sz w:val="24"/>
          <w:szCs w:val="24"/>
        </w:rPr>
        <w:t xml:space="preserve"> (the </w:t>
      </w:r>
      <w:r>
        <w:rPr>
          <w:rFonts w:ascii="Times New Roman" w:hAnsi="Times New Roman" w:cs="Times New Roman"/>
          <w:sz w:val="24"/>
          <w:szCs w:val="24"/>
        </w:rPr>
        <w:t>OPGGS Act</w:t>
      </w:r>
      <w:r w:rsidR="00E029A8">
        <w:rPr>
          <w:rFonts w:ascii="Times New Roman" w:hAnsi="Times New Roman" w:cs="Times New Roman"/>
          <w:sz w:val="24"/>
          <w:szCs w:val="24"/>
        </w:rPr>
        <w:t>)</w:t>
      </w:r>
      <w:r>
        <w:rPr>
          <w:rFonts w:ascii="Times New Roman" w:hAnsi="Times New Roman" w:cs="Times New Roman"/>
          <w:sz w:val="24"/>
          <w:szCs w:val="24"/>
        </w:rPr>
        <w:t>.</w:t>
      </w:r>
    </w:p>
    <w:p w14:paraId="046E4AB8" w14:textId="13900257" w:rsidR="006745C3" w:rsidRDefault="00E34956"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4 – Schedules </w:t>
      </w:r>
    </w:p>
    <w:p w14:paraId="6C34942B" w14:textId="6FAEBE4C" w:rsidR="00143CA7" w:rsidRDefault="00143CA7" w:rsidP="00143CA7">
      <w:pPr>
        <w:spacing w:before="240"/>
        <w:rPr>
          <w:rFonts w:ascii="Times New Roman" w:hAnsi="Times New Roman" w:cs="Times New Roman"/>
          <w:sz w:val="24"/>
          <w:szCs w:val="24"/>
        </w:rPr>
      </w:pPr>
      <w:r w:rsidRPr="00D72A99">
        <w:rPr>
          <w:rFonts w:ascii="Times New Roman" w:hAnsi="Times New Roman" w:cs="Times New Roman"/>
          <w:sz w:val="24"/>
          <w:szCs w:val="24"/>
        </w:rPr>
        <w:t xml:space="preserve">This section is a machinery clause that </w:t>
      </w:r>
      <w:r w:rsidR="0031182D">
        <w:rPr>
          <w:rFonts w:ascii="Times New Roman" w:hAnsi="Times New Roman" w:cs="Times New Roman"/>
          <w:sz w:val="24"/>
          <w:szCs w:val="24"/>
        </w:rPr>
        <w:t>provides that the instrument</w:t>
      </w:r>
      <w:r w:rsidR="00773DB0">
        <w:rPr>
          <w:rFonts w:ascii="Times New Roman" w:hAnsi="Times New Roman" w:cs="Times New Roman"/>
          <w:sz w:val="24"/>
          <w:szCs w:val="24"/>
        </w:rPr>
        <w:t>s</w:t>
      </w:r>
      <w:r w:rsidR="0031182D">
        <w:rPr>
          <w:rFonts w:ascii="Times New Roman" w:hAnsi="Times New Roman" w:cs="Times New Roman"/>
          <w:sz w:val="24"/>
          <w:szCs w:val="24"/>
        </w:rPr>
        <w:t xml:space="preserve"> </w:t>
      </w:r>
      <w:r w:rsidR="00773DB0">
        <w:rPr>
          <w:rFonts w:ascii="Times New Roman" w:hAnsi="Times New Roman" w:cs="Times New Roman"/>
          <w:sz w:val="24"/>
          <w:szCs w:val="24"/>
        </w:rPr>
        <w:t>specified</w:t>
      </w:r>
      <w:r w:rsidR="0031182D" w:rsidRPr="00D72A99">
        <w:rPr>
          <w:rFonts w:ascii="Times New Roman" w:hAnsi="Times New Roman" w:cs="Times New Roman"/>
          <w:sz w:val="24"/>
          <w:szCs w:val="24"/>
        </w:rPr>
        <w:t xml:space="preserve"> </w:t>
      </w:r>
      <w:r w:rsidR="00773DB0">
        <w:rPr>
          <w:rFonts w:ascii="Times New Roman" w:hAnsi="Times New Roman" w:cs="Times New Roman"/>
          <w:sz w:val="24"/>
          <w:szCs w:val="24"/>
        </w:rPr>
        <w:t xml:space="preserve">in </w:t>
      </w:r>
      <w:r w:rsidRPr="00D72A99">
        <w:rPr>
          <w:rFonts w:ascii="Times New Roman" w:hAnsi="Times New Roman" w:cs="Times New Roman"/>
          <w:sz w:val="24"/>
          <w:szCs w:val="24"/>
        </w:rPr>
        <w:t xml:space="preserve">the Schedules </w:t>
      </w:r>
      <w:r w:rsidR="007E40C4">
        <w:rPr>
          <w:rFonts w:ascii="Times New Roman" w:hAnsi="Times New Roman" w:cs="Times New Roman"/>
          <w:sz w:val="24"/>
          <w:szCs w:val="24"/>
        </w:rPr>
        <w:t>to</w:t>
      </w:r>
      <w:r w:rsidR="00773DB0" w:rsidRPr="00D72A99">
        <w:rPr>
          <w:rFonts w:ascii="Times New Roman" w:hAnsi="Times New Roman" w:cs="Times New Roman"/>
          <w:sz w:val="24"/>
          <w:szCs w:val="24"/>
        </w:rPr>
        <w:t xml:space="preserve"> </w:t>
      </w:r>
      <w:r w:rsidRPr="00D72A99">
        <w:rPr>
          <w:rFonts w:ascii="Times New Roman" w:hAnsi="Times New Roman" w:cs="Times New Roman"/>
          <w:sz w:val="24"/>
          <w:szCs w:val="24"/>
        </w:rPr>
        <w:t xml:space="preserve">the Amendment Regulations </w:t>
      </w:r>
      <w:r w:rsidR="00773DB0">
        <w:rPr>
          <w:rFonts w:ascii="Times New Roman" w:hAnsi="Times New Roman" w:cs="Times New Roman"/>
          <w:sz w:val="24"/>
          <w:szCs w:val="24"/>
        </w:rPr>
        <w:t>are</w:t>
      </w:r>
      <w:r w:rsidR="0031182D">
        <w:rPr>
          <w:rFonts w:ascii="Times New Roman" w:hAnsi="Times New Roman" w:cs="Times New Roman"/>
          <w:sz w:val="24"/>
          <w:szCs w:val="24"/>
        </w:rPr>
        <w:t xml:space="preserve"> amended or repealed as set out in the applicable items in the </w:t>
      </w:r>
      <w:r w:rsidR="00773DB0">
        <w:rPr>
          <w:rFonts w:ascii="Times New Roman" w:hAnsi="Times New Roman" w:cs="Times New Roman"/>
          <w:sz w:val="24"/>
          <w:szCs w:val="24"/>
        </w:rPr>
        <w:t xml:space="preserve">relevant </w:t>
      </w:r>
      <w:r w:rsidR="0031182D">
        <w:rPr>
          <w:rFonts w:ascii="Times New Roman" w:hAnsi="Times New Roman" w:cs="Times New Roman"/>
          <w:sz w:val="24"/>
          <w:szCs w:val="24"/>
        </w:rPr>
        <w:t xml:space="preserve">Schedule, and any other item in the Schedule has effect </w:t>
      </w:r>
      <w:r w:rsidRPr="00D72A99">
        <w:rPr>
          <w:rFonts w:ascii="Times New Roman" w:hAnsi="Times New Roman" w:cs="Times New Roman"/>
          <w:sz w:val="24"/>
          <w:szCs w:val="24"/>
        </w:rPr>
        <w:t xml:space="preserve">according to </w:t>
      </w:r>
      <w:r w:rsidR="0031182D">
        <w:rPr>
          <w:rFonts w:ascii="Times New Roman" w:hAnsi="Times New Roman" w:cs="Times New Roman"/>
          <w:sz w:val="24"/>
          <w:szCs w:val="24"/>
        </w:rPr>
        <w:t>its</w:t>
      </w:r>
      <w:r w:rsidR="0031182D" w:rsidRPr="00D72A99">
        <w:rPr>
          <w:rFonts w:ascii="Times New Roman" w:hAnsi="Times New Roman" w:cs="Times New Roman"/>
          <w:sz w:val="24"/>
          <w:szCs w:val="24"/>
        </w:rPr>
        <w:t xml:space="preserve"> </w:t>
      </w:r>
      <w:r w:rsidRPr="00D72A99">
        <w:rPr>
          <w:rFonts w:ascii="Times New Roman" w:hAnsi="Times New Roman" w:cs="Times New Roman"/>
          <w:sz w:val="24"/>
          <w:szCs w:val="24"/>
        </w:rPr>
        <w:t>terms.</w:t>
      </w:r>
    </w:p>
    <w:p w14:paraId="0553A074" w14:textId="77777777" w:rsidR="002F5F87" w:rsidRDefault="00E34956" w:rsidP="00401CF3">
      <w:pPr>
        <w:keepNext/>
        <w:spacing w:before="240"/>
        <w:rPr>
          <w:rFonts w:ascii="Times New Roman" w:hAnsi="Times New Roman" w:cs="Times New Roman"/>
          <w:b/>
          <w:i/>
          <w:sz w:val="24"/>
          <w:szCs w:val="24"/>
        </w:rPr>
      </w:pPr>
      <w:r>
        <w:rPr>
          <w:rFonts w:ascii="Times New Roman" w:hAnsi="Times New Roman" w:cs="Times New Roman"/>
          <w:b/>
          <w:sz w:val="24"/>
          <w:szCs w:val="24"/>
        </w:rPr>
        <w:lastRenderedPageBreak/>
        <w:t xml:space="preserve">Schedule 1 </w:t>
      </w:r>
      <w:r w:rsidR="00802DD0">
        <w:rPr>
          <w:rFonts w:ascii="Times New Roman" w:hAnsi="Times New Roman" w:cs="Times New Roman"/>
          <w:b/>
          <w:sz w:val="24"/>
          <w:szCs w:val="24"/>
        </w:rPr>
        <w:t>–</w:t>
      </w:r>
      <w:r>
        <w:rPr>
          <w:rFonts w:ascii="Times New Roman" w:hAnsi="Times New Roman" w:cs="Times New Roman"/>
          <w:b/>
          <w:sz w:val="24"/>
          <w:szCs w:val="24"/>
        </w:rPr>
        <w:t xml:space="preserve"> Application</w:t>
      </w:r>
      <w:r w:rsidR="00802DD0">
        <w:rPr>
          <w:rFonts w:ascii="Times New Roman" w:hAnsi="Times New Roman" w:cs="Times New Roman"/>
          <w:b/>
          <w:sz w:val="24"/>
          <w:szCs w:val="24"/>
        </w:rPr>
        <w:t xml:space="preserve"> </w:t>
      </w:r>
      <w:r>
        <w:rPr>
          <w:rFonts w:ascii="Times New Roman" w:hAnsi="Times New Roman" w:cs="Times New Roman"/>
          <w:b/>
          <w:sz w:val="24"/>
          <w:szCs w:val="24"/>
        </w:rPr>
        <w:t>fee for change in control of registered titleholder</w:t>
      </w:r>
    </w:p>
    <w:p w14:paraId="001EC3E4" w14:textId="546ED4D5" w:rsidR="006745C3" w:rsidRPr="00594A54" w:rsidRDefault="0010475C" w:rsidP="00401CF3">
      <w:pPr>
        <w:keepNext/>
        <w:spacing w:before="240"/>
        <w:rPr>
          <w:rFonts w:ascii="Times New Roman" w:hAnsi="Times New Roman" w:cs="Times New Roman"/>
          <w:b/>
          <w:i/>
          <w:sz w:val="24"/>
          <w:szCs w:val="24"/>
        </w:rPr>
      </w:pPr>
      <w:r w:rsidRPr="00E02E99">
        <w:rPr>
          <w:rFonts w:ascii="Times New Roman" w:hAnsi="Times New Roman" w:cs="Times New Roman"/>
          <w:i/>
          <w:sz w:val="24"/>
          <w:szCs w:val="24"/>
        </w:rPr>
        <w:t>Offshore Petroleum and Greenhouse Gas Storage (Resource Management and Administration) Regulations 2011</w:t>
      </w:r>
    </w:p>
    <w:p w14:paraId="3CB597D5" w14:textId="6A1FBBDF" w:rsidR="005A7043" w:rsidRDefault="00594A54" w:rsidP="00E47763">
      <w:pPr>
        <w:keepNext/>
        <w:spacing w:before="240" w:after="240"/>
        <w:rPr>
          <w:rFonts w:ascii="Times New Roman" w:hAnsi="Times New Roman" w:cs="Times New Roman"/>
          <w:b/>
          <w:sz w:val="24"/>
          <w:szCs w:val="24"/>
        </w:rPr>
      </w:pPr>
      <w:r>
        <w:rPr>
          <w:rFonts w:ascii="Times New Roman" w:hAnsi="Times New Roman" w:cs="Times New Roman"/>
          <w:b/>
          <w:sz w:val="24"/>
          <w:szCs w:val="24"/>
        </w:rPr>
        <w:t xml:space="preserve">Item 1 </w:t>
      </w:r>
      <w:r w:rsidR="00134A24">
        <w:rPr>
          <w:rFonts w:ascii="Times New Roman" w:hAnsi="Times New Roman" w:cs="Times New Roman"/>
          <w:b/>
          <w:sz w:val="24"/>
          <w:szCs w:val="24"/>
        </w:rPr>
        <w:t>–</w:t>
      </w:r>
      <w:r>
        <w:rPr>
          <w:rFonts w:ascii="Times New Roman" w:hAnsi="Times New Roman" w:cs="Times New Roman"/>
          <w:b/>
          <w:sz w:val="24"/>
          <w:szCs w:val="24"/>
        </w:rPr>
        <w:t xml:space="preserve"> </w:t>
      </w:r>
      <w:r w:rsidR="005A7043">
        <w:rPr>
          <w:rFonts w:ascii="Times New Roman" w:hAnsi="Times New Roman" w:cs="Times New Roman"/>
          <w:b/>
          <w:sz w:val="24"/>
          <w:szCs w:val="24"/>
        </w:rPr>
        <w:t>After</w:t>
      </w:r>
      <w:r w:rsidR="00134A24">
        <w:rPr>
          <w:rFonts w:ascii="Times New Roman" w:hAnsi="Times New Roman" w:cs="Times New Roman"/>
          <w:b/>
          <w:sz w:val="24"/>
          <w:szCs w:val="24"/>
        </w:rPr>
        <w:t xml:space="preserve"> </w:t>
      </w:r>
      <w:r w:rsidR="005A7043">
        <w:rPr>
          <w:rFonts w:ascii="Times New Roman" w:hAnsi="Times New Roman" w:cs="Times New Roman"/>
          <w:b/>
          <w:sz w:val="24"/>
          <w:szCs w:val="24"/>
        </w:rPr>
        <w:t>subregulation 11.01(1A)</w:t>
      </w:r>
    </w:p>
    <w:p w14:paraId="6B3B2992" w14:textId="6699C198" w:rsidR="00143CA7" w:rsidRPr="008F256F" w:rsidRDefault="00143CA7" w:rsidP="00143CA7">
      <w:pPr>
        <w:spacing w:before="240" w:after="240"/>
        <w:rPr>
          <w:rFonts w:ascii="Times New Roman" w:hAnsi="Times New Roman" w:cs="Times New Roman"/>
          <w:sz w:val="24"/>
          <w:szCs w:val="24"/>
        </w:rPr>
      </w:pPr>
      <w:r w:rsidRPr="008F256F">
        <w:rPr>
          <w:rFonts w:ascii="Times New Roman" w:hAnsi="Times New Roman" w:cs="Times New Roman"/>
          <w:sz w:val="24"/>
          <w:szCs w:val="24"/>
        </w:rPr>
        <w:t xml:space="preserve">Regulation 11.01 of the </w:t>
      </w:r>
      <w:r w:rsidR="006D73D4" w:rsidRPr="00E6492B">
        <w:rPr>
          <w:rFonts w:ascii="Times New Roman" w:hAnsi="Times New Roman" w:cs="Times New Roman"/>
          <w:i/>
          <w:sz w:val="24"/>
          <w:szCs w:val="24"/>
        </w:rPr>
        <w:t>Offshore Petroleum and Greenhouse Gas Storage (Resource Management and Administration) Regulations 2011</w:t>
      </w:r>
      <w:r w:rsidR="006D73D4">
        <w:rPr>
          <w:rFonts w:ascii="Times New Roman" w:hAnsi="Times New Roman" w:cs="Times New Roman"/>
          <w:sz w:val="24"/>
          <w:szCs w:val="24"/>
        </w:rPr>
        <w:t xml:space="preserve"> (the </w:t>
      </w:r>
      <w:r w:rsidRPr="008F256F">
        <w:rPr>
          <w:rFonts w:ascii="Times New Roman" w:hAnsi="Times New Roman" w:cs="Times New Roman"/>
          <w:sz w:val="24"/>
          <w:szCs w:val="24"/>
        </w:rPr>
        <w:t>RMA Regulations</w:t>
      </w:r>
      <w:r w:rsidR="006D73D4">
        <w:rPr>
          <w:rFonts w:ascii="Times New Roman" w:hAnsi="Times New Roman" w:cs="Times New Roman"/>
          <w:sz w:val="24"/>
          <w:szCs w:val="24"/>
        </w:rPr>
        <w:t>)</w:t>
      </w:r>
      <w:r w:rsidRPr="008F256F">
        <w:rPr>
          <w:rFonts w:ascii="Times New Roman" w:hAnsi="Times New Roman" w:cs="Times New Roman"/>
          <w:sz w:val="24"/>
          <w:szCs w:val="24"/>
        </w:rPr>
        <w:t xml:space="preserve"> provides that</w:t>
      </w:r>
      <w:r w:rsidR="00C46448">
        <w:rPr>
          <w:rFonts w:ascii="Times New Roman" w:hAnsi="Times New Roman" w:cs="Times New Roman"/>
          <w:sz w:val="24"/>
          <w:szCs w:val="24"/>
        </w:rPr>
        <w:t xml:space="preserve"> Schedule 6 </w:t>
      </w:r>
      <w:r w:rsidR="00746EB0">
        <w:rPr>
          <w:rFonts w:ascii="Times New Roman" w:hAnsi="Times New Roman" w:cs="Times New Roman"/>
          <w:sz w:val="24"/>
          <w:szCs w:val="24"/>
        </w:rPr>
        <w:t xml:space="preserve">to </w:t>
      </w:r>
      <w:r w:rsidR="00C46448">
        <w:rPr>
          <w:rFonts w:ascii="Times New Roman" w:hAnsi="Times New Roman" w:cs="Times New Roman"/>
          <w:sz w:val="24"/>
          <w:szCs w:val="24"/>
        </w:rPr>
        <w:t xml:space="preserve">the RMA Regulations </w:t>
      </w:r>
      <w:r w:rsidR="00E52470">
        <w:rPr>
          <w:rFonts w:ascii="Times New Roman" w:hAnsi="Times New Roman" w:cs="Times New Roman"/>
          <w:sz w:val="24"/>
          <w:szCs w:val="24"/>
        </w:rPr>
        <w:t xml:space="preserve">specifies the prescribed fee for </w:t>
      </w:r>
      <w:r w:rsidR="006D73D4">
        <w:rPr>
          <w:rFonts w:ascii="Times New Roman" w:hAnsi="Times New Roman" w:cs="Times New Roman"/>
          <w:sz w:val="24"/>
          <w:szCs w:val="24"/>
        </w:rPr>
        <w:t>certain provisions</w:t>
      </w:r>
      <w:r w:rsidR="006B6D96">
        <w:rPr>
          <w:rFonts w:ascii="Times New Roman" w:hAnsi="Times New Roman" w:cs="Times New Roman"/>
          <w:sz w:val="24"/>
          <w:szCs w:val="24"/>
        </w:rPr>
        <w:t xml:space="preserve"> of the OPGGS Act.</w:t>
      </w:r>
    </w:p>
    <w:p w14:paraId="799C33AC" w14:textId="33A4D729" w:rsidR="00143CA7" w:rsidRPr="008F256F" w:rsidRDefault="00143CA7" w:rsidP="00143CA7">
      <w:pPr>
        <w:spacing w:before="240" w:after="240"/>
        <w:rPr>
          <w:rFonts w:ascii="Times New Roman" w:hAnsi="Times New Roman" w:cs="Times New Roman"/>
          <w:sz w:val="24"/>
          <w:szCs w:val="24"/>
        </w:rPr>
      </w:pPr>
      <w:r w:rsidRPr="008F256F">
        <w:rPr>
          <w:rFonts w:ascii="Times New Roman" w:hAnsi="Times New Roman" w:cs="Times New Roman"/>
          <w:sz w:val="24"/>
          <w:szCs w:val="24"/>
        </w:rPr>
        <w:t xml:space="preserve">New subregulation 11.01(1AA) provides that the </w:t>
      </w:r>
      <w:r w:rsidR="0031182D">
        <w:rPr>
          <w:rFonts w:ascii="Times New Roman" w:hAnsi="Times New Roman" w:cs="Times New Roman"/>
          <w:sz w:val="24"/>
          <w:szCs w:val="24"/>
        </w:rPr>
        <w:t xml:space="preserve">prescribed </w:t>
      </w:r>
      <w:r w:rsidRPr="008F256F">
        <w:rPr>
          <w:rFonts w:ascii="Times New Roman" w:hAnsi="Times New Roman" w:cs="Times New Roman"/>
          <w:sz w:val="24"/>
          <w:szCs w:val="24"/>
        </w:rPr>
        <w:t xml:space="preserve">fee for </w:t>
      </w:r>
      <w:r w:rsidR="006D73D4">
        <w:rPr>
          <w:rFonts w:ascii="Times New Roman" w:hAnsi="Times New Roman" w:cs="Times New Roman"/>
          <w:sz w:val="24"/>
          <w:szCs w:val="24"/>
        </w:rPr>
        <w:t xml:space="preserve">an </w:t>
      </w:r>
      <w:r w:rsidRPr="008F256F">
        <w:rPr>
          <w:rFonts w:ascii="Times New Roman" w:hAnsi="Times New Roman" w:cs="Times New Roman"/>
          <w:sz w:val="24"/>
          <w:szCs w:val="24"/>
        </w:rPr>
        <w:t xml:space="preserve">application for the approval of a change in control of a titleholder under </w:t>
      </w:r>
      <w:r w:rsidR="00134A24">
        <w:rPr>
          <w:rFonts w:ascii="Times New Roman" w:hAnsi="Times New Roman" w:cs="Times New Roman"/>
          <w:sz w:val="24"/>
          <w:szCs w:val="24"/>
        </w:rPr>
        <w:t xml:space="preserve">new </w:t>
      </w:r>
      <w:r w:rsidRPr="008F256F">
        <w:rPr>
          <w:rFonts w:ascii="Times New Roman" w:hAnsi="Times New Roman" w:cs="Times New Roman"/>
          <w:sz w:val="24"/>
          <w:szCs w:val="24"/>
        </w:rPr>
        <w:t xml:space="preserve">section 566M of the OPGGS </w:t>
      </w:r>
      <w:r>
        <w:rPr>
          <w:rFonts w:ascii="Times New Roman" w:hAnsi="Times New Roman" w:cs="Times New Roman"/>
          <w:sz w:val="24"/>
          <w:szCs w:val="24"/>
        </w:rPr>
        <w:t xml:space="preserve">Act </w:t>
      </w:r>
      <w:r w:rsidRPr="008F256F">
        <w:rPr>
          <w:rFonts w:ascii="Times New Roman" w:hAnsi="Times New Roman" w:cs="Times New Roman"/>
          <w:sz w:val="24"/>
          <w:szCs w:val="24"/>
        </w:rPr>
        <w:t xml:space="preserve">is </w:t>
      </w:r>
      <w:r w:rsidR="0031182D">
        <w:rPr>
          <w:rFonts w:ascii="Times New Roman" w:hAnsi="Times New Roman" w:cs="Times New Roman"/>
          <w:sz w:val="24"/>
          <w:szCs w:val="24"/>
        </w:rPr>
        <w:t>the fee specified</w:t>
      </w:r>
      <w:r w:rsidR="0031182D" w:rsidRPr="008F256F">
        <w:rPr>
          <w:rFonts w:ascii="Times New Roman" w:hAnsi="Times New Roman" w:cs="Times New Roman"/>
          <w:sz w:val="24"/>
          <w:szCs w:val="24"/>
        </w:rPr>
        <w:t xml:space="preserve"> </w:t>
      </w:r>
      <w:r w:rsidRPr="008F256F">
        <w:rPr>
          <w:rFonts w:ascii="Times New Roman" w:hAnsi="Times New Roman" w:cs="Times New Roman"/>
          <w:sz w:val="24"/>
          <w:szCs w:val="24"/>
        </w:rPr>
        <w:t xml:space="preserve">in </w:t>
      </w:r>
      <w:r w:rsidR="0031182D">
        <w:rPr>
          <w:rFonts w:ascii="Times New Roman" w:hAnsi="Times New Roman" w:cs="Times New Roman"/>
          <w:sz w:val="24"/>
          <w:szCs w:val="24"/>
        </w:rPr>
        <w:t xml:space="preserve">new </w:t>
      </w:r>
      <w:r w:rsidRPr="008F256F">
        <w:rPr>
          <w:rFonts w:ascii="Times New Roman" w:hAnsi="Times New Roman" w:cs="Times New Roman"/>
          <w:sz w:val="24"/>
          <w:szCs w:val="24"/>
        </w:rPr>
        <w:t xml:space="preserve">Division 2A of Part 1 of Schedule 6 </w:t>
      </w:r>
      <w:r w:rsidR="00746EB0">
        <w:rPr>
          <w:rFonts w:ascii="Times New Roman" w:hAnsi="Times New Roman" w:cs="Times New Roman"/>
          <w:sz w:val="24"/>
          <w:szCs w:val="24"/>
        </w:rPr>
        <w:t>to</w:t>
      </w:r>
      <w:r w:rsidR="00746EB0" w:rsidRPr="008F256F">
        <w:rPr>
          <w:rFonts w:ascii="Times New Roman" w:hAnsi="Times New Roman" w:cs="Times New Roman"/>
          <w:sz w:val="24"/>
          <w:szCs w:val="24"/>
        </w:rPr>
        <w:t xml:space="preserve"> </w:t>
      </w:r>
      <w:r w:rsidRPr="008F256F">
        <w:rPr>
          <w:rFonts w:ascii="Times New Roman" w:hAnsi="Times New Roman" w:cs="Times New Roman"/>
          <w:sz w:val="24"/>
          <w:szCs w:val="24"/>
        </w:rPr>
        <w:t xml:space="preserve">the RMA Regulations. </w:t>
      </w:r>
    </w:p>
    <w:p w14:paraId="50282EE5" w14:textId="02090CAF" w:rsidR="00E34956" w:rsidRDefault="005A7043" w:rsidP="000D0E22">
      <w:pPr>
        <w:spacing w:before="240" w:after="240"/>
        <w:rPr>
          <w:rFonts w:ascii="Times New Roman" w:hAnsi="Times New Roman" w:cs="Times New Roman"/>
          <w:b/>
          <w:sz w:val="24"/>
          <w:szCs w:val="24"/>
        </w:rPr>
      </w:pPr>
      <w:r>
        <w:rPr>
          <w:rFonts w:ascii="Times New Roman" w:hAnsi="Times New Roman" w:cs="Times New Roman"/>
          <w:b/>
          <w:sz w:val="24"/>
          <w:szCs w:val="24"/>
        </w:rPr>
        <w:t xml:space="preserve">Item 2 – After Division 2 of Part 1 of Schedule 6 </w:t>
      </w:r>
    </w:p>
    <w:p w14:paraId="44F76C08" w14:textId="76AC38AF" w:rsidR="001843D0" w:rsidRDefault="006D73D4" w:rsidP="000D0E22">
      <w:pPr>
        <w:spacing w:before="240"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item inserts new </w:t>
      </w:r>
      <w:r w:rsidR="000E17E2" w:rsidRPr="00B17C33">
        <w:rPr>
          <w:rFonts w:ascii="Times New Roman" w:eastAsia="Times New Roman" w:hAnsi="Times New Roman" w:cs="Times New Roman"/>
          <w:color w:val="000000"/>
          <w:sz w:val="24"/>
          <w:szCs w:val="24"/>
          <w:lang w:eastAsia="en-AU"/>
        </w:rPr>
        <w:t>Division 2A</w:t>
      </w:r>
      <w:r w:rsidR="00802DD0">
        <w:rPr>
          <w:rFonts w:ascii="Times New Roman" w:eastAsia="Times New Roman" w:hAnsi="Times New Roman" w:cs="Times New Roman"/>
          <w:color w:val="000000"/>
          <w:sz w:val="24"/>
          <w:szCs w:val="24"/>
          <w:lang w:eastAsia="en-AU"/>
        </w:rPr>
        <w:t xml:space="preserve"> into Part 1 of Schedule 6. This new Division</w:t>
      </w:r>
      <w:r w:rsidR="006B6D96">
        <w:rPr>
          <w:rFonts w:ascii="Times New Roman" w:eastAsia="Times New Roman" w:hAnsi="Times New Roman" w:cs="Times New Roman"/>
          <w:color w:val="000000"/>
          <w:sz w:val="24"/>
          <w:szCs w:val="24"/>
          <w:lang w:eastAsia="en-AU"/>
        </w:rPr>
        <w:t xml:space="preserve"> </w:t>
      </w:r>
      <w:r w:rsidR="00802DD0">
        <w:rPr>
          <w:rFonts w:ascii="Times New Roman" w:eastAsia="Times New Roman" w:hAnsi="Times New Roman" w:cs="Times New Roman"/>
          <w:color w:val="000000"/>
          <w:sz w:val="24"/>
          <w:szCs w:val="24"/>
          <w:lang w:eastAsia="en-AU"/>
        </w:rPr>
        <w:t>sets out</w:t>
      </w:r>
      <w:r w:rsidR="00802DD0" w:rsidRPr="00B17C33">
        <w:rPr>
          <w:rFonts w:ascii="Times New Roman" w:eastAsia="Times New Roman" w:hAnsi="Times New Roman" w:cs="Times New Roman"/>
          <w:color w:val="000000"/>
          <w:sz w:val="24"/>
          <w:szCs w:val="24"/>
          <w:lang w:eastAsia="en-AU"/>
        </w:rPr>
        <w:t xml:space="preserve"> </w:t>
      </w:r>
      <w:r w:rsidR="000E17E2" w:rsidRPr="00B17C33">
        <w:rPr>
          <w:rFonts w:ascii="Times New Roman" w:eastAsia="Times New Roman" w:hAnsi="Times New Roman" w:cs="Times New Roman"/>
          <w:color w:val="000000"/>
          <w:sz w:val="24"/>
          <w:szCs w:val="24"/>
          <w:lang w:eastAsia="en-AU"/>
        </w:rPr>
        <w:t xml:space="preserve">the </w:t>
      </w:r>
      <w:r w:rsidR="00C77AC7">
        <w:rPr>
          <w:rFonts w:ascii="Times New Roman" w:eastAsia="Times New Roman" w:hAnsi="Times New Roman" w:cs="Times New Roman"/>
          <w:color w:val="000000"/>
          <w:sz w:val="24"/>
          <w:szCs w:val="24"/>
          <w:lang w:eastAsia="en-AU"/>
        </w:rPr>
        <w:t>application</w:t>
      </w:r>
      <w:r w:rsidR="00802DD0">
        <w:rPr>
          <w:rFonts w:ascii="Times New Roman" w:eastAsia="Times New Roman" w:hAnsi="Times New Roman" w:cs="Times New Roman"/>
          <w:color w:val="000000"/>
          <w:sz w:val="24"/>
          <w:szCs w:val="24"/>
          <w:lang w:eastAsia="en-AU"/>
        </w:rPr>
        <w:t xml:space="preserve"> </w:t>
      </w:r>
      <w:r w:rsidR="000E17E2" w:rsidRPr="00B17C33">
        <w:rPr>
          <w:rFonts w:ascii="Times New Roman" w:eastAsia="Times New Roman" w:hAnsi="Times New Roman" w:cs="Times New Roman"/>
          <w:color w:val="000000"/>
          <w:sz w:val="24"/>
          <w:szCs w:val="24"/>
          <w:lang w:eastAsia="en-AU"/>
        </w:rPr>
        <w:t>fee payable under section 566M of the OPGGS Act</w:t>
      </w:r>
      <w:r w:rsidR="00802DD0">
        <w:rPr>
          <w:rFonts w:ascii="Times New Roman" w:eastAsia="Times New Roman" w:hAnsi="Times New Roman" w:cs="Times New Roman"/>
          <w:color w:val="000000"/>
          <w:sz w:val="24"/>
          <w:szCs w:val="24"/>
          <w:lang w:eastAsia="en-AU"/>
        </w:rPr>
        <w:t xml:space="preserve">. This fee is required to accompany </w:t>
      </w:r>
      <w:r w:rsidR="00802DD0" w:rsidRPr="00B17C33">
        <w:rPr>
          <w:rFonts w:ascii="Times New Roman" w:eastAsia="Times New Roman" w:hAnsi="Times New Roman" w:cs="Times New Roman"/>
          <w:color w:val="000000"/>
          <w:sz w:val="24"/>
          <w:szCs w:val="24"/>
          <w:lang w:eastAsia="en-AU"/>
        </w:rPr>
        <w:t>an application for the approval of a change in control of a titleholder</w:t>
      </w:r>
      <w:r w:rsidR="000E17E2" w:rsidRPr="00B17C33">
        <w:rPr>
          <w:rFonts w:ascii="Times New Roman" w:eastAsia="Times New Roman" w:hAnsi="Times New Roman" w:cs="Times New Roman"/>
          <w:color w:val="000000"/>
          <w:sz w:val="24"/>
          <w:szCs w:val="24"/>
          <w:lang w:eastAsia="en-AU"/>
        </w:rPr>
        <w:t xml:space="preserve">. Consistent with </w:t>
      </w:r>
      <w:r w:rsidR="00802DD0">
        <w:rPr>
          <w:rFonts w:ascii="Times New Roman" w:eastAsia="Times New Roman" w:hAnsi="Times New Roman" w:cs="Times New Roman"/>
          <w:color w:val="000000"/>
          <w:sz w:val="24"/>
          <w:szCs w:val="24"/>
          <w:lang w:eastAsia="en-AU"/>
        </w:rPr>
        <w:t xml:space="preserve">the </w:t>
      </w:r>
      <w:r w:rsidR="000E17E2" w:rsidRPr="00B17C33">
        <w:rPr>
          <w:rFonts w:ascii="Times New Roman" w:eastAsia="Times New Roman" w:hAnsi="Times New Roman" w:cs="Times New Roman"/>
          <w:color w:val="000000"/>
          <w:sz w:val="24"/>
          <w:szCs w:val="24"/>
          <w:lang w:eastAsia="en-AU"/>
        </w:rPr>
        <w:t xml:space="preserve">other </w:t>
      </w:r>
      <w:r w:rsidR="007B7B25">
        <w:rPr>
          <w:rFonts w:ascii="Times New Roman" w:eastAsia="Times New Roman" w:hAnsi="Times New Roman" w:cs="Times New Roman"/>
          <w:color w:val="000000"/>
          <w:sz w:val="24"/>
          <w:szCs w:val="24"/>
          <w:lang w:eastAsia="en-AU"/>
        </w:rPr>
        <w:t>type</w:t>
      </w:r>
      <w:r w:rsidR="00802DD0">
        <w:rPr>
          <w:rFonts w:ascii="Times New Roman" w:eastAsia="Times New Roman" w:hAnsi="Times New Roman" w:cs="Times New Roman"/>
          <w:color w:val="000000"/>
          <w:sz w:val="24"/>
          <w:szCs w:val="24"/>
          <w:lang w:eastAsia="en-AU"/>
        </w:rPr>
        <w:t>s</w:t>
      </w:r>
      <w:r w:rsidR="007B7B25">
        <w:rPr>
          <w:rFonts w:ascii="Times New Roman" w:eastAsia="Times New Roman" w:hAnsi="Times New Roman" w:cs="Times New Roman"/>
          <w:color w:val="000000"/>
          <w:sz w:val="24"/>
          <w:szCs w:val="24"/>
          <w:lang w:eastAsia="en-AU"/>
        </w:rPr>
        <w:t xml:space="preserve"> of </w:t>
      </w:r>
      <w:r>
        <w:rPr>
          <w:rFonts w:ascii="Times New Roman" w:eastAsia="Times New Roman" w:hAnsi="Times New Roman" w:cs="Times New Roman"/>
          <w:color w:val="000000"/>
          <w:sz w:val="24"/>
          <w:szCs w:val="24"/>
          <w:lang w:eastAsia="en-AU"/>
        </w:rPr>
        <w:t xml:space="preserve">application </w:t>
      </w:r>
      <w:r w:rsidR="000E17E2" w:rsidRPr="00B17C33">
        <w:rPr>
          <w:rFonts w:ascii="Times New Roman" w:eastAsia="Times New Roman" w:hAnsi="Times New Roman" w:cs="Times New Roman"/>
          <w:color w:val="000000"/>
          <w:sz w:val="24"/>
          <w:szCs w:val="24"/>
          <w:lang w:eastAsia="en-AU"/>
        </w:rPr>
        <w:t>fees prescribed in the RMA Regulations, the fee amount is $</w:t>
      </w:r>
      <w:r w:rsidR="00802DD0">
        <w:rPr>
          <w:rFonts w:ascii="Times New Roman" w:eastAsia="Times New Roman" w:hAnsi="Times New Roman" w:cs="Times New Roman"/>
          <w:color w:val="000000"/>
          <w:sz w:val="24"/>
          <w:szCs w:val="24"/>
          <w:lang w:eastAsia="en-AU"/>
        </w:rPr>
        <w:t>8</w:t>
      </w:r>
      <w:r w:rsidR="000E17E2" w:rsidRPr="00B17C33">
        <w:rPr>
          <w:rFonts w:ascii="Times New Roman" w:eastAsia="Times New Roman" w:hAnsi="Times New Roman" w:cs="Times New Roman"/>
          <w:color w:val="000000"/>
          <w:sz w:val="24"/>
          <w:szCs w:val="24"/>
          <w:lang w:eastAsia="en-AU"/>
        </w:rPr>
        <w:t>,</w:t>
      </w:r>
      <w:r w:rsidR="00802DD0">
        <w:rPr>
          <w:rFonts w:ascii="Times New Roman" w:eastAsia="Times New Roman" w:hAnsi="Times New Roman" w:cs="Times New Roman"/>
          <w:color w:val="000000"/>
          <w:sz w:val="24"/>
          <w:szCs w:val="24"/>
          <w:lang w:eastAsia="en-AU"/>
        </w:rPr>
        <w:t>25</w:t>
      </w:r>
      <w:r w:rsidR="00802DD0" w:rsidRPr="00B17C33">
        <w:rPr>
          <w:rFonts w:ascii="Times New Roman" w:eastAsia="Times New Roman" w:hAnsi="Times New Roman" w:cs="Times New Roman"/>
          <w:color w:val="000000"/>
          <w:sz w:val="24"/>
          <w:szCs w:val="24"/>
          <w:lang w:eastAsia="en-AU"/>
        </w:rPr>
        <w:t>0</w:t>
      </w:r>
      <w:r w:rsidR="000E17E2" w:rsidRPr="00B17C33">
        <w:rPr>
          <w:rFonts w:ascii="Times New Roman" w:eastAsia="Times New Roman" w:hAnsi="Times New Roman" w:cs="Times New Roman"/>
          <w:color w:val="000000"/>
          <w:sz w:val="24"/>
          <w:szCs w:val="24"/>
          <w:lang w:eastAsia="en-AU"/>
        </w:rPr>
        <w:t>.</w:t>
      </w:r>
    </w:p>
    <w:p w14:paraId="62B4BAB4" w14:textId="39CB2767" w:rsidR="007B7B25" w:rsidRPr="000E17E2" w:rsidRDefault="00C46448" w:rsidP="000D0E22">
      <w:pPr>
        <w:spacing w:before="240"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w:t>
      </w:r>
      <w:r w:rsidR="00802DD0">
        <w:rPr>
          <w:rFonts w:ascii="Times New Roman" w:eastAsia="Times New Roman" w:hAnsi="Times New Roman" w:cs="Times New Roman"/>
          <w:color w:val="000000"/>
          <w:sz w:val="24"/>
          <w:szCs w:val="24"/>
          <w:lang w:eastAsia="en-AU"/>
        </w:rPr>
        <w:t>is</w:t>
      </w:r>
      <w:r>
        <w:rPr>
          <w:rFonts w:ascii="Times New Roman" w:eastAsia="Times New Roman" w:hAnsi="Times New Roman" w:cs="Times New Roman"/>
          <w:color w:val="000000"/>
          <w:sz w:val="24"/>
          <w:szCs w:val="24"/>
          <w:lang w:eastAsia="en-AU"/>
        </w:rPr>
        <w:t xml:space="preserve"> fee amount </w:t>
      </w:r>
      <w:r w:rsidR="00802DD0">
        <w:rPr>
          <w:rFonts w:ascii="Times New Roman" w:eastAsia="Times New Roman" w:hAnsi="Times New Roman" w:cs="Times New Roman"/>
          <w:color w:val="000000"/>
          <w:sz w:val="24"/>
          <w:szCs w:val="24"/>
          <w:lang w:eastAsia="en-AU"/>
        </w:rPr>
        <w:t>is not</w:t>
      </w:r>
      <w:r>
        <w:rPr>
          <w:rFonts w:ascii="Times New Roman" w:eastAsia="Times New Roman" w:hAnsi="Times New Roman" w:cs="Times New Roman"/>
          <w:color w:val="000000"/>
          <w:sz w:val="24"/>
          <w:szCs w:val="24"/>
          <w:lang w:eastAsia="en-AU"/>
        </w:rPr>
        <w:t xml:space="preserve"> such </w:t>
      </w:r>
      <w:r w:rsidR="00802DD0">
        <w:rPr>
          <w:rFonts w:ascii="Times New Roman" w:eastAsia="Times New Roman" w:hAnsi="Times New Roman" w:cs="Times New Roman"/>
          <w:color w:val="000000"/>
          <w:sz w:val="24"/>
          <w:szCs w:val="24"/>
          <w:lang w:eastAsia="en-AU"/>
        </w:rPr>
        <w:t>as to</w:t>
      </w:r>
      <w:r>
        <w:rPr>
          <w:rFonts w:ascii="Times New Roman" w:eastAsia="Times New Roman" w:hAnsi="Times New Roman" w:cs="Times New Roman"/>
          <w:color w:val="000000"/>
          <w:sz w:val="24"/>
          <w:szCs w:val="24"/>
          <w:lang w:eastAsia="en-AU"/>
        </w:rPr>
        <w:t xml:space="preserve"> amount to taxation. </w:t>
      </w:r>
      <w:r w:rsidR="00802DD0">
        <w:rPr>
          <w:rFonts w:ascii="Times New Roman" w:eastAsia="Times New Roman" w:hAnsi="Times New Roman" w:cs="Times New Roman"/>
          <w:color w:val="000000"/>
          <w:sz w:val="24"/>
          <w:szCs w:val="24"/>
          <w:lang w:eastAsia="en-AU"/>
        </w:rPr>
        <w:t xml:space="preserve">Following a comprehensive review of activities and rates, </w:t>
      </w:r>
      <w:r>
        <w:rPr>
          <w:rFonts w:ascii="Times New Roman" w:eastAsia="Times New Roman" w:hAnsi="Times New Roman" w:cs="Times New Roman"/>
          <w:color w:val="000000"/>
          <w:sz w:val="24"/>
          <w:szCs w:val="24"/>
          <w:lang w:eastAsia="en-AU"/>
        </w:rPr>
        <w:t xml:space="preserve">a flat fee structure </w:t>
      </w:r>
      <w:r w:rsidR="00802DD0">
        <w:rPr>
          <w:rFonts w:ascii="Times New Roman" w:eastAsia="Times New Roman" w:hAnsi="Times New Roman" w:cs="Times New Roman"/>
          <w:color w:val="000000"/>
          <w:sz w:val="24"/>
          <w:szCs w:val="24"/>
          <w:lang w:eastAsia="en-AU"/>
        </w:rPr>
        <w:t xml:space="preserve">(currently set at </w:t>
      </w:r>
      <w:r>
        <w:rPr>
          <w:rFonts w:ascii="Times New Roman" w:eastAsia="Times New Roman" w:hAnsi="Times New Roman" w:cs="Times New Roman"/>
          <w:color w:val="000000"/>
          <w:sz w:val="24"/>
          <w:szCs w:val="24"/>
          <w:lang w:eastAsia="en-AU"/>
        </w:rPr>
        <w:t>$</w:t>
      </w:r>
      <w:r w:rsidR="00802DD0">
        <w:rPr>
          <w:rFonts w:ascii="Times New Roman" w:eastAsia="Times New Roman" w:hAnsi="Times New Roman" w:cs="Times New Roman"/>
          <w:color w:val="000000"/>
          <w:sz w:val="24"/>
          <w:szCs w:val="24"/>
          <w:lang w:eastAsia="en-AU"/>
        </w:rPr>
        <w:t>8</w:t>
      </w:r>
      <w:r>
        <w:rPr>
          <w:rFonts w:ascii="Times New Roman" w:eastAsia="Times New Roman" w:hAnsi="Times New Roman" w:cs="Times New Roman"/>
          <w:color w:val="000000"/>
          <w:sz w:val="24"/>
          <w:szCs w:val="24"/>
          <w:lang w:eastAsia="en-AU"/>
        </w:rPr>
        <w:t>,</w:t>
      </w:r>
      <w:r w:rsidR="00802DD0">
        <w:rPr>
          <w:rFonts w:ascii="Times New Roman" w:eastAsia="Times New Roman" w:hAnsi="Times New Roman" w:cs="Times New Roman"/>
          <w:color w:val="000000"/>
          <w:sz w:val="24"/>
          <w:szCs w:val="24"/>
          <w:lang w:eastAsia="en-AU"/>
        </w:rPr>
        <w:t>25</w:t>
      </w:r>
      <w:r>
        <w:rPr>
          <w:rFonts w:ascii="Times New Roman" w:eastAsia="Times New Roman" w:hAnsi="Times New Roman" w:cs="Times New Roman"/>
          <w:color w:val="000000"/>
          <w:sz w:val="24"/>
          <w:szCs w:val="24"/>
          <w:lang w:eastAsia="en-AU"/>
        </w:rPr>
        <w:t>0 per application</w:t>
      </w:r>
      <w:r w:rsidR="00802DD0">
        <w:rPr>
          <w:rFonts w:ascii="Times New Roman" w:eastAsia="Times New Roman" w:hAnsi="Times New Roman" w:cs="Times New Roman"/>
          <w:color w:val="000000"/>
          <w:sz w:val="24"/>
          <w:szCs w:val="24"/>
          <w:lang w:eastAsia="en-AU"/>
        </w:rPr>
        <w:t>) was established</w:t>
      </w:r>
      <w:r>
        <w:rPr>
          <w:rFonts w:ascii="Times New Roman" w:eastAsia="Times New Roman" w:hAnsi="Times New Roman" w:cs="Times New Roman"/>
          <w:color w:val="000000"/>
          <w:sz w:val="24"/>
          <w:szCs w:val="24"/>
          <w:lang w:eastAsia="en-AU"/>
        </w:rPr>
        <w:t xml:space="preserve"> on the basis that similar effort was required to assess the different types of applications. </w:t>
      </w:r>
      <w:r w:rsidR="00903DC5">
        <w:rPr>
          <w:rFonts w:ascii="Times New Roman" w:eastAsia="Times New Roman" w:hAnsi="Times New Roman" w:cs="Times New Roman"/>
          <w:color w:val="000000"/>
          <w:sz w:val="24"/>
          <w:szCs w:val="24"/>
          <w:lang w:eastAsia="en-AU"/>
        </w:rPr>
        <w:t>This fee rate represents</w:t>
      </w:r>
      <w:r>
        <w:rPr>
          <w:rFonts w:ascii="Times New Roman" w:eastAsia="Times New Roman" w:hAnsi="Times New Roman" w:cs="Times New Roman"/>
          <w:color w:val="000000"/>
          <w:sz w:val="24"/>
          <w:szCs w:val="24"/>
          <w:lang w:eastAsia="en-AU"/>
        </w:rPr>
        <w:t xml:space="preserve"> the average cost of assessing each type of application submitted to </w:t>
      </w:r>
      <w:r w:rsidR="0014456B">
        <w:rPr>
          <w:rFonts w:ascii="Times New Roman" w:eastAsia="Times New Roman" w:hAnsi="Times New Roman" w:cs="Times New Roman"/>
          <w:color w:val="000000"/>
          <w:sz w:val="24"/>
          <w:szCs w:val="24"/>
          <w:lang w:eastAsia="en-AU"/>
        </w:rPr>
        <w:t>the</w:t>
      </w:r>
      <w:r w:rsidR="00EC47C4">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National Offshore Petroleum Titles Administrator</w:t>
      </w:r>
      <w:r w:rsidR="00903DC5">
        <w:rPr>
          <w:rFonts w:ascii="Times New Roman" w:eastAsia="Times New Roman" w:hAnsi="Times New Roman" w:cs="Times New Roman"/>
          <w:color w:val="000000"/>
          <w:sz w:val="24"/>
          <w:szCs w:val="24"/>
          <w:lang w:eastAsia="en-AU"/>
        </w:rPr>
        <w:t>. Fees have been determined on the estimated cost, based on management estimates of the level of effort required</w:t>
      </w:r>
      <w:r>
        <w:rPr>
          <w:rFonts w:ascii="Times New Roman" w:eastAsia="Times New Roman" w:hAnsi="Times New Roman" w:cs="Times New Roman"/>
          <w:color w:val="000000"/>
          <w:sz w:val="24"/>
          <w:szCs w:val="24"/>
          <w:lang w:eastAsia="en-AU"/>
        </w:rPr>
        <w:t xml:space="preserve">. </w:t>
      </w:r>
      <w:r w:rsidR="00903DC5">
        <w:rPr>
          <w:rFonts w:ascii="Times New Roman" w:eastAsia="Times New Roman" w:hAnsi="Times New Roman" w:cs="Times New Roman"/>
          <w:color w:val="000000"/>
          <w:sz w:val="24"/>
          <w:szCs w:val="24"/>
          <w:lang w:eastAsia="en-AU"/>
        </w:rPr>
        <w:t xml:space="preserve">This fee rate was calculated by dividing </w:t>
      </w:r>
      <w:r>
        <w:rPr>
          <w:rFonts w:ascii="Times New Roman" w:eastAsia="Times New Roman" w:hAnsi="Times New Roman" w:cs="Times New Roman"/>
          <w:color w:val="000000"/>
          <w:sz w:val="24"/>
          <w:szCs w:val="24"/>
          <w:lang w:eastAsia="en-AU"/>
        </w:rPr>
        <w:t>the estimated cost</w:t>
      </w:r>
      <w:r w:rsidR="00903DC5">
        <w:rPr>
          <w:rFonts w:ascii="Times New Roman" w:eastAsia="Times New Roman" w:hAnsi="Times New Roman" w:cs="Times New Roman"/>
          <w:color w:val="000000"/>
          <w:sz w:val="24"/>
          <w:szCs w:val="24"/>
          <w:lang w:eastAsia="en-AU"/>
        </w:rPr>
        <w:t xml:space="preserve"> to be recovered for each type of application by the estimated number of applications</w:t>
      </w:r>
      <w:r>
        <w:rPr>
          <w:rFonts w:ascii="Times New Roman" w:eastAsia="Times New Roman" w:hAnsi="Times New Roman" w:cs="Times New Roman"/>
          <w:color w:val="000000"/>
          <w:sz w:val="24"/>
          <w:szCs w:val="24"/>
          <w:lang w:eastAsia="en-AU"/>
        </w:rPr>
        <w:t xml:space="preserve">. </w:t>
      </w:r>
    </w:p>
    <w:p w14:paraId="56A87189" w14:textId="1FBCA03E" w:rsidR="00E02E99" w:rsidRDefault="007627CB" w:rsidP="00E47763">
      <w:pPr>
        <w:keepNext/>
        <w:spacing w:before="240"/>
        <w:rPr>
          <w:rFonts w:ascii="Times New Roman" w:hAnsi="Times New Roman" w:cs="Times New Roman"/>
          <w:b/>
          <w:i/>
          <w:sz w:val="24"/>
          <w:szCs w:val="24"/>
        </w:rPr>
      </w:pPr>
      <w:r>
        <w:rPr>
          <w:rFonts w:ascii="Times New Roman" w:hAnsi="Times New Roman" w:cs="Times New Roman"/>
          <w:b/>
          <w:sz w:val="24"/>
          <w:szCs w:val="24"/>
        </w:rPr>
        <w:t>Schedule 2 – Trailing liability</w:t>
      </w:r>
    </w:p>
    <w:p w14:paraId="30156EB7" w14:textId="17187EB9" w:rsidR="007627CB" w:rsidRPr="00E02E99" w:rsidRDefault="0010475C" w:rsidP="00E47763">
      <w:pPr>
        <w:keepNext/>
        <w:spacing w:before="240"/>
        <w:rPr>
          <w:rFonts w:ascii="Times New Roman" w:hAnsi="Times New Roman" w:cs="Times New Roman"/>
          <w:i/>
          <w:sz w:val="24"/>
          <w:szCs w:val="24"/>
        </w:rPr>
      </w:pPr>
      <w:r w:rsidRPr="00E02E99">
        <w:rPr>
          <w:rFonts w:ascii="Times New Roman" w:hAnsi="Times New Roman" w:cs="Times New Roman"/>
          <w:i/>
          <w:sz w:val="24"/>
          <w:szCs w:val="24"/>
        </w:rPr>
        <w:t>Offshore Petroleum and Greenhouse Gas Storage (Environment) Regulations 2009</w:t>
      </w:r>
    </w:p>
    <w:p w14:paraId="1975BD94" w14:textId="700AA6E5" w:rsidR="00366EF0" w:rsidRDefault="00E02E99" w:rsidP="00E47763">
      <w:pPr>
        <w:keepNext/>
        <w:spacing w:before="240" w:after="240"/>
        <w:rPr>
          <w:rFonts w:ascii="Times New Roman" w:hAnsi="Times New Roman" w:cs="Times New Roman"/>
          <w:b/>
          <w:sz w:val="24"/>
          <w:szCs w:val="24"/>
        </w:rPr>
      </w:pPr>
      <w:r>
        <w:rPr>
          <w:rFonts w:ascii="Times New Roman" w:hAnsi="Times New Roman" w:cs="Times New Roman"/>
          <w:b/>
          <w:sz w:val="24"/>
          <w:szCs w:val="24"/>
        </w:rPr>
        <w:t>I</w:t>
      </w:r>
      <w:r w:rsidR="005A7043">
        <w:rPr>
          <w:rFonts w:ascii="Times New Roman" w:hAnsi="Times New Roman" w:cs="Times New Roman"/>
          <w:b/>
          <w:sz w:val="24"/>
          <w:szCs w:val="24"/>
        </w:rPr>
        <w:t>tem 1</w:t>
      </w:r>
      <w:r>
        <w:rPr>
          <w:rFonts w:ascii="Times New Roman" w:hAnsi="Times New Roman" w:cs="Times New Roman"/>
          <w:b/>
          <w:sz w:val="24"/>
          <w:szCs w:val="24"/>
        </w:rPr>
        <w:t xml:space="preserve"> </w:t>
      </w:r>
      <w:r w:rsidR="005A7043">
        <w:rPr>
          <w:rFonts w:ascii="Times New Roman" w:hAnsi="Times New Roman" w:cs="Times New Roman"/>
          <w:b/>
          <w:sz w:val="24"/>
          <w:szCs w:val="24"/>
        </w:rPr>
        <w:t>–</w:t>
      </w:r>
      <w:r>
        <w:rPr>
          <w:rFonts w:ascii="Times New Roman" w:hAnsi="Times New Roman" w:cs="Times New Roman"/>
          <w:b/>
          <w:sz w:val="24"/>
          <w:szCs w:val="24"/>
        </w:rPr>
        <w:t xml:space="preserve"> </w:t>
      </w:r>
      <w:r w:rsidR="005A7043">
        <w:rPr>
          <w:rFonts w:ascii="Times New Roman" w:hAnsi="Times New Roman" w:cs="Times New Roman"/>
          <w:b/>
          <w:sz w:val="24"/>
          <w:szCs w:val="24"/>
        </w:rPr>
        <w:t xml:space="preserve">At the end of Part 4 </w:t>
      </w:r>
    </w:p>
    <w:p w14:paraId="4BA92546" w14:textId="3022D8AE" w:rsidR="00764B7C" w:rsidRDefault="004829B9" w:rsidP="002F197B">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inserts new </w:t>
      </w:r>
      <w:r w:rsidR="0028600E">
        <w:rPr>
          <w:rFonts w:ascii="Times New Roman" w:hAnsi="Times New Roman" w:cs="Times New Roman"/>
          <w:sz w:val="24"/>
          <w:szCs w:val="24"/>
        </w:rPr>
        <w:t>Division 4.3</w:t>
      </w:r>
      <w:r>
        <w:rPr>
          <w:rFonts w:ascii="Times New Roman" w:hAnsi="Times New Roman" w:cs="Times New Roman"/>
          <w:sz w:val="24"/>
          <w:szCs w:val="24"/>
        </w:rPr>
        <w:t xml:space="preserve"> </w:t>
      </w:r>
      <w:r w:rsidR="006536A8">
        <w:rPr>
          <w:rFonts w:ascii="Times New Roman" w:hAnsi="Times New Roman" w:cs="Times New Roman"/>
          <w:sz w:val="24"/>
          <w:szCs w:val="24"/>
        </w:rPr>
        <w:t>into</w:t>
      </w:r>
      <w:r>
        <w:rPr>
          <w:rFonts w:ascii="Times New Roman" w:hAnsi="Times New Roman" w:cs="Times New Roman"/>
          <w:sz w:val="24"/>
          <w:szCs w:val="24"/>
        </w:rPr>
        <w:t xml:space="preserve"> Part 4 of the </w:t>
      </w:r>
      <w:r w:rsidRPr="00E6492B">
        <w:rPr>
          <w:rFonts w:ascii="Times New Roman" w:hAnsi="Times New Roman" w:cs="Times New Roman"/>
          <w:i/>
          <w:sz w:val="24"/>
          <w:szCs w:val="24"/>
        </w:rPr>
        <w:t xml:space="preserve">Offshore Petroleum and Greenhouse Gas Storage (Environment) Regulations 2009 </w:t>
      </w:r>
      <w:r>
        <w:rPr>
          <w:rFonts w:ascii="Times New Roman" w:hAnsi="Times New Roman" w:cs="Times New Roman"/>
          <w:sz w:val="24"/>
          <w:szCs w:val="24"/>
        </w:rPr>
        <w:t>(the Environment Regulations)</w:t>
      </w:r>
      <w:r w:rsidR="00D97E10">
        <w:rPr>
          <w:rFonts w:ascii="Times New Roman" w:hAnsi="Times New Roman" w:cs="Times New Roman"/>
          <w:sz w:val="24"/>
          <w:szCs w:val="24"/>
        </w:rPr>
        <w:t>, which provides for new regulation 34</w:t>
      </w:r>
      <w:r>
        <w:rPr>
          <w:rFonts w:ascii="Times New Roman" w:hAnsi="Times New Roman" w:cs="Times New Roman"/>
          <w:sz w:val="24"/>
          <w:szCs w:val="24"/>
        </w:rPr>
        <w:t xml:space="preserve">. </w:t>
      </w:r>
    </w:p>
    <w:p w14:paraId="6B7FB46D" w14:textId="6C01F9C7" w:rsidR="008C1796" w:rsidRDefault="008C1796" w:rsidP="008C1796">
      <w:pPr>
        <w:spacing w:before="240" w:after="240"/>
        <w:rPr>
          <w:rFonts w:ascii="Times New Roman" w:hAnsi="Times New Roman" w:cs="Times New Roman"/>
          <w:sz w:val="24"/>
          <w:szCs w:val="24"/>
        </w:rPr>
      </w:pPr>
      <w:r>
        <w:rPr>
          <w:rFonts w:ascii="Times New Roman" w:hAnsi="Times New Roman" w:cs="Times New Roman"/>
          <w:sz w:val="24"/>
          <w:szCs w:val="24"/>
        </w:rPr>
        <w:t xml:space="preserve">The Environment Regulations apply to activities undertaken by a titleholder. An </w:t>
      </w:r>
      <w:r w:rsidRPr="00401CF3">
        <w:rPr>
          <w:rFonts w:ascii="Times New Roman" w:hAnsi="Times New Roman" w:cs="Times New Roman"/>
          <w:b/>
          <w:i/>
          <w:sz w:val="24"/>
          <w:szCs w:val="24"/>
        </w:rPr>
        <w:t>activity</w:t>
      </w:r>
      <w:r>
        <w:rPr>
          <w:rFonts w:ascii="Times New Roman" w:hAnsi="Times New Roman" w:cs="Times New Roman"/>
          <w:sz w:val="24"/>
          <w:szCs w:val="24"/>
        </w:rPr>
        <w:t xml:space="preserve"> is defined by regulation 4 to mean a petroleum activity or a greenhouse gas activity, which themselves are defined by regulation 4 to mean works or operations in an offshore area undertaken to exercise a right conferred by a petroleum title or a greenhouse gas title </w:t>
      </w:r>
      <w:r>
        <w:rPr>
          <w:rFonts w:ascii="Times New Roman" w:hAnsi="Times New Roman" w:cs="Times New Roman"/>
          <w:sz w:val="24"/>
          <w:szCs w:val="24"/>
        </w:rPr>
        <w:lastRenderedPageBreak/>
        <w:t xml:space="preserve">respectively, or to discharge an obligation imposed on a petroleum titleholder or a greenhouse gas titleholder under the OPGGS Act or regulations. </w:t>
      </w:r>
    </w:p>
    <w:p w14:paraId="6A7C7FBE" w14:textId="66F979E8" w:rsidR="000E17E2" w:rsidRDefault="0032403C" w:rsidP="008C1796">
      <w:pPr>
        <w:spacing w:before="240" w:after="240"/>
        <w:rPr>
          <w:rFonts w:ascii="Times New Roman" w:hAnsi="Times New Roman" w:cs="Times New Roman"/>
          <w:sz w:val="24"/>
          <w:szCs w:val="24"/>
        </w:rPr>
      </w:pPr>
      <w:r>
        <w:rPr>
          <w:rFonts w:ascii="Times New Roman" w:hAnsi="Times New Roman" w:cs="Times New Roman"/>
          <w:sz w:val="24"/>
          <w:szCs w:val="24"/>
        </w:rPr>
        <w:t>New regulation 34</w:t>
      </w:r>
      <w:r w:rsidR="000A4969">
        <w:rPr>
          <w:rFonts w:ascii="Times New Roman" w:hAnsi="Times New Roman" w:cs="Times New Roman"/>
          <w:sz w:val="24"/>
          <w:szCs w:val="24"/>
        </w:rPr>
        <w:t xml:space="preserve"> </w:t>
      </w:r>
      <w:r w:rsidR="004829B9">
        <w:rPr>
          <w:rFonts w:ascii="Times New Roman" w:hAnsi="Times New Roman" w:cs="Times New Roman"/>
          <w:sz w:val="24"/>
          <w:szCs w:val="24"/>
        </w:rPr>
        <w:t>provides</w:t>
      </w:r>
      <w:r w:rsidR="00C73929">
        <w:rPr>
          <w:rFonts w:ascii="Times New Roman" w:hAnsi="Times New Roman" w:cs="Times New Roman"/>
          <w:sz w:val="24"/>
          <w:szCs w:val="24"/>
        </w:rPr>
        <w:t xml:space="preserve"> that</w:t>
      </w:r>
      <w:r w:rsidR="004829B9">
        <w:rPr>
          <w:rFonts w:ascii="Times New Roman" w:hAnsi="Times New Roman" w:cs="Times New Roman"/>
          <w:sz w:val="24"/>
          <w:szCs w:val="24"/>
        </w:rPr>
        <w:t>,</w:t>
      </w:r>
      <w:r w:rsidR="00C73929">
        <w:rPr>
          <w:rFonts w:ascii="Times New Roman" w:hAnsi="Times New Roman" w:cs="Times New Roman"/>
          <w:sz w:val="24"/>
          <w:szCs w:val="24"/>
        </w:rPr>
        <w:t xml:space="preserve"> if a </w:t>
      </w:r>
      <w:r w:rsidR="00C73929" w:rsidRPr="002718B4">
        <w:rPr>
          <w:rFonts w:ascii="Times New Roman" w:hAnsi="Times New Roman" w:cs="Times New Roman"/>
          <w:sz w:val="24"/>
          <w:szCs w:val="24"/>
        </w:rPr>
        <w:t xml:space="preserve">direction </w:t>
      </w:r>
      <w:r w:rsidR="00C73929">
        <w:rPr>
          <w:rFonts w:ascii="Times New Roman" w:hAnsi="Times New Roman" w:cs="Times New Roman"/>
          <w:sz w:val="24"/>
          <w:szCs w:val="24"/>
        </w:rPr>
        <w:t>is in force under section 586, 586A, 587 or 587A</w:t>
      </w:r>
      <w:r w:rsidR="004829B9">
        <w:rPr>
          <w:rFonts w:ascii="Times New Roman" w:hAnsi="Times New Roman" w:cs="Times New Roman"/>
          <w:sz w:val="24"/>
          <w:szCs w:val="24"/>
        </w:rPr>
        <w:t xml:space="preserve"> of the OPGGS Act</w:t>
      </w:r>
      <w:r w:rsidR="00C73929">
        <w:rPr>
          <w:rFonts w:ascii="Times New Roman" w:hAnsi="Times New Roman" w:cs="Times New Roman"/>
          <w:sz w:val="24"/>
          <w:szCs w:val="24"/>
        </w:rPr>
        <w:t xml:space="preserve"> </w:t>
      </w:r>
      <w:r w:rsidR="00717E97">
        <w:rPr>
          <w:rFonts w:ascii="Times New Roman" w:hAnsi="Times New Roman" w:cs="Times New Roman"/>
          <w:sz w:val="24"/>
          <w:szCs w:val="24"/>
        </w:rPr>
        <w:t xml:space="preserve">(referred to as a </w:t>
      </w:r>
      <w:r w:rsidR="00717E97" w:rsidRPr="00E6492B">
        <w:rPr>
          <w:rFonts w:ascii="Times New Roman" w:hAnsi="Times New Roman" w:cs="Times New Roman"/>
          <w:b/>
          <w:i/>
          <w:sz w:val="24"/>
          <w:szCs w:val="24"/>
        </w:rPr>
        <w:t>petroleum remedial direction</w:t>
      </w:r>
      <w:r w:rsidR="00717E97">
        <w:rPr>
          <w:rFonts w:ascii="Times New Roman" w:hAnsi="Times New Roman" w:cs="Times New Roman"/>
          <w:sz w:val="24"/>
          <w:szCs w:val="24"/>
        </w:rPr>
        <w:t xml:space="preserve">) </w:t>
      </w:r>
      <w:r w:rsidR="00C73929">
        <w:rPr>
          <w:rFonts w:ascii="Times New Roman" w:hAnsi="Times New Roman" w:cs="Times New Roman"/>
          <w:sz w:val="24"/>
          <w:szCs w:val="24"/>
        </w:rPr>
        <w:t>or section 591B, 592</w:t>
      </w:r>
      <w:r w:rsidR="004829B9">
        <w:rPr>
          <w:rFonts w:ascii="Times New Roman" w:hAnsi="Times New Roman" w:cs="Times New Roman"/>
          <w:sz w:val="24"/>
          <w:szCs w:val="24"/>
        </w:rPr>
        <w:t>,</w:t>
      </w:r>
      <w:r w:rsidR="00C73929">
        <w:rPr>
          <w:rFonts w:ascii="Times New Roman" w:hAnsi="Times New Roman" w:cs="Times New Roman"/>
          <w:sz w:val="24"/>
          <w:szCs w:val="24"/>
        </w:rPr>
        <w:t xml:space="preserve"> 594A or 595</w:t>
      </w:r>
      <w:r w:rsidR="004829B9">
        <w:rPr>
          <w:rFonts w:ascii="Times New Roman" w:hAnsi="Times New Roman" w:cs="Times New Roman"/>
          <w:sz w:val="24"/>
          <w:szCs w:val="24"/>
        </w:rPr>
        <w:t xml:space="preserve"> of the OPGGS Act</w:t>
      </w:r>
      <w:r w:rsidR="00717E97">
        <w:rPr>
          <w:rFonts w:ascii="Times New Roman" w:hAnsi="Times New Roman" w:cs="Times New Roman"/>
          <w:sz w:val="24"/>
          <w:szCs w:val="24"/>
        </w:rPr>
        <w:t xml:space="preserve"> (referred to as a </w:t>
      </w:r>
      <w:r w:rsidR="00717E97" w:rsidRPr="00E6492B">
        <w:rPr>
          <w:rFonts w:ascii="Times New Roman" w:hAnsi="Times New Roman" w:cs="Times New Roman"/>
          <w:b/>
          <w:i/>
          <w:sz w:val="24"/>
          <w:szCs w:val="24"/>
        </w:rPr>
        <w:t>greenhouse gas remedial direction</w:t>
      </w:r>
      <w:r w:rsidR="00717E97">
        <w:rPr>
          <w:rFonts w:ascii="Times New Roman" w:hAnsi="Times New Roman" w:cs="Times New Roman"/>
          <w:sz w:val="24"/>
          <w:szCs w:val="24"/>
        </w:rPr>
        <w:t>)</w:t>
      </w:r>
      <w:r w:rsidR="004829B9">
        <w:rPr>
          <w:rFonts w:ascii="Times New Roman" w:hAnsi="Times New Roman" w:cs="Times New Roman"/>
          <w:sz w:val="24"/>
          <w:szCs w:val="24"/>
        </w:rPr>
        <w:t xml:space="preserve">, </w:t>
      </w:r>
      <w:r w:rsidR="00C73929">
        <w:rPr>
          <w:rFonts w:ascii="Times New Roman" w:hAnsi="Times New Roman" w:cs="Times New Roman"/>
          <w:sz w:val="24"/>
          <w:szCs w:val="24"/>
        </w:rPr>
        <w:t xml:space="preserve">the Environment Regulations </w:t>
      </w:r>
      <w:r w:rsidR="008C1796">
        <w:rPr>
          <w:rFonts w:ascii="Times New Roman" w:hAnsi="Times New Roman" w:cs="Times New Roman"/>
          <w:sz w:val="24"/>
          <w:szCs w:val="24"/>
        </w:rPr>
        <w:t xml:space="preserve">also </w:t>
      </w:r>
      <w:r w:rsidR="006B6D96">
        <w:rPr>
          <w:rFonts w:ascii="Times New Roman" w:hAnsi="Times New Roman" w:cs="Times New Roman"/>
          <w:sz w:val="24"/>
          <w:szCs w:val="24"/>
        </w:rPr>
        <w:t xml:space="preserve">apply </w:t>
      </w:r>
      <w:r w:rsidR="004829B9">
        <w:rPr>
          <w:rFonts w:ascii="Times New Roman" w:hAnsi="Times New Roman" w:cs="Times New Roman"/>
          <w:sz w:val="24"/>
          <w:szCs w:val="24"/>
        </w:rPr>
        <w:t xml:space="preserve">in relation </w:t>
      </w:r>
      <w:r w:rsidR="00C73929">
        <w:rPr>
          <w:rFonts w:ascii="Times New Roman" w:hAnsi="Times New Roman" w:cs="Times New Roman"/>
          <w:sz w:val="24"/>
          <w:szCs w:val="24"/>
        </w:rPr>
        <w:t xml:space="preserve">to </w:t>
      </w:r>
      <w:r w:rsidR="00480F60">
        <w:rPr>
          <w:rFonts w:ascii="Times New Roman" w:hAnsi="Times New Roman" w:cs="Times New Roman"/>
          <w:sz w:val="24"/>
          <w:szCs w:val="24"/>
        </w:rPr>
        <w:t>the person</w:t>
      </w:r>
      <w:r w:rsidR="00764B7C">
        <w:rPr>
          <w:rFonts w:ascii="Times New Roman" w:hAnsi="Times New Roman" w:cs="Times New Roman"/>
          <w:sz w:val="24"/>
          <w:szCs w:val="24"/>
        </w:rPr>
        <w:t xml:space="preserve"> who </w:t>
      </w:r>
      <w:r w:rsidR="00480F60">
        <w:rPr>
          <w:rFonts w:ascii="Times New Roman" w:hAnsi="Times New Roman" w:cs="Times New Roman"/>
          <w:sz w:val="24"/>
          <w:szCs w:val="24"/>
        </w:rPr>
        <w:t>is</w:t>
      </w:r>
      <w:r w:rsidR="00764B7C">
        <w:rPr>
          <w:rFonts w:ascii="Times New Roman" w:hAnsi="Times New Roman" w:cs="Times New Roman"/>
          <w:sz w:val="24"/>
          <w:szCs w:val="24"/>
        </w:rPr>
        <w:t xml:space="preserve"> subject to </w:t>
      </w:r>
      <w:r w:rsidR="004829B9">
        <w:rPr>
          <w:rFonts w:ascii="Times New Roman" w:hAnsi="Times New Roman" w:cs="Times New Roman"/>
          <w:sz w:val="24"/>
          <w:szCs w:val="24"/>
        </w:rPr>
        <w:t>the</w:t>
      </w:r>
      <w:r w:rsidR="00C73929">
        <w:rPr>
          <w:rFonts w:ascii="Times New Roman" w:hAnsi="Times New Roman" w:cs="Times New Roman"/>
          <w:sz w:val="24"/>
          <w:szCs w:val="24"/>
        </w:rPr>
        <w:t xml:space="preserve"> direction</w:t>
      </w:r>
      <w:r w:rsidR="00764B7C">
        <w:rPr>
          <w:rFonts w:ascii="Times New Roman" w:hAnsi="Times New Roman" w:cs="Times New Roman"/>
          <w:sz w:val="24"/>
          <w:szCs w:val="24"/>
        </w:rPr>
        <w:t xml:space="preserve"> and activities carried out for the purpose of complying with the direction</w:t>
      </w:r>
      <w:r w:rsidR="00C73929">
        <w:rPr>
          <w:rFonts w:ascii="Times New Roman" w:hAnsi="Times New Roman" w:cs="Times New Roman"/>
          <w:sz w:val="24"/>
          <w:szCs w:val="24"/>
        </w:rPr>
        <w:t>.</w:t>
      </w:r>
    </w:p>
    <w:p w14:paraId="78EB5AFF" w14:textId="5BFCCEEA" w:rsidR="00AF5F6A" w:rsidRDefault="00764B7C" w:rsidP="00AF5F6A">
      <w:pPr>
        <w:spacing w:before="240" w:after="240"/>
        <w:rPr>
          <w:rFonts w:ascii="Times New Roman" w:hAnsi="Times New Roman" w:cs="Times New Roman"/>
          <w:sz w:val="24"/>
          <w:szCs w:val="24"/>
        </w:rPr>
      </w:pPr>
      <w:r>
        <w:rPr>
          <w:rFonts w:ascii="Times New Roman" w:hAnsi="Times New Roman" w:cs="Times New Roman"/>
          <w:sz w:val="24"/>
          <w:szCs w:val="24"/>
        </w:rPr>
        <w:t xml:space="preserve">New subregulation </w:t>
      </w:r>
      <w:r w:rsidR="00DD45D6">
        <w:rPr>
          <w:rFonts w:ascii="Times New Roman" w:hAnsi="Times New Roman" w:cs="Times New Roman"/>
          <w:sz w:val="24"/>
          <w:szCs w:val="24"/>
        </w:rPr>
        <w:t xml:space="preserve">34(2) </w:t>
      </w:r>
      <w:r w:rsidR="00E05884">
        <w:rPr>
          <w:rFonts w:ascii="Times New Roman" w:hAnsi="Times New Roman" w:cs="Times New Roman"/>
          <w:sz w:val="24"/>
          <w:szCs w:val="24"/>
        </w:rPr>
        <w:t xml:space="preserve">operates by deeming </w:t>
      </w:r>
      <w:r w:rsidR="001F0C1E">
        <w:rPr>
          <w:rFonts w:ascii="Times New Roman" w:hAnsi="Times New Roman" w:cs="Times New Roman"/>
          <w:sz w:val="24"/>
          <w:szCs w:val="24"/>
        </w:rPr>
        <w:t>a reference</w:t>
      </w:r>
      <w:r w:rsidR="00E05884">
        <w:rPr>
          <w:rFonts w:ascii="Times New Roman" w:hAnsi="Times New Roman" w:cs="Times New Roman"/>
          <w:sz w:val="24"/>
          <w:szCs w:val="24"/>
        </w:rPr>
        <w:t xml:space="preserve"> to certain </w:t>
      </w:r>
      <w:r w:rsidR="001F0C1E">
        <w:rPr>
          <w:rFonts w:ascii="Times New Roman" w:hAnsi="Times New Roman" w:cs="Times New Roman"/>
          <w:sz w:val="24"/>
          <w:szCs w:val="24"/>
        </w:rPr>
        <w:t>term</w:t>
      </w:r>
      <w:r w:rsidR="00480F60">
        <w:rPr>
          <w:rFonts w:ascii="Times New Roman" w:hAnsi="Times New Roman" w:cs="Times New Roman"/>
          <w:sz w:val="24"/>
          <w:szCs w:val="24"/>
        </w:rPr>
        <w:t>s</w:t>
      </w:r>
      <w:r w:rsidR="00E05884">
        <w:rPr>
          <w:rFonts w:ascii="Times New Roman" w:hAnsi="Times New Roman" w:cs="Times New Roman"/>
          <w:sz w:val="24"/>
          <w:szCs w:val="24"/>
        </w:rPr>
        <w:t xml:space="preserve"> </w:t>
      </w:r>
      <w:r w:rsidR="00265915">
        <w:rPr>
          <w:rFonts w:ascii="Times New Roman" w:hAnsi="Times New Roman" w:cs="Times New Roman"/>
          <w:sz w:val="24"/>
          <w:szCs w:val="24"/>
        </w:rPr>
        <w:t>used in</w:t>
      </w:r>
      <w:r w:rsidR="004829B9">
        <w:rPr>
          <w:rFonts w:ascii="Times New Roman" w:hAnsi="Times New Roman" w:cs="Times New Roman"/>
          <w:sz w:val="24"/>
          <w:szCs w:val="24"/>
        </w:rPr>
        <w:t xml:space="preserve"> the Environment Regulations</w:t>
      </w:r>
      <w:r w:rsidR="00DD45D6">
        <w:rPr>
          <w:rFonts w:ascii="Times New Roman" w:hAnsi="Times New Roman" w:cs="Times New Roman"/>
          <w:sz w:val="24"/>
          <w:szCs w:val="24"/>
        </w:rPr>
        <w:t xml:space="preserve"> </w:t>
      </w:r>
      <w:r w:rsidR="00E05884">
        <w:rPr>
          <w:rFonts w:ascii="Times New Roman" w:hAnsi="Times New Roman" w:cs="Times New Roman"/>
          <w:sz w:val="24"/>
          <w:szCs w:val="24"/>
        </w:rPr>
        <w:t xml:space="preserve">to include a reference to </w:t>
      </w:r>
      <w:r w:rsidR="00230E43">
        <w:rPr>
          <w:rFonts w:ascii="Times New Roman" w:hAnsi="Times New Roman" w:cs="Times New Roman"/>
          <w:sz w:val="24"/>
          <w:szCs w:val="24"/>
        </w:rPr>
        <w:t>other term</w:t>
      </w:r>
      <w:r w:rsidR="00480F60">
        <w:rPr>
          <w:rFonts w:ascii="Times New Roman" w:hAnsi="Times New Roman" w:cs="Times New Roman"/>
          <w:sz w:val="24"/>
          <w:szCs w:val="24"/>
        </w:rPr>
        <w:t>s</w:t>
      </w:r>
      <w:r w:rsidR="00E05884">
        <w:rPr>
          <w:rFonts w:ascii="Times New Roman" w:hAnsi="Times New Roman" w:cs="Times New Roman"/>
          <w:sz w:val="24"/>
          <w:szCs w:val="24"/>
        </w:rPr>
        <w:t xml:space="preserve">. </w:t>
      </w:r>
      <w:r w:rsidR="009A6BE5">
        <w:rPr>
          <w:rFonts w:ascii="Times New Roman" w:hAnsi="Times New Roman" w:cs="Times New Roman"/>
          <w:sz w:val="24"/>
          <w:szCs w:val="24"/>
        </w:rPr>
        <w:t>Specifically</w:t>
      </w:r>
      <w:r w:rsidR="00E05884">
        <w:rPr>
          <w:rFonts w:ascii="Times New Roman" w:hAnsi="Times New Roman" w:cs="Times New Roman"/>
          <w:sz w:val="24"/>
          <w:szCs w:val="24"/>
        </w:rPr>
        <w:t xml:space="preserve">, if a remedial direction is in force, the Environment Regulations </w:t>
      </w:r>
      <w:r w:rsidR="00DD45D6">
        <w:rPr>
          <w:rFonts w:ascii="Times New Roman" w:hAnsi="Times New Roman" w:cs="Times New Roman"/>
          <w:sz w:val="24"/>
          <w:szCs w:val="24"/>
        </w:rPr>
        <w:t>apply</w:t>
      </w:r>
      <w:r w:rsidR="00AF5F6A">
        <w:rPr>
          <w:rFonts w:ascii="Times New Roman" w:hAnsi="Times New Roman" w:cs="Times New Roman"/>
          <w:sz w:val="24"/>
          <w:szCs w:val="24"/>
        </w:rPr>
        <w:t xml:space="preserve">: </w:t>
      </w:r>
    </w:p>
    <w:p w14:paraId="1CC25F08" w14:textId="04F9BBA5" w:rsidR="007B0922" w:rsidRPr="00E6492B" w:rsidRDefault="007B0922" w:rsidP="00E6492B">
      <w:pPr>
        <w:pStyle w:val="ListParagraph"/>
        <w:numPr>
          <w:ilvl w:val="0"/>
          <w:numId w:val="11"/>
        </w:numPr>
        <w:spacing w:before="240" w:after="240"/>
        <w:ind w:left="714" w:hanging="357"/>
        <w:contextualSpacing w:val="0"/>
        <w:rPr>
          <w:rFonts w:ascii="Times New Roman" w:hAnsi="Times New Roman" w:cs="Times New Roman"/>
          <w:sz w:val="24"/>
          <w:szCs w:val="24"/>
        </w:rPr>
      </w:pPr>
      <w:r w:rsidRPr="00E6492B">
        <w:rPr>
          <w:rFonts w:ascii="Times New Roman" w:hAnsi="Times New Roman" w:cs="Times New Roman"/>
          <w:sz w:val="24"/>
          <w:szCs w:val="24"/>
        </w:rPr>
        <w:t xml:space="preserve">as if a reference to a petroleum titleholder included </w:t>
      </w:r>
      <w:r w:rsidR="00E05884">
        <w:rPr>
          <w:rFonts w:ascii="Times New Roman" w:hAnsi="Times New Roman" w:cs="Times New Roman"/>
          <w:sz w:val="24"/>
          <w:szCs w:val="24"/>
        </w:rPr>
        <w:t xml:space="preserve">a reference to </w:t>
      </w:r>
      <w:r w:rsidRPr="00E6492B">
        <w:rPr>
          <w:rFonts w:ascii="Times New Roman" w:hAnsi="Times New Roman" w:cs="Times New Roman"/>
          <w:sz w:val="24"/>
          <w:szCs w:val="24"/>
        </w:rPr>
        <w:t xml:space="preserve">a person who is subject to a </w:t>
      </w:r>
      <w:r w:rsidR="00717E97">
        <w:rPr>
          <w:rFonts w:ascii="Times New Roman" w:hAnsi="Times New Roman" w:cs="Times New Roman"/>
          <w:sz w:val="24"/>
          <w:szCs w:val="24"/>
        </w:rPr>
        <w:t xml:space="preserve">petroleum </w:t>
      </w:r>
      <w:r w:rsidRPr="00E6492B">
        <w:rPr>
          <w:rFonts w:ascii="Times New Roman" w:hAnsi="Times New Roman" w:cs="Times New Roman"/>
          <w:sz w:val="24"/>
          <w:szCs w:val="24"/>
        </w:rPr>
        <w:t xml:space="preserve">remedial direction; </w:t>
      </w:r>
    </w:p>
    <w:p w14:paraId="780EDD5F" w14:textId="214CF5E7" w:rsidR="00AF5F6A" w:rsidRPr="00E6492B" w:rsidRDefault="004829B9" w:rsidP="00E6492B">
      <w:pPr>
        <w:pStyle w:val="ListParagraph"/>
        <w:numPr>
          <w:ilvl w:val="0"/>
          <w:numId w:val="11"/>
        </w:numPr>
        <w:spacing w:before="240" w:after="240"/>
        <w:ind w:left="714" w:hanging="357"/>
        <w:contextualSpacing w:val="0"/>
        <w:rPr>
          <w:rFonts w:ascii="Times New Roman" w:hAnsi="Times New Roman" w:cs="Times New Roman"/>
          <w:sz w:val="24"/>
          <w:szCs w:val="24"/>
        </w:rPr>
      </w:pPr>
      <w:r w:rsidRPr="00E6492B">
        <w:rPr>
          <w:rFonts w:ascii="Times New Roman" w:hAnsi="Times New Roman" w:cs="Times New Roman"/>
          <w:sz w:val="24"/>
          <w:szCs w:val="24"/>
        </w:rPr>
        <w:t xml:space="preserve">as if </w:t>
      </w:r>
      <w:r w:rsidR="00AF5F6A" w:rsidRPr="00E6492B">
        <w:rPr>
          <w:rFonts w:ascii="Times New Roman" w:hAnsi="Times New Roman" w:cs="Times New Roman"/>
          <w:sz w:val="24"/>
          <w:szCs w:val="24"/>
        </w:rPr>
        <w:t>a reference to a titleholder</w:t>
      </w:r>
      <w:r w:rsidRPr="00E6492B">
        <w:rPr>
          <w:rFonts w:ascii="Times New Roman" w:hAnsi="Times New Roman" w:cs="Times New Roman"/>
          <w:sz w:val="24"/>
          <w:szCs w:val="24"/>
        </w:rPr>
        <w:t xml:space="preserve"> included </w:t>
      </w:r>
      <w:r w:rsidR="00AF5F6A" w:rsidRPr="00E6492B">
        <w:rPr>
          <w:rFonts w:ascii="Times New Roman" w:hAnsi="Times New Roman" w:cs="Times New Roman"/>
          <w:sz w:val="24"/>
          <w:szCs w:val="24"/>
        </w:rPr>
        <w:t xml:space="preserve">a reference to a person who is subject to a petroleum or </w:t>
      </w:r>
      <w:r w:rsidR="00717E97">
        <w:rPr>
          <w:rFonts w:ascii="Times New Roman" w:hAnsi="Times New Roman" w:cs="Times New Roman"/>
          <w:sz w:val="24"/>
          <w:szCs w:val="24"/>
        </w:rPr>
        <w:t>greenhouse gas</w:t>
      </w:r>
      <w:r w:rsidR="00717E97" w:rsidRPr="00E6492B">
        <w:rPr>
          <w:rFonts w:ascii="Times New Roman" w:hAnsi="Times New Roman" w:cs="Times New Roman"/>
          <w:sz w:val="24"/>
          <w:szCs w:val="24"/>
        </w:rPr>
        <w:t xml:space="preserve"> </w:t>
      </w:r>
      <w:r w:rsidR="00AF5F6A" w:rsidRPr="00E6492B">
        <w:rPr>
          <w:rFonts w:ascii="Times New Roman" w:hAnsi="Times New Roman" w:cs="Times New Roman"/>
          <w:sz w:val="24"/>
          <w:szCs w:val="24"/>
        </w:rPr>
        <w:t>remedial direction</w:t>
      </w:r>
      <w:r w:rsidR="002718B4" w:rsidRPr="00E6492B">
        <w:rPr>
          <w:rFonts w:ascii="Times New Roman" w:hAnsi="Times New Roman" w:cs="Times New Roman"/>
          <w:sz w:val="24"/>
          <w:szCs w:val="24"/>
        </w:rPr>
        <w:t xml:space="preserve">;  </w:t>
      </w:r>
    </w:p>
    <w:p w14:paraId="7BA05D03" w14:textId="0A9F92C5" w:rsidR="00717E97" w:rsidRPr="00E6492B" w:rsidRDefault="003B6DE8" w:rsidP="00E6492B">
      <w:pPr>
        <w:pStyle w:val="ListParagraph"/>
        <w:numPr>
          <w:ilvl w:val="0"/>
          <w:numId w:val="11"/>
        </w:numPr>
        <w:spacing w:before="240" w:after="240"/>
        <w:ind w:left="714" w:hanging="357"/>
        <w:contextualSpacing w:val="0"/>
        <w:rPr>
          <w:rFonts w:ascii="Times New Roman" w:hAnsi="Times New Roman" w:cs="Times New Roman"/>
          <w:sz w:val="24"/>
          <w:szCs w:val="24"/>
        </w:rPr>
      </w:pPr>
      <w:r w:rsidRPr="00E6492B">
        <w:rPr>
          <w:rFonts w:ascii="Times New Roman" w:hAnsi="Times New Roman" w:cs="Times New Roman"/>
          <w:sz w:val="24"/>
          <w:szCs w:val="24"/>
        </w:rPr>
        <w:t xml:space="preserve">as if </w:t>
      </w:r>
      <w:r w:rsidR="00AF5F6A" w:rsidRPr="00E6492B">
        <w:rPr>
          <w:rFonts w:ascii="Times New Roman" w:hAnsi="Times New Roman" w:cs="Times New Roman"/>
          <w:sz w:val="24"/>
          <w:szCs w:val="24"/>
        </w:rPr>
        <w:t>a reference to a</w:t>
      </w:r>
      <w:r w:rsidRPr="00E6492B">
        <w:rPr>
          <w:rFonts w:ascii="Times New Roman" w:hAnsi="Times New Roman" w:cs="Times New Roman"/>
          <w:sz w:val="24"/>
          <w:szCs w:val="24"/>
        </w:rPr>
        <w:t xml:space="preserve"> petroleum activity</w:t>
      </w:r>
      <w:r w:rsidR="00AF5F6A" w:rsidRPr="00E6492B">
        <w:rPr>
          <w:rFonts w:ascii="Times New Roman" w:hAnsi="Times New Roman" w:cs="Times New Roman"/>
          <w:sz w:val="24"/>
          <w:szCs w:val="24"/>
        </w:rPr>
        <w:t xml:space="preserve"> </w:t>
      </w:r>
      <w:r w:rsidRPr="00E6492B">
        <w:rPr>
          <w:rFonts w:ascii="Times New Roman" w:hAnsi="Times New Roman" w:cs="Times New Roman"/>
          <w:sz w:val="24"/>
          <w:szCs w:val="24"/>
        </w:rPr>
        <w:t xml:space="preserve">included </w:t>
      </w:r>
      <w:r w:rsidR="00AF5F6A" w:rsidRPr="00E6492B">
        <w:rPr>
          <w:rFonts w:ascii="Times New Roman" w:hAnsi="Times New Roman" w:cs="Times New Roman"/>
          <w:sz w:val="24"/>
          <w:szCs w:val="24"/>
        </w:rPr>
        <w:t>a reference to an activity carried out for the purpose of complying with a petroleum remedial direction</w:t>
      </w:r>
      <w:r w:rsidR="002718B4" w:rsidRPr="00E6492B">
        <w:rPr>
          <w:rFonts w:ascii="Times New Roman" w:hAnsi="Times New Roman" w:cs="Times New Roman"/>
          <w:sz w:val="24"/>
          <w:szCs w:val="24"/>
        </w:rPr>
        <w:t>;</w:t>
      </w:r>
      <w:r w:rsidR="00717E97">
        <w:rPr>
          <w:rFonts w:ascii="Times New Roman" w:hAnsi="Times New Roman" w:cs="Times New Roman"/>
          <w:sz w:val="24"/>
          <w:szCs w:val="24"/>
        </w:rPr>
        <w:t xml:space="preserve"> </w:t>
      </w:r>
    </w:p>
    <w:p w14:paraId="0116AB90" w14:textId="78E245C8" w:rsidR="007B0922" w:rsidRPr="00E6492B" w:rsidRDefault="00717E97" w:rsidP="00E6492B">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as if a reference to an activity included a reference to an activity carried out for the purpose of complying with a petroleum or greenhouse gas remedial direction</w:t>
      </w:r>
      <w:r w:rsidR="007B0922" w:rsidRPr="00E6492B">
        <w:rPr>
          <w:rFonts w:ascii="Times New Roman" w:hAnsi="Times New Roman" w:cs="Times New Roman"/>
          <w:sz w:val="24"/>
          <w:szCs w:val="24"/>
        </w:rPr>
        <w:t xml:space="preserve">. </w:t>
      </w:r>
    </w:p>
    <w:p w14:paraId="645A1253" w14:textId="4BFC774D" w:rsidR="00DD45D6" w:rsidRDefault="007F1728" w:rsidP="00C73929">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provisions of the Environment Regulations that will apply in relation to a remedial direction will depend on what is required </w:t>
      </w:r>
      <w:r w:rsidR="00480F60">
        <w:rPr>
          <w:rFonts w:ascii="Times New Roman" w:hAnsi="Times New Roman" w:cs="Times New Roman"/>
          <w:sz w:val="24"/>
          <w:szCs w:val="24"/>
        </w:rPr>
        <w:t>to comply</w:t>
      </w:r>
      <w:r>
        <w:rPr>
          <w:rFonts w:ascii="Times New Roman" w:hAnsi="Times New Roman" w:cs="Times New Roman"/>
          <w:sz w:val="24"/>
          <w:szCs w:val="24"/>
        </w:rPr>
        <w:t xml:space="preserve"> with th</w:t>
      </w:r>
      <w:r w:rsidR="00773DB0">
        <w:rPr>
          <w:rFonts w:ascii="Times New Roman" w:hAnsi="Times New Roman" w:cs="Times New Roman"/>
          <w:sz w:val="24"/>
          <w:szCs w:val="24"/>
        </w:rPr>
        <w:t>at</w:t>
      </w:r>
      <w:r>
        <w:rPr>
          <w:rFonts w:ascii="Times New Roman" w:hAnsi="Times New Roman" w:cs="Times New Roman"/>
          <w:sz w:val="24"/>
          <w:szCs w:val="24"/>
        </w:rPr>
        <w:t xml:space="preserve"> </w:t>
      </w:r>
      <w:r w:rsidR="00505711">
        <w:rPr>
          <w:rFonts w:ascii="Times New Roman" w:hAnsi="Times New Roman" w:cs="Times New Roman"/>
          <w:sz w:val="24"/>
          <w:szCs w:val="24"/>
        </w:rPr>
        <w:t xml:space="preserve">particular </w:t>
      </w:r>
      <w:r>
        <w:rPr>
          <w:rFonts w:ascii="Times New Roman" w:hAnsi="Times New Roman" w:cs="Times New Roman"/>
          <w:sz w:val="24"/>
          <w:szCs w:val="24"/>
        </w:rPr>
        <w:t>direction. Generally</w:t>
      </w:r>
      <w:r w:rsidR="001F0C1E">
        <w:rPr>
          <w:rFonts w:ascii="Times New Roman" w:hAnsi="Times New Roman" w:cs="Times New Roman"/>
          <w:sz w:val="24"/>
          <w:szCs w:val="24"/>
        </w:rPr>
        <w:t xml:space="preserve">, if a remedial direction is in force, </w:t>
      </w:r>
      <w:r w:rsidR="00D635EB">
        <w:rPr>
          <w:rFonts w:ascii="Times New Roman" w:hAnsi="Times New Roman" w:cs="Times New Roman"/>
          <w:sz w:val="24"/>
          <w:szCs w:val="24"/>
        </w:rPr>
        <w:t xml:space="preserve">the </w:t>
      </w:r>
      <w:r w:rsidR="00646702">
        <w:rPr>
          <w:rFonts w:ascii="Times New Roman" w:hAnsi="Times New Roman" w:cs="Times New Roman"/>
          <w:sz w:val="24"/>
          <w:szCs w:val="24"/>
        </w:rPr>
        <w:t xml:space="preserve">extended references of the terms listed </w:t>
      </w:r>
      <w:r w:rsidR="00D635EB">
        <w:rPr>
          <w:rFonts w:ascii="Times New Roman" w:hAnsi="Times New Roman" w:cs="Times New Roman"/>
          <w:sz w:val="24"/>
          <w:szCs w:val="24"/>
        </w:rPr>
        <w:t xml:space="preserve">in </w:t>
      </w:r>
      <w:r>
        <w:rPr>
          <w:rFonts w:ascii="Times New Roman" w:hAnsi="Times New Roman" w:cs="Times New Roman"/>
          <w:sz w:val="24"/>
          <w:szCs w:val="24"/>
        </w:rPr>
        <w:t xml:space="preserve">new </w:t>
      </w:r>
      <w:r w:rsidR="00D635EB">
        <w:rPr>
          <w:rFonts w:ascii="Times New Roman" w:hAnsi="Times New Roman" w:cs="Times New Roman"/>
          <w:sz w:val="24"/>
          <w:szCs w:val="24"/>
        </w:rPr>
        <w:t>subregulation 34(</w:t>
      </w:r>
      <w:r w:rsidR="00646702">
        <w:rPr>
          <w:rFonts w:ascii="Times New Roman" w:hAnsi="Times New Roman" w:cs="Times New Roman"/>
          <w:sz w:val="24"/>
          <w:szCs w:val="24"/>
        </w:rPr>
        <w:t>2</w:t>
      </w:r>
      <w:r w:rsidR="00D635EB">
        <w:rPr>
          <w:rFonts w:ascii="Times New Roman" w:hAnsi="Times New Roman" w:cs="Times New Roman"/>
          <w:sz w:val="24"/>
          <w:szCs w:val="24"/>
        </w:rPr>
        <w:t>)</w:t>
      </w:r>
      <w:r w:rsidR="00646702">
        <w:rPr>
          <w:rFonts w:ascii="Times New Roman" w:hAnsi="Times New Roman" w:cs="Times New Roman"/>
          <w:sz w:val="24"/>
          <w:szCs w:val="24"/>
        </w:rPr>
        <w:t xml:space="preserve"> </w:t>
      </w:r>
      <w:r w:rsidR="001F0C1E">
        <w:rPr>
          <w:rFonts w:ascii="Times New Roman" w:hAnsi="Times New Roman" w:cs="Times New Roman"/>
          <w:sz w:val="24"/>
          <w:szCs w:val="24"/>
        </w:rPr>
        <w:t>apply in relation to the direction so that</w:t>
      </w:r>
      <w:r w:rsidR="00926CC5">
        <w:rPr>
          <w:rFonts w:ascii="Times New Roman" w:hAnsi="Times New Roman" w:cs="Times New Roman"/>
          <w:sz w:val="24"/>
          <w:szCs w:val="24"/>
        </w:rPr>
        <w:t xml:space="preserve">: </w:t>
      </w:r>
    </w:p>
    <w:p w14:paraId="46F79CFE" w14:textId="1F069E57" w:rsidR="00926CC5" w:rsidRPr="009E202B" w:rsidRDefault="00773DB0"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an accepted environment plan </w:t>
      </w:r>
      <w:r w:rsidR="00646702">
        <w:rPr>
          <w:rFonts w:ascii="Times New Roman" w:hAnsi="Times New Roman" w:cs="Times New Roman"/>
          <w:sz w:val="24"/>
          <w:szCs w:val="24"/>
        </w:rPr>
        <w:t xml:space="preserve">is required to be in force for </w:t>
      </w:r>
      <w:r w:rsidR="00926CC5" w:rsidRPr="009E202B">
        <w:rPr>
          <w:rFonts w:ascii="Times New Roman" w:hAnsi="Times New Roman" w:cs="Times New Roman"/>
          <w:sz w:val="24"/>
          <w:szCs w:val="24"/>
        </w:rPr>
        <w:t xml:space="preserve">an activity </w:t>
      </w:r>
      <w:r>
        <w:rPr>
          <w:rFonts w:ascii="Times New Roman" w:hAnsi="Times New Roman" w:cs="Times New Roman"/>
          <w:sz w:val="24"/>
          <w:szCs w:val="24"/>
        </w:rPr>
        <w:t xml:space="preserve">carried out </w:t>
      </w:r>
      <w:r w:rsidR="00646702">
        <w:rPr>
          <w:rFonts w:ascii="Times New Roman" w:hAnsi="Times New Roman" w:cs="Times New Roman"/>
          <w:sz w:val="24"/>
          <w:szCs w:val="24"/>
        </w:rPr>
        <w:t>for the purpose of complying</w:t>
      </w:r>
      <w:r w:rsidR="00926CC5" w:rsidRPr="009E202B">
        <w:rPr>
          <w:rFonts w:ascii="Times New Roman" w:hAnsi="Times New Roman" w:cs="Times New Roman"/>
          <w:sz w:val="24"/>
          <w:szCs w:val="24"/>
        </w:rPr>
        <w:t xml:space="preserve"> with the direction</w:t>
      </w:r>
      <w:r w:rsidR="0043147B">
        <w:rPr>
          <w:rFonts w:ascii="Times New Roman" w:hAnsi="Times New Roman" w:cs="Times New Roman"/>
          <w:sz w:val="24"/>
          <w:szCs w:val="24"/>
        </w:rPr>
        <w:t xml:space="preserve"> </w:t>
      </w:r>
      <w:r w:rsidR="005F5112">
        <w:rPr>
          <w:rFonts w:ascii="Times New Roman" w:hAnsi="Times New Roman" w:cs="Times New Roman"/>
          <w:sz w:val="24"/>
          <w:szCs w:val="24"/>
        </w:rPr>
        <w:t xml:space="preserve">under </w:t>
      </w:r>
      <w:r w:rsidR="0043147B">
        <w:rPr>
          <w:rFonts w:ascii="Times New Roman" w:hAnsi="Times New Roman" w:cs="Times New Roman"/>
          <w:sz w:val="24"/>
          <w:szCs w:val="24"/>
        </w:rPr>
        <w:t>regulation 6</w:t>
      </w:r>
      <w:r w:rsidR="00646702">
        <w:rPr>
          <w:rFonts w:ascii="Times New Roman" w:hAnsi="Times New Roman" w:cs="Times New Roman"/>
          <w:sz w:val="24"/>
          <w:szCs w:val="24"/>
        </w:rPr>
        <w:t>;</w:t>
      </w:r>
    </w:p>
    <w:p w14:paraId="244E86AE" w14:textId="0F20B3DC" w:rsidR="00926CC5" w:rsidRPr="009E202B" w:rsidRDefault="00646702"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who is subject to the direction </w:t>
      </w:r>
      <w:r w:rsidR="0043147B">
        <w:rPr>
          <w:rFonts w:ascii="Times New Roman" w:hAnsi="Times New Roman" w:cs="Times New Roman"/>
          <w:sz w:val="24"/>
          <w:szCs w:val="24"/>
        </w:rPr>
        <w:t xml:space="preserve">is </w:t>
      </w:r>
      <w:r w:rsidR="00926CC5" w:rsidRPr="009E202B">
        <w:rPr>
          <w:rFonts w:ascii="Times New Roman" w:hAnsi="Times New Roman" w:cs="Times New Roman"/>
          <w:sz w:val="24"/>
          <w:szCs w:val="24"/>
        </w:rPr>
        <w:t xml:space="preserve">required to </w:t>
      </w:r>
      <w:r w:rsidR="00773DB0">
        <w:rPr>
          <w:rFonts w:ascii="Times New Roman" w:hAnsi="Times New Roman" w:cs="Times New Roman"/>
          <w:sz w:val="24"/>
          <w:szCs w:val="24"/>
        </w:rPr>
        <w:t>under</w:t>
      </w:r>
      <w:r w:rsidR="005F5112">
        <w:rPr>
          <w:rFonts w:ascii="Times New Roman" w:hAnsi="Times New Roman" w:cs="Times New Roman"/>
          <w:sz w:val="24"/>
          <w:szCs w:val="24"/>
        </w:rPr>
        <w:t>take</w:t>
      </w:r>
      <w:r w:rsidR="00773DB0">
        <w:rPr>
          <w:rFonts w:ascii="Times New Roman" w:hAnsi="Times New Roman" w:cs="Times New Roman"/>
          <w:sz w:val="24"/>
          <w:szCs w:val="24"/>
        </w:rPr>
        <w:t xml:space="preserve"> the activity</w:t>
      </w:r>
      <w:r w:rsidR="00926CC5" w:rsidRPr="009E202B">
        <w:rPr>
          <w:rFonts w:ascii="Times New Roman" w:hAnsi="Times New Roman" w:cs="Times New Roman"/>
          <w:sz w:val="24"/>
          <w:szCs w:val="24"/>
        </w:rPr>
        <w:t xml:space="preserve"> in accordance with the </w:t>
      </w:r>
      <w:r w:rsidR="00773DB0">
        <w:rPr>
          <w:rFonts w:ascii="Times New Roman" w:hAnsi="Times New Roman" w:cs="Times New Roman"/>
          <w:sz w:val="24"/>
          <w:szCs w:val="24"/>
        </w:rPr>
        <w:t>environment plan</w:t>
      </w:r>
      <w:r w:rsidR="0043147B">
        <w:rPr>
          <w:rFonts w:ascii="Times New Roman" w:hAnsi="Times New Roman" w:cs="Times New Roman"/>
          <w:sz w:val="24"/>
          <w:szCs w:val="24"/>
        </w:rPr>
        <w:t xml:space="preserve"> </w:t>
      </w:r>
      <w:r w:rsidR="005F5112">
        <w:rPr>
          <w:rFonts w:ascii="Times New Roman" w:hAnsi="Times New Roman" w:cs="Times New Roman"/>
          <w:sz w:val="24"/>
          <w:szCs w:val="24"/>
        </w:rPr>
        <w:t>under</w:t>
      </w:r>
      <w:r w:rsidR="0043147B">
        <w:rPr>
          <w:rFonts w:ascii="Times New Roman" w:hAnsi="Times New Roman" w:cs="Times New Roman"/>
          <w:sz w:val="24"/>
          <w:szCs w:val="24"/>
        </w:rPr>
        <w:t xml:space="preserve"> regulation 7;</w:t>
      </w:r>
    </w:p>
    <w:p w14:paraId="739182D8" w14:textId="60A9EFCD" w:rsidR="00926CC5" w:rsidRPr="009E202B" w:rsidRDefault="0043147B"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is </w:t>
      </w:r>
      <w:r w:rsidR="00926CC5" w:rsidRPr="009E202B">
        <w:rPr>
          <w:rFonts w:ascii="Times New Roman" w:hAnsi="Times New Roman" w:cs="Times New Roman"/>
          <w:sz w:val="24"/>
          <w:szCs w:val="24"/>
        </w:rPr>
        <w:t>prohibited from undertaking the activity after the occurrence of any significant new</w:t>
      </w:r>
      <w:r w:rsidR="00C6382F">
        <w:rPr>
          <w:rFonts w:ascii="Times New Roman" w:hAnsi="Times New Roman" w:cs="Times New Roman"/>
          <w:sz w:val="24"/>
          <w:szCs w:val="24"/>
        </w:rPr>
        <w:t xml:space="preserve"> environmental impact or risk,</w:t>
      </w:r>
      <w:r w:rsidR="00926CC5" w:rsidRPr="009E202B">
        <w:rPr>
          <w:rFonts w:ascii="Times New Roman" w:hAnsi="Times New Roman" w:cs="Times New Roman"/>
          <w:sz w:val="24"/>
          <w:szCs w:val="24"/>
        </w:rPr>
        <w:t xml:space="preserve"> or </w:t>
      </w:r>
      <w:r w:rsidR="00773DB0">
        <w:rPr>
          <w:rFonts w:ascii="Times New Roman" w:hAnsi="Times New Roman" w:cs="Times New Roman"/>
          <w:sz w:val="24"/>
          <w:szCs w:val="24"/>
        </w:rPr>
        <w:t xml:space="preserve">any significant </w:t>
      </w:r>
      <w:r w:rsidR="00C6382F">
        <w:rPr>
          <w:rFonts w:ascii="Times New Roman" w:hAnsi="Times New Roman" w:cs="Times New Roman"/>
          <w:sz w:val="24"/>
          <w:szCs w:val="24"/>
        </w:rPr>
        <w:t>increase in an existing</w:t>
      </w:r>
      <w:r w:rsidR="00C6382F" w:rsidRPr="009E202B">
        <w:rPr>
          <w:rFonts w:ascii="Times New Roman" w:hAnsi="Times New Roman" w:cs="Times New Roman"/>
          <w:sz w:val="24"/>
          <w:szCs w:val="24"/>
        </w:rPr>
        <w:t xml:space="preserve"> </w:t>
      </w:r>
      <w:r w:rsidR="00926CC5" w:rsidRPr="009E202B">
        <w:rPr>
          <w:rFonts w:ascii="Times New Roman" w:hAnsi="Times New Roman" w:cs="Times New Roman"/>
          <w:sz w:val="24"/>
          <w:szCs w:val="24"/>
        </w:rPr>
        <w:t>environmental impact or risk</w:t>
      </w:r>
      <w:r w:rsidR="00C6382F">
        <w:rPr>
          <w:rFonts w:ascii="Times New Roman" w:hAnsi="Times New Roman" w:cs="Times New Roman"/>
          <w:sz w:val="24"/>
          <w:szCs w:val="24"/>
        </w:rPr>
        <w:t>,</w:t>
      </w:r>
      <w:r w:rsidR="00926CC5" w:rsidRPr="009E202B">
        <w:rPr>
          <w:rFonts w:ascii="Times New Roman" w:hAnsi="Times New Roman" w:cs="Times New Roman"/>
          <w:sz w:val="24"/>
          <w:szCs w:val="24"/>
        </w:rPr>
        <w:t xml:space="preserve"> arising from the activity if </w:t>
      </w:r>
      <w:r w:rsidR="00C6382F">
        <w:rPr>
          <w:rFonts w:ascii="Times New Roman" w:hAnsi="Times New Roman" w:cs="Times New Roman"/>
          <w:sz w:val="24"/>
          <w:szCs w:val="24"/>
        </w:rPr>
        <w:t xml:space="preserve">the new or increased impact or risk </w:t>
      </w:r>
      <w:r w:rsidR="00773DB0">
        <w:rPr>
          <w:rFonts w:ascii="Times New Roman" w:hAnsi="Times New Roman" w:cs="Times New Roman"/>
          <w:sz w:val="24"/>
          <w:szCs w:val="24"/>
        </w:rPr>
        <w:t>is</w:t>
      </w:r>
      <w:r w:rsidR="00926CC5" w:rsidRPr="009E202B">
        <w:rPr>
          <w:rFonts w:ascii="Times New Roman" w:hAnsi="Times New Roman" w:cs="Times New Roman"/>
          <w:sz w:val="24"/>
          <w:szCs w:val="24"/>
        </w:rPr>
        <w:t xml:space="preserve"> not provided for in the </w:t>
      </w:r>
      <w:r w:rsidR="00773DB0">
        <w:rPr>
          <w:rFonts w:ascii="Times New Roman" w:hAnsi="Times New Roman" w:cs="Times New Roman"/>
          <w:sz w:val="24"/>
          <w:szCs w:val="24"/>
        </w:rPr>
        <w:t>environment plan</w:t>
      </w:r>
      <w:r w:rsidR="005F5112">
        <w:rPr>
          <w:rFonts w:ascii="Times New Roman" w:hAnsi="Times New Roman" w:cs="Times New Roman"/>
          <w:sz w:val="24"/>
          <w:szCs w:val="24"/>
        </w:rPr>
        <w:t xml:space="preserve"> (see</w:t>
      </w:r>
      <w:r w:rsidR="00926CC5" w:rsidRPr="009E202B">
        <w:rPr>
          <w:rFonts w:ascii="Times New Roman" w:hAnsi="Times New Roman" w:cs="Times New Roman"/>
          <w:sz w:val="24"/>
          <w:szCs w:val="24"/>
        </w:rPr>
        <w:t xml:space="preserve"> regulation 8</w:t>
      </w:r>
      <w:r w:rsidR="005F5112">
        <w:rPr>
          <w:rFonts w:ascii="Times New Roman" w:hAnsi="Times New Roman" w:cs="Times New Roman"/>
          <w:sz w:val="24"/>
          <w:szCs w:val="24"/>
        </w:rPr>
        <w:t>)</w:t>
      </w:r>
      <w:r>
        <w:rPr>
          <w:rFonts w:ascii="Times New Roman" w:hAnsi="Times New Roman" w:cs="Times New Roman"/>
          <w:sz w:val="24"/>
          <w:szCs w:val="24"/>
        </w:rPr>
        <w:t>;</w:t>
      </w:r>
    </w:p>
    <w:p w14:paraId="297680FA" w14:textId="0C497B08" w:rsidR="00D97E10" w:rsidRDefault="0043147B"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D97E10">
        <w:rPr>
          <w:rFonts w:ascii="Times New Roman" w:hAnsi="Times New Roman" w:cs="Times New Roman"/>
          <w:sz w:val="24"/>
          <w:szCs w:val="24"/>
        </w:rPr>
        <w:t xml:space="preserve">person is </w:t>
      </w:r>
      <w:r w:rsidR="00926CC5" w:rsidRPr="009E202B">
        <w:rPr>
          <w:rFonts w:ascii="Times New Roman" w:hAnsi="Times New Roman" w:cs="Times New Roman"/>
          <w:sz w:val="24"/>
          <w:szCs w:val="24"/>
        </w:rPr>
        <w:t xml:space="preserve">eligible to submit an </w:t>
      </w:r>
      <w:r w:rsidR="00773DB0">
        <w:rPr>
          <w:rFonts w:ascii="Times New Roman" w:hAnsi="Times New Roman" w:cs="Times New Roman"/>
          <w:sz w:val="24"/>
          <w:szCs w:val="24"/>
        </w:rPr>
        <w:t>environment plan</w:t>
      </w:r>
      <w:r w:rsidR="00926CC5" w:rsidRPr="009E202B">
        <w:rPr>
          <w:rFonts w:ascii="Times New Roman" w:hAnsi="Times New Roman" w:cs="Times New Roman"/>
          <w:sz w:val="24"/>
          <w:szCs w:val="24"/>
        </w:rPr>
        <w:t xml:space="preserve">, </w:t>
      </w:r>
      <w:r w:rsidR="00773DB0">
        <w:rPr>
          <w:rFonts w:ascii="Times New Roman" w:hAnsi="Times New Roman" w:cs="Times New Roman"/>
          <w:sz w:val="24"/>
          <w:szCs w:val="24"/>
        </w:rPr>
        <w:t>or</w:t>
      </w:r>
      <w:r w:rsidR="00773DB0" w:rsidRPr="009E202B">
        <w:rPr>
          <w:rFonts w:ascii="Times New Roman" w:hAnsi="Times New Roman" w:cs="Times New Roman"/>
          <w:sz w:val="24"/>
          <w:szCs w:val="24"/>
        </w:rPr>
        <w:t xml:space="preserve"> </w:t>
      </w:r>
      <w:r w:rsidR="00926CC5" w:rsidRPr="009E202B">
        <w:rPr>
          <w:rFonts w:ascii="Times New Roman" w:hAnsi="Times New Roman" w:cs="Times New Roman"/>
          <w:sz w:val="24"/>
          <w:szCs w:val="24"/>
        </w:rPr>
        <w:t xml:space="preserve">a proposed revision of an </w:t>
      </w:r>
      <w:r w:rsidR="00773DB0">
        <w:rPr>
          <w:rFonts w:ascii="Times New Roman" w:hAnsi="Times New Roman" w:cs="Times New Roman"/>
          <w:sz w:val="24"/>
          <w:szCs w:val="24"/>
        </w:rPr>
        <w:t>environment plan</w:t>
      </w:r>
      <w:r w:rsidR="00926CC5" w:rsidRPr="009E202B">
        <w:rPr>
          <w:rFonts w:ascii="Times New Roman" w:hAnsi="Times New Roman" w:cs="Times New Roman"/>
          <w:sz w:val="24"/>
          <w:szCs w:val="24"/>
        </w:rPr>
        <w:t xml:space="preserve">, </w:t>
      </w:r>
      <w:r w:rsidR="006715C4">
        <w:rPr>
          <w:rFonts w:ascii="Times New Roman" w:hAnsi="Times New Roman" w:cs="Times New Roman"/>
          <w:sz w:val="24"/>
          <w:szCs w:val="24"/>
        </w:rPr>
        <w:t>to</w:t>
      </w:r>
      <w:r w:rsidR="00773DB0" w:rsidRPr="009E202B">
        <w:rPr>
          <w:rFonts w:ascii="Times New Roman" w:hAnsi="Times New Roman" w:cs="Times New Roman"/>
          <w:sz w:val="24"/>
          <w:szCs w:val="24"/>
        </w:rPr>
        <w:t xml:space="preserve"> </w:t>
      </w:r>
      <w:r w:rsidR="00DE1E6C">
        <w:rPr>
          <w:rFonts w:ascii="Times New Roman" w:hAnsi="Times New Roman" w:cs="Times New Roman"/>
          <w:sz w:val="24"/>
          <w:szCs w:val="24"/>
        </w:rPr>
        <w:t>the National Offshore Petroleum Safety and Environmental Management Authority (</w:t>
      </w:r>
      <w:r w:rsidR="00926CC5" w:rsidRPr="009E202B">
        <w:rPr>
          <w:rFonts w:ascii="Times New Roman" w:hAnsi="Times New Roman" w:cs="Times New Roman"/>
          <w:sz w:val="24"/>
          <w:szCs w:val="24"/>
        </w:rPr>
        <w:t>NOPSEMA</w:t>
      </w:r>
      <w:r w:rsidR="00DE1E6C">
        <w:rPr>
          <w:rFonts w:ascii="Times New Roman" w:hAnsi="Times New Roman" w:cs="Times New Roman"/>
          <w:sz w:val="24"/>
          <w:szCs w:val="24"/>
        </w:rPr>
        <w:t>)</w:t>
      </w:r>
      <w:r w:rsidR="006715C4">
        <w:rPr>
          <w:rFonts w:ascii="Times New Roman" w:hAnsi="Times New Roman" w:cs="Times New Roman"/>
          <w:sz w:val="24"/>
          <w:szCs w:val="24"/>
        </w:rPr>
        <w:t xml:space="preserve"> for its</w:t>
      </w:r>
      <w:r w:rsidR="00926CC5" w:rsidRPr="009E202B">
        <w:rPr>
          <w:rFonts w:ascii="Times New Roman" w:hAnsi="Times New Roman" w:cs="Times New Roman"/>
          <w:sz w:val="24"/>
          <w:szCs w:val="24"/>
        </w:rPr>
        <w:t xml:space="preserve"> </w:t>
      </w:r>
      <w:r w:rsidR="004C2C3A">
        <w:rPr>
          <w:rFonts w:ascii="Times New Roman" w:hAnsi="Times New Roman" w:cs="Times New Roman"/>
          <w:sz w:val="24"/>
          <w:szCs w:val="24"/>
        </w:rPr>
        <w:t xml:space="preserve">assessment and </w:t>
      </w:r>
      <w:r w:rsidR="00D97E10">
        <w:rPr>
          <w:rFonts w:ascii="Times New Roman" w:hAnsi="Times New Roman" w:cs="Times New Roman"/>
          <w:sz w:val="24"/>
          <w:szCs w:val="24"/>
        </w:rPr>
        <w:t>acceptance</w:t>
      </w:r>
      <w:r w:rsidR="005F5112">
        <w:rPr>
          <w:rFonts w:ascii="Times New Roman" w:hAnsi="Times New Roman" w:cs="Times New Roman"/>
          <w:sz w:val="24"/>
          <w:szCs w:val="24"/>
        </w:rPr>
        <w:t xml:space="preserve"> (see regulation 9 and Division 2.4 of Part 2)</w:t>
      </w:r>
      <w:r w:rsidR="00D97E10">
        <w:rPr>
          <w:rFonts w:ascii="Times New Roman" w:hAnsi="Times New Roman" w:cs="Times New Roman"/>
          <w:sz w:val="24"/>
          <w:szCs w:val="24"/>
        </w:rPr>
        <w:t>;</w:t>
      </w:r>
    </w:p>
    <w:p w14:paraId="30559D2B" w14:textId="4937A39E" w:rsidR="00926CC5" w:rsidRPr="00E47763" w:rsidRDefault="00D97E10"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lastRenderedPageBreak/>
        <w:t>if the direction is a petroleum remedial direction</w:t>
      </w:r>
      <w:r w:rsidR="005F5112">
        <w:rPr>
          <w:rFonts w:ascii="Times New Roman" w:hAnsi="Times New Roman" w:cs="Times New Roman"/>
          <w:sz w:val="24"/>
          <w:szCs w:val="24"/>
        </w:rPr>
        <w:t xml:space="preserve">, </w:t>
      </w:r>
      <w:r w:rsidR="004C2C3A">
        <w:rPr>
          <w:rFonts w:ascii="Times New Roman" w:hAnsi="Times New Roman" w:cs="Times New Roman"/>
          <w:sz w:val="24"/>
          <w:szCs w:val="24"/>
        </w:rPr>
        <w:t xml:space="preserve">NOPSEMA must be reasonably satisfied of </w:t>
      </w:r>
      <w:r w:rsidR="00773DB0" w:rsidRPr="00E47763">
        <w:rPr>
          <w:rFonts w:ascii="Times New Roman" w:hAnsi="Times New Roman" w:cs="Times New Roman"/>
          <w:sz w:val="24"/>
          <w:szCs w:val="24"/>
        </w:rPr>
        <w:t>the person</w:t>
      </w:r>
      <w:r w:rsidR="004C2C3A">
        <w:rPr>
          <w:rFonts w:ascii="Times New Roman" w:hAnsi="Times New Roman" w:cs="Times New Roman"/>
          <w:sz w:val="24"/>
          <w:szCs w:val="24"/>
        </w:rPr>
        <w:t>’s</w:t>
      </w:r>
      <w:r w:rsidR="00773DB0" w:rsidRPr="00E47763">
        <w:rPr>
          <w:rFonts w:ascii="Times New Roman" w:hAnsi="Times New Roman" w:cs="Times New Roman"/>
          <w:sz w:val="24"/>
          <w:szCs w:val="24"/>
        </w:rPr>
        <w:t xml:space="preserve"> </w:t>
      </w:r>
      <w:r w:rsidR="006715C4" w:rsidRPr="00E47763">
        <w:rPr>
          <w:rFonts w:ascii="Times New Roman" w:hAnsi="Times New Roman" w:cs="Times New Roman"/>
          <w:sz w:val="24"/>
          <w:szCs w:val="24"/>
        </w:rPr>
        <w:t>compl</w:t>
      </w:r>
      <w:r w:rsidR="004C2C3A">
        <w:rPr>
          <w:rFonts w:ascii="Times New Roman" w:hAnsi="Times New Roman" w:cs="Times New Roman"/>
          <w:sz w:val="24"/>
          <w:szCs w:val="24"/>
        </w:rPr>
        <w:t>iance</w:t>
      </w:r>
      <w:r w:rsidRPr="00E47763">
        <w:rPr>
          <w:rFonts w:ascii="Times New Roman" w:hAnsi="Times New Roman" w:cs="Times New Roman"/>
          <w:sz w:val="24"/>
          <w:szCs w:val="24"/>
        </w:rPr>
        <w:t xml:space="preserve"> with the financial assurance obligation under section 571 of the OPGGS Act </w:t>
      </w:r>
      <w:r w:rsidR="00773DB0" w:rsidRPr="00E47763">
        <w:rPr>
          <w:rFonts w:ascii="Times New Roman" w:hAnsi="Times New Roman" w:cs="Times New Roman"/>
          <w:sz w:val="24"/>
          <w:szCs w:val="24"/>
        </w:rPr>
        <w:t>as</w:t>
      </w:r>
      <w:r w:rsidRPr="00E47763">
        <w:rPr>
          <w:rFonts w:ascii="Times New Roman" w:hAnsi="Times New Roman" w:cs="Times New Roman"/>
          <w:sz w:val="24"/>
          <w:szCs w:val="24"/>
        </w:rPr>
        <w:t xml:space="preserve"> a prior condition to NOPSEMA’s acceptance of the </w:t>
      </w:r>
      <w:r w:rsidR="00773DB0" w:rsidRPr="00E47763">
        <w:rPr>
          <w:rFonts w:ascii="Times New Roman" w:hAnsi="Times New Roman" w:cs="Times New Roman"/>
          <w:sz w:val="24"/>
          <w:szCs w:val="24"/>
        </w:rPr>
        <w:t>environment plan,</w:t>
      </w:r>
      <w:r w:rsidRPr="00E47763">
        <w:rPr>
          <w:rFonts w:ascii="Times New Roman" w:hAnsi="Times New Roman" w:cs="Times New Roman"/>
          <w:sz w:val="24"/>
          <w:szCs w:val="24"/>
        </w:rPr>
        <w:t xml:space="preserve"> or the proposed revision of the </w:t>
      </w:r>
      <w:r w:rsidR="005F5112" w:rsidRPr="00E47763">
        <w:rPr>
          <w:rFonts w:ascii="Times New Roman" w:hAnsi="Times New Roman" w:cs="Times New Roman"/>
          <w:sz w:val="24"/>
          <w:szCs w:val="24"/>
        </w:rPr>
        <w:t xml:space="preserve">environment plan, </w:t>
      </w:r>
      <w:r w:rsidRPr="00E47763">
        <w:rPr>
          <w:rFonts w:ascii="Times New Roman" w:hAnsi="Times New Roman" w:cs="Times New Roman"/>
          <w:sz w:val="24"/>
          <w:szCs w:val="24"/>
        </w:rPr>
        <w:t>under regulation 5G</w:t>
      </w:r>
      <w:r w:rsidR="005F5112">
        <w:rPr>
          <w:rFonts w:ascii="Times New Roman" w:hAnsi="Times New Roman" w:cs="Times New Roman"/>
          <w:sz w:val="24"/>
          <w:szCs w:val="24"/>
        </w:rPr>
        <w:t>,</w:t>
      </w:r>
      <w:r w:rsidRPr="00E47763">
        <w:rPr>
          <w:rFonts w:ascii="Times New Roman" w:hAnsi="Times New Roman" w:cs="Times New Roman"/>
          <w:sz w:val="24"/>
          <w:szCs w:val="24"/>
        </w:rPr>
        <w:t xml:space="preserve"> and </w:t>
      </w:r>
      <w:r w:rsidR="004C2C3A">
        <w:rPr>
          <w:rFonts w:ascii="Times New Roman" w:hAnsi="Times New Roman" w:cs="Times New Roman"/>
          <w:sz w:val="24"/>
          <w:szCs w:val="24"/>
        </w:rPr>
        <w:t xml:space="preserve">the person must </w:t>
      </w:r>
      <w:r w:rsidR="006715C4" w:rsidRPr="00E47763">
        <w:rPr>
          <w:rFonts w:ascii="Times New Roman" w:hAnsi="Times New Roman" w:cs="Times New Roman"/>
          <w:sz w:val="24"/>
          <w:szCs w:val="24"/>
        </w:rPr>
        <w:t xml:space="preserve">pay a fee </w:t>
      </w:r>
      <w:r w:rsidRPr="00E47763">
        <w:rPr>
          <w:rFonts w:ascii="Times New Roman" w:hAnsi="Times New Roman" w:cs="Times New Roman"/>
          <w:sz w:val="24"/>
          <w:szCs w:val="24"/>
        </w:rPr>
        <w:t xml:space="preserve">to NOPSEMA for </w:t>
      </w:r>
      <w:r w:rsidR="006715C4" w:rsidRPr="00E47763">
        <w:rPr>
          <w:rFonts w:ascii="Times New Roman" w:hAnsi="Times New Roman" w:cs="Times New Roman"/>
          <w:sz w:val="24"/>
          <w:szCs w:val="24"/>
        </w:rPr>
        <w:t>its</w:t>
      </w:r>
      <w:r w:rsidRPr="00E47763">
        <w:rPr>
          <w:rFonts w:ascii="Times New Roman" w:hAnsi="Times New Roman" w:cs="Times New Roman"/>
          <w:sz w:val="24"/>
          <w:szCs w:val="24"/>
        </w:rPr>
        <w:t xml:space="preserve"> assessment of the </w:t>
      </w:r>
      <w:r w:rsidR="006715C4" w:rsidRPr="00E47763">
        <w:rPr>
          <w:rFonts w:ascii="Times New Roman" w:hAnsi="Times New Roman" w:cs="Times New Roman"/>
          <w:sz w:val="24"/>
          <w:szCs w:val="24"/>
        </w:rPr>
        <w:t xml:space="preserve">person’s </w:t>
      </w:r>
      <w:r w:rsidRPr="00E47763">
        <w:rPr>
          <w:rFonts w:ascii="Times New Roman" w:hAnsi="Times New Roman" w:cs="Times New Roman"/>
          <w:sz w:val="24"/>
          <w:szCs w:val="24"/>
        </w:rPr>
        <w:t>fin</w:t>
      </w:r>
      <w:r w:rsidR="006715C4" w:rsidRPr="00E47763">
        <w:rPr>
          <w:rFonts w:ascii="Times New Roman" w:hAnsi="Times New Roman" w:cs="Times New Roman"/>
          <w:sz w:val="24"/>
          <w:szCs w:val="24"/>
        </w:rPr>
        <w:t>ancial assurance arrangements</w:t>
      </w:r>
      <w:r w:rsidRPr="00E47763">
        <w:rPr>
          <w:rFonts w:ascii="Times New Roman" w:hAnsi="Times New Roman" w:cs="Times New Roman"/>
          <w:sz w:val="24"/>
          <w:szCs w:val="24"/>
        </w:rPr>
        <w:t xml:space="preserve"> </w:t>
      </w:r>
      <w:r w:rsidR="005F5112" w:rsidRPr="00E47763">
        <w:rPr>
          <w:rFonts w:ascii="Times New Roman" w:hAnsi="Times New Roman" w:cs="Times New Roman"/>
          <w:sz w:val="24"/>
          <w:szCs w:val="24"/>
        </w:rPr>
        <w:t>(see</w:t>
      </w:r>
      <w:r w:rsidRPr="00E47763">
        <w:rPr>
          <w:rFonts w:ascii="Times New Roman" w:hAnsi="Times New Roman" w:cs="Times New Roman"/>
          <w:sz w:val="24"/>
          <w:szCs w:val="24"/>
        </w:rPr>
        <w:t xml:space="preserve"> regulation 33</w:t>
      </w:r>
      <w:r w:rsidR="005F5112" w:rsidRPr="00E47763">
        <w:rPr>
          <w:rFonts w:ascii="Times New Roman" w:hAnsi="Times New Roman" w:cs="Times New Roman"/>
          <w:sz w:val="24"/>
          <w:szCs w:val="24"/>
        </w:rPr>
        <w:t>)</w:t>
      </w:r>
      <w:r w:rsidRPr="00E47763">
        <w:rPr>
          <w:rFonts w:ascii="Times New Roman" w:hAnsi="Times New Roman" w:cs="Times New Roman"/>
          <w:sz w:val="24"/>
          <w:szCs w:val="24"/>
        </w:rPr>
        <w:t xml:space="preserve">; </w:t>
      </w:r>
      <w:r w:rsidR="00926CC5" w:rsidRPr="00E47763">
        <w:rPr>
          <w:rFonts w:ascii="Times New Roman" w:hAnsi="Times New Roman" w:cs="Times New Roman"/>
          <w:sz w:val="24"/>
          <w:szCs w:val="24"/>
        </w:rPr>
        <w:t>and</w:t>
      </w:r>
    </w:p>
    <w:p w14:paraId="5981DA18" w14:textId="4B19AFB2" w:rsidR="00717E97" w:rsidRPr="009E202B" w:rsidRDefault="00D97E10"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is </w:t>
      </w:r>
      <w:r w:rsidR="00926CC5" w:rsidRPr="009E202B">
        <w:rPr>
          <w:rFonts w:ascii="Times New Roman" w:hAnsi="Times New Roman" w:cs="Times New Roman"/>
          <w:sz w:val="24"/>
          <w:szCs w:val="24"/>
        </w:rPr>
        <w:t>required to comply with other ancillary obligations</w:t>
      </w:r>
      <w:r w:rsidR="006536A8">
        <w:rPr>
          <w:rFonts w:ascii="Times New Roman" w:hAnsi="Times New Roman" w:cs="Times New Roman"/>
          <w:sz w:val="24"/>
          <w:szCs w:val="24"/>
        </w:rPr>
        <w:t xml:space="preserve"> and provisions provided for in the Environment Regulations</w:t>
      </w:r>
      <w:r w:rsidR="00926CC5" w:rsidRPr="009E202B">
        <w:rPr>
          <w:rFonts w:ascii="Times New Roman" w:hAnsi="Times New Roman" w:cs="Times New Roman"/>
          <w:sz w:val="24"/>
          <w:szCs w:val="24"/>
        </w:rPr>
        <w:t xml:space="preserve">, including (but not limited to) the reportable incident and recordable incident notification and </w:t>
      </w:r>
      <w:r w:rsidR="006536A8">
        <w:rPr>
          <w:rFonts w:ascii="Times New Roman" w:hAnsi="Times New Roman" w:cs="Times New Roman"/>
          <w:sz w:val="24"/>
          <w:szCs w:val="24"/>
        </w:rPr>
        <w:t xml:space="preserve">other </w:t>
      </w:r>
      <w:r w:rsidR="00926CC5" w:rsidRPr="009E202B">
        <w:rPr>
          <w:rFonts w:ascii="Times New Roman" w:hAnsi="Times New Roman" w:cs="Times New Roman"/>
          <w:sz w:val="24"/>
          <w:szCs w:val="24"/>
        </w:rPr>
        <w:t>reporting requirements</w:t>
      </w:r>
      <w:r>
        <w:rPr>
          <w:rFonts w:ascii="Times New Roman" w:hAnsi="Times New Roman" w:cs="Times New Roman"/>
          <w:sz w:val="24"/>
          <w:szCs w:val="24"/>
        </w:rPr>
        <w:t xml:space="preserve"> under Part 3</w:t>
      </w:r>
      <w:r w:rsidR="00926CC5" w:rsidRPr="009E202B">
        <w:rPr>
          <w:rFonts w:ascii="Times New Roman" w:hAnsi="Times New Roman" w:cs="Times New Roman"/>
          <w:sz w:val="24"/>
          <w:szCs w:val="24"/>
        </w:rPr>
        <w:t>.</w:t>
      </w:r>
    </w:p>
    <w:p w14:paraId="61573B7F" w14:textId="7394C03A" w:rsidR="0003784C" w:rsidRPr="002C7C76" w:rsidRDefault="0003784C" w:rsidP="002C7C76">
      <w:pPr>
        <w:spacing w:before="240" w:after="240"/>
        <w:rPr>
          <w:rFonts w:ascii="Times New Roman" w:hAnsi="Times New Roman" w:cs="Times New Roman"/>
          <w:sz w:val="24"/>
          <w:szCs w:val="24"/>
        </w:rPr>
      </w:pPr>
      <w:r>
        <w:rPr>
          <w:rFonts w:ascii="Times New Roman" w:hAnsi="Times New Roman" w:cs="Times New Roman"/>
          <w:sz w:val="24"/>
          <w:szCs w:val="24"/>
        </w:rPr>
        <w:t xml:space="preserve">New subregulation 34(3) provides </w:t>
      </w:r>
      <w:r w:rsidRPr="002C7C76">
        <w:rPr>
          <w:rFonts w:ascii="Times New Roman" w:hAnsi="Times New Roman" w:cs="Times New Roman"/>
          <w:sz w:val="24"/>
          <w:szCs w:val="24"/>
        </w:rPr>
        <w:t>that the extended references of the terms outlined in subregu</w:t>
      </w:r>
      <w:r w:rsidR="00B40D5B">
        <w:rPr>
          <w:rFonts w:ascii="Times New Roman" w:hAnsi="Times New Roman" w:cs="Times New Roman"/>
          <w:sz w:val="24"/>
          <w:szCs w:val="24"/>
        </w:rPr>
        <w:t>l</w:t>
      </w:r>
      <w:r w:rsidRPr="002C7C76">
        <w:rPr>
          <w:rFonts w:ascii="Times New Roman" w:hAnsi="Times New Roman" w:cs="Times New Roman"/>
          <w:sz w:val="24"/>
          <w:szCs w:val="24"/>
        </w:rPr>
        <w:t xml:space="preserve">ation 34(2) do not </w:t>
      </w:r>
      <w:r w:rsidR="002C7C76" w:rsidRPr="002C7C76">
        <w:rPr>
          <w:rFonts w:ascii="Times New Roman" w:hAnsi="Times New Roman" w:cs="Times New Roman"/>
          <w:sz w:val="24"/>
          <w:szCs w:val="24"/>
        </w:rPr>
        <w:t>apply to</w:t>
      </w:r>
      <w:r w:rsidRPr="002C7C76">
        <w:rPr>
          <w:rFonts w:ascii="Times New Roman" w:hAnsi="Times New Roman" w:cs="Times New Roman"/>
          <w:sz w:val="24"/>
          <w:szCs w:val="24"/>
        </w:rPr>
        <w:t xml:space="preserve"> </w:t>
      </w:r>
      <w:r w:rsidR="00B5721A">
        <w:rPr>
          <w:rFonts w:ascii="Times New Roman" w:hAnsi="Times New Roman" w:cs="Times New Roman"/>
          <w:sz w:val="24"/>
          <w:szCs w:val="24"/>
        </w:rPr>
        <w:t>the</w:t>
      </w:r>
      <w:r w:rsidR="00B5721A" w:rsidRPr="002C7C76">
        <w:rPr>
          <w:rFonts w:ascii="Times New Roman" w:hAnsi="Times New Roman" w:cs="Times New Roman"/>
          <w:sz w:val="24"/>
          <w:szCs w:val="24"/>
        </w:rPr>
        <w:t xml:space="preserve"> </w:t>
      </w:r>
      <w:r w:rsidR="00C42F43" w:rsidRPr="002C7C76">
        <w:rPr>
          <w:rFonts w:ascii="Times New Roman" w:hAnsi="Times New Roman" w:cs="Times New Roman"/>
          <w:sz w:val="24"/>
          <w:szCs w:val="24"/>
        </w:rPr>
        <w:t xml:space="preserve">definitions of </w:t>
      </w:r>
      <w:r w:rsidR="00B5721A">
        <w:rPr>
          <w:rFonts w:ascii="Times New Roman" w:hAnsi="Times New Roman" w:cs="Times New Roman"/>
          <w:sz w:val="24"/>
          <w:szCs w:val="24"/>
        </w:rPr>
        <w:t xml:space="preserve">those </w:t>
      </w:r>
      <w:r w:rsidR="00C42F43" w:rsidRPr="002C7C76">
        <w:rPr>
          <w:rFonts w:ascii="Times New Roman" w:hAnsi="Times New Roman" w:cs="Times New Roman"/>
          <w:sz w:val="24"/>
          <w:szCs w:val="24"/>
        </w:rPr>
        <w:t>terms in</w:t>
      </w:r>
      <w:r w:rsidRPr="002C7C76">
        <w:rPr>
          <w:rFonts w:ascii="Times New Roman" w:hAnsi="Times New Roman" w:cs="Times New Roman"/>
          <w:sz w:val="24"/>
          <w:szCs w:val="24"/>
        </w:rPr>
        <w:t xml:space="preserve"> regulation 4. </w:t>
      </w:r>
      <w:r w:rsidR="002C7C76" w:rsidRPr="002C7C76">
        <w:rPr>
          <w:rFonts w:ascii="Times New Roman" w:hAnsi="Times New Roman" w:cs="Times New Roman"/>
          <w:sz w:val="24"/>
          <w:szCs w:val="24"/>
        </w:rPr>
        <w:t>The definitions are exclude</w:t>
      </w:r>
      <w:r w:rsidR="002C7C76">
        <w:rPr>
          <w:rFonts w:ascii="Times New Roman" w:hAnsi="Times New Roman" w:cs="Times New Roman"/>
          <w:sz w:val="24"/>
          <w:szCs w:val="24"/>
        </w:rPr>
        <w:t>d</w:t>
      </w:r>
      <w:r w:rsidR="002C7C76" w:rsidRPr="002C7C76">
        <w:rPr>
          <w:rFonts w:ascii="Times New Roman" w:hAnsi="Times New Roman" w:cs="Times New Roman"/>
          <w:sz w:val="24"/>
          <w:szCs w:val="24"/>
        </w:rPr>
        <w:t xml:space="preserve"> as it is not necessary </w:t>
      </w:r>
      <w:r w:rsidR="00BC664E">
        <w:rPr>
          <w:rFonts w:ascii="Times New Roman" w:hAnsi="Times New Roman" w:cs="Times New Roman"/>
          <w:sz w:val="24"/>
          <w:szCs w:val="24"/>
        </w:rPr>
        <w:t>for</w:t>
      </w:r>
      <w:r w:rsidR="002C7C76" w:rsidRPr="002C7C76">
        <w:rPr>
          <w:rFonts w:ascii="Times New Roman" w:hAnsi="Times New Roman" w:cs="Times New Roman"/>
          <w:sz w:val="24"/>
          <w:szCs w:val="24"/>
        </w:rPr>
        <w:t xml:space="preserve"> the references </w:t>
      </w:r>
      <w:r w:rsidR="00BC664E">
        <w:rPr>
          <w:rFonts w:ascii="Times New Roman" w:hAnsi="Times New Roman" w:cs="Times New Roman"/>
          <w:sz w:val="24"/>
          <w:szCs w:val="24"/>
        </w:rPr>
        <w:t xml:space="preserve">to those terms </w:t>
      </w:r>
      <w:r w:rsidR="002C7C76" w:rsidRPr="002C7C76">
        <w:rPr>
          <w:rFonts w:ascii="Times New Roman" w:hAnsi="Times New Roman" w:cs="Times New Roman"/>
          <w:sz w:val="24"/>
          <w:szCs w:val="24"/>
        </w:rPr>
        <w:t xml:space="preserve">in the definitions to include </w:t>
      </w:r>
      <w:r w:rsidR="00BC664E">
        <w:rPr>
          <w:rFonts w:ascii="Times New Roman" w:hAnsi="Times New Roman" w:cs="Times New Roman"/>
          <w:sz w:val="24"/>
          <w:szCs w:val="24"/>
        </w:rPr>
        <w:t xml:space="preserve">the extended </w:t>
      </w:r>
      <w:r w:rsidR="002C7C76" w:rsidRPr="002C7C76">
        <w:rPr>
          <w:rFonts w:ascii="Times New Roman" w:hAnsi="Times New Roman" w:cs="Times New Roman"/>
          <w:sz w:val="24"/>
          <w:szCs w:val="24"/>
        </w:rPr>
        <w:t xml:space="preserve">references </w:t>
      </w:r>
      <w:r w:rsidR="00BC664E">
        <w:rPr>
          <w:rFonts w:ascii="Times New Roman" w:hAnsi="Times New Roman" w:cs="Times New Roman"/>
          <w:sz w:val="24"/>
          <w:szCs w:val="24"/>
        </w:rPr>
        <w:t>given</w:t>
      </w:r>
      <w:r w:rsidR="00182D11">
        <w:rPr>
          <w:rFonts w:ascii="Times New Roman" w:hAnsi="Times New Roman" w:cs="Times New Roman"/>
          <w:sz w:val="24"/>
          <w:szCs w:val="24"/>
        </w:rPr>
        <w:t xml:space="preserve"> the deeming effect of subregulation 34(2)</w:t>
      </w:r>
      <w:r w:rsidR="00A37347">
        <w:rPr>
          <w:rFonts w:ascii="Times New Roman" w:hAnsi="Times New Roman" w:cs="Times New Roman"/>
          <w:sz w:val="24"/>
          <w:szCs w:val="24"/>
        </w:rPr>
        <w:t>.</w:t>
      </w:r>
      <w:r w:rsidR="002C7C76" w:rsidRPr="002C7C76">
        <w:rPr>
          <w:rFonts w:ascii="Times New Roman" w:hAnsi="Times New Roman" w:cs="Times New Roman"/>
          <w:sz w:val="24"/>
          <w:szCs w:val="24"/>
        </w:rPr>
        <w:t xml:space="preserve"> </w:t>
      </w:r>
    </w:p>
    <w:p w14:paraId="36D65F60" w14:textId="05E166D9" w:rsidR="002C7C76" w:rsidRPr="000263AB" w:rsidRDefault="002C7C76" w:rsidP="002C7C76">
      <w:pPr>
        <w:spacing w:before="240" w:after="240"/>
        <w:rPr>
          <w:rFonts w:ascii="Times New Roman" w:hAnsi="Times New Roman" w:cs="Times New Roman"/>
          <w:sz w:val="24"/>
          <w:szCs w:val="24"/>
        </w:rPr>
      </w:pPr>
      <w:r>
        <w:rPr>
          <w:rFonts w:ascii="Times New Roman" w:hAnsi="Times New Roman" w:cs="Times New Roman"/>
          <w:sz w:val="24"/>
          <w:szCs w:val="24"/>
        </w:rPr>
        <w:t xml:space="preserve">If a person is a current titleholder subject to a remedial direction under section 586, 586A, 591B or 592, the Environment Regulations continue to apply to that person as a titleholder. The amendments ensure extended application of the Environment Regulations if a remedial direction is given to a person other than the current titleholder. </w:t>
      </w:r>
    </w:p>
    <w:p w14:paraId="2BAE3024" w14:textId="2C739424" w:rsidR="0010475C" w:rsidRPr="00E02E99" w:rsidRDefault="0010475C" w:rsidP="00E47763">
      <w:pPr>
        <w:keepNext/>
        <w:spacing w:before="240" w:after="240"/>
        <w:rPr>
          <w:rFonts w:ascii="Times New Roman" w:hAnsi="Times New Roman" w:cs="Times New Roman"/>
          <w:i/>
          <w:sz w:val="24"/>
          <w:szCs w:val="24"/>
        </w:rPr>
      </w:pPr>
      <w:r w:rsidRPr="00E02E99">
        <w:rPr>
          <w:rFonts w:ascii="Times New Roman" w:hAnsi="Times New Roman" w:cs="Times New Roman"/>
          <w:i/>
          <w:sz w:val="24"/>
          <w:szCs w:val="24"/>
        </w:rPr>
        <w:t>Offshore Petroleum and Greenhouse Gas Storage (Resource Management and Administration) Regulations 2011</w:t>
      </w:r>
    </w:p>
    <w:p w14:paraId="43519951" w14:textId="049E6A35" w:rsidR="0010475C" w:rsidRDefault="00E02E99" w:rsidP="00E47763">
      <w:pPr>
        <w:keepNext/>
        <w:spacing w:before="240" w:after="240"/>
        <w:rPr>
          <w:rFonts w:ascii="Times New Roman" w:hAnsi="Times New Roman" w:cs="Times New Roman"/>
          <w:b/>
          <w:sz w:val="24"/>
          <w:szCs w:val="24"/>
        </w:rPr>
      </w:pPr>
      <w:r>
        <w:rPr>
          <w:rFonts w:ascii="Times New Roman" w:hAnsi="Times New Roman" w:cs="Times New Roman"/>
          <w:b/>
          <w:sz w:val="24"/>
          <w:szCs w:val="24"/>
        </w:rPr>
        <w:t>I</w:t>
      </w:r>
      <w:r w:rsidR="005A7043">
        <w:rPr>
          <w:rFonts w:ascii="Times New Roman" w:hAnsi="Times New Roman" w:cs="Times New Roman"/>
          <w:b/>
          <w:sz w:val="24"/>
          <w:szCs w:val="24"/>
        </w:rPr>
        <w:t>tem 2</w:t>
      </w:r>
      <w:r>
        <w:rPr>
          <w:rFonts w:ascii="Times New Roman" w:hAnsi="Times New Roman" w:cs="Times New Roman"/>
          <w:b/>
          <w:sz w:val="24"/>
          <w:szCs w:val="24"/>
        </w:rPr>
        <w:t xml:space="preserve"> </w:t>
      </w:r>
      <w:r w:rsidR="005A7043">
        <w:rPr>
          <w:rFonts w:ascii="Times New Roman" w:hAnsi="Times New Roman" w:cs="Times New Roman"/>
          <w:b/>
          <w:sz w:val="24"/>
          <w:szCs w:val="24"/>
        </w:rPr>
        <w:t>–</w:t>
      </w:r>
      <w:r>
        <w:rPr>
          <w:rFonts w:ascii="Times New Roman" w:hAnsi="Times New Roman" w:cs="Times New Roman"/>
          <w:b/>
          <w:sz w:val="24"/>
          <w:szCs w:val="24"/>
        </w:rPr>
        <w:t xml:space="preserve"> </w:t>
      </w:r>
      <w:r w:rsidR="005A7043">
        <w:rPr>
          <w:rFonts w:ascii="Times New Roman" w:hAnsi="Times New Roman" w:cs="Times New Roman"/>
          <w:b/>
          <w:sz w:val="24"/>
          <w:szCs w:val="24"/>
        </w:rPr>
        <w:t xml:space="preserve">After Division 9 of Part 5 </w:t>
      </w:r>
    </w:p>
    <w:p w14:paraId="49872EBC" w14:textId="2E2D73E4" w:rsidR="008B36D1" w:rsidRDefault="00B24F71" w:rsidP="009E202B">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inserts new Division 9A </w:t>
      </w:r>
      <w:r w:rsidR="00C102AF">
        <w:rPr>
          <w:rFonts w:ascii="Times New Roman" w:hAnsi="Times New Roman" w:cs="Times New Roman"/>
          <w:sz w:val="24"/>
          <w:szCs w:val="24"/>
        </w:rPr>
        <w:t>into</w:t>
      </w:r>
      <w:r>
        <w:rPr>
          <w:rFonts w:ascii="Times New Roman" w:hAnsi="Times New Roman" w:cs="Times New Roman"/>
          <w:sz w:val="24"/>
          <w:szCs w:val="24"/>
        </w:rPr>
        <w:t xml:space="preserve"> Part 5 of the RMA Regulations</w:t>
      </w:r>
      <w:r w:rsidR="00D97E10">
        <w:rPr>
          <w:rFonts w:ascii="Times New Roman" w:hAnsi="Times New Roman" w:cs="Times New Roman"/>
          <w:sz w:val="24"/>
          <w:szCs w:val="24"/>
        </w:rPr>
        <w:t>, which provides for new regulation 5.29A</w:t>
      </w:r>
      <w:r>
        <w:rPr>
          <w:rFonts w:ascii="Times New Roman" w:hAnsi="Times New Roman" w:cs="Times New Roman"/>
          <w:sz w:val="24"/>
          <w:szCs w:val="24"/>
        </w:rPr>
        <w:t xml:space="preserve">. </w:t>
      </w:r>
    </w:p>
    <w:p w14:paraId="2F7685FE" w14:textId="24FC5C96" w:rsidR="00063C5D" w:rsidRPr="00E47763" w:rsidRDefault="00063C5D" w:rsidP="00063C5D">
      <w:pPr>
        <w:spacing w:before="240" w:after="240"/>
        <w:rPr>
          <w:rFonts w:ascii="Times New Roman" w:hAnsi="Times New Roman" w:cs="Times New Roman"/>
          <w:sz w:val="24"/>
          <w:szCs w:val="24"/>
        </w:rPr>
      </w:pPr>
      <w:r w:rsidRPr="00E47763">
        <w:rPr>
          <w:rFonts w:ascii="Times New Roman" w:hAnsi="Times New Roman" w:cs="Times New Roman"/>
          <w:sz w:val="24"/>
          <w:szCs w:val="24"/>
        </w:rPr>
        <w:t xml:space="preserve">Part 5 of the RMA Regulations applies to well activities undertaken by a </w:t>
      </w:r>
      <w:r>
        <w:rPr>
          <w:rFonts w:ascii="Times New Roman" w:hAnsi="Times New Roman" w:cs="Times New Roman"/>
          <w:sz w:val="24"/>
          <w:szCs w:val="24"/>
        </w:rPr>
        <w:t xml:space="preserve">titleholder in a title area. A </w:t>
      </w:r>
      <w:r w:rsidRPr="00401CF3">
        <w:rPr>
          <w:rFonts w:ascii="Times New Roman" w:hAnsi="Times New Roman" w:cs="Times New Roman"/>
          <w:b/>
          <w:i/>
          <w:sz w:val="24"/>
          <w:szCs w:val="24"/>
        </w:rPr>
        <w:t>well activity</w:t>
      </w:r>
      <w:r>
        <w:rPr>
          <w:rFonts w:ascii="Times New Roman" w:hAnsi="Times New Roman" w:cs="Times New Roman"/>
          <w:sz w:val="24"/>
          <w:szCs w:val="24"/>
        </w:rPr>
        <w:t xml:space="preserve"> is defined by regulation 5.02 to mean an activity relating to a well that is carried out during the life of the well. A </w:t>
      </w:r>
      <w:r w:rsidRPr="00401CF3">
        <w:rPr>
          <w:rFonts w:ascii="Times New Roman" w:hAnsi="Times New Roman" w:cs="Times New Roman"/>
          <w:b/>
          <w:i/>
          <w:sz w:val="24"/>
          <w:szCs w:val="24"/>
        </w:rPr>
        <w:t>well</w:t>
      </w:r>
      <w:r>
        <w:rPr>
          <w:rFonts w:ascii="Times New Roman" w:hAnsi="Times New Roman" w:cs="Times New Roman"/>
          <w:sz w:val="24"/>
          <w:szCs w:val="24"/>
        </w:rPr>
        <w:t xml:space="preserve"> is defined by section 7 of the OPGGS Act, and regulation 5.03 of the RMA Regulations</w:t>
      </w:r>
      <w:r w:rsidRPr="00E47763">
        <w:rPr>
          <w:rFonts w:ascii="Times New Roman" w:hAnsi="Times New Roman" w:cs="Times New Roman"/>
          <w:sz w:val="24"/>
          <w:szCs w:val="24"/>
        </w:rPr>
        <w:t xml:space="preserve"> provides that a reference to a well in Part 5 includes a reference to well-related equipment associated with the well.</w:t>
      </w:r>
    </w:p>
    <w:p w14:paraId="7E9438BE" w14:textId="731C88A2" w:rsidR="00475054" w:rsidRDefault="00B24F71" w:rsidP="008B36D1">
      <w:pPr>
        <w:spacing w:before="240" w:after="240"/>
        <w:rPr>
          <w:rFonts w:ascii="Times New Roman" w:hAnsi="Times New Roman" w:cs="Times New Roman"/>
          <w:sz w:val="24"/>
          <w:szCs w:val="24"/>
        </w:rPr>
      </w:pPr>
      <w:r>
        <w:rPr>
          <w:rFonts w:ascii="Times New Roman" w:hAnsi="Times New Roman" w:cs="Times New Roman"/>
          <w:sz w:val="24"/>
          <w:szCs w:val="24"/>
        </w:rPr>
        <w:t xml:space="preserve">New regulation </w:t>
      </w:r>
      <w:r w:rsidR="009E202B">
        <w:rPr>
          <w:rFonts w:ascii="Times New Roman" w:hAnsi="Times New Roman" w:cs="Times New Roman"/>
          <w:sz w:val="24"/>
          <w:szCs w:val="24"/>
        </w:rPr>
        <w:t xml:space="preserve">5.29A </w:t>
      </w:r>
      <w:r>
        <w:rPr>
          <w:rFonts w:ascii="Times New Roman" w:hAnsi="Times New Roman" w:cs="Times New Roman"/>
          <w:sz w:val="24"/>
          <w:szCs w:val="24"/>
        </w:rPr>
        <w:t>provides</w:t>
      </w:r>
      <w:r w:rsidR="000447DF">
        <w:rPr>
          <w:rFonts w:ascii="Times New Roman" w:hAnsi="Times New Roman" w:cs="Times New Roman"/>
          <w:sz w:val="24"/>
          <w:szCs w:val="24"/>
        </w:rPr>
        <w:t xml:space="preserve"> that</w:t>
      </w:r>
      <w:r>
        <w:rPr>
          <w:rFonts w:ascii="Times New Roman" w:hAnsi="Times New Roman" w:cs="Times New Roman"/>
          <w:sz w:val="24"/>
          <w:szCs w:val="24"/>
        </w:rPr>
        <w:t xml:space="preserve">, if </w:t>
      </w:r>
      <w:r w:rsidR="00D97E10">
        <w:rPr>
          <w:rFonts w:ascii="Times New Roman" w:hAnsi="Times New Roman" w:cs="Times New Roman"/>
          <w:sz w:val="24"/>
          <w:szCs w:val="24"/>
        </w:rPr>
        <w:t xml:space="preserve">a </w:t>
      </w:r>
      <w:r w:rsidR="00D97E10" w:rsidRPr="002718B4">
        <w:rPr>
          <w:rFonts w:ascii="Times New Roman" w:hAnsi="Times New Roman" w:cs="Times New Roman"/>
          <w:sz w:val="24"/>
          <w:szCs w:val="24"/>
        </w:rPr>
        <w:t xml:space="preserve">direction </w:t>
      </w:r>
      <w:r w:rsidR="00D97E10">
        <w:rPr>
          <w:rFonts w:ascii="Times New Roman" w:hAnsi="Times New Roman" w:cs="Times New Roman"/>
          <w:sz w:val="24"/>
          <w:szCs w:val="24"/>
        </w:rPr>
        <w:t xml:space="preserve">is in force under section 586, 586A, 587 or 587A of the OPGGS Act (referred to as a </w:t>
      </w:r>
      <w:r w:rsidR="00D97E10" w:rsidRPr="00E6492B">
        <w:rPr>
          <w:rFonts w:ascii="Times New Roman" w:hAnsi="Times New Roman" w:cs="Times New Roman"/>
          <w:b/>
          <w:i/>
          <w:sz w:val="24"/>
          <w:szCs w:val="24"/>
        </w:rPr>
        <w:t>petroleum remedial direction</w:t>
      </w:r>
      <w:r w:rsidR="00D97E10">
        <w:rPr>
          <w:rFonts w:ascii="Times New Roman" w:hAnsi="Times New Roman" w:cs="Times New Roman"/>
          <w:sz w:val="24"/>
          <w:szCs w:val="24"/>
        </w:rPr>
        <w:t xml:space="preserve">) or section 591B, 592, 594A or 595 of the OPGGS Act (referred to as a </w:t>
      </w:r>
      <w:r w:rsidR="00D97E10" w:rsidRPr="00E6492B">
        <w:rPr>
          <w:rFonts w:ascii="Times New Roman" w:hAnsi="Times New Roman" w:cs="Times New Roman"/>
          <w:b/>
          <w:i/>
          <w:sz w:val="24"/>
          <w:szCs w:val="24"/>
        </w:rPr>
        <w:t>greenhouse gas remedial direction</w:t>
      </w:r>
      <w:r w:rsidR="00D97E10">
        <w:rPr>
          <w:rFonts w:ascii="Times New Roman" w:hAnsi="Times New Roman" w:cs="Times New Roman"/>
          <w:sz w:val="24"/>
          <w:szCs w:val="24"/>
        </w:rPr>
        <w:t>)</w:t>
      </w:r>
      <w:r>
        <w:rPr>
          <w:rFonts w:ascii="Times New Roman" w:hAnsi="Times New Roman" w:cs="Times New Roman"/>
          <w:sz w:val="24"/>
          <w:szCs w:val="24"/>
        </w:rPr>
        <w:t>,</w:t>
      </w:r>
      <w:r w:rsidR="009E202B">
        <w:rPr>
          <w:rFonts w:ascii="Times New Roman" w:hAnsi="Times New Roman" w:cs="Times New Roman"/>
          <w:sz w:val="24"/>
          <w:szCs w:val="24"/>
        </w:rPr>
        <w:t xml:space="preserve"> </w:t>
      </w:r>
      <w:r>
        <w:rPr>
          <w:rFonts w:ascii="Times New Roman" w:hAnsi="Times New Roman" w:cs="Times New Roman"/>
          <w:sz w:val="24"/>
          <w:szCs w:val="24"/>
        </w:rPr>
        <w:t>Part 5 of the RMA Regulations</w:t>
      </w:r>
      <w:r w:rsidR="009E202B">
        <w:rPr>
          <w:rFonts w:ascii="Times New Roman" w:hAnsi="Times New Roman" w:cs="Times New Roman"/>
          <w:sz w:val="24"/>
          <w:szCs w:val="24"/>
        </w:rPr>
        <w:t xml:space="preserve"> </w:t>
      </w:r>
      <w:r w:rsidR="00063C5D">
        <w:rPr>
          <w:rFonts w:ascii="Times New Roman" w:hAnsi="Times New Roman" w:cs="Times New Roman"/>
          <w:sz w:val="24"/>
          <w:szCs w:val="24"/>
        </w:rPr>
        <w:t xml:space="preserve">also </w:t>
      </w:r>
      <w:r w:rsidR="009E202B">
        <w:rPr>
          <w:rFonts w:ascii="Times New Roman" w:hAnsi="Times New Roman" w:cs="Times New Roman"/>
          <w:sz w:val="24"/>
          <w:szCs w:val="24"/>
        </w:rPr>
        <w:t xml:space="preserve">apply </w:t>
      </w:r>
      <w:r w:rsidR="00C77AC7">
        <w:rPr>
          <w:rFonts w:ascii="Times New Roman" w:hAnsi="Times New Roman" w:cs="Times New Roman"/>
          <w:sz w:val="24"/>
          <w:szCs w:val="24"/>
        </w:rPr>
        <w:t xml:space="preserve">in relation </w:t>
      </w:r>
      <w:r w:rsidR="009E202B">
        <w:rPr>
          <w:rFonts w:ascii="Times New Roman" w:hAnsi="Times New Roman" w:cs="Times New Roman"/>
          <w:sz w:val="24"/>
          <w:szCs w:val="24"/>
        </w:rPr>
        <w:t xml:space="preserve">to </w:t>
      </w:r>
      <w:r w:rsidR="00480F60">
        <w:rPr>
          <w:rFonts w:ascii="Times New Roman" w:hAnsi="Times New Roman" w:cs="Times New Roman"/>
          <w:sz w:val="24"/>
          <w:szCs w:val="24"/>
        </w:rPr>
        <w:t xml:space="preserve">the person </w:t>
      </w:r>
      <w:r w:rsidR="009E202B">
        <w:rPr>
          <w:rFonts w:ascii="Times New Roman" w:hAnsi="Times New Roman" w:cs="Times New Roman"/>
          <w:sz w:val="24"/>
          <w:szCs w:val="24"/>
        </w:rPr>
        <w:t xml:space="preserve">who </w:t>
      </w:r>
      <w:r w:rsidR="00480F60">
        <w:rPr>
          <w:rFonts w:ascii="Times New Roman" w:hAnsi="Times New Roman" w:cs="Times New Roman"/>
          <w:sz w:val="24"/>
          <w:szCs w:val="24"/>
        </w:rPr>
        <w:t xml:space="preserve">is </w:t>
      </w:r>
      <w:r w:rsidR="00EA48EB">
        <w:rPr>
          <w:rFonts w:ascii="Times New Roman" w:hAnsi="Times New Roman" w:cs="Times New Roman"/>
          <w:sz w:val="24"/>
          <w:szCs w:val="24"/>
        </w:rPr>
        <w:t xml:space="preserve">subject to </w:t>
      </w:r>
      <w:r w:rsidR="00C77AC7">
        <w:rPr>
          <w:rFonts w:ascii="Times New Roman" w:hAnsi="Times New Roman" w:cs="Times New Roman"/>
          <w:sz w:val="24"/>
          <w:szCs w:val="24"/>
        </w:rPr>
        <w:t>the direction and any activities</w:t>
      </w:r>
      <w:r w:rsidR="00480F60">
        <w:rPr>
          <w:rFonts w:ascii="Times New Roman" w:hAnsi="Times New Roman" w:cs="Times New Roman"/>
          <w:sz w:val="24"/>
          <w:szCs w:val="24"/>
        </w:rPr>
        <w:t xml:space="preserve"> </w:t>
      </w:r>
      <w:r w:rsidR="00F17BD9">
        <w:rPr>
          <w:rFonts w:ascii="Times New Roman" w:hAnsi="Times New Roman" w:cs="Times New Roman"/>
          <w:sz w:val="24"/>
          <w:szCs w:val="24"/>
        </w:rPr>
        <w:t xml:space="preserve">relating to a well </w:t>
      </w:r>
      <w:r w:rsidR="00505711">
        <w:rPr>
          <w:rFonts w:ascii="Times New Roman" w:hAnsi="Times New Roman" w:cs="Times New Roman"/>
          <w:sz w:val="24"/>
          <w:szCs w:val="24"/>
        </w:rPr>
        <w:t xml:space="preserve">that </w:t>
      </w:r>
      <w:r w:rsidR="00C77AC7">
        <w:rPr>
          <w:rFonts w:ascii="Times New Roman" w:hAnsi="Times New Roman" w:cs="Times New Roman"/>
          <w:sz w:val="24"/>
          <w:szCs w:val="24"/>
        </w:rPr>
        <w:t>are required to be carried out for the purpose of complying with the direction</w:t>
      </w:r>
      <w:r w:rsidR="00EA48EB">
        <w:rPr>
          <w:rFonts w:ascii="Times New Roman" w:hAnsi="Times New Roman" w:cs="Times New Roman"/>
          <w:sz w:val="24"/>
          <w:szCs w:val="24"/>
        </w:rPr>
        <w:t xml:space="preserve">. </w:t>
      </w:r>
    </w:p>
    <w:p w14:paraId="2C9F6D3A" w14:textId="77777777" w:rsidR="00A37347" w:rsidRDefault="00A37347" w:rsidP="008B36D1">
      <w:pPr>
        <w:spacing w:before="240" w:after="240"/>
        <w:rPr>
          <w:rFonts w:ascii="Times New Roman" w:hAnsi="Times New Roman" w:cs="Times New Roman"/>
          <w:sz w:val="24"/>
          <w:szCs w:val="24"/>
        </w:rPr>
      </w:pPr>
    </w:p>
    <w:p w14:paraId="6D009736" w14:textId="015F4200" w:rsidR="00EA48EB" w:rsidRPr="00EA48EB" w:rsidRDefault="00480F60" w:rsidP="00EA48EB">
      <w:pPr>
        <w:spacing w:before="240" w:after="240"/>
        <w:rPr>
          <w:rFonts w:ascii="Times New Roman" w:hAnsi="Times New Roman" w:cs="Times New Roman"/>
          <w:sz w:val="24"/>
          <w:szCs w:val="24"/>
        </w:rPr>
      </w:pPr>
      <w:r>
        <w:rPr>
          <w:rFonts w:ascii="Times New Roman" w:hAnsi="Times New Roman" w:cs="Times New Roman"/>
          <w:sz w:val="24"/>
          <w:szCs w:val="24"/>
        </w:rPr>
        <w:lastRenderedPageBreak/>
        <w:t>New s</w:t>
      </w:r>
      <w:r w:rsidR="00EA48EB" w:rsidRPr="00EA48EB">
        <w:rPr>
          <w:rFonts w:ascii="Times New Roman" w:hAnsi="Times New Roman" w:cs="Times New Roman"/>
          <w:sz w:val="24"/>
          <w:szCs w:val="24"/>
        </w:rPr>
        <w:t>ub</w:t>
      </w:r>
      <w:r w:rsidR="00EA48EB">
        <w:rPr>
          <w:rFonts w:ascii="Times New Roman" w:hAnsi="Times New Roman" w:cs="Times New Roman"/>
          <w:sz w:val="24"/>
          <w:szCs w:val="24"/>
        </w:rPr>
        <w:t xml:space="preserve">regulation </w:t>
      </w:r>
      <w:r w:rsidR="00EA48EB" w:rsidRPr="00EA48EB">
        <w:rPr>
          <w:rFonts w:ascii="Times New Roman" w:hAnsi="Times New Roman" w:cs="Times New Roman"/>
          <w:sz w:val="24"/>
          <w:szCs w:val="24"/>
        </w:rPr>
        <w:t xml:space="preserve">5.29A(2) </w:t>
      </w:r>
      <w:r w:rsidR="00C77AC7">
        <w:rPr>
          <w:rFonts w:ascii="Times New Roman" w:hAnsi="Times New Roman" w:cs="Times New Roman"/>
          <w:sz w:val="24"/>
          <w:szCs w:val="24"/>
        </w:rPr>
        <w:t>operates by deeming a reference to certain term</w:t>
      </w:r>
      <w:r>
        <w:rPr>
          <w:rFonts w:ascii="Times New Roman" w:hAnsi="Times New Roman" w:cs="Times New Roman"/>
          <w:sz w:val="24"/>
          <w:szCs w:val="24"/>
        </w:rPr>
        <w:t>s</w:t>
      </w:r>
      <w:r w:rsidR="00C77AC7">
        <w:rPr>
          <w:rFonts w:ascii="Times New Roman" w:hAnsi="Times New Roman" w:cs="Times New Roman"/>
          <w:sz w:val="24"/>
          <w:szCs w:val="24"/>
        </w:rPr>
        <w:t xml:space="preserve"> used in the </w:t>
      </w:r>
      <w:r>
        <w:rPr>
          <w:rFonts w:ascii="Times New Roman" w:hAnsi="Times New Roman" w:cs="Times New Roman"/>
          <w:sz w:val="24"/>
          <w:szCs w:val="24"/>
        </w:rPr>
        <w:t>RMA</w:t>
      </w:r>
      <w:r w:rsidR="00C77AC7">
        <w:rPr>
          <w:rFonts w:ascii="Times New Roman" w:hAnsi="Times New Roman" w:cs="Times New Roman"/>
          <w:sz w:val="24"/>
          <w:szCs w:val="24"/>
        </w:rPr>
        <w:t xml:space="preserve"> Regulations to include a reference to </w:t>
      </w:r>
      <w:r>
        <w:rPr>
          <w:rFonts w:ascii="Times New Roman" w:hAnsi="Times New Roman" w:cs="Times New Roman"/>
          <w:sz w:val="24"/>
          <w:szCs w:val="24"/>
        </w:rPr>
        <w:t>other</w:t>
      </w:r>
      <w:r w:rsidR="00C77AC7">
        <w:rPr>
          <w:rFonts w:ascii="Times New Roman" w:hAnsi="Times New Roman" w:cs="Times New Roman"/>
          <w:sz w:val="24"/>
          <w:szCs w:val="24"/>
        </w:rPr>
        <w:t xml:space="preserve"> term</w:t>
      </w:r>
      <w:r w:rsidR="00505711">
        <w:rPr>
          <w:rFonts w:ascii="Times New Roman" w:hAnsi="Times New Roman" w:cs="Times New Roman"/>
          <w:sz w:val="24"/>
          <w:szCs w:val="24"/>
        </w:rPr>
        <w:t>s</w:t>
      </w:r>
      <w:r w:rsidR="00C77AC7">
        <w:rPr>
          <w:rFonts w:ascii="Times New Roman" w:hAnsi="Times New Roman" w:cs="Times New Roman"/>
          <w:sz w:val="24"/>
          <w:szCs w:val="24"/>
        </w:rPr>
        <w:t>. Specifically, if a remedial direction is in force</w:t>
      </w:r>
      <w:r>
        <w:rPr>
          <w:rFonts w:ascii="Times New Roman" w:hAnsi="Times New Roman" w:cs="Times New Roman"/>
          <w:sz w:val="24"/>
          <w:szCs w:val="24"/>
        </w:rPr>
        <w:t xml:space="preserve"> and the activity or activities that are required to be carried </w:t>
      </w:r>
      <w:r w:rsidR="00E26AC2">
        <w:rPr>
          <w:rFonts w:ascii="Times New Roman" w:hAnsi="Times New Roman" w:cs="Times New Roman"/>
          <w:sz w:val="24"/>
          <w:szCs w:val="24"/>
        </w:rPr>
        <w:t xml:space="preserve">out </w:t>
      </w:r>
      <w:r>
        <w:rPr>
          <w:rFonts w:ascii="Times New Roman" w:hAnsi="Times New Roman" w:cs="Times New Roman"/>
          <w:sz w:val="24"/>
          <w:szCs w:val="24"/>
        </w:rPr>
        <w:t>for the purpose of complying with the direction relate to a well</w:t>
      </w:r>
      <w:r w:rsidR="00C77AC7">
        <w:rPr>
          <w:rFonts w:ascii="Times New Roman" w:hAnsi="Times New Roman" w:cs="Times New Roman"/>
          <w:sz w:val="24"/>
          <w:szCs w:val="24"/>
        </w:rPr>
        <w:t xml:space="preserve">, </w:t>
      </w:r>
      <w:r>
        <w:rPr>
          <w:rFonts w:ascii="Times New Roman" w:hAnsi="Times New Roman" w:cs="Times New Roman"/>
          <w:sz w:val="24"/>
          <w:szCs w:val="24"/>
        </w:rPr>
        <w:t>Part 5 of the RMA</w:t>
      </w:r>
      <w:r w:rsidR="00C77AC7">
        <w:rPr>
          <w:rFonts w:ascii="Times New Roman" w:hAnsi="Times New Roman" w:cs="Times New Roman"/>
          <w:sz w:val="24"/>
          <w:szCs w:val="24"/>
        </w:rPr>
        <w:t xml:space="preserve"> Regulations apply:</w:t>
      </w:r>
    </w:p>
    <w:p w14:paraId="4AB5E6E8" w14:textId="037F4476" w:rsidR="00EA48EB" w:rsidRPr="00EA48EB" w:rsidRDefault="00C77AC7"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as if a </w:t>
      </w:r>
      <w:r w:rsidR="00EA48EB" w:rsidRPr="00EA48EB">
        <w:rPr>
          <w:rFonts w:ascii="Times New Roman" w:hAnsi="Times New Roman" w:cs="Times New Roman"/>
          <w:sz w:val="24"/>
          <w:szCs w:val="24"/>
        </w:rPr>
        <w:t>reference to a titleholder include</w:t>
      </w:r>
      <w:r>
        <w:rPr>
          <w:rFonts w:ascii="Times New Roman" w:hAnsi="Times New Roman" w:cs="Times New Roman"/>
          <w:sz w:val="24"/>
          <w:szCs w:val="24"/>
        </w:rPr>
        <w:t>d</w:t>
      </w:r>
      <w:r w:rsidR="00EA48EB" w:rsidRPr="00EA48EB">
        <w:rPr>
          <w:rFonts w:ascii="Times New Roman" w:hAnsi="Times New Roman" w:cs="Times New Roman"/>
          <w:sz w:val="24"/>
          <w:szCs w:val="24"/>
        </w:rPr>
        <w:t xml:space="preserve"> a reference to a person </w:t>
      </w:r>
      <w:r>
        <w:rPr>
          <w:rFonts w:ascii="Times New Roman" w:hAnsi="Times New Roman" w:cs="Times New Roman"/>
          <w:sz w:val="24"/>
          <w:szCs w:val="24"/>
        </w:rPr>
        <w:t xml:space="preserve">who is </w:t>
      </w:r>
      <w:r w:rsidR="00EA48EB" w:rsidRPr="00EA48EB">
        <w:rPr>
          <w:rFonts w:ascii="Times New Roman" w:hAnsi="Times New Roman" w:cs="Times New Roman"/>
          <w:sz w:val="24"/>
          <w:szCs w:val="24"/>
        </w:rPr>
        <w:t>subject to a petr</w:t>
      </w:r>
      <w:r w:rsidR="00EA48EB">
        <w:rPr>
          <w:rFonts w:ascii="Times New Roman" w:hAnsi="Times New Roman" w:cs="Times New Roman"/>
          <w:sz w:val="24"/>
          <w:szCs w:val="24"/>
        </w:rPr>
        <w:t xml:space="preserve">oleum or </w:t>
      </w:r>
      <w:r>
        <w:rPr>
          <w:rFonts w:ascii="Times New Roman" w:hAnsi="Times New Roman" w:cs="Times New Roman"/>
          <w:sz w:val="24"/>
          <w:szCs w:val="24"/>
        </w:rPr>
        <w:t xml:space="preserve">greenhouse gas </w:t>
      </w:r>
      <w:r w:rsidR="00EA48EB">
        <w:rPr>
          <w:rFonts w:ascii="Times New Roman" w:hAnsi="Times New Roman" w:cs="Times New Roman"/>
          <w:sz w:val="24"/>
          <w:szCs w:val="24"/>
        </w:rPr>
        <w:t>remedial direction</w:t>
      </w:r>
      <w:r>
        <w:rPr>
          <w:rFonts w:ascii="Times New Roman" w:hAnsi="Times New Roman" w:cs="Times New Roman"/>
          <w:sz w:val="24"/>
          <w:szCs w:val="24"/>
        </w:rPr>
        <w:t>;</w:t>
      </w:r>
    </w:p>
    <w:p w14:paraId="3F682886" w14:textId="685F35AC" w:rsidR="00EA48EB" w:rsidRDefault="00C77AC7"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as if a </w:t>
      </w:r>
      <w:r w:rsidR="00EA48EB" w:rsidRPr="00EA48EB">
        <w:rPr>
          <w:rFonts w:ascii="Times New Roman" w:hAnsi="Times New Roman" w:cs="Times New Roman"/>
          <w:sz w:val="24"/>
          <w:szCs w:val="24"/>
        </w:rPr>
        <w:t>reference to a well activity</w:t>
      </w:r>
      <w:r>
        <w:rPr>
          <w:rFonts w:ascii="Times New Roman" w:hAnsi="Times New Roman" w:cs="Times New Roman"/>
          <w:sz w:val="24"/>
          <w:szCs w:val="24"/>
        </w:rPr>
        <w:t xml:space="preserve"> included </w:t>
      </w:r>
      <w:r w:rsidR="00EA48EB" w:rsidRPr="00EA48EB">
        <w:rPr>
          <w:rFonts w:ascii="Times New Roman" w:hAnsi="Times New Roman" w:cs="Times New Roman"/>
          <w:sz w:val="24"/>
          <w:szCs w:val="24"/>
        </w:rPr>
        <w:t xml:space="preserve">a reference to an activity </w:t>
      </w:r>
      <w:r w:rsidRPr="00401CF3">
        <w:rPr>
          <w:rFonts w:ascii="Times New Roman" w:hAnsi="Times New Roman" w:cs="Times New Roman"/>
          <w:sz w:val="24"/>
          <w:szCs w:val="24"/>
        </w:rPr>
        <w:t>relating to a well</w:t>
      </w:r>
      <w:r>
        <w:rPr>
          <w:rFonts w:ascii="Times New Roman" w:hAnsi="Times New Roman" w:cs="Times New Roman"/>
          <w:sz w:val="24"/>
          <w:szCs w:val="24"/>
        </w:rPr>
        <w:t xml:space="preserve"> </w:t>
      </w:r>
      <w:r w:rsidR="00EA48EB" w:rsidRPr="00EA48EB">
        <w:rPr>
          <w:rFonts w:ascii="Times New Roman" w:hAnsi="Times New Roman" w:cs="Times New Roman"/>
          <w:sz w:val="24"/>
          <w:szCs w:val="24"/>
        </w:rPr>
        <w:t xml:space="preserve">carried out for the purpose of complying with a petroleum or </w:t>
      </w:r>
      <w:r>
        <w:rPr>
          <w:rFonts w:ascii="Times New Roman" w:hAnsi="Times New Roman" w:cs="Times New Roman"/>
          <w:sz w:val="24"/>
          <w:szCs w:val="24"/>
        </w:rPr>
        <w:t>greenhouse gas</w:t>
      </w:r>
      <w:r w:rsidR="00EA48EB" w:rsidRPr="00EA48EB">
        <w:rPr>
          <w:rFonts w:ascii="Times New Roman" w:hAnsi="Times New Roman" w:cs="Times New Roman"/>
          <w:sz w:val="24"/>
          <w:szCs w:val="24"/>
        </w:rPr>
        <w:t xml:space="preserve"> remedial direction</w:t>
      </w:r>
      <w:r>
        <w:rPr>
          <w:rFonts w:ascii="Times New Roman" w:hAnsi="Times New Roman" w:cs="Times New Roman"/>
          <w:sz w:val="24"/>
          <w:szCs w:val="24"/>
        </w:rPr>
        <w:t>; and</w:t>
      </w:r>
    </w:p>
    <w:p w14:paraId="6CD144D2" w14:textId="5143231C" w:rsidR="00C77AC7" w:rsidRDefault="00C77AC7"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if a title has ceased to be in force, as if a reference to a title area included a reference to the area in which </w:t>
      </w:r>
      <w:r w:rsidR="006536A8">
        <w:rPr>
          <w:rFonts w:ascii="Times New Roman" w:hAnsi="Times New Roman" w:cs="Times New Roman"/>
          <w:sz w:val="24"/>
          <w:szCs w:val="24"/>
        </w:rPr>
        <w:t xml:space="preserve">activities </w:t>
      </w:r>
      <w:r>
        <w:rPr>
          <w:rFonts w:ascii="Times New Roman" w:hAnsi="Times New Roman" w:cs="Times New Roman"/>
          <w:sz w:val="24"/>
          <w:szCs w:val="24"/>
        </w:rPr>
        <w:t>are being carried out for the purposes of complying with a petroleum or greenhouse remedial direction.</w:t>
      </w:r>
    </w:p>
    <w:p w14:paraId="6351F3BD" w14:textId="4E597556" w:rsidR="00C77AC7" w:rsidRPr="00A47EF3" w:rsidRDefault="00C035BC" w:rsidP="00C77AC7">
      <w:pPr>
        <w:spacing w:before="240" w:after="240"/>
        <w:rPr>
          <w:rFonts w:ascii="Times New Roman" w:hAnsi="Times New Roman" w:cs="Times New Roman"/>
          <w:sz w:val="24"/>
          <w:szCs w:val="24"/>
        </w:rPr>
      </w:pPr>
      <w:r>
        <w:rPr>
          <w:rFonts w:ascii="Times New Roman" w:hAnsi="Times New Roman" w:cs="Times New Roman"/>
          <w:sz w:val="24"/>
          <w:szCs w:val="24"/>
        </w:rPr>
        <w:t>Practically</w:t>
      </w:r>
      <w:r w:rsidR="00C77AC7">
        <w:rPr>
          <w:rFonts w:ascii="Times New Roman" w:hAnsi="Times New Roman" w:cs="Times New Roman"/>
          <w:sz w:val="24"/>
          <w:szCs w:val="24"/>
        </w:rPr>
        <w:t xml:space="preserve">, if a remedial direction is in force and an activity </w:t>
      </w:r>
      <w:r w:rsidR="00480F60">
        <w:rPr>
          <w:rFonts w:ascii="Times New Roman" w:hAnsi="Times New Roman" w:cs="Times New Roman"/>
          <w:sz w:val="24"/>
          <w:szCs w:val="24"/>
        </w:rPr>
        <w:t xml:space="preserve">relating to a well </w:t>
      </w:r>
      <w:r w:rsidR="00C77AC7">
        <w:rPr>
          <w:rFonts w:ascii="Times New Roman" w:hAnsi="Times New Roman" w:cs="Times New Roman"/>
          <w:sz w:val="24"/>
          <w:szCs w:val="24"/>
        </w:rPr>
        <w:t xml:space="preserve">is required to be carried </w:t>
      </w:r>
      <w:r w:rsidR="00B439BE">
        <w:rPr>
          <w:rFonts w:ascii="Times New Roman" w:hAnsi="Times New Roman" w:cs="Times New Roman"/>
          <w:sz w:val="24"/>
          <w:szCs w:val="24"/>
        </w:rPr>
        <w:t xml:space="preserve">out </w:t>
      </w:r>
      <w:r w:rsidR="00C77AC7">
        <w:rPr>
          <w:rFonts w:ascii="Times New Roman" w:hAnsi="Times New Roman" w:cs="Times New Roman"/>
          <w:sz w:val="24"/>
          <w:szCs w:val="24"/>
        </w:rPr>
        <w:t>for the purpose of</w:t>
      </w:r>
      <w:r w:rsidR="006536A8">
        <w:rPr>
          <w:rFonts w:ascii="Times New Roman" w:hAnsi="Times New Roman" w:cs="Times New Roman"/>
          <w:sz w:val="24"/>
          <w:szCs w:val="24"/>
        </w:rPr>
        <w:t xml:space="preserve"> complying with</w:t>
      </w:r>
      <w:r w:rsidR="00C77AC7">
        <w:rPr>
          <w:rFonts w:ascii="Times New Roman" w:hAnsi="Times New Roman" w:cs="Times New Roman"/>
          <w:sz w:val="24"/>
          <w:szCs w:val="24"/>
        </w:rPr>
        <w:t xml:space="preserve"> the direction</w:t>
      </w:r>
      <w:r w:rsidR="006536A8">
        <w:rPr>
          <w:rFonts w:ascii="Times New Roman" w:hAnsi="Times New Roman" w:cs="Times New Roman"/>
          <w:sz w:val="24"/>
          <w:szCs w:val="24"/>
        </w:rPr>
        <w:t xml:space="preserve"> (such as permanently plugging or closing off a well or wells in the title or vacated area)</w:t>
      </w:r>
      <w:r w:rsidR="00C77AC7">
        <w:rPr>
          <w:rFonts w:ascii="Times New Roman" w:hAnsi="Times New Roman" w:cs="Times New Roman"/>
          <w:sz w:val="24"/>
          <w:szCs w:val="24"/>
        </w:rPr>
        <w:t>, the extended references of the terms listed in new subregulation 5.29A(2) apply in relation to the direction so that:</w:t>
      </w:r>
    </w:p>
    <w:p w14:paraId="61C708C7" w14:textId="4E15AD7A" w:rsidR="006536A8" w:rsidRDefault="006536A8"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an accepted well operations management plan is required to be in force for the </w:t>
      </w:r>
      <w:r w:rsidR="00B439BE">
        <w:rPr>
          <w:rFonts w:ascii="Times New Roman" w:hAnsi="Times New Roman" w:cs="Times New Roman"/>
          <w:sz w:val="24"/>
          <w:szCs w:val="24"/>
        </w:rPr>
        <w:t xml:space="preserve">well that applies to the </w:t>
      </w:r>
      <w:r>
        <w:rPr>
          <w:rFonts w:ascii="Times New Roman" w:hAnsi="Times New Roman" w:cs="Times New Roman"/>
          <w:sz w:val="24"/>
          <w:szCs w:val="24"/>
        </w:rPr>
        <w:t xml:space="preserve">activity under regulation 5.04; </w:t>
      </w:r>
    </w:p>
    <w:p w14:paraId="77D2A2C9" w14:textId="5BEFA476" w:rsidR="00EA48EB" w:rsidRPr="00EA48EB" w:rsidRDefault="006536A8"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who is subject to the direction is </w:t>
      </w:r>
      <w:r w:rsidR="00EA48EB" w:rsidRPr="00EA48EB">
        <w:rPr>
          <w:rFonts w:ascii="Times New Roman" w:hAnsi="Times New Roman" w:cs="Times New Roman"/>
          <w:sz w:val="24"/>
          <w:szCs w:val="24"/>
        </w:rPr>
        <w:t xml:space="preserve">required to undertake </w:t>
      </w:r>
      <w:r>
        <w:rPr>
          <w:rFonts w:ascii="Times New Roman" w:hAnsi="Times New Roman" w:cs="Times New Roman"/>
          <w:sz w:val="24"/>
          <w:szCs w:val="24"/>
        </w:rPr>
        <w:t>the</w:t>
      </w:r>
      <w:r w:rsidRPr="00EA48EB">
        <w:rPr>
          <w:rFonts w:ascii="Times New Roman" w:hAnsi="Times New Roman" w:cs="Times New Roman"/>
          <w:sz w:val="24"/>
          <w:szCs w:val="24"/>
        </w:rPr>
        <w:t xml:space="preserve"> </w:t>
      </w:r>
      <w:r w:rsidR="00EA48EB" w:rsidRPr="00EA48EB">
        <w:rPr>
          <w:rFonts w:ascii="Times New Roman" w:hAnsi="Times New Roman" w:cs="Times New Roman"/>
          <w:sz w:val="24"/>
          <w:szCs w:val="24"/>
        </w:rPr>
        <w:t xml:space="preserve">activity in accordance with the </w:t>
      </w:r>
      <w:r>
        <w:rPr>
          <w:rFonts w:ascii="Times New Roman" w:hAnsi="Times New Roman" w:cs="Times New Roman"/>
          <w:sz w:val="24"/>
          <w:szCs w:val="24"/>
        </w:rPr>
        <w:t>well operations management plan</w:t>
      </w:r>
      <w:r w:rsidR="00EA48EB" w:rsidRPr="00EA48EB">
        <w:rPr>
          <w:rFonts w:ascii="Times New Roman" w:hAnsi="Times New Roman" w:cs="Times New Roman"/>
          <w:sz w:val="24"/>
          <w:szCs w:val="24"/>
        </w:rPr>
        <w:t xml:space="preserve"> under regulation 5.05</w:t>
      </w:r>
      <w:r w:rsidR="001F738E">
        <w:rPr>
          <w:rFonts w:ascii="Times New Roman" w:hAnsi="Times New Roman" w:cs="Times New Roman"/>
          <w:sz w:val="24"/>
          <w:szCs w:val="24"/>
        </w:rPr>
        <w:t>;</w:t>
      </w:r>
    </w:p>
    <w:p w14:paraId="66BBE31E" w14:textId="58F73610" w:rsidR="00EA48EB" w:rsidRPr="00EA48EB" w:rsidRDefault="006536A8"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is </w:t>
      </w:r>
      <w:r w:rsidR="00EA48EB" w:rsidRPr="00EA48EB">
        <w:rPr>
          <w:rFonts w:ascii="Times New Roman" w:hAnsi="Times New Roman" w:cs="Times New Roman"/>
          <w:sz w:val="24"/>
          <w:szCs w:val="24"/>
        </w:rPr>
        <w:t xml:space="preserve">eligible to submit a </w:t>
      </w:r>
      <w:r>
        <w:rPr>
          <w:rFonts w:ascii="Times New Roman" w:hAnsi="Times New Roman" w:cs="Times New Roman"/>
          <w:sz w:val="24"/>
          <w:szCs w:val="24"/>
        </w:rPr>
        <w:t>well operations management plan</w:t>
      </w:r>
      <w:r w:rsidR="00EA48EB" w:rsidRPr="00EA48EB">
        <w:rPr>
          <w:rFonts w:ascii="Times New Roman" w:hAnsi="Times New Roman" w:cs="Times New Roman"/>
          <w:sz w:val="24"/>
          <w:szCs w:val="24"/>
        </w:rPr>
        <w:t xml:space="preserve">, </w:t>
      </w:r>
      <w:r w:rsidR="002E07D8">
        <w:rPr>
          <w:rFonts w:ascii="Times New Roman" w:hAnsi="Times New Roman" w:cs="Times New Roman"/>
          <w:sz w:val="24"/>
          <w:szCs w:val="24"/>
        </w:rPr>
        <w:t>or</w:t>
      </w:r>
      <w:r w:rsidR="002E07D8" w:rsidRPr="00EA48EB">
        <w:rPr>
          <w:rFonts w:ascii="Times New Roman" w:hAnsi="Times New Roman" w:cs="Times New Roman"/>
          <w:sz w:val="24"/>
          <w:szCs w:val="24"/>
        </w:rPr>
        <w:t xml:space="preserve"> </w:t>
      </w:r>
      <w:r w:rsidR="00EA48EB" w:rsidRPr="00EA48EB">
        <w:rPr>
          <w:rFonts w:ascii="Times New Roman" w:hAnsi="Times New Roman" w:cs="Times New Roman"/>
          <w:sz w:val="24"/>
          <w:szCs w:val="24"/>
        </w:rPr>
        <w:t xml:space="preserve">a proposed revision of a </w:t>
      </w:r>
      <w:r>
        <w:rPr>
          <w:rFonts w:ascii="Times New Roman" w:hAnsi="Times New Roman" w:cs="Times New Roman"/>
          <w:sz w:val="24"/>
          <w:szCs w:val="24"/>
        </w:rPr>
        <w:t>well operations management</w:t>
      </w:r>
      <w:r w:rsidR="00EA48EB" w:rsidRPr="00EA48EB">
        <w:rPr>
          <w:rFonts w:ascii="Times New Roman" w:hAnsi="Times New Roman" w:cs="Times New Roman"/>
          <w:sz w:val="24"/>
          <w:szCs w:val="24"/>
        </w:rPr>
        <w:t xml:space="preserve">, to NOPSEMA for its </w:t>
      </w:r>
      <w:r w:rsidR="002E07D8">
        <w:rPr>
          <w:rFonts w:ascii="Times New Roman" w:hAnsi="Times New Roman" w:cs="Times New Roman"/>
          <w:sz w:val="24"/>
          <w:szCs w:val="24"/>
        </w:rPr>
        <w:t xml:space="preserve">assessment and </w:t>
      </w:r>
      <w:r w:rsidR="00EA48EB" w:rsidRPr="00EA48EB">
        <w:rPr>
          <w:rFonts w:ascii="Times New Roman" w:hAnsi="Times New Roman" w:cs="Times New Roman"/>
          <w:sz w:val="24"/>
          <w:szCs w:val="24"/>
        </w:rPr>
        <w:t>acceptance (</w:t>
      </w:r>
      <w:r>
        <w:rPr>
          <w:rFonts w:ascii="Times New Roman" w:hAnsi="Times New Roman" w:cs="Times New Roman"/>
          <w:sz w:val="24"/>
          <w:szCs w:val="24"/>
        </w:rPr>
        <w:t>see</w:t>
      </w:r>
      <w:r w:rsidR="00EA48EB" w:rsidRPr="00EA48EB">
        <w:rPr>
          <w:rFonts w:ascii="Times New Roman" w:hAnsi="Times New Roman" w:cs="Times New Roman"/>
          <w:sz w:val="24"/>
          <w:szCs w:val="24"/>
        </w:rPr>
        <w:t xml:space="preserve"> regulation 5.06</w:t>
      </w:r>
      <w:r w:rsidR="002E07D8">
        <w:rPr>
          <w:rFonts w:ascii="Times New Roman" w:hAnsi="Times New Roman" w:cs="Times New Roman"/>
          <w:sz w:val="24"/>
          <w:szCs w:val="24"/>
        </w:rPr>
        <w:t xml:space="preserve"> and Division 4 of Part 5</w:t>
      </w:r>
      <w:r w:rsidRPr="00EA48EB">
        <w:rPr>
          <w:rFonts w:ascii="Times New Roman" w:hAnsi="Times New Roman" w:cs="Times New Roman"/>
          <w:sz w:val="24"/>
          <w:szCs w:val="24"/>
        </w:rPr>
        <w:t>)</w:t>
      </w:r>
      <w:r>
        <w:rPr>
          <w:rFonts w:ascii="Times New Roman" w:hAnsi="Times New Roman" w:cs="Times New Roman"/>
          <w:sz w:val="24"/>
          <w:szCs w:val="24"/>
        </w:rPr>
        <w:t>;</w:t>
      </w:r>
      <w:r w:rsidRPr="00EA48EB">
        <w:rPr>
          <w:rFonts w:ascii="Times New Roman" w:hAnsi="Times New Roman" w:cs="Times New Roman"/>
          <w:sz w:val="24"/>
          <w:szCs w:val="24"/>
        </w:rPr>
        <w:t xml:space="preserve"> </w:t>
      </w:r>
      <w:r w:rsidR="00EA48EB" w:rsidRPr="00EA48EB">
        <w:rPr>
          <w:rFonts w:ascii="Times New Roman" w:hAnsi="Times New Roman" w:cs="Times New Roman"/>
          <w:sz w:val="24"/>
          <w:szCs w:val="24"/>
        </w:rPr>
        <w:t>and</w:t>
      </w:r>
    </w:p>
    <w:p w14:paraId="7FEF442F" w14:textId="4097A2D3" w:rsidR="009E202B" w:rsidRPr="004D0060" w:rsidRDefault="006536A8" w:rsidP="00E47763">
      <w:pPr>
        <w:pStyle w:val="ListParagraph"/>
        <w:numPr>
          <w:ilvl w:val="0"/>
          <w:numId w:val="11"/>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is </w:t>
      </w:r>
      <w:r w:rsidR="00EA48EB" w:rsidRPr="00EA48EB">
        <w:rPr>
          <w:rFonts w:ascii="Times New Roman" w:hAnsi="Times New Roman" w:cs="Times New Roman"/>
          <w:sz w:val="24"/>
          <w:szCs w:val="24"/>
        </w:rPr>
        <w:t>required to comply with other ancillary obligations and provisions provided for in</w:t>
      </w:r>
      <w:r>
        <w:rPr>
          <w:rFonts w:ascii="Times New Roman" w:hAnsi="Times New Roman" w:cs="Times New Roman"/>
          <w:sz w:val="24"/>
          <w:szCs w:val="24"/>
        </w:rPr>
        <w:t xml:space="preserve"> Part 5 of the RMA Regulations</w:t>
      </w:r>
      <w:r w:rsidR="00EA48EB" w:rsidRPr="00EA48EB">
        <w:rPr>
          <w:rFonts w:ascii="Times New Roman" w:hAnsi="Times New Roman" w:cs="Times New Roman"/>
          <w:sz w:val="24"/>
          <w:szCs w:val="24"/>
        </w:rPr>
        <w:t xml:space="preserve">, including (but not limited to) the reportable incident notification and </w:t>
      </w:r>
      <w:r>
        <w:rPr>
          <w:rFonts w:ascii="Times New Roman" w:hAnsi="Times New Roman" w:cs="Times New Roman"/>
          <w:sz w:val="24"/>
          <w:szCs w:val="24"/>
        </w:rPr>
        <w:t xml:space="preserve">other </w:t>
      </w:r>
      <w:r w:rsidR="002E07D8">
        <w:rPr>
          <w:rFonts w:ascii="Times New Roman" w:hAnsi="Times New Roman" w:cs="Times New Roman"/>
          <w:sz w:val="24"/>
          <w:szCs w:val="24"/>
        </w:rPr>
        <w:t xml:space="preserve">notification and </w:t>
      </w:r>
      <w:r w:rsidR="00EA48EB" w:rsidRPr="00EA48EB">
        <w:rPr>
          <w:rFonts w:ascii="Times New Roman" w:hAnsi="Times New Roman" w:cs="Times New Roman"/>
          <w:sz w:val="24"/>
          <w:szCs w:val="24"/>
        </w:rPr>
        <w:t>reporting requirements</w:t>
      </w:r>
      <w:r w:rsidRPr="006536A8">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EA48EB">
        <w:rPr>
          <w:rFonts w:ascii="Times New Roman" w:hAnsi="Times New Roman" w:cs="Times New Roman"/>
          <w:sz w:val="24"/>
          <w:szCs w:val="24"/>
        </w:rPr>
        <w:t>Divisions 7, 8 and 9</w:t>
      </w:r>
      <w:r w:rsidR="00EA48EB" w:rsidRPr="00EA48EB">
        <w:rPr>
          <w:rFonts w:ascii="Times New Roman" w:hAnsi="Times New Roman" w:cs="Times New Roman"/>
          <w:sz w:val="24"/>
          <w:szCs w:val="24"/>
        </w:rPr>
        <w:t>.</w:t>
      </w:r>
    </w:p>
    <w:p w14:paraId="32073A86" w14:textId="6F75C7C3" w:rsidR="00384157" w:rsidRPr="00C66151" w:rsidRDefault="00384157" w:rsidP="002F197B">
      <w:pPr>
        <w:spacing w:before="240" w:after="240"/>
        <w:rPr>
          <w:rFonts w:ascii="Times New Roman" w:hAnsi="Times New Roman" w:cs="Times New Roman"/>
          <w:i/>
          <w:sz w:val="24"/>
          <w:szCs w:val="24"/>
        </w:rPr>
      </w:pPr>
      <w:r>
        <w:rPr>
          <w:rFonts w:ascii="Times New Roman" w:hAnsi="Times New Roman" w:cs="Times New Roman"/>
          <w:sz w:val="24"/>
          <w:szCs w:val="24"/>
        </w:rPr>
        <w:t>T</w:t>
      </w:r>
      <w:r w:rsidRPr="002C7C76">
        <w:rPr>
          <w:rFonts w:ascii="Times New Roman" w:hAnsi="Times New Roman" w:cs="Times New Roman"/>
          <w:sz w:val="24"/>
          <w:szCs w:val="24"/>
        </w:rPr>
        <w:t>he extended references of the terms outlined in subregu</w:t>
      </w:r>
      <w:r w:rsidR="00C66151">
        <w:rPr>
          <w:rFonts w:ascii="Times New Roman" w:hAnsi="Times New Roman" w:cs="Times New Roman"/>
          <w:sz w:val="24"/>
          <w:szCs w:val="24"/>
        </w:rPr>
        <w:t>l</w:t>
      </w:r>
      <w:r w:rsidRPr="002C7C76">
        <w:rPr>
          <w:rFonts w:ascii="Times New Roman" w:hAnsi="Times New Roman" w:cs="Times New Roman"/>
          <w:sz w:val="24"/>
          <w:szCs w:val="24"/>
        </w:rPr>
        <w:t xml:space="preserve">ation </w:t>
      </w:r>
      <w:r>
        <w:rPr>
          <w:rFonts w:ascii="Times New Roman" w:hAnsi="Times New Roman" w:cs="Times New Roman"/>
          <w:sz w:val="24"/>
          <w:szCs w:val="24"/>
        </w:rPr>
        <w:t>5.29A</w:t>
      </w:r>
      <w:r w:rsidRPr="002C7C76">
        <w:rPr>
          <w:rFonts w:ascii="Times New Roman" w:hAnsi="Times New Roman" w:cs="Times New Roman"/>
          <w:sz w:val="24"/>
          <w:szCs w:val="24"/>
        </w:rPr>
        <w:t>(2) do not apply to</w:t>
      </w:r>
      <w:r>
        <w:rPr>
          <w:rFonts w:ascii="Times New Roman" w:hAnsi="Times New Roman" w:cs="Times New Roman"/>
          <w:sz w:val="24"/>
          <w:szCs w:val="24"/>
        </w:rPr>
        <w:t xml:space="preserve"> the application provision in subregulation 5.01(1) and the definition</w:t>
      </w:r>
      <w:r w:rsidRPr="002C7C76">
        <w:rPr>
          <w:rFonts w:ascii="Times New Roman" w:hAnsi="Times New Roman" w:cs="Times New Roman"/>
          <w:sz w:val="24"/>
          <w:szCs w:val="24"/>
        </w:rPr>
        <w:t xml:space="preserve"> of </w:t>
      </w:r>
      <w:r w:rsidRPr="00401CF3">
        <w:rPr>
          <w:rFonts w:ascii="Times New Roman" w:hAnsi="Times New Roman" w:cs="Times New Roman"/>
          <w:b/>
          <w:i/>
          <w:sz w:val="24"/>
          <w:szCs w:val="24"/>
        </w:rPr>
        <w:t>well activity</w:t>
      </w:r>
      <w:r>
        <w:rPr>
          <w:rFonts w:ascii="Times New Roman" w:hAnsi="Times New Roman" w:cs="Times New Roman"/>
          <w:sz w:val="24"/>
          <w:szCs w:val="24"/>
        </w:rPr>
        <w:t xml:space="preserve"> </w:t>
      </w:r>
      <w:r w:rsidRPr="002C7C76">
        <w:rPr>
          <w:rFonts w:ascii="Times New Roman" w:hAnsi="Times New Roman" w:cs="Times New Roman"/>
          <w:sz w:val="24"/>
          <w:szCs w:val="24"/>
        </w:rPr>
        <w:t>in</w:t>
      </w:r>
      <w:r>
        <w:rPr>
          <w:rFonts w:ascii="Times New Roman" w:hAnsi="Times New Roman" w:cs="Times New Roman"/>
          <w:sz w:val="24"/>
          <w:szCs w:val="24"/>
        </w:rPr>
        <w:t xml:space="preserve"> regulation</w:t>
      </w:r>
      <w:r w:rsidR="002407FC">
        <w:rPr>
          <w:rFonts w:ascii="Times New Roman" w:hAnsi="Times New Roman" w:cs="Times New Roman"/>
          <w:sz w:val="24"/>
          <w:szCs w:val="24"/>
        </w:rPr>
        <w:t> </w:t>
      </w:r>
      <w:r>
        <w:rPr>
          <w:rFonts w:ascii="Times New Roman" w:hAnsi="Times New Roman" w:cs="Times New Roman"/>
          <w:sz w:val="24"/>
          <w:szCs w:val="24"/>
        </w:rPr>
        <w:t>5.02</w:t>
      </w:r>
      <w:r w:rsidRPr="002C7C76">
        <w:rPr>
          <w:rFonts w:ascii="Times New Roman" w:hAnsi="Times New Roman" w:cs="Times New Roman"/>
          <w:sz w:val="24"/>
          <w:szCs w:val="24"/>
        </w:rPr>
        <w:t>. The</w:t>
      </w:r>
      <w:r w:rsidR="002B42EC">
        <w:rPr>
          <w:rFonts w:ascii="Times New Roman" w:hAnsi="Times New Roman" w:cs="Times New Roman"/>
          <w:sz w:val="24"/>
          <w:szCs w:val="24"/>
        </w:rPr>
        <w:t>se</w:t>
      </w:r>
      <w:r w:rsidRPr="002C7C76">
        <w:rPr>
          <w:rFonts w:ascii="Times New Roman" w:hAnsi="Times New Roman" w:cs="Times New Roman"/>
          <w:sz w:val="24"/>
          <w:szCs w:val="24"/>
        </w:rPr>
        <w:t xml:space="preserve"> </w:t>
      </w:r>
      <w:r w:rsidR="002B42EC">
        <w:rPr>
          <w:rFonts w:ascii="Times New Roman" w:hAnsi="Times New Roman" w:cs="Times New Roman"/>
          <w:sz w:val="24"/>
          <w:szCs w:val="24"/>
        </w:rPr>
        <w:t>provisi</w:t>
      </w:r>
      <w:r w:rsidRPr="002C7C76">
        <w:rPr>
          <w:rFonts w:ascii="Times New Roman" w:hAnsi="Times New Roman" w:cs="Times New Roman"/>
          <w:sz w:val="24"/>
          <w:szCs w:val="24"/>
        </w:rPr>
        <w:t>ons are exclude</w:t>
      </w:r>
      <w:r>
        <w:rPr>
          <w:rFonts w:ascii="Times New Roman" w:hAnsi="Times New Roman" w:cs="Times New Roman"/>
          <w:sz w:val="24"/>
          <w:szCs w:val="24"/>
        </w:rPr>
        <w:t>d</w:t>
      </w:r>
      <w:r w:rsidRPr="002C7C76">
        <w:rPr>
          <w:rFonts w:ascii="Times New Roman" w:hAnsi="Times New Roman" w:cs="Times New Roman"/>
          <w:sz w:val="24"/>
          <w:szCs w:val="24"/>
        </w:rPr>
        <w:t xml:space="preserve"> as it is not necessary </w:t>
      </w:r>
      <w:r w:rsidR="00BC664E">
        <w:rPr>
          <w:rFonts w:ascii="Times New Roman" w:hAnsi="Times New Roman" w:cs="Times New Roman"/>
          <w:sz w:val="24"/>
          <w:szCs w:val="24"/>
        </w:rPr>
        <w:t>for</w:t>
      </w:r>
      <w:r w:rsidRPr="002C7C76">
        <w:rPr>
          <w:rFonts w:ascii="Times New Roman" w:hAnsi="Times New Roman" w:cs="Times New Roman"/>
          <w:sz w:val="24"/>
          <w:szCs w:val="24"/>
        </w:rPr>
        <w:t xml:space="preserve"> the </w:t>
      </w:r>
      <w:r w:rsidR="002B42EC">
        <w:rPr>
          <w:rFonts w:ascii="Times New Roman" w:hAnsi="Times New Roman" w:cs="Times New Roman"/>
          <w:sz w:val="24"/>
          <w:szCs w:val="24"/>
        </w:rPr>
        <w:t xml:space="preserve">references </w:t>
      </w:r>
      <w:r w:rsidR="00DC2983">
        <w:rPr>
          <w:rFonts w:ascii="Times New Roman" w:hAnsi="Times New Roman" w:cs="Times New Roman"/>
          <w:sz w:val="24"/>
          <w:szCs w:val="24"/>
        </w:rPr>
        <w:t xml:space="preserve">to a titleholder </w:t>
      </w:r>
      <w:r w:rsidR="002A7341">
        <w:rPr>
          <w:rFonts w:ascii="Times New Roman" w:hAnsi="Times New Roman" w:cs="Times New Roman"/>
          <w:sz w:val="24"/>
          <w:szCs w:val="24"/>
        </w:rPr>
        <w:t>or</w:t>
      </w:r>
      <w:r w:rsidR="00DC2983">
        <w:rPr>
          <w:rFonts w:ascii="Times New Roman" w:hAnsi="Times New Roman" w:cs="Times New Roman"/>
          <w:sz w:val="24"/>
          <w:szCs w:val="24"/>
        </w:rPr>
        <w:t xml:space="preserve"> a well activity </w:t>
      </w:r>
      <w:r w:rsidR="002B42EC">
        <w:rPr>
          <w:rFonts w:ascii="Times New Roman" w:hAnsi="Times New Roman" w:cs="Times New Roman"/>
          <w:sz w:val="24"/>
          <w:szCs w:val="24"/>
        </w:rPr>
        <w:t>in the</w:t>
      </w:r>
      <w:r w:rsidR="00BC664E">
        <w:rPr>
          <w:rFonts w:ascii="Times New Roman" w:hAnsi="Times New Roman" w:cs="Times New Roman"/>
          <w:sz w:val="24"/>
          <w:szCs w:val="24"/>
        </w:rPr>
        <w:t>se</w:t>
      </w:r>
      <w:r w:rsidR="002B42EC">
        <w:rPr>
          <w:rFonts w:ascii="Times New Roman" w:hAnsi="Times New Roman" w:cs="Times New Roman"/>
          <w:sz w:val="24"/>
          <w:szCs w:val="24"/>
        </w:rPr>
        <w:t xml:space="preserve"> provis</w:t>
      </w:r>
      <w:r w:rsidRPr="002C7C76">
        <w:rPr>
          <w:rFonts w:ascii="Times New Roman" w:hAnsi="Times New Roman" w:cs="Times New Roman"/>
          <w:sz w:val="24"/>
          <w:szCs w:val="24"/>
        </w:rPr>
        <w:t xml:space="preserve">ions to include </w:t>
      </w:r>
      <w:r w:rsidR="00DC2983">
        <w:rPr>
          <w:rFonts w:ascii="Times New Roman" w:hAnsi="Times New Roman" w:cs="Times New Roman"/>
          <w:sz w:val="24"/>
          <w:szCs w:val="24"/>
        </w:rPr>
        <w:t xml:space="preserve">the extended </w:t>
      </w:r>
      <w:r w:rsidRPr="002C7C76">
        <w:rPr>
          <w:rFonts w:ascii="Times New Roman" w:hAnsi="Times New Roman" w:cs="Times New Roman"/>
          <w:sz w:val="24"/>
          <w:szCs w:val="24"/>
        </w:rPr>
        <w:t xml:space="preserve">references </w:t>
      </w:r>
      <w:r w:rsidR="00DC2983">
        <w:rPr>
          <w:rFonts w:ascii="Times New Roman" w:hAnsi="Times New Roman" w:cs="Times New Roman"/>
          <w:sz w:val="24"/>
          <w:szCs w:val="24"/>
        </w:rPr>
        <w:t>given the deeming effect of subregulation 5.29A(2)</w:t>
      </w:r>
      <w:r w:rsidRPr="002C7C76">
        <w:rPr>
          <w:rFonts w:ascii="Times New Roman" w:hAnsi="Times New Roman" w:cs="Times New Roman"/>
          <w:sz w:val="24"/>
          <w:szCs w:val="24"/>
        </w:rPr>
        <w:t>.</w:t>
      </w:r>
    </w:p>
    <w:p w14:paraId="7D0DC795" w14:textId="1AE4B80C" w:rsidR="007D1BB7" w:rsidRDefault="007D1BB7" w:rsidP="002F197B">
      <w:pPr>
        <w:spacing w:before="240" w:after="240"/>
        <w:rPr>
          <w:rFonts w:ascii="Times New Roman" w:hAnsi="Times New Roman" w:cs="Times New Roman"/>
          <w:sz w:val="24"/>
          <w:szCs w:val="24"/>
        </w:rPr>
      </w:pPr>
      <w:r>
        <w:rPr>
          <w:rFonts w:ascii="Times New Roman" w:hAnsi="Times New Roman" w:cs="Times New Roman"/>
          <w:sz w:val="24"/>
          <w:szCs w:val="24"/>
        </w:rPr>
        <w:t>The extended references also do not apply to regulation 5.03A. Regulation 5.03A in effect requires a titleholder to have a well operations management plan in force in relation to all wells in a title area</w:t>
      </w:r>
      <w:r w:rsidR="00C66151">
        <w:rPr>
          <w:rFonts w:ascii="Times New Roman" w:hAnsi="Times New Roman" w:cs="Times New Roman"/>
          <w:sz w:val="24"/>
          <w:szCs w:val="24"/>
        </w:rPr>
        <w:t xml:space="preserve"> that have not been permanently abandoned</w:t>
      </w:r>
      <w:r>
        <w:rPr>
          <w:rFonts w:ascii="Times New Roman" w:hAnsi="Times New Roman" w:cs="Times New Roman"/>
          <w:sz w:val="24"/>
          <w:szCs w:val="24"/>
        </w:rPr>
        <w:t xml:space="preserve">. This provision is not intended to apply to persons who are subject to a remedial direction. Such a person will only be </w:t>
      </w:r>
      <w:r>
        <w:rPr>
          <w:rFonts w:ascii="Times New Roman" w:hAnsi="Times New Roman" w:cs="Times New Roman"/>
          <w:sz w:val="24"/>
          <w:szCs w:val="24"/>
        </w:rPr>
        <w:lastRenderedPageBreak/>
        <w:t xml:space="preserve">required to have a well operations management plan in force with respect to wells </w:t>
      </w:r>
      <w:r w:rsidR="00C66151">
        <w:rPr>
          <w:rFonts w:ascii="Times New Roman" w:hAnsi="Times New Roman" w:cs="Times New Roman"/>
          <w:sz w:val="24"/>
          <w:szCs w:val="24"/>
        </w:rPr>
        <w:t>in relation to which the person is undertaking activities in compliance with a remedial direction.</w:t>
      </w:r>
      <w:r>
        <w:rPr>
          <w:rFonts w:ascii="Times New Roman" w:hAnsi="Times New Roman" w:cs="Times New Roman"/>
          <w:sz w:val="24"/>
          <w:szCs w:val="24"/>
        </w:rPr>
        <w:t xml:space="preserve">  </w:t>
      </w:r>
    </w:p>
    <w:p w14:paraId="34FF3745" w14:textId="0864E085" w:rsidR="00D20A0D" w:rsidRDefault="00D20A0D" w:rsidP="002F197B">
      <w:pPr>
        <w:spacing w:before="240" w:after="240"/>
        <w:rPr>
          <w:rFonts w:ascii="Times New Roman" w:hAnsi="Times New Roman" w:cs="Times New Roman"/>
          <w:sz w:val="24"/>
          <w:szCs w:val="24"/>
        </w:rPr>
      </w:pPr>
      <w:r>
        <w:rPr>
          <w:rFonts w:ascii="Times New Roman" w:hAnsi="Times New Roman" w:cs="Times New Roman"/>
          <w:sz w:val="24"/>
          <w:szCs w:val="24"/>
        </w:rPr>
        <w:t>If a person is a current titleholder subject to a remedial direction under section 586, 586A, 591B or 592, Part 5 of the RMA Regulations continue to apply to that person as a titleholder. The amendments ensure extended application of Part 5 of the RMA Regulations if a remedial direction is given to a person other than the current titleholder.</w:t>
      </w:r>
    </w:p>
    <w:p w14:paraId="1E697ED0" w14:textId="3DF8173A" w:rsidR="0010475C" w:rsidRPr="00B358BC" w:rsidRDefault="0010475C" w:rsidP="002F197B">
      <w:pPr>
        <w:spacing w:before="240" w:after="240"/>
        <w:rPr>
          <w:rFonts w:ascii="Times New Roman" w:hAnsi="Times New Roman" w:cs="Times New Roman"/>
          <w:b/>
          <w:i/>
          <w:sz w:val="24"/>
          <w:szCs w:val="24"/>
        </w:rPr>
      </w:pPr>
      <w:r w:rsidRPr="00E02E99">
        <w:rPr>
          <w:rFonts w:ascii="Times New Roman" w:hAnsi="Times New Roman" w:cs="Times New Roman"/>
          <w:i/>
          <w:sz w:val="24"/>
          <w:szCs w:val="24"/>
        </w:rPr>
        <w:t>Offshore Petroleum and Greenhouse Gas Storage (Safety) Regulations 2009</w:t>
      </w:r>
      <w:r>
        <w:rPr>
          <w:rFonts w:ascii="Times New Roman" w:hAnsi="Times New Roman" w:cs="Times New Roman"/>
          <w:b/>
          <w:i/>
          <w:sz w:val="24"/>
          <w:szCs w:val="24"/>
        </w:rPr>
        <w:br/>
      </w:r>
      <w:r w:rsidR="00E02E99">
        <w:rPr>
          <w:rFonts w:ascii="Times New Roman" w:hAnsi="Times New Roman" w:cs="Times New Roman"/>
          <w:b/>
          <w:sz w:val="24"/>
          <w:szCs w:val="24"/>
        </w:rPr>
        <w:br/>
      </w:r>
      <w:r w:rsidR="005A7043">
        <w:rPr>
          <w:rFonts w:ascii="Times New Roman" w:hAnsi="Times New Roman" w:cs="Times New Roman"/>
          <w:b/>
          <w:sz w:val="24"/>
          <w:szCs w:val="24"/>
        </w:rPr>
        <w:t xml:space="preserve">Item 3 – At the end of Part 6 of Chapter 2 </w:t>
      </w:r>
    </w:p>
    <w:p w14:paraId="48FCCB85" w14:textId="60150CB4" w:rsidR="005B180C" w:rsidRDefault="00C102AF" w:rsidP="004D0060">
      <w:pPr>
        <w:spacing w:before="240" w:after="240"/>
        <w:rPr>
          <w:rFonts w:ascii="Times New Roman" w:hAnsi="Times New Roman" w:cs="Times New Roman"/>
          <w:sz w:val="24"/>
          <w:szCs w:val="24"/>
        </w:rPr>
      </w:pPr>
      <w:r>
        <w:rPr>
          <w:rFonts w:ascii="Times New Roman" w:hAnsi="Times New Roman" w:cs="Times New Roman"/>
          <w:sz w:val="24"/>
          <w:szCs w:val="24"/>
        </w:rPr>
        <w:t xml:space="preserve">This item inserts new Part 7 into Chapter 2 of the </w:t>
      </w:r>
      <w:r w:rsidRPr="00E6492B">
        <w:rPr>
          <w:rFonts w:ascii="Times New Roman" w:hAnsi="Times New Roman" w:cs="Times New Roman"/>
          <w:i/>
          <w:sz w:val="24"/>
          <w:szCs w:val="24"/>
        </w:rPr>
        <w:t>Offshore Petroleum and Greenhouse Gas Storage (Safety) Regulations 2009</w:t>
      </w:r>
      <w:r>
        <w:rPr>
          <w:rFonts w:ascii="Times New Roman" w:hAnsi="Times New Roman" w:cs="Times New Roman"/>
          <w:sz w:val="24"/>
          <w:szCs w:val="24"/>
        </w:rPr>
        <w:t xml:space="preserve"> (the Safety Regulations)</w:t>
      </w:r>
      <w:r w:rsidR="001F738E">
        <w:rPr>
          <w:rFonts w:ascii="Times New Roman" w:hAnsi="Times New Roman" w:cs="Times New Roman"/>
          <w:sz w:val="24"/>
          <w:szCs w:val="24"/>
        </w:rPr>
        <w:t>, which provides for new regulation 2.51</w:t>
      </w:r>
      <w:r w:rsidR="00800C3D">
        <w:rPr>
          <w:rFonts w:ascii="Times New Roman" w:hAnsi="Times New Roman" w:cs="Times New Roman"/>
          <w:sz w:val="24"/>
          <w:szCs w:val="24"/>
        </w:rPr>
        <w:t xml:space="preserve">. </w:t>
      </w:r>
    </w:p>
    <w:p w14:paraId="39BB23B4" w14:textId="6008E49B" w:rsidR="00757D9D" w:rsidRDefault="00757D9D" w:rsidP="00E47763">
      <w:pPr>
        <w:spacing w:before="240" w:after="240"/>
        <w:rPr>
          <w:rFonts w:ascii="Times New Roman" w:hAnsi="Times New Roman" w:cs="Times New Roman"/>
          <w:sz w:val="24"/>
          <w:szCs w:val="24"/>
        </w:rPr>
      </w:pPr>
      <w:r w:rsidRPr="00E47763">
        <w:rPr>
          <w:rFonts w:ascii="Times New Roman" w:hAnsi="Times New Roman" w:cs="Times New Roman"/>
          <w:sz w:val="24"/>
          <w:szCs w:val="24"/>
        </w:rPr>
        <w:t xml:space="preserve">New regulation </w:t>
      </w:r>
      <w:r w:rsidR="001F738E">
        <w:rPr>
          <w:rFonts w:ascii="Times New Roman" w:hAnsi="Times New Roman" w:cs="Times New Roman"/>
          <w:sz w:val="24"/>
          <w:szCs w:val="24"/>
        </w:rPr>
        <w:t>2</w:t>
      </w:r>
      <w:r w:rsidRPr="00E47763">
        <w:rPr>
          <w:rFonts w:ascii="Times New Roman" w:hAnsi="Times New Roman" w:cs="Times New Roman"/>
          <w:sz w:val="24"/>
          <w:szCs w:val="24"/>
        </w:rPr>
        <w:t>.</w:t>
      </w:r>
      <w:r w:rsidR="001F738E">
        <w:rPr>
          <w:rFonts w:ascii="Times New Roman" w:hAnsi="Times New Roman" w:cs="Times New Roman"/>
          <w:sz w:val="24"/>
          <w:szCs w:val="24"/>
        </w:rPr>
        <w:t>51</w:t>
      </w:r>
      <w:r w:rsidRPr="00E47763">
        <w:rPr>
          <w:rFonts w:ascii="Times New Roman" w:hAnsi="Times New Roman" w:cs="Times New Roman"/>
          <w:sz w:val="24"/>
          <w:szCs w:val="24"/>
        </w:rPr>
        <w:t xml:space="preserve"> provides that, if a direction is in force under section 586, 586A, 587 or 587A of the OPGGS Act (referred to as a </w:t>
      </w:r>
      <w:r w:rsidRPr="00E47763">
        <w:rPr>
          <w:rFonts w:ascii="Times New Roman" w:hAnsi="Times New Roman" w:cs="Times New Roman"/>
          <w:b/>
          <w:i/>
          <w:sz w:val="24"/>
          <w:szCs w:val="24"/>
        </w:rPr>
        <w:t>petroleum remedial direction</w:t>
      </w:r>
      <w:r w:rsidRPr="00E47763">
        <w:rPr>
          <w:rFonts w:ascii="Times New Roman" w:hAnsi="Times New Roman" w:cs="Times New Roman"/>
          <w:sz w:val="24"/>
          <w:szCs w:val="24"/>
        </w:rPr>
        <w:t xml:space="preserve">) or section 591B, 592, 594A or 595 of the OPGGS Act (referred to as a </w:t>
      </w:r>
      <w:r w:rsidRPr="00E47763">
        <w:rPr>
          <w:rFonts w:ascii="Times New Roman" w:hAnsi="Times New Roman" w:cs="Times New Roman"/>
          <w:b/>
          <w:i/>
          <w:sz w:val="24"/>
          <w:szCs w:val="24"/>
        </w:rPr>
        <w:t>greenhouse gas remedial direction</w:t>
      </w:r>
      <w:r w:rsidRPr="00E47763">
        <w:rPr>
          <w:rFonts w:ascii="Times New Roman" w:hAnsi="Times New Roman" w:cs="Times New Roman"/>
          <w:sz w:val="24"/>
          <w:szCs w:val="24"/>
        </w:rPr>
        <w:t xml:space="preserve">), the </w:t>
      </w:r>
      <w:r w:rsidR="00310EE9">
        <w:rPr>
          <w:rFonts w:ascii="Times New Roman" w:hAnsi="Times New Roman" w:cs="Times New Roman"/>
          <w:sz w:val="24"/>
          <w:szCs w:val="24"/>
        </w:rPr>
        <w:t>Safety</w:t>
      </w:r>
      <w:r w:rsidRPr="00E47763">
        <w:rPr>
          <w:rFonts w:ascii="Times New Roman" w:hAnsi="Times New Roman" w:cs="Times New Roman"/>
          <w:sz w:val="24"/>
          <w:szCs w:val="24"/>
        </w:rPr>
        <w:t xml:space="preserve"> Regulations apply in relation to the person who is subject to the direction. </w:t>
      </w:r>
    </w:p>
    <w:p w14:paraId="79C065E8" w14:textId="19E0400F" w:rsidR="00310EE9" w:rsidRDefault="00310EE9" w:rsidP="00310EE9">
      <w:pPr>
        <w:spacing w:before="240" w:after="240"/>
        <w:rPr>
          <w:rFonts w:ascii="Times New Roman" w:hAnsi="Times New Roman" w:cs="Times New Roman"/>
          <w:sz w:val="24"/>
          <w:szCs w:val="24"/>
        </w:rPr>
      </w:pPr>
      <w:r>
        <w:rPr>
          <w:rFonts w:ascii="Times New Roman" w:hAnsi="Times New Roman" w:cs="Times New Roman"/>
          <w:sz w:val="24"/>
          <w:szCs w:val="24"/>
        </w:rPr>
        <w:t>New s</w:t>
      </w:r>
      <w:r w:rsidRPr="00EA48EB">
        <w:rPr>
          <w:rFonts w:ascii="Times New Roman" w:hAnsi="Times New Roman" w:cs="Times New Roman"/>
          <w:sz w:val="24"/>
          <w:szCs w:val="24"/>
        </w:rPr>
        <w:t>ub</w:t>
      </w:r>
      <w:r>
        <w:rPr>
          <w:rFonts w:ascii="Times New Roman" w:hAnsi="Times New Roman" w:cs="Times New Roman"/>
          <w:sz w:val="24"/>
          <w:szCs w:val="24"/>
        </w:rPr>
        <w:t>regulation 2</w:t>
      </w:r>
      <w:r w:rsidRPr="00EA48EB">
        <w:rPr>
          <w:rFonts w:ascii="Times New Roman" w:hAnsi="Times New Roman" w:cs="Times New Roman"/>
          <w:sz w:val="24"/>
          <w:szCs w:val="24"/>
        </w:rPr>
        <w:t>.</w:t>
      </w:r>
      <w:r>
        <w:rPr>
          <w:rFonts w:ascii="Times New Roman" w:hAnsi="Times New Roman" w:cs="Times New Roman"/>
          <w:sz w:val="24"/>
          <w:szCs w:val="24"/>
        </w:rPr>
        <w:t>51</w:t>
      </w:r>
      <w:r w:rsidRPr="00EA48EB">
        <w:rPr>
          <w:rFonts w:ascii="Times New Roman" w:hAnsi="Times New Roman" w:cs="Times New Roman"/>
          <w:sz w:val="24"/>
          <w:szCs w:val="24"/>
        </w:rPr>
        <w:t xml:space="preserve">(2) </w:t>
      </w:r>
      <w:r>
        <w:rPr>
          <w:rFonts w:ascii="Times New Roman" w:hAnsi="Times New Roman" w:cs="Times New Roman"/>
          <w:sz w:val="24"/>
          <w:szCs w:val="24"/>
        </w:rPr>
        <w:t>operates by deeming reference</w:t>
      </w:r>
      <w:r w:rsidR="00063367">
        <w:rPr>
          <w:rFonts w:ascii="Times New Roman" w:hAnsi="Times New Roman" w:cs="Times New Roman"/>
          <w:sz w:val="24"/>
          <w:szCs w:val="24"/>
        </w:rPr>
        <w:t>s</w:t>
      </w:r>
      <w:r>
        <w:rPr>
          <w:rFonts w:ascii="Times New Roman" w:hAnsi="Times New Roman" w:cs="Times New Roman"/>
          <w:sz w:val="24"/>
          <w:szCs w:val="24"/>
        </w:rPr>
        <w:t xml:space="preserve"> to a titleholder</w:t>
      </w:r>
      <w:r w:rsidR="00182D11">
        <w:rPr>
          <w:rFonts w:ascii="Times New Roman" w:hAnsi="Times New Roman" w:cs="Times New Roman"/>
          <w:sz w:val="24"/>
          <w:szCs w:val="24"/>
        </w:rPr>
        <w:t xml:space="preserve"> in the Safety Regulations</w:t>
      </w:r>
      <w:r w:rsidR="00E40191">
        <w:rPr>
          <w:rFonts w:ascii="Times New Roman" w:hAnsi="Times New Roman" w:cs="Times New Roman"/>
          <w:sz w:val="24"/>
          <w:szCs w:val="24"/>
        </w:rPr>
        <w:t xml:space="preserve">, excluding the definition of a </w:t>
      </w:r>
      <w:r w:rsidR="00E40191" w:rsidRPr="002407FC">
        <w:rPr>
          <w:rFonts w:ascii="Times New Roman" w:hAnsi="Times New Roman" w:cs="Times New Roman"/>
          <w:b/>
          <w:i/>
          <w:sz w:val="24"/>
          <w:szCs w:val="24"/>
        </w:rPr>
        <w:t>titleholder</w:t>
      </w:r>
      <w:r w:rsidR="00E40191">
        <w:rPr>
          <w:rFonts w:ascii="Times New Roman" w:hAnsi="Times New Roman" w:cs="Times New Roman"/>
          <w:sz w:val="24"/>
          <w:szCs w:val="24"/>
        </w:rPr>
        <w:t xml:space="preserve"> in regulation 1.5,</w:t>
      </w:r>
      <w:r>
        <w:rPr>
          <w:rFonts w:ascii="Times New Roman" w:hAnsi="Times New Roman" w:cs="Times New Roman"/>
          <w:sz w:val="24"/>
          <w:szCs w:val="24"/>
        </w:rPr>
        <w:t xml:space="preserve"> to include a reference to a person who is subject to a petroleum or </w:t>
      </w:r>
      <w:r w:rsidR="00063367">
        <w:rPr>
          <w:rFonts w:ascii="Times New Roman" w:hAnsi="Times New Roman" w:cs="Times New Roman"/>
          <w:sz w:val="24"/>
          <w:szCs w:val="24"/>
        </w:rPr>
        <w:t>greenho</w:t>
      </w:r>
      <w:r>
        <w:rPr>
          <w:rFonts w:ascii="Times New Roman" w:hAnsi="Times New Roman" w:cs="Times New Roman"/>
          <w:sz w:val="24"/>
          <w:szCs w:val="24"/>
        </w:rPr>
        <w:t>u</w:t>
      </w:r>
      <w:r w:rsidR="00063367">
        <w:rPr>
          <w:rFonts w:ascii="Times New Roman" w:hAnsi="Times New Roman" w:cs="Times New Roman"/>
          <w:sz w:val="24"/>
          <w:szCs w:val="24"/>
        </w:rPr>
        <w:t>s</w:t>
      </w:r>
      <w:r>
        <w:rPr>
          <w:rFonts w:ascii="Times New Roman" w:hAnsi="Times New Roman" w:cs="Times New Roman"/>
          <w:sz w:val="24"/>
          <w:szCs w:val="24"/>
        </w:rPr>
        <w:t>e</w:t>
      </w:r>
      <w:r w:rsidR="00B40D5B">
        <w:rPr>
          <w:rFonts w:ascii="Times New Roman" w:hAnsi="Times New Roman" w:cs="Times New Roman"/>
          <w:sz w:val="24"/>
          <w:szCs w:val="24"/>
        </w:rPr>
        <w:t xml:space="preserve"> gas</w:t>
      </w:r>
      <w:r>
        <w:rPr>
          <w:rFonts w:ascii="Times New Roman" w:hAnsi="Times New Roman" w:cs="Times New Roman"/>
          <w:sz w:val="24"/>
          <w:szCs w:val="24"/>
        </w:rPr>
        <w:t xml:space="preserve"> </w:t>
      </w:r>
      <w:r w:rsidR="00063367">
        <w:rPr>
          <w:rFonts w:ascii="Times New Roman" w:hAnsi="Times New Roman" w:cs="Times New Roman"/>
          <w:sz w:val="24"/>
          <w:szCs w:val="24"/>
        </w:rPr>
        <w:t>remedial direction</w:t>
      </w:r>
      <w:r>
        <w:rPr>
          <w:rFonts w:ascii="Times New Roman" w:hAnsi="Times New Roman" w:cs="Times New Roman"/>
          <w:sz w:val="24"/>
          <w:szCs w:val="24"/>
        </w:rPr>
        <w:t>.</w:t>
      </w:r>
      <w:r w:rsidR="00F95480">
        <w:rPr>
          <w:rFonts w:ascii="Times New Roman" w:hAnsi="Times New Roman" w:cs="Times New Roman"/>
          <w:sz w:val="24"/>
          <w:szCs w:val="24"/>
        </w:rPr>
        <w:t xml:space="preserve"> The definition of </w:t>
      </w:r>
      <w:r w:rsidR="00F95480" w:rsidRPr="00401CF3">
        <w:rPr>
          <w:rFonts w:ascii="Times New Roman" w:hAnsi="Times New Roman" w:cs="Times New Roman"/>
          <w:b/>
          <w:i/>
          <w:sz w:val="24"/>
          <w:szCs w:val="24"/>
        </w:rPr>
        <w:t>titleholder</w:t>
      </w:r>
      <w:r w:rsidR="00F95480">
        <w:rPr>
          <w:rFonts w:ascii="Times New Roman" w:hAnsi="Times New Roman" w:cs="Times New Roman"/>
          <w:sz w:val="24"/>
          <w:szCs w:val="24"/>
        </w:rPr>
        <w:t xml:space="preserve"> is excluded as</w:t>
      </w:r>
      <w:r w:rsidR="00F95480" w:rsidRPr="002C7C76">
        <w:rPr>
          <w:rFonts w:ascii="Times New Roman" w:hAnsi="Times New Roman" w:cs="Times New Roman"/>
          <w:sz w:val="24"/>
          <w:szCs w:val="24"/>
        </w:rPr>
        <w:t xml:space="preserve"> it is not necessary </w:t>
      </w:r>
      <w:r w:rsidR="00DC2983">
        <w:rPr>
          <w:rFonts w:ascii="Times New Roman" w:hAnsi="Times New Roman" w:cs="Times New Roman"/>
          <w:sz w:val="24"/>
          <w:szCs w:val="24"/>
        </w:rPr>
        <w:t>for</w:t>
      </w:r>
      <w:r w:rsidR="00F95480" w:rsidRPr="002C7C76">
        <w:rPr>
          <w:rFonts w:ascii="Times New Roman" w:hAnsi="Times New Roman" w:cs="Times New Roman"/>
          <w:sz w:val="24"/>
          <w:szCs w:val="24"/>
        </w:rPr>
        <w:t xml:space="preserve"> the </w:t>
      </w:r>
      <w:r w:rsidR="00F95480">
        <w:rPr>
          <w:rFonts w:ascii="Times New Roman" w:hAnsi="Times New Roman" w:cs="Times New Roman"/>
          <w:sz w:val="24"/>
          <w:szCs w:val="24"/>
        </w:rPr>
        <w:t>reference to a titleholder in the definition</w:t>
      </w:r>
      <w:r w:rsidR="00F95480" w:rsidRPr="002C7C76">
        <w:rPr>
          <w:rFonts w:ascii="Times New Roman" w:hAnsi="Times New Roman" w:cs="Times New Roman"/>
          <w:sz w:val="24"/>
          <w:szCs w:val="24"/>
        </w:rPr>
        <w:t xml:space="preserve"> to include </w:t>
      </w:r>
      <w:r w:rsidR="00F95480">
        <w:rPr>
          <w:rFonts w:ascii="Times New Roman" w:hAnsi="Times New Roman" w:cs="Times New Roman"/>
          <w:sz w:val="24"/>
          <w:szCs w:val="24"/>
        </w:rPr>
        <w:t>a reference to a person subject to a remedial direction</w:t>
      </w:r>
      <w:r w:rsidR="00DC2983">
        <w:rPr>
          <w:rFonts w:ascii="Times New Roman" w:hAnsi="Times New Roman" w:cs="Times New Roman"/>
          <w:sz w:val="24"/>
          <w:szCs w:val="24"/>
        </w:rPr>
        <w:t xml:space="preserve"> given the deeming effect of subregulation 2.51(2)</w:t>
      </w:r>
      <w:r w:rsidR="00F95480">
        <w:rPr>
          <w:rFonts w:ascii="Times New Roman" w:hAnsi="Times New Roman" w:cs="Times New Roman"/>
          <w:sz w:val="24"/>
          <w:szCs w:val="24"/>
        </w:rPr>
        <w:t>.</w:t>
      </w:r>
      <w:r>
        <w:rPr>
          <w:rFonts w:ascii="Times New Roman" w:hAnsi="Times New Roman" w:cs="Times New Roman"/>
          <w:sz w:val="24"/>
          <w:szCs w:val="24"/>
        </w:rPr>
        <w:t xml:space="preserve"> </w:t>
      </w:r>
    </w:p>
    <w:p w14:paraId="0C063351" w14:textId="4B062E34" w:rsidR="00625329" w:rsidRDefault="00505711" w:rsidP="00310EE9">
      <w:pPr>
        <w:spacing w:before="240" w:after="240"/>
        <w:rPr>
          <w:rFonts w:ascii="Times New Roman" w:hAnsi="Times New Roman" w:cs="Times New Roman"/>
          <w:sz w:val="24"/>
          <w:szCs w:val="24"/>
        </w:rPr>
      </w:pPr>
      <w:r>
        <w:rPr>
          <w:rFonts w:ascii="Times New Roman" w:hAnsi="Times New Roman" w:cs="Times New Roman"/>
          <w:sz w:val="24"/>
          <w:szCs w:val="24"/>
        </w:rPr>
        <w:t>The Safety Regulations apply to</w:t>
      </w:r>
      <w:r w:rsidR="00DE1E6C">
        <w:rPr>
          <w:rFonts w:ascii="Times New Roman" w:hAnsi="Times New Roman" w:cs="Times New Roman"/>
          <w:sz w:val="24"/>
          <w:szCs w:val="24"/>
        </w:rPr>
        <w:t xml:space="preserve"> </w:t>
      </w:r>
      <w:r w:rsidR="004F7753">
        <w:rPr>
          <w:rFonts w:ascii="Times New Roman" w:hAnsi="Times New Roman" w:cs="Times New Roman"/>
          <w:sz w:val="24"/>
          <w:szCs w:val="24"/>
        </w:rPr>
        <w:t xml:space="preserve">petroleum and greenhouse gas </w:t>
      </w:r>
      <w:r>
        <w:rPr>
          <w:rFonts w:ascii="Times New Roman" w:hAnsi="Times New Roman" w:cs="Times New Roman"/>
          <w:sz w:val="24"/>
          <w:szCs w:val="24"/>
        </w:rPr>
        <w:t>facilit</w:t>
      </w:r>
      <w:r w:rsidR="004F7753">
        <w:rPr>
          <w:rFonts w:ascii="Times New Roman" w:hAnsi="Times New Roman" w:cs="Times New Roman"/>
          <w:sz w:val="24"/>
          <w:szCs w:val="24"/>
        </w:rPr>
        <w:t>ies</w:t>
      </w:r>
      <w:r w:rsidR="00DE1E6C">
        <w:rPr>
          <w:rFonts w:ascii="Times New Roman" w:hAnsi="Times New Roman" w:cs="Times New Roman"/>
          <w:sz w:val="24"/>
          <w:szCs w:val="24"/>
        </w:rPr>
        <w:t xml:space="preserve"> located </w:t>
      </w:r>
      <w:r>
        <w:rPr>
          <w:rFonts w:ascii="Times New Roman" w:hAnsi="Times New Roman" w:cs="Times New Roman"/>
          <w:sz w:val="24"/>
          <w:szCs w:val="24"/>
        </w:rPr>
        <w:t xml:space="preserve">in Commonwealth waters. A </w:t>
      </w:r>
      <w:r w:rsidRPr="00401CF3">
        <w:rPr>
          <w:rFonts w:ascii="Times New Roman" w:hAnsi="Times New Roman" w:cs="Times New Roman"/>
          <w:b/>
          <w:i/>
          <w:sz w:val="24"/>
          <w:szCs w:val="24"/>
        </w:rPr>
        <w:t>facility</w:t>
      </w:r>
      <w:r>
        <w:rPr>
          <w:rFonts w:ascii="Times New Roman" w:hAnsi="Times New Roman" w:cs="Times New Roman"/>
          <w:sz w:val="24"/>
          <w:szCs w:val="24"/>
        </w:rPr>
        <w:t xml:space="preserve"> is defined by clause 4 </w:t>
      </w:r>
      <w:r w:rsidR="00625329">
        <w:rPr>
          <w:rFonts w:ascii="Times New Roman" w:hAnsi="Times New Roman" w:cs="Times New Roman"/>
          <w:sz w:val="24"/>
          <w:szCs w:val="24"/>
        </w:rPr>
        <w:t xml:space="preserve">of Schedule 3 </w:t>
      </w:r>
      <w:r w:rsidR="00746EB0">
        <w:rPr>
          <w:rFonts w:ascii="Times New Roman" w:hAnsi="Times New Roman" w:cs="Times New Roman"/>
          <w:sz w:val="24"/>
          <w:szCs w:val="24"/>
        </w:rPr>
        <w:t xml:space="preserve">to </w:t>
      </w:r>
      <w:r w:rsidR="00625329">
        <w:rPr>
          <w:rFonts w:ascii="Times New Roman" w:hAnsi="Times New Roman" w:cs="Times New Roman"/>
          <w:sz w:val="24"/>
          <w:szCs w:val="24"/>
        </w:rPr>
        <w:t xml:space="preserve">the OPGGS Act, and persons are prohibited from </w:t>
      </w:r>
      <w:r w:rsidR="00DE1E6C">
        <w:rPr>
          <w:rFonts w:ascii="Times New Roman" w:hAnsi="Times New Roman" w:cs="Times New Roman"/>
          <w:sz w:val="24"/>
          <w:szCs w:val="24"/>
        </w:rPr>
        <w:t>carrying out activit</w:t>
      </w:r>
      <w:r w:rsidR="004F7753">
        <w:rPr>
          <w:rFonts w:ascii="Times New Roman" w:hAnsi="Times New Roman" w:cs="Times New Roman"/>
          <w:sz w:val="24"/>
          <w:szCs w:val="24"/>
        </w:rPr>
        <w:t>ies</w:t>
      </w:r>
      <w:r>
        <w:rPr>
          <w:rFonts w:ascii="Times New Roman" w:hAnsi="Times New Roman" w:cs="Times New Roman"/>
          <w:sz w:val="24"/>
          <w:szCs w:val="24"/>
        </w:rPr>
        <w:t xml:space="preserve"> </w:t>
      </w:r>
      <w:r w:rsidR="004F7753">
        <w:rPr>
          <w:rFonts w:ascii="Times New Roman" w:hAnsi="Times New Roman" w:cs="Times New Roman"/>
          <w:sz w:val="24"/>
          <w:szCs w:val="24"/>
        </w:rPr>
        <w:t>i</w:t>
      </w:r>
      <w:r>
        <w:rPr>
          <w:rFonts w:ascii="Times New Roman" w:hAnsi="Times New Roman" w:cs="Times New Roman"/>
          <w:sz w:val="24"/>
          <w:szCs w:val="24"/>
        </w:rPr>
        <w:t xml:space="preserve">n </w:t>
      </w:r>
      <w:r w:rsidR="004F7753">
        <w:rPr>
          <w:rFonts w:ascii="Times New Roman" w:hAnsi="Times New Roman" w:cs="Times New Roman"/>
          <w:sz w:val="24"/>
          <w:szCs w:val="24"/>
        </w:rPr>
        <w:t xml:space="preserve">relation to </w:t>
      </w:r>
      <w:r>
        <w:rPr>
          <w:rFonts w:ascii="Times New Roman" w:hAnsi="Times New Roman" w:cs="Times New Roman"/>
          <w:sz w:val="24"/>
          <w:szCs w:val="24"/>
        </w:rPr>
        <w:t xml:space="preserve">a facility or part of </w:t>
      </w:r>
      <w:r w:rsidR="00DE1E6C">
        <w:rPr>
          <w:rFonts w:ascii="Times New Roman" w:hAnsi="Times New Roman" w:cs="Times New Roman"/>
          <w:sz w:val="24"/>
          <w:szCs w:val="24"/>
        </w:rPr>
        <w:t xml:space="preserve">the </w:t>
      </w:r>
      <w:r>
        <w:rPr>
          <w:rFonts w:ascii="Times New Roman" w:hAnsi="Times New Roman" w:cs="Times New Roman"/>
          <w:sz w:val="24"/>
          <w:szCs w:val="24"/>
        </w:rPr>
        <w:t>facility</w:t>
      </w:r>
      <w:r w:rsidR="004F7753">
        <w:rPr>
          <w:rFonts w:ascii="Times New Roman" w:hAnsi="Times New Roman" w:cs="Times New Roman"/>
          <w:sz w:val="24"/>
          <w:szCs w:val="24"/>
        </w:rPr>
        <w:t>, including operating, modifying or decommissioning the facility or part of the facility,</w:t>
      </w:r>
      <w:r>
        <w:rPr>
          <w:rFonts w:ascii="Times New Roman" w:hAnsi="Times New Roman" w:cs="Times New Roman"/>
          <w:sz w:val="24"/>
          <w:szCs w:val="24"/>
        </w:rPr>
        <w:t xml:space="preserve"> unless</w:t>
      </w:r>
      <w:r w:rsidR="00625329">
        <w:rPr>
          <w:rFonts w:ascii="Times New Roman" w:hAnsi="Times New Roman" w:cs="Times New Roman"/>
          <w:sz w:val="24"/>
          <w:szCs w:val="24"/>
        </w:rPr>
        <w:t>:</w:t>
      </w:r>
    </w:p>
    <w:p w14:paraId="7C51A7DB" w14:textId="77777777" w:rsidR="00625329" w:rsidRDefault="00505711" w:rsidP="00E47763">
      <w:pPr>
        <w:pStyle w:val="ListParagraph"/>
        <w:numPr>
          <w:ilvl w:val="0"/>
          <w:numId w:val="13"/>
        </w:numPr>
        <w:spacing w:before="240" w:after="240"/>
        <w:ind w:left="714" w:hanging="357"/>
        <w:contextualSpacing w:val="0"/>
        <w:rPr>
          <w:rFonts w:ascii="Times New Roman" w:hAnsi="Times New Roman" w:cs="Times New Roman"/>
          <w:sz w:val="24"/>
          <w:szCs w:val="24"/>
        </w:rPr>
      </w:pPr>
      <w:r w:rsidRPr="00E47763">
        <w:rPr>
          <w:rFonts w:ascii="Times New Roman" w:hAnsi="Times New Roman" w:cs="Times New Roman"/>
          <w:sz w:val="24"/>
          <w:szCs w:val="24"/>
        </w:rPr>
        <w:t xml:space="preserve">there is an operator in respect of </w:t>
      </w:r>
      <w:r w:rsidR="00625329" w:rsidRPr="00E47763">
        <w:rPr>
          <w:rFonts w:ascii="Times New Roman" w:hAnsi="Times New Roman" w:cs="Times New Roman"/>
          <w:sz w:val="24"/>
          <w:szCs w:val="24"/>
        </w:rPr>
        <w:t>the</w:t>
      </w:r>
      <w:r w:rsidRPr="00E47763">
        <w:rPr>
          <w:rFonts w:ascii="Times New Roman" w:hAnsi="Times New Roman" w:cs="Times New Roman"/>
          <w:sz w:val="24"/>
          <w:szCs w:val="24"/>
        </w:rPr>
        <w:t xml:space="preserve"> </w:t>
      </w:r>
      <w:r w:rsidR="00625329" w:rsidRPr="00E47763">
        <w:rPr>
          <w:rFonts w:ascii="Times New Roman" w:hAnsi="Times New Roman" w:cs="Times New Roman"/>
          <w:sz w:val="24"/>
          <w:szCs w:val="24"/>
        </w:rPr>
        <w:t>facility</w:t>
      </w:r>
      <w:r w:rsidR="00625329">
        <w:rPr>
          <w:rFonts w:ascii="Times New Roman" w:hAnsi="Times New Roman" w:cs="Times New Roman"/>
          <w:sz w:val="24"/>
          <w:szCs w:val="24"/>
        </w:rPr>
        <w:t xml:space="preserve"> (see regulation 2.43);</w:t>
      </w:r>
    </w:p>
    <w:p w14:paraId="73CCB168" w14:textId="118A706B" w:rsidR="00625329" w:rsidRDefault="00625329" w:rsidP="00E47763">
      <w:pPr>
        <w:pStyle w:val="ListParagraph"/>
        <w:numPr>
          <w:ilvl w:val="0"/>
          <w:numId w:val="13"/>
        </w:numPr>
        <w:spacing w:before="240" w:after="240"/>
        <w:ind w:left="714" w:hanging="357"/>
        <w:contextualSpacing w:val="0"/>
        <w:rPr>
          <w:rFonts w:ascii="Times New Roman" w:hAnsi="Times New Roman" w:cs="Times New Roman"/>
          <w:sz w:val="24"/>
          <w:szCs w:val="24"/>
        </w:rPr>
      </w:pPr>
      <w:r w:rsidRPr="00E47763">
        <w:rPr>
          <w:rFonts w:ascii="Times New Roman" w:hAnsi="Times New Roman" w:cs="Times New Roman"/>
          <w:sz w:val="24"/>
          <w:szCs w:val="24"/>
        </w:rPr>
        <w:t xml:space="preserve">there is a safety case in force </w:t>
      </w:r>
      <w:r>
        <w:rPr>
          <w:rFonts w:ascii="Times New Roman" w:hAnsi="Times New Roman" w:cs="Times New Roman"/>
          <w:sz w:val="24"/>
          <w:szCs w:val="24"/>
        </w:rPr>
        <w:t xml:space="preserve">for </w:t>
      </w:r>
      <w:r w:rsidRPr="00E47763">
        <w:rPr>
          <w:rFonts w:ascii="Times New Roman" w:hAnsi="Times New Roman" w:cs="Times New Roman"/>
          <w:sz w:val="24"/>
          <w:szCs w:val="24"/>
        </w:rPr>
        <w:t xml:space="preserve">the facility that provides for </w:t>
      </w:r>
      <w:r>
        <w:rPr>
          <w:rFonts w:ascii="Times New Roman" w:hAnsi="Times New Roman" w:cs="Times New Roman"/>
          <w:sz w:val="24"/>
          <w:szCs w:val="24"/>
        </w:rPr>
        <w:t>the activity (see regulation 2.44); and</w:t>
      </w:r>
    </w:p>
    <w:p w14:paraId="12075042" w14:textId="6FDBD732" w:rsidR="00505711" w:rsidRDefault="00625329" w:rsidP="00E47763">
      <w:pPr>
        <w:pStyle w:val="ListParagraph"/>
        <w:numPr>
          <w:ilvl w:val="0"/>
          <w:numId w:val="13"/>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persons </w:t>
      </w:r>
      <w:r w:rsidR="00DE1E6C">
        <w:rPr>
          <w:rFonts w:ascii="Times New Roman" w:hAnsi="Times New Roman" w:cs="Times New Roman"/>
          <w:sz w:val="24"/>
          <w:szCs w:val="24"/>
        </w:rPr>
        <w:t>carry out the activity</w:t>
      </w:r>
      <w:r>
        <w:rPr>
          <w:rFonts w:ascii="Times New Roman" w:hAnsi="Times New Roman" w:cs="Times New Roman"/>
          <w:sz w:val="24"/>
          <w:szCs w:val="24"/>
        </w:rPr>
        <w:t xml:space="preserve"> in accordance with the safety </w:t>
      </w:r>
      <w:r w:rsidR="009452C5">
        <w:rPr>
          <w:rFonts w:ascii="Times New Roman" w:hAnsi="Times New Roman" w:cs="Times New Roman"/>
          <w:sz w:val="24"/>
          <w:szCs w:val="24"/>
        </w:rPr>
        <w:t xml:space="preserve">case </w:t>
      </w:r>
      <w:r>
        <w:rPr>
          <w:rFonts w:ascii="Times New Roman" w:hAnsi="Times New Roman" w:cs="Times New Roman"/>
          <w:sz w:val="24"/>
          <w:szCs w:val="24"/>
        </w:rPr>
        <w:t>(see regulation 2.45)</w:t>
      </w:r>
      <w:r w:rsidR="00505711" w:rsidRPr="00E47763">
        <w:rPr>
          <w:rFonts w:ascii="Times New Roman" w:hAnsi="Times New Roman" w:cs="Times New Roman"/>
          <w:sz w:val="24"/>
          <w:szCs w:val="24"/>
        </w:rPr>
        <w:t xml:space="preserve">. </w:t>
      </w:r>
    </w:p>
    <w:p w14:paraId="6DED7525" w14:textId="7025568E" w:rsidR="002265B9" w:rsidRDefault="00015D48" w:rsidP="00DE1E6C">
      <w:pPr>
        <w:spacing w:before="240" w:after="240"/>
        <w:rPr>
          <w:rFonts w:ascii="Times New Roman" w:hAnsi="Times New Roman" w:cs="Times New Roman"/>
          <w:sz w:val="24"/>
          <w:szCs w:val="24"/>
        </w:rPr>
      </w:pPr>
      <w:r w:rsidRPr="00E47763">
        <w:rPr>
          <w:rFonts w:ascii="Times New Roman" w:hAnsi="Times New Roman" w:cs="Times New Roman"/>
          <w:sz w:val="24"/>
          <w:szCs w:val="24"/>
        </w:rPr>
        <w:t xml:space="preserve">The operator </w:t>
      </w:r>
      <w:r w:rsidR="00DE1E6C">
        <w:rPr>
          <w:rFonts w:ascii="Times New Roman" w:hAnsi="Times New Roman" w:cs="Times New Roman"/>
          <w:sz w:val="24"/>
          <w:szCs w:val="24"/>
        </w:rPr>
        <w:t xml:space="preserve">of the facility </w:t>
      </w:r>
      <w:r w:rsidRPr="00E47763">
        <w:rPr>
          <w:rFonts w:ascii="Times New Roman" w:hAnsi="Times New Roman" w:cs="Times New Roman"/>
          <w:sz w:val="24"/>
          <w:szCs w:val="24"/>
        </w:rPr>
        <w:t xml:space="preserve">is </w:t>
      </w:r>
      <w:r>
        <w:rPr>
          <w:rFonts w:ascii="Times New Roman" w:hAnsi="Times New Roman" w:cs="Times New Roman"/>
          <w:sz w:val="24"/>
          <w:szCs w:val="24"/>
        </w:rPr>
        <w:t>subject to</w:t>
      </w:r>
      <w:r w:rsidRPr="00E47763">
        <w:rPr>
          <w:rFonts w:ascii="Times New Roman" w:hAnsi="Times New Roman" w:cs="Times New Roman"/>
          <w:sz w:val="24"/>
          <w:szCs w:val="24"/>
        </w:rPr>
        <w:t xml:space="preserve"> a number of duties and obligations relating to occupational health and safety under Schedule 3 </w:t>
      </w:r>
      <w:r w:rsidR="00746EB0">
        <w:rPr>
          <w:rFonts w:ascii="Times New Roman" w:hAnsi="Times New Roman" w:cs="Times New Roman"/>
          <w:sz w:val="24"/>
          <w:szCs w:val="24"/>
        </w:rPr>
        <w:t>to</w:t>
      </w:r>
      <w:r w:rsidR="00746EB0" w:rsidRPr="00E47763">
        <w:rPr>
          <w:rFonts w:ascii="Times New Roman" w:hAnsi="Times New Roman" w:cs="Times New Roman"/>
          <w:sz w:val="24"/>
          <w:szCs w:val="24"/>
        </w:rPr>
        <w:t xml:space="preserve"> </w:t>
      </w:r>
      <w:r w:rsidRPr="00E47763">
        <w:rPr>
          <w:rFonts w:ascii="Times New Roman" w:hAnsi="Times New Roman" w:cs="Times New Roman"/>
          <w:sz w:val="24"/>
          <w:szCs w:val="24"/>
        </w:rPr>
        <w:t xml:space="preserve">the OPGGS Act and the Safety Regulations, including </w:t>
      </w:r>
      <w:r>
        <w:rPr>
          <w:rFonts w:ascii="Times New Roman" w:hAnsi="Times New Roman" w:cs="Times New Roman"/>
          <w:sz w:val="24"/>
          <w:szCs w:val="24"/>
        </w:rPr>
        <w:t xml:space="preserve">the </w:t>
      </w:r>
      <w:r w:rsidRPr="00E47763">
        <w:rPr>
          <w:rFonts w:ascii="Times New Roman" w:hAnsi="Times New Roman" w:cs="Times New Roman"/>
          <w:sz w:val="24"/>
          <w:szCs w:val="24"/>
        </w:rPr>
        <w:t xml:space="preserve">duties to take all reasonably practicable steps to ensure that </w:t>
      </w:r>
      <w:r w:rsidRPr="00DE1E6C">
        <w:rPr>
          <w:rFonts w:ascii="Times New Roman" w:hAnsi="Times New Roman" w:cs="Times New Roman"/>
          <w:sz w:val="24"/>
          <w:szCs w:val="24"/>
        </w:rPr>
        <w:t>the facility is safe</w:t>
      </w:r>
      <w:r>
        <w:rPr>
          <w:rFonts w:ascii="Times New Roman" w:hAnsi="Times New Roman" w:cs="Times New Roman"/>
          <w:sz w:val="24"/>
          <w:szCs w:val="24"/>
        </w:rPr>
        <w:t xml:space="preserve"> and without risk to the health of any person at or near the facility, and all work and other activities carried out on the facility are carried out in a manner that is safe and </w:t>
      </w:r>
      <w:r>
        <w:rPr>
          <w:rFonts w:ascii="Times New Roman" w:hAnsi="Times New Roman" w:cs="Times New Roman"/>
          <w:sz w:val="24"/>
          <w:szCs w:val="24"/>
        </w:rPr>
        <w:lastRenderedPageBreak/>
        <w:t>without risk to the health of any person at or near the facility (see subclause 9(1) of Schedule</w:t>
      </w:r>
      <w:r w:rsidR="001B755D">
        <w:rPr>
          <w:rFonts w:ascii="Times New Roman" w:hAnsi="Times New Roman" w:cs="Times New Roman"/>
          <w:sz w:val="24"/>
          <w:szCs w:val="24"/>
        </w:rPr>
        <w:t> </w:t>
      </w:r>
      <w:r>
        <w:rPr>
          <w:rFonts w:ascii="Times New Roman" w:hAnsi="Times New Roman" w:cs="Times New Roman"/>
          <w:sz w:val="24"/>
          <w:szCs w:val="24"/>
        </w:rPr>
        <w:t xml:space="preserve">3 </w:t>
      </w:r>
      <w:r w:rsidR="00746EB0">
        <w:rPr>
          <w:rFonts w:ascii="Times New Roman" w:hAnsi="Times New Roman" w:cs="Times New Roman"/>
          <w:sz w:val="24"/>
          <w:szCs w:val="24"/>
        </w:rPr>
        <w:t xml:space="preserve">to </w:t>
      </w:r>
      <w:r>
        <w:rPr>
          <w:rFonts w:ascii="Times New Roman" w:hAnsi="Times New Roman" w:cs="Times New Roman"/>
          <w:sz w:val="24"/>
          <w:szCs w:val="24"/>
        </w:rPr>
        <w:t xml:space="preserve">the OPGGS Act). </w:t>
      </w:r>
    </w:p>
    <w:p w14:paraId="20365252" w14:textId="39D7F49B" w:rsidR="009452C5" w:rsidRPr="00E47763" w:rsidRDefault="009452C5" w:rsidP="00DE1E6C">
      <w:pPr>
        <w:spacing w:before="240" w:after="240"/>
        <w:rPr>
          <w:rFonts w:ascii="Times New Roman" w:hAnsi="Times New Roman" w:cs="Times New Roman"/>
          <w:sz w:val="24"/>
          <w:szCs w:val="24"/>
        </w:rPr>
      </w:pPr>
      <w:r w:rsidRPr="00E47763">
        <w:rPr>
          <w:rFonts w:ascii="Times New Roman" w:hAnsi="Times New Roman" w:cs="Times New Roman"/>
          <w:sz w:val="24"/>
          <w:szCs w:val="24"/>
        </w:rPr>
        <w:t xml:space="preserve">Only the operator of a facility is eligible to submit a safety case, or a revised safety case, to NOPSEMA for </w:t>
      </w:r>
      <w:r w:rsidR="004F7753">
        <w:rPr>
          <w:rFonts w:ascii="Times New Roman" w:hAnsi="Times New Roman" w:cs="Times New Roman"/>
          <w:sz w:val="24"/>
          <w:szCs w:val="24"/>
        </w:rPr>
        <w:t>assessment and</w:t>
      </w:r>
      <w:r w:rsidRPr="00E47763">
        <w:rPr>
          <w:rFonts w:ascii="Times New Roman" w:hAnsi="Times New Roman" w:cs="Times New Roman"/>
          <w:sz w:val="24"/>
          <w:szCs w:val="24"/>
        </w:rPr>
        <w:t xml:space="preserve"> accept</w:t>
      </w:r>
      <w:r w:rsidR="004F7753">
        <w:rPr>
          <w:rFonts w:ascii="Times New Roman" w:hAnsi="Times New Roman" w:cs="Times New Roman"/>
          <w:sz w:val="24"/>
          <w:szCs w:val="24"/>
        </w:rPr>
        <w:t>ance</w:t>
      </w:r>
      <w:r w:rsidRPr="00E47763">
        <w:rPr>
          <w:rFonts w:ascii="Times New Roman" w:hAnsi="Times New Roman" w:cs="Times New Roman"/>
          <w:sz w:val="24"/>
          <w:szCs w:val="24"/>
        </w:rPr>
        <w:t xml:space="preserve"> (see regulations 2.24 and 2.30)</w:t>
      </w:r>
      <w:r w:rsidR="004F7753">
        <w:rPr>
          <w:rFonts w:ascii="Times New Roman" w:hAnsi="Times New Roman" w:cs="Times New Roman"/>
          <w:sz w:val="24"/>
          <w:szCs w:val="24"/>
        </w:rPr>
        <w:t>.</w:t>
      </w:r>
      <w:r w:rsidRPr="00E47763">
        <w:rPr>
          <w:rFonts w:ascii="Times New Roman" w:hAnsi="Times New Roman" w:cs="Times New Roman"/>
          <w:sz w:val="24"/>
          <w:szCs w:val="24"/>
        </w:rPr>
        <w:t xml:space="preserve"> </w:t>
      </w:r>
      <w:r w:rsidR="004F7753">
        <w:rPr>
          <w:rFonts w:ascii="Times New Roman" w:hAnsi="Times New Roman" w:cs="Times New Roman"/>
          <w:sz w:val="24"/>
          <w:szCs w:val="24"/>
        </w:rPr>
        <w:t xml:space="preserve">In addition, </w:t>
      </w:r>
      <w:r w:rsidRPr="00E47763">
        <w:rPr>
          <w:rFonts w:ascii="Times New Roman" w:hAnsi="Times New Roman" w:cs="Times New Roman"/>
          <w:sz w:val="24"/>
          <w:szCs w:val="24"/>
        </w:rPr>
        <w:t xml:space="preserve">only the owner of the facility or the titleholder are eligible to nominate a person to be the operator (see regulation 2.1). </w:t>
      </w:r>
    </w:p>
    <w:p w14:paraId="01E6CAA5" w14:textId="1BDD34F9" w:rsidR="00C035BC" w:rsidRDefault="00C035BC" w:rsidP="00C035BC">
      <w:pPr>
        <w:spacing w:before="240" w:after="240"/>
        <w:rPr>
          <w:rFonts w:ascii="Times New Roman" w:hAnsi="Times New Roman" w:cs="Times New Roman"/>
          <w:sz w:val="24"/>
          <w:szCs w:val="24"/>
        </w:rPr>
      </w:pPr>
      <w:r>
        <w:rPr>
          <w:rFonts w:ascii="Times New Roman" w:hAnsi="Times New Roman" w:cs="Times New Roman"/>
          <w:sz w:val="24"/>
          <w:szCs w:val="24"/>
        </w:rPr>
        <w:t>Practically, i</w:t>
      </w:r>
      <w:r w:rsidR="00063367">
        <w:rPr>
          <w:rFonts w:ascii="Times New Roman" w:hAnsi="Times New Roman" w:cs="Times New Roman"/>
          <w:sz w:val="24"/>
          <w:szCs w:val="24"/>
        </w:rPr>
        <w:t xml:space="preserve">f a remedial direction is in force and compliance with the direction requires </w:t>
      </w:r>
      <w:r w:rsidR="003D1847">
        <w:rPr>
          <w:rFonts w:ascii="Times New Roman" w:hAnsi="Times New Roman" w:cs="Times New Roman"/>
          <w:sz w:val="24"/>
          <w:szCs w:val="24"/>
        </w:rPr>
        <w:t xml:space="preserve">the person who is subject to </w:t>
      </w:r>
      <w:r>
        <w:rPr>
          <w:rFonts w:ascii="Times New Roman" w:hAnsi="Times New Roman" w:cs="Times New Roman"/>
          <w:sz w:val="24"/>
          <w:szCs w:val="24"/>
        </w:rPr>
        <w:t>the direction</w:t>
      </w:r>
      <w:r w:rsidR="003D1847">
        <w:rPr>
          <w:rFonts w:ascii="Times New Roman" w:hAnsi="Times New Roman" w:cs="Times New Roman"/>
          <w:sz w:val="24"/>
          <w:szCs w:val="24"/>
        </w:rPr>
        <w:t xml:space="preserve"> to</w:t>
      </w:r>
      <w:r w:rsidR="00063367">
        <w:rPr>
          <w:rFonts w:ascii="Times New Roman" w:hAnsi="Times New Roman" w:cs="Times New Roman"/>
          <w:sz w:val="24"/>
          <w:szCs w:val="24"/>
        </w:rPr>
        <w:t xml:space="preserve"> </w:t>
      </w:r>
      <w:r w:rsidR="00625329">
        <w:rPr>
          <w:rFonts w:ascii="Times New Roman" w:hAnsi="Times New Roman" w:cs="Times New Roman"/>
          <w:sz w:val="24"/>
          <w:szCs w:val="24"/>
        </w:rPr>
        <w:t>undertake an activity</w:t>
      </w:r>
      <w:r w:rsidR="00063367">
        <w:rPr>
          <w:rFonts w:ascii="Times New Roman" w:hAnsi="Times New Roman" w:cs="Times New Roman"/>
          <w:sz w:val="24"/>
          <w:szCs w:val="24"/>
        </w:rPr>
        <w:t xml:space="preserve"> </w:t>
      </w:r>
      <w:r w:rsidR="00206CD7">
        <w:rPr>
          <w:rFonts w:ascii="Times New Roman" w:hAnsi="Times New Roman" w:cs="Times New Roman"/>
          <w:sz w:val="24"/>
          <w:szCs w:val="24"/>
        </w:rPr>
        <w:t>in relation to</w:t>
      </w:r>
      <w:r w:rsidR="00063367">
        <w:rPr>
          <w:rFonts w:ascii="Times New Roman" w:hAnsi="Times New Roman" w:cs="Times New Roman"/>
          <w:sz w:val="24"/>
          <w:szCs w:val="24"/>
        </w:rPr>
        <w:t xml:space="preserve"> </w:t>
      </w:r>
      <w:r>
        <w:rPr>
          <w:rFonts w:ascii="Times New Roman" w:hAnsi="Times New Roman" w:cs="Times New Roman"/>
          <w:sz w:val="24"/>
          <w:szCs w:val="24"/>
        </w:rPr>
        <w:t>a</w:t>
      </w:r>
      <w:r w:rsidR="00063367">
        <w:rPr>
          <w:rFonts w:ascii="Times New Roman" w:hAnsi="Times New Roman" w:cs="Times New Roman"/>
          <w:sz w:val="24"/>
          <w:szCs w:val="24"/>
        </w:rPr>
        <w:t xml:space="preserve"> f</w:t>
      </w:r>
      <w:r>
        <w:rPr>
          <w:rFonts w:ascii="Times New Roman" w:hAnsi="Times New Roman" w:cs="Times New Roman"/>
          <w:sz w:val="24"/>
          <w:szCs w:val="24"/>
        </w:rPr>
        <w:t>acility or part of the facility (such as decommission</w:t>
      </w:r>
      <w:r w:rsidR="00625329">
        <w:rPr>
          <w:rFonts w:ascii="Times New Roman" w:hAnsi="Times New Roman" w:cs="Times New Roman"/>
          <w:sz w:val="24"/>
          <w:szCs w:val="24"/>
        </w:rPr>
        <w:t>ing</w:t>
      </w:r>
      <w:r>
        <w:rPr>
          <w:rFonts w:ascii="Times New Roman" w:hAnsi="Times New Roman" w:cs="Times New Roman"/>
          <w:sz w:val="24"/>
          <w:szCs w:val="24"/>
        </w:rPr>
        <w:t xml:space="preserve"> the facility or part of the facility)</w:t>
      </w:r>
      <w:r w:rsidR="00063367">
        <w:rPr>
          <w:rFonts w:ascii="Times New Roman" w:hAnsi="Times New Roman" w:cs="Times New Roman"/>
          <w:sz w:val="24"/>
          <w:szCs w:val="24"/>
        </w:rPr>
        <w:t xml:space="preserve">, the extended reference </w:t>
      </w:r>
      <w:r w:rsidR="003D1847">
        <w:rPr>
          <w:rFonts w:ascii="Times New Roman" w:hAnsi="Times New Roman" w:cs="Times New Roman"/>
          <w:sz w:val="24"/>
          <w:szCs w:val="24"/>
        </w:rPr>
        <w:t>to a</w:t>
      </w:r>
      <w:r w:rsidR="00063367">
        <w:rPr>
          <w:rFonts w:ascii="Times New Roman" w:hAnsi="Times New Roman" w:cs="Times New Roman"/>
          <w:sz w:val="24"/>
          <w:szCs w:val="24"/>
        </w:rPr>
        <w:t xml:space="preserve"> titleholder in new subregulation 5.29A(2) appl</w:t>
      </w:r>
      <w:r w:rsidR="00206CD7">
        <w:rPr>
          <w:rFonts w:ascii="Times New Roman" w:hAnsi="Times New Roman" w:cs="Times New Roman"/>
          <w:sz w:val="24"/>
          <w:szCs w:val="24"/>
        </w:rPr>
        <w:t>ies</w:t>
      </w:r>
      <w:r w:rsidR="00063367">
        <w:rPr>
          <w:rFonts w:ascii="Times New Roman" w:hAnsi="Times New Roman" w:cs="Times New Roman"/>
          <w:sz w:val="24"/>
          <w:szCs w:val="24"/>
        </w:rPr>
        <w:t xml:space="preserve"> in relation to the direction</w:t>
      </w:r>
      <w:r>
        <w:rPr>
          <w:rFonts w:ascii="Times New Roman" w:hAnsi="Times New Roman" w:cs="Times New Roman"/>
          <w:sz w:val="24"/>
          <w:szCs w:val="24"/>
        </w:rPr>
        <w:t xml:space="preserve"> so that:</w:t>
      </w:r>
    </w:p>
    <w:p w14:paraId="2B2939F7" w14:textId="77777777" w:rsidR="00C035BC" w:rsidRDefault="00063367" w:rsidP="00E47763">
      <w:pPr>
        <w:pStyle w:val="ListParagraph"/>
        <w:numPr>
          <w:ilvl w:val="0"/>
          <w:numId w:val="12"/>
        </w:numPr>
        <w:spacing w:before="240" w:after="240"/>
        <w:ind w:left="714" w:hanging="357"/>
        <w:contextualSpacing w:val="0"/>
        <w:rPr>
          <w:rFonts w:ascii="Times New Roman" w:hAnsi="Times New Roman" w:cs="Times New Roman"/>
          <w:sz w:val="24"/>
          <w:szCs w:val="24"/>
        </w:rPr>
      </w:pPr>
      <w:r w:rsidRPr="00E47763">
        <w:rPr>
          <w:rFonts w:ascii="Times New Roman" w:hAnsi="Times New Roman" w:cs="Times New Roman"/>
          <w:sz w:val="24"/>
          <w:szCs w:val="24"/>
        </w:rPr>
        <w:t xml:space="preserve">the person who is subject to the direction is eligible to nominate a person to </w:t>
      </w:r>
      <w:r w:rsidR="003D1847" w:rsidRPr="00E47763">
        <w:rPr>
          <w:rFonts w:ascii="Times New Roman" w:hAnsi="Times New Roman" w:cs="Times New Roman"/>
          <w:sz w:val="24"/>
          <w:szCs w:val="24"/>
        </w:rPr>
        <w:t>be the operator of the facility</w:t>
      </w:r>
      <w:r w:rsidR="00C035BC">
        <w:rPr>
          <w:rFonts w:ascii="Times New Roman" w:hAnsi="Times New Roman" w:cs="Times New Roman"/>
          <w:sz w:val="24"/>
          <w:szCs w:val="24"/>
        </w:rPr>
        <w:t xml:space="preserve"> under regulation 2.1;</w:t>
      </w:r>
    </w:p>
    <w:p w14:paraId="63FB978B" w14:textId="1546CECD" w:rsidR="00C035BC" w:rsidRDefault="009452C5" w:rsidP="00E47763">
      <w:pPr>
        <w:pStyle w:val="ListParagraph"/>
        <w:numPr>
          <w:ilvl w:val="0"/>
          <w:numId w:val="12"/>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the person who is subject to the direction</w:t>
      </w:r>
      <w:r w:rsidR="002265B9">
        <w:rPr>
          <w:rFonts w:ascii="Times New Roman" w:hAnsi="Times New Roman" w:cs="Times New Roman"/>
          <w:sz w:val="24"/>
          <w:szCs w:val="24"/>
        </w:rPr>
        <w:t xml:space="preserve"> </w:t>
      </w:r>
      <w:r w:rsidR="00206CD7">
        <w:rPr>
          <w:rFonts w:ascii="Times New Roman" w:hAnsi="Times New Roman" w:cs="Times New Roman"/>
          <w:sz w:val="24"/>
          <w:szCs w:val="24"/>
        </w:rPr>
        <w:t>may</w:t>
      </w:r>
      <w:r w:rsidR="00C035BC">
        <w:rPr>
          <w:rFonts w:ascii="Times New Roman" w:hAnsi="Times New Roman" w:cs="Times New Roman"/>
          <w:sz w:val="24"/>
          <w:szCs w:val="24"/>
        </w:rPr>
        <w:t xml:space="preserve"> notify NOPSEMA that the operator has ceased to </w:t>
      </w:r>
      <w:r w:rsidR="00182D11">
        <w:rPr>
          <w:rFonts w:ascii="Times New Roman" w:hAnsi="Times New Roman" w:cs="Times New Roman"/>
          <w:sz w:val="24"/>
          <w:szCs w:val="24"/>
        </w:rPr>
        <w:t xml:space="preserve">be </w:t>
      </w:r>
      <w:r w:rsidR="00C035BC">
        <w:rPr>
          <w:rFonts w:ascii="Times New Roman" w:hAnsi="Times New Roman" w:cs="Times New Roman"/>
          <w:sz w:val="24"/>
          <w:szCs w:val="24"/>
        </w:rPr>
        <w:t>the person who has, or will have, the day-to-day management and control of the facility under subregulation 2.4(2); and</w:t>
      </w:r>
    </w:p>
    <w:p w14:paraId="6DF94FFA" w14:textId="4D053FBF" w:rsidR="003D1847" w:rsidRPr="00E47763" w:rsidRDefault="00C035BC" w:rsidP="00E47763">
      <w:pPr>
        <w:pStyle w:val="ListParagraph"/>
        <w:numPr>
          <w:ilvl w:val="0"/>
          <w:numId w:val="12"/>
        </w:numPr>
        <w:spacing w:before="240" w:after="240"/>
        <w:ind w:left="714"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person </w:t>
      </w:r>
      <w:r w:rsidR="009452C5">
        <w:rPr>
          <w:rFonts w:ascii="Times New Roman" w:hAnsi="Times New Roman" w:cs="Times New Roman"/>
          <w:sz w:val="24"/>
          <w:szCs w:val="24"/>
        </w:rPr>
        <w:t xml:space="preserve">who is subject to the direction </w:t>
      </w:r>
      <w:r>
        <w:rPr>
          <w:rFonts w:ascii="Times New Roman" w:hAnsi="Times New Roman" w:cs="Times New Roman"/>
          <w:sz w:val="24"/>
          <w:szCs w:val="24"/>
        </w:rPr>
        <w:t xml:space="preserve">is required to notify the operator and NOPSEMA of the occurrence of a significant new risk, or a significant increase to an </w:t>
      </w:r>
      <w:r w:rsidR="00206CD7">
        <w:rPr>
          <w:rFonts w:ascii="Times New Roman" w:hAnsi="Times New Roman" w:cs="Times New Roman"/>
          <w:sz w:val="24"/>
          <w:szCs w:val="24"/>
        </w:rPr>
        <w:t xml:space="preserve">existing </w:t>
      </w:r>
      <w:r>
        <w:rPr>
          <w:rFonts w:ascii="Times New Roman" w:hAnsi="Times New Roman" w:cs="Times New Roman"/>
          <w:sz w:val="24"/>
          <w:szCs w:val="24"/>
        </w:rPr>
        <w:t xml:space="preserve">risk, to health and safety arising from the </w:t>
      </w:r>
      <w:r w:rsidR="009452C5">
        <w:rPr>
          <w:rFonts w:ascii="Times New Roman" w:hAnsi="Times New Roman" w:cs="Times New Roman"/>
          <w:sz w:val="24"/>
          <w:szCs w:val="24"/>
        </w:rPr>
        <w:t>activity undertaken</w:t>
      </w:r>
      <w:r>
        <w:rPr>
          <w:rFonts w:ascii="Times New Roman" w:hAnsi="Times New Roman" w:cs="Times New Roman"/>
          <w:sz w:val="24"/>
          <w:szCs w:val="24"/>
        </w:rPr>
        <w:t xml:space="preserve"> </w:t>
      </w:r>
      <w:r w:rsidR="00206CD7">
        <w:rPr>
          <w:rFonts w:ascii="Times New Roman" w:hAnsi="Times New Roman" w:cs="Times New Roman"/>
          <w:sz w:val="24"/>
          <w:szCs w:val="24"/>
        </w:rPr>
        <w:t>in relation to</w:t>
      </w:r>
      <w:r>
        <w:rPr>
          <w:rFonts w:ascii="Times New Roman" w:hAnsi="Times New Roman" w:cs="Times New Roman"/>
          <w:sz w:val="24"/>
          <w:szCs w:val="24"/>
        </w:rPr>
        <w:t xml:space="preserve"> the facility </w:t>
      </w:r>
      <w:r w:rsidR="009452C5">
        <w:rPr>
          <w:rFonts w:ascii="Times New Roman" w:hAnsi="Times New Roman" w:cs="Times New Roman"/>
          <w:sz w:val="24"/>
          <w:szCs w:val="24"/>
        </w:rPr>
        <w:t xml:space="preserve">or part of the facility </w:t>
      </w:r>
      <w:r>
        <w:rPr>
          <w:rFonts w:ascii="Times New Roman" w:hAnsi="Times New Roman" w:cs="Times New Roman"/>
          <w:sz w:val="24"/>
          <w:szCs w:val="24"/>
        </w:rPr>
        <w:t>(including decommissioning of the facility or part of the facility) as soon as practicable</w:t>
      </w:r>
      <w:r w:rsidR="00206CD7">
        <w:rPr>
          <w:rFonts w:ascii="Times New Roman" w:hAnsi="Times New Roman" w:cs="Times New Roman"/>
          <w:sz w:val="24"/>
          <w:szCs w:val="24"/>
        </w:rPr>
        <w:t xml:space="preserve"> under subregulation 2.46(2)</w:t>
      </w:r>
      <w:r w:rsidR="003D1847" w:rsidRPr="00E47763">
        <w:rPr>
          <w:rFonts w:ascii="Times New Roman" w:hAnsi="Times New Roman" w:cs="Times New Roman"/>
          <w:sz w:val="24"/>
          <w:szCs w:val="24"/>
        </w:rPr>
        <w:t xml:space="preserve">. </w:t>
      </w:r>
    </w:p>
    <w:p w14:paraId="17948B91" w14:textId="7EF4AEEF" w:rsidR="00EE0E43" w:rsidRPr="00401CF3" w:rsidRDefault="00EE0E43" w:rsidP="00401CF3">
      <w:pPr>
        <w:spacing w:before="240" w:after="240"/>
        <w:rPr>
          <w:rFonts w:ascii="Times New Roman" w:hAnsi="Times New Roman" w:cs="Times New Roman"/>
          <w:sz w:val="24"/>
          <w:szCs w:val="24"/>
        </w:rPr>
      </w:pPr>
      <w:r w:rsidRPr="00401CF3">
        <w:rPr>
          <w:rFonts w:ascii="Times New Roman" w:hAnsi="Times New Roman" w:cs="Times New Roman"/>
          <w:sz w:val="24"/>
          <w:szCs w:val="24"/>
        </w:rPr>
        <w:t xml:space="preserve">If a person is a current titleholder subject to a remedial direction under section 586, 586A, 591B or 592, </w:t>
      </w:r>
      <w:r>
        <w:rPr>
          <w:rFonts w:ascii="Times New Roman" w:hAnsi="Times New Roman" w:cs="Times New Roman"/>
          <w:sz w:val="24"/>
          <w:szCs w:val="24"/>
        </w:rPr>
        <w:t xml:space="preserve">the Safety </w:t>
      </w:r>
      <w:r w:rsidRPr="00401CF3">
        <w:rPr>
          <w:rFonts w:ascii="Times New Roman" w:hAnsi="Times New Roman" w:cs="Times New Roman"/>
          <w:sz w:val="24"/>
          <w:szCs w:val="24"/>
        </w:rPr>
        <w:t xml:space="preserve">Regulations continue to apply to that person as a titleholder. The amendments ensure extended application of the </w:t>
      </w:r>
      <w:r>
        <w:rPr>
          <w:rFonts w:ascii="Times New Roman" w:hAnsi="Times New Roman" w:cs="Times New Roman"/>
          <w:sz w:val="24"/>
          <w:szCs w:val="24"/>
        </w:rPr>
        <w:t xml:space="preserve">Safety </w:t>
      </w:r>
      <w:r w:rsidRPr="00401CF3">
        <w:rPr>
          <w:rFonts w:ascii="Times New Roman" w:hAnsi="Times New Roman" w:cs="Times New Roman"/>
          <w:sz w:val="24"/>
          <w:szCs w:val="24"/>
        </w:rPr>
        <w:t>Regulations if a remedial direction is given to a person other than the current titleholder.</w:t>
      </w:r>
    </w:p>
    <w:p w14:paraId="49D873A1" w14:textId="45030248" w:rsidR="00E34956" w:rsidRPr="00366EF0" w:rsidRDefault="00DE1E6C" w:rsidP="000D0E22">
      <w:pPr>
        <w:spacing w:before="240" w:after="240"/>
        <w:rPr>
          <w:rFonts w:ascii="Times New Roman" w:hAnsi="Times New Roman" w:cs="Times New Roman"/>
          <w:sz w:val="24"/>
          <w:szCs w:val="24"/>
        </w:rPr>
      </w:pPr>
      <w:r>
        <w:rPr>
          <w:rFonts w:ascii="Times New Roman" w:hAnsi="Times New Roman" w:cs="Times New Roman"/>
          <w:sz w:val="24"/>
          <w:szCs w:val="24"/>
        </w:rPr>
        <w:t>I</w:t>
      </w:r>
      <w:r w:rsidR="00EE0E43">
        <w:rPr>
          <w:rFonts w:ascii="Times New Roman" w:hAnsi="Times New Roman" w:cs="Times New Roman"/>
          <w:sz w:val="24"/>
          <w:szCs w:val="24"/>
        </w:rPr>
        <w:t>f a remedial direction is in force</w:t>
      </w:r>
      <w:r>
        <w:rPr>
          <w:rFonts w:ascii="Times New Roman" w:hAnsi="Times New Roman" w:cs="Times New Roman"/>
          <w:sz w:val="24"/>
          <w:szCs w:val="24"/>
        </w:rPr>
        <w:t xml:space="preserve">, the other provisions of the Safety Regulations </w:t>
      </w:r>
      <w:r w:rsidR="00EE0E43">
        <w:rPr>
          <w:rFonts w:ascii="Times New Roman" w:hAnsi="Times New Roman" w:cs="Times New Roman"/>
          <w:sz w:val="24"/>
          <w:szCs w:val="24"/>
        </w:rPr>
        <w:t>also</w:t>
      </w:r>
      <w:r>
        <w:rPr>
          <w:rFonts w:ascii="Times New Roman" w:hAnsi="Times New Roman" w:cs="Times New Roman"/>
          <w:sz w:val="24"/>
          <w:szCs w:val="24"/>
        </w:rPr>
        <w:t xml:space="preserve"> apply</w:t>
      </w:r>
      <w:r w:rsidR="00EE0E43">
        <w:rPr>
          <w:rFonts w:ascii="Times New Roman" w:hAnsi="Times New Roman" w:cs="Times New Roman"/>
          <w:sz w:val="24"/>
          <w:szCs w:val="24"/>
        </w:rPr>
        <w:t>.</w:t>
      </w:r>
      <w:r>
        <w:rPr>
          <w:rFonts w:ascii="Times New Roman" w:hAnsi="Times New Roman" w:cs="Times New Roman"/>
          <w:sz w:val="24"/>
          <w:szCs w:val="24"/>
        </w:rPr>
        <w:t xml:space="preserve"> </w:t>
      </w:r>
      <w:r w:rsidR="00EE0E43">
        <w:rPr>
          <w:rFonts w:ascii="Times New Roman" w:hAnsi="Times New Roman" w:cs="Times New Roman"/>
          <w:sz w:val="24"/>
          <w:szCs w:val="24"/>
        </w:rPr>
        <w:t xml:space="preserve">This means </w:t>
      </w:r>
      <w:r>
        <w:rPr>
          <w:rFonts w:ascii="Times New Roman" w:hAnsi="Times New Roman" w:cs="Times New Roman"/>
          <w:sz w:val="24"/>
          <w:szCs w:val="24"/>
        </w:rPr>
        <w:t xml:space="preserve">that the facility must have an operator in respect of the facility, a safety case must </w:t>
      </w:r>
      <w:r w:rsidR="00EE0E43">
        <w:rPr>
          <w:rFonts w:ascii="Times New Roman" w:hAnsi="Times New Roman" w:cs="Times New Roman"/>
          <w:sz w:val="24"/>
          <w:szCs w:val="24"/>
        </w:rPr>
        <w:t xml:space="preserve">be </w:t>
      </w:r>
      <w:r>
        <w:rPr>
          <w:rFonts w:ascii="Times New Roman" w:hAnsi="Times New Roman" w:cs="Times New Roman"/>
          <w:sz w:val="24"/>
          <w:szCs w:val="24"/>
        </w:rPr>
        <w:t>in force for the facility,</w:t>
      </w:r>
      <w:r w:rsidR="00EE0E43">
        <w:rPr>
          <w:rFonts w:ascii="Times New Roman" w:hAnsi="Times New Roman" w:cs="Times New Roman"/>
          <w:sz w:val="24"/>
          <w:szCs w:val="24"/>
        </w:rPr>
        <w:t xml:space="preserve"> and</w:t>
      </w:r>
      <w:r>
        <w:rPr>
          <w:rFonts w:ascii="Times New Roman" w:hAnsi="Times New Roman" w:cs="Times New Roman"/>
          <w:sz w:val="24"/>
          <w:szCs w:val="24"/>
        </w:rPr>
        <w:t xml:space="preserve"> activities must be carried </w:t>
      </w:r>
      <w:r w:rsidR="00EE0E43">
        <w:rPr>
          <w:rFonts w:ascii="Times New Roman" w:hAnsi="Times New Roman" w:cs="Times New Roman"/>
          <w:sz w:val="24"/>
          <w:szCs w:val="24"/>
        </w:rPr>
        <w:t xml:space="preserve">out </w:t>
      </w:r>
      <w:r>
        <w:rPr>
          <w:rFonts w:ascii="Times New Roman" w:hAnsi="Times New Roman" w:cs="Times New Roman"/>
          <w:sz w:val="24"/>
          <w:szCs w:val="24"/>
        </w:rPr>
        <w:t xml:space="preserve">in a manner that complies with the safety case in force for the facility. </w:t>
      </w:r>
    </w:p>
    <w:p w14:paraId="1339C3DB" w14:textId="27E03F42"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0E6420F8" w14:textId="32518164" w:rsidR="00EF5477" w:rsidRDefault="00EF5477" w:rsidP="00EF5477">
      <w:pPr>
        <w:spacing w:before="360" w:after="120"/>
        <w:jc w:val="right"/>
        <w:rPr>
          <w:rFonts w:ascii="Times New Roman" w:hAnsi="Times New Roman" w:cs="Times New Roman"/>
          <w:b/>
          <w:sz w:val="28"/>
          <w:szCs w:val="28"/>
        </w:rPr>
      </w:pPr>
      <w:r>
        <w:rPr>
          <w:rFonts w:ascii="Times New Roman" w:hAnsi="Times New Roman" w:cs="Times New Roman"/>
          <w:b/>
          <w:sz w:val="28"/>
          <w:szCs w:val="28"/>
        </w:rPr>
        <w:lastRenderedPageBreak/>
        <w:t>Attachment B</w:t>
      </w:r>
      <w:bookmarkStart w:id="0" w:name="_GoBack"/>
      <w:bookmarkEnd w:id="0"/>
    </w:p>
    <w:p w14:paraId="2A1B731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7A1BEF1B"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1CB0DB44" w14:textId="72877018" w:rsidR="00547F8D" w:rsidRPr="00547F8D" w:rsidRDefault="007C07C8" w:rsidP="00547F8D">
      <w:pPr>
        <w:spacing w:before="240" w:after="240"/>
        <w:jc w:val="center"/>
        <w:rPr>
          <w:rFonts w:ascii="Times New Roman" w:hAnsi="Times New Roman" w:cs="Times New Roman"/>
          <w:i/>
          <w:sz w:val="24"/>
          <w:szCs w:val="24"/>
        </w:rPr>
      </w:pPr>
      <w:r>
        <w:rPr>
          <w:rFonts w:ascii="Times New Roman" w:hAnsi="Times New Roman" w:cs="Times New Roman"/>
          <w:i/>
          <w:sz w:val="24"/>
          <w:szCs w:val="24"/>
          <w:u w:val="single"/>
        </w:rPr>
        <w:t>Offshore Petroleum and Greenhouse Gas Storage Legislation Amendment (Titles Administration) Regulations 2021</w:t>
      </w:r>
    </w:p>
    <w:p w14:paraId="47D88E4E" w14:textId="5F8D75CB" w:rsidR="00547F8D" w:rsidRPr="00547F8D" w:rsidRDefault="007C07C8" w:rsidP="007C07C8">
      <w:pPr>
        <w:spacing w:before="240" w:after="240"/>
        <w:rPr>
          <w:rFonts w:ascii="Times New Roman" w:hAnsi="Times New Roman" w:cs="Times New Roman"/>
          <w:sz w:val="24"/>
          <w:szCs w:val="24"/>
        </w:rPr>
      </w:pPr>
      <w:r>
        <w:rPr>
          <w:rFonts w:ascii="Times New Roman" w:hAnsi="Times New Roman" w:cs="Times New Roman"/>
          <w:sz w:val="24"/>
          <w:szCs w:val="24"/>
        </w:rPr>
        <w:t>These</w:t>
      </w:r>
      <w:r w:rsidR="00547F8D" w:rsidRPr="00547F8D">
        <w:rPr>
          <w:rFonts w:ascii="Times New Roman" w:hAnsi="Times New Roman" w:cs="Times New Roman"/>
          <w:sz w:val="24"/>
          <w:szCs w:val="24"/>
        </w:rPr>
        <w:t xml:space="preserve"> </w:t>
      </w:r>
      <w:r>
        <w:rPr>
          <w:rFonts w:ascii="Times New Roman" w:hAnsi="Times New Roman" w:cs="Times New Roman"/>
          <w:sz w:val="24"/>
          <w:szCs w:val="24"/>
        </w:rPr>
        <w:t>Regulations are</w:t>
      </w:r>
      <w:r w:rsidR="00547F8D" w:rsidRPr="00547F8D">
        <w:rPr>
          <w:rFonts w:ascii="Times New Roman" w:hAnsi="Times New Roman" w:cs="Times New Roman"/>
          <w:sz w:val="24"/>
          <w:szCs w:val="24"/>
        </w:rPr>
        <w:t xml:space="preserve"> compatible with the human rights and freedoms recognised or declared in the international instruments listed in section 3 of the </w:t>
      </w:r>
      <w:r w:rsidR="00547F8D" w:rsidRPr="00547F8D">
        <w:rPr>
          <w:rFonts w:ascii="Times New Roman" w:hAnsi="Times New Roman" w:cs="Times New Roman"/>
          <w:i/>
          <w:sz w:val="24"/>
          <w:szCs w:val="24"/>
        </w:rPr>
        <w:t>Human Rights (Parliamentary Scrutiny) Act 2011</w:t>
      </w:r>
      <w:r w:rsidR="00547F8D" w:rsidRPr="00547F8D">
        <w:rPr>
          <w:rFonts w:ascii="Times New Roman" w:hAnsi="Times New Roman" w:cs="Times New Roman"/>
          <w:sz w:val="24"/>
          <w:szCs w:val="24"/>
        </w:rPr>
        <w:t>.</w:t>
      </w:r>
    </w:p>
    <w:p w14:paraId="59D80E91"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15696820" w14:textId="5E25D913" w:rsidR="004F1D8B" w:rsidRDefault="007C07C8" w:rsidP="00FC7F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7C07C8">
        <w:rPr>
          <w:rFonts w:ascii="Times New Roman" w:hAnsi="Times New Roman" w:cs="Times New Roman"/>
          <w:i/>
          <w:sz w:val="24"/>
          <w:szCs w:val="24"/>
        </w:rPr>
        <w:t>Offshore Petroleum and Greenhouse Gas Storage Legislation Amendment (Titles Administration) Regulations 2021</w:t>
      </w:r>
      <w:r>
        <w:rPr>
          <w:rFonts w:ascii="Times New Roman" w:hAnsi="Times New Roman" w:cs="Times New Roman"/>
          <w:i/>
          <w:sz w:val="24"/>
          <w:szCs w:val="24"/>
        </w:rPr>
        <w:t xml:space="preserve"> </w:t>
      </w:r>
      <w:r>
        <w:rPr>
          <w:rFonts w:ascii="Times New Roman" w:hAnsi="Times New Roman" w:cs="Times New Roman"/>
          <w:sz w:val="24"/>
          <w:szCs w:val="24"/>
        </w:rPr>
        <w:t xml:space="preserve">(the </w:t>
      </w:r>
      <w:r w:rsidR="000D56B9">
        <w:rPr>
          <w:rFonts w:ascii="Times New Roman" w:hAnsi="Times New Roman" w:cs="Times New Roman"/>
          <w:sz w:val="24"/>
          <w:szCs w:val="24"/>
        </w:rPr>
        <w:t>Amendment</w:t>
      </w:r>
      <w:r>
        <w:rPr>
          <w:rFonts w:ascii="Times New Roman" w:hAnsi="Times New Roman" w:cs="Times New Roman"/>
          <w:sz w:val="24"/>
          <w:szCs w:val="24"/>
        </w:rPr>
        <w:t xml:space="preserve"> Regulations) </w:t>
      </w:r>
      <w:r w:rsidR="004F1D8B">
        <w:rPr>
          <w:rFonts w:ascii="Times New Roman" w:hAnsi="Times New Roman" w:cs="Times New Roman"/>
          <w:sz w:val="24"/>
          <w:szCs w:val="24"/>
        </w:rPr>
        <w:t>amend regulations under</w:t>
      </w:r>
      <w:r>
        <w:rPr>
          <w:rFonts w:ascii="Times New Roman" w:hAnsi="Times New Roman" w:cs="Times New Roman"/>
          <w:sz w:val="24"/>
          <w:szCs w:val="24"/>
        </w:rPr>
        <w:t xml:space="preserve"> the </w:t>
      </w:r>
      <w:r w:rsidRPr="00E02E99">
        <w:rPr>
          <w:rFonts w:ascii="Times New Roman" w:hAnsi="Times New Roman" w:cs="Times New Roman"/>
          <w:i/>
          <w:sz w:val="24"/>
          <w:szCs w:val="24"/>
        </w:rPr>
        <w:t>Offshore Petroleum and Greenhouse Gas Storage</w:t>
      </w:r>
      <w:r w:rsidR="004F1D8B">
        <w:rPr>
          <w:rFonts w:ascii="Times New Roman" w:hAnsi="Times New Roman" w:cs="Times New Roman"/>
          <w:i/>
          <w:sz w:val="24"/>
          <w:szCs w:val="24"/>
        </w:rPr>
        <w:t xml:space="preserve"> Act 2006</w:t>
      </w:r>
      <w:r w:rsidRPr="00E02E99">
        <w:rPr>
          <w:rFonts w:ascii="Times New Roman" w:hAnsi="Times New Roman" w:cs="Times New Roman"/>
          <w:i/>
          <w:sz w:val="24"/>
          <w:szCs w:val="24"/>
        </w:rPr>
        <w:t xml:space="preserve"> </w:t>
      </w:r>
      <w:r w:rsidR="00E47763">
        <w:rPr>
          <w:rFonts w:ascii="Times New Roman" w:hAnsi="Times New Roman" w:cs="Times New Roman"/>
          <w:sz w:val="24"/>
          <w:szCs w:val="24"/>
        </w:rPr>
        <w:t xml:space="preserve">(the OPGGS Act) </w:t>
      </w:r>
      <w:r w:rsidR="00FF7181">
        <w:rPr>
          <w:rFonts w:ascii="Times New Roman" w:hAnsi="Times New Roman" w:cs="Times New Roman"/>
          <w:sz w:val="24"/>
          <w:szCs w:val="24"/>
        </w:rPr>
        <w:t xml:space="preserve">to </w:t>
      </w:r>
      <w:r w:rsidR="004F1D8B">
        <w:rPr>
          <w:rFonts w:ascii="Times New Roman" w:hAnsi="Times New Roman" w:cs="Times New Roman"/>
          <w:sz w:val="24"/>
          <w:szCs w:val="24"/>
        </w:rPr>
        <w:t xml:space="preserve">fully </w:t>
      </w:r>
      <w:r>
        <w:rPr>
          <w:rFonts w:ascii="Times New Roman" w:hAnsi="Times New Roman" w:cs="Times New Roman"/>
          <w:sz w:val="24"/>
          <w:szCs w:val="24"/>
        </w:rPr>
        <w:t xml:space="preserve">implement </w:t>
      </w:r>
      <w:r w:rsidR="00FF7181">
        <w:rPr>
          <w:rFonts w:ascii="Times New Roman" w:hAnsi="Times New Roman" w:cs="Times New Roman"/>
          <w:sz w:val="24"/>
          <w:szCs w:val="24"/>
        </w:rPr>
        <w:t xml:space="preserve">two </w:t>
      </w:r>
      <w:r>
        <w:rPr>
          <w:rFonts w:ascii="Times New Roman" w:hAnsi="Times New Roman" w:cs="Times New Roman"/>
          <w:sz w:val="24"/>
          <w:szCs w:val="24"/>
        </w:rPr>
        <w:t xml:space="preserve">measures </w:t>
      </w:r>
      <w:r w:rsidR="004F1D8B">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7C07C8">
        <w:rPr>
          <w:rFonts w:ascii="Times New Roman" w:hAnsi="Times New Roman" w:cs="Times New Roman"/>
          <w:i/>
          <w:sz w:val="24"/>
          <w:szCs w:val="24"/>
        </w:rPr>
        <w:t xml:space="preserve">Offshore Petroleum and Greenhouse Gas Storage </w:t>
      </w:r>
      <w:r w:rsidR="004F1D8B">
        <w:rPr>
          <w:rFonts w:ascii="Times New Roman" w:hAnsi="Times New Roman" w:cs="Times New Roman"/>
          <w:i/>
          <w:sz w:val="24"/>
          <w:szCs w:val="24"/>
        </w:rPr>
        <w:t xml:space="preserve">Amendment (Titles Administration and Other Measures) </w:t>
      </w:r>
      <w:r w:rsidRPr="007C07C8">
        <w:rPr>
          <w:rFonts w:ascii="Times New Roman" w:hAnsi="Times New Roman" w:cs="Times New Roman"/>
          <w:i/>
          <w:sz w:val="24"/>
          <w:szCs w:val="24"/>
        </w:rPr>
        <w:t xml:space="preserve">Act </w:t>
      </w:r>
      <w:r w:rsidR="004F1D8B" w:rsidRPr="007C07C8">
        <w:rPr>
          <w:rFonts w:ascii="Times New Roman" w:hAnsi="Times New Roman" w:cs="Times New Roman"/>
          <w:i/>
          <w:sz w:val="24"/>
          <w:szCs w:val="24"/>
        </w:rPr>
        <w:t>20</w:t>
      </w:r>
      <w:r w:rsidR="004F1D8B">
        <w:rPr>
          <w:rFonts w:ascii="Times New Roman" w:hAnsi="Times New Roman" w:cs="Times New Roman"/>
          <w:i/>
          <w:sz w:val="24"/>
          <w:szCs w:val="24"/>
        </w:rPr>
        <w:t>21</w:t>
      </w:r>
      <w:r w:rsidR="00E47763">
        <w:rPr>
          <w:rFonts w:ascii="Times New Roman" w:hAnsi="Times New Roman" w:cs="Times New Roman"/>
          <w:sz w:val="24"/>
          <w:szCs w:val="24"/>
        </w:rPr>
        <w:t>,</w:t>
      </w:r>
      <w:r w:rsidR="00E47763">
        <w:rPr>
          <w:rFonts w:ascii="Times New Roman" w:hAnsi="Times New Roman" w:cs="Times New Roman"/>
          <w:i/>
          <w:sz w:val="24"/>
          <w:szCs w:val="24"/>
        </w:rPr>
        <w:t xml:space="preserve"> </w:t>
      </w:r>
      <w:r w:rsidR="004F1D8B">
        <w:rPr>
          <w:rFonts w:ascii="Times New Roman" w:hAnsi="Times New Roman" w:cs="Times New Roman"/>
          <w:sz w:val="24"/>
          <w:szCs w:val="24"/>
        </w:rPr>
        <w:t xml:space="preserve">being </w:t>
      </w:r>
      <w:r w:rsidR="00FF7181">
        <w:rPr>
          <w:rFonts w:ascii="Times New Roman" w:hAnsi="Times New Roman" w:cs="Times New Roman"/>
          <w:sz w:val="24"/>
          <w:szCs w:val="24"/>
        </w:rPr>
        <w:t>changes in control of titleholders and trailing liability</w:t>
      </w:r>
      <w:r w:rsidR="00C75172">
        <w:rPr>
          <w:rFonts w:ascii="Times New Roman" w:hAnsi="Times New Roman" w:cs="Times New Roman"/>
          <w:sz w:val="24"/>
          <w:szCs w:val="24"/>
        </w:rPr>
        <w:t>.</w:t>
      </w:r>
      <w:r w:rsidR="00861688">
        <w:rPr>
          <w:rFonts w:ascii="Times New Roman" w:hAnsi="Times New Roman" w:cs="Times New Roman"/>
          <w:sz w:val="24"/>
          <w:szCs w:val="24"/>
        </w:rPr>
        <w:t xml:space="preserve"> </w:t>
      </w:r>
    </w:p>
    <w:p w14:paraId="10ED6DC8" w14:textId="5AE5F067" w:rsidR="00E47763" w:rsidRDefault="00E47763" w:rsidP="00E47763">
      <w:pPr>
        <w:spacing w:before="120" w:after="120"/>
        <w:rPr>
          <w:rFonts w:ascii="Times New Roman" w:hAnsi="Times New Roman" w:cs="Times New Roman"/>
          <w:sz w:val="24"/>
          <w:szCs w:val="24"/>
        </w:rPr>
      </w:pPr>
      <w:r>
        <w:rPr>
          <w:rFonts w:ascii="Times New Roman" w:hAnsi="Times New Roman" w:cs="Times New Roman"/>
          <w:sz w:val="24"/>
          <w:szCs w:val="24"/>
        </w:rPr>
        <w:t xml:space="preserve">The changes in control of titleholders measure provides the Australian Government with </w:t>
      </w:r>
      <w:r w:rsidR="004B2F4A" w:rsidRPr="00FC7F01">
        <w:rPr>
          <w:rFonts w:ascii="Times New Roman" w:hAnsi="Times New Roman" w:cs="Times New Roman"/>
          <w:sz w:val="24"/>
          <w:szCs w:val="24"/>
        </w:rPr>
        <w:t xml:space="preserve">oversight of transactions involving a change in control of </w:t>
      </w:r>
      <w:r>
        <w:rPr>
          <w:rFonts w:ascii="Times New Roman" w:hAnsi="Times New Roman" w:cs="Times New Roman"/>
          <w:sz w:val="24"/>
          <w:szCs w:val="24"/>
        </w:rPr>
        <w:t xml:space="preserve">a </w:t>
      </w:r>
      <w:r w:rsidR="004B2F4A" w:rsidRPr="00FC7F01">
        <w:rPr>
          <w:rFonts w:ascii="Times New Roman" w:hAnsi="Times New Roman" w:cs="Times New Roman"/>
          <w:sz w:val="24"/>
          <w:szCs w:val="24"/>
        </w:rPr>
        <w:t>titleholder</w:t>
      </w:r>
      <w:r w:rsidR="00CC7D5D" w:rsidRPr="00FC7F01">
        <w:rPr>
          <w:rFonts w:ascii="Times New Roman" w:hAnsi="Times New Roman" w:cs="Times New Roman"/>
          <w:sz w:val="24"/>
          <w:szCs w:val="24"/>
        </w:rPr>
        <w:t xml:space="preserve"> to ensure</w:t>
      </w:r>
      <w:r w:rsidR="004B2F4A" w:rsidRPr="00FC7F01">
        <w:rPr>
          <w:rFonts w:ascii="Times New Roman" w:hAnsi="Times New Roman" w:cs="Times New Roman"/>
          <w:sz w:val="24"/>
          <w:szCs w:val="24"/>
        </w:rPr>
        <w:t xml:space="preserve"> that </w:t>
      </w:r>
      <w:r>
        <w:rPr>
          <w:rFonts w:ascii="Times New Roman" w:hAnsi="Times New Roman" w:cs="Times New Roman"/>
          <w:sz w:val="24"/>
          <w:szCs w:val="24"/>
        </w:rPr>
        <w:t>the title</w:t>
      </w:r>
      <w:r w:rsidR="00957281">
        <w:rPr>
          <w:rFonts w:ascii="Times New Roman" w:hAnsi="Times New Roman" w:cs="Times New Roman"/>
          <w:sz w:val="24"/>
          <w:szCs w:val="24"/>
        </w:rPr>
        <w:t>holder</w:t>
      </w:r>
      <w:r w:rsidR="004B2F4A" w:rsidRPr="00FC7F01">
        <w:rPr>
          <w:rFonts w:ascii="Times New Roman" w:hAnsi="Times New Roman" w:cs="Times New Roman"/>
          <w:sz w:val="24"/>
          <w:szCs w:val="24"/>
        </w:rPr>
        <w:t xml:space="preserve"> </w:t>
      </w:r>
      <w:r>
        <w:rPr>
          <w:rFonts w:ascii="Times New Roman" w:hAnsi="Times New Roman" w:cs="Times New Roman"/>
          <w:sz w:val="24"/>
          <w:szCs w:val="24"/>
        </w:rPr>
        <w:t>remains</w:t>
      </w:r>
      <w:r w:rsidR="004B2F4A" w:rsidRPr="00FC7F01">
        <w:rPr>
          <w:rFonts w:ascii="Times New Roman" w:hAnsi="Times New Roman" w:cs="Times New Roman"/>
          <w:sz w:val="24"/>
          <w:szCs w:val="24"/>
        </w:rPr>
        <w:t xml:space="preserve"> suitable (including technically and financially capable) to carry out their activities under a title</w:t>
      </w:r>
      <w:r>
        <w:rPr>
          <w:rFonts w:ascii="Times New Roman" w:hAnsi="Times New Roman" w:cs="Times New Roman"/>
          <w:sz w:val="24"/>
          <w:szCs w:val="24"/>
        </w:rPr>
        <w:t xml:space="preserve"> </w:t>
      </w:r>
      <w:r w:rsidR="00957281">
        <w:rPr>
          <w:rFonts w:ascii="Times New Roman" w:hAnsi="Times New Roman" w:cs="Times New Roman"/>
          <w:sz w:val="24"/>
          <w:szCs w:val="24"/>
        </w:rPr>
        <w:t>after</w:t>
      </w:r>
      <w:r>
        <w:rPr>
          <w:rFonts w:ascii="Times New Roman" w:hAnsi="Times New Roman" w:cs="Times New Roman"/>
          <w:sz w:val="24"/>
          <w:szCs w:val="24"/>
        </w:rPr>
        <w:t xml:space="preserve"> the transaction. The </w:t>
      </w:r>
      <w:r w:rsidR="00D41890">
        <w:rPr>
          <w:rFonts w:ascii="Times New Roman" w:hAnsi="Times New Roman" w:cs="Times New Roman"/>
          <w:sz w:val="24"/>
          <w:szCs w:val="24"/>
        </w:rPr>
        <w:t>Amendment</w:t>
      </w:r>
      <w:r>
        <w:rPr>
          <w:rFonts w:ascii="Times New Roman" w:hAnsi="Times New Roman" w:cs="Times New Roman"/>
          <w:sz w:val="24"/>
          <w:szCs w:val="24"/>
        </w:rPr>
        <w:t xml:space="preserve"> Regulations amend the </w:t>
      </w:r>
      <w:r w:rsidRPr="00FC7F01">
        <w:rPr>
          <w:rFonts w:ascii="Times New Roman" w:hAnsi="Times New Roman" w:cs="Times New Roman"/>
          <w:i/>
          <w:sz w:val="24"/>
          <w:szCs w:val="24"/>
        </w:rPr>
        <w:t>Offshore Petroleum and Greenhouse Gas Storage (Resource Management and Administration) Regulations 2011</w:t>
      </w:r>
      <w:r>
        <w:rPr>
          <w:rFonts w:ascii="Times New Roman" w:hAnsi="Times New Roman" w:cs="Times New Roman"/>
          <w:sz w:val="24"/>
          <w:szCs w:val="24"/>
        </w:rPr>
        <w:t xml:space="preserve"> to prescribe the fee payable under </w:t>
      </w:r>
      <w:r w:rsidR="00957281">
        <w:rPr>
          <w:rFonts w:ascii="Times New Roman" w:hAnsi="Times New Roman" w:cs="Times New Roman"/>
          <w:sz w:val="24"/>
          <w:szCs w:val="24"/>
        </w:rPr>
        <w:t xml:space="preserve">section 566M </w:t>
      </w:r>
      <w:r>
        <w:rPr>
          <w:rFonts w:ascii="Times New Roman" w:hAnsi="Times New Roman" w:cs="Times New Roman"/>
          <w:sz w:val="24"/>
          <w:szCs w:val="24"/>
        </w:rPr>
        <w:t xml:space="preserve">of the OPGGS Act for an application for </w:t>
      </w:r>
      <w:r w:rsidRPr="002A0948">
        <w:rPr>
          <w:rFonts w:ascii="Times New Roman" w:hAnsi="Times New Roman" w:cs="Times New Roman"/>
          <w:sz w:val="24"/>
          <w:szCs w:val="24"/>
        </w:rPr>
        <w:t>the approval of a change in control of a titleholder</w:t>
      </w:r>
      <w:r>
        <w:rPr>
          <w:rFonts w:ascii="Times New Roman" w:hAnsi="Times New Roman" w:cs="Times New Roman"/>
          <w:sz w:val="24"/>
          <w:szCs w:val="24"/>
        </w:rPr>
        <w:t xml:space="preserve">. </w:t>
      </w:r>
    </w:p>
    <w:p w14:paraId="35E3D68B" w14:textId="245A5936" w:rsidR="00DA5A25" w:rsidRDefault="00E47763" w:rsidP="00E47763">
      <w:pPr>
        <w:spacing w:before="120" w:after="120"/>
        <w:rPr>
          <w:rFonts w:ascii="Times New Roman" w:hAnsi="Times New Roman" w:cs="Times New Roman"/>
          <w:sz w:val="24"/>
          <w:szCs w:val="24"/>
        </w:rPr>
      </w:pPr>
      <w:r>
        <w:rPr>
          <w:rFonts w:ascii="Times New Roman" w:hAnsi="Times New Roman" w:cs="Times New Roman"/>
          <w:sz w:val="24"/>
          <w:szCs w:val="24"/>
        </w:rPr>
        <w:t>The trailing liability measure empowers the</w:t>
      </w:r>
      <w:r w:rsidR="00CC7D5D">
        <w:rPr>
          <w:rFonts w:ascii="Times New Roman" w:hAnsi="Times New Roman" w:cs="Times New Roman"/>
          <w:sz w:val="24"/>
          <w:szCs w:val="24"/>
        </w:rPr>
        <w:t xml:space="preserve"> </w:t>
      </w:r>
      <w:r w:rsidR="004B2F4A" w:rsidRPr="00CC7D5D">
        <w:rPr>
          <w:rFonts w:ascii="Times New Roman" w:hAnsi="Times New Roman" w:cs="Times New Roman"/>
          <w:sz w:val="24"/>
          <w:szCs w:val="24"/>
        </w:rPr>
        <w:t>N</w:t>
      </w:r>
      <w:r>
        <w:rPr>
          <w:rFonts w:ascii="Times New Roman" w:hAnsi="Times New Roman" w:cs="Times New Roman"/>
          <w:sz w:val="24"/>
          <w:szCs w:val="24"/>
        </w:rPr>
        <w:t xml:space="preserve">ational </w:t>
      </w:r>
      <w:r w:rsidR="004B2F4A" w:rsidRPr="00CC7D5D">
        <w:rPr>
          <w:rFonts w:ascii="Times New Roman" w:hAnsi="Times New Roman" w:cs="Times New Roman"/>
          <w:sz w:val="24"/>
          <w:szCs w:val="24"/>
        </w:rPr>
        <w:t>O</w:t>
      </w:r>
      <w:r>
        <w:rPr>
          <w:rFonts w:ascii="Times New Roman" w:hAnsi="Times New Roman" w:cs="Times New Roman"/>
          <w:sz w:val="24"/>
          <w:szCs w:val="24"/>
        </w:rPr>
        <w:t xml:space="preserve">ffshore </w:t>
      </w:r>
      <w:r w:rsidR="004B2F4A" w:rsidRPr="00CC7D5D">
        <w:rPr>
          <w:rFonts w:ascii="Times New Roman" w:hAnsi="Times New Roman" w:cs="Times New Roman"/>
          <w:sz w:val="24"/>
          <w:szCs w:val="24"/>
        </w:rPr>
        <w:t>P</w:t>
      </w:r>
      <w:r>
        <w:rPr>
          <w:rFonts w:ascii="Times New Roman" w:hAnsi="Times New Roman" w:cs="Times New Roman"/>
          <w:sz w:val="24"/>
          <w:szCs w:val="24"/>
        </w:rPr>
        <w:t xml:space="preserve">etroleum </w:t>
      </w:r>
      <w:r w:rsidR="004B2F4A" w:rsidRPr="00CC7D5D">
        <w:rPr>
          <w:rFonts w:ascii="Times New Roman" w:hAnsi="Times New Roman" w:cs="Times New Roman"/>
          <w:sz w:val="24"/>
          <w:szCs w:val="24"/>
        </w:rPr>
        <w:t>S</w:t>
      </w:r>
      <w:r>
        <w:rPr>
          <w:rFonts w:ascii="Times New Roman" w:hAnsi="Times New Roman" w:cs="Times New Roman"/>
          <w:sz w:val="24"/>
          <w:szCs w:val="24"/>
        </w:rPr>
        <w:t xml:space="preserve">afety and </w:t>
      </w:r>
      <w:r w:rsidR="004B2F4A" w:rsidRPr="00CC7D5D">
        <w:rPr>
          <w:rFonts w:ascii="Times New Roman" w:hAnsi="Times New Roman" w:cs="Times New Roman"/>
          <w:sz w:val="24"/>
          <w:szCs w:val="24"/>
        </w:rPr>
        <w:t>E</w:t>
      </w:r>
      <w:r>
        <w:rPr>
          <w:rFonts w:ascii="Times New Roman" w:hAnsi="Times New Roman" w:cs="Times New Roman"/>
          <w:sz w:val="24"/>
          <w:szCs w:val="24"/>
        </w:rPr>
        <w:t xml:space="preserve">nvironmental </w:t>
      </w:r>
      <w:r w:rsidR="004B2F4A" w:rsidRPr="00CC7D5D">
        <w:rPr>
          <w:rFonts w:ascii="Times New Roman" w:hAnsi="Times New Roman" w:cs="Times New Roman"/>
          <w:sz w:val="24"/>
          <w:szCs w:val="24"/>
        </w:rPr>
        <w:t>M</w:t>
      </w:r>
      <w:r>
        <w:rPr>
          <w:rFonts w:ascii="Times New Roman" w:hAnsi="Times New Roman" w:cs="Times New Roman"/>
          <w:sz w:val="24"/>
          <w:szCs w:val="24"/>
        </w:rPr>
        <w:t xml:space="preserve">anagement </w:t>
      </w:r>
      <w:r w:rsidR="004B2F4A" w:rsidRPr="00CC7D5D">
        <w:rPr>
          <w:rFonts w:ascii="Times New Roman" w:hAnsi="Times New Roman" w:cs="Times New Roman"/>
          <w:sz w:val="24"/>
          <w:szCs w:val="24"/>
        </w:rPr>
        <w:t>A</w:t>
      </w:r>
      <w:r>
        <w:rPr>
          <w:rFonts w:ascii="Times New Roman" w:hAnsi="Times New Roman" w:cs="Times New Roman"/>
          <w:sz w:val="24"/>
          <w:szCs w:val="24"/>
        </w:rPr>
        <w:t>uthority</w:t>
      </w:r>
      <w:r w:rsidR="004B2F4A" w:rsidRPr="00CC7D5D">
        <w:rPr>
          <w:rFonts w:ascii="Times New Roman" w:hAnsi="Times New Roman" w:cs="Times New Roman"/>
          <w:sz w:val="24"/>
          <w:szCs w:val="24"/>
        </w:rPr>
        <w:t xml:space="preserve"> and the resp</w:t>
      </w:r>
      <w:r w:rsidR="00CC7D5D" w:rsidRPr="00CC7D5D">
        <w:rPr>
          <w:rFonts w:ascii="Times New Roman" w:hAnsi="Times New Roman" w:cs="Times New Roman"/>
          <w:sz w:val="24"/>
          <w:szCs w:val="24"/>
        </w:rPr>
        <w:t>onsible Commonwealth Minister to issue</w:t>
      </w:r>
      <w:r w:rsidR="004B2F4A" w:rsidRPr="00CC7D5D">
        <w:rPr>
          <w:rFonts w:ascii="Times New Roman" w:hAnsi="Times New Roman" w:cs="Times New Roman"/>
          <w:sz w:val="24"/>
          <w:szCs w:val="24"/>
        </w:rPr>
        <w:t xml:space="preserve"> remedial directions to </w:t>
      </w:r>
      <w:r w:rsidR="00CC7D5D" w:rsidRPr="00CC7D5D">
        <w:rPr>
          <w:rFonts w:ascii="Times New Roman" w:hAnsi="Times New Roman" w:cs="Times New Roman"/>
          <w:sz w:val="24"/>
          <w:szCs w:val="24"/>
        </w:rPr>
        <w:t xml:space="preserve">a broader range of persons in addition to </w:t>
      </w:r>
      <w:r w:rsidR="004B2F4A" w:rsidRPr="00CC7D5D">
        <w:rPr>
          <w:rFonts w:ascii="Times New Roman" w:hAnsi="Times New Roman" w:cs="Times New Roman"/>
          <w:sz w:val="24"/>
          <w:szCs w:val="24"/>
        </w:rPr>
        <w:t>the current or immediate former titleholder</w:t>
      </w:r>
      <w:r w:rsidR="002003A9">
        <w:rPr>
          <w:rFonts w:ascii="Times New Roman" w:hAnsi="Times New Roman" w:cs="Times New Roman"/>
          <w:sz w:val="24"/>
          <w:szCs w:val="24"/>
        </w:rPr>
        <w:t>. The measure aims</w:t>
      </w:r>
      <w:r w:rsidR="004B2F4A" w:rsidRPr="00CC7D5D">
        <w:rPr>
          <w:rFonts w:ascii="Times New Roman" w:hAnsi="Times New Roman" w:cs="Times New Roman"/>
          <w:sz w:val="24"/>
          <w:szCs w:val="24"/>
        </w:rPr>
        <w:t xml:space="preserve"> </w:t>
      </w:r>
      <w:r w:rsidR="00CC7D5D" w:rsidRPr="00CC7D5D">
        <w:rPr>
          <w:rFonts w:ascii="Times New Roman" w:hAnsi="Times New Roman" w:cs="Times New Roman"/>
          <w:sz w:val="24"/>
          <w:szCs w:val="24"/>
        </w:rPr>
        <w:t>to ensure that</w:t>
      </w:r>
      <w:r>
        <w:rPr>
          <w:rFonts w:ascii="Times New Roman" w:hAnsi="Times New Roman" w:cs="Times New Roman"/>
          <w:sz w:val="24"/>
          <w:szCs w:val="24"/>
        </w:rPr>
        <w:t>, if</w:t>
      </w:r>
      <w:r w:rsidR="00CC7D5D" w:rsidRPr="00CC7D5D">
        <w:rPr>
          <w:rFonts w:ascii="Times New Roman" w:hAnsi="Times New Roman" w:cs="Times New Roman"/>
          <w:sz w:val="24"/>
          <w:szCs w:val="24"/>
        </w:rPr>
        <w:t xml:space="preserve"> a titleholder is </w:t>
      </w:r>
      <w:r>
        <w:rPr>
          <w:rFonts w:ascii="Times New Roman" w:hAnsi="Times New Roman" w:cs="Times New Roman"/>
          <w:sz w:val="24"/>
          <w:szCs w:val="24"/>
        </w:rPr>
        <w:t>un</w:t>
      </w:r>
      <w:r w:rsidR="00CC7D5D" w:rsidRPr="00CC7D5D">
        <w:rPr>
          <w:rFonts w:ascii="Times New Roman" w:hAnsi="Times New Roman" w:cs="Times New Roman"/>
          <w:sz w:val="24"/>
          <w:szCs w:val="24"/>
        </w:rPr>
        <w:t xml:space="preserve">able to meet its decommissioning obligations </w:t>
      </w:r>
      <w:r w:rsidR="002003A9">
        <w:rPr>
          <w:rFonts w:ascii="Times New Roman" w:hAnsi="Times New Roman" w:cs="Times New Roman"/>
          <w:sz w:val="24"/>
          <w:szCs w:val="24"/>
        </w:rPr>
        <w:t xml:space="preserve">and other regulatory options have been exhausted, </w:t>
      </w:r>
      <w:r w:rsidR="00CC7D5D" w:rsidRPr="00CC7D5D">
        <w:rPr>
          <w:rFonts w:ascii="Times New Roman" w:hAnsi="Times New Roman" w:cs="Times New Roman"/>
          <w:sz w:val="24"/>
          <w:szCs w:val="24"/>
        </w:rPr>
        <w:t>the costs of decommissioning remain with those who held the title</w:t>
      </w:r>
      <w:r>
        <w:rPr>
          <w:rFonts w:ascii="Times New Roman" w:hAnsi="Times New Roman" w:cs="Times New Roman"/>
          <w:sz w:val="24"/>
          <w:szCs w:val="24"/>
        </w:rPr>
        <w:t>,</w:t>
      </w:r>
      <w:r w:rsidR="00CC7D5D" w:rsidRPr="00CC7D5D">
        <w:rPr>
          <w:rFonts w:ascii="Times New Roman" w:hAnsi="Times New Roman" w:cs="Times New Roman"/>
          <w:sz w:val="24"/>
          <w:szCs w:val="24"/>
        </w:rPr>
        <w:t xml:space="preserve"> or become the responsibility of those who significantly benefited financially from or influenced operations under the title, rather than falling to Australian taxpayers.</w:t>
      </w:r>
      <w:r>
        <w:rPr>
          <w:rFonts w:ascii="Times New Roman" w:hAnsi="Times New Roman" w:cs="Times New Roman"/>
          <w:sz w:val="24"/>
          <w:szCs w:val="24"/>
        </w:rPr>
        <w:t xml:space="preserve"> The </w:t>
      </w:r>
      <w:r w:rsidR="00D41890">
        <w:rPr>
          <w:rFonts w:ascii="Times New Roman" w:hAnsi="Times New Roman" w:cs="Times New Roman"/>
          <w:sz w:val="24"/>
          <w:szCs w:val="24"/>
        </w:rPr>
        <w:t>Amendment</w:t>
      </w:r>
      <w:r>
        <w:rPr>
          <w:rFonts w:ascii="Times New Roman" w:hAnsi="Times New Roman" w:cs="Times New Roman"/>
          <w:sz w:val="24"/>
          <w:szCs w:val="24"/>
        </w:rPr>
        <w:t xml:space="preserve"> Regulations amend regulations under the OPGGS Act </w:t>
      </w:r>
      <w:r w:rsidR="00FC7F01">
        <w:rPr>
          <w:rFonts w:ascii="Times New Roman" w:hAnsi="Times New Roman" w:cs="Times New Roman"/>
          <w:sz w:val="24"/>
          <w:szCs w:val="24"/>
        </w:rPr>
        <w:t>so that th</w:t>
      </w:r>
      <w:r w:rsidR="002003A9">
        <w:rPr>
          <w:rFonts w:ascii="Times New Roman" w:hAnsi="Times New Roman" w:cs="Times New Roman"/>
          <w:sz w:val="24"/>
          <w:szCs w:val="24"/>
        </w:rPr>
        <w:t>ose</w:t>
      </w:r>
      <w:r w:rsidR="00FC7F01">
        <w:rPr>
          <w:rFonts w:ascii="Times New Roman" w:hAnsi="Times New Roman" w:cs="Times New Roman"/>
          <w:sz w:val="24"/>
          <w:szCs w:val="24"/>
        </w:rPr>
        <w:t xml:space="preserve"> regulations</w:t>
      </w:r>
      <w:r>
        <w:rPr>
          <w:rFonts w:ascii="Times New Roman" w:hAnsi="Times New Roman" w:cs="Times New Roman"/>
          <w:sz w:val="24"/>
          <w:szCs w:val="24"/>
        </w:rPr>
        <w:t xml:space="preserve"> apply in relation to </w:t>
      </w:r>
      <w:r w:rsidR="002003A9">
        <w:rPr>
          <w:rFonts w:ascii="Times New Roman" w:hAnsi="Times New Roman" w:cs="Times New Roman"/>
          <w:sz w:val="24"/>
          <w:szCs w:val="24"/>
        </w:rPr>
        <w:t xml:space="preserve">activities undertaken for the purpose of complying with </w:t>
      </w:r>
      <w:r>
        <w:rPr>
          <w:rFonts w:ascii="Times New Roman" w:hAnsi="Times New Roman" w:cs="Times New Roman"/>
          <w:sz w:val="24"/>
          <w:szCs w:val="24"/>
        </w:rPr>
        <w:t>remedial directions</w:t>
      </w:r>
      <w:r w:rsidR="00957281">
        <w:rPr>
          <w:rFonts w:ascii="Times New Roman" w:hAnsi="Times New Roman" w:cs="Times New Roman"/>
          <w:sz w:val="24"/>
          <w:szCs w:val="24"/>
        </w:rPr>
        <w:t xml:space="preserve"> in the same way that they apply to </w:t>
      </w:r>
      <w:r w:rsidR="002003A9">
        <w:rPr>
          <w:rFonts w:ascii="Times New Roman" w:hAnsi="Times New Roman" w:cs="Times New Roman"/>
          <w:sz w:val="24"/>
          <w:szCs w:val="24"/>
        </w:rPr>
        <w:t xml:space="preserve">activities carried out by </w:t>
      </w:r>
      <w:r w:rsidR="00957281">
        <w:rPr>
          <w:rFonts w:ascii="Times New Roman" w:hAnsi="Times New Roman" w:cs="Times New Roman"/>
          <w:sz w:val="24"/>
          <w:szCs w:val="24"/>
        </w:rPr>
        <w:t>titleholders and other regulated entities</w:t>
      </w:r>
      <w:r w:rsidR="00FC7F01">
        <w:rPr>
          <w:rFonts w:ascii="Times New Roman" w:hAnsi="Times New Roman" w:cs="Times New Roman"/>
          <w:sz w:val="24"/>
          <w:szCs w:val="24"/>
        </w:rPr>
        <w:t xml:space="preserve">. This </w:t>
      </w:r>
      <w:r>
        <w:rPr>
          <w:rFonts w:ascii="Times New Roman" w:hAnsi="Times New Roman" w:cs="Times New Roman"/>
          <w:sz w:val="24"/>
          <w:szCs w:val="24"/>
        </w:rPr>
        <w:t>ensure</w:t>
      </w:r>
      <w:r w:rsidR="00957281">
        <w:rPr>
          <w:rFonts w:ascii="Times New Roman" w:hAnsi="Times New Roman" w:cs="Times New Roman"/>
          <w:sz w:val="24"/>
          <w:szCs w:val="24"/>
        </w:rPr>
        <w:t>s</w:t>
      </w:r>
      <w:r>
        <w:rPr>
          <w:rFonts w:ascii="Times New Roman" w:hAnsi="Times New Roman" w:cs="Times New Roman"/>
          <w:sz w:val="24"/>
          <w:szCs w:val="24"/>
        </w:rPr>
        <w:t xml:space="preserve"> that</w:t>
      </w:r>
      <w:r w:rsidR="00957281">
        <w:rPr>
          <w:rFonts w:ascii="Times New Roman" w:hAnsi="Times New Roman" w:cs="Times New Roman"/>
          <w:sz w:val="24"/>
          <w:szCs w:val="24"/>
        </w:rPr>
        <w:t xml:space="preserve"> there is regulatory oversight of</w:t>
      </w:r>
      <w:r>
        <w:rPr>
          <w:rFonts w:ascii="Times New Roman" w:hAnsi="Times New Roman" w:cs="Times New Roman"/>
          <w:sz w:val="24"/>
          <w:szCs w:val="24"/>
        </w:rPr>
        <w:t xml:space="preserve"> the decommissioning and </w:t>
      </w:r>
      <w:r w:rsidR="00D578DB">
        <w:rPr>
          <w:rFonts w:ascii="Times New Roman" w:hAnsi="Times New Roman" w:cs="Times New Roman"/>
          <w:sz w:val="24"/>
          <w:szCs w:val="24"/>
        </w:rPr>
        <w:t xml:space="preserve">remediation </w:t>
      </w:r>
      <w:r>
        <w:rPr>
          <w:rFonts w:ascii="Times New Roman" w:hAnsi="Times New Roman" w:cs="Times New Roman"/>
          <w:sz w:val="24"/>
          <w:szCs w:val="24"/>
        </w:rPr>
        <w:t xml:space="preserve">works that are </w:t>
      </w:r>
      <w:r w:rsidR="00957281">
        <w:rPr>
          <w:rFonts w:ascii="Times New Roman" w:hAnsi="Times New Roman" w:cs="Times New Roman"/>
          <w:sz w:val="24"/>
          <w:szCs w:val="24"/>
        </w:rPr>
        <w:t xml:space="preserve">undertaken </w:t>
      </w:r>
      <w:r>
        <w:rPr>
          <w:rFonts w:ascii="Times New Roman" w:hAnsi="Times New Roman" w:cs="Times New Roman"/>
          <w:sz w:val="24"/>
          <w:szCs w:val="24"/>
        </w:rPr>
        <w:t>to comply with a remedial direction</w:t>
      </w:r>
      <w:r w:rsidR="00957281">
        <w:rPr>
          <w:rFonts w:ascii="Times New Roman" w:hAnsi="Times New Roman" w:cs="Times New Roman"/>
          <w:sz w:val="24"/>
          <w:szCs w:val="24"/>
        </w:rPr>
        <w:t xml:space="preserve"> in order</w:t>
      </w:r>
      <w:r w:rsidR="00957281" w:rsidRPr="003F3EF7">
        <w:rPr>
          <w:rFonts w:ascii="Times New Roman" w:hAnsi="Times New Roman" w:cs="Times New Roman"/>
          <w:sz w:val="24"/>
          <w:szCs w:val="24"/>
        </w:rPr>
        <w:t xml:space="preserve"> </w:t>
      </w:r>
      <w:r w:rsidR="00957281">
        <w:rPr>
          <w:rFonts w:ascii="Times New Roman" w:hAnsi="Times New Roman" w:cs="Times New Roman"/>
          <w:sz w:val="24"/>
          <w:szCs w:val="24"/>
        </w:rPr>
        <w:t xml:space="preserve">to </w:t>
      </w:r>
      <w:r w:rsidR="00957281" w:rsidRPr="003F3EF7">
        <w:rPr>
          <w:rFonts w:ascii="Times New Roman" w:hAnsi="Times New Roman" w:cs="Times New Roman"/>
          <w:sz w:val="24"/>
          <w:szCs w:val="24"/>
        </w:rPr>
        <w:t xml:space="preserve">manage risks to </w:t>
      </w:r>
      <w:r w:rsidR="00957281">
        <w:rPr>
          <w:rFonts w:ascii="Times New Roman" w:hAnsi="Times New Roman" w:cs="Times New Roman"/>
          <w:sz w:val="24"/>
          <w:szCs w:val="24"/>
        </w:rPr>
        <w:t>safety, well integrity and the environment.</w:t>
      </w:r>
    </w:p>
    <w:p w14:paraId="1836D4E7" w14:textId="77777777" w:rsidR="00547F8D" w:rsidRPr="00547F8D" w:rsidRDefault="00547F8D" w:rsidP="00401CF3">
      <w:pPr>
        <w:keepNext/>
        <w:spacing w:before="240" w:after="240"/>
        <w:rPr>
          <w:rFonts w:ascii="Times New Roman" w:hAnsi="Times New Roman" w:cs="Times New Roman"/>
          <w:b/>
          <w:sz w:val="24"/>
          <w:szCs w:val="24"/>
        </w:rPr>
      </w:pPr>
      <w:r w:rsidRPr="00547F8D">
        <w:rPr>
          <w:rFonts w:ascii="Times New Roman" w:hAnsi="Times New Roman" w:cs="Times New Roman"/>
          <w:b/>
          <w:sz w:val="24"/>
          <w:szCs w:val="24"/>
        </w:rPr>
        <w:lastRenderedPageBreak/>
        <w:t>Human rights implications</w:t>
      </w:r>
    </w:p>
    <w:p w14:paraId="0A9264D5" w14:textId="391D2C02" w:rsidR="00547F8D" w:rsidRPr="00547F8D" w:rsidRDefault="00C03F7E" w:rsidP="00547F8D">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0D56B9">
        <w:rPr>
          <w:rFonts w:ascii="Times New Roman" w:hAnsi="Times New Roman" w:cs="Times New Roman"/>
          <w:sz w:val="24"/>
          <w:szCs w:val="24"/>
        </w:rPr>
        <w:t>Amendment</w:t>
      </w:r>
      <w:r w:rsidR="005E6515">
        <w:rPr>
          <w:rFonts w:ascii="Times New Roman" w:hAnsi="Times New Roman" w:cs="Times New Roman"/>
          <w:sz w:val="24"/>
          <w:szCs w:val="24"/>
        </w:rPr>
        <w:t xml:space="preserve"> </w:t>
      </w:r>
      <w:r w:rsidR="00AB3B2B">
        <w:rPr>
          <w:rFonts w:ascii="Times New Roman" w:hAnsi="Times New Roman" w:cs="Times New Roman"/>
          <w:sz w:val="24"/>
          <w:szCs w:val="24"/>
        </w:rPr>
        <w:t xml:space="preserve">Regulations make consequential </w:t>
      </w:r>
      <w:r>
        <w:rPr>
          <w:rFonts w:ascii="Times New Roman" w:hAnsi="Times New Roman" w:cs="Times New Roman"/>
          <w:sz w:val="24"/>
          <w:szCs w:val="24"/>
        </w:rPr>
        <w:t xml:space="preserve">amendments only and do not engage any of the applicable rights or freedoms. </w:t>
      </w:r>
      <w:r w:rsidR="00882263" w:rsidRPr="00547F8D">
        <w:rPr>
          <w:rFonts w:ascii="Times New Roman" w:hAnsi="Times New Roman" w:cs="Times New Roman"/>
          <w:sz w:val="24"/>
          <w:szCs w:val="24"/>
        </w:rPr>
        <w:t xml:space="preserve"> </w:t>
      </w:r>
    </w:p>
    <w:p w14:paraId="2D32FAB9" w14:textId="77777777" w:rsidR="00547F8D" w:rsidRPr="00547F8D" w:rsidRDefault="00547F8D" w:rsidP="00FC7F01">
      <w:pPr>
        <w:keepNext/>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23675858" w14:textId="2F2E15D4" w:rsidR="00547F8D" w:rsidRPr="00547F8D" w:rsidRDefault="00547F8D" w:rsidP="008B270E">
      <w:pPr>
        <w:spacing w:before="120" w:after="120"/>
        <w:rPr>
          <w:rFonts w:ascii="Times New Roman" w:hAnsi="Times New Roman" w:cs="Times New Roman"/>
          <w:sz w:val="24"/>
          <w:szCs w:val="24"/>
        </w:rPr>
      </w:pPr>
      <w:r w:rsidRPr="00547F8D">
        <w:rPr>
          <w:rFonts w:ascii="Times New Roman" w:hAnsi="Times New Roman" w:cs="Times New Roman"/>
          <w:sz w:val="24"/>
          <w:szCs w:val="24"/>
        </w:rPr>
        <w:t>Th</w:t>
      </w:r>
      <w:r w:rsidR="00957281">
        <w:rPr>
          <w:rFonts w:ascii="Times New Roman" w:hAnsi="Times New Roman" w:cs="Times New Roman"/>
          <w:sz w:val="24"/>
          <w:szCs w:val="24"/>
        </w:rPr>
        <w:t>e</w:t>
      </w:r>
      <w:r w:rsidRPr="00547F8D">
        <w:rPr>
          <w:rFonts w:ascii="Times New Roman" w:hAnsi="Times New Roman" w:cs="Times New Roman"/>
          <w:sz w:val="24"/>
          <w:szCs w:val="24"/>
        </w:rPr>
        <w:t xml:space="preserve"> </w:t>
      </w:r>
      <w:r w:rsidR="000D56B9">
        <w:rPr>
          <w:rFonts w:ascii="Times New Roman" w:hAnsi="Times New Roman" w:cs="Times New Roman"/>
          <w:sz w:val="24"/>
          <w:szCs w:val="24"/>
        </w:rPr>
        <w:t>Amendment</w:t>
      </w:r>
      <w:r w:rsidR="005E6515">
        <w:rPr>
          <w:rFonts w:ascii="Times New Roman" w:hAnsi="Times New Roman" w:cs="Times New Roman"/>
          <w:sz w:val="24"/>
          <w:szCs w:val="24"/>
        </w:rPr>
        <w:t xml:space="preserve"> </w:t>
      </w:r>
      <w:r w:rsidR="00C03F7E">
        <w:rPr>
          <w:rFonts w:ascii="Times New Roman" w:hAnsi="Times New Roman" w:cs="Times New Roman"/>
          <w:sz w:val="24"/>
          <w:szCs w:val="24"/>
        </w:rPr>
        <w:t xml:space="preserve">Regulations are </w:t>
      </w:r>
      <w:r w:rsidRPr="00547F8D">
        <w:rPr>
          <w:rFonts w:ascii="Times New Roman" w:hAnsi="Times New Roman" w:cs="Times New Roman"/>
          <w:sz w:val="24"/>
          <w:szCs w:val="24"/>
        </w:rPr>
        <w:t>co</w:t>
      </w:r>
      <w:r w:rsidR="00C03F7E">
        <w:rPr>
          <w:rFonts w:ascii="Times New Roman" w:hAnsi="Times New Roman" w:cs="Times New Roman"/>
          <w:sz w:val="24"/>
          <w:szCs w:val="24"/>
        </w:rPr>
        <w:t>mpatible with human rights as they do</w:t>
      </w:r>
      <w:r w:rsidRPr="00547F8D">
        <w:rPr>
          <w:rFonts w:ascii="Times New Roman" w:hAnsi="Times New Roman" w:cs="Times New Roman"/>
          <w:sz w:val="24"/>
          <w:szCs w:val="24"/>
        </w:rPr>
        <w:t xml:space="preserve"> not raise any human rights issues.</w:t>
      </w:r>
    </w:p>
    <w:p w14:paraId="648BBCB9" w14:textId="77777777" w:rsidR="003A1E34" w:rsidRPr="003A1E34" w:rsidRDefault="003A1E34" w:rsidP="003A1E34">
      <w:pPr>
        <w:spacing w:before="240" w:after="0" w:line="252" w:lineRule="auto"/>
        <w:jc w:val="center"/>
        <w:rPr>
          <w:rFonts w:ascii="Times New Roman" w:eastAsia="Calibri" w:hAnsi="Times New Roman" w:cs="Times New Roman"/>
          <w:b/>
          <w:sz w:val="24"/>
          <w:szCs w:val="24"/>
        </w:rPr>
      </w:pPr>
      <w:r w:rsidRPr="003A1E34">
        <w:rPr>
          <w:rFonts w:ascii="Times New Roman" w:eastAsia="Calibri" w:hAnsi="Times New Roman" w:cs="Times New Roman"/>
          <w:b/>
          <w:sz w:val="24"/>
          <w:szCs w:val="24"/>
        </w:rPr>
        <w:t>The Hon Keith Pitt MP</w:t>
      </w:r>
    </w:p>
    <w:p w14:paraId="5FD3E5A3" w14:textId="7B1E2589" w:rsidR="003A1E34" w:rsidRPr="003A1E34" w:rsidRDefault="003A1E34" w:rsidP="003A1E34">
      <w:pPr>
        <w:spacing w:after="0" w:line="252" w:lineRule="auto"/>
        <w:jc w:val="center"/>
        <w:rPr>
          <w:rFonts w:ascii="Times New Roman" w:eastAsia="Calibri" w:hAnsi="Times New Roman" w:cs="Times New Roman"/>
          <w:b/>
          <w:sz w:val="24"/>
        </w:rPr>
      </w:pPr>
      <w:r w:rsidRPr="003A1E34">
        <w:rPr>
          <w:rFonts w:ascii="Times New Roman" w:eastAsia="Calibri" w:hAnsi="Times New Roman" w:cs="Times New Roman"/>
          <w:b/>
          <w:sz w:val="24"/>
          <w:szCs w:val="24"/>
        </w:rPr>
        <w:t>Minister for Resources</w:t>
      </w:r>
      <w:r w:rsidR="00CF4CA6">
        <w:rPr>
          <w:rFonts w:ascii="Times New Roman" w:eastAsia="Calibri" w:hAnsi="Times New Roman" w:cs="Times New Roman"/>
          <w:b/>
          <w:sz w:val="24"/>
          <w:szCs w:val="24"/>
        </w:rPr>
        <w:t xml:space="preserve"> and</w:t>
      </w:r>
      <w:r w:rsidR="00CF4CA6" w:rsidRPr="003A1E34">
        <w:rPr>
          <w:rFonts w:ascii="Times New Roman" w:eastAsia="Calibri" w:hAnsi="Times New Roman" w:cs="Times New Roman"/>
          <w:b/>
          <w:sz w:val="24"/>
          <w:szCs w:val="24"/>
        </w:rPr>
        <w:t xml:space="preserve"> </w:t>
      </w:r>
      <w:r w:rsidRPr="003A1E34">
        <w:rPr>
          <w:rFonts w:ascii="Times New Roman" w:eastAsia="Calibri" w:hAnsi="Times New Roman" w:cs="Times New Roman"/>
          <w:b/>
          <w:sz w:val="24"/>
          <w:szCs w:val="24"/>
        </w:rPr>
        <w:t>Water</w:t>
      </w:r>
    </w:p>
    <w:p w14:paraId="260EA134" w14:textId="151ED747" w:rsidR="00363282" w:rsidRPr="00017217" w:rsidRDefault="00672B6F" w:rsidP="00B759E8">
      <w:pPr>
        <w:sectPr w:rsidR="00363282" w:rsidRPr="00017217" w:rsidSect="00273E05">
          <w:headerReference w:type="first" r:id="rId13"/>
          <w:footerReference w:type="first" r:id="rId14"/>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bookmarkStart w:id="1" w:name="_Toc54359187" w:displacedByCustomXml="next"/>
    <w:bookmarkStart w:id="2" w:name="_Toc54356260" w:displacedByCustomXml="next"/>
    <w:bookmarkStart w:id="3" w:name="_Toc54348559" w:displacedByCustomXml="next"/>
    <w:bookmarkStart w:id="4" w:name="_Toc54336976" w:displacedByCustomXml="next"/>
    <w:bookmarkStart w:id="5" w:name="_Toc19289643" w:displacedByCustomXml="next"/>
    <w:bookmarkStart w:id="6" w:name="_Toc19289776" w:displacedByCustomXml="next"/>
    <w:bookmarkStart w:id="7" w:name="_Toc54190641" w:displacedByCustomXml="next"/>
    <w:bookmarkStart w:id="8" w:name="_Toc54190816" w:displacedByCustomXml="next"/>
    <w:bookmarkStart w:id="9" w:name="_Toc54190849" w:displacedByCustomXml="next"/>
    <w:bookmarkStart w:id="10" w:name="_Toc54360193" w:displacedByCustomXml="next"/>
    <w:bookmarkStart w:id="11" w:name="_Toc54360251" w:displacedByCustomXml="next"/>
    <w:sdt>
      <w:sdtPr>
        <w:rPr>
          <w:rFonts w:ascii="Calibri" w:eastAsia="Calibri" w:hAnsi="Calibri" w:cs="Times New Roman"/>
        </w:rPr>
        <w:id w:val="-2088995269"/>
        <w:docPartObj>
          <w:docPartGallery w:val="Cover Pages"/>
          <w:docPartUnique/>
        </w:docPartObj>
      </w:sdtPr>
      <w:sdtEndPr/>
      <w:sdtContent>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p w14:paraId="1A4B0D6D"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4C4ED7A7"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07B3FF55"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1F57154E"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6AD9185E"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2588AF7B"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07C0D9BA" w14:textId="77777777" w:rsidR="00363282" w:rsidRPr="00017217" w:rsidRDefault="00363282" w:rsidP="00363282">
          <w:pPr>
            <w:pBdr>
              <w:bottom w:val="single" w:sz="8" w:space="1" w:color="FFFFFF"/>
            </w:pBdr>
            <w:spacing w:before="3600" w:after="120" w:line="240" w:lineRule="auto"/>
            <w:contextualSpacing/>
            <w:outlineLvl w:val="0"/>
            <w:rPr>
              <w:rFonts w:ascii="Calibri" w:eastAsia="Calibri" w:hAnsi="Calibri" w:cs="Times New Roman"/>
            </w:rPr>
          </w:pPr>
        </w:p>
        <w:p w14:paraId="0C6D7875" w14:textId="77777777" w:rsidR="00363282" w:rsidRPr="00017217" w:rsidRDefault="00363282" w:rsidP="00363282">
          <w:pPr>
            <w:pBdr>
              <w:bottom w:val="single" w:sz="8" w:space="1" w:color="FFFFFF"/>
            </w:pBdr>
            <w:spacing w:before="3600" w:after="120" w:line="240" w:lineRule="auto"/>
            <w:contextualSpacing/>
            <w:outlineLvl w:val="0"/>
            <w:rPr>
              <w:rFonts w:ascii="Calibri" w:eastAsia="Times New Roman" w:hAnsi="Calibri" w:cs="Calibri"/>
              <w:spacing w:val="-10"/>
              <w:kern w:val="28"/>
              <w:sz w:val="72"/>
              <w:szCs w:val="72"/>
            </w:rPr>
          </w:pPr>
          <w:bookmarkStart w:id="12" w:name="_Toc71277707"/>
          <w:bookmarkStart w:id="13" w:name="_Toc71276886"/>
          <w:bookmarkStart w:id="14" w:name="_Toc71279459"/>
          <w:bookmarkStart w:id="15" w:name="_Toc71279710"/>
          <w:bookmarkStart w:id="16" w:name="_Toc71282047"/>
          <w:bookmarkStart w:id="17" w:name="_Toc71285837"/>
          <w:r w:rsidRPr="00017217">
            <w:rPr>
              <w:rFonts w:ascii="Calibri" w:eastAsia="Times New Roman" w:hAnsi="Calibri" w:cs="Calibri"/>
              <w:spacing w:val="-10"/>
              <w:kern w:val="28"/>
              <w:sz w:val="72"/>
              <w:szCs w:val="72"/>
            </w:rPr>
            <w:t>Regulatory Impact Statement</w:t>
          </w:r>
          <w:bookmarkEnd w:id="12"/>
          <w:bookmarkEnd w:id="13"/>
          <w:bookmarkEnd w:id="14"/>
          <w:bookmarkEnd w:id="15"/>
          <w:bookmarkEnd w:id="16"/>
          <w:bookmarkEnd w:id="17"/>
        </w:p>
        <w:p w14:paraId="5EB2E9B5" w14:textId="77777777" w:rsidR="00363282" w:rsidRPr="00017217" w:rsidRDefault="00363282" w:rsidP="00363282">
          <w:pPr>
            <w:numPr>
              <w:ilvl w:val="1"/>
              <w:numId w:val="0"/>
            </w:numPr>
            <w:spacing w:after="160" w:line="259" w:lineRule="auto"/>
            <w:rPr>
              <w:rFonts w:ascii="Calibri" w:eastAsia="Times New Roman" w:hAnsi="Calibri" w:cs="Times New Roman"/>
              <w:sz w:val="40"/>
            </w:rPr>
          </w:pPr>
          <w:r w:rsidRPr="00017217">
            <w:rPr>
              <w:rFonts w:ascii="Calibri" w:eastAsia="Times New Roman" w:hAnsi="Calibri" w:cs="Times New Roman"/>
              <w:sz w:val="40"/>
            </w:rPr>
            <w:t>Improvements to Title Administration</w:t>
          </w:r>
        </w:p>
        <w:p w14:paraId="10BCB05B" w14:textId="77777777" w:rsidR="00363282" w:rsidRPr="00017217" w:rsidRDefault="00363282" w:rsidP="00363282">
          <w:pPr>
            <w:spacing w:after="160" w:line="259" w:lineRule="auto"/>
            <w:rPr>
              <w:rFonts w:ascii="Calibri" w:eastAsia="Times New Roman" w:hAnsi="Calibri" w:cs="Times New Roman"/>
              <w:sz w:val="40"/>
              <w:szCs w:val="40"/>
            </w:rPr>
            <w:sectPr w:rsidR="00363282" w:rsidRPr="00017217" w:rsidSect="00B759E8">
              <w:footerReference w:type="default" r:id="rId15"/>
              <w:headerReference w:type="first" r:id="rId16"/>
              <w:pgSz w:w="11906" w:h="16838"/>
              <w:pgMar w:top="1276" w:right="1440" w:bottom="1440" w:left="1440" w:header="851" w:footer="708" w:gutter="0"/>
              <w:pgNumType w:start="1"/>
              <w:cols w:space="708"/>
              <w:titlePg/>
              <w:docGrid w:linePitch="360"/>
            </w:sectPr>
          </w:pPr>
          <w:r w:rsidRPr="00017217">
            <w:rPr>
              <w:rFonts w:ascii="Calibri" w:eastAsia="Times New Roman" w:hAnsi="Calibri" w:cs="Times New Roman"/>
              <w:sz w:val="40"/>
              <w:szCs w:val="40"/>
            </w:rPr>
            <w:t>October 2020</w:t>
          </w:r>
        </w:p>
        <w:p w14:paraId="6AB1549F" w14:textId="77777777" w:rsidR="00363282" w:rsidRPr="00017217" w:rsidRDefault="00363282" w:rsidP="00363282">
          <w:pPr>
            <w:spacing w:after="160" w:line="259" w:lineRule="auto"/>
            <w:rPr>
              <w:rFonts w:ascii="Calibri" w:eastAsia="Calibri" w:hAnsi="Calibri" w:cs="Times New Roman"/>
              <w:sz w:val="48"/>
              <w:szCs w:val="48"/>
            </w:rPr>
          </w:pPr>
          <w:bookmarkStart w:id="18" w:name="_Toc19023739"/>
          <w:bookmarkStart w:id="19" w:name="_Toc19289644"/>
          <w:bookmarkStart w:id="20" w:name="_Toc19289777"/>
          <w:bookmarkStart w:id="21" w:name="_Toc54190642"/>
          <w:bookmarkStart w:id="22" w:name="_Toc54190817"/>
          <w:bookmarkStart w:id="23" w:name="_Toc54190850"/>
          <w:bookmarkStart w:id="24" w:name="_Toc54336977"/>
          <w:bookmarkStart w:id="25" w:name="_Toc54348560"/>
          <w:bookmarkStart w:id="26" w:name="_Toc54356261"/>
          <w:bookmarkStart w:id="27" w:name="_Toc54359188"/>
          <w:bookmarkStart w:id="28" w:name="_Toc54360194"/>
          <w:bookmarkStart w:id="29" w:name="_Toc54360252"/>
          <w:r w:rsidRPr="00017217">
            <w:rPr>
              <w:rFonts w:ascii="Calibri" w:eastAsia="Calibri" w:hAnsi="Calibri" w:cs="Times New Roman"/>
              <w:sz w:val="48"/>
              <w:szCs w:val="48"/>
            </w:rPr>
            <w:lastRenderedPageBreak/>
            <w:t>Copyright</w:t>
          </w:r>
          <w:bookmarkEnd w:id="18"/>
          <w:bookmarkEnd w:id="19"/>
          <w:bookmarkEnd w:id="20"/>
          <w:bookmarkEnd w:id="21"/>
          <w:bookmarkEnd w:id="22"/>
          <w:bookmarkEnd w:id="23"/>
          <w:bookmarkEnd w:id="24"/>
          <w:bookmarkEnd w:id="25"/>
          <w:bookmarkEnd w:id="26"/>
          <w:bookmarkEnd w:id="27"/>
          <w:bookmarkEnd w:id="28"/>
          <w:bookmarkEnd w:id="29"/>
        </w:p>
        <w:p w14:paraId="3008533F"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 Commonwealth of Australia 2020</w:t>
          </w:r>
        </w:p>
        <w:p w14:paraId="4A6E588D"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Ownership of intellectual property rights</w:t>
          </w:r>
        </w:p>
        <w:p w14:paraId="0647E9B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Unless otherwise noted, copyright (and any other intellectual property rights, if any) in this publication is owned by the Commonwealth of Australia.</w:t>
          </w:r>
        </w:p>
        <w:p w14:paraId="0FDD2EA7"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Creative Commons licence</w:t>
          </w:r>
        </w:p>
        <w:p w14:paraId="3353801B"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noProof/>
              <w:lang w:eastAsia="en-AU"/>
            </w:rPr>
            <w:drawing>
              <wp:inline distT="0" distB="0" distL="0" distR="0" wp14:anchorId="409196C9" wp14:editId="2C5271C4">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25665192"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 xml:space="preserve">Attribution </w:t>
          </w:r>
        </w:p>
        <w:p w14:paraId="615405A2"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CC BY</w:t>
          </w:r>
        </w:p>
        <w:p w14:paraId="6F690F8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2C84F181"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8" w:history="1">
            <w:r w:rsidRPr="00017217">
              <w:rPr>
                <w:rFonts w:ascii="Calibri" w:eastAsia="Calibri" w:hAnsi="Calibri" w:cs="Times New Roman"/>
                <w:u w:val="single"/>
              </w:rPr>
              <w:t>https://creativecommons.org/licenses/by/4.0/</w:t>
            </w:r>
          </w:hyperlink>
        </w:p>
        <w:p w14:paraId="03319E56"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The full licence terms are available from </w:t>
          </w:r>
          <w:hyperlink r:id="rId19" w:history="1">
            <w:r w:rsidRPr="00017217">
              <w:rPr>
                <w:rFonts w:ascii="Calibri" w:eastAsia="Calibri" w:hAnsi="Calibri" w:cs="Times New Roman"/>
                <w:u w:val="single"/>
              </w:rPr>
              <w:t>https://creativecommons.org/licenses/by/4.0/legalcode</w:t>
            </w:r>
          </w:hyperlink>
        </w:p>
        <w:p w14:paraId="2193ECC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Content contained herein should be attributed as </w:t>
          </w:r>
          <w:r w:rsidRPr="00017217">
            <w:rPr>
              <w:rFonts w:ascii="Calibri" w:eastAsia="Calibri" w:hAnsi="Calibri" w:cs="Times New Roman"/>
              <w:i/>
            </w:rPr>
            <w:t>Regulatory Impact Statement: Improvements to Title Administration, October 2020, Australian Government Department of Industry, Science, Energy and Resources</w:t>
          </w:r>
          <w:r w:rsidRPr="00017217">
            <w:rPr>
              <w:rFonts w:ascii="Calibri" w:eastAsia="Calibri" w:hAnsi="Calibri" w:cs="Times New Roman"/>
            </w:rPr>
            <w:t>.</w:t>
          </w:r>
        </w:p>
        <w:p w14:paraId="42EEAC11" w14:textId="77777777" w:rsidR="00363282" w:rsidRPr="00017217" w:rsidRDefault="00363282" w:rsidP="00363282">
          <w:pPr>
            <w:spacing w:after="160" w:line="259" w:lineRule="auto"/>
            <w:rPr>
              <w:rFonts w:ascii="Calibri" w:eastAsia="Calibri" w:hAnsi="Calibri" w:cs="Times New Roman"/>
              <w:b/>
              <w:bCs/>
            </w:rPr>
          </w:pPr>
          <w:r w:rsidRPr="00017217">
            <w:rPr>
              <w:rFonts w:ascii="Calibri" w:eastAsia="Calibri" w:hAnsi="Calibri" w:cs="Times New Roman"/>
              <w:b/>
              <w:bCs/>
            </w:rPr>
            <w:t>ISBN:</w:t>
          </w:r>
          <w:r w:rsidRPr="00017217">
            <w:rPr>
              <w:rFonts w:ascii="Calibri" w:eastAsia="Calibri" w:hAnsi="Calibri" w:cs="Times New Roman"/>
            </w:rPr>
            <w:t xml:space="preserve"> </w:t>
          </w:r>
          <w:r w:rsidRPr="00017217">
            <w:rPr>
              <w:rFonts w:ascii="Calibri" w:eastAsia="Calibri" w:hAnsi="Calibri" w:cs="Times New Roman"/>
              <w:b/>
            </w:rPr>
            <w:t>978-1-922125-77-4</w:t>
          </w:r>
        </w:p>
        <w:p w14:paraId="594BCDA2" w14:textId="77777777" w:rsidR="00363282" w:rsidRPr="00017217" w:rsidRDefault="00363282" w:rsidP="00363282">
          <w:pPr>
            <w:spacing w:after="160" w:line="259" w:lineRule="auto"/>
            <w:rPr>
              <w:rFonts w:ascii="Calibri" w:eastAsia="Calibri" w:hAnsi="Calibri" w:cs="Times New Roman"/>
              <w:sz w:val="48"/>
              <w:szCs w:val="48"/>
            </w:rPr>
          </w:pPr>
          <w:bookmarkStart w:id="30" w:name="_Toc19023740"/>
          <w:bookmarkStart w:id="31" w:name="_Toc19289645"/>
          <w:bookmarkStart w:id="32" w:name="_Toc19289778"/>
          <w:bookmarkStart w:id="33" w:name="_Toc54190643"/>
          <w:bookmarkStart w:id="34" w:name="_Toc54190818"/>
          <w:bookmarkStart w:id="35" w:name="_Toc54190851"/>
          <w:bookmarkStart w:id="36" w:name="_Toc54336978"/>
          <w:bookmarkStart w:id="37" w:name="_Toc54348561"/>
          <w:bookmarkStart w:id="38" w:name="_Toc54356262"/>
          <w:bookmarkStart w:id="39" w:name="_Toc54359189"/>
          <w:bookmarkStart w:id="40" w:name="_Toc54360195"/>
          <w:bookmarkStart w:id="41" w:name="_Toc54360253"/>
          <w:r w:rsidRPr="00017217">
            <w:rPr>
              <w:rFonts w:ascii="Calibri" w:eastAsia="Calibri" w:hAnsi="Calibri" w:cs="Times New Roman"/>
              <w:sz w:val="48"/>
              <w:szCs w:val="48"/>
            </w:rPr>
            <w:t>Disclaimer</w:t>
          </w:r>
          <w:bookmarkEnd w:id="30"/>
          <w:bookmarkEnd w:id="31"/>
          <w:bookmarkEnd w:id="32"/>
          <w:bookmarkEnd w:id="33"/>
          <w:bookmarkEnd w:id="34"/>
          <w:bookmarkEnd w:id="35"/>
          <w:bookmarkEnd w:id="36"/>
          <w:bookmarkEnd w:id="37"/>
          <w:bookmarkEnd w:id="38"/>
          <w:bookmarkEnd w:id="39"/>
          <w:bookmarkEnd w:id="40"/>
          <w:bookmarkEnd w:id="41"/>
        </w:p>
        <w:p w14:paraId="4C1CA84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Australian Government as represented by the Department of Industry, Science, Energy and Resources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r w:rsidRPr="00017217">
            <w:rPr>
              <w:rFonts w:ascii="Calibri" w:eastAsia="Calibri" w:hAnsi="Calibri" w:cs="Times New Roman"/>
            </w:rPr>
            <w:br w:type="page"/>
          </w:r>
        </w:p>
        <w:p w14:paraId="027173C2" w14:textId="77777777" w:rsidR="00363282" w:rsidRPr="00017217" w:rsidRDefault="00363282" w:rsidP="00363282">
          <w:pPr>
            <w:spacing w:after="160" w:line="259" w:lineRule="auto"/>
            <w:rPr>
              <w:rFonts w:ascii="Calibri" w:eastAsia="Calibri" w:hAnsi="Calibri" w:cs="Times New Roman"/>
              <w:sz w:val="48"/>
              <w:szCs w:val="48"/>
            </w:rPr>
          </w:pPr>
          <w:bookmarkStart w:id="42" w:name="_Toc54356263"/>
          <w:bookmarkStart w:id="43" w:name="_Toc54359190"/>
          <w:bookmarkStart w:id="44" w:name="_Toc54360196"/>
          <w:bookmarkStart w:id="45" w:name="_Toc54360254"/>
          <w:bookmarkStart w:id="46" w:name="_Toc19289646"/>
          <w:bookmarkStart w:id="47" w:name="_Toc19289779"/>
          <w:bookmarkStart w:id="48" w:name="_Toc54190644"/>
          <w:bookmarkStart w:id="49" w:name="_Toc54190819"/>
          <w:bookmarkStart w:id="50" w:name="_Toc54190852"/>
          <w:bookmarkStart w:id="51" w:name="_Toc54336979"/>
          <w:r w:rsidRPr="00017217">
            <w:rPr>
              <w:rFonts w:ascii="Calibri" w:eastAsia="Calibri" w:hAnsi="Calibri" w:cs="Times New Roman"/>
              <w:sz w:val="48"/>
              <w:szCs w:val="48"/>
            </w:rPr>
            <w:lastRenderedPageBreak/>
            <w:t>Contents</w:t>
          </w:r>
          <w:bookmarkEnd w:id="42"/>
          <w:bookmarkEnd w:id="43"/>
          <w:bookmarkEnd w:id="44"/>
          <w:bookmarkEnd w:id="45"/>
        </w:p>
        <w:bookmarkEnd w:id="46"/>
        <w:bookmarkEnd w:id="47"/>
        <w:bookmarkEnd w:id="48"/>
        <w:bookmarkEnd w:id="49"/>
        <w:bookmarkEnd w:id="50"/>
        <w:bookmarkEnd w:id="51"/>
        <w:p w14:paraId="55728E86" w14:textId="77777777" w:rsidR="00363282" w:rsidRPr="00017217" w:rsidRDefault="00363282" w:rsidP="00363282">
          <w:pPr>
            <w:tabs>
              <w:tab w:val="right" w:leader="dot" w:pos="9016"/>
            </w:tabs>
            <w:spacing w:after="100" w:line="259" w:lineRule="auto"/>
            <w:rPr>
              <w:rFonts w:ascii="Calibri" w:eastAsia="Times New Roman" w:hAnsi="Calibri" w:cs="Times New Roman"/>
              <w:noProof/>
              <w:lang w:eastAsia="en-AU"/>
            </w:rPr>
          </w:pPr>
          <w:r w:rsidRPr="00017217">
            <w:rPr>
              <w:rFonts w:ascii="Calibri" w:eastAsia="Calibri" w:hAnsi="Calibri" w:cs="Times New Roman"/>
            </w:rPr>
            <w:fldChar w:fldCharType="begin"/>
          </w:r>
          <w:r w:rsidRPr="00017217">
            <w:rPr>
              <w:rFonts w:ascii="Calibri" w:eastAsia="Calibri" w:hAnsi="Calibri" w:cs="Times New Roman"/>
            </w:rPr>
            <w:instrText xml:space="preserve"> TOC \o "1-2" \h \z \u </w:instrText>
          </w:r>
          <w:r w:rsidRPr="00017217">
            <w:rPr>
              <w:rFonts w:ascii="Calibri" w:eastAsia="Calibri" w:hAnsi="Calibri" w:cs="Times New Roman"/>
            </w:rPr>
            <w:fldChar w:fldCharType="separate"/>
          </w:r>
          <w:hyperlink w:anchor="_Toc54360255" w:history="1">
            <w:r w:rsidRPr="00017217">
              <w:rPr>
                <w:rFonts w:ascii="Calibri" w:eastAsia="Calibri" w:hAnsi="Calibri" w:cs="Times New Roman"/>
                <w:noProof/>
                <w:u w:val="single"/>
              </w:rPr>
              <w:t>Preamble</w:t>
            </w:r>
            <w:r w:rsidRPr="00017217">
              <w:rPr>
                <w:rFonts w:ascii="Calibri" w:eastAsia="Calibri" w:hAnsi="Calibri" w:cs="Times New Roman"/>
                <w:noProof/>
                <w:webHidden/>
              </w:rPr>
              <w:tab/>
            </w:r>
            <w:r w:rsidRPr="00017217">
              <w:rPr>
                <w:rFonts w:ascii="Calibri" w:eastAsia="Calibri" w:hAnsi="Calibri" w:cs="Times New Roman"/>
                <w:noProof/>
                <w:webHidden/>
              </w:rPr>
              <w:fldChar w:fldCharType="begin"/>
            </w:r>
            <w:r w:rsidRPr="00017217">
              <w:rPr>
                <w:rFonts w:ascii="Calibri" w:eastAsia="Calibri" w:hAnsi="Calibri" w:cs="Times New Roman"/>
                <w:noProof/>
                <w:webHidden/>
              </w:rPr>
              <w:instrText xml:space="preserve"> PAGEREF _Toc54360255 \h </w:instrText>
            </w:r>
            <w:r w:rsidRPr="00017217">
              <w:rPr>
                <w:rFonts w:ascii="Calibri" w:eastAsia="Calibri" w:hAnsi="Calibri" w:cs="Times New Roman"/>
                <w:noProof/>
                <w:webHidden/>
              </w:rPr>
            </w:r>
            <w:r w:rsidRPr="00017217">
              <w:rPr>
                <w:rFonts w:ascii="Calibri" w:eastAsia="Calibri" w:hAnsi="Calibri" w:cs="Times New Roman"/>
                <w:noProof/>
                <w:webHidden/>
              </w:rPr>
              <w:fldChar w:fldCharType="separate"/>
            </w:r>
            <w:r>
              <w:rPr>
                <w:rFonts w:ascii="Calibri" w:eastAsia="Calibri" w:hAnsi="Calibri" w:cs="Times New Roman"/>
                <w:noProof/>
                <w:webHidden/>
              </w:rPr>
              <w:t>4</w:t>
            </w:r>
            <w:r w:rsidRPr="00017217">
              <w:rPr>
                <w:rFonts w:ascii="Calibri" w:eastAsia="Calibri" w:hAnsi="Calibri" w:cs="Times New Roman"/>
                <w:noProof/>
                <w:webHidden/>
              </w:rPr>
              <w:fldChar w:fldCharType="end"/>
            </w:r>
          </w:hyperlink>
        </w:p>
        <w:p w14:paraId="26D29B9A"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56" w:history="1">
            <w:r w:rsidR="00363282" w:rsidRPr="00017217">
              <w:rPr>
                <w:rFonts w:ascii="Calibri" w:eastAsia="Calibri" w:hAnsi="Calibri" w:cs="Times New Roman"/>
                <w:noProof/>
                <w:u w:val="single"/>
              </w:rPr>
              <w:t>1.</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The Problem</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_Toc54360256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6</w:t>
            </w:r>
            <w:r w:rsidR="00363282" w:rsidRPr="00017217">
              <w:rPr>
                <w:rFonts w:ascii="Calibri" w:eastAsia="Calibri" w:hAnsi="Calibri" w:cs="Times New Roman"/>
                <w:noProof/>
                <w:webHidden/>
              </w:rPr>
              <w:fldChar w:fldCharType="end"/>
            </w:r>
          </w:hyperlink>
        </w:p>
        <w:p w14:paraId="78A82328"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57" w:history="1">
            <w:r w:rsidR="00363282" w:rsidRPr="00017217">
              <w:rPr>
                <w:rFonts w:ascii="Calibri" w:eastAsia="Calibri" w:hAnsi="Calibri" w:cs="Times New Roman"/>
                <w:noProof/>
                <w:u w:val="single"/>
              </w:rPr>
              <w:t>2.</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Need for government action</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_Toc54360257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8</w:t>
            </w:r>
            <w:r w:rsidR="00363282" w:rsidRPr="00017217">
              <w:rPr>
                <w:rFonts w:ascii="Calibri" w:eastAsia="Calibri" w:hAnsi="Calibri" w:cs="Times New Roman"/>
                <w:noProof/>
                <w:webHidden/>
              </w:rPr>
              <w:fldChar w:fldCharType="end"/>
            </w:r>
          </w:hyperlink>
        </w:p>
        <w:p w14:paraId="6559A8EB"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58" w:history="1">
            <w:r w:rsidR="00363282" w:rsidRPr="00017217">
              <w:rPr>
                <w:rFonts w:ascii="Calibri" w:eastAsia="Calibri" w:hAnsi="Calibri" w:cs="Times New Roman"/>
                <w:noProof/>
                <w:u w:val="single"/>
              </w:rPr>
              <w:t>3.</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Potential policy options</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_Toc54360258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9</w:t>
            </w:r>
            <w:r w:rsidR="00363282" w:rsidRPr="00017217">
              <w:rPr>
                <w:rFonts w:ascii="Calibri" w:eastAsia="Calibri" w:hAnsi="Calibri" w:cs="Times New Roman"/>
                <w:noProof/>
                <w:webHidden/>
              </w:rPr>
              <w:fldChar w:fldCharType="end"/>
            </w:r>
          </w:hyperlink>
        </w:p>
        <w:p w14:paraId="3BB23516"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59" w:history="1">
            <w:r w:rsidR="00363282" w:rsidRPr="00017217">
              <w:rPr>
                <w:rFonts w:ascii="Calibri" w:eastAsia="Calibri" w:hAnsi="Calibri" w:cs="Times New Roman"/>
                <w:noProof/>
                <w:u w:val="single"/>
              </w:rPr>
              <w:t>4.</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Net benefits</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_Toc54360259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11</w:t>
            </w:r>
            <w:r w:rsidR="00363282" w:rsidRPr="00017217">
              <w:rPr>
                <w:rFonts w:ascii="Calibri" w:eastAsia="Calibri" w:hAnsi="Calibri" w:cs="Times New Roman"/>
                <w:noProof/>
                <w:webHidden/>
              </w:rPr>
              <w:fldChar w:fldCharType="end"/>
            </w:r>
          </w:hyperlink>
        </w:p>
        <w:p w14:paraId="3EAB4E2E"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60" w:history="1">
            <w:r w:rsidR="00363282" w:rsidRPr="00017217">
              <w:rPr>
                <w:rFonts w:ascii="Calibri" w:eastAsia="Calibri" w:hAnsi="Calibri" w:cs="Times New Roman"/>
                <w:noProof/>
                <w:u w:val="single"/>
              </w:rPr>
              <w:t>5.</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Consultation</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_Toc54360260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16</w:t>
            </w:r>
            <w:r w:rsidR="00363282" w:rsidRPr="00017217">
              <w:rPr>
                <w:rFonts w:ascii="Calibri" w:eastAsia="Calibri" w:hAnsi="Calibri" w:cs="Times New Roman"/>
                <w:noProof/>
                <w:webHidden/>
              </w:rPr>
              <w:fldChar w:fldCharType="end"/>
            </w:r>
          </w:hyperlink>
        </w:p>
        <w:p w14:paraId="4CE31599"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61" w:history="1">
            <w:r w:rsidR="00363282" w:rsidRPr="00017217">
              <w:rPr>
                <w:rFonts w:ascii="Calibri" w:eastAsia="Calibri" w:hAnsi="Calibri" w:cs="Times New Roman"/>
                <w:noProof/>
                <w:u w:val="single"/>
              </w:rPr>
              <w:t>6.</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Preferred option</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_Toc54360261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20</w:t>
            </w:r>
            <w:r w:rsidR="00363282" w:rsidRPr="00017217">
              <w:rPr>
                <w:rFonts w:ascii="Calibri" w:eastAsia="Calibri" w:hAnsi="Calibri" w:cs="Times New Roman"/>
                <w:noProof/>
                <w:webHidden/>
              </w:rPr>
              <w:fldChar w:fldCharType="end"/>
            </w:r>
          </w:hyperlink>
        </w:p>
        <w:p w14:paraId="3EC07516" w14:textId="77777777" w:rsidR="00363282" w:rsidRPr="00017217" w:rsidRDefault="00EF5477" w:rsidP="00363282">
          <w:pPr>
            <w:tabs>
              <w:tab w:val="left" w:pos="440"/>
              <w:tab w:val="right" w:leader="dot" w:pos="9016"/>
            </w:tabs>
            <w:spacing w:after="100" w:line="259" w:lineRule="auto"/>
            <w:rPr>
              <w:rFonts w:ascii="Calibri" w:eastAsia="Times New Roman" w:hAnsi="Calibri" w:cs="Times New Roman"/>
              <w:noProof/>
              <w:lang w:eastAsia="en-AU"/>
            </w:rPr>
          </w:pPr>
          <w:hyperlink w:anchor="_Toc54360262" w:history="1">
            <w:r w:rsidR="00363282" w:rsidRPr="00017217">
              <w:rPr>
                <w:rFonts w:ascii="Calibri" w:eastAsia="Calibri" w:hAnsi="Calibri" w:cs="Times New Roman"/>
                <w:noProof/>
                <w:u w:val="single"/>
              </w:rPr>
              <w:t>7.</w:t>
            </w:r>
            <w:r w:rsidR="00363282" w:rsidRPr="00017217">
              <w:rPr>
                <w:rFonts w:ascii="Calibri" w:eastAsia="Times New Roman" w:hAnsi="Calibri" w:cs="Times New Roman"/>
                <w:noProof/>
                <w:lang w:eastAsia="en-AU"/>
              </w:rPr>
              <w:tab/>
            </w:r>
            <w:r w:rsidR="00363282" w:rsidRPr="00017217">
              <w:rPr>
                <w:rFonts w:ascii="Calibri" w:eastAsia="Calibri" w:hAnsi="Calibri" w:cs="Times New Roman"/>
                <w:noProof/>
                <w:u w:val="single"/>
              </w:rPr>
              <w:t>Implementation</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_Toc54360262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22</w:t>
            </w:r>
            <w:r w:rsidR="00363282" w:rsidRPr="00017217">
              <w:rPr>
                <w:rFonts w:ascii="Calibri" w:eastAsia="Calibri" w:hAnsi="Calibri" w:cs="Times New Roman"/>
                <w:noProof/>
                <w:webHidden/>
              </w:rPr>
              <w:fldChar w:fldCharType="end"/>
            </w:r>
          </w:hyperlink>
        </w:p>
        <w:p w14:paraId="7858930C" w14:textId="77777777" w:rsidR="00363282" w:rsidRPr="00017217" w:rsidRDefault="00EF5477" w:rsidP="00363282">
          <w:pPr>
            <w:tabs>
              <w:tab w:val="right" w:leader="dot" w:pos="9016"/>
            </w:tabs>
            <w:spacing w:after="100" w:line="259" w:lineRule="auto"/>
            <w:rPr>
              <w:rFonts w:ascii="Calibri" w:eastAsia="Times New Roman" w:hAnsi="Calibri" w:cs="Times New Roman"/>
              <w:noProof/>
              <w:lang w:eastAsia="en-AU"/>
            </w:rPr>
          </w:pPr>
          <w:hyperlink w:anchor="_Toc54360263" w:history="1">
            <w:r w:rsidR="00363282" w:rsidRPr="00017217">
              <w:rPr>
                <w:rFonts w:ascii="Calibri" w:eastAsia="Calibri" w:hAnsi="Calibri" w:cs="Times New Roman"/>
                <w:noProof/>
                <w:u w:val="single"/>
              </w:rPr>
              <w:t>Annex 1: Costing Assumptions</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_Toc54360263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24</w:t>
            </w:r>
            <w:r w:rsidR="00363282" w:rsidRPr="00017217">
              <w:rPr>
                <w:rFonts w:ascii="Calibri" w:eastAsia="Calibri" w:hAnsi="Calibri" w:cs="Times New Roman"/>
                <w:noProof/>
                <w:webHidden/>
              </w:rPr>
              <w:fldChar w:fldCharType="end"/>
            </w:r>
          </w:hyperlink>
        </w:p>
        <w:p w14:paraId="790E2D31" w14:textId="77777777" w:rsidR="00363282" w:rsidRPr="00017217" w:rsidRDefault="00EF5477" w:rsidP="00363282">
          <w:pPr>
            <w:tabs>
              <w:tab w:val="right" w:leader="dot" w:pos="9016"/>
            </w:tabs>
            <w:spacing w:after="100" w:line="259" w:lineRule="auto"/>
            <w:rPr>
              <w:rFonts w:ascii="Calibri" w:eastAsia="Times New Roman" w:hAnsi="Calibri" w:cs="Times New Roman"/>
              <w:noProof/>
              <w:lang w:eastAsia="en-AU"/>
            </w:rPr>
          </w:pPr>
          <w:hyperlink w:anchor="_Toc54360264" w:history="1">
            <w:r w:rsidR="00363282" w:rsidRPr="00017217">
              <w:rPr>
                <w:rFonts w:ascii="Calibri" w:eastAsia="Calibri" w:hAnsi="Calibri" w:cs="Times New Roman"/>
                <w:noProof/>
                <w:u w:val="single"/>
              </w:rPr>
              <w:t>Annex 2: Table of Key Implementation Risks</w:t>
            </w:r>
            <w:r w:rsidR="00363282" w:rsidRPr="00017217">
              <w:rPr>
                <w:rFonts w:ascii="Calibri" w:eastAsia="Calibri" w:hAnsi="Calibri" w:cs="Times New Roman"/>
                <w:noProof/>
                <w:webHidden/>
              </w:rPr>
              <w:tab/>
            </w:r>
            <w:r w:rsidR="00363282" w:rsidRPr="00017217">
              <w:rPr>
                <w:rFonts w:ascii="Calibri" w:eastAsia="Calibri" w:hAnsi="Calibri" w:cs="Times New Roman"/>
                <w:noProof/>
                <w:webHidden/>
              </w:rPr>
              <w:fldChar w:fldCharType="begin"/>
            </w:r>
            <w:r w:rsidR="00363282" w:rsidRPr="00017217">
              <w:rPr>
                <w:rFonts w:ascii="Calibri" w:eastAsia="Calibri" w:hAnsi="Calibri" w:cs="Times New Roman"/>
                <w:noProof/>
                <w:webHidden/>
              </w:rPr>
              <w:instrText xml:space="preserve"> PAGEREF _Toc54360264 \h </w:instrText>
            </w:r>
            <w:r w:rsidR="00363282" w:rsidRPr="00017217">
              <w:rPr>
                <w:rFonts w:ascii="Calibri" w:eastAsia="Calibri" w:hAnsi="Calibri" w:cs="Times New Roman"/>
                <w:noProof/>
                <w:webHidden/>
              </w:rPr>
            </w:r>
            <w:r w:rsidR="00363282" w:rsidRPr="00017217">
              <w:rPr>
                <w:rFonts w:ascii="Calibri" w:eastAsia="Calibri" w:hAnsi="Calibri" w:cs="Times New Roman"/>
                <w:noProof/>
                <w:webHidden/>
              </w:rPr>
              <w:fldChar w:fldCharType="separate"/>
            </w:r>
            <w:r w:rsidR="00363282">
              <w:rPr>
                <w:rFonts w:ascii="Calibri" w:eastAsia="Calibri" w:hAnsi="Calibri" w:cs="Times New Roman"/>
                <w:noProof/>
                <w:webHidden/>
              </w:rPr>
              <w:t>25</w:t>
            </w:r>
            <w:r w:rsidR="00363282" w:rsidRPr="00017217">
              <w:rPr>
                <w:rFonts w:ascii="Calibri" w:eastAsia="Calibri" w:hAnsi="Calibri" w:cs="Times New Roman"/>
                <w:noProof/>
                <w:webHidden/>
              </w:rPr>
              <w:fldChar w:fldCharType="end"/>
            </w:r>
          </w:hyperlink>
        </w:p>
        <w:p w14:paraId="2FE89821"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fldChar w:fldCharType="end"/>
          </w:r>
        </w:p>
      </w:sdtContent>
    </w:sdt>
    <w:p w14:paraId="0920F00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br w:type="page"/>
      </w:r>
    </w:p>
    <w:p w14:paraId="4FA5CFD4" w14:textId="77777777" w:rsidR="00363282" w:rsidRPr="00017217" w:rsidRDefault="00363282" w:rsidP="00363282">
      <w:pPr>
        <w:spacing w:after="160" w:line="259" w:lineRule="auto"/>
        <w:rPr>
          <w:rFonts w:ascii="Calibri" w:eastAsia="Calibri" w:hAnsi="Calibri" w:cs="Times New Roman"/>
          <w:sz w:val="48"/>
          <w:szCs w:val="48"/>
        </w:rPr>
      </w:pPr>
      <w:bookmarkStart w:id="52" w:name="_Toc54348562"/>
      <w:bookmarkStart w:id="53" w:name="_Toc54359191"/>
      <w:bookmarkStart w:id="54" w:name="_Toc54360197"/>
      <w:bookmarkStart w:id="55" w:name="_Toc54360255"/>
      <w:bookmarkStart w:id="56" w:name="_Toc19023741"/>
      <w:r w:rsidRPr="00017217">
        <w:rPr>
          <w:rFonts w:ascii="Calibri" w:eastAsia="Calibri" w:hAnsi="Calibri" w:cs="Times New Roman"/>
          <w:sz w:val="48"/>
          <w:szCs w:val="48"/>
        </w:rPr>
        <w:lastRenderedPageBreak/>
        <w:t>Preamble</w:t>
      </w:r>
      <w:bookmarkEnd w:id="52"/>
      <w:bookmarkEnd w:id="53"/>
      <w:bookmarkEnd w:id="54"/>
      <w:bookmarkEnd w:id="55"/>
    </w:p>
    <w:p w14:paraId="2722DF3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resources sector is instrumental to Australia’s economic prosperity. The significant employment and economic activity generated by the sector has helped sustain Australia’s development and growth over the last two decades. The Australian Government’s vision is to have the world’s most advanced, innovative and successful resources sector, which delivers sustained prosperity and social development for all Australians. It aims to deliver the most globally attractive and competitive investment destination for resources projects to facilitate Australia’s economic growth and innovation, into the future.</w:t>
      </w:r>
    </w:p>
    <w:p w14:paraId="7FD9393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Australia has a globally recognised oil and gas sector, which has made significant economic contributions to the economy. Australia’s oil and gas industry has delivered enormous benefits in the form of export earnings, domestic economic activity, employment and investment. It has also created and sustained a globally respected and innovative technology, services and manufacturing sector. According to the </w:t>
      </w:r>
      <w:hyperlink r:id="rId20" w:history="1">
        <w:r w:rsidRPr="00017217">
          <w:rPr>
            <w:rFonts w:ascii="Calibri" w:eastAsia="Calibri" w:hAnsi="Calibri" w:cs="Times New Roman"/>
            <w:u w:val="single"/>
          </w:rPr>
          <w:t>Resources and Energy Quarterly September 2020</w:t>
        </w:r>
      </w:hyperlink>
      <w:r w:rsidRPr="00017217">
        <w:rPr>
          <w:rFonts w:ascii="Calibri" w:eastAsia="Calibri" w:hAnsi="Calibri" w:cs="Times New Roman"/>
        </w:rPr>
        <w:t>, Australia remains one of the world’s largest exporters of Liquefied Natural Gas, accounting for approximately AUD$31 billion in export revenue in 2020-2021.</w:t>
      </w:r>
      <w:r w:rsidRPr="00017217">
        <w:rPr>
          <w:rFonts w:ascii="Calibri" w:eastAsia="Calibri" w:hAnsi="Calibri" w:cs="Times New Roman"/>
          <w:vertAlign w:val="superscript"/>
        </w:rPr>
        <w:footnoteReference w:id="1"/>
      </w:r>
    </w:p>
    <w:p w14:paraId="4B74A15C"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 key policy objective of the offshore regime is to ensure that Australia’s resources are developed sustainably, responsibly and in accordance with industry leading practice. This means that resource management, the environment and the health and safety of those employed in the sector, are key considerations for petroleum activities that are undertaken within the regime. It is also important that the risks and liabilities of petroleum activities, remain the responsibility of those who have derived the financial benefits from the project, rather than the Commonwealth and the Australian taxpayer. The Commonwealth seeks to balance these considerations and the continuous improvement of the regulatory framework, all while minimising the regulatory burden on business.</w:t>
      </w:r>
    </w:p>
    <w:p w14:paraId="545F310B"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Australia’s offshore regime is now maturing as some projects and basins begin to plateau and may decline if new fields are not brought in to production. The late 1960s saw the offshore Gippsland Basin start production and the 1970s saw oil discovered off the northern coast of Western Australia, which is now also a highly productive gas province and has become the cornerstone of the Australian oil and gas industry. The regime is currently geared towards attracting new investment and discovery of Australian resources, with its regulatory framework reflecting these priorities. However, as the industry matures, projects are coming to an end, requiring greater regulatory emphasis on activities which occur in the mid to end of life phase of the project. The framework must therefore adapt to the changing needs of industry to effectively manage petroleum activities that are common in the mid to end of a project’s life. Such activities include (but are not limited to) transfers of titles, changes of ownership and decommissioning.</w:t>
      </w:r>
    </w:p>
    <w:p w14:paraId="62E95F0A"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recent liquidation of the Northern Oil and Gas Australia (NOGA) group of companies demonstrated the importance of the offshore regulatory framework adapting to the needs of the offshore industry. In an unprecedented event throughout the 50 years of Australia’s offshore regime, the NOGA group of companies went into liquidation on 7 February 2020, with an offshore facility that until July 2019, had been in production.</w:t>
      </w:r>
    </w:p>
    <w:p w14:paraId="2DEFFFF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lastRenderedPageBreak/>
        <w:t>Having purchased the asset and titles from Woodside Energy via a corporate transfer in 2016, NOGA is an example of a company entering the regime towards the end of the project’s life, when production was declining. The NOGA liquidation highlighted the need for the framework to provide greater regulatory oversight throughout the life of a project.</w:t>
      </w:r>
    </w:p>
    <w:p w14:paraId="6B3C625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The department is seeking to amend the regulatory framework to strengthen the requirements for entities entering and progressing through the regime to ensure they are suitable, including being financially and technically capable to undertake petroleum activities in a safe manner and ensure that the environment is rehabilitated in compliance with the </w:t>
      </w:r>
      <w:r w:rsidRPr="00017217">
        <w:rPr>
          <w:rFonts w:ascii="Calibri" w:eastAsia="Calibri" w:hAnsi="Calibri" w:cs="Times New Roman"/>
          <w:bCs/>
          <w:i/>
        </w:rPr>
        <w:t>Offshore Petroleum and Greenhouse Gas Storage Act 2006</w:t>
      </w:r>
      <w:r w:rsidRPr="00017217">
        <w:rPr>
          <w:rFonts w:ascii="Calibri" w:eastAsia="Calibri" w:hAnsi="Calibri" w:cs="Times New Roman"/>
          <w:bCs/>
        </w:rPr>
        <w:t xml:space="preserve"> Act (the </w:t>
      </w:r>
      <w:r w:rsidRPr="00017217">
        <w:rPr>
          <w:rFonts w:ascii="Calibri" w:eastAsia="Calibri" w:hAnsi="Calibri" w:cs="Times New Roman"/>
        </w:rPr>
        <w:t>Act). The department also wants to ensure those entering the regime do not have a history of material non-compliance, fraudulent or misleading behaviour and/or financial mismanagement. While regulatory amendments cannot entirely prevent a situation where a company suffers financial distress, providing increased regulatory oversight at key gateway points can ensure those entering the regime to be both capable and appropriate to undertake their obligations and meet liabilities, effectively managing the risk to the Commonwealth.</w:t>
      </w:r>
      <w:r w:rsidRPr="00017217">
        <w:rPr>
          <w:rFonts w:ascii="Calibri" w:eastAsia="Calibri" w:hAnsi="Calibri" w:cs="Times New Roman"/>
        </w:rPr>
        <w:br w:type="page"/>
      </w:r>
    </w:p>
    <w:p w14:paraId="06950D0E" w14:textId="77777777" w:rsidR="00363282" w:rsidRPr="00017217" w:rsidRDefault="00363282" w:rsidP="00363282">
      <w:pPr>
        <w:spacing w:after="160" w:line="259" w:lineRule="auto"/>
        <w:rPr>
          <w:rFonts w:ascii="Calibri" w:eastAsia="Calibri" w:hAnsi="Calibri" w:cs="Times New Roman"/>
          <w:sz w:val="48"/>
          <w:szCs w:val="48"/>
        </w:rPr>
      </w:pPr>
      <w:bookmarkStart w:id="57" w:name="_Toc54348563"/>
      <w:bookmarkStart w:id="58" w:name="_Toc54359192"/>
      <w:bookmarkStart w:id="59" w:name="_Toc54360198"/>
      <w:bookmarkStart w:id="60" w:name="_Toc54360256"/>
      <w:r w:rsidRPr="00017217">
        <w:rPr>
          <w:rFonts w:ascii="Calibri" w:eastAsia="Calibri" w:hAnsi="Calibri" w:cs="Times New Roman"/>
          <w:sz w:val="48"/>
          <w:szCs w:val="48"/>
        </w:rPr>
        <w:lastRenderedPageBreak/>
        <w:t>1.</w:t>
      </w:r>
      <w:r w:rsidRPr="00017217">
        <w:rPr>
          <w:rFonts w:ascii="Calibri" w:eastAsia="Calibri" w:hAnsi="Calibri" w:cs="Times New Roman"/>
          <w:sz w:val="48"/>
          <w:szCs w:val="48"/>
        </w:rPr>
        <w:tab/>
        <w:t>The Problem</w:t>
      </w:r>
      <w:bookmarkEnd w:id="57"/>
      <w:bookmarkEnd w:id="58"/>
      <w:bookmarkEnd w:id="59"/>
      <w:bookmarkEnd w:id="60"/>
    </w:p>
    <w:p w14:paraId="1F229227"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Problem Statement</w:t>
      </w:r>
    </w:p>
    <w:p w14:paraId="0C4DA143" w14:textId="77777777" w:rsidR="00363282" w:rsidRPr="00017217" w:rsidRDefault="00363282" w:rsidP="00363282">
      <w:pPr>
        <w:pBdr>
          <w:top w:val="single" w:sz="4" w:space="6" w:color="auto"/>
          <w:bottom w:val="single" w:sz="4" w:space="6" w:color="auto"/>
        </w:pBdr>
        <w:spacing w:before="360" w:after="360" w:line="259" w:lineRule="auto"/>
        <w:ind w:right="96" w:firstLine="720"/>
        <w:jc w:val="center"/>
        <w:rPr>
          <w:rFonts w:ascii="Calibri" w:eastAsia="Calibri" w:hAnsi="Calibri" w:cs="Times New Roman"/>
          <w:i/>
          <w:iCs/>
          <w:szCs w:val="24"/>
        </w:rPr>
      </w:pPr>
      <w:r w:rsidRPr="00017217">
        <w:rPr>
          <w:rFonts w:ascii="Segoe UI" w:eastAsia="Calibri" w:hAnsi="Segoe UI" w:cs="Segoe UI"/>
          <w:i/>
          <w:iCs/>
          <w:sz w:val="20"/>
          <w:szCs w:val="20"/>
        </w:rPr>
        <w:t xml:space="preserve">The current offshore regulatory framework lacks sufficient mechanisms, particularly at certain high risk gateways, to ensure that </w:t>
      </w:r>
      <w:r w:rsidRPr="00017217">
        <w:rPr>
          <w:rFonts w:ascii="Segoe UI" w:eastAsia="Calibri" w:hAnsi="Segoe UI" w:cs="Segoe UI"/>
          <w:i/>
          <w:iCs/>
          <w:szCs w:val="20"/>
        </w:rPr>
        <w:t>an entity</w:t>
      </w:r>
      <w:r w:rsidRPr="00017217">
        <w:rPr>
          <w:rFonts w:ascii="Segoe UI" w:eastAsia="Calibri" w:hAnsi="Segoe UI" w:cs="Segoe UI"/>
          <w:b/>
          <w:i/>
          <w:iCs/>
          <w:szCs w:val="20"/>
        </w:rPr>
        <w:t xml:space="preserve"> </w:t>
      </w:r>
      <w:r w:rsidRPr="00017217">
        <w:rPr>
          <w:rFonts w:ascii="Segoe UI" w:eastAsia="Calibri" w:hAnsi="Segoe UI" w:cs="Segoe UI"/>
          <w:i/>
          <w:iCs/>
          <w:szCs w:val="20"/>
        </w:rPr>
        <w:t>is appropriate to become a</w:t>
      </w:r>
      <w:r w:rsidRPr="00017217">
        <w:rPr>
          <w:rFonts w:ascii="Segoe UI" w:eastAsia="Calibri" w:hAnsi="Segoe UI" w:cs="Segoe UI"/>
          <w:b/>
          <w:i/>
          <w:iCs/>
          <w:szCs w:val="20"/>
        </w:rPr>
        <w:t xml:space="preserve"> </w:t>
      </w:r>
      <w:r w:rsidRPr="00017217">
        <w:rPr>
          <w:rFonts w:ascii="Segoe UI" w:eastAsia="Calibri" w:hAnsi="Segoe UI" w:cs="Segoe UI"/>
          <w:i/>
          <w:iCs/>
          <w:sz w:val="20"/>
          <w:szCs w:val="20"/>
        </w:rPr>
        <w:t>titleholder in Australia’s offshore regime and undertake petroleum activities.</w:t>
      </w:r>
    </w:p>
    <w:p w14:paraId="1930389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As Australia’s offshore industry matures, there are an increasing number of projects and assets reaching end of life in the next 30 years, with an anticipated decommissioning liability of AUD$60 billion.</w:t>
      </w:r>
      <w:r w:rsidRPr="00017217">
        <w:rPr>
          <w:rFonts w:ascii="Calibri" w:eastAsia="Calibri" w:hAnsi="Calibri" w:cs="Times New Roman"/>
          <w:vertAlign w:val="superscript"/>
        </w:rPr>
        <w:footnoteReference w:id="2"/>
      </w:r>
      <w:r w:rsidRPr="00017217">
        <w:rPr>
          <w:rFonts w:ascii="Calibri" w:eastAsia="Calibri" w:hAnsi="Calibri" w:cs="Times New Roman"/>
        </w:rPr>
        <w:t xml:space="preserve"> The regulatory framework and the posture of the regulator, will need adapt to meet the changing needs of the Australian offshore industry, which is beginning to focus more on mid-to-end of life petroleum activities, while also remaining attractive to encourage new investment in the regime.</w:t>
      </w:r>
    </w:p>
    <w:p w14:paraId="69F6F97A" w14:textId="77777777" w:rsidR="00363282" w:rsidRPr="00017217" w:rsidRDefault="00363282" w:rsidP="00363282">
      <w:pPr>
        <w:spacing w:after="160" w:line="259" w:lineRule="auto"/>
        <w:rPr>
          <w:rFonts w:ascii="Calibri" w:eastAsia="Calibri" w:hAnsi="Calibri" w:cs="Times New Roman"/>
        </w:rPr>
      </w:pPr>
      <w:r w:rsidRPr="00017217">
        <w:rPr>
          <w:rFonts w:ascii="Calibri" w:eastAsia="Times New Roman" w:hAnsi="Calibri" w:cs="Times New Roman"/>
          <w:sz w:val="32"/>
          <w:szCs w:val="40"/>
        </w:rPr>
        <w:t>A change in ownership and control of a titleholder may result in an unsuitable entity becoming a titleholder in the Australian offshore regime.</w:t>
      </w:r>
    </w:p>
    <w:p w14:paraId="42CD9F4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Commercial transactions to sell or acquire oil and gas assets and titles can be structured in a variety of manners. Currently, the Act requires the assessment and registration of two classes of transactions by the National Offshore Petroleum Titles Administrator (NOPTA) – ‘transfers’ and ‘dealings’.</w:t>
      </w:r>
    </w:p>
    <w:p w14:paraId="65634399" w14:textId="77777777" w:rsidR="00363282" w:rsidRPr="00017217" w:rsidRDefault="00363282" w:rsidP="00363282">
      <w:pPr>
        <w:spacing w:after="160" w:line="259" w:lineRule="auto"/>
        <w:rPr>
          <w:rFonts w:ascii="Calibri" w:eastAsia="Calibri" w:hAnsi="Calibri" w:cs="Times New Roman"/>
          <w:szCs w:val="24"/>
        </w:rPr>
      </w:pPr>
      <w:r w:rsidRPr="00017217">
        <w:rPr>
          <w:rFonts w:ascii="Calibri" w:eastAsia="Calibri" w:hAnsi="Calibri" w:cs="Times New Roman"/>
        </w:rPr>
        <w:t xml:space="preserve">In seeking approval for a transfer, the applicant must provide financial and technical information to NOPTA, who is able to exercise information gathering powers to obtain further documentation from the applicant. However, there is a lack of regulatory oversight of transactions involving a change in the ownership or control of titleholders. This generally occurs via parent company acquisitions of the shares in titleholders (who tend to be subsidiaries within corporate groups). </w:t>
      </w:r>
      <w:r w:rsidRPr="00017217">
        <w:rPr>
          <w:rFonts w:ascii="Calibri" w:eastAsia="Calibri" w:hAnsi="Calibri" w:cs="Times New Roman"/>
          <w:szCs w:val="24"/>
        </w:rPr>
        <w:t xml:space="preserve">This effectively changes the company structure but is not captured by the legislation as a ‘transfer’ of a title or a ‘dealing’ because no interests in the title itself are transferred, created or assigned. </w:t>
      </w:r>
      <w:r w:rsidRPr="00017217">
        <w:rPr>
          <w:rFonts w:ascii="Calibri" w:eastAsia="Calibri" w:hAnsi="Calibri" w:cs="Times New Roman"/>
        </w:rPr>
        <w:t>Such transactions are a common way for the industry to sell ownership of offshore projects.</w:t>
      </w:r>
    </w:p>
    <w:p w14:paraId="2C252D42" w14:textId="77777777" w:rsidR="00363282" w:rsidRPr="00017217" w:rsidRDefault="00363282" w:rsidP="00363282">
      <w:pPr>
        <w:spacing w:after="160" w:line="259" w:lineRule="auto"/>
        <w:rPr>
          <w:rFonts w:ascii="Calibri" w:eastAsia="Calibri" w:hAnsi="Calibri" w:cs="Times New Roman"/>
          <w:szCs w:val="24"/>
        </w:rPr>
      </w:pPr>
      <w:r w:rsidRPr="00017217">
        <w:rPr>
          <w:rFonts w:ascii="Calibri" w:eastAsia="Calibri" w:hAnsi="Calibri" w:cs="Times New Roman"/>
          <w:szCs w:val="24"/>
        </w:rPr>
        <w:t>This results in a risk that entities that are not suitable or capable can enter the regime where a producing asset is acquired ‘indirectly’ through a change in the ownership or control of the titleholder (the entity that holds the interests in the title itself). This risk increases late in the life of the title due to declining production, resulting in an uncertain revenue stream, and potentially resulting in the costs of decommissioning being beyond the financial capacity of the titleholder.</w:t>
      </w:r>
      <w:r w:rsidRPr="00017217">
        <w:rPr>
          <w:rFonts w:ascii="Calibri" w:eastAsia="Calibri" w:hAnsi="Calibri" w:cs="Times New Roman"/>
          <w:szCs w:val="24"/>
        </w:rPr>
        <w:br w:type="page"/>
      </w:r>
    </w:p>
    <w:p w14:paraId="29460D4D"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There is insufficient clarity and/or transparency of decision-making criteria at key gateway points to determine whether an entity is suitable to enter Australia’s offshore regime.</w:t>
      </w:r>
    </w:p>
    <w:p w14:paraId="7F79120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Good decision-making builds in accountability that applies to the decision-maker by ensuring the merits of each case are considered against criteria. Currently, there is a lack of clarity around the regulator’s decision-making criteria (allowing for broad discretion) at key gateway points, other than the initial entry application into the regime. These decisions determine whether a titleholder is appropriate to enter Australia’s offshore regime.</w:t>
      </w:r>
    </w:p>
    <w:p w14:paraId="62B53BDB"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As projects mature, there is the increased probability of existing titleholders looking to sell its title and/or assets, as the viability of the project starts to diminish as a result of the declining resources and increasing costs. While this may provide an investment opportunity for companies with lower overheads to extract the remaining resource,  the regulator’s decision making process as to whether a titleholder is appropriate and capable to undertake these activities and enter the regime, remains unclear. This includes a lack of clarity around the requirements and decision-making criteria that the regulator will consider in deciding whether an applicant</w:t>
      </w:r>
      <w:r w:rsidRPr="00017217" w:rsidDel="002A449F">
        <w:rPr>
          <w:rFonts w:ascii="Calibri" w:eastAsia="Calibri" w:hAnsi="Calibri" w:cs="Times New Roman"/>
        </w:rPr>
        <w:t xml:space="preserve"> </w:t>
      </w:r>
      <w:r w:rsidRPr="00017217">
        <w:rPr>
          <w:rFonts w:ascii="Calibri" w:eastAsia="Calibri" w:hAnsi="Calibri" w:cs="Times New Roman"/>
        </w:rPr>
        <w:t>is appropriate, financially and technically capable and whether they have a history of compliance and good standing within the regime.</w:t>
      </w:r>
    </w:p>
    <w:p w14:paraId="5DC62C14"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There are limited mechanisms to protect the Australian taxpayer where the titleholder is unable to meet its liabilities or encourage titleholders to undertake their due diligence when disposing of assets/titles.</w:t>
      </w:r>
    </w:p>
    <w:p w14:paraId="1695EE3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While the current regulatory framework provides for oversight, there may be unforeseen circumstances (such as a crash in oil price, of extended period of subdued demand during the current pandemic) where despite its best efforts, a titleholder’s financial health may deteriorate to such a point that it cannot continue to operate, thereby putting at risk its ability to meet its decommissioning obligations. An inability to properly decommission and remediate a site raises potential risks to the environment without government intervention.</w:t>
      </w:r>
    </w:p>
    <w:p w14:paraId="10E03329"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In Australia, the form of ‘trailing liability’ in the regime is currently limited in its use to a certain set of circumstances. The independent </w:t>
      </w:r>
      <w:hyperlink r:id="rId21" w:history="1">
        <w:r w:rsidRPr="00017217">
          <w:rPr>
            <w:rFonts w:ascii="Calibri" w:eastAsia="Calibri" w:hAnsi="Calibri" w:cs="Times New Roman"/>
          </w:rPr>
          <w:t>Review of the Circumstances that Led to the Administration of the Northern Oil and Gas Australia (NOGA) Group of Companies</w:t>
        </w:r>
      </w:hyperlink>
      <w:r w:rsidRPr="00017217">
        <w:rPr>
          <w:rFonts w:ascii="Calibri" w:eastAsia="Calibri" w:hAnsi="Calibri" w:cs="Times New Roman"/>
        </w:rPr>
        <w:t xml:space="preserve"> by Mr Steve Walker (the Walker Review), highlighted that this limited scope for trailing liability doesn’t properly protect the interests of the broader community and taxpayer, and is inconsistent with comparable jurisdictions who are managing a mature industry.</w:t>
      </w:r>
    </w:p>
    <w:p w14:paraId="04175F7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As a result of this limited nature, it means that there is limited ability for the regulator to ‘call back’ previous titleholders or other related persons in the event the former titleholder no longer exists, who have obtained a financial benefit from the resources. Where a current titleholder suffers financial distress and/or is unable to fulfil its decommissioning liabilities, and all other safeguards have failed, the Government should have the ability to recall a previous titleholder(s) to be involved in decommissioning and/or remediation activities. The Walker Review observed that this ability is available in other jurisdictions and should be considered in the Australian context.</w:t>
      </w:r>
    </w:p>
    <w:p w14:paraId="0FB5710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Recognising the ways in which companies are able to structure transactions to divest assets and titles to limit accountability for decommissioning obligations, the department proposes to introduce </w:t>
      </w:r>
      <w:r w:rsidRPr="00017217">
        <w:rPr>
          <w:rFonts w:ascii="Calibri" w:eastAsia="Calibri" w:hAnsi="Calibri" w:cs="Times New Roman"/>
        </w:rPr>
        <w:lastRenderedPageBreak/>
        <w:t>the concept of a ‘related person’ for the purposes of trailing liability. A related person will include the former titleholder and a parent company of the current or former titleholder.</w:t>
      </w:r>
    </w:p>
    <w:p w14:paraId="3EBEFB5B"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department considers a key policy objective of expanding the existing trailing liability provisions, to be a change in industry behaviour in that outgoing titleholders would undertake greater due diligence checks of who it is selling its assets to, knowing that if the incoming titleholder fails to meets its obligations the outgoing titleholder would be recalled. This is important in reducing the risk that existing titleholders may dispose of mature-late-life assets to entities who may not be financially or technically capable of undertaking the petroleum activities and fulfilling their liabilities.</w:t>
      </w:r>
    </w:p>
    <w:p w14:paraId="3FBDA0A9" w14:textId="77777777" w:rsidR="00363282" w:rsidRPr="00017217" w:rsidRDefault="00363282" w:rsidP="00363282">
      <w:pPr>
        <w:spacing w:after="160" w:line="259" w:lineRule="auto"/>
        <w:rPr>
          <w:rFonts w:ascii="Calibri" w:eastAsia="Calibri" w:hAnsi="Calibri" w:cs="Times New Roman"/>
          <w:sz w:val="48"/>
          <w:szCs w:val="48"/>
        </w:rPr>
      </w:pPr>
      <w:bookmarkStart w:id="61" w:name="_Toc54348564"/>
      <w:bookmarkStart w:id="62" w:name="_Toc54359193"/>
      <w:bookmarkStart w:id="63" w:name="_Toc54360199"/>
      <w:bookmarkStart w:id="64" w:name="_Toc54360257"/>
      <w:r w:rsidRPr="00017217">
        <w:rPr>
          <w:rFonts w:ascii="Calibri" w:eastAsia="Calibri" w:hAnsi="Calibri" w:cs="Times New Roman"/>
          <w:sz w:val="48"/>
          <w:szCs w:val="48"/>
        </w:rPr>
        <w:t>2.</w:t>
      </w:r>
      <w:r w:rsidRPr="00017217">
        <w:rPr>
          <w:rFonts w:ascii="Calibri" w:eastAsia="Calibri" w:hAnsi="Calibri" w:cs="Times New Roman"/>
          <w:sz w:val="48"/>
          <w:szCs w:val="48"/>
        </w:rPr>
        <w:tab/>
        <w:t>Need for government action</w:t>
      </w:r>
      <w:bookmarkEnd w:id="61"/>
      <w:bookmarkEnd w:id="62"/>
      <w:bookmarkEnd w:id="63"/>
      <w:bookmarkEnd w:id="64"/>
    </w:p>
    <w:p w14:paraId="68C93BA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As the Australian offshore regime matures, government action is needed to improve the regulatory framework and address the issues that have been brought to light by the recent NOGA liquidation. Government action is required to undertake continuous improvement of the offshore regulatory framework, which maintains community confidence in the regime and provides for better regulatory outcomes for both the government and the industry.</w:t>
      </w:r>
    </w:p>
    <w:p w14:paraId="0B0146D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financial risks to the Commonwealth and the Australian taxpayer if no action is taken are significant, as offshore resource projects are generally multi-billion dollar investments with assets and liabilities of a similar magnitude and scale. Similarly, the environmental and safety risks if a project is not adequately decommissioned are significant and could result in the pollution and/or damage to the marine environment as well as injury/loss of life to employees or impacts on other users of the marine environment. In addition, government action is needed to ensure that the reputation of Australia’s offshore regime is maintained, in line with other leading practice regimes around the world.</w:t>
      </w:r>
    </w:p>
    <w:p w14:paraId="4B0848A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Australian government must take action to improve and increase safeguards against the significant risks to the Commonwealth if offshore projects are unable to be decommissioned by titleholders.</w:t>
      </w:r>
    </w:p>
    <w:p w14:paraId="17D8FE2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includes adding clarity and regulatory oversight to decision making criteria, so that the regulator can consider an applicant’s appropriateness to take over title interests, assess their capacity to fulfil their financial and technical obligations before they enter the regime and ensure such decisions and requirements are clear and transparent to industry. This assists both the regulator and potential titleholders in understanding the requirements that will be considered to enter the offshore regime.</w:t>
      </w:r>
    </w:p>
    <w:p w14:paraId="7A99CCF7"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Government action is required to ensure that where all other safeguards have failed, as an option of last resort, it has the ability to mitigate the risks to itself (and subsequently the Australian taxpayer) by requiring decommissioning liabilities to be met by former titleholders or related persons in the event the former titleholder company no longer exists, who have obtained financial benefits from the resources.</w:t>
      </w:r>
    </w:p>
    <w:p w14:paraId="79591A89"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In Australia, this is currently limited in its use to a certain set of circumstances. The Walker Review highlighted that this limited scope does not properly protect the interests of the broader community and taxpayer, and is inconsistent with comparable jurisdictions who are managing a mature industry. It should be noted that in the offshore resources industry, there will always be inherent risks and there is no way in which to completely eliminate the risk of a titleholder experiencing financial distress. However, the department is proposing measures that will provide some </w:t>
      </w:r>
      <w:r w:rsidRPr="00017217">
        <w:rPr>
          <w:rFonts w:ascii="Calibri" w:eastAsia="Calibri" w:hAnsi="Calibri" w:cs="Times New Roman"/>
        </w:rPr>
        <w:lastRenderedPageBreak/>
        <w:t>safeguards and mechanisms to improve regulatory oversight and reduce the risks as much as possible while maintaining the Australian regime as an attractive investment destination.</w:t>
      </w:r>
    </w:p>
    <w:p w14:paraId="6A5BEEE1" w14:textId="77777777" w:rsidR="00363282" w:rsidRPr="00017217" w:rsidRDefault="00363282" w:rsidP="00363282">
      <w:pPr>
        <w:spacing w:after="160" w:line="259" w:lineRule="auto"/>
        <w:rPr>
          <w:rFonts w:ascii="Calibri" w:eastAsia="Calibri" w:hAnsi="Calibri" w:cs="Times New Roman"/>
          <w:sz w:val="48"/>
          <w:szCs w:val="48"/>
        </w:rPr>
      </w:pPr>
      <w:bookmarkStart w:id="65" w:name="_Toc54348565"/>
      <w:bookmarkStart w:id="66" w:name="_Toc54359194"/>
      <w:bookmarkStart w:id="67" w:name="_Toc54360200"/>
      <w:bookmarkStart w:id="68" w:name="_Toc54360258"/>
      <w:r w:rsidRPr="00017217">
        <w:rPr>
          <w:rFonts w:ascii="Calibri" w:eastAsia="Calibri" w:hAnsi="Calibri" w:cs="Times New Roman"/>
          <w:sz w:val="48"/>
          <w:szCs w:val="48"/>
        </w:rPr>
        <w:t>3.</w:t>
      </w:r>
      <w:r w:rsidRPr="00017217">
        <w:rPr>
          <w:rFonts w:ascii="Calibri" w:eastAsia="Calibri" w:hAnsi="Calibri" w:cs="Times New Roman"/>
          <w:sz w:val="48"/>
          <w:szCs w:val="48"/>
        </w:rPr>
        <w:tab/>
        <w:t>Potential policy options</w:t>
      </w:r>
      <w:bookmarkEnd w:id="65"/>
      <w:bookmarkEnd w:id="66"/>
      <w:bookmarkEnd w:id="67"/>
      <w:bookmarkEnd w:id="68"/>
    </w:p>
    <w:p w14:paraId="63E82A58"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Three options have been considered to respond to the problem statement.</w:t>
      </w:r>
    </w:p>
    <w:p w14:paraId="5CAD4E6E"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 non-regulatory option has not been explored as a possible option. This is because a non-regulatory option does not meet the fundamental requirements for regulatory oversight from the Australian Government for the offshore oil and gas regulatory framework. Removing or diminishing the Australian Government’s role in the regulation of offshore petroleum activities poses an unacceptable risk to the industry, environment and the Australian public.</w:t>
      </w:r>
    </w:p>
    <w:p w14:paraId="7FA6B157" w14:textId="77777777" w:rsidR="00363282" w:rsidRPr="00017217" w:rsidRDefault="00363282" w:rsidP="00363282">
      <w:pPr>
        <w:spacing w:after="160" w:line="259" w:lineRule="auto"/>
        <w:rPr>
          <w:rFonts w:ascii="Calibri" w:eastAsia="Calibri" w:hAnsi="Calibri" w:cs="Times New Roman"/>
        </w:rPr>
      </w:pPr>
      <w:r w:rsidRPr="00017217">
        <w:rPr>
          <w:rFonts w:ascii="Calibri" w:eastAsia="Times New Roman" w:hAnsi="Calibri" w:cs="Times New Roman"/>
          <w:sz w:val="32"/>
          <w:szCs w:val="40"/>
        </w:rPr>
        <w:t>Option 1</w:t>
      </w:r>
    </w:p>
    <w:p w14:paraId="38EE5F93" w14:textId="77777777" w:rsidR="00363282" w:rsidRPr="00017217" w:rsidRDefault="00363282" w:rsidP="00363282">
      <w:pPr>
        <w:spacing w:after="160" w:line="259" w:lineRule="auto"/>
        <w:rPr>
          <w:rFonts w:ascii="Calibri" w:eastAsia="Calibri" w:hAnsi="Calibri" w:cs="Times New Roman"/>
          <w:b/>
        </w:rPr>
      </w:pPr>
      <w:r w:rsidRPr="00017217">
        <w:rPr>
          <w:rFonts w:ascii="Calibri" w:eastAsia="Calibri" w:hAnsi="Calibri" w:cs="Times New Roman"/>
        </w:rPr>
        <w:t>In this option, the regime remains as is, the government takes no action and the regulatory framework continues to operate in its current form.</w:t>
      </w:r>
    </w:p>
    <w:p w14:paraId="2BD565BE"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This option means that no Commonwealth resources are required to amend </w:t>
      </w:r>
      <w:r w:rsidRPr="00017217">
        <w:rPr>
          <w:rFonts w:ascii="Calibri" w:eastAsia="Calibri" w:hAnsi="Calibri" w:cs="Times New Roman"/>
          <w:bCs/>
        </w:rPr>
        <w:t>the Act or to undertake increased regulation of the regime. This also means that there is no increase in regulatory burden for industry as there is no change in the regulatory obligations.</w:t>
      </w:r>
    </w:p>
    <w:p w14:paraId="34ACED9C"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Without regulatory amendments, projects within the regime will continue to mature with many reaching their end of life over the next 10 to 50 years. There will be no added regulatory oversight at key gateway points and limited mechanisms for the regulator to call back any previous titleholders to fulfil decommissioning obligations. It is possible that acquiring title interests through a change in ownership or control of a titleholder company will become a preferred entry gateway for entrants into the regime in later project life, as companies can access existing PRRT credits.</w:t>
      </w:r>
    </w:p>
    <w:p w14:paraId="69244D5D"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Without making regulatory amendments to the existing framework, there are increased risks of the taxpayer being exposed to the costs associated with similar events occurring. Financially, these risks are significant as the liabilities of projects coming to the end of life within the Australian regime are over AUD$60 billion across the next 30 years.</w:t>
      </w:r>
      <w:r w:rsidRPr="00017217">
        <w:rPr>
          <w:rFonts w:ascii="Calibri" w:eastAsia="Calibri" w:hAnsi="Calibri" w:cs="Times New Roman"/>
          <w:vertAlign w:val="superscript"/>
        </w:rPr>
        <w:footnoteReference w:id="3"/>
      </w:r>
      <w:r w:rsidRPr="00017217">
        <w:rPr>
          <w:rFonts w:ascii="Calibri" w:eastAsia="Calibri" w:hAnsi="Calibri" w:cs="Times New Roman"/>
        </w:rPr>
        <w:t xml:space="preserve"> There will also remain risks to the environment and safety of employees where the financial and technical capability of new titleholders are not considered at key gateway points.</w:t>
      </w:r>
    </w:p>
    <w:p w14:paraId="30B8E4DE"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Taking no action may result in companies who do not have the financial capacity, being unable to fulfil their environmental and work health and safety requirements under the Act, presenting a risk to the safety of individuals and the environment. It also risks reputational damage to the Australian offshore regime if it does not adapt to meet the evolving needs of the industry and various projects coming to their end of life. As the current regime is lightly tested with regard to decommissioning activities, there are identified opportunities to improve the current regulatory practice with regard to petroleum activities that occur in mid-late life of a title such as sale, transfers and decommissioning.</w:t>
      </w:r>
    </w:p>
    <w:p w14:paraId="4030EAB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Under this option, the form of trailing liability would also remain limited with little ability for the government to call back a former titleholder or related person in the event the last remaining titleholder failed to meet its decommissioning obligations. This will retain the status quo and the </w:t>
      </w:r>
      <w:r w:rsidRPr="00017217">
        <w:rPr>
          <w:rFonts w:ascii="Calibri" w:eastAsia="Calibri" w:hAnsi="Calibri" w:cs="Times New Roman"/>
        </w:rPr>
        <w:lastRenderedPageBreak/>
        <w:t>current behaviour of the industry to offload mature projects to avoid the liabilities attached to those projects.</w:t>
      </w:r>
    </w:p>
    <w:p w14:paraId="2FA88489"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Option 2</w:t>
      </w:r>
    </w:p>
    <w:p w14:paraId="6EF1356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In this option, regulatory amendments are made to increase regulatory oversight of titleholders entering and progressing through the regime, while not stifling investment in the Australian offshore regime. </w:t>
      </w:r>
      <w:r w:rsidRPr="00017217">
        <w:rPr>
          <w:rFonts w:ascii="Calibri" w:eastAsia="Calibri" w:hAnsi="Calibri" w:cs="Times New Roman"/>
          <w:bCs/>
        </w:rPr>
        <w:t xml:space="preserve">It </w:t>
      </w:r>
      <w:r w:rsidRPr="00017217">
        <w:rPr>
          <w:rFonts w:ascii="Calibri" w:eastAsia="Calibri" w:hAnsi="Calibri" w:cs="Times New Roman"/>
        </w:rPr>
        <w:t>seeks to balance the tension between providing adequate regulatory oversight and mechanisms to reduce the risks surrounding decommissioning liabilities for new titleholders, while not tying up a company’s cash flow towards the end of the project’s lifespan, which may result in some companies experiencing financial distress.</w:t>
      </w:r>
    </w:p>
    <w:p w14:paraId="369A0AF4"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Through the proposed regulatory amendments, the regulator will be given clear decision-making criteria to assess, on a case-by-case basis, a new entity applying to enter the regime and consider their financial and technical capability to fulfil their obligations. Using a risk-based approach, the regulator can consider the diverse range of titleholders, assets and projects, which each present varying degrees of risk and liability. This option places the onus on the applicant to demonstrate to Government that they have the capacity and capability to fulfil their obligations.</w:t>
      </w:r>
    </w:p>
    <w:p w14:paraId="4EA3135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Increased oversight and clarity around decision-making at key gateway points such as sale, transfer or change of ownership would also provide potential titleholders with transparency around the process, expectations and obligations required to take part in the Australian offshore regime.</w:t>
      </w:r>
    </w:p>
    <w:p w14:paraId="612B107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approach seeks to ensure that the regulatory amendments are both reasonable and effective, while creating mechanisms that allow a regulator to mitigate potential risks to the Commonwealth.</w:t>
      </w:r>
    </w:p>
    <w:p w14:paraId="4C233663" w14:textId="77777777" w:rsidR="00363282" w:rsidRPr="00017217" w:rsidRDefault="00363282" w:rsidP="00363282">
      <w:pPr>
        <w:spacing w:after="160" w:line="259" w:lineRule="auto"/>
        <w:rPr>
          <w:rFonts w:ascii="Calibri" w:eastAsia="Calibri" w:hAnsi="Calibri" w:cs="Times New Roman"/>
          <w:bCs/>
        </w:rPr>
      </w:pPr>
      <w:r w:rsidRPr="00017217">
        <w:rPr>
          <w:rFonts w:ascii="Calibri" w:eastAsia="Calibri" w:hAnsi="Calibri" w:cs="Times New Roman"/>
          <w:bCs/>
        </w:rPr>
        <w:t>The proposed measures in this option would involve the following changes to the Act:</w:t>
      </w:r>
    </w:p>
    <w:p w14:paraId="7DEA64A7"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providing clear decision-making criteria for the regulator in assessing capacity and appropriateness at specified high risk gateways, including transfers of titles, and changes in  ownership and control relating to titleholders;</w:t>
      </w:r>
    </w:p>
    <w:p w14:paraId="24246211" w14:textId="77777777" w:rsidR="00363282" w:rsidRPr="00017217" w:rsidRDefault="00363282" w:rsidP="00363282">
      <w:pPr>
        <w:numPr>
          <w:ilvl w:val="1"/>
          <w:numId w:val="14"/>
        </w:numPr>
        <w:spacing w:after="160" w:line="259" w:lineRule="auto"/>
        <w:contextualSpacing/>
        <w:rPr>
          <w:rFonts w:ascii="Calibri" w:eastAsia="Calibri" w:hAnsi="Calibri" w:cs="Times New Roman"/>
          <w:bCs/>
        </w:rPr>
      </w:pPr>
      <w:r w:rsidRPr="00017217">
        <w:rPr>
          <w:rFonts w:ascii="Calibri" w:eastAsia="Calibri" w:hAnsi="Calibri" w:cs="Times New Roman"/>
        </w:rPr>
        <w:t>including criteria for participants in the regime (either direct or indirect) to assess their appropriateness to carry out petroleum or GHG storage activities;</w:t>
      </w:r>
    </w:p>
    <w:p w14:paraId="22D2E258" w14:textId="77777777" w:rsidR="00363282" w:rsidRPr="00017217" w:rsidRDefault="00363282" w:rsidP="00363282">
      <w:pPr>
        <w:numPr>
          <w:ilvl w:val="1"/>
          <w:numId w:val="14"/>
        </w:numPr>
        <w:spacing w:after="160" w:line="259" w:lineRule="auto"/>
        <w:contextualSpacing/>
        <w:rPr>
          <w:rFonts w:ascii="Calibri" w:eastAsia="Calibri" w:hAnsi="Calibri" w:cs="Times New Roman"/>
          <w:bCs/>
        </w:rPr>
      </w:pPr>
      <w:r w:rsidRPr="00017217">
        <w:rPr>
          <w:rFonts w:ascii="Calibri" w:eastAsia="Calibri" w:hAnsi="Calibri" w:cs="Times New Roman"/>
        </w:rPr>
        <w:t>providing that an application or a titleholder will need to demonstrate their financial and technical capability and appropriateness at specified high risk gateways;</w:t>
      </w:r>
    </w:p>
    <w:p w14:paraId="0F421E57"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enabling regulatory oversight where there is a change of ownership and/or control i.e. ensuring that transaction is subject to the same regulatory requirements as if it is a transfer of title.</w:t>
      </w:r>
    </w:p>
    <w:p w14:paraId="7692B74F"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expanding the existing trailing provisions to apply in a greater range of circumstances through the issuance of a remedial direction to a former titleholder and/or related person as a last resort option available to government.</w:t>
      </w:r>
    </w:p>
    <w:p w14:paraId="758F4B61" w14:textId="77777777" w:rsidR="00363282" w:rsidRPr="00017217" w:rsidRDefault="00363282" w:rsidP="00363282">
      <w:pPr>
        <w:numPr>
          <w:ilvl w:val="1"/>
          <w:numId w:val="14"/>
        </w:numPr>
        <w:spacing w:after="160" w:line="259" w:lineRule="auto"/>
        <w:contextualSpacing/>
        <w:rPr>
          <w:rFonts w:ascii="Calibri" w:eastAsia="Calibri" w:hAnsi="Calibri" w:cs="Times New Roman"/>
          <w:bCs/>
        </w:rPr>
      </w:pPr>
      <w:r w:rsidRPr="00017217">
        <w:rPr>
          <w:rFonts w:ascii="Calibri" w:eastAsia="Calibri" w:hAnsi="Calibri" w:cs="Times New Roman"/>
        </w:rPr>
        <w:t>In comparable jurisdictions and given the last resort nature of trailing liability, it has been designed that trailing liability is ‘activated’ following a series of events and non-compliance by the current titleholder.</w:t>
      </w:r>
    </w:p>
    <w:p w14:paraId="154BC7D8"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 xml:space="preserve">Option 3 </w:t>
      </w:r>
    </w:p>
    <w:p w14:paraId="173E69D6"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option involves NOPTA taking a more intensive approach to regulation to reduce the risk that a titleholder is unable to meet its liabilities.</w:t>
      </w:r>
    </w:p>
    <w:p w14:paraId="506EEB57"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lastRenderedPageBreak/>
        <w:t>Here, the same changes as Option 2 would be made to the regulatory framework however, the regulator’s oversight of low risk transactions and gateways would also be increased and trailing liability would be a standalone obligation in the Act rather than being a power that is activated by a decision of government. The result of this option is that companies will need to account for its liabilities on an ongoing basis, in some form, despite selling its assets to another party.</w:t>
      </w:r>
    </w:p>
    <w:p w14:paraId="4A47561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means that rather than giving NOPTA the discretion in assessing these risks on a case-by-case basis, a regulator would require much more information from applicants on each and every transaction during the life of a title.</w:t>
      </w:r>
    </w:p>
    <w:p w14:paraId="2DBDFF34"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option would require:</w:t>
      </w:r>
    </w:p>
    <w:p w14:paraId="6CF441BC"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More detailed information requirements at key gateway points as well as more prescriptive requirements that the regulator would need to consider in making its decision;</w:t>
      </w:r>
    </w:p>
    <w:p w14:paraId="718AACF3"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Added regulatory oversight of financial and technical capability across all dealings great and small rather than just the key gateway points which present higher risk (for example, where a joint operating agreement between titleholders is amended as opposed to when the title undergoes a change of ownership or transfer at a key gateway);</w:t>
      </w:r>
    </w:p>
    <w:p w14:paraId="7019D698"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A fit and proper associates test to assess any individual who may have either direct or indirect influence and or control are scrutinised, where a new titleholder seeks to enter the Australian offshore regime; and</w:t>
      </w:r>
    </w:p>
    <w:p w14:paraId="2A4A69D9"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Addition of a ‘standing obligation’ in the Act that a titleholder may at any time, be recalled to undertake decommissioning and remedial activities.</w:t>
      </w:r>
    </w:p>
    <w:p w14:paraId="03CB8194"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approach would be highly burdensome on operators and titleholders and would involve a significantly higher cost to the Commonwealth to ensure compliance, while not necessarily delivering a significant benefit in reducing the risks of decommissioning liabilities being met.</w:t>
      </w:r>
    </w:p>
    <w:p w14:paraId="3136B2C7"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option may also discourage further investment in Australia.</w:t>
      </w:r>
    </w:p>
    <w:p w14:paraId="1A7555FC" w14:textId="77777777" w:rsidR="00363282" w:rsidRPr="00017217" w:rsidRDefault="00363282" w:rsidP="00363282">
      <w:pPr>
        <w:spacing w:after="160" w:line="259" w:lineRule="auto"/>
        <w:rPr>
          <w:rFonts w:ascii="Calibri" w:eastAsia="Calibri" w:hAnsi="Calibri" w:cs="Times New Roman"/>
          <w:sz w:val="48"/>
          <w:szCs w:val="48"/>
        </w:rPr>
      </w:pPr>
      <w:bookmarkStart w:id="69" w:name="_Toc54348566"/>
      <w:bookmarkStart w:id="70" w:name="_Toc54359195"/>
      <w:bookmarkStart w:id="71" w:name="_Toc54360201"/>
      <w:bookmarkStart w:id="72" w:name="_Toc54360259"/>
      <w:r w:rsidRPr="00017217">
        <w:rPr>
          <w:rFonts w:ascii="Calibri" w:eastAsia="Calibri" w:hAnsi="Calibri" w:cs="Times New Roman"/>
          <w:sz w:val="48"/>
          <w:szCs w:val="48"/>
        </w:rPr>
        <w:t>4.</w:t>
      </w:r>
      <w:r w:rsidRPr="00017217">
        <w:rPr>
          <w:rFonts w:ascii="Calibri" w:eastAsia="Calibri" w:hAnsi="Calibri" w:cs="Times New Roman"/>
          <w:sz w:val="48"/>
          <w:szCs w:val="48"/>
        </w:rPr>
        <w:tab/>
        <w:t>Net benefits</w:t>
      </w:r>
      <w:bookmarkEnd w:id="69"/>
      <w:bookmarkEnd w:id="70"/>
      <w:bookmarkEnd w:id="71"/>
      <w:bookmarkEnd w:id="72"/>
    </w:p>
    <w:p w14:paraId="22706849"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Costing assumptions for the potential policy options are at Annex 1.</w:t>
      </w:r>
    </w:p>
    <w:p w14:paraId="4D5D73CA" w14:textId="77777777" w:rsidR="00363282" w:rsidRPr="00017217" w:rsidRDefault="00363282" w:rsidP="00363282">
      <w:pPr>
        <w:spacing w:after="160" w:line="259" w:lineRule="auto"/>
        <w:rPr>
          <w:rFonts w:ascii="Calibri" w:eastAsia="Calibri" w:hAnsi="Calibri" w:cs="Times New Roman"/>
        </w:rPr>
      </w:pPr>
      <w:r w:rsidRPr="00017217">
        <w:rPr>
          <w:rFonts w:ascii="Calibri" w:eastAsia="Times New Roman" w:hAnsi="Calibri" w:cs="Times New Roman"/>
          <w:sz w:val="32"/>
          <w:szCs w:val="40"/>
        </w:rPr>
        <w:t>Option 1</w:t>
      </w:r>
    </w:p>
    <w:p w14:paraId="152FD9DD" w14:textId="77777777" w:rsidR="00363282" w:rsidRPr="00017217" w:rsidRDefault="00363282" w:rsidP="00363282">
      <w:pPr>
        <w:spacing w:after="160" w:line="259" w:lineRule="auto"/>
        <w:rPr>
          <w:rFonts w:ascii="Calibri" w:eastAsia="Times New Roman" w:hAnsi="Calibri" w:cs="Calibri"/>
          <w:lang w:eastAsia="en-AU"/>
        </w:rPr>
      </w:pPr>
      <w:r w:rsidRPr="00017217">
        <w:rPr>
          <w:rFonts w:ascii="Calibri" w:eastAsia="Calibri" w:hAnsi="Calibri" w:cs="Calibri"/>
        </w:rPr>
        <w:t xml:space="preserve">Option 1 (status quo): </w:t>
      </w:r>
      <w:r w:rsidRPr="00017217">
        <w:rPr>
          <w:rFonts w:ascii="Calibri" w:eastAsia="Calibri" w:hAnsi="Calibri" w:cs="Calibri"/>
          <w:b/>
        </w:rPr>
        <w:t>$1,895.66</w:t>
      </w:r>
      <w:r w:rsidRPr="00017217">
        <w:rPr>
          <w:rFonts w:ascii="Calibri" w:eastAsia="Calibri" w:hAnsi="Calibri" w:cs="Calibri"/>
        </w:rPr>
        <w:t xml:space="preserve"> (estimated cost for an organisation to prepare a </w:t>
      </w:r>
      <w:r w:rsidRPr="00017217">
        <w:rPr>
          <w:rFonts w:ascii="Calibri" w:eastAsia="Times New Roman" w:hAnsi="Calibri" w:cs="Calibri"/>
          <w:lang w:eastAsia="en-AU"/>
        </w:rPr>
        <w:t xml:space="preserve">report) based on </w:t>
      </w:r>
      <w:r w:rsidRPr="00017217">
        <w:rPr>
          <w:rFonts w:ascii="Calibri" w:eastAsia="Times New Roman" w:hAnsi="Calibri" w:cs="Calibri"/>
          <w:b/>
          <w:lang w:eastAsia="en-AU"/>
        </w:rPr>
        <w:t>6</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$583.33</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$644,524.40</w:t>
      </w:r>
      <w:r w:rsidRPr="00017217">
        <w:rPr>
          <w:rFonts w:ascii="Calibri" w:eastAsia="Times New Roman" w:hAnsi="Calibri" w:cs="Calibri"/>
          <w:b/>
          <w:lang w:eastAsia="en-AU"/>
        </w:rPr>
        <w:t xml:space="preserve"> </w:t>
      </w:r>
      <w:r w:rsidRPr="00017217">
        <w:rPr>
          <w:rFonts w:ascii="Calibri" w:eastAsia="Times New Roman" w:hAnsi="Calibri" w:cs="Calibri"/>
          <w:lang w:eastAsia="en-AU"/>
        </w:rPr>
        <w:t>(</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68</w:t>
      </w:r>
      <w:r w:rsidRPr="00017217">
        <w:rPr>
          <w:rFonts w:ascii="Calibri" w:eastAsia="Times New Roman" w:hAnsi="Calibri" w:cs="Calibri"/>
          <w:lang w:eastAsia="en-AU"/>
        </w:rPr>
        <w:t xml:space="preserve"> (average number of applications NOPTA receives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67C59FB7"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benefit</w:t>
      </w:r>
    </w:p>
    <w:p w14:paraId="238D24AC"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There are no additional benefits above the existing framework as there is no change.</w:t>
      </w:r>
    </w:p>
    <w:p w14:paraId="78C49141" w14:textId="77777777" w:rsidR="00363282" w:rsidRPr="00017217" w:rsidRDefault="00363282" w:rsidP="00363282">
      <w:pPr>
        <w:spacing w:after="160" w:line="259" w:lineRule="auto"/>
        <w:rPr>
          <w:rFonts w:ascii="Calibri" w:eastAsia="Calibri" w:hAnsi="Calibri" w:cs="Calibri"/>
        </w:rPr>
      </w:pPr>
      <w:r w:rsidRPr="00017217">
        <w:rPr>
          <w:rFonts w:ascii="Calibri" w:eastAsia="Times New Roman" w:hAnsi="Calibri" w:cs="Times New Roman"/>
          <w:iCs/>
          <w:sz w:val="28"/>
          <w:szCs w:val="28"/>
        </w:rPr>
        <w:t>Regulatory cost</w:t>
      </w:r>
    </w:p>
    <w:p w14:paraId="2805625A"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There is no additional regulatory cost associated with this option, as there is no change to the current regulatory framework, therefore no additional burden or impost on the regulator to </w:t>
      </w:r>
      <w:r w:rsidRPr="00017217">
        <w:rPr>
          <w:rFonts w:ascii="Calibri" w:eastAsia="Calibri" w:hAnsi="Calibri" w:cs="Calibri"/>
        </w:rPr>
        <w:lastRenderedPageBreak/>
        <w:t>continue to regulate the framework as it currently stands. There is no change to the cost or burden on industry/titleholders in this option as there is no change in regulation.</w:t>
      </w:r>
    </w:p>
    <w:p w14:paraId="719AD45C" w14:textId="77777777" w:rsidR="00363282" w:rsidRPr="00017217" w:rsidRDefault="00363282" w:rsidP="00363282">
      <w:pPr>
        <w:spacing w:after="160" w:line="259" w:lineRule="auto"/>
        <w:rPr>
          <w:rFonts w:ascii="Calibri" w:eastAsia="Calibri" w:hAnsi="Calibri" w:cs="Calibri"/>
        </w:rPr>
      </w:pPr>
      <w:r w:rsidRPr="00017217">
        <w:rPr>
          <w:rFonts w:ascii="Calibri" w:eastAsia="Times New Roman" w:hAnsi="Calibri" w:cs="Times New Roman"/>
          <w:iCs/>
          <w:sz w:val="28"/>
          <w:szCs w:val="28"/>
        </w:rPr>
        <w:t>Net benefit</w:t>
      </w:r>
    </w:p>
    <w:p w14:paraId="5BD1BA11"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There no net benefit in this option as there is no change to the existing regulatory framework.</w:t>
      </w:r>
    </w:p>
    <w:p w14:paraId="17DC06B4"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Other considerations</w:t>
      </w:r>
    </w:p>
    <w:p w14:paraId="6EF9E9C6"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Without making regulatory improvements to the existing framework, there are increased risks of entities becoming titleholders who are unable to meet their decommissioning obligations, resulting in the risk of a similar event occurring. Failure to decommission may result in safety and environmental impacts unless the Australian Government steps in to decommission and remediate the environment. These risks are significant as Australia’s current decommissioning liability over the next 30 years is estimated to be AUD$60 billion</w:t>
      </w:r>
      <w:r w:rsidRPr="00017217">
        <w:rPr>
          <w:rFonts w:ascii="Calibri" w:eastAsia="Calibri" w:hAnsi="Calibri" w:cs="Calibri"/>
          <w:vertAlign w:val="superscript"/>
        </w:rPr>
        <w:footnoteReference w:id="4"/>
      </w:r>
      <w:r w:rsidRPr="00017217">
        <w:rPr>
          <w:rFonts w:ascii="Calibri" w:eastAsia="Calibri" w:hAnsi="Calibri" w:cs="Calibri"/>
        </w:rPr>
        <w:t xml:space="preserve"> and can have far-reaching consequences for safety and the environment.</w:t>
      </w:r>
    </w:p>
    <w:p w14:paraId="048A4E97"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While the NOGA liquidation was an unprecedented event, the potential consequences for the Australian taxpayer are significant. This risk will increase as Australia’s regime is maturing with many projects nearing the end of life in the near future (next 30-50 years). The likelihood of an operator being unable to fulfil its decommissioning liabilities will therefore increase. Combined with the scale and cost of offshore petroleum projects, the liabilities are significant with limited ability of the government to call back entities.</w:t>
      </w:r>
    </w:p>
    <w:p w14:paraId="48F59B7F"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This option also risks deterioration of community confidence in, and reputational damage to, the Australian industry participants, as well as the government regulator. In addition, titleholders may experience a decline in social licence to operate if other projects are not appropriately decommissioned within the regime. This option increases the risks of an environmental or safety incident if a titleholder is unable to fulfil its liabilities and carry out petroleum activities in accordance with the framework.</w:t>
      </w:r>
    </w:p>
    <w:p w14:paraId="115B2A29"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Option 2</w:t>
      </w:r>
    </w:p>
    <w:p w14:paraId="716D2442" w14:textId="77777777" w:rsidR="00363282" w:rsidRPr="00017217" w:rsidRDefault="00363282" w:rsidP="00363282">
      <w:pPr>
        <w:keepNext/>
        <w:spacing w:after="120" w:line="240" w:lineRule="auto"/>
        <w:rPr>
          <w:rFonts w:ascii="Calibri" w:eastAsia="Calibri" w:hAnsi="Calibri" w:cs="Times New Roman"/>
          <w:i/>
          <w:iCs/>
          <w:szCs w:val="18"/>
        </w:rPr>
      </w:pPr>
      <w:r w:rsidRPr="00017217">
        <w:rPr>
          <w:rFonts w:ascii="Calibri" w:eastAsia="Calibri" w:hAnsi="Calibri" w:cs="Times New Roman"/>
          <w:i/>
          <w:iCs/>
          <w:szCs w:val="18"/>
        </w:rPr>
        <w:t>Summary of regulatory impact calculations</w:t>
      </w:r>
    </w:p>
    <w:tbl>
      <w:tblPr>
        <w:tblStyle w:val="TableGrid3"/>
        <w:tblW w:w="5000" w:type="pct"/>
        <w:tblLook w:val="0000" w:firstRow="0" w:lastRow="0" w:firstColumn="0" w:lastColumn="0" w:noHBand="0" w:noVBand="0"/>
      </w:tblPr>
      <w:tblGrid>
        <w:gridCol w:w="1474"/>
        <w:gridCol w:w="1473"/>
        <w:gridCol w:w="1652"/>
        <w:gridCol w:w="1473"/>
        <w:gridCol w:w="1473"/>
        <w:gridCol w:w="1471"/>
      </w:tblGrid>
      <w:tr w:rsidR="00363282" w:rsidRPr="00017217" w14:paraId="76E1C612" w14:textId="77777777" w:rsidTr="00273E05">
        <w:trPr>
          <w:trHeight w:val="332"/>
        </w:trPr>
        <w:tc>
          <w:tcPr>
            <w:tcW w:w="817" w:type="pct"/>
          </w:tcPr>
          <w:p w14:paraId="0314EF1E"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Options </w:t>
            </w:r>
          </w:p>
        </w:tc>
        <w:tc>
          <w:tcPr>
            <w:tcW w:w="817" w:type="pct"/>
          </w:tcPr>
          <w:p w14:paraId="5525FE2E"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Technical and financial reporting</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916" w:type="pct"/>
          </w:tcPr>
          <w:p w14:paraId="2D9511F7"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Fit and proper person declaration and appropriateness criteria</w:t>
            </w:r>
          </w:p>
          <w:p w14:paraId="4ADF06BF"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Sector ($m)</w:t>
            </w:r>
          </w:p>
        </w:tc>
        <w:tc>
          <w:tcPr>
            <w:tcW w:w="817" w:type="pct"/>
          </w:tcPr>
          <w:p w14:paraId="6912BB4E"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Change of ownership and control</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817" w:type="pct"/>
          </w:tcPr>
          <w:p w14:paraId="0EA88B16"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Total annual estimated regulatory costs ($m) </w:t>
            </w:r>
          </w:p>
        </w:tc>
        <w:tc>
          <w:tcPr>
            <w:tcW w:w="816" w:type="pct"/>
          </w:tcPr>
          <w:p w14:paraId="72EC861C"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Total estimated regulatory costs over thirty years ($m)*</w:t>
            </w:r>
          </w:p>
        </w:tc>
      </w:tr>
      <w:tr w:rsidR="00363282" w:rsidRPr="00017217" w14:paraId="3C9D6041" w14:textId="77777777" w:rsidTr="00273E05">
        <w:trPr>
          <w:trHeight w:val="323"/>
        </w:trPr>
        <w:tc>
          <w:tcPr>
            <w:tcW w:w="817" w:type="pct"/>
          </w:tcPr>
          <w:p w14:paraId="4E78A1F1"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Option 1:</w:t>
            </w:r>
          </w:p>
        </w:tc>
        <w:tc>
          <w:tcPr>
            <w:tcW w:w="817" w:type="pct"/>
          </w:tcPr>
          <w:p w14:paraId="04E968B4"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0.645 </w:t>
            </w:r>
          </w:p>
        </w:tc>
        <w:tc>
          <w:tcPr>
            <w:tcW w:w="916" w:type="pct"/>
          </w:tcPr>
          <w:p w14:paraId="0962862E"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23C23C73"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6D95C1EB"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0.645</w:t>
            </w:r>
          </w:p>
        </w:tc>
        <w:tc>
          <w:tcPr>
            <w:tcW w:w="816" w:type="pct"/>
          </w:tcPr>
          <w:p w14:paraId="253D52C7"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19.350</w:t>
            </w:r>
          </w:p>
        </w:tc>
      </w:tr>
      <w:tr w:rsidR="00363282" w:rsidRPr="00017217" w14:paraId="5611D5E3" w14:textId="77777777" w:rsidTr="00273E05">
        <w:trPr>
          <w:trHeight w:val="218"/>
        </w:trPr>
        <w:tc>
          <w:tcPr>
            <w:tcW w:w="817" w:type="pct"/>
          </w:tcPr>
          <w:p w14:paraId="7C826DC8"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 2: </w:t>
            </w:r>
          </w:p>
        </w:tc>
        <w:tc>
          <w:tcPr>
            <w:tcW w:w="817" w:type="pct"/>
          </w:tcPr>
          <w:p w14:paraId="32BA9F7F"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0.825 </w:t>
            </w:r>
          </w:p>
        </w:tc>
        <w:tc>
          <w:tcPr>
            <w:tcW w:w="916" w:type="pct"/>
          </w:tcPr>
          <w:p w14:paraId="3C859F22"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3.151</w:t>
            </w:r>
          </w:p>
        </w:tc>
        <w:tc>
          <w:tcPr>
            <w:tcW w:w="817" w:type="pct"/>
          </w:tcPr>
          <w:p w14:paraId="6D36A694"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64A163B0"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3.979</w:t>
            </w:r>
          </w:p>
        </w:tc>
        <w:tc>
          <w:tcPr>
            <w:tcW w:w="816" w:type="pct"/>
          </w:tcPr>
          <w:p w14:paraId="1E7A54BF"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119.370</w:t>
            </w:r>
          </w:p>
        </w:tc>
      </w:tr>
      <w:tr w:rsidR="00363282" w:rsidRPr="00017217" w14:paraId="6E693888" w14:textId="77777777" w:rsidTr="00273E05">
        <w:trPr>
          <w:trHeight w:val="112"/>
        </w:trPr>
        <w:tc>
          <w:tcPr>
            <w:tcW w:w="817" w:type="pct"/>
          </w:tcPr>
          <w:p w14:paraId="05474FA4"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Change in regulatory costs </w:t>
            </w:r>
          </w:p>
        </w:tc>
        <w:tc>
          <w:tcPr>
            <w:tcW w:w="817" w:type="pct"/>
          </w:tcPr>
          <w:p w14:paraId="1BC708D1"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0.180 </w:t>
            </w:r>
          </w:p>
        </w:tc>
        <w:tc>
          <w:tcPr>
            <w:tcW w:w="916" w:type="pct"/>
          </w:tcPr>
          <w:p w14:paraId="3DAA0348"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3.151</w:t>
            </w:r>
          </w:p>
        </w:tc>
        <w:tc>
          <w:tcPr>
            <w:tcW w:w="817" w:type="pct"/>
          </w:tcPr>
          <w:p w14:paraId="3E4CB454"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1FAEC5D2"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3.334</w:t>
            </w:r>
          </w:p>
        </w:tc>
        <w:tc>
          <w:tcPr>
            <w:tcW w:w="816" w:type="pct"/>
          </w:tcPr>
          <w:p w14:paraId="0EE7D1D3"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100.020 </w:t>
            </w:r>
          </w:p>
        </w:tc>
      </w:tr>
    </w:tbl>
    <w:p w14:paraId="55AAB20A" w14:textId="77777777" w:rsidR="00363282" w:rsidRPr="00017217" w:rsidRDefault="00363282" w:rsidP="00363282">
      <w:pPr>
        <w:spacing w:after="160" w:line="259" w:lineRule="auto"/>
        <w:rPr>
          <w:rFonts w:ascii="Calibri" w:eastAsia="Calibri" w:hAnsi="Calibri" w:cs="Calibri"/>
          <w:sz w:val="16"/>
          <w:szCs w:val="20"/>
        </w:rPr>
      </w:pPr>
      <w:r w:rsidRPr="00017217">
        <w:rPr>
          <w:rFonts w:ascii="Calibri" w:eastAsia="Calibri" w:hAnsi="Calibri" w:cs="Calibri"/>
          <w:sz w:val="16"/>
          <w:szCs w:val="20"/>
        </w:rPr>
        <w:t>*A thirty-year period for forecasted regulatory costs has been used due to the extended duration of offshore oil and gas projects.</w:t>
      </w:r>
    </w:p>
    <w:p w14:paraId="107D148F" w14:textId="77777777" w:rsidR="00363282" w:rsidRPr="00017217" w:rsidRDefault="00363282" w:rsidP="00363282">
      <w:pPr>
        <w:spacing w:after="160" w:line="259" w:lineRule="auto"/>
        <w:rPr>
          <w:rFonts w:ascii="Calibri" w:eastAsia="Times New Roman" w:hAnsi="Calibri" w:cs="Calibri"/>
          <w:szCs w:val="20"/>
          <w:lang w:eastAsia="en-AU"/>
        </w:rPr>
      </w:pPr>
      <w:r w:rsidRPr="00017217">
        <w:rPr>
          <w:rFonts w:ascii="Calibri" w:eastAsia="Calibri" w:hAnsi="Calibri" w:cs="Calibri"/>
          <w:szCs w:val="20"/>
        </w:rPr>
        <w:t xml:space="preserve">Option 2 (additional </w:t>
      </w:r>
      <w:r w:rsidRPr="00017217">
        <w:rPr>
          <w:rFonts w:ascii="Calibri" w:eastAsia="Times New Roman" w:hAnsi="Calibri" w:cs="Calibri"/>
          <w:szCs w:val="20"/>
          <w:lang w:eastAsia="en-AU"/>
        </w:rPr>
        <w:t>technical and financial reports</w:t>
      </w:r>
      <w:r w:rsidRPr="00017217">
        <w:rPr>
          <w:rFonts w:ascii="Calibri" w:eastAsia="Calibri" w:hAnsi="Calibri" w:cs="Calibri"/>
          <w:szCs w:val="20"/>
        </w:rPr>
        <w:t xml:space="preserve">): </w:t>
      </w:r>
      <w:r w:rsidRPr="00017217">
        <w:rPr>
          <w:rFonts w:ascii="Calibri" w:eastAsia="Calibri" w:hAnsi="Calibri" w:cs="Calibri"/>
          <w:b/>
          <w:szCs w:val="20"/>
        </w:rPr>
        <w:t>$1,895.66</w:t>
      </w:r>
      <w:r w:rsidRPr="00017217">
        <w:rPr>
          <w:rFonts w:ascii="Calibri" w:eastAsia="Calibri" w:hAnsi="Calibri" w:cs="Calibri"/>
          <w:szCs w:val="20"/>
        </w:rPr>
        <w:t xml:space="preserve"> (estimated cost for an organisation to prepare a </w:t>
      </w:r>
      <w:r w:rsidRPr="00017217">
        <w:rPr>
          <w:rFonts w:ascii="Calibri" w:eastAsia="Times New Roman" w:hAnsi="Calibri" w:cs="Calibri"/>
          <w:szCs w:val="20"/>
          <w:lang w:eastAsia="en-AU"/>
        </w:rPr>
        <w:t xml:space="preserve">report) based on </w:t>
      </w:r>
      <w:r w:rsidRPr="00017217">
        <w:rPr>
          <w:rFonts w:ascii="Calibri" w:eastAsia="Times New Roman" w:hAnsi="Calibri" w:cs="Calibri"/>
          <w:b/>
          <w:szCs w:val="20"/>
          <w:lang w:eastAsia="en-AU"/>
        </w:rPr>
        <w:t>6</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w:t>
      </w:r>
      <w:r w:rsidRPr="00017217">
        <w:rPr>
          <w:rFonts w:ascii="Calibri" w:eastAsia="Times New Roman" w:hAnsi="Calibri" w:cs="Calibri"/>
          <w:szCs w:val="20"/>
          <w:lang w:eastAsia="en-AU"/>
        </w:rPr>
        <w:t xml:space="preserve"> and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lastRenderedPageBreak/>
        <w:t>$583.33</w:t>
      </w:r>
      <w:r w:rsidRPr="00017217">
        <w:rPr>
          <w:rFonts w:ascii="Calibri" w:eastAsia="Times New Roman" w:hAnsi="Calibri" w:cs="Calibri"/>
          <w:szCs w:val="20"/>
          <w:lang w:eastAsia="en-AU"/>
        </w:rPr>
        <w:t xml:space="preserve">. </w:t>
      </w:r>
      <w:r w:rsidRPr="00017217">
        <w:rPr>
          <w:rFonts w:ascii="Calibri" w:eastAsia="Calibri" w:hAnsi="Calibri" w:cs="Calibri"/>
          <w:b/>
          <w:szCs w:val="20"/>
          <w:u w:val="single"/>
        </w:rPr>
        <w:t>$824,612.10</w:t>
      </w:r>
      <w:r w:rsidRPr="00017217">
        <w:rPr>
          <w:rFonts w:ascii="Calibri" w:eastAsia="Calibri" w:hAnsi="Calibri" w:cs="Calibri"/>
          <w:b/>
          <w:szCs w:val="20"/>
        </w:rPr>
        <w:t xml:space="preserve"> </w:t>
      </w:r>
      <w:r w:rsidRPr="00017217">
        <w:rPr>
          <w:rFonts w:ascii="Calibri" w:eastAsia="Times New Roman" w:hAnsi="Calibri" w:cs="Calibri"/>
          <w:szCs w:val="20"/>
          <w:lang w:eastAsia="en-AU"/>
        </w:rPr>
        <w:t>(</w:t>
      </w:r>
      <w:r w:rsidRPr="00017217">
        <w:rPr>
          <w:rFonts w:ascii="Calibri" w:eastAsia="Calibri" w:hAnsi="Calibri" w:cs="Calibri"/>
          <w:szCs w:val="20"/>
        </w:rPr>
        <w:t xml:space="preserve">estimated cost </w:t>
      </w:r>
      <w:r w:rsidRPr="00017217">
        <w:rPr>
          <w:rFonts w:ascii="Calibri" w:eastAsia="Times New Roman" w:hAnsi="Calibri" w:cs="Calibri"/>
          <w:szCs w:val="20"/>
          <w:lang w:eastAsia="en-AU"/>
        </w:rPr>
        <w:t xml:space="preserve">across the sector) based on a multiplier of </w:t>
      </w:r>
      <w:r w:rsidRPr="00017217">
        <w:rPr>
          <w:rFonts w:ascii="Calibri" w:eastAsia="Times New Roman" w:hAnsi="Calibri" w:cs="Calibri"/>
          <w:b/>
          <w:szCs w:val="20"/>
          <w:lang w:eastAsia="en-AU"/>
        </w:rPr>
        <w:t>87</w:t>
      </w:r>
      <w:r w:rsidRPr="00017217">
        <w:rPr>
          <w:rFonts w:ascii="Calibri" w:eastAsia="Times New Roman" w:hAnsi="Calibri" w:cs="Calibri"/>
          <w:szCs w:val="20"/>
          <w:lang w:eastAsia="en-AU"/>
        </w:rPr>
        <w:t xml:space="preserve"> (estimated number of applications NOPTA will receive per FY) and </w:t>
      </w:r>
      <w:r w:rsidRPr="00017217">
        <w:rPr>
          <w:rFonts w:ascii="Calibri" w:eastAsia="Times New Roman" w:hAnsi="Calibri" w:cs="Calibri"/>
          <w:b/>
          <w:szCs w:val="20"/>
          <w:lang w:eastAsia="en-AU"/>
        </w:rPr>
        <w:t xml:space="preserve">5 </w:t>
      </w:r>
      <w:r w:rsidRPr="00017217">
        <w:rPr>
          <w:rFonts w:ascii="Calibri" w:eastAsia="Times New Roman" w:hAnsi="Calibri" w:cs="Calibri"/>
          <w:szCs w:val="20"/>
          <w:lang w:eastAsia="en-AU"/>
        </w:rPr>
        <w:t>(average JV partners per title).</w:t>
      </w:r>
    </w:p>
    <w:p w14:paraId="298A6D25" w14:textId="77777777" w:rsidR="00363282" w:rsidRPr="00017217" w:rsidRDefault="00363282" w:rsidP="00363282">
      <w:pPr>
        <w:spacing w:after="160" w:line="259" w:lineRule="auto"/>
        <w:rPr>
          <w:rFonts w:ascii="Calibri" w:eastAsia="Times New Roman" w:hAnsi="Calibri" w:cs="Calibri"/>
          <w:szCs w:val="20"/>
          <w:lang w:eastAsia="en-AU"/>
        </w:rPr>
      </w:pPr>
      <w:r w:rsidRPr="00017217">
        <w:rPr>
          <w:rFonts w:ascii="Calibri" w:eastAsia="Calibri" w:hAnsi="Calibri" w:cs="Calibri"/>
          <w:szCs w:val="20"/>
        </w:rPr>
        <w:t>Option 2 (</w:t>
      </w:r>
      <w:r w:rsidRPr="00017217">
        <w:rPr>
          <w:rFonts w:ascii="Calibri" w:eastAsia="Times New Roman" w:hAnsi="Calibri" w:cs="Calibri"/>
          <w:szCs w:val="20"/>
          <w:lang w:eastAsia="en-AU"/>
        </w:rPr>
        <w:t>fit and proper person declaration and appropriateness criteria application</w:t>
      </w:r>
      <w:r w:rsidRPr="00017217">
        <w:rPr>
          <w:rFonts w:ascii="Calibri" w:eastAsia="Calibri" w:hAnsi="Calibri" w:cs="Calibri"/>
          <w:szCs w:val="20"/>
        </w:rPr>
        <w:t xml:space="preserve">): </w:t>
      </w:r>
      <w:r w:rsidRPr="00017217">
        <w:rPr>
          <w:rFonts w:ascii="Calibri" w:eastAsia="Calibri" w:hAnsi="Calibri" w:cs="Calibri"/>
          <w:b/>
          <w:szCs w:val="20"/>
        </w:rPr>
        <w:t xml:space="preserve">$7,242.96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w:t>
      </w:r>
      <w:r w:rsidRPr="00017217">
        <w:rPr>
          <w:rFonts w:ascii="Calibri" w:eastAsia="Times New Roman" w:hAnsi="Calibri" w:cs="Calibri"/>
          <w:szCs w:val="20"/>
          <w:lang w:eastAsia="en-AU"/>
        </w:rPr>
        <w:t xml:space="preserve"> and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12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Calibri" w:hAnsi="Calibri" w:cs="Calibri"/>
          <w:b/>
          <w:szCs w:val="20"/>
          <w:u w:val="single"/>
        </w:rPr>
        <w:t>$3,150,687.60</w:t>
      </w:r>
      <w:r w:rsidRPr="00017217">
        <w:rPr>
          <w:rFonts w:ascii="Calibri" w:eastAsia="Calibri" w:hAnsi="Calibri" w:cs="Calibri"/>
          <w:b/>
          <w:szCs w:val="20"/>
        </w:rPr>
        <w:t xml:space="preserve"> </w:t>
      </w:r>
      <w:r w:rsidRPr="00017217">
        <w:rPr>
          <w:rFonts w:ascii="Calibri" w:eastAsia="Times New Roman" w:hAnsi="Calibri" w:cs="Calibri"/>
          <w:szCs w:val="20"/>
          <w:lang w:eastAsia="en-AU"/>
        </w:rPr>
        <w:t>(</w:t>
      </w:r>
      <w:r w:rsidRPr="00017217">
        <w:rPr>
          <w:rFonts w:ascii="Calibri" w:eastAsia="Calibri" w:hAnsi="Calibri" w:cs="Calibri"/>
          <w:szCs w:val="20"/>
        </w:rPr>
        <w:t xml:space="preserve">estimated cost </w:t>
      </w:r>
      <w:r w:rsidRPr="00017217">
        <w:rPr>
          <w:rFonts w:ascii="Calibri" w:eastAsia="Times New Roman" w:hAnsi="Calibri" w:cs="Calibri"/>
          <w:szCs w:val="20"/>
          <w:lang w:eastAsia="en-AU"/>
        </w:rPr>
        <w:t xml:space="preserve">across the sector) based on a multiplier of </w:t>
      </w:r>
      <w:r w:rsidRPr="00017217">
        <w:rPr>
          <w:rFonts w:ascii="Calibri" w:eastAsia="Times New Roman" w:hAnsi="Calibri" w:cs="Calibri"/>
          <w:b/>
          <w:szCs w:val="20"/>
          <w:lang w:eastAsia="en-AU"/>
        </w:rPr>
        <w:t>87</w:t>
      </w:r>
      <w:r w:rsidRPr="00017217">
        <w:rPr>
          <w:rFonts w:ascii="Calibri" w:eastAsia="Times New Roman" w:hAnsi="Calibri" w:cs="Calibri"/>
          <w:szCs w:val="20"/>
          <w:lang w:eastAsia="en-AU"/>
        </w:rPr>
        <w:t xml:space="preserve"> (estimated number of applications NOPTA will receive per FY) and </w:t>
      </w:r>
      <w:r w:rsidRPr="00017217">
        <w:rPr>
          <w:rFonts w:ascii="Calibri" w:eastAsia="Times New Roman" w:hAnsi="Calibri" w:cs="Calibri"/>
          <w:b/>
          <w:szCs w:val="20"/>
          <w:lang w:eastAsia="en-AU"/>
        </w:rPr>
        <w:t xml:space="preserve">5 </w:t>
      </w:r>
      <w:r w:rsidRPr="00017217">
        <w:rPr>
          <w:rFonts w:ascii="Calibri" w:eastAsia="Times New Roman" w:hAnsi="Calibri" w:cs="Calibri"/>
          <w:szCs w:val="20"/>
          <w:lang w:eastAsia="en-AU"/>
        </w:rPr>
        <w:t>(average JV partners per title).</w:t>
      </w:r>
    </w:p>
    <w:p w14:paraId="3E89EAF3" w14:textId="77777777" w:rsidR="00363282" w:rsidRPr="00017217" w:rsidRDefault="00363282" w:rsidP="00363282">
      <w:pPr>
        <w:spacing w:after="160" w:line="259" w:lineRule="auto"/>
        <w:rPr>
          <w:rFonts w:ascii="Calibri" w:eastAsia="Times New Roman" w:hAnsi="Calibri" w:cs="Calibri"/>
          <w:szCs w:val="20"/>
          <w:lang w:eastAsia="en-AU"/>
        </w:rPr>
      </w:pPr>
      <w:r w:rsidRPr="00017217">
        <w:rPr>
          <w:rFonts w:ascii="Calibri" w:eastAsia="Calibri" w:hAnsi="Calibri" w:cs="Calibri"/>
          <w:szCs w:val="20"/>
        </w:rPr>
        <w:t>Option 2 (</w:t>
      </w:r>
      <w:r w:rsidRPr="00017217">
        <w:rPr>
          <w:rFonts w:ascii="Calibri" w:eastAsia="Times New Roman" w:hAnsi="Calibri" w:cs="Calibri"/>
          <w:szCs w:val="20"/>
          <w:lang w:eastAsia="en-AU"/>
        </w:rPr>
        <w:t>change of ownership and control application</w:t>
      </w:r>
      <w:r w:rsidRPr="00017217">
        <w:rPr>
          <w:rFonts w:ascii="Calibri" w:eastAsia="Calibri" w:hAnsi="Calibri" w:cs="Calibri"/>
          <w:szCs w:val="20"/>
        </w:rPr>
        <w:t xml:space="preserve">): </w:t>
      </w:r>
      <w:r w:rsidRPr="00017217">
        <w:rPr>
          <w:rFonts w:ascii="Calibri" w:eastAsia="Calibri" w:hAnsi="Calibri" w:cs="Calibri"/>
          <w:b/>
          <w:szCs w:val="20"/>
          <w:u w:val="single"/>
        </w:rPr>
        <w:t xml:space="preserve">$1,288.16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1</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 a</w:t>
      </w:r>
      <w:r w:rsidRPr="00017217">
        <w:rPr>
          <w:rFonts w:ascii="Calibri" w:eastAsia="Times New Roman" w:hAnsi="Calibri" w:cs="Calibri"/>
          <w:szCs w:val="20"/>
          <w:lang w:eastAsia="en-AU"/>
        </w:rPr>
        <w:t xml:space="preserve">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Times New Roman" w:hAnsi="Calibri" w:cs="Calibri"/>
          <w:b/>
          <w:szCs w:val="20"/>
          <w:lang w:eastAsia="en-AU"/>
        </w:rPr>
        <w:t xml:space="preserve">$2,576.32 </w:t>
      </w:r>
      <w:r w:rsidRPr="00017217">
        <w:rPr>
          <w:rFonts w:ascii="Calibri" w:eastAsia="Times New Roman" w:hAnsi="Calibri" w:cs="Calibri"/>
          <w:szCs w:val="20"/>
          <w:lang w:eastAsia="en-AU"/>
        </w:rPr>
        <w:t xml:space="preserve">across the sector with a multiplier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(average number of applications NOPTA receives per FY).</w:t>
      </w:r>
    </w:p>
    <w:p w14:paraId="4C074332"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benefit</w:t>
      </w:r>
    </w:p>
    <w:p w14:paraId="4DA9A39D"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There is regulatory benefit in making the amendments proposed in this option.</w:t>
      </w:r>
    </w:p>
    <w:p w14:paraId="7FF69EB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Making regulatory amendments to increase regulatory oversight means that there will be increased safeguards in place at key gateway points. This in turn, helps mitigate the risk that liabilities will not be met and are instead, transferred to appropriate entities who have the financial and technical capability to meet those risks. To date, the Australian Government has expended over AUD$75 million to mitigate safety and environmental risks as a result of the liquidation of the NOGA group of companies. Although Option 2 introduces anticipated regulatory impacts for industry, the regulatory benefits would far outweigh these impacts if as few as two similar events occur in the future.</w:t>
      </w:r>
    </w:p>
    <w:p w14:paraId="3332D248"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There is also regulatory benefit in providing clarity of decision-making requirements at key gateway points to ensure the process is user-friendly, easy to implement and transparent to all parties. This will ensure that the regulator is better able to manage the expectations of applicants and titleholders and result in an overall better regulatory practice.</w:t>
      </w:r>
    </w:p>
    <w:p w14:paraId="3FB9CFE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benefit of an expansion of the existing trailing liability provisions is that it achieves the governments outcomes of having the ability to recall previous titleholders ensuring the cost, expenses and liabilities associated with decommissioning are not borne by the Australian community but minimises the extent of how commercial entities must report on and carry the liability on their books.</w:t>
      </w:r>
    </w:p>
    <w:p w14:paraId="5668954C" w14:textId="77777777" w:rsidR="00363282" w:rsidRPr="00017217" w:rsidRDefault="00363282" w:rsidP="00363282">
      <w:pPr>
        <w:spacing w:after="160" w:line="259" w:lineRule="auto"/>
        <w:rPr>
          <w:rFonts w:ascii="Calibri" w:eastAsia="Calibri" w:hAnsi="Calibri" w:cs="Times New Roman"/>
        </w:rPr>
      </w:pPr>
      <w:r w:rsidRPr="00017217">
        <w:rPr>
          <w:rFonts w:ascii="Calibri" w:eastAsia="Times New Roman" w:hAnsi="Calibri" w:cs="Times New Roman"/>
          <w:iCs/>
          <w:sz w:val="28"/>
          <w:szCs w:val="28"/>
        </w:rPr>
        <w:t>Regulatory cost</w:t>
      </w:r>
    </w:p>
    <w:p w14:paraId="0534650C"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regulatory cost of this option includes the resourcing and administrative costs involved with amending the regulatory framework and its implementation. In addition, implementing the new regulatory measures would require additional resourcing for the regulator.</w:t>
      </w:r>
    </w:p>
    <w:p w14:paraId="4615281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would involve some additional costs to provide additional oversight into matters that are already considered by the regulator (i.e. assessing the financial and technical capability where a titleholder applies to join the regime).</w:t>
      </w:r>
    </w:p>
    <w:p w14:paraId="34AF028C" w14:textId="77777777" w:rsidR="00363282" w:rsidRPr="00017217" w:rsidRDefault="00363282" w:rsidP="00363282">
      <w:pPr>
        <w:spacing w:after="160" w:line="259" w:lineRule="auto"/>
        <w:rPr>
          <w:rFonts w:ascii="Calibri" w:eastAsia="Calibri" w:hAnsi="Calibri" w:cs="Times New Roman"/>
          <w:u w:val="single"/>
        </w:rPr>
      </w:pPr>
      <w:r w:rsidRPr="00017217">
        <w:rPr>
          <w:rFonts w:ascii="Calibri" w:eastAsia="Calibri" w:hAnsi="Calibri" w:cs="Times New Roman"/>
        </w:rPr>
        <w:t xml:space="preserve">There would be additional regulatory costs to cover regulatory oversight in matters where the regulator would not ordinarily do so (i.e. change in control of a company). This would include resourcing for the purpose of seeking and considering more information from the titleholder or </w:t>
      </w:r>
      <w:r w:rsidRPr="00017217">
        <w:rPr>
          <w:rFonts w:ascii="Calibri" w:eastAsia="Calibri" w:hAnsi="Calibri" w:cs="Times New Roman"/>
        </w:rPr>
        <w:lastRenderedPageBreak/>
        <w:t>assessing information according to new criteria established by the proposed measures. However these additional responsibilities would only occur at key gateway points in the life of the title (i.e. where the title is sold or transferred) rather than as a regular occurrence (e.g. weekly, monthly or even annually in many cases).</w:t>
      </w:r>
    </w:p>
    <w:p w14:paraId="39017DB1" w14:textId="77777777" w:rsidR="00363282" w:rsidRPr="00017217" w:rsidRDefault="00363282" w:rsidP="00363282">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Net benefit</w:t>
      </w:r>
    </w:p>
    <w:p w14:paraId="093FB80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There is a net benefit for this option because the regulatory cost is less than the regulatory benefit. </w:t>
      </w:r>
      <w:r w:rsidRPr="00017217">
        <w:rPr>
          <w:rFonts w:ascii="Calibri" w:eastAsia="Calibri" w:hAnsi="Calibri" w:cs="Calibri"/>
        </w:rPr>
        <w:t xml:space="preserve">Although the liquidation of the NOGA group of companies was an unprecedented event in the history of Australia’s offshore </w:t>
      </w:r>
      <w:r w:rsidRPr="00017217">
        <w:rPr>
          <w:rFonts w:ascii="Calibri" w:eastAsia="Calibri" w:hAnsi="Calibri" w:cs="Times New Roman"/>
        </w:rPr>
        <w:t>regime, the avoided costs to the Commonwealth and to the Australian taxpayer would far exceed any anticipated regulatory impacts to industry; if the changes where to prevent just  two similar situations over the next thirty years.</w:t>
      </w:r>
    </w:p>
    <w:p w14:paraId="6C84D93C"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Other considerations</w:t>
      </w:r>
    </w:p>
    <w:p w14:paraId="3F8EBF1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option meets the Australian Government’s policy objective in continuously improving the offshore resources regime and provides a regulatory framework for industry where liabilities are disposed of responsibly and in line with other best practice regimes.</w:t>
      </w:r>
    </w:p>
    <w:p w14:paraId="6244DB2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Costs in relation to trailing liability are only anticipated to result in minimal to nil impact to Australia’s overall investment attractiveness; as the associated liability obligations will only be enlivened as a measure of last resort, when all other regulatory mechanisms have failed.</w:t>
      </w:r>
    </w:p>
    <w:p w14:paraId="069810D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This option also supports industry’s social licence to operate as amending the regulatory framework to include better regulatory practices increase community confidence and provide assurances to the Australian community that the regime has environment, safety and financial risks at the forefront of its policy and regulation.</w:t>
      </w:r>
    </w:p>
    <w:p w14:paraId="12CA6E8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There is a significant risk to the taxpayer in not implementing this option as the financial risk if a titleholder is not able to fulfil its decommissioning obligations is potentially significant, particularly given the nature, scale and cost of offshore petroleum operations.</w:t>
      </w:r>
    </w:p>
    <w:p w14:paraId="7B0019B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Expanding the existing trailing provisions to create a larger dormant power that needs to be ‘activated’ by a decision of government, we understand may not need to be carried on the books of companies once an asset has been sold. In comparable jurisdictions who are managing maturing industry and given the last resort nature of trailing liability, it has been designed that trailing liability is ‘activated’ following a series of events and non-compliance by the current titleholder.</w:t>
      </w:r>
    </w:p>
    <w:p w14:paraId="4DE89E43"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department intends for a similar series of events or gateways, before trailing liability could be ‘activated’ by government, especially given this implementation option is to expand upon a form of existing trailing liability in the legislation, which currently has attached criminal liabilities with up to five years imprisonment should a breach occur.</w:t>
      </w:r>
    </w:p>
    <w:p w14:paraId="700C3D24"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Calibri" w:hAnsi="Calibri" w:cs="Times New Roman"/>
        </w:rPr>
        <w:t>The department is not aware of any instances in comparable jurisdictions where trailing liability has been required and it appears the threat of governments having the power has been sufficient to effect behavioural change in industry and increased diligence on who companies sell their assets to.</w:t>
      </w:r>
      <w:r w:rsidRPr="00017217">
        <w:rPr>
          <w:rFonts w:ascii="Calibri" w:eastAsia="Times New Roman" w:hAnsi="Calibri" w:cs="Times New Roman"/>
          <w:sz w:val="32"/>
          <w:szCs w:val="40"/>
        </w:rPr>
        <w:br w:type="page"/>
      </w:r>
    </w:p>
    <w:p w14:paraId="20926EE3"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Option 3</w:t>
      </w:r>
    </w:p>
    <w:p w14:paraId="2CB4C804" w14:textId="77777777" w:rsidR="00363282" w:rsidRPr="00017217" w:rsidRDefault="00363282" w:rsidP="00363282">
      <w:pPr>
        <w:keepNext/>
        <w:spacing w:after="120" w:line="240" w:lineRule="auto"/>
        <w:rPr>
          <w:rFonts w:ascii="Calibri" w:eastAsia="Calibri" w:hAnsi="Calibri" w:cs="Times New Roman"/>
          <w:i/>
          <w:iCs/>
          <w:szCs w:val="18"/>
        </w:rPr>
      </w:pPr>
      <w:r w:rsidRPr="00017217">
        <w:rPr>
          <w:rFonts w:ascii="Calibri" w:eastAsia="Calibri" w:hAnsi="Calibri" w:cs="Times New Roman"/>
          <w:i/>
          <w:iCs/>
          <w:szCs w:val="18"/>
        </w:rPr>
        <w:t>Summary of regulatory impact calculations</w:t>
      </w:r>
    </w:p>
    <w:tbl>
      <w:tblPr>
        <w:tblStyle w:val="TableGrid3"/>
        <w:tblW w:w="5000" w:type="pct"/>
        <w:tblLook w:val="0000" w:firstRow="0" w:lastRow="0" w:firstColumn="0" w:lastColumn="0" w:noHBand="0" w:noVBand="0"/>
      </w:tblPr>
      <w:tblGrid>
        <w:gridCol w:w="1474"/>
        <w:gridCol w:w="1473"/>
        <w:gridCol w:w="1652"/>
        <w:gridCol w:w="1473"/>
        <w:gridCol w:w="1473"/>
        <w:gridCol w:w="1471"/>
      </w:tblGrid>
      <w:tr w:rsidR="00363282" w:rsidRPr="00017217" w14:paraId="02F1DF13" w14:textId="77777777" w:rsidTr="00273E05">
        <w:trPr>
          <w:trHeight w:val="332"/>
        </w:trPr>
        <w:tc>
          <w:tcPr>
            <w:tcW w:w="817" w:type="pct"/>
          </w:tcPr>
          <w:p w14:paraId="2E6A1B38"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Options </w:t>
            </w:r>
          </w:p>
        </w:tc>
        <w:tc>
          <w:tcPr>
            <w:tcW w:w="817" w:type="pct"/>
          </w:tcPr>
          <w:p w14:paraId="37A2FE0C"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Technical and financial reporting</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916" w:type="pct"/>
          </w:tcPr>
          <w:p w14:paraId="02F8EFE0"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Fit and proper person declaration and appropriateness criteria</w:t>
            </w:r>
          </w:p>
          <w:p w14:paraId="23170BDD"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Sector ($m)</w:t>
            </w:r>
          </w:p>
        </w:tc>
        <w:tc>
          <w:tcPr>
            <w:tcW w:w="817" w:type="pct"/>
          </w:tcPr>
          <w:p w14:paraId="462EEC90"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Times New Roman" w:hAnsi="Arial" w:cs="Arial"/>
                <w:sz w:val="20"/>
                <w:szCs w:val="20"/>
                <w:lang w:eastAsia="en-AU"/>
              </w:rPr>
              <w:t>Change of ownership and control</w:t>
            </w:r>
            <w:r w:rsidRPr="00017217">
              <w:rPr>
                <w:rFonts w:ascii="Arial" w:eastAsia="Times New Roman" w:hAnsi="Arial" w:cs="Arial"/>
                <w:sz w:val="20"/>
                <w:szCs w:val="20"/>
                <w:lang w:eastAsia="en-AU"/>
              </w:rPr>
              <w:br/>
            </w:r>
            <w:r w:rsidRPr="00017217">
              <w:rPr>
                <w:rFonts w:ascii="Arial" w:eastAsia="Calibri" w:hAnsi="Arial" w:cs="Arial"/>
                <w:sz w:val="20"/>
                <w:szCs w:val="20"/>
              </w:rPr>
              <w:t>Sector ($m)</w:t>
            </w:r>
          </w:p>
        </w:tc>
        <w:tc>
          <w:tcPr>
            <w:tcW w:w="817" w:type="pct"/>
          </w:tcPr>
          <w:p w14:paraId="1136218A"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Total annual estimated regulatory costs ($m) </w:t>
            </w:r>
          </w:p>
        </w:tc>
        <w:tc>
          <w:tcPr>
            <w:tcW w:w="816" w:type="pct"/>
          </w:tcPr>
          <w:p w14:paraId="64B15AB6"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Total estimated regulatory costs over thirty years ($m)*</w:t>
            </w:r>
          </w:p>
        </w:tc>
      </w:tr>
      <w:tr w:rsidR="00363282" w:rsidRPr="00017217" w14:paraId="38431DBC" w14:textId="77777777" w:rsidTr="00273E05">
        <w:trPr>
          <w:trHeight w:val="323"/>
        </w:trPr>
        <w:tc>
          <w:tcPr>
            <w:tcW w:w="817" w:type="pct"/>
          </w:tcPr>
          <w:p w14:paraId="14077F0C"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Option one:</w:t>
            </w:r>
          </w:p>
        </w:tc>
        <w:tc>
          <w:tcPr>
            <w:tcW w:w="817" w:type="pct"/>
          </w:tcPr>
          <w:p w14:paraId="7EA1AA1A"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0.645 </w:t>
            </w:r>
          </w:p>
        </w:tc>
        <w:tc>
          <w:tcPr>
            <w:tcW w:w="916" w:type="pct"/>
          </w:tcPr>
          <w:p w14:paraId="1B07A7E0"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0FBFFCBE"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 </w:t>
            </w:r>
          </w:p>
        </w:tc>
        <w:tc>
          <w:tcPr>
            <w:tcW w:w="817" w:type="pct"/>
          </w:tcPr>
          <w:p w14:paraId="534FB99F"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0.644</w:t>
            </w:r>
          </w:p>
        </w:tc>
        <w:tc>
          <w:tcPr>
            <w:tcW w:w="816" w:type="pct"/>
          </w:tcPr>
          <w:p w14:paraId="3490F63C"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19.350</w:t>
            </w:r>
          </w:p>
        </w:tc>
      </w:tr>
      <w:tr w:rsidR="00363282" w:rsidRPr="00017217" w14:paraId="0D7C94A2" w14:textId="77777777" w:rsidTr="00273E05">
        <w:trPr>
          <w:trHeight w:val="218"/>
        </w:trPr>
        <w:tc>
          <w:tcPr>
            <w:tcW w:w="817" w:type="pct"/>
          </w:tcPr>
          <w:p w14:paraId="01D88925"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Option three: </w:t>
            </w:r>
          </w:p>
        </w:tc>
        <w:tc>
          <w:tcPr>
            <w:tcW w:w="817" w:type="pct"/>
          </w:tcPr>
          <w:p w14:paraId="6B120DBB"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2.370</w:t>
            </w:r>
          </w:p>
        </w:tc>
        <w:tc>
          <w:tcPr>
            <w:tcW w:w="916" w:type="pct"/>
          </w:tcPr>
          <w:p w14:paraId="2EA5AF1B"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18.661</w:t>
            </w:r>
          </w:p>
        </w:tc>
        <w:tc>
          <w:tcPr>
            <w:tcW w:w="817" w:type="pct"/>
          </w:tcPr>
          <w:p w14:paraId="253B6611"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72C76A0C"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21.034</w:t>
            </w:r>
          </w:p>
        </w:tc>
        <w:tc>
          <w:tcPr>
            <w:tcW w:w="816" w:type="pct"/>
          </w:tcPr>
          <w:p w14:paraId="673C4053"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631.020</w:t>
            </w:r>
          </w:p>
        </w:tc>
      </w:tr>
      <w:tr w:rsidR="00363282" w:rsidRPr="00017217" w14:paraId="3D61B3A3" w14:textId="77777777" w:rsidTr="00273E05">
        <w:trPr>
          <w:trHeight w:val="112"/>
        </w:trPr>
        <w:tc>
          <w:tcPr>
            <w:tcW w:w="817" w:type="pct"/>
          </w:tcPr>
          <w:p w14:paraId="7F5ED494"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Change in regulatory costs </w:t>
            </w:r>
          </w:p>
        </w:tc>
        <w:tc>
          <w:tcPr>
            <w:tcW w:w="817" w:type="pct"/>
          </w:tcPr>
          <w:p w14:paraId="740E27C6"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1.725 </w:t>
            </w:r>
          </w:p>
        </w:tc>
        <w:tc>
          <w:tcPr>
            <w:tcW w:w="916" w:type="pct"/>
          </w:tcPr>
          <w:p w14:paraId="5E18DA6D"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 xml:space="preserve">18.661 </w:t>
            </w:r>
          </w:p>
        </w:tc>
        <w:tc>
          <w:tcPr>
            <w:tcW w:w="817" w:type="pct"/>
          </w:tcPr>
          <w:p w14:paraId="7A807F68"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0.003</w:t>
            </w:r>
          </w:p>
        </w:tc>
        <w:tc>
          <w:tcPr>
            <w:tcW w:w="817" w:type="pct"/>
          </w:tcPr>
          <w:p w14:paraId="2EA4A3A1"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20.389</w:t>
            </w:r>
          </w:p>
        </w:tc>
        <w:tc>
          <w:tcPr>
            <w:tcW w:w="816" w:type="pct"/>
          </w:tcPr>
          <w:p w14:paraId="7D263239" w14:textId="77777777" w:rsidR="00363282" w:rsidRPr="00017217" w:rsidRDefault="00363282" w:rsidP="00273E05">
            <w:pPr>
              <w:autoSpaceDE w:val="0"/>
              <w:autoSpaceDN w:val="0"/>
              <w:adjustRightInd w:val="0"/>
              <w:rPr>
                <w:rFonts w:ascii="Arial" w:eastAsia="Calibri" w:hAnsi="Arial" w:cs="Arial"/>
                <w:sz w:val="20"/>
                <w:szCs w:val="20"/>
              </w:rPr>
            </w:pPr>
            <w:r w:rsidRPr="00017217">
              <w:rPr>
                <w:rFonts w:ascii="Arial" w:eastAsia="Calibri" w:hAnsi="Arial" w:cs="Arial"/>
                <w:sz w:val="20"/>
                <w:szCs w:val="20"/>
              </w:rPr>
              <w:t>611.670</w:t>
            </w:r>
          </w:p>
        </w:tc>
      </w:tr>
    </w:tbl>
    <w:p w14:paraId="683542AA" w14:textId="77777777" w:rsidR="00363282" w:rsidRPr="00017217" w:rsidRDefault="00363282" w:rsidP="00363282">
      <w:pPr>
        <w:spacing w:after="160" w:line="259" w:lineRule="auto"/>
        <w:rPr>
          <w:rFonts w:ascii="Calibri" w:eastAsia="Calibri" w:hAnsi="Calibri" w:cs="Calibri"/>
          <w:sz w:val="16"/>
          <w:szCs w:val="20"/>
        </w:rPr>
      </w:pPr>
      <w:r w:rsidRPr="00017217">
        <w:rPr>
          <w:rFonts w:ascii="Calibri" w:eastAsia="Calibri" w:hAnsi="Calibri" w:cs="Calibri"/>
          <w:sz w:val="16"/>
          <w:szCs w:val="20"/>
        </w:rPr>
        <w:t>*A thirty-year period for forecasted regulatory costs has been used due to the extended duration of offshore oil and gas projects.</w:t>
      </w:r>
    </w:p>
    <w:p w14:paraId="5E4B546A" w14:textId="77777777" w:rsidR="00363282" w:rsidRPr="00017217" w:rsidRDefault="00363282" w:rsidP="00363282">
      <w:pPr>
        <w:spacing w:after="160" w:line="259" w:lineRule="auto"/>
        <w:rPr>
          <w:rFonts w:ascii="Calibri" w:eastAsia="Times New Roman" w:hAnsi="Calibri" w:cs="Calibri"/>
          <w:lang w:eastAsia="en-AU"/>
        </w:rPr>
      </w:pPr>
      <w:r w:rsidRPr="00017217">
        <w:rPr>
          <w:rFonts w:ascii="Calibri" w:eastAsia="Calibri" w:hAnsi="Calibri" w:cs="Calibri"/>
        </w:rPr>
        <w:t xml:space="preserve">Option 3 (additional </w:t>
      </w:r>
      <w:r w:rsidRPr="00017217">
        <w:rPr>
          <w:rFonts w:ascii="Calibri" w:eastAsia="Times New Roman" w:hAnsi="Calibri" w:cs="Calibri"/>
          <w:lang w:eastAsia="en-AU"/>
        </w:rPr>
        <w:t>technical and financial reports</w:t>
      </w:r>
      <w:r w:rsidRPr="00017217">
        <w:rPr>
          <w:rFonts w:ascii="Calibri" w:eastAsia="Calibri" w:hAnsi="Calibri" w:cs="Calibri"/>
        </w:rPr>
        <w:t xml:space="preserve">): </w:t>
      </w:r>
      <w:r w:rsidRPr="00017217">
        <w:rPr>
          <w:rFonts w:ascii="Calibri" w:eastAsia="Calibri" w:hAnsi="Calibri" w:cs="Calibri"/>
          <w:b/>
        </w:rPr>
        <w:t>$1,895.66</w:t>
      </w:r>
      <w:r w:rsidRPr="00017217">
        <w:rPr>
          <w:rFonts w:ascii="Calibri" w:eastAsia="Calibri" w:hAnsi="Calibri" w:cs="Calibri"/>
        </w:rPr>
        <w:t xml:space="preserve"> (estimated cost for an organisation to prepare a </w:t>
      </w:r>
      <w:r w:rsidRPr="00017217">
        <w:rPr>
          <w:rFonts w:ascii="Calibri" w:eastAsia="Times New Roman" w:hAnsi="Calibri" w:cs="Calibri"/>
          <w:lang w:eastAsia="en-AU"/>
        </w:rPr>
        <w:t xml:space="preserve">report) based on </w:t>
      </w:r>
      <w:r w:rsidRPr="00017217">
        <w:rPr>
          <w:rFonts w:ascii="Calibri" w:eastAsia="Times New Roman" w:hAnsi="Calibri" w:cs="Calibri"/>
          <w:b/>
          <w:lang w:eastAsia="en-AU"/>
        </w:rPr>
        <w:t>6</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$583.33</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$2,369,575.00</w:t>
      </w:r>
      <w:r w:rsidRPr="00017217">
        <w:rPr>
          <w:rFonts w:ascii="Calibri" w:eastAsia="Times New Roman" w:hAnsi="Calibri" w:cs="Calibri"/>
          <w:lang w:eastAsia="en-AU"/>
        </w:rPr>
        <w:t xml:space="preserve"> (</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250</w:t>
      </w:r>
      <w:r w:rsidRPr="00017217">
        <w:rPr>
          <w:rFonts w:ascii="Calibri" w:eastAsia="Times New Roman" w:hAnsi="Calibri" w:cs="Calibri"/>
          <w:lang w:eastAsia="en-AU"/>
        </w:rPr>
        <w:t xml:space="preserve"> (estimated number of applications NOPTA will receive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0AF24C7D" w14:textId="77777777" w:rsidR="00363282" w:rsidRPr="00017217" w:rsidRDefault="00363282" w:rsidP="00363282">
      <w:pPr>
        <w:spacing w:after="160" w:line="259" w:lineRule="auto"/>
        <w:rPr>
          <w:rFonts w:ascii="Calibri" w:eastAsia="Times New Roman" w:hAnsi="Calibri" w:cs="Calibri"/>
          <w:lang w:eastAsia="en-AU"/>
        </w:rPr>
      </w:pPr>
      <w:r w:rsidRPr="00017217">
        <w:rPr>
          <w:rFonts w:ascii="Calibri" w:eastAsia="Calibri" w:hAnsi="Calibri" w:cs="Calibri"/>
        </w:rPr>
        <w:t>Option 3 (</w:t>
      </w:r>
      <w:r w:rsidRPr="00017217">
        <w:rPr>
          <w:rFonts w:ascii="Calibri" w:eastAsia="Times New Roman" w:hAnsi="Calibri" w:cs="Calibri"/>
          <w:lang w:eastAsia="en-AU"/>
        </w:rPr>
        <w:t xml:space="preserve">fit and proper </w:t>
      </w:r>
      <w:r w:rsidRPr="00017217">
        <w:rPr>
          <w:rFonts w:ascii="Calibri" w:eastAsia="Calibri" w:hAnsi="Calibri" w:cs="Times New Roman"/>
          <w:bCs/>
        </w:rPr>
        <w:t>associates test</w:t>
      </w:r>
      <w:r w:rsidRPr="00017217">
        <w:rPr>
          <w:rFonts w:ascii="Calibri" w:eastAsia="Calibri" w:hAnsi="Calibri" w:cs="Times New Roman"/>
        </w:rPr>
        <w:t xml:space="preserve"> </w:t>
      </w:r>
      <w:r w:rsidRPr="00017217">
        <w:rPr>
          <w:rFonts w:ascii="Calibri" w:eastAsia="Times New Roman" w:hAnsi="Calibri" w:cs="Calibri"/>
          <w:lang w:eastAsia="en-AU"/>
        </w:rPr>
        <w:t>and appropriateness criteria application</w:t>
      </w:r>
      <w:r w:rsidRPr="00017217">
        <w:rPr>
          <w:rFonts w:ascii="Calibri" w:eastAsia="Calibri" w:hAnsi="Calibri" w:cs="Calibri"/>
        </w:rPr>
        <w:t xml:space="preserve">): </w:t>
      </w:r>
      <w:r w:rsidRPr="00017217">
        <w:rPr>
          <w:rFonts w:ascii="Calibri" w:eastAsia="Calibri" w:hAnsi="Calibri" w:cs="Calibri"/>
          <w:b/>
        </w:rPr>
        <w:t>$14,928.72</w:t>
      </w:r>
      <w:r w:rsidRPr="00017217">
        <w:rPr>
          <w:rFonts w:ascii="Calibri" w:eastAsia="Calibri" w:hAnsi="Calibri" w:cs="Calibri"/>
        </w:rPr>
        <w:t xml:space="preserve"> (estimated cost for an organisation to prepare an application</w:t>
      </w:r>
      <w:r w:rsidRPr="00017217">
        <w:rPr>
          <w:rFonts w:ascii="Calibri" w:eastAsia="Times New Roman" w:hAnsi="Calibri" w:cs="Calibri"/>
          <w:lang w:eastAsia="en-AU"/>
        </w:rPr>
        <w:t xml:space="preserve">) based on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hours of time of a technical financial / administration employee at an hourly wage rate of $</w:t>
      </w:r>
      <w:r w:rsidRPr="00017217">
        <w:rPr>
          <w:rFonts w:ascii="Calibri" w:eastAsia="Times New Roman" w:hAnsi="Calibri" w:cs="Calibri"/>
          <w:b/>
          <w:lang w:eastAsia="en-AU"/>
        </w:rPr>
        <w:t>121.15</w:t>
      </w:r>
      <w:r w:rsidRPr="00017217">
        <w:rPr>
          <w:rFonts w:ascii="Calibri" w:eastAsia="Times New Roman" w:hAnsi="Calibri" w:cs="Calibri"/>
          <w:lang w:eastAsia="en-AU"/>
        </w:rPr>
        <w:t xml:space="preserve"> and </w:t>
      </w:r>
      <w:r w:rsidRPr="00017217">
        <w:rPr>
          <w:rFonts w:ascii="Calibri" w:eastAsia="Times New Roman" w:hAnsi="Calibri" w:cs="Calibri"/>
          <w:b/>
          <w:lang w:eastAsia="en-AU"/>
        </w:rPr>
        <w:t>1 hour</w:t>
      </w:r>
      <w:r w:rsidRPr="00017217">
        <w:rPr>
          <w:rFonts w:ascii="Calibri" w:eastAsia="Times New Roman" w:hAnsi="Calibri" w:cs="Calibri"/>
          <w:lang w:eastAsia="en-AU"/>
        </w:rPr>
        <w:t xml:space="preserve"> of time of </w:t>
      </w:r>
      <w:r w:rsidRPr="00017217">
        <w:rPr>
          <w:rFonts w:ascii="Calibri" w:eastAsia="Times New Roman" w:hAnsi="Calibri" w:cs="Calibri"/>
          <w:b/>
          <w:lang w:eastAsia="en-AU"/>
        </w:rPr>
        <w:t>12</w:t>
      </w:r>
      <w:r w:rsidRPr="00017217">
        <w:rPr>
          <w:rFonts w:ascii="Calibri" w:eastAsia="Times New Roman" w:hAnsi="Calibri" w:cs="Calibri"/>
          <w:lang w:eastAsia="en-AU"/>
        </w:rPr>
        <w:t xml:space="preserve"> CEOs/Directors at a hourly wage rate of </w:t>
      </w:r>
      <w:r w:rsidRPr="00017217">
        <w:rPr>
          <w:rFonts w:ascii="Calibri" w:eastAsia="Times New Roman" w:hAnsi="Calibri" w:cs="Calibri"/>
          <w:b/>
          <w:lang w:eastAsia="en-AU"/>
        </w:rPr>
        <w:t xml:space="preserve">$583.33 </w:t>
      </w:r>
      <w:r w:rsidRPr="00017217">
        <w:rPr>
          <w:rFonts w:ascii="Calibri" w:eastAsia="Times New Roman" w:hAnsi="Calibri" w:cs="Calibri"/>
          <w:lang w:eastAsia="en-AU"/>
        </w:rPr>
        <w:t xml:space="preserve">and an average of </w:t>
      </w:r>
      <w:r w:rsidRPr="00017217">
        <w:rPr>
          <w:rFonts w:ascii="Calibri" w:eastAsia="Times New Roman" w:hAnsi="Calibri" w:cs="Calibri"/>
          <w:b/>
          <w:lang w:eastAsia="en-AU"/>
        </w:rPr>
        <w:t>2</w:t>
      </w:r>
      <w:r w:rsidRPr="00017217">
        <w:rPr>
          <w:rFonts w:ascii="Calibri" w:eastAsia="Times New Roman" w:hAnsi="Calibri" w:cs="Calibri"/>
          <w:lang w:eastAsia="en-AU"/>
        </w:rPr>
        <w:t xml:space="preserve"> associates per CEOs/Directors (</w:t>
      </w:r>
      <w:r w:rsidRPr="00017217">
        <w:rPr>
          <w:rFonts w:ascii="Calibri" w:eastAsia="Times New Roman" w:hAnsi="Calibri" w:cs="Calibri"/>
          <w:b/>
          <w:lang w:eastAsia="en-AU"/>
        </w:rPr>
        <w:t>24)</w:t>
      </w:r>
      <w:r w:rsidRPr="00017217">
        <w:rPr>
          <w:rFonts w:ascii="Calibri" w:eastAsia="Times New Roman" w:hAnsi="Calibri" w:cs="Calibri"/>
          <w:lang w:eastAsia="en-AU"/>
        </w:rPr>
        <w:t xml:space="preserve"> with an average hourly cost of </w:t>
      </w:r>
      <w:r w:rsidRPr="00017217">
        <w:rPr>
          <w:rFonts w:ascii="Calibri" w:eastAsia="Times New Roman" w:hAnsi="Calibri" w:cs="Calibri"/>
          <w:b/>
          <w:lang w:eastAsia="en-AU"/>
        </w:rPr>
        <w:t>$320.24</w:t>
      </w:r>
      <w:r w:rsidRPr="00017217">
        <w:rPr>
          <w:rFonts w:ascii="Calibri" w:eastAsia="Times New Roman" w:hAnsi="Calibri" w:cs="Calibri"/>
          <w:lang w:eastAsia="en-AU"/>
        </w:rPr>
        <w:t xml:space="preserve">. </w:t>
      </w:r>
      <w:r w:rsidRPr="00017217">
        <w:rPr>
          <w:rFonts w:ascii="Calibri" w:eastAsia="Times New Roman" w:hAnsi="Calibri" w:cs="Calibri"/>
          <w:b/>
          <w:u w:val="single"/>
          <w:lang w:eastAsia="en-AU"/>
        </w:rPr>
        <w:t>$18,660,900.00</w:t>
      </w:r>
      <w:r w:rsidRPr="00017217">
        <w:rPr>
          <w:rFonts w:ascii="Calibri" w:eastAsia="Times New Roman" w:hAnsi="Calibri" w:cs="Calibri"/>
          <w:lang w:eastAsia="en-AU"/>
        </w:rPr>
        <w:t xml:space="preserve"> (</w:t>
      </w:r>
      <w:r w:rsidRPr="00017217">
        <w:rPr>
          <w:rFonts w:ascii="Calibri" w:eastAsia="Calibri" w:hAnsi="Calibri" w:cs="Calibri"/>
        </w:rPr>
        <w:t xml:space="preserve">estimated cost </w:t>
      </w:r>
      <w:r w:rsidRPr="00017217">
        <w:rPr>
          <w:rFonts w:ascii="Calibri" w:eastAsia="Times New Roman" w:hAnsi="Calibri" w:cs="Calibri"/>
          <w:lang w:eastAsia="en-AU"/>
        </w:rPr>
        <w:t xml:space="preserve">across the sector) based on a multiplier of </w:t>
      </w:r>
      <w:r w:rsidRPr="00017217">
        <w:rPr>
          <w:rFonts w:ascii="Calibri" w:eastAsia="Times New Roman" w:hAnsi="Calibri" w:cs="Calibri"/>
          <w:b/>
          <w:lang w:eastAsia="en-AU"/>
        </w:rPr>
        <w:t>250</w:t>
      </w:r>
      <w:r w:rsidRPr="00017217">
        <w:rPr>
          <w:rFonts w:ascii="Calibri" w:eastAsia="Times New Roman" w:hAnsi="Calibri" w:cs="Calibri"/>
          <w:lang w:eastAsia="en-AU"/>
        </w:rPr>
        <w:t xml:space="preserve"> (estimated number of applications NOPTA will receive per FY) and </w:t>
      </w:r>
      <w:r w:rsidRPr="00017217">
        <w:rPr>
          <w:rFonts w:ascii="Calibri" w:eastAsia="Times New Roman" w:hAnsi="Calibri" w:cs="Calibri"/>
          <w:b/>
          <w:lang w:eastAsia="en-AU"/>
        </w:rPr>
        <w:t xml:space="preserve">5 </w:t>
      </w:r>
      <w:r w:rsidRPr="00017217">
        <w:rPr>
          <w:rFonts w:ascii="Calibri" w:eastAsia="Times New Roman" w:hAnsi="Calibri" w:cs="Calibri"/>
          <w:lang w:eastAsia="en-AU"/>
        </w:rPr>
        <w:t>(average JV partners per title).</w:t>
      </w:r>
    </w:p>
    <w:p w14:paraId="0C6D130E" w14:textId="77777777" w:rsidR="00363282" w:rsidRPr="00017217" w:rsidRDefault="00363282" w:rsidP="00363282">
      <w:pPr>
        <w:spacing w:after="160" w:line="259" w:lineRule="auto"/>
        <w:rPr>
          <w:rFonts w:ascii="Arial" w:eastAsia="Times New Roman" w:hAnsi="Arial" w:cs="Arial"/>
          <w:bCs/>
          <w:sz w:val="20"/>
          <w:szCs w:val="20"/>
          <w:lang w:eastAsia="en-AU"/>
        </w:rPr>
      </w:pPr>
      <w:r w:rsidRPr="00017217">
        <w:rPr>
          <w:rFonts w:ascii="Calibri" w:eastAsia="Calibri" w:hAnsi="Calibri" w:cs="Calibri"/>
        </w:rPr>
        <w:t>Option 3 (</w:t>
      </w:r>
      <w:r w:rsidRPr="00017217">
        <w:rPr>
          <w:rFonts w:ascii="Calibri" w:eastAsia="Times New Roman" w:hAnsi="Calibri" w:cs="Calibri"/>
          <w:lang w:eastAsia="en-AU"/>
        </w:rPr>
        <w:t>change of ownership and control application</w:t>
      </w:r>
      <w:r w:rsidRPr="00017217">
        <w:rPr>
          <w:rFonts w:ascii="Calibri" w:eastAsia="Calibri" w:hAnsi="Calibri" w:cs="Calibri"/>
        </w:rPr>
        <w:t xml:space="preserve">): </w:t>
      </w:r>
      <w:r w:rsidRPr="00017217">
        <w:rPr>
          <w:rFonts w:ascii="Calibri" w:eastAsia="Calibri" w:hAnsi="Calibri" w:cs="Calibri"/>
          <w:b/>
          <w:szCs w:val="20"/>
          <w:u w:val="single"/>
        </w:rPr>
        <w:t xml:space="preserve">$1,288.16 </w:t>
      </w:r>
      <w:r w:rsidRPr="00017217">
        <w:rPr>
          <w:rFonts w:ascii="Calibri" w:eastAsia="Calibri" w:hAnsi="Calibri" w:cs="Calibri"/>
          <w:szCs w:val="20"/>
        </w:rPr>
        <w:t>(estimated cost for an organisation to prepare an application</w:t>
      </w:r>
      <w:r w:rsidRPr="00017217">
        <w:rPr>
          <w:rFonts w:ascii="Calibri" w:eastAsia="Times New Roman" w:hAnsi="Calibri" w:cs="Calibri"/>
          <w:szCs w:val="20"/>
          <w:lang w:eastAsia="en-AU"/>
        </w:rPr>
        <w:t xml:space="preserve">) based on </w:t>
      </w:r>
      <w:r w:rsidRPr="00017217">
        <w:rPr>
          <w:rFonts w:ascii="Calibri" w:eastAsia="Times New Roman" w:hAnsi="Calibri" w:cs="Calibri"/>
          <w:b/>
          <w:szCs w:val="20"/>
          <w:lang w:eastAsia="en-AU"/>
        </w:rPr>
        <w:t>1</w:t>
      </w:r>
      <w:r w:rsidRPr="00017217">
        <w:rPr>
          <w:rFonts w:ascii="Calibri" w:eastAsia="Times New Roman" w:hAnsi="Calibri" w:cs="Calibri"/>
          <w:szCs w:val="20"/>
          <w:lang w:eastAsia="en-AU"/>
        </w:rPr>
        <w:t xml:space="preserve"> hours of time of a technical financial / administration employee at an hourly wage rate of $</w:t>
      </w:r>
      <w:r w:rsidRPr="00017217">
        <w:rPr>
          <w:rFonts w:ascii="Calibri" w:eastAsia="Times New Roman" w:hAnsi="Calibri" w:cs="Calibri"/>
          <w:b/>
          <w:szCs w:val="20"/>
          <w:lang w:eastAsia="en-AU"/>
        </w:rPr>
        <w:t>121.15 a</w:t>
      </w:r>
      <w:r w:rsidRPr="00017217">
        <w:rPr>
          <w:rFonts w:ascii="Calibri" w:eastAsia="Times New Roman" w:hAnsi="Calibri" w:cs="Calibri"/>
          <w:szCs w:val="20"/>
          <w:lang w:eastAsia="en-AU"/>
        </w:rPr>
        <w:t xml:space="preserve">nd </w:t>
      </w:r>
      <w:r w:rsidRPr="00017217">
        <w:rPr>
          <w:rFonts w:ascii="Calibri" w:eastAsia="Times New Roman" w:hAnsi="Calibri" w:cs="Calibri"/>
          <w:b/>
          <w:szCs w:val="20"/>
          <w:lang w:eastAsia="en-AU"/>
        </w:rPr>
        <w:t>1 hour</w:t>
      </w:r>
      <w:r w:rsidRPr="00017217">
        <w:rPr>
          <w:rFonts w:ascii="Calibri" w:eastAsia="Times New Roman" w:hAnsi="Calibri" w:cs="Calibri"/>
          <w:szCs w:val="20"/>
          <w:lang w:eastAsia="en-AU"/>
        </w:rPr>
        <w:t xml:space="preserve"> of time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CEOs/Directors at a hourly wage rate of </w:t>
      </w:r>
      <w:r w:rsidRPr="00017217">
        <w:rPr>
          <w:rFonts w:ascii="Calibri" w:eastAsia="Times New Roman" w:hAnsi="Calibri" w:cs="Calibri"/>
          <w:b/>
          <w:szCs w:val="20"/>
          <w:lang w:eastAsia="en-AU"/>
        </w:rPr>
        <w:t>$583.33</w:t>
      </w:r>
      <w:r w:rsidRPr="00017217">
        <w:rPr>
          <w:rFonts w:ascii="Calibri" w:eastAsia="Times New Roman" w:hAnsi="Calibri" w:cs="Calibri"/>
          <w:szCs w:val="20"/>
          <w:lang w:eastAsia="en-AU"/>
        </w:rPr>
        <w:t xml:space="preserve">. </w:t>
      </w:r>
      <w:r w:rsidRPr="00017217">
        <w:rPr>
          <w:rFonts w:ascii="Calibri" w:eastAsia="Times New Roman" w:hAnsi="Calibri" w:cs="Calibri"/>
          <w:b/>
          <w:szCs w:val="20"/>
          <w:lang w:eastAsia="en-AU"/>
        </w:rPr>
        <w:t xml:space="preserve">$2,576.32 </w:t>
      </w:r>
      <w:r w:rsidRPr="00017217">
        <w:rPr>
          <w:rFonts w:ascii="Calibri" w:eastAsia="Times New Roman" w:hAnsi="Calibri" w:cs="Calibri"/>
          <w:szCs w:val="20"/>
          <w:lang w:eastAsia="en-AU"/>
        </w:rPr>
        <w:t xml:space="preserve">across the sector with a multiplier of </w:t>
      </w:r>
      <w:r w:rsidRPr="00017217">
        <w:rPr>
          <w:rFonts w:ascii="Calibri" w:eastAsia="Times New Roman" w:hAnsi="Calibri" w:cs="Calibri"/>
          <w:b/>
          <w:szCs w:val="20"/>
          <w:lang w:eastAsia="en-AU"/>
        </w:rPr>
        <w:t>2</w:t>
      </w:r>
      <w:r w:rsidRPr="00017217">
        <w:rPr>
          <w:rFonts w:ascii="Calibri" w:eastAsia="Times New Roman" w:hAnsi="Calibri" w:cs="Calibri"/>
          <w:szCs w:val="20"/>
          <w:lang w:eastAsia="en-AU"/>
        </w:rPr>
        <w:t xml:space="preserve"> (average number of applications NOPTA receives per FY).</w:t>
      </w:r>
    </w:p>
    <w:p w14:paraId="4F80CA0A" w14:textId="77777777" w:rsidR="00363282" w:rsidRPr="00017217" w:rsidRDefault="00363282" w:rsidP="00363282">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Regulatory benefit</w:t>
      </w:r>
    </w:p>
    <w:p w14:paraId="1AD3C63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There is a regulatory benefit in amending the current framework and changing the focus of the regulator to implement a lower risk-tolerance approach to regulation of the offshore framework. The risks of an inappropriate titleholder entering the regime without the financial and technical capability to discharge their liabilities would be reduced. Option 3 provides the same regulatory benefits as Option 2.</w:t>
      </w:r>
    </w:p>
    <w:p w14:paraId="4966F023"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Regulatory cost</w:t>
      </w:r>
    </w:p>
    <w:p w14:paraId="0D173A3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There is a regulatory cost in being risk-averse in regulating the offshore industry. It would require significant resources from both the regulator to ensure compliance and also the titleholder, to comply with the requirements.</w:t>
      </w:r>
    </w:p>
    <w:p w14:paraId="4F2239F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 xml:space="preserve">Intensive regulation is highly burdensome on the titleholder and is unlikely to yield any more regulatory benefit as taking the less burdensome risk-based approach. Furthermore, this regulatory </w:t>
      </w:r>
      <w:r w:rsidRPr="00017217">
        <w:rPr>
          <w:rFonts w:ascii="Calibri" w:eastAsia="Calibri" w:hAnsi="Calibri" w:cs="Times New Roman"/>
        </w:rPr>
        <w:lastRenderedPageBreak/>
        <w:t>approach is likely to deter investment from new potential titleholders in the Australian regime, thereby resulting in an opportunity cost.</w:t>
      </w:r>
    </w:p>
    <w:p w14:paraId="6F16593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Implementing this option could also stifle a company’s cash flow which may negatively affect their financial health and result in the opposite outcome that it is trying to achieve i.e. forcing a company into insolvency and unable to meet their decommissioning liabilities.</w:t>
      </w:r>
    </w:p>
    <w:p w14:paraId="476ABFA5" w14:textId="77777777" w:rsidR="00363282" w:rsidRPr="00017217" w:rsidRDefault="00363282" w:rsidP="00363282">
      <w:pPr>
        <w:spacing w:after="160" w:line="259" w:lineRule="auto"/>
        <w:rPr>
          <w:rFonts w:ascii="Calibri" w:eastAsia="Times New Roman" w:hAnsi="Calibri" w:cs="Times New Roman"/>
          <w:iCs/>
          <w:sz w:val="28"/>
          <w:szCs w:val="28"/>
        </w:rPr>
      </w:pPr>
      <w:r w:rsidRPr="00017217">
        <w:rPr>
          <w:rFonts w:ascii="Calibri" w:eastAsia="Times New Roman" w:hAnsi="Calibri" w:cs="Times New Roman"/>
          <w:iCs/>
          <w:sz w:val="28"/>
          <w:szCs w:val="28"/>
        </w:rPr>
        <w:t>Net benefit</w:t>
      </w:r>
    </w:p>
    <w:p w14:paraId="6546FD39"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Option 3 provides equal regulatory benefit as Option 2, however has significant additional regulatory impacts to industry, with little to no improvement to policy outcomes.</w:t>
      </w:r>
    </w:p>
    <w:p w14:paraId="6F6D5D34" w14:textId="77777777" w:rsidR="00363282" w:rsidRPr="00017217" w:rsidRDefault="00363282" w:rsidP="00363282">
      <w:pPr>
        <w:spacing w:after="160" w:line="259" w:lineRule="auto"/>
        <w:rPr>
          <w:rFonts w:ascii="Calibri" w:eastAsia="Calibri" w:hAnsi="Calibri" w:cs="Times New Roman"/>
          <w:u w:val="single"/>
        </w:rPr>
      </w:pPr>
      <w:r w:rsidRPr="00017217">
        <w:rPr>
          <w:rFonts w:ascii="Calibri" w:eastAsia="Times New Roman" w:hAnsi="Calibri" w:cs="Times New Roman"/>
          <w:iCs/>
          <w:sz w:val="28"/>
          <w:szCs w:val="28"/>
        </w:rPr>
        <w:t>Other considerations</w:t>
      </w:r>
    </w:p>
    <w:p w14:paraId="519D8A80"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Option 3 includes the potential of stifling a company’s cash flow, as companies must at all times carry the decommissioning liability in some form, despite selling its assets to another party.</w:t>
      </w:r>
    </w:p>
    <w:p w14:paraId="23D73F0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Unlike Option 2, Option 3 would require companies to be potentially perpetually liable for liability costs of decommissioning, even after they no longer hold an interest in the title. Consultation with key industry stakeholders identified that this ongoing liability may significantly deter consideration to the selling and release of assets, which would negatively impact Australia’s overall investment attractiveness. This consideration may also result in significantly less capital being available for companies to explore new investment opportunities across Australia and is likely to stimulate a change in industry behaviour in terms of the appetite of developing new oil and gas projects to meet Australia’s future energy security needs.</w:t>
      </w:r>
    </w:p>
    <w:p w14:paraId="13997996"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While there is some regulatory benefit in reducing risks around decommissioning liabilities and appropriateness and capabilities of titleholders entering the regime, even the most intensive regulatory oversight cannot completely eliminate these risks. It is, instead, about trying to continuously improve the regulatory practices and reduce risks to as low as practicable while not stifling investment.</w:t>
      </w:r>
    </w:p>
    <w:p w14:paraId="01DA3002" w14:textId="77777777" w:rsidR="00363282" w:rsidRPr="00017217" w:rsidRDefault="00363282" w:rsidP="00363282">
      <w:pPr>
        <w:spacing w:after="160" w:line="259" w:lineRule="auto"/>
        <w:rPr>
          <w:rFonts w:ascii="Calibri" w:eastAsia="Calibri" w:hAnsi="Calibri" w:cs="Times New Roman"/>
          <w:sz w:val="48"/>
          <w:szCs w:val="48"/>
        </w:rPr>
      </w:pPr>
      <w:bookmarkStart w:id="73" w:name="_Toc54348567"/>
      <w:bookmarkStart w:id="74" w:name="_Toc54359196"/>
      <w:bookmarkStart w:id="75" w:name="_Toc54360202"/>
      <w:bookmarkStart w:id="76" w:name="_Toc54360260"/>
      <w:r w:rsidRPr="00017217">
        <w:rPr>
          <w:rFonts w:ascii="Calibri" w:eastAsia="Calibri" w:hAnsi="Calibri" w:cs="Times New Roman"/>
          <w:sz w:val="48"/>
          <w:szCs w:val="48"/>
        </w:rPr>
        <w:t>5.</w:t>
      </w:r>
      <w:r w:rsidRPr="00017217">
        <w:rPr>
          <w:rFonts w:ascii="Calibri" w:eastAsia="Calibri" w:hAnsi="Calibri" w:cs="Times New Roman"/>
          <w:sz w:val="48"/>
          <w:szCs w:val="48"/>
        </w:rPr>
        <w:tab/>
        <w:t>Consultation</w:t>
      </w:r>
      <w:bookmarkEnd w:id="73"/>
      <w:bookmarkEnd w:id="74"/>
      <w:bookmarkEnd w:id="75"/>
      <w:bookmarkEnd w:id="76"/>
    </w:p>
    <w:p w14:paraId="2A707F44"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Consultation with stakeholders on the proposed policies and measures has occurred in three key stages: engagement on the broader decommissioning framework as part of the department’s </w:t>
      </w:r>
      <w:hyperlink r:id="rId22" w:history="1">
        <w:r w:rsidRPr="00017217">
          <w:rPr>
            <w:rFonts w:ascii="Calibri" w:eastAsia="Calibri" w:hAnsi="Calibri" w:cs="Calibri"/>
            <w:i/>
            <w:u w:val="single"/>
          </w:rPr>
          <w:t>Offshore Oil and Gas Decommissioning Review</w:t>
        </w:r>
      </w:hyperlink>
      <w:r w:rsidRPr="00017217">
        <w:rPr>
          <w:rFonts w:ascii="Calibri" w:eastAsia="Calibri" w:hAnsi="Calibri" w:cs="Calibri"/>
          <w:i/>
        </w:rPr>
        <w:t xml:space="preserve"> </w:t>
      </w:r>
      <w:r w:rsidRPr="00017217">
        <w:rPr>
          <w:rFonts w:ascii="Calibri" w:eastAsia="Calibri" w:hAnsi="Calibri" w:cs="Calibri"/>
        </w:rPr>
        <w:t xml:space="preserve">(the Decommissioning Review), the </w:t>
      </w:r>
      <w:r w:rsidRPr="00017217">
        <w:rPr>
          <w:rFonts w:ascii="Calibri" w:eastAsia="Calibri" w:hAnsi="Calibri" w:cs="Times New Roman"/>
        </w:rPr>
        <w:t xml:space="preserve">independent </w:t>
      </w:r>
      <w:hyperlink r:id="rId23" w:history="1">
        <w:r w:rsidRPr="00017217">
          <w:rPr>
            <w:rFonts w:ascii="Calibri" w:eastAsia="Calibri" w:hAnsi="Calibri" w:cs="Times New Roman"/>
            <w:i/>
            <w:u w:val="single"/>
          </w:rPr>
          <w:t>Review of the</w:t>
        </w:r>
        <w:r w:rsidRPr="00017217">
          <w:rPr>
            <w:rFonts w:ascii="Calibri" w:eastAsia="Calibri" w:hAnsi="Calibri" w:cs="Times New Roman"/>
            <w:u w:val="single"/>
          </w:rPr>
          <w:t xml:space="preserve"> </w:t>
        </w:r>
        <w:r w:rsidRPr="00017217">
          <w:rPr>
            <w:rFonts w:ascii="Calibri" w:eastAsia="Calibri" w:hAnsi="Calibri" w:cs="Times New Roman"/>
            <w:i/>
            <w:u w:val="single"/>
          </w:rPr>
          <w:t>Circumstances that Led to the Administration of the Northern Oil and Gas Australia (NOGA) Group of Companie</w:t>
        </w:r>
        <w:r w:rsidRPr="00017217">
          <w:rPr>
            <w:rFonts w:ascii="Calibri" w:eastAsia="Calibri" w:hAnsi="Calibri" w:cs="Times New Roman"/>
            <w:u w:val="single"/>
          </w:rPr>
          <w:t>s</w:t>
        </w:r>
      </w:hyperlink>
      <w:r w:rsidRPr="00017217">
        <w:rPr>
          <w:rFonts w:ascii="Calibri" w:eastAsia="Calibri" w:hAnsi="Calibri" w:cs="Times New Roman"/>
        </w:rPr>
        <w:t xml:space="preserve"> by Mr Steve Walker (</w:t>
      </w:r>
      <w:r w:rsidRPr="00017217">
        <w:rPr>
          <w:rFonts w:ascii="Calibri" w:eastAsia="Calibri" w:hAnsi="Calibri" w:cs="Calibri"/>
        </w:rPr>
        <w:t>the Walker Review) and a targeted workshop with industry through its peak body association, Australian Petroleum Production and Exploration Association (APPEA).</w:t>
      </w:r>
    </w:p>
    <w:p w14:paraId="38CF1292"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 Decommissioning Review</w:t>
      </w:r>
    </w:p>
    <w:p w14:paraId="7B0844BA"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In October 2018 and prior to the liquidation of the NOGA group of companies, the </w:t>
      </w:r>
      <w:r w:rsidRPr="00017217">
        <w:rPr>
          <w:rFonts w:ascii="Calibri" w:eastAsia="Calibri" w:hAnsi="Calibri" w:cs="Calibri"/>
          <w:lang w:val="en"/>
        </w:rPr>
        <w:t xml:space="preserve">department released a public discussion paper titled </w:t>
      </w:r>
      <w:hyperlink r:id="rId24" w:history="1">
        <w:r w:rsidRPr="00017217">
          <w:rPr>
            <w:rFonts w:ascii="Calibri" w:eastAsia="Calibri" w:hAnsi="Calibri" w:cs="Calibri"/>
            <w:i/>
            <w:u w:val="single"/>
            <w:lang w:val="en"/>
          </w:rPr>
          <w:t>Decommissioning Offshore Petroleum Infrastructure in Commonwealth Waters</w:t>
        </w:r>
      </w:hyperlink>
      <w:r w:rsidRPr="00017217">
        <w:rPr>
          <w:rFonts w:ascii="Calibri" w:eastAsia="Calibri" w:hAnsi="Calibri" w:cs="Calibri"/>
          <w:i/>
          <w:lang w:val="en"/>
        </w:rPr>
        <w:t>,</w:t>
      </w:r>
      <w:r w:rsidRPr="00017217">
        <w:rPr>
          <w:rFonts w:ascii="Calibri" w:eastAsia="Calibri" w:hAnsi="Calibri" w:cs="Calibri"/>
        </w:rPr>
        <w:t xml:space="preserve"> with submissions, workshops and consultation occurring throughout 2019.</w:t>
      </w:r>
    </w:p>
    <w:p w14:paraId="07417DAC"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The purpose of this consultation was to obtain feedback from relevant stakeholders to </w:t>
      </w:r>
      <w:r w:rsidRPr="00017217">
        <w:rPr>
          <w:rFonts w:ascii="Calibri" w:eastAsia="Calibri" w:hAnsi="Calibri" w:cs="Calibri"/>
          <w:lang w:val="en"/>
        </w:rPr>
        <w:t xml:space="preserve">help ensure that Australia’s decommissioning framework was fit for purpose, remains best practice, and positions Australia to respond to decommissioning challenges and opportunities now and into the </w:t>
      </w:r>
      <w:r w:rsidRPr="00017217">
        <w:rPr>
          <w:rFonts w:ascii="Calibri" w:eastAsia="Calibri" w:hAnsi="Calibri" w:cs="Calibri"/>
          <w:lang w:val="en"/>
        </w:rPr>
        <w:lastRenderedPageBreak/>
        <w:t>future.</w:t>
      </w:r>
      <w:r w:rsidRPr="00017217">
        <w:rPr>
          <w:rFonts w:ascii="Calibri" w:eastAsia="Calibri" w:hAnsi="Calibri" w:cs="Calibri"/>
        </w:rPr>
        <w:t xml:space="preserve"> The Decommissioning Review focused primarily on environmental and well integrity outcomes, as well as regulatory oversight.</w:t>
      </w:r>
    </w:p>
    <w:p w14:paraId="767EEAC0"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 Decommissioning Review proposed that a titleholder’s capacity to fulfil its obligations under a title, particularly its financial capacity for decommissioning, should be assessed at any time and/or as part of a change in parent company ownership or control of a corporate titleholder. Liability arrangements were also canvassed in the discussion paper.</w:t>
      </w:r>
    </w:p>
    <w:p w14:paraId="7E00BB96"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Calibri"/>
          <w:lang w:eastAsia="en-AU"/>
        </w:rPr>
        <w:t>Twenty three</w:t>
      </w:r>
      <w:r w:rsidRPr="00017217">
        <w:rPr>
          <w:rFonts w:ascii="Calibri" w:eastAsia="Calibri" w:hAnsi="Calibri" w:cs="Calibri"/>
        </w:rPr>
        <w:t xml:space="preserve"> public submissions were received in response to the Discussion Paper. These came </w:t>
      </w:r>
      <w:r w:rsidRPr="00017217">
        <w:rPr>
          <w:rFonts w:ascii="Calibri" w:eastAsia="Calibri" w:hAnsi="Calibri" w:cs="Calibri"/>
          <w:lang w:val="en"/>
        </w:rPr>
        <w:t>from a variety of sectors, entities and individuals including the offshore petroleum industry, environmental NGOs, fishing groups, academia, government and legal firms.</w:t>
      </w:r>
    </w:p>
    <w:p w14:paraId="7D2962CC"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lang w:eastAsia="en-AU"/>
        </w:rPr>
        <w:t>Feedback</w:t>
      </w:r>
      <w:r w:rsidRPr="00017217">
        <w:rPr>
          <w:rFonts w:ascii="Calibri" w:eastAsia="Calibri" w:hAnsi="Calibri" w:cs="Calibri"/>
        </w:rPr>
        <w:t xml:space="preserve"> received as a result of this consultation identified that the current framework provided opportunities for:</w:t>
      </w:r>
    </w:p>
    <w:p w14:paraId="37C02F4F"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 xml:space="preserve">greater government oversight when a change in the ownership or control occurs, and </w:t>
      </w:r>
    </w:p>
    <w:p w14:paraId="62E3C5A2"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expansion and strengthening of the policy principles that underpin financial assurance.</w:t>
      </w:r>
    </w:p>
    <w:p w14:paraId="5721D32F" w14:textId="77777777" w:rsidR="00363282" w:rsidRPr="00017217" w:rsidRDefault="00363282" w:rsidP="00363282">
      <w:pPr>
        <w:spacing w:after="160" w:line="259" w:lineRule="auto"/>
        <w:rPr>
          <w:rFonts w:ascii="Calibri" w:eastAsia="Calibri" w:hAnsi="Calibri" w:cs="Times New Roman"/>
          <w:lang w:val="en"/>
        </w:rPr>
      </w:pPr>
      <w:r w:rsidRPr="00017217">
        <w:rPr>
          <w:rFonts w:ascii="Calibri" w:eastAsia="Calibri" w:hAnsi="Calibri" w:cs="Times New Roman"/>
          <w:lang w:val="en"/>
        </w:rPr>
        <w:t>Of note, the agreed view is that current titleholders should be held responsible for decommissioning obligations, rather than the Australian taxpayer.</w:t>
      </w:r>
    </w:p>
    <w:p w14:paraId="47AF8B2A" w14:textId="77777777" w:rsidR="00363282" w:rsidRPr="00017217" w:rsidRDefault="00363282" w:rsidP="00363282">
      <w:pPr>
        <w:spacing w:after="160" w:line="259" w:lineRule="auto"/>
        <w:rPr>
          <w:rFonts w:ascii="Calibri" w:eastAsia="Calibri" w:hAnsi="Calibri" w:cs="Times New Roman"/>
          <w:lang w:val="en"/>
        </w:rPr>
      </w:pPr>
      <w:r w:rsidRPr="00017217">
        <w:rPr>
          <w:rFonts w:ascii="Calibri" w:eastAsia="Calibri" w:hAnsi="Calibri" w:cs="Times New Roman"/>
          <w:lang w:val="en"/>
        </w:rPr>
        <w:t>There was also specific feedback from oil and gas companies that only the current titleholder should be held responsible for decommissioning, rather than previous titleholders who are ‘called back’ in the event that the current titleholder is unable to fulfil their decommissioning obligations, otherwise known as ‘trailing liability’.</w:t>
      </w:r>
    </w:p>
    <w:p w14:paraId="347AA2F9"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Times New Roman"/>
          <w:lang w:val="en"/>
        </w:rPr>
        <w:t>While consultation on the Decommissioning Review was underway, the NOGA group of companies entered administration in October 2019 and went into liquidation on 7 February 2020. This further reinforced the need to improve the regulatory framework, to meet the new challenges presented by an industry which is ultimately moving towards decommissioning as it enters mid to late life in various titles and projects.</w:t>
      </w:r>
    </w:p>
    <w:p w14:paraId="5FCB06B1"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The Walker Review</w:t>
      </w:r>
    </w:p>
    <w:p w14:paraId="0ACCA525"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Calibri"/>
          <w:lang w:val="en"/>
        </w:rPr>
        <w:t xml:space="preserve">In March 2020, the Minister for Resources, Water and Northern Australia, the Hon Keith Pitt MP, appointed Steve Walker to conduct the independent </w:t>
      </w:r>
      <w:hyperlink r:id="rId25" w:history="1">
        <w:r w:rsidRPr="00017217">
          <w:rPr>
            <w:rFonts w:ascii="Calibri" w:eastAsia="Calibri" w:hAnsi="Calibri" w:cs="Calibri"/>
            <w:i/>
            <w:u w:val="single"/>
            <w:lang w:val="en"/>
          </w:rPr>
          <w:t>Review of the circumstances that led to the administration of the Northern Oil and Gas Australia group of companies</w:t>
        </w:r>
      </w:hyperlink>
      <w:r w:rsidRPr="00017217">
        <w:rPr>
          <w:rFonts w:ascii="Calibri" w:eastAsia="Calibri" w:hAnsi="Calibri" w:cs="Calibri"/>
          <w:lang w:val="en"/>
        </w:rPr>
        <w:t>.</w:t>
      </w:r>
      <w:r w:rsidRPr="00017217">
        <w:rPr>
          <w:rFonts w:ascii="Calibri" w:eastAsia="Calibri" w:hAnsi="Calibri" w:cs="Calibri"/>
          <w:i/>
          <w:lang w:val="en"/>
        </w:rPr>
        <w:t xml:space="preserve"> </w:t>
      </w:r>
      <w:r w:rsidRPr="00017217">
        <w:rPr>
          <w:rFonts w:ascii="Calibri" w:eastAsia="Calibri" w:hAnsi="Calibri" w:cs="Calibri"/>
          <w:lang w:val="en"/>
        </w:rPr>
        <w:t xml:space="preserve">Mr Walker consulted with </w:t>
      </w:r>
      <w:r w:rsidRPr="00017217">
        <w:rPr>
          <w:rFonts w:ascii="Calibri" w:eastAsia="Times New Roman" w:hAnsi="Calibri" w:cs="Calibri"/>
          <w:lang w:val="en" w:eastAsia="en-GB"/>
        </w:rPr>
        <w:t>a wide range of stakeholders, which included key industry stakeholders and the regulators.</w:t>
      </w:r>
    </w:p>
    <w:p w14:paraId="67E8450B" w14:textId="77777777" w:rsidR="00363282" w:rsidRPr="00017217" w:rsidRDefault="00363282" w:rsidP="00363282">
      <w:pPr>
        <w:spacing w:after="160" w:line="259" w:lineRule="auto"/>
        <w:rPr>
          <w:rFonts w:ascii="Calibri" w:eastAsia="Times New Roman" w:hAnsi="Calibri" w:cs="Calibri"/>
          <w:lang w:val="en" w:eastAsia="en-GB"/>
        </w:rPr>
      </w:pPr>
      <w:r w:rsidRPr="00017217">
        <w:rPr>
          <w:rFonts w:ascii="Calibri" w:eastAsia="Times New Roman" w:hAnsi="Calibri" w:cs="Calibri"/>
          <w:lang w:val="en" w:eastAsia="en-GB"/>
        </w:rPr>
        <w:t xml:space="preserve">The purpose of this consultation was to obtain feedback as part of the review, which examined the roles, responsibilities and </w:t>
      </w:r>
      <w:r w:rsidRPr="00017217">
        <w:rPr>
          <w:rFonts w:ascii="Calibri" w:eastAsia="Times New Roman" w:hAnsi="Calibri" w:cs="Calibri"/>
          <w:lang w:eastAsia="en-GB"/>
        </w:rPr>
        <w:t>behaviours</w:t>
      </w:r>
      <w:r w:rsidRPr="00017217">
        <w:rPr>
          <w:rFonts w:ascii="Calibri" w:eastAsia="Times New Roman" w:hAnsi="Calibri" w:cs="Calibri"/>
          <w:lang w:val="en" w:eastAsia="en-GB"/>
        </w:rPr>
        <w:t xml:space="preserve"> of key stakeholders and advised on potential reforms of the offshore oil and gas regulatory regime</w:t>
      </w:r>
    </w:p>
    <w:p w14:paraId="54ADB792" w14:textId="77777777" w:rsidR="00363282" w:rsidRPr="00017217" w:rsidRDefault="00363282" w:rsidP="00363282">
      <w:pPr>
        <w:spacing w:after="160" w:line="259" w:lineRule="auto"/>
        <w:rPr>
          <w:rFonts w:ascii="Calibri" w:eastAsia="Calibri" w:hAnsi="Calibri" w:cs="Times New Roman"/>
          <w:sz w:val="20"/>
          <w:szCs w:val="20"/>
        </w:rPr>
      </w:pPr>
      <w:r w:rsidRPr="00017217">
        <w:rPr>
          <w:rFonts w:ascii="Calibri" w:eastAsia="Times New Roman" w:hAnsi="Calibri" w:cs="Calibri"/>
          <w:lang w:val="en" w:eastAsia="en-GB"/>
        </w:rPr>
        <w:t>The Walker Review made 9 recommendations to improve practices, policies and legislation. Notably, it recommended that:</w:t>
      </w:r>
    </w:p>
    <w:p w14:paraId="2768508E"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The Decommissioning Review should consider recommending trailing liability, whereby a titleholder would be continually liable for the decommissioning and removal of its offshore assets, even after selling its interests in a title on to a different titleholder.</w:t>
      </w:r>
    </w:p>
    <w:p w14:paraId="67E71C5E"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 xml:space="preserve">The Decommissioning Review should explore legislative changes or clarifications to enable the National Offshore Petroleum Titles Administrator (NOPTA), and the Joint Authorities to require titleholders to provide financial surety for their decommissioning liabilities, should </w:t>
      </w:r>
      <w:r w:rsidRPr="00017217">
        <w:rPr>
          <w:rFonts w:ascii="Calibri" w:eastAsia="Calibri" w:hAnsi="Calibri" w:cs="Times New Roman"/>
        </w:rPr>
        <w:lastRenderedPageBreak/>
        <w:t>NOPTA have concerns that the titleholder will not be in a position to meet such costs. Such sureties should be in a form that would be available to the Government in the case of the titleholder going into liquidation.</w:t>
      </w:r>
    </w:p>
    <w:p w14:paraId="2838389D"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Regulatory concerns over the adequacy of legislation to allow NOPTA to have oversight of titleholder company level transactions, and to allow NOPTA to assess financial resource and technical qualification considerations before a title is transferred to an existing titleholder, should be resolved.</w:t>
      </w:r>
    </w:p>
    <w:p w14:paraId="0FE0992F"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NOPTA’s powers should be clarified so that it can obtain financial and technical capacity information about the titleholder, and thus monitor titleholder financial performance and technical capacity, throughout the tenure of the title, including decommissioning.</w:t>
      </w:r>
    </w:p>
    <w:p w14:paraId="366151C1"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Consideration should be given to extending NOPTA’s oversight to include the adequacy of titleholder corporate governance arrangements. In the meantime, NOPTA should consider updating the Offshore Petroleum Guideline: Transfer and Dealings Relating to Petroleum Titles to include an expanded section on titleholders’ technical capacity and governance expectations.</w:t>
      </w:r>
    </w:p>
    <w:p w14:paraId="4E8A1CFF"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Recommendations that go beyond the scope of the proposed amendments will be considered as part of the revised policy frameworks for decommissioning and safety.</w:t>
      </w:r>
    </w:p>
    <w:p w14:paraId="23875235"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Targeted industry consultation</w:t>
      </w:r>
    </w:p>
    <w:p w14:paraId="1969807E"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Calibri"/>
          <w:lang w:val="en"/>
        </w:rPr>
        <w:t>The department has undertaken ongoing targeted consultation with the oil and gas industry through its peak body group, APPEA.</w:t>
      </w:r>
    </w:p>
    <w:p w14:paraId="7F730EF4"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Calibri"/>
          <w:lang w:val="en"/>
        </w:rPr>
        <w:t>APPEA is the peak national body representing Australia’s upstream oil and gas exploration and production industry. It has approximately 60 full member companies who account for an estimated 98 per cent of the Australia’s petroleum production. APPEA also represents about 140 associate member companies that provide a wide range of goods and services to the upstream oil and gas industry.</w:t>
      </w:r>
    </w:p>
    <w:p w14:paraId="7C1194C8"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On 19 October 2020, the department held a workshop with APPEA to discuss the proposed measures and obtain industry feedback.</w:t>
      </w:r>
    </w:p>
    <w:p w14:paraId="4985BD75"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During the consultation, APPEA’s expressed the following views on behalf of its members:</w:t>
      </w:r>
    </w:p>
    <w:p w14:paraId="2AC214A3"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Industry supports appropriate regulatory oversight at key gateways, including technical and financial information, to mitigate the risk of another NOGA-like event, but raised concerns about how some of these measures would be implemented. These concerns went to ensuring these measures do not impose unnecessary regulatory burden on industry, including by ensuring applicants are not required to provide information previously provided to government, and clarifying the gateways in which this information would be required or requested.</w:t>
      </w:r>
    </w:p>
    <w:p w14:paraId="729E709A" w14:textId="77777777" w:rsidR="00363282" w:rsidRPr="00017217" w:rsidRDefault="00363282" w:rsidP="00363282">
      <w:pPr>
        <w:numPr>
          <w:ilvl w:val="0"/>
          <w:numId w:val="16"/>
        </w:numPr>
        <w:spacing w:before="120" w:after="120" w:line="240" w:lineRule="auto"/>
        <w:rPr>
          <w:rFonts w:ascii="Calibri" w:eastAsia="Calibri" w:hAnsi="Calibri" w:cs="Times New Roman"/>
        </w:rPr>
      </w:pPr>
      <w:r w:rsidRPr="00017217">
        <w:rPr>
          <w:rFonts w:ascii="Calibri" w:eastAsia="Calibri" w:hAnsi="Calibri" w:cs="Times New Roman"/>
        </w:rPr>
        <w:t>Trailing liability is not supported as a principle and should only be considered as an absolute last resort and considered in conjunction with a robust financial assurance regime. Industry’s key concern is about the retrospectivity of a trailing liability measure and providing clarity about the point in time when the industry would be subject to such a measure.</w:t>
      </w:r>
    </w:p>
    <w:p w14:paraId="4352B769"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 department received a detailed response to the proposed measures, and discussed the potential impacts that the proposed regulatory changes could have on industry. The objective of the department’s consultation with APPEA was to obtain the views of those stakeholders who would be directly impacted by the regulatory changes as a result of the proposed measures.</w:t>
      </w:r>
    </w:p>
    <w:p w14:paraId="57530D89"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lastRenderedPageBreak/>
        <w:t>Ongoing Consultation with NOPTA and the National Offshore Petroleum Safety and Environmental Management Authority (NOPSEMA)</w:t>
      </w:r>
    </w:p>
    <w:p w14:paraId="283B2B2B" w14:textId="77777777" w:rsidR="00363282" w:rsidRPr="00017217" w:rsidRDefault="00363282" w:rsidP="00363282">
      <w:pPr>
        <w:spacing w:after="160" w:line="259" w:lineRule="auto"/>
        <w:rPr>
          <w:rFonts w:ascii="Calibri" w:eastAsia="Calibri" w:hAnsi="Calibri" w:cs="Calibri"/>
          <w:lang w:val="en"/>
        </w:rPr>
      </w:pPr>
      <w:r w:rsidRPr="00017217">
        <w:rPr>
          <w:rFonts w:ascii="Calibri" w:eastAsia="Calibri" w:hAnsi="Calibri" w:cs="Times New Roman"/>
        </w:rPr>
        <w:t xml:space="preserve">In addition to these three consultation processes, the department has also been regularly engaging with NOPTA and NOPSEMA as the administrator and regulator (respectively) of Australia’s offshore oil and gas industry. </w:t>
      </w:r>
      <w:r w:rsidRPr="00017217">
        <w:rPr>
          <w:rFonts w:ascii="Calibri" w:eastAsia="Calibri" w:hAnsi="Calibri" w:cs="Calibri"/>
          <w:lang w:val="en"/>
        </w:rPr>
        <w:t>NOPTA's purpose is to advise on, and administer, the Act in support of the effective regulation and management of our offshore petroleum resources, consistent with good oil field practice and optimum recovery.</w:t>
      </w:r>
      <w:r w:rsidRPr="00017217">
        <w:rPr>
          <w:rFonts w:ascii="Calibri" w:eastAsia="Calibri" w:hAnsi="Calibri" w:cs="Calibri"/>
          <w:vertAlign w:val="superscript"/>
          <w:lang w:val="en"/>
        </w:rPr>
        <w:footnoteReference w:id="5"/>
      </w:r>
      <w:r w:rsidRPr="00017217">
        <w:rPr>
          <w:rFonts w:ascii="Calibri" w:eastAsia="Calibri" w:hAnsi="Calibri" w:cs="Calibri"/>
          <w:lang w:val="en"/>
        </w:rPr>
        <w:t xml:space="preserve"> NOPSEMA is the independent regulator for health and safety, structural (well) integrity and environmental management for all offshore oil and gas operations and greenhouse gas storage activities in Commonwealth waters, and in coastal waters where regulatory powers and functions have been conferred.</w:t>
      </w:r>
      <w:r w:rsidRPr="00017217">
        <w:rPr>
          <w:rFonts w:ascii="Calibri" w:eastAsia="Calibri" w:hAnsi="Calibri" w:cs="Calibri"/>
          <w:vertAlign w:val="superscript"/>
          <w:lang w:val="en"/>
        </w:rPr>
        <w:footnoteReference w:id="6"/>
      </w:r>
    </w:p>
    <w:p w14:paraId="00F3E7C4"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Times New Roman"/>
        </w:rPr>
        <w:t>The department has been undertaking these ongoing consultations to discuss issues such as regulatory options, implementation of potential measures and to inform the regulatory costings of the proposed changes. This consultation with NOPTA and NOPSEMA is instrumental to achieving a holistic understanding of the requirements of the regime and to ensure that the proposed measures are reasonable, achievable and measurable.</w:t>
      </w:r>
    </w:p>
    <w:p w14:paraId="280F0732" w14:textId="77777777" w:rsidR="00363282" w:rsidRPr="00017217" w:rsidRDefault="00363282" w:rsidP="00363282">
      <w:pPr>
        <w:spacing w:after="160" w:line="259" w:lineRule="auto"/>
        <w:rPr>
          <w:rFonts w:ascii="Calibri" w:eastAsia="Times New Roman" w:hAnsi="Calibri" w:cs="Times New Roman"/>
          <w:sz w:val="32"/>
          <w:szCs w:val="40"/>
        </w:rPr>
      </w:pPr>
      <w:r w:rsidRPr="00017217">
        <w:rPr>
          <w:rFonts w:ascii="Calibri" w:eastAsia="Times New Roman" w:hAnsi="Calibri" w:cs="Times New Roman"/>
          <w:sz w:val="32"/>
          <w:szCs w:val="40"/>
        </w:rPr>
        <w:t>Areas of agreement and difference across the consultation process</w:t>
      </w:r>
    </w:p>
    <w:p w14:paraId="6393DD75"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Throughout the various consultations, the department received consistent feedback on a variety of issues relating to the current offshore regulatory framework and opportunities for improvement.</w:t>
      </w:r>
    </w:p>
    <w:p w14:paraId="3AA3C41B"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Importantly, w</w:t>
      </w:r>
      <w:r w:rsidRPr="00017217">
        <w:rPr>
          <w:rFonts w:ascii="Calibri" w:eastAsia="Calibri" w:hAnsi="Calibri" w:cs="Times New Roman"/>
        </w:rPr>
        <w:t>hile the Decommissioning Review and the administration/liquidation of the NOGA group of companies are separate issues, the Walker Review highlighted a number of challenges and opportunities for Australia.</w:t>
      </w:r>
    </w:p>
    <w:p w14:paraId="37A725DD"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Stakeholders the board agreed that titleholders, rather than the Australian taxpayer, should be responsible for their decommissioning obligations. Ensuring that current titleholders can be held responsible for their obligations under their titles serves the interests and mitigates the financial, safety and environmental risks to the industry, the Australian Government and the broader Australian community.</w:t>
      </w:r>
    </w:p>
    <w:p w14:paraId="226451E6"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Similarly, stakeholders identified that the current framework should include greater regulatory oversight and clarity around the powers of the regulator, in order to seek out information relevant to the financial performance and technical capability of titleholders where there is a change of ownership and control of the titleholder.</w:t>
      </w:r>
    </w:p>
    <w:p w14:paraId="7DA6AA62" w14:textId="77777777" w:rsidR="00363282" w:rsidRPr="00017217" w:rsidRDefault="00363282" w:rsidP="00363282">
      <w:pPr>
        <w:spacing w:after="160" w:line="259" w:lineRule="auto"/>
        <w:rPr>
          <w:rFonts w:ascii="Calibri" w:eastAsia="Calibri" w:hAnsi="Calibri" w:cs="Times New Roman"/>
          <w:bCs/>
          <w:iCs/>
        </w:rPr>
      </w:pPr>
      <w:r w:rsidRPr="00017217">
        <w:rPr>
          <w:rFonts w:ascii="Calibri" w:eastAsia="Calibri" w:hAnsi="Calibri" w:cs="Calibri"/>
        </w:rPr>
        <w:t>A point of difference in views amongst those consulted included different positions on the proposed trailing liability measure. While the Walker Review recommended that a trailing liability measure be considered (</w:t>
      </w:r>
      <w:r w:rsidRPr="00017217">
        <w:rPr>
          <w:rFonts w:ascii="Calibri" w:eastAsia="Calibri" w:hAnsi="Calibri" w:cs="Times New Roman"/>
          <w:bCs/>
          <w:iCs/>
        </w:rPr>
        <w:t>whereby a titleholder would be continually liable for the decommissioning and removal of its offshore assets, even after selling its interests in a title on to a different titleholder), APPEA has advocated that its members do not support t</w:t>
      </w:r>
      <w:r w:rsidRPr="00017217">
        <w:rPr>
          <w:rFonts w:ascii="Calibri" w:eastAsia="Calibri" w:hAnsi="Calibri" w:cs="Times New Roman"/>
        </w:rPr>
        <w:t>railing liability as a principle, and should only be considered as an absolute last resort and considered in conjunction with a robust financial assurance regime.</w:t>
      </w:r>
    </w:p>
    <w:p w14:paraId="7DE37CE4" w14:textId="77777777" w:rsidR="00363282" w:rsidRPr="00017217" w:rsidRDefault="00363282" w:rsidP="00363282">
      <w:pPr>
        <w:spacing w:after="160" w:line="259" w:lineRule="auto"/>
        <w:rPr>
          <w:rFonts w:ascii="Calibri" w:eastAsia="Calibri" w:hAnsi="Calibri" w:cs="Times New Roman"/>
          <w:bCs/>
          <w:iCs/>
        </w:rPr>
      </w:pPr>
      <w:r w:rsidRPr="00017217">
        <w:rPr>
          <w:rFonts w:ascii="Calibri" w:eastAsia="Calibri" w:hAnsi="Calibri" w:cs="Times New Roman"/>
          <w:bCs/>
          <w:iCs/>
        </w:rPr>
        <w:lastRenderedPageBreak/>
        <w:t>The department notes that while this measure presents a potentially significant impost to industry, it remains an important ‘backstop’ where all other regulatory, legislative and operational levers have failed. Forms of t</w:t>
      </w:r>
      <w:r w:rsidRPr="00017217">
        <w:rPr>
          <w:rFonts w:ascii="Calibri" w:eastAsia="Calibri" w:hAnsi="Calibri" w:cs="Times New Roman"/>
        </w:rPr>
        <w:t>railing liability are a feature of other similar, reputable and mature offshore petroleum regimes, including Norway, the United Kingdom, the United States of America, and Canada, where the offshore oil and gas industry is successfully working under these regulatory requirements.</w:t>
      </w:r>
    </w:p>
    <w:p w14:paraId="1B3B2A72" w14:textId="77777777" w:rsidR="00363282" w:rsidRPr="00017217" w:rsidRDefault="00363282" w:rsidP="00363282">
      <w:pPr>
        <w:spacing w:after="160" w:line="259" w:lineRule="auto"/>
        <w:rPr>
          <w:rFonts w:ascii="Calibri" w:eastAsia="Calibri" w:hAnsi="Calibri" w:cs="Times New Roman"/>
          <w:bCs/>
          <w:iCs/>
        </w:rPr>
      </w:pPr>
      <w:r w:rsidRPr="00017217">
        <w:rPr>
          <w:rFonts w:ascii="Calibri" w:eastAsia="Calibri" w:hAnsi="Calibri" w:cs="Times New Roman"/>
          <w:bCs/>
          <w:iCs/>
        </w:rPr>
        <w:t>The Australian Government intends to exercise powers in respect to trailing liability where all other available options have failed. In its efforts to reduce the financial, safety and environmental risks within the offshore regulatory regime, the department considers that it would be remiss if it did not provide a ‘last resort’ safety mechanism to protect all parties from unforeseen events, including the industry itself, the government and the Australian taxpayer.</w:t>
      </w:r>
    </w:p>
    <w:p w14:paraId="47D81561" w14:textId="77777777" w:rsidR="00363282" w:rsidRPr="00017217" w:rsidRDefault="00363282" w:rsidP="00363282">
      <w:pPr>
        <w:spacing w:after="160" w:line="259" w:lineRule="auto"/>
        <w:rPr>
          <w:rFonts w:ascii="Calibri" w:eastAsia="Calibri" w:hAnsi="Calibri" w:cs="Times New Roman"/>
          <w:sz w:val="48"/>
          <w:szCs w:val="48"/>
        </w:rPr>
      </w:pPr>
      <w:bookmarkStart w:id="77" w:name="_Toc54348568"/>
      <w:bookmarkStart w:id="78" w:name="_Toc54359197"/>
      <w:bookmarkStart w:id="79" w:name="_Toc54360203"/>
      <w:bookmarkStart w:id="80" w:name="_Toc54360261"/>
      <w:r w:rsidRPr="00017217">
        <w:rPr>
          <w:rFonts w:ascii="Calibri" w:eastAsia="Calibri" w:hAnsi="Calibri" w:cs="Times New Roman"/>
          <w:sz w:val="48"/>
          <w:szCs w:val="48"/>
        </w:rPr>
        <w:t>6.</w:t>
      </w:r>
      <w:r w:rsidRPr="00017217">
        <w:rPr>
          <w:rFonts w:ascii="Calibri" w:eastAsia="Calibri" w:hAnsi="Calibri" w:cs="Times New Roman"/>
          <w:sz w:val="48"/>
          <w:szCs w:val="48"/>
        </w:rPr>
        <w:tab/>
        <w:t>Preferred option</w:t>
      </w:r>
      <w:bookmarkEnd w:id="77"/>
      <w:bookmarkEnd w:id="78"/>
      <w:bookmarkEnd w:id="79"/>
      <w:bookmarkEnd w:id="80"/>
    </w:p>
    <w:p w14:paraId="47B90C65"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Feedback across the various consultation and review processes identified three consistent themes from a range of stakeholders.</w:t>
      </w:r>
    </w:p>
    <w:p w14:paraId="211D5696"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Firstly, there was consensus amongst those consulted that the current regime could and </w:t>
      </w:r>
      <w:r w:rsidRPr="00017217">
        <w:rPr>
          <w:rFonts w:ascii="Calibri" w:eastAsia="Calibri" w:hAnsi="Calibri" w:cs="Calibri"/>
          <w:i/>
        </w:rPr>
        <w:t>should</w:t>
      </w:r>
      <w:r w:rsidRPr="00017217">
        <w:rPr>
          <w:rFonts w:ascii="Calibri" w:eastAsia="Calibri" w:hAnsi="Calibri" w:cs="Calibri"/>
        </w:rPr>
        <w:t xml:space="preserve"> be improved to prevent, or significantly reduce, the risks of titleholders being unable to fulfil their obligations within the regime. Stakeholders identified that the offshore regime should allow for the responsible extraction of resources while also having proper regard to health, safety and environment and to ensure that the correct balance is struck, to maintain business confidence and encourage investment, in the Australian regime.</w:t>
      </w:r>
    </w:p>
    <w:p w14:paraId="7D8F6E70"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Secondly, there was consistent feedback that the decommissioning liabilities should be met by current titleholders as those who have derived economic benefits from the resources, rather than having these liabilities met by the Australian taxpayer. To that end, risks and responsibilities of titleholders operating within the Australian regime should be clearly allocated in the regulatory framework, ensuring that the regulatory expectations and requirements are clear to those intending to enter the regime.</w:t>
      </w:r>
    </w:p>
    <w:p w14:paraId="028CB680"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Thirdly, and following on from the view that the regulatory framework required greater clarity, was the feedback that the current regime requires greater regulatory oversight and clarity around NOPTA’s role and responsibilities, as well as their decision-making criteria and processes at key gateway points. Consultation showed that many stakeholders felt concerned about the unclear legislative provisions in the current regime, which limit the regulator’s ability to obtain sufficient assurances and information at key gateways, that an applicant is suitable and capable to undertake petroleum activities within the regime.</w:t>
      </w:r>
    </w:p>
    <w:p w14:paraId="6B42110F"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After undertaking targeted consultation with relevant stakeholders and reviewing their feedback, the department recommends Option 2 in order to best address the problem statement. Option 2 delivers the greatest net benefit, as it ensures that the highest risk points (the entry points) within the regime, are mitigated to the extent possible (including the ability to call back a greater range of entities who not only installed offshore infrastructure property, but also derived an economic benefit from Australia’s resources), while not creating unnecessary regulatory burden on industry and potentially discouraging investment. Greater clarity and regulatory oversight regarding decision making criteria, being a key concern of stakeholders, will be addressed by this option. Option 2 address the concerns of both the department and the oil and gas industry to ensure that entities entering or progressing through the regime are suitable, financially and technically capable to </w:t>
      </w:r>
      <w:r w:rsidRPr="00017217">
        <w:rPr>
          <w:rFonts w:ascii="Calibri" w:eastAsia="Calibri" w:hAnsi="Calibri" w:cs="Calibri"/>
        </w:rPr>
        <w:lastRenderedPageBreak/>
        <w:t>undertake petroleum activities in a safe and environmentally sustainable manner, and do not have a history of material non-compliance, fraudulent or misleading behaviour and/or financial mismanagement. Option 2 also provides the government with a last resort safety mechanism – trailing liability, to call back a greater range of entities who derived an economic benefit from Australia’s resources, in order to mitigate the risks to the Australian taxpayer, where all other safeguards have failed.</w:t>
      </w:r>
    </w:p>
    <w:p w14:paraId="60954E02"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Calibri"/>
        </w:rPr>
        <w:t>By comparison, under Option 1, there is no change to the regulatory framework which continues to operate in its current form. While it will continue to provide a strong and effective framework that industry is familiar with, it does not provide greater assurances at key gateway points to mitigate the risk that companies entering the regime may be unable to meet their obligations. This in turn, may result in a similar incident to that of the NOGA group of companies where significant liabilities fall to industry and the Australian taxpayer. Unlike Option 2 (the recommended option), Option 1 does not increase regulatory oversight</w:t>
      </w:r>
      <w:r w:rsidRPr="00017217">
        <w:rPr>
          <w:rFonts w:ascii="Calibri" w:eastAsia="Calibri" w:hAnsi="Calibri" w:cs="Times New Roman"/>
        </w:rPr>
        <w:t>, or provide greater assurance particularly at high risk gateways, that a titleholder is suitable to enter the Australian offshore regime and undertake petroleum activities.</w:t>
      </w:r>
    </w:p>
    <w:p w14:paraId="5ADE8050"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Option 3 provides a far more intensive approach to regulating industry, without a material net benefit in achieving the intended policy outcome. Option 3 is likely to deter investment from new titleholders in the Australian regime due to its onerous measures and does not address stakeholder concerns raised during consultation regarding striking the right balance between risk management, responsible resource extraction and encouraging investment in the Australian regime. Option 3 provides higher regulatory impacts </w:t>
      </w:r>
      <w:r w:rsidRPr="00017217">
        <w:rPr>
          <w:rFonts w:ascii="Calibri" w:eastAsia="Calibri" w:hAnsi="Calibri" w:cs="Times New Roman"/>
        </w:rPr>
        <w:t>with little to no improvement to policy outcomes</w:t>
      </w:r>
      <w:r w:rsidRPr="00017217">
        <w:rPr>
          <w:rFonts w:ascii="Calibri" w:eastAsia="Calibri" w:hAnsi="Calibri" w:cs="Calibri"/>
        </w:rPr>
        <w:t xml:space="preserve"> of Option 2.</w:t>
      </w:r>
    </w:p>
    <w:p w14:paraId="24ED51E2"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As Option 2 addresses the problem statement by avoiding the additional anticipated regulatory impacts as Option 3, Option 2 is the preferred option.</w:t>
      </w:r>
    </w:p>
    <w:p w14:paraId="3F6B1641"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In recommending Option 2, one key consideration in the decision-making process was the feedback received during consultation on trailing liability. The department noted that trailing liability was not supported by the oil and gas industry, and in order to ensure that this measure is effective but not overly burdensome on titleholders, the department has chosen Option 2 which speaks to a risk-based approach, as opposed to an intensive regulatory approach.</w:t>
      </w:r>
    </w:p>
    <w:p w14:paraId="0A419C93"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Rather than proposing a trailing liability measure, which is a ‘standing obligation’ in Option 3, the department is recommending expansion to the existing powers to issue Directions under Option 2. Under this measure  it is  in the event that a current titleholder cannot meet its decommissioning obligations and  other safeguards have failed, that previous titleholders and/or related persons (including a parent company) may be called back to meet these obligations. Under a ‘standing obligation’ measure (Option 3), companies would be required to maintain the financial capacity to decommission all infrastructure previously held and managed, indefinitely, or until such infrastructure is successfully decommissioned.</w:t>
      </w:r>
    </w:p>
    <w:p w14:paraId="12206888"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One area of uncertainty in considering all options were the costing assumptions that the department relied upon. In order to accurately estimate both the cost of implementing the regulatory changes as well as the potential costs of decommissioning various projects, the department obtained industry-reflective decommissioning costs through consultation with the National Energy Resources Australia (NERA).</w:t>
      </w:r>
    </w:p>
    <w:p w14:paraId="0056D492"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 xml:space="preserve">The cost of the proposed regulatory changes in Option 2 are minimal in comparison to the risk of potential decommissioning liabilities of offshore oil and gas assets and infrastructure, where titleholders are unable to meet their obligations. The estimated cost increased associated with </w:t>
      </w:r>
      <w:r w:rsidRPr="00017217">
        <w:rPr>
          <w:rFonts w:ascii="Calibri" w:eastAsia="Calibri" w:hAnsi="Calibri" w:cs="Calibri"/>
        </w:rPr>
        <w:lastRenderedPageBreak/>
        <w:t>implementing the proposed changes in Option 2 is approximately AUD$3.33 million per year. By comparison, the decommissioning cost for a range of offshore activities are estimated as follows:</w:t>
      </w:r>
    </w:p>
    <w:p w14:paraId="1E258A22" w14:textId="77777777" w:rsidR="00363282" w:rsidRPr="00017217" w:rsidRDefault="00363282" w:rsidP="00363282">
      <w:pPr>
        <w:numPr>
          <w:ilvl w:val="0"/>
          <w:numId w:val="17"/>
        </w:numPr>
        <w:spacing w:after="160" w:line="259" w:lineRule="auto"/>
        <w:contextualSpacing/>
        <w:rPr>
          <w:rFonts w:ascii="Calibri" w:eastAsia="Calibri" w:hAnsi="Calibri" w:cs="Calibri"/>
        </w:rPr>
      </w:pPr>
      <w:r w:rsidRPr="00017217">
        <w:rPr>
          <w:rFonts w:ascii="Calibri" w:eastAsia="Calibri" w:hAnsi="Calibri" w:cs="Calibri"/>
        </w:rPr>
        <w:t>plugging and abandonment of a single offshore exploration or appraisal well can range between USD$9 million to USD$32 million (approximately AUD$12.7 million to AUD$45.4 million)</w:t>
      </w:r>
      <w:r w:rsidRPr="00017217">
        <w:rPr>
          <w:rFonts w:ascii="Calibri" w:eastAsia="Calibri" w:hAnsi="Calibri" w:cs="Calibri"/>
          <w:vertAlign w:val="superscript"/>
        </w:rPr>
        <w:footnoteReference w:id="7"/>
      </w:r>
    </w:p>
    <w:p w14:paraId="2130EA76" w14:textId="77777777" w:rsidR="00363282" w:rsidRPr="00017217" w:rsidRDefault="00363282" w:rsidP="00363282">
      <w:pPr>
        <w:numPr>
          <w:ilvl w:val="0"/>
          <w:numId w:val="17"/>
        </w:numPr>
        <w:spacing w:after="160" w:line="259" w:lineRule="auto"/>
        <w:contextualSpacing/>
        <w:rPr>
          <w:rFonts w:ascii="Calibri" w:eastAsia="Calibri" w:hAnsi="Calibri" w:cs="Calibri"/>
        </w:rPr>
      </w:pPr>
      <w:r w:rsidRPr="00017217">
        <w:rPr>
          <w:rFonts w:ascii="Calibri" w:eastAsia="Calibri" w:hAnsi="Calibri" w:cs="Calibri"/>
        </w:rPr>
        <w:t>decommissioning a medium sized project with a single semi-submersible or jack-up platform with no shared infrastructure and fewer than 10 wells could range from US$255 million to $US350 million</w:t>
      </w:r>
    </w:p>
    <w:p w14:paraId="6C9F63E4" w14:textId="77777777" w:rsidR="00363282" w:rsidRPr="00017217" w:rsidRDefault="00363282" w:rsidP="00363282">
      <w:pPr>
        <w:numPr>
          <w:ilvl w:val="0"/>
          <w:numId w:val="17"/>
        </w:numPr>
        <w:spacing w:after="160" w:line="259" w:lineRule="auto"/>
        <w:contextualSpacing/>
        <w:rPr>
          <w:rFonts w:ascii="Calibri" w:eastAsia="Calibri" w:hAnsi="Calibri" w:cs="Calibri"/>
        </w:rPr>
      </w:pPr>
      <w:r w:rsidRPr="00017217">
        <w:rPr>
          <w:rFonts w:ascii="Calibri" w:eastAsia="Calibri" w:hAnsi="Calibri" w:cs="Calibri"/>
        </w:rPr>
        <w:t>decommissioning a large, multiple platform project with shared infrastructure and more than 25 wells could range from US$840 million to US$1.8 billion, or more</w:t>
      </w:r>
    </w:p>
    <w:p w14:paraId="39C8166B"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These estimated costs are highly variable, will vary between projects, and do not represent a possible minimum or maximums. Rather they illustrate the range of costs that can reasonably be expected</w:t>
      </w:r>
      <w:r w:rsidRPr="00017217">
        <w:rPr>
          <w:rFonts w:ascii="Calibri" w:eastAsia="Calibri" w:hAnsi="Calibri" w:cs="Calibri"/>
          <w:vertAlign w:val="superscript"/>
        </w:rPr>
        <w:footnoteReference w:id="8"/>
      </w:r>
      <w:r w:rsidRPr="00017217">
        <w:rPr>
          <w:rFonts w:ascii="Calibri" w:eastAsia="Calibri" w:hAnsi="Calibri" w:cs="Calibri"/>
        </w:rPr>
        <w:t xml:space="preserve">. This shows that the cost of implementing the proposed regulatory changes under </w:t>
      </w:r>
      <w:r w:rsidRPr="00017217">
        <w:rPr>
          <w:rFonts w:ascii="Calibri" w:eastAsia="Calibri" w:hAnsi="Calibri" w:cs="Calibri"/>
        </w:rPr>
        <w:br/>
        <w:t>Option 2 are minor in comparison.</w:t>
      </w:r>
    </w:p>
    <w:p w14:paraId="4C10D2A0"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The department is committed to working with relevant stakeholders to improve the regulatory framework and ensure beneficial outcomes to all stakeholders, including industry and the Australian community. Continuous improvement of the offshore regulatory framework will maintain community confidence in the regime and provide for better regulatory outcomes for both the government and the industry.</w:t>
      </w:r>
    </w:p>
    <w:p w14:paraId="3C6D101A" w14:textId="77777777" w:rsidR="00363282" w:rsidRPr="00017217" w:rsidRDefault="00363282" w:rsidP="00363282">
      <w:pPr>
        <w:spacing w:after="160" w:line="259" w:lineRule="auto"/>
        <w:rPr>
          <w:rFonts w:eastAsia="Calibri" w:cs="Times New Roman"/>
          <w:szCs w:val="24"/>
        </w:rPr>
      </w:pPr>
      <w:r w:rsidRPr="00017217">
        <w:rPr>
          <w:rFonts w:ascii="Calibri" w:eastAsia="Calibri" w:hAnsi="Calibri" w:cs="Calibri"/>
        </w:rPr>
        <w:t>The department does not consider that these measures will result in a significant burden on industry and in fact, believes that Option 2 will benefit the offshore oil and gas industry, as improved regulatory practices will increase community confidence and provide greater assurances to the Australian community. In addition, all stakeholders will benefit from a reduction in the financial, environmental and safety risks where a titleholder is unable to meet their decommissioning obligations</w:t>
      </w:r>
      <w:r w:rsidRPr="00017217">
        <w:rPr>
          <w:rFonts w:eastAsia="Calibri" w:cs="Times New Roman"/>
          <w:szCs w:val="24"/>
        </w:rPr>
        <w:t>.</w:t>
      </w:r>
    </w:p>
    <w:p w14:paraId="3F0F9654" w14:textId="77777777" w:rsidR="00363282" w:rsidRPr="00017217" w:rsidRDefault="00363282" w:rsidP="00363282">
      <w:pPr>
        <w:spacing w:after="160" w:line="259" w:lineRule="auto"/>
        <w:rPr>
          <w:rFonts w:ascii="Calibri" w:eastAsia="Calibri" w:hAnsi="Calibri" w:cs="Times New Roman"/>
          <w:sz w:val="48"/>
          <w:szCs w:val="48"/>
        </w:rPr>
      </w:pPr>
      <w:bookmarkStart w:id="81" w:name="_Toc54348569"/>
      <w:bookmarkStart w:id="82" w:name="_Toc54359198"/>
      <w:bookmarkStart w:id="83" w:name="_Toc54360204"/>
      <w:bookmarkStart w:id="84" w:name="_Toc54360262"/>
      <w:r w:rsidRPr="00017217">
        <w:rPr>
          <w:rFonts w:ascii="Calibri" w:eastAsia="Calibri" w:hAnsi="Calibri" w:cs="Times New Roman"/>
          <w:sz w:val="48"/>
          <w:szCs w:val="48"/>
        </w:rPr>
        <w:t>7.</w:t>
      </w:r>
      <w:r w:rsidRPr="00017217">
        <w:rPr>
          <w:rFonts w:ascii="Calibri" w:eastAsia="Calibri" w:hAnsi="Calibri" w:cs="Times New Roman"/>
          <w:sz w:val="48"/>
          <w:szCs w:val="48"/>
        </w:rPr>
        <w:tab/>
        <w:t>Implementation</w:t>
      </w:r>
      <w:bookmarkEnd w:id="81"/>
      <w:bookmarkEnd w:id="82"/>
      <w:bookmarkEnd w:id="83"/>
      <w:bookmarkEnd w:id="84"/>
    </w:p>
    <w:p w14:paraId="5406E909"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Calibri"/>
        </w:rPr>
        <w:t>The</w:t>
      </w:r>
      <w:r w:rsidRPr="00017217">
        <w:rPr>
          <w:rFonts w:ascii="Calibri" w:eastAsia="Calibri" w:hAnsi="Calibri" w:cs="Times New Roman"/>
        </w:rPr>
        <w:t xml:space="preserve"> Australian offshore oil and regime is a well-established regulatory framework that has evolved to be mature, reliable and dynamic. The Australian Government reviews and updates the framework, to ensure that the regime remains fit for purpose to meet future challenges while also encouraging investment. It is through this lens, that the proposed changes to the regulatory framework are considered by the department to be ‘business as usual’, in its efforts to continuously improve the offshore regime.</w:t>
      </w:r>
    </w:p>
    <w:p w14:paraId="2826D3EA"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The timeframes in delivering and implementing Option 2 will be based on the proposed measures being passed as a legislative bill, expected to be introduced into parliament in early 2021.</w:t>
      </w:r>
    </w:p>
    <w:p w14:paraId="749C8315"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Australia has a relatively mature offshore oil and gas industry, which includes many large-scale operators, with significant experience across a range of jurisdictions. The oil and gas industry is well-</w:t>
      </w:r>
      <w:r w:rsidRPr="00017217">
        <w:rPr>
          <w:rFonts w:ascii="Calibri" w:eastAsia="Calibri" w:hAnsi="Calibri" w:cs="Times New Roman"/>
        </w:rPr>
        <w:lastRenderedPageBreak/>
        <w:t>versed in implementing regulatory change and the department is confident that industry will be able to adapt to the changes.</w:t>
      </w:r>
    </w:p>
    <w:p w14:paraId="335DBCFB"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To ensure that key stakeholders such as the oil and gas industry are informed of the regulatory changes, the department and the regulators are committed to engaging early, efficiently and continuously. The department, NOPTA and NOPSEMA are also liaising with key stakeholder organisations such as APPEA, to ensure that any new regulatory changes are communicated through appropriate channels, to capture smaller operators who may not be aware of the changes. The department, NOPTA and NOPSEMA will also publish new policy and regulatory guidelines on their websites to ensure that appropriate guidance information is easily accessible to all interested stakeholders.</w:t>
      </w:r>
    </w:p>
    <w:p w14:paraId="2E27C8DE" w14:textId="77777777" w:rsidR="00363282" w:rsidRPr="00017217" w:rsidRDefault="00363282" w:rsidP="00363282">
      <w:pPr>
        <w:spacing w:after="160" w:line="259" w:lineRule="auto"/>
        <w:rPr>
          <w:rFonts w:ascii="Calibri" w:eastAsia="Calibri" w:hAnsi="Calibri" w:cs="Calibri"/>
        </w:rPr>
      </w:pPr>
      <w:r w:rsidRPr="00017217">
        <w:rPr>
          <w:rFonts w:ascii="Calibri" w:eastAsia="Calibri" w:hAnsi="Calibri" w:cs="Calibri"/>
        </w:rPr>
        <w:t>Option 2 will be evaluated and monitored in a variety of ways. Most notably, the department and the regulators will be able to determine its success if applications are, in fact, received in accordance with new regulatory requirements such as change of control and ownership of titleholders. Additionally, the regulators will get an insight into whether the regulatory changes have been adequately communicated to the industry, based on the level of guidance that they may be required to provide to companies submitting their applications. Similarly, the regulators may gauge how well the oil and gas industry understand the proposed measures based on how much additional information they may seek from applicants seeking to enter the regime.</w:t>
      </w:r>
    </w:p>
    <w:p w14:paraId="4751C4C4" w14:textId="77777777" w:rsidR="00363282" w:rsidRPr="00017217" w:rsidRDefault="00363282" w:rsidP="00363282">
      <w:pPr>
        <w:spacing w:after="160" w:line="259" w:lineRule="auto"/>
        <w:rPr>
          <w:rFonts w:ascii="Calibri" w:eastAsia="Calibri" w:hAnsi="Calibri" w:cs="Times New Roman"/>
        </w:rPr>
      </w:pPr>
      <w:r w:rsidRPr="00017217">
        <w:rPr>
          <w:rFonts w:ascii="Calibri" w:eastAsia="Calibri" w:hAnsi="Calibri" w:cs="Times New Roman"/>
        </w:rPr>
        <w:t>A table of the key implementation risks of Option 2 is at Annex 2.</w:t>
      </w:r>
    </w:p>
    <w:p w14:paraId="26F65E0F" w14:textId="77777777" w:rsidR="00363282" w:rsidRPr="00017217" w:rsidRDefault="00363282" w:rsidP="00363282">
      <w:pPr>
        <w:spacing w:after="160" w:line="259" w:lineRule="auto"/>
        <w:rPr>
          <w:rFonts w:ascii="Calibri" w:eastAsia="Calibri" w:hAnsi="Calibri" w:cs="Times New Roman"/>
          <w:sz w:val="48"/>
          <w:szCs w:val="48"/>
        </w:rPr>
      </w:pPr>
      <w:r w:rsidRPr="00017217">
        <w:rPr>
          <w:rFonts w:ascii="Calibri" w:eastAsia="Calibri" w:hAnsi="Calibri" w:cs="Calibri"/>
        </w:rPr>
        <w:t>Ultimately, as a long-term evaluation of whether Option 2 was successful in addressing the problem statement, the department will consider how many (if any) titleholders are unable to meet their obligations over the next ten, twenty and thirty years. Noting that while it is impossible to completely eliminate the risk of this occurring, consideration can be given to both the number and nature of future situations in which a titleholder is unable to meet its obligations under its title. The department intends to continuously review and improve the offshore regulatory framework, to ensure that these risks are reduced to as low as reasonably practicable.</w:t>
      </w:r>
      <w:r w:rsidRPr="00017217">
        <w:rPr>
          <w:rFonts w:ascii="Calibri" w:eastAsia="Calibri" w:hAnsi="Calibri" w:cs="Calibri"/>
          <w:b/>
        </w:rPr>
        <w:br w:type="page"/>
      </w:r>
      <w:bookmarkStart w:id="85" w:name="_Toc54359199"/>
      <w:bookmarkStart w:id="86" w:name="_Toc54360205"/>
      <w:bookmarkStart w:id="87" w:name="_Toc54360263"/>
      <w:r w:rsidRPr="00017217">
        <w:rPr>
          <w:rFonts w:ascii="Calibri" w:eastAsia="Calibri" w:hAnsi="Calibri" w:cs="Times New Roman"/>
          <w:sz w:val="48"/>
          <w:szCs w:val="48"/>
        </w:rPr>
        <w:lastRenderedPageBreak/>
        <w:t>Annex 1: Costing Assumptions</w:t>
      </w:r>
      <w:bookmarkEnd w:id="85"/>
      <w:bookmarkEnd w:id="86"/>
      <w:bookmarkEnd w:id="87"/>
    </w:p>
    <w:p w14:paraId="54832A88"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joint venture (JV) partners per title - </w:t>
      </w:r>
      <w:r w:rsidRPr="00017217">
        <w:rPr>
          <w:rFonts w:ascii="Calibri" w:eastAsia="Calibri" w:hAnsi="Calibri" w:cs="Times New Roman"/>
          <w:b/>
        </w:rPr>
        <w:t>5</w:t>
      </w:r>
      <w:r w:rsidRPr="00017217">
        <w:rPr>
          <w:rFonts w:ascii="Calibri" w:eastAsia="Calibri" w:hAnsi="Calibri" w:cs="Times New Roman"/>
        </w:rPr>
        <w:t xml:space="preserve"> (based on NOPTA Titleholder Reports Jun 17 – Feb 20)</w:t>
      </w:r>
    </w:p>
    <w:p w14:paraId="47038F61"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Number of stakeholders impacted by the measures – </w:t>
      </w:r>
      <w:r w:rsidRPr="00017217">
        <w:rPr>
          <w:rFonts w:ascii="Calibri" w:eastAsia="Calibri" w:hAnsi="Calibri" w:cs="Times New Roman"/>
          <w:b/>
        </w:rPr>
        <w:t>185</w:t>
      </w:r>
      <w:r w:rsidRPr="00017217">
        <w:rPr>
          <w:rFonts w:ascii="Calibri" w:eastAsia="Calibri" w:hAnsi="Calibri" w:cs="Times New Roman"/>
        </w:rPr>
        <w:t xml:space="preserve"> (based on total number of titleholders and a change rate of </w:t>
      </w:r>
      <w:r w:rsidRPr="00017217">
        <w:rPr>
          <w:rFonts w:ascii="Calibri" w:eastAsia="Calibri" w:hAnsi="Calibri" w:cs="Times New Roman"/>
          <w:b/>
        </w:rPr>
        <w:t>8</w:t>
      </w:r>
      <w:r w:rsidRPr="00017217">
        <w:rPr>
          <w:rFonts w:ascii="Calibri" w:eastAsia="Calibri" w:hAnsi="Calibri" w:cs="Times New Roman"/>
        </w:rPr>
        <w:t xml:space="preserve"> new organisations per financial year (FY) from NOPTA Titleholder Reports Jun 17 – Feb 20)</w:t>
      </w:r>
    </w:p>
    <w:p w14:paraId="6EA04C42"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Wage rate band of offshore oil and gas companies technical financial / administration employees: </w:t>
      </w:r>
      <w:r w:rsidRPr="00017217">
        <w:rPr>
          <w:rFonts w:ascii="Calibri" w:eastAsia="Calibri" w:hAnsi="Calibri" w:cs="Times New Roman"/>
          <w:b/>
        </w:rPr>
        <w:t>$120 – $150k</w:t>
      </w:r>
      <w:r w:rsidRPr="00017217">
        <w:rPr>
          <w:rFonts w:ascii="Calibri" w:eastAsia="Calibri" w:hAnsi="Calibri" w:cs="Times New Roman"/>
        </w:rPr>
        <w:t xml:space="preserve"> (inclusive of overheads and on-costs) - averaged to </w:t>
      </w:r>
      <w:r w:rsidRPr="00017217">
        <w:rPr>
          <w:rFonts w:ascii="Calibri" w:eastAsia="Calibri" w:hAnsi="Calibri" w:cs="Times New Roman"/>
          <w:b/>
        </w:rPr>
        <w:t>$135k per annum / $121.15 hourly</w:t>
      </w:r>
      <w:r w:rsidRPr="00017217">
        <w:rPr>
          <w:rFonts w:ascii="Calibri" w:eastAsia="Calibri" w:hAnsi="Calibri" w:cs="Times New Roman"/>
        </w:rPr>
        <w:t xml:space="preserve"> (based on reported average industry wage rates)</w:t>
      </w:r>
    </w:p>
    <w:p w14:paraId="169A7FE2"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Wage rate band of CEOs/Directors of offshore oil and gas companies: </w:t>
      </w:r>
      <w:r w:rsidRPr="00017217">
        <w:rPr>
          <w:rFonts w:ascii="Calibri" w:eastAsia="Calibri" w:hAnsi="Calibri" w:cs="Times New Roman"/>
          <w:b/>
        </w:rPr>
        <w:t>$500 – $800k</w:t>
      </w:r>
      <w:r w:rsidRPr="00017217">
        <w:rPr>
          <w:rFonts w:ascii="Calibri" w:eastAsia="Calibri" w:hAnsi="Calibri" w:cs="Times New Roman"/>
        </w:rPr>
        <w:t xml:space="preserve"> (inclusive of overheads and on-costs) - averaged to </w:t>
      </w:r>
      <w:r w:rsidRPr="00017217">
        <w:rPr>
          <w:rFonts w:ascii="Calibri" w:eastAsia="Calibri" w:hAnsi="Calibri" w:cs="Times New Roman"/>
          <w:b/>
        </w:rPr>
        <w:t>$650k per annum/$583.33 hourly</w:t>
      </w:r>
      <w:r w:rsidRPr="00017217">
        <w:rPr>
          <w:rFonts w:ascii="Calibri" w:eastAsia="Calibri" w:hAnsi="Calibri" w:cs="Times New Roman"/>
        </w:rPr>
        <w:t xml:space="preserve"> (based on reported average industry wage rates)</w:t>
      </w:r>
    </w:p>
    <w:p w14:paraId="4028B6FA"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number of directors of offshore oil and gas companies – </w:t>
      </w:r>
      <w:r w:rsidRPr="00017217">
        <w:rPr>
          <w:rFonts w:ascii="Calibri" w:eastAsia="Calibri" w:hAnsi="Calibri" w:cs="Times New Roman"/>
          <w:b/>
        </w:rPr>
        <w:t>12</w:t>
      </w:r>
      <w:r w:rsidRPr="00017217">
        <w:rPr>
          <w:rFonts w:ascii="Calibri" w:eastAsia="Calibri" w:hAnsi="Calibri" w:cs="Times New Roman"/>
        </w:rPr>
        <w:t xml:space="preserve"> (based on reported average industry information)</w:t>
      </w:r>
    </w:p>
    <w:p w14:paraId="75005F4C"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Average time for a single organisation to undertake requirements (based on NOPTA advice):</w:t>
      </w:r>
    </w:p>
    <w:p w14:paraId="2A54D594" w14:textId="77777777" w:rsidR="00363282" w:rsidRPr="00017217" w:rsidRDefault="00363282" w:rsidP="00363282">
      <w:pPr>
        <w:numPr>
          <w:ilvl w:val="1"/>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 technical and financial report application – </w:t>
      </w:r>
      <w:r w:rsidRPr="00017217">
        <w:rPr>
          <w:rFonts w:ascii="Calibri" w:eastAsia="Calibri" w:hAnsi="Calibri" w:cs="Times New Roman"/>
          <w:b/>
        </w:rPr>
        <w:t>6</w:t>
      </w:r>
      <w:r w:rsidRPr="00017217">
        <w:rPr>
          <w:rFonts w:ascii="Calibri" w:eastAsia="Calibri" w:hAnsi="Calibri" w:cs="Times New Roman"/>
        </w:rPr>
        <w:t xml:space="preserve"> hours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source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2</w:t>
      </w:r>
      <w:r w:rsidRPr="00017217">
        <w:rPr>
          <w:rFonts w:ascii="Calibri" w:eastAsia="Calibri" w:hAnsi="Calibri" w:cs="Times New Roman"/>
        </w:rPr>
        <w:t xml:space="preserve"> directors required to execute application.</w:t>
      </w:r>
    </w:p>
    <w:p w14:paraId="1392690F" w14:textId="77777777" w:rsidR="00363282" w:rsidRPr="00017217" w:rsidRDefault="00363282" w:rsidP="00363282">
      <w:pPr>
        <w:numPr>
          <w:ilvl w:val="1"/>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 fit and proper person declaration and appropriateness criteria application – </w:t>
      </w:r>
      <w:r w:rsidRPr="00017217">
        <w:rPr>
          <w:rFonts w:ascii="Calibri" w:eastAsia="Calibri" w:hAnsi="Calibri" w:cs="Times New Roman"/>
          <w:b/>
        </w:rPr>
        <w:t>2</w:t>
      </w:r>
      <w:r w:rsidRPr="00017217">
        <w:rPr>
          <w:rFonts w:ascii="Calibri" w:eastAsia="Calibri" w:hAnsi="Calibri" w:cs="Times New Roman"/>
        </w:rPr>
        <w:t xml:space="preserve"> hours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liaise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1</w:t>
      </w:r>
      <w:r w:rsidRPr="00017217">
        <w:rPr>
          <w:rFonts w:ascii="Calibri" w:eastAsia="Calibri" w:hAnsi="Calibri" w:cs="Times New Roman"/>
        </w:rPr>
        <w:t xml:space="preserve"> director required to execute declaration.</w:t>
      </w:r>
    </w:p>
    <w:p w14:paraId="72D51334" w14:textId="77777777" w:rsidR="00363282" w:rsidRPr="00017217" w:rsidRDefault="00363282" w:rsidP="00363282">
      <w:pPr>
        <w:numPr>
          <w:ilvl w:val="1"/>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 change of ownership and control application –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1</w:t>
      </w:r>
      <w:r w:rsidRPr="00017217">
        <w:rPr>
          <w:rFonts w:ascii="Calibri" w:eastAsia="Calibri" w:hAnsi="Calibri" w:cs="Times New Roman"/>
        </w:rPr>
        <w:t xml:space="preserve"> technical financial / administration employee to source and compile information, </w:t>
      </w:r>
      <w:r w:rsidRPr="00017217">
        <w:rPr>
          <w:rFonts w:ascii="Calibri" w:eastAsia="Calibri" w:hAnsi="Calibri" w:cs="Times New Roman"/>
          <w:b/>
        </w:rPr>
        <w:t>1</w:t>
      </w:r>
      <w:r w:rsidRPr="00017217">
        <w:rPr>
          <w:rFonts w:ascii="Calibri" w:eastAsia="Calibri" w:hAnsi="Calibri" w:cs="Times New Roman"/>
        </w:rPr>
        <w:t xml:space="preserve"> hour for </w:t>
      </w:r>
      <w:r w:rsidRPr="00017217">
        <w:rPr>
          <w:rFonts w:ascii="Calibri" w:eastAsia="Calibri" w:hAnsi="Calibri" w:cs="Times New Roman"/>
          <w:b/>
        </w:rPr>
        <w:t>2</w:t>
      </w:r>
      <w:r w:rsidRPr="00017217">
        <w:rPr>
          <w:rFonts w:ascii="Calibri" w:eastAsia="Calibri" w:hAnsi="Calibri" w:cs="Times New Roman"/>
        </w:rPr>
        <w:t xml:space="preserve"> directors required to execute application.</w:t>
      </w:r>
    </w:p>
    <w:p w14:paraId="734E98EA"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Average number of applications NOPTA currently receives requiring technical and financial report applications – </w:t>
      </w:r>
      <w:r w:rsidRPr="00017217">
        <w:rPr>
          <w:rFonts w:ascii="Calibri" w:eastAsia="Calibri" w:hAnsi="Calibri" w:cs="Times New Roman"/>
          <w:b/>
        </w:rPr>
        <w:t>68</w:t>
      </w:r>
      <w:r w:rsidRPr="00017217">
        <w:rPr>
          <w:rFonts w:ascii="Calibri" w:eastAsia="Calibri" w:hAnsi="Calibri" w:cs="Times New Roman"/>
        </w:rPr>
        <w:t xml:space="preserve"> per year (based on NOPTA advice)</w:t>
      </w:r>
    </w:p>
    <w:p w14:paraId="294D3FEC"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requiring technical and financial reports under Option 2 – </w:t>
      </w:r>
      <w:r w:rsidRPr="00017217">
        <w:rPr>
          <w:rFonts w:ascii="Calibri" w:eastAsia="Calibri" w:hAnsi="Calibri" w:cs="Times New Roman"/>
          <w:b/>
        </w:rPr>
        <w:t>87</w:t>
      </w:r>
      <w:r w:rsidRPr="00017217">
        <w:rPr>
          <w:rFonts w:ascii="Calibri" w:eastAsia="Calibri" w:hAnsi="Calibri" w:cs="Times New Roman"/>
        </w:rPr>
        <w:t xml:space="preserve"> per year (based on NOPTA advice)</w:t>
      </w:r>
    </w:p>
    <w:p w14:paraId="1399FE67"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requiring technical and financial reports under Option 3 – </w:t>
      </w:r>
      <w:r w:rsidRPr="00017217">
        <w:rPr>
          <w:rFonts w:ascii="Calibri" w:eastAsia="Calibri" w:hAnsi="Calibri" w:cs="Times New Roman"/>
          <w:b/>
        </w:rPr>
        <w:t>250</w:t>
      </w:r>
      <w:r w:rsidRPr="00017217">
        <w:rPr>
          <w:rFonts w:ascii="Calibri" w:eastAsia="Calibri" w:hAnsi="Calibri" w:cs="Times New Roman"/>
        </w:rPr>
        <w:t xml:space="preserve"> per year (based on NOPTA advice)</w:t>
      </w:r>
    </w:p>
    <w:p w14:paraId="15C17BB4"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applications NOPTA would receive fit and proper person declaration and appropriateness criteria under Option 2 – </w:t>
      </w:r>
      <w:r w:rsidRPr="00017217">
        <w:rPr>
          <w:rFonts w:ascii="Calibri" w:eastAsia="Calibri" w:hAnsi="Calibri" w:cs="Times New Roman"/>
          <w:b/>
        </w:rPr>
        <w:t>87</w:t>
      </w:r>
      <w:r w:rsidRPr="00017217">
        <w:rPr>
          <w:rFonts w:ascii="Calibri" w:eastAsia="Calibri" w:hAnsi="Calibri" w:cs="Times New Roman"/>
        </w:rPr>
        <w:t xml:space="preserve"> per year (based on NOPTA advice)</w:t>
      </w:r>
    </w:p>
    <w:p w14:paraId="3AB36A67"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associates NOPTA would require fit and proper person declaration and appropriateness criteria to be completed under Option 3 – </w:t>
      </w:r>
      <w:r w:rsidRPr="00017217">
        <w:rPr>
          <w:rFonts w:ascii="Calibri" w:eastAsia="Calibri" w:hAnsi="Calibri" w:cs="Times New Roman"/>
          <w:b/>
        </w:rPr>
        <w:t>2</w:t>
      </w:r>
      <w:r w:rsidRPr="00017217">
        <w:rPr>
          <w:rFonts w:ascii="Calibri" w:eastAsia="Calibri" w:hAnsi="Calibri" w:cs="Times New Roman"/>
        </w:rPr>
        <w:t xml:space="preserve"> per CEOs/Directors of offshore oil and gas companies with an average hourly cost of </w:t>
      </w:r>
      <w:r w:rsidRPr="00017217">
        <w:rPr>
          <w:rFonts w:ascii="Calibri" w:eastAsia="Calibri" w:hAnsi="Calibri" w:cs="Times New Roman"/>
          <w:b/>
        </w:rPr>
        <w:t>$320.24</w:t>
      </w:r>
      <w:r w:rsidRPr="00017217">
        <w:rPr>
          <w:rFonts w:ascii="Calibri" w:eastAsia="Calibri" w:hAnsi="Calibri" w:cs="Times New Roman"/>
        </w:rPr>
        <w:t>.</w:t>
      </w:r>
    </w:p>
    <w:p w14:paraId="1005CC3C" w14:textId="77777777" w:rsidR="00363282" w:rsidRPr="00017217" w:rsidRDefault="00363282" w:rsidP="00363282">
      <w:pPr>
        <w:numPr>
          <w:ilvl w:val="0"/>
          <w:numId w:val="15"/>
        </w:numPr>
        <w:spacing w:after="160" w:line="259" w:lineRule="auto"/>
        <w:contextualSpacing/>
        <w:rPr>
          <w:rFonts w:ascii="Calibri" w:eastAsia="Calibri" w:hAnsi="Calibri" w:cs="Times New Roman"/>
        </w:rPr>
      </w:pPr>
      <w:r w:rsidRPr="00017217">
        <w:rPr>
          <w:rFonts w:ascii="Calibri" w:eastAsia="Calibri" w:hAnsi="Calibri" w:cs="Times New Roman"/>
        </w:rPr>
        <w:t xml:space="preserve">Estimated number of change of ownership and control applications NOPTA would receive under Option 2 and 3 – </w:t>
      </w:r>
      <w:r w:rsidRPr="00017217">
        <w:rPr>
          <w:rFonts w:ascii="Calibri" w:eastAsia="Calibri" w:hAnsi="Calibri" w:cs="Times New Roman"/>
          <w:b/>
        </w:rPr>
        <w:t>2</w:t>
      </w:r>
      <w:r w:rsidRPr="00017217">
        <w:rPr>
          <w:rFonts w:ascii="Calibri" w:eastAsia="Calibri" w:hAnsi="Calibri" w:cs="Times New Roman"/>
        </w:rPr>
        <w:t xml:space="preserve"> per year (based on NOPTA Change of Titleholder Company Name Report average Nov 18 – Jul 20).</w:t>
      </w:r>
      <w:r w:rsidRPr="00017217">
        <w:rPr>
          <w:rFonts w:ascii="Calibri" w:eastAsia="Calibri" w:hAnsi="Calibri" w:cs="Times New Roman"/>
        </w:rPr>
        <w:br w:type="page"/>
      </w:r>
    </w:p>
    <w:p w14:paraId="4978D2F8" w14:textId="77777777" w:rsidR="00363282" w:rsidRPr="00017217" w:rsidRDefault="00363282" w:rsidP="00363282">
      <w:pPr>
        <w:spacing w:after="160" w:line="259" w:lineRule="auto"/>
        <w:rPr>
          <w:rFonts w:ascii="Calibri" w:eastAsia="Calibri" w:hAnsi="Calibri" w:cs="Times New Roman"/>
          <w:sz w:val="48"/>
          <w:szCs w:val="48"/>
        </w:rPr>
      </w:pPr>
      <w:bookmarkStart w:id="88" w:name="_Toc54348570"/>
      <w:bookmarkStart w:id="89" w:name="_Toc54359200"/>
      <w:bookmarkStart w:id="90" w:name="_Toc54360206"/>
      <w:bookmarkStart w:id="91" w:name="_Toc54360264"/>
      <w:r w:rsidRPr="00017217">
        <w:rPr>
          <w:rFonts w:ascii="Calibri" w:eastAsia="Calibri" w:hAnsi="Calibri" w:cs="Times New Roman"/>
          <w:sz w:val="48"/>
          <w:szCs w:val="48"/>
        </w:rPr>
        <w:lastRenderedPageBreak/>
        <w:t>Annex 2: Table of Key Implementation Risks</w:t>
      </w:r>
      <w:bookmarkEnd w:id="88"/>
      <w:bookmarkEnd w:id="89"/>
      <w:bookmarkEnd w:id="90"/>
      <w:bookmarkEnd w:id="91"/>
    </w:p>
    <w:tbl>
      <w:tblPr>
        <w:tblStyle w:val="TableGrid3"/>
        <w:tblW w:w="5000" w:type="pct"/>
        <w:tblLook w:val="04A0" w:firstRow="1" w:lastRow="0" w:firstColumn="1" w:lastColumn="0" w:noHBand="0" w:noVBand="1"/>
      </w:tblPr>
      <w:tblGrid>
        <w:gridCol w:w="2092"/>
        <w:gridCol w:w="2710"/>
        <w:gridCol w:w="3081"/>
        <w:gridCol w:w="1133"/>
      </w:tblGrid>
      <w:tr w:rsidR="00363282" w:rsidRPr="00017217" w14:paraId="62E143B2" w14:textId="77777777" w:rsidTr="00273E05">
        <w:trPr>
          <w:trHeight w:val="562"/>
          <w:tblHeader/>
        </w:trPr>
        <w:tc>
          <w:tcPr>
            <w:tcW w:w="1164" w:type="pct"/>
            <w:shd w:val="clear" w:color="auto" w:fill="F8F8F8"/>
          </w:tcPr>
          <w:p w14:paraId="3B423E46" w14:textId="77777777" w:rsidR="00363282" w:rsidRPr="00017217" w:rsidRDefault="00363282" w:rsidP="00273E05">
            <w:pPr>
              <w:rPr>
                <w:rFonts w:eastAsia="Calibri" w:cs="Times New Roman"/>
              </w:rPr>
            </w:pPr>
            <w:r w:rsidRPr="00017217">
              <w:rPr>
                <w:rFonts w:eastAsia="Calibri" w:cs="Times New Roman"/>
              </w:rPr>
              <w:t>Risk</w:t>
            </w:r>
          </w:p>
        </w:tc>
        <w:tc>
          <w:tcPr>
            <w:tcW w:w="1507" w:type="pct"/>
            <w:shd w:val="clear" w:color="auto" w:fill="F8F8F8"/>
          </w:tcPr>
          <w:p w14:paraId="775BD686" w14:textId="77777777" w:rsidR="00363282" w:rsidRPr="00017217" w:rsidRDefault="00363282" w:rsidP="00273E05">
            <w:pPr>
              <w:rPr>
                <w:rFonts w:eastAsia="Calibri" w:cs="Times New Roman"/>
              </w:rPr>
            </w:pPr>
            <w:r w:rsidRPr="00017217">
              <w:rPr>
                <w:rFonts w:eastAsia="Calibri" w:cs="Times New Roman"/>
              </w:rPr>
              <w:t>Consequences</w:t>
            </w:r>
          </w:p>
        </w:tc>
        <w:tc>
          <w:tcPr>
            <w:tcW w:w="1712" w:type="pct"/>
            <w:shd w:val="clear" w:color="auto" w:fill="F8F8F8"/>
          </w:tcPr>
          <w:p w14:paraId="1941BD61" w14:textId="77777777" w:rsidR="00363282" w:rsidRPr="00017217" w:rsidRDefault="00363282" w:rsidP="00273E05">
            <w:pPr>
              <w:rPr>
                <w:rFonts w:eastAsia="Calibri" w:cs="Times New Roman"/>
              </w:rPr>
            </w:pPr>
            <w:r w:rsidRPr="00017217">
              <w:rPr>
                <w:rFonts w:eastAsia="Calibri" w:cs="Times New Roman"/>
              </w:rPr>
              <w:t>Management and Mitigation</w:t>
            </w:r>
          </w:p>
        </w:tc>
        <w:tc>
          <w:tcPr>
            <w:tcW w:w="616" w:type="pct"/>
            <w:shd w:val="clear" w:color="auto" w:fill="F8F8F8"/>
          </w:tcPr>
          <w:p w14:paraId="0A0AFEE5" w14:textId="77777777" w:rsidR="00363282" w:rsidRPr="00017217" w:rsidRDefault="00363282" w:rsidP="00273E05">
            <w:pPr>
              <w:rPr>
                <w:rFonts w:eastAsia="Calibri" w:cs="Times New Roman"/>
              </w:rPr>
            </w:pPr>
            <w:r w:rsidRPr="00017217">
              <w:rPr>
                <w:rFonts w:eastAsia="Calibri" w:cs="Times New Roman"/>
              </w:rPr>
              <w:t>Likelihood</w:t>
            </w:r>
          </w:p>
        </w:tc>
      </w:tr>
      <w:tr w:rsidR="00363282" w:rsidRPr="00017217" w14:paraId="056E86C6" w14:textId="77777777" w:rsidTr="00273E05">
        <w:trPr>
          <w:trHeight w:val="281"/>
        </w:trPr>
        <w:tc>
          <w:tcPr>
            <w:tcW w:w="1164" w:type="pct"/>
          </w:tcPr>
          <w:p w14:paraId="76EEFFD1" w14:textId="77777777" w:rsidR="00363282" w:rsidRPr="00017217" w:rsidRDefault="00363282" w:rsidP="00273E05">
            <w:pPr>
              <w:rPr>
                <w:rFonts w:eastAsia="Calibri" w:cs="Times New Roman"/>
              </w:rPr>
            </w:pPr>
            <w:r w:rsidRPr="00017217">
              <w:rPr>
                <w:rFonts w:eastAsia="Calibri" w:cs="Times New Roman"/>
              </w:rPr>
              <w:t>There are implementation overlaps and/or gaps between the roles and responsibilities of the department, NOPTA and NOPSEMA once regulatory amendments take effect.</w:t>
            </w:r>
          </w:p>
          <w:p w14:paraId="49D8F44E" w14:textId="77777777" w:rsidR="00363282" w:rsidRPr="00017217" w:rsidRDefault="00363282" w:rsidP="00273E05">
            <w:pPr>
              <w:rPr>
                <w:rFonts w:eastAsia="Calibri" w:cs="Times New Roman"/>
              </w:rPr>
            </w:pPr>
          </w:p>
        </w:tc>
        <w:tc>
          <w:tcPr>
            <w:tcW w:w="1507" w:type="pct"/>
          </w:tcPr>
          <w:p w14:paraId="23212616" w14:textId="77777777" w:rsidR="00363282" w:rsidRPr="00017217" w:rsidRDefault="00363282" w:rsidP="00273E05">
            <w:pPr>
              <w:rPr>
                <w:rFonts w:eastAsia="Calibri" w:cs="Times New Roman"/>
              </w:rPr>
            </w:pPr>
            <w:r w:rsidRPr="00017217">
              <w:rPr>
                <w:rFonts w:eastAsia="Calibri" w:cs="Times New Roman"/>
                <w:i/>
              </w:rPr>
              <w:t>Major</w:t>
            </w:r>
            <w:r w:rsidRPr="00017217">
              <w:rPr>
                <w:rFonts w:eastAsia="Calibri" w:cs="Times New Roman"/>
              </w:rPr>
              <w:t xml:space="preserve"> – There are gaps in regulatory oversight that may result in financial risks not being mitigated.</w:t>
            </w:r>
          </w:p>
          <w:p w14:paraId="49BED3FD" w14:textId="77777777" w:rsidR="00363282" w:rsidRPr="00017217" w:rsidRDefault="00363282" w:rsidP="00273E05">
            <w:pPr>
              <w:rPr>
                <w:rFonts w:eastAsia="Calibri" w:cs="Times New Roman"/>
              </w:rPr>
            </w:pPr>
          </w:p>
          <w:p w14:paraId="38D75B04" w14:textId="77777777" w:rsidR="00363282" w:rsidRPr="00017217" w:rsidRDefault="00363282" w:rsidP="00273E05">
            <w:pPr>
              <w:rPr>
                <w:rFonts w:eastAsia="Calibri" w:cs="Times New Roman"/>
              </w:rPr>
            </w:pPr>
            <w:r w:rsidRPr="00017217">
              <w:rPr>
                <w:rFonts w:eastAsia="Calibri" w:cs="Times New Roman"/>
                <w:i/>
              </w:rPr>
              <w:t xml:space="preserve">Minor </w:t>
            </w:r>
            <w:r w:rsidRPr="00017217">
              <w:rPr>
                <w:rFonts w:eastAsia="Calibri" w:cs="Times New Roman"/>
              </w:rPr>
              <w:t>– Duplication of duties results in additional regulatory burden on the department, NOPTA or NOPSEMA as well as industry.</w:t>
            </w:r>
          </w:p>
        </w:tc>
        <w:tc>
          <w:tcPr>
            <w:tcW w:w="1712" w:type="pct"/>
          </w:tcPr>
          <w:p w14:paraId="38CB7495" w14:textId="77777777" w:rsidR="00363282" w:rsidRPr="00017217" w:rsidRDefault="00363282" w:rsidP="00273E05">
            <w:pPr>
              <w:rPr>
                <w:rFonts w:eastAsia="Calibri" w:cs="Times New Roman"/>
              </w:rPr>
            </w:pPr>
            <w:r w:rsidRPr="00017217">
              <w:rPr>
                <w:rFonts w:eastAsia="Calibri" w:cs="Times New Roman"/>
              </w:rPr>
              <w:t>Ongoing and early engagement between the department, NOPTA and NOPSEMA to ensure all parties are clear on their role and responsibilities in implementing the regulatory changes.</w:t>
            </w:r>
          </w:p>
        </w:tc>
        <w:tc>
          <w:tcPr>
            <w:tcW w:w="616" w:type="pct"/>
          </w:tcPr>
          <w:p w14:paraId="70444095" w14:textId="77777777" w:rsidR="00363282" w:rsidRPr="00017217" w:rsidRDefault="00363282" w:rsidP="00273E05">
            <w:pPr>
              <w:rPr>
                <w:rFonts w:eastAsia="Calibri" w:cs="Times New Roman"/>
              </w:rPr>
            </w:pPr>
            <w:r w:rsidRPr="00017217">
              <w:rPr>
                <w:rFonts w:eastAsia="Calibri" w:cs="Times New Roman"/>
              </w:rPr>
              <w:t>Low</w:t>
            </w:r>
          </w:p>
        </w:tc>
      </w:tr>
      <w:tr w:rsidR="00363282" w:rsidRPr="00017217" w14:paraId="6A06DECE" w14:textId="77777777" w:rsidTr="00273E05">
        <w:trPr>
          <w:trHeight w:val="281"/>
        </w:trPr>
        <w:tc>
          <w:tcPr>
            <w:tcW w:w="1164" w:type="pct"/>
          </w:tcPr>
          <w:p w14:paraId="7C350A1B" w14:textId="77777777" w:rsidR="00363282" w:rsidRPr="00017217" w:rsidRDefault="00363282" w:rsidP="00273E05">
            <w:pPr>
              <w:rPr>
                <w:rFonts w:eastAsia="Calibri" w:cs="Times New Roman"/>
              </w:rPr>
            </w:pPr>
            <w:r w:rsidRPr="00017217">
              <w:rPr>
                <w:rFonts w:eastAsia="Calibri" w:cs="Times New Roman"/>
              </w:rPr>
              <w:t>Regulatory/policy guidance material and internal systems and processes are not amended or updated before measures are implemented.</w:t>
            </w:r>
          </w:p>
        </w:tc>
        <w:tc>
          <w:tcPr>
            <w:tcW w:w="1507" w:type="pct"/>
          </w:tcPr>
          <w:p w14:paraId="19D1A625" w14:textId="77777777" w:rsidR="00363282" w:rsidRPr="00017217" w:rsidRDefault="00363282" w:rsidP="00273E05">
            <w:pPr>
              <w:rPr>
                <w:rFonts w:eastAsia="Calibri" w:cs="Times New Roman"/>
              </w:rPr>
            </w:pPr>
            <w:r w:rsidRPr="00017217">
              <w:rPr>
                <w:rFonts w:eastAsia="Calibri" w:cs="Times New Roman"/>
                <w:i/>
              </w:rPr>
              <w:t>Minor</w:t>
            </w:r>
            <w:r w:rsidRPr="00017217">
              <w:rPr>
                <w:rFonts w:eastAsia="Calibri" w:cs="Times New Roman"/>
              </w:rPr>
              <w:t xml:space="preserve"> – Companies will be unable to find appropriate guidance material as to how the measures will be implemented and may not comply with new requirements.</w:t>
            </w:r>
          </w:p>
        </w:tc>
        <w:tc>
          <w:tcPr>
            <w:tcW w:w="1712" w:type="pct"/>
          </w:tcPr>
          <w:p w14:paraId="1ADFA87E" w14:textId="77777777" w:rsidR="00363282" w:rsidRPr="00017217" w:rsidRDefault="00363282" w:rsidP="00273E05">
            <w:pPr>
              <w:rPr>
                <w:rFonts w:eastAsia="Calibri" w:cs="Times New Roman"/>
              </w:rPr>
            </w:pPr>
            <w:r w:rsidRPr="00017217">
              <w:rPr>
                <w:rFonts w:eastAsia="Calibri" w:cs="Times New Roman"/>
              </w:rPr>
              <w:t>To mitigate this risk, the department is committed to working with the NOPTA and NOPSEMA in order to ensure that all policy and regulatory guidance materials are updated prior to implementation, to reflect changes in the regulatory framework and explain the policy and operation and effects of such changes.</w:t>
            </w:r>
          </w:p>
          <w:p w14:paraId="114FB574" w14:textId="77777777" w:rsidR="00363282" w:rsidRPr="00017217" w:rsidRDefault="00363282" w:rsidP="00273E05">
            <w:pPr>
              <w:rPr>
                <w:rFonts w:eastAsia="Calibri" w:cs="Times New Roman"/>
              </w:rPr>
            </w:pPr>
          </w:p>
        </w:tc>
        <w:tc>
          <w:tcPr>
            <w:tcW w:w="616" w:type="pct"/>
          </w:tcPr>
          <w:p w14:paraId="39F0E826" w14:textId="77777777" w:rsidR="00363282" w:rsidRPr="00017217" w:rsidRDefault="00363282" w:rsidP="00273E05">
            <w:pPr>
              <w:rPr>
                <w:rFonts w:eastAsia="Calibri" w:cs="Times New Roman"/>
              </w:rPr>
            </w:pPr>
            <w:r w:rsidRPr="00017217">
              <w:rPr>
                <w:rFonts w:eastAsia="Calibri" w:cs="Times New Roman"/>
              </w:rPr>
              <w:t>Low</w:t>
            </w:r>
          </w:p>
        </w:tc>
      </w:tr>
      <w:tr w:rsidR="00363282" w:rsidRPr="00BE3DB0" w14:paraId="1ABB6AC4" w14:textId="77777777" w:rsidTr="00273E05">
        <w:trPr>
          <w:trHeight w:val="290"/>
        </w:trPr>
        <w:tc>
          <w:tcPr>
            <w:tcW w:w="1164" w:type="pct"/>
          </w:tcPr>
          <w:p w14:paraId="249E7F58" w14:textId="77777777" w:rsidR="00363282" w:rsidRPr="00017217" w:rsidRDefault="00363282" w:rsidP="00273E05">
            <w:pPr>
              <w:rPr>
                <w:rFonts w:eastAsia="Calibri" w:cs="Times New Roman"/>
              </w:rPr>
            </w:pPr>
            <w:r w:rsidRPr="00017217">
              <w:rPr>
                <w:rFonts w:eastAsia="Calibri" w:cs="Times New Roman"/>
              </w:rPr>
              <w:t>Changes to the regulatory framework are not implemented by NOPTA and/or NOPSEMA.</w:t>
            </w:r>
          </w:p>
          <w:p w14:paraId="6F882C21" w14:textId="77777777" w:rsidR="00363282" w:rsidRPr="00017217" w:rsidRDefault="00363282" w:rsidP="00273E05">
            <w:pPr>
              <w:rPr>
                <w:rFonts w:eastAsia="Calibri" w:cs="Times New Roman"/>
              </w:rPr>
            </w:pPr>
          </w:p>
        </w:tc>
        <w:tc>
          <w:tcPr>
            <w:tcW w:w="1507" w:type="pct"/>
          </w:tcPr>
          <w:p w14:paraId="5611F409" w14:textId="77777777" w:rsidR="00363282" w:rsidRPr="00017217" w:rsidRDefault="00363282" w:rsidP="00273E05">
            <w:pPr>
              <w:rPr>
                <w:rFonts w:eastAsia="Calibri" w:cs="Times New Roman"/>
              </w:rPr>
            </w:pPr>
            <w:r w:rsidRPr="00017217">
              <w:rPr>
                <w:rFonts w:eastAsia="Calibri" w:cs="Times New Roman"/>
                <w:i/>
              </w:rPr>
              <w:t>Major</w:t>
            </w:r>
            <w:r w:rsidRPr="00017217">
              <w:rPr>
                <w:rFonts w:eastAsia="Calibri" w:cs="Times New Roman"/>
              </w:rPr>
              <w:t xml:space="preserve"> – The regulatory framework is not improved and risk of unsuitable entrants entering into the offshore regime at key gateways is not mitigated and the Australian taxpayer may be left to meet significant financial liabilities.</w:t>
            </w:r>
          </w:p>
          <w:p w14:paraId="09CBD577" w14:textId="77777777" w:rsidR="00363282" w:rsidRPr="00017217" w:rsidRDefault="00363282" w:rsidP="00273E05">
            <w:pPr>
              <w:rPr>
                <w:rFonts w:eastAsia="Calibri" w:cs="Calibri"/>
              </w:rPr>
            </w:pPr>
          </w:p>
        </w:tc>
        <w:tc>
          <w:tcPr>
            <w:tcW w:w="1712" w:type="pct"/>
          </w:tcPr>
          <w:p w14:paraId="6BC8E1B0" w14:textId="77777777" w:rsidR="00363282" w:rsidRPr="00017217" w:rsidRDefault="00363282" w:rsidP="00273E05">
            <w:pPr>
              <w:rPr>
                <w:rFonts w:eastAsia="Calibri" w:cs="Times New Roman"/>
              </w:rPr>
            </w:pPr>
            <w:r w:rsidRPr="00017217">
              <w:rPr>
                <w:rFonts w:eastAsia="Calibri" w:cs="Times New Roman"/>
              </w:rPr>
              <w:t xml:space="preserve">The department will liaise regularly with NOPTA and NOPSEMA to ensure that they have all the information and assistance that they require to administer these measures to meet the policy objectives. </w:t>
            </w:r>
          </w:p>
        </w:tc>
        <w:tc>
          <w:tcPr>
            <w:tcW w:w="616" w:type="pct"/>
          </w:tcPr>
          <w:p w14:paraId="14870444" w14:textId="77777777" w:rsidR="00363282" w:rsidRPr="00BE3DB0" w:rsidRDefault="00363282" w:rsidP="00273E05">
            <w:pPr>
              <w:rPr>
                <w:rFonts w:eastAsia="Calibri" w:cs="Times New Roman"/>
              </w:rPr>
            </w:pPr>
            <w:r w:rsidRPr="00017217">
              <w:rPr>
                <w:rFonts w:eastAsia="Calibri" w:cs="Times New Roman"/>
              </w:rPr>
              <w:t>Low</w:t>
            </w:r>
          </w:p>
        </w:tc>
      </w:tr>
      <w:bookmarkEnd w:id="56"/>
    </w:tbl>
    <w:p w14:paraId="22FB8E50" w14:textId="77777777" w:rsidR="00363282" w:rsidRPr="00BE3DB0" w:rsidRDefault="00363282" w:rsidP="00363282">
      <w:pPr>
        <w:spacing w:after="0" w:line="240" w:lineRule="auto"/>
        <w:rPr>
          <w:rFonts w:ascii="Calibri" w:eastAsia="Calibri" w:hAnsi="Calibri" w:cs="Times New Roman"/>
        </w:rPr>
      </w:pPr>
    </w:p>
    <w:p w14:paraId="278F53E1" w14:textId="77777777" w:rsidR="00363282" w:rsidRDefault="00363282" w:rsidP="00363282">
      <w:pPr>
        <w:spacing w:before="120" w:after="120"/>
      </w:pPr>
    </w:p>
    <w:p w14:paraId="131C10EA"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4707C" w14:textId="77777777" w:rsidR="00A37347" w:rsidRDefault="00A37347" w:rsidP="00363282">
      <w:pPr>
        <w:spacing w:after="0" w:line="240" w:lineRule="auto"/>
      </w:pPr>
      <w:r>
        <w:separator/>
      </w:r>
    </w:p>
  </w:endnote>
  <w:endnote w:type="continuationSeparator" w:id="0">
    <w:p w14:paraId="31019DC7" w14:textId="77777777" w:rsidR="00A37347" w:rsidRDefault="00A37347" w:rsidP="0036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06423"/>
      <w:docPartObj>
        <w:docPartGallery w:val="Page Numbers (Bottom of Page)"/>
        <w:docPartUnique/>
      </w:docPartObj>
    </w:sdtPr>
    <w:sdtEndPr>
      <w:rPr>
        <w:noProof/>
      </w:rPr>
    </w:sdtEndPr>
    <w:sdtContent>
      <w:p w14:paraId="122DCF75" w14:textId="7C865029" w:rsidR="00A37347" w:rsidRDefault="00A37347">
        <w:pPr>
          <w:pStyle w:val="Footer"/>
          <w:jc w:val="center"/>
        </w:pPr>
        <w:r>
          <w:fldChar w:fldCharType="begin"/>
        </w:r>
        <w:r>
          <w:instrText xml:space="preserve"> PAGE   \* MERGEFORMAT </w:instrText>
        </w:r>
        <w:r>
          <w:fldChar w:fldCharType="separate"/>
        </w:r>
        <w:r w:rsidR="00EF5477">
          <w:rPr>
            <w:noProof/>
          </w:rPr>
          <w:t>13</w:t>
        </w:r>
        <w:r>
          <w:rPr>
            <w:noProof/>
          </w:rPr>
          <w:fldChar w:fldCharType="end"/>
        </w:r>
      </w:p>
    </w:sdtContent>
  </w:sdt>
  <w:p w14:paraId="54D7EAAA" w14:textId="77777777" w:rsidR="00A37347" w:rsidRDefault="00A37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621822"/>
      <w:docPartObj>
        <w:docPartGallery w:val="Page Numbers (Bottom of Page)"/>
        <w:docPartUnique/>
      </w:docPartObj>
    </w:sdtPr>
    <w:sdtEndPr>
      <w:rPr>
        <w:noProof/>
      </w:rPr>
    </w:sdtEndPr>
    <w:sdtContent>
      <w:p w14:paraId="1944E186" w14:textId="77777777" w:rsidR="00A37347" w:rsidRDefault="00A37347">
        <w:pPr>
          <w:pStyle w:val="Footer"/>
          <w:jc w:val="center"/>
        </w:pPr>
        <w:r>
          <w:fldChar w:fldCharType="begin"/>
        </w:r>
        <w:r>
          <w:instrText xml:space="preserve"> PAGE   \* MERGEFORMAT </w:instrText>
        </w:r>
        <w:r>
          <w:fldChar w:fldCharType="separate"/>
        </w:r>
        <w:r w:rsidR="00EF5477">
          <w:rPr>
            <w:noProof/>
          </w:rPr>
          <w:t>1</w:t>
        </w:r>
        <w:r>
          <w:rPr>
            <w:noProof/>
          </w:rPr>
          <w:fldChar w:fldCharType="end"/>
        </w:r>
      </w:p>
    </w:sdtContent>
  </w:sdt>
  <w:p w14:paraId="028C9379" w14:textId="77777777" w:rsidR="00A37347" w:rsidRPr="00092CE1" w:rsidRDefault="00A37347" w:rsidP="00273E05">
    <w:pPr>
      <w:pStyle w:val="Header"/>
      <w:jc w:val="center"/>
      <w:rPr>
        <w: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A265" w14:textId="3ECCACFC" w:rsidR="00A37347" w:rsidRDefault="00EF5477" w:rsidP="00273E05">
    <w:pPr>
      <w:pStyle w:val="Footer"/>
      <w:jc w:val="right"/>
      <w:rPr>
        <w:noProof/>
      </w:rPr>
    </w:pPr>
    <w:sdt>
      <w:sdtPr>
        <w:alias w:val="Title"/>
        <w:tag w:val=""/>
        <w:id w:val="229891692"/>
        <w:dataBinding w:prefixMappings="xmlns:ns0='http://purl.org/dc/elements/1.1/' xmlns:ns1='http://schemas.openxmlformats.org/package/2006/metadata/core-properties' " w:xpath="/ns1:coreProperties[1]/ns0:title[1]" w:storeItemID="{6C3C8BC8-F283-45AE-878A-BAB7291924A1}"/>
        <w:text/>
      </w:sdtPr>
      <w:sdtEndPr/>
      <w:sdtContent>
        <w:r w:rsidR="00A37347">
          <w:t>Regulatory Impact Statement</w:t>
        </w:r>
      </w:sdtContent>
    </w:sdt>
    <w:r w:rsidR="00A37347">
      <w:tab/>
      <w:t>industry.gov.au</w:t>
    </w:r>
    <w:r w:rsidR="00A37347">
      <w:tab/>
    </w:r>
    <w:sdt>
      <w:sdtPr>
        <w:id w:val="1359851742"/>
        <w:docPartObj>
          <w:docPartGallery w:val="Page Numbers (Bottom of Page)"/>
          <w:docPartUnique/>
        </w:docPartObj>
      </w:sdtPr>
      <w:sdtEndPr>
        <w:rPr>
          <w:noProof/>
        </w:rPr>
      </w:sdtEndPr>
      <w:sdtContent>
        <w:r w:rsidR="00A37347">
          <w:fldChar w:fldCharType="begin"/>
        </w:r>
        <w:r w:rsidR="00A37347">
          <w:instrText xml:space="preserve"> PAGE   \* MERGEFORMAT </w:instrText>
        </w:r>
        <w:r w:rsidR="00A37347">
          <w:fldChar w:fldCharType="separate"/>
        </w:r>
        <w:r>
          <w:rPr>
            <w:noProof/>
          </w:rPr>
          <w:t>11</w:t>
        </w:r>
        <w:r w:rsidR="00A3734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6170" w14:textId="77777777" w:rsidR="00A37347" w:rsidRDefault="00A37347" w:rsidP="00363282">
      <w:pPr>
        <w:spacing w:after="0" w:line="240" w:lineRule="auto"/>
      </w:pPr>
      <w:r>
        <w:separator/>
      </w:r>
    </w:p>
  </w:footnote>
  <w:footnote w:type="continuationSeparator" w:id="0">
    <w:p w14:paraId="3A201DA5" w14:textId="77777777" w:rsidR="00A37347" w:rsidRDefault="00A37347" w:rsidP="00363282">
      <w:pPr>
        <w:spacing w:after="0" w:line="240" w:lineRule="auto"/>
      </w:pPr>
      <w:r>
        <w:continuationSeparator/>
      </w:r>
    </w:p>
  </w:footnote>
  <w:footnote w:id="1">
    <w:p w14:paraId="71E33063" w14:textId="77777777" w:rsidR="00A37347" w:rsidRDefault="00A37347" w:rsidP="00363282">
      <w:pPr>
        <w:pStyle w:val="FootnoteText"/>
      </w:pPr>
      <w:r>
        <w:rPr>
          <w:rStyle w:val="FootnoteReference"/>
        </w:rPr>
        <w:footnoteRef/>
      </w:r>
      <w:r>
        <w:t xml:space="preserve"> Department of Industry, Science, Energy and Resources, Commonwealth of Australia Resources and Energy Quarterly September 2020, p 67.</w:t>
      </w:r>
    </w:p>
  </w:footnote>
  <w:footnote w:id="2">
    <w:p w14:paraId="33C42B0B" w14:textId="77777777" w:rsidR="00A37347" w:rsidRDefault="00A37347" w:rsidP="00363282">
      <w:pPr>
        <w:pStyle w:val="FootnoteText"/>
      </w:pPr>
      <w:r>
        <w:rPr>
          <w:rStyle w:val="FootnoteReference"/>
        </w:rPr>
        <w:footnoteRef/>
      </w:r>
      <w:r>
        <w:t xml:space="preserve"> Estimated by Wood Mackenzie and assumes all infrastructure will be removed with no life extension activities.</w:t>
      </w:r>
    </w:p>
  </w:footnote>
  <w:footnote w:id="3">
    <w:p w14:paraId="07B42030" w14:textId="77777777" w:rsidR="00A37347" w:rsidRDefault="00A37347" w:rsidP="00363282">
      <w:pPr>
        <w:pStyle w:val="FootnoteText"/>
      </w:pPr>
      <w:r>
        <w:rPr>
          <w:rStyle w:val="FootnoteReference"/>
        </w:rPr>
        <w:footnoteRef/>
      </w:r>
      <w:r>
        <w:t xml:space="preserve"> Estimated by Wood Mackenzie and assumes all infrastructure will be removed with no life extension activities.</w:t>
      </w:r>
    </w:p>
  </w:footnote>
  <w:footnote w:id="4">
    <w:p w14:paraId="24438717" w14:textId="77777777" w:rsidR="00A37347" w:rsidRDefault="00A37347" w:rsidP="00363282">
      <w:pPr>
        <w:pStyle w:val="FootnoteText"/>
      </w:pPr>
      <w:r>
        <w:rPr>
          <w:rStyle w:val="FootnoteReference"/>
        </w:rPr>
        <w:footnoteRef/>
      </w:r>
      <w:r>
        <w:t xml:space="preserve"> Estimated by Wood Mackenzie and assumes all infrastructure will be removed with no life extension activities.</w:t>
      </w:r>
    </w:p>
  </w:footnote>
  <w:footnote w:id="5">
    <w:p w14:paraId="4DA232EE" w14:textId="77777777" w:rsidR="00A37347" w:rsidRPr="009C5485" w:rsidRDefault="00A37347" w:rsidP="00363282">
      <w:pPr>
        <w:pStyle w:val="FootnoteText"/>
      </w:pPr>
      <w:r>
        <w:rPr>
          <w:rStyle w:val="FootnoteReference"/>
        </w:rPr>
        <w:footnoteRef/>
      </w:r>
      <w:r>
        <w:t xml:space="preserve"> </w:t>
      </w:r>
      <w:r w:rsidRPr="009C5485">
        <w:t>https://www.nopta.gov.au/about.html</w:t>
      </w:r>
    </w:p>
  </w:footnote>
  <w:footnote w:id="6">
    <w:p w14:paraId="6288A96E" w14:textId="77777777" w:rsidR="00A37347" w:rsidRPr="009C5485" w:rsidRDefault="00A37347" w:rsidP="00363282">
      <w:pPr>
        <w:pStyle w:val="FootnoteText"/>
      </w:pPr>
      <w:r>
        <w:rPr>
          <w:rStyle w:val="FootnoteReference"/>
        </w:rPr>
        <w:footnoteRef/>
      </w:r>
      <w:r>
        <w:t xml:space="preserve"> </w:t>
      </w:r>
      <w:r w:rsidRPr="009C5485">
        <w:t>https://www.nopsema.gov.au/about/</w:t>
      </w:r>
    </w:p>
  </w:footnote>
  <w:footnote w:id="7">
    <w:p w14:paraId="2FD8BA0D" w14:textId="77777777" w:rsidR="00A37347" w:rsidRPr="00802C9B" w:rsidRDefault="00A37347" w:rsidP="00363282">
      <w:pPr>
        <w:pStyle w:val="FootnoteText"/>
      </w:pPr>
      <w:r>
        <w:rPr>
          <w:rStyle w:val="FootnoteReference"/>
        </w:rPr>
        <w:footnoteRef/>
      </w:r>
      <w:r>
        <w:t xml:space="preserve"> Estimated costs of decommissioning were obtained from NERA and are industry-reflective. Costs will depend on the size, scope and complexity of operations.</w:t>
      </w:r>
    </w:p>
  </w:footnote>
  <w:footnote w:id="8">
    <w:p w14:paraId="28665D71" w14:textId="77777777" w:rsidR="00A37347" w:rsidRPr="00802C9B" w:rsidRDefault="00A37347" w:rsidP="00363282">
      <w:pPr>
        <w:pStyle w:val="FootnoteText"/>
      </w:pPr>
      <w:r>
        <w:rPr>
          <w:rStyle w:val="FootnoteReference"/>
        </w:rPr>
        <w:footnoteRef/>
      </w:r>
      <w:r>
        <w:t xml:space="preserve"> Estimated costs of decommissioning were obtained from NERA and are industry-reflective. Costs will depend on the size, scope and complexity of operations.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6DEC" w14:textId="77777777" w:rsidR="00A37347" w:rsidRDefault="00A37347">
    <w:pPr>
      <w:pStyle w:val="Header"/>
    </w:pPr>
    <w:r>
      <w:rPr>
        <w:noProof/>
        <w:lang w:eastAsia="en-AU"/>
      </w:rPr>
      <mc:AlternateContent>
        <mc:Choice Requires="wps">
          <w:drawing>
            <wp:anchor distT="0" distB="0" distL="114300" distR="114300" simplePos="0" relativeHeight="251659264" behindDoc="1" locked="0" layoutInCell="1" allowOverlap="1" wp14:anchorId="4B10E8AF" wp14:editId="62BB5CAF">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rgbClr val="000000">
                              <a:tint val="66000"/>
                              <a:satMod val="160000"/>
                            </a:srgbClr>
                          </a:gs>
                          <a:gs pos="50000">
                            <a:srgbClr val="000000">
                              <a:tint val="44500"/>
                              <a:satMod val="160000"/>
                            </a:srgbClr>
                          </a:gs>
                          <a:gs pos="100000">
                            <a:srgbClr val="000000">
                              <a:tint val="23500"/>
                              <a:satMod val="160000"/>
                            </a:srgbClr>
                          </a:gs>
                        </a:gsLst>
                        <a:lin ang="18900000" scaled="1"/>
                        <a:tileRect/>
                      </a:gradFill>
                      <a:ln w="12700" cap="flat" cmpd="sng" algn="ctr">
                        <a:solidFill>
                          <a:srgbClr val="93959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0824" id="Rectangle 1" o:spid="_x0000_s1026" alt="Title: Departmental background colour gradient - Description: Departmental background colour gradient"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" fillcolor="#9e9e9e" strokecolor="#6b6c6e" strokeweight="1pt">
              <v:fill color2="#e3e3e3" rotate="t" angle="135" colors="0 #9e9e9e;.5 #c4c4c4;1 #e3e3e3" focus="100%" type="gradient"/>
              <w10:wrap anchorx="page" anchory="page"/>
            </v:rect>
          </w:pict>
        </mc:Fallback>
      </mc:AlternateContent>
    </w:r>
    <w:r w:rsidRPr="00180BF8">
      <w:rPr>
        <w:noProof/>
        <w:lang w:eastAsia="en-AU"/>
      </w:rPr>
      <w:drawing>
        <wp:inline distT="0" distB="0" distL="0" distR="0" wp14:anchorId="48DFA0FB" wp14:editId="462F9D3E">
          <wp:extent cx="2696400" cy="698400"/>
          <wp:effectExtent l="0" t="0" r="0" b="6985"/>
          <wp:docPr id="2" name="Picture 2"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4448" w14:textId="77777777" w:rsidR="00A37347" w:rsidRDefault="00A37347">
    <w:pPr>
      <w:pStyle w:val="Header"/>
    </w:pPr>
    <w:r>
      <w:rPr>
        <w:noProof/>
        <w:lang w:eastAsia="en-AU"/>
      </w:rPr>
      <mc:AlternateContent>
        <mc:Choice Requires="wps">
          <w:drawing>
            <wp:anchor distT="0" distB="0" distL="114300" distR="114300" simplePos="0" relativeHeight="251660288" behindDoc="1" locked="0" layoutInCell="1" allowOverlap="1" wp14:anchorId="2BB0281E" wp14:editId="1FFFE383">
              <wp:simplePos x="0" y="0"/>
              <wp:positionH relativeFrom="page">
                <wp:align>left</wp:align>
              </wp:positionH>
              <wp:positionV relativeFrom="page">
                <wp:align>top</wp:align>
              </wp:positionV>
              <wp:extent cx="7560000" cy="10692000"/>
              <wp:effectExtent l="0" t="0" r="22225" b="14605"/>
              <wp:wrapNone/>
              <wp:docPr id="19" name="Rectangle 19"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flip="none" rotWithShape="1">
                        <a:gsLst>
                          <a:gs pos="0">
                            <a:srgbClr val="000000">
                              <a:tint val="66000"/>
                              <a:satMod val="160000"/>
                            </a:srgbClr>
                          </a:gs>
                          <a:gs pos="50000">
                            <a:srgbClr val="000000">
                              <a:tint val="44500"/>
                              <a:satMod val="160000"/>
                            </a:srgbClr>
                          </a:gs>
                          <a:gs pos="100000">
                            <a:srgbClr val="000000">
                              <a:tint val="23500"/>
                              <a:satMod val="160000"/>
                            </a:srgbClr>
                          </a:gs>
                        </a:gsLst>
                        <a:lin ang="18900000" scaled="1"/>
                        <a:tileRect/>
                      </a:gradFill>
                      <a:ln w="12700" cap="flat" cmpd="sng" algn="ctr">
                        <a:solidFill>
                          <a:srgbClr val="939598">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CC99C" id="Rectangle 19" o:spid="_x0000_s1026" alt="Title: Departmental background colour gradient - Description: Departmental background colour gradient"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" fillcolor="#9e9e9e" strokecolor="#6b6c6e" strokeweight="1pt">
              <v:fill color2="#e3e3e3" rotate="t" angle="135" colors="0 #9e9e9e;.5 #c4c4c4;1 #e3e3e3" focus="100%" type="gradient"/>
              <w10:wrap anchorx="page" anchory="page"/>
            </v:rect>
          </w:pict>
        </mc:Fallback>
      </mc:AlternateContent>
    </w:r>
    <w:r w:rsidRPr="00180BF8">
      <w:rPr>
        <w:noProof/>
        <w:lang w:eastAsia="en-AU"/>
      </w:rPr>
      <w:drawing>
        <wp:inline distT="0" distB="0" distL="0" distR="0" wp14:anchorId="36C7DF8C" wp14:editId="2CD7D839">
          <wp:extent cx="2696400" cy="698400"/>
          <wp:effectExtent l="0" t="0" r="0" b="6985"/>
          <wp:docPr id="20" name="Picture 20"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218"/>
    <w:multiLevelType w:val="hybridMultilevel"/>
    <w:tmpl w:val="95EC1AD6"/>
    <w:lvl w:ilvl="0" w:tplc="E2B4D366">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5511"/>
    <w:multiLevelType w:val="hybridMultilevel"/>
    <w:tmpl w:val="6BCCD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95E44"/>
    <w:multiLevelType w:val="hybridMultilevel"/>
    <w:tmpl w:val="396E7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D7A91"/>
    <w:multiLevelType w:val="hybridMultilevel"/>
    <w:tmpl w:val="9D62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691456"/>
    <w:multiLevelType w:val="hybridMultilevel"/>
    <w:tmpl w:val="AAB0B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A3049A"/>
    <w:multiLevelType w:val="hybridMultilevel"/>
    <w:tmpl w:val="6742A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BF04F0"/>
    <w:multiLevelType w:val="hybridMultilevel"/>
    <w:tmpl w:val="DBFE3134"/>
    <w:lvl w:ilvl="0" w:tplc="A914E84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DC672C"/>
    <w:multiLevelType w:val="hybridMultilevel"/>
    <w:tmpl w:val="C5282C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B14B07"/>
    <w:multiLevelType w:val="hybridMultilevel"/>
    <w:tmpl w:val="458C5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E11AA5"/>
    <w:multiLevelType w:val="hybridMultilevel"/>
    <w:tmpl w:val="D0D05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87D78"/>
    <w:multiLevelType w:val="hybridMultilevel"/>
    <w:tmpl w:val="598017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55074E5"/>
    <w:multiLevelType w:val="hybridMultilevel"/>
    <w:tmpl w:val="911412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FF3BFA"/>
    <w:multiLevelType w:val="hybridMultilevel"/>
    <w:tmpl w:val="FF96B0DA"/>
    <w:lvl w:ilvl="0" w:tplc="DECCB540">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0550E"/>
    <w:multiLevelType w:val="hybridMultilevel"/>
    <w:tmpl w:val="903C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B27EB3"/>
    <w:multiLevelType w:val="hybridMultilevel"/>
    <w:tmpl w:val="F2AC3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F23947"/>
    <w:multiLevelType w:val="hybridMultilevel"/>
    <w:tmpl w:val="0BD65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0"/>
  </w:num>
  <w:num w:numId="5">
    <w:abstractNumId w:val="6"/>
  </w:num>
  <w:num w:numId="6">
    <w:abstractNumId w:val="7"/>
  </w:num>
  <w:num w:numId="7">
    <w:abstractNumId w:val="1"/>
  </w:num>
  <w:num w:numId="8">
    <w:abstractNumId w:val="9"/>
  </w:num>
  <w:num w:numId="9">
    <w:abstractNumId w:val="11"/>
  </w:num>
  <w:num w:numId="10">
    <w:abstractNumId w:val="8"/>
  </w:num>
  <w:num w:numId="11">
    <w:abstractNumId w:val="15"/>
  </w:num>
  <w:num w:numId="12">
    <w:abstractNumId w:val="14"/>
  </w:num>
  <w:num w:numId="13">
    <w:abstractNumId w:val="5"/>
  </w:num>
  <w:num w:numId="14">
    <w:abstractNumId w:val="10"/>
  </w:num>
  <w:num w:numId="15">
    <w:abstractNumId w:val="1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15D48"/>
    <w:rsid w:val="00022778"/>
    <w:rsid w:val="00031D40"/>
    <w:rsid w:val="000370D7"/>
    <w:rsid w:val="0003784C"/>
    <w:rsid w:val="00041FCE"/>
    <w:rsid w:val="000447DF"/>
    <w:rsid w:val="00053058"/>
    <w:rsid w:val="0005456F"/>
    <w:rsid w:val="00063367"/>
    <w:rsid w:val="00063C5D"/>
    <w:rsid w:val="000759A9"/>
    <w:rsid w:val="00081F38"/>
    <w:rsid w:val="00082314"/>
    <w:rsid w:val="00087633"/>
    <w:rsid w:val="000915EB"/>
    <w:rsid w:val="000926EE"/>
    <w:rsid w:val="000A4969"/>
    <w:rsid w:val="000C0210"/>
    <w:rsid w:val="000D0E22"/>
    <w:rsid w:val="000D56B9"/>
    <w:rsid w:val="000E17E2"/>
    <w:rsid w:val="0010475C"/>
    <w:rsid w:val="00113822"/>
    <w:rsid w:val="00121ABB"/>
    <w:rsid w:val="00134A24"/>
    <w:rsid w:val="00134D27"/>
    <w:rsid w:val="00135B2B"/>
    <w:rsid w:val="0013767C"/>
    <w:rsid w:val="00143CA7"/>
    <w:rsid w:val="0014456B"/>
    <w:rsid w:val="0016209A"/>
    <w:rsid w:val="00162418"/>
    <w:rsid w:val="0016450C"/>
    <w:rsid w:val="001735EB"/>
    <w:rsid w:val="00176597"/>
    <w:rsid w:val="00180FB5"/>
    <w:rsid w:val="00182D11"/>
    <w:rsid w:val="001843D0"/>
    <w:rsid w:val="001B67BD"/>
    <w:rsid w:val="001B755D"/>
    <w:rsid w:val="001C5D3C"/>
    <w:rsid w:val="001E6200"/>
    <w:rsid w:val="001F0C1E"/>
    <w:rsid w:val="001F738E"/>
    <w:rsid w:val="002003A9"/>
    <w:rsid w:val="00200FD2"/>
    <w:rsid w:val="0020257C"/>
    <w:rsid w:val="00206CD7"/>
    <w:rsid w:val="0020793F"/>
    <w:rsid w:val="00224455"/>
    <w:rsid w:val="002265B9"/>
    <w:rsid w:val="00230E43"/>
    <w:rsid w:val="002407FC"/>
    <w:rsid w:val="00246E87"/>
    <w:rsid w:val="00257593"/>
    <w:rsid w:val="00265915"/>
    <w:rsid w:val="002665AF"/>
    <w:rsid w:val="002718B4"/>
    <w:rsid w:val="00273E05"/>
    <w:rsid w:val="0027593E"/>
    <w:rsid w:val="0028600E"/>
    <w:rsid w:val="00286716"/>
    <w:rsid w:val="002A0948"/>
    <w:rsid w:val="002A7341"/>
    <w:rsid w:val="002B42EC"/>
    <w:rsid w:val="002B5A30"/>
    <w:rsid w:val="002C24E5"/>
    <w:rsid w:val="002C7C76"/>
    <w:rsid w:val="002E07D8"/>
    <w:rsid w:val="002E3895"/>
    <w:rsid w:val="002F197B"/>
    <w:rsid w:val="002F37CB"/>
    <w:rsid w:val="002F5F87"/>
    <w:rsid w:val="00300B25"/>
    <w:rsid w:val="0030121A"/>
    <w:rsid w:val="00310EE9"/>
    <w:rsid w:val="0031182D"/>
    <w:rsid w:val="00312E0B"/>
    <w:rsid w:val="003136E0"/>
    <w:rsid w:val="0032403C"/>
    <w:rsid w:val="003324D1"/>
    <w:rsid w:val="00333966"/>
    <w:rsid w:val="00336F15"/>
    <w:rsid w:val="00345B05"/>
    <w:rsid w:val="00352C3A"/>
    <w:rsid w:val="00354C1F"/>
    <w:rsid w:val="00361139"/>
    <w:rsid w:val="00363282"/>
    <w:rsid w:val="00366EF0"/>
    <w:rsid w:val="00384157"/>
    <w:rsid w:val="003A1E34"/>
    <w:rsid w:val="003A2563"/>
    <w:rsid w:val="003A7888"/>
    <w:rsid w:val="003B2CF2"/>
    <w:rsid w:val="003B50A3"/>
    <w:rsid w:val="003B55D8"/>
    <w:rsid w:val="003B6DE8"/>
    <w:rsid w:val="003D1847"/>
    <w:rsid w:val="003E00E2"/>
    <w:rsid w:val="003E0B7B"/>
    <w:rsid w:val="003E4355"/>
    <w:rsid w:val="003F3EF7"/>
    <w:rsid w:val="00401CF3"/>
    <w:rsid w:val="004103A7"/>
    <w:rsid w:val="0043147B"/>
    <w:rsid w:val="0044283F"/>
    <w:rsid w:val="00450693"/>
    <w:rsid w:val="00455197"/>
    <w:rsid w:val="00455FFB"/>
    <w:rsid w:val="00475054"/>
    <w:rsid w:val="00480F60"/>
    <w:rsid w:val="004829B9"/>
    <w:rsid w:val="0048391A"/>
    <w:rsid w:val="00490C07"/>
    <w:rsid w:val="00493489"/>
    <w:rsid w:val="004A1F05"/>
    <w:rsid w:val="004A2F4E"/>
    <w:rsid w:val="004A7BDD"/>
    <w:rsid w:val="004B2F4A"/>
    <w:rsid w:val="004C2C3A"/>
    <w:rsid w:val="004D0060"/>
    <w:rsid w:val="004D1A91"/>
    <w:rsid w:val="004E56FB"/>
    <w:rsid w:val="004F1D8B"/>
    <w:rsid w:val="004F3082"/>
    <w:rsid w:val="004F3A6F"/>
    <w:rsid w:val="004F7753"/>
    <w:rsid w:val="00505711"/>
    <w:rsid w:val="00547F8D"/>
    <w:rsid w:val="00575DC2"/>
    <w:rsid w:val="00582D5F"/>
    <w:rsid w:val="00594A54"/>
    <w:rsid w:val="005A015A"/>
    <w:rsid w:val="005A1AE0"/>
    <w:rsid w:val="005A64D2"/>
    <w:rsid w:val="005A7043"/>
    <w:rsid w:val="005B180C"/>
    <w:rsid w:val="005B288A"/>
    <w:rsid w:val="005B5792"/>
    <w:rsid w:val="005D0E9F"/>
    <w:rsid w:val="005D3D67"/>
    <w:rsid w:val="005D5612"/>
    <w:rsid w:val="005D61D8"/>
    <w:rsid w:val="005E6515"/>
    <w:rsid w:val="005F5112"/>
    <w:rsid w:val="005F61A6"/>
    <w:rsid w:val="00603643"/>
    <w:rsid w:val="006050ED"/>
    <w:rsid w:val="00606732"/>
    <w:rsid w:val="00613978"/>
    <w:rsid w:val="00625329"/>
    <w:rsid w:val="00646702"/>
    <w:rsid w:val="006472E0"/>
    <w:rsid w:val="00651163"/>
    <w:rsid w:val="006536A8"/>
    <w:rsid w:val="00662095"/>
    <w:rsid w:val="006715C4"/>
    <w:rsid w:val="00672B6F"/>
    <w:rsid w:val="006745C3"/>
    <w:rsid w:val="00677FF3"/>
    <w:rsid w:val="00685A33"/>
    <w:rsid w:val="006868AE"/>
    <w:rsid w:val="00690DB0"/>
    <w:rsid w:val="006916B6"/>
    <w:rsid w:val="00692142"/>
    <w:rsid w:val="006B10F8"/>
    <w:rsid w:val="006B6D96"/>
    <w:rsid w:val="006D622D"/>
    <w:rsid w:val="006D73D4"/>
    <w:rsid w:val="006E6823"/>
    <w:rsid w:val="00707292"/>
    <w:rsid w:val="00707C43"/>
    <w:rsid w:val="00717E97"/>
    <w:rsid w:val="0072540E"/>
    <w:rsid w:val="00734CF1"/>
    <w:rsid w:val="00746EB0"/>
    <w:rsid w:val="007473EC"/>
    <w:rsid w:val="007477F8"/>
    <w:rsid w:val="00757D9D"/>
    <w:rsid w:val="007627CB"/>
    <w:rsid w:val="00764B7C"/>
    <w:rsid w:val="007677E8"/>
    <w:rsid w:val="00773DB0"/>
    <w:rsid w:val="0077664D"/>
    <w:rsid w:val="007833FF"/>
    <w:rsid w:val="00784A9F"/>
    <w:rsid w:val="007A0AFF"/>
    <w:rsid w:val="007B0922"/>
    <w:rsid w:val="007B7B25"/>
    <w:rsid w:val="007C07C8"/>
    <w:rsid w:val="007C3AF2"/>
    <w:rsid w:val="007D081C"/>
    <w:rsid w:val="007D0FAB"/>
    <w:rsid w:val="007D1BB7"/>
    <w:rsid w:val="007E2962"/>
    <w:rsid w:val="007E40C4"/>
    <w:rsid w:val="007F1728"/>
    <w:rsid w:val="007F5F4B"/>
    <w:rsid w:val="00800C3D"/>
    <w:rsid w:val="00802DD0"/>
    <w:rsid w:val="00806886"/>
    <w:rsid w:val="008329B5"/>
    <w:rsid w:val="00840259"/>
    <w:rsid w:val="00847200"/>
    <w:rsid w:val="0085047E"/>
    <w:rsid w:val="0085653F"/>
    <w:rsid w:val="00861688"/>
    <w:rsid w:val="00877DAF"/>
    <w:rsid w:val="00882263"/>
    <w:rsid w:val="00890786"/>
    <w:rsid w:val="00892FAE"/>
    <w:rsid w:val="008B270E"/>
    <w:rsid w:val="008B36D1"/>
    <w:rsid w:val="008B700B"/>
    <w:rsid w:val="008B78DE"/>
    <w:rsid w:val="008C0D55"/>
    <w:rsid w:val="008C1796"/>
    <w:rsid w:val="008C5F3A"/>
    <w:rsid w:val="008C63F8"/>
    <w:rsid w:val="008D1C51"/>
    <w:rsid w:val="008E3A9E"/>
    <w:rsid w:val="008F3B91"/>
    <w:rsid w:val="00903DC5"/>
    <w:rsid w:val="00903FF3"/>
    <w:rsid w:val="00907C87"/>
    <w:rsid w:val="0091148F"/>
    <w:rsid w:val="00926CC5"/>
    <w:rsid w:val="00943E8F"/>
    <w:rsid w:val="009452C5"/>
    <w:rsid w:val="00957281"/>
    <w:rsid w:val="00963866"/>
    <w:rsid w:val="0097305A"/>
    <w:rsid w:val="009736BC"/>
    <w:rsid w:val="0098304F"/>
    <w:rsid w:val="00985B21"/>
    <w:rsid w:val="0099083F"/>
    <w:rsid w:val="009938C6"/>
    <w:rsid w:val="009A2C75"/>
    <w:rsid w:val="009A38E3"/>
    <w:rsid w:val="009A6BE5"/>
    <w:rsid w:val="009B507E"/>
    <w:rsid w:val="009B619D"/>
    <w:rsid w:val="009C6D1A"/>
    <w:rsid w:val="009D78A0"/>
    <w:rsid w:val="009E202B"/>
    <w:rsid w:val="009E7BE3"/>
    <w:rsid w:val="00A24447"/>
    <w:rsid w:val="00A25371"/>
    <w:rsid w:val="00A25F46"/>
    <w:rsid w:val="00A26AD9"/>
    <w:rsid w:val="00A372E5"/>
    <w:rsid w:val="00A37347"/>
    <w:rsid w:val="00A56209"/>
    <w:rsid w:val="00A70CA2"/>
    <w:rsid w:val="00A74E12"/>
    <w:rsid w:val="00A92241"/>
    <w:rsid w:val="00A94D03"/>
    <w:rsid w:val="00AA4325"/>
    <w:rsid w:val="00AB0C48"/>
    <w:rsid w:val="00AB140D"/>
    <w:rsid w:val="00AB2DCB"/>
    <w:rsid w:val="00AB3B2B"/>
    <w:rsid w:val="00AC64A8"/>
    <w:rsid w:val="00AC686A"/>
    <w:rsid w:val="00AE66CE"/>
    <w:rsid w:val="00AF5F6A"/>
    <w:rsid w:val="00B24F71"/>
    <w:rsid w:val="00B331E1"/>
    <w:rsid w:val="00B358BC"/>
    <w:rsid w:val="00B40D5B"/>
    <w:rsid w:val="00B431A3"/>
    <w:rsid w:val="00B439BE"/>
    <w:rsid w:val="00B440D5"/>
    <w:rsid w:val="00B50ED5"/>
    <w:rsid w:val="00B54D86"/>
    <w:rsid w:val="00B5721A"/>
    <w:rsid w:val="00B759E8"/>
    <w:rsid w:val="00B80CD0"/>
    <w:rsid w:val="00B80F6D"/>
    <w:rsid w:val="00B94D65"/>
    <w:rsid w:val="00BA12D0"/>
    <w:rsid w:val="00BC664E"/>
    <w:rsid w:val="00BC66C0"/>
    <w:rsid w:val="00BD37A3"/>
    <w:rsid w:val="00BE3C0C"/>
    <w:rsid w:val="00BF3BD8"/>
    <w:rsid w:val="00C035BC"/>
    <w:rsid w:val="00C03F7E"/>
    <w:rsid w:val="00C056C0"/>
    <w:rsid w:val="00C102AF"/>
    <w:rsid w:val="00C11781"/>
    <w:rsid w:val="00C270B3"/>
    <w:rsid w:val="00C278FF"/>
    <w:rsid w:val="00C37EF0"/>
    <w:rsid w:val="00C4115D"/>
    <w:rsid w:val="00C42F43"/>
    <w:rsid w:val="00C46448"/>
    <w:rsid w:val="00C52C6D"/>
    <w:rsid w:val="00C6382F"/>
    <w:rsid w:val="00C66151"/>
    <w:rsid w:val="00C73929"/>
    <w:rsid w:val="00C75172"/>
    <w:rsid w:val="00C77AC7"/>
    <w:rsid w:val="00C77CB7"/>
    <w:rsid w:val="00C878BD"/>
    <w:rsid w:val="00CB3D20"/>
    <w:rsid w:val="00CC067F"/>
    <w:rsid w:val="00CC5342"/>
    <w:rsid w:val="00CC7D5D"/>
    <w:rsid w:val="00CD6152"/>
    <w:rsid w:val="00CD794F"/>
    <w:rsid w:val="00CE1CB9"/>
    <w:rsid w:val="00CE2487"/>
    <w:rsid w:val="00CF2974"/>
    <w:rsid w:val="00CF4CA6"/>
    <w:rsid w:val="00D20A0D"/>
    <w:rsid w:val="00D21824"/>
    <w:rsid w:val="00D35944"/>
    <w:rsid w:val="00D41890"/>
    <w:rsid w:val="00D45DFF"/>
    <w:rsid w:val="00D47664"/>
    <w:rsid w:val="00D578DB"/>
    <w:rsid w:val="00D635EB"/>
    <w:rsid w:val="00D7193B"/>
    <w:rsid w:val="00D82777"/>
    <w:rsid w:val="00D97D57"/>
    <w:rsid w:val="00D97E10"/>
    <w:rsid w:val="00DA1952"/>
    <w:rsid w:val="00DA503F"/>
    <w:rsid w:val="00DA5A25"/>
    <w:rsid w:val="00DB14C3"/>
    <w:rsid w:val="00DB7412"/>
    <w:rsid w:val="00DC2983"/>
    <w:rsid w:val="00DC4DDD"/>
    <w:rsid w:val="00DC5308"/>
    <w:rsid w:val="00DD1915"/>
    <w:rsid w:val="00DD45D6"/>
    <w:rsid w:val="00DE1E6C"/>
    <w:rsid w:val="00DE2E1E"/>
    <w:rsid w:val="00DF78AE"/>
    <w:rsid w:val="00E029A8"/>
    <w:rsid w:val="00E02E99"/>
    <w:rsid w:val="00E05884"/>
    <w:rsid w:val="00E26AC2"/>
    <w:rsid w:val="00E34956"/>
    <w:rsid w:val="00E40191"/>
    <w:rsid w:val="00E47763"/>
    <w:rsid w:val="00E52470"/>
    <w:rsid w:val="00E6492B"/>
    <w:rsid w:val="00E90ECF"/>
    <w:rsid w:val="00EA48EB"/>
    <w:rsid w:val="00EC47C4"/>
    <w:rsid w:val="00EE0E43"/>
    <w:rsid w:val="00EF5477"/>
    <w:rsid w:val="00EF6654"/>
    <w:rsid w:val="00F031B5"/>
    <w:rsid w:val="00F05F4B"/>
    <w:rsid w:val="00F07DE3"/>
    <w:rsid w:val="00F10F58"/>
    <w:rsid w:val="00F114B4"/>
    <w:rsid w:val="00F17716"/>
    <w:rsid w:val="00F17BD9"/>
    <w:rsid w:val="00F46411"/>
    <w:rsid w:val="00F57DD2"/>
    <w:rsid w:val="00F638E7"/>
    <w:rsid w:val="00F6614E"/>
    <w:rsid w:val="00F66373"/>
    <w:rsid w:val="00F678C3"/>
    <w:rsid w:val="00F77713"/>
    <w:rsid w:val="00F9129F"/>
    <w:rsid w:val="00F95480"/>
    <w:rsid w:val="00FA0E89"/>
    <w:rsid w:val="00FA30D5"/>
    <w:rsid w:val="00FA42C2"/>
    <w:rsid w:val="00FB4E03"/>
    <w:rsid w:val="00FC7F01"/>
    <w:rsid w:val="00FD5F83"/>
    <w:rsid w:val="00FE590B"/>
    <w:rsid w:val="00FF1897"/>
    <w:rsid w:val="00FF7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312E0B"/>
    <w:pPr>
      <w:ind w:left="720"/>
      <w:contextualSpacing/>
    </w:pPr>
  </w:style>
  <w:style w:type="character" w:styleId="CommentReference">
    <w:name w:val="annotation reference"/>
    <w:basedOn w:val="DefaultParagraphFont"/>
    <w:uiPriority w:val="99"/>
    <w:semiHidden/>
    <w:unhideWhenUsed/>
    <w:rsid w:val="0010475C"/>
    <w:rPr>
      <w:sz w:val="16"/>
      <w:szCs w:val="16"/>
    </w:rPr>
  </w:style>
  <w:style w:type="paragraph" w:styleId="CommentText">
    <w:name w:val="annotation text"/>
    <w:basedOn w:val="Normal"/>
    <w:link w:val="CommentTextChar"/>
    <w:uiPriority w:val="99"/>
    <w:unhideWhenUsed/>
    <w:rsid w:val="0010475C"/>
    <w:pPr>
      <w:spacing w:line="240" w:lineRule="auto"/>
    </w:pPr>
    <w:rPr>
      <w:sz w:val="20"/>
      <w:szCs w:val="20"/>
    </w:rPr>
  </w:style>
  <w:style w:type="character" w:customStyle="1" w:styleId="CommentTextChar">
    <w:name w:val="Comment Text Char"/>
    <w:basedOn w:val="DefaultParagraphFont"/>
    <w:link w:val="CommentText"/>
    <w:uiPriority w:val="99"/>
    <w:rsid w:val="0010475C"/>
    <w:rPr>
      <w:sz w:val="20"/>
      <w:szCs w:val="20"/>
    </w:rPr>
  </w:style>
  <w:style w:type="paragraph" w:styleId="CommentSubject">
    <w:name w:val="annotation subject"/>
    <w:basedOn w:val="CommentText"/>
    <w:next w:val="CommentText"/>
    <w:link w:val="CommentSubjectChar"/>
    <w:uiPriority w:val="99"/>
    <w:semiHidden/>
    <w:unhideWhenUsed/>
    <w:rsid w:val="0010475C"/>
    <w:rPr>
      <w:b/>
      <w:bCs/>
    </w:rPr>
  </w:style>
  <w:style w:type="character" w:customStyle="1" w:styleId="CommentSubjectChar">
    <w:name w:val="Comment Subject Char"/>
    <w:basedOn w:val="CommentTextChar"/>
    <w:link w:val="CommentSubject"/>
    <w:uiPriority w:val="99"/>
    <w:semiHidden/>
    <w:rsid w:val="0010475C"/>
    <w:rPr>
      <w:b/>
      <w:bCs/>
      <w:sz w:val="20"/>
      <w:szCs w:val="20"/>
    </w:rPr>
  </w:style>
  <w:style w:type="paragraph" w:styleId="BalloonText">
    <w:name w:val="Balloon Text"/>
    <w:basedOn w:val="Normal"/>
    <w:link w:val="BalloonTextChar"/>
    <w:uiPriority w:val="99"/>
    <w:semiHidden/>
    <w:unhideWhenUsed/>
    <w:rsid w:val="00104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5C"/>
    <w:rPr>
      <w:rFonts w:ascii="Segoe UI" w:hAnsi="Segoe UI" w:cs="Segoe UI"/>
      <w:sz w:val="18"/>
      <w:szCs w:val="18"/>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C73929"/>
  </w:style>
  <w:style w:type="character" w:styleId="Hyperlink">
    <w:name w:val="Hyperlink"/>
    <w:basedOn w:val="DefaultParagraphFont"/>
    <w:uiPriority w:val="99"/>
    <w:unhideWhenUsed/>
    <w:rsid w:val="00BF3BD8"/>
    <w:rPr>
      <w:color w:val="0000FF" w:themeColor="hyperlink"/>
      <w:u w:val="single"/>
    </w:rPr>
  </w:style>
  <w:style w:type="paragraph" w:styleId="Revision">
    <w:name w:val="Revision"/>
    <w:hidden/>
    <w:uiPriority w:val="99"/>
    <w:semiHidden/>
    <w:rsid w:val="00230E43"/>
    <w:pPr>
      <w:spacing w:after="0" w:line="240" w:lineRule="auto"/>
    </w:pPr>
  </w:style>
  <w:style w:type="paragraph" w:styleId="Header">
    <w:name w:val="header"/>
    <w:basedOn w:val="Normal"/>
    <w:link w:val="HeaderChar"/>
    <w:uiPriority w:val="99"/>
    <w:unhideWhenUsed/>
    <w:rsid w:val="00363282"/>
    <w:pPr>
      <w:tabs>
        <w:tab w:val="center" w:pos="4513"/>
        <w:tab w:val="right" w:pos="9026"/>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363282"/>
    <w:rPr>
      <w:rFonts w:ascii="Times New Roman" w:hAnsi="Times New Roman"/>
      <w:sz w:val="24"/>
    </w:rPr>
  </w:style>
  <w:style w:type="paragraph" w:styleId="Footer">
    <w:name w:val="footer"/>
    <w:basedOn w:val="Normal"/>
    <w:link w:val="FooterChar"/>
    <w:uiPriority w:val="99"/>
    <w:unhideWhenUsed/>
    <w:rsid w:val="00363282"/>
    <w:pPr>
      <w:tabs>
        <w:tab w:val="center" w:pos="4513"/>
        <w:tab w:val="right" w:pos="9026"/>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63282"/>
    <w:rPr>
      <w:rFonts w:ascii="Times New Roman" w:hAnsi="Times New Roman"/>
      <w:sz w:val="24"/>
    </w:rPr>
  </w:style>
  <w:style w:type="paragraph" w:styleId="FootnoteText">
    <w:name w:val="footnote text"/>
    <w:basedOn w:val="Normal"/>
    <w:link w:val="FootnoteTextChar"/>
    <w:uiPriority w:val="99"/>
    <w:semiHidden/>
    <w:unhideWhenUsed/>
    <w:rsid w:val="00363282"/>
    <w:pPr>
      <w:spacing w:after="0" w:line="240" w:lineRule="auto"/>
    </w:pPr>
    <w:rPr>
      <w:rFonts w:ascii="Times New Roman" w:hAnsi="Times New Roman"/>
      <w:sz w:val="24"/>
    </w:rPr>
  </w:style>
  <w:style w:type="character" w:customStyle="1" w:styleId="FootnoteTextChar">
    <w:name w:val="Footnote Text Char"/>
    <w:basedOn w:val="DefaultParagraphFont"/>
    <w:link w:val="FootnoteText"/>
    <w:uiPriority w:val="99"/>
    <w:semiHidden/>
    <w:rsid w:val="00363282"/>
    <w:rPr>
      <w:rFonts w:ascii="Times New Roman" w:hAnsi="Times New Roman"/>
      <w:sz w:val="24"/>
    </w:rPr>
  </w:style>
  <w:style w:type="character" w:styleId="FootnoteReference">
    <w:name w:val="footnote reference"/>
    <w:basedOn w:val="DefaultParagraphFont"/>
    <w:uiPriority w:val="99"/>
    <w:semiHidden/>
    <w:unhideWhenUsed/>
    <w:rsid w:val="00363282"/>
    <w:rPr>
      <w:vertAlign w:val="superscript"/>
    </w:rPr>
  </w:style>
  <w:style w:type="table" w:customStyle="1" w:styleId="TableGrid3">
    <w:name w:val="Table Grid3"/>
    <w:basedOn w:val="TableNormal"/>
    <w:next w:val="TableGrid"/>
    <w:uiPriority w:val="39"/>
    <w:rsid w:val="0036328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3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7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data-and-publications/independent-review-into-the-circumstances-leading-to-the-administration-and-liquidation-of-northern-oil-and-gas-australia-noga"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industry.gov.au/data-and-publications/independent-review-into-the-circumstances-leading-to-the-administration-and-liquidation-of-northern-oil-and-gas-australia-noga"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ublications.industry.gov.au/publications/resourcesandenergyquarterlyseptember2020/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nsult.industry.gov.au/offshore-resources-branch/decommissioning-discussion-paper/consultation/published_select_respondent"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industry.gov.au/data-and-publications/independent-review-into-the-circumstances-leading-to-the-administration-and-liquidation-of-northern-oil-and-gas-australia-noga" TargetMode="External"/><Relationship Id="rId10" Type="http://schemas.openxmlformats.org/officeDocument/2006/relationships/footnotes" Target="foot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industry.gov.au/data-and-publications/offshore-oil-and-gas-decommissioning-framework-revie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6c08405-89e9-4c57-a585-b31d7bded94b">
      <Value>102</Value>
      <Value>571</Value>
      <Value>43</Value>
      <Value>196</Value>
    </TaxCatchAll>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Legal privilege</TermName>
          <TermId xmlns="http://schemas.microsoft.com/office/infopath/2007/PartnerControls">e0e7653a-6457-4726-a51f-c98e23f83bad</TermId>
        </TermInfo>
      </Terms>
    </aa25a1a23adf4c92a153145de6afe324>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5f6de30b-6e1e-4c09-9e51-982258231536</TermId>
        </TermInfo>
      </Terms>
    </n99e4c9942c6404eb103464a00e6097b>
    <adb9bed2e36e4a93af574aeb444da63e xmlns="76c08405-89e9-4c57-a585-b31d7bded94b">
      <Terms xmlns="http://schemas.microsoft.com/office/infopath/2007/PartnerControls"/>
    </adb9bed2e36e4a93af574aeb444da63e>
    <_dlc_DocId xmlns="76c08405-89e9-4c57-a585-b31d7bded94b">P77SRJCMCQEC-201199804-451</_dlc_DocId>
    <_dlc_DocIdUrl xmlns="76c08405-89e9-4c57-a585-b31d7bded94b">
      <Url>https://dochub/div/resources/businessfunctions/offshoreresources/stratpolicy/regulation/_layouts/15/DocIdRedir.aspx?ID=P77SRJCMCQEC-201199804-451</Url>
      <Description>P77SRJCMCQEC-201199804-451</Description>
    </_dlc_DocIdUrl>
    <f26de360fc5e40c78d93b560b6cc664b xmlns="76c08405-89e9-4c57-a585-b31d7bded94b">
      <Terms xmlns="http://schemas.microsoft.com/office/infopath/2007/PartnerControls"/>
    </f26de360fc5e40c78d93b560b6cc664b>
    <e63cd534a94446d68abe1904a0bcdfb2 xmlns="76c08405-89e9-4c57-a585-b31d7bded94b">
      <Terms xmlns="http://schemas.microsoft.com/office/infopath/2007/PartnerControls"/>
    </e63cd534a94446d68abe1904a0bcdfb2>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IconOverlay xmlns="http://schemas.microsoft.com/sharepoint/v4" xsi:nil="true"/>
    <d34056e35d444dee82a795b7b19350c2 xmlns="76c08405-89e9-4c57-a585-b31d7bded94b">
      <Terms xmlns="http://schemas.microsoft.com/office/infopath/2007/PartnerControls"/>
    </d34056e35d444dee82a795b7b19350c2>
    <DocHub_PDMSNumber xmlns="76c08405-89e9-4c57-a585-b31d7bded94b" xsi:nil="true"/>
    <g04c65e7758e4a9bb076ed3b2f3b54e3 xmlns="76c08405-89e9-4c57-a585-b31d7bded94b">
      <Terms xmlns="http://schemas.microsoft.com/office/infopath/2007/PartnerControls"/>
    </g04c65e7758e4a9bb076ed3b2f3b54e3>
    <DocHub_LegalLexID xmlns="76c08405-89e9-4c57-a585-b31d7bded94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16EF5376C1D74F879975DB271D1127" ma:contentTypeVersion="30" ma:contentTypeDescription="Create a new document." ma:contentTypeScope="" ma:versionID="69f3114c7503b4806a7005530e9a055f">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1b5f2eb5247d0dd6109e0e6a1bd2f39e"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ocHub_LegalLexID" minOccurs="0"/>
                <xsd:element ref="ns2:d34056e35d444dee82a795b7b19350c2" minOccurs="0"/>
                <xsd:element ref="ns2:DocHub_PDMSNumber" minOccurs="0"/>
                <xsd:element ref="ns2:k34f87f5f1f24dafa503ace013459550"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LegalLexID" ma:index="27" nillable="true" ma:displayName="Legal / Lex ID" ma:description="Legal / LEX ID assigned by Legal Services LEX system for legal documentation" ma:internalName="DocHub_LegalLexID">
      <xsd:simpleType>
        <xsd:restriction base="dms:Text"/>
      </xsd:simpleType>
    </xsd:element>
    <xsd:element name="d34056e35d444dee82a795b7b19350c2" ma:index="29"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ocHub_PDMSNumber" ma:index="30" nillable="true" ma:displayName="PDMS Number" ma:description="Parliamentary Document Management System (PDMS) Reference Number" ma:internalName="DocHub_PDMSNumber">
      <xsd:simpleType>
        <xsd:restriction base="dms:Text"/>
      </xsd:simpleType>
    </xsd:element>
    <xsd:element name="k34f87f5f1f24dafa503ace013459550" ma:index="32" nillable="true" ma:taxonomy="true" ma:internalName="k34f87f5f1f24dafa503ace013459550" ma:taxonomyFieldName="DocHub_State" ma:displayName="Stat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6"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6c08405-89e9-4c57-a585-b31d7bded94b"/>
    <ds:schemaRef ds:uri="http://www.w3.org/XML/1998/namespace"/>
    <ds:schemaRef ds:uri="http://purl.org/dc/dcmitype/"/>
  </ds:schemaRefs>
</ds:datastoreItem>
</file>

<file path=customXml/itemProps2.xml><?xml version="1.0" encoding="utf-8"?>
<ds:datastoreItem xmlns:ds="http://schemas.openxmlformats.org/officeDocument/2006/customXml" ds:itemID="{31BD4547-16C7-4C32-A77A-7F66036BBB25}">
  <ds:schemaRefs>
    <ds:schemaRef ds:uri="http://schemas.microsoft.com/sharepoint/events"/>
  </ds:schemaRefs>
</ds:datastoreItem>
</file>

<file path=customXml/itemProps3.xml><?xml version="1.0" encoding="utf-8"?>
<ds:datastoreItem xmlns:ds="http://schemas.openxmlformats.org/officeDocument/2006/customXml" ds:itemID="{31662733-FF35-4538-9C67-5D96FB64C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5.xml><?xml version="1.0" encoding="utf-8"?>
<ds:datastoreItem xmlns:ds="http://schemas.openxmlformats.org/officeDocument/2006/customXml" ds:itemID="{6D913A96-4FF0-402D-BFB8-EFB37FDA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15179</Words>
  <Characters>86525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Regulatory Impact Statement</vt:lpstr>
    </vt:vector>
  </TitlesOfParts>
  <Company>INDUSTRY</Company>
  <LinksUpToDate>false</LinksUpToDate>
  <CharactersWithSpaces>101501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dc:title>
  <dc:creator>Robinson, Lisa</dc:creator>
  <cp:lastModifiedBy>Osborne, Lea</cp:lastModifiedBy>
  <cp:revision>4</cp:revision>
  <dcterms:created xsi:type="dcterms:W3CDTF">2021-11-22T00:35:00Z</dcterms:created>
  <dcterms:modified xsi:type="dcterms:W3CDTF">2021-11-22T02:05:00Z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0x010100EF16EF5376C1D74F879975DB271D1127</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571;#2017|5f6de30b-6e1e-4c09-9e51-982258231536</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
  </property>
  <property fmtid="{D5CDD505-2E9C-101B-9397-08002B2CF9AE}" pid="8" name="DocHub_DocumentType">
    <vt:lpwstr>43;#Template|9b48ba34-650a-488d-9fe8-e5181e10b797</vt:lpwstr>
  </property>
  <property fmtid="{D5CDD505-2E9C-101B-9397-08002B2CF9AE}" pid="9" name="DocHub_SecurityClassification">
    <vt:lpwstr>196;#Legal privilege|e0e7653a-6457-4726-a51f-c98e23f83bad</vt:lpwstr>
  </property>
  <property fmtid="{D5CDD505-2E9C-101B-9397-08002B2CF9AE}" pid="10" name="_dlc_DocIdItemGuid">
    <vt:lpwstr>008a2481-58a7-4dc3-a714-718f7a30bbc6</vt:lpwstr>
  </property>
  <property fmtid="{D5CDD505-2E9C-101B-9397-08002B2CF9AE}" pid="11" name="DocHub_WorkTopic">
    <vt:lpwstr/>
  </property>
  <property fmtid="{D5CDD505-2E9C-101B-9397-08002B2CF9AE}" pid="12" name="DocHub_GroupsOtherEntities">
    <vt:lpwstr/>
  </property>
  <property fmtid="{D5CDD505-2E9C-101B-9397-08002B2CF9AE}" pid="13" name="DocHub_GovernmentEntities">
    <vt:lpwstr/>
  </property>
  <property fmtid="{D5CDD505-2E9C-101B-9397-08002B2CF9AE}" pid="14" name="DocHub_EnergyMineralResources">
    <vt:lpwstr/>
  </property>
  <property fmtid="{D5CDD505-2E9C-101B-9397-08002B2CF9AE}" pid="15" name="DocHub_OrganisationEntities">
    <vt:lpwstr/>
  </property>
  <property fmtid="{D5CDD505-2E9C-101B-9397-08002B2CF9AE}" pid="16" name="DocHub_State">
    <vt:lpwstr/>
  </property>
</Properties>
</file>