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BB64" w14:textId="77777777" w:rsidR="00B11BA1" w:rsidRPr="00010001" w:rsidRDefault="00B11BA1" w:rsidP="00CD463E">
      <w:pPr>
        <w:keepNext/>
        <w:ind w:left="284"/>
        <w:jc w:val="center"/>
        <w:outlineLvl w:val="0"/>
        <w:rPr>
          <w:b/>
          <w:u w:val="single"/>
          <w:lang w:eastAsia="en-AU"/>
        </w:rPr>
      </w:pPr>
      <w:r w:rsidRPr="00010001">
        <w:rPr>
          <w:b/>
          <w:u w:val="single"/>
          <w:lang w:eastAsia="en-AU"/>
        </w:rPr>
        <w:t>EXPLANATORY STATEMENT</w:t>
      </w:r>
    </w:p>
    <w:p w14:paraId="179C8BA0" w14:textId="77777777" w:rsidR="00B11BA1" w:rsidRPr="00010001" w:rsidRDefault="00B11BA1" w:rsidP="00CD463E">
      <w:pPr>
        <w:rPr>
          <w:u w:val="single"/>
          <w:lang w:eastAsia="en-AU"/>
        </w:rPr>
      </w:pPr>
    </w:p>
    <w:p w14:paraId="6BA5379D" w14:textId="77777777" w:rsidR="00B11BA1" w:rsidRPr="00010001" w:rsidRDefault="00B11BA1" w:rsidP="00CD463E">
      <w:pPr>
        <w:widowControl w:val="0"/>
        <w:tabs>
          <w:tab w:val="left" w:pos="993"/>
          <w:tab w:val="left" w:pos="1418"/>
        </w:tabs>
        <w:jc w:val="center"/>
        <w:rPr>
          <w:i/>
          <w:lang w:eastAsia="en-AU"/>
        </w:rPr>
      </w:pPr>
      <w:r w:rsidRPr="00010001">
        <w:rPr>
          <w:i/>
          <w:lang w:eastAsia="en-AU"/>
        </w:rPr>
        <w:t>Health Insurance Act 1973</w:t>
      </w:r>
    </w:p>
    <w:p w14:paraId="3C536E9B" w14:textId="77777777" w:rsidR="00B11BA1" w:rsidRPr="00010001" w:rsidRDefault="00B11BA1" w:rsidP="00CD463E">
      <w:pPr>
        <w:rPr>
          <w:i/>
        </w:rPr>
      </w:pPr>
    </w:p>
    <w:p w14:paraId="5B025849" w14:textId="5F4E5A06" w:rsidR="00B11BA1" w:rsidRPr="00010001" w:rsidRDefault="008C2C1E" w:rsidP="00CD463E">
      <w:pPr>
        <w:jc w:val="center"/>
        <w:rPr>
          <w:i/>
        </w:rPr>
      </w:pPr>
      <w:r w:rsidRPr="00010001">
        <w:rPr>
          <w:i/>
        </w:rPr>
        <w:t>Health Insurance (Diagnostic Imaging Services Table) Amendment (Equipment Capital Sensitivity) Regulations 2021</w:t>
      </w:r>
    </w:p>
    <w:p w14:paraId="5BE06FC5" w14:textId="77777777" w:rsidR="008C2C1E" w:rsidRPr="00010001" w:rsidRDefault="008C2C1E" w:rsidP="00CD463E">
      <w:pPr>
        <w:jc w:val="center"/>
        <w:rPr>
          <w:i/>
        </w:rPr>
      </w:pPr>
    </w:p>
    <w:p w14:paraId="0401C390" w14:textId="745A46C2" w:rsidR="00B11BA1" w:rsidRPr="00010001" w:rsidRDefault="00B11BA1" w:rsidP="00CD463E">
      <w:pPr>
        <w:ind w:right="-483"/>
        <w:rPr>
          <w:lang w:eastAsia="en-AU"/>
        </w:rPr>
      </w:pPr>
      <w:r w:rsidRPr="00010001">
        <w:rPr>
          <w:lang w:eastAsia="en-AU"/>
        </w:rPr>
        <w:t xml:space="preserve">Subsection 133(1) of the </w:t>
      </w:r>
      <w:r w:rsidRPr="00010001">
        <w:rPr>
          <w:i/>
          <w:lang w:eastAsia="en-AU"/>
        </w:rPr>
        <w:t>Health Insurance Act 1973</w:t>
      </w:r>
      <w:r w:rsidRPr="00010001">
        <w:rPr>
          <w:lang w:eastAsia="en-AU"/>
        </w:rPr>
        <w:t xml:space="preserve"> (Act) provides that the Governor</w:t>
      </w:r>
      <w:r w:rsidR="00A51EE2" w:rsidRPr="00010001">
        <w:rPr>
          <w:lang w:eastAsia="en-AU"/>
        </w:rPr>
        <w:noBreakHyphen/>
      </w:r>
      <w:r w:rsidRPr="00010001">
        <w:rPr>
          <w:lang w:eastAsia="en-AU"/>
        </w:rPr>
        <w:t>General may make regulations, not inconsistent with the Act, prescribing all matters required or permitted by the Act to be prescribed, or necessary or convenient to be prescribed for carrying out or giving effect to the Act.</w:t>
      </w:r>
    </w:p>
    <w:p w14:paraId="52B81306" w14:textId="77777777" w:rsidR="00B11BA1" w:rsidRPr="00010001" w:rsidRDefault="00B11BA1" w:rsidP="00CD463E">
      <w:pPr>
        <w:ind w:right="-483"/>
        <w:rPr>
          <w:spacing w:val="5"/>
          <w:lang w:eastAsia="en-AU"/>
        </w:rPr>
      </w:pPr>
    </w:p>
    <w:p w14:paraId="7ABEB15B" w14:textId="77777777" w:rsidR="00B11BA1" w:rsidRPr="00010001" w:rsidRDefault="00B11BA1" w:rsidP="00CD463E">
      <w:pPr>
        <w:ind w:right="-483"/>
        <w:rPr>
          <w:lang w:eastAsia="en-AU"/>
        </w:rPr>
      </w:pPr>
      <w:r w:rsidRPr="00010001">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00A6EAA5" w14:textId="77777777" w:rsidR="00B11BA1" w:rsidRPr="00010001" w:rsidRDefault="00B11BA1" w:rsidP="00CD463E">
      <w:pPr>
        <w:rPr>
          <w:lang w:eastAsia="en-AU"/>
        </w:rPr>
      </w:pPr>
    </w:p>
    <w:p w14:paraId="63DDAD32" w14:textId="3EA7A329" w:rsidR="00191D39" w:rsidRPr="00010001" w:rsidRDefault="00615DB8" w:rsidP="00191D39">
      <w:pPr>
        <w:rPr>
          <w:i/>
          <w:lang w:eastAsia="en-AU"/>
        </w:rPr>
      </w:pPr>
      <w:r w:rsidRPr="00010001">
        <w:rPr>
          <w:lang w:eastAsia="en-AU"/>
        </w:rPr>
        <w:t>S</w:t>
      </w:r>
      <w:r w:rsidR="00191D39" w:rsidRPr="00010001">
        <w:rPr>
          <w:lang w:eastAsia="en-AU"/>
        </w:rPr>
        <w:t xml:space="preserve">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(DIST).  The most recent version of the regulations is the </w:t>
      </w:r>
      <w:r w:rsidR="00191D39" w:rsidRPr="00010001">
        <w:rPr>
          <w:i/>
          <w:lang w:eastAsia="en-AU"/>
        </w:rPr>
        <w:t>Health Insurance (Diagnostic Imaging Services Table) Regulations (No. 2) 2020.</w:t>
      </w:r>
    </w:p>
    <w:p w14:paraId="4A4A3918" w14:textId="77777777" w:rsidR="00191D39" w:rsidRPr="00010001" w:rsidRDefault="00191D39" w:rsidP="00191D39">
      <w:pPr>
        <w:rPr>
          <w:i/>
          <w:lang w:eastAsia="en-AU"/>
        </w:rPr>
      </w:pPr>
    </w:p>
    <w:p w14:paraId="05C631EA" w14:textId="77777777" w:rsidR="00B11BA1" w:rsidRPr="00010001" w:rsidRDefault="00B11BA1" w:rsidP="00CD463E">
      <w:pPr>
        <w:rPr>
          <w:b/>
        </w:rPr>
      </w:pPr>
      <w:r w:rsidRPr="00010001">
        <w:rPr>
          <w:b/>
        </w:rPr>
        <w:t>Purpose</w:t>
      </w:r>
    </w:p>
    <w:p w14:paraId="1BFE6137" w14:textId="2ADB8494" w:rsidR="008C2C1E" w:rsidRPr="00010001" w:rsidRDefault="00B11BA1" w:rsidP="00CD463E">
      <w:bookmarkStart w:id="0" w:name="_Hlk86222286"/>
      <w:r w:rsidRPr="00010001">
        <w:t xml:space="preserve">The purpose of the </w:t>
      </w:r>
      <w:r w:rsidR="008C2C1E" w:rsidRPr="00010001">
        <w:rPr>
          <w:i/>
        </w:rPr>
        <w:t xml:space="preserve">Health Insurance (Diagnostic Imaging Services Table) Amendment (Equipment Capital Sensitivity) Regulations 2021 </w:t>
      </w:r>
      <w:r w:rsidRPr="00010001">
        <w:t xml:space="preserve">(the Regulations) is to </w:t>
      </w:r>
      <w:r w:rsidR="00191D39" w:rsidRPr="00010001">
        <w:t xml:space="preserve">amend the DIST from 1 </w:t>
      </w:r>
      <w:r w:rsidR="008C2C1E" w:rsidRPr="00010001">
        <w:t>May 2022</w:t>
      </w:r>
      <w:r w:rsidR="00191D39" w:rsidRPr="00010001">
        <w:t xml:space="preserve">. The Regulations will </w:t>
      </w:r>
      <w:r w:rsidR="008C2C1E" w:rsidRPr="00010001">
        <w:t>repeal the exemptions for ru</w:t>
      </w:r>
      <w:r w:rsidR="00056718" w:rsidRPr="00010001">
        <w:t>r</w:t>
      </w:r>
      <w:r w:rsidR="008C2C1E" w:rsidRPr="00010001">
        <w:t xml:space="preserve">al and remote areas from the diagnostic imaging equipment and capital sensitivity provisions within the DIST. </w:t>
      </w:r>
    </w:p>
    <w:p w14:paraId="38D66223" w14:textId="77777777" w:rsidR="008C2C1E" w:rsidRPr="00010001" w:rsidRDefault="008C2C1E" w:rsidP="00CD463E"/>
    <w:p w14:paraId="6A90FBD3" w14:textId="61FC9026" w:rsidR="00AF5078" w:rsidRPr="00010001" w:rsidRDefault="008C2C1E" w:rsidP="00CD463E">
      <w:r w:rsidRPr="00010001">
        <w:t xml:space="preserve">The Regulations align with recommendations from the Diagnostic Imaging Clinical Committee </w:t>
      </w:r>
      <w:r w:rsidR="00AA4D2E" w:rsidRPr="00010001">
        <w:t xml:space="preserve">(DICC) </w:t>
      </w:r>
      <w:r w:rsidRPr="00010001">
        <w:t>of the Medi</w:t>
      </w:r>
      <w:r w:rsidR="002A6191" w:rsidRPr="00010001">
        <w:t>care</w:t>
      </w:r>
      <w:r w:rsidRPr="00010001">
        <w:t xml:space="preserve"> Benefits Schedule </w:t>
      </w:r>
      <w:r w:rsidR="002A6191" w:rsidRPr="00010001">
        <w:t xml:space="preserve">(MBS) </w:t>
      </w:r>
      <w:r w:rsidRPr="00010001">
        <w:t xml:space="preserve">Review Taskforce (the Taskforce) in 2019 that Medicare benefits no longer be paid for diagnostic imaging services rendered on equipment that has exceeded its prescribed life age. </w:t>
      </w:r>
      <w:r w:rsidR="00846D53" w:rsidRPr="00010001">
        <w:t xml:space="preserve">This </w:t>
      </w:r>
      <w:r w:rsidR="00056718" w:rsidRPr="00010001">
        <w:t xml:space="preserve">ensures </w:t>
      </w:r>
      <w:r w:rsidR="00846D53" w:rsidRPr="00010001">
        <w:t xml:space="preserve">patients in rural and remote areas will have access to the same quality diagnostic imaging services as patients in metropolitan areas. </w:t>
      </w:r>
    </w:p>
    <w:p w14:paraId="2D42DE33" w14:textId="79530C03" w:rsidR="00AB7844" w:rsidRPr="00010001" w:rsidRDefault="00AB7844" w:rsidP="00CD463E"/>
    <w:p w14:paraId="740ECC84" w14:textId="3132E7DC" w:rsidR="00846D53" w:rsidRPr="00010001" w:rsidRDefault="00846D53" w:rsidP="00CD463E">
      <w:pPr>
        <w:rPr>
          <w:bCs/>
          <w:iCs/>
        </w:rPr>
      </w:pPr>
      <w:r w:rsidRPr="00010001">
        <w:rPr>
          <w:shd w:val="clear" w:color="auto" w:fill="FFFFFF"/>
        </w:rPr>
        <w:t>The capital sensitivity recommendations were a</w:t>
      </w:r>
      <w:r w:rsidR="00F719C3" w:rsidRPr="00010001">
        <w:rPr>
          <w:shd w:val="clear" w:color="auto" w:fill="FFFFFF"/>
        </w:rPr>
        <w:t xml:space="preserve">nnounced </w:t>
      </w:r>
      <w:r w:rsidRPr="00010001">
        <w:rPr>
          <w:shd w:val="clear" w:color="auto" w:fill="FFFFFF"/>
        </w:rPr>
        <w:t>by Government in the 2019</w:t>
      </w:r>
      <w:r w:rsidR="00F719C3" w:rsidRPr="00010001">
        <w:rPr>
          <w:shd w:val="clear" w:color="auto" w:fill="FFFFFF"/>
        </w:rPr>
        <w:noBreakHyphen/>
      </w:r>
      <w:r w:rsidRPr="00010001">
        <w:rPr>
          <w:shd w:val="clear" w:color="auto" w:fill="FFFFFF"/>
        </w:rPr>
        <w:t>20 B</w:t>
      </w:r>
      <w:r w:rsidR="00AB7844" w:rsidRPr="00010001">
        <w:rPr>
          <w:shd w:val="clear" w:color="auto" w:fill="FFFFFF"/>
        </w:rPr>
        <w:t>u</w:t>
      </w:r>
      <w:r w:rsidRPr="00010001">
        <w:rPr>
          <w:shd w:val="clear" w:color="auto" w:fill="FFFFFF"/>
        </w:rPr>
        <w:t xml:space="preserve">dget </w:t>
      </w:r>
      <w:r w:rsidR="00AB7844" w:rsidRPr="00010001">
        <w:rPr>
          <w:shd w:val="clear" w:color="auto" w:fill="FFFFFF"/>
        </w:rPr>
        <w:t xml:space="preserve">under the </w:t>
      </w:r>
      <w:r w:rsidRPr="00010001">
        <w:rPr>
          <w:bCs/>
          <w:i/>
        </w:rPr>
        <w:t>Guaranteeing Medicare –</w:t>
      </w:r>
      <w:r w:rsidR="004A4C5F" w:rsidRPr="00010001">
        <w:rPr>
          <w:bCs/>
          <w:i/>
        </w:rPr>
        <w:t xml:space="preserve"> improved access to</w:t>
      </w:r>
      <w:r w:rsidRPr="00010001">
        <w:rPr>
          <w:bCs/>
          <w:i/>
        </w:rPr>
        <w:t xml:space="preserve"> diagnostic imaging</w:t>
      </w:r>
      <w:r w:rsidR="00AB7844" w:rsidRPr="00010001">
        <w:rPr>
          <w:shd w:val="clear" w:color="auto" w:fill="FFFFFF"/>
        </w:rPr>
        <w:t xml:space="preserve"> measure</w:t>
      </w:r>
      <w:r w:rsidRPr="00010001">
        <w:rPr>
          <w:bCs/>
          <w:iCs/>
        </w:rPr>
        <w:t xml:space="preserve">. </w:t>
      </w:r>
    </w:p>
    <w:p w14:paraId="45F08139" w14:textId="369A30D7" w:rsidR="00846D53" w:rsidRPr="00010001" w:rsidRDefault="00846D53" w:rsidP="00CD463E">
      <w:pPr>
        <w:rPr>
          <w:bCs/>
          <w:iCs/>
        </w:rPr>
      </w:pPr>
    </w:p>
    <w:p w14:paraId="5450665F" w14:textId="0B011283" w:rsidR="00846D53" w:rsidRPr="00010001" w:rsidRDefault="00846D53" w:rsidP="00CD463E">
      <w:pPr>
        <w:rPr>
          <w:shd w:val="clear" w:color="auto" w:fill="FFFFFF"/>
        </w:rPr>
      </w:pPr>
      <w:r w:rsidRPr="00010001">
        <w:rPr>
          <w:bCs/>
          <w:iCs/>
        </w:rPr>
        <w:t>The majority of changes announced under this measure were implemented on 1 May 2020</w:t>
      </w:r>
      <w:r w:rsidR="002C3C64" w:rsidRPr="00010001">
        <w:rPr>
          <w:bCs/>
          <w:iCs/>
        </w:rPr>
        <w:t>. T</w:t>
      </w:r>
      <w:r w:rsidRPr="00010001">
        <w:rPr>
          <w:bCs/>
          <w:iCs/>
        </w:rPr>
        <w:t>he changes to the rural and remote area diagnostic imaging equipment and capital sensitivity requirements</w:t>
      </w:r>
      <w:r w:rsidR="002C3C64" w:rsidRPr="00010001">
        <w:rPr>
          <w:bCs/>
          <w:iCs/>
        </w:rPr>
        <w:t>,</w:t>
      </w:r>
      <w:r w:rsidRPr="00010001">
        <w:rPr>
          <w:bCs/>
          <w:iCs/>
        </w:rPr>
        <w:t xml:space="preserve"> initially scheduled to commence on 1 May 2021</w:t>
      </w:r>
      <w:r w:rsidR="002C3C64" w:rsidRPr="00010001">
        <w:rPr>
          <w:bCs/>
          <w:iCs/>
        </w:rPr>
        <w:t xml:space="preserve">, were deferred to 1 May 2022 </w:t>
      </w:r>
      <w:r w:rsidRPr="00010001">
        <w:rPr>
          <w:bCs/>
          <w:iCs/>
        </w:rPr>
        <w:t xml:space="preserve">due to impacts arising from the COVID-19 pandemic. </w:t>
      </w:r>
    </w:p>
    <w:bookmarkEnd w:id="0"/>
    <w:p w14:paraId="0FCC738F" w14:textId="77777777" w:rsidR="00846D53" w:rsidRPr="00010001" w:rsidRDefault="00846D53" w:rsidP="00CD463E">
      <w:pPr>
        <w:rPr>
          <w:shd w:val="clear" w:color="auto" w:fill="FFFFFF"/>
        </w:rPr>
      </w:pPr>
    </w:p>
    <w:p w14:paraId="4A29AFD9" w14:textId="3B7B9BA9" w:rsidR="00B11BA1" w:rsidRPr="00010001" w:rsidRDefault="00B11BA1" w:rsidP="00CD463E">
      <w:pPr>
        <w:rPr>
          <w:b/>
        </w:rPr>
      </w:pPr>
      <w:r w:rsidRPr="00010001">
        <w:rPr>
          <w:b/>
        </w:rPr>
        <w:t>Consultation</w:t>
      </w:r>
    </w:p>
    <w:p w14:paraId="3680E49E" w14:textId="4BAC0830" w:rsidR="001177CF" w:rsidRPr="00010001" w:rsidRDefault="002A6191" w:rsidP="000467D7">
      <w:r w:rsidRPr="00010001">
        <w:t xml:space="preserve">The MBS Review </w:t>
      </w:r>
      <w:r w:rsidR="00FD4A53" w:rsidRPr="00010001">
        <w:t>is</w:t>
      </w:r>
      <w:r w:rsidR="006D4856" w:rsidRPr="00010001">
        <w:t xml:space="preserve"> </w:t>
      </w:r>
      <w:r w:rsidRPr="00010001">
        <w:t>conducted by expert committees and working groups focusing on specific areas of the MBS. </w:t>
      </w:r>
      <w:r w:rsidR="006D4856" w:rsidRPr="00010001">
        <w:t xml:space="preserve">The DICC </w:t>
      </w:r>
      <w:r w:rsidRPr="00010001">
        <w:t>report</w:t>
      </w:r>
      <w:r w:rsidR="006D4856" w:rsidRPr="00010001">
        <w:t xml:space="preserve"> was </w:t>
      </w:r>
      <w:r w:rsidRPr="00010001">
        <w:t xml:space="preserve">released for consultation </w:t>
      </w:r>
      <w:r w:rsidR="006D4856" w:rsidRPr="00010001">
        <w:t xml:space="preserve">between </w:t>
      </w:r>
      <w:r w:rsidR="006D4856" w:rsidRPr="00010001">
        <w:lastRenderedPageBreak/>
        <w:t>14</w:t>
      </w:r>
      <w:r w:rsidR="00FD4A53" w:rsidRPr="00010001">
        <w:t> </w:t>
      </w:r>
      <w:r w:rsidR="00065C55" w:rsidRPr="00010001">
        <w:t xml:space="preserve">September </w:t>
      </w:r>
      <w:r w:rsidR="003064E7" w:rsidRPr="00010001">
        <w:t xml:space="preserve">2018 </w:t>
      </w:r>
      <w:r w:rsidR="00065C55" w:rsidRPr="00010001">
        <w:t>and 23 November 2018</w:t>
      </w:r>
      <w:r w:rsidR="00AA4D2E" w:rsidRPr="00010001">
        <w:t xml:space="preserve"> </w:t>
      </w:r>
      <w:r w:rsidR="00065C55" w:rsidRPr="00010001">
        <w:t xml:space="preserve">to </w:t>
      </w:r>
      <w:r w:rsidRPr="00010001">
        <w:t>inform the Taskforce recommendations to Government.</w:t>
      </w:r>
      <w:r w:rsidR="00D52F1A" w:rsidRPr="00010001">
        <w:t xml:space="preserve"> </w:t>
      </w:r>
    </w:p>
    <w:p w14:paraId="45D85591" w14:textId="77777777" w:rsidR="00AA4D2E" w:rsidRPr="00010001" w:rsidRDefault="00AA4D2E" w:rsidP="00CD463E">
      <w:pPr>
        <w:rPr>
          <w:lang w:eastAsia="en-AU"/>
        </w:rPr>
      </w:pPr>
    </w:p>
    <w:p w14:paraId="04A8D003" w14:textId="5DBD64FE" w:rsidR="00B11BA1" w:rsidRPr="00010001" w:rsidRDefault="00B11BA1" w:rsidP="00CD463E">
      <w:pPr>
        <w:rPr>
          <w:lang w:eastAsia="en-AU"/>
        </w:rPr>
      </w:pPr>
      <w:r w:rsidRPr="00010001">
        <w:rPr>
          <w:lang w:eastAsia="en-AU"/>
        </w:rPr>
        <w:t>Details of the Regulations</w:t>
      </w:r>
      <w:r w:rsidRPr="00010001">
        <w:rPr>
          <w:i/>
          <w:lang w:eastAsia="en-AU"/>
        </w:rPr>
        <w:t xml:space="preserve"> </w:t>
      </w:r>
      <w:r w:rsidRPr="00010001">
        <w:rPr>
          <w:lang w:eastAsia="en-AU"/>
        </w:rPr>
        <w:t xml:space="preserve">are set out in the </w:t>
      </w:r>
      <w:r w:rsidRPr="00010001">
        <w:rPr>
          <w:u w:val="single"/>
          <w:lang w:eastAsia="en-AU"/>
        </w:rPr>
        <w:t>Attachment</w:t>
      </w:r>
      <w:r w:rsidRPr="00010001">
        <w:rPr>
          <w:lang w:eastAsia="en-AU"/>
        </w:rPr>
        <w:t>.</w:t>
      </w:r>
    </w:p>
    <w:p w14:paraId="5B40A3FB" w14:textId="77777777" w:rsidR="00B11BA1" w:rsidRPr="00010001" w:rsidRDefault="00B11BA1" w:rsidP="00CD463E">
      <w:pPr>
        <w:rPr>
          <w:lang w:eastAsia="en-AU"/>
        </w:rPr>
      </w:pPr>
    </w:p>
    <w:p w14:paraId="59DFCA6B" w14:textId="77777777" w:rsidR="00B11BA1" w:rsidRPr="00010001" w:rsidRDefault="00B11BA1" w:rsidP="00CD463E">
      <w:pPr>
        <w:ind w:right="-341"/>
        <w:rPr>
          <w:lang w:eastAsia="en-AU"/>
        </w:rPr>
      </w:pPr>
      <w:r w:rsidRPr="00010001">
        <w:rPr>
          <w:lang w:eastAsia="en-AU"/>
        </w:rPr>
        <w:t xml:space="preserve">The Regulations are a legislative instrument for the purposes of the </w:t>
      </w:r>
      <w:r w:rsidRPr="00010001">
        <w:rPr>
          <w:i/>
          <w:iCs/>
          <w:lang w:eastAsia="en-AU"/>
        </w:rPr>
        <w:t>Legislation Act 2003</w:t>
      </w:r>
      <w:r w:rsidRPr="00010001">
        <w:rPr>
          <w:lang w:eastAsia="en-AU"/>
        </w:rPr>
        <w:t>.</w:t>
      </w:r>
    </w:p>
    <w:p w14:paraId="5684B0D1" w14:textId="77777777" w:rsidR="006B105B" w:rsidRPr="00010001" w:rsidRDefault="006B105B" w:rsidP="000B0B63">
      <w:pPr>
        <w:rPr>
          <w:lang w:eastAsia="en-AU"/>
        </w:rPr>
      </w:pPr>
    </w:p>
    <w:p w14:paraId="2D6959D2" w14:textId="64F6F0BC" w:rsidR="000B0B63" w:rsidRPr="00010001" w:rsidRDefault="00AB16E6" w:rsidP="000B0B63">
      <w:pPr>
        <w:rPr>
          <w:lang w:eastAsia="en-AU"/>
        </w:rPr>
      </w:pPr>
      <w:r w:rsidRPr="00010001">
        <w:rPr>
          <w:lang w:eastAsia="en-AU"/>
        </w:rPr>
        <w:t xml:space="preserve">The Regulations will </w:t>
      </w:r>
      <w:r w:rsidR="000B0B63" w:rsidRPr="00010001">
        <w:rPr>
          <w:lang w:eastAsia="en-AU"/>
        </w:rPr>
        <w:t xml:space="preserve">commence on 1 </w:t>
      </w:r>
      <w:r w:rsidR="00367039" w:rsidRPr="00010001">
        <w:rPr>
          <w:lang w:eastAsia="en-AU"/>
        </w:rPr>
        <w:t xml:space="preserve">May </w:t>
      </w:r>
      <w:r w:rsidR="000B0B63" w:rsidRPr="00010001">
        <w:rPr>
          <w:lang w:eastAsia="en-AU"/>
        </w:rPr>
        <w:t>202</w:t>
      </w:r>
      <w:r w:rsidR="00367039" w:rsidRPr="00010001">
        <w:rPr>
          <w:lang w:eastAsia="en-AU"/>
        </w:rPr>
        <w:t>2</w:t>
      </w:r>
      <w:r w:rsidR="000B0B63" w:rsidRPr="00010001">
        <w:rPr>
          <w:lang w:eastAsia="en-AU"/>
        </w:rPr>
        <w:t xml:space="preserve">. </w:t>
      </w:r>
    </w:p>
    <w:p w14:paraId="32F9E635" w14:textId="77777777" w:rsidR="00216587" w:rsidRPr="00010001" w:rsidRDefault="00216587" w:rsidP="00CD463E">
      <w:pPr>
        <w:rPr>
          <w:lang w:eastAsia="en-AU"/>
        </w:rPr>
      </w:pPr>
    </w:p>
    <w:p w14:paraId="3CCAF9FC" w14:textId="77777777" w:rsidR="00216587" w:rsidRPr="00010001" w:rsidRDefault="00216587" w:rsidP="00CD463E">
      <w:pPr>
        <w:rPr>
          <w:lang w:eastAsia="en-AU"/>
        </w:rPr>
      </w:pPr>
    </w:p>
    <w:p w14:paraId="706D0E90" w14:textId="77777777" w:rsidR="00B11BA1" w:rsidRPr="00010001" w:rsidRDefault="00B11BA1" w:rsidP="00CD463E">
      <w:pPr>
        <w:tabs>
          <w:tab w:val="left" w:pos="4395"/>
          <w:tab w:val="left" w:pos="5670"/>
        </w:tabs>
        <w:ind w:left="284"/>
        <w:jc w:val="center"/>
        <w:rPr>
          <w:lang w:eastAsia="en-AU"/>
        </w:rPr>
      </w:pPr>
      <w:r w:rsidRPr="00010001">
        <w:rPr>
          <w:lang w:eastAsia="en-AU"/>
        </w:rPr>
        <w:tab/>
      </w:r>
      <w:r w:rsidRPr="00010001">
        <w:rPr>
          <w:u w:val="single"/>
          <w:lang w:eastAsia="en-AU"/>
        </w:rPr>
        <w:t>Authority</w:t>
      </w:r>
      <w:r w:rsidRPr="00010001">
        <w:rPr>
          <w:lang w:eastAsia="en-AU"/>
        </w:rPr>
        <w:t xml:space="preserve">:  Subsection 133(1) of the </w:t>
      </w:r>
    </w:p>
    <w:p w14:paraId="22D4A473" w14:textId="77777777" w:rsidR="00B11BA1" w:rsidRPr="00010001" w:rsidRDefault="00B11BA1" w:rsidP="00CD463E">
      <w:pPr>
        <w:tabs>
          <w:tab w:val="left" w:pos="4536"/>
        </w:tabs>
        <w:ind w:left="284"/>
        <w:jc w:val="center"/>
        <w:rPr>
          <w:lang w:eastAsia="en-AU"/>
        </w:rPr>
      </w:pPr>
      <w:r w:rsidRPr="00010001">
        <w:rPr>
          <w:i/>
          <w:lang w:eastAsia="en-AU"/>
        </w:rPr>
        <w:t xml:space="preserve">                                                                                         Health Insurance Act 1973</w:t>
      </w:r>
      <w:r w:rsidRPr="00010001">
        <w:rPr>
          <w:lang w:eastAsia="en-AU"/>
        </w:rPr>
        <w:t xml:space="preserve">  </w:t>
      </w:r>
    </w:p>
    <w:p w14:paraId="52B58640" w14:textId="77777777" w:rsidR="00B11BA1" w:rsidRPr="00010001" w:rsidRDefault="00B11BA1" w:rsidP="00CD463E">
      <w:pPr>
        <w:rPr>
          <w:b/>
          <w:lang w:eastAsia="en-AU"/>
        </w:rPr>
      </w:pPr>
      <w:r w:rsidRPr="00010001">
        <w:rPr>
          <w:b/>
          <w:lang w:eastAsia="en-AU"/>
        </w:rPr>
        <w:br w:type="page"/>
      </w:r>
      <w:r w:rsidRPr="00010001">
        <w:rPr>
          <w:b/>
          <w:lang w:eastAsia="en-AU"/>
        </w:rPr>
        <w:lastRenderedPageBreak/>
        <w:t>ATTACHMENT</w:t>
      </w:r>
    </w:p>
    <w:p w14:paraId="18EC211D" w14:textId="77777777" w:rsidR="00B11BA1" w:rsidRPr="00010001" w:rsidRDefault="00B11BA1" w:rsidP="00CD463E">
      <w:pPr>
        <w:ind w:left="284"/>
        <w:jc w:val="center"/>
        <w:rPr>
          <w:lang w:eastAsia="en-AU"/>
        </w:rPr>
      </w:pPr>
    </w:p>
    <w:p w14:paraId="35BF2389" w14:textId="15743CA3" w:rsidR="00B11BA1" w:rsidRPr="00010001" w:rsidRDefault="00B11BA1" w:rsidP="00CD463E">
      <w:pPr>
        <w:rPr>
          <w:b/>
          <w:i/>
          <w:lang w:eastAsia="en-AU"/>
        </w:rPr>
      </w:pPr>
      <w:r w:rsidRPr="00010001">
        <w:rPr>
          <w:b/>
          <w:lang w:eastAsia="en-AU"/>
        </w:rPr>
        <w:t xml:space="preserve">Details of the </w:t>
      </w:r>
      <w:r w:rsidR="00367039" w:rsidRPr="00010001">
        <w:rPr>
          <w:b/>
          <w:i/>
        </w:rPr>
        <w:t>Health Insurance (Diagnostic Imaging Services Table) Amendment (Equipment Capital Sensitivity) Regulations 2021</w:t>
      </w:r>
    </w:p>
    <w:p w14:paraId="00C31BFC" w14:textId="77777777" w:rsidR="00B11BA1" w:rsidRPr="00010001" w:rsidRDefault="00B11BA1" w:rsidP="00CD463E">
      <w:pPr>
        <w:rPr>
          <w:b/>
          <w:i/>
          <w:lang w:eastAsia="en-AU"/>
        </w:rPr>
      </w:pPr>
    </w:p>
    <w:p w14:paraId="58154486" w14:textId="77777777" w:rsidR="00B11BA1" w:rsidRPr="00010001" w:rsidRDefault="00B11BA1" w:rsidP="00CD463E">
      <w:pPr>
        <w:keepNext/>
        <w:tabs>
          <w:tab w:val="left" w:pos="284"/>
        </w:tabs>
        <w:outlineLvl w:val="0"/>
        <w:rPr>
          <w:u w:val="single"/>
          <w:lang w:eastAsia="en-AU"/>
        </w:rPr>
      </w:pPr>
      <w:r w:rsidRPr="00010001">
        <w:rPr>
          <w:u w:val="single"/>
          <w:lang w:eastAsia="en-AU"/>
        </w:rPr>
        <w:t>Section 1 – Name</w:t>
      </w:r>
    </w:p>
    <w:p w14:paraId="42F2A870" w14:textId="77777777" w:rsidR="00B11BA1" w:rsidRPr="00010001" w:rsidRDefault="00B11BA1" w:rsidP="00CD463E">
      <w:pPr>
        <w:keepNext/>
        <w:outlineLvl w:val="0"/>
        <w:rPr>
          <w:lang w:eastAsia="en-AU"/>
        </w:rPr>
      </w:pPr>
    </w:p>
    <w:p w14:paraId="7234BB3C" w14:textId="61482770" w:rsidR="00B11BA1" w:rsidRPr="00010001" w:rsidRDefault="00B11BA1" w:rsidP="00CD463E">
      <w:pPr>
        <w:keepNext/>
        <w:outlineLvl w:val="0"/>
        <w:rPr>
          <w:lang w:eastAsia="en-AU"/>
        </w:rPr>
      </w:pPr>
      <w:r w:rsidRPr="00010001">
        <w:rPr>
          <w:lang w:eastAsia="en-AU"/>
        </w:rPr>
        <w:t>This section provides for the Regulations to be referred to as the</w:t>
      </w:r>
      <w:r w:rsidRPr="00010001">
        <w:rPr>
          <w:i/>
          <w:lang w:eastAsia="en-AU"/>
        </w:rPr>
        <w:t xml:space="preserve"> </w:t>
      </w:r>
      <w:r w:rsidR="00367039" w:rsidRPr="00010001">
        <w:rPr>
          <w:i/>
        </w:rPr>
        <w:t>Health Insurance (Diagnostic Imaging Services Table) Amendment (Equipment Capital Sensitivity) Regulations 2021</w:t>
      </w:r>
      <w:r w:rsidR="00E70FE8" w:rsidRPr="00010001">
        <w:rPr>
          <w:i/>
        </w:rPr>
        <w:t>.</w:t>
      </w:r>
    </w:p>
    <w:p w14:paraId="6BFFD1DF" w14:textId="77777777" w:rsidR="00B11BA1" w:rsidRPr="00010001" w:rsidRDefault="00B11BA1" w:rsidP="00CD463E">
      <w:pPr>
        <w:rPr>
          <w:lang w:eastAsia="en-AU"/>
        </w:rPr>
      </w:pPr>
    </w:p>
    <w:p w14:paraId="50235990" w14:textId="77777777" w:rsidR="00B11BA1" w:rsidRPr="00010001" w:rsidRDefault="00B11BA1" w:rsidP="00CD463E">
      <w:pPr>
        <w:rPr>
          <w:u w:val="single"/>
          <w:lang w:eastAsia="en-AU"/>
        </w:rPr>
      </w:pPr>
      <w:r w:rsidRPr="00010001">
        <w:rPr>
          <w:u w:val="single"/>
          <w:lang w:eastAsia="en-AU"/>
        </w:rPr>
        <w:t xml:space="preserve">Section 2 – Commencement </w:t>
      </w:r>
    </w:p>
    <w:p w14:paraId="772FC565" w14:textId="77777777" w:rsidR="00B11BA1" w:rsidRPr="00010001" w:rsidRDefault="00B11BA1" w:rsidP="00CD463E">
      <w:pPr>
        <w:rPr>
          <w:lang w:eastAsia="en-AU"/>
        </w:rPr>
      </w:pPr>
    </w:p>
    <w:p w14:paraId="76C1FA36" w14:textId="453D31C7" w:rsidR="00B11BA1" w:rsidRPr="00010001" w:rsidRDefault="00ED7FC9" w:rsidP="00CD463E">
      <w:pPr>
        <w:rPr>
          <w:lang w:eastAsia="en-AU"/>
        </w:rPr>
      </w:pPr>
      <w:r w:rsidRPr="00010001">
        <w:rPr>
          <w:lang w:eastAsia="en-AU"/>
        </w:rPr>
        <w:t xml:space="preserve">This section provides </w:t>
      </w:r>
      <w:r w:rsidR="00AB16E6" w:rsidRPr="00010001">
        <w:rPr>
          <w:lang w:eastAsia="en-AU"/>
        </w:rPr>
        <w:t xml:space="preserve">for </w:t>
      </w:r>
      <w:r w:rsidR="003D005B" w:rsidRPr="00010001">
        <w:rPr>
          <w:lang w:eastAsia="en-AU"/>
        </w:rPr>
        <w:t xml:space="preserve">the </w:t>
      </w:r>
      <w:r w:rsidRPr="00010001">
        <w:rPr>
          <w:lang w:eastAsia="en-AU"/>
        </w:rPr>
        <w:t xml:space="preserve">Regulations to commence </w:t>
      </w:r>
      <w:r w:rsidR="00AB16E6" w:rsidRPr="00010001">
        <w:rPr>
          <w:lang w:eastAsia="en-AU"/>
        </w:rPr>
        <w:t xml:space="preserve">on 1 </w:t>
      </w:r>
      <w:r w:rsidR="001E2D30" w:rsidRPr="00010001">
        <w:rPr>
          <w:lang w:eastAsia="en-AU"/>
        </w:rPr>
        <w:t xml:space="preserve">May </w:t>
      </w:r>
      <w:r w:rsidR="00AB16E6" w:rsidRPr="00010001">
        <w:rPr>
          <w:lang w:eastAsia="en-AU"/>
        </w:rPr>
        <w:t>202</w:t>
      </w:r>
      <w:r w:rsidR="001E2D30" w:rsidRPr="00010001">
        <w:rPr>
          <w:lang w:eastAsia="en-AU"/>
        </w:rPr>
        <w:t>2</w:t>
      </w:r>
      <w:r w:rsidR="00AB16E6" w:rsidRPr="00010001">
        <w:rPr>
          <w:lang w:eastAsia="en-AU"/>
        </w:rPr>
        <w:t>.</w:t>
      </w:r>
    </w:p>
    <w:p w14:paraId="186B71CB" w14:textId="77777777" w:rsidR="00ED7FC9" w:rsidRPr="00010001" w:rsidRDefault="00ED7FC9" w:rsidP="00CD463E">
      <w:pPr>
        <w:rPr>
          <w:lang w:eastAsia="en-AU"/>
        </w:rPr>
      </w:pPr>
    </w:p>
    <w:p w14:paraId="0AA8E986" w14:textId="77777777" w:rsidR="00B11BA1" w:rsidRPr="00010001" w:rsidRDefault="00B11BA1" w:rsidP="00CD463E">
      <w:pPr>
        <w:rPr>
          <w:u w:val="single"/>
          <w:lang w:eastAsia="en-AU"/>
        </w:rPr>
      </w:pPr>
      <w:r w:rsidRPr="00010001">
        <w:rPr>
          <w:u w:val="single"/>
          <w:lang w:eastAsia="en-AU"/>
        </w:rPr>
        <w:t xml:space="preserve">Section 3 – Authority  </w:t>
      </w:r>
    </w:p>
    <w:p w14:paraId="0D136F8E" w14:textId="77777777" w:rsidR="00B11BA1" w:rsidRPr="00010001" w:rsidRDefault="00B11BA1" w:rsidP="00CD463E">
      <w:pPr>
        <w:rPr>
          <w:lang w:eastAsia="en-AU"/>
        </w:rPr>
      </w:pPr>
    </w:p>
    <w:p w14:paraId="3DAB6511" w14:textId="77777777" w:rsidR="00B11BA1" w:rsidRPr="00010001" w:rsidRDefault="00B11BA1" w:rsidP="00CD463E">
      <w:pPr>
        <w:ind w:right="-483"/>
        <w:rPr>
          <w:lang w:eastAsia="en-AU"/>
        </w:rPr>
      </w:pPr>
      <w:r w:rsidRPr="00010001">
        <w:rPr>
          <w:lang w:eastAsia="en-AU"/>
        </w:rPr>
        <w:t xml:space="preserve">This section provides that the Regulations are made under the </w:t>
      </w:r>
      <w:r w:rsidRPr="00010001">
        <w:rPr>
          <w:i/>
          <w:lang w:eastAsia="en-AU"/>
        </w:rPr>
        <w:t>Health Insurance Act 1973</w:t>
      </w:r>
      <w:r w:rsidRPr="00010001">
        <w:rPr>
          <w:lang w:eastAsia="en-AU"/>
        </w:rPr>
        <w:t>.</w:t>
      </w:r>
    </w:p>
    <w:p w14:paraId="735105C7" w14:textId="77777777" w:rsidR="00B11BA1" w:rsidRPr="00010001" w:rsidRDefault="00B11BA1" w:rsidP="00CD463E">
      <w:pPr>
        <w:tabs>
          <w:tab w:val="num" w:pos="1080"/>
        </w:tabs>
        <w:rPr>
          <w:lang w:eastAsia="en-AU"/>
        </w:rPr>
      </w:pPr>
    </w:p>
    <w:p w14:paraId="0657A3E0" w14:textId="77777777" w:rsidR="00B11BA1" w:rsidRPr="00010001" w:rsidRDefault="00B11BA1" w:rsidP="00CD463E">
      <w:pPr>
        <w:tabs>
          <w:tab w:val="num" w:pos="1080"/>
        </w:tabs>
        <w:rPr>
          <w:u w:val="single"/>
          <w:lang w:eastAsia="en-AU"/>
        </w:rPr>
      </w:pPr>
      <w:r w:rsidRPr="00010001">
        <w:rPr>
          <w:u w:val="single"/>
          <w:lang w:eastAsia="en-AU"/>
        </w:rPr>
        <w:t>Section 4 – Schedules</w:t>
      </w:r>
    </w:p>
    <w:p w14:paraId="6B367029" w14:textId="77777777" w:rsidR="00B11BA1" w:rsidRPr="00010001" w:rsidRDefault="00B11BA1" w:rsidP="00CD463E">
      <w:pPr>
        <w:tabs>
          <w:tab w:val="num" w:pos="1080"/>
        </w:tabs>
        <w:rPr>
          <w:lang w:eastAsia="en-AU"/>
        </w:rPr>
      </w:pPr>
    </w:p>
    <w:p w14:paraId="2279C00B" w14:textId="77777777" w:rsidR="00B11BA1" w:rsidRPr="00010001" w:rsidRDefault="00B11BA1" w:rsidP="00CD463E">
      <w:pPr>
        <w:tabs>
          <w:tab w:val="num" w:pos="1080"/>
        </w:tabs>
        <w:rPr>
          <w:lang w:eastAsia="en-AU"/>
        </w:rPr>
      </w:pPr>
      <w:r w:rsidRPr="00010001">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010001" w:rsidRDefault="00B11BA1" w:rsidP="00CD463E">
      <w:pPr>
        <w:tabs>
          <w:tab w:val="num" w:pos="1080"/>
        </w:tabs>
        <w:rPr>
          <w:lang w:eastAsia="en-AU"/>
        </w:rPr>
      </w:pPr>
    </w:p>
    <w:p w14:paraId="4932D6F8" w14:textId="34041D75" w:rsidR="00B11BA1" w:rsidRPr="00010001" w:rsidRDefault="00B11BA1" w:rsidP="00CD463E">
      <w:pPr>
        <w:rPr>
          <w:u w:val="single"/>
        </w:rPr>
      </w:pPr>
      <w:r w:rsidRPr="00010001">
        <w:rPr>
          <w:u w:val="single"/>
        </w:rPr>
        <w:t xml:space="preserve">Schedule 1 – </w:t>
      </w:r>
      <w:r w:rsidR="00D52F1A" w:rsidRPr="00010001">
        <w:rPr>
          <w:u w:val="single"/>
        </w:rPr>
        <w:t>Amendments</w:t>
      </w:r>
    </w:p>
    <w:p w14:paraId="3E6DB7E5" w14:textId="20644FAD" w:rsidR="00B11BA1" w:rsidRPr="00010001" w:rsidRDefault="00B11BA1" w:rsidP="00CD463E">
      <w:pPr>
        <w:rPr>
          <w:u w:val="single"/>
        </w:rPr>
      </w:pPr>
    </w:p>
    <w:p w14:paraId="59E21A71" w14:textId="764E34B0" w:rsidR="001E2D30" w:rsidRPr="00010001" w:rsidRDefault="001E2D30" w:rsidP="00CD463E">
      <w:pPr>
        <w:rPr>
          <w:bCs/>
          <w:iCs/>
        </w:rPr>
      </w:pPr>
      <w:bookmarkStart w:id="1" w:name="_Hlk78898107"/>
      <w:r w:rsidRPr="00010001">
        <w:rPr>
          <w:bCs/>
          <w:iCs/>
        </w:rPr>
        <w:t xml:space="preserve">Schedule 1 makes changes to the diagnostic imaging services table (DIST) to remove the </w:t>
      </w:r>
      <w:r w:rsidR="002454AD" w:rsidRPr="00010001">
        <w:rPr>
          <w:bCs/>
          <w:iCs/>
        </w:rPr>
        <w:t xml:space="preserve">exemptions from the diagnostic imaging equipment capital sensitivity </w:t>
      </w:r>
      <w:r w:rsidR="00457915" w:rsidRPr="00010001">
        <w:rPr>
          <w:bCs/>
          <w:iCs/>
        </w:rPr>
        <w:t>requirements</w:t>
      </w:r>
      <w:r w:rsidR="002454AD" w:rsidRPr="00010001">
        <w:rPr>
          <w:bCs/>
          <w:iCs/>
        </w:rPr>
        <w:t xml:space="preserve"> for rural and remote areas.</w:t>
      </w:r>
    </w:p>
    <w:p w14:paraId="146CAE53" w14:textId="28686BC3" w:rsidR="002454AD" w:rsidRPr="00010001" w:rsidRDefault="002454AD" w:rsidP="00CD463E">
      <w:pPr>
        <w:rPr>
          <w:bCs/>
          <w:iCs/>
        </w:rPr>
      </w:pPr>
    </w:p>
    <w:p w14:paraId="48FAE7DD" w14:textId="5E381280" w:rsidR="002454AD" w:rsidRPr="00010001" w:rsidRDefault="002454AD" w:rsidP="00CD463E">
      <w:pPr>
        <w:rPr>
          <w:bCs/>
          <w:iCs/>
        </w:rPr>
      </w:pPr>
      <w:r w:rsidRPr="00010001">
        <w:rPr>
          <w:bCs/>
          <w:iCs/>
        </w:rPr>
        <w:t xml:space="preserve">These changes were recommended by the </w:t>
      </w:r>
      <w:r w:rsidRPr="00010001">
        <w:t xml:space="preserve">Medicare Benefits Schedule (MBS) Review Taskforce (the Taskforce) and announced by Government in the </w:t>
      </w:r>
      <w:r w:rsidRPr="00010001">
        <w:rPr>
          <w:shd w:val="clear" w:color="auto" w:fill="FFFFFF"/>
        </w:rPr>
        <w:t>2019</w:t>
      </w:r>
      <w:r w:rsidRPr="00010001">
        <w:rPr>
          <w:shd w:val="clear" w:color="auto" w:fill="FFFFFF"/>
        </w:rPr>
        <w:noBreakHyphen/>
        <w:t xml:space="preserve">20 Budget under the </w:t>
      </w:r>
      <w:r w:rsidRPr="00010001">
        <w:rPr>
          <w:bCs/>
          <w:i/>
        </w:rPr>
        <w:t xml:space="preserve">Guaranteeing Medicare – </w:t>
      </w:r>
      <w:r w:rsidR="004A4C5F" w:rsidRPr="00010001">
        <w:rPr>
          <w:bCs/>
          <w:i/>
        </w:rPr>
        <w:t xml:space="preserve">improved access to </w:t>
      </w:r>
      <w:r w:rsidRPr="00010001">
        <w:rPr>
          <w:bCs/>
          <w:i/>
        </w:rPr>
        <w:t>diagnostic imaging</w:t>
      </w:r>
      <w:r w:rsidRPr="00010001">
        <w:rPr>
          <w:shd w:val="clear" w:color="auto" w:fill="FFFFFF"/>
        </w:rPr>
        <w:t xml:space="preserve"> measure</w:t>
      </w:r>
      <w:r w:rsidRPr="00010001">
        <w:rPr>
          <w:bCs/>
          <w:iCs/>
        </w:rPr>
        <w:t>.</w:t>
      </w:r>
    </w:p>
    <w:p w14:paraId="4757A3C4" w14:textId="77777777" w:rsidR="001E2D30" w:rsidRPr="00010001" w:rsidRDefault="001E2D30" w:rsidP="00CD463E">
      <w:pPr>
        <w:rPr>
          <w:b/>
          <w:iCs/>
        </w:rPr>
      </w:pPr>
    </w:p>
    <w:bookmarkEnd w:id="1"/>
    <w:p w14:paraId="08CCFA84" w14:textId="4E7048C7" w:rsidR="00441535" w:rsidRPr="00010001" w:rsidRDefault="004A4C5F" w:rsidP="00B7328A">
      <w:r w:rsidRPr="00010001">
        <w:rPr>
          <w:b/>
          <w:bCs/>
        </w:rPr>
        <w:t xml:space="preserve">Amendment </w:t>
      </w:r>
      <w:r w:rsidR="00F14814" w:rsidRPr="00010001">
        <w:rPr>
          <w:b/>
          <w:bCs/>
        </w:rPr>
        <w:t xml:space="preserve">Item 1 </w:t>
      </w:r>
      <w:r w:rsidR="002454AD" w:rsidRPr="00010001">
        <w:t>repeals</w:t>
      </w:r>
      <w:r w:rsidR="002454AD" w:rsidRPr="00010001">
        <w:rPr>
          <w:b/>
          <w:bCs/>
        </w:rPr>
        <w:t xml:space="preserve"> </w:t>
      </w:r>
      <w:r w:rsidRPr="00010001">
        <w:t>c</w:t>
      </w:r>
      <w:r w:rsidR="00441535" w:rsidRPr="00010001">
        <w:t xml:space="preserve">lauses 1.2.3, 1.2.5 and 1.2.6 of the DIST. </w:t>
      </w:r>
      <w:r w:rsidR="00457915" w:rsidRPr="00010001">
        <w:t>This change will remove the exemptions from the diagnostic imaging capital sen</w:t>
      </w:r>
      <w:r w:rsidR="00230F70" w:rsidRPr="00010001">
        <w:t>s</w:t>
      </w:r>
      <w:r w:rsidR="00457915" w:rsidRPr="00010001">
        <w:t xml:space="preserve">itivity requirements for rural and remote areas. </w:t>
      </w:r>
    </w:p>
    <w:p w14:paraId="0EC7A2F1" w14:textId="77777777" w:rsidR="00441535" w:rsidRPr="00010001" w:rsidRDefault="00441535" w:rsidP="00B7328A"/>
    <w:p w14:paraId="41762E32" w14:textId="3563B0DC" w:rsidR="00441535" w:rsidRPr="00010001" w:rsidRDefault="00DB4A07" w:rsidP="00B7328A">
      <w:r w:rsidRPr="00010001">
        <w:t>C</w:t>
      </w:r>
      <w:r w:rsidR="00441535" w:rsidRPr="00010001">
        <w:t xml:space="preserve">lause 1.2.1 </w:t>
      </w:r>
      <w:r w:rsidR="00E50DBB" w:rsidRPr="00010001">
        <w:t>places</w:t>
      </w:r>
      <w:r w:rsidR="00441535" w:rsidRPr="00010001">
        <w:t xml:space="preserve"> restrictions on items for services performed on aged equipment, for outer regional, remote and very remote areas and Norfolk Island. </w:t>
      </w:r>
      <w:r w:rsidRPr="00010001">
        <w:t xml:space="preserve">Clause 1.2.3 provides for circumstances where an exemption to clause 1.2.1 may be provided. </w:t>
      </w:r>
    </w:p>
    <w:p w14:paraId="6D2830C8" w14:textId="238DF145" w:rsidR="00441535" w:rsidRPr="00010001" w:rsidRDefault="00441535" w:rsidP="00B7328A"/>
    <w:p w14:paraId="6CCE517B" w14:textId="4C84BE17" w:rsidR="002E0F22" w:rsidRPr="00010001" w:rsidRDefault="00441535" w:rsidP="00B7328A">
      <w:r w:rsidRPr="00010001">
        <w:t xml:space="preserve">Clause 1.2.5 </w:t>
      </w:r>
      <w:r w:rsidR="00FF4634" w:rsidRPr="00010001">
        <w:t xml:space="preserve">provides </w:t>
      </w:r>
      <w:r w:rsidR="00C11E73" w:rsidRPr="00010001">
        <w:t xml:space="preserve">the requirements for diagnostic imaging </w:t>
      </w:r>
      <w:r w:rsidR="00DB4A07" w:rsidRPr="00010001">
        <w:t xml:space="preserve">proprietors </w:t>
      </w:r>
      <w:r w:rsidR="00C11E73" w:rsidRPr="00010001">
        <w:t xml:space="preserve">to apply for an exemption </w:t>
      </w:r>
      <w:r w:rsidR="00B23657" w:rsidRPr="00010001">
        <w:t xml:space="preserve">to capital sensitivity </w:t>
      </w:r>
      <w:r w:rsidR="003D4DD8" w:rsidRPr="00010001">
        <w:t>requirements</w:t>
      </w:r>
      <w:r w:rsidR="00B23657" w:rsidRPr="00010001">
        <w:t xml:space="preserve"> in inner regional areas</w:t>
      </w:r>
      <w:r w:rsidR="002E0F22" w:rsidRPr="00010001">
        <w:t xml:space="preserve">. </w:t>
      </w:r>
    </w:p>
    <w:p w14:paraId="4E28ABAD" w14:textId="77777777" w:rsidR="002E0F22" w:rsidRPr="00010001" w:rsidRDefault="002E0F22" w:rsidP="00B7328A"/>
    <w:p w14:paraId="08334D4B" w14:textId="61082BF8" w:rsidR="00441535" w:rsidRPr="00010001" w:rsidRDefault="002E0F22" w:rsidP="00B7328A">
      <w:r w:rsidRPr="00010001">
        <w:t>Clause 1.2.6 provides the</w:t>
      </w:r>
      <w:r w:rsidR="00DB4A07" w:rsidRPr="00010001">
        <w:t xml:space="preserve"> </w:t>
      </w:r>
      <w:r w:rsidRPr="00010001">
        <w:t xml:space="preserve">requirements for </w:t>
      </w:r>
      <w:r w:rsidR="00DB4A07" w:rsidRPr="00010001">
        <w:t xml:space="preserve">considering </w:t>
      </w:r>
      <w:r w:rsidRPr="00010001">
        <w:t xml:space="preserve">exemptions </w:t>
      </w:r>
      <w:r w:rsidR="00B23657" w:rsidRPr="00010001">
        <w:t xml:space="preserve">to capital sensitivity </w:t>
      </w:r>
      <w:r w:rsidR="00DB4A07" w:rsidRPr="00010001">
        <w:t xml:space="preserve">if the Secretary has received an application under clause 1.2.5. </w:t>
      </w:r>
      <w:r w:rsidRPr="00010001">
        <w:t xml:space="preserve"> </w:t>
      </w:r>
      <w:r w:rsidR="00FF4634" w:rsidRPr="00010001">
        <w:t xml:space="preserve"> </w:t>
      </w:r>
    </w:p>
    <w:p w14:paraId="6C7522BA" w14:textId="77777777" w:rsidR="00441535" w:rsidRPr="00010001" w:rsidRDefault="00441535" w:rsidP="00B7328A"/>
    <w:p w14:paraId="4F9A6553" w14:textId="77777777" w:rsidR="00F14814" w:rsidRPr="00010001" w:rsidRDefault="00F14814" w:rsidP="00B7328A">
      <w:pPr>
        <w:rPr>
          <w:b/>
          <w:bCs/>
        </w:rPr>
      </w:pPr>
    </w:p>
    <w:p w14:paraId="5DF65ED7" w14:textId="6C021D77" w:rsidR="00B7328A" w:rsidRPr="00010001" w:rsidRDefault="00F43389" w:rsidP="00B7328A">
      <w:r w:rsidRPr="00010001">
        <w:rPr>
          <w:b/>
          <w:bCs/>
        </w:rPr>
        <w:t xml:space="preserve">Amendment </w:t>
      </w:r>
      <w:r w:rsidR="00B7328A" w:rsidRPr="00010001">
        <w:rPr>
          <w:b/>
          <w:bCs/>
        </w:rPr>
        <w:t xml:space="preserve">Item </w:t>
      </w:r>
      <w:r w:rsidR="00F14814" w:rsidRPr="00010001">
        <w:rPr>
          <w:b/>
          <w:bCs/>
        </w:rPr>
        <w:t>2</w:t>
      </w:r>
      <w:r w:rsidR="00F14814" w:rsidRPr="00010001">
        <w:t xml:space="preserve"> </w:t>
      </w:r>
      <w:r w:rsidR="00B23657" w:rsidRPr="00010001">
        <w:t xml:space="preserve">amends </w:t>
      </w:r>
      <w:r w:rsidRPr="00010001">
        <w:t xml:space="preserve">paragraph </w:t>
      </w:r>
      <w:r w:rsidR="00B23657" w:rsidRPr="00010001">
        <w:t>1.2.11</w:t>
      </w:r>
      <w:r w:rsidRPr="00010001">
        <w:t xml:space="preserve">(1)(a) to remove a consequential reference to clause 1.2.6 which will be repealed (refer to </w:t>
      </w:r>
      <w:r w:rsidRPr="00010001">
        <w:rPr>
          <w:b/>
          <w:bCs/>
        </w:rPr>
        <w:t>amendment item 1</w:t>
      </w:r>
      <w:r w:rsidRPr="00010001">
        <w:t xml:space="preserve"> of the Regulations).</w:t>
      </w:r>
      <w:r w:rsidR="00B23657" w:rsidRPr="00010001">
        <w:t xml:space="preserve"> </w:t>
      </w:r>
    </w:p>
    <w:p w14:paraId="4696B8E4" w14:textId="1F3FE476" w:rsidR="00E50DBB" w:rsidRPr="00010001" w:rsidRDefault="00E50DBB" w:rsidP="00B7328A"/>
    <w:p w14:paraId="712C5057" w14:textId="65081039" w:rsidR="00E50DBB" w:rsidRPr="00010001" w:rsidRDefault="006425F2" w:rsidP="00B7328A">
      <w:r w:rsidRPr="00010001">
        <w:rPr>
          <w:b/>
          <w:bCs/>
        </w:rPr>
        <w:t xml:space="preserve">Amendment </w:t>
      </w:r>
      <w:r w:rsidR="00E50DBB" w:rsidRPr="00010001">
        <w:rPr>
          <w:b/>
          <w:bCs/>
        </w:rPr>
        <w:t>Item 3</w:t>
      </w:r>
      <w:r w:rsidR="00E50DBB" w:rsidRPr="00010001">
        <w:t xml:space="preserve"> amends the definition of </w:t>
      </w:r>
      <w:r w:rsidR="00440D5B" w:rsidRPr="00010001">
        <w:t>‘</w:t>
      </w:r>
      <w:r w:rsidR="00E50DBB" w:rsidRPr="00010001">
        <w:t>exemption period</w:t>
      </w:r>
      <w:r w:rsidR="00440D5B" w:rsidRPr="00010001">
        <w:t>’</w:t>
      </w:r>
      <w:r w:rsidR="00E50DBB" w:rsidRPr="00010001">
        <w:t xml:space="preserve"> to remove a reference to clause 1.5.5B, which </w:t>
      </w:r>
      <w:r w:rsidR="0007671E" w:rsidRPr="00010001">
        <w:t>no longer exists</w:t>
      </w:r>
      <w:r w:rsidR="00E50DBB" w:rsidRPr="00010001">
        <w:t xml:space="preserve"> in the DIST. Under this change, an exemption period means the period mentioned in paragraph 1.2.8(2)(a) (as extended under clause 1.2.10 if applicable). This change is minor and administrative in nature. </w:t>
      </w:r>
    </w:p>
    <w:p w14:paraId="23F11C6A" w14:textId="73DBDA1C" w:rsidR="00E50DBB" w:rsidRPr="00010001" w:rsidRDefault="00E50DBB" w:rsidP="00B7328A"/>
    <w:p w14:paraId="544B4893" w14:textId="1442E057" w:rsidR="00E50DBB" w:rsidRPr="00010001" w:rsidRDefault="006425F2" w:rsidP="00B7328A">
      <w:r w:rsidRPr="00010001">
        <w:rPr>
          <w:b/>
          <w:bCs/>
        </w:rPr>
        <w:t xml:space="preserve">Amendment </w:t>
      </w:r>
      <w:r w:rsidR="0007671E" w:rsidRPr="00010001">
        <w:rPr>
          <w:b/>
          <w:bCs/>
        </w:rPr>
        <w:t>Item 4</w:t>
      </w:r>
      <w:r w:rsidR="0007671E" w:rsidRPr="00010001">
        <w:t xml:space="preserve"> repeals Part 4 of Schedule 1 which provides application, saving and transitional provisions for the DIST.</w:t>
      </w:r>
      <w:r w:rsidR="006C6BAD" w:rsidRPr="00010001">
        <w:t xml:space="preserve"> </w:t>
      </w:r>
      <w:r w:rsidR="0044712D" w:rsidRPr="00010001">
        <w:t xml:space="preserve">Part 4 of Schedule 1 </w:t>
      </w:r>
      <w:r w:rsidR="006C6BAD" w:rsidRPr="00010001">
        <w:t xml:space="preserve">only </w:t>
      </w:r>
      <w:r w:rsidR="0044712D" w:rsidRPr="00010001">
        <w:t xml:space="preserve">includes </w:t>
      </w:r>
      <w:r w:rsidR="006C6BAD" w:rsidRPr="00010001">
        <w:t xml:space="preserve">transitional </w:t>
      </w:r>
      <w:r w:rsidR="00230F70" w:rsidRPr="00010001">
        <w:t xml:space="preserve">provisions for </w:t>
      </w:r>
      <w:r w:rsidR="006C6BAD" w:rsidRPr="00010001">
        <w:t xml:space="preserve">capital sensitivity requirements. </w:t>
      </w:r>
      <w:r w:rsidR="0044712D" w:rsidRPr="00010001">
        <w:t xml:space="preserve">The transitional provisions preserve a right where a valid application for exemption from capital sensitivity requirements was made. </w:t>
      </w:r>
      <w:r w:rsidR="006C6BAD" w:rsidRPr="00010001">
        <w:t>As the exemptions from capital sensitivity requirements will be repealed</w:t>
      </w:r>
      <w:r w:rsidR="003930F0" w:rsidRPr="00010001">
        <w:t xml:space="preserve"> </w:t>
      </w:r>
      <w:r w:rsidR="0044712D" w:rsidRPr="00010001">
        <w:t>transitional provisions are no longer required</w:t>
      </w:r>
      <w:r w:rsidR="00837228" w:rsidRPr="00010001">
        <w:t>,</w:t>
      </w:r>
      <w:r w:rsidR="0044712D" w:rsidRPr="00010001">
        <w:t xml:space="preserve"> and </w:t>
      </w:r>
      <w:r w:rsidR="003930F0" w:rsidRPr="00010001">
        <w:t xml:space="preserve">Part 4 of Schedule 1 will also be repealed. </w:t>
      </w:r>
    </w:p>
    <w:p w14:paraId="067F1474" w14:textId="77777777" w:rsidR="00441535" w:rsidRPr="00010001" w:rsidRDefault="00441535" w:rsidP="00B7328A"/>
    <w:p w14:paraId="7E707C61" w14:textId="123441F3" w:rsidR="00B7328A" w:rsidRPr="00010001" w:rsidRDefault="003F4AAB" w:rsidP="00B7328A">
      <w:pPr>
        <w:rPr>
          <w:bCs/>
        </w:rPr>
      </w:pPr>
      <w:r w:rsidRPr="00010001">
        <w:rPr>
          <w:bCs/>
        </w:rPr>
        <w:t xml:space="preserve"> </w:t>
      </w:r>
    </w:p>
    <w:p w14:paraId="54FFCB4E" w14:textId="7427644C" w:rsidR="000F09E3" w:rsidRPr="00010001" w:rsidRDefault="000F09E3" w:rsidP="00B7328A">
      <w:pPr>
        <w:rPr>
          <w:bCs/>
        </w:rPr>
      </w:pPr>
    </w:p>
    <w:p w14:paraId="4AEE102F" w14:textId="77777777" w:rsidR="00FA5B89" w:rsidRPr="00010001" w:rsidRDefault="00FA5B89">
      <w:pPr>
        <w:rPr>
          <w:b/>
          <w:lang w:eastAsia="en-AU"/>
        </w:rPr>
      </w:pPr>
      <w:r w:rsidRPr="00010001">
        <w:rPr>
          <w:b/>
          <w:lang w:eastAsia="en-AU"/>
        </w:rPr>
        <w:br w:type="page"/>
      </w:r>
    </w:p>
    <w:p w14:paraId="7BB889CA" w14:textId="6249F94E" w:rsidR="00B11BA1" w:rsidRPr="00010001" w:rsidRDefault="00B11BA1" w:rsidP="00CD463E">
      <w:pPr>
        <w:spacing w:before="120" w:after="120"/>
        <w:jc w:val="center"/>
        <w:rPr>
          <w:b/>
          <w:lang w:eastAsia="en-AU"/>
        </w:rPr>
      </w:pPr>
      <w:r w:rsidRPr="00010001">
        <w:rPr>
          <w:b/>
          <w:lang w:eastAsia="en-AU"/>
        </w:rPr>
        <w:lastRenderedPageBreak/>
        <w:t>Statement of Compatibility with Human Rights</w:t>
      </w:r>
    </w:p>
    <w:p w14:paraId="718B00FE" w14:textId="77777777" w:rsidR="00B11BA1" w:rsidRPr="00010001" w:rsidRDefault="00B11BA1" w:rsidP="00CD463E">
      <w:pPr>
        <w:spacing w:before="120" w:after="120"/>
        <w:jc w:val="center"/>
        <w:rPr>
          <w:lang w:eastAsia="en-AU"/>
        </w:rPr>
      </w:pPr>
      <w:r w:rsidRPr="00010001">
        <w:rPr>
          <w:i/>
          <w:lang w:eastAsia="en-AU"/>
        </w:rPr>
        <w:t>Prepared in accordance with Part 3 of the Human Rights (Parliamentary Scrutiny) Act 2011</w:t>
      </w:r>
    </w:p>
    <w:p w14:paraId="1ED4113F" w14:textId="6299DF63" w:rsidR="00FA5B89" w:rsidRPr="00010001" w:rsidRDefault="00DF4B6D" w:rsidP="00CD463E">
      <w:pPr>
        <w:tabs>
          <w:tab w:val="left" w:pos="1418"/>
        </w:tabs>
        <w:ind w:left="851"/>
        <w:jc w:val="center"/>
        <w:rPr>
          <w:b/>
          <w:bCs/>
          <w:i/>
        </w:rPr>
      </w:pPr>
      <w:r w:rsidRPr="00010001">
        <w:rPr>
          <w:b/>
          <w:bCs/>
          <w:i/>
        </w:rPr>
        <w:t>Health Insurance (Diagnostic Imaging Services Table) Amendment (Equipment Capital Sensitivity) Regulations 2021</w:t>
      </w:r>
    </w:p>
    <w:p w14:paraId="441BD280" w14:textId="77777777" w:rsidR="00DF4B6D" w:rsidRPr="00010001" w:rsidRDefault="00DF4B6D" w:rsidP="00CD463E">
      <w:pPr>
        <w:tabs>
          <w:tab w:val="left" w:pos="1418"/>
        </w:tabs>
        <w:ind w:left="851"/>
        <w:jc w:val="center"/>
        <w:rPr>
          <w:b/>
          <w:i/>
          <w:lang w:eastAsia="en-AU"/>
        </w:rPr>
      </w:pPr>
    </w:p>
    <w:p w14:paraId="37ECD06A" w14:textId="77777777" w:rsidR="00B11BA1" w:rsidRPr="00010001" w:rsidRDefault="00B11BA1" w:rsidP="00474498">
      <w:pPr>
        <w:jc w:val="center"/>
        <w:rPr>
          <w:lang w:eastAsia="en-AU"/>
        </w:rPr>
      </w:pPr>
      <w:r w:rsidRPr="00010001">
        <w:rPr>
          <w:lang w:eastAsia="en-AU"/>
        </w:rPr>
        <w:t xml:space="preserve">This Regulation is compatible with the human rights and freedoms recognised or declared in the international instruments listed in section 3 of the </w:t>
      </w:r>
      <w:r w:rsidRPr="00010001">
        <w:rPr>
          <w:i/>
          <w:lang w:eastAsia="en-AU"/>
        </w:rPr>
        <w:t>Human Rights (Parliamentary Scrutiny) Act 2011</w:t>
      </w:r>
      <w:r w:rsidRPr="00010001">
        <w:rPr>
          <w:lang w:eastAsia="en-AU"/>
        </w:rPr>
        <w:t>.</w:t>
      </w:r>
    </w:p>
    <w:p w14:paraId="66A0FE5D" w14:textId="77777777" w:rsidR="00DF4B6D" w:rsidRPr="00010001" w:rsidRDefault="00DF4B6D" w:rsidP="00965BEB">
      <w:pPr>
        <w:ind w:right="-483"/>
        <w:rPr>
          <w:b/>
          <w:lang w:eastAsia="en-AU"/>
        </w:rPr>
      </w:pPr>
    </w:p>
    <w:p w14:paraId="130437E5" w14:textId="7A6743CD" w:rsidR="00B11BA1" w:rsidRPr="00010001" w:rsidRDefault="00B11BA1" w:rsidP="00CD463E">
      <w:pPr>
        <w:spacing w:before="120" w:after="120"/>
        <w:ind w:right="-483"/>
        <w:rPr>
          <w:b/>
          <w:lang w:eastAsia="en-AU"/>
        </w:rPr>
      </w:pPr>
      <w:r w:rsidRPr="00010001">
        <w:rPr>
          <w:b/>
          <w:lang w:eastAsia="en-AU"/>
        </w:rPr>
        <w:t>Overview of the Disallowable Legislative Instrument</w:t>
      </w:r>
    </w:p>
    <w:p w14:paraId="2EC4CD9C" w14:textId="77777777" w:rsidR="00056718" w:rsidRPr="00010001" w:rsidRDefault="00056718" w:rsidP="00056718">
      <w:pPr>
        <w:spacing w:before="120" w:after="120"/>
      </w:pPr>
      <w:r w:rsidRPr="00010001">
        <w:t xml:space="preserve">The purpose of the </w:t>
      </w:r>
      <w:r w:rsidRPr="00010001">
        <w:rPr>
          <w:i/>
        </w:rPr>
        <w:t xml:space="preserve">Health Insurance (Diagnostic Imaging Services Table) Amendment (Equipment Capital Sensitivity) Regulations 2021 </w:t>
      </w:r>
      <w:r w:rsidRPr="00010001">
        <w:t xml:space="preserve">(the Regulations) is to amend the DIST from 1 May 2022. The Regulations will repeal the exemptions for rural and remote areas from the diagnostic imaging equipment and capital sensitivity provisions within the DIST. </w:t>
      </w:r>
    </w:p>
    <w:p w14:paraId="4F109996" w14:textId="77777777" w:rsidR="00056718" w:rsidRPr="00010001" w:rsidRDefault="00056718" w:rsidP="00965BEB"/>
    <w:p w14:paraId="4AE0E702" w14:textId="77777777" w:rsidR="00056718" w:rsidRPr="00010001" w:rsidRDefault="00056718" w:rsidP="00965BEB">
      <w:r w:rsidRPr="00010001">
        <w:t xml:space="preserve">The Regulations align with recommendations from the Diagnostic Imaging Clinical Committee (DICC) of the Medicare Benefits Schedule (MBS) Review Taskforce (the Taskforce) in 2019 that Medicare benefits no longer be paid for diagnostic imaging services rendered on equipment that has exceeded its prescribed life age. This ensures patients in rural and remote areas will have access to the same quality diagnostic imaging services as patients in metropolitan areas. </w:t>
      </w:r>
    </w:p>
    <w:p w14:paraId="310B1790" w14:textId="77777777" w:rsidR="00056718" w:rsidRPr="00010001" w:rsidRDefault="00056718" w:rsidP="00965BEB"/>
    <w:p w14:paraId="1193AF01" w14:textId="77777777" w:rsidR="00056718" w:rsidRPr="00010001" w:rsidRDefault="00056718" w:rsidP="00965BEB">
      <w:pPr>
        <w:rPr>
          <w:bCs/>
          <w:iCs/>
        </w:rPr>
      </w:pPr>
      <w:r w:rsidRPr="00010001">
        <w:t>The capital sensitivity recommendations were announced by Government in the 2019</w:t>
      </w:r>
      <w:r w:rsidRPr="00010001">
        <w:noBreakHyphen/>
        <w:t xml:space="preserve">20 Budget under the </w:t>
      </w:r>
      <w:r w:rsidRPr="00010001">
        <w:rPr>
          <w:bCs/>
          <w:i/>
        </w:rPr>
        <w:t>Guaranteeing Medicare – improved access to diagnostic imaging</w:t>
      </w:r>
      <w:r w:rsidRPr="00010001">
        <w:t xml:space="preserve"> measure</w:t>
      </w:r>
      <w:r w:rsidRPr="00010001">
        <w:rPr>
          <w:bCs/>
          <w:iCs/>
        </w:rPr>
        <w:t xml:space="preserve">. </w:t>
      </w:r>
    </w:p>
    <w:p w14:paraId="69AD7BF9" w14:textId="77777777" w:rsidR="00056718" w:rsidRPr="00010001" w:rsidRDefault="00056718" w:rsidP="00965BEB">
      <w:pPr>
        <w:rPr>
          <w:bCs/>
          <w:iCs/>
        </w:rPr>
      </w:pPr>
    </w:p>
    <w:p w14:paraId="3F79EBA7" w14:textId="77777777" w:rsidR="00056718" w:rsidRPr="00010001" w:rsidRDefault="00056718" w:rsidP="00965BEB">
      <w:r w:rsidRPr="00010001">
        <w:rPr>
          <w:bCs/>
          <w:iCs/>
        </w:rPr>
        <w:t xml:space="preserve">The majority of changes announced under this measure were implemented on 1 May 2020. The changes to the rural and remote area diagnostic imaging equipment and capital sensitivity requirements, initially scheduled to commence on 1 May 2021, were deferred to 1 May 2022 due to impacts arising from the COVID-19 pandemic. </w:t>
      </w:r>
    </w:p>
    <w:p w14:paraId="19437F71" w14:textId="77777777" w:rsidR="00457915" w:rsidRPr="00010001" w:rsidRDefault="00457915" w:rsidP="00965BEB">
      <w:pPr>
        <w:rPr>
          <w:b/>
          <w:lang w:eastAsia="en-AU"/>
        </w:rPr>
      </w:pPr>
    </w:p>
    <w:p w14:paraId="7705A45E" w14:textId="287B3240" w:rsidR="00B11BA1" w:rsidRPr="00010001" w:rsidRDefault="00B11BA1" w:rsidP="00CD463E">
      <w:pPr>
        <w:spacing w:before="120" w:after="120"/>
        <w:rPr>
          <w:b/>
          <w:lang w:eastAsia="en-AU"/>
        </w:rPr>
      </w:pPr>
      <w:r w:rsidRPr="00010001">
        <w:rPr>
          <w:b/>
          <w:lang w:eastAsia="en-AU"/>
        </w:rPr>
        <w:t>Human rights implications</w:t>
      </w:r>
    </w:p>
    <w:p w14:paraId="2E7F94EC" w14:textId="1E38AAB5" w:rsidR="00B11BA1" w:rsidRPr="00010001" w:rsidRDefault="00B11BA1" w:rsidP="00CD463E">
      <w:pPr>
        <w:spacing w:before="120" w:after="120"/>
        <w:rPr>
          <w:lang w:eastAsia="en-AU"/>
        </w:rPr>
      </w:pPr>
      <w:r w:rsidRPr="00010001">
        <w:rPr>
          <w:lang w:eastAsia="en-AU"/>
        </w:rPr>
        <w:t>The Regulations engage Articles 9 and 12 of the International Covenant on Economic</w:t>
      </w:r>
      <w:r w:rsidR="001F3B9D" w:rsidRPr="00010001">
        <w:rPr>
          <w:lang w:eastAsia="en-AU"/>
        </w:rPr>
        <w:t>,</w:t>
      </w:r>
      <w:r w:rsidRPr="00010001">
        <w:rPr>
          <w:lang w:eastAsia="en-AU"/>
        </w:rPr>
        <w:t xml:space="preserve"> Social and Cultural Rights (ICESCR), specifically the rights to health and social security. </w:t>
      </w:r>
    </w:p>
    <w:p w14:paraId="6F80F56D" w14:textId="77777777" w:rsidR="00B11BA1" w:rsidRPr="00010001" w:rsidRDefault="00B11BA1" w:rsidP="00CD463E">
      <w:pPr>
        <w:spacing w:before="120" w:after="120"/>
        <w:rPr>
          <w:i/>
          <w:lang w:eastAsia="en-AU"/>
        </w:rPr>
      </w:pPr>
      <w:r w:rsidRPr="00010001">
        <w:rPr>
          <w:i/>
          <w:lang w:eastAsia="en-AU"/>
        </w:rPr>
        <w:t>The Right to Health</w:t>
      </w:r>
    </w:p>
    <w:p w14:paraId="415452AE" w14:textId="101D8C92" w:rsidR="00B11BA1" w:rsidRPr="00010001" w:rsidRDefault="00B11BA1" w:rsidP="00CD463E">
      <w:pPr>
        <w:spacing w:before="120" w:after="120"/>
        <w:rPr>
          <w:lang w:eastAsia="en-AU"/>
        </w:rPr>
      </w:pPr>
      <w:r w:rsidRPr="00010001">
        <w:rPr>
          <w:lang w:eastAsia="en-AU"/>
        </w:rPr>
        <w:t>The right to the enjoyment of the highest attainable standard of physical and mental health is contained in Article 12(1) of the ICESCR. The UN Committee on Economic</w:t>
      </w:r>
      <w:r w:rsidR="001F3B9D" w:rsidRPr="00010001">
        <w:rPr>
          <w:lang w:eastAsia="en-AU"/>
        </w:rPr>
        <w:t>,</w:t>
      </w:r>
      <w:r w:rsidRPr="00010001">
        <w:rPr>
          <w:lang w:eastAsia="en-AU"/>
        </w:rPr>
        <w:t xml:space="preserve"> Social and Cultural Rights (the Committee) has stated that the right to health is not </w:t>
      </w:r>
      <w:r w:rsidR="001F3B9D" w:rsidRPr="00010001">
        <w:rPr>
          <w:lang w:eastAsia="en-AU"/>
        </w:rPr>
        <w:t xml:space="preserve">to be understood as </w:t>
      </w:r>
      <w:r w:rsidRPr="00010001">
        <w:rPr>
          <w:lang w:eastAsia="en-AU"/>
        </w:rPr>
        <w:t xml:space="preserve">a right for each individual to be healthy, but is a right to a system of health protection which provides equality of opportunity for people to enjoy the highest attainable level of health. </w:t>
      </w:r>
    </w:p>
    <w:p w14:paraId="5AF4AF42" w14:textId="77777777" w:rsidR="00B11BA1" w:rsidRPr="00010001" w:rsidRDefault="00B11BA1" w:rsidP="00CD463E">
      <w:pPr>
        <w:spacing w:before="120" w:after="120"/>
        <w:rPr>
          <w:lang w:eastAsia="en-AU"/>
        </w:rPr>
      </w:pPr>
      <w:r w:rsidRPr="00010001">
        <w:rPr>
          <w:lang w:eastAsia="en-AU"/>
        </w:rPr>
        <w:t xml:space="preserve">The Committee reports that the </w:t>
      </w:r>
      <w:r w:rsidRPr="00010001">
        <w:rPr>
          <w:i/>
          <w:lang w:eastAsia="en-AU"/>
        </w:rPr>
        <w:t>‘highest attainable standard of health’</w:t>
      </w:r>
      <w:r w:rsidRPr="00010001">
        <w:rPr>
          <w:lang w:eastAsia="en-AU"/>
        </w:rPr>
        <w:t xml:space="preserve"> takes into account the country’s available resources. This right may be understood as a right of </w:t>
      </w:r>
      <w:r w:rsidRPr="00010001">
        <w:rPr>
          <w:lang w:eastAsia="en-AU"/>
        </w:rPr>
        <w:lastRenderedPageBreak/>
        <w:t xml:space="preserve">access to a variety of public health and health care facilities, goods, services, programs, and conditions necessary for the realisation of the highest attainable standard of health. </w:t>
      </w:r>
    </w:p>
    <w:p w14:paraId="77F44CD7" w14:textId="04FB9399" w:rsidR="00B11BA1" w:rsidRPr="00010001" w:rsidRDefault="00B11BA1" w:rsidP="00056718">
      <w:pPr>
        <w:rPr>
          <w:i/>
          <w:lang w:eastAsia="en-AU"/>
        </w:rPr>
      </w:pPr>
      <w:r w:rsidRPr="00010001">
        <w:rPr>
          <w:i/>
          <w:lang w:eastAsia="en-AU"/>
        </w:rPr>
        <w:t xml:space="preserve">The Right to Social Security </w:t>
      </w:r>
    </w:p>
    <w:p w14:paraId="7234DA73" w14:textId="77777777" w:rsidR="00B11BA1" w:rsidRPr="00010001" w:rsidRDefault="00B11BA1" w:rsidP="00CD463E">
      <w:pPr>
        <w:spacing w:before="120" w:after="120"/>
        <w:rPr>
          <w:lang w:eastAsia="en-AU"/>
        </w:rPr>
      </w:pPr>
      <w:r w:rsidRPr="00010001">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010001" w:rsidRDefault="00B11BA1" w:rsidP="00CD463E">
      <w:pPr>
        <w:spacing w:before="120" w:after="120"/>
        <w:rPr>
          <w:lang w:eastAsia="en-AU"/>
        </w:rPr>
      </w:pPr>
      <w:r w:rsidRPr="00010001">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13CD436E" w:rsidR="00FA4B55" w:rsidRPr="00010001" w:rsidRDefault="00FA4B55" w:rsidP="00FA4B55">
      <w:pPr>
        <w:shd w:val="clear" w:color="auto" w:fill="FFFFFF"/>
        <w:spacing w:before="120" w:after="120"/>
        <w:rPr>
          <w:lang w:eastAsia="en-AU"/>
        </w:rPr>
      </w:pPr>
      <w:r w:rsidRPr="00010001">
        <w:rPr>
          <w:i/>
          <w:iCs/>
        </w:rPr>
        <w:t>The right of equality and non-discrimination</w:t>
      </w:r>
    </w:p>
    <w:p w14:paraId="6E906239" w14:textId="37190834" w:rsidR="00FA4B55" w:rsidRPr="00010001" w:rsidRDefault="00FA4B55" w:rsidP="00FA4B55">
      <w:pPr>
        <w:shd w:val="clear" w:color="auto" w:fill="FFFFFF"/>
        <w:spacing w:before="120" w:after="120"/>
      </w:pPr>
      <w:r w:rsidRPr="00010001">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010001" w:rsidRDefault="00B11BA1" w:rsidP="00CD463E">
      <w:pPr>
        <w:spacing w:before="120" w:after="120"/>
        <w:rPr>
          <w:lang w:eastAsia="en-AU"/>
        </w:rPr>
      </w:pPr>
      <w:r w:rsidRPr="00010001">
        <w:rPr>
          <w:u w:val="single"/>
          <w:lang w:eastAsia="en-AU"/>
        </w:rPr>
        <w:t xml:space="preserve">Analysis </w:t>
      </w:r>
    </w:p>
    <w:p w14:paraId="04EB139C" w14:textId="0FA48073" w:rsidR="00B11BA1" w:rsidRPr="00010001" w:rsidRDefault="00B11BA1" w:rsidP="00CD463E">
      <w:pPr>
        <w:spacing w:before="120" w:after="120"/>
        <w:rPr>
          <w:lang w:eastAsia="en-AU"/>
        </w:rPr>
      </w:pPr>
      <w:r w:rsidRPr="00010001">
        <w:rPr>
          <w:lang w:eastAsia="en-AU"/>
        </w:rPr>
        <w:t xml:space="preserve">The Regulations maintain rights to health and social security by ensuring </w:t>
      </w:r>
      <w:r w:rsidR="00F621C3" w:rsidRPr="00010001">
        <w:t>patients in rural and remote areas will have access to the same quality diagnostic imaging services as patients in metropolitan areas</w:t>
      </w:r>
      <w:r w:rsidRPr="00010001">
        <w:rPr>
          <w:lang w:eastAsia="en-AU"/>
        </w:rPr>
        <w:t>.</w:t>
      </w:r>
    </w:p>
    <w:p w14:paraId="495C026A" w14:textId="77777777" w:rsidR="00B11BA1" w:rsidRPr="00010001" w:rsidRDefault="00B11BA1" w:rsidP="00CD463E">
      <w:pPr>
        <w:spacing w:before="120" w:after="120" w:line="276" w:lineRule="auto"/>
        <w:rPr>
          <w:rFonts w:eastAsia="Calibri"/>
          <w:b/>
        </w:rPr>
      </w:pPr>
      <w:r w:rsidRPr="00010001">
        <w:rPr>
          <w:rFonts w:eastAsia="Calibri"/>
          <w:b/>
        </w:rPr>
        <w:t xml:space="preserve">Conclusion </w:t>
      </w:r>
    </w:p>
    <w:p w14:paraId="69D585EE" w14:textId="77777777" w:rsidR="00B11BA1" w:rsidRPr="00010001" w:rsidRDefault="00B11BA1" w:rsidP="00CD463E">
      <w:pPr>
        <w:spacing w:before="120" w:after="120"/>
        <w:rPr>
          <w:lang w:eastAsia="en-AU"/>
        </w:rPr>
      </w:pPr>
      <w:r w:rsidRPr="00010001">
        <w:rPr>
          <w:lang w:eastAsia="en-AU"/>
        </w:rPr>
        <w:t>This instrument is compatible with human rights because it maintains existing arrangements and the protection of human rights.</w:t>
      </w:r>
    </w:p>
    <w:p w14:paraId="3F7FEB1B" w14:textId="77777777" w:rsidR="00B11BA1" w:rsidRPr="00010001" w:rsidRDefault="00B11BA1" w:rsidP="00CD463E">
      <w:pPr>
        <w:rPr>
          <w:rFonts w:eastAsia="Calibri"/>
        </w:rPr>
      </w:pPr>
    </w:p>
    <w:p w14:paraId="296B3703" w14:textId="77777777" w:rsidR="00B11BA1" w:rsidRPr="00010001" w:rsidRDefault="00B11BA1" w:rsidP="00CD463E">
      <w:pPr>
        <w:spacing w:before="120" w:after="120" w:line="276" w:lineRule="auto"/>
        <w:jc w:val="center"/>
        <w:rPr>
          <w:rFonts w:eastAsia="Calibri"/>
          <w:b/>
          <w:bCs/>
        </w:rPr>
      </w:pPr>
      <w:r w:rsidRPr="00010001">
        <w:rPr>
          <w:rFonts w:eastAsia="Calibri"/>
          <w:b/>
          <w:bCs/>
        </w:rPr>
        <w:t>Greg Hunt</w:t>
      </w:r>
    </w:p>
    <w:p w14:paraId="112A3D84" w14:textId="77777777" w:rsidR="00B11BA1" w:rsidRPr="00010001" w:rsidRDefault="00B11BA1" w:rsidP="00CD463E">
      <w:pPr>
        <w:spacing w:before="120" w:after="120" w:line="276" w:lineRule="auto"/>
        <w:jc w:val="center"/>
        <w:rPr>
          <w:rFonts w:eastAsia="Calibri"/>
        </w:rPr>
      </w:pPr>
      <w:r w:rsidRPr="00010001">
        <w:rPr>
          <w:rFonts w:eastAsia="Calibri"/>
          <w:b/>
          <w:bCs/>
        </w:rPr>
        <w:t>Minister for Health and Aged Care</w:t>
      </w:r>
    </w:p>
    <w:p w14:paraId="3952A7FA" w14:textId="710C6CD2" w:rsidR="00353D9A" w:rsidRPr="00B11BA1" w:rsidRDefault="00353D9A" w:rsidP="00CD463E">
      <w:pPr>
        <w:rPr>
          <w:rFonts w:eastAsia="Calibri"/>
        </w:rPr>
      </w:pPr>
    </w:p>
    <w:sectPr w:rsidR="00353D9A" w:rsidRPr="00B11BA1"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83AF0" w14:textId="77777777" w:rsidR="00D63095" w:rsidRDefault="00D63095" w:rsidP="001868CC">
      <w:r>
        <w:separator/>
      </w:r>
    </w:p>
  </w:endnote>
  <w:endnote w:type="continuationSeparator" w:id="0">
    <w:p w14:paraId="70E18F52" w14:textId="77777777" w:rsidR="00D63095" w:rsidRDefault="00D63095"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4BB9B" w14:textId="77777777" w:rsidR="00D63095" w:rsidRDefault="00D63095" w:rsidP="001868CC">
      <w:r>
        <w:separator/>
      </w:r>
    </w:p>
  </w:footnote>
  <w:footnote w:type="continuationSeparator" w:id="0">
    <w:p w14:paraId="5E3B9479" w14:textId="77777777" w:rsidR="00D63095" w:rsidRDefault="00D63095"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146137"/>
      <w:docPartObj>
        <w:docPartGallery w:val="Page Numbers (Top of Page)"/>
        <w:docPartUnique/>
      </w:docPartObj>
    </w:sdtPr>
    <w:sdtEndPr>
      <w:rPr>
        <w:noProof/>
      </w:rPr>
    </w:sdtEndPr>
    <w:sdtContent>
      <w:p w14:paraId="69F1645A" w14:textId="3F1DA067" w:rsidR="00F14814" w:rsidRDefault="00F14814">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CA3CE6C" w14:textId="77777777" w:rsidR="00F14814" w:rsidRDefault="00F14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42124E"/>
    <w:multiLevelType w:val="hybridMultilevel"/>
    <w:tmpl w:val="C0F043BE"/>
    <w:lvl w:ilvl="0" w:tplc="321E21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6869B2"/>
    <w:multiLevelType w:val="hybridMultilevel"/>
    <w:tmpl w:val="0970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3C3D83"/>
    <w:multiLevelType w:val="hybridMultilevel"/>
    <w:tmpl w:val="287ED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2278CC"/>
    <w:multiLevelType w:val="hybridMultilevel"/>
    <w:tmpl w:val="E98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D81C81"/>
    <w:multiLevelType w:val="hybridMultilevel"/>
    <w:tmpl w:val="85D0DC04"/>
    <w:lvl w:ilvl="0" w:tplc="9F62F0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542380"/>
    <w:multiLevelType w:val="hybridMultilevel"/>
    <w:tmpl w:val="60AE56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9B15904"/>
    <w:multiLevelType w:val="hybridMultilevel"/>
    <w:tmpl w:val="906C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666BB5"/>
    <w:multiLevelType w:val="hybridMultilevel"/>
    <w:tmpl w:val="8674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6"/>
  </w:num>
  <w:num w:numId="4">
    <w:abstractNumId w:val="12"/>
  </w:num>
  <w:num w:numId="5">
    <w:abstractNumId w:val="8"/>
  </w:num>
  <w:num w:numId="6">
    <w:abstractNumId w:val="10"/>
  </w:num>
  <w:num w:numId="7">
    <w:abstractNumId w:val="3"/>
  </w:num>
  <w:num w:numId="8">
    <w:abstractNumId w:val="0"/>
  </w:num>
  <w:num w:numId="9">
    <w:abstractNumId w:val="17"/>
  </w:num>
  <w:num w:numId="10">
    <w:abstractNumId w:val="7"/>
  </w:num>
  <w:num w:numId="11">
    <w:abstractNumId w:val="21"/>
  </w:num>
  <w:num w:numId="12">
    <w:abstractNumId w:val="2"/>
  </w:num>
  <w:num w:numId="13">
    <w:abstractNumId w:val="1"/>
  </w:num>
  <w:num w:numId="14">
    <w:abstractNumId w:val="13"/>
  </w:num>
  <w:num w:numId="15">
    <w:abstractNumId w:val="15"/>
  </w:num>
  <w:num w:numId="16">
    <w:abstractNumId w:val="5"/>
  </w:num>
  <w:num w:numId="17">
    <w:abstractNumId w:val="22"/>
  </w:num>
  <w:num w:numId="18">
    <w:abstractNumId w:val="19"/>
  </w:num>
  <w:num w:numId="19">
    <w:abstractNumId w:val="11"/>
  </w:num>
  <w:num w:numId="20">
    <w:abstractNumId w:val="20"/>
  </w:num>
  <w:num w:numId="21">
    <w:abstractNumId w:val="6"/>
  </w:num>
  <w:num w:numId="22">
    <w:abstractNumId w:val="23"/>
  </w:num>
  <w:num w:numId="23">
    <w:abstractNumId w:val="4"/>
  </w:num>
  <w:num w:numId="2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23E5"/>
    <w:rsid w:val="00002B2B"/>
    <w:rsid w:val="00002F8F"/>
    <w:rsid w:val="00003743"/>
    <w:rsid w:val="00003747"/>
    <w:rsid w:val="000071A4"/>
    <w:rsid w:val="00010001"/>
    <w:rsid w:val="00010A52"/>
    <w:rsid w:val="00010C7B"/>
    <w:rsid w:val="0001226F"/>
    <w:rsid w:val="0001368B"/>
    <w:rsid w:val="000147B1"/>
    <w:rsid w:val="00017F8C"/>
    <w:rsid w:val="00020491"/>
    <w:rsid w:val="00020B86"/>
    <w:rsid w:val="00020F96"/>
    <w:rsid w:val="000220EA"/>
    <w:rsid w:val="00022590"/>
    <w:rsid w:val="00025400"/>
    <w:rsid w:val="00030D05"/>
    <w:rsid w:val="00031095"/>
    <w:rsid w:val="00033973"/>
    <w:rsid w:val="00036958"/>
    <w:rsid w:val="00036A0F"/>
    <w:rsid w:val="00040086"/>
    <w:rsid w:val="00040321"/>
    <w:rsid w:val="0004211F"/>
    <w:rsid w:val="000467D7"/>
    <w:rsid w:val="000507A2"/>
    <w:rsid w:val="00050B68"/>
    <w:rsid w:val="00051076"/>
    <w:rsid w:val="000522A4"/>
    <w:rsid w:val="0005240A"/>
    <w:rsid w:val="00056718"/>
    <w:rsid w:val="00057511"/>
    <w:rsid w:val="00057CC4"/>
    <w:rsid w:val="00057EAC"/>
    <w:rsid w:val="0006048B"/>
    <w:rsid w:val="000642E3"/>
    <w:rsid w:val="00065C55"/>
    <w:rsid w:val="000666F7"/>
    <w:rsid w:val="00066E72"/>
    <w:rsid w:val="00066FE1"/>
    <w:rsid w:val="00067456"/>
    <w:rsid w:val="000706E7"/>
    <w:rsid w:val="00071611"/>
    <w:rsid w:val="00074F8F"/>
    <w:rsid w:val="000752AA"/>
    <w:rsid w:val="00075D47"/>
    <w:rsid w:val="0007671E"/>
    <w:rsid w:val="000777F6"/>
    <w:rsid w:val="00081450"/>
    <w:rsid w:val="00081838"/>
    <w:rsid w:val="00083D1E"/>
    <w:rsid w:val="00085E5B"/>
    <w:rsid w:val="00086712"/>
    <w:rsid w:val="000903DD"/>
    <w:rsid w:val="000911D8"/>
    <w:rsid w:val="00091302"/>
    <w:rsid w:val="000913D8"/>
    <w:rsid w:val="000925C1"/>
    <w:rsid w:val="000942F3"/>
    <w:rsid w:val="00096E5E"/>
    <w:rsid w:val="000A299F"/>
    <w:rsid w:val="000A2C3D"/>
    <w:rsid w:val="000A3529"/>
    <w:rsid w:val="000A4297"/>
    <w:rsid w:val="000A54E7"/>
    <w:rsid w:val="000A59A8"/>
    <w:rsid w:val="000A767D"/>
    <w:rsid w:val="000B03D0"/>
    <w:rsid w:val="000B0B63"/>
    <w:rsid w:val="000B0DBC"/>
    <w:rsid w:val="000B3C00"/>
    <w:rsid w:val="000B40AE"/>
    <w:rsid w:val="000B42FE"/>
    <w:rsid w:val="000B4510"/>
    <w:rsid w:val="000B594D"/>
    <w:rsid w:val="000B738C"/>
    <w:rsid w:val="000C5A1C"/>
    <w:rsid w:val="000C5B4F"/>
    <w:rsid w:val="000C6ECA"/>
    <w:rsid w:val="000C702D"/>
    <w:rsid w:val="000D1701"/>
    <w:rsid w:val="000D18A9"/>
    <w:rsid w:val="000D50ED"/>
    <w:rsid w:val="000E053C"/>
    <w:rsid w:val="000E224C"/>
    <w:rsid w:val="000E26C0"/>
    <w:rsid w:val="000E6238"/>
    <w:rsid w:val="000E67C5"/>
    <w:rsid w:val="000F06AB"/>
    <w:rsid w:val="000F09E3"/>
    <w:rsid w:val="000F12AD"/>
    <w:rsid w:val="000F20F4"/>
    <w:rsid w:val="000F3984"/>
    <w:rsid w:val="000F7441"/>
    <w:rsid w:val="000F78E2"/>
    <w:rsid w:val="001002A1"/>
    <w:rsid w:val="0010071A"/>
    <w:rsid w:val="00101B3D"/>
    <w:rsid w:val="00101CD5"/>
    <w:rsid w:val="00103CDF"/>
    <w:rsid w:val="00106093"/>
    <w:rsid w:val="00111839"/>
    <w:rsid w:val="00111E7D"/>
    <w:rsid w:val="001177CF"/>
    <w:rsid w:val="00117858"/>
    <w:rsid w:val="00121E4E"/>
    <w:rsid w:val="00123197"/>
    <w:rsid w:val="00123AFC"/>
    <w:rsid w:val="00124C82"/>
    <w:rsid w:val="00124DA2"/>
    <w:rsid w:val="00125047"/>
    <w:rsid w:val="00125104"/>
    <w:rsid w:val="00126FF1"/>
    <w:rsid w:val="00130749"/>
    <w:rsid w:val="00130898"/>
    <w:rsid w:val="00130912"/>
    <w:rsid w:val="0013281C"/>
    <w:rsid w:val="00132B52"/>
    <w:rsid w:val="001334B8"/>
    <w:rsid w:val="00134B9C"/>
    <w:rsid w:val="001375CA"/>
    <w:rsid w:val="00137B9F"/>
    <w:rsid w:val="00140401"/>
    <w:rsid w:val="0014110F"/>
    <w:rsid w:val="001438A6"/>
    <w:rsid w:val="00143A76"/>
    <w:rsid w:val="00144688"/>
    <w:rsid w:val="00147180"/>
    <w:rsid w:val="00147A39"/>
    <w:rsid w:val="0015318D"/>
    <w:rsid w:val="001537A1"/>
    <w:rsid w:val="0015488F"/>
    <w:rsid w:val="0016045E"/>
    <w:rsid w:val="00162C97"/>
    <w:rsid w:val="00163DE4"/>
    <w:rsid w:val="00163E84"/>
    <w:rsid w:val="001645EE"/>
    <w:rsid w:val="001651F7"/>
    <w:rsid w:val="00166E21"/>
    <w:rsid w:val="00170E68"/>
    <w:rsid w:val="001712E9"/>
    <w:rsid w:val="001720C6"/>
    <w:rsid w:val="00172918"/>
    <w:rsid w:val="00173B1E"/>
    <w:rsid w:val="00173D09"/>
    <w:rsid w:val="0017656A"/>
    <w:rsid w:val="00180743"/>
    <w:rsid w:val="00180C94"/>
    <w:rsid w:val="00180D6F"/>
    <w:rsid w:val="00181E3B"/>
    <w:rsid w:val="00182147"/>
    <w:rsid w:val="001825D2"/>
    <w:rsid w:val="00182699"/>
    <w:rsid w:val="00183AC7"/>
    <w:rsid w:val="00183C14"/>
    <w:rsid w:val="0018414F"/>
    <w:rsid w:val="00184898"/>
    <w:rsid w:val="00184DB0"/>
    <w:rsid w:val="00184F74"/>
    <w:rsid w:val="00185A70"/>
    <w:rsid w:val="001868CC"/>
    <w:rsid w:val="00187E14"/>
    <w:rsid w:val="00191D39"/>
    <w:rsid w:val="001920E8"/>
    <w:rsid w:val="00192429"/>
    <w:rsid w:val="001952DF"/>
    <w:rsid w:val="00195A20"/>
    <w:rsid w:val="001A2AD4"/>
    <w:rsid w:val="001A762F"/>
    <w:rsid w:val="001B3443"/>
    <w:rsid w:val="001B44E8"/>
    <w:rsid w:val="001B5D32"/>
    <w:rsid w:val="001C1DBB"/>
    <w:rsid w:val="001C2F6A"/>
    <w:rsid w:val="001C555C"/>
    <w:rsid w:val="001C6406"/>
    <w:rsid w:val="001C701B"/>
    <w:rsid w:val="001C7F38"/>
    <w:rsid w:val="001D2774"/>
    <w:rsid w:val="001D2947"/>
    <w:rsid w:val="001D54DC"/>
    <w:rsid w:val="001D5752"/>
    <w:rsid w:val="001D632E"/>
    <w:rsid w:val="001D6902"/>
    <w:rsid w:val="001D71B4"/>
    <w:rsid w:val="001D7E33"/>
    <w:rsid w:val="001E2D30"/>
    <w:rsid w:val="001E3F12"/>
    <w:rsid w:val="001E433F"/>
    <w:rsid w:val="001E460D"/>
    <w:rsid w:val="001E47D5"/>
    <w:rsid w:val="001E59D8"/>
    <w:rsid w:val="001E5D09"/>
    <w:rsid w:val="001E5F1B"/>
    <w:rsid w:val="001E6791"/>
    <w:rsid w:val="001E7660"/>
    <w:rsid w:val="001F2B86"/>
    <w:rsid w:val="001F3B9D"/>
    <w:rsid w:val="001F44A8"/>
    <w:rsid w:val="001F498D"/>
    <w:rsid w:val="001F4B5E"/>
    <w:rsid w:val="001F4F1C"/>
    <w:rsid w:val="001F57E0"/>
    <w:rsid w:val="00200E47"/>
    <w:rsid w:val="0020256D"/>
    <w:rsid w:val="00202D16"/>
    <w:rsid w:val="00202DEF"/>
    <w:rsid w:val="00202F53"/>
    <w:rsid w:val="00205701"/>
    <w:rsid w:val="00210AA0"/>
    <w:rsid w:val="00211144"/>
    <w:rsid w:val="00213004"/>
    <w:rsid w:val="002140D6"/>
    <w:rsid w:val="002143D4"/>
    <w:rsid w:val="00214A48"/>
    <w:rsid w:val="00216587"/>
    <w:rsid w:val="0021737A"/>
    <w:rsid w:val="0022104C"/>
    <w:rsid w:val="00221F65"/>
    <w:rsid w:val="00222F55"/>
    <w:rsid w:val="002242D2"/>
    <w:rsid w:val="00225372"/>
    <w:rsid w:val="002272A2"/>
    <w:rsid w:val="00230DC0"/>
    <w:rsid w:val="00230F70"/>
    <w:rsid w:val="00231EC3"/>
    <w:rsid w:val="00232B0E"/>
    <w:rsid w:val="0023603A"/>
    <w:rsid w:val="00236D9C"/>
    <w:rsid w:val="00237605"/>
    <w:rsid w:val="00240217"/>
    <w:rsid w:val="00240360"/>
    <w:rsid w:val="002454AD"/>
    <w:rsid w:val="00246273"/>
    <w:rsid w:val="00246CE1"/>
    <w:rsid w:val="00246F96"/>
    <w:rsid w:val="0024751C"/>
    <w:rsid w:val="00247AB2"/>
    <w:rsid w:val="00247F9B"/>
    <w:rsid w:val="00251D1F"/>
    <w:rsid w:val="00252108"/>
    <w:rsid w:val="002547AB"/>
    <w:rsid w:val="0025593C"/>
    <w:rsid w:val="00255B81"/>
    <w:rsid w:val="00256B90"/>
    <w:rsid w:val="00260130"/>
    <w:rsid w:val="00260F07"/>
    <w:rsid w:val="00261C7B"/>
    <w:rsid w:val="002626E6"/>
    <w:rsid w:val="0026315C"/>
    <w:rsid w:val="00263B0E"/>
    <w:rsid w:val="002656A7"/>
    <w:rsid w:val="00272356"/>
    <w:rsid w:val="00272777"/>
    <w:rsid w:val="00272CC1"/>
    <w:rsid w:val="00274F62"/>
    <w:rsid w:val="002755FB"/>
    <w:rsid w:val="00276A05"/>
    <w:rsid w:val="00276B84"/>
    <w:rsid w:val="002809AC"/>
    <w:rsid w:val="00280B01"/>
    <w:rsid w:val="00281B6E"/>
    <w:rsid w:val="00282559"/>
    <w:rsid w:val="002826C0"/>
    <w:rsid w:val="00283580"/>
    <w:rsid w:val="002869CD"/>
    <w:rsid w:val="002874F9"/>
    <w:rsid w:val="002877F6"/>
    <w:rsid w:val="00291202"/>
    <w:rsid w:val="00291569"/>
    <w:rsid w:val="0029166B"/>
    <w:rsid w:val="00293B05"/>
    <w:rsid w:val="002967EC"/>
    <w:rsid w:val="00296821"/>
    <w:rsid w:val="00297DBC"/>
    <w:rsid w:val="002A11DD"/>
    <w:rsid w:val="002A1254"/>
    <w:rsid w:val="002A132D"/>
    <w:rsid w:val="002A278C"/>
    <w:rsid w:val="002A57AB"/>
    <w:rsid w:val="002A6191"/>
    <w:rsid w:val="002A78B0"/>
    <w:rsid w:val="002B008B"/>
    <w:rsid w:val="002B2281"/>
    <w:rsid w:val="002B29CD"/>
    <w:rsid w:val="002B60ED"/>
    <w:rsid w:val="002B638B"/>
    <w:rsid w:val="002C0474"/>
    <w:rsid w:val="002C3C64"/>
    <w:rsid w:val="002C45D1"/>
    <w:rsid w:val="002C4FDD"/>
    <w:rsid w:val="002C6704"/>
    <w:rsid w:val="002C71E3"/>
    <w:rsid w:val="002C7308"/>
    <w:rsid w:val="002D0C61"/>
    <w:rsid w:val="002D148D"/>
    <w:rsid w:val="002D169F"/>
    <w:rsid w:val="002D2549"/>
    <w:rsid w:val="002D3B01"/>
    <w:rsid w:val="002D55EC"/>
    <w:rsid w:val="002D60B3"/>
    <w:rsid w:val="002D61E1"/>
    <w:rsid w:val="002D7493"/>
    <w:rsid w:val="002D7BB2"/>
    <w:rsid w:val="002E0F22"/>
    <w:rsid w:val="002E3D62"/>
    <w:rsid w:val="002E4188"/>
    <w:rsid w:val="002E6F03"/>
    <w:rsid w:val="002E7D46"/>
    <w:rsid w:val="002F1BD8"/>
    <w:rsid w:val="002F1E80"/>
    <w:rsid w:val="002F3572"/>
    <w:rsid w:val="002F396B"/>
    <w:rsid w:val="002F3AE3"/>
    <w:rsid w:val="002F6797"/>
    <w:rsid w:val="002F6D78"/>
    <w:rsid w:val="002F7272"/>
    <w:rsid w:val="002F7815"/>
    <w:rsid w:val="00302909"/>
    <w:rsid w:val="00303C1E"/>
    <w:rsid w:val="003064E7"/>
    <w:rsid w:val="00306DE5"/>
    <w:rsid w:val="0030786C"/>
    <w:rsid w:val="00307BA8"/>
    <w:rsid w:val="003131F0"/>
    <w:rsid w:val="00314CAA"/>
    <w:rsid w:val="00316634"/>
    <w:rsid w:val="0032164F"/>
    <w:rsid w:val="003252AB"/>
    <w:rsid w:val="00325386"/>
    <w:rsid w:val="00330D43"/>
    <w:rsid w:val="003314BE"/>
    <w:rsid w:val="00334920"/>
    <w:rsid w:val="003351BA"/>
    <w:rsid w:val="00336BD7"/>
    <w:rsid w:val="00337186"/>
    <w:rsid w:val="00340BB3"/>
    <w:rsid w:val="00341EBE"/>
    <w:rsid w:val="00342648"/>
    <w:rsid w:val="00343325"/>
    <w:rsid w:val="00343CFB"/>
    <w:rsid w:val="00346CAA"/>
    <w:rsid w:val="0035169A"/>
    <w:rsid w:val="0035193E"/>
    <w:rsid w:val="00352967"/>
    <w:rsid w:val="00353D9A"/>
    <w:rsid w:val="0035704F"/>
    <w:rsid w:val="00357866"/>
    <w:rsid w:val="0036032E"/>
    <w:rsid w:val="003608E3"/>
    <w:rsid w:val="0036249E"/>
    <w:rsid w:val="0036297D"/>
    <w:rsid w:val="003629F2"/>
    <w:rsid w:val="00365ABA"/>
    <w:rsid w:val="00367039"/>
    <w:rsid w:val="0037157D"/>
    <w:rsid w:val="003716D5"/>
    <w:rsid w:val="00373F1B"/>
    <w:rsid w:val="003800C9"/>
    <w:rsid w:val="003816EC"/>
    <w:rsid w:val="003826ED"/>
    <w:rsid w:val="00383C8B"/>
    <w:rsid w:val="00383CD5"/>
    <w:rsid w:val="003841B8"/>
    <w:rsid w:val="00385E67"/>
    <w:rsid w:val="00387596"/>
    <w:rsid w:val="003907AA"/>
    <w:rsid w:val="00390B60"/>
    <w:rsid w:val="00392252"/>
    <w:rsid w:val="003922D3"/>
    <w:rsid w:val="0039281B"/>
    <w:rsid w:val="003930F0"/>
    <w:rsid w:val="003935F9"/>
    <w:rsid w:val="00394201"/>
    <w:rsid w:val="00397124"/>
    <w:rsid w:val="003A1561"/>
    <w:rsid w:val="003A15B9"/>
    <w:rsid w:val="003A1852"/>
    <w:rsid w:val="003A5125"/>
    <w:rsid w:val="003A6290"/>
    <w:rsid w:val="003A73EB"/>
    <w:rsid w:val="003B15B4"/>
    <w:rsid w:val="003B1A20"/>
    <w:rsid w:val="003B2DD9"/>
    <w:rsid w:val="003B52F9"/>
    <w:rsid w:val="003B7A68"/>
    <w:rsid w:val="003C0508"/>
    <w:rsid w:val="003C22DF"/>
    <w:rsid w:val="003C4C82"/>
    <w:rsid w:val="003C50B2"/>
    <w:rsid w:val="003C5AD2"/>
    <w:rsid w:val="003C5CFD"/>
    <w:rsid w:val="003C5DF6"/>
    <w:rsid w:val="003C6BF9"/>
    <w:rsid w:val="003C6BFD"/>
    <w:rsid w:val="003C6F82"/>
    <w:rsid w:val="003C72EB"/>
    <w:rsid w:val="003D005B"/>
    <w:rsid w:val="003D17F9"/>
    <w:rsid w:val="003D20A1"/>
    <w:rsid w:val="003D30A3"/>
    <w:rsid w:val="003D3AA9"/>
    <w:rsid w:val="003D4B7F"/>
    <w:rsid w:val="003D4DD8"/>
    <w:rsid w:val="003D4E6C"/>
    <w:rsid w:val="003D69AF"/>
    <w:rsid w:val="003D7B36"/>
    <w:rsid w:val="003E03EF"/>
    <w:rsid w:val="003E0C7E"/>
    <w:rsid w:val="003E139B"/>
    <w:rsid w:val="003E1DAB"/>
    <w:rsid w:val="003E48C3"/>
    <w:rsid w:val="003E5986"/>
    <w:rsid w:val="003F089A"/>
    <w:rsid w:val="003F1DFB"/>
    <w:rsid w:val="003F267D"/>
    <w:rsid w:val="003F2DAA"/>
    <w:rsid w:val="003F3C5C"/>
    <w:rsid w:val="003F48F5"/>
    <w:rsid w:val="003F4AAB"/>
    <w:rsid w:val="003F5387"/>
    <w:rsid w:val="003F618B"/>
    <w:rsid w:val="003F6A20"/>
    <w:rsid w:val="00406E1C"/>
    <w:rsid w:val="0041360A"/>
    <w:rsid w:val="004143D0"/>
    <w:rsid w:val="0041526C"/>
    <w:rsid w:val="00415BD4"/>
    <w:rsid w:val="0042076E"/>
    <w:rsid w:val="00421901"/>
    <w:rsid w:val="00421E9C"/>
    <w:rsid w:val="00422439"/>
    <w:rsid w:val="0042580C"/>
    <w:rsid w:val="00433D3B"/>
    <w:rsid w:val="00440130"/>
    <w:rsid w:val="00440D5B"/>
    <w:rsid w:val="00440E8C"/>
    <w:rsid w:val="00441535"/>
    <w:rsid w:val="00441AF0"/>
    <w:rsid w:val="00443606"/>
    <w:rsid w:val="0044449F"/>
    <w:rsid w:val="004457CA"/>
    <w:rsid w:val="00446B39"/>
    <w:rsid w:val="0044712D"/>
    <w:rsid w:val="0044730E"/>
    <w:rsid w:val="004478C3"/>
    <w:rsid w:val="00452D34"/>
    <w:rsid w:val="00453378"/>
    <w:rsid w:val="00454C52"/>
    <w:rsid w:val="00455FD7"/>
    <w:rsid w:val="00456B6C"/>
    <w:rsid w:val="00457915"/>
    <w:rsid w:val="00462CA1"/>
    <w:rsid w:val="00466210"/>
    <w:rsid w:val="0046665C"/>
    <w:rsid w:val="0046739C"/>
    <w:rsid w:val="00471BC0"/>
    <w:rsid w:val="004731FB"/>
    <w:rsid w:val="00474498"/>
    <w:rsid w:val="00477318"/>
    <w:rsid w:val="004806CE"/>
    <w:rsid w:val="00480F3D"/>
    <w:rsid w:val="00484DBC"/>
    <w:rsid w:val="00485B43"/>
    <w:rsid w:val="00485D04"/>
    <w:rsid w:val="0048602E"/>
    <w:rsid w:val="004867E2"/>
    <w:rsid w:val="0048700A"/>
    <w:rsid w:val="00487CC3"/>
    <w:rsid w:val="004940A0"/>
    <w:rsid w:val="00494C04"/>
    <w:rsid w:val="00495373"/>
    <w:rsid w:val="004957C1"/>
    <w:rsid w:val="00497E47"/>
    <w:rsid w:val="004A2A9D"/>
    <w:rsid w:val="004A2B32"/>
    <w:rsid w:val="004A2B38"/>
    <w:rsid w:val="004A3E7E"/>
    <w:rsid w:val="004A3F39"/>
    <w:rsid w:val="004A424A"/>
    <w:rsid w:val="004A46BF"/>
    <w:rsid w:val="004A4C5F"/>
    <w:rsid w:val="004A5D26"/>
    <w:rsid w:val="004A5FC0"/>
    <w:rsid w:val="004B0DD5"/>
    <w:rsid w:val="004B1615"/>
    <w:rsid w:val="004B1CF3"/>
    <w:rsid w:val="004C0256"/>
    <w:rsid w:val="004C136E"/>
    <w:rsid w:val="004C380F"/>
    <w:rsid w:val="004C42D2"/>
    <w:rsid w:val="004C510F"/>
    <w:rsid w:val="004C5A0F"/>
    <w:rsid w:val="004C5D82"/>
    <w:rsid w:val="004C71D6"/>
    <w:rsid w:val="004C73C7"/>
    <w:rsid w:val="004D0B12"/>
    <w:rsid w:val="004D1889"/>
    <w:rsid w:val="004D2281"/>
    <w:rsid w:val="004D63D6"/>
    <w:rsid w:val="004D69BA"/>
    <w:rsid w:val="004D6BB5"/>
    <w:rsid w:val="004E032C"/>
    <w:rsid w:val="004E0455"/>
    <w:rsid w:val="004E0906"/>
    <w:rsid w:val="004E2F93"/>
    <w:rsid w:val="004E4167"/>
    <w:rsid w:val="004E4527"/>
    <w:rsid w:val="004E48A8"/>
    <w:rsid w:val="004E576F"/>
    <w:rsid w:val="004E67DE"/>
    <w:rsid w:val="004E6836"/>
    <w:rsid w:val="004F0109"/>
    <w:rsid w:val="004F1B76"/>
    <w:rsid w:val="004F3A19"/>
    <w:rsid w:val="004F4DAE"/>
    <w:rsid w:val="004F73C6"/>
    <w:rsid w:val="004F75ED"/>
    <w:rsid w:val="005005D8"/>
    <w:rsid w:val="00501F37"/>
    <w:rsid w:val="00502CB6"/>
    <w:rsid w:val="00506E9E"/>
    <w:rsid w:val="00507AE3"/>
    <w:rsid w:val="005115D2"/>
    <w:rsid w:val="00512EF1"/>
    <w:rsid w:val="00514153"/>
    <w:rsid w:val="005152AE"/>
    <w:rsid w:val="0051566B"/>
    <w:rsid w:val="00516939"/>
    <w:rsid w:val="00516F04"/>
    <w:rsid w:val="005176F2"/>
    <w:rsid w:val="00517B43"/>
    <w:rsid w:val="00520251"/>
    <w:rsid w:val="0052128F"/>
    <w:rsid w:val="005212F1"/>
    <w:rsid w:val="005226EE"/>
    <w:rsid w:val="00523BE0"/>
    <w:rsid w:val="005245D3"/>
    <w:rsid w:val="00525E6E"/>
    <w:rsid w:val="00526F65"/>
    <w:rsid w:val="00530CFC"/>
    <w:rsid w:val="00533DC1"/>
    <w:rsid w:val="005357D3"/>
    <w:rsid w:val="00536D0C"/>
    <w:rsid w:val="00540D70"/>
    <w:rsid w:val="005410F9"/>
    <w:rsid w:val="00546523"/>
    <w:rsid w:val="005471AC"/>
    <w:rsid w:val="0055129E"/>
    <w:rsid w:val="0055153B"/>
    <w:rsid w:val="0055174B"/>
    <w:rsid w:val="00551761"/>
    <w:rsid w:val="00551BF7"/>
    <w:rsid w:val="0055208C"/>
    <w:rsid w:val="005531B5"/>
    <w:rsid w:val="00554B7C"/>
    <w:rsid w:val="00557179"/>
    <w:rsid w:val="005576EB"/>
    <w:rsid w:val="00561091"/>
    <w:rsid w:val="00561BA3"/>
    <w:rsid w:val="005628D3"/>
    <w:rsid w:val="00563550"/>
    <w:rsid w:val="0056481E"/>
    <w:rsid w:val="005653E3"/>
    <w:rsid w:val="0057050F"/>
    <w:rsid w:val="005715BD"/>
    <w:rsid w:val="005726E7"/>
    <w:rsid w:val="00572BE7"/>
    <w:rsid w:val="00573339"/>
    <w:rsid w:val="00575ECB"/>
    <w:rsid w:val="0058521C"/>
    <w:rsid w:val="00586A01"/>
    <w:rsid w:val="00587187"/>
    <w:rsid w:val="005879F1"/>
    <w:rsid w:val="0059038C"/>
    <w:rsid w:val="005905C0"/>
    <w:rsid w:val="00590858"/>
    <w:rsid w:val="005910FE"/>
    <w:rsid w:val="00593054"/>
    <w:rsid w:val="00593187"/>
    <w:rsid w:val="005931BB"/>
    <w:rsid w:val="0059453B"/>
    <w:rsid w:val="00594DD4"/>
    <w:rsid w:val="00595CDE"/>
    <w:rsid w:val="0059628E"/>
    <w:rsid w:val="005966D3"/>
    <w:rsid w:val="005A059A"/>
    <w:rsid w:val="005A16D4"/>
    <w:rsid w:val="005A1EBE"/>
    <w:rsid w:val="005A294B"/>
    <w:rsid w:val="005A2ACF"/>
    <w:rsid w:val="005A33E7"/>
    <w:rsid w:val="005A46C3"/>
    <w:rsid w:val="005A6868"/>
    <w:rsid w:val="005A703F"/>
    <w:rsid w:val="005B07CF"/>
    <w:rsid w:val="005B1067"/>
    <w:rsid w:val="005B2B72"/>
    <w:rsid w:val="005B3DF5"/>
    <w:rsid w:val="005B46E7"/>
    <w:rsid w:val="005B4ABD"/>
    <w:rsid w:val="005B57FA"/>
    <w:rsid w:val="005B5B95"/>
    <w:rsid w:val="005B5D01"/>
    <w:rsid w:val="005B6338"/>
    <w:rsid w:val="005C057D"/>
    <w:rsid w:val="005C0DEB"/>
    <w:rsid w:val="005C3167"/>
    <w:rsid w:val="005C4D7F"/>
    <w:rsid w:val="005C5517"/>
    <w:rsid w:val="005C65CD"/>
    <w:rsid w:val="005C695F"/>
    <w:rsid w:val="005C6E99"/>
    <w:rsid w:val="005C746A"/>
    <w:rsid w:val="005D2C4A"/>
    <w:rsid w:val="005D5507"/>
    <w:rsid w:val="005D5BAD"/>
    <w:rsid w:val="005D698C"/>
    <w:rsid w:val="005D6F1A"/>
    <w:rsid w:val="005D7DE9"/>
    <w:rsid w:val="005D7EAB"/>
    <w:rsid w:val="005E28BA"/>
    <w:rsid w:val="005E29A7"/>
    <w:rsid w:val="005E4A38"/>
    <w:rsid w:val="005E6038"/>
    <w:rsid w:val="005E72D3"/>
    <w:rsid w:val="005E7FAB"/>
    <w:rsid w:val="005F0624"/>
    <w:rsid w:val="005F1CF4"/>
    <w:rsid w:val="005F277C"/>
    <w:rsid w:val="005F4579"/>
    <w:rsid w:val="005F51B2"/>
    <w:rsid w:val="005F575E"/>
    <w:rsid w:val="005F6999"/>
    <w:rsid w:val="005F6D9A"/>
    <w:rsid w:val="005F759A"/>
    <w:rsid w:val="00600E3F"/>
    <w:rsid w:val="00602227"/>
    <w:rsid w:val="00604EED"/>
    <w:rsid w:val="006108C6"/>
    <w:rsid w:val="0061153F"/>
    <w:rsid w:val="00612404"/>
    <w:rsid w:val="00612654"/>
    <w:rsid w:val="006126C5"/>
    <w:rsid w:val="00614E6A"/>
    <w:rsid w:val="00615DB8"/>
    <w:rsid w:val="00621752"/>
    <w:rsid w:val="0062373C"/>
    <w:rsid w:val="00625871"/>
    <w:rsid w:val="006274B0"/>
    <w:rsid w:val="0063372E"/>
    <w:rsid w:val="00633E6F"/>
    <w:rsid w:val="00633F6A"/>
    <w:rsid w:val="006344D1"/>
    <w:rsid w:val="006349A3"/>
    <w:rsid w:val="00634FE5"/>
    <w:rsid w:val="006352A4"/>
    <w:rsid w:val="00635633"/>
    <w:rsid w:val="00635A9B"/>
    <w:rsid w:val="006360BE"/>
    <w:rsid w:val="006408EF"/>
    <w:rsid w:val="00641C7B"/>
    <w:rsid w:val="006425F2"/>
    <w:rsid w:val="00642EA7"/>
    <w:rsid w:val="00643242"/>
    <w:rsid w:val="00643AF2"/>
    <w:rsid w:val="00644159"/>
    <w:rsid w:val="00647015"/>
    <w:rsid w:val="00647A8E"/>
    <w:rsid w:val="00650B05"/>
    <w:rsid w:val="0065160E"/>
    <w:rsid w:val="00657AA0"/>
    <w:rsid w:val="006614E5"/>
    <w:rsid w:val="00661564"/>
    <w:rsid w:val="00661D43"/>
    <w:rsid w:val="00663189"/>
    <w:rsid w:val="00664DAB"/>
    <w:rsid w:val="00665006"/>
    <w:rsid w:val="00672A46"/>
    <w:rsid w:val="0067352F"/>
    <w:rsid w:val="00674695"/>
    <w:rsid w:val="00674D64"/>
    <w:rsid w:val="006760AB"/>
    <w:rsid w:val="00677FAC"/>
    <w:rsid w:val="0068006C"/>
    <w:rsid w:val="00682863"/>
    <w:rsid w:val="006834C1"/>
    <w:rsid w:val="006856AD"/>
    <w:rsid w:val="00685F63"/>
    <w:rsid w:val="0068649E"/>
    <w:rsid w:val="00687225"/>
    <w:rsid w:val="00690245"/>
    <w:rsid w:val="00690726"/>
    <w:rsid w:val="0069161F"/>
    <w:rsid w:val="006920A9"/>
    <w:rsid w:val="00692473"/>
    <w:rsid w:val="00693323"/>
    <w:rsid w:val="00693F27"/>
    <w:rsid w:val="00694358"/>
    <w:rsid w:val="00695C57"/>
    <w:rsid w:val="0069618F"/>
    <w:rsid w:val="0069790D"/>
    <w:rsid w:val="006A08F6"/>
    <w:rsid w:val="006A108F"/>
    <w:rsid w:val="006A1D40"/>
    <w:rsid w:val="006A420D"/>
    <w:rsid w:val="006A5A26"/>
    <w:rsid w:val="006A5E34"/>
    <w:rsid w:val="006A621E"/>
    <w:rsid w:val="006A6551"/>
    <w:rsid w:val="006B105B"/>
    <w:rsid w:val="006B1413"/>
    <w:rsid w:val="006B15D0"/>
    <w:rsid w:val="006B27AF"/>
    <w:rsid w:val="006B61E2"/>
    <w:rsid w:val="006B63B2"/>
    <w:rsid w:val="006B6E8E"/>
    <w:rsid w:val="006C1959"/>
    <w:rsid w:val="006C1C5A"/>
    <w:rsid w:val="006C21AF"/>
    <w:rsid w:val="006C2BD6"/>
    <w:rsid w:val="006C48A5"/>
    <w:rsid w:val="006C55D1"/>
    <w:rsid w:val="006C6664"/>
    <w:rsid w:val="006C6BAD"/>
    <w:rsid w:val="006D0946"/>
    <w:rsid w:val="006D1754"/>
    <w:rsid w:val="006D1E1E"/>
    <w:rsid w:val="006D2A16"/>
    <w:rsid w:val="006D3A24"/>
    <w:rsid w:val="006D4856"/>
    <w:rsid w:val="006D69E6"/>
    <w:rsid w:val="006E2994"/>
    <w:rsid w:val="006E2D02"/>
    <w:rsid w:val="006E32A0"/>
    <w:rsid w:val="006E36A2"/>
    <w:rsid w:val="006E40D2"/>
    <w:rsid w:val="006E7C96"/>
    <w:rsid w:val="006F071C"/>
    <w:rsid w:val="006F2A28"/>
    <w:rsid w:val="006F4C8A"/>
    <w:rsid w:val="006F501B"/>
    <w:rsid w:val="006F5B2D"/>
    <w:rsid w:val="006F74EE"/>
    <w:rsid w:val="00700E47"/>
    <w:rsid w:val="0070266C"/>
    <w:rsid w:val="00703BC6"/>
    <w:rsid w:val="00706C9E"/>
    <w:rsid w:val="00706FFC"/>
    <w:rsid w:val="00712B91"/>
    <w:rsid w:val="0071645F"/>
    <w:rsid w:val="00717D09"/>
    <w:rsid w:val="00723B1F"/>
    <w:rsid w:val="007240AB"/>
    <w:rsid w:val="0072636A"/>
    <w:rsid w:val="0072768F"/>
    <w:rsid w:val="00730EA1"/>
    <w:rsid w:val="007343ED"/>
    <w:rsid w:val="0073468A"/>
    <w:rsid w:val="00736146"/>
    <w:rsid w:val="0073724C"/>
    <w:rsid w:val="00745171"/>
    <w:rsid w:val="0075034D"/>
    <w:rsid w:val="0075048E"/>
    <w:rsid w:val="00752FAD"/>
    <w:rsid w:val="00754375"/>
    <w:rsid w:val="00754B89"/>
    <w:rsid w:val="00755223"/>
    <w:rsid w:val="00756485"/>
    <w:rsid w:val="00760DBB"/>
    <w:rsid w:val="0076130F"/>
    <w:rsid w:val="00761D1E"/>
    <w:rsid w:val="0076646F"/>
    <w:rsid w:val="00766770"/>
    <w:rsid w:val="007702D1"/>
    <w:rsid w:val="00770825"/>
    <w:rsid w:val="00771039"/>
    <w:rsid w:val="0077642F"/>
    <w:rsid w:val="00777DB5"/>
    <w:rsid w:val="007810D5"/>
    <w:rsid w:val="0078448F"/>
    <w:rsid w:val="00784C56"/>
    <w:rsid w:val="00784F6F"/>
    <w:rsid w:val="007851CE"/>
    <w:rsid w:val="00786656"/>
    <w:rsid w:val="00786DD4"/>
    <w:rsid w:val="00786EE3"/>
    <w:rsid w:val="007876C1"/>
    <w:rsid w:val="00787D49"/>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76E1"/>
    <w:rsid w:val="007C05CE"/>
    <w:rsid w:val="007C06A3"/>
    <w:rsid w:val="007C090F"/>
    <w:rsid w:val="007C0CB5"/>
    <w:rsid w:val="007C2054"/>
    <w:rsid w:val="007C2112"/>
    <w:rsid w:val="007C3D7F"/>
    <w:rsid w:val="007C5EBB"/>
    <w:rsid w:val="007D145E"/>
    <w:rsid w:val="007D178F"/>
    <w:rsid w:val="007D1C11"/>
    <w:rsid w:val="007D2C4B"/>
    <w:rsid w:val="007D41FD"/>
    <w:rsid w:val="007D44FF"/>
    <w:rsid w:val="007D454E"/>
    <w:rsid w:val="007D5A06"/>
    <w:rsid w:val="007D6A17"/>
    <w:rsid w:val="007E1A73"/>
    <w:rsid w:val="007E246D"/>
    <w:rsid w:val="007E3511"/>
    <w:rsid w:val="007E6AC1"/>
    <w:rsid w:val="007F0165"/>
    <w:rsid w:val="007F0CDC"/>
    <w:rsid w:val="007F1248"/>
    <w:rsid w:val="007F2422"/>
    <w:rsid w:val="007F2BDA"/>
    <w:rsid w:val="007F37C0"/>
    <w:rsid w:val="007F4261"/>
    <w:rsid w:val="007F45BE"/>
    <w:rsid w:val="007F4B9C"/>
    <w:rsid w:val="007F5F68"/>
    <w:rsid w:val="007F66A0"/>
    <w:rsid w:val="007F6C26"/>
    <w:rsid w:val="007F701A"/>
    <w:rsid w:val="00800AF1"/>
    <w:rsid w:val="00802910"/>
    <w:rsid w:val="0080297E"/>
    <w:rsid w:val="00802AF2"/>
    <w:rsid w:val="00804054"/>
    <w:rsid w:val="008047B9"/>
    <w:rsid w:val="00804DC4"/>
    <w:rsid w:val="00810671"/>
    <w:rsid w:val="00811E67"/>
    <w:rsid w:val="00815AFD"/>
    <w:rsid w:val="00815C5D"/>
    <w:rsid w:val="00817EA3"/>
    <w:rsid w:val="00820EF3"/>
    <w:rsid w:val="0082262A"/>
    <w:rsid w:val="00823706"/>
    <w:rsid w:val="00825C03"/>
    <w:rsid w:val="008264EB"/>
    <w:rsid w:val="00826BA3"/>
    <w:rsid w:val="008271C9"/>
    <w:rsid w:val="00830923"/>
    <w:rsid w:val="00831BC9"/>
    <w:rsid w:val="00836E24"/>
    <w:rsid w:val="00836EC8"/>
    <w:rsid w:val="00837228"/>
    <w:rsid w:val="008410FE"/>
    <w:rsid w:val="0084140D"/>
    <w:rsid w:val="00841BAD"/>
    <w:rsid w:val="00841F6D"/>
    <w:rsid w:val="00842D4F"/>
    <w:rsid w:val="008447FD"/>
    <w:rsid w:val="008457D9"/>
    <w:rsid w:val="00845B39"/>
    <w:rsid w:val="0084631B"/>
    <w:rsid w:val="00846A03"/>
    <w:rsid w:val="00846D53"/>
    <w:rsid w:val="008472E2"/>
    <w:rsid w:val="00847ED2"/>
    <w:rsid w:val="008516EA"/>
    <w:rsid w:val="00853EF3"/>
    <w:rsid w:val="0085564B"/>
    <w:rsid w:val="0085599F"/>
    <w:rsid w:val="00857285"/>
    <w:rsid w:val="00857F7F"/>
    <w:rsid w:val="00861BD0"/>
    <w:rsid w:val="00863A8F"/>
    <w:rsid w:val="00863CC0"/>
    <w:rsid w:val="008652E8"/>
    <w:rsid w:val="008659A2"/>
    <w:rsid w:val="00865DBF"/>
    <w:rsid w:val="00866FD7"/>
    <w:rsid w:val="00870156"/>
    <w:rsid w:val="008707B4"/>
    <w:rsid w:val="00872A07"/>
    <w:rsid w:val="00874AB1"/>
    <w:rsid w:val="00874F66"/>
    <w:rsid w:val="00874F86"/>
    <w:rsid w:val="00875270"/>
    <w:rsid w:val="008756EE"/>
    <w:rsid w:val="008767F1"/>
    <w:rsid w:val="00876CBE"/>
    <w:rsid w:val="00880F43"/>
    <w:rsid w:val="008816FF"/>
    <w:rsid w:val="008844A8"/>
    <w:rsid w:val="00884712"/>
    <w:rsid w:val="008851C4"/>
    <w:rsid w:val="00890E97"/>
    <w:rsid w:val="008911A8"/>
    <w:rsid w:val="00891A53"/>
    <w:rsid w:val="008931BA"/>
    <w:rsid w:val="00893BE0"/>
    <w:rsid w:val="0089762A"/>
    <w:rsid w:val="00897FDD"/>
    <w:rsid w:val="008A1788"/>
    <w:rsid w:val="008A1DFD"/>
    <w:rsid w:val="008A2F23"/>
    <w:rsid w:val="008A38B4"/>
    <w:rsid w:val="008A5815"/>
    <w:rsid w:val="008A5EC9"/>
    <w:rsid w:val="008A779F"/>
    <w:rsid w:val="008B0BD8"/>
    <w:rsid w:val="008B25A6"/>
    <w:rsid w:val="008B2CF4"/>
    <w:rsid w:val="008B407E"/>
    <w:rsid w:val="008B547C"/>
    <w:rsid w:val="008B5679"/>
    <w:rsid w:val="008B5BE1"/>
    <w:rsid w:val="008C2315"/>
    <w:rsid w:val="008C2C1E"/>
    <w:rsid w:val="008C31A1"/>
    <w:rsid w:val="008C387F"/>
    <w:rsid w:val="008C567B"/>
    <w:rsid w:val="008C5935"/>
    <w:rsid w:val="008D1316"/>
    <w:rsid w:val="008D133B"/>
    <w:rsid w:val="008D3AAA"/>
    <w:rsid w:val="008D3E03"/>
    <w:rsid w:val="008D460C"/>
    <w:rsid w:val="008E16FC"/>
    <w:rsid w:val="008E5177"/>
    <w:rsid w:val="008E5211"/>
    <w:rsid w:val="008F328B"/>
    <w:rsid w:val="008F5CC0"/>
    <w:rsid w:val="008F64A5"/>
    <w:rsid w:val="008F6DD8"/>
    <w:rsid w:val="00900E58"/>
    <w:rsid w:val="00901786"/>
    <w:rsid w:val="0090470F"/>
    <w:rsid w:val="00905A7B"/>
    <w:rsid w:val="0090786D"/>
    <w:rsid w:val="009115A3"/>
    <w:rsid w:val="0091203E"/>
    <w:rsid w:val="00914235"/>
    <w:rsid w:val="009144AF"/>
    <w:rsid w:val="00916EF1"/>
    <w:rsid w:val="00917D71"/>
    <w:rsid w:val="00920355"/>
    <w:rsid w:val="00921520"/>
    <w:rsid w:val="0092603B"/>
    <w:rsid w:val="00926D87"/>
    <w:rsid w:val="009278B3"/>
    <w:rsid w:val="009307FF"/>
    <w:rsid w:val="009321C7"/>
    <w:rsid w:val="00932268"/>
    <w:rsid w:val="00936C80"/>
    <w:rsid w:val="009374D2"/>
    <w:rsid w:val="00940227"/>
    <w:rsid w:val="009402FD"/>
    <w:rsid w:val="009438A7"/>
    <w:rsid w:val="00945104"/>
    <w:rsid w:val="0094536F"/>
    <w:rsid w:val="009461A1"/>
    <w:rsid w:val="00946513"/>
    <w:rsid w:val="009502AD"/>
    <w:rsid w:val="00955E08"/>
    <w:rsid w:val="00956368"/>
    <w:rsid w:val="009575A7"/>
    <w:rsid w:val="00960A2F"/>
    <w:rsid w:val="00961182"/>
    <w:rsid w:val="00963153"/>
    <w:rsid w:val="009633C5"/>
    <w:rsid w:val="0096467A"/>
    <w:rsid w:val="00965533"/>
    <w:rsid w:val="00965BEB"/>
    <w:rsid w:val="00967D78"/>
    <w:rsid w:val="00970A8F"/>
    <w:rsid w:val="00971C32"/>
    <w:rsid w:val="00971DBD"/>
    <w:rsid w:val="009721E8"/>
    <w:rsid w:val="0097287D"/>
    <w:rsid w:val="00972F94"/>
    <w:rsid w:val="00973256"/>
    <w:rsid w:val="0097629C"/>
    <w:rsid w:val="00976823"/>
    <w:rsid w:val="009810FC"/>
    <w:rsid w:val="0098398E"/>
    <w:rsid w:val="00983BAE"/>
    <w:rsid w:val="00983F7C"/>
    <w:rsid w:val="009841BE"/>
    <w:rsid w:val="00984885"/>
    <w:rsid w:val="00986ED4"/>
    <w:rsid w:val="00991475"/>
    <w:rsid w:val="00991928"/>
    <w:rsid w:val="0099468B"/>
    <w:rsid w:val="00994ABF"/>
    <w:rsid w:val="0099668D"/>
    <w:rsid w:val="009A00C9"/>
    <w:rsid w:val="009A0801"/>
    <w:rsid w:val="009A1313"/>
    <w:rsid w:val="009A1D77"/>
    <w:rsid w:val="009A4740"/>
    <w:rsid w:val="009A5BDB"/>
    <w:rsid w:val="009A7488"/>
    <w:rsid w:val="009A7A58"/>
    <w:rsid w:val="009A7B6D"/>
    <w:rsid w:val="009B1CD9"/>
    <w:rsid w:val="009B290D"/>
    <w:rsid w:val="009B2E02"/>
    <w:rsid w:val="009B3273"/>
    <w:rsid w:val="009B5770"/>
    <w:rsid w:val="009B5812"/>
    <w:rsid w:val="009B5E90"/>
    <w:rsid w:val="009B60A7"/>
    <w:rsid w:val="009C0731"/>
    <w:rsid w:val="009C3CFE"/>
    <w:rsid w:val="009C438E"/>
    <w:rsid w:val="009C4708"/>
    <w:rsid w:val="009C59C5"/>
    <w:rsid w:val="009C72B0"/>
    <w:rsid w:val="009D21C9"/>
    <w:rsid w:val="009D2A80"/>
    <w:rsid w:val="009D7502"/>
    <w:rsid w:val="009E1A2F"/>
    <w:rsid w:val="009E77F5"/>
    <w:rsid w:val="009F13DB"/>
    <w:rsid w:val="009F2114"/>
    <w:rsid w:val="009F2115"/>
    <w:rsid w:val="009F448C"/>
    <w:rsid w:val="009F5E57"/>
    <w:rsid w:val="009F674C"/>
    <w:rsid w:val="009F67EC"/>
    <w:rsid w:val="009F6B16"/>
    <w:rsid w:val="009F789C"/>
    <w:rsid w:val="009F7F9F"/>
    <w:rsid w:val="00A00471"/>
    <w:rsid w:val="00A00908"/>
    <w:rsid w:val="00A01FCE"/>
    <w:rsid w:val="00A02074"/>
    <w:rsid w:val="00A03A06"/>
    <w:rsid w:val="00A0436E"/>
    <w:rsid w:val="00A051A7"/>
    <w:rsid w:val="00A05868"/>
    <w:rsid w:val="00A0586F"/>
    <w:rsid w:val="00A06677"/>
    <w:rsid w:val="00A079BA"/>
    <w:rsid w:val="00A07E7F"/>
    <w:rsid w:val="00A10009"/>
    <w:rsid w:val="00A10078"/>
    <w:rsid w:val="00A10667"/>
    <w:rsid w:val="00A10D05"/>
    <w:rsid w:val="00A11608"/>
    <w:rsid w:val="00A122AD"/>
    <w:rsid w:val="00A12C47"/>
    <w:rsid w:val="00A12C9A"/>
    <w:rsid w:val="00A1493E"/>
    <w:rsid w:val="00A16502"/>
    <w:rsid w:val="00A17C71"/>
    <w:rsid w:val="00A200B0"/>
    <w:rsid w:val="00A20C4B"/>
    <w:rsid w:val="00A22F45"/>
    <w:rsid w:val="00A23700"/>
    <w:rsid w:val="00A2631A"/>
    <w:rsid w:val="00A266D1"/>
    <w:rsid w:val="00A26718"/>
    <w:rsid w:val="00A267D4"/>
    <w:rsid w:val="00A26821"/>
    <w:rsid w:val="00A312A3"/>
    <w:rsid w:val="00A4512D"/>
    <w:rsid w:val="00A46CAD"/>
    <w:rsid w:val="00A47BC3"/>
    <w:rsid w:val="00A508D8"/>
    <w:rsid w:val="00A512D5"/>
    <w:rsid w:val="00A517A9"/>
    <w:rsid w:val="00A51BB1"/>
    <w:rsid w:val="00A51EE2"/>
    <w:rsid w:val="00A53AF1"/>
    <w:rsid w:val="00A53B43"/>
    <w:rsid w:val="00A5495B"/>
    <w:rsid w:val="00A54F85"/>
    <w:rsid w:val="00A56B64"/>
    <w:rsid w:val="00A56F27"/>
    <w:rsid w:val="00A57041"/>
    <w:rsid w:val="00A57C81"/>
    <w:rsid w:val="00A623BF"/>
    <w:rsid w:val="00A62584"/>
    <w:rsid w:val="00A62F0B"/>
    <w:rsid w:val="00A63179"/>
    <w:rsid w:val="00A6406E"/>
    <w:rsid w:val="00A6496F"/>
    <w:rsid w:val="00A65146"/>
    <w:rsid w:val="00A70585"/>
    <w:rsid w:val="00A705AF"/>
    <w:rsid w:val="00A71224"/>
    <w:rsid w:val="00A7164A"/>
    <w:rsid w:val="00A73513"/>
    <w:rsid w:val="00A74540"/>
    <w:rsid w:val="00A761F5"/>
    <w:rsid w:val="00A762B3"/>
    <w:rsid w:val="00A77625"/>
    <w:rsid w:val="00A8084F"/>
    <w:rsid w:val="00A80A18"/>
    <w:rsid w:val="00A822A8"/>
    <w:rsid w:val="00A834F0"/>
    <w:rsid w:val="00A84C3C"/>
    <w:rsid w:val="00A84F37"/>
    <w:rsid w:val="00A86643"/>
    <w:rsid w:val="00A91600"/>
    <w:rsid w:val="00A927E3"/>
    <w:rsid w:val="00A94281"/>
    <w:rsid w:val="00A9495E"/>
    <w:rsid w:val="00A94B5D"/>
    <w:rsid w:val="00AA1331"/>
    <w:rsid w:val="00AA3441"/>
    <w:rsid w:val="00AA3663"/>
    <w:rsid w:val="00AA39DC"/>
    <w:rsid w:val="00AA4D2E"/>
    <w:rsid w:val="00AA509F"/>
    <w:rsid w:val="00AA595F"/>
    <w:rsid w:val="00AB16E6"/>
    <w:rsid w:val="00AB1BAF"/>
    <w:rsid w:val="00AB3041"/>
    <w:rsid w:val="00AB373D"/>
    <w:rsid w:val="00AB3EB2"/>
    <w:rsid w:val="00AB4AE1"/>
    <w:rsid w:val="00AB5E8F"/>
    <w:rsid w:val="00AB6C29"/>
    <w:rsid w:val="00AB7844"/>
    <w:rsid w:val="00AB78E9"/>
    <w:rsid w:val="00AC00F1"/>
    <w:rsid w:val="00AC1326"/>
    <w:rsid w:val="00AC1BDC"/>
    <w:rsid w:val="00AC46FA"/>
    <w:rsid w:val="00AC62D7"/>
    <w:rsid w:val="00AC662F"/>
    <w:rsid w:val="00AC6F17"/>
    <w:rsid w:val="00AD066E"/>
    <w:rsid w:val="00AD0C6B"/>
    <w:rsid w:val="00AD219E"/>
    <w:rsid w:val="00AD2598"/>
    <w:rsid w:val="00AD48F4"/>
    <w:rsid w:val="00AD6AFC"/>
    <w:rsid w:val="00AD6B60"/>
    <w:rsid w:val="00AD6C3D"/>
    <w:rsid w:val="00AD6EC4"/>
    <w:rsid w:val="00AE03C7"/>
    <w:rsid w:val="00AE1DE1"/>
    <w:rsid w:val="00AE1E7A"/>
    <w:rsid w:val="00AE20F5"/>
    <w:rsid w:val="00AE2ADF"/>
    <w:rsid w:val="00AE38F9"/>
    <w:rsid w:val="00AE68EE"/>
    <w:rsid w:val="00AE7AFA"/>
    <w:rsid w:val="00AF01FD"/>
    <w:rsid w:val="00AF206E"/>
    <w:rsid w:val="00AF2E2B"/>
    <w:rsid w:val="00AF4188"/>
    <w:rsid w:val="00AF5078"/>
    <w:rsid w:val="00AF5157"/>
    <w:rsid w:val="00AF5376"/>
    <w:rsid w:val="00AF60B3"/>
    <w:rsid w:val="00AF6998"/>
    <w:rsid w:val="00AF7B6A"/>
    <w:rsid w:val="00B009BC"/>
    <w:rsid w:val="00B01ECA"/>
    <w:rsid w:val="00B03F94"/>
    <w:rsid w:val="00B04B68"/>
    <w:rsid w:val="00B05D0A"/>
    <w:rsid w:val="00B06777"/>
    <w:rsid w:val="00B06E7D"/>
    <w:rsid w:val="00B11691"/>
    <w:rsid w:val="00B11BA1"/>
    <w:rsid w:val="00B138B0"/>
    <w:rsid w:val="00B141FC"/>
    <w:rsid w:val="00B14508"/>
    <w:rsid w:val="00B1601E"/>
    <w:rsid w:val="00B165D1"/>
    <w:rsid w:val="00B16B99"/>
    <w:rsid w:val="00B16ED7"/>
    <w:rsid w:val="00B1766A"/>
    <w:rsid w:val="00B23657"/>
    <w:rsid w:val="00B23EA8"/>
    <w:rsid w:val="00B25E32"/>
    <w:rsid w:val="00B265C9"/>
    <w:rsid w:val="00B27C69"/>
    <w:rsid w:val="00B27CD4"/>
    <w:rsid w:val="00B3027B"/>
    <w:rsid w:val="00B316CB"/>
    <w:rsid w:val="00B3199E"/>
    <w:rsid w:val="00B31FD5"/>
    <w:rsid w:val="00B3409F"/>
    <w:rsid w:val="00B34492"/>
    <w:rsid w:val="00B356D1"/>
    <w:rsid w:val="00B36889"/>
    <w:rsid w:val="00B3691B"/>
    <w:rsid w:val="00B403C8"/>
    <w:rsid w:val="00B405EC"/>
    <w:rsid w:val="00B40772"/>
    <w:rsid w:val="00B41A6B"/>
    <w:rsid w:val="00B42851"/>
    <w:rsid w:val="00B43BF4"/>
    <w:rsid w:val="00B47431"/>
    <w:rsid w:val="00B51D50"/>
    <w:rsid w:val="00B536FF"/>
    <w:rsid w:val="00B54018"/>
    <w:rsid w:val="00B54FCC"/>
    <w:rsid w:val="00B558BE"/>
    <w:rsid w:val="00B56FE0"/>
    <w:rsid w:val="00B62C91"/>
    <w:rsid w:val="00B6300A"/>
    <w:rsid w:val="00B64C16"/>
    <w:rsid w:val="00B660F3"/>
    <w:rsid w:val="00B7181B"/>
    <w:rsid w:val="00B7291C"/>
    <w:rsid w:val="00B729F0"/>
    <w:rsid w:val="00B72C53"/>
    <w:rsid w:val="00B7328A"/>
    <w:rsid w:val="00B73B01"/>
    <w:rsid w:val="00B750EB"/>
    <w:rsid w:val="00B759E2"/>
    <w:rsid w:val="00B75A57"/>
    <w:rsid w:val="00B75F13"/>
    <w:rsid w:val="00B76187"/>
    <w:rsid w:val="00B77936"/>
    <w:rsid w:val="00B77B8D"/>
    <w:rsid w:val="00B82B63"/>
    <w:rsid w:val="00B83020"/>
    <w:rsid w:val="00B842F0"/>
    <w:rsid w:val="00B84305"/>
    <w:rsid w:val="00B853F9"/>
    <w:rsid w:val="00B8542C"/>
    <w:rsid w:val="00B864B2"/>
    <w:rsid w:val="00B87AC5"/>
    <w:rsid w:val="00B93015"/>
    <w:rsid w:val="00B955FA"/>
    <w:rsid w:val="00B973CA"/>
    <w:rsid w:val="00B97683"/>
    <w:rsid w:val="00BA0C7E"/>
    <w:rsid w:val="00BA4039"/>
    <w:rsid w:val="00BA7A85"/>
    <w:rsid w:val="00BB110F"/>
    <w:rsid w:val="00BB4FD2"/>
    <w:rsid w:val="00BC0D03"/>
    <w:rsid w:val="00BC131B"/>
    <w:rsid w:val="00BC2C75"/>
    <w:rsid w:val="00BC379A"/>
    <w:rsid w:val="00BC3C58"/>
    <w:rsid w:val="00BC601E"/>
    <w:rsid w:val="00BC6881"/>
    <w:rsid w:val="00BC7BA0"/>
    <w:rsid w:val="00BD0EBC"/>
    <w:rsid w:val="00BD4343"/>
    <w:rsid w:val="00BD4BF6"/>
    <w:rsid w:val="00BD5589"/>
    <w:rsid w:val="00BD5825"/>
    <w:rsid w:val="00BD6132"/>
    <w:rsid w:val="00BE147D"/>
    <w:rsid w:val="00BE2020"/>
    <w:rsid w:val="00BE22B7"/>
    <w:rsid w:val="00BE5C22"/>
    <w:rsid w:val="00BE64A7"/>
    <w:rsid w:val="00BE7219"/>
    <w:rsid w:val="00BF26A4"/>
    <w:rsid w:val="00BF2962"/>
    <w:rsid w:val="00BF2E9A"/>
    <w:rsid w:val="00BF32E9"/>
    <w:rsid w:val="00BF43F8"/>
    <w:rsid w:val="00BF468D"/>
    <w:rsid w:val="00BF5FAA"/>
    <w:rsid w:val="00C00D4B"/>
    <w:rsid w:val="00C029D5"/>
    <w:rsid w:val="00C02BE4"/>
    <w:rsid w:val="00C03CF5"/>
    <w:rsid w:val="00C03CFC"/>
    <w:rsid w:val="00C04817"/>
    <w:rsid w:val="00C070E0"/>
    <w:rsid w:val="00C11546"/>
    <w:rsid w:val="00C11E73"/>
    <w:rsid w:val="00C1417D"/>
    <w:rsid w:val="00C158E8"/>
    <w:rsid w:val="00C16AC7"/>
    <w:rsid w:val="00C20D60"/>
    <w:rsid w:val="00C20F99"/>
    <w:rsid w:val="00C220F2"/>
    <w:rsid w:val="00C22E47"/>
    <w:rsid w:val="00C2505B"/>
    <w:rsid w:val="00C33E35"/>
    <w:rsid w:val="00C343FD"/>
    <w:rsid w:val="00C357AE"/>
    <w:rsid w:val="00C370B6"/>
    <w:rsid w:val="00C40C7D"/>
    <w:rsid w:val="00C430BE"/>
    <w:rsid w:val="00C43C03"/>
    <w:rsid w:val="00C44C70"/>
    <w:rsid w:val="00C45071"/>
    <w:rsid w:val="00C45232"/>
    <w:rsid w:val="00C501D6"/>
    <w:rsid w:val="00C508FB"/>
    <w:rsid w:val="00C51161"/>
    <w:rsid w:val="00C525DF"/>
    <w:rsid w:val="00C549A4"/>
    <w:rsid w:val="00C55615"/>
    <w:rsid w:val="00C56729"/>
    <w:rsid w:val="00C56D38"/>
    <w:rsid w:val="00C600C7"/>
    <w:rsid w:val="00C6037E"/>
    <w:rsid w:val="00C61153"/>
    <w:rsid w:val="00C61195"/>
    <w:rsid w:val="00C622A7"/>
    <w:rsid w:val="00C66287"/>
    <w:rsid w:val="00C66474"/>
    <w:rsid w:val="00C67486"/>
    <w:rsid w:val="00C674B5"/>
    <w:rsid w:val="00C67603"/>
    <w:rsid w:val="00C67918"/>
    <w:rsid w:val="00C67D9D"/>
    <w:rsid w:val="00C7025B"/>
    <w:rsid w:val="00C7123B"/>
    <w:rsid w:val="00C72B56"/>
    <w:rsid w:val="00C8016E"/>
    <w:rsid w:val="00C80309"/>
    <w:rsid w:val="00C8106B"/>
    <w:rsid w:val="00C8108F"/>
    <w:rsid w:val="00C8283A"/>
    <w:rsid w:val="00C84E73"/>
    <w:rsid w:val="00C86ADC"/>
    <w:rsid w:val="00C86F4F"/>
    <w:rsid w:val="00C87242"/>
    <w:rsid w:val="00C90EE5"/>
    <w:rsid w:val="00C92300"/>
    <w:rsid w:val="00C92E5B"/>
    <w:rsid w:val="00C9307E"/>
    <w:rsid w:val="00C964AE"/>
    <w:rsid w:val="00CA2096"/>
    <w:rsid w:val="00CA22FC"/>
    <w:rsid w:val="00CA69F3"/>
    <w:rsid w:val="00CA7EBE"/>
    <w:rsid w:val="00CB1040"/>
    <w:rsid w:val="00CB15D1"/>
    <w:rsid w:val="00CB2651"/>
    <w:rsid w:val="00CB283F"/>
    <w:rsid w:val="00CB5B1A"/>
    <w:rsid w:val="00CB7B24"/>
    <w:rsid w:val="00CB7D9A"/>
    <w:rsid w:val="00CC093F"/>
    <w:rsid w:val="00CC1175"/>
    <w:rsid w:val="00CC31EF"/>
    <w:rsid w:val="00CC5168"/>
    <w:rsid w:val="00CC613E"/>
    <w:rsid w:val="00CC61FA"/>
    <w:rsid w:val="00CC632A"/>
    <w:rsid w:val="00CC633C"/>
    <w:rsid w:val="00CC6D42"/>
    <w:rsid w:val="00CC7BA0"/>
    <w:rsid w:val="00CD2CFB"/>
    <w:rsid w:val="00CD463E"/>
    <w:rsid w:val="00CD4FF2"/>
    <w:rsid w:val="00CD5836"/>
    <w:rsid w:val="00CD5CB8"/>
    <w:rsid w:val="00CD6875"/>
    <w:rsid w:val="00CD746D"/>
    <w:rsid w:val="00CD7759"/>
    <w:rsid w:val="00CE13F4"/>
    <w:rsid w:val="00CE2ABC"/>
    <w:rsid w:val="00CE4ADB"/>
    <w:rsid w:val="00CE5CB4"/>
    <w:rsid w:val="00CF016E"/>
    <w:rsid w:val="00CF1590"/>
    <w:rsid w:val="00CF1937"/>
    <w:rsid w:val="00CF260C"/>
    <w:rsid w:val="00CF2BA0"/>
    <w:rsid w:val="00CF56A2"/>
    <w:rsid w:val="00CF703B"/>
    <w:rsid w:val="00D016D4"/>
    <w:rsid w:val="00D029FE"/>
    <w:rsid w:val="00D02E54"/>
    <w:rsid w:val="00D036CC"/>
    <w:rsid w:val="00D03F22"/>
    <w:rsid w:val="00D07B5B"/>
    <w:rsid w:val="00D11D3F"/>
    <w:rsid w:val="00D12158"/>
    <w:rsid w:val="00D12CE9"/>
    <w:rsid w:val="00D15419"/>
    <w:rsid w:val="00D15982"/>
    <w:rsid w:val="00D16285"/>
    <w:rsid w:val="00D16A6B"/>
    <w:rsid w:val="00D17DF6"/>
    <w:rsid w:val="00D2390D"/>
    <w:rsid w:val="00D24057"/>
    <w:rsid w:val="00D2694C"/>
    <w:rsid w:val="00D26A01"/>
    <w:rsid w:val="00D309F6"/>
    <w:rsid w:val="00D3400B"/>
    <w:rsid w:val="00D344B8"/>
    <w:rsid w:val="00D34DF2"/>
    <w:rsid w:val="00D35910"/>
    <w:rsid w:val="00D35AE5"/>
    <w:rsid w:val="00D40BE9"/>
    <w:rsid w:val="00D428B3"/>
    <w:rsid w:val="00D42BB9"/>
    <w:rsid w:val="00D42EC5"/>
    <w:rsid w:val="00D436B9"/>
    <w:rsid w:val="00D44BFB"/>
    <w:rsid w:val="00D4679D"/>
    <w:rsid w:val="00D47222"/>
    <w:rsid w:val="00D4749F"/>
    <w:rsid w:val="00D50334"/>
    <w:rsid w:val="00D51220"/>
    <w:rsid w:val="00D525AC"/>
    <w:rsid w:val="00D52F1A"/>
    <w:rsid w:val="00D53573"/>
    <w:rsid w:val="00D54837"/>
    <w:rsid w:val="00D570FD"/>
    <w:rsid w:val="00D625E4"/>
    <w:rsid w:val="00D63095"/>
    <w:rsid w:val="00D6406F"/>
    <w:rsid w:val="00D65339"/>
    <w:rsid w:val="00D671E9"/>
    <w:rsid w:val="00D672C9"/>
    <w:rsid w:val="00D70391"/>
    <w:rsid w:val="00D70BB2"/>
    <w:rsid w:val="00D70CDA"/>
    <w:rsid w:val="00D71967"/>
    <w:rsid w:val="00D72149"/>
    <w:rsid w:val="00D7255E"/>
    <w:rsid w:val="00D73A32"/>
    <w:rsid w:val="00D74035"/>
    <w:rsid w:val="00D74805"/>
    <w:rsid w:val="00D7552E"/>
    <w:rsid w:val="00D75F23"/>
    <w:rsid w:val="00D77011"/>
    <w:rsid w:val="00D77EEC"/>
    <w:rsid w:val="00D80D1A"/>
    <w:rsid w:val="00D8379A"/>
    <w:rsid w:val="00D84996"/>
    <w:rsid w:val="00D851AF"/>
    <w:rsid w:val="00D85871"/>
    <w:rsid w:val="00D868BC"/>
    <w:rsid w:val="00D86DBD"/>
    <w:rsid w:val="00D954CB"/>
    <w:rsid w:val="00D95F65"/>
    <w:rsid w:val="00D971A0"/>
    <w:rsid w:val="00D973A2"/>
    <w:rsid w:val="00D975C2"/>
    <w:rsid w:val="00D97AEF"/>
    <w:rsid w:val="00D97F15"/>
    <w:rsid w:val="00DA10E8"/>
    <w:rsid w:val="00DA1619"/>
    <w:rsid w:val="00DA2B9A"/>
    <w:rsid w:val="00DA2CF2"/>
    <w:rsid w:val="00DA495A"/>
    <w:rsid w:val="00DA56E3"/>
    <w:rsid w:val="00DB2C60"/>
    <w:rsid w:val="00DB3535"/>
    <w:rsid w:val="00DB35ED"/>
    <w:rsid w:val="00DB3C92"/>
    <w:rsid w:val="00DB4A07"/>
    <w:rsid w:val="00DB647A"/>
    <w:rsid w:val="00DB67A4"/>
    <w:rsid w:val="00DB67F3"/>
    <w:rsid w:val="00DB7EF1"/>
    <w:rsid w:val="00DC1D09"/>
    <w:rsid w:val="00DC1FF4"/>
    <w:rsid w:val="00DC2149"/>
    <w:rsid w:val="00DC4EB3"/>
    <w:rsid w:val="00DC6C1C"/>
    <w:rsid w:val="00DD12AB"/>
    <w:rsid w:val="00DD31EA"/>
    <w:rsid w:val="00DD36E6"/>
    <w:rsid w:val="00DD4614"/>
    <w:rsid w:val="00DD547D"/>
    <w:rsid w:val="00DD5928"/>
    <w:rsid w:val="00DD5FB3"/>
    <w:rsid w:val="00DD66CE"/>
    <w:rsid w:val="00DE0723"/>
    <w:rsid w:val="00DE2B89"/>
    <w:rsid w:val="00DF097F"/>
    <w:rsid w:val="00DF0F89"/>
    <w:rsid w:val="00DF1DC3"/>
    <w:rsid w:val="00DF34A3"/>
    <w:rsid w:val="00DF440C"/>
    <w:rsid w:val="00DF4B6D"/>
    <w:rsid w:val="00DF4E6E"/>
    <w:rsid w:val="00DF5DBB"/>
    <w:rsid w:val="00E00A80"/>
    <w:rsid w:val="00E00AFB"/>
    <w:rsid w:val="00E017AA"/>
    <w:rsid w:val="00E02EA7"/>
    <w:rsid w:val="00E038E5"/>
    <w:rsid w:val="00E07A7A"/>
    <w:rsid w:val="00E10A98"/>
    <w:rsid w:val="00E10AB5"/>
    <w:rsid w:val="00E13E90"/>
    <w:rsid w:val="00E1579E"/>
    <w:rsid w:val="00E16B0C"/>
    <w:rsid w:val="00E171D4"/>
    <w:rsid w:val="00E174B2"/>
    <w:rsid w:val="00E17FA1"/>
    <w:rsid w:val="00E206C0"/>
    <w:rsid w:val="00E21789"/>
    <w:rsid w:val="00E22D1B"/>
    <w:rsid w:val="00E238A7"/>
    <w:rsid w:val="00E258FE"/>
    <w:rsid w:val="00E2659F"/>
    <w:rsid w:val="00E26ACB"/>
    <w:rsid w:val="00E3014D"/>
    <w:rsid w:val="00E3030C"/>
    <w:rsid w:val="00E31C57"/>
    <w:rsid w:val="00E31E68"/>
    <w:rsid w:val="00E32C9E"/>
    <w:rsid w:val="00E36923"/>
    <w:rsid w:val="00E3712F"/>
    <w:rsid w:val="00E41D76"/>
    <w:rsid w:val="00E44350"/>
    <w:rsid w:val="00E46341"/>
    <w:rsid w:val="00E46584"/>
    <w:rsid w:val="00E46AF6"/>
    <w:rsid w:val="00E47306"/>
    <w:rsid w:val="00E50DBB"/>
    <w:rsid w:val="00E52EBD"/>
    <w:rsid w:val="00E57522"/>
    <w:rsid w:val="00E6106C"/>
    <w:rsid w:val="00E61711"/>
    <w:rsid w:val="00E6705D"/>
    <w:rsid w:val="00E70FE8"/>
    <w:rsid w:val="00E71167"/>
    <w:rsid w:val="00E71B8E"/>
    <w:rsid w:val="00E72AA1"/>
    <w:rsid w:val="00E734DC"/>
    <w:rsid w:val="00E7372F"/>
    <w:rsid w:val="00E73D16"/>
    <w:rsid w:val="00E74002"/>
    <w:rsid w:val="00E761ED"/>
    <w:rsid w:val="00E7662E"/>
    <w:rsid w:val="00E77F41"/>
    <w:rsid w:val="00E82533"/>
    <w:rsid w:val="00E86A47"/>
    <w:rsid w:val="00E90314"/>
    <w:rsid w:val="00E905A0"/>
    <w:rsid w:val="00E91494"/>
    <w:rsid w:val="00E918B5"/>
    <w:rsid w:val="00E938F9"/>
    <w:rsid w:val="00E9511D"/>
    <w:rsid w:val="00E96258"/>
    <w:rsid w:val="00E96408"/>
    <w:rsid w:val="00E9791D"/>
    <w:rsid w:val="00E97B14"/>
    <w:rsid w:val="00EA0F79"/>
    <w:rsid w:val="00EA1A7F"/>
    <w:rsid w:val="00EA315E"/>
    <w:rsid w:val="00EA369D"/>
    <w:rsid w:val="00EA77B8"/>
    <w:rsid w:val="00EB0BB9"/>
    <w:rsid w:val="00EB1D32"/>
    <w:rsid w:val="00EB248A"/>
    <w:rsid w:val="00EB6007"/>
    <w:rsid w:val="00EB6AAA"/>
    <w:rsid w:val="00EB6F2E"/>
    <w:rsid w:val="00EB7186"/>
    <w:rsid w:val="00EB778F"/>
    <w:rsid w:val="00EB78FD"/>
    <w:rsid w:val="00EC1161"/>
    <w:rsid w:val="00EC2465"/>
    <w:rsid w:val="00EC34ED"/>
    <w:rsid w:val="00EC3553"/>
    <w:rsid w:val="00EC3A9B"/>
    <w:rsid w:val="00EC55F6"/>
    <w:rsid w:val="00EC62B1"/>
    <w:rsid w:val="00EC75A1"/>
    <w:rsid w:val="00ED1C0F"/>
    <w:rsid w:val="00ED664E"/>
    <w:rsid w:val="00ED78D3"/>
    <w:rsid w:val="00ED7C86"/>
    <w:rsid w:val="00ED7FC9"/>
    <w:rsid w:val="00EE11D6"/>
    <w:rsid w:val="00EE1FB4"/>
    <w:rsid w:val="00EE3F41"/>
    <w:rsid w:val="00EE4CD9"/>
    <w:rsid w:val="00EE6868"/>
    <w:rsid w:val="00EF0416"/>
    <w:rsid w:val="00EF149F"/>
    <w:rsid w:val="00EF1E34"/>
    <w:rsid w:val="00EF2A37"/>
    <w:rsid w:val="00EF4F47"/>
    <w:rsid w:val="00EF568E"/>
    <w:rsid w:val="00EF5931"/>
    <w:rsid w:val="00EF69EF"/>
    <w:rsid w:val="00EF724D"/>
    <w:rsid w:val="00F00221"/>
    <w:rsid w:val="00F017BE"/>
    <w:rsid w:val="00F02272"/>
    <w:rsid w:val="00F02930"/>
    <w:rsid w:val="00F037C1"/>
    <w:rsid w:val="00F04189"/>
    <w:rsid w:val="00F04294"/>
    <w:rsid w:val="00F04604"/>
    <w:rsid w:val="00F06EAD"/>
    <w:rsid w:val="00F11455"/>
    <w:rsid w:val="00F1259A"/>
    <w:rsid w:val="00F1368E"/>
    <w:rsid w:val="00F13DF4"/>
    <w:rsid w:val="00F14814"/>
    <w:rsid w:val="00F14A35"/>
    <w:rsid w:val="00F15EA3"/>
    <w:rsid w:val="00F1723C"/>
    <w:rsid w:val="00F2121B"/>
    <w:rsid w:val="00F21777"/>
    <w:rsid w:val="00F21D83"/>
    <w:rsid w:val="00F22486"/>
    <w:rsid w:val="00F2451F"/>
    <w:rsid w:val="00F2472A"/>
    <w:rsid w:val="00F24A1C"/>
    <w:rsid w:val="00F252A8"/>
    <w:rsid w:val="00F3041B"/>
    <w:rsid w:val="00F31E24"/>
    <w:rsid w:val="00F3447A"/>
    <w:rsid w:val="00F34AFB"/>
    <w:rsid w:val="00F36E89"/>
    <w:rsid w:val="00F37432"/>
    <w:rsid w:val="00F42DD6"/>
    <w:rsid w:val="00F43389"/>
    <w:rsid w:val="00F44A9F"/>
    <w:rsid w:val="00F500DF"/>
    <w:rsid w:val="00F52355"/>
    <w:rsid w:val="00F52BA7"/>
    <w:rsid w:val="00F53DD2"/>
    <w:rsid w:val="00F54386"/>
    <w:rsid w:val="00F55266"/>
    <w:rsid w:val="00F55476"/>
    <w:rsid w:val="00F61F5B"/>
    <w:rsid w:val="00F621C3"/>
    <w:rsid w:val="00F66727"/>
    <w:rsid w:val="00F667FE"/>
    <w:rsid w:val="00F70BE9"/>
    <w:rsid w:val="00F70E41"/>
    <w:rsid w:val="00F719C3"/>
    <w:rsid w:val="00F71E89"/>
    <w:rsid w:val="00F72893"/>
    <w:rsid w:val="00F761B3"/>
    <w:rsid w:val="00F76997"/>
    <w:rsid w:val="00F76D2E"/>
    <w:rsid w:val="00F8163F"/>
    <w:rsid w:val="00F82465"/>
    <w:rsid w:val="00F83733"/>
    <w:rsid w:val="00F83EE4"/>
    <w:rsid w:val="00F84E44"/>
    <w:rsid w:val="00F851CF"/>
    <w:rsid w:val="00F86810"/>
    <w:rsid w:val="00F86C1F"/>
    <w:rsid w:val="00F8748B"/>
    <w:rsid w:val="00F87738"/>
    <w:rsid w:val="00F91DF0"/>
    <w:rsid w:val="00F96584"/>
    <w:rsid w:val="00F96D95"/>
    <w:rsid w:val="00FA07B5"/>
    <w:rsid w:val="00FA261A"/>
    <w:rsid w:val="00FA3AA9"/>
    <w:rsid w:val="00FA4384"/>
    <w:rsid w:val="00FA4B55"/>
    <w:rsid w:val="00FA576B"/>
    <w:rsid w:val="00FA5B89"/>
    <w:rsid w:val="00FB052D"/>
    <w:rsid w:val="00FB112F"/>
    <w:rsid w:val="00FB4476"/>
    <w:rsid w:val="00FB4577"/>
    <w:rsid w:val="00FB5B60"/>
    <w:rsid w:val="00FC0ADA"/>
    <w:rsid w:val="00FC1498"/>
    <w:rsid w:val="00FC28E5"/>
    <w:rsid w:val="00FC2B14"/>
    <w:rsid w:val="00FC2D22"/>
    <w:rsid w:val="00FC4D0C"/>
    <w:rsid w:val="00FC5304"/>
    <w:rsid w:val="00FC6985"/>
    <w:rsid w:val="00FD2143"/>
    <w:rsid w:val="00FD32E2"/>
    <w:rsid w:val="00FD4A53"/>
    <w:rsid w:val="00FD4AEE"/>
    <w:rsid w:val="00FD5550"/>
    <w:rsid w:val="00FD6835"/>
    <w:rsid w:val="00FE3DD4"/>
    <w:rsid w:val="00FE456B"/>
    <w:rsid w:val="00FE542A"/>
    <w:rsid w:val="00FE6DD6"/>
    <w:rsid w:val="00FF26E8"/>
    <w:rsid w:val="00FF274F"/>
    <w:rsid w:val="00FF31B3"/>
    <w:rsid w:val="00FF3ACD"/>
    <w:rsid w:val="00FF4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BB9"/>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DBB5C261BE9384FA1F834D9257847BE" ma:contentTypeVersion="" ma:contentTypeDescription="PDMS Document Site Content Type" ma:contentTypeScope="" ma:versionID="6dce93c60ab798b6d5c56359e9638f1b">
  <xsd:schema xmlns:xsd="http://www.w3.org/2001/XMLSchema" xmlns:xs="http://www.w3.org/2001/XMLSchema" xmlns:p="http://schemas.microsoft.com/office/2006/metadata/properties" xmlns:ns2="D2BD27B6-4938-47D4-A1F4-7D4471A8A8D6" targetNamespace="http://schemas.microsoft.com/office/2006/metadata/properties" ma:root="true" ma:fieldsID="da9ff63f7f12fb0c1943250469f70429" ns2:_="">
    <xsd:import namespace="D2BD27B6-4938-47D4-A1F4-7D4471A8A8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D27B6-4938-47D4-A1F4-7D4471A8A8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2BD27B6-4938-47D4-A1F4-7D4471A8A8D6" xsi:nil="true"/>
  </documentManagement>
</p:properties>
</file>

<file path=customXml/itemProps1.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2.xml><?xml version="1.0" encoding="utf-8"?>
<ds:datastoreItem xmlns:ds="http://schemas.openxmlformats.org/officeDocument/2006/customXml" ds:itemID="{7A751E2B-81C1-4BC1-AA98-7943F3D52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D27B6-4938-47D4-A1F4-7D4471A8A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customXml/itemProps4.xml><?xml version="1.0" encoding="utf-8"?>
<ds:datastoreItem xmlns:ds="http://schemas.openxmlformats.org/officeDocument/2006/customXml" ds:itemID="{E7AC2288-759D-41C4-8CBE-0C5150C7A261}">
  <ds:schemaRefs>
    <ds:schemaRef ds:uri="http://schemas.microsoft.com/office/2006/metadata/properties"/>
    <ds:schemaRef ds:uri="http://schemas.microsoft.com/office/infopath/2007/PartnerControls"/>
    <ds:schemaRef ds:uri="178747DC-0C4C-432E-B515-68A9F107732F"/>
    <ds:schemaRef ds:uri="D2BD27B6-4938-47D4-A1F4-7D4471A8A8D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1684</Words>
  <Characters>9657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POHLMANN, Tilly</cp:lastModifiedBy>
  <cp:revision>2</cp:revision>
  <cp:lastPrinted>2021-06-11T00:31:00Z</cp:lastPrinted>
  <dcterms:created xsi:type="dcterms:W3CDTF">2021-12-06T23:42:00Z</dcterms:created>
  <dcterms:modified xsi:type="dcterms:W3CDTF">2021-12-06T23:42:00Z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0x010100266966F133664895A6EE3632470D45F5003DBB5C261BE9384FA1F834D9257847BE</vt:lpwstr>
  </property>
</Properties>
</file>