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D7230" w14:textId="77777777" w:rsidR="003A6026" w:rsidRPr="00E463DA" w:rsidRDefault="003A6026" w:rsidP="003A6026">
      <w:pPr>
        <w:jc w:val="center"/>
        <w:rPr>
          <w:b/>
          <w:u w:val="single"/>
        </w:rPr>
      </w:pPr>
      <w:bookmarkStart w:id="0" w:name="_GoBack"/>
      <w:bookmarkEnd w:id="0"/>
      <w:r w:rsidRPr="00E463DA">
        <w:rPr>
          <w:b/>
          <w:u w:val="single"/>
        </w:rPr>
        <w:t>EXPLANATORY STATEMENT</w:t>
      </w:r>
    </w:p>
    <w:p w14:paraId="606278DF" w14:textId="77777777" w:rsidR="003A6026" w:rsidRPr="00E463DA" w:rsidRDefault="003A6026" w:rsidP="003A6026">
      <w:pPr>
        <w:jc w:val="center"/>
        <w:rPr>
          <w:b/>
          <w:u w:val="single"/>
        </w:rPr>
      </w:pPr>
    </w:p>
    <w:p w14:paraId="3CC3F042" w14:textId="2B36D34D" w:rsidR="003A6026" w:rsidRPr="00E463DA" w:rsidRDefault="00F66AA0" w:rsidP="00AB1D6C">
      <w:pPr>
        <w:jc w:val="center"/>
        <w:rPr>
          <w:b/>
          <w:i/>
        </w:rPr>
      </w:pPr>
      <w:r w:rsidRPr="00E463DA">
        <w:rPr>
          <w:b/>
          <w:i/>
        </w:rPr>
        <w:t>Biosecurity Act 2015</w:t>
      </w:r>
    </w:p>
    <w:p w14:paraId="43E4E75F" w14:textId="77777777" w:rsidR="003A6026" w:rsidRPr="00E463DA" w:rsidRDefault="003A6026" w:rsidP="003A6026">
      <w:pPr>
        <w:rPr>
          <w:b/>
        </w:rPr>
      </w:pPr>
    </w:p>
    <w:p w14:paraId="3F8D07B8" w14:textId="40E93922" w:rsidR="00AB1D6C" w:rsidRPr="00E463DA" w:rsidRDefault="00276763" w:rsidP="00AB1D6C">
      <w:pPr>
        <w:jc w:val="center"/>
        <w:rPr>
          <w:b/>
          <w:i/>
        </w:rPr>
      </w:pPr>
      <w:r w:rsidRPr="00E463DA">
        <w:rPr>
          <w:b/>
          <w:i/>
        </w:rPr>
        <w:t>Biosecurity (Emergency Requirements</w:t>
      </w:r>
      <w:r w:rsidR="005B2D19">
        <w:rPr>
          <w:b/>
          <w:i/>
        </w:rPr>
        <w:t xml:space="preserve"> – High Risk Country Travel Pause) Amendment </w:t>
      </w:r>
      <w:r w:rsidRPr="00E463DA">
        <w:rPr>
          <w:b/>
          <w:i/>
        </w:rPr>
        <w:t>Determination</w:t>
      </w:r>
      <w:r w:rsidR="00F66AA0" w:rsidRPr="00E463DA">
        <w:rPr>
          <w:b/>
          <w:i/>
        </w:rPr>
        <w:t xml:space="preserve"> </w:t>
      </w:r>
      <w:r w:rsidR="00D10E83">
        <w:rPr>
          <w:b/>
          <w:i/>
        </w:rPr>
        <w:t>(N</w:t>
      </w:r>
      <w:r w:rsidR="005B2D19">
        <w:rPr>
          <w:b/>
          <w:i/>
        </w:rPr>
        <w:t>o.</w:t>
      </w:r>
      <w:r w:rsidR="00D10E83">
        <w:rPr>
          <w:b/>
          <w:i/>
        </w:rPr>
        <w:t xml:space="preserve"> </w:t>
      </w:r>
      <w:r w:rsidR="005B2D19">
        <w:rPr>
          <w:b/>
          <w:i/>
        </w:rPr>
        <w:t xml:space="preserve">1) </w:t>
      </w:r>
      <w:r w:rsidR="00F66AA0" w:rsidRPr="00E463DA">
        <w:rPr>
          <w:b/>
          <w:i/>
        </w:rPr>
        <w:t>2021</w:t>
      </w:r>
    </w:p>
    <w:p w14:paraId="206E0060" w14:textId="77777777" w:rsidR="00135653" w:rsidRPr="00E463DA" w:rsidRDefault="00135653" w:rsidP="00AB1D6C">
      <w:pPr>
        <w:jc w:val="center"/>
        <w:rPr>
          <w:i/>
        </w:rPr>
      </w:pPr>
    </w:p>
    <w:p w14:paraId="3711373F" w14:textId="77777777" w:rsidR="00AB1D6C" w:rsidRPr="00E463DA" w:rsidRDefault="00AB1D6C" w:rsidP="00AB1D6C">
      <w:pPr>
        <w:jc w:val="center"/>
      </w:pPr>
    </w:p>
    <w:p w14:paraId="2A813398" w14:textId="77777777" w:rsidR="00C546D6" w:rsidRPr="00E463DA" w:rsidRDefault="00C546D6" w:rsidP="003A6026">
      <w:pPr>
        <w:rPr>
          <w:b/>
        </w:rPr>
      </w:pPr>
      <w:r w:rsidRPr="00E463DA">
        <w:rPr>
          <w:b/>
        </w:rPr>
        <w:t>Purpose</w:t>
      </w:r>
    </w:p>
    <w:p w14:paraId="39A5218A" w14:textId="77777777" w:rsidR="00C546D6" w:rsidRPr="00E463DA" w:rsidRDefault="00C546D6" w:rsidP="003A6026"/>
    <w:p w14:paraId="0F435053" w14:textId="0BD8A522" w:rsidR="003D1029" w:rsidRPr="00E463DA" w:rsidRDefault="00F66AA0" w:rsidP="003A6026">
      <w:pPr>
        <w:rPr>
          <w:iCs/>
          <w:highlight w:val="yellow"/>
        </w:rPr>
      </w:pPr>
      <w:r w:rsidRPr="00E463DA">
        <w:t xml:space="preserve">The </w:t>
      </w:r>
      <w:r w:rsidRPr="005B2D19">
        <w:rPr>
          <w:i/>
          <w:iCs/>
        </w:rPr>
        <w:t>Biosecurity</w:t>
      </w:r>
      <w:r w:rsidR="00276763" w:rsidRPr="005B2D19">
        <w:rPr>
          <w:i/>
          <w:iCs/>
        </w:rPr>
        <w:t xml:space="preserve"> </w:t>
      </w:r>
      <w:r w:rsidR="005B2D19" w:rsidRPr="005B2D19">
        <w:rPr>
          <w:i/>
        </w:rPr>
        <w:t xml:space="preserve">(Emergency Requirements – High Risk Country Travel Pause) Amendment Determination </w:t>
      </w:r>
      <w:r w:rsidR="005B2D19">
        <w:rPr>
          <w:i/>
        </w:rPr>
        <w:t>(No.</w:t>
      </w:r>
      <w:r w:rsidR="00D10E83">
        <w:rPr>
          <w:i/>
        </w:rPr>
        <w:t xml:space="preserve"> </w:t>
      </w:r>
      <w:r w:rsidR="005B2D19">
        <w:rPr>
          <w:i/>
        </w:rPr>
        <w:t xml:space="preserve">1) </w:t>
      </w:r>
      <w:r w:rsidR="005B2D19" w:rsidRPr="005B2D19">
        <w:rPr>
          <w:i/>
        </w:rPr>
        <w:t>2021</w:t>
      </w:r>
      <w:r w:rsidRPr="005B2D19">
        <w:rPr>
          <w:i/>
          <w:iCs/>
        </w:rPr>
        <w:t xml:space="preserve"> </w:t>
      </w:r>
      <w:r w:rsidR="00D10E83">
        <w:rPr>
          <w:iCs/>
        </w:rPr>
        <w:t xml:space="preserve">(Amendment Determination) </w:t>
      </w:r>
      <w:r w:rsidRPr="00E463DA">
        <w:t>amend</w:t>
      </w:r>
      <w:r w:rsidR="007954AF">
        <w:t>s</w:t>
      </w:r>
      <w:r w:rsidRPr="00E463DA">
        <w:t xml:space="preserve"> the </w:t>
      </w:r>
      <w:r w:rsidR="00276763" w:rsidRPr="00E463DA">
        <w:rPr>
          <w:i/>
          <w:iCs/>
        </w:rPr>
        <w:t xml:space="preserve">Biosecurity (Emergency Requirements—High Risk Country Travel Pause) Determination (No. 2) 2021 </w:t>
      </w:r>
      <w:r w:rsidR="00276763" w:rsidRPr="00E463DA">
        <w:t>(High Risk Country Travel Pause Determination</w:t>
      </w:r>
      <w:r w:rsidR="005B2D19">
        <w:t>) to extend the operation of that instrument until 15 December 2021.</w:t>
      </w:r>
    </w:p>
    <w:p w14:paraId="71DDE5FF" w14:textId="68CD6BBC" w:rsidR="003D1029" w:rsidRPr="00E463DA" w:rsidRDefault="003D1029" w:rsidP="003A6026">
      <w:pPr>
        <w:rPr>
          <w:iCs/>
          <w:highlight w:val="yellow"/>
        </w:rPr>
      </w:pPr>
    </w:p>
    <w:p w14:paraId="2BAAEE21" w14:textId="570F6F8F" w:rsidR="003D1029" w:rsidRPr="00AF6D82" w:rsidRDefault="003D1029" w:rsidP="003A6026">
      <w:pPr>
        <w:rPr>
          <w:iCs/>
        </w:rPr>
      </w:pPr>
      <w:r w:rsidRPr="00AF6D82">
        <w:rPr>
          <w:iCs/>
        </w:rPr>
        <w:t xml:space="preserve">The </w:t>
      </w:r>
      <w:r w:rsidR="00560176" w:rsidRPr="00AF6D82">
        <w:rPr>
          <w:iCs/>
        </w:rPr>
        <w:t xml:space="preserve">High Risk Country </w:t>
      </w:r>
      <w:r w:rsidRPr="00AF6D82">
        <w:rPr>
          <w:iCs/>
        </w:rPr>
        <w:t xml:space="preserve">Travel Pause Determination </w:t>
      </w:r>
      <w:r w:rsidR="002B77B9" w:rsidRPr="00AF6D82">
        <w:rPr>
          <w:iCs/>
        </w:rPr>
        <w:t>requires passengers on a relevant international flight not to enter Australian territory at a landing place if the person has been in an Omicron high risk country (Botswana, Eswatini, Lesotho, Malawi, Mozambique, Namibia, South Africa and Zimbabwe) within 14 days of the day the flight was scheduled to commence, unless an exemption set out in section 7 applies to the person.</w:t>
      </w:r>
    </w:p>
    <w:p w14:paraId="396F415C" w14:textId="7C2B37DE" w:rsidR="003D1029" w:rsidRPr="00AF6D82" w:rsidRDefault="003D1029" w:rsidP="003A6026">
      <w:pPr>
        <w:rPr>
          <w:iCs/>
        </w:rPr>
      </w:pPr>
    </w:p>
    <w:p w14:paraId="17207A41" w14:textId="2247287A" w:rsidR="00377ABA" w:rsidRPr="00E463DA" w:rsidRDefault="009D3235" w:rsidP="00377ABA">
      <w:pPr>
        <w:rPr>
          <w:i/>
        </w:rPr>
      </w:pPr>
      <w:r w:rsidRPr="00E463DA">
        <w:t>The</w:t>
      </w:r>
      <w:r w:rsidR="0008021C" w:rsidRPr="00E463DA">
        <w:t xml:space="preserve"> </w:t>
      </w:r>
      <w:r w:rsidR="00E3591C" w:rsidRPr="00E463DA">
        <w:t>Amendment Determination</w:t>
      </w:r>
      <w:r w:rsidR="00377ABA" w:rsidRPr="00E463DA">
        <w:t xml:space="preserve"> is a legislative instrument for the purposes of the </w:t>
      </w:r>
      <w:r w:rsidR="00377ABA" w:rsidRPr="00E463DA">
        <w:rPr>
          <w:i/>
        </w:rPr>
        <w:t>Legislation Act 2003</w:t>
      </w:r>
      <w:r w:rsidR="00752D53">
        <w:rPr>
          <w:i/>
        </w:rPr>
        <w:t xml:space="preserve"> </w:t>
      </w:r>
      <w:r w:rsidR="00752D53">
        <w:t>(Legislation Act)</w:t>
      </w:r>
      <w:r w:rsidR="00377ABA" w:rsidRPr="00E463DA">
        <w:rPr>
          <w:i/>
        </w:rPr>
        <w:t>.</w:t>
      </w:r>
    </w:p>
    <w:p w14:paraId="53FEDAD7" w14:textId="77777777" w:rsidR="00377ABA" w:rsidRPr="00E463DA" w:rsidRDefault="00377ABA" w:rsidP="003A6026">
      <w:pPr>
        <w:rPr>
          <w:i/>
        </w:rPr>
      </w:pPr>
    </w:p>
    <w:p w14:paraId="07CAB09F" w14:textId="77777777" w:rsidR="0008021C" w:rsidRPr="00E463DA" w:rsidRDefault="0008021C" w:rsidP="0008021C">
      <w:pPr>
        <w:rPr>
          <w:b/>
        </w:rPr>
      </w:pPr>
      <w:r w:rsidRPr="00E463DA">
        <w:rPr>
          <w:b/>
        </w:rPr>
        <w:t xml:space="preserve">Authority </w:t>
      </w:r>
    </w:p>
    <w:p w14:paraId="1EC04BF2" w14:textId="522E3DE2" w:rsidR="003D1029" w:rsidRPr="00E463DA" w:rsidRDefault="003D1029" w:rsidP="0008021C"/>
    <w:p w14:paraId="5308DF11" w14:textId="45FAF99E" w:rsidR="003D1029" w:rsidRPr="00E463DA" w:rsidRDefault="00276763" w:rsidP="0008021C">
      <w:pPr>
        <w:rPr>
          <w:u w:val="single"/>
        </w:rPr>
      </w:pPr>
      <w:r w:rsidRPr="00E463DA">
        <w:rPr>
          <w:u w:val="single"/>
        </w:rPr>
        <w:lastRenderedPageBreak/>
        <w:t xml:space="preserve">High Risk Country </w:t>
      </w:r>
      <w:r w:rsidR="003D1029" w:rsidRPr="00E463DA">
        <w:rPr>
          <w:u w:val="single"/>
        </w:rPr>
        <w:t>Travel Pause Determination</w:t>
      </w:r>
    </w:p>
    <w:p w14:paraId="3452EA6A" w14:textId="42E84228" w:rsidR="003D1029" w:rsidRPr="00E463DA" w:rsidRDefault="003D1029" w:rsidP="003D1029">
      <w:pPr>
        <w:rPr>
          <w:bCs/>
        </w:rPr>
      </w:pPr>
      <w:r w:rsidRPr="00E463DA">
        <w:rPr>
          <w:bCs/>
        </w:rPr>
        <w:t>During a human biosecurity emergency period, the Health Minister may, in accordance with section 477 of the </w:t>
      </w:r>
      <w:r w:rsidRPr="00E463DA">
        <w:rPr>
          <w:bCs/>
          <w:i/>
          <w:iCs/>
        </w:rPr>
        <w:t>Biosecurity Act 2015</w:t>
      </w:r>
      <w:r w:rsidRPr="00E463DA">
        <w:rPr>
          <w:bCs/>
        </w:rPr>
        <w:t> (Biosecurity Act), determine emergency requirements they are satisfied are necessary to prevent or control the entry, emergence, establishment or spread of the declaration listed human disease COVID</w:t>
      </w:r>
      <w:r w:rsidRPr="00E463DA">
        <w:rPr>
          <w:bCs/>
        </w:rPr>
        <w:noBreakHyphen/>
        <w:t>19 in Australian territory or a part of Australian territory.</w:t>
      </w:r>
    </w:p>
    <w:p w14:paraId="6BF7C5D6" w14:textId="77777777" w:rsidR="003D1029" w:rsidRPr="00E463DA" w:rsidRDefault="003D1029" w:rsidP="003D1029">
      <w:pPr>
        <w:rPr>
          <w:bCs/>
        </w:rPr>
      </w:pPr>
      <w:r w:rsidRPr="00E463DA">
        <w:rPr>
          <w:bCs/>
        </w:rPr>
        <w:t> </w:t>
      </w:r>
    </w:p>
    <w:p w14:paraId="1B6DA113" w14:textId="77777777" w:rsidR="003D1029" w:rsidRPr="00E463DA" w:rsidRDefault="003D1029" w:rsidP="003D1029">
      <w:pPr>
        <w:rPr>
          <w:bCs/>
        </w:rPr>
      </w:pPr>
      <w:r w:rsidRPr="00E463DA">
        <w:rPr>
          <w:bCs/>
        </w:rPr>
        <w:t>Subsection 477(1) of the Biosecurity Act provides that during a human biosecurity emergency period, the Health Minister may determine any requirement that he or she is satisfied is necessary to:</w:t>
      </w:r>
    </w:p>
    <w:p w14:paraId="57C912F8" w14:textId="433AB1C7" w:rsidR="003D1029" w:rsidRPr="00E463DA" w:rsidRDefault="003D1029" w:rsidP="003D1029">
      <w:pPr>
        <w:pStyle w:val="ListParagraph"/>
        <w:numPr>
          <w:ilvl w:val="0"/>
          <w:numId w:val="3"/>
        </w:numPr>
        <w:rPr>
          <w:bCs/>
        </w:rPr>
      </w:pPr>
      <w:r w:rsidRPr="00E463DA">
        <w:rPr>
          <w:bCs/>
        </w:rPr>
        <w:t>Prevent or control the entry of the declaration listed human disease into Australian territory or a part of Australian territory, or the emergence, establishment or spread of the declaration listed human disease in Australian territory or a part of Australian territory; or</w:t>
      </w:r>
    </w:p>
    <w:p w14:paraId="57E98F5B" w14:textId="23FDD8FE" w:rsidR="003D1029" w:rsidRPr="00E463DA" w:rsidRDefault="003D1029" w:rsidP="003D1029">
      <w:pPr>
        <w:pStyle w:val="ListParagraph"/>
        <w:numPr>
          <w:ilvl w:val="0"/>
          <w:numId w:val="3"/>
        </w:numPr>
        <w:rPr>
          <w:bCs/>
        </w:rPr>
      </w:pPr>
      <w:r w:rsidRPr="00E463DA">
        <w:rPr>
          <w:bCs/>
        </w:rPr>
        <w:t>Prevent or control the spread of the declaration listed human disease to another country; or</w:t>
      </w:r>
    </w:p>
    <w:p w14:paraId="362D790A" w14:textId="5C7A4411" w:rsidR="003D1029" w:rsidRPr="00E463DA" w:rsidRDefault="003D1029" w:rsidP="003D1029">
      <w:pPr>
        <w:pStyle w:val="ListParagraph"/>
        <w:numPr>
          <w:ilvl w:val="0"/>
          <w:numId w:val="3"/>
        </w:numPr>
        <w:rPr>
          <w:bCs/>
        </w:rPr>
      </w:pPr>
      <w:r w:rsidRPr="00E463DA">
        <w:rPr>
          <w:bCs/>
        </w:rPr>
        <w:t>Give effect to a recommendation that has been made to the Health Minister by the World Health Organization under Part III of the International Health Regulations in relation to the declaration listed human disease.</w:t>
      </w:r>
    </w:p>
    <w:p w14:paraId="09894C74" w14:textId="77777777" w:rsidR="003D1029" w:rsidRPr="00E463DA" w:rsidRDefault="003D1029" w:rsidP="003D1029">
      <w:pPr>
        <w:rPr>
          <w:bCs/>
        </w:rPr>
      </w:pPr>
      <w:r w:rsidRPr="00E463DA">
        <w:rPr>
          <w:bCs/>
        </w:rPr>
        <w:t> </w:t>
      </w:r>
    </w:p>
    <w:p w14:paraId="7346AD1E" w14:textId="12479BE7" w:rsidR="003D1029" w:rsidRPr="00E463DA" w:rsidRDefault="003D1029" w:rsidP="003D1029">
      <w:pPr>
        <w:rPr>
          <w:bCs/>
        </w:rPr>
      </w:pPr>
      <w:r w:rsidRPr="00E463DA">
        <w:rPr>
          <w:bCs/>
        </w:rPr>
        <w:t xml:space="preserve">Subsection 477(2) of the Biosecurity Act provides that a determination made under subsection 477(1) is a legislative instrument, but section 42 (disallowance) of the Legislation Act does not apply to the determination. The risk of such disallowance would inhibit the Commonwealth’s ability to act urgently on public health advice to manage a human biosecurity risk that could threaten or harm human health as it would create uncertainty as to whether the instrument might be disallowed. </w:t>
      </w:r>
    </w:p>
    <w:p w14:paraId="58AF1756" w14:textId="77777777" w:rsidR="003D1029" w:rsidRPr="00E463DA" w:rsidRDefault="003D1029" w:rsidP="003D1029">
      <w:pPr>
        <w:rPr>
          <w:bCs/>
        </w:rPr>
      </w:pPr>
      <w:r w:rsidRPr="00E463DA">
        <w:rPr>
          <w:bCs/>
        </w:rPr>
        <w:t> </w:t>
      </w:r>
    </w:p>
    <w:p w14:paraId="073DDE3B" w14:textId="6C408305" w:rsidR="009B6939" w:rsidRPr="00E463DA" w:rsidRDefault="003D1029" w:rsidP="003D1029">
      <w:pPr>
        <w:rPr>
          <w:bCs/>
        </w:rPr>
      </w:pPr>
      <w:r w:rsidRPr="00E463DA">
        <w:rPr>
          <w:bCs/>
        </w:rPr>
        <w:lastRenderedPageBreak/>
        <w:t>The Australian Government has established protocols for the exercise of emergency powers under the Biosecurity Act to ensure that these powers are only used where necessary to protect the health of Australians, based on expert advice and following appropriate consultation.</w:t>
      </w:r>
    </w:p>
    <w:p w14:paraId="0A00782B" w14:textId="77777777" w:rsidR="00410886" w:rsidRDefault="00410886" w:rsidP="003D1029">
      <w:pPr>
        <w:rPr>
          <w:bCs/>
          <w:u w:val="single"/>
        </w:rPr>
      </w:pPr>
    </w:p>
    <w:p w14:paraId="71BE798E" w14:textId="690C6B17" w:rsidR="00E3591C" w:rsidRPr="00E463DA" w:rsidRDefault="00E3591C" w:rsidP="00E3591C">
      <w:pPr>
        <w:rPr>
          <w:b/>
        </w:rPr>
      </w:pPr>
      <w:r w:rsidRPr="00E463DA">
        <w:rPr>
          <w:b/>
        </w:rPr>
        <w:t>Background</w:t>
      </w:r>
    </w:p>
    <w:p w14:paraId="334A2470" w14:textId="77777777" w:rsidR="00E3591C" w:rsidRPr="00E463DA" w:rsidRDefault="00E3591C" w:rsidP="00E3591C">
      <w:pPr>
        <w:rPr>
          <w:u w:val="single"/>
        </w:rPr>
      </w:pPr>
    </w:p>
    <w:p w14:paraId="0EA90CCB" w14:textId="05838189" w:rsidR="009B6939" w:rsidRPr="00E463DA" w:rsidRDefault="009B6939" w:rsidP="009B6939">
      <w:r w:rsidRPr="00E463DA">
        <w:t>On 5 January 2020, the W</w:t>
      </w:r>
      <w:r w:rsidR="00752D53">
        <w:t xml:space="preserve">orld </w:t>
      </w:r>
      <w:r w:rsidRPr="00E463DA">
        <w:t>H</w:t>
      </w:r>
      <w:r w:rsidR="00752D53">
        <w:t xml:space="preserve">ealth </w:t>
      </w:r>
      <w:r w:rsidRPr="00E463DA">
        <w:t>O</w:t>
      </w:r>
      <w:r w:rsidR="00752D53">
        <w:t>rganisation (WHO)</w:t>
      </w:r>
      <w:r w:rsidRPr="00E463DA">
        <w:t xml:space="preserve"> notified Member States under the </w:t>
      </w:r>
      <w:r w:rsidRPr="00E463DA">
        <w:rPr>
          <w:i/>
          <w:iCs/>
        </w:rPr>
        <w:t>International Health Regulations</w:t>
      </w:r>
      <w:r w:rsidRPr="00E463DA">
        <w:t> (2005) (IHR) of an outbreak of pneumonia of unknown cause in Wuhan city, China. On 21 January 2020 ‘human coronavirus with pandemic potential’ became a ‘listed human disease’ by legislative instrument made by the Director of Human Biosecurity. On 30 January 2020, the outbreak was declared by the WHO International Regulations Emergency Committee to constitute a Public Health Emergency of International Concern.</w:t>
      </w:r>
    </w:p>
    <w:p w14:paraId="065C93CD" w14:textId="77777777" w:rsidR="009B6939" w:rsidRPr="00E463DA" w:rsidRDefault="009B6939" w:rsidP="009B6939">
      <w:r w:rsidRPr="00E463DA">
        <w:t> </w:t>
      </w:r>
    </w:p>
    <w:p w14:paraId="289EE0F6" w14:textId="633ED5BD" w:rsidR="009B6939" w:rsidRPr="00E463DA" w:rsidRDefault="009B6939" w:rsidP="009B6939">
      <w:r w:rsidRPr="00E463DA">
        <w:t>On 11 February 2020, the WHO announced that the International Committee on Taxonomy of Viruses named the pathogen virus ‘severe acute respiratory syndrome coronavirus (SARS-CoV-2)’. </w:t>
      </w:r>
      <w:r w:rsidRPr="00E463DA">
        <w:rPr>
          <w:lang w:val="en"/>
        </w:rPr>
        <w:t>The international name given by WHO to the disease caused by SARS-CoV-2 is Coronavirus disease 2019</w:t>
      </w:r>
      <w:r w:rsidR="00752D53">
        <w:rPr>
          <w:lang w:val="en"/>
        </w:rPr>
        <w:t xml:space="preserve"> </w:t>
      </w:r>
      <w:r w:rsidRPr="00E463DA">
        <w:rPr>
          <w:lang w:val="en"/>
        </w:rPr>
        <w:t>(COVID</w:t>
      </w:r>
      <w:r w:rsidRPr="00E463DA">
        <w:rPr>
          <w:lang w:val="en"/>
        </w:rPr>
        <w:noBreakHyphen/>
        <w:t>19).</w:t>
      </w:r>
      <w:r w:rsidR="00A953AD">
        <w:rPr>
          <w:lang w:val="en"/>
        </w:rPr>
        <w:t xml:space="preserve"> </w:t>
      </w:r>
      <w:r w:rsidRPr="00E463DA">
        <w:t>On 11 March 2020, the WHO declared the outbreak of COVID-19 a pandemic. </w:t>
      </w:r>
    </w:p>
    <w:p w14:paraId="72290DC3" w14:textId="77777777" w:rsidR="009B6939" w:rsidRPr="00E463DA" w:rsidRDefault="009B6939" w:rsidP="009B6939">
      <w:r w:rsidRPr="00E463DA">
        <w:t> </w:t>
      </w:r>
    </w:p>
    <w:p w14:paraId="2C01EE39" w14:textId="52A47420" w:rsidR="009B6939" w:rsidRPr="00E463DA" w:rsidRDefault="009B6939" w:rsidP="009B6939">
      <w:r w:rsidRPr="00E463DA">
        <w:t>On 18 March 2020, the Governor-General declared that a human biosecurity emergency exists regarding the listed human disease ‘human coronavirus with pandemic potential’ (section 475 of the Biosecurity Act, </w:t>
      </w:r>
      <w:r w:rsidRPr="00E463DA">
        <w:rPr>
          <w:i/>
          <w:iCs/>
        </w:rPr>
        <w:t>Biosecurity (Human Biosecurity Emergency) (Human Coronavirus with Pandemic Potential) Declaration 2020</w:t>
      </w:r>
      <w:r w:rsidRPr="00E463DA">
        <w:t>). The human biosecurity emergency period is currently in force until 17 </w:t>
      </w:r>
      <w:r w:rsidR="00D10E83">
        <w:t>February 2022</w:t>
      </w:r>
      <w:r w:rsidRPr="00E463DA">
        <w:t xml:space="preserve"> (unless extended).</w:t>
      </w:r>
    </w:p>
    <w:p w14:paraId="611CC843" w14:textId="77777777" w:rsidR="009B6939" w:rsidRPr="00E463DA" w:rsidRDefault="009B6939" w:rsidP="009B6939">
      <w:r w:rsidRPr="00E463DA">
        <w:t> </w:t>
      </w:r>
    </w:p>
    <w:p w14:paraId="283B9E17" w14:textId="540FC858" w:rsidR="009B6939" w:rsidRPr="00E463DA" w:rsidRDefault="009B6939" w:rsidP="009B6939">
      <w:r w:rsidRPr="00E463DA">
        <w:lastRenderedPageBreak/>
        <w:t>COVID</w:t>
      </w:r>
      <w:r w:rsidRPr="00E463DA">
        <w:noBreakHyphen/>
        <w:t>19 has entered Australia and represents a severe and immediate threat to human health in Australia as it has the ability to cause high levels of morbidity and mortality and to disrupt the Australian community socially and economically.</w:t>
      </w:r>
    </w:p>
    <w:p w14:paraId="7C85AE82" w14:textId="2F84A990" w:rsidR="002B77B9" w:rsidRPr="00E463DA" w:rsidRDefault="002B77B9" w:rsidP="009B6939"/>
    <w:p w14:paraId="0F69C85D" w14:textId="2A7C513C" w:rsidR="002B77B9" w:rsidRPr="00E463DA" w:rsidRDefault="002B77B9" w:rsidP="009B6939">
      <w:r w:rsidRPr="00E463DA">
        <w:t xml:space="preserve">On 27 November 2021, the WHO announced a </w:t>
      </w:r>
      <w:r w:rsidRPr="00E463DA">
        <w:rPr>
          <w:color w:val="000000"/>
          <w:shd w:val="clear" w:color="auto" w:fill="FFFFFF"/>
        </w:rPr>
        <w:t>new COVID-19 variant of concern: B.1.1.529 (‘Omicron’)</w:t>
      </w:r>
      <w:r w:rsidR="00752D53">
        <w:rPr>
          <w:color w:val="000000"/>
          <w:shd w:val="clear" w:color="auto" w:fill="FFFFFF"/>
        </w:rPr>
        <w:t>.</w:t>
      </w:r>
      <w:r w:rsidR="00410886">
        <w:rPr>
          <w:color w:val="000000"/>
          <w:shd w:val="clear" w:color="auto" w:fill="FFFFFF"/>
        </w:rPr>
        <w:t xml:space="preserve"> </w:t>
      </w:r>
      <w:r w:rsidRPr="00E463DA">
        <w:rPr>
          <w:color w:val="000000"/>
          <w:shd w:val="clear" w:color="auto" w:fill="FFFFFF"/>
        </w:rPr>
        <w:t xml:space="preserve">Public health measures have been put in place </w:t>
      </w:r>
      <w:r w:rsidR="00410886">
        <w:rPr>
          <w:color w:val="000000"/>
          <w:shd w:val="clear" w:color="auto" w:fill="FFFFFF"/>
        </w:rPr>
        <w:t xml:space="preserve">in Australia </w:t>
      </w:r>
      <w:r w:rsidR="007954AF">
        <w:rPr>
          <w:color w:val="000000"/>
          <w:shd w:val="clear" w:color="auto" w:fill="FFFFFF"/>
        </w:rPr>
        <w:t xml:space="preserve">and around the world </w:t>
      </w:r>
      <w:r w:rsidRPr="00E463DA">
        <w:rPr>
          <w:color w:val="000000"/>
          <w:shd w:val="clear" w:color="auto" w:fill="FFFFFF"/>
        </w:rPr>
        <w:t xml:space="preserve">to address this new variant of concern. </w:t>
      </w:r>
    </w:p>
    <w:p w14:paraId="00DCFEAD" w14:textId="77777777" w:rsidR="00571345" w:rsidRPr="00E463DA" w:rsidRDefault="00571345" w:rsidP="00BB171B">
      <w:pPr>
        <w:rPr>
          <w:u w:val="single"/>
        </w:rPr>
      </w:pPr>
    </w:p>
    <w:p w14:paraId="090225D0" w14:textId="77777777" w:rsidR="009D3235" w:rsidRPr="00E463DA" w:rsidRDefault="009D3235" w:rsidP="0092663A">
      <w:pPr>
        <w:shd w:val="clear" w:color="auto" w:fill="FFFFFF"/>
        <w:rPr>
          <w:color w:val="000000"/>
        </w:rPr>
      </w:pPr>
      <w:r w:rsidRPr="00E463DA">
        <w:rPr>
          <w:b/>
          <w:bCs/>
          <w:color w:val="000000"/>
        </w:rPr>
        <w:t>Reliance on subsection 33(3) of the </w:t>
      </w:r>
      <w:r w:rsidRPr="00E463DA">
        <w:rPr>
          <w:b/>
          <w:bCs/>
          <w:i/>
          <w:iCs/>
          <w:color w:val="000000"/>
        </w:rPr>
        <w:t>Acts Interpretation Act 1901</w:t>
      </w:r>
    </w:p>
    <w:p w14:paraId="59B28AE9" w14:textId="77777777" w:rsidR="007D42F7" w:rsidRDefault="007D42F7" w:rsidP="0092663A">
      <w:pPr>
        <w:shd w:val="clear" w:color="auto" w:fill="FFFFFF"/>
        <w:jc w:val="both"/>
        <w:rPr>
          <w:color w:val="000000"/>
        </w:rPr>
      </w:pPr>
    </w:p>
    <w:p w14:paraId="32716518" w14:textId="3F772AD2" w:rsidR="009D3235" w:rsidRPr="00E463DA" w:rsidRDefault="009D3235" w:rsidP="0092663A">
      <w:pPr>
        <w:shd w:val="clear" w:color="auto" w:fill="FFFFFF"/>
        <w:jc w:val="both"/>
        <w:rPr>
          <w:color w:val="000000"/>
        </w:rPr>
      </w:pPr>
      <w:r w:rsidRPr="00E463DA">
        <w:rPr>
          <w:color w:val="000000"/>
        </w:rPr>
        <w:t>Under subsection 33(3) of the </w:t>
      </w:r>
      <w:r w:rsidRPr="00E463DA">
        <w:rPr>
          <w:i/>
          <w:iCs/>
          <w:color w:val="000000"/>
        </w:rPr>
        <w:t>Acts Interpretation Act 1901</w:t>
      </w:r>
      <w:r w:rsidRPr="00E463DA">
        <w:rPr>
          <w:color w:val="000000"/>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DA40201" w14:textId="77777777" w:rsidR="009D3235" w:rsidRPr="00E463DA" w:rsidRDefault="009D3235" w:rsidP="00BB171B">
      <w:pPr>
        <w:rPr>
          <w:u w:val="single"/>
        </w:rPr>
      </w:pPr>
    </w:p>
    <w:p w14:paraId="67EDA4C5" w14:textId="4177551C" w:rsidR="00377ABA" w:rsidRPr="00E463DA" w:rsidRDefault="00831F5F" w:rsidP="00BB171B">
      <w:pPr>
        <w:rPr>
          <w:b/>
        </w:rPr>
      </w:pPr>
      <w:r>
        <w:rPr>
          <w:b/>
        </w:rPr>
        <w:br w:type="column"/>
      </w:r>
      <w:r w:rsidR="00377ABA" w:rsidRPr="00E463DA">
        <w:rPr>
          <w:b/>
        </w:rPr>
        <w:lastRenderedPageBreak/>
        <w:t>Commencement</w:t>
      </w:r>
    </w:p>
    <w:p w14:paraId="04DE4077" w14:textId="77777777" w:rsidR="00831F5F" w:rsidRPr="00E463DA" w:rsidRDefault="00831F5F" w:rsidP="00BB171B">
      <w:pPr>
        <w:rPr>
          <w:b/>
        </w:rPr>
      </w:pPr>
    </w:p>
    <w:p w14:paraId="6871F2A5" w14:textId="3896A139" w:rsidR="00C41E7D" w:rsidRPr="00E463DA" w:rsidRDefault="00C41E7D" w:rsidP="00C41E7D">
      <w:r w:rsidRPr="00E463DA">
        <w:t xml:space="preserve">Schedule 1 </w:t>
      </w:r>
      <w:r w:rsidR="00831F5F">
        <w:t xml:space="preserve">of the Amendment Determination </w:t>
      </w:r>
      <w:r w:rsidRPr="00E463DA">
        <w:t>commences immediately after the instrument is registered.</w:t>
      </w:r>
    </w:p>
    <w:p w14:paraId="3015D6F9" w14:textId="76CD6C96" w:rsidR="00377ABA" w:rsidRPr="00E463DA" w:rsidRDefault="00377ABA" w:rsidP="00BB171B"/>
    <w:p w14:paraId="7823A39D" w14:textId="77777777" w:rsidR="00571345" w:rsidRPr="00E463DA" w:rsidRDefault="007757EA" w:rsidP="00BB171B">
      <w:pPr>
        <w:rPr>
          <w:b/>
        </w:rPr>
      </w:pPr>
      <w:r w:rsidRPr="00E463DA">
        <w:rPr>
          <w:b/>
        </w:rPr>
        <w:t>Consultation</w:t>
      </w:r>
    </w:p>
    <w:p w14:paraId="0A48C7E8" w14:textId="77777777" w:rsidR="00571345" w:rsidRPr="00E463DA" w:rsidRDefault="00571345" w:rsidP="00BB171B">
      <w:pPr>
        <w:rPr>
          <w:u w:val="single"/>
        </w:rPr>
      </w:pPr>
    </w:p>
    <w:p w14:paraId="66336F47" w14:textId="68B8A393" w:rsidR="00207CDF" w:rsidRDefault="006961A7" w:rsidP="00BB171B">
      <w:pPr>
        <w:rPr>
          <w:bCs/>
        </w:rPr>
      </w:pPr>
      <w:r w:rsidRPr="006961A7">
        <w:rPr>
          <w:bCs/>
        </w:rPr>
        <w:t>The Department of Health has consulted with the Australian Border Force, the Department of Foreign Affairs and Trade, the Department of Home Affairs, the Department of Industry, Science, Energy and Resources and the Department of the Prime Minister and Cabinet.</w:t>
      </w:r>
    </w:p>
    <w:p w14:paraId="0E6827AE" w14:textId="77777777" w:rsidR="006961A7" w:rsidRDefault="006961A7" w:rsidP="00BB171B"/>
    <w:p w14:paraId="79E3ADC0" w14:textId="3D01F136" w:rsidR="00207CDF" w:rsidRDefault="00207CDF" w:rsidP="00BB171B">
      <w:pPr>
        <w:rPr>
          <w:b/>
        </w:rPr>
      </w:pPr>
      <w:r>
        <w:rPr>
          <w:b/>
        </w:rPr>
        <w:t>Attachment</w:t>
      </w:r>
    </w:p>
    <w:p w14:paraId="0E8F7132" w14:textId="2FF65711" w:rsidR="00207CDF" w:rsidRDefault="00207CDF" w:rsidP="00BB171B">
      <w:pPr>
        <w:rPr>
          <w:b/>
        </w:rPr>
      </w:pPr>
    </w:p>
    <w:p w14:paraId="18770118" w14:textId="26FC085B" w:rsidR="00207CDF" w:rsidRPr="00207CDF" w:rsidRDefault="00E30405" w:rsidP="00BB171B">
      <w:r>
        <w:t xml:space="preserve">A provision by provision description of the Amendment Determination is set out in the Attachment. </w:t>
      </w:r>
    </w:p>
    <w:p w14:paraId="4F634FAA" w14:textId="77777777" w:rsidR="00B201B1" w:rsidRPr="00E463DA" w:rsidRDefault="00B201B1" w:rsidP="00BB171B"/>
    <w:p w14:paraId="346A65F0" w14:textId="77777777" w:rsidR="00BB171B" w:rsidRPr="00E463DA" w:rsidRDefault="004808B7" w:rsidP="0092663A">
      <w:pPr>
        <w:jc w:val="right"/>
        <w:rPr>
          <w:b/>
        </w:rPr>
      </w:pPr>
      <w:r w:rsidRPr="00E463DA">
        <w:rPr>
          <w:i/>
        </w:rPr>
        <w:br w:type="page"/>
      </w:r>
      <w:r w:rsidR="007757EA" w:rsidRPr="00E463DA">
        <w:rPr>
          <w:b/>
        </w:rPr>
        <w:lastRenderedPageBreak/>
        <w:t>ATTACHMENT</w:t>
      </w:r>
    </w:p>
    <w:p w14:paraId="70D5809A" w14:textId="77777777" w:rsidR="007757EA" w:rsidRPr="005B2D19" w:rsidRDefault="007757EA" w:rsidP="007757EA">
      <w:pPr>
        <w:jc w:val="right"/>
        <w:rPr>
          <w:b/>
        </w:rPr>
      </w:pPr>
    </w:p>
    <w:p w14:paraId="49B37AAC" w14:textId="05255F06" w:rsidR="007757EA" w:rsidRPr="005B2D19" w:rsidRDefault="007757EA" w:rsidP="007757EA">
      <w:pPr>
        <w:rPr>
          <w:b/>
          <w:u w:val="single"/>
        </w:rPr>
      </w:pPr>
      <w:r w:rsidRPr="005B2D19">
        <w:rPr>
          <w:b/>
          <w:u w:val="single"/>
        </w:rPr>
        <w:t xml:space="preserve">Details of the </w:t>
      </w:r>
      <w:r w:rsidR="005B2D19">
        <w:rPr>
          <w:b/>
          <w:u w:val="single"/>
        </w:rPr>
        <w:t xml:space="preserve">Biosecurity </w:t>
      </w:r>
      <w:r w:rsidR="005B2D19" w:rsidRPr="005B2D19">
        <w:rPr>
          <w:b/>
          <w:u w:val="single"/>
        </w:rPr>
        <w:t xml:space="preserve">(Emergency Requirements – High Risk Country Travel Pause) Amendment Determination </w:t>
      </w:r>
      <w:r w:rsidR="005B2D19">
        <w:rPr>
          <w:b/>
          <w:u w:val="single"/>
        </w:rPr>
        <w:t>(No.</w:t>
      </w:r>
      <w:r w:rsidR="001A216C">
        <w:rPr>
          <w:b/>
          <w:u w:val="single"/>
        </w:rPr>
        <w:t xml:space="preserve"> </w:t>
      </w:r>
      <w:r w:rsidR="005B2D19">
        <w:rPr>
          <w:b/>
          <w:u w:val="single"/>
        </w:rPr>
        <w:t xml:space="preserve">1) </w:t>
      </w:r>
      <w:r w:rsidR="005B2D19" w:rsidRPr="005B2D19">
        <w:rPr>
          <w:b/>
          <w:u w:val="single"/>
        </w:rPr>
        <w:t>2021</w:t>
      </w:r>
    </w:p>
    <w:p w14:paraId="0575F387" w14:textId="77777777" w:rsidR="007757EA" w:rsidRPr="00E463DA" w:rsidRDefault="007757EA" w:rsidP="007757EA">
      <w:pPr>
        <w:rPr>
          <w:i/>
          <w:u w:val="single"/>
        </w:rPr>
      </w:pPr>
    </w:p>
    <w:p w14:paraId="190C29C2" w14:textId="6D84F3D8" w:rsidR="007757EA" w:rsidRPr="00E463DA" w:rsidRDefault="00142BE0" w:rsidP="00A9134B">
      <w:r w:rsidRPr="00E463DA">
        <w:rPr>
          <w:b/>
        </w:rPr>
        <w:t>Section</w:t>
      </w:r>
      <w:r w:rsidR="00A9134B" w:rsidRPr="00E463DA">
        <w:rPr>
          <w:b/>
        </w:rPr>
        <w:t xml:space="preserve"> 1</w:t>
      </w:r>
      <w:r w:rsidR="00A9134B" w:rsidRPr="00E463DA">
        <w:t xml:space="preserve"> </w:t>
      </w:r>
      <w:r w:rsidR="00276763" w:rsidRPr="00E463DA">
        <w:t xml:space="preserve">provides that the name of the instrument </w:t>
      </w:r>
      <w:r w:rsidR="00377ABA" w:rsidRPr="00E463DA">
        <w:t>is</w:t>
      </w:r>
      <w:r w:rsidR="00276763" w:rsidRPr="00E463DA">
        <w:t xml:space="preserve"> the </w:t>
      </w:r>
      <w:r w:rsidR="005B2D19" w:rsidRPr="005B2D19">
        <w:rPr>
          <w:i/>
        </w:rPr>
        <w:t xml:space="preserve">Biosecurity (Emergency Requirements – High Risk Country Travel Pause) Amendment Determination </w:t>
      </w:r>
      <w:r w:rsidR="00D10E83">
        <w:rPr>
          <w:i/>
        </w:rPr>
        <w:t>(N</w:t>
      </w:r>
      <w:r w:rsidR="005B2D19">
        <w:rPr>
          <w:i/>
        </w:rPr>
        <w:t>o.</w:t>
      </w:r>
      <w:r w:rsidR="00D10E83">
        <w:rPr>
          <w:i/>
        </w:rPr>
        <w:t xml:space="preserve"> </w:t>
      </w:r>
      <w:r w:rsidR="005B2D19">
        <w:rPr>
          <w:i/>
        </w:rPr>
        <w:t xml:space="preserve">1) </w:t>
      </w:r>
      <w:r w:rsidR="005B2D19" w:rsidRPr="005B2D19">
        <w:rPr>
          <w:i/>
        </w:rPr>
        <w:t>2021</w:t>
      </w:r>
      <w:r w:rsidR="00276763" w:rsidRPr="00E463DA">
        <w:rPr>
          <w:i/>
        </w:rPr>
        <w:t>.</w:t>
      </w:r>
      <w:r w:rsidR="00A9134B" w:rsidRPr="00E463DA">
        <w:t xml:space="preserve"> </w:t>
      </w:r>
    </w:p>
    <w:p w14:paraId="02AAB54C" w14:textId="77777777" w:rsidR="007757EA" w:rsidRPr="00E463DA" w:rsidRDefault="007757EA" w:rsidP="007757EA">
      <w:pPr>
        <w:rPr>
          <w:b/>
        </w:rPr>
      </w:pPr>
    </w:p>
    <w:p w14:paraId="69F9D277" w14:textId="577631C5" w:rsidR="007757EA" w:rsidRPr="00E463DA" w:rsidRDefault="00142BE0" w:rsidP="00A9134B">
      <w:r w:rsidRPr="00E463DA">
        <w:rPr>
          <w:b/>
        </w:rPr>
        <w:t xml:space="preserve">Section </w:t>
      </w:r>
      <w:r w:rsidR="00A9134B" w:rsidRPr="00E463DA">
        <w:rPr>
          <w:b/>
        </w:rPr>
        <w:t>2</w:t>
      </w:r>
      <w:r w:rsidR="00A9134B" w:rsidRPr="00E463DA">
        <w:t xml:space="preserve"> </w:t>
      </w:r>
      <w:r w:rsidR="00377ABA" w:rsidRPr="00E463DA">
        <w:t xml:space="preserve">provides that </w:t>
      </w:r>
      <w:r w:rsidR="0067556F" w:rsidRPr="00E463DA">
        <w:t>Schedule 1 commences immediately after the instrument is registered.</w:t>
      </w:r>
    </w:p>
    <w:p w14:paraId="300BFF5E" w14:textId="77777777" w:rsidR="007757EA" w:rsidRPr="00E463DA" w:rsidRDefault="007757EA" w:rsidP="00A9134B">
      <w:pPr>
        <w:rPr>
          <w:b/>
        </w:rPr>
      </w:pPr>
    </w:p>
    <w:p w14:paraId="57508559" w14:textId="4C42C1A4" w:rsidR="00A9134B" w:rsidRPr="00E463DA" w:rsidRDefault="00142BE0" w:rsidP="00A9134B">
      <w:r w:rsidRPr="00E463DA">
        <w:rPr>
          <w:b/>
        </w:rPr>
        <w:t xml:space="preserve">Section </w:t>
      </w:r>
      <w:r w:rsidR="00A9134B" w:rsidRPr="00E463DA">
        <w:rPr>
          <w:b/>
        </w:rPr>
        <w:t>3</w:t>
      </w:r>
      <w:r w:rsidR="00A9134B" w:rsidRPr="00E463DA">
        <w:t xml:space="preserve"> states </w:t>
      </w:r>
      <w:r w:rsidR="00377ABA" w:rsidRPr="00E463DA">
        <w:t>that the authority for making the</w:t>
      </w:r>
      <w:r w:rsidR="009B6939" w:rsidRPr="00E463DA">
        <w:t xml:space="preserve"> Amendment Determination </w:t>
      </w:r>
      <w:r w:rsidR="00377ABA" w:rsidRPr="00E463DA">
        <w:t xml:space="preserve">is </w:t>
      </w:r>
      <w:r w:rsidR="005B2D19">
        <w:t>subsection</w:t>
      </w:r>
      <w:r w:rsidR="009B6939" w:rsidRPr="00E463DA">
        <w:t xml:space="preserve"> 477(1) of the Biosecurity Act.</w:t>
      </w:r>
    </w:p>
    <w:p w14:paraId="47189D1F" w14:textId="77777777" w:rsidR="00377ABA" w:rsidRPr="00E463DA" w:rsidRDefault="00377ABA" w:rsidP="00A9134B"/>
    <w:p w14:paraId="1650766C" w14:textId="025E828F" w:rsidR="00377ABA" w:rsidRPr="00E463DA" w:rsidRDefault="00377ABA" w:rsidP="00A9134B">
      <w:r w:rsidRPr="00E463DA">
        <w:rPr>
          <w:b/>
        </w:rPr>
        <w:t xml:space="preserve">Section 4 </w:t>
      </w:r>
      <w:r w:rsidRPr="00E463DA">
        <w:t>provides</w:t>
      </w:r>
      <w:r w:rsidR="002B77B9" w:rsidRPr="00E463DA">
        <w:rPr>
          <w:color w:val="000000"/>
          <w:shd w:val="clear" w:color="auto" w:fill="FFFFFF"/>
        </w:rPr>
        <w:t xml:space="preserve"> that each instrument that is specified in a Schedule to the instrument is amended or repealed as set out in the applicable items in the Schedule concerned, and any other item in a Schedule to the instrument has effect according to its terms.</w:t>
      </w:r>
    </w:p>
    <w:p w14:paraId="27DBBDA4" w14:textId="77777777" w:rsidR="00A9134B" w:rsidRPr="00E463DA" w:rsidRDefault="00A9134B" w:rsidP="00A9134B">
      <w:pPr>
        <w:ind w:left="360"/>
        <w:rPr>
          <w:b/>
        </w:rPr>
      </w:pPr>
    </w:p>
    <w:p w14:paraId="5F55B329" w14:textId="096EA7DA" w:rsidR="00925D9C" w:rsidRPr="00E463DA" w:rsidRDefault="0067556F" w:rsidP="00A41E14">
      <w:pPr>
        <w:rPr>
          <w:b/>
        </w:rPr>
      </w:pPr>
      <w:r w:rsidRPr="00E463DA">
        <w:rPr>
          <w:b/>
        </w:rPr>
        <w:t>Schedule 1</w:t>
      </w:r>
      <w:r w:rsidR="00925D9C" w:rsidRPr="00E463DA">
        <w:rPr>
          <w:b/>
        </w:rPr>
        <w:t xml:space="preserve">—Amendments commencing </w:t>
      </w:r>
      <w:r w:rsidR="004A2738">
        <w:rPr>
          <w:b/>
        </w:rPr>
        <w:t>immediately</w:t>
      </w:r>
      <w:r w:rsidR="00925D9C" w:rsidRPr="00E463DA">
        <w:rPr>
          <w:b/>
        </w:rPr>
        <w:t xml:space="preserve"> after registration</w:t>
      </w:r>
    </w:p>
    <w:p w14:paraId="7283C8D1" w14:textId="7B0838A0" w:rsidR="00925D9C" w:rsidRPr="00E463DA" w:rsidRDefault="00925D9C" w:rsidP="00A41E14"/>
    <w:p w14:paraId="05714418" w14:textId="1D35BB7C" w:rsidR="00925D9C" w:rsidRPr="00E463DA" w:rsidRDefault="00925D9C" w:rsidP="00A41E14">
      <w:pPr>
        <w:rPr>
          <w:b/>
          <w:i/>
        </w:rPr>
      </w:pPr>
      <w:r w:rsidRPr="00E463DA">
        <w:rPr>
          <w:b/>
          <w:i/>
        </w:rPr>
        <w:t>Biosecurity (</w:t>
      </w:r>
      <w:r w:rsidR="001A216C">
        <w:rPr>
          <w:b/>
          <w:i/>
        </w:rPr>
        <w:t>Emergency</w:t>
      </w:r>
      <w:r w:rsidR="001A216C" w:rsidRPr="00E463DA">
        <w:rPr>
          <w:b/>
          <w:i/>
        </w:rPr>
        <w:t xml:space="preserve"> </w:t>
      </w:r>
      <w:r w:rsidRPr="00E463DA">
        <w:rPr>
          <w:b/>
          <w:i/>
        </w:rPr>
        <w:t>Requirements—</w:t>
      </w:r>
      <w:r w:rsidR="001A216C">
        <w:rPr>
          <w:b/>
          <w:i/>
        </w:rPr>
        <w:t>High Risk Country Travel Pause</w:t>
      </w:r>
      <w:r w:rsidRPr="00E463DA">
        <w:rPr>
          <w:b/>
          <w:i/>
        </w:rPr>
        <w:t>) Determination</w:t>
      </w:r>
      <w:r w:rsidR="001A216C">
        <w:rPr>
          <w:b/>
          <w:i/>
        </w:rPr>
        <w:t xml:space="preserve"> (No. 2)</w:t>
      </w:r>
      <w:r w:rsidRPr="00E463DA">
        <w:rPr>
          <w:b/>
          <w:i/>
        </w:rPr>
        <w:t xml:space="preserve"> 2021</w:t>
      </w:r>
    </w:p>
    <w:p w14:paraId="4A411269" w14:textId="3D6C1EC9" w:rsidR="00925D9C" w:rsidRPr="00E463DA" w:rsidRDefault="00925D9C" w:rsidP="00A41E14"/>
    <w:p w14:paraId="77E5DA49" w14:textId="72FFDB2B" w:rsidR="00925D9C" w:rsidRPr="00E463DA" w:rsidRDefault="00925D9C" w:rsidP="00A41E14">
      <w:pPr>
        <w:rPr>
          <w:b/>
        </w:rPr>
      </w:pPr>
      <w:r w:rsidRPr="00E463DA">
        <w:rPr>
          <w:b/>
        </w:rPr>
        <w:t>Item 1</w:t>
      </w:r>
    </w:p>
    <w:p w14:paraId="6740B9D9" w14:textId="6B669FA6" w:rsidR="00925D9C" w:rsidRPr="00E463DA" w:rsidRDefault="004A0543" w:rsidP="005B2D19">
      <w:pPr>
        <w:rPr>
          <w:b/>
          <w:i/>
        </w:rPr>
      </w:pPr>
      <w:r w:rsidRPr="00E463DA">
        <w:t xml:space="preserve">Item 1 </w:t>
      </w:r>
      <w:r w:rsidR="005B2D19">
        <w:t xml:space="preserve">substitutes </w:t>
      </w:r>
      <w:r w:rsidR="004A2738">
        <w:t>‘</w:t>
      </w:r>
      <w:r w:rsidR="005B2D19">
        <w:t xml:space="preserve">12 December’ with </w:t>
      </w:r>
      <w:r w:rsidR="004A2738">
        <w:t>‘</w:t>
      </w:r>
      <w:r w:rsidR="005B2D19">
        <w:t>15 December</w:t>
      </w:r>
      <w:r w:rsidR="004A2738">
        <w:t>’</w:t>
      </w:r>
      <w:r w:rsidR="005B2D19">
        <w:t xml:space="preserve">, so that the instrument ceases at the start of 15 December, rather than the start of 12 December 2021.  </w:t>
      </w:r>
    </w:p>
    <w:p w14:paraId="5F51089A" w14:textId="77777777" w:rsidR="00AA4504" w:rsidRPr="00E463DA" w:rsidRDefault="00AA4504" w:rsidP="00AF6D82">
      <w:pPr>
        <w:rPr>
          <w:b/>
          <w:bCs/>
          <w:color w:val="000000"/>
        </w:rPr>
      </w:pPr>
    </w:p>
    <w:sectPr w:rsidR="00AA4504" w:rsidRPr="00E463DA">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0B6D4" w16cex:dateUtc="2021-11-30T0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3CA460" w16cid:durableId="2550B6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962D5"/>
    <w:multiLevelType w:val="hybridMultilevel"/>
    <w:tmpl w:val="ADC870FC"/>
    <w:lvl w:ilvl="0" w:tplc="92E854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91F3DD8"/>
    <w:multiLevelType w:val="hybridMultilevel"/>
    <w:tmpl w:val="85404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3030CE5"/>
    <w:multiLevelType w:val="hybridMultilevel"/>
    <w:tmpl w:val="098A49C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93D6F2A"/>
    <w:multiLevelType w:val="hybridMultilevel"/>
    <w:tmpl w:val="2F563C9C"/>
    <w:lvl w:ilvl="0" w:tplc="67CA43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99154B1"/>
    <w:multiLevelType w:val="hybridMultilevel"/>
    <w:tmpl w:val="A1280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5"/>
  </w:num>
  <w:num w:numId="4">
    <w:abstractNumId w:val="1"/>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20EF"/>
    <w:rsid w:val="0000255B"/>
    <w:rsid w:val="000027A0"/>
    <w:rsid w:val="00002EA1"/>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649"/>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77F02"/>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883"/>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A2"/>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A69"/>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16C"/>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3FC"/>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AF6"/>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07CDF"/>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0E2"/>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3A0"/>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763"/>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7B9"/>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4D1B"/>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27D0E"/>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C85"/>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A7BEA"/>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29"/>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6C9"/>
    <w:rsid w:val="00410886"/>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0CE"/>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13"/>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A8E"/>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D90"/>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543"/>
    <w:rsid w:val="004A0647"/>
    <w:rsid w:val="004A0951"/>
    <w:rsid w:val="004A10C6"/>
    <w:rsid w:val="004A1168"/>
    <w:rsid w:val="004A1494"/>
    <w:rsid w:val="004A1531"/>
    <w:rsid w:val="004A162E"/>
    <w:rsid w:val="004A16F2"/>
    <w:rsid w:val="004A1A8D"/>
    <w:rsid w:val="004A1F4F"/>
    <w:rsid w:val="004A25A1"/>
    <w:rsid w:val="004A2738"/>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CD6"/>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074"/>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176"/>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4D03"/>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3499"/>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3A8"/>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2D19"/>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C7EED"/>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4E"/>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265"/>
    <w:rsid w:val="005F29CA"/>
    <w:rsid w:val="005F2C54"/>
    <w:rsid w:val="005F2DEC"/>
    <w:rsid w:val="005F30B0"/>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0C47"/>
    <w:rsid w:val="006015CF"/>
    <w:rsid w:val="00601A2A"/>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9F5"/>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8B4"/>
    <w:rsid w:val="00664CE0"/>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1D90"/>
    <w:rsid w:val="006720FD"/>
    <w:rsid w:val="00672852"/>
    <w:rsid w:val="00672A0D"/>
    <w:rsid w:val="00672DD8"/>
    <w:rsid w:val="006734AE"/>
    <w:rsid w:val="00673693"/>
    <w:rsid w:val="00673BC3"/>
    <w:rsid w:val="006740BE"/>
    <w:rsid w:val="0067416A"/>
    <w:rsid w:val="0067433F"/>
    <w:rsid w:val="00674368"/>
    <w:rsid w:val="006753AF"/>
    <w:rsid w:val="0067556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1A7"/>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B7E"/>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0348"/>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92C"/>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4EB2"/>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39C"/>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235"/>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2D5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54AF"/>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0AF"/>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42F7"/>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1F5F"/>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8F1"/>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A86"/>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D9C"/>
    <w:rsid w:val="00925E90"/>
    <w:rsid w:val="00925F97"/>
    <w:rsid w:val="0092663A"/>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A9F"/>
    <w:rsid w:val="00991BD3"/>
    <w:rsid w:val="00991EAF"/>
    <w:rsid w:val="00991F25"/>
    <w:rsid w:val="009926C0"/>
    <w:rsid w:val="00992B8C"/>
    <w:rsid w:val="00992C33"/>
    <w:rsid w:val="00993024"/>
    <w:rsid w:val="009930CA"/>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3A4"/>
    <w:rsid w:val="009B363E"/>
    <w:rsid w:val="009B379C"/>
    <w:rsid w:val="009B38F1"/>
    <w:rsid w:val="009B3D53"/>
    <w:rsid w:val="009B3F58"/>
    <w:rsid w:val="009B3F70"/>
    <w:rsid w:val="009B53A3"/>
    <w:rsid w:val="009B5537"/>
    <w:rsid w:val="009B5552"/>
    <w:rsid w:val="009B59C8"/>
    <w:rsid w:val="009B5E62"/>
    <w:rsid w:val="009B6939"/>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381"/>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3AD"/>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504"/>
    <w:rsid w:val="00AA478E"/>
    <w:rsid w:val="00AA4B10"/>
    <w:rsid w:val="00AA4E35"/>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82"/>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BF"/>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D95"/>
    <w:rsid w:val="00B81FF0"/>
    <w:rsid w:val="00B825A7"/>
    <w:rsid w:val="00B828A9"/>
    <w:rsid w:val="00B82BC2"/>
    <w:rsid w:val="00B82EE5"/>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C23"/>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6915"/>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1E7D"/>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3C8"/>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1EB0"/>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87DBC"/>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D9"/>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B99"/>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4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0E83"/>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288"/>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58B"/>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05"/>
    <w:rsid w:val="00E30490"/>
    <w:rsid w:val="00E30B3E"/>
    <w:rsid w:val="00E30ED6"/>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1C"/>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3DA"/>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3DA"/>
    <w:rsid w:val="00E51BE1"/>
    <w:rsid w:val="00E51CD9"/>
    <w:rsid w:val="00E522C3"/>
    <w:rsid w:val="00E5283F"/>
    <w:rsid w:val="00E533E4"/>
    <w:rsid w:val="00E53858"/>
    <w:rsid w:val="00E53902"/>
    <w:rsid w:val="00E53A56"/>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D4"/>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950"/>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10"/>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9BD"/>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1DF8"/>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6AA0"/>
    <w:rsid w:val="00F670A7"/>
    <w:rsid w:val="00F6739A"/>
    <w:rsid w:val="00F676D2"/>
    <w:rsid w:val="00F67B9C"/>
    <w:rsid w:val="00F67C95"/>
    <w:rsid w:val="00F67CA7"/>
    <w:rsid w:val="00F701CD"/>
    <w:rsid w:val="00F704E7"/>
    <w:rsid w:val="00F7077B"/>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01A"/>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5A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43D30"/>
  <w15:chartTrackingRefBased/>
  <w15:docId w15:val="{6DA959D3-2966-42E6-A2F0-E073ABD8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ListParagraph">
    <w:name w:val="List Paragraph"/>
    <w:basedOn w:val="Normal"/>
    <w:uiPriority w:val="34"/>
    <w:qFormat/>
    <w:rsid w:val="003D1029"/>
    <w:pPr>
      <w:ind w:left="720"/>
      <w:contextualSpacing/>
    </w:pPr>
  </w:style>
  <w:style w:type="paragraph" w:customStyle="1" w:styleId="subsectionhead">
    <w:name w:val="subsectionhead"/>
    <w:basedOn w:val="Normal"/>
    <w:rsid w:val="00664CE0"/>
    <w:pPr>
      <w:spacing w:before="100" w:beforeAutospacing="1" w:after="100" w:afterAutospacing="1"/>
    </w:pPr>
  </w:style>
  <w:style w:type="paragraph" w:customStyle="1" w:styleId="subsection">
    <w:name w:val="subsection"/>
    <w:aliases w:val="ss,Subsection"/>
    <w:basedOn w:val="Normal"/>
    <w:link w:val="subsectionChar"/>
    <w:rsid w:val="00664CE0"/>
    <w:pPr>
      <w:spacing w:before="100" w:beforeAutospacing="1" w:after="100" w:afterAutospacing="1"/>
    </w:pPr>
  </w:style>
  <w:style w:type="paragraph" w:customStyle="1" w:styleId="paragraph">
    <w:name w:val="paragraph"/>
    <w:aliases w:val="a"/>
    <w:basedOn w:val="Normal"/>
    <w:rsid w:val="00664CE0"/>
    <w:pPr>
      <w:spacing w:before="100" w:beforeAutospacing="1" w:after="100" w:afterAutospacing="1"/>
    </w:pPr>
  </w:style>
  <w:style w:type="paragraph" w:customStyle="1" w:styleId="paragraphsub">
    <w:name w:val="paragraphsub"/>
    <w:basedOn w:val="Normal"/>
    <w:rsid w:val="00664CE0"/>
    <w:pPr>
      <w:spacing w:before="100" w:beforeAutospacing="1" w:after="100" w:afterAutospacing="1"/>
    </w:pPr>
  </w:style>
  <w:style w:type="paragraph" w:customStyle="1" w:styleId="paragraphsub0">
    <w:name w:val="paragraph(sub)"/>
    <w:aliases w:val="aa"/>
    <w:basedOn w:val="Normal"/>
    <w:rsid w:val="005C7EED"/>
    <w:pPr>
      <w:tabs>
        <w:tab w:val="right" w:pos="1985"/>
      </w:tabs>
      <w:spacing w:before="40"/>
      <w:ind w:left="2098" w:hanging="2098"/>
    </w:pPr>
    <w:rPr>
      <w:sz w:val="22"/>
      <w:szCs w:val="20"/>
    </w:rPr>
  </w:style>
  <w:style w:type="paragraph" w:customStyle="1" w:styleId="subsection2">
    <w:name w:val="subsection2"/>
    <w:aliases w:val="ss2"/>
    <w:basedOn w:val="Normal"/>
    <w:next w:val="Normal"/>
    <w:rsid w:val="005C7EED"/>
    <w:pPr>
      <w:spacing w:before="40"/>
      <w:ind w:left="1134"/>
    </w:pPr>
    <w:rPr>
      <w:sz w:val="22"/>
      <w:szCs w:val="20"/>
    </w:rPr>
  </w:style>
  <w:style w:type="paragraph" w:customStyle="1" w:styleId="notepara">
    <w:name w:val="note(para)"/>
    <w:aliases w:val="na"/>
    <w:basedOn w:val="Normal"/>
    <w:rsid w:val="005C7EED"/>
    <w:pPr>
      <w:spacing w:before="40" w:line="198" w:lineRule="exact"/>
      <w:ind w:left="2354" w:hanging="369"/>
    </w:pPr>
    <w:rPr>
      <w:sz w:val="18"/>
      <w:szCs w:val="20"/>
    </w:rPr>
  </w:style>
  <w:style w:type="character" w:customStyle="1" w:styleId="notetextChar">
    <w:name w:val="note(text) Char"/>
    <w:aliases w:val="n Char"/>
    <w:basedOn w:val="DefaultParagraphFont"/>
    <w:link w:val="notetext"/>
    <w:locked/>
    <w:rsid w:val="005C7EED"/>
    <w:rPr>
      <w:sz w:val="18"/>
    </w:rPr>
  </w:style>
  <w:style w:type="paragraph" w:customStyle="1" w:styleId="notetext">
    <w:name w:val="note(text)"/>
    <w:aliases w:val="n"/>
    <w:basedOn w:val="Normal"/>
    <w:link w:val="notetextChar"/>
    <w:rsid w:val="005C7EED"/>
    <w:pPr>
      <w:spacing w:before="122"/>
      <w:ind w:left="1985" w:hanging="851"/>
    </w:pPr>
    <w:rPr>
      <w:sz w:val="18"/>
      <w:szCs w:val="20"/>
    </w:rPr>
  </w:style>
  <w:style w:type="character" w:customStyle="1" w:styleId="subsectionChar">
    <w:name w:val="subsection Char"/>
    <w:aliases w:val="ss Char"/>
    <w:basedOn w:val="DefaultParagraphFont"/>
    <w:link w:val="subsection"/>
    <w:locked/>
    <w:rsid w:val="00AA4E35"/>
    <w:rPr>
      <w:sz w:val="24"/>
      <w:szCs w:val="24"/>
    </w:rPr>
  </w:style>
  <w:style w:type="paragraph" w:customStyle="1" w:styleId="SubsectionHead0">
    <w:name w:val="SubsectionHead"/>
    <w:aliases w:val="ssh"/>
    <w:basedOn w:val="Normal"/>
    <w:next w:val="subsection"/>
    <w:rsid w:val="00AA4E35"/>
    <w:pPr>
      <w:keepNext/>
      <w:keepLines/>
      <w:spacing w:before="240"/>
      <w:ind w:left="1134"/>
    </w:pPr>
    <w:rPr>
      <w:i/>
      <w:sz w:val="22"/>
      <w:szCs w:val="20"/>
    </w:rPr>
  </w:style>
  <w:style w:type="paragraph" w:styleId="Revision">
    <w:name w:val="Revision"/>
    <w:hidden/>
    <w:uiPriority w:val="99"/>
    <w:semiHidden/>
    <w:rsid w:val="00831F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93101">
      <w:bodyDiv w:val="1"/>
      <w:marLeft w:val="0"/>
      <w:marRight w:val="0"/>
      <w:marTop w:val="0"/>
      <w:marBottom w:val="0"/>
      <w:divBdr>
        <w:top w:val="none" w:sz="0" w:space="0" w:color="auto"/>
        <w:left w:val="none" w:sz="0" w:space="0" w:color="auto"/>
        <w:bottom w:val="none" w:sz="0" w:space="0" w:color="auto"/>
        <w:right w:val="none" w:sz="0" w:space="0" w:color="auto"/>
      </w:divBdr>
    </w:div>
    <w:div w:id="663313386">
      <w:bodyDiv w:val="1"/>
      <w:marLeft w:val="0"/>
      <w:marRight w:val="0"/>
      <w:marTop w:val="0"/>
      <w:marBottom w:val="0"/>
      <w:divBdr>
        <w:top w:val="none" w:sz="0" w:space="0" w:color="auto"/>
        <w:left w:val="none" w:sz="0" w:space="0" w:color="auto"/>
        <w:bottom w:val="none" w:sz="0" w:space="0" w:color="auto"/>
        <w:right w:val="none" w:sz="0" w:space="0" w:color="auto"/>
      </w:divBdr>
    </w:div>
    <w:div w:id="1291282654">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398354994">
      <w:bodyDiv w:val="1"/>
      <w:marLeft w:val="0"/>
      <w:marRight w:val="0"/>
      <w:marTop w:val="0"/>
      <w:marBottom w:val="0"/>
      <w:divBdr>
        <w:top w:val="none" w:sz="0" w:space="0" w:color="auto"/>
        <w:left w:val="none" w:sz="0" w:space="0" w:color="auto"/>
        <w:bottom w:val="none" w:sz="0" w:space="0" w:color="auto"/>
        <w:right w:val="none" w:sz="0" w:space="0" w:color="auto"/>
      </w:divBdr>
    </w:div>
    <w:div w:id="1498183124">
      <w:bodyDiv w:val="1"/>
      <w:marLeft w:val="0"/>
      <w:marRight w:val="0"/>
      <w:marTop w:val="0"/>
      <w:marBottom w:val="0"/>
      <w:divBdr>
        <w:top w:val="none" w:sz="0" w:space="0" w:color="auto"/>
        <w:left w:val="none" w:sz="0" w:space="0" w:color="auto"/>
        <w:bottom w:val="none" w:sz="0" w:space="0" w:color="auto"/>
        <w:right w:val="none" w:sz="0" w:space="0" w:color="auto"/>
      </w:divBdr>
    </w:div>
    <w:div w:id="1504274790">
      <w:bodyDiv w:val="1"/>
      <w:marLeft w:val="0"/>
      <w:marRight w:val="0"/>
      <w:marTop w:val="0"/>
      <w:marBottom w:val="0"/>
      <w:divBdr>
        <w:top w:val="none" w:sz="0" w:space="0" w:color="auto"/>
        <w:left w:val="none" w:sz="0" w:space="0" w:color="auto"/>
        <w:bottom w:val="none" w:sz="0" w:space="0" w:color="auto"/>
        <w:right w:val="none" w:sz="0" w:space="0" w:color="auto"/>
      </w:divBdr>
    </w:div>
    <w:div w:id="1622225703">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89681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05BC7BAA2CBD438047C15D1B1629D5" ma:contentTypeVersion="1" ma:contentTypeDescription="Create a new document." ma:contentTypeScope="" ma:versionID="246cf2be572792d1814d119f294494b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87AB4-1D00-461A-A737-C61712C50E74}">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3.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4.xml><?xml version="1.0" encoding="utf-8"?>
<ds:datastoreItem xmlns:ds="http://schemas.openxmlformats.org/officeDocument/2006/customXml" ds:itemID="{637ACA71-805A-4FF3-A2E9-F7978AB4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5915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6928</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JOHNSTON, Chris</cp:lastModifiedBy>
  <cp:revision>2</cp:revision>
  <cp:lastPrinted>2021-12-11T06:59:00Z</cp:lastPrinted>
  <dcterms:created xsi:type="dcterms:W3CDTF">2021-12-11T07:39:00Z</dcterms:created>
  <dcterms:modified xsi:type="dcterms:W3CDTF">2021-12-11T07:39:00Z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ies>
</file>