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BAC02" w14:textId="140EAB52" w:rsidR="00017141" w:rsidRPr="00017141" w:rsidRDefault="00017141" w:rsidP="00BC6A40">
      <w:pPr>
        <w:spacing w:after="240" w:line="259" w:lineRule="auto"/>
        <w:jc w:val="center"/>
        <w:rPr>
          <w:rFonts w:ascii="Times New Roman" w:eastAsia="Calibri" w:hAnsi="Times New Roman"/>
          <w:b/>
          <w:sz w:val="28"/>
          <w:szCs w:val="28"/>
        </w:rPr>
      </w:pPr>
      <w:r w:rsidRPr="00017141">
        <w:rPr>
          <w:rFonts w:ascii="Times New Roman" w:eastAsia="Calibri" w:hAnsi="Times New Roman"/>
          <w:b/>
          <w:sz w:val="28"/>
          <w:szCs w:val="28"/>
        </w:rPr>
        <w:t>EXPLANATORY STATEMENT</w:t>
      </w:r>
    </w:p>
    <w:p w14:paraId="3834CFA0" w14:textId="77777777" w:rsidR="00DA2AA1" w:rsidRPr="00BF6A36" w:rsidRDefault="00DA2AA1" w:rsidP="00C1088D">
      <w:pPr>
        <w:spacing w:after="240" w:line="259" w:lineRule="auto"/>
        <w:jc w:val="center"/>
        <w:rPr>
          <w:rFonts w:ascii="Times New Roman" w:eastAsia="Calibri" w:hAnsi="Times New Roman"/>
          <w:sz w:val="24"/>
        </w:rPr>
      </w:pPr>
      <w:r w:rsidRPr="00C46410">
        <w:rPr>
          <w:rFonts w:ascii="Times New Roman" w:eastAsia="Calibri" w:hAnsi="Times New Roman"/>
          <w:sz w:val="24"/>
        </w:rPr>
        <w:t>Issued by authority of the AUSTRAC CEO</w:t>
      </w:r>
    </w:p>
    <w:p w14:paraId="5D0DF0EF" w14:textId="77777777" w:rsidR="00DA2AA1" w:rsidRPr="00C1088D" w:rsidRDefault="00DA2AA1" w:rsidP="00C1088D">
      <w:pPr>
        <w:spacing w:after="240" w:line="259" w:lineRule="auto"/>
        <w:jc w:val="center"/>
        <w:rPr>
          <w:rFonts w:ascii="Times New Roman" w:eastAsia="Calibri" w:hAnsi="Times New Roman"/>
          <w:i/>
          <w:sz w:val="24"/>
        </w:rPr>
      </w:pPr>
      <w:r w:rsidRPr="00C1088D">
        <w:rPr>
          <w:rFonts w:ascii="Times New Roman" w:eastAsia="Calibri" w:hAnsi="Times New Roman"/>
          <w:i/>
          <w:sz w:val="24"/>
        </w:rPr>
        <w:t>Anti-Money Laundering and Counter-Terrorism Financing Act 2006</w:t>
      </w:r>
    </w:p>
    <w:p w14:paraId="7AE0E96C" w14:textId="02944C08" w:rsidR="00DA2AA1" w:rsidRPr="00C46410" w:rsidRDefault="00DA2AA1">
      <w:pPr>
        <w:spacing w:after="240" w:line="259" w:lineRule="auto"/>
        <w:jc w:val="center"/>
        <w:rPr>
          <w:rFonts w:ascii="Times New Roman" w:eastAsia="Calibri" w:hAnsi="Times New Roman"/>
          <w:i/>
          <w:sz w:val="24"/>
        </w:rPr>
      </w:pPr>
      <w:r w:rsidRPr="00C46410">
        <w:rPr>
          <w:rFonts w:ascii="Times New Roman" w:eastAsia="Calibri" w:hAnsi="Times New Roman"/>
          <w:i/>
          <w:sz w:val="24"/>
        </w:rPr>
        <w:t>Anti-Money Laundering and Counter-Terrorism Financing Rules Amendment Instrument 2021 (No.</w:t>
      </w:r>
      <w:r w:rsidR="00E97BA9">
        <w:rPr>
          <w:rFonts w:ascii="Times New Roman" w:eastAsia="Calibri" w:hAnsi="Times New Roman"/>
          <w:i/>
          <w:sz w:val="24"/>
        </w:rPr>
        <w:t xml:space="preserve"> </w:t>
      </w:r>
      <w:r w:rsidR="00AE3182">
        <w:rPr>
          <w:rFonts w:ascii="Times New Roman" w:eastAsia="Calibri" w:hAnsi="Times New Roman"/>
          <w:i/>
          <w:sz w:val="24"/>
        </w:rPr>
        <w:t>3</w:t>
      </w:r>
      <w:r w:rsidR="00AE3182" w:rsidRPr="00C46410">
        <w:rPr>
          <w:rFonts w:ascii="Times New Roman" w:eastAsia="Calibri" w:hAnsi="Times New Roman"/>
          <w:i/>
          <w:sz w:val="24"/>
        </w:rPr>
        <w:t>)</w:t>
      </w:r>
    </w:p>
    <w:p w14:paraId="02072A80" w14:textId="358F5200" w:rsidR="00017141" w:rsidRPr="00C46410" w:rsidRDefault="004F00BC" w:rsidP="00C1088D">
      <w:pPr>
        <w:spacing w:after="160" w:line="259" w:lineRule="auto"/>
        <w:rPr>
          <w:rFonts w:ascii="Times New Roman" w:eastAsia="Calibri" w:hAnsi="Times New Roman"/>
          <w:sz w:val="24"/>
        </w:rPr>
      </w:pPr>
      <w:r w:rsidRPr="00C46410">
        <w:rPr>
          <w:rFonts w:ascii="Times New Roman" w:eastAsia="Calibri" w:hAnsi="Times New Roman"/>
          <w:b/>
          <w:bCs/>
          <w:sz w:val="24"/>
        </w:rPr>
        <w:t>AUTHORITY</w:t>
      </w:r>
    </w:p>
    <w:p w14:paraId="688A0299" w14:textId="0DAA7B04" w:rsidR="00017141" w:rsidRPr="006D7DED" w:rsidRDefault="00017141" w:rsidP="00C1088D">
      <w:pPr>
        <w:spacing w:after="160" w:line="259" w:lineRule="auto"/>
        <w:rPr>
          <w:rFonts w:ascii="Times New Roman" w:eastAsia="Calibri" w:hAnsi="Times New Roman"/>
          <w:iCs/>
          <w:sz w:val="24"/>
        </w:rPr>
      </w:pPr>
      <w:r w:rsidRPr="006D7DED">
        <w:rPr>
          <w:rFonts w:ascii="Times New Roman" w:eastAsia="Calibri" w:hAnsi="Times New Roman"/>
          <w:sz w:val="24"/>
        </w:rPr>
        <w:t>Section 229 of the </w:t>
      </w:r>
      <w:r w:rsidRPr="006D7DED">
        <w:rPr>
          <w:rFonts w:ascii="Times New Roman" w:eastAsia="Calibri" w:hAnsi="Times New Roman"/>
          <w:i/>
          <w:iCs/>
          <w:sz w:val="24"/>
        </w:rPr>
        <w:t xml:space="preserve">Anti-Money Laundering and Counter-Terrorism Financing Act 2006 </w:t>
      </w:r>
      <w:r w:rsidRPr="006D7DED">
        <w:rPr>
          <w:rFonts w:ascii="Times New Roman" w:eastAsia="Calibri" w:hAnsi="Times New Roman"/>
          <w:sz w:val="24"/>
        </w:rPr>
        <w:t>(</w:t>
      </w:r>
      <w:r w:rsidRPr="006D7DED">
        <w:rPr>
          <w:rFonts w:ascii="Times New Roman" w:eastAsia="Calibri" w:hAnsi="Times New Roman"/>
          <w:b/>
          <w:sz w:val="24"/>
        </w:rPr>
        <w:t>AML/CTF Act</w:t>
      </w:r>
      <w:r w:rsidRPr="006D7DED">
        <w:rPr>
          <w:rFonts w:ascii="Times New Roman" w:eastAsia="Calibri" w:hAnsi="Times New Roman"/>
          <w:sz w:val="24"/>
        </w:rPr>
        <w:t xml:space="preserve">) provides that the AUSTRAC CEO may, by legislative instrument, make </w:t>
      </w:r>
      <w:r w:rsidR="00DA2AA1" w:rsidRPr="006D7DED">
        <w:rPr>
          <w:rFonts w:ascii="Times New Roman" w:eastAsia="Calibri" w:hAnsi="Times New Roman"/>
          <w:sz w:val="24"/>
        </w:rPr>
        <w:t xml:space="preserve">Anti-Money Laundering and Counter-Terrorism Financing </w:t>
      </w:r>
      <w:r w:rsidR="00733D11" w:rsidRPr="006D7DED">
        <w:rPr>
          <w:rFonts w:ascii="Times New Roman" w:eastAsia="Calibri" w:hAnsi="Times New Roman"/>
          <w:sz w:val="24"/>
        </w:rPr>
        <w:t>R</w:t>
      </w:r>
      <w:r w:rsidRPr="006D7DED">
        <w:rPr>
          <w:rFonts w:ascii="Times New Roman" w:eastAsia="Calibri" w:hAnsi="Times New Roman"/>
          <w:sz w:val="24"/>
        </w:rPr>
        <w:t>ules</w:t>
      </w:r>
      <w:r w:rsidR="00DA2AA1" w:rsidRPr="006D7DED">
        <w:rPr>
          <w:rFonts w:ascii="Times New Roman" w:eastAsia="Calibri" w:hAnsi="Times New Roman"/>
          <w:sz w:val="24"/>
        </w:rPr>
        <w:t xml:space="preserve"> (</w:t>
      </w:r>
      <w:r w:rsidR="00DA2AA1" w:rsidRPr="006D7DED">
        <w:rPr>
          <w:rFonts w:ascii="Times New Roman" w:eastAsia="Calibri" w:hAnsi="Times New Roman"/>
          <w:b/>
          <w:sz w:val="24"/>
        </w:rPr>
        <w:t>AML/CTF Rules</w:t>
      </w:r>
      <w:r w:rsidR="00DA2AA1" w:rsidRPr="006D7DED">
        <w:rPr>
          <w:rFonts w:ascii="Times New Roman" w:eastAsia="Calibri" w:hAnsi="Times New Roman"/>
          <w:sz w:val="24"/>
        </w:rPr>
        <w:t>)</w:t>
      </w:r>
      <w:r w:rsidRPr="006D7DED">
        <w:rPr>
          <w:rFonts w:ascii="Times New Roman" w:eastAsia="Calibri" w:hAnsi="Times New Roman"/>
          <w:sz w:val="24"/>
        </w:rPr>
        <w:t>.</w:t>
      </w:r>
      <w:r w:rsidR="00DA2AA1" w:rsidRPr="006D7DED">
        <w:rPr>
          <w:rFonts w:ascii="Times New Roman" w:eastAsia="Calibri" w:hAnsi="Times New Roman"/>
          <w:sz w:val="24"/>
        </w:rPr>
        <w:t xml:space="preserve"> The AML/CTF Rules are set out in the </w:t>
      </w:r>
      <w:r w:rsidR="00DA2AA1" w:rsidRPr="006D7DED">
        <w:rPr>
          <w:rFonts w:ascii="Times New Roman" w:eastAsia="Calibri" w:hAnsi="Times New Roman"/>
          <w:i/>
          <w:sz w:val="24"/>
        </w:rPr>
        <w:t>Anti-Money Laundering and Counter-Terrorism Financing Rules Instrument 2007 (No. 1)</w:t>
      </w:r>
      <w:r w:rsidR="00DA2AA1" w:rsidRPr="006D7DED">
        <w:rPr>
          <w:rFonts w:ascii="Times New Roman" w:eastAsia="Calibri" w:hAnsi="Times New Roman"/>
          <w:sz w:val="24"/>
        </w:rPr>
        <w:t>.</w:t>
      </w:r>
    </w:p>
    <w:p w14:paraId="758BC837" w14:textId="164B0A3B" w:rsidR="004F00BC" w:rsidRPr="00BF6A36" w:rsidRDefault="009B309E" w:rsidP="001D5F12">
      <w:pPr>
        <w:spacing w:after="160" w:line="259" w:lineRule="auto"/>
        <w:rPr>
          <w:rFonts w:ascii="Times New Roman" w:eastAsia="Calibri" w:hAnsi="Times New Roman"/>
          <w:b/>
          <w:caps/>
          <w:sz w:val="24"/>
        </w:rPr>
      </w:pPr>
      <w:r w:rsidRPr="00C46410">
        <w:rPr>
          <w:rFonts w:ascii="Times New Roman" w:eastAsia="Calibri" w:hAnsi="Times New Roman"/>
          <w:b/>
          <w:caps/>
          <w:sz w:val="24"/>
        </w:rPr>
        <w:t>Purpose and operation of the instrument</w:t>
      </w:r>
    </w:p>
    <w:p w14:paraId="21E9EE3D" w14:textId="25C09257" w:rsidR="00017141" w:rsidRPr="00BC6A40" w:rsidRDefault="00DA2AA1" w:rsidP="00C1088D">
      <w:pPr>
        <w:spacing w:after="160" w:line="259" w:lineRule="auto"/>
        <w:rPr>
          <w:rFonts w:ascii="Times New Roman" w:eastAsia="Calibri" w:hAnsi="Times New Roman"/>
          <w:sz w:val="24"/>
        </w:rPr>
      </w:pPr>
      <w:r w:rsidRPr="00BC6A40">
        <w:rPr>
          <w:rFonts w:ascii="Times New Roman" w:eastAsia="Calibri" w:hAnsi="Times New Roman"/>
          <w:sz w:val="24"/>
        </w:rPr>
        <w:t xml:space="preserve">The </w:t>
      </w:r>
      <w:r w:rsidRPr="00BC6A40">
        <w:rPr>
          <w:rFonts w:ascii="Times New Roman" w:eastAsia="Calibri" w:hAnsi="Times New Roman"/>
          <w:i/>
          <w:sz w:val="24"/>
        </w:rPr>
        <w:t xml:space="preserve">Anti-Money Laundering and Counter-Terrorism Financing Rules Amendment Instrument 2021 (No. </w:t>
      </w:r>
      <w:r w:rsidR="00ED6819">
        <w:rPr>
          <w:rFonts w:ascii="Times New Roman" w:eastAsia="Calibri" w:hAnsi="Times New Roman"/>
          <w:i/>
          <w:sz w:val="24"/>
        </w:rPr>
        <w:t>3</w:t>
      </w:r>
      <w:r w:rsidRPr="00BC6A40">
        <w:rPr>
          <w:rFonts w:ascii="Times New Roman" w:eastAsia="Calibri" w:hAnsi="Times New Roman"/>
          <w:i/>
          <w:sz w:val="24"/>
        </w:rPr>
        <w:t xml:space="preserve">) </w:t>
      </w:r>
      <w:r w:rsidRPr="00BC6A40">
        <w:rPr>
          <w:rFonts w:ascii="Times New Roman" w:eastAsia="Calibri" w:hAnsi="Times New Roman"/>
          <w:sz w:val="24"/>
        </w:rPr>
        <w:t xml:space="preserve">(the </w:t>
      </w:r>
      <w:r w:rsidRPr="00BC6A40">
        <w:rPr>
          <w:rFonts w:ascii="Times New Roman" w:eastAsia="Calibri" w:hAnsi="Times New Roman"/>
          <w:b/>
          <w:sz w:val="24"/>
        </w:rPr>
        <w:t>Amendment Instrument</w:t>
      </w:r>
      <w:r w:rsidRPr="00BC6A40">
        <w:rPr>
          <w:rFonts w:ascii="Times New Roman" w:eastAsia="Calibri" w:hAnsi="Times New Roman"/>
          <w:sz w:val="24"/>
        </w:rPr>
        <w:t>)</w:t>
      </w:r>
      <w:r w:rsidRPr="00BC6A40">
        <w:rPr>
          <w:rFonts w:ascii="Times New Roman" w:eastAsia="Calibri" w:hAnsi="Times New Roman"/>
          <w:i/>
          <w:sz w:val="24"/>
        </w:rPr>
        <w:t xml:space="preserve"> </w:t>
      </w:r>
      <w:r w:rsidRPr="00BC6A40">
        <w:rPr>
          <w:rFonts w:ascii="Times New Roman" w:eastAsia="Calibri" w:hAnsi="Times New Roman"/>
          <w:sz w:val="24"/>
        </w:rPr>
        <w:t xml:space="preserve">is </w:t>
      </w:r>
      <w:r w:rsidR="00017141" w:rsidRPr="00BC6A40">
        <w:rPr>
          <w:rFonts w:ascii="Times New Roman" w:eastAsia="Calibri" w:hAnsi="Times New Roman"/>
          <w:sz w:val="24"/>
        </w:rPr>
        <w:t xml:space="preserve">a legislative instrument for the purposes of the </w:t>
      </w:r>
      <w:r w:rsidR="00017141" w:rsidRPr="00BC6A40">
        <w:rPr>
          <w:rFonts w:ascii="Times New Roman" w:eastAsia="Calibri" w:hAnsi="Times New Roman"/>
          <w:i/>
          <w:sz w:val="24"/>
        </w:rPr>
        <w:t>Legislation Act 2003</w:t>
      </w:r>
      <w:r w:rsidR="00017141" w:rsidRPr="00BC6A40">
        <w:rPr>
          <w:rFonts w:ascii="Times New Roman" w:eastAsia="Calibri" w:hAnsi="Times New Roman"/>
          <w:sz w:val="24"/>
        </w:rPr>
        <w:t xml:space="preserve">. </w:t>
      </w:r>
    </w:p>
    <w:p w14:paraId="2630780F" w14:textId="20439307" w:rsidR="004F00BC" w:rsidRPr="00BC6A40" w:rsidRDefault="004F00BC">
      <w:pPr>
        <w:spacing w:after="160" w:line="259" w:lineRule="auto"/>
        <w:rPr>
          <w:rFonts w:ascii="Times New Roman" w:eastAsia="Calibri" w:hAnsi="Times New Roman"/>
          <w:sz w:val="24"/>
        </w:rPr>
      </w:pPr>
      <w:r w:rsidRPr="00BC6A40">
        <w:rPr>
          <w:rFonts w:ascii="Times New Roman" w:eastAsia="Calibri" w:hAnsi="Times New Roman"/>
          <w:sz w:val="24"/>
        </w:rPr>
        <w:t xml:space="preserve">Details of the </w:t>
      </w:r>
      <w:r w:rsidR="00DA2AA1" w:rsidRPr="00BC6A40">
        <w:rPr>
          <w:rFonts w:ascii="Times New Roman" w:eastAsia="Calibri" w:hAnsi="Times New Roman"/>
          <w:sz w:val="24"/>
        </w:rPr>
        <w:t xml:space="preserve">Amendment Instrument </w:t>
      </w:r>
      <w:r w:rsidRPr="00BC6A40">
        <w:rPr>
          <w:rFonts w:ascii="Times New Roman" w:eastAsia="Calibri" w:hAnsi="Times New Roman"/>
          <w:sz w:val="24"/>
        </w:rPr>
        <w:t xml:space="preserve">are set out in </w:t>
      </w:r>
      <w:r w:rsidRPr="00BC6A40">
        <w:rPr>
          <w:rFonts w:ascii="Times New Roman" w:eastAsia="Calibri" w:hAnsi="Times New Roman"/>
          <w:sz w:val="24"/>
          <w:u w:val="single"/>
        </w:rPr>
        <w:t>Attachment A.</w:t>
      </w:r>
    </w:p>
    <w:p w14:paraId="2C7A8DEC" w14:textId="314F2CC8" w:rsidR="004F00BC" w:rsidRPr="003B5048" w:rsidRDefault="004F00BC">
      <w:pPr>
        <w:spacing w:after="160" w:line="259" w:lineRule="auto"/>
        <w:rPr>
          <w:rFonts w:ascii="Times New Roman" w:eastAsia="Calibri" w:hAnsi="Times New Roman"/>
          <w:sz w:val="24"/>
        </w:rPr>
      </w:pPr>
      <w:r w:rsidRPr="00BC6A40">
        <w:rPr>
          <w:rFonts w:ascii="Times New Roman" w:eastAsia="Calibri" w:hAnsi="Times New Roman"/>
          <w:sz w:val="24"/>
        </w:rPr>
        <w:t xml:space="preserve">A Statement of Compatibility with Human Rights (the </w:t>
      </w:r>
      <w:r w:rsidRPr="00BC6A40">
        <w:rPr>
          <w:rFonts w:ascii="Times New Roman" w:eastAsia="Calibri" w:hAnsi="Times New Roman"/>
          <w:b/>
          <w:sz w:val="24"/>
        </w:rPr>
        <w:t>Statement</w:t>
      </w:r>
      <w:r w:rsidRPr="00BC6A40">
        <w:rPr>
          <w:rFonts w:ascii="Times New Roman" w:eastAsia="Calibri" w:hAnsi="Times New Roman"/>
          <w:sz w:val="24"/>
        </w:rPr>
        <w:t xml:space="preserve">) </w:t>
      </w:r>
      <w:r w:rsidR="00DA2AA1" w:rsidRPr="00BC6A40">
        <w:rPr>
          <w:rFonts w:ascii="Times New Roman" w:eastAsia="Calibri" w:hAnsi="Times New Roman"/>
          <w:sz w:val="24"/>
        </w:rPr>
        <w:t xml:space="preserve">is at </w:t>
      </w:r>
      <w:r w:rsidR="00DA2AA1" w:rsidRPr="00BC6A40">
        <w:rPr>
          <w:rFonts w:ascii="Times New Roman" w:eastAsia="Calibri" w:hAnsi="Times New Roman"/>
          <w:sz w:val="24"/>
          <w:u w:val="single"/>
        </w:rPr>
        <w:t xml:space="preserve">Attachment </w:t>
      </w:r>
      <w:r w:rsidR="00DA2AA1" w:rsidRPr="00E97BA9">
        <w:rPr>
          <w:rFonts w:ascii="Times New Roman" w:eastAsia="Calibri" w:hAnsi="Times New Roman"/>
          <w:sz w:val="24"/>
          <w:u w:val="single"/>
        </w:rPr>
        <w:t>B</w:t>
      </w:r>
      <w:r w:rsidR="00DA2AA1" w:rsidRPr="003B5048">
        <w:rPr>
          <w:rFonts w:ascii="Times New Roman" w:eastAsia="Calibri" w:hAnsi="Times New Roman"/>
          <w:sz w:val="24"/>
        </w:rPr>
        <w:t xml:space="preserve">. The Statement </w:t>
      </w:r>
      <w:r w:rsidR="00AE3182">
        <w:rPr>
          <w:rFonts w:ascii="Times New Roman" w:eastAsia="Calibri" w:hAnsi="Times New Roman"/>
          <w:sz w:val="24"/>
        </w:rPr>
        <w:t>was</w:t>
      </w:r>
      <w:r w:rsidRPr="003B5048">
        <w:rPr>
          <w:rFonts w:ascii="Times New Roman" w:eastAsia="Calibri" w:hAnsi="Times New Roman"/>
          <w:sz w:val="24"/>
        </w:rPr>
        <w:t xml:space="preserve"> completed in accordance with the </w:t>
      </w:r>
      <w:r w:rsidRPr="003B5048">
        <w:rPr>
          <w:rFonts w:ascii="Times New Roman" w:eastAsia="Calibri" w:hAnsi="Times New Roman"/>
          <w:i/>
          <w:iCs/>
          <w:sz w:val="24"/>
        </w:rPr>
        <w:t>Human Rights (Parliamentary Scrutiny) Act 2011. </w:t>
      </w:r>
      <w:r w:rsidRPr="003B5048">
        <w:rPr>
          <w:rFonts w:ascii="Times New Roman" w:eastAsia="Calibri" w:hAnsi="Times New Roman"/>
          <w:sz w:val="24"/>
        </w:rPr>
        <w:t xml:space="preserve">The overall assessment is that the </w:t>
      </w:r>
      <w:r w:rsidR="00DA2AA1" w:rsidRPr="003B5048">
        <w:rPr>
          <w:rFonts w:ascii="Times New Roman" w:eastAsia="Calibri" w:hAnsi="Times New Roman"/>
          <w:sz w:val="24"/>
        </w:rPr>
        <w:t xml:space="preserve">Amendment Instrument </w:t>
      </w:r>
      <w:r w:rsidR="001C55AA" w:rsidRPr="003B5048">
        <w:rPr>
          <w:rFonts w:ascii="Times New Roman" w:eastAsia="Calibri" w:hAnsi="Times New Roman"/>
          <w:sz w:val="24"/>
        </w:rPr>
        <w:t>promote</w:t>
      </w:r>
      <w:r w:rsidR="00DA2AA1" w:rsidRPr="003B5048">
        <w:rPr>
          <w:rFonts w:ascii="Times New Roman" w:eastAsia="Calibri" w:hAnsi="Times New Roman"/>
          <w:sz w:val="24"/>
        </w:rPr>
        <w:t>s</w:t>
      </w:r>
      <w:r w:rsidR="001C55AA" w:rsidRPr="003B5048">
        <w:rPr>
          <w:rFonts w:ascii="Times New Roman" w:eastAsia="Calibri" w:hAnsi="Times New Roman"/>
          <w:sz w:val="24"/>
        </w:rPr>
        <w:t xml:space="preserve"> the realisation of human rights, and as such, </w:t>
      </w:r>
      <w:r w:rsidR="00DA2AA1" w:rsidRPr="003B5048">
        <w:rPr>
          <w:rFonts w:ascii="Times New Roman" w:eastAsia="Calibri" w:hAnsi="Times New Roman"/>
          <w:sz w:val="24"/>
        </w:rPr>
        <w:t xml:space="preserve">is </w:t>
      </w:r>
      <w:r w:rsidR="001C55AA" w:rsidRPr="003B5048">
        <w:rPr>
          <w:rFonts w:ascii="Times New Roman" w:eastAsia="Calibri" w:hAnsi="Times New Roman"/>
          <w:sz w:val="24"/>
        </w:rPr>
        <w:t>compatible with them.</w:t>
      </w:r>
      <w:r w:rsidRPr="003B5048">
        <w:rPr>
          <w:rFonts w:ascii="Times New Roman" w:eastAsia="Calibri" w:hAnsi="Times New Roman"/>
          <w:sz w:val="24"/>
        </w:rPr>
        <w:t xml:space="preserve"> </w:t>
      </w:r>
    </w:p>
    <w:p w14:paraId="7F67CB67" w14:textId="05610210" w:rsidR="004F00BC" w:rsidRDefault="004F00BC">
      <w:pPr>
        <w:spacing w:after="160" w:line="259" w:lineRule="auto"/>
        <w:rPr>
          <w:rFonts w:ascii="Times New Roman" w:eastAsia="Calibri" w:hAnsi="Times New Roman"/>
          <w:b/>
          <w:sz w:val="24"/>
        </w:rPr>
      </w:pPr>
      <w:r w:rsidRPr="003B5048">
        <w:rPr>
          <w:rFonts w:ascii="Times New Roman" w:eastAsia="Calibri" w:hAnsi="Times New Roman"/>
          <w:b/>
          <w:sz w:val="24"/>
        </w:rPr>
        <w:t>Background</w:t>
      </w:r>
    </w:p>
    <w:p w14:paraId="66117810" w14:textId="61BEDB6E" w:rsidR="003E329A" w:rsidRPr="003E329A" w:rsidRDefault="004851BD" w:rsidP="003E329A">
      <w:pPr>
        <w:tabs>
          <w:tab w:val="left" w:pos="360"/>
          <w:tab w:val="left" w:pos="1080"/>
          <w:tab w:val="left" w:pos="3600"/>
        </w:tabs>
        <w:spacing w:after="160" w:line="256" w:lineRule="auto"/>
        <w:ind w:left="360" w:hanging="360"/>
        <w:rPr>
          <w:rFonts w:ascii="Times New Roman" w:hAnsi="Times New Roman"/>
          <w:b/>
          <w:i/>
          <w:sz w:val="24"/>
        </w:rPr>
      </w:pPr>
      <w:r>
        <w:rPr>
          <w:rFonts w:ascii="Times New Roman" w:hAnsi="Times New Roman"/>
          <w:b/>
          <w:i/>
          <w:sz w:val="24"/>
        </w:rPr>
        <w:t xml:space="preserve">Addition of </w:t>
      </w:r>
      <w:r w:rsidR="003E329A" w:rsidRPr="003E329A">
        <w:rPr>
          <w:rFonts w:ascii="Times New Roman" w:hAnsi="Times New Roman"/>
          <w:b/>
          <w:i/>
          <w:sz w:val="24"/>
        </w:rPr>
        <w:t xml:space="preserve">Chapter 79 </w:t>
      </w:r>
    </w:p>
    <w:p w14:paraId="4737F6BF" w14:textId="77777777" w:rsidR="003E329A" w:rsidRPr="003E329A" w:rsidRDefault="003E329A" w:rsidP="00FF3C57">
      <w:pPr>
        <w:pStyle w:val="ListParagraph"/>
        <w:numPr>
          <w:ilvl w:val="0"/>
          <w:numId w:val="1"/>
        </w:numPr>
        <w:spacing w:before="120" w:after="120" w:line="259" w:lineRule="auto"/>
        <w:rPr>
          <w:rFonts w:ascii="Times New Roman" w:eastAsia="Calibri" w:hAnsi="Times New Roman"/>
          <w:sz w:val="24"/>
        </w:rPr>
      </w:pPr>
      <w:r w:rsidRPr="003E329A">
        <w:rPr>
          <w:rFonts w:ascii="Times New Roman" w:eastAsia="Calibri" w:hAnsi="Times New Roman"/>
          <w:sz w:val="24"/>
        </w:rPr>
        <w:t xml:space="preserve">Section 33 of the </w:t>
      </w:r>
      <w:r w:rsidRPr="003E329A">
        <w:rPr>
          <w:rFonts w:ascii="Times New Roman" w:eastAsia="Calibri" w:hAnsi="Times New Roman"/>
          <w:i/>
          <w:sz w:val="24"/>
        </w:rPr>
        <w:t>Anti-Money Laundering and Counter-Terrorism Financing Act 2006</w:t>
      </w:r>
      <w:r w:rsidRPr="003E329A">
        <w:rPr>
          <w:rFonts w:ascii="Times New Roman" w:eastAsia="Calibri" w:hAnsi="Times New Roman"/>
          <w:sz w:val="24"/>
        </w:rPr>
        <w:t xml:space="preserve"> (AML/CTF Act) allows a reporting entity to carry out the applicable customer identification procedure (ACIP) in respect of a customer after commencing to provide a designated service if the service is specified in the </w:t>
      </w:r>
      <w:r w:rsidRPr="003E329A">
        <w:rPr>
          <w:rFonts w:ascii="Times New Roman" w:eastAsia="Calibri" w:hAnsi="Times New Roman"/>
          <w:i/>
          <w:sz w:val="24"/>
        </w:rPr>
        <w:t>Anti-Money Laundering and Counter-Terrorism Financing Rules 2007</w:t>
      </w:r>
      <w:r w:rsidRPr="003E329A">
        <w:rPr>
          <w:rFonts w:ascii="Times New Roman" w:eastAsia="Calibri" w:hAnsi="Times New Roman"/>
          <w:sz w:val="24"/>
        </w:rPr>
        <w:t xml:space="preserve"> (AML/CTF Rules) and any conditions set out in the AML/CTF Rules are satisfied.</w:t>
      </w:r>
    </w:p>
    <w:p w14:paraId="6C3B7FE7" w14:textId="4B080E17" w:rsidR="00131A1D" w:rsidRDefault="003E329A" w:rsidP="00FF3C57">
      <w:pPr>
        <w:pStyle w:val="ListParagraph"/>
        <w:numPr>
          <w:ilvl w:val="0"/>
          <w:numId w:val="1"/>
        </w:numPr>
        <w:spacing w:before="120" w:after="120" w:line="259" w:lineRule="auto"/>
        <w:rPr>
          <w:rFonts w:ascii="Times New Roman" w:eastAsia="Calibri" w:hAnsi="Times New Roman"/>
          <w:sz w:val="24"/>
        </w:rPr>
      </w:pPr>
      <w:r w:rsidRPr="003E329A">
        <w:rPr>
          <w:rFonts w:ascii="Times New Roman" w:eastAsia="Calibri" w:hAnsi="Times New Roman"/>
          <w:sz w:val="24"/>
        </w:rPr>
        <w:t xml:space="preserve">Chapter 79 </w:t>
      </w:r>
      <w:r w:rsidR="0080636F" w:rsidRPr="0080636F">
        <w:rPr>
          <w:rFonts w:ascii="Times New Roman" w:eastAsia="Calibri" w:hAnsi="Times New Roman"/>
          <w:sz w:val="24"/>
        </w:rPr>
        <w:t>of the AML/CTF Rules sets out the special circumstances</w:t>
      </w:r>
      <w:r w:rsidR="0080636F" w:rsidRPr="00FF3C57">
        <w:rPr>
          <w:rFonts w:ascii="Times New Roman" w:eastAsia="Calibri" w:hAnsi="Times New Roman"/>
          <w:sz w:val="24"/>
        </w:rPr>
        <w:t xml:space="preserve"> in which a</w:t>
      </w:r>
      <w:r w:rsidRPr="003E329A">
        <w:rPr>
          <w:rFonts w:ascii="Times New Roman" w:eastAsia="Calibri" w:hAnsi="Times New Roman"/>
          <w:sz w:val="24"/>
        </w:rPr>
        <w:t xml:space="preserve"> reporting entity </w:t>
      </w:r>
      <w:r w:rsidR="00131A1D" w:rsidRPr="00FF3C57">
        <w:rPr>
          <w:rFonts w:ascii="Times New Roman" w:eastAsia="Calibri" w:hAnsi="Times New Roman"/>
          <w:sz w:val="24"/>
        </w:rPr>
        <w:t>may</w:t>
      </w:r>
      <w:r w:rsidRPr="003E329A">
        <w:rPr>
          <w:rFonts w:ascii="Times New Roman" w:eastAsia="Calibri" w:hAnsi="Times New Roman"/>
          <w:sz w:val="24"/>
        </w:rPr>
        <w:t xml:space="preserve"> carry out the ACIP in respect of a customer, including any person purporting to act on behalf of the customer and any beneficial owner of the customer</w:t>
      </w:r>
      <w:r w:rsidR="009B74C3">
        <w:rPr>
          <w:rFonts w:ascii="Times New Roman" w:eastAsia="Calibri" w:hAnsi="Times New Roman"/>
          <w:sz w:val="24"/>
        </w:rPr>
        <w:t xml:space="preserve"> (collectively, </w:t>
      </w:r>
      <w:r w:rsidR="009B74C3" w:rsidRPr="00FF3C57">
        <w:rPr>
          <w:rFonts w:ascii="Times New Roman" w:eastAsia="Calibri" w:hAnsi="Times New Roman"/>
          <w:sz w:val="24"/>
        </w:rPr>
        <w:t>the customer</w:t>
      </w:r>
      <w:r w:rsidR="009B74C3">
        <w:rPr>
          <w:rFonts w:ascii="Times New Roman" w:eastAsia="Calibri" w:hAnsi="Times New Roman"/>
          <w:sz w:val="24"/>
        </w:rPr>
        <w:t>)</w:t>
      </w:r>
      <w:r w:rsidRPr="003E329A">
        <w:rPr>
          <w:rFonts w:ascii="Times New Roman" w:eastAsia="Calibri" w:hAnsi="Times New Roman"/>
          <w:sz w:val="24"/>
        </w:rPr>
        <w:t xml:space="preserve">, after </w:t>
      </w:r>
      <w:r w:rsidR="00734A7A">
        <w:rPr>
          <w:rFonts w:ascii="Times New Roman" w:eastAsia="Calibri" w:hAnsi="Times New Roman"/>
          <w:sz w:val="24"/>
        </w:rPr>
        <w:t xml:space="preserve">commencing to </w:t>
      </w:r>
      <w:r w:rsidR="00131A1D">
        <w:rPr>
          <w:rFonts w:ascii="Times New Roman" w:eastAsia="Calibri" w:hAnsi="Times New Roman"/>
          <w:sz w:val="24"/>
        </w:rPr>
        <w:t>provide a designated service described in item 1 of table 1 in subsection 6(2) of the AML/CTF Act (</w:t>
      </w:r>
      <w:r w:rsidRPr="003E329A">
        <w:rPr>
          <w:rFonts w:ascii="Times New Roman" w:eastAsia="Calibri" w:hAnsi="Times New Roman"/>
          <w:sz w:val="24"/>
        </w:rPr>
        <w:t>open</w:t>
      </w:r>
      <w:r w:rsidR="00131A1D" w:rsidRPr="00FF3C57">
        <w:rPr>
          <w:rFonts w:ascii="Times New Roman" w:eastAsia="Calibri" w:hAnsi="Times New Roman"/>
          <w:sz w:val="24"/>
        </w:rPr>
        <w:t>ing</w:t>
      </w:r>
      <w:r w:rsidRPr="003E329A">
        <w:rPr>
          <w:rFonts w:ascii="Times New Roman" w:eastAsia="Calibri" w:hAnsi="Times New Roman"/>
          <w:sz w:val="24"/>
        </w:rPr>
        <w:t xml:space="preserve"> an account</w:t>
      </w:r>
      <w:r w:rsidR="00131A1D">
        <w:rPr>
          <w:rFonts w:ascii="Times New Roman" w:eastAsia="Calibri" w:hAnsi="Times New Roman"/>
          <w:sz w:val="24"/>
        </w:rPr>
        <w:t>).</w:t>
      </w:r>
    </w:p>
    <w:p w14:paraId="2DFD9A11" w14:textId="6A353B91" w:rsidR="003E329A" w:rsidRPr="003E329A" w:rsidRDefault="00131A1D" w:rsidP="00FF3C57">
      <w:pPr>
        <w:pStyle w:val="ListParagraph"/>
        <w:numPr>
          <w:ilvl w:val="0"/>
          <w:numId w:val="1"/>
        </w:numPr>
        <w:spacing w:before="120" w:after="120" w:line="259" w:lineRule="auto"/>
        <w:rPr>
          <w:rFonts w:ascii="Times New Roman" w:eastAsia="Calibri" w:hAnsi="Times New Roman"/>
          <w:sz w:val="24"/>
        </w:rPr>
      </w:pPr>
      <w:r>
        <w:rPr>
          <w:rFonts w:ascii="Times New Roman" w:eastAsia="Calibri" w:hAnsi="Times New Roman"/>
          <w:sz w:val="24"/>
        </w:rPr>
        <w:t>The reporting entity, for a period of 15 business days</w:t>
      </w:r>
      <w:r w:rsidR="003E329A" w:rsidRPr="003E329A">
        <w:rPr>
          <w:rFonts w:ascii="Times New Roman" w:eastAsia="Calibri" w:hAnsi="Times New Roman"/>
          <w:sz w:val="24"/>
        </w:rPr>
        <w:t xml:space="preserve"> </w:t>
      </w:r>
      <w:r>
        <w:rPr>
          <w:rFonts w:ascii="Times New Roman" w:eastAsia="Calibri" w:hAnsi="Times New Roman"/>
          <w:sz w:val="24"/>
        </w:rPr>
        <w:t xml:space="preserve">after commencing to open the account, may </w:t>
      </w:r>
      <w:r w:rsidR="009B74C3">
        <w:rPr>
          <w:rFonts w:ascii="Times New Roman" w:eastAsia="Calibri" w:hAnsi="Times New Roman"/>
          <w:sz w:val="24"/>
        </w:rPr>
        <w:t xml:space="preserve">accept deposits to the account and provide </w:t>
      </w:r>
      <w:r w:rsidR="00800B66">
        <w:rPr>
          <w:rFonts w:ascii="Times New Roman" w:eastAsia="Calibri" w:hAnsi="Times New Roman"/>
          <w:sz w:val="24"/>
        </w:rPr>
        <w:t xml:space="preserve">a </w:t>
      </w:r>
      <w:r w:rsidR="00800B66" w:rsidRPr="00800B66">
        <w:rPr>
          <w:rFonts w:ascii="Times New Roman" w:eastAsia="Calibri" w:hAnsi="Times New Roman"/>
          <w:sz w:val="24"/>
        </w:rPr>
        <w:t xml:space="preserve">designated service described in an item of table 1 in subsection 6(2) of the Act, other than item 1 or </w:t>
      </w:r>
      <w:r w:rsidR="00800B66" w:rsidRPr="00800B66">
        <w:rPr>
          <w:rFonts w:ascii="Times New Roman" w:eastAsia="Calibri" w:hAnsi="Times New Roman"/>
          <w:sz w:val="24"/>
        </w:rPr>
        <w:lastRenderedPageBreak/>
        <w:t xml:space="preserve">item </w:t>
      </w:r>
      <w:r w:rsidR="00AE3182" w:rsidRPr="00800B66">
        <w:rPr>
          <w:rFonts w:ascii="Times New Roman" w:eastAsia="Calibri" w:hAnsi="Times New Roman"/>
          <w:sz w:val="24"/>
        </w:rPr>
        <w:t>3, which</w:t>
      </w:r>
      <w:r w:rsidR="00800B66" w:rsidRPr="00800B66">
        <w:rPr>
          <w:rFonts w:ascii="Times New Roman" w:eastAsia="Calibri" w:hAnsi="Times New Roman"/>
          <w:sz w:val="24"/>
        </w:rPr>
        <w:t xml:space="preserve"> is incidental to the </w:t>
      </w:r>
      <w:r w:rsidR="00800B66">
        <w:rPr>
          <w:rFonts w:ascii="Times New Roman" w:eastAsia="Calibri" w:hAnsi="Times New Roman"/>
          <w:sz w:val="24"/>
        </w:rPr>
        <w:t>account opening or deposit.</w:t>
      </w:r>
      <w:r w:rsidR="00800B66" w:rsidRPr="00800B66">
        <w:rPr>
          <w:rFonts w:ascii="Times New Roman" w:eastAsia="Calibri" w:hAnsi="Times New Roman"/>
          <w:sz w:val="24"/>
        </w:rPr>
        <w:t xml:space="preserve"> </w:t>
      </w:r>
      <w:r w:rsidR="00800B66">
        <w:rPr>
          <w:rFonts w:ascii="Times New Roman" w:eastAsia="Calibri" w:hAnsi="Times New Roman"/>
          <w:sz w:val="24"/>
        </w:rPr>
        <w:t>No other designated services can be provided by the reporting entity to the customer</w:t>
      </w:r>
      <w:r w:rsidR="00E0274B">
        <w:rPr>
          <w:rFonts w:ascii="Times New Roman" w:eastAsia="Calibri" w:hAnsi="Times New Roman"/>
          <w:sz w:val="24"/>
        </w:rPr>
        <w:t xml:space="preserve"> until the ACIP has been completed</w:t>
      </w:r>
      <w:r w:rsidR="00800B66">
        <w:rPr>
          <w:rFonts w:ascii="Times New Roman" w:eastAsia="Calibri" w:hAnsi="Times New Roman"/>
          <w:sz w:val="24"/>
        </w:rPr>
        <w:t>.</w:t>
      </w:r>
      <w:r w:rsidR="0080636F">
        <w:rPr>
          <w:rFonts w:ascii="Times New Roman" w:eastAsia="Calibri" w:hAnsi="Times New Roman"/>
          <w:sz w:val="24"/>
        </w:rPr>
        <w:t xml:space="preserve"> </w:t>
      </w:r>
      <w:r w:rsidR="0080636F" w:rsidRPr="0080636F">
        <w:rPr>
          <w:rFonts w:ascii="Times New Roman" w:eastAsia="Calibri" w:hAnsi="Times New Roman"/>
          <w:sz w:val="24"/>
        </w:rPr>
        <w:t xml:space="preserve">Furthermore, after the end of the </w:t>
      </w:r>
      <w:r w:rsidR="00AE3182" w:rsidRPr="0080636F">
        <w:rPr>
          <w:rFonts w:ascii="Times New Roman" w:eastAsia="Calibri" w:hAnsi="Times New Roman"/>
          <w:sz w:val="24"/>
        </w:rPr>
        <w:t>15-business</w:t>
      </w:r>
      <w:r w:rsidR="0080636F" w:rsidRPr="0080636F">
        <w:rPr>
          <w:rFonts w:ascii="Times New Roman" w:eastAsia="Calibri" w:hAnsi="Times New Roman"/>
          <w:sz w:val="24"/>
        </w:rPr>
        <w:t xml:space="preserve"> day period no deposits can be accepted and no other designated services provided until ACIP is completed.</w:t>
      </w:r>
    </w:p>
    <w:p w14:paraId="2B414C5A" w14:textId="063DAC21" w:rsidR="0080636F" w:rsidRPr="0080636F" w:rsidRDefault="0080636F" w:rsidP="00FF3C57">
      <w:pPr>
        <w:pStyle w:val="ListParagraph"/>
        <w:numPr>
          <w:ilvl w:val="0"/>
          <w:numId w:val="1"/>
        </w:numPr>
        <w:spacing w:before="120" w:after="120" w:line="259" w:lineRule="auto"/>
        <w:rPr>
          <w:rFonts w:ascii="Times New Roman" w:eastAsia="Calibri" w:hAnsi="Times New Roman"/>
          <w:sz w:val="24"/>
        </w:rPr>
      </w:pPr>
      <w:r>
        <w:rPr>
          <w:rFonts w:ascii="Times New Roman" w:eastAsia="Calibri" w:hAnsi="Times New Roman"/>
          <w:sz w:val="24"/>
        </w:rPr>
        <w:t>The reporting entity</w:t>
      </w:r>
      <w:r w:rsidRPr="0080636F">
        <w:rPr>
          <w:rFonts w:ascii="Times New Roman" w:eastAsia="Calibri" w:hAnsi="Times New Roman"/>
          <w:sz w:val="24"/>
        </w:rPr>
        <w:t xml:space="preserve"> </w:t>
      </w:r>
      <w:r>
        <w:rPr>
          <w:rFonts w:ascii="Times New Roman" w:eastAsia="Calibri" w:hAnsi="Times New Roman"/>
          <w:sz w:val="24"/>
        </w:rPr>
        <w:t>may</w:t>
      </w:r>
      <w:r w:rsidRPr="0080636F">
        <w:rPr>
          <w:rFonts w:ascii="Times New Roman" w:eastAsia="Calibri" w:hAnsi="Times New Roman"/>
          <w:sz w:val="24"/>
        </w:rPr>
        <w:t xml:space="preserve"> carry out ACIP </w:t>
      </w:r>
      <w:r>
        <w:rPr>
          <w:rFonts w:ascii="Times New Roman" w:eastAsia="Calibri" w:hAnsi="Times New Roman"/>
          <w:sz w:val="24"/>
        </w:rPr>
        <w:t>on</w:t>
      </w:r>
      <w:r w:rsidRPr="0080636F">
        <w:rPr>
          <w:rFonts w:ascii="Times New Roman" w:eastAsia="Calibri" w:hAnsi="Times New Roman"/>
          <w:sz w:val="24"/>
        </w:rPr>
        <w:t xml:space="preserve"> the customer after commencing to provide this designated service if </w:t>
      </w:r>
      <w:r>
        <w:rPr>
          <w:rFonts w:ascii="Times New Roman" w:eastAsia="Calibri" w:hAnsi="Times New Roman"/>
          <w:sz w:val="24"/>
        </w:rPr>
        <w:t>it</w:t>
      </w:r>
      <w:r w:rsidRPr="0080636F">
        <w:rPr>
          <w:rFonts w:ascii="Times New Roman" w:eastAsia="Calibri" w:hAnsi="Times New Roman"/>
          <w:sz w:val="24"/>
        </w:rPr>
        <w:t>:</w:t>
      </w:r>
    </w:p>
    <w:p w14:paraId="031AF04A" w14:textId="008153FF" w:rsidR="0080636F" w:rsidRPr="0080636F" w:rsidRDefault="0080636F" w:rsidP="0080636F">
      <w:pPr>
        <w:numPr>
          <w:ilvl w:val="0"/>
          <w:numId w:val="15"/>
        </w:numPr>
        <w:spacing w:before="160" w:afterLines="100" w:after="240" w:line="240" w:lineRule="exact"/>
        <w:rPr>
          <w:rFonts w:ascii="Times New Roman" w:eastAsia="Calibri" w:hAnsi="Times New Roman"/>
          <w:sz w:val="24"/>
        </w:rPr>
      </w:pPr>
      <w:r w:rsidRPr="0080636F">
        <w:rPr>
          <w:rFonts w:ascii="Times New Roman" w:eastAsia="Calibri" w:hAnsi="Times New Roman"/>
          <w:sz w:val="24"/>
        </w:rPr>
        <w:t>ha</w:t>
      </w:r>
      <w:r>
        <w:rPr>
          <w:rFonts w:ascii="Times New Roman" w:eastAsia="Calibri" w:hAnsi="Times New Roman"/>
          <w:sz w:val="24"/>
        </w:rPr>
        <w:t>s</w:t>
      </w:r>
      <w:r w:rsidRPr="0080636F">
        <w:rPr>
          <w:rFonts w:ascii="Times New Roman" w:eastAsia="Calibri" w:hAnsi="Times New Roman"/>
          <w:sz w:val="24"/>
        </w:rPr>
        <w:t xml:space="preserve"> determined on reasonable grounds that doing so is essential to avoid interrupting the ordinary course of business </w:t>
      </w:r>
    </w:p>
    <w:p w14:paraId="3B810752" w14:textId="05F28D24" w:rsidR="0080636F" w:rsidRPr="0080636F" w:rsidRDefault="0080636F" w:rsidP="0080636F">
      <w:pPr>
        <w:numPr>
          <w:ilvl w:val="0"/>
          <w:numId w:val="15"/>
        </w:numPr>
        <w:spacing w:before="160" w:afterLines="100" w:after="240" w:line="240" w:lineRule="exact"/>
        <w:rPr>
          <w:rFonts w:ascii="Times New Roman" w:eastAsia="Calibri" w:hAnsi="Times New Roman"/>
          <w:sz w:val="24"/>
        </w:rPr>
      </w:pPr>
      <w:r w:rsidRPr="0080636F">
        <w:rPr>
          <w:rFonts w:ascii="Times New Roman" w:eastAsia="Calibri" w:hAnsi="Times New Roman"/>
          <w:sz w:val="24"/>
        </w:rPr>
        <w:t>ha</w:t>
      </w:r>
      <w:r>
        <w:rPr>
          <w:rFonts w:ascii="Times New Roman" w:eastAsia="Calibri" w:hAnsi="Times New Roman"/>
          <w:sz w:val="24"/>
        </w:rPr>
        <w:t>s</w:t>
      </w:r>
      <w:r w:rsidRPr="0080636F">
        <w:rPr>
          <w:rFonts w:ascii="Times New Roman" w:eastAsia="Calibri" w:hAnsi="Times New Roman"/>
          <w:sz w:val="24"/>
        </w:rPr>
        <w:t xml:space="preserve"> determined on reasonable grounds that any additional ML/TF risk arising from carrying out the ACIP after commencing to open the account is low</w:t>
      </w:r>
    </w:p>
    <w:p w14:paraId="6002B6B9" w14:textId="333F5B1C" w:rsidR="0080636F" w:rsidRPr="0080636F" w:rsidRDefault="0080636F" w:rsidP="0080636F">
      <w:pPr>
        <w:numPr>
          <w:ilvl w:val="0"/>
          <w:numId w:val="15"/>
        </w:numPr>
        <w:spacing w:before="160" w:afterLines="100" w:after="240" w:line="240" w:lineRule="exact"/>
        <w:rPr>
          <w:rFonts w:ascii="Times New Roman" w:eastAsia="Calibri" w:hAnsi="Times New Roman"/>
          <w:sz w:val="24"/>
        </w:rPr>
      </w:pPr>
      <w:r w:rsidRPr="0080636F">
        <w:rPr>
          <w:rFonts w:ascii="Times New Roman" w:eastAsia="Calibri" w:hAnsi="Times New Roman"/>
          <w:sz w:val="24"/>
        </w:rPr>
        <w:t>ha</w:t>
      </w:r>
      <w:r>
        <w:rPr>
          <w:rFonts w:ascii="Times New Roman" w:eastAsia="Calibri" w:hAnsi="Times New Roman"/>
          <w:sz w:val="24"/>
        </w:rPr>
        <w:t>s</w:t>
      </w:r>
      <w:r w:rsidRPr="0080636F">
        <w:rPr>
          <w:rFonts w:ascii="Times New Roman" w:eastAsia="Calibri" w:hAnsi="Times New Roman"/>
          <w:sz w:val="24"/>
        </w:rPr>
        <w:t xml:space="preserve"> implemented appropriate risk-based systems and controls to effectively manage the overall ML/TF risks</w:t>
      </w:r>
    </w:p>
    <w:p w14:paraId="6328B132" w14:textId="11777FE4" w:rsidR="0080636F" w:rsidRPr="0080636F" w:rsidRDefault="0080636F" w:rsidP="0080636F">
      <w:pPr>
        <w:numPr>
          <w:ilvl w:val="0"/>
          <w:numId w:val="15"/>
        </w:numPr>
        <w:spacing w:before="160" w:afterLines="100" w:after="240" w:line="240" w:lineRule="exact"/>
        <w:rPr>
          <w:rFonts w:ascii="Times New Roman" w:eastAsia="Calibri" w:hAnsi="Times New Roman"/>
          <w:sz w:val="24"/>
        </w:rPr>
      </w:pPr>
      <w:r w:rsidRPr="0080636F">
        <w:rPr>
          <w:rFonts w:ascii="Times New Roman" w:eastAsia="Calibri" w:hAnsi="Times New Roman"/>
          <w:sz w:val="24"/>
        </w:rPr>
        <w:t>ha</w:t>
      </w:r>
      <w:r>
        <w:rPr>
          <w:rFonts w:ascii="Times New Roman" w:eastAsia="Calibri" w:hAnsi="Times New Roman"/>
          <w:sz w:val="24"/>
        </w:rPr>
        <w:t>s</w:t>
      </w:r>
      <w:r w:rsidRPr="0080636F">
        <w:rPr>
          <w:rFonts w:ascii="Times New Roman" w:eastAsia="Calibri" w:hAnsi="Times New Roman"/>
          <w:sz w:val="24"/>
        </w:rPr>
        <w:t xml:space="preserve"> appropriate risk-based systems and controls in place to ensure </w:t>
      </w:r>
      <w:r w:rsidR="001F165F">
        <w:rPr>
          <w:rFonts w:ascii="Times New Roman" w:eastAsia="Calibri" w:hAnsi="Times New Roman"/>
          <w:sz w:val="24"/>
        </w:rPr>
        <w:t>the reporting entity</w:t>
      </w:r>
      <w:r w:rsidRPr="0080636F">
        <w:rPr>
          <w:rFonts w:ascii="Times New Roman" w:eastAsia="Calibri" w:hAnsi="Times New Roman"/>
          <w:sz w:val="24"/>
        </w:rPr>
        <w:t xml:space="preserve"> carr</w:t>
      </w:r>
      <w:r w:rsidR="001F165F">
        <w:rPr>
          <w:rFonts w:ascii="Times New Roman" w:eastAsia="Calibri" w:hAnsi="Times New Roman"/>
          <w:sz w:val="24"/>
        </w:rPr>
        <w:t>ies</w:t>
      </w:r>
      <w:r w:rsidRPr="0080636F">
        <w:rPr>
          <w:rFonts w:ascii="Times New Roman" w:eastAsia="Calibri" w:hAnsi="Times New Roman"/>
          <w:sz w:val="24"/>
        </w:rPr>
        <w:t xml:space="preserve"> out ACIP on the customer as soon as practicable, and</w:t>
      </w:r>
    </w:p>
    <w:p w14:paraId="2B22AAC6" w14:textId="5B6A9223" w:rsidR="0080636F" w:rsidRPr="0080636F" w:rsidRDefault="0080636F" w:rsidP="0080636F">
      <w:pPr>
        <w:numPr>
          <w:ilvl w:val="0"/>
          <w:numId w:val="15"/>
        </w:numPr>
        <w:spacing w:before="160" w:afterLines="100" w:after="240" w:line="240" w:lineRule="exact"/>
        <w:rPr>
          <w:rFonts w:ascii="Times New Roman" w:eastAsia="Calibri" w:hAnsi="Times New Roman"/>
          <w:sz w:val="24"/>
        </w:rPr>
      </w:pPr>
      <w:r w:rsidRPr="0080636F">
        <w:rPr>
          <w:rFonts w:ascii="Times New Roman" w:eastAsia="Calibri" w:hAnsi="Times New Roman"/>
          <w:sz w:val="24"/>
        </w:rPr>
        <w:t>do</w:t>
      </w:r>
      <w:r>
        <w:rPr>
          <w:rFonts w:ascii="Times New Roman" w:eastAsia="Calibri" w:hAnsi="Times New Roman"/>
          <w:sz w:val="24"/>
        </w:rPr>
        <w:t>es</w:t>
      </w:r>
      <w:r w:rsidRPr="0080636F">
        <w:rPr>
          <w:rFonts w:ascii="Times New Roman" w:eastAsia="Calibri" w:hAnsi="Times New Roman"/>
          <w:sz w:val="24"/>
        </w:rPr>
        <w:t xml:space="preserve"> not commence to provide to the customer any other designated service other than a deposit or deposits to the account (item</w:t>
      </w:r>
      <w:r w:rsidR="001F165F">
        <w:rPr>
          <w:rFonts w:ascii="Times New Roman" w:eastAsia="Calibri" w:hAnsi="Times New Roman"/>
          <w:sz w:val="24"/>
        </w:rPr>
        <w:t xml:space="preserve"> </w:t>
      </w:r>
      <w:r w:rsidRPr="0080636F">
        <w:rPr>
          <w:rFonts w:ascii="Times New Roman" w:eastAsia="Calibri" w:hAnsi="Times New Roman"/>
          <w:sz w:val="24"/>
        </w:rPr>
        <w:t xml:space="preserve">3 of table 1 in subsection 6(2) of the AML/CTF Act), or another designated service incidental to opening the account or allowing the deposit. </w:t>
      </w:r>
      <w:r w:rsidR="00425876">
        <w:rPr>
          <w:rFonts w:ascii="Times New Roman" w:eastAsia="Calibri" w:hAnsi="Times New Roman"/>
          <w:sz w:val="24"/>
        </w:rPr>
        <w:t>The reporting entity</w:t>
      </w:r>
      <w:r w:rsidRPr="0080636F">
        <w:rPr>
          <w:rFonts w:ascii="Times New Roman" w:eastAsia="Calibri" w:hAnsi="Times New Roman"/>
          <w:sz w:val="24"/>
        </w:rPr>
        <w:t xml:space="preserve"> should have appropriate systems and controls to ensure this does not occur. </w:t>
      </w:r>
    </w:p>
    <w:p w14:paraId="2CE4161F" w14:textId="5DA5B9EC" w:rsidR="003E329A" w:rsidRPr="003E329A" w:rsidRDefault="001F165F" w:rsidP="003E329A">
      <w:pPr>
        <w:spacing w:after="120" w:line="276" w:lineRule="auto"/>
        <w:ind w:left="720" w:hanging="720"/>
        <w:rPr>
          <w:rFonts w:ascii="Times New Roman" w:hAnsi="Times New Roman"/>
          <w:b/>
          <w:szCs w:val="22"/>
          <w:lang w:eastAsia="en-AU"/>
        </w:rPr>
      </w:pPr>
      <w:r w:rsidRPr="004851BD">
        <w:rPr>
          <w:rFonts w:ascii="Times New Roman" w:hAnsi="Times New Roman"/>
          <w:b/>
          <w:i/>
          <w:sz w:val="24"/>
        </w:rPr>
        <w:t xml:space="preserve"> </w:t>
      </w:r>
      <w:r w:rsidR="004851BD" w:rsidRPr="004851BD">
        <w:rPr>
          <w:rFonts w:ascii="Times New Roman" w:hAnsi="Times New Roman"/>
          <w:b/>
          <w:i/>
          <w:sz w:val="24"/>
        </w:rPr>
        <w:t>Addition of Chapter 80</w:t>
      </w:r>
    </w:p>
    <w:p w14:paraId="453161E7" w14:textId="3178619A" w:rsidR="003E329A" w:rsidRPr="003E329A" w:rsidRDefault="003E329A" w:rsidP="00FF3C57">
      <w:pPr>
        <w:pStyle w:val="ListParagraph"/>
        <w:numPr>
          <w:ilvl w:val="0"/>
          <w:numId w:val="1"/>
        </w:numPr>
        <w:spacing w:before="120" w:after="120" w:line="259" w:lineRule="auto"/>
        <w:rPr>
          <w:rFonts w:ascii="Times New Roman" w:eastAsia="Calibri" w:hAnsi="Times New Roman"/>
          <w:sz w:val="24"/>
        </w:rPr>
      </w:pPr>
      <w:r w:rsidRPr="003E329A">
        <w:rPr>
          <w:rFonts w:ascii="Times New Roman" w:eastAsia="Calibri" w:hAnsi="Times New Roman"/>
          <w:sz w:val="24"/>
        </w:rPr>
        <w:t>Th</w:t>
      </w:r>
      <w:r w:rsidR="008D24F5" w:rsidRPr="00FF3C57">
        <w:rPr>
          <w:rFonts w:ascii="Times New Roman" w:eastAsia="Calibri" w:hAnsi="Times New Roman"/>
          <w:sz w:val="24"/>
        </w:rPr>
        <w:t>is Instrument</w:t>
      </w:r>
      <w:r w:rsidRPr="003E329A">
        <w:rPr>
          <w:rFonts w:ascii="Times New Roman" w:eastAsia="Calibri" w:hAnsi="Times New Roman"/>
          <w:sz w:val="24"/>
        </w:rPr>
        <w:t xml:space="preserve"> </w:t>
      </w:r>
      <w:r w:rsidR="008D24F5" w:rsidRPr="00FF3C57">
        <w:rPr>
          <w:rFonts w:ascii="Times New Roman" w:eastAsia="Calibri" w:hAnsi="Times New Roman"/>
          <w:sz w:val="24"/>
        </w:rPr>
        <w:t>amends the</w:t>
      </w:r>
      <w:r w:rsidRPr="003E329A">
        <w:rPr>
          <w:rFonts w:ascii="Times New Roman" w:eastAsia="Calibri" w:hAnsi="Times New Roman"/>
          <w:sz w:val="24"/>
        </w:rPr>
        <w:t xml:space="preserve"> AML/CTF Rules </w:t>
      </w:r>
      <w:r w:rsidR="008D24F5" w:rsidRPr="00FF3C57">
        <w:rPr>
          <w:rFonts w:ascii="Times New Roman" w:eastAsia="Calibri" w:hAnsi="Times New Roman"/>
          <w:sz w:val="24"/>
        </w:rPr>
        <w:t xml:space="preserve">by </w:t>
      </w:r>
      <w:r w:rsidRPr="003E329A">
        <w:rPr>
          <w:rFonts w:ascii="Times New Roman" w:eastAsia="Calibri" w:hAnsi="Times New Roman"/>
          <w:sz w:val="24"/>
        </w:rPr>
        <w:t>add</w:t>
      </w:r>
      <w:r w:rsidR="008D24F5" w:rsidRPr="00FF3C57">
        <w:rPr>
          <w:rFonts w:ascii="Times New Roman" w:eastAsia="Calibri" w:hAnsi="Times New Roman"/>
          <w:sz w:val="24"/>
        </w:rPr>
        <w:t>ing</w:t>
      </w:r>
      <w:r w:rsidRPr="003E329A">
        <w:rPr>
          <w:rFonts w:ascii="Times New Roman" w:eastAsia="Calibri" w:hAnsi="Times New Roman"/>
          <w:sz w:val="24"/>
        </w:rPr>
        <w:t xml:space="preserve"> a new chapter</w:t>
      </w:r>
      <w:r w:rsidR="008D24F5" w:rsidRPr="00FF3C57">
        <w:rPr>
          <w:rFonts w:ascii="Times New Roman" w:eastAsia="Calibri" w:hAnsi="Times New Roman"/>
          <w:sz w:val="24"/>
        </w:rPr>
        <w:t>, Chapter 80,</w:t>
      </w:r>
      <w:r w:rsidRPr="003E329A">
        <w:rPr>
          <w:rFonts w:ascii="Times New Roman" w:eastAsia="Calibri" w:hAnsi="Times New Roman"/>
          <w:sz w:val="24"/>
        </w:rPr>
        <w:t xml:space="preserve"> for the purposes of paragraph (f) of the definition of a stored value card (SVC) in section 5 of the AML/CTF Act.</w:t>
      </w:r>
    </w:p>
    <w:p w14:paraId="1285AF11" w14:textId="26051C99" w:rsidR="003E329A" w:rsidRPr="003E329A" w:rsidRDefault="00BA6B2D" w:rsidP="00FF3C57">
      <w:pPr>
        <w:pStyle w:val="ListParagraph"/>
        <w:numPr>
          <w:ilvl w:val="0"/>
          <w:numId w:val="1"/>
        </w:numPr>
        <w:spacing w:before="120" w:after="120" w:line="259" w:lineRule="auto"/>
        <w:rPr>
          <w:rFonts w:ascii="Times New Roman" w:eastAsia="Calibri" w:hAnsi="Times New Roman"/>
          <w:sz w:val="24"/>
        </w:rPr>
      </w:pPr>
      <w:r>
        <w:rPr>
          <w:rFonts w:ascii="Times New Roman" w:eastAsia="Calibri" w:hAnsi="Times New Roman"/>
          <w:sz w:val="24"/>
        </w:rPr>
        <w:t>I</w:t>
      </w:r>
      <w:r w:rsidR="008D24F5" w:rsidRPr="003E329A">
        <w:rPr>
          <w:rFonts w:ascii="Times New Roman" w:eastAsia="Calibri" w:hAnsi="Times New Roman"/>
          <w:sz w:val="24"/>
        </w:rPr>
        <w:t>n 2017</w:t>
      </w:r>
      <w:r>
        <w:rPr>
          <w:rFonts w:ascii="Times New Roman" w:eastAsia="Calibri" w:hAnsi="Times New Roman"/>
          <w:sz w:val="24"/>
        </w:rPr>
        <w:t>,</w:t>
      </w:r>
      <w:r w:rsidR="008D24F5" w:rsidRPr="003E329A">
        <w:rPr>
          <w:rFonts w:ascii="Times New Roman" w:eastAsia="Calibri" w:hAnsi="Times New Roman"/>
          <w:sz w:val="24"/>
        </w:rPr>
        <w:t xml:space="preserve"> </w:t>
      </w:r>
      <w:r w:rsidR="008D24F5" w:rsidRPr="00FF3C57">
        <w:rPr>
          <w:rFonts w:ascii="Times New Roman" w:eastAsia="Calibri" w:hAnsi="Times New Roman"/>
          <w:sz w:val="24"/>
        </w:rPr>
        <w:t>t</w:t>
      </w:r>
      <w:r w:rsidR="003E329A" w:rsidRPr="003E329A">
        <w:rPr>
          <w:rFonts w:ascii="Times New Roman" w:eastAsia="Calibri" w:hAnsi="Times New Roman"/>
          <w:sz w:val="24"/>
        </w:rPr>
        <w:t xml:space="preserve">he definition of a SVC was amended to provide clarity to industry on what constitutes a SVC for the purposes of the AML/CTF Act. The amendments ensured that the definition remained broad, inclusive and flexible to cover virtual cards. Paragraph (f) of the definition allows the AUSTRAC CEO to make AML/CTF Rules to exclude specific things from being SVCs. </w:t>
      </w:r>
    </w:p>
    <w:p w14:paraId="2D99D1FB" w14:textId="71EC1AF2" w:rsidR="003E329A" w:rsidRPr="003E329A" w:rsidRDefault="003E329A" w:rsidP="00FF3C57">
      <w:pPr>
        <w:pStyle w:val="ListParagraph"/>
        <w:numPr>
          <w:ilvl w:val="0"/>
          <w:numId w:val="1"/>
        </w:numPr>
        <w:spacing w:before="120" w:after="120" w:line="259" w:lineRule="auto"/>
        <w:rPr>
          <w:rFonts w:ascii="Times New Roman" w:eastAsia="Calibri" w:hAnsi="Times New Roman"/>
          <w:sz w:val="24"/>
        </w:rPr>
      </w:pPr>
      <w:r w:rsidRPr="003E329A">
        <w:rPr>
          <w:rFonts w:ascii="Times New Roman" w:eastAsia="Calibri" w:hAnsi="Times New Roman"/>
          <w:sz w:val="24"/>
        </w:rPr>
        <w:t xml:space="preserve">Chapter 80 </w:t>
      </w:r>
      <w:r w:rsidR="00B65DF4">
        <w:rPr>
          <w:rFonts w:ascii="Times New Roman" w:eastAsia="Calibri" w:hAnsi="Times New Roman"/>
          <w:sz w:val="24"/>
        </w:rPr>
        <w:t>excludes</w:t>
      </w:r>
      <w:r w:rsidRPr="003E329A">
        <w:rPr>
          <w:rFonts w:ascii="Times New Roman" w:eastAsia="Calibri" w:hAnsi="Times New Roman"/>
          <w:sz w:val="24"/>
        </w:rPr>
        <w:t xml:space="preserve"> certain types of products, unintentionally ca</w:t>
      </w:r>
      <w:r w:rsidR="008D24F5" w:rsidRPr="00FF3C57">
        <w:rPr>
          <w:rFonts w:ascii="Times New Roman" w:eastAsia="Calibri" w:hAnsi="Times New Roman"/>
          <w:sz w:val="24"/>
        </w:rPr>
        <w:t>ught</w:t>
      </w:r>
      <w:r w:rsidRPr="003E329A">
        <w:rPr>
          <w:rFonts w:ascii="Times New Roman" w:eastAsia="Calibri" w:hAnsi="Times New Roman"/>
          <w:sz w:val="24"/>
        </w:rPr>
        <w:t xml:space="preserve"> by the definition of a SVC in the AML/CTF Act. </w:t>
      </w:r>
    </w:p>
    <w:p w14:paraId="01194382" w14:textId="3C0AC6B7" w:rsidR="003E329A" w:rsidRPr="003E329A" w:rsidRDefault="008D24F5" w:rsidP="00FF3C57">
      <w:pPr>
        <w:pStyle w:val="ListParagraph"/>
        <w:numPr>
          <w:ilvl w:val="0"/>
          <w:numId w:val="1"/>
        </w:numPr>
        <w:spacing w:before="120" w:after="120" w:line="259" w:lineRule="auto"/>
        <w:rPr>
          <w:rFonts w:ascii="Times New Roman" w:eastAsia="Calibri" w:hAnsi="Times New Roman"/>
          <w:sz w:val="24"/>
        </w:rPr>
      </w:pPr>
      <w:r w:rsidRPr="00FF3C57">
        <w:rPr>
          <w:rFonts w:ascii="Times New Roman" w:eastAsia="Calibri" w:hAnsi="Times New Roman"/>
          <w:sz w:val="24"/>
        </w:rPr>
        <w:t>P</w:t>
      </w:r>
      <w:r w:rsidR="003E329A" w:rsidRPr="003E329A">
        <w:rPr>
          <w:rFonts w:ascii="Times New Roman" w:eastAsia="Calibri" w:hAnsi="Times New Roman"/>
          <w:sz w:val="24"/>
        </w:rPr>
        <w:t>aragraph 80.2(1) prescribes that an account is not a SVC for the purposes of the AML/CTF Act. This means that all accounts, including those provided by reporting entities in relation to designated services in Tables 1 and 3 of subsection 6(2) of the AML/CTF Act, will not be captured by the SVC definition. ‘Account’ is defined in section 5 of the AML/CTF Act.</w:t>
      </w:r>
    </w:p>
    <w:p w14:paraId="413F83FB" w14:textId="66150AC6" w:rsidR="003E329A" w:rsidRPr="003E329A" w:rsidRDefault="008D24F5" w:rsidP="00FF3C57">
      <w:pPr>
        <w:pStyle w:val="ListParagraph"/>
        <w:numPr>
          <w:ilvl w:val="0"/>
          <w:numId w:val="1"/>
        </w:numPr>
        <w:spacing w:before="120" w:after="120" w:line="259" w:lineRule="auto"/>
        <w:rPr>
          <w:rFonts w:ascii="Times New Roman" w:eastAsia="Calibri" w:hAnsi="Times New Roman"/>
          <w:sz w:val="24"/>
        </w:rPr>
      </w:pPr>
      <w:r w:rsidRPr="00FF3C57">
        <w:rPr>
          <w:rFonts w:ascii="Times New Roman" w:eastAsia="Calibri" w:hAnsi="Times New Roman"/>
          <w:sz w:val="24"/>
        </w:rPr>
        <w:t>P</w:t>
      </w:r>
      <w:r w:rsidR="003E329A" w:rsidRPr="003E329A">
        <w:rPr>
          <w:rFonts w:ascii="Times New Roman" w:eastAsia="Calibri" w:hAnsi="Times New Roman"/>
          <w:sz w:val="24"/>
        </w:rPr>
        <w:t xml:space="preserve">aragraph 80.2(2) prescribes that a card or other instrument used only for the purposes of purchasing an entry into a lottery, or redeeming winnings in respect of a lottery, is not a SVC.  </w:t>
      </w:r>
    </w:p>
    <w:p w14:paraId="6B61755A" w14:textId="77777777" w:rsidR="008D24F5" w:rsidRPr="00FF3C57" w:rsidRDefault="008D24F5" w:rsidP="00FF3C57">
      <w:pPr>
        <w:pStyle w:val="ListParagraph"/>
        <w:numPr>
          <w:ilvl w:val="0"/>
          <w:numId w:val="1"/>
        </w:numPr>
        <w:spacing w:before="120" w:after="120" w:line="259" w:lineRule="auto"/>
        <w:rPr>
          <w:rFonts w:ascii="Times New Roman" w:eastAsia="Calibri" w:hAnsi="Times New Roman"/>
          <w:sz w:val="24"/>
        </w:rPr>
      </w:pPr>
      <w:r w:rsidRPr="00FF3C57">
        <w:rPr>
          <w:rFonts w:ascii="Times New Roman" w:eastAsia="Calibri" w:hAnsi="Times New Roman"/>
          <w:sz w:val="24"/>
        </w:rPr>
        <w:t>T</w:t>
      </w:r>
      <w:r w:rsidR="003E329A" w:rsidRPr="003E329A">
        <w:rPr>
          <w:rFonts w:ascii="Times New Roman" w:eastAsia="Calibri" w:hAnsi="Times New Roman"/>
          <w:sz w:val="24"/>
        </w:rPr>
        <w:t xml:space="preserve">he definition of ‘game’ in section 5 of the AML/CTF Act excludes lotteries from the AML/CTF regime. Furthermore, pages 10 and 34-35 of the </w:t>
      </w:r>
      <w:r w:rsidR="003E329A" w:rsidRPr="003E329A">
        <w:rPr>
          <w:rFonts w:ascii="Times New Roman" w:eastAsia="Calibri" w:hAnsi="Times New Roman"/>
          <w:i/>
          <w:sz w:val="24"/>
        </w:rPr>
        <w:t>Replacement Explanatory Memorandum</w:t>
      </w:r>
      <w:r w:rsidR="003E329A" w:rsidRPr="003E329A">
        <w:rPr>
          <w:rFonts w:ascii="Times New Roman" w:eastAsia="Calibri" w:hAnsi="Times New Roman"/>
          <w:sz w:val="24"/>
        </w:rPr>
        <w:t xml:space="preserve"> to the </w:t>
      </w:r>
      <w:r w:rsidR="003E329A" w:rsidRPr="003E329A">
        <w:rPr>
          <w:rFonts w:ascii="Times New Roman" w:eastAsia="Calibri" w:hAnsi="Times New Roman"/>
          <w:i/>
          <w:sz w:val="24"/>
        </w:rPr>
        <w:t xml:space="preserve">Anti-Money Laundering and Counter-Terrorism </w:t>
      </w:r>
      <w:r w:rsidR="003E329A" w:rsidRPr="003E329A">
        <w:rPr>
          <w:rFonts w:ascii="Times New Roman" w:eastAsia="Calibri" w:hAnsi="Times New Roman"/>
          <w:i/>
          <w:sz w:val="24"/>
        </w:rPr>
        <w:lastRenderedPageBreak/>
        <w:t>Financing Bill 2006</w:t>
      </w:r>
      <w:r w:rsidR="003E329A" w:rsidRPr="003E329A">
        <w:rPr>
          <w:rFonts w:ascii="Times New Roman" w:eastAsia="Calibri" w:hAnsi="Times New Roman"/>
          <w:sz w:val="24"/>
        </w:rPr>
        <w:t xml:space="preserve"> expressly acknowledged that the AML/CTF Act would exclude lottery type games such as instant scratchies, keno, powerball and lotto. As these products are provided as a gambling service and are designed to be used for the purposes of entering a lottery, </w:t>
      </w:r>
      <w:r w:rsidRPr="00FF3C57">
        <w:rPr>
          <w:rFonts w:ascii="Times New Roman" w:eastAsia="Calibri" w:hAnsi="Times New Roman"/>
          <w:sz w:val="24"/>
        </w:rPr>
        <w:t>Chapter 80</w:t>
      </w:r>
      <w:r w:rsidR="003E329A" w:rsidRPr="003E329A">
        <w:rPr>
          <w:rFonts w:ascii="Times New Roman" w:eastAsia="Calibri" w:hAnsi="Times New Roman"/>
          <w:sz w:val="24"/>
        </w:rPr>
        <w:t xml:space="preserve"> exempts these products from the SVC definition. </w:t>
      </w:r>
    </w:p>
    <w:p w14:paraId="5362F32E" w14:textId="77777777" w:rsidR="003E329A" w:rsidRPr="003E329A" w:rsidRDefault="003E329A" w:rsidP="00FF3C57">
      <w:pPr>
        <w:pStyle w:val="ListParagraph"/>
        <w:numPr>
          <w:ilvl w:val="0"/>
          <w:numId w:val="1"/>
        </w:numPr>
        <w:spacing w:before="120" w:after="120" w:line="259" w:lineRule="auto"/>
        <w:rPr>
          <w:rFonts w:ascii="Times New Roman" w:eastAsia="Calibri" w:hAnsi="Times New Roman"/>
          <w:sz w:val="24"/>
        </w:rPr>
      </w:pPr>
      <w:r w:rsidRPr="003E329A">
        <w:rPr>
          <w:rFonts w:ascii="Times New Roman" w:eastAsia="Calibri" w:hAnsi="Times New Roman"/>
          <w:sz w:val="24"/>
        </w:rPr>
        <w:t>The AML/CTF Act does not contain a definition of ‘lottery’. The Macquarie Dictionary defines ‘lottery’ as:</w:t>
      </w:r>
    </w:p>
    <w:p w14:paraId="16180FAB" w14:textId="77777777" w:rsidR="003E329A" w:rsidRPr="003E329A" w:rsidRDefault="003E329A" w:rsidP="003E329A">
      <w:pPr>
        <w:shd w:val="clear" w:color="auto" w:fill="FFFFFF"/>
        <w:spacing w:before="450" w:after="150"/>
        <w:ind w:left="567"/>
        <w:rPr>
          <w:rFonts w:ascii="Helvetica Neue" w:hAnsi="Helvetica Neue"/>
          <w:i/>
          <w:color w:val="555555"/>
          <w:sz w:val="24"/>
          <w:lang w:eastAsia="en-AU"/>
        </w:rPr>
      </w:pPr>
      <w:r w:rsidRPr="003E329A">
        <w:rPr>
          <w:rFonts w:ascii="Helvetica Neue" w:hAnsi="Helvetica Neue"/>
          <w:b/>
          <w:bCs/>
          <w:i/>
          <w:color w:val="1E5352"/>
          <w:sz w:val="24"/>
          <w:lang w:eastAsia="en-AU"/>
        </w:rPr>
        <w:t>1.</w:t>
      </w:r>
      <w:r w:rsidRPr="003E329A">
        <w:rPr>
          <w:rFonts w:ascii="Helvetica Neue" w:hAnsi="Helvetica Neue" w:hint="eastAsia"/>
          <w:b/>
          <w:bCs/>
          <w:i/>
          <w:color w:val="1E5352"/>
          <w:sz w:val="24"/>
          <w:lang w:eastAsia="en-AU"/>
        </w:rPr>
        <w:t> </w:t>
      </w:r>
      <w:r w:rsidRPr="003E329A">
        <w:rPr>
          <w:rFonts w:ascii="Helvetica Neue" w:hAnsi="Helvetica Neue" w:hint="eastAsia"/>
          <w:i/>
          <w:color w:val="555555"/>
          <w:sz w:val="24"/>
          <w:lang w:eastAsia="en-AU"/>
        </w:rPr>
        <w:t> </w:t>
      </w:r>
      <w:r w:rsidRPr="003E329A">
        <w:rPr>
          <w:rFonts w:ascii="Helvetica Neue" w:hAnsi="Helvetica Neue"/>
          <w:i/>
          <w:color w:val="555555"/>
          <w:sz w:val="24"/>
          <w:lang w:eastAsia="en-AU"/>
        </w:rPr>
        <w:t>a scheme or arrangement for raising money, as for some public, charitable, or private purpose, by the sale of a large number of tickets, certain among which, as determined by chance after the sale, entitle the holders to prizes.</w:t>
      </w:r>
    </w:p>
    <w:p w14:paraId="341DD270" w14:textId="77777777" w:rsidR="003E329A" w:rsidRPr="003E329A" w:rsidRDefault="003E329A" w:rsidP="003E329A">
      <w:pPr>
        <w:shd w:val="clear" w:color="auto" w:fill="FFFFFF"/>
        <w:spacing w:after="150"/>
        <w:ind w:left="567"/>
        <w:rPr>
          <w:rFonts w:ascii="Helvetica Neue" w:hAnsi="Helvetica Neue"/>
          <w:i/>
          <w:color w:val="555555"/>
          <w:sz w:val="24"/>
          <w:lang w:eastAsia="en-AU"/>
        </w:rPr>
      </w:pPr>
      <w:r w:rsidRPr="003E329A">
        <w:rPr>
          <w:rFonts w:ascii="Helvetica Neue" w:hAnsi="Helvetica Neue"/>
          <w:b/>
          <w:bCs/>
          <w:i/>
          <w:color w:val="1E5352"/>
          <w:sz w:val="24"/>
          <w:lang w:eastAsia="en-AU"/>
        </w:rPr>
        <w:t>2.</w:t>
      </w:r>
      <w:r w:rsidRPr="003E329A">
        <w:rPr>
          <w:rFonts w:ascii="Helvetica Neue" w:hAnsi="Helvetica Neue" w:hint="eastAsia"/>
          <w:b/>
          <w:bCs/>
          <w:i/>
          <w:color w:val="1E5352"/>
          <w:sz w:val="24"/>
          <w:lang w:eastAsia="en-AU"/>
        </w:rPr>
        <w:t> </w:t>
      </w:r>
      <w:r w:rsidRPr="003E329A">
        <w:rPr>
          <w:rFonts w:ascii="Helvetica Neue" w:hAnsi="Helvetica Neue" w:hint="eastAsia"/>
          <w:i/>
          <w:color w:val="555555"/>
          <w:sz w:val="24"/>
          <w:lang w:eastAsia="en-AU"/>
        </w:rPr>
        <w:t> </w:t>
      </w:r>
      <w:r w:rsidRPr="003E329A">
        <w:rPr>
          <w:rFonts w:ascii="Helvetica Neue" w:hAnsi="Helvetica Neue"/>
          <w:i/>
          <w:color w:val="555555"/>
          <w:sz w:val="24"/>
          <w:lang w:eastAsia="en-AU"/>
        </w:rPr>
        <w:t>any scheme for the distribution of prizes by chance.</w:t>
      </w:r>
    </w:p>
    <w:p w14:paraId="771ED8D1" w14:textId="77777777" w:rsidR="003E329A" w:rsidRPr="003E329A" w:rsidRDefault="003E329A" w:rsidP="003E329A">
      <w:pPr>
        <w:shd w:val="clear" w:color="auto" w:fill="FFFFFF"/>
        <w:spacing w:after="150"/>
        <w:ind w:left="567"/>
        <w:rPr>
          <w:rFonts w:ascii="Helvetica Neue" w:hAnsi="Helvetica Neue"/>
          <w:i/>
          <w:color w:val="555555"/>
          <w:sz w:val="24"/>
          <w:lang w:eastAsia="en-AU"/>
        </w:rPr>
      </w:pPr>
      <w:r w:rsidRPr="003E329A">
        <w:rPr>
          <w:rFonts w:ascii="Helvetica Neue" w:hAnsi="Helvetica Neue"/>
          <w:b/>
          <w:bCs/>
          <w:i/>
          <w:color w:val="1E5352"/>
          <w:sz w:val="24"/>
          <w:lang w:eastAsia="en-AU"/>
        </w:rPr>
        <w:t>3.</w:t>
      </w:r>
      <w:r w:rsidRPr="003E329A">
        <w:rPr>
          <w:rFonts w:ascii="Helvetica Neue" w:hAnsi="Helvetica Neue" w:hint="eastAsia"/>
          <w:b/>
          <w:bCs/>
          <w:i/>
          <w:color w:val="1E5352"/>
          <w:sz w:val="24"/>
          <w:lang w:eastAsia="en-AU"/>
        </w:rPr>
        <w:t> </w:t>
      </w:r>
      <w:r w:rsidRPr="003E329A">
        <w:rPr>
          <w:rFonts w:ascii="Helvetica Neue" w:hAnsi="Helvetica Neue" w:hint="eastAsia"/>
          <w:i/>
          <w:color w:val="555555"/>
          <w:sz w:val="24"/>
          <w:lang w:eastAsia="en-AU"/>
        </w:rPr>
        <w:t> </w:t>
      </w:r>
      <w:r w:rsidRPr="003E329A">
        <w:rPr>
          <w:rFonts w:ascii="Helvetica Neue" w:hAnsi="Helvetica Neue"/>
          <w:i/>
          <w:color w:val="555555"/>
          <w:sz w:val="24"/>
          <w:lang w:eastAsia="en-AU"/>
        </w:rPr>
        <w:t>any affair of chance.</w:t>
      </w:r>
    </w:p>
    <w:p w14:paraId="7570CAB9" w14:textId="77777777" w:rsidR="003E329A" w:rsidRPr="003E329A" w:rsidRDefault="003E329A" w:rsidP="00FF3C57">
      <w:pPr>
        <w:pStyle w:val="ListParagraph"/>
        <w:numPr>
          <w:ilvl w:val="0"/>
          <w:numId w:val="1"/>
        </w:numPr>
        <w:spacing w:before="120" w:after="120" w:line="259" w:lineRule="auto"/>
        <w:rPr>
          <w:rFonts w:ascii="Times New Roman" w:eastAsia="Calibri" w:hAnsi="Times New Roman"/>
          <w:sz w:val="24"/>
        </w:rPr>
      </w:pPr>
      <w:r w:rsidRPr="003E329A">
        <w:rPr>
          <w:rFonts w:ascii="Times New Roman" w:eastAsia="Calibri" w:hAnsi="Times New Roman"/>
          <w:sz w:val="24"/>
        </w:rPr>
        <w:t>The Lexis Nexis Australian Legal Dictionary defines ‘lottery’ as:</w:t>
      </w:r>
    </w:p>
    <w:p w14:paraId="031E24B4" w14:textId="77777777" w:rsidR="003E329A" w:rsidRPr="003E329A" w:rsidRDefault="003E329A" w:rsidP="003E329A">
      <w:pPr>
        <w:spacing w:before="240"/>
        <w:ind w:left="720"/>
        <w:rPr>
          <w:rFonts w:ascii="Times New Roman" w:hAnsi="Times New Roman"/>
          <w:i/>
          <w:sz w:val="24"/>
          <w:lang w:eastAsia="en-AU"/>
        </w:rPr>
      </w:pPr>
      <w:r w:rsidRPr="003E329A">
        <w:rPr>
          <w:rFonts w:ascii="Times New Roman" w:hAnsi="Times New Roman"/>
          <w:i/>
          <w:sz w:val="24"/>
          <w:lang w:eastAsia="en-AU"/>
        </w:rPr>
        <w:t>A contest where the outcome is mainly determined through the operation of chance, the disposition of prizes by lot….A contest remains a lottery even though some skill may be involved in the determination of the outcome, so long as the element of skill does not over-balance the element of chance.</w:t>
      </w:r>
    </w:p>
    <w:p w14:paraId="3672CCDB" w14:textId="77777777" w:rsidR="003E329A" w:rsidRPr="003E329A" w:rsidRDefault="003E329A" w:rsidP="003E329A">
      <w:pPr>
        <w:spacing w:after="120" w:line="276" w:lineRule="auto"/>
        <w:rPr>
          <w:rFonts w:ascii="Times New Roman" w:hAnsi="Times New Roman"/>
          <w:szCs w:val="22"/>
          <w:lang w:eastAsia="en-AU"/>
        </w:rPr>
      </w:pPr>
      <w:r w:rsidRPr="003E329A">
        <w:rPr>
          <w:rFonts w:ascii="Times New Roman" w:hAnsi="Times New Roman"/>
          <w:szCs w:val="22"/>
          <w:lang w:eastAsia="en-AU"/>
        </w:rPr>
        <w:t xml:space="preserve"> </w:t>
      </w:r>
    </w:p>
    <w:p w14:paraId="2E5A3332" w14:textId="524A62A0" w:rsidR="003E329A" w:rsidRPr="003E329A" w:rsidRDefault="004851BD" w:rsidP="003E329A">
      <w:pPr>
        <w:spacing w:before="240"/>
        <w:ind w:left="720" w:hanging="720"/>
        <w:rPr>
          <w:rFonts w:ascii="Times New Roman" w:hAnsi="Times New Roman"/>
          <w:b/>
          <w:sz w:val="24"/>
          <w:lang w:eastAsia="en-AU"/>
        </w:rPr>
      </w:pPr>
      <w:r w:rsidRPr="004851BD">
        <w:rPr>
          <w:rFonts w:ascii="Times New Roman" w:hAnsi="Times New Roman"/>
          <w:b/>
          <w:i/>
          <w:sz w:val="24"/>
        </w:rPr>
        <w:t>A</w:t>
      </w:r>
      <w:r w:rsidR="003E329A" w:rsidRPr="003E329A">
        <w:rPr>
          <w:rFonts w:ascii="Times New Roman" w:hAnsi="Times New Roman"/>
          <w:b/>
          <w:i/>
          <w:sz w:val="24"/>
        </w:rPr>
        <w:t xml:space="preserve">mendment to Chapter 48 </w:t>
      </w:r>
    </w:p>
    <w:p w14:paraId="556ACCB8" w14:textId="77777777" w:rsidR="003E329A" w:rsidRPr="003E329A" w:rsidRDefault="003E329A" w:rsidP="00FF3C57">
      <w:pPr>
        <w:pStyle w:val="ListParagraph"/>
        <w:numPr>
          <w:ilvl w:val="0"/>
          <w:numId w:val="1"/>
        </w:numPr>
        <w:spacing w:before="120" w:after="120" w:line="259" w:lineRule="auto"/>
        <w:rPr>
          <w:rFonts w:ascii="Times New Roman" w:eastAsia="Calibri" w:hAnsi="Times New Roman"/>
          <w:sz w:val="24"/>
        </w:rPr>
      </w:pPr>
      <w:r w:rsidRPr="003E329A">
        <w:rPr>
          <w:rFonts w:ascii="Times New Roman" w:eastAsia="Calibri" w:hAnsi="Times New Roman"/>
          <w:sz w:val="24"/>
        </w:rPr>
        <w:t>When an employer pays salaries, wages, superannuation and other benefits directly to their employees, the employer is not regulated under the AML/CTF Act. When such a payment is made by an employer, these activities are considered a direct transfer from a payer to a payee, where the bank is providing the designated service.</w:t>
      </w:r>
    </w:p>
    <w:p w14:paraId="7D3C9A96" w14:textId="3F509BE0" w:rsidR="003E329A" w:rsidRPr="003E329A" w:rsidRDefault="003E329A" w:rsidP="00FF3C57">
      <w:pPr>
        <w:pStyle w:val="ListParagraph"/>
        <w:numPr>
          <w:ilvl w:val="0"/>
          <w:numId w:val="1"/>
        </w:numPr>
        <w:spacing w:before="120" w:after="120" w:line="259" w:lineRule="auto"/>
        <w:rPr>
          <w:rFonts w:ascii="Times New Roman" w:eastAsia="Calibri" w:hAnsi="Times New Roman"/>
          <w:sz w:val="24"/>
        </w:rPr>
      </w:pPr>
      <w:r w:rsidRPr="003E329A">
        <w:rPr>
          <w:rFonts w:ascii="Times New Roman" w:eastAsia="Calibri" w:hAnsi="Times New Roman"/>
          <w:sz w:val="24"/>
        </w:rPr>
        <w:t xml:space="preserve">For reasons of efficiency and convenience, an employer may outsource payroll functions to specialist payroll services businesses. These businesses are non-financiers and technically providing a designated service under a designated remittance arrangement. </w:t>
      </w:r>
    </w:p>
    <w:p w14:paraId="19037457" w14:textId="77777777" w:rsidR="003E329A" w:rsidRPr="003E329A" w:rsidRDefault="003E329A" w:rsidP="00FF3C57">
      <w:pPr>
        <w:pStyle w:val="ListParagraph"/>
        <w:numPr>
          <w:ilvl w:val="0"/>
          <w:numId w:val="1"/>
        </w:numPr>
        <w:spacing w:before="120" w:after="120" w:line="259" w:lineRule="auto"/>
        <w:rPr>
          <w:rFonts w:ascii="Times New Roman" w:eastAsia="Calibri" w:hAnsi="Times New Roman"/>
          <w:sz w:val="24"/>
        </w:rPr>
      </w:pPr>
      <w:r w:rsidRPr="003E329A">
        <w:rPr>
          <w:rFonts w:ascii="Times New Roman" w:eastAsia="Calibri" w:hAnsi="Times New Roman"/>
          <w:sz w:val="24"/>
        </w:rPr>
        <w:t xml:space="preserve">When such a business accepts and processes an instruction from its client to make payroll-related payments to the client’s employees, it may be providing designated services under items 31 and 32 of table 1 of section 6(2) of the AML/CTF Act. </w:t>
      </w:r>
    </w:p>
    <w:p w14:paraId="3492ED38" w14:textId="77777777" w:rsidR="003E329A" w:rsidRPr="003E329A" w:rsidRDefault="003E329A" w:rsidP="00FF3C57">
      <w:pPr>
        <w:pStyle w:val="ListParagraph"/>
        <w:numPr>
          <w:ilvl w:val="0"/>
          <w:numId w:val="1"/>
        </w:numPr>
        <w:spacing w:before="120" w:after="120" w:line="259" w:lineRule="auto"/>
        <w:rPr>
          <w:rFonts w:ascii="Times New Roman" w:eastAsia="Calibri" w:hAnsi="Times New Roman"/>
          <w:sz w:val="24"/>
        </w:rPr>
      </w:pPr>
      <w:r w:rsidRPr="003E329A">
        <w:rPr>
          <w:rFonts w:ascii="Times New Roman" w:eastAsia="Calibri" w:hAnsi="Times New Roman"/>
          <w:sz w:val="24"/>
        </w:rPr>
        <w:t>Similarly, when businesses providing superannuation clearing house services accept and execute instructions from a client relating to the payment of superannuation contributions, they may provide designated services under item 31 of table 1 of section 6(2) of the AML/CTF Act.</w:t>
      </w:r>
    </w:p>
    <w:p w14:paraId="2D8DC9A7" w14:textId="067F3845" w:rsidR="003E329A" w:rsidRPr="003E329A" w:rsidRDefault="003E329A" w:rsidP="00FF3C57">
      <w:pPr>
        <w:pStyle w:val="ListParagraph"/>
        <w:numPr>
          <w:ilvl w:val="0"/>
          <w:numId w:val="1"/>
        </w:numPr>
        <w:spacing w:before="120" w:after="120" w:line="259" w:lineRule="auto"/>
        <w:rPr>
          <w:rFonts w:ascii="Times New Roman" w:eastAsia="Calibri" w:hAnsi="Times New Roman"/>
          <w:sz w:val="24"/>
        </w:rPr>
      </w:pPr>
      <w:r w:rsidRPr="003E329A">
        <w:rPr>
          <w:rFonts w:ascii="Times New Roman" w:eastAsia="Calibri" w:hAnsi="Times New Roman"/>
          <w:sz w:val="24"/>
        </w:rPr>
        <w:t xml:space="preserve">Chapter 48 of the AML/CTF Rules includes </w:t>
      </w:r>
      <w:bookmarkStart w:id="0" w:name="_Toc37945076"/>
      <w:r w:rsidRPr="003E329A">
        <w:rPr>
          <w:rFonts w:ascii="Times New Roman" w:eastAsia="Calibri" w:hAnsi="Times New Roman"/>
          <w:sz w:val="24"/>
        </w:rPr>
        <w:t xml:space="preserve">exemptions of </w:t>
      </w:r>
      <w:r w:rsidR="00B26FEF" w:rsidRPr="00FF3C57">
        <w:rPr>
          <w:rFonts w:ascii="Times New Roman" w:eastAsia="Calibri" w:hAnsi="Times New Roman"/>
          <w:sz w:val="24"/>
        </w:rPr>
        <w:t xml:space="preserve">specified designated services relating to </w:t>
      </w:r>
      <w:r w:rsidRPr="003E329A">
        <w:rPr>
          <w:rFonts w:ascii="Times New Roman" w:eastAsia="Calibri" w:hAnsi="Times New Roman"/>
          <w:sz w:val="24"/>
        </w:rPr>
        <w:t>salary packaging administration services from the AML/CTF Act</w:t>
      </w:r>
      <w:bookmarkEnd w:id="0"/>
      <w:r w:rsidRPr="003E329A">
        <w:rPr>
          <w:rFonts w:ascii="Times New Roman" w:eastAsia="Calibri" w:hAnsi="Times New Roman"/>
          <w:sz w:val="24"/>
        </w:rPr>
        <w:t xml:space="preserve">. </w:t>
      </w:r>
      <w:r w:rsidR="00713353" w:rsidRPr="00FF3C57">
        <w:rPr>
          <w:rFonts w:ascii="Times New Roman" w:eastAsia="Calibri" w:hAnsi="Times New Roman"/>
          <w:sz w:val="24"/>
        </w:rPr>
        <w:t>This Instrument amends</w:t>
      </w:r>
      <w:r w:rsidRPr="003E329A">
        <w:rPr>
          <w:rFonts w:ascii="Times New Roman" w:eastAsia="Calibri" w:hAnsi="Times New Roman"/>
          <w:sz w:val="24"/>
        </w:rPr>
        <w:t xml:space="preserve"> Chapter 48 </w:t>
      </w:r>
      <w:r w:rsidR="00713353" w:rsidRPr="00FF3C57">
        <w:rPr>
          <w:rFonts w:ascii="Times New Roman" w:eastAsia="Calibri" w:hAnsi="Times New Roman"/>
          <w:sz w:val="24"/>
        </w:rPr>
        <w:t xml:space="preserve">by </w:t>
      </w:r>
      <w:r w:rsidRPr="003E329A">
        <w:rPr>
          <w:rFonts w:ascii="Times New Roman" w:eastAsia="Calibri" w:hAnsi="Times New Roman"/>
          <w:sz w:val="24"/>
        </w:rPr>
        <w:t>expand</w:t>
      </w:r>
      <w:r w:rsidR="00713353" w:rsidRPr="00FF3C57">
        <w:rPr>
          <w:rFonts w:ascii="Times New Roman" w:eastAsia="Calibri" w:hAnsi="Times New Roman"/>
          <w:sz w:val="24"/>
        </w:rPr>
        <w:t>ing</w:t>
      </w:r>
      <w:r w:rsidRPr="003E329A">
        <w:rPr>
          <w:rFonts w:ascii="Times New Roman" w:eastAsia="Calibri" w:hAnsi="Times New Roman"/>
          <w:sz w:val="24"/>
        </w:rPr>
        <w:t xml:space="preserve"> the current exemption </w:t>
      </w:r>
      <w:r w:rsidR="00B26FEF" w:rsidRPr="00FF3C57">
        <w:rPr>
          <w:rFonts w:ascii="Times New Roman" w:eastAsia="Calibri" w:hAnsi="Times New Roman"/>
          <w:sz w:val="24"/>
        </w:rPr>
        <w:t>relating to</w:t>
      </w:r>
      <w:r w:rsidRPr="003E329A">
        <w:rPr>
          <w:rFonts w:ascii="Times New Roman" w:eastAsia="Calibri" w:hAnsi="Times New Roman"/>
          <w:sz w:val="24"/>
        </w:rPr>
        <w:t xml:space="preserve"> salary packaging services to include </w:t>
      </w:r>
      <w:r w:rsidR="00442CFC">
        <w:rPr>
          <w:rFonts w:ascii="Times New Roman" w:eastAsia="Calibri" w:hAnsi="Times New Roman"/>
          <w:sz w:val="24"/>
        </w:rPr>
        <w:t xml:space="preserve">the </w:t>
      </w:r>
      <w:r w:rsidR="00B26FEF" w:rsidRPr="00FF3C57">
        <w:rPr>
          <w:rFonts w:ascii="Times New Roman" w:eastAsia="Calibri" w:hAnsi="Times New Roman"/>
          <w:sz w:val="24"/>
        </w:rPr>
        <w:t xml:space="preserve">specified designated services when they relate to </w:t>
      </w:r>
      <w:r w:rsidRPr="003E329A">
        <w:rPr>
          <w:rFonts w:ascii="Times New Roman" w:eastAsia="Calibri" w:hAnsi="Times New Roman"/>
          <w:sz w:val="24"/>
        </w:rPr>
        <w:t xml:space="preserve">payroll and superannuation clearance services. The </w:t>
      </w:r>
      <w:r w:rsidRPr="003E329A">
        <w:rPr>
          <w:rFonts w:ascii="Times New Roman" w:eastAsia="Calibri" w:hAnsi="Times New Roman"/>
          <w:sz w:val="24"/>
        </w:rPr>
        <w:lastRenderedPageBreak/>
        <w:t>amendment does not change the existing definition of salary packaging in Chapter 48.</w:t>
      </w:r>
    </w:p>
    <w:p w14:paraId="337DC9DC" w14:textId="160D291D" w:rsidR="003E329A" w:rsidRPr="003E329A" w:rsidRDefault="003E329A" w:rsidP="00FF3C57">
      <w:pPr>
        <w:pStyle w:val="ListParagraph"/>
        <w:numPr>
          <w:ilvl w:val="0"/>
          <w:numId w:val="1"/>
        </w:numPr>
        <w:spacing w:before="120" w:after="120" w:line="259" w:lineRule="auto"/>
        <w:rPr>
          <w:rFonts w:ascii="Times New Roman" w:eastAsia="Calibri" w:hAnsi="Times New Roman"/>
          <w:sz w:val="24"/>
        </w:rPr>
      </w:pPr>
      <w:r w:rsidRPr="003E329A">
        <w:rPr>
          <w:rFonts w:ascii="Times New Roman" w:eastAsia="Calibri" w:hAnsi="Times New Roman"/>
          <w:sz w:val="24"/>
        </w:rPr>
        <w:t xml:space="preserve">For the purposes of </w:t>
      </w:r>
      <w:r w:rsidR="00B26FEF" w:rsidRPr="00FF3C57">
        <w:rPr>
          <w:rFonts w:ascii="Times New Roman" w:eastAsia="Calibri" w:hAnsi="Times New Roman"/>
          <w:sz w:val="24"/>
        </w:rPr>
        <w:t xml:space="preserve">Chapter 48 of </w:t>
      </w:r>
      <w:r w:rsidRPr="003E329A">
        <w:rPr>
          <w:rFonts w:ascii="Times New Roman" w:eastAsia="Calibri" w:hAnsi="Times New Roman"/>
          <w:sz w:val="24"/>
        </w:rPr>
        <w:t>the AML/CTF Rules,</w:t>
      </w:r>
    </w:p>
    <w:p w14:paraId="7BB5CD9E" w14:textId="302BD320" w:rsidR="003E329A" w:rsidRPr="003E329A" w:rsidRDefault="003E329A" w:rsidP="003E329A">
      <w:pPr>
        <w:numPr>
          <w:ilvl w:val="0"/>
          <w:numId w:val="14"/>
        </w:numPr>
        <w:spacing w:before="240" w:after="160" w:line="260" w:lineRule="atLeast"/>
        <w:ind w:left="714" w:hanging="357"/>
        <w:rPr>
          <w:rFonts w:ascii="Times New Roman" w:hAnsi="Times New Roman"/>
          <w:sz w:val="24"/>
          <w:lang w:eastAsia="en-AU"/>
        </w:rPr>
      </w:pPr>
      <w:r w:rsidRPr="003E329A">
        <w:rPr>
          <w:rFonts w:ascii="Times New Roman" w:hAnsi="Times New Roman"/>
          <w:sz w:val="24"/>
          <w:lang w:eastAsia="en-AU"/>
        </w:rPr>
        <w:t>‘payroll’ is defined to include the payment of salary, wages, and other benefits to an employee on behalf of an employer client. It also includes making deductions and payments on behalf of the employee for matters such as superannuation contributions, taxation and professional and union membership fees, and</w:t>
      </w:r>
    </w:p>
    <w:p w14:paraId="089E184B" w14:textId="77C55E07" w:rsidR="003E329A" w:rsidRPr="003E329A" w:rsidRDefault="003E329A" w:rsidP="003E329A">
      <w:pPr>
        <w:numPr>
          <w:ilvl w:val="0"/>
          <w:numId w:val="14"/>
        </w:numPr>
        <w:spacing w:before="240" w:after="160" w:line="260" w:lineRule="atLeast"/>
        <w:ind w:left="714" w:hanging="357"/>
        <w:rPr>
          <w:rFonts w:ascii="Times New Roman" w:hAnsi="Times New Roman"/>
          <w:sz w:val="24"/>
          <w:lang w:eastAsia="en-AU"/>
        </w:rPr>
      </w:pPr>
      <w:r w:rsidRPr="003E329A">
        <w:rPr>
          <w:rFonts w:ascii="Times New Roman" w:hAnsi="Times New Roman"/>
          <w:sz w:val="24"/>
          <w:lang w:eastAsia="en-AU"/>
        </w:rPr>
        <w:t>‘superannuation clearance’ is defined to include the payment of superannuation contributions to an employee’s nominated superannuation fund on behalf of an employer client.</w:t>
      </w:r>
    </w:p>
    <w:p w14:paraId="541E8AD2" w14:textId="6FC74155" w:rsidR="00017141" w:rsidRPr="00C46410" w:rsidRDefault="009B309E" w:rsidP="00C1088D">
      <w:pPr>
        <w:spacing w:before="360" w:after="160" w:line="259" w:lineRule="auto"/>
        <w:rPr>
          <w:rFonts w:ascii="Times New Roman" w:eastAsia="Calibri" w:hAnsi="Times New Roman"/>
          <w:b/>
          <w:caps/>
          <w:sz w:val="24"/>
        </w:rPr>
      </w:pPr>
      <w:r w:rsidRPr="00C46410">
        <w:rPr>
          <w:rFonts w:ascii="Times New Roman" w:eastAsia="Calibri" w:hAnsi="Times New Roman"/>
          <w:b/>
          <w:caps/>
          <w:sz w:val="24"/>
        </w:rPr>
        <w:t>Consultation</w:t>
      </w:r>
    </w:p>
    <w:p w14:paraId="20C5CE16" w14:textId="31180A37" w:rsidR="0058710C" w:rsidRPr="00BF5792" w:rsidRDefault="0058710C" w:rsidP="00BF5792">
      <w:pPr>
        <w:pStyle w:val="ListParagraph"/>
        <w:numPr>
          <w:ilvl w:val="0"/>
          <w:numId w:val="1"/>
        </w:numPr>
        <w:spacing w:before="120" w:after="120" w:line="259" w:lineRule="auto"/>
        <w:rPr>
          <w:rFonts w:ascii="Times New Roman" w:eastAsia="Calibri" w:hAnsi="Times New Roman"/>
          <w:sz w:val="24"/>
        </w:rPr>
      </w:pPr>
      <w:r w:rsidRPr="00BF5792">
        <w:rPr>
          <w:rFonts w:ascii="Times New Roman" w:eastAsia="Calibri" w:hAnsi="Times New Roman"/>
          <w:sz w:val="24"/>
        </w:rPr>
        <w:t xml:space="preserve">Draft AML/CTF Rules were released on </w:t>
      </w:r>
      <w:r w:rsidR="006D1794">
        <w:rPr>
          <w:rFonts w:ascii="Times New Roman" w:eastAsia="Calibri" w:hAnsi="Times New Roman"/>
          <w:sz w:val="24"/>
        </w:rPr>
        <w:t>30 July 2021</w:t>
      </w:r>
      <w:r w:rsidRPr="00BF5792">
        <w:rPr>
          <w:rFonts w:ascii="Times New Roman" w:eastAsia="Calibri" w:hAnsi="Times New Roman"/>
          <w:sz w:val="24"/>
        </w:rPr>
        <w:t xml:space="preserve"> for a </w:t>
      </w:r>
      <w:r w:rsidR="00507CCA">
        <w:rPr>
          <w:rFonts w:ascii="Times New Roman" w:eastAsia="Calibri" w:hAnsi="Times New Roman"/>
          <w:sz w:val="24"/>
        </w:rPr>
        <w:t>four</w:t>
      </w:r>
      <w:r w:rsidRPr="00BF5792">
        <w:rPr>
          <w:rFonts w:ascii="Times New Roman" w:eastAsia="Calibri" w:hAnsi="Times New Roman"/>
          <w:sz w:val="24"/>
        </w:rPr>
        <w:t>-week period of public consultation. Ongoing consultation with industry</w:t>
      </w:r>
      <w:r w:rsidR="008320A3" w:rsidRPr="00BF5792">
        <w:rPr>
          <w:rFonts w:ascii="Times New Roman" w:eastAsia="Calibri" w:hAnsi="Times New Roman"/>
          <w:sz w:val="24"/>
        </w:rPr>
        <w:t xml:space="preserve"> </w:t>
      </w:r>
      <w:r w:rsidRPr="00BF5792">
        <w:rPr>
          <w:rFonts w:ascii="Times New Roman" w:eastAsia="Calibri" w:hAnsi="Times New Roman"/>
          <w:sz w:val="24"/>
        </w:rPr>
        <w:t>was undertaken</w:t>
      </w:r>
      <w:r w:rsidR="008320A3" w:rsidRPr="00BF5792">
        <w:rPr>
          <w:rFonts w:ascii="Times New Roman" w:eastAsia="Calibri" w:hAnsi="Times New Roman"/>
          <w:sz w:val="24"/>
        </w:rPr>
        <w:t xml:space="preserve"> following the public consultation period</w:t>
      </w:r>
      <w:r w:rsidRPr="00BF5792">
        <w:rPr>
          <w:rFonts w:ascii="Times New Roman" w:eastAsia="Calibri" w:hAnsi="Times New Roman"/>
          <w:sz w:val="24"/>
        </w:rPr>
        <w:t>.</w:t>
      </w:r>
    </w:p>
    <w:p w14:paraId="1BD50BEE" w14:textId="45F32D3F" w:rsidR="00017141" w:rsidRPr="00C46410" w:rsidRDefault="009B309E" w:rsidP="00BF5792">
      <w:pPr>
        <w:spacing w:before="360" w:after="160" w:line="259" w:lineRule="auto"/>
        <w:rPr>
          <w:rFonts w:ascii="Times New Roman" w:eastAsia="Calibri" w:hAnsi="Times New Roman"/>
          <w:b/>
          <w:caps/>
          <w:sz w:val="24"/>
        </w:rPr>
      </w:pPr>
      <w:r w:rsidRPr="00C46410">
        <w:rPr>
          <w:rFonts w:ascii="Times New Roman" w:eastAsia="Calibri" w:hAnsi="Times New Roman"/>
          <w:b/>
          <w:caps/>
          <w:sz w:val="24"/>
        </w:rPr>
        <w:t xml:space="preserve">Regulation impact statement </w:t>
      </w:r>
    </w:p>
    <w:p w14:paraId="02122FAE" w14:textId="4650891F" w:rsidR="00A05511" w:rsidRPr="00BF5792" w:rsidRDefault="002F62ED" w:rsidP="00FF3C57">
      <w:pPr>
        <w:pStyle w:val="ListParagraph"/>
        <w:numPr>
          <w:ilvl w:val="0"/>
          <w:numId w:val="1"/>
        </w:numPr>
        <w:spacing w:before="120" w:after="120" w:line="259" w:lineRule="auto"/>
        <w:rPr>
          <w:rFonts w:ascii="Times New Roman" w:eastAsia="Calibri" w:hAnsi="Times New Roman"/>
          <w:sz w:val="24"/>
        </w:rPr>
      </w:pPr>
      <w:r w:rsidRPr="00BF5792">
        <w:rPr>
          <w:rFonts w:ascii="Times New Roman" w:eastAsia="Calibri" w:hAnsi="Times New Roman"/>
          <w:sz w:val="24"/>
        </w:rPr>
        <w:t xml:space="preserve">The Office of Best Practice </w:t>
      </w:r>
      <w:r w:rsidR="00C46410" w:rsidRPr="00BF5792">
        <w:rPr>
          <w:rFonts w:ascii="Times New Roman" w:eastAsia="Calibri" w:hAnsi="Times New Roman"/>
          <w:sz w:val="24"/>
        </w:rPr>
        <w:t xml:space="preserve">and </w:t>
      </w:r>
      <w:r w:rsidRPr="00BF5792">
        <w:rPr>
          <w:rFonts w:ascii="Times New Roman" w:eastAsia="Calibri" w:hAnsi="Times New Roman"/>
          <w:sz w:val="24"/>
        </w:rPr>
        <w:t xml:space="preserve">Regulation has advised that a Regulatory Impact Statement is not required as the amendments to the AML/CTF Rules </w:t>
      </w:r>
      <w:r w:rsidR="00044B95">
        <w:rPr>
          <w:rFonts w:ascii="Times New Roman" w:eastAsia="Calibri" w:hAnsi="Times New Roman"/>
          <w:sz w:val="24"/>
        </w:rPr>
        <w:t xml:space="preserve">are </w:t>
      </w:r>
      <w:r w:rsidR="00044B95" w:rsidRPr="00044B95">
        <w:rPr>
          <w:rFonts w:ascii="Times New Roman" w:eastAsia="Calibri" w:hAnsi="Times New Roman"/>
          <w:sz w:val="24"/>
        </w:rPr>
        <w:t>unlikely to have a more than minor regulatory impact.</w:t>
      </w:r>
    </w:p>
    <w:p w14:paraId="57377164" w14:textId="77777777" w:rsidR="00017141" w:rsidRPr="00733D11" w:rsidRDefault="00017141" w:rsidP="00733D11">
      <w:pPr>
        <w:spacing w:line="276" w:lineRule="auto"/>
        <w:rPr>
          <w:rFonts w:ascii="Times New Roman" w:eastAsia="Calibri" w:hAnsi="Times New Roman"/>
          <w:sz w:val="24"/>
          <w:szCs w:val="22"/>
        </w:rPr>
      </w:pPr>
    </w:p>
    <w:p w14:paraId="46C5B318" w14:textId="77777777" w:rsidR="009B309E" w:rsidRPr="0060668C" w:rsidRDefault="009B309E" w:rsidP="00BF5792">
      <w:pPr>
        <w:spacing w:after="160" w:line="360" w:lineRule="auto"/>
        <w:jc w:val="right"/>
        <w:rPr>
          <w:rFonts w:ascii="Times New Roman" w:eastAsia="Calibri" w:hAnsi="Times New Roman"/>
          <w:b/>
          <w:caps/>
          <w:sz w:val="24"/>
          <w:u w:val="single"/>
        </w:rPr>
      </w:pPr>
      <w:r w:rsidRPr="00733D11">
        <w:rPr>
          <w:rFonts w:ascii="Times New Roman" w:eastAsia="Calibri" w:hAnsi="Times New Roman"/>
          <w:b/>
          <w:caps/>
          <w:sz w:val="24"/>
        </w:rPr>
        <w:br w:type="page"/>
      </w:r>
      <w:r w:rsidRPr="0060668C">
        <w:rPr>
          <w:rFonts w:ascii="Times New Roman" w:eastAsia="Calibri" w:hAnsi="Times New Roman"/>
          <w:b/>
          <w:caps/>
          <w:sz w:val="24"/>
          <w:u w:val="single"/>
        </w:rPr>
        <w:lastRenderedPageBreak/>
        <w:t>ATTACHMENT A</w:t>
      </w:r>
    </w:p>
    <w:p w14:paraId="3DA72700" w14:textId="77777777" w:rsidR="00B04F55" w:rsidRDefault="00B04F55" w:rsidP="00B04F55">
      <w:pPr>
        <w:spacing w:before="240"/>
        <w:rPr>
          <w:rFonts w:ascii="Times New Roman" w:hAnsi="Times New Roman"/>
          <w:b/>
          <w:sz w:val="24"/>
        </w:rPr>
      </w:pPr>
    </w:p>
    <w:p w14:paraId="27035FD6" w14:textId="587AE619" w:rsidR="00B04F55" w:rsidRPr="00C1088D" w:rsidRDefault="00B04F55" w:rsidP="00C1088D">
      <w:pPr>
        <w:spacing w:before="240" w:after="160" w:line="259" w:lineRule="auto"/>
        <w:rPr>
          <w:rFonts w:ascii="Times New Roman" w:eastAsia="Calibri" w:hAnsi="Times New Roman"/>
          <w:b/>
          <w:i/>
          <w:sz w:val="24"/>
        </w:rPr>
      </w:pPr>
      <w:r w:rsidRPr="00BF6A36">
        <w:rPr>
          <w:rFonts w:ascii="Times New Roman" w:eastAsia="Calibri" w:hAnsi="Times New Roman"/>
          <w:b/>
          <w:i/>
          <w:sz w:val="24"/>
        </w:rPr>
        <w:t>Anti-Money Laundering and Counter-Terrorism Financing Rules Amendment Instrument 20</w:t>
      </w:r>
      <w:r w:rsidR="005C28B5" w:rsidRPr="00BF6A36">
        <w:rPr>
          <w:rFonts w:ascii="Times New Roman" w:eastAsia="Calibri" w:hAnsi="Times New Roman"/>
          <w:b/>
          <w:i/>
          <w:sz w:val="24"/>
        </w:rPr>
        <w:t>2</w:t>
      </w:r>
      <w:r w:rsidR="00C46410" w:rsidRPr="00BF6A36">
        <w:rPr>
          <w:rFonts w:ascii="Times New Roman" w:eastAsia="Calibri" w:hAnsi="Times New Roman"/>
          <w:b/>
          <w:i/>
          <w:sz w:val="24"/>
        </w:rPr>
        <w:t>1</w:t>
      </w:r>
      <w:r w:rsidRPr="00C1088D">
        <w:rPr>
          <w:rFonts w:ascii="Times New Roman" w:eastAsia="Calibri" w:hAnsi="Times New Roman"/>
          <w:b/>
          <w:i/>
          <w:sz w:val="24"/>
        </w:rPr>
        <w:t xml:space="preserve"> (No. </w:t>
      </w:r>
      <w:r w:rsidR="007F18B0">
        <w:rPr>
          <w:rFonts w:ascii="Times New Roman" w:eastAsia="Calibri" w:hAnsi="Times New Roman"/>
          <w:b/>
          <w:i/>
          <w:sz w:val="24"/>
        </w:rPr>
        <w:t>3</w:t>
      </w:r>
      <w:r w:rsidRPr="00C1088D">
        <w:rPr>
          <w:rFonts w:ascii="Times New Roman" w:eastAsia="Calibri" w:hAnsi="Times New Roman"/>
          <w:b/>
          <w:i/>
          <w:sz w:val="24"/>
        </w:rPr>
        <w:t xml:space="preserve">) </w:t>
      </w:r>
    </w:p>
    <w:p w14:paraId="19C4B0D8" w14:textId="77777777" w:rsidR="00C46410" w:rsidRPr="00BF6A36" w:rsidRDefault="00C46410" w:rsidP="00C46410">
      <w:pPr>
        <w:spacing w:before="240" w:line="259" w:lineRule="auto"/>
        <w:rPr>
          <w:rFonts w:ascii="Times New Roman" w:hAnsi="Times New Roman"/>
          <w:b/>
          <w:sz w:val="24"/>
        </w:rPr>
      </w:pPr>
      <w:r w:rsidRPr="00BF6A36">
        <w:rPr>
          <w:rFonts w:ascii="Times New Roman" w:hAnsi="Times New Roman"/>
          <w:b/>
          <w:sz w:val="24"/>
        </w:rPr>
        <w:t>Section 1—Name</w:t>
      </w:r>
    </w:p>
    <w:p w14:paraId="110DBB82" w14:textId="604026AC" w:rsidR="00B04F55" w:rsidRPr="0060668C" w:rsidRDefault="00B04F55" w:rsidP="00BC6A40">
      <w:pPr>
        <w:autoSpaceDE w:val="0"/>
        <w:autoSpaceDN w:val="0"/>
        <w:adjustRightInd w:val="0"/>
        <w:spacing w:before="240" w:line="259" w:lineRule="auto"/>
        <w:rPr>
          <w:rFonts w:ascii="Times New Roman" w:hAnsi="Times New Roman"/>
          <w:sz w:val="24"/>
        </w:rPr>
      </w:pPr>
      <w:r w:rsidRPr="0060668C">
        <w:rPr>
          <w:rFonts w:ascii="Times New Roman" w:hAnsi="Times New Roman"/>
          <w:sz w:val="24"/>
        </w:rPr>
        <w:t xml:space="preserve">This section </w:t>
      </w:r>
      <w:r w:rsidR="00206C4A" w:rsidRPr="0060668C">
        <w:rPr>
          <w:rFonts w:ascii="Times New Roman" w:hAnsi="Times New Roman"/>
          <w:sz w:val="24"/>
        </w:rPr>
        <w:t>provides that the name of the Instrument is</w:t>
      </w:r>
      <w:r w:rsidRPr="0060668C">
        <w:rPr>
          <w:rFonts w:ascii="Times New Roman" w:hAnsi="Times New Roman"/>
          <w:sz w:val="24"/>
        </w:rPr>
        <w:t xml:space="preserve"> the </w:t>
      </w:r>
      <w:r w:rsidRPr="0060668C">
        <w:rPr>
          <w:rFonts w:ascii="Times New Roman" w:hAnsi="Times New Roman"/>
          <w:i/>
          <w:sz w:val="24"/>
        </w:rPr>
        <w:t>Anti-Money Laundering and Counter-Terrorism Financing Rules Amendment Instrument 20</w:t>
      </w:r>
      <w:r w:rsidR="005C28B5" w:rsidRPr="0060668C">
        <w:rPr>
          <w:rFonts w:ascii="Times New Roman" w:hAnsi="Times New Roman"/>
          <w:i/>
          <w:sz w:val="24"/>
        </w:rPr>
        <w:t>2</w:t>
      </w:r>
      <w:r w:rsidR="00FE31BF" w:rsidRPr="0060668C">
        <w:rPr>
          <w:rFonts w:ascii="Times New Roman" w:hAnsi="Times New Roman"/>
          <w:i/>
          <w:sz w:val="24"/>
        </w:rPr>
        <w:t>1</w:t>
      </w:r>
      <w:r w:rsidRPr="0060668C">
        <w:rPr>
          <w:rFonts w:ascii="Times New Roman" w:hAnsi="Times New Roman"/>
          <w:i/>
          <w:sz w:val="24"/>
        </w:rPr>
        <w:t xml:space="preserve"> (No. </w:t>
      </w:r>
      <w:r w:rsidR="007F18B0">
        <w:rPr>
          <w:rFonts w:ascii="Times New Roman" w:hAnsi="Times New Roman"/>
          <w:i/>
          <w:sz w:val="24"/>
        </w:rPr>
        <w:t>3</w:t>
      </w:r>
      <w:r w:rsidRPr="0060668C">
        <w:rPr>
          <w:rFonts w:ascii="Times New Roman" w:hAnsi="Times New Roman"/>
          <w:sz w:val="24"/>
        </w:rPr>
        <w:t>).</w:t>
      </w:r>
    </w:p>
    <w:p w14:paraId="53188F4B" w14:textId="77777777" w:rsidR="00C46410" w:rsidRPr="00BF6A36" w:rsidRDefault="00C46410" w:rsidP="00C46410">
      <w:pPr>
        <w:spacing w:before="240" w:line="259" w:lineRule="auto"/>
        <w:rPr>
          <w:rFonts w:ascii="Times New Roman" w:hAnsi="Times New Roman"/>
          <w:b/>
          <w:sz w:val="24"/>
        </w:rPr>
      </w:pPr>
      <w:r w:rsidRPr="00BF6A36">
        <w:rPr>
          <w:rFonts w:ascii="Times New Roman" w:hAnsi="Times New Roman"/>
          <w:b/>
          <w:sz w:val="24"/>
        </w:rPr>
        <w:t>Section 2—Commencement</w:t>
      </w:r>
    </w:p>
    <w:p w14:paraId="0F7EB19E" w14:textId="3963D53D" w:rsidR="00206C4A" w:rsidRPr="0060668C" w:rsidRDefault="00B04F55" w:rsidP="0060668C">
      <w:pPr>
        <w:autoSpaceDE w:val="0"/>
        <w:autoSpaceDN w:val="0"/>
        <w:adjustRightInd w:val="0"/>
        <w:spacing w:before="240" w:line="259" w:lineRule="auto"/>
        <w:rPr>
          <w:rFonts w:ascii="Times New Roman" w:hAnsi="Times New Roman"/>
          <w:sz w:val="24"/>
        </w:rPr>
      </w:pPr>
      <w:r w:rsidRPr="0060668C">
        <w:rPr>
          <w:rFonts w:ascii="Times New Roman" w:hAnsi="Times New Roman"/>
          <w:sz w:val="24"/>
        </w:rPr>
        <w:t>This section</w:t>
      </w:r>
      <w:r w:rsidR="00BF6A36">
        <w:rPr>
          <w:rFonts w:ascii="Times New Roman" w:hAnsi="Times New Roman"/>
          <w:sz w:val="24"/>
        </w:rPr>
        <w:t xml:space="preserve"> provides for the commencement of each provision in the Instrument, as set out in the table in subsection 2(</w:t>
      </w:r>
      <w:r w:rsidR="004076E6">
        <w:rPr>
          <w:rFonts w:ascii="Times New Roman" w:hAnsi="Times New Roman"/>
          <w:sz w:val="24"/>
        </w:rPr>
        <w:t>1</w:t>
      </w:r>
      <w:r w:rsidR="00BF6A36">
        <w:rPr>
          <w:rFonts w:ascii="Times New Roman" w:hAnsi="Times New Roman"/>
          <w:sz w:val="24"/>
        </w:rPr>
        <w:t>).</w:t>
      </w:r>
      <w:r w:rsidRPr="0060668C">
        <w:rPr>
          <w:rFonts w:ascii="Times New Roman" w:hAnsi="Times New Roman"/>
          <w:sz w:val="24"/>
        </w:rPr>
        <w:t xml:space="preserve"> </w:t>
      </w:r>
    </w:p>
    <w:p w14:paraId="46D42776" w14:textId="56993ED8" w:rsidR="00B04F55" w:rsidRPr="0060668C" w:rsidRDefault="00206C4A" w:rsidP="00B04F55">
      <w:pPr>
        <w:autoSpaceDE w:val="0"/>
        <w:autoSpaceDN w:val="0"/>
        <w:adjustRightInd w:val="0"/>
        <w:spacing w:before="240"/>
        <w:rPr>
          <w:rFonts w:ascii="Times New Roman" w:hAnsi="Times New Roman"/>
          <w:sz w:val="24"/>
        </w:rPr>
      </w:pPr>
      <w:r w:rsidRPr="0060668C">
        <w:rPr>
          <w:rFonts w:ascii="Times New Roman" w:hAnsi="Times New Roman"/>
          <w:sz w:val="24"/>
        </w:rPr>
        <w:t xml:space="preserve">The </w:t>
      </w:r>
      <w:r w:rsidR="00BF6A36">
        <w:rPr>
          <w:rFonts w:ascii="Times New Roman" w:hAnsi="Times New Roman"/>
          <w:sz w:val="24"/>
        </w:rPr>
        <w:t>amendments in Schedule 1 commence</w:t>
      </w:r>
      <w:r w:rsidR="00B04F55" w:rsidRPr="0060668C">
        <w:rPr>
          <w:rFonts w:ascii="Times New Roman" w:hAnsi="Times New Roman"/>
          <w:sz w:val="24"/>
        </w:rPr>
        <w:t xml:space="preserve"> </w:t>
      </w:r>
      <w:r w:rsidRPr="0060668C">
        <w:rPr>
          <w:rFonts w:ascii="Times New Roman" w:hAnsi="Times New Roman"/>
          <w:sz w:val="24"/>
        </w:rPr>
        <w:t xml:space="preserve">on </w:t>
      </w:r>
      <w:r w:rsidR="004076E6">
        <w:rPr>
          <w:rFonts w:ascii="Times New Roman" w:hAnsi="Times New Roman"/>
          <w:sz w:val="24"/>
        </w:rPr>
        <w:t>the day after registration</w:t>
      </w:r>
      <w:r w:rsidR="00B04F55" w:rsidRPr="0060668C">
        <w:rPr>
          <w:rFonts w:ascii="Times New Roman" w:hAnsi="Times New Roman"/>
          <w:sz w:val="24"/>
        </w:rPr>
        <w:t>.</w:t>
      </w:r>
    </w:p>
    <w:p w14:paraId="5D7815ED" w14:textId="77777777" w:rsidR="00C46410" w:rsidRPr="00BF6A36" w:rsidRDefault="00C46410" w:rsidP="00C46410">
      <w:pPr>
        <w:spacing w:before="240" w:line="259" w:lineRule="auto"/>
        <w:rPr>
          <w:rFonts w:ascii="Times New Roman" w:hAnsi="Times New Roman"/>
          <w:b/>
          <w:sz w:val="24"/>
        </w:rPr>
      </w:pPr>
      <w:r w:rsidRPr="00BF6A36">
        <w:rPr>
          <w:rFonts w:ascii="Times New Roman" w:hAnsi="Times New Roman"/>
          <w:b/>
          <w:sz w:val="24"/>
        </w:rPr>
        <w:t>Section 3—Authority</w:t>
      </w:r>
    </w:p>
    <w:p w14:paraId="546271B3" w14:textId="31ABE998" w:rsidR="00B04F55" w:rsidRPr="0060108F" w:rsidRDefault="00B04F55" w:rsidP="0060668C">
      <w:pPr>
        <w:autoSpaceDE w:val="0"/>
        <w:autoSpaceDN w:val="0"/>
        <w:adjustRightInd w:val="0"/>
        <w:spacing w:before="240" w:line="259" w:lineRule="auto"/>
        <w:rPr>
          <w:rFonts w:ascii="Times New Roman" w:hAnsi="Times New Roman"/>
          <w:sz w:val="24"/>
        </w:rPr>
      </w:pPr>
      <w:r w:rsidRPr="0060668C">
        <w:rPr>
          <w:rFonts w:ascii="Times New Roman" w:hAnsi="Times New Roman"/>
          <w:sz w:val="24"/>
        </w:rPr>
        <w:t>This section</w:t>
      </w:r>
      <w:r w:rsidR="00BF6A36">
        <w:rPr>
          <w:rFonts w:ascii="Times New Roman" w:hAnsi="Times New Roman"/>
          <w:sz w:val="24"/>
        </w:rPr>
        <w:t xml:space="preserve"> provides that the Instrument is made under section 229 of the </w:t>
      </w:r>
      <w:r w:rsidR="00BF6A36">
        <w:rPr>
          <w:rFonts w:ascii="Times New Roman" w:hAnsi="Times New Roman"/>
          <w:i/>
          <w:sz w:val="24"/>
        </w:rPr>
        <w:t>Anti-Money Laundering and Counter-Terrorism Financing Act 2006</w:t>
      </w:r>
      <w:r w:rsidR="00BF6A36">
        <w:rPr>
          <w:rFonts w:ascii="Times New Roman" w:hAnsi="Times New Roman"/>
          <w:sz w:val="24"/>
        </w:rPr>
        <w:t xml:space="preserve">. </w:t>
      </w:r>
    </w:p>
    <w:p w14:paraId="2FD24FAA" w14:textId="77777777" w:rsidR="00C46410" w:rsidRPr="00BF6A36" w:rsidRDefault="00C46410" w:rsidP="00C46410">
      <w:pPr>
        <w:autoSpaceDE w:val="0"/>
        <w:autoSpaceDN w:val="0"/>
        <w:adjustRightInd w:val="0"/>
        <w:spacing w:before="240" w:line="259" w:lineRule="auto"/>
        <w:rPr>
          <w:rFonts w:ascii="Times New Roman" w:hAnsi="Times New Roman"/>
          <w:b/>
          <w:sz w:val="24"/>
        </w:rPr>
      </w:pPr>
      <w:r w:rsidRPr="00BF6A36">
        <w:rPr>
          <w:rFonts w:ascii="Times New Roman" w:hAnsi="Times New Roman"/>
          <w:b/>
          <w:sz w:val="24"/>
        </w:rPr>
        <w:t>Section 4—Schedules</w:t>
      </w:r>
    </w:p>
    <w:p w14:paraId="4FDB3BAD" w14:textId="588F28C1" w:rsidR="00206C4A" w:rsidRPr="0060108F" w:rsidRDefault="00206C4A" w:rsidP="0060108F">
      <w:pPr>
        <w:autoSpaceDE w:val="0"/>
        <w:autoSpaceDN w:val="0"/>
        <w:adjustRightInd w:val="0"/>
        <w:spacing w:before="240" w:line="259" w:lineRule="auto"/>
        <w:rPr>
          <w:rFonts w:ascii="Times New Roman" w:hAnsi="Times New Roman"/>
          <w:sz w:val="24"/>
        </w:rPr>
      </w:pPr>
      <w:r w:rsidRPr="0060108F">
        <w:rPr>
          <w:rFonts w:ascii="Times New Roman" w:hAnsi="Times New Roman"/>
          <w:sz w:val="24"/>
        </w:rPr>
        <w:t xml:space="preserve">This section provides that the </w:t>
      </w:r>
      <w:r w:rsidR="00BF6A36">
        <w:rPr>
          <w:rFonts w:ascii="Times New Roman" w:hAnsi="Times New Roman"/>
          <w:sz w:val="24"/>
        </w:rPr>
        <w:t>i</w:t>
      </w:r>
      <w:r w:rsidRPr="0060108F">
        <w:rPr>
          <w:rFonts w:ascii="Times New Roman" w:hAnsi="Times New Roman"/>
          <w:sz w:val="24"/>
        </w:rPr>
        <w:t>nstrument specified in Schedule 1 is amended as set out in the applicable items in that Schedule.</w:t>
      </w:r>
    </w:p>
    <w:p w14:paraId="031E5818" w14:textId="77777777" w:rsidR="00C46410" w:rsidRPr="00BF6A36" w:rsidRDefault="00C46410" w:rsidP="00C46410">
      <w:pPr>
        <w:spacing w:before="240" w:line="259" w:lineRule="auto"/>
        <w:rPr>
          <w:rFonts w:ascii="Times New Roman" w:hAnsi="Times New Roman"/>
          <w:b/>
          <w:sz w:val="24"/>
        </w:rPr>
      </w:pPr>
      <w:r w:rsidRPr="00BF6A36">
        <w:rPr>
          <w:rFonts w:ascii="Times New Roman" w:hAnsi="Times New Roman"/>
          <w:b/>
          <w:sz w:val="24"/>
        </w:rPr>
        <w:t>Schedule 1—Amendments</w:t>
      </w:r>
    </w:p>
    <w:p w14:paraId="07457E47" w14:textId="4BA23FA7" w:rsidR="00206C4A" w:rsidRPr="0060108F" w:rsidRDefault="00206C4A" w:rsidP="0060108F">
      <w:pPr>
        <w:spacing w:before="240" w:line="259" w:lineRule="auto"/>
        <w:rPr>
          <w:rFonts w:ascii="Times New Roman" w:hAnsi="Times New Roman"/>
          <w:b/>
          <w:sz w:val="24"/>
        </w:rPr>
      </w:pPr>
      <w:r w:rsidRPr="0060108F">
        <w:rPr>
          <w:rFonts w:ascii="Times New Roman" w:hAnsi="Times New Roman"/>
          <w:i/>
          <w:sz w:val="24"/>
        </w:rPr>
        <w:t xml:space="preserve">Anti-Money Laundering and Counter-Terrorism Financing Rules Instrument 2007 (No. </w:t>
      </w:r>
      <w:r w:rsidR="007F18B0">
        <w:rPr>
          <w:rFonts w:ascii="Times New Roman" w:hAnsi="Times New Roman"/>
          <w:i/>
          <w:sz w:val="24"/>
        </w:rPr>
        <w:t>1</w:t>
      </w:r>
      <w:r w:rsidR="005C28B5" w:rsidRPr="0060108F">
        <w:rPr>
          <w:rFonts w:ascii="Times New Roman" w:hAnsi="Times New Roman"/>
          <w:i/>
          <w:sz w:val="24"/>
        </w:rPr>
        <w:t>)</w:t>
      </w:r>
    </w:p>
    <w:p w14:paraId="31A4E642" w14:textId="77777777" w:rsidR="00B04F55" w:rsidRPr="0060108F" w:rsidRDefault="00B04F55" w:rsidP="00B04F55">
      <w:pPr>
        <w:keepNext/>
        <w:spacing w:before="240"/>
        <w:rPr>
          <w:rFonts w:ascii="Times New Roman" w:hAnsi="Times New Roman"/>
          <w:b/>
          <w:sz w:val="24"/>
        </w:rPr>
      </w:pPr>
      <w:r w:rsidRPr="0060108F">
        <w:rPr>
          <w:rFonts w:ascii="Times New Roman" w:hAnsi="Times New Roman"/>
          <w:b/>
          <w:sz w:val="24"/>
        </w:rPr>
        <w:t>Notes on items</w:t>
      </w:r>
    </w:p>
    <w:p w14:paraId="77ED2EEC" w14:textId="665F0AB2" w:rsidR="00C46410" w:rsidRPr="00BF6A36" w:rsidRDefault="00C46410" w:rsidP="00C46410">
      <w:pPr>
        <w:keepNext/>
        <w:spacing w:before="240" w:line="259" w:lineRule="auto"/>
        <w:rPr>
          <w:rFonts w:ascii="Times New Roman" w:hAnsi="Times New Roman"/>
          <w:b/>
          <w:sz w:val="24"/>
        </w:rPr>
      </w:pPr>
      <w:r w:rsidRPr="00BF6A36">
        <w:rPr>
          <w:rFonts w:ascii="Times New Roman" w:hAnsi="Times New Roman"/>
          <w:b/>
          <w:sz w:val="24"/>
        </w:rPr>
        <w:t>Item 1—</w:t>
      </w:r>
      <w:r w:rsidR="00BF6A36" w:rsidRPr="00BF6A36">
        <w:rPr>
          <w:rFonts w:ascii="Times New Roman" w:hAnsi="Times New Roman"/>
          <w:b/>
          <w:sz w:val="24"/>
        </w:rPr>
        <w:t xml:space="preserve">Chapter </w:t>
      </w:r>
      <w:r w:rsidR="00E251AF">
        <w:rPr>
          <w:rFonts w:ascii="Times New Roman" w:hAnsi="Times New Roman"/>
          <w:b/>
          <w:sz w:val="24"/>
        </w:rPr>
        <w:t>79</w:t>
      </w:r>
    </w:p>
    <w:p w14:paraId="53F1E365" w14:textId="5ACF8B01" w:rsidR="00B04F55" w:rsidRDefault="00B04F55" w:rsidP="00D37C18">
      <w:pPr>
        <w:autoSpaceDE w:val="0"/>
        <w:autoSpaceDN w:val="0"/>
        <w:adjustRightInd w:val="0"/>
        <w:spacing w:before="240" w:line="259" w:lineRule="auto"/>
        <w:rPr>
          <w:rFonts w:ascii="Times New Roman" w:hAnsi="Times New Roman"/>
          <w:sz w:val="24"/>
        </w:rPr>
      </w:pPr>
      <w:r w:rsidRPr="0060108F">
        <w:rPr>
          <w:rFonts w:ascii="Times New Roman" w:hAnsi="Times New Roman"/>
          <w:sz w:val="24"/>
        </w:rPr>
        <w:t xml:space="preserve">This item </w:t>
      </w:r>
      <w:r w:rsidR="004076E6">
        <w:rPr>
          <w:rFonts w:ascii="Times New Roman" w:hAnsi="Times New Roman"/>
          <w:sz w:val="24"/>
        </w:rPr>
        <w:t xml:space="preserve">inserts </w:t>
      </w:r>
      <w:r w:rsidR="004B5627" w:rsidRPr="0060108F">
        <w:rPr>
          <w:rFonts w:ascii="Times New Roman" w:hAnsi="Times New Roman"/>
          <w:sz w:val="24"/>
        </w:rPr>
        <w:t xml:space="preserve">a new </w:t>
      </w:r>
      <w:r w:rsidR="00E251AF">
        <w:rPr>
          <w:rFonts w:ascii="Times New Roman" w:hAnsi="Times New Roman"/>
          <w:sz w:val="24"/>
        </w:rPr>
        <w:t>Chapter, Chapter 79</w:t>
      </w:r>
      <w:r w:rsidR="004076E6">
        <w:rPr>
          <w:rFonts w:ascii="Times New Roman" w:hAnsi="Times New Roman"/>
          <w:sz w:val="24"/>
        </w:rPr>
        <w:t xml:space="preserve"> </w:t>
      </w:r>
      <w:r w:rsidR="00E251AF">
        <w:rPr>
          <w:rFonts w:ascii="Times New Roman" w:hAnsi="Times New Roman"/>
          <w:sz w:val="24"/>
        </w:rPr>
        <w:t>in</w:t>
      </w:r>
      <w:r w:rsidR="002F525A" w:rsidRPr="0060108F">
        <w:rPr>
          <w:rFonts w:ascii="Times New Roman" w:hAnsi="Times New Roman"/>
          <w:sz w:val="24"/>
        </w:rPr>
        <w:t xml:space="preserve"> the AML/CTF Rules.</w:t>
      </w:r>
    </w:p>
    <w:p w14:paraId="4DC870C8" w14:textId="149C3A74" w:rsidR="00E04E5B" w:rsidRDefault="004A473A" w:rsidP="0013441F">
      <w:pPr>
        <w:autoSpaceDE w:val="0"/>
        <w:autoSpaceDN w:val="0"/>
        <w:adjustRightInd w:val="0"/>
        <w:spacing w:before="240" w:line="259" w:lineRule="auto"/>
        <w:rPr>
          <w:rFonts w:ascii="Times New Roman" w:hAnsi="Times New Roman"/>
          <w:iCs/>
          <w:sz w:val="24"/>
        </w:rPr>
      </w:pPr>
      <w:r>
        <w:rPr>
          <w:rFonts w:ascii="Times New Roman" w:hAnsi="Times New Roman"/>
          <w:sz w:val="24"/>
        </w:rPr>
        <w:t>Paragraph 79.1</w:t>
      </w:r>
      <w:r w:rsidR="00871EB9">
        <w:rPr>
          <w:rFonts w:ascii="Times New Roman" w:hAnsi="Times New Roman"/>
          <w:sz w:val="24"/>
        </w:rPr>
        <w:t xml:space="preserve"> provides that Chapter 79 </w:t>
      </w:r>
      <w:r w:rsidR="00871EB9" w:rsidRPr="00633ACE">
        <w:rPr>
          <w:rFonts w:ascii="Times New Roman" w:hAnsi="Times New Roman"/>
          <w:sz w:val="24"/>
        </w:rPr>
        <w:t xml:space="preserve">is made for </w:t>
      </w:r>
      <w:r w:rsidR="00871EB9" w:rsidRPr="00871EB9">
        <w:rPr>
          <w:rFonts w:ascii="Times New Roman" w:hAnsi="Times New Roman"/>
          <w:sz w:val="24"/>
        </w:rPr>
        <w:t xml:space="preserve">the purposes of paragraphs 33(a) and 33(b) and subparagraph 34(1)(d)(i) of the </w:t>
      </w:r>
      <w:r w:rsidR="00871EB9" w:rsidRPr="00871EB9">
        <w:rPr>
          <w:rFonts w:ascii="Times New Roman" w:hAnsi="Times New Roman"/>
          <w:i/>
          <w:sz w:val="24"/>
        </w:rPr>
        <w:t>Anti-Money Laundering and Counter Terrorism Financing Act</w:t>
      </w:r>
      <w:r w:rsidR="00871EB9" w:rsidRPr="00871EB9">
        <w:rPr>
          <w:rFonts w:ascii="Times New Roman" w:hAnsi="Times New Roman"/>
          <w:iCs/>
          <w:sz w:val="24"/>
        </w:rPr>
        <w:t xml:space="preserve"> </w:t>
      </w:r>
      <w:r w:rsidR="00871EB9" w:rsidRPr="00871EB9">
        <w:rPr>
          <w:rFonts w:ascii="Times New Roman" w:hAnsi="Times New Roman"/>
          <w:i/>
          <w:iCs/>
          <w:sz w:val="24"/>
        </w:rPr>
        <w:t>2006</w:t>
      </w:r>
      <w:r w:rsidR="005432EB">
        <w:rPr>
          <w:rFonts w:ascii="Times New Roman" w:hAnsi="Times New Roman"/>
          <w:i/>
          <w:iCs/>
          <w:sz w:val="24"/>
        </w:rPr>
        <w:t>.</w:t>
      </w:r>
    </w:p>
    <w:p w14:paraId="487B3208" w14:textId="376BD8CB" w:rsidR="00FC3E55" w:rsidRDefault="00FC3E55" w:rsidP="0013441F">
      <w:pPr>
        <w:autoSpaceDE w:val="0"/>
        <w:autoSpaceDN w:val="0"/>
        <w:adjustRightInd w:val="0"/>
        <w:spacing w:before="240" w:line="259" w:lineRule="auto"/>
        <w:rPr>
          <w:rFonts w:ascii="Times New Roman" w:hAnsi="Times New Roman"/>
          <w:iCs/>
          <w:sz w:val="24"/>
        </w:rPr>
      </w:pPr>
      <w:r>
        <w:rPr>
          <w:rFonts w:ascii="Times New Roman" w:hAnsi="Times New Roman"/>
          <w:iCs/>
          <w:sz w:val="24"/>
        </w:rPr>
        <w:t>Paragraph 79.2 sets out</w:t>
      </w:r>
      <w:r w:rsidR="00673BD1">
        <w:rPr>
          <w:rFonts w:ascii="Times New Roman" w:hAnsi="Times New Roman"/>
          <w:iCs/>
          <w:sz w:val="24"/>
        </w:rPr>
        <w:t xml:space="preserve"> the conditions that a reporting entity must meet to allow it to commence to provide a specified designated service to a customer, including the beneficial owner of the customer or any person purporting to act on behalf of the customer</w:t>
      </w:r>
      <w:r w:rsidR="00053D86">
        <w:rPr>
          <w:rFonts w:ascii="Times New Roman" w:hAnsi="Times New Roman"/>
          <w:iCs/>
          <w:sz w:val="24"/>
        </w:rPr>
        <w:t xml:space="preserve"> (collectively, </w:t>
      </w:r>
      <w:r w:rsidR="00053D86" w:rsidRPr="00053D86">
        <w:rPr>
          <w:rFonts w:ascii="Times New Roman" w:hAnsi="Times New Roman"/>
          <w:b/>
          <w:iCs/>
          <w:sz w:val="24"/>
        </w:rPr>
        <w:t>the customer</w:t>
      </w:r>
      <w:r w:rsidR="00053D86">
        <w:rPr>
          <w:rFonts w:ascii="Times New Roman" w:hAnsi="Times New Roman"/>
          <w:iCs/>
          <w:sz w:val="24"/>
        </w:rPr>
        <w:t>)</w:t>
      </w:r>
      <w:r w:rsidR="00673BD1">
        <w:rPr>
          <w:rFonts w:ascii="Times New Roman" w:hAnsi="Times New Roman"/>
          <w:iCs/>
          <w:sz w:val="24"/>
        </w:rPr>
        <w:t>, before carrying out the applicable customer identification procedure</w:t>
      </w:r>
      <w:r w:rsidR="00053D86">
        <w:rPr>
          <w:rFonts w:ascii="Times New Roman" w:hAnsi="Times New Roman"/>
          <w:iCs/>
          <w:sz w:val="24"/>
        </w:rPr>
        <w:t xml:space="preserve"> (</w:t>
      </w:r>
      <w:r w:rsidR="00053D86" w:rsidRPr="00053D86">
        <w:rPr>
          <w:rFonts w:ascii="Times New Roman" w:hAnsi="Times New Roman"/>
          <w:b/>
          <w:iCs/>
          <w:sz w:val="24"/>
        </w:rPr>
        <w:t>ACIP</w:t>
      </w:r>
      <w:r w:rsidR="00053D86">
        <w:rPr>
          <w:rFonts w:ascii="Times New Roman" w:hAnsi="Times New Roman"/>
          <w:iCs/>
          <w:sz w:val="24"/>
        </w:rPr>
        <w:t>)</w:t>
      </w:r>
      <w:r w:rsidR="00673BD1">
        <w:rPr>
          <w:rFonts w:ascii="Times New Roman" w:hAnsi="Times New Roman"/>
          <w:iCs/>
          <w:sz w:val="24"/>
        </w:rPr>
        <w:t xml:space="preserve">. </w:t>
      </w:r>
    </w:p>
    <w:p w14:paraId="46CCEA2C" w14:textId="20347A1E" w:rsidR="00FC3E55" w:rsidRPr="00FC3E55" w:rsidRDefault="00FC3E55" w:rsidP="0013441F">
      <w:pPr>
        <w:autoSpaceDE w:val="0"/>
        <w:autoSpaceDN w:val="0"/>
        <w:adjustRightInd w:val="0"/>
        <w:spacing w:before="240" w:line="259" w:lineRule="auto"/>
        <w:rPr>
          <w:rFonts w:ascii="Times New Roman" w:hAnsi="Times New Roman"/>
          <w:sz w:val="24"/>
        </w:rPr>
      </w:pPr>
      <w:r>
        <w:rPr>
          <w:rFonts w:ascii="Times New Roman" w:hAnsi="Times New Roman"/>
          <w:iCs/>
          <w:sz w:val="24"/>
        </w:rPr>
        <w:lastRenderedPageBreak/>
        <w:t xml:space="preserve">Paragraph 79.3 </w:t>
      </w:r>
      <w:r w:rsidR="00053D86">
        <w:rPr>
          <w:rFonts w:ascii="Times New Roman" w:hAnsi="Times New Roman"/>
          <w:iCs/>
          <w:sz w:val="24"/>
        </w:rPr>
        <w:t xml:space="preserve">sets out that for the purposes of </w:t>
      </w:r>
      <w:r w:rsidR="00053D86" w:rsidRPr="00053D86">
        <w:rPr>
          <w:rFonts w:ascii="Times New Roman" w:hAnsi="Times New Roman"/>
          <w:iCs/>
          <w:sz w:val="24"/>
        </w:rPr>
        <w:t>subparagraph 34(1)(d)(i) of the Act</w:t>
      </w:r>
      <w:r w:rsidR="00053D86">
        <w:rPr>
          <w:rFonts w:ascii="Times New Roman" w:hAnsi="Times New Roman"/>
          <w:iCs/>
          <w:sz w:val="24"/>
        </w:rPr>
        <w:t>, the relevant period is 15 days after the reporting entity commences to provide the designated service to the customer. After the relevant period ends, the reporting entity may no longer provide a designated service to the customer until it has completed the ACIP on the customer.</w:t>
      </w:r>
    </w:p>
    <w:p w14:paraId="19A3C61B" w14:textId="49B1A59F" w:rsidR="00C46410" w:rsidRPr="00BF6A36" w:rsidRDefault="00C46410" w:rsidP="00C46410">
      <w:pPr>
        <w:keepNext/>
        <w:spacing w:before="240" w:line="259" w:lineRule="auto"/>
        <w:rPr>
          <w:rFonts w:ascii="Times New Roman" w:hAnsi="Times New Roman"/>
          <w:b/>
          <w:sz w:val="24"/>
        </w:rPr>
      </w:pPr>
      <w:r w:rsidRPr="00BF6A36">
        <w:rPr>
          <w:rFonts w:ascii="Times New Roman" w:hAnsi="Times New Roman"/>
          <w:b/>
          <w:sz w:val="24"/>
        </w:rPr>
        <w:t>Item 2—</w:t>
      </w:r>
      <w:r w:rsidR="00BF6A36" w:rsidRPr="00BF6A36">
        <w:rPr>
          <w:rFonts w:ascii="Times New Roman" w:hAnsi="Times New Roman"/>
          <w:b/>
          <w:sz w:val="24"/>
        </w:rPr>
        <w:t xml:space="preserve">Chapter </w:t>
      </w:r>
      <w:r w:rsidR="00FC3E55">
        <w:rPr>
          <w:rFonts w:ascii="Times New Roman" w:hAnsi="Times New Roman"/>
          <w:b/>
          <w:sz w:val="24"/>
        </w:rPr>
        <w:t>80</w:t>
      </w:r>
    </w:p>
    <w:p w14:paraId="096C4F01" w14:textId="32278603" w:rsidR="00C52C1F" w:rsidRDefault="00C52C1F" w:rsidP="00D37C18">
      <w:pPr>
        <w:autoSpaceDE w:val="0"/>
        <w:autoSpaceDN w:val="0"/>
        <w:adjustRightInd w:val="0"/>
        <w:spacing w:before="240" w:line="259" w:lineRule="auto"/>
        <w:rPr>
          <w:rFonts w:ascii="Times New Roman" w:hAnsi="Times New Roman"/>
          <w:sz w:val="24"/>
        </w:rPr>
      </w:pPr>
      <w:r w:rsidRPr="0060108F">
        <w:rPr>
          <w:rFonts w:ascii="Times New Roman" w:hAnsi="Times New Roman"/>
          <w:sz w:val="24"/>
        </w:rPr>
        <w:t xml:space="preserve">This item </w:t>
      </w:r>
      <w:r w:rsidR="00101C26">
        <w:rPr>
          <w:rFonts w:ascii="Times New Roman" w:hAnsi="Times New Roman"/>
          <w:sz w:val="24"/>
        </w:rPr>
        <w:t>inserts</w:t>
      </w:r>
      <w:r w:rsidRPr="0060108F">
        <w:rPr>
          <w:rFonts w:ascii="Times New Roman" w:hAnsi="Times New Roman"/>
          <w:sz w:val="24"/>
        </w:rPr>
        <w:t xml:space="preserve"> a new </w:t>
      </w:r>
      <w:r w:rsidR="00577307">
        <w:rPr>
          <w:rFonts w:ascii="Times New Roman" w:hAnsi="Times New Roman"/>
          <w:sz w:val="24"/>
        </w:rPr>
        <w:t>chapter, Chapter 80</w:t>
      </w:r>
      <w:r w:rsidR="00101C26">
        <w:rPr>
          <w:rFonts w:ascii="Times New Roman" w:hAnsi="Times New Roman"/>
          <w:sz w:val="24"/>
        </w:rPr>
        <w:t xml:space="preserve"> </w:t>
      </w:r>
      <w:r w:rsidRPr="0060108F">
        <w:rPr>
          <w:rFonts w:ascii="Times New Roman" w:hAnsi="Times New Roman"/>
          <w:sz w:val="24"/>
        </w:rPr>
        <w:t>of the AML/CTF Rules.</w:t>
      </w:r>
    </w:p>
    <w:p w14:paraId="6D2DC682" w14:textId="5503AC91" w:rsidR="006F0637" w:rsidRDefault="0013441F" w:rsidP="006F0637">
      <w:pPr>
        <w:pStyle w:val="Item"/>
        <w:ind w:left="0"/>
        <w:rPr>
          <w:sz w:val="24"/>
          <w:szCs w:val="24"/>
        </w:rPr>
      </w:pPr>
      <w:r>
        <w:rPr>
          <w:sz w:val="24"/>
          <w:szCs w:val="22"/>
        </w:rPr>
        <w:t xml:space="preserve">Paragraph </w:t>
      </w:r>
      <w:r w:rsidR="006F0637">
        <w:rPr>
          <w:sz w:val="24"/>
          <w:szCs w:val="22"/>
        </w:rPr>
        <w:t xml:space="preserve">80.1 provides that Chapter 80 is </w:t>
      </w:r>
      <w:r w:rsidR="00E92CBB">
        <w:rPr>
          <w:sz w:val="24"/>
          <w:szCs w:val="22"/>
        </w:rPr>
        <w:t xml:space="preserve">made </w:t>
      </w:r>
      <w:r w:rsidR="006F0637">
        <w:rPr>
          <w:sz w:val="24"/>
          <w:szCs w:val="22"/>
        </w:rPr>
        <w:t xml:space="preserve">for the purposes of </w:t>
      </w:r>
      <w:r w:rsidR="006F0637" w:rsidRPr="00160C07">
        <w:rPr>
          <w:sz w:val="24"/>
          <w:szCs w:val="24"/>
        </w:rPr>
        <w:t>paragraph (f) of the definition of ‘stored value card’ in section 5 of the AML/CTF Act</w:t>
      </w:r>
      <w:r w:rsidR="006F0637">
        <w:rPr>
          <w:sz w:val="24"/>
          <w:szCs w:val="24"/>
        </w:rPr>
        <w:t>.</w:t>
      </w:r>
    </w:p>
    <w:p w14:paraId="16CE459F" w14:textId="2E675A9F" w:rsidR="006F0637" w:rsidRDefault="006F0637" w:rsidP="006F0637">
      <w:pPr>
        <w:pStyle w:val="Item"/>
        <w:ind w:left="0"/>
        <w:rPr>
          <w:sz w:val="24"/>
          <w:szCs w:val="24"/>
        </w:rPr>
      </w:pPr>
      <w:r>
        <w:rPr>
          <w:sz w:val="24"/>
          <w:szCs w:val="24"/>
        </w:rPr>
        <w:t xml:space="preserve">Paragraph 80.2 </w:t>
      </w:r>
      <w:r w:rsidR="000B7574">
        <w:rPr>
          <w:sz w:val="24"/>
          <w:szCs w:val="24"/>
        </w:rPr>
        <w:t>specifies for the purposes of the definition of stored value card, things that are not a stored value card.</w:t>
      </w:r>
    </w:p>
    <w:p w14:paraId="1E23E1BB" w14:textId="1DF7C38E" w:rsidR="006F0637" w:rsidRPr="00BF6A36" w:rsidRDefault="006F0637" w:rsidP="006F0637">
      <w:pPr>
        <w:keepNext/>
        <w:spacing w:before="240" w:line="259" w:lineRule="auto"/>
        <w:rPr>
          <w:rFonts w:ascii="Times New Roman" w:hAnsi="Times New Roman"/>
          <w:b/>
          <w:sz w:val="24"/>
        </w:rPr>
      </w:pPr>
      <w:r>
        <w:rPr>
          <w:rFonts w:ascii="Times New Roman" w:hAnsi="Times New Roman"/>
          <w:b/>
          <w:sz w:val="24"/>
        </w:rPr>
        <w:t>Item 3</w:t>
      </w:r>
      <w:r w:rsidRPr="00BF6A36">
        <w:rPr>
          <w:rFonts w:ascii="Times New Roman" w:hAnsi="Times New Roman"/>
          <w:b/>
          <w:sz w:val="24"/>
        </w:rPr>
        <w:t xml:space="preserve">—Chapter </w:t>
      </w:r>
      <w:r>
        <w:rPr>
          <w:rFonts w:ascii="Times New Roman" w:hAnsi="Times New Roman"/>
          <w:b/>
          <w:sz w:val="24"/>
        </w:rPr>
        <w:t>48</w:t>
      </w:r>
    </w:p>
    <w:p w14:paraId="6F0F4162" w14:textId="71F6B3D7" w:rsidR="006F0637" w:rsidRDefault="006F0637" w:rsidP="006F0637">
      <w:pPr>
        <w:autoSpaceDE w:val="0"/>
        <w:autoSpaceDN w:val="0"/>
        <w:adjustRightInd w:val="0"/>
        <w:spacing w:before="240" w:line="259" w:lineRule="auto"/>
        <w:rPr>
          <w:rFonts w:ascii="Times New Roman" w:hAnsi="Times New Roman"/>
          <w:sz w:val="24"/>
        </w:rPr>
      </w:pPr>
      <w:r>
        <w:rPr>
          <w:rFonts w:ascii="Times New Roman" w:hAnsi="Times New Roman"/>
          <w:sz w:val="24"/>
        </w:rPr>
        <w:t xml:space="preserve">This item substitutes a new </w:t>
      </w:r>
      <w:r w:rsidR="00A477FB">
        <w:rPr>
          <w:rFonts w:ascii="Times New Roman" w:hAnsi="Times New Roman"/>
          <w:sz w:val="24"/>
        </w:rPr>
        <w:t>sub</w:t>
      </w:r>
      <w:r>
        <w:rPr>
          <w:rFonts w:ascii="Times New Roman" w:hAnsi="Times New Roman"/>
          <w:sz w:val="24"/>
        </w:rPr>
        <w:t>paragraph 48.3(1) of the AML/CTF Rules.</w:t>
      </w:r>
    </w:p>
    <w:p w14:paraId="6088E0E0" w14:textId="70B3C860" w:rsidR="006F0637" w:rsidRDefault="00A477FB" w:rsidP="006F0637">
      <w:pPr>
        <w:autoSpaceDE w:val="0"/>
        <w:autoSpaceDN w:val="0"/>
        <w:adjustRightInd w:val="0"/>
        <w:spacing w:before="240" w:line="259" w:lineRule="auto"/>
        <w:rPr>
          <w:rFonts w:ascii="Times New Roman" w:hAnsi="Times New Roman"/>
          <w:sz w:val="24"/>
        </w:rPr>
      </w:pPr>
      <w:r>
        <w:rPr>
          <w:rFonts w:ascii="Times New Roman" w:hAnsi="Times New Roman"/>
          <w:sz w:val="24"/>
        </w:rPr>
        <w:t>Subp</w:t>
      </w:r>
      <w:r w:rsidR="006F0637">
        <w:rPr>
          <w:rFonts w:ascii="Times New Roman" w:hAnsi="Times New Roman"/>
          <w:sz w:val="24"/>
        </w:rPr>
        <w:t xml:space="preserve">aragraph 48.3(1) </w:t>
      </w:r>
      <w:r w:rsidR="00ED1D2A">
        <w:rPr>
          <w:rFonts w:ascii="Times New Roman" w:hAnsi="Times New Roman"/>
          <w:sz w:val="24"/>
        </w:rPr>
        <w:t>extends the application of the existing exemption in paragraph 48.2 to administrative services relevant to payroll or superannuation clearing.</w:t>
      </w:r>
    </w:p>
    <w:p w14:paraId="431D03ED" w14:textId="49A285DE" w:rsidR="006F0637" w:rsidRPr="00BF6A36" w:rsidRDefault="006F0637" w:rsidP="006F0637">
      <w:pPr>
        <w:keepNext/>
        <w:spacing w:before="240" w:line="259" w:lineRule="auto"/>
        <w:rPr>
          <w:rFonts w:ascii="Times New Roman" w:hAnsi="Times New Roman"/>
          <w:b/>
          <w:sz w:val="24"/>
        </w:rPr>
      </w:pPr>
      <w:r w:rsidRPr="00BF6A36">
        <w:rPr>
          <w:rFonts w:ascii="Times New Roman" w:hAnsi="Times New Roman"/>
          <w:b/>
          <w:sz w:val="24"/>
        </w:rPr>
        <w:t xml:space="preserve">Item </w:t>
      </w:r>
      <w:r>
        <w:rPr>
          <w:rFonts w:ascii="Times New Roman" w:hAnsi="Times New Roman"/>
          <w:b/>
          <w:sz w:val="24"/>
        </w:rPr>
        <w:t>4</w:t>
      </w:r>
      <w:r w:rsidRPr="00BF6A36">
        <w:rPr>
          <w:rFonts w:ascii="Times New Roman" w:hAnsi="Times New Roman"/>
          <w:b/>
          <w:sz w:val="24"/>
        </w:rPr>
        <w:t xml:space="preserve">—Chapter </w:t>
      </w:r>
      <w:r>
        <w:rPr>
          <w:rFonts w:ascii="Times New Roman" w:hAnsi="Times New Roman"/>
          <w:b/>
          <w:sz w:val="24"/>
        </w:rPr>
        <w:t>48</w:t>
      </w:r>
    </w:p>
    <w:p w14:paraId="6B52B026" w14:textId="0878B915" w:rsidR="006F0637" w:rsidRDefault="006F0637" w:rsidP="006F0637">
      <w:pPr>
        <w:autoSpaceDE w:val="0"/>
        <w:autoSpaceDN w:val="0"/>
        <w:adjustRightInd w:val="0"/>
        <w:spacing w:before="240" w:line="259" w:lineRule="auto"/>
        <w:rPr>
          <w:rFonts w:ascii="Times New Roman" w:hAnsi="Times New Roman"/>
          <w:sz w:val="24"/>
        </w:rPr>
      </w:pPr>
      <w:r>
        <w:rPr>
          <w:rFonts w:ascii="Times New Roman" w:hAnsi="Times New Roman"/>
          <w:sz w:val="24"/>
        </w:rPr>
        <w:t xml:space="preserve"> This item substitutes a new paragraph 48.4 of the AML/CTF Rules.</w:t>
      </w:r>
    </w:p>
    <w:p w14:paraId="205D26E6" w14:textId="6760FC66" w:rsidR="006F0637" w:rsidRPr="006F0637" w:rsidRDefault="006F0637" w:rsidP="006F0637">
      <w:pPr>
        <w:autoSpaceDE w:val="0"/>
        <w:autoSpaceDN w:val="0"/>
        <w:adjustRightInd w:val="0"/>
        <w:spacing w:before="240" w:line="259" w:lineRule="auto"/>
        <w:rPr>
          <w:rFonts w:ascii="Times New Roman" w:hAnsi="Times New Roman"/>
          <w:sz w:val="24"/>
        </w:rPr>
      </w:pPr>
      <w:r>
        <w:rPr>
          <w:rFonts w:ascii="Times New Roman" w:hAnsi="Times New Roman"/>
          <w:sz w:val="24"/>
        </w:rPr>
        <w:t xml:space="preserve">Paragraph 48.4 </w:t>
      </w:r>
      <w:r w:rsidR="004B71F7">
        <w:rPr>
          <w:rFonts w:ascii="Times New Roman" w:hAnsi="Times New Roman"/>
          <w:sz w:val="24"/>
        </w:rPr>
        <w:t>adds definitions of ‘payroll’ and ‘superannuation clear</w:t>
      </w:r>
      <w:r w:rsidR="00173D1C">
        <w:rPr>
          <w:rFonts w:ascii="Times New Roman" w:hAnsi="Times New Roman"/>
          <w:sz w:val="24"/>
        </w:rPr>
        <w:t>ance</w:t>
      </w:r>
      <w:r w:rsidR="004B71F7">
        <w:rPr>
          <w:rFonts w:ascii="Times New Roman" w:hAnsi="Times New Roman"/>
          <w:sz w:val="24"/>
        </w:rPr>
        <w:t xml:space="preserve">’ </w:t>
      </w:r>
      <w:r w:rsidR="00173D1C">
        <w:rPr>
          <w:rFonts w:ascii="Times New Roman" w:hAnsi="Times New Roman"/>
          <w:sz w:val="24"/>
        </w:rPr>
        <w:t>to the existing definition of ‘salary packaging’.</w:t>
      </w:r>
    </w:p>
    <w:p w14:paraId="63997186" w14:textId="77777777" w:rsidR="006F0637" w:rsidRPr="006F0637" w:rsidRDefault="006F0637" w:rsidP="006F0637">
      <w:pPr>
        <w:autoSpaceDE w:val="0"/>
        <w:autoSpaceDN w:val="0"/>
        <w:adjustRightInd w:val="0"/>
        <w:spacing w:before="240" w:line="259" w:lineRule="auto"/>
        <w:rPr>
          <w:rFonts w:ascii="Times New Roman" w:hAnsi="Times New Roman"/>
          <w:sz w:val="24"/>
        </w:rPr>
      </w:pPr>
    </w:p>
    <w:p w14:paraId="2DBE56F4" w14:textId="49F1FD91" w:rsidR="00684A1B" w:rsidRDefault="009C6D37" w:rsidP="006F0637">
      <w:pPr>
        <w:keepNext/>
        <w:spacing w:before="240" w:line="259" w:lineRule="auto"/>
        <w:rPr>
          <w:rFonts w:ascii="Times New Roman" w:hAnsi="Times New Roman"/>
          <w:b/>
        </w:rPr>
      </w:pPr>
      <w:r w:rsidRPr="006F0637">
        <w:rPr>
          <w:rFonts w:ascii="Times New Roman" w:hAnsi="Times New Roman"/>
          <w:b/>
          <w:sz w:val="24"/>
        </w:rPr>
        <w:br w:type="page"/>
      </w:r>
    </w:p>
    <w:p w14:paraId="19974919" w14:textId="77777777" w:rsidR="004A1634" w:rsidRPr="004A1634" w:rsidRDefault="004A1634" w:rsidP="004A1634">
      <w:pPr>
        <w:rPr>
          <w:lang w:eastAsia="en-AU"/>
        </w:rPr>
      </w:pPr>
    </w:p>
    <w:p w14:paraId="1C4487B8" w14:textId="68C33B45" w:rsidR="009B309E" w:rsidRPr="009A29DA" w:rsidRDefault="009B309E" w:rsidP="00BF6A36">
      <w:pPr>
        <w:spacing w:after="160" w:line="360" w:lineRule="auto"/>
        <w:jc w:val="right"/>
        <w:rPr>
          <w:rFonts w:ascii="Times New Roman" w:eastAsia="Calibri" w:hAnsi="Times New Roman"/>
          <w:b/>
          <w:caps/>
          <w:sz w:val="24"/>
          <w:u w:val="single"/>
        </w:rPr>
      </w:pPr>
      <w:r w:rsidRPr="009A29DA">
        <w:rPr>
          <w:rFonts w:ascii="Times New Roman" w:eastAsia="Calibri" w:hAnsi="Times New Roman"/>
          <w:b/>
          <w:caps/>
          <w:sz w:val="24"/>
          <w:u w:val="single"/>
        </w:rPr>
        <w:t>ATTACHMENT B</w:t>
      </w:r>
    </w:p>
    <w:p w14:paraId="4AF4F136" w14:textId="77777777" w:rsidR="00733D11" w:rsidRDefault="00733D11" w:rsidP="00017141">
      <w:pPr>
        <w:spacing w:after="160" w:line="360" w:lineRule="auto"/>
        <w:rPr>
          <w:rFonts w:ascii="Times New Roman" w:eastAsia="Calibri" w:hAnsi="Times New Roman"/>
          <w:b/>
          <w:caps/>
          <w:sz w:val="24"/>
        </w:rPr>
      </w:pPr>
    </w:p>
    <w:p w14:paraId="0505F18F" w14:textId="4BCB2270" w:rsidR="00017141" w:rsidRPr="00017141" w:rsidRDefault="00017141" w:rsidP="00D54B98">
      <w:pPr>
        <w:spacing w:after="160" w:line="360" w:lineRule="auto"/>
        <w:jc w:val="center"/>
        <w:rPr>
          <w:rFonts w:ascii="Times New Roman" w:eastAsia="Calibri" w:hAnsi="Times New Roman"/>
          <w:b/>
          <w:caps/>
          <w:sz w:val="24"/>
        </w:rPr>
      </w:pPr>
      <w:r w:rsidRPr="00017141">
        <w:rPr>
          <w:rFonts w:ascii="Times New Roman" w:eastAsia="Calibri" w:hAnsi="Times New Roman"/>
          <w:b/>
          <w:caps/>
          <w:sz w:val="24"/>
        </w:rPr>
        <w:t>Statement of Compatibility with Human Rights</w:t>
      </w:r>
    </w:p>
    <w:p w14:paraId="5010A176" w14:textId="77777777" w:rsidR="00017141" w:rsidRPr="00D54B98" w:rsidRDefault="00017141" w:rsidP="00D54B98">
      <w:pPr>
        <w:spacing w:after="160" w:line="360" w:lineRule="auto"/>
        <w:jc w:val="center"/>
        <w:rPr>
          <w:rFonts w:ascii="Times New Roman" w:eastAsia="Calibri" w:hAnsi="Times New Roman"/>
          <w:sz w:val="24"/>
        </w:rPr>
      </w:pPr>
      <w:r w:rsidRPr="00D54B98">
        <w:rPr>
          <w:rFonts w:ascii="Times New Roman" w:eastAsia="Calibri" w:hAnsi="Times New Roman"/>
          <w:i/>
          <w:iCs/>
          <w:sz w:val="24"/>
        </w:rPr>
        <w:t>Prepared in accordance with Part 3 of the Human Rights (Parliamentary Scrutiny) Act 2011</w:t>
      </w:r>
    </w:p>
    <w:p w14:paraId="290F13A5" w14:textId="77777777" w:rsidR="00017141" w:rsidRPr="00D54B98" w:rsidRDefault="00017141" w:rsidP="00017141">
      <w:pPr>
        <w:spacing w:after="160" w:line="360" w:lineRule="auto"/>
        <w:rPr>
          <w:rFonts w:ascii="Times New Roman" w:eastAsia="Calibri" w:hAnsi="Times New Roman"/>
          <w:b/>
          <w:i/>
          <w:sz w:val="24"/>
        </w:rPr>
      </w:pPr>
      <w:r w:rsidRPr="00D54B98">
        <w:rPr>
          <w:rFonts w:ascii="Times New Roman" w:eastAsia="Calibri" w:hAnsi="Times New Roman"/>
          <w:b/>
          <w:i/>
          <w:sz w:val="24"/>
        </w:rPr>
        <w:t xml:space="preserve">Australian Human Rights Commission Regulations 2019 </w:t>
      </w:r>
    </w:p>
    <w:p w14:paraId="42716A5F" w14:textId="7B503024" w:rsidR="00017141" w:rsidRPr="00D54B98" w:rsidRDefault="00017141" w:rsidP="00D54B98">
      <w:pPr>
        <w:spacing w:after="160" w:line="259" w:lineRule="auto"/>
        <w:rPr>
          <w:rFonts w:ascii="Times New Roman" w:eastAsia="Calibri" w:hAnsi="Times New Roman"/>
          <w:sz w:val="24"/>
        </w:rPr>
      </w:pPr>
      <w:r w:rsidRPr="00D54B98">
        <w:rPr>
          <w:rFonts w:ascii="Times New Roman" w:eastAsia="Calibri" w:hAnsi="Times New Roman"/>
          <w:sz w:val="24"/>
        </w:rPr>
        <w:t>This Disallowable Legislative Instrument</w:t>
      </w:r>
      <w:r w:rsidR="00BF6A36">
        <w:rPr>
          <w:rFonts w:ascii="Times New Roman" w:eastAsia="Calibri" w:hAnsi="Times New Roman"/>
          <w:sz w:val="24"/>
        </w:rPr>
        <w:t xml:space="preserve"> (the </w:t>
      </w:r>
      <w:r w:rsidR="00BF6A36" w:rsidRPr="00D54B98">
        <w:rPr>
          <w:rFonts w:ascii="Times New Roman" w:eastAsia="Calibri" w:hAnsi="Times New Roman"/>
          <w:b/>
          <w:sz w:val="24"/>
        </w:rPr>
        <w:t>Instrument</w:t>
      </w:r>
      <w:r w:rsidR="00BF6A36">
        <w:rPr>
          <w:rFonts w:ascii="Times New Roman" w:eastAsia="Calibri" w:hAnsi="Times New Roman"/>
          <w:sz w:val="24"/>
        </w:rPr>
        <w:t>)</w:t>
      </w:r>
      <w:r w:rsidRPr="00D54B98">
        <w:rPr>
          <w:rFonts w:ascii="Times New Roman" w:eastAsia="Calibri" w:hAnsi="Times New Roman"/>
          <w:sz w:val="24"/>
        </w:rPr>
        <w:t xml:space="preserve"> is compatible with the human rights and freedoms recognised or declared in the international instruments listed in section 3 of the </w:t>
      </w:r>
      <w:r w:rsidRPr="00D54B98">
        <w:rPr>
          <w:rFonts w:ascii="Times New Roman" w:eastAsia="Calibri" w:hAnsi="Times New Roman"/>
          <w:i/>
          <w:sz w:val="24"/>
        </w:rPr>
        <w:t>Human Rights (Parliamentary Scrutiny) Act 2011</w:t>
      </w:r>
      <w:r w:rsidRPr="00D54B98">
        <w:rPr>
          <w:rFonts w:ascii="Times New Roman" w:eastAsia="Calibri" w:hAnsi="Times New Roman"/>
          <w:sz w:val="24"/>
        </w:rPr>
        <w:t>.</w:t>
      </w:r>
    </w:p>
    <w:p w14:paraId="140A98A7" w14:textId="5003C4FF" w:rsidR="00017141" w:rsidRPr="00BC5456" w:rsidRDefault="00017141" w:rsidP="00017141">
      <w:pPr>
        <w:spacing w:after="160" w:line="360" w:lineRule="auto"/>
        <w:rPr>
          <w:rFonts w:ascii="Times New Roman" w:eastAsia="Calibri" w:hAnsi="Times New Roman"/>
          <w:b/>
          <w:sz w:val="24"/>
        </w:rPr>
      </w:pPr>
      <w:r w:rsidRPr="00BC5456">
        <w:rPr>
          <w:rFonts w:ascii="Times New Roman" w:eastAsia="Calibri" w:hAnsi="Times New Roman"/>
          <w:b/>
          <w:sz w:val="24"/>
        </w:rPr>
        <w:t>Overview of the Instrument</w:t>
      </w:r>
    </w:p>
    <w:p w14:paraId="6F467D5C" w14:textId="082AF256" w:rsidR="00AD08E1" w:rsidRDefault="00AD08E1" w:rsidP="00AD08E1">
      <w:pPr>
        <w:spacing w:after="160" w:line="259" w:lineRule="auto"/>
        <w:rPr>
          <w:rFonts w:ascii="Times New Roman" w:eastAsia="Calibri" w:hAnsi="Times New Roman"/>
          <w:sz w:val="24"/>
        </w:rPr>
      </w:pPr>
      <w:r w:rsidRPr="00BC5456">
        <w:rPr>
          <w:rFonts w:ascii="Times New Roman" w:eastAsia="Calibri" w:hAnsi="Times New Roman"/>
          <w:sz w:val="24"/>
        </w:rPr>
        <w:t xml:space="preserve">The Instrument amends the </w:t>
      </w:r>
      <w:r w:rsidRPr="00BC5456">
        <w:rPr>
          <w:rFonts w:ascii="Times New Roman" w:eastAsia="Calibri" w:hAnsi="Times New Roman"/>
          <w:i/>
          <w:sz w:val="24"/>
        </w:rPr>
        <w:t>Anti-Money Laundering and Counter-Terrorism Financing Rules Instrument 2007 (No. 1)</w:t>
      </w:r>
      <w:r w:rsidRPr="00BC5456">
        <w:rPr>
          <w:rFonts w:ascii="Times New Roman" w:eastAsia="Calibri" w:hAnsi="Times New Roman"/>
          <w:sz w:val="24"/>
        </w:rPr>
        <w:t xml:space="preserve"> </w:t>
      </w:r>
      <w:r w:rsidR="00BC5456" w:rsidRPr="00BC5456">
        <w:rPr>
          <w:rFonts w:ascii="Times New Roman" w:eastAsia="Calibri" w:hAnsi="Times New Roman"/>
          <w:sz w:val="24"/>
        </w:rPr>
        <w:t>(</w:t>
      </w:r>
      <w:r w:rsidR="00BC5456" w:rsidRPr="00BC5456">
        <w:rPr>
          <w:rFonts w:ascii="Times New Roman" w:eastAsia="Calibri" w:hAnsi="Times New Roman"/>
          <w:b/>
          <w:sz w:val="24"/>
        </w:rPr>
        <w:t>AML/CTF Rules</w:t>
      </w:r>
      <w:r w:rsidR="00BC5456" w:rsidRPr="00BC5456">
        <w:rPr>
          <w:rFonts w:ascii="Times New Roman" w:eastAsia="Calibri" w:hAnsi="Times New Roman"/>
          <w:sz w:val="24"/>
        </w:rPr>
        <w:t>) by</w:t>
      </w:r>
      <w:r w:rsidRPr="00BC5456">
        <w:rPr>
          <w:rFonts w:ascii="Times New Roman" w:eastAsia="Calibri" w:hAnsi="Times New Roman"/>
          <w:sz w:val="24"/>
        </w:rPr>
        <w:t xml:space="preserve"> </w:t>
      </w:r>
      <w:r w:rsidR="00BC5456" w:rsidRPr="0080636F">
        <w:rPr>
          <w:rFonts w:ascii="Times New Roman" w:eastAsia="Calibri" w:hAnsi="Times New Roman"/>
          <w:sz w:val="24"/>
        </w:rPr>
        <w:t>set</w:t>
      </w:r>
      <w:r w:rsidR="00BC5456">
        <w:rPr>
          <w:rFonts w:ascii="Times New Roman" w:eastAsia="Calibri" w:hAnsi="Times New Roman"/>
          <w:sz w:val="24"/>
        </w:rPr>
        <w:t>ting</w:t>
      </w:r>
      <w:r w:rsidR="00BC5456" w:rsidRPr="0080636F">
        <w:rPr>
          <w:rFonts w:ascii="Times New Roman" w:eastAsia="Calibri" w:hAnsi="Times New Roman"/>
          <w:sz w:val="24"/>
        </w:rPr>
        <w:t xml:space="preserve"> out the special circumstances</w:t>
      </w:r>
      <w:r w:rsidR="00BC5456" w:rsidRPr="00FF3C57">
        <w:rPr>
          <w:rFonts w:ascii="Times New Roman" w:eastAsia="Calibri" w:hAnsi="Times New Roman"/>
          <w:sz w:val="24"/>
        </w:rPr>
        <w:t xml:space="preserve"> in which a</w:t>
      </w:r>
      <w:r w:rsidR="00BC5456" w:rsidRPr="003E329A">
        <w:rPr>
          <w:rFonts w:ascii="Times New Roman" w:eastAsia="Calibri" w:hAnsi="Times New Roman"/>
          <w:sz w:val="24"/>
        </w:rPr>
        <w:t xml:space="preserve"> reporting entity </w:t>
      </w:r>
      <w:r w:rsidR="00BC5456" w:rsidRPr="00FF3C57">
        <w:rPr>
          <w:rFonts w:ascii="Times New Roman" w:eastAsia="Calibri" w:hAnsi="Times New Roman"/>
          <w:sz w:val="24"/>
        </w:rPr>
        <w:t>may</w:t>
      </w:r>
      <w:r w:rsidR="00BC5456" w:rsidRPr="003E329A">
        <w:rPr>
          <w:rFonts w:ascii="Times New Roman" w:eastAsia="Calibri" w:hAnsi="Times New Roman"/>
          <w:sz w:val="24"/>
        </w:rPr>
        <w:t xml:space="preserve"> carry out the </w:t>
      </w:r>
      <w:r w:rsidR="00BC5456">
        <w:rPr>
          <w:rFonts w:ascii="Times New Roman" w:eastAsia="Calibri" w:hAnsi="Times New Roman"/>
          <w:sz w:val="24"/>
        </w:rPr>
        <w:t>applicable customer identification procedures</w:t>
      </w:r>
      <w:r w:rsidR="00BC5456" w:rsidRPr="003E329A">
        <w:rPr>
          <w:rFonts w:ascii="Times New Roman" w:eastAsia="Calibri" w:hAnsi="Times New Roman"/>
          <w:sz w:val="24"/>
        </w:rPr>
        <w:t xml:space="preserve"> in respect of a customer, after </w:t>
      </w:r>
      <w:r w:rsidR="00BC5456">
        <w:rPr>
          <w:rFonts w:ascii="Times New Roman" w:eastAsia="Calibri" w:hAnsi="Times New Roman"/>
          <w:sz w:val="24"/>
        </w:rPr>
        <w:t>commencing to provide a designated service described in item 1 of table 1 in subsection 6(2) of the AML/CTF Act (</w:t>
      </w:r>
      <w:r w:rsidR="00BC5456" w:rsidRPr="003E329A">
        <w:rPr>
          <w:rFonts w:ascii="Times New Roman" w:eastAsia="Calibri" w:hAnsi="Times New Roman"/>
          <w:sz w:val="24"/>
        </w:rPr>
        <w:t>open</w:t>
      </w:r>
      <w:r w:rsidR="00BC5456" w:rsidRPr="00FF3C57">
        <w:rPr>
          <w:rFonts w:ascii="Times New Roman" w:eastAsia="Calibri" w:hAnsi="Times New Roman"/>
          <w:sz w:val="24"/>
        </w:rPr>
        <w:t>ing</w:t>
      </w:r>
      <w:r w:rsidR="00BC5456" w:rsidRPr="003E329A">
        <w:rPr>
          <w:rFonts w:ascii="Times New Roman" w:eastAsia="Calibri" w:hAnsi="Times New Roman"/>
          <w:sz w:val="24"/>
        </w:rPr>
        <w:t xml:space="preserve"> an account</w:t>
      </w:r>
      <w:r w:rsidR="00BC5456">
        <w:rPr>
          <w:rFonts w:ascii="Times New Roman" w:eastAsia="Calibri" w:hAnsi="Times New Roman"/>
          <w:sz w:val="24"/>
        </w:rPr>
        <w:t>) to the customer.</w:t>
      </w:r>
    </w:p>
    <w:p w14:paraId="7FDE36C3" w14:textId="748E86F1" w:rsidR="00BC5456" w:rsidRDefault="00BC5456" w:rsidP="00AD08E1">
      <w:pPr>
        <w:spacing w:after="160" w:line="259" w:lineRule="auto"/>
        <w:rPr>
          <w:rFonts w:ascii="Times New Roman" w:eastAsia="Calibri" w:hAnsi="Times New Roman"/>
          <w:sz w:val="24"/>
        </w:rPr>
      </w:pPr>
      <w:r>
        <w:rPr>
          <w:rFonts w:ascii="Times New Roman" w:eastAsia="Calibri" w:hAnsi="Times New Roman"/>
          <w:sz w:val="24"/>
        </w:rPr>
        <w:t xml:space="preserve">The Instrument also amends the AML/CTF Rules to exclude things from the definition of ‘stored value card’ in section 5 of the </w:t>
      </w:r>
      <w:r w:rsidRPr="00BC5456">
        <w:rPr>
          <w:rFonts w:ascii="Times New Roman" w:eastAsia="Calibri" w:hAnsi="Times New Roman"/>
          <w:i/>
          <w:sz w:val="24"/>
        </w:rPr>
        <w:t>Anti-Money Laundering and Counter-Terrorism Financing Act 2006</w:t>
      </w:r>
      <w:r>
        <w:rPr>
          <w:rFonts w:ascii="Times New Roman" w:eastAsia="Calibri" w:hAnsi="Times New Roman"/>
          <w:sz w:val="24"/>
        </w:rPr>
        <w:t>.</w:t>
      </w:r>
    </w:p>
    <w:p w14:paraId="69955014" w14:textId="666AFBD5" w:rsidR="00BC5456" w:rsidRPr="00AD08E1" w:rsidRDefault="00BC5456" w:rsidP="00AD08E1">
      <w:pPr>
        <w:spacing w:after="160" w:line="259" w:lineRule="auto"/>
        <w:rPr>
          <w:rFonts w:ascii="Times New Roman" w:eastAsia="Calibri" w:hAnsi="Times New Roman"/>
          <w:sz w:val="24"/>
        </w:rPr>
      </w:pPr>
      <w:r>
        <w:rPr>
          <w:rFonts w:ascii="Times New Roman" w:eastAsia="Calibri" w:hAnsi="Times New Roman"/>
          <w:sz w:val="24"/>
        </w:rPr>
        <w:t xml:space="preserve">The Instrument amends Chapter 48 of the AML/CTF Rules by </w:t>
      </w:r>
      <w:r w:rsidRPr="003E329A">
        <w:rPr>
          <w:rFonts w:ascii="Times New Roman" w:eastAsia="Calibri" w:hAnsi="Times New Roman"/>
          <w:sz w:val="24"/>
        </w:rPr>
        <w:t>expand</w:t>
      </w:r>
      <w:r w:rsidRPr="00FF3C57">
        <w:rPr>
          <w:rFonts w:ascii="Times New Roman" w:eastAsia="Calibri" w:hAnsi="Times New Roman"/>
          <w:sz w:val="24"/>
        </w:rPr>
        <w:t>ing</w:t>
      </w:r>
      <w:r w:rsidRPr="003E329A">
        <w:rPr>
          <w:rFonts w:ascii="Times New Roman" w:eastAsia="Calibri" w:hAnsi="Times New Roman"/>
          <w:sz w:val="24"/>
        </w:rPr>
        <w:t xml:space="preserve"> the current exemption </w:t>
      </w:r>
      <w:r w:rsidRPr="00FF3C57">
        <w:rPr>
          <w:rFonts w:ascii="Times New Roman" w:eastAsia="Calibri" w:hAnsi="Times New Roman"/>
          <w:sz w:val="24"/>
        </w:rPr>
        <w:t>relating to</w:t>
      </w:r>
      <w:r w:rsidRPr="003E329A">
        <w:rPr>
          <w:rFonts w:ascii="Times New Roman" w:eastAsia="Calibri" w:hAnsi="Times New Roman"/>
          <w:sz w:val="24"/>
        </w:rPr>
        <w:t xml:space="preserve"> salary packaging services to include </w:t>
      </w:r>
      <w:r>
        <w:rPr>
          <w:rFonts w:ascii="Times New Roman" w:eastAsia="Calibri" w:hAnsi="Times New Roman"/>
          <w:sz w:val="24"/>
        </w:rPr>
        <w:t xml:space="preserve">the </w:t>
      </w:r>
      <w:r w:rsidRPr="00FF3C57">
        <w:rPr>
          <w:rFonts w:ascii="Times New Roman" w:eastAsia="Calibri" w:hAnsi="Times New Roman"/>
          <w:sz w:val="24"/>
        </w:rPr>
        <w:t xml:space="preserve">specified designated services when they relate to </w:t>
      </w:r>
      <w:r w:rsidRPr="003E329A">
        <w:rPr>
          <w:rFonts w:ascii="Times New Roman" w:eastAsia="Calibri" w:hAnsi="Times New Roman"/>
          <w:sz w:val="24"/>
        </w:rPr>
        <w:t>payroll and superannuation clearance services.</w:t>
      </w:r>
    </w:p>
    <w:p w14:paraId="601F3F0F" w14:textId="557EF96C" w:rsidR="00606CF2" w:rsidRPr="00D54B98" w:rsidRDefault="009B309E" w:rsidP="009823D3">
      <w:pPr>
        <w:spacing w:after="160" w:line="360" w:lineRule="auto"/>
        <w:rPr>
          <w:rFonts w:ascii="Times New Roman" w:eastAsia="Calibri" w:hAnsi="Times New Roman"/>
          <w:b/>
          <w:sz w:val="24"/>
        </w:rPr>
      </w:pPr>
      <w:r w:rsidRPr="00D54B98">
        <w:rPr>
          <w:rFonts w:ascii="Times New Roman" w:eastAsia="Calibri" w:hAnsi="Times New Roman"/>
          <w:b/>
          <w:sz w:val="24"/>
        </w:rPr>
        <w:t>Human rights implications</w:t>
      </w:r>
    </w:p>
    <w:p w14:paraId="289424C1" w14:textId="77777777" w:rsidR="00606CF2" w:rsidRPr="00D54B98" w:rsidRDefault="00C34C45" w:rsidP="00D54B98">
      <w:pPr>
        <w:spacing w:after="160" w:line="259" w:lineRule="auto"/>
        <w:rPr>
          <w:rFonts w:ascii="Times New Roman" w:hAnsi="Times New Roman"/>
          <w:sz w:val="24"/>
        </w:rPr>
      </w:pPr>
      <w:r w:rsidRPr="00D54B98">
        <w:rPr>
          <w:rFonts w:ascii="Times New Roman" w:hAnsi="Times New Roman"/>
          <w:sz w:val="24"/>
        </w:rPr>
        <w:t xml:space="preserve">The </w:t>
      </w:r>
      <w:r w:rsidRPr="00D54B98">
        <w:rPr>
          <w:rFonts w:ascii="Times New Roman" w:hAnsi="Times New Roman"/>
          <w:i/>
          <w:sz w:val="24"/>
        </w:rPr>
        <w:t>Human Rights (Parliamentary Scrutiny) Act 2011</w:t>
      </w:r>
      <w:r w:rsidRPr="00D54B98">
        <w:rPr>
          <w:rFonts w:ascii="Times New Roman" w:hAnsi="Times New Roman"/>
          <w:sz w:val="24"/>
        </w:rPr>
        <w:t xml:space="preserve"> requires that Statements of Compatibility must be made by the rule-maker with regard to disallowable legislative instruments, and must contain an assessment of whether the legislative instrument is compatible with the rights and freedoms recognised in the seven core international human rights treaties that Australia has ratified.</w:t>
      </w:r>
    </w:p>
    <w:p w14:paraId="7AC3ABA6" w14:textId="506BE254" w:rsidR="007F18B0" w:rsidRPr="003E329A" w:rsidRDefault="007F18B0" w:rsidP="007F18B0">
      <w:pPr>
        <w:spacing w:before="240"/>
        <w:rPr>
          <w:rFonts w:ascii="Times New Roman" w:hAnsi="Times New Roman"/>
          <w:b/>
          <w:i/>
          <w:sz w:val="28"/>
          <w:szCs w:val="28"/>
          <w:lang w:eastAsia="en-AU"/>
        </w:rPr>
      </w:pPr>
      <w:r w:rsidRPr="003E329A">
        <w:rPr>
          <w:rFonts w:ascii="Times New Roman" w:hAnsi="Times New Roman"/>
          <w:sz w:val="24"/>
          <w:lang w:eastAsia="en-AU"/>
        </w:rPr>
        <w:t>It is considered that Chapters</w:t>
      </w:r>
      <w:r>
        <w:rPr>
          <w:rFonts w:ascii="Times New Roman" w:hAnsi="Times New Roman"/>
          <w:sz w:val="24"/>
          <w:lang w:eastAsia="en-AU"/>
        </w:rPr>
        <w:t xml:space="preserve"> </w:t>
      </w:r>
      <w:r w:rsidRPr="003E329A">
        <w:rPr>
          <w:rFonts w:ascii="Times New Roman" w:hAnsi="Times New Roman"/>
          <w:sz w:val="24"/>
          <w:lang w:eastAsia="en-AU"/>
        </w:rPr>
        <w:t xml:space="preserve">79 and 80 do not engage any of the human rights and freedoms recognised or declared in the international instruments listed in the definition of ‘human rights’ in subsection 3(1) of the </w:t>
      </w:r>
      <w:r w:rsidRPr="003E329A">
        <w:rPr>
          <w:rFonts w:ascii="Times New Roman" w:hAnsi="Times New Roman"/>
          <w:i/>
          <w:sz w:val="24"/>
          <w:lang w:eastAsia="en-AU"/>
        </w:rPr>
        <w:t>Human Rights (Parliamentary Scrutiny) Act 2011</w:t>
      </w:r>
      <w:r w:rsidRPr="003E329A">
        <w:rPr>
          <w:rFonts w:ascii="Times New Roman" w:hAnsi="Times New Roman"/>
          <w:sz w:val="24"/>
          <w:lang w:eastAsia="en-AU"/>
        </w:rPr>
        <w:t>.</w:t>
      </w:r>
    </w:p>
    <w:p w14:paraId="3F9CF1A5" w14:textId="77777777" w:rsidR="007F18B0" w:rsidRPr="003E329A" w:rsidRDefault="007F18B0" w:rsidP="007F18B0">
      <w:pPr>
        <w:spacing w:before="240" w:after="160"/>
        <w:contextualSpacing/>
        <w:rPr>
          <w:rFonts w:ascii="Times New Roman" w:hAnsi="Times New Roman"/>
          <w:sz w:val="24"/>
          <w:lang w:eastAsia="en-AU"/>
        </w:rPr>
      </w:pPr>
    </w:p>
    <w:p w14:paraId="02EF27FA" w14:textId="77777777" w:rsidR="007F18B0" w:rsidRPr="003E329A" w:rsidRDefault="007F18B0" w:rsidP="007F18B0">
      <w:pPr>
        <w:spacing w:before="240"/>
        <w:rPr>
          <w:rFonts w:ascii="Times New Roman" w:hAnsi="Times New Roman"/>
          <w:i/>
          <w:sz w:val="24"/>
          <w:lang w:eastAsia="en-AU"/>
        </w:rPr>
      </w:pPr>
      <w:r w:rsidRPr="003E329A">
        <w:rPr>
          <w:rFonts w:ascii="Times New Roman" w:hAnsi="Times New Roman"/>
          <w:i/>
          <w:sz w:val="24"/>
          <w:lang w:eastAsia="en-AU"/>
        </w:rPr>
        <w:t>Right to Privacy</w:t>
      </w:r>
    </w:p>
    <w:p w14:paraId="2BDD5DEA" w14:textId="242C718D" w:rsidR="007F18B0" w:rsidRPr="003E329A" w:rsidRDefault="007F18B0" w:rsidP="007F18B0">
      <w:pPr>
        <w:spacing w:before="240"/>
        <w:rPr>
          <w:rFonts w:ascii="Times New Roman" w:hAnsi="Times New Roman"/>
          <w:sz w:val="24"/>
        </w:rPr>
      </w:pPr>
      <w:r w:rsidRPr="003E329A">
        <w:rPr>
          <w:rFonts w:ascii="Times New Roman" w:hAnsi="Times New Roman"/>
          <w:sz w:val="24"/>
          <w:lang w:eastAsia="en-AU"/>
        </w:rPr>
        <w:lastRenderedPageBreak/>
        <w:t>It is considered that the amendments to Chapter 48 engage the right to privacy in Article 17 of the International Covenant on Civil and Political Rights (</w:t>
      </w:r>
      <w:r w:rsidRPr="003E329A">
        <w:rPr>
          <w:rFonts w:ascii="Times New Roman" w:hAnsi="Times New Roman"/>
          <w:b/>
          <w:sz w:val="24"/>
          <w:lang w:eastAsia="en-AU"/>
        </w:rPr>
        <w:t>ICCPR</w:t>
      </w:r>
      <w:r w:rsidRPr="003E329A">
        <w:rPr>
          <w:rFonts w:ascii="Times New Roman" w:hAnsi="Times New Roman"/>
          <w:sz w:val="24"/>
          <w:lang w:eastAsia="en-AU"/>
        </w:rPr>
        <w:t xml:space="preserve">) by excluding </w:t>
      </w:r>
      <w:r w:rsidRPr="003E329A">
        <w:rPr>
          <w:rFonts w:ascii="Times New Roman" w:hAnsi="Times New Roman"/>
          <w:sz w:val="24"/>
        </w:rPr>
        <w:t>employees of companies utilising external payroll and superannuation clearance services</w:t>
      </w:r>
      <w:r w:rsidRPr="003E329A">
        <w:rPr>
          <w:rFonts w:ascii="Times New Roman" w:hAnsi="Times New Roman"/>
          <w:sz w:val="24"/>
          <w:lang w:eastAsia="en-AU"/>
        </w:rPr>
        <w:t xml:space="preserve"> from the customer due diligence, record keeping and reporting obligations of the AML/CTF Act</w:t>
      </w:r>
      <w:r w:rsidRPr="003E329A">
        <w:rPr>
          <w:rFonts w:ascii="Times New Roman" w:hAnsi="Times New Roman"/>
          <w:sz w:val="24"/>
        </w:rPr>
        <w:t>.</w:t>
      </w:r>
    </w:p>
    <w:p w14:paraId="6668A769" w14:textId="77777777" w:rsidR="007F18B0" w:rsidRPr="003E329A" w:rsidRDefault="007F18B0" w:rsidP="007F18B0">
      <w:pPr>
        <w:spacing w:before="240"/>
        <w:rPr>
          <w:rFonts w:ascii="Times New Roman" w:hAnsi="Times New Roman"/>
          <w:sz w:val="24"/>
        </w:rPr>
      </w:pPr>
      <w:r w:rsidRPr="003E329A">
        <w:rPr>
          <w:rFonts w:ascii="Times New Roman" w:hAnsi="Times New Roman"/>
          <w:sz w:val="24"/>
        </w:rPr>
        <w:t>Article 17 of the ICCPR provides that no one shall be subjected to arbitrary or unlawful interference with their privacy, family, home or correspondence. The use of the term ‘arbitrary’ means that any interference with privacy must be in accordance with the provisions, aims and objectives of the ICCPR and should be reasonable in the particular circumstances. The United Nations Human Rights Committee has interpreted ‘reasonableness’ to imply that any limitation must be proportionate and necessary in the circumstances. The right to privacy can be limited by necessity in a democratic society in the interests of national security or public order.</w:t>
      </w:r>
    </w:p>
    <w:p w14:paraId="57EB49F9" w14:textId="59697DC1" w:rsidR="007F18B0" w:rsidRPr="003E329A" w:rsidRDefault="007F18B0" w:rsidP="007F18B0">
      <w:pPr>
        <w:spacing w:before="240"/>
        <w:rPr>
          <w:rFonts w:ascii="Times New Roman" w:hAnsi="Times New Roman"/>
          <w:sz w:val="24"/>
        </w:rPr>
      </w:pPr>
      <w:r w:rsidRPr="003E329A">
        <w:rPr>
          <w:rFonts w:ascii="Times New Roman" w:hAnsi="Times New Roman"/>
          <w:sz w:val="24"/>
        </w:rPr>
        <w:t xml:space="preserve">As a result of the amendments, employees of companies utilising external payroll and superannuation clearance services will no longer be required to undergo an applicable customer identification procedure under the AML/CTF Act. In doing so, the amendments preserve the right to privacy by ensuring that personal information is only collected when a designated service, that is not the subject of an exemption, is being provided. This ensures that the required collection of personal information under the AML/CTF Act remains reasonable, necessary and proportionate. </w:t>
      </w:r>
    </w:p>
    <w:p w14:paraId="7881C5B2" w14:textId="77777777" w:rsidR="007F18B0" w:rsidRPr="003E329A" w:rsidRDefault="007F18B0" w:rsidP="007F18B0">
      <w:pPr>
        <w:spacing w:before="240"/>
        <w:rPr>
          <w:rFonts w:ascii="Times New Roman" w:hAnsi="Times New Roman"/>
          <w:i/>
          <w:sz w:val="24"/>
          <w:u w:val="single"/>
        </w:rPr>
      </w:pPr>
      <w:r w:rsidRPr="003E329A">
        <w:rPr>
          <w:rFonts w:ascii="Times New Roman" w:hAnsi="Times New Roman"/>
          <w:i/>
          <w:sz w:val="24"/>
          <w:u w:val="single"/>
        </w:rPr>
        <w:t>Rights at Work</w:t>
      </w:r>
    </w:p>
    <w:p w14:paraId="258A419D" w14:textId="2C81A453" w:rsidR="007F18B0" w:rsidRPr="003E329A" w:rsidRDefault="007F18B0" w:rsidP="007F18B0">
      <w:pPr>
        <w:spacing w:before="240"/>
        <w:rPr>
          <w:rFonts w:ascii="Times New Roman" w:hAnsi="Times New Roman"/>
          <w:bCs/>
          <w:sz w:val="24"/>
        </w:rPr>
      </w:pPr>
      <w:r w:rsidRPr="003E329A">
        <w:rPr>
          <w:rFonts w:ascii="Times New Roman" w:hAnsi="Times New Roman"/>
          <w:sz w:val="24"/>
        </w:rPr>
        <w:t xml:space="preserve">It is considered that the amendments to Chapter 48 engage the right of everyone to the enjoyment of just and favourable conditions of work as set out in Article 7 of the </w:t>
      </w:r>
      <w:r w:rsidRPr="003E329A">
        <w:rPr>
          <w:rFonts w:ascii="Times New Roman" w:hAnsi="Times New Roman"/>
          <w:bCs/>
          <w:sz w:val="24"/>
        </w:rPr>
        <w:t>International Covenant on Economic, Social and Cultural Rights (</w:t>
      </w:r>
      <w:r w:rsidRPr="003E329A">
        <w:rPr>
          <w:rFonts w:ascii="Times New Roman" w:hAnsi="Times New Roman"/>
          <w:b/>
          <w:bCs/>
          <w:sz w:val="24"/>
        </w:rPr>
        <w:t>ICESCR</w:t>
      </w:r>
      <w:r w:rsidRPr="003E329A">
        <w:rPr>
          <w:rFonts w:ascii="Times New Roman" w:hAnsi="Times New Roman"/>
          <w:bCs/>
          <w:sz w:val="24"/>
        </w:rPr>
        <w:t>).</w:t>
      </w:r>
    </w:p>
    <w:p w14:paraId="4403F8EE" w14:textId="77777777" w:rsidR="007F18B0" w:rsidRPr="003E329A" w:rsidRDefault="007F18B0" w:rsidP="007F18B0">
      <w:pPr>
        <w:spacing w:before="240"/>
        <w:rPr>
          <w:rFonts w:ascii="Times New Roman" w:hAnsi="Times New Roman"/>
          <w:sz w:val="24"/>
        </w:rPr>
      </w:pPr>
      <w:r w:rsidRPr="003E329A">
        <w:rPr>
          <w:rFonts w:ascii="Times New Roman" w:hAnsi="Times New Roman"/>
          <w:sz w:val="24"/>
        </w:rPr>
        <w:t xml:space="preserve">The right to just and favourable conditions of work in article 7 of ICESCR encompasses a number of elements, including remuneration which provides all workers, as a minimum, with fair wages. </w:t>
      </w:r>
    </w:p>
    <w:p w14:paraId="67719495" w14:textId="77777777" w:rsidR="007F18B0" w:rsidRPr="003E329A" w:rsidRDefault="007F18B0" w:rsidP="007F18B0">
      <w:pPr>
        <w:spacing w:before="240"/>
        <w:rPr>
          <w:rFonts w:ascii="Times New Roman" w:hAnsi="Times New Roman"/>
          <w:sz w:val="24"/>
        </w:rPr>
      </w:pPr>
      <w:r w:rsidRPr="003E329A">
        <w:rPr>
          <w:rFonts w:ascii="Times New Roman" w:hAnsi="Times New Roman"/>
          <w:sz w:val="24"/>
        </w:rPr>
        <w:t>The amendments preserve the right of just and favourable conditions of work by facilitating the ease in which employees can be paid their salary, wages and superannuation contributions.</w:t>
      </w:r>
    </w:p>
    <w:p w14:paraId="0B5DF4F8" w14:textId="77777777" w:rsidR="007F18B0" w:rsidRPr="003B5048" w:rsidRDefault="007F18B0" w:rsidP="007F18B0">
      <w:pPr>
        <w:spacing w:after="160" w:line="259" w:lineRule="auto"/>
        <w:rPr>
          <w:rFonts w:ascii="Times New Roman" w:eastAsia="Calibri" w:hAnsi="Times New Roman"/>
          <w:b/>
          <w:sz w:val="24"/>
        </w:rPr>
      </w:pPr>
    </w:p>
    <w:p w14:paraId="1F1FC570" w14:textId="33835E43" w:rsidR="00B94668" w:rsidRDefault="00B94668" w:rsidP="009B309E">
      <w:pPr>
        <w:rPr>
          <w:rFonts w:ascii="Times New Roman" w:hAnsi="Times New Roman"/>
          <w:sz w:val="24"/>
        </w:rPr>
      </w:pPr>
    </w:p>
    <w:p w14:paraId="51C40289" w14:textId="41058B6E" w:rsidR="00A97B24" w:rsidRDefault="00A97B24" w:rsidP="009B309E">
      <w:pPr>
        <w:rPr>
          <w:rFonts w:ascii="Times New Roman" w:hAnsi="Times New Roman"/>
          <w:sz w:val="24"/>
        </w:rPr>
      </w:pPr>
    </w:p>
    <w:p w14:paraId="0CC2C538" w14:textId="6E574BD2" w:rsidR="00A97B24" w:rsidRPr="00BC6A40" w:rsidRDefault="00C85B0D" w:rsidP="009B309E">
      <w:pPr>
        <w:rPr>
          <w:rFonts w:ascii="Times New Roman" w:hAnsi="Times New Roman"/>
          <w:sz w:val="24"/>
        </w:rPr>
      </w:pPr>
      <w:r>
        <w:rPr>
          <w:rFonts w:ascii="Times New Roman" w:hAnsi="Times New Roman"/>
          <w:sz w:val="24"/>
        </w:rPr>
        <w:t>[signed]</w:t>
      </w:r>
      <w:bookmarkStart w:id="1" w:name="_GoBack"/>
      <w:bookmarkEnd w:id="1"/>
    </w:p>
    <w:p w14:paraId="0F0D2B36" w14:textId="5E7A9129" w:rsidR="009B309E" w:rsidRPr="00BC6A40" w:rsidRDefault="009B309E" w:rsidP="009B309E">
      <w:pPr>
        <w:rPr>
          <w:rFonts w:ascii="Times New Roman" w:hAnsi="Times New Roman"/>
          <w:sz w:val="24"/>
        </w:rPr>
      </w:pPr>
      <w:r w:rsidRPr="00BC6A40">
        <w:rPr>
          <w:rFonts w:ascii="Times New Roman" w:hAnsi="Times New Roman"/>
          <w:sz w:val="24"/>
        </w:rPr>
        <w:t>Nicole Rose PSM</w:t>
      </w:r>
    </w:p>
    <w:p w14:paraId="073F635A" w14:textId="77777777" w:rsidR="009B309E" w:rsidRPr="00BC6A40" w:rsidRDefault="009B309E" w:rsidP="009B309E">
      <w:pPr>
        <w:rPr>
          <w:rFonts w:ascii="Times New Roman" w:hAnsi="Times New Roman"/>
          <w:sz w:val="24"/>
        </w:rPr>
      </w:pPr>
      <w:r w:rsidRPr="00BC6A40">
        <w:rPr>
          <w:rFonts w:ascii="Times New Roman" w:hAnsi="Times New Roman"/>
          <w:sz w:val="24"/>
        </w:rPr>
        <w:t>Chief Executive Officer</w:t>
      </w:r>
    </w:p>
    <w:p w14:paraId="25D33808" w14:textId="77777777" w:rsidR="009B309E" w:rsidRPr="00BC6A40" w:rsidRDefault="009B309E" w:rsidP="009B309E">
      <w:pPr>
        <w:rPr>
          <w:rFonts w:ascii="Times New Roman" w:hAnsi="Times New Roman"/>
          <w:sz w:val="24"/>
        </w:rPr>
      </w:pPr>
      <w:r w:rsidRPr="00BC6A40">
        <w:rPr>
          <w:rFonts w:ascii="Times New Roman" w:hAnsi="Times New Roman"/>
          <w:sz w:val="24"/>
        </w:rPr>
        <w:t>Australian Transaction Reports and Analysis Centre</w:t>
      </w:r>
    </w:p>
    <w:sectPr w:rsidR="009B309E" w:rsidRPr="00BC6A40" w:rsidSect="007A53C1">
      <w:footerReference w:type="even" r:id="rId8"/>
      <w:footerReference w:type="default" r:id="rId9"/>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540EF" w14:textId="77777777" w:rsidR="00C029B0" w:rsidRDefault="00C029B0">
      <w:r>
        <w:separator/>
      </w:r>
    </w:p>
  </w:endnote>
  <w:endnote w:type="continuationSeparator" w:id="0">
    <w:p w14:paraId="1787E0BE" w14:textId="77777777" w:rsidR="00C029B0" w:rsidRDefault="00C02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BEE1" w14:textId="77777777" w:rsidR="00860B5B" w:rsidRDefault="00860B5B" w:rsidP="003F25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4EB9ADF" w14:textId="77777777" w:rsidR="00860B5B" w:rsidRDefault="00860B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D0745" w14:textId="214F9A1D" w:rsidR="00860B5B" w:rsidRPr="007A53C1" w:rsidRDefault="00860B5B" w:rsidP="003F250A">
    <w:pPr>
      <w:pStyle w:val="Footer"/>
      <w:framePr w:wrap="around" w:vAnchor="text" w:hAnchor="margin" w:xAlign="center" w:y="1"/>
      <w:rPr>
        <w:rStyle w:val="PageNumber"/>
        <w:rFonts w:ascii="Times New Roman" w:hAnsi="Times New Roman"/>
      </w:rPr>
    </w:pPr>
    <w:r w:rsidRPr="007A53C1">
      <w:rPr>
        <w:rStyle w:val="PageNumber"/>
        <w:rFonts w:ascii="Times New Roman" w:hAnsi="Times New Roman"/>
      </w:rPr>
      <w:fldChar w:fldCharType="begin"/>
    </w:r>
    <w:r w:rsidRPr="007A53C1">
      <w:rPr>
        <w:rStyle w:val="PageNumber"/>
        <w:rFonts w:ascii="Times New Roman" w:hAnsi="Times New Roman"/>
      </w:rPr>
      <w:instrText xml:space="preserve">PAGE  </w:instrText>
    </w:r>
    <w:r w:rsidRPr="007A53C1">
      <w:rPr>
        <w:rStyle w:val="PageNumber"/>
        <w:rFonts w:ascii="Times New Roman" w:hAnsi="Times New Roman"/>
      </w:rPr>
      <w:fldChar w:fldCharType="separate"/>
    </w:r>
    <w:r w:rsidR="0085227D">
      <w:rPr>
        <w:rStyle w:val="PageNumber"/>
        <w:rFonts w:ascii="Times New Roman" w:hAnsi="Times New Roman"/>
        <w:noProof/>
      </w:rPr>
      <w:t>8</w:t>
    </w:r>
    <w:r w:rsidRPr="007A53C1">
      <w:rPr>
        <w:rStyle w:val="PageNumber"/>
        <w:rFonts w:ascii="Times New Roman" w:hAnsi="Times New Roman"/>
      </w:rPr>
      <w:fldChar w:fldCharType="end"/>
    </w:r>
  </w:p>
  <w:p w14:paraId="1D4C9A6A" w14:textId="77777777" w:rsidR="00860B5B" w:rsidRPr="007A53C1" w:rsidRDefault="00860B5B" w:rsidP="003B7524">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D81FC" w14:textId="77777777" w:rsidR="00C029B0" w:rsidRDefault="00C029B0">
      <w:r>
        <w:separator/>
      </w:r>
    </w:p>
  </w:footnote>
  <w:footnote w:type="continuationSeparator" w:id="0">
    <w:p w14:paraId="18DA4490" w14:textId="77777777" w:rsidR="00C029B0" w:rsidRDefault="00C02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8D1"/>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 w15:restartNumberingAfterBreak="0">
    <w:nsid w:val="1B3B4CE9"/>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 w15:restartNumberingAfterBreak="0">
    <w:nsid w:val="26BE7BAC"/>
    <w:multiLevelType w:val="hybridMultilevel"/>
    <w:tmpl w:val="82441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FC397F"/>
    <w:multiLevelType w:val="hybridMultilevel"/>
    <w:tmpl w:val="F766CC2E"/>
    <w:lvl w:ilvl="0" w:tplc="0C090001">
      <w:start w:val="1"/>
      <w:numFmt w:val="bullet"/>
      <w:lvlText w:val=""/>
      <w:lvlJc w:val="left"/>
      <w:pPr>
        <w:ind w:left="720" w:hanging="360"/>
      </w:pPr>
      <w:rPr>
        <w:rFonts w:ascii="Symbol" w:hAnsi="Symbol" w:hint="default"/>
        <w:color w:val="00000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A2E304C"/>
    <w:multiLevelType w:val="hybridMultilevel"/>
    <w:tmpl w:val="65CE0744"/>
    <w:lvl w:ilvl="0" w:tplc="29BA0E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32F1976"/>
    <w:multiLevelType w:val="hybridMultilevel"/>
    <w:tmpl w:val="65CE0744"/>
    <w:lvl w:ilvl="0" w:tplc="29BA0E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4C67765"/>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7" w15:restartNumberingAfterBreak="0">
    <w:nsid w:val="5732736A"/>
    <w:multiLevelType w:val="hybridMultilevel"/>
    <w:tmpl w:val="FE3CE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8B67EA5"/>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9" w15:restartNumberingAfterBreak="0">
    <w:nsid w:val="616E069F"/>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0" w15:restartNumberingAfterBreak="0">
    <w:nsid w:val="6AE65171"/>
    <w:multiLevelType w:val="hybridMultilevel"/>
    <w:tmpl w:val="D3D4E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1AD3B17"/>
    <w:multiLevelType w:val="hybridMultilevel"/>
    <w:tmpl w:val="65CE0744"/>
    <w:lvl w:ilvl="0" w:tplc="29BA0E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8A64D45"/>
    <w:multiLevelType w:val="hybridMultilevel"/>
    <w:tmpl w:val="9B966D8C"/>
    <w:lvl w:ilvl="0" w:tplc="79A4F224">
      <w:start w:val="1"/>
      <w:numFmt w:val="decimal"/>
      <w:lvlText w:val="%1."/>
      <w:lvlJc w:val="left"/>
      <w:pPr>
        <w:ind w:left="360" w:hanging="360"/>
      </w:pPr>
      <w:rPr>
        <w:color w:val="00000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7C692AEE"/>
    <w:multiLevelType w:val="hybridMultilevel"/>
    <w:tmpl w:val="3446BBBA"/>
    <w:lvl w:ilvl="0" w:tplc="0C090001">
      <w:start w:val="1"/>
      <w:numFmt w:val="bullet"/>
      <w:lvlText w:val=""/>
      <w:lvlJc w:val="left"/>
      <w:pPr>
        <w:ind w:left="720" w:hanging="360"/>
      </w:pPr>
      <w:rPr>
        <w:rFonts w:ascii="Symbol" w:hAnsi="Symbol" w:hint="default"/>
        <w:color w:val="00000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E3E69DE"/>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num w:numId="1">
    <w:abstractNumId w:val="12"/>
  </w:num>
  <w:num w:numId="2">
    <w:abstractNumId w:val="3"/>
  </w:num>
  <w:num w:numId="3">
    <w:abstractNumId w:val="13"/>
  </w:num>
  <w:num w:numId="4">
    <w:abstractNumId w:val="14"/>
  </w:num>
  <w:num w:numId="5">
    <w:abstractNumId w:val="0"/>
  </w:num>
  <w:num w:numId="6">
    <w:abstractNumId w:val="1"/>
  </w:num>
  <w:num w:numId="7">
    <w:abstractNumId w:val="9"/>
  </w:num>
  <w:num w:numId="8">
    <w:abstractNumId w:val="6"/>
  </w:num>
  <w:num w:numId="9">
    <w:abstractNumId w:val="8"/>
  </w:num>
  <w:num w:numId="10">
    <w:abstractNumId w:val="2"/>
  </w:num>
  <w:num w:numId="11">
    <w:abstractNumId w:val="5"/>
  </w:num>
  <w:num w:numId="12">
    <w:abstractNumId w:val="4"/>
  </w:num>
  <w:num w:numId="13">
    <w:abstractNumId w:val="11"/>
  </w:num>
  <w:num w:numId="14">
    <w:abstractNumId w:val="7"/>
  </w:num>
  <w:num w:numId="1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7524"/>
    <w:rsid w:val="0000129C"/>
    <w:rsid w:val="00002D59"/>
    <w:rsid w:val="000041E4"/>
    <w:rsid w:val="00004237"/>
    <w:rsid w:val="00005185"/>
    <w:rsid w:val="00005C87"/>
    <w:rsid w:val="0001158F"/>
    <w:rsid w:val="00011BFD"/>
    <w:rsid w:val="00013686"/>
    <w:rsid w:val="00017141"/>
    <w:rsid w:val="0001730D"/>
    <w:rsid w:val="000217EC"/>
    <w:rsid w:val="00021CB1"/>
    <w:rsid w:val="000222A4"/>
    <w:rsid w:val="00024783"/>
    <w:rsid w:val="00024980"/>
    <w:rsid w:val="00024C66"/>
    <w:rsid w:val="00027747"/>
    <w:rsid w:val="0003033B"/>
    <w:rsid w:val="00031690"/>
    <w:rsid w:val="00033B8D"/>
    <w:rsid w:val="00035748"/>
    <w:rsid w:val="00035795"/>
    <w:rsid w:val="000358DA"/>
    <w:rsid w:val="00035AF4"/>
    <w:rsid w:val="00035CF9"/>
    <w:rsid w:val="00037327"/>
    <w:rsid w:val="00042863"/>
    <w:rsid w:val="000430D4"/>
    <w:rsid w:val="00044B95"/>
    <w:rsid w:val="00050B40"/>
    <w:rsid w:val="00050CE5"/>
    <w:rsid w:val="00051713"/>
    <w:rsid w:val="00053A7A"/>
    <w:rsid w:val="00053D86"/>
    <w:rsid w:val="000552BF"/>
    <w:rsid w:val="000572EA"/>
    <w:rsid w:val="00057C98"/>
    <w:rsid w:val="0006328D"/>
    <w:rsid w:val="00064B1E"/>
    <w:rsid w:val="000673A4"/>
    <w:rsid w:val="00072759"/>
    <w:rsid w:val="00075472"/>
    <w:rsid w:val="0008191B"/>
    <w:rsid w:val="00083A52"/>
    <w:rsid w:val="000851F0"/>
    <w:rsid w:val="000869B9"/>
    <w:rsid w:val="000926BD"/>
    <w:rsid w:val="00092891"/>
    <w:rsid w:val="0009363E"/>
    <w:rsid w:val="000942AF"/>
    <w:rsid w:val="0009570F"/>
    <w:rsid w:val="00095CB4"/>
    <w:rsid w:val="000961DD"/>
    <w:rsid w:val="00097839"/>
    <w:rsid w:val="000A0109"/>
    <w:rsid w:val="000A1B36"/>
    <w:rsid w:val="000A25BE"/>
    <w:rsid w:val="000A448C"/>
    <w:rsid w:val="000A71FF"/>
    <w:rsid w:val="000B07C2"/>
    <w:rsid w:val="000B3A73"/>
    <w:rsid w:val="000B3D22"/>
    <w:rsid w:val="000B4EE1"/>
    <w:rsid w:val="000B7574"/>
    <w:rsid w:val="000B7D16"/>
    <w:rsid w:val="000C048B"/>
    <w:rsid w:val="000C26E9"/>
    <w:rsid w:val="000C3669"/>
    <w:rsid w:val="000C4CBB"/>
    <w:rsid w:val="000C4DEC"/>
    <w:rsid w:val="000C5E2A"/>
    <w:rsid w:val="000D0E25"/>
    <w:rsid w:val="000D13F2"/>
    <w:rsid w:val="000D143A"/>
    <w:rsid w:val="000D180A"/>
    <w:rsid w:val="000D1DA2"/>
    <w:rsid w:val="000D261E"/>
    <w:rsid w:val="000D4F84"/>
    <w:rsid w:val="000D658D"/>
    <w:rsid w:val="000E22B7"/>
    <w:rsid w:val="000E63EE"/>
    <w:rsid w:val="000F0AA0"/>
    <w:rsid w:val="00100A29"/>
    <w:rsid w:val="00100E9D"/>
    <w:rsid w:val="00101C26"/>
    <w:rsid w:val="00101CDF"/>
    <w:rsid w:val="0010234E"/>
    <w:rsid w:val="00106221"/>
    <w:rsid w:val="0010649D"/>
    <w:rsid w:val="00112B9E"/>
    <w:rsid w:val="001138C2"/>
    <w:rsid w:val="00114B13"/>
    <w:rsid w:val="00115CA1"/>
    <w:rsid w:val="001161BA"/>
    <w:rsid w:val="00116245"/>
    <w:rsid w:val="001212F7"/>
    <w:rsid w:val="00121FC3"/>
    <w:rsid w:val="00122D9B"/>
    <w:rsid w:val="00131A1D"/>
    <w:rsid w:val="00133529"/>
    <w:rsid w:val="0013429C"/>
    <w:rsid w:val="0013441F"/>
    <w:rsid w:val="00134CA6"/>
    <w:rsid w:val="00135E20"/>
    <w:rsid w:val="001369B9"/>
    <w:rsid w:val="00142343"/>
    <w:rsid w:val="00142983"/>
    <w:rsid w:val="001434AB"/>
    <w:rsid w:val="00143BAA"/>
    <w:rsid w:val="00146670"/>
    <w:rsid w:val="00146C29"/>
    <w:rsid w:val="001475BE"/>
    <w:rsid w:val="00151851"/>
    <w:rsid w:val="00151CE0"/>
    <w:rsid w:val="0015491C"/>
    <w:rsid w:val="00156041"/>
    <w:rsid w:val="0015621A"/>
    <w:rsid w:val="00156C39"/>
    <w:rsid w:val="00157B80"/>
    <w:rsid w:val="00160041"/>
    <w:rsid w:val="001602B8"/>
    <w:rsid w:val="001625EF"/>
    <w:rsid w:val="00162CC7"/>
    <w:rsid w:val="00163115"/>
    <w:rsid w:val="001663D5"/>
    <w:rsid w:val="0017034F"/>
    <w:rsid w:val="00173D1C"/>
    <w:rsid w:val="00190C40"/>
    <w:rsid w:val="00193377"/>
    <w:rsid w:val="001941DA"/>
    <w:rsid w:val="00194C14"/>
    <w:rsid w:val="0019595E"/>
    <w:rsid w:val="001970B1"/>
    <w:rsid w:val="00197E8A"/>
    <w:rsid w:val="001A03E1"/>
    <w:rsid w:val="001A11DA"/>
    <w:rsid w:val="001A25CB"/>
    <w:rsid w:val="001A58BA"/>
    <w:rsid w:val="001A63E8"/>
    <w:rsid w:val="001B005E"/>
    <w:rsid w:val="001B3A61"/>
    <w:rsid w:val="001B679A"/>
    <w:rsid w:val="001B6FCC"/>
    <w:rsid w:val="001B7562"/>
    <w:rsid w:val="001B7DCC"/>
    <w:rsid w:val="001C001A"/>
    <w:rsid w:val="001C2371"/>
    <w:rsid w:val="001C37C9"/>
    <w:rsid w:val="001C55AA"/>
    <w:rsid w:val="001C57DA"/>
    <w:rsid w:val="001C5B36"/>
    <w:rsid w:val="001C5B6B"/>
    <w:rsid w:val="001C60F1"/>
    <w:rsid w:val="001C6C6F"/>
    <w:rsid w:val="001C734E"/>
    <w:rsid w:val="001D022F"/>
    <w:rsid w:val="001D3034"/>
    <w:rsid w:val="001D3559"/>
    <w:rsid w:val="001D3968"/>
    <w:rsid w:val="001D3C6E"/>
    <w:rsid w:val="001D5E25"/>
    <w:rsid w:val="001D5F12"/>
    <w:rsid w:val="001D6003"/>
    <w:rsid w:val="001D63FB"/>
    <w:rsid w:val="001E005B"/>
    <w:rsid w:val="001E23BF"/>
    <w:rsid w:val="001E2728"/>
    <w:rsid w:val="001E4D8A"/>
    <w:rsid w:val="001E52A5"/>
    <w:rsid w:val="001F108A"/>
    <w:rsid w:val="001F165F"/>
    <w:rsid w:val="001F396D"/>
    <w:rsid w:val="001F4CE5"/>
    <w:rsid w:val="002027D7"/>
    <w:rsid w:val="0020292C"/>
    <w:rsid w:val="002041BC"/>
    <w:rsid w:val="00205D35"/>
    <w:rsid w:val="00205D9F"/>
    <w:rsid w:val="00206C4A"/>
    <w:rsid w:val="0020702F"/>
    <w:rsid w:val="00207A4E"/>
    <w:rsid w:val="00207D34"/>
    <w:rsid w:val="00210C12"/>
    <w:rsid w:val="002222BA"/>
    <w:rsid w:val="002227A8"/>
    <w:rsid w:val="00226A90"/>
    <w:rsid w:val="00231302"/>
    <w:rsid w:val="00232C59"/>
    <w:rsid w:val="00234EE9"/>
    <w:rsid w:val="002358FE"/>
    <w:rsid w:val="00236988"/>
    <w:rsid w:val="00237735"/>
    <w:rsid w:val="00241858"/>
    <w:rsid w:val="00243298"/>
    <w:rsid w:val="00243B31"/>
    <w:rsid w:val="00243C97"/>
    <w:rsid w:val="00244D95"/>
    <w:rsid w:val="00246666"/>
    <w:rsid w:val="00247043"/>
    <w:rsid w:val="002475AC"/>
    <w:rsid w:val="002526C4"/>
    <w:rsid w:val="00252A86"/>
    <w:rsid w:val="00252D90"/>
    <w:rsid w:val="0025603C"/>
    <w:rsid w:val="00256A5A"/>
    <w:rsid w:val="002570AB"/>
    <w:rsid w:val="00261776"/>
    <w:rsid w:val="002632D9"/>
    <w:rsid w:val="00263EDA"/>
    <w:rsid w:val="002700FC"/>
    <w:rsid w:val="00270F89"/>
    <w:rsid w:val="00272368"/>
    <w:rsid w:val="0027417D"/>
    <w:rsid w:val="002748A5"/>
    <w:rsid w:val="00276CC0"/>
    <w:rsid w:val="00285066"/>
    <w:rsid w:val="00285882"/>
    <w:rsid w:val="00291994"/>
    <w:rsid w:val="00292115"/>
    <w:rsid w:val="002948D1"/>
    <w:rsid w:val="0029686B"/>
    <w:rsid w:val="002A02FC"/>
    <w:rsid w:val="002A0A5F"/>
    <w:rsid w:val="002A2BE8"/>
    <w:rsid w:val="002A4E4A"/>
    <w:rsid w:val="002A5004"/>
    <w:rsid w:val="002A6852"/>
    <w:rsid w:val="002A6B5F"/>
    <w:rsid w:val="002B0655"/>
    <w:rsid w:val="002B0D2D"/>
    <w:rsid w:val="002B4D5C"/>
    <w:rsid w:val="002C10AE"/>
    <w:rsid w:val="002C2936"/>
    <w:rsid w:val="002C3BD6"/>
    <w:rsid w:val="002C5045"/>
    <w:rsid w:val="002C6AC2"/>
    <w:rsid w:val="002C7537"/>
    <w:rsid w:val="002C75DD"/>
    <w:rsid w:val="002C76AE"/>
    <w:rsid w:val="002D123A"/>
    <w:rsid w:val="002D18EA"/>
    <w:rsid w:val="002D6746"/>
    <w:rsid w:val="002D67A4"/>
    <w:rsid w:val="002D7A9B"/>
    <w:rsid w:val="002E5D55"/>
    <w:rsid w:val="002E74AC"/>
    <w:rsid w:val="002F38AD"/>
    <w:rsid w:val="002F4E2A"/>
    <w:rsid w:val="002F525A"/>
    <w:rsid w:val="002F62ED"/>
    <w:rsid w:val="003017CC"/>
    <w:rsid w:val="00301D3F"/>
    <w:rsid w:val="00303AFD"/>
    <w:rsid w:val="00304398"/>
    <w:rsid w:val="0030476E"/>
    <w:rsid w:val="00304ACF"/>
    <w:rsid w:val="00304F89"/>
    <w:rsid w:val="00304F91"/>
    <w:rsid w:val="0030571B"/>
    <w:rsid w:val="00306189"/>
    <w:rsid w:val="00306D9E"/>
    <w:rsid w:val="0030748F"/>
    <w:rsid w:val="003112C7"/>
    <w:rsid w:val="00313FAF"/>
    <w:rsid w:val="00314530"/>
    <w:rsid w:val="00316294"/>
    <w:rsid w:val="003206F6"/>
    <w:rsid w:val="0032216B"/>
    <w:rsid w:val="00322542"/>
    <w:rsid w:val="00322DBF"/>
    <w:rsid w:val="00324521"/>
    <w:rsid w:val="00324BFE"/>
    <w:rsid w:val="00325102"/>
    <w:rsid w:val="00326047"/>
    <w:rsid w:val="00326E01"/>
    <w:rsid w:val="00327A8D"/>
    <w:rsid w:val="00330292"/>
    <w:rsid w:val="00330393"/>
    <w:rsid w:val="003340DB"/>
    <w:rsid w:val="00337B46"/>
    <w:rsid w:val="00341E53"/>
    <w:rsid w:val="00344E15"/>
    <w:rsid w:val="00345884"/>
    <w:rsid w:val="00345CA1"/>
    <w:rsid w:val="0034729E"/>
    <w:rsid w:val="00353910"/>
    <w:rsid w:val="003559A1"/>
    <w:rsid w:val="00356306"/>
    <w:rsid w:val="003568F8"/>
    <w:rsid w:val="00360349"/>
    <w:rsid w:val="00363F21"/>
    <w:rsid w:val="00365FD7"/>
    <w:rsid w:val="003676D9"/>
    <w:rsid w:val="003747EE"/>
    <w:rsid w:val="00375A0F"/>
    <w:rsid w:val="00384116"/>
    <w:rsid w:val="003911F4"/>
    <w:rsid w:val="003912AD"/>
    <w:rsid w:val="003932F4"/>
    <w:rsid w:val="00393952"/>
    <w:rsid w:val="00393D2A"/>
    <w:rsid w:val="00394650"/>
    <w:rsid w:val="00394850"/>
    <w:rsid w:val="003975CF"/>
    <w:rsid w:val="003A0C67"/>
    <w:rsid w:val="003A1795"/>
    <w:rsid w:val="003A3B0B"/>
    <w:rsid w:val="003A49E8"/>
    <w:rsid w:val="003A73B8"/>
    <w:rsid w:val="003B2DDD"/>
    <w:rsid w:val="003B4F88"/>
    <w:rsid w:val="003B5048"/>
    <w:rsid w:val="003B7524"/>
    <w:rsid w:val="003C0500"/>
    <w:rsid w:val="003C1A25"/>
    <w:rsid w:val="003C43B6"/>
    <w:rsid w:val="003C57E7"/>
    <w:rsid w:val="003D1772"/>
    <w:rsid w:val="003D672A"/>
    <w:rsid w:val="003D7390"/>
    <w:rsid w:val="003D75BA"/>
    <w:rsid w:val="003D7A85"/>
    <w:rsid w:val="003D7BC9"/>
    <w:rsid w:val="003E07F4"/>
    <w:rsid w:val="003E13D0"/>
    <w:rsid w:val="003E22BE"/>
    <w:rsid w:val="003E2DC9"/>
    <w:rsid w:val="003E329A"/>
    <w:rsid w:val="003E43EC"/>
    <w:rsid w:val="003E6AA6"/>
    <w:rsid w:val="003F12F1"/>
    <w:rsid w:val="003F166D"/>
    <w:rsid w:val="003F16C9"/>
    <w:rsid w:val="003F250A"/>
    <w:rsid w:val="003F2F59"/>
    <w:rsid w:val="003F55FC"/>
    <w:rsid w:val="003F5ADD"/>
    <w:rsid w:val="003F623E"/>
    <w:rsid w:val="00402D9E"/>
    <w:rsid w:val="0040415D"/>
    <w:rsid w:val="00404190"/>
    <w:rsid w:val="0040525D"/>
    <w:rsid w:val="004062DD"/>
    <w:rsid w:val="004065F6"/>
    <w:rsid w:val="004076E6"/>
    <w:rsid w:val="00407EE4"/>
    <w:rsid w:val="00410457"/>
    <w:rsid w:val="00412303"/>
    <w:rsid w:val="004132BB"/>
    <w:rsid w:val="00413391"/>
    <w:rsid w:val="00413620"/>
    <w:rsid w:val="0041386C"/>
    <w:rsid w:val="0041387C"/>
    <w:rsid w:val="0041480B"/>
    <w:rsid w:val="004171CA"/>
    <w:rsid w:val="00420679"/>
    <w:rsid w:val="00420F02"/>
    <w:rsid w:val="0042132D"/>
    <w:rsid w:val="004253AB"/>
    <w:rsid w:val="004255A4"/>
    <w:rsid w:val="00425876"/>
    <w:rsid w:val="00426515"/>
    <w:rsid w:val="00426675"/>
    <w:rsid w:val="00430DA3"/>
    <w:rsid w:val="00430E99"/>
    <w:rsid w:val="00431575"/>
    <w:rsid w:val="004321FD"/>
    <w:rsid w:val="00433B24"/>
    <w:rsid w:val="00433C9D"/>
    <w:rsid w:val="00435A0B"/>
    <w:rsid w:val="0043626D"/>
    <w:rsid w:val="004379C6"/>
    <w:rsid w:val="004404EC"/>
    <w:rsid w:val="00442AD4"/>
    <w:rsid w:val="00442CFC"/>
    <w:rsid w:val="004444B7"/>
    <w:rsid w:val="00445B35"/>
    <w:rsid w:val="004479B7"/>
    <w:rsid w:val="00451459"/>
    <w:rsid w:val="004516ED"/>
    <w:rsid w:val="004521B8"/>
    <w:rsid w:val="004571E2"/>
    <w:rsid w:val="00460652"/>
    <w:rsid w:val="00460BA8"/>
    <w:rsid w:val="00460E86"/>
    <w:rsid w:val="004619BB"/>
    <w:rsid w:val="00464460"/>
    <w:rsid w:val="004661D5"/>
    <w:rsid w:val="004671D0"/>
    <w:rsid w:val="00474718"/>
    <w:rsid w:val="00474DE4"/>
    <w:rsid w:val="00475F7C"/>
    <w:rsid w:val="004760F8"/>
    <w:rsid w:val="0048013E"/>
    <w:rsid w:val="0048014C"/>
    <w:rsid w:val="004811E8"/>
    <w:rsid w:val="00482B80"/>
    <w:rsid w:val="004849C5"/>
    <w:rsid w:val="00484BF4"/>
    <w:rsid w:val="004851BD"/>
    <w:rsid w:val="00486E49"/>
    <w:rsid w:val="0048754E"/>
    <w:rsid w:val="004878CA"/>
    <w:rsid w:val="0049116B"/>
    <w:rsid w:val="00492927"/>
    <w:rsid w:val="0049443F"/>
    <w:rsid w:val="004A034C"/>
    <w:rsid w:val="004A1634"/>
    <w:rsid w:val="004A2AEF"/>
    <w:rsid w:val="004A3E59"/>
    <w:rsid w:val="004A473A"/>
    <w:rsid w:val="004A47D4"/>
    <w:rsid w:val="004A49A4"/>
    <w:rsid w:val="004A4CD9"/>
    <w:rsid w:val="004B06CC"/>
    <w:rsid w:val="004B06F0"/>
    <w:rsid w:val="004B17CA"/>
    <w:rsid w:val="004B231F"/>
    <w:rsid w:val="004B264D"/>
    <w:rsid w:val="004B37C0"/>
    <w:rsid w:val="004B3BB2"/>
    <w:rsid w:val="004B3D32"/>
    <w:rsid w:val="004B5627"/>
    <w:rsid w:val="004B71F7"/>
    <w:rsid w:val="004C1454"/>
    <w:rsid w:val="004C42D1"/>
    <w:rsid w:val="004D1BEF"/>
    <w:rsid w:val="004D29B8"/>
    <w:rsid w:val="004D3937"/>
    <w:rsid w:val="004D4B9B"/>
    <w:rsid w:val="004D6131"/>
    <w:rsid w:val="004E2FA0"/>
    <w:rsid w:val="004E3315"/>
    <w:rsid w:val="004F00BC"/>
    <w:rsid w:val="004F566E"/>
    <w:rsid w:val="004F6865"/>
    <w:rsid w:val="005039C9"/>
    <w:rsid w:val="00504315"/>
    <w:rsid w:val="00504EFC"/>
    <w:rsid w:val="005063DE"/>
    <w:rsid w:val="00506FF0"/>
    <w:rsid w:val="005073C6"/>
    <w:rsid w:val="00507CCA"/>
    <w:rsid w:val="00507EC4"/>
    <w:rsid w:val="005107A4"/>
    <w:rsid w:val="005114F2"/>
    <w:rsid w:val="005117CC"/>
    <w:rsid w:val="0051246A"/>
    <w:rsid w:val="00512702"/>
    <w:rsid w:val="00512DE8"/>
    <w:rsid w:val="005132E2"/>
    <w:rsid w:val="00514F91"/>
    <w:rsid w:val="00515AE5"/>
    <w:rsid w:val="00515F66"/>
    <w:rsid w:val="00517752"/>
    <w:rsid w:val="00521F8E"/>
    <w:rsid w:val="0052299B"/>
    <w:rsid w:val="00523442"/>
    <w:rsid w:val="00524990"/>
    <w:rsid w:val="00525E3E"/>
    <w:rsid w:val="00527C66"/>
    <w:rsid w:val="005300D6"/>
    <w:rsid w:val="00531FCB"/>
    <w:rsid w:val="005352F5"/>
    <w:rsid w:val="00535FD4"/>
    <w:rsid w:val="0054012A"/>
    <w:rsid w:val="00540572"/>
    <w:rsid w:val="00541242"/>
    <w:rsid w:val="00542129"/>
    <w:rsid w:val="005432EB"/>
    <w:rsid w:val="00543C45"/>
    <w:rsid w:val="00543FD3"/>
    <w:rsid w:val="0054466C"/>
    <w:rsid w:val="0054647D"/>
    <w:rsid w:val="005467A0"/>
    <w:rsid w:val="005472C1"/>
    <w:rsid w:val="005474A0"/>
    <w:rsid w:val="005516F3"/>
    <w:rsid w:val="005522D5"/>
    <w:rsid w:val="00554C4D"/>
    <w:rsid w:val="00555A1B"/>
    <w:rsid w:val="0055701C"/>
    <w:rsid w:val="00560220"/>
    <w:rsid w:val="0056172E"/>
    <w:rsid w:val="00564C8E"/>
    <w:rsid w:val="00565748"/>
    <w:rsid w:val="00570274"/>
    <w:rsid w:val="00570B58"/>
    <w:rsid w:val="00570F9B"/>
    <w:rsid w:val="00571128"/>
    <w:rsid w:val="005723CF"/>
    <w:rsid w:val="00573FB1"/>
    <w:rsid w:val="00575F3B"/>
    <w:rsid w:val="00577307"/>
    <w:rsid w:val="00577445"/>
    <w:rsid w:val="0058089B"/>
    <w:rsid w:val="00580BF2"/>
    <w:rsid w:val="00582944"/>
    <w:rsid w:val="00583869"/>
    <w:rsid w:val="0058606F"/>
    <w:rsid w:val="0058695A"/>
    <w:rsid w:val="0058710C"/>
    <w:rsid w:val="00592027"/>
    <w:rsid w:val="0059487B"/>
    <w:rsid w:val="00596868"/>
    <w:rsid w:val="005A36E3"/>
    <w:rsid w:val="005A3C8A"/>
    <w:rsid w:val="005A3F83"/>
    <w:rsid w:val="005A489D"/>
    <w:rsid w:val="005A7812"/>
    <w:rsid w:val="005B003B"/>
    <w:rsid w:val="005B0550"/>
    <w:rsid w:val="005B43BF"/>
    <w:rsid w:val="005B52F4"/>
    <w:rsid w:val="005B548D"/>
    <w:rsid w:val="005B5AD3"/>
    <w:rsid w:val="005B5D9A"/>
    <w:rsid w:val="005B64EA"/>
    <w:rsid w:val="005B6807"/>
    <w:rsid w:val="005B69DB"/>
    <w:rsid w:val="005B7452"/>
    <w:rsid w:val="005C0442"/>
    <w:rsid w:val="005C0E87"/>
    <w:rsid w:val="005C28B5"/>
    <w:rsid w:val="005C3227"/>
    <w:rsid w:val="005C51C8"/>
    <w:rsid w:val="005C60A5"/>
    <w:rsid w:val="005C77BF"/>
    <w:rsid w:val="005D07B2"/>
    <w:rsid w:val="005D1AAB"/>
    <w:rsid w:val="005D4A0E"/>
    <w:rsid w:val="005D51C8"/>
    <w:rsid w:val="005D58B2"/>
    <w:rsid w:val="005D59E2"/>
    <w:rsid w:val="005D650F"/>
    <w:rsid w:val="005D67E7"/>
    <w:rsid w:val="005D7052"/>
    <w:rsid w:val="005E5849"/>
    <w:rsid w:val="005E5E7F"/>
    <w:rsid w:val="005E600A"/>
    <w:rsid w:val="005E7F24"/>
    <w:rsid w:val="005F2719"/>
    <w:rsid w:val="005F2F3D"/>
    <w:rsid w:val="005F4536"/>
    <w:rsid w:val="005F5E52"/>
    <w:rsid w:val="005F5F9C"/>
    <w:rsid w:val="005F6A22"/>
    <w:rsid w:val="005F7110"/>
    <w:rsid w:val="0060028C"/>
    <w:rsid w:val="0060108F"/>
    <w:rsid w:val="006032DC"/>
    <w:rsid w:val="00603BC5"/>
    <w:rsid w:val="00604416"/>
    <w:rsid w:val="00604EF2"/>
    <w:rsid w:val="00605791"/>
    <w:rsid w:val="0060668C"/>
    <w:rsid w:val="00606CF2"/>
    <w:rsid w:val="00607A71"/>
    <w:rsid w:val="00611827"/>
    <w:rsid w:val="00612BA5"/>
    <w:rsid w:val="006138A7"/>
    <w:rsid w:val="00613E6B"/>
    <w:rsid w:val="00617B8E"/>
    <w:rsid w:val="00617ECA"/>
    <w:rsid w:val="00621D05"/>
    <w:rsid w:val="00624DF2"/>
    <w:rsid w:val="00625479"/>
    <w:rsid w:val="006262A1"/>
    <w:rsid w:val="00626E80"/>
    <w:rsid w:val="00627996"/>
    <w:rsid w:val="00627C0B"/>
    <w:rsid w:val="0063048E"/>
    <w:rsid w:val="00631254"/>
    <w:rsid w:val="00631371"/>
    <w:rsid w:val="00633ACE"/>
    <w:rsid w:val="00633BBF"/>
    <w:rsid w:val="006361B8"/>
    <w:rsid w:val="00637851"/>
    <w:rsid w:val="00640917"/>
    <w:rsid w:val="00640C28"/>
    <w:rsid w:val="00642710"/>
    <w:rsid w:val="006469CC"/>
    <w:rsid w:val="00647174"/>
    <w:rsid w:val="006474D5"/>
    <w:rsid w:val="00650E63"/>
    <w:rsid w:val="006552E8"/>
    <w:rsid w:val="006568C2"/>
    <w:rsid w:val="00656B01"/>
    <w:rsid w:val="00657A4D"/>
    <w:rsid w:val="006613BC"/>
    <w:rsid w:val="00661BFE"/>
    <w:rsid w:val="00662190"/>
    <w:rsid w:val="00662796"/>
    <w:rsid w:val="00673BD1"/>
    <w:rsid w:val="006757A9"/>
    <w:rsid w:val="006760CB"/>
    <w:rsid w:val="006825A8"/>
    <w:rsid w:val="00682BAA"/>
    <w:rsid w:val="00682BC5"/>
    <w:rsid w:val="00684A1B"/>
    <w:rsid w:val="00684C5B"/>
    <w:rsid w:val="00685865"/>
    <w:rsid w:val="00685FBE"/>
    <w:rsid w:val="006867FD"/>
    <w:rsid w:val="00686BF3"/>
    <w:rsid w:val="006906D3"/>
    <w:rsid w:val="006A0527"/>
    <w:rsid w:val="006A21D1"/>
    <w:rsid w:val="006A262A"/>
    <w:rsid w:val="006A400D"/>
    <w:rsid w:val="006A44F1"/>
    <w:rsid w:val="006A5671"/>
    <w:rsid w:val="006B0CA0"/>
    <w:rsid w:val="006B1285"/>
    <w:rsid w:val="006B2808"/>
    <w:rsid w:val="006B3A2F"/>
    <w:rsid w:val="006B520D"/>
    <w:rsid w:val="006C1ED7"/>
    <w:rsid w:val="006C3F77"/>
    <w:rsid w:val="006C6AC0"/>
    <w:rsid w:val="006D0503"/>
    <w:rsid w:val="006D1068"/>
    <w:rsid w:val="006D1560"/>
    <w:rsid w:val="006D1794"/>
    <w:rsid w:val="006D1C08"/>
    <w:rsid w:val="006D41AF"/>
    <w:rsid w:val="006D4D8A"/>
    <w:rsid w:val="006D7DED"/>
    <w:rsid w:val="006E438F"/>
    <w:rsid w:val="006E51E2"/>
    <w:rsid w:val="006E5F4D"/>
    <w:rsid w:val="006E645F"/>
    <w:rsid w:val="006E65FD"/>
    <w:rsid w:val="006E6DFF"/>
    <w:rsid w:val="006F0637"/>
    <w:rsid w:val="006F4E28"/>
    <w:rsid w:val="006F5D16"/>
    <w:rsid w:val="0070191D"/>
    <w:rsid w:val="0070277B"/>
    <w:rsid w:val="007030C7"/>
    <w:rsid w:val="007037F4"/>
    <w:rsid w:val="00703DE2"/>
    <w:rsid w:val="0070408F"/>
    <w:rsid w:val="00704289"/>
    <w:rsid w:val="00706BE4"/>
    <w:rsid w:val="007102B3"/>
    <w:rsid w:val="007103FF"/>
    <w:rsid w:val="00710EA7"/>
    <w:rsid w:val="00712840"/>
    <w:rsid w:val="00712D1D"/>
    <w:rsid w:val="00713311"/>
    <w:rsid w:val="00713353"/>
    <w:rsid w:val="00715DED"/>
    <w:rsid w:val="007202F1"/>
    <w:rsid w:val="00720D25"/>
    <w:rsid w:val="00722B4C"/>
    <w:rsid w:val="00722E42"/>
    <w:rsid w:val="00723200"/>
    <w:rsid w:val="007242D1"/>
    <w:rsid w:val="00725474"/>
    <w:rsid w:val="00730049"/>
    <w:rsid w:val="00731178"/>
    <w:rsid w:val="00731CAB"/>
    <w:rsid w:val="00733D11"/>
    <w:rsid w:val="00734A7A"/>
    <w:rsid w:val="007350B4"/>
    <w:rsid w:val="00736E51"/>
    <w:rsid w:val="007402D2"/>
    <w:rsid w:val="00740E05"/>
    <w:rsid w:val="00743DDD"/>
    <w:rsid w:val="007442E3"/>
    <w:rsid w:val="00745E6D"/>
    <w:rsid w:val="007466A5"/>
    <w:rsid w:val="00746C4A"/>
    <w:rsid w:val="00747409"/>
    <w:rsid w:val="00747548"/>
    <w:rsid w:val="007506AC"/>
    <w:rsid w:val="00752598"/>
    <w:rsid w:val="00753207"/>
    <w:rsid w:val="00753E95"/>
    <w:rsid w:val="00760411"/>
    <w:rsid w:val="00761556"/>
    <w:rsid w:val="00765492"/>
    <w:rsid w:val="0076566A"/>
    <w:rsid w:val="00766E95"/>
    <w:rsid w:val="00774219"/>
    <w:rsid w:val="00775723"/>
    <w:rsid w:val="00775BBE"/>
    <w:rsid w:val="00776474"/>
    <w:rsid w:val="00777624"/>
    <w:rsid w:val="00780E18"/>
    <w:rsid w:val="0078172D"/>
    <w:rsid w:val="00781EFF"/>
    <w:rsid w:val="00784906"/>
    <w:rsid w:val="00785B2D"/>
    <w:rsid w:val="00786207"/>
    <w:rsid w:val="007868DF"/>
    <w:rsid w:val="00787D9C"/>
    <w:rsid w:val="00791450"/>
    <w:rsid w:val="007929FC"/>
    <w:rsid w:val="00794DB6"/>
    <w:rsid w:val="00797E4D"/>
    <w:rsid w:val="007A4967"/>
    <w:rsid w:val="007A53C1"/>
    <w:rsid w:val="007A7979"/>
    <w:rsid w:val="007B0B01"/>
    <w:rsid w:val="007B0ECA"/>
    <w:rsid w:val="007B174A"/>
    <w:rsid w:val="007B1B95"/>
    <w:rsid w:val="007B404C"/>
    <w:rsid w:val="007C1E79"/>
    <w:rsid w:val="007C52B3"/>
    <w:rsid w:val="007C6B20"/>
    <w:rsid w:val="007C7671"/>
    <w:rsid w:val="007D0554"/>
    <w:rsid w:val="007D0816"/>
    <w:rsid w:val="007D191E"/>
    <w:rsid w:val="007D1961"/>
    <w:rsid w:val="007D1A54"/>
    <w:rsid w:val="007D2DBB"/>
    <w:rsid w:val="007D32B1"/>
    <w:rsid w:val="007D3E7B"/>
    <w:rsid w:val="007D52F8"/>
    <w:rsid w:val="007D57F7"/>
    <w:rsid w:val="007D5F87"/>
    <w:rsid w:val="007D6927"/>
    <w:rsid w:val="007D7E86"/>
    <w:rsid w:val="007E08A2"/>
    <w:rsid w:val="007E2861"/>
    <w:rsid w:val="007E2D73"/>
    <w:rsid w:val="007E32CD"/>
    <w:rsid w:val="007E53E1"/>
    <w:rsid w:val="007E6720"/>
    <w:rsid w:val="007E67BF"/>
    <w:rsid w:val="007E7D66"/>
    <w:rsid w:val="007F18B0"/>
    <w:rsid w:val="007F2F0F"/>
    <w:rsid w:val="007F550C"/>
    <w:rsid w:val="007F6190"/>
    <w:rsid w:val="007F6303"/>
    <w:rsid w:val="007F7874"/>
    <w:rsid w:val="00800032"/>
    <w:rsid w:val="00800383"/>
    <w:rsid w:val="00800465"/>
    <w:rsid w:val="00800B66"/>
    <w:rsid w:val="008017F2"/>
    <w:rsid w:val="008018B5"/>
    <w:rsid w:val="00801D69"/>
    <w:rsid w:val="00802A94"/>
    <w:rsid w:val="00803999"/>
    <w:rsid w:val="00805867"/>
    <w:rsid w:val="0080636F"/>
    <w:rsid w:val="00807BFF"/>
    <w:rsid w:val="00813180"/>
    <w:rsid w:val="00813373"/>
    <w:rsid w:val="008156AC"/>
    <w:rsid w:val="008158AC"/>
    <w:rsid w:val="0081645F"/>
    <w:rsid w:val="008169EF"/>
    <w:rsid w:val="00816F93"/>
    <w:rsid w:val="0082090C"/>
    <w:rsid w:val="008211B5"/>
    <w:rsid w:val="00821DE1"/>
    <w:rsid w:val="00822A17"/>
    <w:rsid w:val="00822B6C"/>
    <w:rsid w:val="008257C6"/>
    <w:rsid w:val="008275EE"/>
    <w:rsid w:val="008320A3"/>
    <w:rsid w:val="00832FD7"/>
    <w:rsid w:val="00833CEC"/>
    <w:rsid w:val="0083420B"/>
    <w:rsid w:val="008344D1"/>
    <w:rsid w:val="00834E6A"/>
    <w:rsid w:val="00836D05"/>
    <w:rsid w:val="00842441"/>
    <w:rsid w:val="008429C5"/>
    <w:rsid w:val="0084370A"/>
    <w:rsid w:val="00844BEE"/>
    <w:rsid w:val="00846965"/>
    <w:rsid w:val="00847D82"/>
    <w:rsid w:val="00850188"/>
    <w:rsid w:val="00850EFB"/>
    <w:rsid w:val="00851AE0"/>
    <w:rsid w:val="00851B71"/>
    <w:rsid w:val="0085227D"/>
    <w:rsid w:val="00853BDB"/>
    <w:rsid w:val="00853EB5"/>
    <w:rsid w:val="00854825"/>
    <w:rsid w:val="00854C0D"/>
    <w:rsid w:val="00854FDF"/>
    <w:rsid w:val="00856FD6"/>
    <w:rsid w:val="00860109"/>
    <w:rsid w:val="00860B5B"/>
    <w:rsid w:val="00862CF5"/>
    <w:rsid w:val="00862E9E"/>
    <w:rsid w:val="008634E5"/>
    <w:rsid w:val="00866A85"/>
    <w:rsid w:val="00870E6D"/>
    <w:rsid w:val="00871EB9"/>
    <w:rsid w:val="008759D0"/>
    <w:rsid w:val="00881FF0"/>
    <w:rsid w:val="0088590B"/>
    <w:rsid w:val="008908C3"/>
    <w:rsid w:val="00890E98"/>
    <w:rsid w:val="008929D0"/>
    <w:rsid w:val="00893479"/>
    <w:rsid w:val="00893E97"/>
    <w:rsid w:val="008944A3"/>
    <w:rsid w:val="00896697"/>
    <w:rsid w:val="008A1912"/>
    <w:rsid w:val="008A4E5F"/>
    <w:rsid w:val="008A5AE5"/>
    <w:rsid w:val="008A602F"/>
    <w:rsid w:val="008A6095"/>
    <w:rsid w:val="008A68C3"/>
    <w:rsid w:val="008B14C4"/>
    <w:rsid w:val="008B2491"/>
    <w:rsid w:val="008B4637"/>
    <w:rsid w:val="008B5AA2"/>
    <w:rsid w:val="008C002C"/>
    <w:rsid w:val="008C3631"/>
    <w:rsid w:val="008C3CEA"/>
    <w:rsid w:val="008C67CA"/>
    <w:rsid w:val="008D00E8"/>
    <w:rsid w:val="008D0498"/>
    <w:rsid w:val="008D0E3B"/>
    <w:rsid w:val="008D128E"/>
    <w:rsid w:val="008D1D16"/>
    <w:rsid w:val="008D24F5"/>
    <w:rsid w:val="008D25B6"/>
    <w:rsid w:val="008D2782"/>
    <w:rsid w:val="008E016D"/>
    <w:rsid w:val="008E09CA"/>
    <w:rsid w:val="008E4A3B"/>
    <w:rsid w:val="008E4D07"/>
    <w:rsid w:val="008E7F86"/>
    <w:rsid w:val="008F238F"/>
    <w:rsid w:val="008F36B9"/>
    <w:rsid w:val="008F5EA5"/>
    <w:rsid w:val="008F6EB6"/>
    <w:rsid w:val="00900F7E"/>
    <w:rsid w:val="00901510"/>
    <w:rsid w:val="00901A26"/>
    <w:rsid w:val="00903128"/>
    <w:rsid w:val="00903A21"/>
    <w:rsid w:val="00906E18"/>
    <w:rsid w:val="009103AC"/>
    <w:rsid w:val="009143FB"/>
    <w:rsid w:val="00915C8B"/>
    <w:rsid w:val="0091656F"/>
    <w:rsid w:val="00920455"/>
    <w:rsid w:val="00922EA2"/>
    <w:rsid w:val="00923554"/>
    <w:rsid w:val="00923713"/>
    <w:rsid w:val="0093152C"/>
    <w:rsid w:val="00935459"/>
    <w:rsid w:val="009413B8"/>
    <w:rsid w:val="009430AC"/>
    <w:rsid w:val="0094470E"/>
    <w:rsid w:val="009451CB"/>
    <w:rsid w:val="00945CFF"/>
    <w:rsid w:val="009471D1"/>
    <w:rsid w:val="0094760B"/>
    <w:rsid w:val="00951A7D"/>
    <w:rsid w:val="0095227F"/>
    <w:rsid w:val="009531E4"/>
    <w:rsid w:val="00955AF7"/>
    <w:rsid w:val="00956137"/>
    <w:rsid w:val="0096018A"/>
    <w:rsid w:val="00961209"/>
    <w:rsid w:val="00961CA2"/>
    <w:rsid w:val="00961E2A"/>
    <w:rsid w:val="00962024"/>
    <w:rsid w:val="0096237A"/>
    <w:rsid w:val="00965575"/>
    <w:rsid w:val="009671EF"/>
    <w:rsid w:val="00972512"/>
    <w:rsid w:val="0097268A"/>
    <w:rsid w:val="0097373B"/>
    <w:rsid w:val="00976AF8"/>
    <w:rsid w:val="00977E50"/>
    <w:rsid w:val="009808DB"/>
    <w:rsid w:val="00980BB2"/>
    <w:rsid w:val="00981803"/>
    <w:rsid w:val="009823D3"/>
    <w:rsid w:val="00983976"/>
    <w:rsid w:val="0098428C"/>
    <w:rsid w:val="00986F88"/>
    <w:rsid w:val="00987A3A"/>
    <w:rsid w:val="00992FA8"/>
    <w:rsid w:val="00995FE6"/>
    <w:rsid w:val="009A05A7"/>
    <w:rsid w:val="009A188F"/>
    <w:rsid w:val="009A29DA"/>
    <w:rsid w:val="009A5B10"/>
    <w:rsid w:val="009A70D8"/>
    <w:rsid w:val="009A7C0B"/>
    <w:rsid w:val="009B18E1"/>
    <w:rsid w:val="009B309E"/>
    <w:rsid w:val="009B30D9"/>
    <w:rsid w:val="009B3D69"/>
    <w:rsid w:val="009B6097"/>
    <w:rsid w:val="009B66AA"/>
    <w:rsid w:val="009B74C3"/>
    <w:rsid w:val="009C2AEA"/>
    <w:rsid w:val="009C4EAC"/>
    <w:rsid w:val="009C6D37"/>
    <w:rsid w:val="009C6DD3"/>
    <w:rsid w:val="009C7626"/>
    <w:rsid w:val="009D1541"/>
    <w:rsid w:val="009D1CD1"/>
    <w:rsid w:val="009D20F2"/>
    <w:rsid w:val="009D4EDA"/>
    <w:rsid w:val="009D7365"/>
    <w:rsid w:val="009E0B1E"/>
    <w:rsid w:val="009E2403"/>
    <w:rsid w:val="009E3615"/>
    <w:rsid w:val="009E3ABB"/>
    <w:rsid w:val="009E3AD0"/>
    <w:rsid w:val="009E3D62"/>
    <w:rsid w:val="009F1526"/>
    <w:rsid w:val="009F24E4"/>
    <w:rsid w:val="009F55D4"/>
    <w:rsid w:val="009F7B8D"/>
    <w:rsid w:val="00A0370A"/>
    <w:rsid w:val="00A040D4"/>
    <w:rsid w:val="00A046E3"/>
    <w:rsid w:val="00A04F48"/>
    <w:rsid w:val="00A05511"/>
    <w:rsid w:val="00A15988"/>
    <w:rsid w:val="00A15D25"/>
    <w:rsid w:val="00A15FD8"/>
    <w:rsid w:val="00A20C58"/>
    <w:rsid w:val="00A220EF"/>
    <w:rsid w:val="00A247CD"/>
    <w:rsid w:val="00A265DF"/>
    <w:rsid w:val="00A3206B"/>
    <w:rsid w:val="00A3220B"/>
    <w:rsid w:val="00A33486"/>
    <w:rsid w:val="00A33736"/>
    <w:rsid w:val="00A3493F"/>
    <w:rsid w:val="00A35354"/>
    <w:rsid w:val="00A364BC"/>
    <w:rsid w:val="00A40D24"/>
    <w:rsid w:val="00A41DC2"/>
    <w:rsid w:val="00A42783"/>
    <w:rsid w:val="00A427FE"/>
    <w:rsid w:val="00A42967"/>
    <w:rsid w:val="00A434EF"/>
    <w:rsid w:val="00A435EB"/>
    <w:rsid w:val="00A44FB5"/>
    <w:rsid w:val="00A45F3B"/>
    <w:rsid w:val="00A477FB"/>
    <w:rsid w:val="00A52F00"/>
    <w:rsid w:val="00A55140"/>
    <w:rsid w:val="00A55530"/>
    <w:rsid w:val="00A55E30"/>
    <w:rsid w:val="00A56A87"/>
    <w:rsid w:val="00A57F33"/>
    <w:rsid w:val="00A629AC"/>
    <w:rsid w:val="00A66647"/>
    <w:rsid w:val="00A66E81"/>
    <w:rsid w:val="00A673EB"/>
    <w:rsid w:val="00A67B86"/>
    <w:rsid w:val="00A70225"/>
    <w:rsid w:val="00A70400"/>
    <w:rsid w:val="00A72496"/>
    <w:rsid w:val="00A72603"/>
    <w:rsid w:val="00A73A2F"/>
    <w:rsid w:val="00A743E1"/>
    <w:rsid w:val="00A76C79"/>
    <w:rsid w:val="00A80293"/>
    <w:rsid w:val="00A810CD"/>
    <w:rsid w:val="00A8111F"/>
    <w:rsid w:val="00A81A7B"/>
    <w:rsid w:val="00A825E5"/>
    <w:rsid w:val="00A82F52"/>
    <w:rsid w:val="00A83001"/>
    <w:rsid w:val="00A83FE8"/>
    <w:rsid w:val="00A84F00"/>
    <w:rsid w:val="00A91296"/>
    <w:rsid w:val="00A920E5"/>
    <w:rsid w:val="00A92202"/>
    <w:rsid w:val="00A93FC1"/>
    <w:rsid w:val="00A969F6"/>
    <w:rsid w:val="00A97B24"/>
    <w:rsid w:val="00AA0188"/>
    <w:rsid w:val="00AA28B4"/>
    <w:rsid w:val="00AA6218"/>
    <w:rsid w:val="00AA6A5E"/>
    <w:rsid w:val="00AB3147"/>
    <w:rsid w:val="00AB4A86"/>
    <w:rsid w:val="00AC2B2D"/>
    <w:rsid w:val="00AC3AA5"/>
    <w:rsid w:val="00AC4DF8"/>
    <w:rsid w:val="00AC4EFE"/>
    <w:rsid w:val="00AC605B"/>
    <w:rsid w:val="00AC6B48"/>
    <w:rsid w:val="00AD08E1"/>
    <w:rsid w:val="00AD12F4"/>
    <w:rsid w:val="00AD168B"/>
    <w:rsid w:val="00AD1949"/>
    <w:rsid w:val="00AE0609"/>
    <w:rsid w:val="00AE0E61"/>
    <w:rsid w:val="00AE10CB"/>
    <w:rsid w:val="00AE23BF"/>
    <w:rsid w:val="00AE3182"/>
    <w:rsid w:val="00AE52B2"/>
    <w:rsid w:val="00AE63D5"/>
    <w:rsid w:val="00AE7619"/>
    <w:rsid w:val="00AF361F"/>
    <w:rsid w:val="00AF543F"/>
    <w:rsid w:val="00AF6BAB"/>
    <w:rsid w:val="00B00638"/>
    <w:rsid w:val="00B024FE"/>
    <w:rsid w:val="00B0398F"/>
    <w:rsid w:val="00B04F55"/>
    <w:rsid w:val="00B05B5F"/>
    <w:rsid w:val="00B06115"/>
    <w:rsid w:val="00B0751C"/>
    <w:rsid w:val="00B12DE7"/>
    <w:rsid w:val="00B12E5F"/>
    <w:rsid w:val="00B14265"/>
    <w:rsid w:val="00B142A8"/>
    <w:rsid w:val="00B14DFD"/>
    <w:rsid w:val="00B165C0"/>
    <w:rsid w:val="00B177C9"/>
    <w:rsid w:val="00B20C44"/>
    <w:rsid w:val="00B21FD1"/>
    <w:rsid w:val="00B235C2"/>
    <w:rsid w:val="00B26413"/>
    <w:rsid w:val="00B268B2"/>
    <w:rsid w:val="00B26FEF"/>
    <w:rsid w:val="00B3042A"/>
    <w:rsid w:val="00B304FD"/>
    <w:rsid w:val="00B3179F"/>
    <w:rsid w:val="00B319D0"/>
    <w:rsid w:val="00B35542"/>
    <w:rsid w:val="00B414A6"/>
    <w:rsid w:val="00B41C9C"/>
    <w:rsid w:val="00B42965"/>
    <w:rsid w:val="00B45933"/>
    <w:rsid w:val="00B45F8C"/>
    <w:rsid w:val="00B4677F"/>
    <w:rsid w:val="00B47D6F"/>
    <w:rsid w:val="00B51AAC"/>
    <w:rsid w:val="00B52D72"/>
    <w:rsid w:val="00B53805"/>
    <w:rsid w:val="00B572B0"/>
    <w:rsid w:val="00B647FD"/>
    <w:rsid w:val="00B65DF4"/>
    <w:rsid w:val="00B66083"/>
    <w:rsid w:val="00B7008F"/>
    <w:rsid w:val="00B70663"/>
    <w:rsid w:val="00B75210"/>
    <w:rsid w:val="00B76175"/>
    <w:rsid w:val="00B77480"/>
    <w:rsid w:val="00B804DA"/>
    <w:rsid w:val="00B85A4C"/>
    <w:rsid w:val="00B85D0F"/>
    <w:rsid w:val="00B8667B"/>
    <w:rsid w:val="00B907A6"/>
    <w:rsid w:val="00B925C6"/>
    <w:rsid w:val="00B936F6"/>
    <w:rsid w:val="00B94373"/>
    <w:rsid w:val="00B94668"/>
    <w:rsid w:val="00B950C0"/>
    <w:rsid w:val="00B95901"/>
    <w:rsid w:val="00B96862"/>
    <w:rsid w:val="00B969D5"/>
    <w:rsid w:val="00BA0C4A"/>
    <w:rsid w:val="00BA11F5"/>
    <w:rsid w:val="00BA1275"/>
    <w:rsid w:val="00BA2CFE"/>
    <w:rsid w:val="00BA3130"/>
    <w:rsid w:val="00BA6B2D"/>
    <w:rsid w:val="00BA7E86"/>
    <w:rsid w:val="00BB186F"/>
    <w:rsid w:val="00BB454B"/>
    <w:rsid w:val="00BB57CE"/>
    <w:rsid w:val="00BB59CE"/>
    <w:rsid w:val="00BB6C62"/>
    <w:rsid w:val="00BB6FC8"/>
    <w:rsid w:val="00BC0846"/>
    <w:rsid w:val="00BC0F96"/>
    <w:rsid w:val="00BC1C66"/>
    <w:rsid w:val="00BC221B"/>
    <w:rsid w:val="00BC451A"/>
    <w:rsid w:val="00BC5456"/>
    <w:rsid w:val="00BC6A40"/>
    <w:rsid w:val="00BC71EB"/>
    <w:rsid w:val="00BD06AD"/>
    <w:rsid w:val="00BD07E8"/>
    <w:rsid w:val="00BD14DB"/>
    <w:rsid w:val="00BD2466"/>
    <w:rsid w:val="00BD3813"/>
    <w:rsid w:val="00BE0002"/>
    <w:rsid w:val="00BE3197"/>
    <w:rsid w:val="00BE3D82"/>
    <w:rsid w:val="00BE509D"/>
    <w:rsid w:val="00BF0E87"/>
    <w:rsid w:val="00BF295D"/>
    <w:rsid w:val="00BF4F6F"/>
    <w:rsid w:val="00BF5792"/>
    <w:rsid w:val="00BF6A36"/>
    <w:rsid w:val="00BF7EAB"/>
    <w:rsid w:val="00C00D41"/>
    <w:rsid w:val="00C011CA"/>
    <w:rsid w:val="00C0291D"/>
    <w:rsid w:val="00C029B0"/>
    <w:rsid w:val="00C039F5"/>
    <w:rsid w:val="00C049C9"/>
    <w:rsid w:val="00C07A56"/>
    <w:rsid w:val="00C1088D"/>
    <w:rsid w:val="00C12640"/>
    <w:rsid w:val="00C13200"/>
    <w:rsid w:val="00C13686"/>
    <w:rsid w:val="00C1446B"/>
    <w:rsid w:val="00C14E21"/>
    <w:rsid w:val="00C15AD7"/>
    <w:rsid w:val="00C16F20"/>
    <w:rsid w:val="00C21C37"/>
    <w:rsid w:val="00C2613B"/>
    <w:rsid w:val="00C32017"/>
    <w:rsid w:val="00C320D4"/>
    <w:rsid w:val="00C32255"/>
    <w:rsid w:val="00C3257C"/>
    <w:rsid w:val="00C33980"/>
    <w:rsid w:val="00C33C4F"/>
    <w:rsid w:val="00C34C45"/>
    <w:rsid w:val="00C35234"/>
    <w:rsid w:val="00C3543E"/>
    <w:rsid w:val="00C35547"/>
    <w:rsid w:val="00C37EE6"/>
    <w:rsid w:val="00C40447"/>
    <w:rsid w:val="00C406E5"/>
    <w:rsid w:val="00C40751"/>
    <w:rsid w:val="00C40AA3"/>
    <w:rsid w:val="00C40CB3"/>
    <w:rsid w:val="00C44C32"/>
    <w:rsid w:val="00C44F54"/>
    <w:rsid w:val="00C46410"/>
    <w:rsid w:val="00C47BCA"/>
    <w:rsid w:val="00C47FFC"/>
    <w:rsid w:val="00C50A36"/>
    <w:rsid w:val="00C52C1F"/>
    <w:rsid w:val="00C53B7B"/>
    <w:rsid w:val="00C562F5"/>
    <w:rsid w:val="00C5647C"/>
    <w:rsid w:val="00C57C3B"/>
    <w:rsid w:val="00C6204F"/>
    <w:rsid w:val="00C64858"/>
    <w:rsid w:val="00C66A1A"/>
    <w:rsid w:val="00C672BC"/>
    <w:rsid w:val="00C67BBA"/>
    <w:rsid w:val="00C70146"/>
    <w:rsid w:val="00C74DF5"/>
    <w:rsid w:val="00C813A6"/>
    <w:rsid w:val="00C822A4"/>
    <w:rsid w:val="00C83B9B"/>
    <w:rsid w:val="00C83C74"/>
    <w:rsid w:val="00C85B0D"/>
    <w:rsid w:val="00C85E03"/>
    <w:rsid w:val="00C86384"/>
    <w:rsid w:val="00C87509"/>
    <w:rsid w:val="00C878B0"/>
    <w:rsid w:val="00C91A7C"/>
    <w:rsid w:val="00C9657D"/>
    <w:rsid w:val="00CA0D07"/>
    <w:rsid w:val="00CA1878"/>
    <w:rsid w:val="00CA215F"/>
    <w:rsid w:val="00CA239D"/>
    <w:rsid w:val="00CA3485"/>
    <w:rsid w:val="00CA497D"/>
    <w:rsid w:val="00CB020A"/>
    <w:rsid w:val="00CB12E9"/>
    <w:rsid w:val="00CB2871"/>
    <w:rsid w:val="00CB2E92"/>
    <w:rsid w:val="00CB3BA0"/>
    <w:rsid w:val="00CB3DC6"/>
    <w:rsid w:val="00CB435E"/>
    <w:rsid w:val="00CB5002"/>
    <w:rsid w:val="00CB5B8C"/>
    <w:rsid w:val="00CB5CDA"/>
    <w:rsid w:val="00CB6711"/>
    <w:rsid w:val="00CB675F"/>
    <w:rsid w:val="00CC054E"/>
    <w:rsid w:val="00CC0775"/>
    <w:rsid w:val="00CC34D4"/>
    <w:rsid w:val="00CC3776"/>
    <w:rsid w:val="00CC5DDC"/>
    <w:rsid w:val="00CD1629"/>
    <w:rsid w:val="00CD4FA5"/>
    <w:rsid w:val="00CD5822"/>
    <w:rsid w:val="00CD7CBE"/>
    <w:rsid w:val="00CE05AD"/>
    <w:rsid w:val="00CE2AEB"/>
    <w:rsid w:val="00CE3A3D"/>
    <w:rsid w:val="00CE3E37"/>
    <w:rsid w:val="00CE3FFF"/>
    <w:rsid w:val="00CE532B"/>
    <w:rsid w:val="00CE7678"/>
    <w:rsid w:val="00CE7F16"/>
    <w:rsid w:val="00CF081A"/>
    <w:rsid w:val="00CF3A4F"/>
    <w:rsid w:val="00CF684B"/>
    <w:rsid w:val="00D008C3"/>
    <w:rsid w:val="00D01CB0"/>
    <w:rsid w:val="00D035FD"/>
    <w:rsid w:val="00D071F3"/>
    <w:rsid w:val="00D07AC3"/>
    <w:rsid w:val="00D1119E"/>
    <w:rsid w:val="00D13DE2"/>
    <w:rsid w:val="00D13F7F"/>
    <w:rsid w:val="00D14754"/>
    <w:rsid w:val="00D16B20"/>
    <w:rsid w:val="00D1765D"/>
    <w:rsid w:val="00D17CB5"/>
    <w:rsid w:val="00D202CE"/>
    <w:rsid w:val="00D214A0"/>
    <w:rsid w:val="00D21F50"/>
    <w:rsid w:val="00D25D42"/>
    <w:rsid w:val="00D26799"/>
    <w:rsid w:val="00D300A2"/>
    <w:rsid w:val="00D30F52"/>
    <w:rsid w:val="00D318F4"/>
    <w:rsid w:val="00D330B3"/>
    <w:rsid w:val="00D335F0"/>
    <w:rsid w:val="00D34049"/>
    <w:rsid w:val="00D342EB"/>
    <w:rsid w:val="00D35C24"/>
    <w:rsid w:val="00D36795"/>
    <w:rsid w:val="00D37860"/>
    <w:rsid w:val="00D37C18"/>
    <w:rsid w:val="00D426F8"/>
    <w:rsid w:val="00D4382C"/>
    <w:rsid w:val="00D447B2"/>
    <w:rsid w:val="00D44977"/>
    <w:rsid w:val="00D44DEA"/>
    <w:rsid w:val="00D456F1"/>
    <w:rsid w:val="00D4591E"/>
    <w:rsid w:val="00D52BF2"/>
    <w:rsid w:val="00D548E2"/>
    <w:rsid w:val="00D54B98"/>
    <w:rsid w:val="00D5606C"/>
    <w:rsid w:val="00D569FC"/>
    <w:rsid w:val="00D575BF"/>
    <w:rsid w:val="00D62B18"/>
    <w:rsid w:val="00D62BC3"/>
    <w:rsid w:val="00D62E3F"/>
    <w:rsid w:val="00D631C4"/>
    <w:rsid w:val="00D65393"/>
    <w:rsid w:val="00D656CC"/>
    <w:rsid w:val="00D70C84"/>
    <w:rsid w:val="00D71B84"/>
    <w:rsid w:val="00D72E28"/>
    <w:rsid w:val="00D7416B"/>
    <w:rsid w:val="00D74443"/>
    <w:rsid w:val="00D763EF"/>
    <w:rsid w:val="00D808DA"/>
    <w:rsid w:val="00D80A79"/>
    <w:rsid w:val="00D80B64"/>
    <w:rsid w:val="00D831F7"/>
    <w:rsid w:val="00D852BA"/>
    <w:rsid w:val="00D92A32"/>
    <w:rsid w:val="00D932DB"/>
    <w:rsid w:val="00D94888"/>
    <w:rsid w:val="00DA141C"/>
    <w:rsid w:val="00DA2AA1"/>
    <w:rsid w:val="00DA5511"/>
    <w:rsid w:val="00DA6249"/>
    <w:rsid w:val="00DA6BA2"/>
    <w:rsid w:val="00DA6E85"/>
    <w:rsid w:val="00DA7965"/>
    <w:rsid w:val="00DB2BA3"/>
    <w:rsid w:val="00DB317D"/>
    <w:rsid w:val="00DB32A9"/>
    <w:rsid w:val="00DB46BA"/>
    <w:rsid w:val="00DB59B1"/>
    <w:rsid w:val="00DB626B"/>
    <w:rsid w:val="00DB62BE"/>
    <w:rsid w:val="00DB6EF1"/>
    <w:rsid w:val="00DB7E90"/>
    <w:rsid w:val="00DC0D48"/>
    <w:rsid w:val="00DC3F5A"/>
    <w:rsid w:val="00DC410E"/>
    <w:rsid w:val="00DC5399"/>
    <w:rsid w:val="00DC6773"/>
    <w:rsid w:val="00DC73ED"/>
    <w:rsid w:val="00DD029B"/>
    <w:rsid w:val="00DD17DD"/>
    <w:rsid w:val="00DD3A09"/>
    <w:rsid w:val="00DD464C"/>
    <w:rsid w:val="00DD4AD5"/>
    <w:rsid w:val="00DD5873"/>
    <w:rsid w:val="00DE08BE"/>
    <w:rsid w:val="00DE43EB"/>
    <w:rsid w:val="00DE4563"/>
    <w:rsid w:val="00DE4DCD"/>
    <w:rsid w:val="00DE6A9B"/>
    <w:rsid w:val="00DE7AA1"/>
    <w:rsid w:val="00DE7DBA"/>
    <w:rsid w:val="00DF0101"/>
    <w:rsid w:val="00DF3630"/>
    <w:rsid w:val="00E00882"/>
    <w:rsid w:val="00E02648"/>
    <w:rsid w:val="00E0274B"/>
    <w:rsid w:val="00E04E5B"/>
    <w:rsid w:val="00E0591C"/>
    <w:rsid w:val="00E064BE"/>
    <w:rsid w:val="00E06A12"/>
    <w:rsid w:val="00E07FA9"/>
    <w:rsid w:val="00E108DB"/>
    <w:rsid w:val="00E11F78"/>
    <w:rsid w:val="00E1250A"/>
    <w:rsid w:val="00E1267D"/>
    <w:rsid w:val="00E13361"/>
    <w:rsid w:val="00E15115"/>
    <w:rsid w:val="00E157F5"/>
    <w:rsid w:val="00E1765C"/>
    <w:rsid w:val="00E22266"/>
    <w:rsid w:val="00E2277B"/>
    <w:rsid w:val="00E2389C"/>
    <w:rsid w:val="00E251AF"/>
    <w:rsid w:val="00E266EA"/>
    <w:rsid w:val="00E32833"/>
    <w:rsid w:val="00E32F27"/>
    <w:rsid w:val="00E33030"/>
    <w:rsid w:val="00E33BDF"/>
    <w:rsid w:val="00E34D58"/>
    <w:rsid w:val="00E36D58"/>
    <w:rsid w:val="00E454F8"/>
    <w:rsid w:val="00E45F28"/>
    <w:rsid w:val="00E462B0"/>
    <w:rsid w:val="00E53131"/>
    <w:rsid w:val="00E5533D"/>
    <w:rsid w:val="00E567C6"/>
    <w:rsid w:val="00E600DC"/>
    <w:rsid w:val="00E61D36"/>
    <w:rsid w:val="00E635EC"/>
    <w:rsid w:val="00E64F1D"/>
    <w:rsid w:val="00E66000"/>
    <w:rsid w:val="00E67FF6"/>
    <w:rsid w:val="00E72232"/>
    <w:rsid w:val="00E773B9"/>
    <w:rsid w:val="00E83DF0"/>
    <w:rsid w:val="00E90EF9"/>
    <w:rsid w:val="00E9115C"/>
    <w:rsid w:val="00E912AF"/>
    <w:rsid w:val="00E92CBB"/>
    <w:rsid w:val="00E93F84"/>
    <w:rsid w:val="00E943AE"/>
    <w:rsid w:val="00E94B56"/>
    <w:rsid w:val="00E961FB"/>
    <w:rsid w:val="00E97BA9"/>
    <w:rsid w:val="00EA1048"/>
    <w:rsid w:val="00EA32FC"/>
    <w:rsid w:val="00EA5F4F"/>
    <w:rsid w:val="00EA774E"/>
    <w:rsid w:val="00EB1C10"/>
    <w:rsid w:val="00EB51D0"/>
    <w:rsid w:val="00EB5A54"/>
    <w:rsid w:val="00EB5C57"/>
    <w:rsid w:val="00EB5F44"/>
    <w:rsid w:val="00EB6E3B"/>
    <w:rsid w:val="00EC4A44"/>
    <w:rsid w:val="00EC51D6"/>
    <w:rsid w:val="00EC58C8"/>
    <w:rsid w:val="00EC638E"/>
    <w:rsid w:val="00ED0231"/>
    <w:rsid w:val="00ED1D2A"/>
    <w:rsid w:val="00ED38BE"/>
    <w:rsid w:val="00ED6819"/>
    <w:rsid w:val="00ED6C78"/>
    <w:rsid w:val="00ED7333"/>
    <w:rsid w:val="00EE04A8"/>
    <w:rsid w:val="00EE3472"/>
    <w:rsid w:val="00EE7D92"/>
    <w:rsid w:val="00EF1910"/>
    <w:rsid w:val="00EF197E"/>
    <w:rsid w:val="00EF1BAE"/>
    <w:rsid w:val="00EF30D3"/>
    <w:rsid w:val="00EF3F73"/>
    <w:rsid w:val="00EF7964"/>
    <w:rsid w:val="00F00884"/>
    <w:rsid w:val="00F021D4"/>
    <w:rsid w:val="00F02FC6"/>
    <w:rsid w:val="00F0383E"/>
    <w:rsid w:val="00F03C63"/>
    <w:rsid w:val="00F053E4"/>
    <w:rsid w:val="00F06A0F"/>
    <w:rsid w:val="00F10923"/>
    <w:rsid w:val="00F15258"/>
    <w:rsid w:val="00F17295"/>
    <w:rsid w:val="00F21CB2"/>
    <w:rsid w:val="00F228A0"/>
    <w:rsid w:val="00F22D44"/>
    <w:rsid w:val="00F239B5"/>
    <w:rsid w:val="00F24D4D"/>
    <w:rsid w:val="00F2653B"/>
    <w:rsid w:val="00F26ECE"/>
    <w:rsid w:val="00F30B06"/>
    <w:rsid w:val="00F30D1C"/>
    <w:rsid w:val="00F35A73"/>
    <w:rsid w:val="00F3660E"/>
    <w:rsid w:val="00F36D4C"/>
    <w:rsid w:val="00F3748B"/>
    <w:rsid w:val="00F43694"/>
    <w:rsid w:val="00F43D4C"/>
    <w:rsid w:val="00F44835"/>
    <w:rsid w:val="00F44C21"/>
    <w:rsid w:val="00F45001"/>
    <w:rsid w:val="00F474CA"/>
    <w:rsid w:val="00F47B4B"/>
    <w:rsid w:val="00F53284"/>
    <w:rsid w:val="00F55412"/>
    <w:rsid w:val="00F55C52"/>
    <w:rsid w:val="00F62A16"/>
    <w:rsid w:val="00F65A0D"/>
    <w:rsid w:val="00F72014"/>
    <w:rsid w:val="00F7392E"/>
    <w:rsid w:val="00F74E13"/>
    <w:rsid w:val="00F76DE0"/>
    <w:rsid w:val="00F7776E"/>
    <w:rsid w:val="00F81405"/>
    <w:rsid w:val="00F82B9F"/>
    <w:rsid w:val="00F83A54"/>
    <w:rsid w:val="00F83DEF"/>
    <w:rsid w:val="00F8508D"/>
    <w:rsid w:val="00F85165"/>
    <w:rsid w:val="00F86738"/>
    <w:rsid w:val="00F90296"/>
    <w:rsid w:val="00F905A2"/>
    <w:rsid w:val="00F910C0"/>
    <w:rsid w:val="00F927A7"/>
    <w:rsid w:val="00F92905"/>
    <w:rsid w:val="00FA17AB"/>
    <w:rsid w:val="00FA1EEF"/>
    <w:rsid w:val="00FA2372"/>
    <w:rsid w:val="00FA4351"/>
    <w:rsid w:val="00FA45DE"/>
    <w:rsid w:val="00FA4A39"/>
    <w:rsid w:val="00FA5793"/>
    <w:rsid w:val="00FA5799"/>
    <w:rsid w:val="00FA7AE1"/>
    <w:rsid w:val="00FB3096"/>
    <w:rsid w:val="00FB5536"/>
    <w:rsid w:val="00FC34E7"/>
    <w:rsid w:val="00FC3DE0"/>
    <w:rsid w:val="00FC3E55"/>
    <w:rsid w:val="00FC42B9"/>
    <w:rsid w:val="00FC480D"/>
    <w:rsid w:val="00FC504D"/>
    <w:rsid w:val="00FC6595"/>
    <w:rsid w:val="00FC730B"/>
    <w:rsid w:val="00FD0BB4"/>
    <w:rsid w:val="00FD3177"/>
    <w:rsid w:val="00FD557A"/>
    <w:rsid w:val="00FD5727"/>
    <w:rsid w:val="00FD5819"/>
    <w:rsid w:val="00FD6954"/>
    <w:rsid w:val="00FE31BF"/>
    <w:rsid w:val="00FE38AB"/>
    <w:rsid w:val="00FE415A"/>
    <w:rsid w:val="00FE5A97"/>
    <w:rsid w:val="00FE78D3"/>
    <w:rsid w:val="00FF299A"/>
    <w:rsid w:val="00FF3C57"/>
    <w:rsid w:val="00FF525E"/>
    <w:rsid w:val="00FF7D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F47F62"/>
  <w15:docId w15:val="{D9B1A4E2-8787-4765-930B-B285905E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867"/>
    <w:rPr>
      <w:rFonts w:ascii="CG Omega" w:hAnsi="CG Omega"/>
      <w:sz w:val="22"/>
      <w:szCs w:val="24"/>
      <w:lang w:eastAsia="en-US"/>
    </w:rPr>
  </w:style>
  <w:style w:type="paragraph" w:styleId="Heading1">
    <w:name w:val="heading 1"/>
    <w:basedOn w:val="Normal"/>
    <w:next w:val="Normal"/>
    <w:link w:val="Heading1Char"/>
    <w:qFormat/>
    <w:rsid w:val="001A03E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DB32A9"/>
    <w:pPr>
      <w:keepNext/>
      <w:keepLines/>
      <w:spacing w:before="200"/>
      <w:outlineLvl w:val="1"/>
    </w:pPr>
    <w:rPr>
      <w:rFonts w:ascii="Times New Roman" w:hAnsi="Times New Roman"/>
      <w:b/>
      <w:bCs/>
      <w:color w:val="4F81BD"/>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B7524"/>
    <w:pPr>
      <w:numPr>
        <w:ilvl w:val="12"/>
      </w:numPr>
      <w:spacing w:before="240"/>
    </w:pPr>
    <w:rPr>
      <w:rFonts w:ascii="Times New Roman" w:hAnsi="Times New Roman"/>
      <w:sz w:val="24"/>
      <w:szCs w:val="20"/>
      <w:lang w:eastAsia="en-AU"/>
    </w:rPr>
  </w:style>
  <w:style w:type="paragraph" w:customStyle="1" w:styleId="StyleLeft349cmRight-011cm">
    <w:name w:val="Style Left:  3.49 cm Right:  -0.11 cm"/>
    <w:basedOn w:val="Normal"/>
    <w:rsid w:val="003B7524"/>
    <w:pPr>
      <w:ind w:left="1979" w:right="1701"/>
    </w:pPr>
    <w:rPr>
      <w:rFonts w:ascii="Times New Roman" w:hAnsi="Times New Roman"/>
      <w:sz w:val="24"/>
      <w:szCs w:val="20"/>
      <w:lang w:eastAsia="en-AU"/>
    </w:rPr>
  </w:style>
  <w:style w:type="paragraph" w:styleId="Footer">
    <w:name w:val="footer"/>
    <w:basedOn w:val="Normal"/>
    <w:rsid w:val="003B7524"/>
    <w:pPr>
      <w:tabs>
        <w:tab w:val="center" w:pos="4153"/>
        <w:tab w:val="right" w:pos="8306"/>
      </w:tabs>
    </w:pPr>
  </w:style>
  <w:style w:type="character" w:styleId="PageNumber">
    <w:name w:val="page number"/>
    <w:basedOn w:val="DefaultParagraphFont"/>
    <w:rsid w:val="003B7524"/>
  </w:style>
  <w:style w:type="paragraph" w:customStyle="1" w:styleId="Default1">
    <w:name w:val="Default1"/>
    <w:basedOn w:val="Normal"/>
    <w:next w:val="Normal"/>
    <w:rsid w:val="003B7524"/>
    <w:pPr>
      <w:autoSpaceDE w:val="0"/>
      <w:autoSpaceDN w:val="0"/>
      <w:adjustRightInd w:val="0"/>
      <w:spacing w:after="240"/>
    </w:pPr>
    <w:rPr>
      <w:rFonts w:ascii="Times New Roman" w:hAnsi="Times New Roman"/>
      <w:sz w:val="24"/>
      <w:lang w:eastAsia="en-AU"/>
    </w:rPr>
  </w:style>
  <w:style w:type="paragraph" w:styleId="Header">
    <w:name w:val="header"/>
    <w:aliases w:val="h"/>
    <w:basedOn w:val="Normal"/>
    <w:link w:val="HeaderChar"/>
    <w:uiPriority w:val="99"/>
    <w:rsid w:val="003B7524"/>
    <w:pPr>
      <w:tabs>
        <w:tab w:val="center" w:pos="4153"/>
        <w:tab w:val="right" w:pos="8306"/>
      </w:tabs>
    </w:pPr>
  </w:style>
  <w:style w:type="paragraph" w:styleId="BalloonText">
    <w:name w:val="Balloon Text"/>
    <w:basedOn w:val="Normal"/>
    <w:semiHidden/>
    <w:rsid w:val="00146C29"/>
    <w:rPr>
      <w:rFonts w:ascii="Tahoma" w:hAnsi="Tahoma" w:cs="Tahoma"/>
      <w:sz w:val="16"/>
      <w:szCs w:val="16"/>
    </w:rPr>
  </w:style>
  <w:style w:type="character" w:styleId="CommentReference">
    <w:name w:val="annotation reference"/>
    <w:uiPriority w:val="99"/>
    <w:semiHidden/>
    <w:rsid w:val="0009363E"/>
    <w:rPr>
      <w:sz w:val="16"/>
      <w:szCs w:val="16"/>
    </w:rPr>
  </w:style>
  <w:style w:type="paragraph" w:styleId="CommentText">
    <w:name w:val="annotation text"/>
    <w:basedOn w:val="Normal"/>
    <w:link w:val="CommentTextChar"/>
    <w:uiPriority w:val="99"/>
    <w:semiHidden/>
    <w:rsid w:val="0009363E"/>
    <w:rPr>
      <w:sz w:val="20"/>
      <w:szCs w:val="20"/>
    </w:rPr>
  </w:style>
  <w:style w:type="paragraph" w:styleId="CommentSubject">
    <w:name w:val="annotation subject"/>
    <w:basedOn w:val="CommentText"/>
    <w:next w:val="CommentText"/>
    <w:semiHidden/>
    <w:rsid w:val="0009363E"/>
    <w:rPr>
      <w:b/>
      <w:bCs/>
    </w:rPr>
  </w:style>
  <w:style w:type="paragraph" w:customStyle="1" w:styleId="Default">
    <w:name w:val="Default"/>
    <w:rsid w:val="00F7392E"/>
    <w:pPr>
      <w:autoSpaceDE w:val="0"/>
      <w:autoSpaceDN w:val="0"/>
      <w:adjustRightInd w:val="0"/>
    </w:pPr>
    <w:rPr>
      <w:color w:val="000000"/>
      <w:sz w:val="24"/>
      <w:szCs w:val="24"/>
    </w:rPr>
  </w:style>
  <w:style w:type="character" w:styleId="Hyperlink">
    <w:name w:val="Hyperlink"/>
    <w:rsid w:val="004D1BEF"/>
    <w:rPr>
      <w:color w:val="0000FF"/>
      <w:u w:val="single"/>
    </w:rPr>
  </w:style>
  <w:style w:type="paragraph" w:styleId="ListParagraph">
    <w:name w:val="List Paragraph"/>
    <w:aliases w:val="Dot Point Lvl 1,TOC style,lp1,Bullet OSM,Proposal Bullet List,Recommendation,List Paragraph1,List Paragraph11,List Paragraph111,L,F5 List Paragraph,Dot pt,CV text,Medium Grid 1 - Accent 21,Numbered Paragraph,No Spacing1,列出段落,FooterText"/>
    <w:basedOn w:val="Normal"/>
    <w:link w:val="ListParagraphChar"/>
    <w:uiPriority w:val="34"/>
    <w:qFormat/>
    <w:rsid w:val="00433B24"/>
    <w:pPr>
      <w:ind w:left="720"/>
    </w:pPr>
  </w:style>
  <w:style w:type="character" w:customStyle="1" w:styleId="CommentTextChar">
    <w:name w:val="Comment Text Char"/>
    <w:link w:val="CommentText"/>
    <w:semiHidden/>
    <w:rsid w:val="00190C40"/>
    <w:rPr>
      <w:rFonts w:ascii="CG Omega" w:hAnsi="CG Omega"/>
      <w:lang w:eastAsia="en-US"/>
    </w:rPr>
  </w:style>
  <w:style w:type="character" w:customStyle="1" w:styleId="Heading2Char">
    <w:name w:val="Heading 2 Char"/>
    <w:link w:val="Heading2"/>
    <w:uiPriority w:val="9"/>
    <w:rsid w:val="00DB32A9"/>
    <w:rPr>
      <w:b/>
      <w:bCs/>
      <w:color w:val="4F81BD"/>
      <w:sz w:val="26"/>
      <w:szCs w:val="26"/>
    </w:rPr>
  </w:style>
  <w:style w:type="table" w:styleId="TableGrid">
    <w:name w:val="Table Grid"/>
    <w:basedOn w:val="TableNormal"/>
    <w:rsid w:val="00DB32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25E3E"/>
    <w:rPr>
      <w:color w:val="800080"/>
      <w:u w:val="single"/>
    </w:rPr>
  </w:style>
  <w:style w:type="character" w:customStyle="1" w:styleId="HeaderChar">
    <w:name w:val="Header Char"/>
    <w:aliases w:val="h Char"/>
    <w:link w:val="Header"/>
    <w:uiPriority w:val="99"/>
    <w:rsid w:val="00800032"/>
    <w:rPr>
      <w:rFonts w:ascii="CG Omega" w:hAnsi="CG Omega"/>
      <w:sz w:val="22"/>
      <w:szCs w:val="24"/>
      <w:lang w:eastAsia="en-US"/>
    </w:rPr>
  </w:style>
  <w:style w:type="paragraph" w:customStyle="1" w:styleId="TableText">
    <w:name w:val="TableText"/>
    <w:basedOn w:val="Normal"/>
    <w:qFormat/>
    <w:rsid w:val="00114B13"/>
    <w:pPr>
      <w:spacing w:before="120" w:after="120"/>
    </w:pPr>
    <w:rPr>
      <w:rFonts w:ascii="Arial" w:hAnsi="Arial" w:cs="Arial"/>
      <w:bCs/>
      <w:sz w:val="20"/>
      <w:szCs w:val="20"/>
    </w:rPr>
  </w:style>
  <w:style w:type="paragraph" w:styleId="Revision">
    <w:name w:val="Revision"/>
    <w:hidden/>
    <w:uiPriority w:val="99"/>
    <w:semiHidden/>
    <w:rsid w:val="006E645F"/>
    <w:rPr>
      <w:rFonts w:ascii="CG Omega" w:hAnsi="CG Omega"/>
      <w:sz w:val="22"/>
      <w:szCs w:val="24"/>
      <w:lang w:eastAsia="en-US"/>
    </w:rPr>
  </w:style>
  <w:style w:type="character" w:customStyle="1" w:styleId="Heading1Char">
    <w:name w:val="Heading 1 Char"/>
    <w:link w:val="Heading1"/>
    <w:rsid w:val="001A03E1"/>
    <w:rPr>
      <w:rFonts w:ascii="Cambria" w:eastAsia="Times New Roman" w:hAnsi="Cambria" w:cs="Times New Roman"/>
      <w:b/>
      <w:bCs/>
      <w:kern w:val="32"/>
      <w:sz w:val="32"/>
      <w:szCs w:val="32"/>
      <w:lang w:eastAsia="en-US"/>
    </w:rPr>
  </w:style>
  <w:style w:type="character" w:customStyle="1" w:styleId="CommentTextChar1">
    <w:name w:val="Comment Text Char1"/>
    <w:uiPriority w:val="99"/>
    <w:semiHidden/>
    <w:rsid w:val="001A03E1"/>
    <w:rPr>
      <w:sz w:val="20"/>
      <w:szCs w:val="20"/>
    </w:rPr>
  </w:style>
  <w:style w:type="paragraph" w:customStyle="1" w:styleId="paragraph0">
    <w:name w:val="paragraph"/>
    <w:basedOn w:val="Normal"/>
    <w:rsid w:val="004671D0"/>
    <w:pPr>
      <w:spacing w:before="100" w:beforeAutospacing="1" w:after="100" w:afterAutospacing="1"/>
    </w:pPr>
    <w:rPr>
      <w:rFonts w:ascii="Times New Roman" w:hAnsi="Times New Roman"/>
      <w:sz w:val="24"/>
      <w:lang w:eastAsia="en-AU"/>
    </w:rPr>
  </w:style>
  <w:style w:type="paragraph" w:customStyle="1" w:styleId="ItemHead">
    <w:name w:val="ItemHead"/>
    <w:aliases w:val="ih"/>
    <w:basedOn w:val="Normal"/>
    <w:next w:val="Normal"/>
    <w:rsid w:val="00684A1B"/>
    <w:pPr>
      <w:keepNext/>
      <w:keepLines/>
      <w:spacing w:before="220"/>
      <w:ind w:left="709" w:hanging="709"/>
    </w:pPr>
    <w:rPr>
      <w:rFonts w:ascii="Arial" w:hAnsi="Arial"/>
      <w:b/>
      <w:kern w:val="28"/>
      <w:sz w:val="24"/>
      <w:szCs w:val="20"/>
      <w:lang w:eastAsia="en-AU"/>
    </w:rPr>
  </w:style>
  <w:style w:type="character" w:customStyle="1" w:styleId="ListParagraphChar">
    <w:name w:val="List Paragraph Char"/>
    <w:aliases w:val="Dot Point Lvl 1 Char,TOC style Char,lp1 Char,Bullet OSM Char,Proposal Bullet List Char,Recommendation Char,List Paragraph1 Char,List Paragraph11 Char,List Paragraph111 Char,L Char,F5 List Paragraph Char,Dot pt Char,CV text Char"/>
    <w:link w:val="ListParagraph"/>
    <w:uiPriority w:val="34"/>
    <w:locked/>
    <w:rsid w:val="00AD08E1"/>
    <w:rPr>
      <w:rFonts w:ascii="CG Omega" w:hAnsi="CG Omega"/>
      <w:sz w:val="22"/>
      <w:szCs w:val="24"/>
      <w:lang w:eastAsia="en-US"/>
    </w:rPr>
  </w:style>
  <w:style w:type="paragraph" w:customStyle="1" w:styleId="Item">
    <w:name w:val="Item"/>
    <w:aliases w:val="i"/>
    <w:basedOn w:val="Normal"/>
    <w:next w:val="ItemHead"/>
    <w:rsid w:val="0013441F"/>
    <w:pPr>
      <w:keepLines/>
      <w:spacing w:before="80"/>
      <w:ind w:left="709"/>
    </w:pPr>
    <w:rPr>
      <w:rFonts w:ascii="Times New Roman" w:hAnsi="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01934">
      <w:bodyDiv w:val="1"/>
      <w:marLeft w:val="0"/>
      <w:marRight w:val="0"/>
      <w:marTop w:val="0"/>
      <w:marBottom w:val="0"/>
      <w:divBdr>
        <w:top w:val="none" w:sz="0" w:space="0" w:color="auto"/>
        <w:left w:val="none" w:sz="0" w:space="0" w:color="auto"/>
        <w:bottom w:val="none" w:sz="0" w:space="0" w:color="auto"/>
        <w:right w:val="none" w:sz="0" w:space="0" w:color="auto"/>
      </w:divBdr>
    </w:div>
    <w:div w:id="144856074">
      <w:bodyDiv w:val="1"/>
      <w:marLeft w:val="0"/>
      <w:marRight w:val="0"/>
      <w:marTop w:val="0"/>
      <w:marBottom w:val="0"/>
      <w:divBdr>
        <w:top w:val="none" w:sz="0" w:space="0" w:color="auto"/>
        <w:left w:val="none" w:sz="0" w:space="0" w:color="auto"/>
        <w:bottom w:val="none" w:sz="0" w:space="0" w:color="auto"/>
        <w:right w:val="none" w:sz="0" w:space="0" w:color="auto"/>
      </w:divBdr>
    </w:div>
    <w:div w:id="268126803">
      <w:bodyDiv w:val="1"/>
      <w:marLeft w:val="0"/>
      <w:marRight w:val="0"/>
      <w:marTop w:val="0"/>
      <w:marBottom w:val="0"/>
      <w:divBdr>
        <w:top w:val="none" w:sz="0" w:space="0" w:color="auto"/>
        <w:left w:val="none" w:sz="0" w:space="0" w:color="auto"/>
        <w:bottom w:val="none" w:sz="0" w:space="0" w:color="auto"/>
        <w:right w:val="none" w:sz="0" w:space="0" w:color="auto"/>
      </w:divBdr>
    </w:div>
    <w:div w:id="327440870">
      <w:bodyDiv w:val="1"/>
      <w:marLeft w:val="0"/>
      <w:marRight w:val="0"/>
      <w:marTop w:val="0"/>
      <w:marBottom w:val="0"/>
      <w:divBdr>
        <w:top w:val="none" w:sz="0" w:space="0" w:color="auto"/>
        <w:left w:val="none" w:sz="0" w:space="0" w:color="auto"/>
        <w:bottom w:val="none" w:sz="0" w:space="0" w:color="auto"/>
        <w:right w:val="none" w:sz="0" w:space="0" w:color="auto"/>
      </w:divBdr>
    </w:div>
    <w:div w:id="1297375660">
      <w:bodyDiv w:val="1"/>
      <w:marLeft w:val="0"/>
      <w:marRight w:val="0"/>
      <w:marTop w:val="0"/>
      <w:marBottom w:val="0"/>
      <w:divBdr>
        <w:top w:val="none" w:sz="0" w:space="0" w:color="auto"/>
        <w:left w:val="none" w:sz="0" w:space="0" w:color="auto"/>
        <w:bottom w:val="none" w:sz="0" w:space="0" w:color="auto"/>
        <w:right w:val="none" w:sz="0" w:space="0" w:color="auto"/>
      </w:divBdr>
    </w:div>
    <w:div w:id="1364942763">
      <w:bodyDiv w:val="1"/>
      <w:marLeft w:val="0"/>
      <w:marRight w:val="0"/>
      <w:marTop w:val="0"/>
      <w:marBottom w:val="0"/>
      <w:divBdr>
        <w:top w:val="none" w:sz="0" w:space="0" w:color="auto"/>
        <w:left w:val="none" w:sz="0" w:space="0" w:color="auto"/>
        <w:bottom w:val="none" w:sz="0" w:space="0" w:color="auto"/>
        <w:right w:val="none" w:sz="0" w:space="0" w:color="auto"/>
      </w:divBdr>
    </w:div>
    <w:div w:id="1506900722">
      <w:bodyDiv w:val="1"/>
      <w:marLeft w:val="0"/>
      <w:marRight w:val="0"/>
      <w:marTop w:val="0"/>
      <w:marBottom w:val="0"/>
      <w:divBdr>
        <w:top w:val="none" w:sz="0" w:space="0" w:color="auto"/>
        <w:left w:val="none" w:sz="0" w:space="0" w:color="auto"/>
        <w:bottom w:val="none" w:sz="0" w:space="0" w:color="auto"/>
        <w:right w:val="none" w:sz="0" w:space="0" w:color="auto"/>
      </w:divBdr>
    </w:div>
    <w:div w:id="1544056451">
      <w:bodyDiv w:val="1"/>
      <w:marLeft w:val="0"/>
      <w:marRight w:val="0"/>
      <w:marTop w:val="0"/>
      <w:marBottom w:val="0"/>
      <w:divBdr>
        <w:top w:val="none" w:sz="0" w:space="0" w:color="auto"/>
        <w:left w:val="none" w:sz="0" w:space="0" w:color="auto"/>
        <w:bottom w:val="none" w:sz="0" w:space="0" w:color="auto"/>
        <w:right w:val="none" w:sz="0" w:space="0" w:color="auto"/>
      </w:divBdr>
    </w:div>
    <w:div w:id="1561791439">
      <w:bodyDiv w:val="1"/>
      <w:marLeft w:val="0"/>
      <w:marRight w:val="0"/>
      <w:marTop w:val="0"/>
      <w:marBottom w:val="0"/>
      <w:divBdr>
        <w:top w:val="none" w:sz="0" w:space="0" w:color="auto"/>
        <w:left w:val="none" w:sz="0" w:space="0" w:color="auto"/>
        <w:bottom w:val="none" w:sz="0" w:space="0" w:color="auto"/>
        <w:right w:val="none" w:sz="0" w:space="0" w:color="auto"/>
      </w:divBdr>
    </w:div>
    <w:div w:id="1677001127">
      <w:bodyDiv w:val="1"/>
      <w:marLeft w:val="0"/>
      <w:marRight w:val="0"/>
      <w:marTop w:val="0"/>
      <w:marBottom w:val="0"/>
      <w:divBdr>
        <w:top w:val="none" w:sz="0" w:space="0" w:color="auto"/>
        <w:left w:val="none" w:sz="0" w:space="0" w:color="auto"/>
        <w:bottom w:val="none" w:sz="0" w:space="0" w:color="auto"/>
        <w:right w:val="none" w:sz="0" w:space="0" w:color="auto"/>
      </w:divBdr>
    </w:div>
    <w:div w:id="204479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BFF27-11BF-42F8-917E-70210785C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2384</Words>
  <Characters>13592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AUSTRAC</Company>
  <LinksUpToDate>false</LinksUpToDate>
  <CharactersWithSpaces>15945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pjohns</dc:creator>
  <cp:lastModifiedBy>Hugh Dixon</cp:lastModifiedBy>
  <cp:revision>2</cp:revision>
  <cp:lastPrinted>2021-06-15T03:26:00Z</cp:lastPrinted>
  <dcterms:created xsi:type="dcterms:W3CDTF">2021-12-10T06:39:00Z</dcterms:created>
  <dcterms:modified xsi:type="dcterms:W3CDTF">2021-12-10T06:39:00Z</dcterms:modified>
</cp:coreProperties>
</file>