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B971" w14:textId="77777777" w:rsidR="005E317F" w:rsidRDefault="005E317F" w:rsidP="005E317F">
      <w:pPr>
        <w:rPr>
          <w:sz w:val="28"/>
        </w:rPr>
      </w:pPr>
      <w:r>
        <w:rPr>
          <w:noProof/>
          <w:lang w:eastAsia="en-AU"/>
        </w:rPr>
        <w:drawing>
          <wp:inline distT="0" distB="0" distL="0" distR="0" wp14:anchorId="588BFE7D" wp14:editId="0DAEF96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316F86D" w14:textId="77777777" w:rsidR="005E317F" w:rsidRDefault="005E317F" w:rsidP="005E317F">
      <w:pPr>
        <w:rPr>
          <w:sz w:val="19"/>
        </w:rPr>
      </w:pPr>
    </w:p>
    <w:p w14:paraId="23450EF1" w14:textId="70B22CD8" w:rsidR="005E317F" w:rsidRPr="00E500D4" w:rsidRDefault="00596AD9" w:rsidP="005E317F">
      <w:pPr>
        <w:pStyle w:val="ShortT"/>
      </w:pPr>
      <w:r>
        <w:t>An</w:t>
      </w:r>
      <w:r w:rsidR="0066089E">
        <w:t>ti-Money Laundering and Counter</w:t>
      </w:r>
      <w:r w:rsidR="0066089E">
        <w:noBreakHyphen/>
      </w:r>
      <w:r>
        <w:t>Terrorism Financing Rules Amendment Instrument 202</w:t>
      </w:r>
      <w:r w:rsidR="00927E40">
        <w:t>1</w:t>
      </w:r>
      <w:r>
        <w:t xml:space="preserve"> </w:t>
      </w:r>
      <w:r w:rsidRPr="000C1506">
        <w:t xml:space="preserve">(No. </w:t>
      </w:r>
      <w:r w:rsidR="00C65EDB">
        <w:t>3</w:t>
      </w:r>
      <w:r w:rsidRPr="000C1506">
        <w:t>)</w:t>
      </w:r>
    </w:p>
    <w:p w14:paraId="2B5B06E0" w14:textId="7586686C" w:rsidR="005E317F" w:rsidRPr="00DA182D" w:rsidRDefault="005E317F" w:rsidP="005E317F">
      <w:pPr>
        <w:pStyle w:val="SignCoverPageStart"/>
        <w:spacing w:before="240"/>
        <w:ind w:right="91"/>
        <w:rPr>
          <w:szCs w:val="22"/>
        </w:rPr>
      </w:pPr>
      <w:r w:rsidRPr="00DA182D">
        <w:rPr>
          <w:szCs w:val="22"/>
        </w:rPr>
        <w:t xml:space="preserve">I, </w:t>
      </w:r>
      <w:r w:rsidR="00421B91">
        <w:rPr>
          <w:szCs w:val="22"/>
        </w:rPr>
        <w:t>Nicole Rose</w:t>
      </w:r>
      <w:r w:rsidRPr="00DA182D">
        <w:rPr>
          <w:szCs w:val="22"/>
        </w:rPr>
        <w:t xml:space="preserve">, </w:t>
      </w:r>
      <w:r w:rsidR="00596AD9">
        <w:rPr>
          <w:szCs w:val="22"/>
        </w:rPr>
        <w:t>Chief Executive Officer, Australian Transaction Reports and Analysis Centre</w:t>
      </w:r>
      <w:r w:rsidRPr="00DA182D">
        <w:rPr>
          <w:szCs w:val="22"/>
        </w:rPr>
        <w:t xml:space="preserve">, </w:t>
      </w:r>
      <w:r>
        <w:rPr>
          <w:szCs w:val="22"/>
        </w:rPr>
        <w:t xml:space="preserve">make </w:t>
      </w:r>
      <w:r w:rsidR="00920058">
        <w:rPr>
          <w:szCs w:val="22"/>
        </w:rPr>
        <w:t>the following legislative instrument</w:t>
      </w:r>
      <w:r w:rsidR="00596AD9" w:rsidRPr="00DA182D">
        <w:rPr>
          <w:szCs w:val="22"/>
        </w:rPr>
        <w:t>.</w:t>
      </w:r>
    </w:p>
    <w:p w14:paraId="6E0CBA64" w14:textId="758C0BC4" w:rsidR="00C365DF" w:rsidRDefault="005E317F" w:rsidP="005E317F">
      <w:pPr>
        <w:keepNext/>
        <w:spacing w:before="300" w:line="240" w:lineRule="atLeast"/>
        <w:ind w:right="397"/>
        <w:jc w:val="both"/>
        <w:rPr>
          <w:szCs w:val="22"/>
        </w:rPr>
      </w:pPr>
      <w:r>
        <w:rPr>
          <w:szCs w:val="22"/>
        </w:rPr>
        <w:t>Dated</w:t>
      </w:r>
      <w:r w:rsidRPr="00001A63">
        <w:rPr>
          <w:szCs w:val="22"/>
        </w:rPr>
        <w:tab/>
      </w:r>
      <w:r w:rsidR="00CE0666">
        <w:rPr>
          <w:szCs w:val="22"/>
        </w:rPr>
        <w:t>9 December 2021</w:t>
      </w:r>
    </w:p>
    <w:p w14:paraId="378A1D19" w14:textId="4BA0ACA9" w:rsidR="00C365DF" w:rsidRDefault="005E317F" w:rsidP="005E317F">
      <w:pPr>
        <w:keepNext/>
        <w:spacing w:before="300" w:line="240" w:lineRule="atLeast"/>
        <w:ind w:right="397"/>
        <w:jc w:val="both"/>
        <w:rPr>
          <w:szCs w:val="22"/>
        </w:rPr>
      </w:pPr>
      <w:r w:rsidRPr="00001A63">
        <w:rPr>
          <w:szCs w:val="22"/>
        </w:rPr>
        <w:tab/>
      </w:r>
    </w:p>
    <w:p w14:paraId="6B61E1B2" w14:textId="11CAB28D" w:rsidR="00C365DF" w:rsidRDefault="00CE0666" w:rsidP="00C365DF">
      <w:pPr>
        <w:keepNext/>
        <w:spacing w:before="300" w:line="240" w:lineRule="atLeast"/>
        <w:ind w:right="397"/>
        <w:jc w:val="both"/>
        <w:rPr>
          <w:szCs w:val="22"/>
        </w:rPr>
      </w:pPr>
      <w:r>
        <w:rPr>
          <w:szCs w:val="22"/>
        </w:rPr>
        <w:t>[</w:t>
      </w:r>
      <w:proofErr w:type="gramStart"/>
      <w:r>
        <w:rPr>
          <w:szCs w:val="22"/>
        </w:rPr>
        <w:t>signed</w:t>
      </w:r>
      <w:proofErr w:type="gramEnd"/>
      <w:r>
        <w:rPr>
          <w:szCs w:val="22"/>
        </w:rPr>
        <w:t>]</w:t>
      </w:r>
    </w:p>
    <w:p w14:paraId="14556034" w14:textId="056E1680" w:rsidR="005E317F" w:rsidRDefault="00596AD9" w:rsidP="00C365DF">
      <w:pPr>
        <w:keepNext/>
        <w:spacing w:before="300" w:line="240" w:lineRule="atLeast"/>
        <w:ind w:right="397"/>
        <w:jc w:val="both"/>
        <w:rPr>
          <w:b/>
          <w:szCs w:val="22"/>
        </w:rPr>
      </w:pPr>
      <w:r w:rsidRPr="00596AD9">
        <w:rPr>
          <w:szCs w:val="22"/>
        </w:rPr>
        <w:t>Nicole Rose</w:t>
      </w:r>
      <w:r>
        <w:rPr>
          <w:szCs w:val="22"/>
        </w:rPr>
        <w:t xml:space="preserve"> PSM</w:t>
      </w:r>
    </w:p>
    <w:p w14:paraId="2A585959" w14:textId="77777777" w:rsidR="00596AD9" w:rsidRDefault="00596AD9" w:rsidP="00596AD9">
      <w:pPr>
        <w:pStyle w:val="SignCoverPageEnd"/>
        <w:ind w:right="91"/>
        <w:rPr>
          <w:sz w:val="22"/>
        </w:rPr>
      </w:pPr>
      <w:r>
        <w:rPr>
          <w:sz w:val="22"/>
        </w:rPr>
        <w:t>Chief Executive Officer</w:t>
      </w:r>
    </w:p>
    <w:p w14:paraId="1A68767D" w14:textId="77777777" w:rsidR="00596AD9" w:rsidRDefault="00596AD9" w:rsidP="005E317F">
      <w:pPr>
        <w:pStyle w:val="SignCoverPageEnd"/>
        <w:ind w:right="91"/>
        <w:rPr>
          <w:sz w:val="22"/>
        </w:rPr>
      </w:pPr>
      <w:r>
        <w:rPr>
          <w:sz w:val="22"/>
        </w:rPr>
        <w:t>Australian Transaction Reports and Analysis Centre</w:t>
      </w:r>
    </w:p>
    <w:p w14:paraId="34965401" w14:textId="77777777" w:rsidR="00596AD9" w:rsidRPr="00596AD9" w:rsidRDefault="00596AD9" w:rsidP="00596AD9">
      <w:pPr>
        <w:rPr>
          <w:lang w:eastAsia="en-AU"/>
        </w:rPr>
      </w:pPr>
    </w:p>
    <w:p w14:paraId="062185DB" w14:textId="77777777" w:rsidR="00596AD9" w:rsidRPr="00596AD9" w:rsidRDefault="00596AD9" w:rsidP="00596AD9">
      <w:pPr>
        <w:rPr>
          <w:lang w:eastAsia="en-AU"/>
        </w:rPr>
      </w:pPr>
    </w:p>
    <w:p w14:paraId="4F18CDB7" w14:textId="77777777" w:rsidR="00B20990" w:rsidRDefault="00B20990" w:rsidP="00B20990"/>
    <w:p w14:paraId="0598D74D" w14:textId="77777777" w:rsidR="00B20990" w:rsidRDefault="00B20990" w:rsidP="00B20990">
      <w:pPr>
        <w:sectPr w:rsidR="00B20990" w:rsidSect="00B2099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709" w:gutter="0"/>
          <w:cols w:space="708"/>
          <w:titlePg/>
          <w:docGrid w:linePitch="360"/>
        </w:sectPr>
      </w:pPr>
    </w:p>
    <w:p w14:paraId="53885513" w14:textId="77777777" w:rsidR="00B20990" w:rsidRDefault="00B20990" w:rsidP="00B20990">
      <w:pPr>
        <w:outlineLvl w:val="0"/>
        <w:rPr>
          <w:sz w:val="36"/>
        </w:rPr>
      </w:pPr>
      <w:r w:rsidRPr="007A1328">
        <w:rPr>
          <w:sz w:val="36"/>
        </w:rPr>
        <w:lastRenderedPageBreak/>
        <w:t>Contents</w:t>
      </w:r>
    </w:p>
    <w:bookmarkStart w:id="0" w:name="BKCheck15B_2"/>
    <w:bookmarkEnd w:id="0"/>
    <w:p w14:paraId="2E88D524" w14:textId="3DBEC490" w:rsidR="003B57A9" w:rsidRDefault="00B20990">
      <w:pPr>
        <w:pStyle w:val="TOC5"/>
        <w:rPr>
          <w:rFonts w:asciiTheme="minorHAnsi" w:eastAsiaTheme="minorEastAsia" w:hAnsiTheme="minorHAnsi" w:cstheme="minorBidi"/>
          <w:noProof/>
          <w:kern w:val="0"/>
          <w:sz w:val="22"/>
          <w:szCs w:val="22"/>
        </w:rPr>
      </w:pPr>
      <w:r w:rsidRPr="005E317F">
        <w:fldChar w:fldCharType="begin"/>
      </w:r>
      <w:r>
        <w:instrText xml:space="preserve"> TOC \o "1-9" </w:instrText>
      </w:r>
      <w:r w:rsidRPr="005E317F">
        <w:fldChar w:fldCharType="separate"/>
      </w:r>
      <w:r w:rsidR="003B57A9">
        <w:rPr>
          <w:noProof/>
        </w:rPr>
        <w:t>1  Name</w:t>
      </w:r>
      <w:r w:rsidR="003B57A9">
        <w:rPr>
          <w:noProof/>
        </w:rPr>
        <w:tab/>
      </w:r>
      <w:r w:rsidR="003B57A9">
        <w:rPr>
          <w:noProof/>
        </w:rPr>
        <w:fldChar w:fldCharType="begin"/>
      </w:r>
      <w:r w:rsidR="003B57A9">
        <w:rPr>
          <w:noProof/>
        </w:rPr>
        <w:instrText xml:space="preserve"> PAGEREF _Toc90050621 \h </w:instrText>
      </w:r>
      <w:r w:rsidR="003B57A9">
        <w:rPr>
          <w:noProof/>
        </w:rPr>
      </w:r>
      <w:r w:rsidR="003B57A9">
        <w:rPr>
          <w:noProof/>
        </w:rPr>
        <w:fldChar w:fldCharType="separate"/>
      </w:r>
      <w:r w:rsidR="003B57A9">
        <w:rPr>
          <w:noProof/>
        </w:rPr>
        <w:t>1</w:t>
      </w:r>
      <w:r w:rsidR="003B57A9">
        <w:rPr>
          <w:noProof/>
        </w:rPr>
        <w:fldChar w:fldCharType="end"/>
      </w:r>
    </w:p>
    <w:p w14:paraId="5265980D" w14:textId="256B40E5" w:rsidR="003B57A9" w:rsidRDefault="003B57A9">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_Toc90050622 \h </w:instrText>
      </w:r>
      <w:r>
        <w:rPr>
          <w:noProof/>
        </w:rPr>
      </w:r>
      <w:r>
        <w:rPr>
          <w:noProof/>
        </w:rPr>
        <w:fldChar w:fldCharType="separate"/>
      </w:r>
      <w:r>
        <w:rPr>
          <w:noProof/>
        </w:rPr>
        <w:t>1</w:t>
      </w:r>
      <w:r>
        <w:rPr>
          <w:noProof/>
        </w:rPr>
        <w:fldChar w:fldCharType="end"/>
      </w:r>
    </w:p>
    <w:p w14:paraId="1E86F9A0" w14:textId="6DD3CB0B" w:rsidR="003B57A9" w:rsidRDefault="003B57A9">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_Toc90050623 \h </w:instrText>
      </w:r>
      <w:r>
        <w:rPr>
          <w:noProof/>
        </w:rPr>
      </w:r>
      <w:r>
        <w:rPr>
          <w:noProof/>
        </w:rPr>
        <w:fldChar w:fldCharType="separate"/>
      </w:r>
      <w:r>
        <w:rPr>
          <w:noProof/>
        </w:rPr>
        <w:t>1</w:t>
      </w:r>
      <w:r>
        <w:rPr>
          <w:noProof/>
        </w:rPr>
        <w:fldChar w:fldCharType="end"/>
      </w:r>
    </w:p>
    <w:p w14:paraId="3B232CDE" w14:textId="3929EC38" w:rsidR="003B57A9" w:rsidRDefault="003B57A9">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_Toc90050624 \h </w:instrText>
      </w:r>
      <w:r>
        <w:rPr>
          <w:noProof/>
        </w:rPr>
      </w:r>
      <w:r>
        <w:rPr>
          <w:noProof/>
        </w:rPr>
        <w:fldChar w:fldCharType="separate"/>
      </w:r>
      <w:r>
        <w:rPr>
          <w:noProof/>
        </w:rPr>
        <w:t>1</w:t>
      </w:r>
      <w:r>
        <w:rPr>
          <w:noProof/>
        </w:rPr>
        <w:fldChar w:fldCharType="end"/>
      </w:r>
    </w:p>
    <w:p w14:paraId="4F7D0DE6" w14:textId="6D001B02" w:rsidR="003B57A9" w:rsidRDefault="003B57A9">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_Toc90050625 \h </w:instrText>
      </w:r>
      <w:r>
        <w:rPr>
          <w:noProof/>
        </w:rPr>
      </w:r>
      <w:r>
        <w:rPr>
          <w:noProof/>
        </w:rPr>
        <w:fldChar w:fldCharType="separate"/>
      </w:r>
      <w:r>
        <w:rPr>
          <w:noProof/>
        </w:rPr>
        <w:t>2</w:t>
      </w:r>
      <w:r>
        <w:rPr>
          <w:noProof/>
        </w:rPr>
        <w:fldChar w:fldCharType="end"/>
      </w:r>
    </w:p>
    <w:p w14:paraId="0B8B14D0" w14:textId="6073BCCD" w:rsidR="003B57A9" w:rsidRDefault="003B57A9">
      <w:pPr>
        <w:pStyle w:val="TOC9"/>
        <w:rPr>
          <w:rFonts w:asciiTheme="minorHAnsi" w:eastAsiaTheme="minorEastAsia" w:hAnsiTheme="minorHAnsi" w:cstheme="minorBidi"/>
          <w:i w:val="0"/>
          <w:noProof/>
          <w:kern w:val="0"/>
          <w:sz w:val="22"/>
          <w:szCs w:val="22"/>
        </w:rPr>
      </w:pPr>
      <w:r>
        <w:rPr>
          <w:noProof/>
        </w:rPr>
        <w:t>Anti-Money Laundering and Counter-Terrorism Financing Rules Instrument 2007 (No. 1)</w:t>
      </w:r>
      <w:r>
        <w:rPr>
          <w:noProof/>
        </w:rPr>
        <w:tab/>
      </w:r>
      <w:r>
        <w:rPr>
          <w:noProof/>
        </w:rPr>
        <w:fldChar w:fldCharType="begin"/>
      </w:r>
      <w:r>
        <w:rPr>
          <w:noProof/>
        </w:rPr>
        <w:instrText xml:space="preserve"> PAGEREF _Toc90050626 \h </w:instrText>
      </w:r>
      <w:r>
        <w:rPr>
          <w:noProof/>
        </w:rPr>
      </w:r>
      <w:r>
        <w:rPr>
          <w:noProof/>
        </w:rPr>
        <w:fldChar w:fldCharType="separate"/>
      </w:r>
      <w:r>
        <w:rPr>
          <w:noProof/>
        </w:rPr>
        <w:t>2</w:t>
      </w:r>
      <w:r>
        <w:rPr>
          <w:noProof/>
        </w:rPr>
        <w:fldChar w:fldCharType="end"/>
      </w:r>
    </w:p>
    <w:p w14:paraId="3D75D681" w14:textId="0FEDBD6E" w:rsidR="00B20990" w:rsidRDefault="00B20990" w:rsidP="005E317F">
      <w:r w:rsidRPr="005E317F">
        <w:rPr>
          <w:rFonts w:cs="Times New Roman"/>
          <w:sz w:val="20"/>
        </w:rPr>
        <w:fldChar w:fldCharType="end"/>
      </w:r>
    </w:p>
    <w:p w14:paraId="6CB2DF36" w14:textId="77777777" w:rsidR="00B20990" w:rsidRDefault="00B20990" w:rsidP="00B20990"/>
    <w:p w14:paraId="252A1E58" w14:textId="77777777" w:rsidR="00B20990" w:rsidRDefault="00B20990" w:rsidP="00B20990">
      <w:pPr>
        <w:sectPr w:rsidR="00B20990" w:rsidSect="00BE77B7">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5BDAD608" w14:textId="77777777" w:rsidR="005E317F" w:rsidRPr="009C2562" w:rsidRDefault="005E317F" w:rsidP="005E317F">
      <w:pPr>
        <w:pStyle w:val="ActHead5"/>
      </w:pPr>
      <w:bookmarkStart w:id="1" w:name="_Toc90050621"/>
      <w:proofErr w:type="gramStart"/>
      <w:r w:rsidRPr="009C2562">
        <w:rPr>
          <w:rStyle w:val="CharSectno"/>
        </w:rPr>
        <w:lastRenderedPageBreak/>
        <w:t>1</w:t>
      </w:r>
      <w:r w:rsidRPr="009C2562">
        <w:t xml:space="preserve">  Name</w:t>
      </w:r>
      <w:bookmarkEnd w:id="1"/>
      <w:proofErr w:type="gramEnd"/>
    </w:p>
    <w:p w14:paraId="7551D65B" w14:textId="44E5557D" w:rsidR="005E317F" w:rsidRDefault="005E317F" w:rsidP="005E317F">
      <w:pPr>
        <w:pStyle w:val="subsection"/>
      </w:pPr>
      <w:r w:rsidRPr="009C2562">
        <w:tab/>
      </w:r>
      <w:r w:rsidRPr="009C2562">
        <w:tab/>
      </w:r>
      <w:r w:rsidR="00596AD9" w:rsidRPr="009C2562">
        <w:t xml:space="preserve">This </w:t>
      </w:r>
      <w:r w:rsidR="00596AD9">
        <w:t xml:space="preserve">instrument </w:t>
      </w:r>
      <w:r w:rsidR="00596AD9" w:rsidRPr="009C2562">
        <w:t xml:space="preserve">is </w:t>
      </w:r>
      <w:r w:rsidR="00596AD9" w:rsidRPr="00F64003">
        <w:rPr>
          <w:szCs w:val="22"/>
        </w:rPr>
        <w:t>the</w:t>
      </w:r>
      <w:bookmarkStart w:id="2" w:name="BKCheck15B_3"/>
      <w:bookmarkEnd w:id="2"/>
      <w:r w:rsidR="00596AD9">
        <w:rPr>
          <w:szCs w:val="22"/>
        </w:rPr>
        <w:t xml:space="preserve"> </w:t>
      </w:r>
      <w:r w:rsidR="00596AD9" w:rsidRPr="000C1506">
        <w:rPr>
          <w:i/>
          <w:szCs w:val="22"/>
        </w:rPr>
        <w:fldChar w:fldCharType="begin"/>
      </w:r>
      <w:r w:rsidR="00596AD9" w:rsidRPr="000C1506">
        <w:rPr>
          <w:i/>
          <w:szCs w:val="22"/>
        </w:rPr>
        <w:instrText xml:space="preserve"> STYLEREF  ShortT </w:instrText>
      </w:r>
      <w:r w:rsidR="00596AD9" w:rsidRPr="000C1506">
        <w:rPr>
          <w:i/>
          <w:szCs w:val="22"/>
        </w:rPr>
        <w:fldChar w:fldCharType="separate"/>
      </w:r>
      <w:r w:rsidR="00175DB0">
        <w:rPr>
          <w:i/>
          <w:noProof/>
          <w:szCs w:val="22"/>
        </w:rPr>
        <w:t>Anti-Money Laundering and Counter-Terrorism Financing Rules</w:t>
      </w:r>
      <w:r w:rsidR="005F7FEA">
        <w:rPr>
          <w:i/>
          <w:noProof/>
          <w:szCs w:val="22"/>
        </w:rPr>
        <w:t xml:space="preserve"> Amendment Instrument 2021 (No. </w:t>
      </w:r>
      <w:r w:rsidR="00C65EDB">
        <w:rPr>
          <w:i/>
          <w:noProof/>
          <w:szCs w:val="22"/>
        </w:rPr>
        <w:t>3</w:t>
      </w:r>
      <w:r w:rsidR="00175DB0">
        <w:rPr>
          <w:i/>
          <w:noProof/>
          <w:szCs w:val="22"/>
        </w:rPr>
        <w:t>)</w:t>
      </w:r>
      <w:r w:rsidR="00596AD9" w:rsidRPr="000C1506">
        <w:rPr>
          <w:i/>
          <w:szCs w:val="22"/>
        </w:rPr>
        <w:fldChar w:fldCharType="end"/>
      </w:r>
      <w:r w:rsidR="00596AD9" w:rsidRPr="000C1506">
        <w:rPr>
          <w:szCs w:val="22"/>
        </w:rPr>
        <w:t>.</w:t>
      </w:r>
    </w:p>
    <w:p w14:paraId="7B55EA09" w14:textId="1A1D68A6" w:rsidR="00920058" w:rsidRPr="003422B4" w:rsidRDefault="005E317F" w:rsidP="00272CE3">
      <w:pPr>
        <w:pStyle w:val="ActHead5"/>
      </w:pPr>
      <w:bookmarkStart w:id="3" w:name="_Toc90050622"/>
      <w:proofErr w:type="gramStart"/>
      <w:r w:rsidRPr="009C2562">
        <w:rPr>
          <w:rStyle w:val="CharSectno"/>
        </w:rPr>
        <w:t>2</w:t>
      </w:r>
      <w:r w:rsidRPr="009C2562">
        <w:t xml:space="preserve">  Commencement</w:t>
      </w:r>
      <w:bookmarkEnd w:id="3"/>
      <w:proofErr w:type="gramEnd"/>
    </w:p>
    <w:p w14:paraId="2C2EAB26" w14:textId="77777777" w:rsidR="00920058" w:rsidRPr="003422B4" w:rsidRDefault="00920058" w:rsidP="00920058">
      <w:pPr>
        <w:pStyle w:val="subsection"/>
      </w:pPr>
      <w:r w:rsidRPr="003422B4">
        <w:tab/>
        <w:t>(1)</w:t>
      </w:r>
      <w:r w:rsidRPr="003422B4">
        <w:tab/>
        <w:t xml:space="preserve">Each provision of this instrument specified in column 1 of the table commences, or </w:t>
      </w:r>
      <w:proofErr w:type="gramStart"/>
      <w:r w:rsidRPr="003422B4">
        <w:t>is taken</w:t>
      </w:r>
      <w:proofErr w:type="gramEnd"/>
      <w:r w:rsidRPr="003422B4">
        <w:t xml:space="preserve"> to have commenced, in accordance with column 2 of the table. Any other statement in column 2 has effect according to its terms.</w:t>
      </w:r>
    </w:p>
    <w:p w14:paraId="15689511" w14:textId="77777777" w:rsidR="00920058" w:rsidRPr="003422B4" w:rsidRDefault="00920058" w:rsidP="0092005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920058" w:rsidRPr="003422B4" w14:paraId="65E238E9" w14:textId="77777777" w:rsidTr="00BE77B7">
        <w:trPr>
          <w:tblHeader/>
        </w:trPr>
        <w:tc>
          <w:tcPr>
            <w:tcW w:w="8364" w:type="dxa"/>
            <w:gridSpan w:val="3"/>
            <w:tcBorders>
              <w:top w:val="single" w:sz="12" w:space="0" w:color="auto"/>
              <w:bottom w:val="single" w:sz="6" w:space="0" w:color="auto"/>
            </w:tcBorders>
            <w:shd w:val="clear" w:color="auto" w:fill="auto"/>
            <w:hideMark/>
          </w:tcPr>
          <w:p w14:paraId="682B72DB" w14:textId="77777777" w:rsidR="00920058" w:rsidRPr="003422B4" w:rsidRDefault="00920058" w:rsidP="00BE77B7">
            <w:pPr>
              <w:pStyle w:val="TableHeading"/>
            </w:pPr>
            <w:r w:rsidRPr="003422B4">
              <w:t>Commencement information</w:t>
            </w:r>
          </w:p>
        </w:tc>
      </w:tr>
      <w:tr w:rsidR="00920058" w:rsidRPr="003422B4" w14:paraId="7A1295DF" w14:textId="77777777" w:rsidTr="00BE77B7">
        <w:trPr>
          <w:tblHeader/>
        </w:trPr>
        <w:tc>
          <w:tcPr>
            <w:tcW w:w="2127" w:type="dxa"/>
            <w:tcBorders>
              <w:top w:val="single" w:sz="6" w:space="0" w:color="auto"/>
              <w:bottom w:val="single" w:sz="6" w:space="0" w:color="auto"/>
            </w:tcBorders>
            <w:shd w:val="clear" w:color="auto" w:fill="auto"/>
            <w:hideMark/>
          </w:tcPr>
          <w:p w14:paraId="32AE3E6D" w14:textId="77777777" w:rsidR="00920058" w:rsidRPr="003422B4" w:rsidRDefault="00920058" w:rsidP="00BE77B7">
            <w:pPr>
              <w:pStyle w:val="TableHeading"/>
            </w:pPr>
            <w:r w:rsidRPr="003422B4">
              <w:t>Column 1</w:t>
            </w:r>
          </w:p>
        </w:tc>
        <w:tc>
          <w:tcPr>
            <w:tcW w:w="4394" w:type="dxa"/>
            <w:tcBorders>
              <w:top w:val="single" w:sz="6" w:space="0" w:color="auto"/>
              <w:bottom w:val="single" w:sz="6" w:space="0" w:color="auto"/>
            </w:tcBorders>
            <w:shd w:val="clear" w:color="auto" w:fill="auto"/>
            <w:hideMark/>
          </w:tcPr>
          <w:p w14:paraId="619DB822" w14:textId="77777777" w:rsidR="00920058" w:rsidRPr="003422B4" w:rsidRDefault="00920058" w:rsidP="00BE77B7">
            <w:pPr>
              <w:pStyle w:val="TableHeading"/>
            </w:pPr>
            <w:r w:rsidRPr="003422B4">
              <w:t>Column 2</w:t>
            </w:r>
          </w:p>
        </w:tc>
        <w:tc>
          <w:tcPr>
            <w:tcW w:w="1843" w:type="dxa"/>
            <w:tcBorders>
              <w:top w:val="single" w:sz="6" w:space="0" w:color="auto"/>
              <w:bottom w:val="single" w:sz="6" w:space="0" w:color="auto"/>
            </w:tcBorders>
            <w:shd w:val="clear" w:color="auto" w:fill="auto"/>
            <w:hideMark/>
          </w:tcPr>
          <w:p w14:paraId="7AADD6B3" w14:textId="77777777" w:rsidR="00920058" w:rsidRPr="003422B4" w:rsidRDefault="00920058" w:rsidP="00BE77B7">
            <w:pPr>
              <w:pStyle w:val="TableHeading"/>
            </w:pPr>
            <w:r w:rsidRPr="003422B4">
              <w:t>Column 3</w:t>
            </w:r>
          </w:p>
        </w:tc>
      </w:tr>
      <w:tr w:rsidR="00920058" w:rsidRPr="003422B4" w14:paraId="1B527FD7" w14:textId="77777777" w:rsidTr="00BE77B7">
        <w:trPr>
          <w:tblHeader/>
        </w:trPr>
        <w:tc>
          <w:tcPr>
            <w:tcW w:w="2127" w:type="dxa"/>
            <w:tcBorders>
              <w:top w:val="single" w:sz="6" w:space="0" w:color="auto"/>
              <w:bottom w:val="single" w:sz="12" w:space="0" w:color="auto"/>
            </w:tcBorders>
            <w:shd w:val="clear" w:color="auto" w:fill="auto"/>
            <w:hideMark/>
          </w:tcPr>
          <w:p w14:paraId="360C8E2A" w14:textId="77777777" w:rsidR="00920058" w:rsidRPr="003422B4" w:rsidRDefault="00920058" w:rsidP="00BE77B7">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1AB6A85E" w14:textId="77777777" w:rsidR="00920058" w:rsidRPr="003422B4" w:rsidRDefault="00920058" w:rsidP="00BE77B7">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6C65E015" w14:textId="77777777" w:rsidR="00920058" w:rsidRPr="003422B4" w:rsidRDefault="00920058" w:rsidP="00BE77B7">
            <w:pPr>
              <w:pStyle w:val="TableHeading"/>
            </w:pPr>
            <w:r w:rsidRPr="003422B4">
              <w:t>Date/Details</w:t>
            </w:r>
          </w:p>
        </w:tc>
      </w:tr>
      <w:tr w:rsidR="00920058" w:rsidRPr="00F32CF4" w14:paraId="30B54747" w14:textId="77777777" w:rsidTr="00BE77B7">
        <w:trPr>
          <w:tblHeader/>
        </w:trPr>
        <w:tc>
          <w:tcPr>
            <w:tcW w:w="2127" w:type="dxa"/>
            <w:tcBorders>
              <w:top w:val="single" w:sz="12" w:space="0" w:color="auto"/>
              <w:bottom w:val="single" w:sz="6" w:space="0" w:color="auto"/>
            </w:tcBorders>
            <w:shd w:val="clear" w:color="auto" w:fill="auto"/>
          </w:tcPr>
          <w:p w14:paraId="46FF1879" w14:textId="77777777" w:rsidR="00920058" w:rsidRPr="003422B4" w:rsidRDefault="00920058" w:rsidP="00BE77B7">
            <w:pPr>
              <w:pStyle w:val="Tabletext"/>
              <w:spacing w:after="60"/>
            </w:pPr>
            <w:r w:rsidRPr="003422B4">
              <w:t xml:space="preserve">1.  </w:t>
            </w:r>
            <w:r>
              <w:t>Sections 1 to 4 and anything in this instrument not elsewhere covered by this table</w:t>
            </w:r>
          </w:p>
        </w:tc>
        <w:tc>
          <w:tcPr>
            <w:tcW w:w="4394" w:type="dxa"/>
            <w:tcBorders>
              <w:top w:val="single" w:sz="12" w:space="0" w:color="auto"/>
              <w:bottom w:val="single" w:sz="6" w:space="0" w:color="auto"/>
            </w:tcBorders>
            <w:shd w:val="clear" w:color="auto" w:fill="auto"/>
          </w:tcPr>
          <w:p w14:paraId="435AAABB" w14:textId="1F9953EC" w:rsidR="00920058" w:rsidRPr="003422B4" w:rsidRDefault="000D649E" w:rsidP="00BE77B7">
            <w:pPr>
              <w:pStyle w:val="Tabletext"/>
              <w:spacing w:after="60"/>
            </w:pPr>
            <w:r>
              <w:t>The day after registration.</w:t>
            </w:r>
          </w:p>
        </w:tc>
        <w:tc>
          <w:tcPr>
            <w:tcW w:w="1843" w:type="dxa"/>
            <w:tcBorders>
              <w:top w:val="single" w:sz="12" w:space="0" w:color="auto"/>
              <w:bottom w:val="single" w:sz="6" w:space="0" w:color="auto"/>
            </w:tcBorders>
            <w:shd w:val="clear" w:color="auto" w:fill="auto"/>
          </w:tcPr>
          <w:p w14:paraId="08549A6F" w14:textId="77777777" w:rsidR="00920058" w:rsidRPr="003422B4" w:rsidRDefault="00920058" w:rsidP="00BE77B7">
            <w:pPr>
              <w:pStyle w:val="Tabletext"/>
              <w:spacing w:after="60"/>
            </w:pPr>
          </w:p>
        </w:tc>
      </w:tr>
      <w:tr w:rsidR="00920058" w:rsidRPr="003422B4" w14:paraId="3DF1848E" w14:textId="77777777" w:rsidTr="00BE77B7">
        <w:tc>
          <w:tcPr>
            <w:tcW w:w="2127" w:type="dxa"/>
            <w:tcBorders>
              <w:top w:val="single" w:sz="6" w:space="0" w:color="auto"/>
              <w:bottom w:val="single" w:sz="12" w:space="0" w:color="auto"/>
            </w:tcBorders>
            <w:shd w:val="clear" w:color="auto" w:fill="auto"/>
            <w:hideMark/>
          </w:tcPr>
          <w:p w14:paraId="357C360D" w14:textId="77777777" w:rsidR="00920058" w:rsidRPr="003A6229" w:rsidRDefault="00920058" w:rsidP="00BE77B7">
            <w:pPr>
              <w:pStyle w:val="Tabletext"/>
              <w:spacing w:after="60"/>
              <w:rPr>
                <w:i/>
              </w:rPr>
            </w:pPr>
            <w:r>
              <w:t>2</w:t>
            </w:r>
            <w:r w:rsidRPr="003422B4">
              <w:t xml:space="preserve">.  </w:t>
            </w:r>
            <w:r w:rsidRPr="00E76157">
              <w:t>Schedule 1</w:t>
            </w:r>
          </w:p>
        </w:tc>
        <w:tc>
          <w:tcPr>
            <w:tcW w:w="4394" w:type="dxa"/>
            <w:tcBorders>
              <w:top w:val="single" w:sz="6" w:space="0" w:color="auto"/>
              <w:bottom w:val="single" w:sz="12" w:space="0" w:color="auto"/>
            </w:tcBorders>
            <w:shd w:val="clear" w:color="auto" w:fill="auto"/>
            <w:hideMark/>
          </w:tcPr>
          <w:p w14:paraId="79326098" w14:textId="7986F718" w:rsidR="00920058" w:rsidRPr="00113481" w:rsidRDefault="000D649E" w:rsidP="00BE77B7">
            <w:pPr>
              <w:pStyle w:val="Tabletext"/>
              <w:spacing w:after="60"/>
            </w:pPr>
            <w:r>
              <w:t>The day after registration.</w:t>
            </w:r>
          </w:p>
        </w:tc>
        <w:tc>
          <w:tcPr>
            <w:tcW w:w="1843" w:type="dxa"/>
            <w:tcBorders>
              <w:top w:val="single" w:sz="6" w:space="0" w:color="auto"/>
              <w:bottom w:val="single" w:sz="12" w:space="0" w:color="auto"/>
            </w:tcBorders>
            <w:shd w:val="clear" w:color="auto" w:fill="auto"/>
          </w:tcPr>
          <w:p w14:paraId="1CB09930" w14:textId="77777777" w:rsidR="00920058" w:rsidRPr="00B43C50" w:rsidRDefault="00920058" w:rsidP="00BE77B7">
            <w:pPr>
              <w:pStyle w:val="Tabletext"/>
              <w:spacing w:after="60"/>
              <w:rPr>
                <w:i/>
              </w:rPr>
            </w:pPr>
          </w:p>
        </w:tc>
      </w:tr>
    </w:tbl>
    <w:p w14:paraId="75770550" w14:textId="77777777" w:rsidR="00920058" w:rsidRPr="003422B4" w:rsidRDefault="00920058" w:rsidP="00920058">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 xml:space="preserve">as originally made. It </w:t>
      </w:r>
      <w:proofErr w:type="gramStart"/>
      <w:r w:rsidRPr="003422B4">
        <w:rPr>
          <w:snapToGrid w:val="0"/>
          <w:lang w:eastAsia="en-US"/>
        </w:rPr>
        <w:t>will not be amended</w:t>
      </w:r>
      <w:proofErr w:type="gramEnd"/>
      <w:r w:rsidRPr="003422B4">
        <w:rPr>
          <w:snapToGrid w:val="0"/>
          <w:lang w:eastAsia="en-US"/>
        </w:rPr>
        <w:t xml:space="preserve"> to deal with any later amendments of this instrument.</w:t>
      </w:r>
    </w:p>
    <w:p w14:paraId="7213C412" w14:textId="77777777" w:rsidR="00920058" w:rsidRPr="003422B4" w:rsidRDefault="00920058" w:rsidP="00920058">
      <w:pPr>
        <w:pStyle w:val="subsection"/>
      </w:pPr>
      <w:r w:rsidRPr="003422B4">
        <w:tab/>
        <w:t>(2)</w:t>
      </w:r>
      <w:r w:rsidRPr="003422B4">
        <w:tab/>
        <w:t xml:space="preserve">Any information in column 3 of the table is not part of this instrument. Information </w:t>
      </w:r>
      <w:proofErr w:type="gramStart"/>
      <w:r w:rsidRPr="003422B4">
        <w:t>may be inserted</w:t>
      </w:r>
      <w:proofErr w:type="gramEnd"/>
      <w:r w:rsidRPr="003422B4">
        <w:t xml:space="preserve"> in this column, or information in it may be edited, in any published version of this instrument.</w:t>
      </w:r>
    </w:p>
    <w:p w14:paraId="15CFD8A2" w14:textId="77777777" w:rsidR="005E317F" w:rsidRPr="009C2562" w:rsidRDefault="005E317F" w:rsidP="005E317F">
      <w:pPr>
        <w:pStyle w:val="ActHead5"/>
      </w:pPr>
      <w:bookmarkStart w:id="4" w:name="_Toc90050623"/>
      <w:proofErr w:type="gramStart"/>
      <w:r w:rsidRPr="009C2562">
        <w:rPr>
          <w:rStyle w:val="CharSectno"/>
        </w:rPr>
        <w:t>3</w:t>
      </w:r>
      <w:r w:rsidRPr="009C2562">
        <w:t xml:space="preserve">  Authority</w:t>
      </w:r>
      <w:bookmarkEnd w:id="4"/>
      <w:proofErr w:type="gramEnd"/>
    </w:p>
    <w:p w14:paraId="61B67DB7" w14:textId="77777777" w:rsidR="005E317F" w:rsidRPr="009C2562" w:rsidRDefault="005E317F" w:rsidP="005E317F">
      <w:pPr>
        <w:pStyle w:val="subsection"/>
      </w:pPr>
      <w:r w:rsidRPr="009C2562">
        <w:tab/>
      </w:r>
      <w:r w:rsidRPr="009C2562">
        <w:tab/>
      </w:r>
      <w:r w:rsidR="00596AD9" w:rsidRPr="009C2562">
        <w:t xml:space="preserve">This instrument </w:t>
      </w:r>
      <w:proofErr w:type="gramStart"/>
      <w:r w:rsidR="00596AD9" w:rsidRPr="009C2562">
        <w:t>is made</w:t>
      </w:r>
      <w:proofErr w:type="gramEnd"/>
      <w:r w:rsidR="00596AD9" w:rsidRPr="009C2562">
        <w:t xml:space="preserve"> under </w:t>
      </w:r>
      <w:r w:rsidR="00596AD9">
        <w:t xml:space="preserve">section 229 of the </w:t>
      </w:r>
      <w:r w:rsidR="00596AD9" w:rsidRPr="00F64003">
        <w:rPr>
          <w:i/>
        </w:rPr>
        <w:t>Anti-Money Laundering and Counter-Terrorism Financing Act 2006</w:t>
      </w:r>
      <w:r w:rsidR="00596AD9" w:rsidRPr="009C2562">
        <w:t>.</w:t>
      </w:r>
    </w:p>
    <w:p w14:paraId="3101BE88" w14:textId="77777777" w:rsidR="005E317F" w:rsidRPr="006065DA" w:rsidRDefault="005E317F" w:rsidP="005E317F">
      <w:pPr>
        <w:pStyle w:val="ActHead5"/>
      </w:pPr>
      <w:bookmarkStart w:id="5" w:name="_Toc90050624"/>
      <w:proofErr w:type="gramStart"/>
      <w:r w:rsidRPr="006065DA">
        <w:t>4  Schedules</w:t>
      </w:r>
      <w:bookmarkEnd w:id="5"/>
      <w:proofErr w:type="gramEnd"/>
    </w:p>
    <w:p w14:paraId="2AF73436" w14:textId="77777777" w:rsidR="005E317F" w:rsidRDefault="005E317F" w:rsidP="005E317F">
      <w:pPr>
        <w:pStyle w:val="subsection"/>
      </w:pPr>
      <w:r w:rsidRPr="006065DA">
        <w:tab/>
      </w:r>
      <w:r w:rsidRPr="006065DA">
        <w:tab/>
        <w:t xml:space="preserve">Each instrument that </w:t>
      </w:r>
      <w:proofErr w:type="gramStart"/>
      <w:r w:rsidRPr="006065DA">
        <w:t>is specified</w:t>
      </w:r>
      <w:proofErr w:type="gramEnd"/>
      <w:r w:rsidRPr="006065DA">
        <w:t xml:space="preserve"> in a Schedule to this instrument is amended or repealed as set out in the applicable items in the Schedule concerned, and any other item in a Schedule to this instrument has effect according to its terms.</w:t>
      </w:r>
    </w:p>
    <w:p w14:paraId="689AB60F" w14:textId="77777777" w:rsidR="005E317F" w:rsidRDefault="005E317F" w:rsidP="005E317F">
      <w:pPr>
        <w:pStyle w:val="ActHead6"/>
        <w:pageBreakBefore/>
      </w:pPr>
      <w:bookmarkStart w:id="6" w:name="_Toc90050625"/>
      <w:r w:rsidRPr="00DB64FC">
        <w:rPr>
          <w:rStyle w:val="CharAmSchNo"/>
        </w:rPr>
        <w:lastRenderedPageBreak/>
        <w:t>Schedule 1</w:t>
      </w:r>
      <w:r>
        <w:t>—</w:t>
      </w:r>
      <w:r w:rsidRPr="00DB64FC">
        <w:rPr>
          <w:rStyle w:val="CharAmSchText"/>
        </w:rPr>
        <w:t>Amendments</w:t>
      </w:r>
      <w:bookmarkEnd w:id="6"/>
    </w:p>
    <w:p w14:paraId="1247515E" w14:textId="77777777" w:rsidR="005E317F" w:rsidRDefault="003B0342" w:rsidP="003B0342">
      <w:pPr>
        <w:pStyle w:val="ActHead9"/>
        <w:ind w:left="0" w:firstLine="0"/>
      </w:pPr>
      <w:bookmarkStart w:id="7" w:name="_Toc90050626"/>
      <w:r>
        <w:t>Anti-Money Laundering and Counter-Terrorism Financing Rules Instrument 2007 (No. 1)</w:t>
      </w:r>
      <w:bookmarkEnd w:id="7"/>
    </w:p>
    <w:p w14:paraId="5509368C" w14:textId="2818B225" w:rsidR="005E317F" w:rsidRDefault="005E317F" w:rsidP="005E317F">
      <w:pPr>
        <w:pStyle w:val="ItemHead"/>
      </w:pPr>
      <w:proofErr w:type="gramStart"/>
      <w:r>
        <w:t xml:space="preserve">1  </w:t>
      </w:r>
      <w:r w:rsidR="003B0342">
        <w:t>Chapter</w:t>
      </w:r>
      <w:proofErr w:type="gramEnd"/>
      <w:r w:rsidR="003B0342">
        <w:t xml:space="preserve"> </w:t>
      </w:r>
      <w:r w:rsidR="00C65EDB">
        <w:t>79</w:t>
      </w:r>
    </w:p>
    <w:p w14:paraId="6F7F6699" w14:textId="5CCD33F8" w:rsidR="008E687F" w:rsidRPr="00E719E3" w:rsidRDefault="008E687F" w:rsidP="008E687F">
      <w:pPr>
        <w:spacing w:before="120" w:after="120" w:line="276" w:lineRule="auto"/>
        <w:ind w:left="720" w:hanging="11"/>
        <w:rPr>
          <w:rFonts w:eastAsia="Times New Roman" w:cs="Times New Roman"/>
          <w:sz w:val="24"/>
          <w:szCs w:val="22"/>
        </w:rPr>
      </w:pPr>
      <w:r w:rsidRPr="00E719E3">
        <w:rPr>
          <w:rFonts w:eastAsia="Times New Roman" w:cs="Times New Roman"/>
          <w:sz w:val="24"/>
          <w:szCs w:val="22"/>
        </w:rPr>
        <w:t xml:space="preserve">After </w:t>
      </w:r>
      <w:r w:rsidR="00C65EDB">
        <w:rPr>
          <w:rFonts w:eastAsia="Times New Roman" w:cs="Times New Roman"/>
          <w:sz w:val="24"/>
          <w:szCs w:val="22"/>
        </w:rPr>
        <w:t>Chapter 78</w:t>
      </w:r>
      <w:r w:rsidRPr="00E719E3">
        <w:rPr>
          <w:rFonts w:eastAsia="Times New Roman" w:cs="Times New Roman"/>
          <w:sz w:val="24"/>
          <w:szCs w:val="22"/>
        </w:rPr>
        <w:t xml:space="preserve">: </w:t>
      </w:r>
      <w:r w:rsidRPr="00E719E3">
        <w:rPr>
          <w:rFonts w:eastAsia="Times New Roman" w:cs="Times New Roman"/>
          <w:i/>
          <w:sz w:val="24"/>
          <w:szCs w:val="22"/>
        </w:rPr>
        <w:t>insert:</w:t>
      </w:r>
    </w:p>
    <w:p w14:paraId="4A9E397E" w14:textId="77777777" w:rsidR="00C65EDB" w:rsidRPr="00477418" w:rsidRDefault="00C65EDB" w:rsidP="00C65EDB">
      <w:pPr>
        <w:pStyle w:val="HP"/>
        <w:pageBreakBefore/>
        <w:rPr>
          <w:rStyle w:val="CharPartNo"/>
          <w:sz w:val="28"/>
        </w:rPr>
      </w:pPr>
      <w:bookmarkStart w:id="8" w:name="_Toc6934426"/>
      <w:r w:rsidRPr="00477418">
        <w:rPr>
          <w:rStyle w:val="CharPartNo"/>
          <w:sz w:val="28"/>
        </w:rPr>
        <w:lastRenderedPageBreak/>
        <w:t xml:space="preserve">CHAPTER </w:t>
      </w:r>
      <w:r>
        <w:rPr>
          <w:rStyle w:val="CharPartNo"/>
          <w:sz w:val="28"/>
        </w:rPr>
        <w:t>79</w:t>
      </w:r>
      <w:r w:rsidRPr="00477418">
        <w:rPr>
          <w:rStyle w:val="CharPartNo"/>
          <w:sz w:val="28"/>
        </w:rPr>
        <w:tab/>
      </w:r>
      <w:r w:rsidRPr="00477418">
        <w:rPr>
          <w:rStyle w:val="CharPartText"/>
          <w:sz w:val="28"/>
        </w:rPr>
        <w:t>Applicable customer identification procedure</w:t>
      </w:r>
      <w:bookmarkEnd w:id="8"/>
      <w:r w:rsidRPr="00477418">
        <w:rPr>
          <w:rStyle w:val="CharPartNo"/>
          <w:rFonts w:cs="Arial"/>
          <w:sz w:val="28"/>
        </w:rPr>
        <w:t>—</w:t>
      </w:r>
      <w:r w:rsidRPr="00477418">
        <w:rPr>
          <w:rStyle w:val="CharPartNo"/>
          <w:sz w:val="28"/>
        </w:rPr>
        <w:t>special circumstances</w:t>
      </w:r>
      <w:r w:rsidRPr="00477418">
        <w:rPr>
          <w:rStyle w:val="CharPartNo"/>
          <w:rFonts w:cs="Arial"/>
          <w:sz w:val="28"/>
        </w:rPr>
        <w:t>—</w:t>
      </w:r>
      <w:r>
        <w:rPr>
          <w:rStyle w:val="CharPartNo"/>
          <w:sz w:val="28"/>
        </w:rPr>
        <w:t>account opening and deposit</w:t>
      </w:r>
    </w:p>
    <w:p w14:paraId="331078C8" w14:textId="597A51DA" w:rsidR="00C65EDB" w:rsidRPr="00574481" w:rsidRDefault="00C65EDB" w:rsidP="00C65EDB">
      <w:pPr>
        <w:pStyle w:val="Default"/>
        <w:spacing w:before="240"/>
        <w:ind w:left="720" w:hanging="720"/>
        <w:rPr>
          <w:iCs/>
          <w:color w:val="auto"/>
        </w:rPr>
      </w:pPr>
      <w:r w:rsidRPr="00574481">
        <w:rPr>
          <w:color w:val="auto"/>
        </w:rPr>
        <w:t>79.1</w:t>
      </w:r>
      <w:r w:rsidRPr="00477418">
        <w:rPr>
          <w:color w:val="auto"/>
          <w:sz w:val="22"/>
        </w:rPr>
        <w:tab/>
      </w:r>
      <w:r w:rsidRPr="00574481">
        <w:rPr>
          <w:color w:val="auto"/>
        </w:rPr>
        <w:t>These Anti-Money Laundering and Counter-Terrorism Financing Rules are made under section 229 for the purposes of paragraphs 33(a) and 33(b) and subparagraph 34(1)(d)(</w:t>
      </w:r>
      <w:proofErr w:type="spellStart"/>
      <w:r w:rsidRPr="00574481">
        <w:rPr>
          <w:color w:val="auto"/>
        </w:rPr>
        <w:t>i</w:t>
      </w:r>
      <w:proofErr w:type="spellEnd"/>
      <w:r w:rsidRPr="00574481">
        <w:rPr>
          <w:color w:val="auto"/>
        </w:rPr>
        <w:t xml:space="preserve">) of the </w:t>
      </w:r>
      <w:r w:rsidRPr="00574481">
        <w:rPr>
          <w:i/>
          <w:color w:val="auto"/>
        </w:rPr>
        <w:t>Anti-Money Laundering and Counter</w:t>
      </w:r>
      <w:r w:rsidR="00A6638C">
        <w:rPr>
          <w:i/>
          <w:color w:val="auto"/>
        </w:rPr>
        <w:t>-</w:t>
      </w:r>
      <w:bookmarkStart w:id="9" w:name="_GoBack"/>
      <w:bookmarkEnd w:id="9"/>
      <w:r w:rsidRPr="00574481">
        <w:rPr>
          <w:i/>
          <w:color w:val="auto"/>
        </w:rPr>
        <w:t>Terrorism Financing Act</w:t>
      </w:r>
      <w:r w:rsidRPr="00574481">
        <w:rPr>
          <w:iCs/>
          <w:color w:val="auto"/>
        </w:rPr>
        <w:t xml:space="preserve"> </w:t>
      </w:r>
      <w:r w:rsidRPr="00574481">
        <w:rPr>
          <w:i/>
          <w:iCs/>
          <w:color w:val="auto"/>
        </w:rPr>
        <w:t>2006</w:t>
      </w:r>
      <w:r w:rsidRPr="00574481">
        <w:rPr>
          <w:iCs/>
          <w:color w:val="auto"/>
        </w:rPr>
        <w:t>.</w:t>
      </w:r>
    </w:p>
    <w:p w14:paraId="19F65A9D" w14:textId="77777777" w:rsidR="00C65EDB" w:rsidRDefault="00C65EDB" w:rsidP="00C65EDB">
      <w:pPr>
        <w:pStyle w:val="Default"/>
        <w:spacing w:before="240"/>
        <w:rPr>
          <w:i/>
          <w:iCs/>
          <w:color w:val="auto"/>
          <w:sz w:val="22"/>
        </w:rPr>
      </w:pPr>
      <w:r>
        <w:rPr>
          <w:i/>
          <w:iCs/>
          <w:color w:val="auto"/>
          <w:sz w:val="22"/>
        </w:rPr>
        <w:t>C</w:t>
      </w:r>
      <w:r w:rsidRPr="00930C73">
        <w:rPr>
          <w:i/>
          <w:iCs/>
          <w:color w:val="auto"/>
          <w:sz w:val="22"/>
        </w:rPr>
        <w:t xml:space="preserve">onditions for carrying out the applicable customer identification procedure after </w:t>
      </w:r>
      <w:r>
        <w:rPr>
          <w:i/>
          <w:iCs/>
          <w:color w:val="auto"/>
          <w:sz w:val="22"/>
        </w:rPr>
        <w:t>commencing to o</w:t>
      </w:r>
      <w:r w:rsidRPr="00D72C93">
        <w:rPr>
          <w:i/>
          <w:iCs/>
          <w:color w:val="auto"/>
          <w:sz w:val="22"/>
        </w:rPr>
        <w:t>pen an</w:t>
      </w:r>
      <w:r>
        <w:rPr>
          <w:i/>
          <w:iCs/>
          <w:color w:val="auto"/>
          <w:sz w:val="22"/>
        </w:rPr>
        <w:t xml:space="preserve"> account</w:t>
      </w:r>
      <w:r w:rsidRPr="00D72C93">
        <w:rPr>
          <w:i/>
          <w:iCs/>
          <w:color w:val="auto"/>
          <w:sz w:val="22"/>
        </w:rPr>
        <w:t xml:space="preserve"> </w:t>
      </w:r>
    </w:p>
    <w:p w14:paraId="1AFEF73A" w14:textId="77777777" w:rsidR="00C65EDB" w:rsidRPr="00574481" w:rsidRDefault="00C65EDB" w:rsidP="00C65EDB">
      <w:pPr>
        <w:pStyle w:val="Default"/>
        <w:spacing w:before="240"/>
        <w:ind w:left="720" w:hanging="720"/>
        <w:rPr>
          <w:color w:val="auto"/>
        </w:rPr>
      </w:pPr>
      <w:proofErr w:type="gramStart"/>
      <w:r w:rsidRPr="00574481">
        <w:rPr>
          <w:iCs/>
          <w:color w:val="auto"/>
        </w:rPr>
        <w:t>79.2</w:t>
      </w:r>
      <w:r w:rsidRPr="00574481">
        <w:rPr>
          <w:iCs/>
          <w:color w:val="auto"/>
        </w:rPr>
        <w:tab/>
        <w:t xml:space="preserve">A reporting entity </w:t>
      </w:r>
      <w:r w:rsidRPr="00574481">
        <w:rPr>
          <w:color w:val="auto"/>
        </w:rPr>
        <w:t xml:space="preserve">that </w:t>
      </w:r>
      <w:r>
        <w:rPr>
          <w:color w:val="auto"/>
        </w:rPr>
        <w:t xml:space="preserve">commences to </w:t>
      </w:r>
      <w:r w:rsidRPr="00574481">
        <w:rPr>
          <w:color w:val="auto"/>
        </w:rPr>
        <w:t xml:space="preserve">provide </w:t>
      </w:r>
      <w:r>
        <w:rPr>
          <w:color w:val="auto"/>
        </w:rPr>
        <w:t xml:space="preserve">to a customer </w:t>
      </w:r>
      <w:r w:rsidRPr="00574481">
        <w:rPr>
          <w:color w:val="auto"/>
        </w:rPr>
        <w:t xml:space="preserve">a designated service described in item 1 of table 1 in subsection 6(2) of the Act, may carry out the applicable customer identification procedure </w:t>
      </w:r>
      <w:r>
        <w:rPr>
          <w:color w:val="auto"/>
        </w:rPr>
        <w:t>(</w:t>
      </w:r>
      <w:r w:rsidRPr="002A3222">
        <w:rPr>
          <w:b/>
          <w:color w:val="auto"/>
        </w:rPr>
        <w:t>ACIP</w:t>
      </w:r>
      <w:r>
        <w:rPr>
          <w:color w:val="auto"/>
        </w:rPr>
        <w:t xml:space="preserve">) </w:t>
      </w:r>
      <w:r w:rsidRPr="00574481">
        <w:rPr>
          <w:color w:val="auto"/>
        </w:rPr>
        <w:t xml:space="preserve">in respect of </w:t>
      </w:r>
      <w:r>
        <w:rPr>
          <w:color w:val="auto"/>
        </w:rPr>
        <w:t>the</w:t>
      </w:r>
      <w:r w:rsidRPr="00574481">
        <w:rPr>
          <w:color w:val="auto"/>
        </w:rPr>
        <w:t xml:space="preserve"> customer (including any beneficial owner of the customer or any person purporting to act on behalf of the customer), after commencing to provide </w:t>
      </w:r>
      <w:r>
        <w:rPr>
          <w:color w:val="auto"/>
        </w:rPr>
        <w:t>the</w:t>
      </w:r>
      <w:r w:rsidRPr="00574481">
        <w:rPr>
          <w:color w:val="auto"/>
        </w:rPr>
        <w:t xml:space="preserve"> designated service if:</w:t>
      </w:r>
      <w:proofErr w:type="gramEnd"/>
    </w:p>
    <w:p w14:paraId="425F3CC5" w14:textId="77777777" w:rsidR="00C65EDB" w:rsidRPr="00574481" w:rsidRDefault="00C65EDB" w:rsidP="00C65EDB">
      <w:pPr>
        <w:pStyle w:val="Default"/>
        <w:spacing w:before="240"/>
        <w:ind w:left="1418" w:hanging="698"/>
      </w:pPr>
      <w:r w:rsidRPr="00574481">
        <w:rPr>
          <w:color w:val="auto"/>
        </w:rPr>
        <w:t>(1)</w:t>
      </w:r>
      <w:r w:rsidRPr="00574481">
        <w:rPr>
          <w:color w:val="auto"/>
        </w:rPr>
        <w:tab/>
      </w:r>
      <w:proofErr w:type="gramStart"/>
      <w:r w:rsidRPr="00574481">
        <w:rPr>
          <w:color w:val="auto"/>
        </w:rPr>
        <w:t>it</w:t>
      </w:r>
      <w:proofErr w:type="gramEnd"/>
      <w:r w:rsidRPr="00574481">
        <w:rPr>
          <w:color w:val="auto"/>
        </w:rPr>
        <w:t xml:space="preserve"> has determined on reasonable grounds that </w:t>
      </w:r>
      <w:r w:rsidRPr="00574481">
        <w:t>doing so is essential to avoid interrupting the ordinary course of its business; and</w:t>
      </w:r>
    </w:p>
    <w:p w14:paraId="5AAB1D18" w14:textId="77777777" w:rsidR="00C65EDB" w:rsidRDefault="00C65EDB" w:rsidP="00C65EDB">
      <w:pPr>
        <w:pStyle w:val="Default"/>
        <w:spacing w:before="240"/>
        <w:ind w:left="1418" w:hanging="698"/>
        <w:rPr>
          <w:color w:val="auto"/>
        </w:rPr>
      </w:pPr>
      <w:r>
        <w:rPr>
          <w:color w:val="auto"/>
        </w:rPr>
        <w:t>(2)</w:t>
      </w:r>
      <w:r>
        <w:rPr>
          <w:color w:val="auto"/>
        </w:rPr>
        <w:tab/>
      </w:r>
      <w:r w:rsidRPr="00546D15">
        <w:rPr>
          <w:color w:val="auto"/>
        </w:rPr>
        <w:t xml:space="preserve">has determined </w:t>
      </w:r>
      <w:r>
        <w:rPr>
          <w:color w:val="auto"/>
        </w:rPr>
        <w:t xml:space="preserve">on reasonable grounds </w:t>
      </w:r>
      <w:r w:rsidRPr="00546D15">
        <w:rPr>
          <w:color w:val="auto"/>
        </w:rPr>
        <w:t>that any additional ML/TF risk arising from carrying out the ACIP after commencing to provide the designated service specified in paragraph 79.2 is low</w:t>
      </w:r>
      <w:r>
        <w:rPr>
          <w:color w:val="auto"/>
        </w:rPr>
        <w:t>;</w:t>
      </w:r>
      <w:r w:rsidRPr="002A3222">
        <w:rPr>
          <w:color w:val="auto"/>
        </w:rPr>
        <w:t xml:space="preserve"> </w:t>
      </w:r>
      <w:r>
        <w:rPr>
          <w:color w:val="auto"/>
        </w:rPr>
        <w:t>and</w:t>
      </w:r>
    </w:p>
    <w:p w14:paraId="7187FF27" w14:textId="77777777" w:rsidR="00C65EDB" w:rsidRPr="00574481" w:rsidRDefault="00C65EDB" w:rsidP="00C65EDB">
      <w:pPr>
        <w:pStyle w:val="Default"/>
        <w:spacing w:before="240"/>
        <w:ind w:left="1418" w:hanging="698"/>
        <w:rPr>
          <w:color w:val="auto"/>
        </w:rPr>
      </w:pPr>
      <w:r w:rsidRPr="00574481">
        <w:rPr>
          <w:color w:val="auto"/>
        </w:rPr>
        <w:t>(</w:t>
      </w:r>
      <w:r>
        <w:rPr>
          <w:color w:val="auto"/>
        </w:rPr>
        <w:t>3</w:t>
      </w:r>
      <w:r w:rsidRPr="00574481">
        <w:rPr>
          <w:color w:val="auto"/>
        </w:rPr>
        <w:t>)</w:t>
      </w:r>
      <w:r w:rsidRPr="00574481">
        <w:rPr>
          <w:color w:val="auto"/>
        </w:rPr>
        <w:tab/>
      </w:r>
      <w:proofErr w:type="gramStart"/>
      <w:r w:rsidRPr="00574481">
        <w:rPr>
          <w:color w:val="auto"/>
        </w:rPr>
        <w:t>has</w:t>
      </w:r>
      <w:proofErr w:type="gramEnd"/>
      <w:r w:rsidRPr="00574481">
        <w:rPr>
          <w:color w:val="auto"/>
        </w:rPr>
        <w:t xml:space="preserve"> implemented appropriate risk-based systems and controls to effectively manage the associated ML/TF risks; and</w:t>
      </w:r>
    </w:p>
    <w:p w14:paraId="0954686B" w14:textId="77777777" w:rsidR="00C65EDB" w:rsidRPr="00574481" w:rsidRDefault="00C65EDB" w:rsidP="00C65EDB">
      <w:pPr>
        <w:pStyle w:val="Default"/>
        <w:spacing w:before="240"/>
        <w:ind w:left="1418" w:hanging="698"/>
        <w:rPr>
          <w:color w:val="auto"/>
        </w:rPr>
      </w:pPr>
      <w:r w:rsidRPr="00574481">
        <w:rPr>
          <w:color w:val="auto"/>
        </w:rPr>
        <w:t>(</w:t>
      </w:r>
      <w:r>
        <w:rPr>
          <w:color w:val="auto"/>
        </w:rPr>
        <w:t>4</w:t>
      </w:r>
      <w:r w:rsidRPr="00574481">
        <w:rPr>
          <w:color w:val="auto"/>
        </w:rPr>
        <w:t>)</w:t>
      </w:r>
      <w:r w:rsidRPr="00574481">
        <w:rPr>
          <w:color w:val="auto"/>
        </w:rPr>
        <w:tab/>
      </w:r>
      <w:proofErr w:type="gramStart"/>
      <w:r w:rsidRPr="00574481">
        <w:rPr>
          <w:color w:val="auto"/>
        </w:rPr>
        <w:t>has</w:t>
      </w:r>
      <w:proofErr w:type="gramEnd"/>
      <w:r w:rsidRPr="00574481">
        <w:rPr>
          <w:color w:val="auto"/>
        </w:rPr>
        <w:t xml:space="preserve"> systems and controls in place to ensure it carries out the </w:t>
      </w:r>
      <w:r>
        <w:rPr>
          <w:color w:val="auto"/>
        </w:rPr>
        <w:t>ACIP</w:t>
      </w:r>
      <w:r w:rsidRPr="00574481">
        <w:rPr>
          <w:color w:val="auto"/>
        </w:rPr>
        <w:t xml:space="preserve"> as soon as practicable; and</w:t>
      </w:r>
    </w:p>
    <w:p w14:paraId="06367E0F" w14:textId="77777777" w:rsidR="00C65EDB" w:rsidRDefault="00C65EDB" w:rsidP="00C65EDB">
      <w:pPr>
        <w:pStyle w:val="Default"/>
        <w:spacing w:before="240"/>
        <w:ind w:left="1418" w:hanging="698"/>
        <w:rPr>
          <w:color w:val="auto"/>
        </w:rPr>
      </w:pPr>
      <w:r w:rsidRPr="00574481">
        <w:rPr>
          <w:color w:val="auto"/>
        </w:rPr>
        <w:t>(</w:t>
      </w:r>
      <w:r>
        <w:rPr>
          <w:color w:val="auto"/>
        </w:rPr>
        <w:t>5</w:t>
      </w:r>
      <w:r w:rsidRPr="00574481">
        <w:rPr>
          <w:color w:val="auto"/>
        </w:rPr>
        <w:t>)</w:t>
      </w:r>
      <w:r w:rsidRPr="00574481">
        <w:rPr>
          <w:color w:val="auto"/>
        </w:rPr>
        <w:tab/>
      </w:r>
      <w:proofErr w:type="gramStart"/>
      <w:r w:rsidRPr="00574481">
        <w:rPr>
          <w:color w:val="auto"/>
        </w:rPr>
        <w:t>does</w:t>
      </w:r>
      <w:proofErr w:type="gramEnd"/>
      <w:r w:rsidRPr="00574481">
        <w:rPr>
          <w:color w:val="auto"/>
        </w:rPr>
        <w:t xml:space="preserve"> not commence to provide to the customer a</w:t>
      </w:r>
      <w:r>
        <w:rPr>
          <w:color w:val="auto"/>
        </w:rPr>
        <w:t>nother</w:t>
      </w:r>
      <w:r w:rsidRPr="00574481">
        <w:rPr>
          <w:color w:val="auto"/>
        </w:rPr>
        <w:t xml:space="preserve"> designated service </w:t>
      </w:r>
      <w:r>
        <w:rPr>
          <w:color w:val="auto"/>
        </w:rPr>
        <w:t>except:</w:t>
      </w:r>
    </w:p>
    <w:p w14:paraId="738EA6DD" w14:textId="4DC22ED2" w:rsidR="00C65EDB" w:rsidRDefault="00C65EDB" w:rsidP="00C65EDB">
      <w:pPr>
        <w:pStyle w:val="Default"/>
        <w:spacing w:before="240"/>
        <w:ind w:left="2160" w:hanging="742"/>
        <w:rPr>
          <w:color w:val="auto"/>
        </w:rPr>
      </w:pPr>
      <w:r>
        <w:rPr>
          <w:color w:val="auto"/>
        </w:rPr>
        <w:t>(a)</w:t>
      </w:r>
      <w:r>
        <w:rPr>
          <w:color w:val="auto"/>
        </w:rPr>
        <w:tab/>
        <w:t xml:space="preserve">a designated service </w:t>
      </w:r>
      <w:r w:rsidRPr="00574481">
        <w:rPr>
          <w:color w:val="auto"/>
        </w:rPr>
        <w:t xml:space="preserve">described in item 3 of table 1 in subsection 6(2) of the Act </w:t>
      </w:r>
      <w:r>
        <w:rPr>
          <w:color w:val="auto"/>
        </w:rPr>
        <w:t>that is a deposit made to the account; or</w:t>
      </w:r>
    </w:p>
    <w:p w14:paraId="42A46CF0" w14:textId="77777777" w:rsidR="00C65EDB" w:rsidRDefault="00C65EDB" w:rsidP="00C65EDB">
      <w:pPr>
        <w:pStyle w:val="Default"/>
        <w:spacing w:before="240"/>
        <w:ind w:left="2160" w:hanging="742"/>
        <w:rPr>
          <w:color w:val="auto"/>
        </w:rPr>
      </w:pPr>
      <w:r>
        <w:rPr>
          <w:color w:val="auto"/>
        </w:rPr>
        <w:t xml:space="preserve">(b) </w:t>
      </w:r>
      <w:r>
        <w:rPr>
          <w:color w:val="auto"/>
        </w:rPr>
        <w:tab/>
        <w:t>a designated service described in an item of table 1 in subsection 6(2) of the Act, other than item 1 or item 3, that is incidental to the provision of the designated service specified in paragraph 79.2(5)(a).</w:t>
      </w:r>
    </w:p>
    <w:p w14:paraId="38F40862" w14:textId="054654E0" w:rsidR="00C65EDB" w:rsidRPr="00574481" w:rsidRDefault="00C65EDB" w:rsidP="00C65EDB">
      <w:pPr>
        <w:pStyle w:val="Default"/>
        <w:spacing w:before="240"/>
        <w:ind w:left="720" w:hanging="720"/>
        <w:rPr>
          <w:color w:val="auto"/>
        </w:rPr>
      </w:pPr>
      <w:r w:rsidRPr="00574481">
        <w:rPr>
          <w:color w:val="auto"/>
        </w:rPr>
        <w:t>79.3</w:t>
      </w:r>
      <w:r w:rsidRPr="00574481">
        <w:rPr>
          <w:color w:val="auto"/>
        </w:rPr>
        <w:tab/>
        <w:t>For the purposes of subparagraph 34(1</w:t>
      </w:r>
      <w:proofErr w:type="gramStart"/>
      <w:r w:rsidRPr="00574481">
        <w:rPr>
          <w:color w:val="auto"/>
        </w:rPr>
        <w:t>)(</w:t>
      </w:r>
      <w:proofErr w:type="gramEnd"/>
      <w:r w:rsidRPr="00574481">
        <w:rPr>
          <w:color w:val="auto"/>
        </w:rPr>
        <w:t>d)(</w:t>
      </w:r>
      <w:proofErr w:type="spellStart"/>
      <w:r w:rsidRPr="00574481">
        <w:rPr>
          <w:color w:val="auto"/>
        </w:rPr>
        <w:t>i</w:t>
      </w:r>
      <w:proofErr w:type="spellEnd"/>
      <w:r w:rsidRPr="00574481">
        <w:rPr>
          <w:color w:val="auto"/>
        </w:rPr>
        <w:t xml:space="preserve">) of the Act, the relevant period ends </w:t>
      </w:r>
      <w:r>
        <w:rPr>
          <w:color w:val="auto"/>
        </w:rPr>
        <w:t>15 business days</w:t>
      </w:r>
      <w:r w:rsidRPr="00574481">
        <w:rPr>
          <w:color w:val="auto"/>
        </w:rPr>
        <w:t xml:space="preserve"> after the </w:t>
      </w:r>
      <w:r>
        <w:rPr>
          <w:color w:val="auto"/>
        </w:rPr>
        <w:t xml:space="preserve">day the </w:t>
      </w:r>
      <w:r w:rsidRPr="00574481">
        <w:rPr>
          <w:color w:val="auto"/>
        </w:rPr>
        <w:t xml:space="preserve">reporting entity </w:t>
      </w:r>
      <w:r>
        <w:rPr>
          <w:color w:val="auto"/>
        </w:rPr>
        <w:t>commences to provide the designated service.</w:t>
      </w:r>
    </w:p>
    <w:p w14:paraId="04F25F3D" w14:textId="77777777" w:rsidR="00C65EDB" w:rsidRDefault="00C65EDB" w:rsidP="00C65EDB">
      <w:pPr>
        <w:spacing w:after="120" w:line="276" w:lineRule="auto"/>
        <w:rPr>
          <w:rFonts w:eastAsia="Times New Roman" w:cs="Times New Roman"/>
          <w:color w:val="000000"/>
          <w:sz w:val="20"/>
          <w:szCs w:val="24"/>
          <w:lang w:eastAsia="en-AU"/>
        </w:rPr>
      </w:pPr>
    </w:p>
    <w:p w14:paraId="5924907B" w14:textId="1F2A209D" w:rsidR="008E687F" w:rsidRDefault="008E687F" w:rsidP="008E687F">
      <w:pPr>
        <w:autoSpaceDE w:val="0"/>
        <w:autoSpaceDN w:val="0"/>
        <w:adjustRightInd w:val="0"/>
        <w:spacing w:before="120" w:after="120" w:line="276" w:lineRule="auto"/>
        <w:ind w:left="2160" w:hanging="720"/>
        <w:rPr>
          <w:rFonts w:eastAsia="Times New Roman" w:cs="Times New Roman"/>
          <w:sz w:val="24"/>
          <w:szCs w:val="22"/>
        </w:rPr>
      </w:pPr>
    </w:p>
    <w:p w14:paraId="6A686981" w14:textId="75194961" w:rsidR="004140CA" w:rsidRPr="004140CA" w:rsidRDefault="004140CA" w:rsidP="004140CA">
      <w:pPr>
        <w:pStyle w:val="ItemHead"/>
      </w:pPr>
      <w:proofErr w:type="gramStart"/>
      <w:r>
        <w:lastRenderedPageBreak/>
        <w:t xml:space="preserve">2  </w:t>
      </w:r>
      <w:r w:rsidR="006B4253">
        <w:t>Chapter</w:t>
      </w:r>
      <w:proofErr w:type="gramEnd"/>
      <w:r w:rsidR="006B4253">
        <w:t xml:space="preserve"> 80</w:t>
      </w:r>
    </w:p>
    <w:p w14:paraId="6AC7A9C1" w14:textId="0C8AB1E9" w:rsidR="008E687F" w:rsidRPr="00E719E3" w:rsidRDefault="008E687F" w:rsidP="008E687F">
      <w:pPr>
        <w:spacing w:before="120" w:after="120" w:line="276" w:lineRule="auto"/>
        <w:ind w:left="720" w:hanging="720"/>
        <w:rPr>
          <w:rFonts w:eastAsia="Times New Roman" w:cs="Times New Roman"/>
          <w:i/>
          <w:sz w:val="24"/>
          <w:szCs w:val="22"/>
        </w:rPr>
      </w:pPr>
      <w:r w:rsidRPr="00E719E3">
        <w:rPr>
          <w:rFonts w:eastAsia="Times New Roman" w:cs="Times New Roman"/>
          <w:sz w:val="24"/>
          <w:szCs w:val="22"/>
        </w:rPr>
        <w:tab/>
        <w:t xml:space="preserve">After </w:t>
      </w:r>
      <w:r w:rsidR="006B4253">
        <w:rPr>
          <w:rFonts w:eastAsia="Times New Roman" w:cs="Times New Roman"/>
          <w:sz w:val="24"/>
          <w:szCs w:val="22"/>
        </w:rPr>
        <w:t>Chapter 79</w:t>
      </w:r>
      <w:r w:rsidRPr="00E719E3">
        <w:rPr>
          <w:rFonts w:eastAsia="Times New Roman" w:cs="Times New Roman"/>
          <w:sz w:val="24"/>
          <w:szCs w:val="22"/>
        </w:rPr>
        <w:t xml:space="preserve">: </w:t>
      </w:r>
      <w:r w:rsidRPr="00E719E3">
        <w:rPr>
          <w:rFonts w:eastAsia="Times New Roman" w:cs="Times New Roman"/>
          <w:i/>
          <w:sz w:val="24"/>
          <w:szCs w:val="22"/>
        </w:rPr>
        <w:t>insert:</w:t>
      </w:r>
    </w:p>
    <w:p w14:paraId="70923155" w14:textId="77777777" w:rsidR="003905D6" w:rsidRPr="000C2547" w:rsidRDefault="003905D6" w:rsidP="003905D6">
      <w:pPr>
        <w:keepNext/>
        <w:tabs>
          <w:tab w:val="left" w:pos="2410"/>
        </w:tabs>
        <w:spacing w:after="360" w:line="240" w:lineRule="auto"/>
        <w:ind w:left="2410" w:hanging="2410"/>
        <w:rPr>
          <w:rFonts w:ascii="Arial" w:eastAsia="Times New Roman" w:hAnsi="Arial" w:cs="Times New Roman"/>
          <w:b/>
          <w:sz w:val="28"/>
          <w:szCs w:val="28"/>
          <w:lang w:eastAsia="en-AU"/>
        </w:rPr>
      </w:pPr>
      <w:r w:rsidRPr="000C2547">
        <w:rPr>
          <w:rFonts w:ascii="Arial" w:eastAsia="Times New Roman" w:hAnsi="Arial" w:cs="Times New Roman"/>
          <w:b/>
          <w:sz w:val="28"/>
          <w:szCs w:val="28"/>
          <w:lang w:eastAsia="en-AU"/>
        </w:rPr>
        <w:t>CHAPTER 80</w:t>
      </w:r>
      <w:r w:rsidRPr="000C2547">
        <w:rPr>
          <w:rFonts w:ascii="Arial" w:eastAsia="Times New Roman" w:hAnsi="Arial" w:cs="Times New Roman"/>
          <w:b/>
          <w:sz w:val="28"/>
          <w:szCs w:val="28"/>
          <w:lang w:eastAsia="en-AU"/>
        </w:rPr>
        <w:tab/>
        <w:t>AML/CTF Rules relating to certain definitions under the AML/CTF Act – stored value card</w:t>
      </w:r>
    </w:p>
    <w:p w14:paraId="337B8703" w14:textId="77777777" w:rsidR="003905D6" w:rsidRPr="00160C07" w:rsidRDefault="003905D6" w:rsidP="003905D6">
      <w:pPr>
        <w:spacing w:before="240" w:line="240" w:lineRule="auto"/>
        <w:ind w:left="851" w:hanging="851"/>
        <w:rPr>
          <w:rFonts w:eastAsia="Times New Roman" w:cs="Times New Roman"/>
          <w:color w:val="FF0000"/>
          <w:sz w:val="24"/>
          <w:szCs w:val="24"/>
          <w:lang w:eastAsia="en-AU"/>
        </w:rPr>
      </w:pPr>
      <w:r w:rsidRPr="00160C07">
        <w:rPr>
          <w:rFonts w:eastAsia="Times New Roman" w:cs="Times New Roman"/>
          <w:szCs w:val="24"/>
          <w:lang w:eastAsia="en-AU"/>
        </w:rPr>
        <w:t>80.1</w:t>
      </w:r>
      <w:r w:rsidRPr="00160C07">
        <w:rPr>
          <w:rFonts w:eastAsia="Times New Roman" w:cs="Times New Roman"/>
          <w:szCs w:val="24"/>
          <w:lang w:eastAsia="en-AU"/>
        </w:rPr>
        <w:tab/>
      </w:r>
      <w:r w:rsidRPr="00160C07">
        <w:rPr>
          <w:rFonts w:eastAsia="Times New Roman" w:cs="Times New Roman"/>
          <w:sz w:val="24"/>
          <w:szCs w:val="24"/>
          <w:lang w:eastAsia="en-AU"/>
        </w:rPr>
        <w:t xml:space="preserve">These Anti-Money Laundering and Counter-Terrorism Financing Rules are made under section 229 of the </w:t>
      </w:r>
      <w:r w:rsidRPr="00160C07">
        <w:rPr>
          <w:rFonts w:eastAsia="Times New Roman" w:cs="Times New Roman"/>
          <w:i/>
          <w:sz w:val="24"/>
          <w:szCs w:val="24"/>
          <w:lang w:eastAsia="en-AU"/>
        </w:rPr>
        <w:t>Anti-Money Laundering and Counter-Terrorism Financing</w:t>
      </w:r>
      <w:r w:rsidRPr="00160C07">
        <w:rPr>
          <w:rFonts w:eastAsia="Times New Roman" w:cs="Times New Roman"/>
          <w:sz w:val="24"/>
          <w:szCs w:val="24"/>
          <w:lang w:eastAsia="en-AU"/>
        </w:rPr>
        <w:t xml:space="preserve"> </w:t>
      </w:r>
      <w:r w:rsidRPr="00160C07">
        <w:rPr>
          <w:rFonts w:eastAsia="Times New Roman" w:cs="Times New Roman"/>
          <w:i/>
          <w:sz w:val="24"/>
          <w:szCs w:val="24"/>
          <w:lang w:eastAsia="en-AU"/>
        </w:rPr>
        <w:t>Act</w:t>
      </w:r>
      <w:r w:rsidRPr="00160C07">
        <w:rPr>
          <w:rFonts w:eastAsia="Times New Roman" w:cs="Times New Roman"/>
          <w:sz w:val="24"/>
          <w:szCs w:val="24"/>
          <w:lang w:eastAsia="en-AU"/>
        </w:rPr>
        <w:t xml:space="preserve"> </w:t>
      </w:r>
      <w:r w:rsidRPr="00160C07">
        <w:rPr>
          <w:rFonts w:eastAsia="Times New Roman" w:cs="Times New Roman"/>
          <w:i/>
          <w:sz w:val="24"/>
          <w:szCs w:val="24"/>
          <w:lang w:eastAsia="en-AU"/>
        </w:rPr>
        <w:t xml:space="preserve">2006 </w:t>
      </w:r>
      <w:r w:rsidRPr="00160C07">
        <w:rPr>
          <w:rFonts w:eastAsia="Times New Roman" w:cs="Times New Roman"/>
          <w:sz w:val="24"/>
          <w:szCs w:val="24"/>
          <w:lang w:eastAsia="en-AU"/>
        </w:rPr>
        <w:t>(AML/CTF Act) for the purposes of paragraph (f) of the definition of ‘stored value card’ in section 5 of the AML/CTF Act.</w:t>
      </w:r>
    </w:p>
    <w:p w14:paraId="24F73EC1" w14:textId="77777777" w:rsidR="003905D6" w:rsidRPr="00160C07" w:rsidRDefault="003905D6" w:rsidP="003905D6">
      <w:pPr>
        <w:autoSpaceDE w:val="0"/>
        <w:autoSpaceDN w:val="0"/>
        <w:adjustRightInd w:val="0"/>
        <w:spacing w:before="240" w:line="240" w:lineRule="auto"/>
        <w:ind w:left="720" w:hanging="720"/>
        <w:rPr>
          <w:rFonts w:eastAsia="Times New Roman" w:cs="Times New Roman"/>
          <w:b/>
          <w:sz w:val="24"/>
          <w:szCs w:val="24"/>
        </w:rPr>
      </w:pPr>
      <w:bookmarkStart w:id="10" w:name="_Toc511917401"/>
      <w:bookmarkStart w:id="11" w:name="_Toc219540577"/>
      <w:r w:rsidRPr="00160C07">
        <w:rPr>
          <w:rFonts w:eastAsia="Times New Roman" w:cs="Times New Roman"/>
          <w:i/>
          <w:iCs/>
          <w:szCs w:val="24"/>
          <w:lang w:eastAsia="en-AU"/>
        </w:rPr>
        <w:t>Definition of a stored value card</w:t>
      </w:r>
      <w:bookmarkEnd w:id="10"/>
      <w:bookmarkEnd w:id="11"/>
    </w:p>
    <w:p w14:paraId="3C2F4296" w14:textId="77777777" w:rsidR="003905D6" w:rsidRPr="00160C07" w:rsidRDefault="003905D6" w:rsidP="003905D6">
      <w:pPr>
        <w:spacing w:before="240" w:line="240" w:lineRule="auto"/>
        <w:ind w:left="851" w:hanging="851"/>
        <w:rPr>
          <w:rFonts w:eastAsia="Times New Roman" w:cs="Times New Roman"/>
          <w:sz w:val="24"/>
          <w:szCs w:val="24"/>
          <w:lang w:eastAsia="en-AU"/>
        </w:rPr>
      </w:pPr>
      <w:r w:rsidRPr="00160C07">
        <w:rPr>
          <w:rFonts w:eastAsia="Times New Roman" w:cs="Times New Roman"/>
          <w:sz w:val="24"/>
          <w:szCs w:val="24"/>
          <w:lang w:eastAsia="en-AU"/>
        </w:rPr>
        <w:t>80.2</w:t>
      </w:r>
      <w:r w:rsidRPr="00160C07">
        <w:rPr>
          <w:rFonts w:eastAsia="Times New Roman" w:cs="Times New Roman"/>
          <w:sz w:val="24"/>
          <w:szCs w:val="24"/>
          <w:lang w:eastAsia="en-AU"/>
        </w:rPr>
        <w:tab/>
        <w:t xml:space="preserve">For the purposes of paragraph (f) of the definition of ‘stored value card’ in section 5 of the AML/CTF Act, each of the following </w:t>
      </w:r>
      <w:proofErr w:type="gramStart"/>
      <w:r w:rsidRPr="00160C07">
        <w:rPr>
          <w:rFonts w:eastAsia="Times New Roman" w:cs="Times New Roman"/>
          <w:sz w:val="24"/>
          <w:szCs w:val="24"/>
          <w:lang w:eastAsia="en-AU"/>
        </w:rPr>
        <w:t>is prescribed</w:t>
      </w:r>
      <w:proofErr w:type="gramEnd"/>
      <w:r w:rsidRPr="00160C07">
        <w:rPr>
          <w:rFonts w:eastAsia="Times New Roman" w:cs="Times New Roman"/>
          <w:sz w:val="24"/>
          <w:szCs w:val="24"/>
          <w:lang w:eastAsia="en-AU"/>
        </w:rPr>
        <w:t xml:space="preserve"> as a thing that is taken not to be a stored value card:</w:t>
      </w:r>
    </w:p>
    <w:p w14:paraId="7C1A517A" w14:textId="77777777" w:rsidR="003905D6" w:rsidRPr="00160C07" w:rsidRDefault="003905D6" w:rsidP="003905D6">
      <w:pPr>
        <w:autoSpaceDE w:val="0"/>
        <w:autoSpaceDN w:val="0"/>
        <w:adjustRightInd w:val="0"/>
        <w:spacing w:before="240" w:line="240" w:lineRule="auto"/>
        <w:ind w:left="1418" w:hanging="698"/>
        <w:rPr>
          <w:rFonts w:eastAsia="Times New Roman" w:cs="Times New Roman"/>
          <w:sz w:val="24"/>
          <w:szCs w:val="24"/>
          <w:lang w:eastAsia="en-AU"/>
        </w:rPr>
      </w:pPr>
      <w:r w:rsidRPr="00160C07">
        <w:rPr>
          <w:rFonts w:eastAsia="Times New Roman" w:cs="Times New Roman"/>
          <w:sz w:val="24"/>
          <w:szCs w:val="24"/>
          <w:lang w:eastAsia="en-AU"/>
        </w:rPr>
        <w:t>(1)</w:t>
      </w:r>
      <w:r w:rsidRPr="00160C07">
        <w:rPr>
          <w:rFonts w:eastAsia="Times New Roman" w:cs="Times New Roman"/>
          <w:sz w:val="24"/>
          <w:szCs w:val="24"/>
          <w:lang w:eastAsia="en-AU"/>
        </w:rPr>
        <w:tab/>
      </w:r>
      <w:proofErr w:type="gramStart"/>
      <w:r w:rsidRPr="00160C07">
        <w:rPr>
          <w:rFonts w:eastAsia="Times New Roman" w:cs="Times New Roman"/>
          <w:sz w:val="24"/>
          <w:szCs w:val="24"/>
          <w:lang w:eastAsia="en-AU"/>
        </w:rPr>
        <w:t>an</w:t>
      </w:r>
      <w:proofErr w:type="gramEnd"/>
      <w:r w:rsidRPr="00160C07">
        <w:rPr>
          <w:rFonts w:eastAsia="Times New Roman" w:cs="Times New Roman"/>
          <w:sz w:val="24"/>
          <w:szCs w:val="24"/>
          <w:lang w:eastAsia="en-AU"/>
        </w:rPr>
        <w:t xml:space="preserve"> account;  </w:t>
      </w:r>
    </w:p>
    <w:p w14:paraId="18B49F1F" w14:textId="77777777" w:rsidR="003905D6" w:rsidRPr="00160C07" w:rsidRDefault="003905D6" w:rsidP="003905D6">
      <w:pPr>
        <w:autoSpaceDE w:val="0"/>
        <w:autoSpaceDN w:val="0"/>
        <w:adjustRightInd w:val="0"/>
        <w:spacing w:before="240" w:line="240" w:lineRule="auto"/>
        <w:ind w:left="1418" w:hanging="698"/>
        <w:rPr>
          <w:rFonts w:eastAsia="Times New Roman" w:cs="Times New Roman"/>
          <w:sz w:val="24"/>
          <w:szCs w:val="24"/>
          <w:lang w:eastAsia="en-AU"/>
        </w:rPr>
      </w:pPr>
      <w:r w:rsidRPr="00160C07">
        <w:rPr>
          <w:rFonts w:eastAsia="Times New Roman" w:cs="Times New Roman"/>
          <w:sz w:val="24"/>
          <w:szCs w:val="24"/>
          <w:lang w:eastAsia="en-AU"/>
        </w:rPr>
        <w:t>(2)</w:t>
      </w:r>
      <w:r w:rsidRPr="00160C07">
        <w:rPr>
          <w:rFonts w:eastAsia="Times New Roman" w:cs="Times New Roman"/>
          <w:sz w:val="24"/>
          <w:szCs w:val="24"/>
          <w:lang w:eastAsia="en-AU"/>
        </w:rPr>
        <w:tab/>
      </w:r>
      <w:proofErr w:type="gramStart"/>
      <w:r w:rsidRPr="00160C07">
        <w:rPr>
          <w:rFonts w:eastAsia="Times New Roman" w:cs="Times New Roman"/>
          <w:sz w:val="24"/>
          <w:szCs w:val="24"/>
          <w:lang w:eastAsia="en-AU"/>
        </w:rPr>
        <w:t>a</w:t>
      </w:r>
      <w:proofErr w:type="gramEnd"/>
      <w:r w:rsidRPr="00160C07">
        <w:rPr>
          <w:rFonts w:eastAsia="Times New Roman" w:cs="Times New Roman"/>
          <w:sz w:val="24"/>
          <w:szCs w:val="24"/>
          <w:lang w:eastAsia="en-AU"/>
        </w:rPr>
        <w:t xml:space="preserve"> card or other instrument that is only used for the purposes of storing monetary value, or accessing monetary value, in relation to: </w:t>
      </w:r>
    </w:p>
    <w:p w14:paraId="64492E05" w14:textId="77777777" w:rsidR="003905D6" w:rsidRPr="00160C07" w:rsidRDefault="003905D6" w:rsidP="003905D6">
      <w:pPr>
        <w:autoSpaceDE w:val="0"/>
        <w:autoSpaceDN w:val="0"/>
        <w:adjustRightInd w:val="0"/>
        <w:spacing w:before="240" w:line="240" w:lineRule="auto"/>
        <w:ind w:left="1418"/>
        <w:rPr>
          <w:rFonts w:eastAsia="Times New Roman" w:cs="Times New Roman"/>
          <w:sz w:val="24"/>
          <w:szCs w:val="24"/>
          <w:lang w:eastAsia="en-AU"/>
        </w:rPr>
      </w:pPr>
      <w:r w:rsidRPr="00160C07">
        <w:rPr>
          <w:rFonts w:eastAsia="Times New Roman" w:cs="Times New Roman"/>
          <w:sz w:val="24"/>
          <w:szCs w:val="24"/>
          <w:lang w:eastAsia="en-AU"/>
        </w:rPr>
        <w:t xml:space="preserve">(a) </w:t>
      </w:r>
      <w:proofErr w:type="gramStart"/>
      <w:r w:rsidRPr="00160C07">
        <w:rPr>
          <w:rFonts w:eastAsia="Times New Roman" w:cs="Times New Roman"/>
          <w:sz w:val="24"/>
          <w:szCs w:val="24"/>
          <w:lang w:eastAsia="en-AU"/>
        </w:rPr>
        <w:t>purchasing</w:t>
      </w:r>
      <w:proofErr w:type="gramEnd"/>
      <w:r w:rsidRPr="00160C07">
        <w:rPr>
          <w:rFonts w:eastAsia="Times New Roman" w:cs="Times New Roman"/>
          <w:sz w:val="24"/>
          <w:szCs w:val="24"/>
          <w:lang w:eastAsia="en-AU"/>
        </w:rPr>
        <w:t xml:space="preserve"> an entry into a lottery; or</w:t>
      </w:r>
    </w:p>
    <w:p w14:paraId="667753C6" w14:textId="56853F0E" w:rsidR="003905D6" w:rsidRDefault="003905D6" w:rsidP="003905D6">
      <w:pPr>
        <w:autoSpaceDE w:val="0"/>
        <w:autoSpaceDN w:val="0"/>
        <w:adjustRightInd w:val="0"/>
        <w:spacing w:before="240" w:line="240" w:lineRule="auto"/>
        <w:ind w:left="1418"/>
        <w:rPr>
          <w:rFonts w:eastAsia="Times New Roman" w:cs="Times New Roman"/>
          <w:sz w:val="24"/>
          <w:szCs w:val="24"/>
          <w:lang w:eastAsia="en-AU"/>
        </w:rPr>
      </w:pPr>
      <w:r w:rsidRPr="00160C07">
        <w:rPr>
          <w:rFonts w:eastAsia="Times New Roman" w:cs="Times New Roman"/>
          <w:sz w:val="24"/>
          <w:szCs w:val="24"/>
          <w:lang w:eastAsia="en-AU"/>
        </w:rPr>
        <w:t xml:space="preserve">(b) </w:t>
      </w:r>
      <w:proofErr w:type="gramStart"/>
      <w:r w:rsidRPr="00160C07">
        <w:rPr>
          <w:rFonts w:eastAsia="Times New Roman" w:cs="Times New Roman"/>
          <w:sz w:val="24"/>
          <w:szCs w:val="24"/>
          <w:lang w:eastAsia="en-AU"/>
        </w:rPr>
        <w:t>redeeming</w:t>
      </w:r>
      <w:proofErr w:type="gramEnd"/>
      <w:r w:rsidRPr="00160C07">
        <w:rPr>
          <w:rFonts w:eastAsia="Times New Roman" w:cs="Times New Roman"/>
          <w:sz w:val="24"/>
          <w:szCs w:val="24"/>
          <w:lang w:eastAsia="en-AU"/>
        </w:rPr>
        <w:t xml:space="preserve"> winnings in respect of a lottery.</w:t>
      </w:r>
    </w:p>
    <w:p w14:paraId="582CEBD4" w14:textId="0CF5DB4E" w:rsidR="00506F80" w:rsidRDefault="00506F80" w:rsidP="00506F80">
      <w:pPr>
        <w:autoSpaceDE w:val="0"/>
        <w:autoSpaceDN w:val="0"/>
        <w:adjustRightInd w:val="0"/>
        <w:spacing w:before="240" w:line="240" w:lineRule="auto"/>
        <w:rPr>
          <w:rFonts w:eastAsia="Times New Roman" w:cs="Times New Roman"/>
          <w:sz w:val="24"/>
          <w:szCs w:val="24"/>
          <w:lang w:eastAsia="en-AU"/>
        </w:rPr>
      </w:pPr>
    </w:p>
    <w:p w14:paraId="21F2C929" w14:textId="0FAED936" w:rsidR="00BF048B" w:rsidRDefault="00D13544" w:rsidP="00506F80">
      <w:pPr>
        <w:pStyle w:val="ItemHead"/>
      </w:pPr>
      <w:proofErr w:type="gramStart"/>
      <w:r>
        <w:t>3</w:t>
      </w:r>
      <w:r w:rsidR="00506F80">
        <w:t xml:space="preserve">  Chapter</w:t>
      </w:r>
      <w:proofErr w:type="gramEnd"/>
      <w:r w:rsidR="00506F80">
        <w:t xml:space="preserve"> 48</w:t>
      </w:r>
    </w:p>
    <w:p w14:paraId="468A1D06" w14:textId="77777777" w:rsidR="00D13544" w:rsidRPr="00E67E49" w:rsidRDefault="00D13544" w:rsidP="00A10139">
      <w:pPr>
        <w:spacing w:before="120" w:after="120" w:line="276" w:lineRule="auto"/>
        <w:ind w:left="720" w:hanging="11"/>
        <w:rPr>
          <w:rFonts w:eastAsia="Times New Roman" w:cs="Times New Roman"/>
          <w:sz w:val="24"/>
          <w:szCs w:val="22"/>
        </w:rPr>
      </w:pPr>
      <w:r w:rsidRPr="00E67E49">
        <w:rPr>
          <w:rFonts w:eastAsia="Times New Roman" w:cs="Times New Roman"/>
          <w:sz w:val="24"/>
          <w:szCs w:val="22"/>
        </w:rPr>
        <w:t xml:space="preserve">For paragraph 48.3(1) of Chapter 48, </w:t>
      </w:r>
      <w:r w:rsidRPr="00E67E49">
        <w:rPr>
          <w:rFonts w:eastAsia="Times New Roman" w:cs="Times New Roman"/>
          <w:i/>
          <w:sz w:val="24"/>
          <w:szCs w:val="22"/>
        </w:rPr>
        <w:t>substitute:</w:t>
      </w:r>
    </w:p>
    <w:p w14:paraId="3B884B91" w14:textId="77777777" w:rsidR="00D13544" w:rsidRPr="00E67E49" w:rsidRDefault="00D13544" w:rsidP="00D13544">
      <w:pPr>
        <w:tabs>
          <w:tab w:val="left" w:pos="709"/>
        </w:tabs>
        <w:spacing w:before="120" w:after="120" w:line="276" w:lineRule="auto"/>
        <w:ind w:left="1800" w:hanging="1800"/>
        <w:rPr>
          <w:rFonts w:eastAsia="Times New Roman" w:cs="Times New Roman"/>
          <w:sz w:val="24"/>
          <w:szCs w:val="22"/>
        </w:rPr>
      </w:pPr>
      <w:r w:rsidRPr="00E67E49">
        <w:rPr>
          <w:rFonts w:eastAsia="Times New Roman" w:cs="Times New Roman"/>
          <w:sz w:val="24"/>
          <w:szCs w:val="22"/>
        </w:rPr>
        <w:tab/>
        <w:t>(1)</w:t>
      </w:r>
      <w:r w:rsidRPr="00E67E49">
        <w:rPr>
          <w:rFonts w:eastAsia="Times New Roman" w:cs="Times New Roman"/>
          <w:sz w:val="24"/>
          <w:szCs w:val="22"/>
        </w:rPr>
        <w:tab/>
        <w:t xml:space="preserve">is carrying on a business of providing administrative services relevant to salary packaging, payroll, or superannuation clearance for an employer client, and </w:t>
      </w:r>
    </w:p>
    <w:p w14:paraId="5F23AC2F" w14:textId="36258050" w:rsidR="00A10139" w:rsidRPr="00A10139" w:rsidRDefault="00A10139" w:rsidP="00A10139">
      <w:pPr>
        <w:pStyle w:val="ItemHead"/>
      </w:pPr>
      <w:proofErr w:type="gramStart"/>
      <w:r>
        <w:t>4  Chapter</w:t>
      </w:r>
      <w:proofErr w:type="gramEnd"/>
      <w:r>
        <w:t xml:space="preserve"> 48</w:t>
      </w:r>
    </w:p>
    <w:p w14:paraId="76C7D217" w14:textId="7AB1C8FB" w:rsidR="00D13544" w:rsidRPr="00A10139" w:rsidRDefault="00D13544" w:rsidP="00A10139">
      <w:pPr>
        <w:spacing w:before="120" w:after="120" w:line="276" w:lineRule="auto"/>
        <w:ind w:left="720" w:hanging="11"/>
        <w:rPr>
          <w:rFonts w:eastAsia="Times New Roman" w:cs="Times New Roman"/>
          <w:sz w:val="24"/>
          <w:szCs w:val="22"/>
        </w:rPr>
      </w:pPr>
      <w:r w:rsidRPr="00E67E49">
        <w:rPr>
          <w:rFonts w:eastAsia="Times New Roman" w:cs="Times New Roman"/>
          <w:sz w:val="24"/>
          <w:szCs w:val="22"/>
        </w:rPr>
        <w:t xml:space="preserve">For paragraph 48.4 of Chapter 48: </w:t>
      </w:r>
      <w:r w:rsidRPr="00A10139">
        <w:rPr>
          <w:rFonts w:eastAsia="Times New Roman" w:cs="Times New Roman"/>
          <w:i/>
          <w:sz w:val="24"/>
          <w:szCs w:val="22"/>
        </w:rPr>
        <w:t>substitute:</w:t>
      </w:r>
    </w:p>
    <w:p w14:paraId="6AD3A314" w14:textId="3BE8AFFB" w:rsidR="00D13544" w:rsidRPr="00E67E49" w:rsidRDefault="00D13544" w:rsidP="00D13544">
      <w:pPr>
        <w:tabs>
          <w:tab w:val="left" w:pos="709"/>
        </w:tabs>
        <w:spacing w:before="120" w:after="120" w:line="276" w:lineRule="auto"/>
        <w:ind w:left="1800" w:hanging="1800"/>
        <w:rPr>
          <w:rFonts w:eastAsia="Times New Roman" w:cs="Times New Roman"/>
          <w:sz w:val="24"/>
          <w:szCs w:val="22"/>
        </w:rPr>
      </w:pPr>
      <w:proofErr w:type="gramStart"/>
      <w:r>
        <w:rPr>
          <w:rFonts w:eastAsia="Times New Roman" w:cs="Times New Roman"/>
          <w:sz w:val="24"/>
          <w:szCs w:val="22"/>
        </w:rPr>
        <w:t>48.4</w:t>
      </w:r>
      <w:proofErr w:type="gramEnd"/>
      <w:r>
        <w:rPr>
          <w:rFonts w:eastAsia="Times New Roman" w:cs="Times New Roman"/>
          <w:sz w:val="24"/>
          <w:szCs w:val="22"/>
        </w:rPr>
        <w:tab/>
      </w:r>
      <w:r w:rsidRPr="00E67E49">
        <w:rPr>
          <w:rFonts w:eastAsia="Times New Roman" w:cs="Times New Roman"/>
          <w:sz w:val="24"/>
          <w:szCs w:val="22"/>
        </w:rPr>
        <w:t>In this Chapter:</w:t>
      </w:r>
    </w:p>
    <w:p w14:paraId="542437AA" w14:textId="77777777" w:rsidR="00D13544" w:rsidRPr="00E67E49" w:rsidRDefault="00D13544" w:rsidP="00D13544">
      <w:pPr>
        <w:tabs>
          <w:tab w:val="left" w:pos="709"/>
        </w:tabs>
        <w:spacing w:before="120" w:after="120" w:line="276" w:lineRule="auto"/>
        <w:ind w:left="1800" w:hanging="1800"/>
        <w:rPr>
          <w:rFonts w:eastAsia="Times New Roman" w:cs="Times New Roman"/>
          <w:sz w:val="24"/>
          <w:szCs w:val="22"/>
        </w:rPr>
      </w:pPr>
      <w:r w:rsidRPr="00E67E49">
        <w:rPr>
          <w:rFonts w:eastAsia="Times New Roman" w:cs="Times New Roman"/>
          <w:sz w:val="24"/>
          <w:szCs w:val="22"/>
        </w:rPr>
        <w:tab/>
        <w:t>(1)</w:t>
      </w:r>
      <w:r>
        <w:rPr>
          <w:rFonts w:eastAsia="Times New Roman" w:cs="Times New Roman"/>
          <w:sz w:val="24"/>
          <w:szCs w:val="22"/>
        </w:rPr>
        <w:tab/>
      </w:r>
      <w:r w:rsidRPr="00E67E49">
        <w:rPr>
          <w:rFonts w:eastAsia="Times New Roman" w:cs="Times New Roman"/>
          <w:sz w:val="24"/>
          <w:szCs w:val="22"/>
        </w:rPr>
        <w:t>‘</w:t>
      </w:r>
      <w:proofErr w:type="gramStart"/>
      <w:r w:rsidRPr="00E67E49">
        <w:rPr>
          <w:rFonts w:eastAsia="Times New Roman" w:cs="Times New Roman"/>
          <w:sz w:val="24"/>
          <w:szCs w:val="22"/>
        </w:rPr>
        <w:t>payroll</w:t>
      </w:r>
      <w:proofErr w:type="gramEnd"/>
      <w:r w:rsidRPr="00E67E49">
        <w:rPr>
          <w:rFonts w:eastAsia="Times New Roman" w:cs="Times New Roman"/>
          <w:sz w:val="24"/>
          <w:szCs w:val="22"/>
        </w:rPr>
        <w:t>’ refers to the payment of salary, wages, and other benefits to an employee on behalf of an employer client. It also includes making deductions and payments on behalf of the employee for matters such as superannuation contributions, taxation and professional and union membership fees.</w:t>
      </w:r>
    </w:p>
    <w:p w14:paraId="0C786946" w14:textId="77777777" w:rsidR="00D13544" w:rsidRPr="00E67E49" w:rsidRDefault="00D13544" w:rsidP="00D13544">
      <w:pPr>
        <w:tabs>
          <w:tab w:val="left" w:pos="709"/>
        </w:tabs>
        <w:spacing w:before="120" w:after="120" w:line="276" w:lineRule="auto"/>
        <w:ind w:left="1800" w:hanging="1800"/>
        <w:rPr>
          <w:rFonts w:eastAsia="Times New Roman" w:cs="Times New Roman"/>
          <w:sz w:val="24"/>
          <w:szCs w:val="22"/>
        </w:rPr>
      </w:pPr>
      <w:r w:rsidRPr="00E67E49">
        <w:rPr>
          <w:rFonts w:eastAsia="Times New Roman" w:cs="Times New Roman"/>
          <w:sz w:val="24"/>
          <w:szCs w:val="22"/>
        </w:rPr>
        <w:lastRenderedPageBreak/>
        <w:tab/>
        <w:t>(2)</w:t>
      </w:r>
      <w:r w:rsidRPr="00E67E49">
        <w:rPr>
          <w:rFonts w:eastAsia="Times New Roman" w:cs="Times New Roman"/>
          <w:sz w:val="24"/>
          <w:szCs w:val="22"/>
        </w:rPr>
        <w:tab/>
        <w:t>‘salary packaging’ refers to an arrangement between an employer and an employee, whereby the employee agrees to forgo part of their future entitlement to salary or wages in return for the employer providing them with benefits of a similar cost.</w:t>
      </w:r>
    </w:p>
    <w:p w14:paraId="100F54A4" w14:textId="026B6738" w:rsidR="00506F80" w:rsidRPr="00D13544" w:rsidRDefault="00D13544" w:rsidP="00D13544">
      <w:pPr>
        <w:tabs>
          <w:tab w:val="left" w:pos="709"/>
        </w:tabs>
        <w:spacing w:before="120" w:after="120" w:line="276" w:lineRule="auto"/>
        <w:ind w:left="1800" w:hanging="1800"/>
        <w:rPr>
          <w:rFonts w:eastAsia="Times New Roman" w:cs="Times New Roman"/>
          <w:sz w:val="24"/>
          <w:szCs w:val="22"/>
        </w:rPr>
      </w:pPr>
      <w:r w:rsidRPr="00E67E49">
        <w:rPr>
          <w:rFonts w:eastAsia="Times New Roman" w:cs="Times New Roman"/>
          <w:sz w:val="24"/>
          <w:szCs w:val="22"/>
        </w:rPr>
        <w:tab/>
        <w:t>(3)</w:t>
      </w:r>
      <w:r w:rsidRPr="00E67E49">
        <w:rPr>
          <w:rFonts w:eastAsia="Times New Roman" w:cs="Times New Roman"/>
          <w:sz w:val="24"/>
          <w:szCs w:val="22"/>
        </w:rPr>
        <w:tab/>
        <w:t>‘</w:t>
      </w:r>
      <w:proofErr w:type="gramStart"/>
      <w:r w:rsidRPr="00E67E49">
        <w:rPr>
          <w:rFonts w:eastAsia="Times New Roman" w:cs="Times New Roman"/>
          <w:sz w:val="24"/>
          <w:szCs w:val="22"/>
        </w:rPr>
        <w:t>superannuation</w:t>
      </w:r>
      <w:proofErr w:type="gramEnd"/>
      <w:r w:rsidRPr="00E67E49">
        <w:rPr>
          <w:rFonts w:eastAsia="Times New Roman" w:cs="Times New Roman"/>
          <w:sz w:val="24"/>
          <w:szCs w:val="22"/>
        </w:rPr>
        <w:t xml:space="preserve"> clearance’ refers to the payment of superannuation contributions to an employee’s nominated superannuation fund on behalf of an employer client.</w:t>
      </w:r>
    </w:p>
    <w:p w14:paraId="4429A5A0" w14:textId="77777777" w:rsidR="00506F80" w:rsidRPr="00506F80" w:rsidRDefault="00506F80" w:rsidP="00506F80">
      <w:pPr>
        <w:pStyle w:val="Item"/>
      </w:pPr>
    </w:p>
    <w:sectPr w:rsidR="00506F80" w:rsidRPr="00506F80" w:rsidSect="00B20990">
      <w:headerReference w:type="even" r:id="rId20"/>
      <w:headerReference w:type="default" r:id="rId21"/>
      <w:footerReference w:type="even" r:id="rId22"/>
      <w:footerReference w:type="default" r:id="rId23"/>
      <w:headerReference w:type="first" r:id="rId24"/>
      <w:footerReference w:type="first" r:id="rId25"/>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70F3" w14:textId="77777777" w:rsidR="00C53A3C" w:rsidRDefault="00C53A3C" w:rsidP="0048364F">
      <w:pPr>
        <w:spacing w:line="240" w:lineRule="auto"/>
      </w:pPr>
      <w:r>
        <w:separator/>
      </w:r>
    </w:p>
  </w:endnote>
  <w:endnote w:type="continuationSeparator" w:id="0">
    <w:p w14:paraId="3269AF15" w14:textId="77777777" w:rsidR="00C53A3C" w:rsidRDefault="00C53A3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E77B7" w14:paraId="126C0455" w14:textId="77777777" w:rsidTr="00BE77B7">
      <w:tc>
        <w:tcPr>
          <w:tcW w:w="5000" w:type="pct"/>
        </w:tcPr>
        <w:p w14:paraId="30E9BFB3" w14:textId="77777777" w:rsidR="00BE77B7" w:rsidRDefault="00BE77B7" w:rsidP="00BE77B7">
          <w:pPr>
            <w:rPr>
              <w:sz w:val="18"/>
            </w:rPr>
          </w:pPr>
        </w:p>
      </w:tc>
    </w:tr>
  </w:tbl>
  <w:p w14:paraId="54EEDD3C" w14:textId="77777777" w:rsidR="00BE77B7" w:rsidRPr="005F1388" w:rsidRDefault="00BE77B7"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E77B7" w14:paraId="62EE061D" w14:textId="77777777" w:rsidTr="00BE77B7">
      <w:tc>
        <w:tcPr>
          <w:tcW w:w="5000" w:type="pct"/>
        </w:tcPr>
        <w:p w14:paraId="1EC0BBB6" w14:textId="77777777" w:rsidR="00BE77B7" w:rsidRDefault="00BE77B7" w:rsidP="00BE77B7">
          <w:pPr>
            <w:rPr>
              <w:sz w:val="18"/>
            </w:rPr>
          </w:pPr>
        </w:p>
      </w:tc>
    </w:tr>
  </w:tbl>
  <w:p w14:paraId="606D6DEF" w14:textId="77777777" w:rsidR="00BE77B7" w:rsidRPr="006D3667" w:rsidRDefault="00BE77B7" w:rsidP="00BE7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E2DC" w14:textId="77777777" w:rsidR="00BE77B7" w:rsidRDefault="00BE77B7" w:rsidP="00BE77B7">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E77B7" w14:paraId="0C5B4D95" w14:textId="77777777" w:rsidTr="00BE77B7">
      <w:tc>
        <w:tcPr>
          <w:tcW w:w="5000" w:type="pct"/>
        </w:tcPr>
        <w:p w14:paraId="06F1FBF3" w14:textId="77777777" w:rsidR="00BE77B7" w:rsidRDefault="00BE77B7" w:rsidP="00BE77B7">
          <w:pPr>
            <w:rPr>
              <w:sz w:val="18"/>
            </w:rPr>
          </w:pPr>
        </w:p>
      </w:tc>
    </w:tr>
  </w:tbl>
  <w:p w14:paraId="25BBF85D" w14:textId="77777777" w:rsidR="00BE77B7" w:rsidRPr="00486382" w:rsidRDefault="00BE77B7"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7665" w14:textId="77777777" w:rsidR="00BE77B7" w:rsidRPr="00E33C1C" w:rsidRDefault="00BE77B7" w:rsidP="00BE77B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E77B7" w14:paraId="1C4A6CBD" w14:textId="77777777" w:rsidTr="00BE77B7">
      <w:tc>
        <w:tcPr>
          <w:tcW w:w="365" w:type="pct"/>
          <w:tcBorders>
            <w:top w:val="nil"/>
            <w:left w:val="nil"/>
            <w:bottom w:val="nil"/>
            <w:right w:val="nil"/>
          </w:tcBorders>
        </w:tcPr>
        <w:p w14:paraId="564FC194" w14:textId="77777777" w:rsidR="00BE77B7" w:rsidRDefault="00BE77B7" w:rsidP="00BE77B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4CC23025" w14:textId="597444F2" w:rsidR="00BE77B7" w:rsidRDefault="00BE77B7" w:rsidP="00BE77B7">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75DB0">
            <w:rPr>
              <w:i/>
              <w:noProof/>
              <w:sz w:val="18"/>
            </w:rPr>
            <w:t>Anti-Money Laundering and Counter-Terrorism Financing Rules Amendment Instrument 2021 (No. 1)</w:t>
          </w:r>
          <w:r w:rsidRPr="00B20990">
            <w:rPr>
              <w:i/>
              <w:sz w:val="18"/>
            </w:rPr>
            <w:fldChar w:fldCharType="end"/>
          </w:r>
        </w:p>
      </w:tc>
      <w:tc>
        <w:tcPr>
          <w:tcW w:w="947" w:type="pct"/>
          <w:tcBorders>
            <w:top w:val="nil"/>
            <w:left w:val="nil"/>
            <w:bottom w:val="nil"/>
            <w:right w:val="nil"/>
          </w:tcBorders>
        </w:tcPr>
        <w:p w14:paraId="50BDCC10" w14:textId="77777777" w:rsidR="00BE77B7" w:rsidRDefault="00BE77B7" w:rsidP="00BE77B7">
          <w:pPr>
            <w:spacing w:line="0" w:lineRule="atLeast"/>
            <w:jc w:val="right"/>
            <w:rPr>
              <w:sz w:val="18"/>
            </w:rPr>
          </w:pPr>
        </w:p>
      </w:tc>
    </w:tr>
    <w:tr w:rsidR="00BE77B7" w14:paraId="4D301D11" w14:textId="77777777" w:rsidTr="00BE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E3A49DA" w14:textId="77777777" w:rsidR="00BE77B7" w:rsidRDefault="00BE77B7" w:rsidP="00BE77B7">
          <w:pPr>
            <w:jc w:val="right"/>
            <w:rPr>
              <w:sz w:val="18"/>
            </w:rPr>
          </w:pPr>
        </w:p>
      </w:tc>
    </w:tr>
  </w:tbl>
  <w:p w14:paraId="49D7EC2B" w14:textId="77777777" w:rsidR="00BE77B7" w:rsidRPr="00ED79B6" w:rsidRDefault="00BE77B7" w:rsidP="00BE77B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732B" w14:textId="77777777" w:rsidR="00BE77B7" w:rsidRPr="00E33C1C" w:rsidRDefault="00BE77B7" w:rsidP="00BE77B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E77B7" w14:paraId="6F6869F8" w14:textId="77777777" w:rsidTr="00BE77B7">
      <w:tc>
        <w:tcPr>
          <w:tcW w:w="947" w:type="pct"/>
          <w:tcBorders>
            <w:top w:val="nil"/>
            <w:left w:val="nil"/>
            <w:bottom w:val="nil"/>
            <w:right w:val="nil"/>
          </w:tcBorders>
        </w:tcPr>
        <w:p w14:paraId="2D181F0D" w14:textId="77777777" w:rsidR="00BE77B7" w:rsidRDefault="00BE77B7" w:rsidP="00BE77B7">
          <w:pPr>
            <w:spacing w:line="0" w:lineRule="atLeast"/>
            <w:rPr>
              <w:sz w:val="18"/>
            </w:rPr>
          </w:pPr>
        </w:p>
      </w:tc>
      <w:tc>
        <w:tcPr>
          <w:tcW w:w="3688" w:type="pct"/>
          <w:tcBorders>
            <w:top w:val="nil"/>
            <w:left w:val="nil"/>
            <w:bottom w:val="nil"/>
            <w:right w:val="nil"/>
          </w:tcBorders>
        </w:tcPr>
        <w:p w14:paraId="116BF4D1" w14:textId="7A7659B3" w:rsidR="00BE77B7" w:rsidRPr="00B20990" w:rsidRDefault="00BE77B7" w:rsidP="00BE77B7">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6638C">
            <w:rPr>
              <w:i/>
              <w:noProof/>
              <w:sz w:val="18"/>
            </w:rPr>
            <w:t>Anti-Money Laundering and Counter-Terrorism Financing Rules Amendment Instrument 2021 (No. 3)</w:t>
          </w:r>
          <w:r w:rsidRPr="00B20990">
            <w:rPr>
              <w:i/>
              <w:sz w:val="18"/>
            </w:rPr>
            <w:fldChar w:fldCharType="end"/>
          </w:r>
        </w:p>
      </w:tc>
      <w:tc>
        <w:tcPr>
          <w:tcW w:w="365" w:type="pct"/>
          <w:tcBorders>
            <w:top w:val="nil"/>
            <w:left w:val="nil"/>
            <w:bottom w:val="nil"/>
            <w:right w:val="nil"/>
          </w:tcBorders>
        </w:tcPr>
        <w:p w14:paraId="759BA727" w14:textId="5109FF63" w:rsidR="00BE77B7" w:rsidRDefault="00BE77B7" w:rsidP="00BE77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638C">
            <w:rPr>
              <w:i/>
              <w:noProof/>
              <w:sz w:val="18"/>
            </w:rPr>
            <w:t>i</w:t>
          </w:r>
          <w:r w:rsidRPr="00ED79B6">
            <w:rPr>
              <w:i/>
              <w:sz w:val="18"/>
            </w:rPr>
            <w:fldChar w:fldCharType="end"/>
          </w:r>
        </w:p>
      </w:tc>
    </w:tr>
    <w:tr w:rsidR="00BE77B7" w14:paraId="4F839C9A" w14:textId="77777777" w:rsidTr="00BE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3B63107" w14:textId="77777777" w:rsidR="00BE77B7" w:rsidRDefault="00BE77B7" w:rsidP="00BE77B7">
          <w:pPr>
            <w:rPr>
              <w:sz w:val="18"/>
            </w:rPr>
          </w:pPr>
        </w:p>
      </w:tc>
    </w:tr>
  </w:tbl>
  <w:p w14:paraId="071BAF98" w14:textId="77777777" w:rsidR="00BE77B7" w:rsidRPr="00ED79B6" w:rsidRDefault="00BE77B7" w:rsidP="00BE77B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EE2F" w14:textId="77777777" w:rsidR="00BE77B7" w:rsidRPr="00E33C1C" w:rsidRDefault="00BE77B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E77B7" w14:paraId="2F7E02B0" w14:textId="77777777" w:rsidTr="007A6863">
      <w:tc>
        <w:tcPr>
          <w:tcW w:w="709" w:type="dxa"/>
          <w:tcBorders>
            <w:top w:val="nil"/>
            <w:left w:val="nil"/>
            <w:bottom w:val="nil"/>
            <w:right w:val="nil"/>
          </w:tcBorders>
        </w:tcPr>
        <w:p w14:paraId="63413D8A" w14:textId="6D27B462" w:rsidR="00BE77B7" w:rsidRDefault="00BE77B7"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638C">
            <w:rPr>
              <w:i/>
              <w:noProof/>
              <w:sz w:val="18"/>
            </w:rPr>
            <w:t>4</w:t>
          </w:r>
          <w:r w:rsidRPr="00ED79B6">
            <w:rPr>
              <w:i/>
              <w:sz w:val="18"/>
            </w:rPr>
            <w:fldChar w:fldCharType="end"/>
          </w:r>
        </w:p>
      </w:tc>
      <w:tc>
        <w:tcPr>
          <w:tcW w:w="6379" w:type="dxa"/>
          <w:tcBorders>
            <w:top w:val="nil"/>
            <w:left w:val="nil"/>
            <w:bottom w:val="nil"/>
            <w:right w:val="nil"/>
          </w:tcBorders>
        </w:tcPr>
        <w:p w14:paraId="58E2C760" w14:textId="60221922" w:rsidR="00BE77B7" w:rsidRDefault="00BE77B7"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6638C">
            <w:rPr>
              <w:i/>
              <w:noProof/>
              <w:sz w:val="18"/>
            </w:rPr>
            <w:t>Anti-Money Laundering and Counter-Terrorism Financing Rules Amendment Instrument 2021 (No. 3)</w:t>
          </w:r>
          <w:r w:rsidRPr="00B20990">
            <w:rPr>
              <w:i/>
              <w:sz w:val="18"/>
            </w:rPr>
            <w:fldChar w:fldCharType="end"/>
          </w:r>
        </w:p>
      </w:tc>
      <w:tc>
        <w:tcPr>
          <w:tcW w:w="1383" w:type="dxa"/>
          <w:tcBorders>
            <w:top w:val="nil"/>
            <w:left w:val="nil"/>
            <w:bottom w:val="nil"/>
            <w:right w:val="nil"/>
          </w:tcBorders>
        </w:tcPr>
        <w:p w14:paraId="0F078B77" w14:textId="77777777" w:rsidR="00BE77B7" w:rsidRDefault="00BE77B7" w:rsidP="00EE57E8">
          <w:pPr>
            <w:spacing w:line="0" w:lineRule="atLeast"/>
            <w:jc w:val="right"/>
            <w:rPr>
              <w:sz w:val="18"/>
            </w:rPr>
          </w:pPr>
        </w:p>
      </w:tc>
    </w:tr>
    <w:tr w:rsidR="00BE77B7" w14:paraId="18168451"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039E518" w14:textId="77777777" w:rsidR="00BE77B7" w:rsidRDefault="00BE77B7" w:rsidP="00EE57E8">
          <w:pPr>
            <w:jc w:val="right"/>
            <w:rPr>
              <w:sz w:val="18"/>
            </w:rPr>
          </w:pPr>
        </w:p>
      </w:tc>
    </w:tr>
  </w:tbl>
  <w:p w14:paraId="32DECC8D" w14:textId="77777777" w:rsidR="00BE77B7" w:rsidRPr="00ED79B6" w:rsidRDefault="00BE77B7"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80D7" w14:textId="77777777" w:rsidR="00BE77B7" w:rsidRPr="00E33C1C" w:rsidRDefault="00BE77B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E77B7" w14:paraId="3A3C0C34" w14:textId="77777777" w:rsidTr="00EE57E8">
      <w:tc>
        <w:tcPr>
          <w:tcW w:w="1384" w:type="dxa"/>
          <w:tcBorders>
            <w:top w:val="nil"/>
            <w:left w:val="nil"/>
            <w:bottom w:val="nil"/>
            <w:right w:val="nil"/>
          </w:tcBorders>
        </w:tcPr>
        <w:p w14:paraId="3BFF8E93" w14:textId="77777777" w:rsidR="00BE77B7" w:rsidRDefault="00BE77B7" w:rsidP="00EE57E8">
          <w:pPr>
            <w:spacing w:line="0" w:lineRule="atLeast"/>
            <w:rPr>
              <w:sz w:val="18"/>
            </w:rPr>
          </w:pPr>
        </w:p>
      </w:tc>
      <w:tc>
        <w:tcPr>
          <w:tcW w:w="6379" w:type="dxa"/>
          <w:tcBorders>
            <w:top w:val="nil"/>
            <w:left w:val="nil"/>
            <w:bottom w:val="nil"/>
            <w:right w:val="nil"/>
          </w:tcBorders>
        </w:tcPr>
        <w:p w14:paraId="560D6868" w14:textId="33A70462" w:rsidR="00BE77B7" w:rsidRDefault="00BE77B7"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6638C">
            <w:rPr>
              <w:i/>
              <w:noProof/>
              <w:sz w:val="18"/>
            </w:rPr>
            <w:t>Anti-Money Laundering and Counter-Terrorism Financing Rules Amendment Instrument 2021 (No. 3)</w:t>
          </w:r>
          <w:r w:rsidRPr="00B20990">
            <w:rPr>
              <w:i/>
              <w:sz w:val="18"/>
            </w:rPr>
            <w:fldChar w:fldCharType="end"/>
          </w:r>
        </w:p>
      </w:tc>
      <w:tc>
        <w:tcPr>
          <w:tcW w:w="709" w:type="dxa"/>
          <w:tcBorders>
            <w:top w:val="nil"/>
            <w:left w:val="nil"/>
            <w:bottom w:val="nil"/>
            <w:right w:val="nil"/>
          </w:tcBorders>
        </w:tcPr>
        <w:p w14:paraId="5B6B30CD" w14:textId="6093A05A" w:rsidR="00BE77B7" w:rsidRDefault="00BE77B7"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6638C">
            <w:rPr>
              <w:i/>
              <w:noProof/>
              <w:sz w:val="18"/>
            </w:rPr>
            <w:t>5</w:t>
          </w:r>
          <w:r w:rsidRPr="00ED79B6">
            <w:rPr>
              <w:i/>
              <w:sz w:val="18"/>
            </w:rPr>
            <w:fldChar w:fldCharType="end"/>
          </w:r>
        </w:p>
      </w:tc>
    </w:tr>
    <w:tr w:rsidR="00BE77B7" w14:paraId="02A60742"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CACF7AA" w14:textId="77777777" w:rsidR="00BE77B7" w:rsidRDefault="00BE77B7" w:rsidP="00EE57E8">
          <w:pPr>
            <w:rPr>
              <w:sz w:val="18"/>
            </w:rPr>
          </w:pPr>
        </w:p>
      </w:tc>
    </w:tr>
  </w:tbl>
  <w:p w14:paraId="367121EE" w14:textId="77777777" w:rsidR="00BE77B7" w:rsidRPr="00ED79B6" w:rsidRDefault="00BE77B7"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3441" w14:textId="77777777" w:rsidR="00BE77B7" w:rsidRPr="00E33C1C" w:rsidRDefault="00BE77B7"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E77B7" w14:paraId="15EF7637" w14:textId="77777777" w:rsidTr="007A6863">
      <w:tc>
        <w:tcPr>
          <w:tcW w:w="1384" w:type="dxa"/>
          <w:tcBorders>
            <w:top w:val="nil"/>
            <w:left w:val="nil"/>
            <w:bottom w:val="nil"/>
            <w:right w:val="nil"/>
          </w:tcBorders>
        </w:tcPr>
        <w:p w14:paraId="31F6644D" w14:textId="77777777" w:rsidR="00BE77B7" w:rsidRDefault="00BE77B7" w:rsidP="00EE57E8">
          <w:pPr>
            <w:spacing w:line="0" w:lineRule="atLeast"/>
            <w:rPr>
              <w:sz w:val="18"/>
            </w:rPr>
          </w:pPr>
        </w:p>
      </w:tc>
      <w:tc>
        <w:tcPr>
          <w:tcW w:w="6379" w:type="dxa"/>
          <w:tcBorders>
            <w:top w:val="nil"/>
            <w:left w:val="nil"/>
            <w:bottom w:val="nil"/>
            <w:right w:val="nil"/>
          </w:tcBorders>
        </w:tcPr>
        <w:p w14:paraId="5472AAC6" w14:textId="0E5A04C5" w:rsidR="00BE77B7" w:rsidRDefault="00BE77B7"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5DB0">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4E0E4EBD" w14:textId="77777777" w:rsidR="00BE77B7" w:rsidRDefault="00BE77B7"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BE77B7" w14:paraId="1A9EAD4F"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E96CF62" w14:textId="4CD77FF9" w:rsidR="00BE77B7" w:rsidRDefault="00BE77B7"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175DB0">
            <w:rPr>
              <w:i/>
              <w:noProof/>
              <w:sz w:val="18"/>
            </w:rPr>
            <w:t>C:\Users\hdixon\AppData\Roaming\OpenText\OTEdit\EC_SAFE\c111922\AML_CTF Rules Amendment Instrument 2021 (No. 1) - AUSTRAC - 12943932.docx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E0666">
            <w:rPr>
              <w:i/>
              <w:noProof/>
              <w:sz w:val="18"/>
            </w:rPr>
            <w:t>10/12/2021 5:41 PM</w:t>
          </w:r>
          <w:r w:rsidRPr="00ED79B6">
            <w:rPr>
              <w:i/>
              <w:sz w:val="18"/>
            </w:rPr>
            <w:fldChar w:fldCharType="end"/>
          </w:r>
        </w:p>
      </w:tc>
    </w:tr>
  </w:tbl>
  <w:p w14:paraId="546B66D8" w14:textId="77777777" w:rsidR="00BE77B7" w:rsidRPr="00ED79B6" w:rsidRDefault="00BE77B7"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AD14" w14:textId="77777777" w:rsidR="00C53A3C" w:rsidRDefault="00C53A3C" w:rsidP="0048364F">
      <w:pPr>
        <w:spacing w:line="240" w:lineRule="auto"/>
      </w:pPr>
      <w:r>
        <w:separator/>
      </w:r>
    </w:p>
  </w:footnote>
  <w:footnote w:type="continuationSeparator" w:id="0">
    <w:p w14:paraId="441CAFE3" w14:textId="77777777" w:rsidR="00C53A3C" w:rsidRDefault="00C53A3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397E" w14:textId="77777777" w:rsidR="00BE77B7" w:rsidRPr="005F1388" w:rsidRDefault="00BE77B7"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1731" w14:textId="77777777" w:rsidR="00BE77B7" w:rsidRPr="005F1388" w:rsidRDefault="00BE77B7"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F676" w14:textId="77777777" w:rsidR="00BE77B7" w:rsidRPr="005F1388" w:rsidRDefault="00BE77B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F599" w14:textId="77777777" w:rsidR="00BE77B7" w:rsidRPr="00ED79B6" w:rsidRDefault="00BE77B7" w:rsidP="00BE77B7">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9FA7" w14:textId="77777777" w:rsidR="00BE77B7" w:rsidRPr="00ED79B6" w:rsidRDefault="00BE77B7" w:rsidP="00BE77B7">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0EDF" w14:textId="77777777" w:rsidR="00BE77B7" w:rsidRPr="00ED79B6" w:rsidRDefault="00BE77B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8B2D" w14:textId="77777777" w:rsidR="00BE77B7" w:rsidRPr="00A961C4" w:rsidRDefault="00BE77B7" w:rsidP="0048364F">
    <w:pPr>
      <w:rPr>
        <w:b/>
        <w:sz w:val="20"/>
      </w:rPr>
    </w:pPr>
  </w:p>
  <w:p w14:paraId="12B4FE04" w14:textId="77777777" w:rsidR="00BE77B7" w:rsidRPr="00A961C4" w:rsidRDefault="00BE77B7" w:rsidP="0048364F">
    <w:pPr>
      <w:rPr>
        <w:b/>
        <w:sz w:val="20"/>
      </w:rPr>
    </w:pPr>
  </w:p>
  <w:p w14:paraId="44818990" w14:textId="77777777" w:rsidR="00BE77B7" w:rsidRPr="00A961C4" w:rsidRDefault="00BE77B7"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EB69" w14:textId="77777777" w:rsidR="00BE77B7" w:rsidRPr="00A961C4" w:rsidRDefault="00BE77B7" w:rsidP="0048364F">
    <w:pPr>
      <w:jc w:val="right"/>
      <w:rPr>
        <w:sz w:val="20"/>
      </w:rPr>
    </w:pPr>
  </w:p>
  <w:p w14:paraId="0D65E0E8" w14:textId="77777777" w:rsidR="00BE77B7" w:rsidRPr="00A961C4" w:rsidRDefault="00BE77B7" w:rsidP="0048364F">
    <w:pPr>
      <w:jc w:val="right"/>
      <w:rPr>
        <w:b/>
        <w:sz w:val="20"/>
      </w:rPr>
    </w:pPr>
  </w:p>
  <w:p w14:paraId="1871DBE1" w14:textId="77777777" w:rsidR="00BE77B7" w:rsidRPr="00A961C4" w:rsidRDefault="00BE77B7"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6FB9" w14:textId="77777777" w:rsidR="00BE77B7" w:rsidRDefault="00BE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3E93"/>
    <w:multiLevelType w:val="hybridMultilevel"/>
    <w:tmpl w:val="84BE0184"/>
    <w:lvl w:ilvl="0" w:tplc="0AA49F2A">
      <w:start w:val="1"/>
      <w:numFmt w:val="decimal"/>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10018D1"/>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14C8D"/>
    <w:multiLevelType w:val="hybridMultilevel"/>
    <w:tmpl w:val="93A4665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3B4CE9"/>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20B73C51"/>
    <w:multiLevelType w:val="hybridMultilevel"/>
    <w:tmpl w:val="FE9C6C2E"/>
    <w:lvl w:ilvl="0" w:tplc="A320ADD2">
      <w:start w:val="1"/>
      <w:numFmt w:val="decimal"/>
      <w:lvlText w:val="(%1)"/>
      <w:lvlJc w:val="left"/>
      <w:pPr>
        <w:ind w:left="1208" w:hanging="360"/>
      </w:pPr>
      <w:rPr>
        <w:rFonts w:ascii="Times New Roman" w:eastAsia="Times New Roman" w:hAnsi="Times New Roman" w:cs="Times New Roman"/>
        <w:color w:val="auto"/>
      </w:rPr>
    </w:lvl>
    <w:lvl w:ilvl="1" w:tplc="0C090019" w:tentative="1">
      <w:start w:val="1"/>
      <w:numFmt w:val="lowerLetter"/>
      <w:lvlText w:val="%2."/>
      <w:lvlJc w:val="left"/>
      <w:pPr>
        <w:ind w:left="1928" w:hanging="360"/>
      </w:pPr>
    </w:lvl>
    <w:lvl w:ilvl="2" w:tplc="0C09001B" w:tentative="1">
      <w:start w:val="1"/>
      <w:numFmt w:val="lowerRoman"/>
      <w:lvlText w:val="%3."/>
      <w:lvlJc w:val="right"/>
      <w:pPr>
        <w:ind w:left="2648" w:hanging="180"/>
      </w:pPr>
    </w:lvl>
    <w:lvl w:ilvl="3" w:tplc="0C09000F" w:tentative="1">
      <w:start w:val="1"/>
      <w:numFmt w:val="decimal"/>
      <w:lvlText w:val="%4."/>
      <w:lvlJc w:val="left"/>
      <w:pPr>
        <w:ind w:left="3368" w:hanging="360"/>
      </w:pPr>
    </w:lvl>
    <w:lvl w:ilvl="4" w:tplc="0C090019" w:tentative="1">
      <w:start w:val="1"/>
      <w:numFmt w:val="lowerLetter"/>
      <w:lvlText w:val="%5."/>
      <w:lvlJc w:val="left"/>
      <w:pPr>
        <w:ind w:left="4088" w:hanging="360"/>
      </w:pPr>
    </w:lvl>
    <w:lvl w:ilvl="5" w:tplc="0C09001B" w:tentative="1">
      <w:start w:val="1"/>
      <w:numFmt w:val="lowerRoman"/>
      <w:lvlText w:val="%6."/>
      <w:lvlJc w:val="right"/>
      <w:pPr>
        <w:ind w:left="4808" w:hanging="180"/>
      </w:pPr>
    </w:lvl>
    <w:lvl w:ilvl="6" w:tplc="0C09000F" w:tentative="1">
      <w:start w:val="1"/>
      <w:numFmt w:val="decimal"/>
      <w:lvlText w:val="%7."/>
      <w:lvlJc w:val="left"/>
      <w:pPr>
        <w:ind w:left="5528" w:hanging="360"/>
      </w:pPr>
    </w:lvl>
    <w:lvl w:ilvl="7" w:tplc="0C090019" w:tentative="1">
      <w:start w:val="1"/>
      <w:numFmt w:val="lowerLetter"/>
      <w:lvlText w:val="%8."/>
      <w:lvlJc w:val="left"/>
      <w:pPr>
        <w:ind w:left="6248" w:hanging="360"/>
      </w:pPr>
    </w:lvl>
    <w:lvl w:ilvl="8" w:tplc="0C09001B" w:tentative="1">
      <w:start w:val="1"/>
      <w:numFmt w:val="lowerRoman"/>
      <w:lvlText w:val="%9."/>
      <w:lvlJc w:val="right"/>
      <w:pPr>
        <w:ind w:left="6968" w:hanging="180"/>
      </w:pPr>
    </w:lvl>
  </w:abstractNum>
  <w:abstractNum w:abstractNumId="17" w15:restartNumberingAfterBreak="0">
    <w:nsid w:val="2A1B159A"/>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2DA66DB9"/>
    <w:multiLevelType w:val="hybridMultilevel"/>
    <w:tmpl w:val="2B56CFD4"/>
    <w:lvl w:ilvl="0" w:tplc="61DCB42E">
      <w:start w:val="1"/>
      <w:numFmt w:val="lowerRoman"/>
      <w:lvlText w:val="(%1)"/>
      <w:lvlJc w:val="left"/>
      <w:pPr>
        <w:ind w:left="249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4405B6"/>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79B7255"/>
    <w:multiLevelType w:val="hybridMultilevel"/>
    <w:tmpl w:val="163EBC40"/>
    <w:lvl w:ilvl="0" w:tplc="B838ED6E">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4B4C5BFD"/>
    <w:multiLevelType w:val="hybridMultilevel"/>
    <w:tmpl w:val="A55AF24C"/>
    <w:lvl w:ilvl="0" w:tplc="AFFE5322">
      <w:start w:val="1"/>
      <w:numFmt w:val="lowerLetter"/>
      <w:lvlText w:val="(%1)"/>
      <w:lvlJc w:val="left"/>
      <w:pPr>
        <w:ind w:left="1208" w:hanging="360"/>
      </w:pPr>
      <w:rPr>
        <w:rFonts w:hint="default"/>
        <w:color w:val="FF0000"/>
      </w:rPr>
    </w:lvl>
    <w:lvl w:ilvl="1" w:tplc="0C090019" w:tentative="1">
      <w:start w:val="1"/>
      <w:numFmt w:val="lowerLetter"/>
      <w:lvlText w:val="%2."/>
      <w:lvlJc w:val="left"/>
      <w:pPr>
        <w:ind w:left="1928" w:hanging="360"/>
      </w:pPr>
    </w:lvl>
    <w:lvl w:ilvl="2" w:tplc="0C09001B" w:tentative="1">
      <w:start w:val="1"/>
      <w:numFmt w:val="lowerRoman"/>
      <w:lvlText w:val="%3."/>
      <w:lvlJc w:val="right"/>
      <w:pPr>
        <w:ind w:left="2648" w:hanging="180"/>
      </w:pPr>
    </w:lvl>
    <w:lvl w:ilvl="3" w:tplc="0C09000F" w:tentative="1">
      <w:start w:val="1"/>
      <w:numFmt w:val="decimal"/>
      <w:lvlText w:val="%4."/>
      <w:lvlJc w:val="left"/>
      <w:pPr>
        <w:ind w:left="3368" w:hanging="360"/>
      </w:pPr>
    </w:lvl>
    <w:lvl w:ilvl="4" w:tplc="0C090019" w:tentative="1">
      <w:start w:val="1"/>
      <w:numFmt w:val="lowerLetter"/>
      <w:lvlText w:val="%5."/>
      <w:lvlJc w:val="left"/>
      <w:pPr>
        <w:ind w:left="4088" w:hanging="360"/>
      </w:pPr>
    </w:lvl>
    <w:lvl w:ilvl="5" w:tplc="0C09001B" w:tentative="1">
      <w:start w:val="1"/>
      <w:numFmt w:val="lowerRoman"/>
      <w:lvlText w:val="%6."/>
      <w:lvlJc w:val="right"/>
      <w:pPr>
        <w:ind w:left="4808" w:hanging="180"/>
      </w:pPr>
    </w:lvl>
    <w:lvl w:ilvl="6" w:tplc="0C09000F" w:tentative="1">
      <w:start w:val="1"/>
      <w:numFmt w:val="decimal"/>
      <w:lvlText w:val="%7."/>
      <w:lvlJc w:val="left"/>
      <w:pPr>
        <w:ind w:left="5528" w:hanging="360"/>
      </w:pPr>
    </w:lvl>
    <w:lvl w:ilvl="7" w:tplc="0C090019" w:tentative="1">
      <w:start w:val="1"/>
      <w:numFmt w:val="lowerLetter"/>
      <w:lvlText w:val="%8."/>
      <w:lvlJc w:val="left"/>
      <w:pPr>
        <w:ind w:left="6248" w:hanging="360"/>
      </w:pPr>
    </w:lvl>
    <w:lvl w:ilvl="8" w:tplc="0C09001B" w:tentative="1">
      <w:start w:val="1"/>
      <w:numFmt w:val="lowerRoman"/>
      <w:lvlText w:val="%9."/>
      <w:lvlJc w:val="right"/>
      <w:pPr>
        <w:ind w:left="6968" w:hanging="180"/>
      </w:pPr>
    </w:lvl>
  </w:abstractNum>
  <w:abstractNum w:abstractNumId="23" w15:restartNumberingAfterBreak="0">
    <w:nsid w:val="4DAF67E3"/>
    <w:multiLevelType w:val="multilevel"/>
    <w:tmpl w:val="8BCA39C2"/>
    <w:lvl w:ilvl="0">
      <w:start w:val="4"/>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30473"/>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54C67765"/>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58B67EA5"/>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616E069F"/>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69872741"/>
    <w:multiLevelType w:val="hybridMultilevel"/>
    <w:tmpl w:val="66F657E4"/>
    <w:lvl w:ilvl="0" w:tplc="61DCB42E">
      <w:start w:val="1"/>
      <w:numFmt w:val="lowerRoman"/>
      <w:lvlText w:val="(%1)"/>
      <w:lvlJc w:val="left"/>
      <w:pPr>
        <w:ind w:left="249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824913"/>
    <w:multiLevelType w:val="hybridMultilevel"/>
    <w:tmpl w:val="84BE0184"/>
    <w:lvl w:ilvl="0" w:tplc="0AA49F2A">
      <w:start w:val="1"/>
      <w:numFmt w:val="decimal"/>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ED10D87"/>
    <w:multiLevelType w:val="hybridMultilevel"/>
    <w:tmpl w:val="3CD89A68"/>
    <w:lvl w:ilvl="0" w:tplc="E85EDFBC">
      <w:start w:val="1"/>
      <w:numFmt w:val="lowerLetter"/>
      <w:lvlText w:val="(%1)"/>
      <w:lvlJc w:val="left"/>
      <w:pPr>
        <w:ind w:left="1988" w:hanging="570"/>
      </w:pPr>
      <w:rPr>
        <w:rFonts w:hint="default"/>
      </w:rPr>
    </w:lvl>
    <w:lvl w:ilvl="1" w:tplc="61DCB42E">
      <w:start w:val="1"/>
      <w:numFmt w:val="lowerRoman"/>
      <w:lvlText w:val="(%2)"/>
      <w:lvlJc w:val="left"/>
      <w:pPr>
        <w:ind w:left="2498" w:hanging="360"/>
      </w:pPr>
      <w:rPr>
        <w:rFonts w:hint="default"/>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1" w15:restartNumberingAfterBreak="0">
    <w:nsid w:val="6ED128F9"/>
    <w:multiLevelType w:val="hybridMultilevel"/>
    <w:tmpl w:val="84BE0184"/>
    <w:lvl w:ilvl="0" w:tplc="0AA49F2A">
      <w:start w:val="1"/>
      <w:numFmt w:val="decimal"/>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F572591"/>
    <w:multiLevelType w:val="hybridMultilevel"/>
    <w:tmpl w:val="882A188E"/>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0531DC"/>
    <w:multiLevelType w:val="hybridMultilevel"/>
    <w:tmpl w:val="A5261158"/>
    <w:lvl w:ilvl="0" w:tplc="1CA8A0E2">
      <w:start w:val="4"/>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7929BB"/>
    <w:multiLevelType w:val="hybridMultilevel"/>
    <w:tmpl w:val="84BE0184"/>
    <w:lvl w:ilvl="0" w:tplc="0AA49F2A">
      <w:start w:val="1"/>
      <w:numFmt w:val="decimal"/>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E3E69DE"/>
    <w:multiLevelType w:val="hybridMultilevel"/>
    <w:tmpl w:val="DA8CD8D0"/>
    <w:lvl w:ilvl="0" w:tplc="E85EDFBC">
      <w:start w:val="1"/>
      <w:numFmt w:val="lowerLetter"/>
      <w:lvlText w:val="(%1)"/>
      <w:lvlJc w:val="left"/>
      <w:pPr>
        <w:ind w:left="1988" w:hanging="57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14"/>
  </w:num>
  <w:num w:numId="14">
    <w:abstractNumId w:val="23"/>
  </w:num>
  <w:num w:numId="15">
    <w:abstractNumId w:val="32"/>
  </w:num>
  <w:num w:numId="16">
    <w:abstractNumId w:val="33"/>
  </w:num>
  <w:num w:numId="17">
    <w:abstractNumId w:val="13"/>
  </w:num>
  <w:num w:numId="18">
    <w:abstractNumId w:val="22"/>
  </w:num>
  <w:num w:numId="19">
    <w:abstractNumId w:val="16"/>
  </w:num>
  <w:num w:numId="20">
    <w:abstractNumId w:val="20"/>
  </w:num>
  <w:num w:numId="21">
    <w:abstractNumId w:val="34"/>
  </w:num>
  <w:num w:numId="22">
    <w:abstractNumId w:val="31"/>
  </w:num>
  <w:num w:numId="23">
    <w:abstractNumId w:val="10"/>
  </w:num>
  <w:num w:numId="24">
    <w:abstractNumId w:val="29"/>
  </w:num>
  <w:num w:numId="25">
    <w:abstractNumId w:val="30"/>
  </w:num>
  <w:num w:numId="26">
    <w:abstractNumId w:val="17"/>
  </w:num>
  <w:num w:numId="27">
    <w:abstractNumId w:val="19"/>
  </w:num>
  <w:num w:numId="28">
    <w:abstractNumId w:val="24"/>
  </w:num>
  <w:num w:numId="29">
    <w:abstractNumId w:val="35"/>
  </w:num>
  <w:num w:numId="30">
    <w:abstractNumId w:val="11"/>
  </w:num>
  <w:num w:numId="31">
    <w:abstractNumId w:val="15"/>
  </w:num>
  <w:num w:numId="32">
    <w:abstractNumId w:val="28"/>
  </w:num>
  <w:num w:numId="33">
    <w:abstractNumId w:val="18"/>
  </w:num>
  <w:num w:numId="34">
    <w:abstractNumId w:val="27"/>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05"/>
    <w:rsid w:val="00000263"/>
    <w:rsid w:val="000062B9"/>
    <w:rsid w:val="000113BC"/>
    <w:rsid w:val="000136AF"/>
    <w:rsid w:val="0002473F"/>
    <w:rsid w:val="00024CF2"/>
    <w:rsid w:val="0004044E"/>
    <w:rsid w:val="0005120E"/>
    <w:rsid w:val="00054577"/>
    <w:rsid w:val="000614BF"/>
    <w:rsid w:val="0007169C"/>
    <w:rsid w:val="00077593"/>
    <w:rsid w:val="00083F48"/>
    <w:rsid w:val="000A479A"/>
    <w:rsid w:val="000A7DF9"/>
    <w:rsid w:val="000B7C76"/>
    <w:rsid w:val="000C1506"/>
    <w:rsid w:val="000D05EF"/>
    <w:rsid w:val="000D3FB9"/>
    <w:rsid w:val="000D5485"/>
    <w:rsid w:val="000D649E"/>
    <w:rsid w:val="000E598E"/>
    <w:rsid w:val="000E5A3D"/>
    <w:rsid w:val="000F0ADA"/>
    <w:rsid w:val="000F141E"/>
    <w:rsid w:val="000F21C1"/>
    <w:rsid w:val="0010745C"/>
    <w:rsid w:val="001122FF"/>
    <w:rsid w:val="001207B7"/>
    <w:rsid w:val="001545C3"/>
    <w:rsid w:val="00155483"/>
    <w:rsid w:val="0015558D"/>
    <w:rsid w:val="00160BD7"/>
    <w:rsid w:val="001643C9"/>
    <w:rsid w:val="00165568"/>
    <w:rsid w:val="00166082"/>
    <w:rsid w:val="00166C2F"/>
    <w:rsid w:val="001716C9"/>
    <w:rsid w:val="00175DB0"/>
    <w:rsid w:val="00184261"/>
    <w:rsid w:val="00193461"/>
    <w:rsid w:val="001939E1"/>
    <w:rsid w:val="0019452E"/>
    <w:rsid w:val="00195382"/>
    <w:rsid w:val="001A3B9F"/>
    <w:rsid w:val="001A5520"/>
    <w:rsid w:val="001A65C0"/>
    <w:rsid w:val="001B7A5D"/>
    <w:rsid w:val="001C69C4"/>
    <w:rsid w:val="001D7A23"/>
    <w:rsid w:val="001E0A8D"/>
    <w:rsid w:val="001E3590"/>
    <w:rsid w:val="001E7407"/>
    <w:rsid w:val="001F1A46"/>
    <w:rsid w:val="00201D27"/>
    <w:rsid w:val="0021153A"/>
    <w:rsid w:val="002245A6"/>
    <w:rsid w:val="002302EA"/>
    <w:rsid w:val="00237614"/>
    <w:rsid w:val="00240749"/>
    <w:rsid w:val="002468D7"/>
    <w:rsid w:val="00247E97"/>
    <w:rsid w:val="00256C81"/>
    <w:rsid w:val="00263499"/>
    <w:rsid w:val="00272CE3"/>
    <w:rsid w:val="00285CDD"/>
    <w:rsid w:val="00291167"/>
    <w:rsid w:val="0029489E"/>
    <w:rsid w:val="00297D1D"/>
    <w:rsid w:val="00297ECB"/>
    <w:rsid w:val="002B5929"/>
    <w:rsid w:val="002C152A"/>
    <w:rsid w:val="002C2424"/>
    <w:rsid w:val="002D043A"/>
    <w:rsid w:val="0030357C"/>
    <w:rsid w:val="0031713F"/>
    <w:rsid w:val="003222D1"/>
    <w:rsid w:val="0032750F"/>
    <w:rsid w:val="0033545B"/>
    <w:rsid w:val="003415D3"/>
    <w:rsid w:val="0034202A"/>
    <w:rsid w:val="003442F6"/>
    <w:rsid w:val="00346335"/>
    <w:rsid w:val="00352B0F"/>
    <w:rsid w:val="003561B0"/>
    <w:rsid w:val="0036666D"/>
    <w:rsid w:val="003905D6"/>
    <w:rsid w:val="00397893"/>
    <w:rsid w:val="003A15AC"/>
    <w:rsid w:val="003B0342"/>
    <w:rsid w:val="003B0627"/>
    <w:rsid w:val="003B4358"/>
    <w:rsid w:val="003B57A9"/>
    <w:rsid w:val="003C05FD"/>
    <w:rsid w:val="003C5F2B"/>
    <w:rsid w:val="003C7D35"/>
    <w:rsid w:val="003D0BFE"/>
    <w:rsid w:val="003D5700"/>
    <w:rsid w:val="003F6F52"/>
    <w:rsid w:val="004022CA"/>
    <w:rsid w:val="004104BD"/>
    <w:rsid w:val="004116CD"/>
    <w:rsid w:val="004140CA"/>
    <w:rsid w:val="00414ADE"/>
    <w:rsid w:val="00421B91"/>
    <w:rsid w:val="00424CA9"/>
    <w:rsid w:val="004257BB"/>
    <w:rsid w:val="00433ECC"/>
    <w:rsid w:val="0043498B"/>
    <w:rsid w:val="0044291A"/>
    <w:rsid w:val="004600B0"/>
    <w:rsid w:val="00460499"/>
    <w:rsid w:val="00460FBA"/>
    <w:rsid w:val="00474835"/>
    <w:rsid w:val="004819C7"/>
    <w:rsid w:val="0048364F"/>
    <w:rsid w:val="004877FC"/>
    <w:rsid w:val="00490F2E"/>
    <w:rsid w:val="00496F97"/>
    <w:rsid w:val="004A53EA"/>
    <w:rsid w:val="004B35E7"/>
    <w:rsid w:val="004E2E26"/>
    <w:rsid w:val="004E37EA"/>
    <w:rsid w:val="004F0B14"/>
    <w:rsid w:val="004F1FAC"/>
    <w:rsid w:val="004F676E"/>
    <w:rsid w:val="004F71C0"/>
    <w:rsid w:val="00506F80"/>
    <w:rsid w:val="00516B8D"/>
    <w:rsid w:val="00517137"/>
    <w:rsid w:val="0052756C"/>
    <w:rsid w:val="00530230"/>
    <w:rsid w:val="00530CC9"/>
    <w:rsid w:val="00531788"/>
    <w:rsid w:val="00531B46"/>
    <w:rsid w:val="00534702"/>
    <w:rsid w:val="00537FBC"/>
    <w:rsid w:val="00541D73"/>
    <w:rsid w:val="00543469"/>
    <w:rsid w:val="00546FA3"/>
    <w:rsid w:val="00557C7A"/>
    <w:rsid w:val="00562A58"/>
    <w:rsid w:val="0056541A"/>
    <w:rsid w:val="00581211"/>
    <w:rsid w:val="00584811"/>
    <w:rsid w:val="00593AA6"/>
    <w:rsid w:val="00594161"/>
    <w:rsid w:val="00594749"/>
    <w:rsid w:val="00594956"/>
    <w:rsid w:val="00596AD9"/>
    <w:rsid w:val="005B1555"/>
    <w:rsid w:val="005B2DC9"/>
    <w:rsid w:val="005B3C51"/>
    <w:rsid w:val="005B4067"/>
    <w:rsid w:val="005C3F41"/>
    <w:rsid w:val="005C4EF0"/>
    <w:rsid w:val="005D5EA1"/>
    <w:rsid w:val="005E098C"/>
    <w:rsid w:val="005E1F8D"/>
    <w:rsid w:val="005E317F"/>
    <w:rsid w:val="005E61D3"/>
    <w:rsid w:val="005E764D"/>
    <w:rsid w:val="005F7FEA"/>
    <w:rsid w:val="00600219"/>
    <w:rsid w:val="006065DA"/>
    <w:rsid w:val="00606AA4"/>
    <w:rsid w:val="00640402"/>
    <w:rsid w:val="00640F78"/>
    <w:rsid w:val="00655D6A"/>
    <w:rsid w:val="00656DE9"/>
    <w:rsid w:val="0066089E"/>
    <w:rsid w:val="00672876"/>
    <w:rsid w:val="00677CC2"/>
    <w:rsid w:val="006814B9"/>
    <w:rsid w:val="006854B8"/>
    <w:rsid w:val="00685F42"/>
    <w:rsid w:val="0069207B"/>
    <w:rsid w:val="006A304E"/>
    <w:rsid w:val="006B4253"/>
    <w:rsid w:val="006B7006"/>
    <w:rsid w:val="006C31BC"/>
    <w:rsid w:val="006C7F8C"/>
    <w:rsid w:val="006D7AB9"/>
    <w:rsid w:val="006E7292"/>
    <w:rsid w:val="006F38D3"/>
    <w:rsid w:val="00700B2C"/>
    <w:rsid w:val="00713084"/>
    <w:rsid w:val="00717463"/>
    <w:rsid w:val="00720FC2"/>
    <w:rsid w:val="00722E89"/>
    <w:rsid w:val="00726979"/>
    <w:rsid w:val="00731E00"/>
    <w:rsid w:val="007339C7"/>
    <w:rsid w:val="007440B7"/>
    <w:rsid w:val="00747993"/>
    <w:rsid w:val="00747C38"/>
    <w:rsid w:val="007634AD"/>
    <w:rsid w:val="00765732"/>
    <w:rsid w:val="007715C9"/>
    <w:rsid w:val="00774EDD"/>
    <w:rsid w:val="007757EC"/>
    <w:rsid w:val="00781E92"/>
    <w:rsid w:val="00787BFB"/>
    <w:rsid w:val="007913DE"/>
    <w:rsid w:val="00795A98"/>
    <w:rsid w:val="007A1C57"/>
    <w:rsid w:val="007A6863"/>
    <w:rsid w:val="007B62F9"/>
    <w:rsid w:val="007C5D4E"/>
    <w:rsid w:val="007C78B4"/>
    <w:rsid w:val="007D480F"/>
    <w:rsid w:val="007E32B6"/>
    <w:rsid w:val="007E486B"/>
    <w:rsid w:val="007E7D4A"/>
    <w:rsid w:val="007F15EC"/>
    <w:rsid w:val="007F48ED"/>
    <w:rsid w:val="007F4FB3"/>
    <w:rsid w:val="007F5E3F"/>
    <w:rsid w:val="00812F45"/>
    <w:rsid w:val="00836FE9"/>
    <w:rsid w:val="0084172C"/>
    <w:rsid w:val="008425BD"/>
    <w:rsid w:val="0085175E"/>
    <w:rsid w:val="00856A31"/>
    <w:rsid w:val="008754D0"/>
    <w:rsid w:val="00877C69"/>
    <w:rsid w:val="00877D48"/>
    <w:rsid w:val="0088345B"/>
    <w:rsid w:val="0089080C"/>
    <w:rsid w:val="008A16A5"/>
    <w:rsid w:val="008A3DB2"/>
    <w:rsid w:val="008A5C57"/>
    <w:rsid w:val="008A663D"/>
    <w:rsid w:val="008B6B2F"/>
    <w:rsid w:val="008C0629"/>
    <w:rsid w:val="008D0EE0"/>
    <w:rsid w:val="008D5227"/>
    <w:rsid w:val="008D7A27"/>
    <w:rsid w:val="008E4702"/>
    <w:rsid w:val="008E687F"/>
    <w:rsid w:val="008E69AA"/>
    <w:rsid w:val="008F4F1C"/>
    <w:rsid w:val="009069AD"/>
    <w:rsid w:val="00910E64"/>
    <w:rsid w:val="00920058"/>
    <w:rsid w:val="00922764"/>
    <w:rsid w:val="009278C1"/>
    <w:rsid w:val="00927E40"/>
    <w:rsid w:val="00932377"/>
    <w:rsid w:val="009346E3"/>
    <w:rsid w:val="009355AD"/>
    <w:rsid w:val="0094523D"/>
    <w:rsid w:val="00955D3C"/>
    <w:rsid w:val="00965A8B"/>
    <w:rsid w:val="00976A63"/>
    <w:rsid w:val="009B2490"/>
    <w:rsid w:val="009B37CE"/>
    <w:rsid w:val="009B50E5"/>
    <w:rsid w:val="009C3431"/>
    <w:rsid w:val="009C5989"/>
    <w:rsid w:val="009C6A32"/>
    <w:rsid w:val="009D08DA"/>
    <w:rsid w:val="009D5C79"/>
    <w:rsid w:val="009F0D4C"/>
    <w:rsid w:val="00A06860"/>
    <w:rsid w:val="00A10139"/>
    <w:rsid w:val="00A136F5"/>
    <w:rsid w:val="00A1463E"/>
    <w:rsid w:val="00A21937"/>
    <w:rsid w:val="00A231E2"/>
    <w:rsid w:val="00A2550D"/>
    <w:rsid w:val="00A309A8"/>
    <w:rsid w:val="00A37966"/>
    <w:rsid w:val="00A379BB"/>
    <w:rsid w:val="00A4169B"/>
    <w:rsid w:val="00A50D55"/>
    <w:rsid w:val="00A52FDA"/>
    <w:rsid w:val="00A57999"/>
    <w:rsid w:val="00A64912"/>
    <w:rsid w:val="00A6638C"/>
    <w:rsid w:val="00A70A74"/>
    <w:rsid w:val="00A86232"/>
    <w:rsid w:val="00A9231A"/>
    <w:rsid w:val="00A95BC7"/>
    <w:rsid w:val="00AA0343"/>
    <w:rsid w:val="00AA78CE"/>
    <w:rsid w:val="00AA7B26"/>
    <w:rsid w:val="00AC16C8"/>
    <w:rsid w:val="00AC2C51"/>
    <w:rsid w:val="00AC767C"/>
    <w:rsid w:val="00AD3467"/>
    <w:rsid w:val="00AD5641"/>
    <w:rsid w:val="00AE74AB"/>
    <w:rsid w:val="00AF33DB"/>
    <w:rsid w:val="00AF351A"/>
    <w:rsid w:val="00AF5C54"/>
    <w:rsid w:val="00B032D8"/>
    <w:rsid w:val="00B05D72"/>
    <w:rsid w:val="00B1719A"/>
    <w:rsid w:val="00B20990"/>
    <w:rsid w:val="00B2380B"/>
    <w:rsid w:val="00B23FAF"/>
    <w:rsid w:val="00B33B3C"/>
    <w:rsid w:val="00B40D74"/>
    <w:rsid w:val="00B40F05"/>
    <w:rsid w:val="00B42649"/>
    <w:rsid w:val="00B46467"/>
    <w:rsid w:val="00B52663"/>
    <w:rsid w:val="00B53BB7"/>
    <w:rsid w:val="00B550FD"/>
    <w:rsid w:val="00B56DCB"/>
    <w:rsid w:val="00B61728"/>
    <w:rsid w:val="00B770D2"/>
    <w:rsid w:val="00B87EB0"/>
    <w:rsid w:val="00B93516"/>
    <w:rsid w:val="00B96776"/>
    <w:rsid w:val="00B97247"/>
    <w:rsid w:val="00B973E5"/>
    <w:rsid w:val="00BA47A3"/>
    <w:rsid w:val="00BA5026"/>
    <w:rsid w:val="00BA7B5B"/>
    <w:rsid w:val="00BB4E42"/>
    <w:rsid w:val="00BB5C00"/>
    <w:rsid w:val="00BB6E79"/>
    <w:rsid w:val="00BE42C5"/>
    <w:rsid w:val="00BE719A"/>
    <w:rsid w:val="00BE720A"/>
    <w:rsid w:val="00BE77B7"/>
    <w:rsid w:val="00BF048B"/>
    <w:rsid w:val="00BF0723"/>
    <w:rsid w:val="00BF6650"/>
    <w:rsid w:val="00C067E5"/>
    <w:rsid w:val="00C164CA"/>
    <w:rsid w:val="00C26051"/>
    <w:rsid w:val="00C34AB5"/>
    <w:rsid w:val="00C365DF"/>
    <w:rsid w:val="00C42BF8"/>
    <w:rsid w:val="00C460AE"/>
    <w:rsid w:val="00C50043"/>
    <w:rsid w:val="00C5015F"/>
    <w:rsid w:val="00C50A0F"/>
    <w:rsid w:val="00C50F4A"/>
    <w:rsid w:val="00C53A3C"/>
    <w:rsid w:val="00C625C0"/>
    <w:rsid w:val="00C65EDB"/>
    <w:rsid w:val="00C72D10"/>
    <w:rsid w:val="00C7573B"/>
    <w:rsid w:val="00C7687E"/>
    <w:rsid w:val="00C76CF3"/>
    <w:rsid w:val="00C93205"/>
    <w:rsid w:val="00C945DC"/>
    <w:rsid w:val="00CA619E"/>
    <w:rsid w:val="00CA7844"/>
    <w:rsid w:val="00CB1337"/>
    <w:rsid w:val="00CB58EF"/>
    <w:rsid w:val="00CC2184"/>
    <w:rsid w:val="00CE0666"/>
    <w:rsid w:val="00CE0A93"/>
    <w:rsid w:val="00CF0548"/>
    <w:rsid w:val="00CF0BB2"/>
    <w:rsid w:val="00D12B0D"/>
    <w:rsid w:val="00D13441"/>
    <w:rsid w:val="00D13544"/>
    <w:rsid w:val="00D243A3"/>
    <w:rsid w:val="00D30E5D"/>
    <w:rsid w:val="00D33440"/>
    <w:rsid w:val="00D36A1B"/>
    <w:rsid w:val="00D41D2D"/>
    <w:rsid w:val="00D52EFE"/>
    <w:rsid w:val="00D56A0D"/>
    <w:rsid w:val="00D63EF6"/>
    <w:rsid w:val="00D66518"/>
    <w:rsid w:val="00D70DFB"/>
    <w:rsid w:val="00D71EEA"/>
    <w:rsid w:val="00D735CD"/>
    <w:rsid w:val="00D75E53"/>
    <w:rsid w:val="00D766DF"/>
    <w:rsid w:val="00D87609"/>
    <w:rsid w:val="00D90841"/>
    <w:rsid w:val="00D96A69"/>
    <w:rsid w:val="00DA2439"/>
    <w:rsid w:val="00DA6F05"/>
    <w:rsid w:val="00DB64FC"/>
    <w:rsid w:val="00DE149E"/>
    <w:rsid w:val="00E02A1B"/>
    <w:rsid w:val="00E034DB"/>
    <w:rsid w:val="00E05704"/>
    <w:rsid w:val="00E12F1A"/>
    <w:rsid w:val="00E22935"/>
    <w:rsid w:val="00E367E1"/>
    <w:rsid w:val="00E41A05"/>
    <w:rsid w:val="00E54292"/>
    <w:rsid w:val="00E60191"/>
    <w:rsid w:val="00E66C87"/>
    <w:rsid w:val="00E74DC7"/>
    <w:rsid w:val="00E87699"/>
    <w:rsid w:val="00E92E27"/>
    <w:rsid w:val="00E9586B"/>
    <w:rsid w:val="00E97334"/>
    <w:rsid w:val="00E973A1"/>
    <w:rsid w:val="00EB3A99"/>
    <w:rsid w:val="00EB65F8"/>
    <w:rsid w:val="00ED2BF9"/>
    <w:rsid w:val="00ED4928"/>
    <w:rsid w:val="00EE3FFE"/>
    <w:rsid w:val="00EE57E8"/>
    <w:rsid w:val="00EE6190"/>
    <w:rsid w:val="00EF2E3A"/>
    <w:rsid w:val="00EF6402"/>
    <w:rsid w:val="00EF6B2E"/>
    <w:rsid w:val="00F047E2"/>
    <w:rsid w:val="00F04D57"/>
    <w:rsid w:val="00F078DC"/>
    <w:rsid w:val="00F13E86"/>
    <w:rsid w:val="00F201CD"/>
    <w:rsid w:val="00F20B52"/>
    <w:rsid w:val="00F32FCB"/>
    <w:rsid w:val="00F33523"/>
    <w:rsid w:val="00F42AEE"/>
    <w:rsid w:val="00F677A9"/>
    <w:rsid w:val="00F8121C"/>
    <w:rsid w:val="00F84CF5"/>
    <w:rsid w:val="00F8612E"/>
    <w:rsid w:val="00F94583"/>
    <w:rsid w:val="00FA420B"/>
    <w:rsid w:val="00FA7162"/>
    <w:rsid w:val="00FB1450"/>
    <w:rsid w:val="00FB6AEE"/>
    <w:rsid w:val="00FC3EAC"/>
    <w:rsid w:val="00FC62B9"/>
    <w:rsid w:val="00FF39DE"/>
    <w:rsid w:val="00FF6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09A85"/>
  <w15:docId w15:val="{B951A5E6-C7BF-46AD-BA53-6E05FB8C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paragraph" w:styleId="ListParagraph">
    <w:name w:val="List Paragraph"/>
    <w:aliases w:val="Dot Point Lvl 1,TOC style,lp1,Bullet OSM,Proposal Bullet List,Recommendation,List Paragraph1,List Paragraph11,List Paragraph111,L,F5 List Paragraph,Dot pt,CV text,Medium Grid 1 - Accent 21,Numbered Paragraph,No Spacing1,列出段落,FooterText"/>
    <w:basedOn w:val="Normal"/>
    <w:link w:val="ListParagraphChar"/>
    <w:uiPriority w:val="34"/>
    <w:qFormat/>
    <w:rsid w:val="00FB1450"/>
    <w:pPr>
      <w:ind w:left="720"/>
      <w:contextualSpacing/>
    </w:pPr>
  </w:style>
  <w:style w:type="paragraph" w:styleId="Revision">
    <w:name w:val="Revision"/>
    <w:hidden/>
    <w:uiPriority w:val="99"/>
    <w:semiHidden/>
    <w:rsid w:val="00B53BB7"/>
    <w:rPr>
      <w:sz w:val="22"/>
    </w:rPr>
  </w:style>
  <w:style w:type="character" w:styleId="CommentReference">
    <w:name w:val="annotation reference"/>
    <w:basedOn w:val="DefaultParagraphFont"/>
    <w:uiPriority w:val="99"/>
    <w:semiHidden/>
    <w:unhideWhenUsed/>
    <w:rsid w:val="005B3C51"/>
    <w:rPr>
      <w:sz w:val="16"/>
      <w:szCs w:val="16"/>
    </w:rPr>
  </w:style>
  <w:style w:type="paragraph" w:styleId="CommentText">
    <w:name w:val="annotation text"/>
    <w:basedOn w:val="Normal"/>
    <w:link w:val="CommentTextChar"/>
    <w:uiPriority w:val="99"/>
    <w:unhideWhenUsed/>
    <w:rsid w:val="005B3C51"/>
    <w:pPr>
      <w:spacing w:line="240" w:lineRule="auto"/>
    </w:pPr>
    <w:rPr>
      <w:sz w:val="20"/>
    </w:rPr>
  </w:style>
  <w:style w:type="character" w:customStyle="1" w:styleId="CommentTextChar">
    <w:name w:val="Comment Text Char"/>
    <w:basedOn w:val="DefaultParagraphFont"/>
    <w:link w:val="CommentText"/>
    <w:uiPriority w:val="99"/>
    <w:rsid w:val="005B3C51"/>
  </w:style>
  <w:style w:type="paragraph" w:styleId="CommentSubject">
    <w:name w:val="annotation subject"/>
    <w:basedOn w:val="CommentText"/>
    <w:next w:val="CommentText"/>
    <w:link w:val="CommentSubjectChar"/>
    <w:uiPriority w:val="99"/>
    <w:semiHidden/>
    <w:unhideWhenUsed/>
    <w:rsid w:val="005B3C51"/>
    <w:rPr>
      <w:b/>
      <w:bCs/>
    </w:rPr>
  </w:style>
  <w:style w:type="character" w:customStyle="1" w:styleId="CommentSubjectChar">
    <w:name w:val="Comment Subject Char"/>
    <w:basedOn w:val="CommentTextChar"/>
    <w:link w:val="CommentSubject"/>
    <w:uiPriority w:val="99"/>
    <w:semiHidden/>
    <w:rsid w:val="005B3C51"/>
    <w:rPr>
      <w:b/>
      <w:bCs/>
    </w:rPr>
  </w:style>
  <w:style w:type="character" w:customStyle="1" w:styleId="ListParagraphChar">
    <w:name w:val="List Paragraph Char"/>
    <w:aliases w:val="Dot Point Lvl 1 Char,TOC style Char,lp1 Char,Bullet OSM Char,Proposal Bullet List Char,Recommendation Char,List Paragraph1 Char,List Paragraph11 Char,List Paragraph111 Char,L Char,F5 List Paragraph Char,Dot pt Char,CV text Char"/>
    <w:basedOn w:val="DefaultParagraphFont"/>
    <w:link w:val="ListParagraph"/>
    <w:uiPriority w:val="34"/>
    <w:locked/>
    <w:rsid w:val="007D480F"/>
    <w:rPr>
      <w:sz w:val="22"/>
    </w:rPr>
  </w:style>
  <w:style w:type="paragraph" w:customStyle="1" w:styleId="HD">
    <w:name w:val="HD"/>
    <w:aliases w:val="Division Heading"/>
    <w:basedOn w:val="Normal"/>
    <w:next w:val="Normal"/>
    <w:rsid w:val="007D480F"/>
    <w:pPr>
      <w:keepNext/>
      <w:spacing w:before="360" w:line="240" w:lineRule="auto"/>
      <w:ind w:left="2410" w:hanging="2410"/>
    </w:pPr>
    <w:rPr>
      <w:rFonts w:ascii="Arial" w:eastAsia="Times New Roman" w:hAnsi="Arial" w:cs="Times New Roman"/>
      <w:b/>
      <w:sz w:val="28"/>
      <w:szCs w:val="24"/>
      <w:lang w:eastAsia="en-AU"/>
    </w:rPr>
  </w:style>
  <w:style w:type="character" w:customStyle="1" w:styleId="notetextChar">
    <w:name w:val="note(text) Char"/>
    <w:aliases w:val="n Char"/>
    <w:basedOn w:val="DefaultParagraphFont"/>
    <w:link w:val="notetext"/>
    <w:rsid w:val="00920058"/>
    <w:rPr>
      <w:rFonts w:eastAsia="Times New Roman" w:cs="Times New Roman"/>
      <w:sz w:val="18"/>
      <w:lang w:eastAsia="en-AU"/>
    </w:rPr>
  </w:style>
  <w:style w:type="paragraph" w:customStyle="1" w:styleId="HP">
    <w:name w:val="HP"/>
    <w:aliases w:val="Part Heading"/>
    <w:basedOn w:val="Normal"/>
    <w:next w:val="Normal"/>
    <w:rsid w:val="00C65EDB"/>
    <w:pPr>
      <w:keepNext/>
      <w:spacing w:before="360" w:line="240" w:lineRule="auto"/>
      <w:ind w:left="2410" w:hanging="2410"/>
    </w:pPr>
    <w:rPr>
      <w:rFonts w:ascii="Arial" w:eastAsia="Times New Roman" w:hAnsi="Arial" w:cs="Times New Roman"/>
      <w:b/>
      <w:sz w:val="32"/>
      <w:szCs w:val="24"/>
    </w:rPr>
  </w:style>
  <w:style w:type="paragraph" w:customStyle="1" w:styleId="Default">
    <w:name w:val="Default"/>
    <w:rsid w:val="00C65EDB"/>
    <w:pPr>
      <w:autoSpaceDE w:val="0"/>
      <w:autoSpaceDN w:val="0"/>
      <w:adjustRightInd w:val="0"/>
    </w:pPr>
    <w:rPr>
      <w:rFonts w:eastAsia="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33509">
      <w:bodyDiv w:val="1"/>
      <w:marLeft w:val="0"/>
      <w:marRight w:val="0"/>
      <w:marTop w:val="0"/>
      <w:marBottom w:val="0"/>
      <w:divBdr>
        <w:top w:val="none" w:sz="0" w:space="0" w:color="auto"/>
        <w:left w:val="none" w:sz="0" w:space="0" w:color="auto"/>
        <w:bottom w:val="none" w:sz="0" w:space="0" w:color="auto"/>
        <w:right w:val="none" w:sz="0" w:space="0" w:color="auto"/>
      </w:divBdr>
    </w:div>
    <w:div w:id="1261642067">
      <w:bodyDiv w:val="1"/>
      <w:marLeft w:val="0"/>
      <w:marRight w:val="0"/>
      <w:marTop w:val="0"/>
      <w:marBottom w:val="0"/>
      <w:divBdr>
        <w:top w:val="none" w:sz="0" w:space="0" w:color="auto"/>
        <w:left w:val="none" w:sz="0" w:space="0" w:color="auto"/>
        <w:bottom w:val="none" w:sz="0" w:space="0" w:color="auto"/>
        <w:right w:val="none" w:sz="0" w:space="0" w:color="auto"/>
      </w:divBdr>
    </w:div>
    <w:div w:id="14268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ixon\AppData\Local\Microsoft\Windows\INetCache\IE\KI7BA63H\Amending%20Instrument%20Template.dotx%20-%20AUSTRAC%20-%209089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47DD-B6EB-488A-94FD-B3D7A714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Amending Instrument Template.dotx - AUSTRAC - 9089118</Template>
  <TotalTime>2</TotalTime>
  <Pages>9</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Dixon</dc:creator>
  <cp:lastModifiedBy>Hugh Dixon</cp:lastModifiedBy>
  <cp:revision>3</cp:revision>
  <cp:lastPrinted>2021-06-15T05:27:00Z</cp:lastPrinted>
  <dcterms:created xsi:type="dcterms:W3CDTF">2021-12-10T06:45:00Z</dcterms:created>
  <dcterms:modified xsi:type="dcterms:W3CDTF">2021-12-10T06:46:00Z</dcterms:modified>
</cp:coreProperties>
</file>