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324292" w:rsidRDefault="00FF6E25" w:rsidP="00FF6E25">
      <w:pPr>
        <w:jc w:val="center"/>
        <w:rPr>
          <w:rFonts w:asciiTheme="minorHAnsi" w:hAnsiTheme="minorHAnsi" w:cstheme="minorHAnsi"/>
          <w:b/>
          <w:szCs w:val="24"/>
          <w:u w:val="single"/>
        </w:rPr>
      </w:pPr>
      <w:r w:rsidRPr="00324292">
        <w:rPr>
          <w:rFonts w:asciiTheme="minorHAnsi" w:hAnsiTheme="minorHAnsi" w:cstheme="minorHAnsi"/>
          <w:b/>
          <w:szCs w:val="24"/>
          <w:u w:val="single"/>
        </w:rPr>
        <w:t>EXPLANATORY STATEMENT</w:t>
      </w:r>
    </w:p>
    <w:p w14:paraId="145EC655" w14:textId="147DF82C" w:rsidR="0088497A" w:rsidRPr="00324292" w:rsidRDefault="0088497A" w:rsidP="00FF6E25">
      <w:pPr>
        <w:jc w:val="center"/>
        <w:rPr>
          <w:rFonts w:asciiTheme="minorHAnsi" w:hAnsiTheme="minorHAnsi" w:cstheme="minorHAnsi"/>
          <w:szCs w:val="24"/>
          <w:u w:val="single"/>
        </w:rPr>
      </w:pPr>
      <w:r w:rsidRPr="00324292">
        <w:rPr>
          <w:rFonts w:asciiTheme="minorHAnsi" w:hAnsiTheme="minorHAnsi" w:cstheme="minorHAnsi"/>
          <w:szCs w:val="24"/>
          <w:u w:val="single"/>
        </w:rPr>
        <w:t>Issued by the authority of</w:t>
      </w:r>
      <w:r w:rsidR="00226847" w:rsidRPr="00324292">
        <w:rPr>
          <w:rFonts w:asciiTheme="minorHAnsi" w:hAnsiTheme="minorHAnsi" w:cstheme="minorHAnsi"/>
          <w:szCs w:val="24"/>
          <w:u w:val="single"/>
        </w:rPr>
        <w:t xml:space="preserve"> </w:t>
      </w:r>
      <w:r w:rsidR="008F4C91" w:rsidRPr="00324292">
        <w:rPr>
          <w:rFonts w:asciiTheme="minorHAnsi" w:hAnsiTheme="minorHAnsi" w:cstheme="minorHAnsi"/>
          <w:szCs w:val="24"/>
          <w:u w:val="single"/>
        </w:rPr>
        <w:t xml:space="preserve">the </w:t>
      </w:r>
      <w:r w:rsidR="002D7154" w:rsidRPr="00324292">
        <w:rPr>
          <w:rFonts w:asciiTheme="minorHAnsi" w:hAnsiTheme="minorHAnsi" w:cstheme="minorHAnsi"/>
          <w:szCs w:val="24"/>
          <w:u w:val="single"/>
        </w:rPr>
        <w:t>Minister for Employment, Workforce, Skills, Small and Family Business</w:t>
      </w:r>
    </w:p>
    <w:p w14:paraId="12EB6806" w14:textId="1D8679D7" w:rsidR="00455C2A" w:rsidRPr="00324292" w:rsidRDefault="00226847" w:rsidP="00FF6E25">
      <w:pPr>
        <w:jc w:val="center"/>
        <w:rPr>
          <w:rFonts w:asciiTheme="minorHAnsi" w:hAnsiTheme="minorHAnsi" w:cstheme="minorHAnsi"/>
          <w:b/>
          <w:i/>
          <w:szCs w:val="24"/>
        </w:rPr>
      </w:pPr>
      <w:r w:rsidRPr="00324292">
        <w:rPr>
          <w:rFonts w:asciiTheme="minorHAnsi" w:hAnsiTheme="minorHAnsi" w:cstheme="minorHAnsi"/>
          <w:b/>
          <w:i/>
          <w:szCs w:val="24"/>
        </w:rPr>
        <w:t>Higher Education Support Act 2003</w:t>
      </w:r>
    </w:p>
    <w:p w14:paraId="6C026A0C" w14:textId="57CC7749" w:rsidR="00503218" w:rsidRPr="00324292" w:rsidRDefault="00226847" w:rsidP="00DA552F">
      <w:pPr>
        <w:jc w:val="center"/>
        <w:rPr>
          <w:rFonts w:asciiTheme="minorHAnsi" w:hAnsiTheme="minorHAnsi" w:cstheme="minorHAnsi"/>
          <w:b/>
          <w:iCs/>
          <w:szCs w:val="24"/>
        </w:rPr>
      </w:pPr>
      <w:r w:rsidRPr="00324292">
        <w:rPr>
          <w:rFonts w:asciiTheme="minorHAnsi" w:hAnsiTheme="minorHAnsi" w:cstheme="minorHAnsi"/>
          <w:b/>
          <w:iCs/>
          <w:szCs w:val="24"/>
        </w:rPr>
        <w:t>Higher Education Support (Student Learning Entitlement) Guidelines 2021</w:t>
      </w:r>
    </w:p>
    <w:p w14:paraId="33AB2D38" w14:textId="77777777" w:rsidR="00455C2A" w:rsidRPr="00324292" w:rsidRDefault="00144950" w:rsidP="00F513EB">
      <w:pPr>
        <w:pStyle w:val="Heading2"/>
        <w:rPr>
          <w:rFonts w:asciiTheme="minorHAnsi" w:hAnsiTheme="minorHAnsi" w:cstheme="minorHAnsi"/>
          <w:color w:val="auto"/>
        </w:rPr>
      </w:pPr>
      <w:bookmarkStart w:id="0" w:name="_Toc23942238"/>
      <w:bookmarkStart w:id="1" w:name="_Toc34293358"/>
      <w:r w:rsidRPr="00324292">
        <w:rPr>
          <w:rFonts w:asciiTheme="minorHAnsi" w:hAnsiTheme="minorHAnsi" w:cstheme="minorHAnsi"/>
          <w:color w:val="auto"/>
        </w:rPr>
        <w:t>AUTHORITY</w:t>
      </w:r>
    </w:p>
    <w:bookmarkEnd w:id="0"/>
    <w:bookmarkEnd w:id="1"/>
    <w:p w14:paraId="08F9C201" w14:textId="20FBE4FE" w:rsidR="00B5624C" w:rsidRPr="00324292" w:rsidRDefault="00B5624C" w:rsidP="00B5624C">
      <w:pPr>
        <w:pStyle w:val="Heading2"/>
        <w:keepNext w:val="0"/>
        <w:keepLines w:val="0"/>
        <w:spacing w:after="240"/>
        <w:rPr>
          <w:rFonts w:ascii="Calibri" w:hAnsi="Calibri" w:cs="Calibri"/>
          <w:b w:val="0"/>
          <w:bCs/>
          <w:szCs w:val="24"/>
        </w:rPr>
      </w:pPr>
      <w:r w:rsidRPr="00324292">
        <w:rPr>
          <w:rFonts w:ascii="Calibri" w:hAnsi="Calibri" w:cs="Calibri"/>
          <w:b w:val="0"/>
          <w:bCs/>
          <w:szCs w:val="24"/>
        </w:rPr>
        <w:t xml:space="preserve">The </w:t>
      </w:r>
      <w:r w:rsidRPr="00324292">
        <w:rPr>
          <w:rFonts w:ascii="Calibri" w:hAnsi="Calibri" w:cs="Calibri"/>
          <w:b w:val="0"/>
          <w:bCs/>
          <w:i/>
          <w:iCs/>
          <w:szCs w:val="24"/>
        </w:rPr>
        <w:t>Higher Education Support (Student Learning Entitlement</w:t>
      </w:r>
      <w:r w:rsidR="00B6465F" w:rsidRPr="00324292">
        <w:rPr>
          <w:rFonts w:ascii="Calibri" w:hAnsi="Calibri" w:cs="Calibri"/>
          <w:b w:val="0"/>
          <w:bCs/>
          <w:i/>
          <w:iCs/>
          <w:szCs w:val="24"/>
        </w:rPr>
        <w:t>) Guidelines</w:t>
      </w:r>
      <w:r w:rsidRPr="00324292">
        <w:rPr>
          <w:rFonts w:ascii="Calibri" w:hAnsi="Calibri" w:cs="Calibri"/>
          <w:b w:val="0"/>
          <w:bCs/>
          <w:i/>
          <w:iCs/>
          <w:szCs w:val="24"/>
        </w:rPr>
        <w:t xml:space="preserve"> 2021</w:t>
      </w:r>
      <w:r w:rsidRPr="00324292">
        <w:rPr>
          <w:rFonts w:ascii="Calibri" w:hAnsi="Calibri" w:cs="Calibri"/>
          <w:b w:val="0"/>
          <w:bCs/>
          <w:szCs w:val="24"/>
        </w:rPr>
        <w:t xml:space="preserve"> (</w:t>
      </w:r>
      <w:r w:rsidR="00677CB0" w:rsidRPr="00324292">
        <w:rPr>
          <w:rFonts w:ascii="Calibri" w:hAnsi="Calibri" w:cs="Calibri"/>
          <w:b w:val="0"/>
          <w:bCs/>
          <w:szCs w:val="24"/>
        </w:rPr>
        <w:t xml:space="preserve">SLE </w:t>
      </w:r>
      <w:r w:rsidRPr="00324292">
        <w:rPr>
          <w:rFonts w:ascii="Calibri" w:hAnsi="Calibri" w:cs="Calibri"/>
          <w:szCs w:val="24"/>
        </w:rPr>
        <w:t>Guidelines</w:t>
      </w:r>
      <w:r w:rsidRPr="00324292">
        <w:rPr>
          <w:rFonts w:ascii="Calibri" w:hAnsi="Calibri" w:cs="Calibri"/>
          <w:b w:val="0"/>
          <w:bCs/>
          <w:szCs w:val="24"/>
        </w:rPr>
        <w:t xml:space="preserve">) are made under section 238-10 of the </w:t>
      </w:r>
      <w:r w:rsidRPr="00324292">
        <w:rPr>
          <w:rFonts w:ascii="Calibri" w:hAnsi="Calibri" w:cs="Calibri"/>
          <w:b w:val="0"/>
          <w:bCs/>
          <w:i/>
          <w:iCs/>
          <w:szCs w:val="24"/>
        </w:rPr>
        <w:t>Higher Education Support Act 2003</w:t>
      </w:r>
      <w:r w:rsidRPr="00324292">
        <w:rPr>
          <w:rFonts w:ascii="Calibri" w:hAnsi="Calibri" w:cs="Calibri"/>
          <w:b w:val="0"/>
          <w:bCs/>
          <w:szCs w:val="24"/>
        </w:rPr>
        <w:t xml:space="preserve"> (</w:t>
      </w:r>
      <w:r w:rsidRPr="00324292">
        <w:rPr>
          <w:rFonts w:ascii="Calibri" w:hAnsi="Calibri" w:cs="Calibri"/>
          <w:szCs w:val="24"/>
        </w:rPr>
        <w:t>HESA</w:t>
      </w:r>
      <w:r w:rsidRPr="00324292">
        <w:rPr>
          <w:rFonts w:ascii="Calibri" w:hAnsi="Calibri" w:cs="Calibri"/>
          <w:b w:val="0"/>
          <w:bCs/>
          <w:szCs w:val="24"/>
        </w:rPr>
        <w:t>).</w:t>
      </w:r>
    </w:p>
    <w:p w14:paraId="70945137" w14:textId="7A8CB305" w:rsidR="00B5624C" w:rsidRPr="00324292" w:rsidRDefault="00B5624C" w:rsidP="00B5624C">
      <w:pPr>
        <w:pStyle w:val="Heading2"/>
        <w:keepNext w:val="0"/>
        <w:keepLines w:val="0"/>
        <w:spacing w:after="240"/>
        <w:rPr>
          <w:rFonts w:ascii="Calibri" w:hAnsi="Calibri" w:cs="Calibri"/>
          <w:b w:val="0"/>
          <w:bCs/>
          <w:szCs w:val="24"/>
        </w:rPr>
      </w:pPr>
      <w:r w:rsidRPr="00324292">
        <w:rPr>
          <w:rFonts w:ascii="Calibri" w:hAnsi="Calibri" w:cs="Calibri"/>
          <w:b w:val="0"/>
          <w:bCs/>
          <w:szCs w:val="24"/>
        </w:rPr>
        <w:t xml:space="preserve">Subsection 238-10(1) of HESA provides that the Minister may, by legislative instrument, make Guidelines </w:t>
      </w:r>
      <w:r w:rsidR="00677CB0" w:rsidRPr="00324292">
        <w:rPr>
          <w:rFonts w:ascii="Calibri" w:hAnsi="Calibri" w:cs="Calibri"/>
          <w:b w:val="0"/>
          <w:bCs/>
          <w:szCs w:val="24"/>
        </w:rPr>
        <w:t xml:space="preserve">as </w:t>
      </w:r>
      <w:r w:rsidRPr="00324292">
        <w:rPr>
          <w:rFonts w:ascii="Calibri" w:hAnsi="Calibri" w:cs="Calibri"/>
          <w:b w:val="0"/>
          <w:bCs/>
          <w:szCs w:val="24"/>
        </w:rPr>
        <w:t>specified in the table in subsection 238</w:t>
      </w:r>
      <w:r w:rsidR="00677CB0" w:rsidRPr="00324292">
        <w:rPr>
          <w:rFonts w:ascii="Calibri" w:hAnsi="Calibri" w:cs="Calibri"/>
          <w:b w:val="0"/>
          <w:bCs/>
          <w:szCs w:val="24"/>
        </w:rPr>
        <w:t>-10</w:t>
      </w:r>
      <w:r w:rsidRPr="00324292">
        <w:rPr>
          <w:rFonts w:ascii="Calibri" w:hAnsi="Calibri" w:cs="Calibri"/>
          <w:b w:val="0"/>
          <w:bCs/>
          <w:szCs w:val="24"/>
        </w:rPr>
        <w:t xml:space="preserve">(1) providing for matters: (a) required or permitted to be provided, or (b) necessary or convenient to be provided to carry out or give effect to the provisions set out in that table. Relevantly, from 1 January 2022, the Minister is empowered to make the Student Learning Entitlement Guidelines providing for matters that are required or permitted to be provided by Part 3-1 of HESA, or necessary or convenient to be provided to carry out or give effect to Part 3-1 of HESA (refer to Schedule 4B to the </w:t>
      </w:r>
      <w:r w:rsidRPr="00324292">
        <w:rPr>
          <w:rFonts w:ascii="Calibri" w:hAnsi="Calibri" w:cs="Calibri"/>
          <w:b w:val="0"/>
          <w:bCs/>
          <w:i/>
          <w:iCs/>
          <w:szCs w:val="24"/>
        </w:rPr>
        <w:t>Higher Education Support Amendment (Job-Ready Graduates and Supporting Regional and Remote Students) Act 2020</w:t>
      </w:r>
      <w:r w:rsidRPr="00324292">
        <w:rPr>
          <w:rFonts w:ascii="Calibri" w:hAnsi="Calibri" w:cs="Calibri"/>
          <w:b w:val="0"/>
          <w:bCs/>
          <w:szCs w:val="24"/>
        </w:rPr>
        <w:t xml:space="preserve"> (</w:t>
      </w:r>
      <w:r w:rsidRPr="00324292">
        <w:rPr>
          <w:rFonts w:ascii="Calibri" w:hAnsi="Calibri" w:cs="Calibri"/>
          <w:szCs w:val="24"/>
        </w:rPr>
        <w:t>Amendment Act</w:t>
      </w:r>
      <w:r w:rsidRPr="00324292">
        <w:rPr>
          <w:rFonts w:ascii="Calibri" w:hAnsi="Calibri" w:cs="Calibri"/>
          <w:b w:val="0"/>
          <w:bCs/>
          <w:szCs w:val="24"/>
        </w:rPr>
        <w:t xml:space="preserve">). </w:t>
      </w:r>
    </w:p>
    <w:p w14:paraId="04FC954F" w14:textId="49D1FA4D" w:rsidR="00B5624C" w:rsidRPr="00324292" w:rsidRDefault="00B5624C" w:rsidP="00B5624C">
      <w:pPr>
        <w:pStyle w:val="Heading2"/>
        <w:keepNext w:val="0"/>
        <w:keepLines w:val="0"/>
        <w:spacing w:after="240"/>
        <w:rPr>
          <w:rFonts w:ascii="Calibri" w:hAnsi="Calibri" w:cs="Calibri"/>
          <w:b w:val="0"/>
          <w:bCs/>
          <w:szCs w:val="24"/>
        </w:rPr>
      </w:pPr>
      <w:r w:rsidRPr="00324292">
        <w:rPr>
          <w:rFonts w:ascii="Calibri" w:hAnsi="Calibri" w:cs="Calibri"/>
          <w:b w:val="0"/>
          <w:bCs/>
          <w:szCs w:val="24"/>
        </w:rPr>
        <w:t xml:space="preserve">The Minister may, in accordance with subsection 4(2) of the </w:t>
      </w:r>
      <w:r w:rsidRPr="00324292">
        <w:rPr>
          <w:rFonts w:ascii="Calibri" w:hAnsi="Calibri" w:cs="Calibri"/>
          <w:b w:val="0"/>
          <w:bCs/>
          <w:i/>
          <w:iCs/>
          <w:szCs w:val="24"/>
        </w:rPr>
        <w:t>Acts Interpretation Act 1901</w:t>
      </w:r>
      <w:r w:rsidRPr="00324292">
        <w:rPr>
          <w:rFonts w:ascii="Calibri" w:hAnsi="Calibri" w:cs="Calibri"/>
          <w:b w:val="0"/>
          <w:bCs/>
          <w:szCs w:val="24"/>
        </w:rPr>
        <w:t xml:space="preserve"> (</w:t>
      </w:r>
      <w:r w:rsidRPr="00324292">
        <w:rPr>
          <w:rFonts w:ascii="Calibri" w:hAnsi="Calibri" w:cs="Calibri"/>
          <w:szCs w:val="24"/>
        </w:rPr>
        <w:t>AIA</w:t>
      </w:r>
      <w:r w:rsidRPr="00324292">
        <w:rPr>
          <w:rFonts w:ascii="Calibri" w:hAnsi="Calibri" w:cs="Calibri"/>
          <w:b w:val="0"/>
          <w:bCs/>
          <w:szCs w:val="24"/>
        </w:rPr>
        <w:t xml:space="preserve">), exercise the power to make the </w:t>
      </w:r>
      <w:r w:rsidR="00677CB0" w:rsidRPr="00324292">
        <w:rPr>
          <w:rFonts w:ascii="Calibri" w:hAnsi="Calibri" w:cs="Calibri"/>
          <w:b w:val="0"/>
          <w:bCs/>
          <w:szCs w:val="24"/>
        </w:rPr>
        <w:t xml:space="preserve">SLE </w:t>
      </w:r>
      <w:r w:rsidRPr="00324292">
        <w:rPr>
          <w:rFonts w:ascii="Calibri" w:hAnsi="Calibri" w:cs="Calibri"/>
          <w:b w:val="0"/>
          <w:bCs/>
          <w:szCs w:val="24"/>
        </w:rPr>
        <w:t xml:space="preserve">Guidelines in the period after the Amendment Act is enacted but before the enabling provisions commence. If the </w:t>
      </w:r>
      <w:r w:rsidR="00677CB0" w:rsidRPr="00324292">
        <w:rPr>
          <w:rFonts w:ascii="Calibri" w:hAnsi="Calibri" w:cs="Calibri"/>
          <w:b w:val="0"/>
          <w:bCs/>
          <w:szCs w:val="24"/>
        </w:rPr>
        <w:t xml:space="preserve">SLE </w:t>
      </w:r>
      <w:r w:rsidRPr="00324292">
        <w:rPr>
          <w:rFonts w:ascii="Calibri" w:hAnsi="Calibri" w:cs="Calibri"/>
          <w:b w:val="0"/>
          <w:bCs/>
          <w:szCs w:val="24"/>
        </w:rPr>
        <w:t xml:space="preserve">Guidelines are made and registered before 1 January 2022, the Minister relies on this power to ensure the </w:t>
      </w:r>
      <w:r w:rsidR="00677CB0" w:rsidRPr="00324292">
        <w:rPr>
          <w:rFonts w:ascii="Calibri" w:hAnsi="Calibri" w:cs="Calibri"/>
          <w:b w:val="0"/>
          <w:bCs/>
          <w:szCs w:val="24"/>
        </w:rPr>
        <w:t xml:space="preserve">SLE </w:t>
      </w:r>
      <w:r w:rsidRPr="00324292">
        <w:rPr>
          <w:rFonts w:ascii="Calibri" w:hAnsi="Calibri" w:cs="Calibri"/>
          <w:b w:val="0"/>
          <w:bCs/>
          <w:szCs w:val="24"/>
        </w:rPr>
        <w:t>Guidelines will become effective from 1 January 2022, at the same time as Part 3-1 of HESA (containing the substantive provisions relating to the Student Learning Entitlement) commence</w:t>
      </w:r>
      <w:r w:rsidR="000A6BB3" w:rsidRPr="00324292">
        <w:rPr>
          <w:rFonts w:ascii="Calibri" w:hAnsi="Calibri" w:cs="Calibri"/>
          <w:b w:val="0"/>
          <w:bCs/>
          <w:szCs w:val="24"/>
        </w:rPr>
        <w:t>s</w:t>
      </w:r>
      <w:r w:rsidRPr="00324292">
        <w:rPr>
          <w:rFonts w:ascii="Calibri" w:hAnsi="Calibri" w:cs="Calibri"/>
          <w:b w:val="0"/>
          <w:bCs/>
          <w:szCs w:val="24"/>
        </w:rPr>
        <w:t>.</w:t>
      </w:r>
    </w:p>
    <w:p w14:paraId="56CDA376" w14:textId="15BA1D28" w:rsidR="00DA552F" w:rsidRPr="00324292" w:rsidRDefault="0047199D" w:rsidP="00F513EB">
      <w:pPr>
        <w:pStyle w:val="Heading2"/>
        <w:rPr>
          <w:rFonts w:asciiTheme="minorHAnsi" w:hAnsiTheme="minorHAnsi" w:cstheme="minorHAnsi"/>
          <w:color w:val="auto"/>
        </w:rPr>
      </w:pPr>
      <w:r w:rsidRPr="00324292">
        <w:rPr>
          <w:rFonts w:asciiTheme="minorHAnsi" w:hAnsiTheme="minorHAnsi" w:cstheme="minorHAnsi"/>
          <w:color w:val="auto"/>
        </w:rPr>
        <w:t xml:space="preserve">BACKGROUND, </w:t>
      </w:r>
      <w:r w:rsidR="00144950" w:rsidRPr="00324292">
        <w:rPr>
          <w:rFonts w:asciiTheme="minorHAnsi" w:hAnsiTheme="minorHAnsi" w:cstheme="minorHAnsi"/>
          <w:color w:val="auto"/>
        </w:rPr>
        <w:t>PURPOSE AND OPERATION</w:t>
      </w:r>
    </w:p>
    <w:p w14:paraId="5EA64A17" w14:textId="110CD133" w:rsidR="00B5624C" w:rsidRPr="00324292" w:rsidRDefault="00B5624C" w:rsidP="00B5624C">
      <w:pPr>
        <w:pStyle w:val="Heading2"/>
        <w:keepNext w:val="0"/>
        <w:keepLines w:val="0"/>
        <w:spacing w:after="240"/>
        <w:rPr>
          <w:rFonts w:ascii="Calibri" w:hAnsi="Calibri" w:cs="Calibri"/>
          <w:b w:val="0"/>
          <w:bCs/>
          <w:color w:val="auto"/>
          <w:szCs w:val="24"/>
        </w:rPr>
      </w:pPr>
      <w:r w:rsidRPr="00324292">
        <w:rPr>
          <w:rFonts w:ascii="Calibri" w:hAnsi="Calibri" w:cs="Calibri"/>
          <w:b w:val="0"/>
          <w:bCs/>
          <w:szCs w:val="24"/>
        </w:rPr>
        <w:t xml:space="preserve">A </w:t>
      </w:r>
      <w:r w:rsidRPr="00324292">
        <w:rPr>
          <w:rFonts w:ascii="Calibri" w:hAnsi="Calibri" w:cs="Calibri"/>
          <w:b w:val="0"/>
          <w:bCs/>
          <w:color w:val="auto"/>
          <w:szCs w:val="24"/>
        </w:rPr>
        <w:t xml:space="preserve">person may be a Commonwealth supported student in relation to a unit </w:t>
      </w:r>
      <w:r w:rsidR="00AC4C0F" w:rsidRPr="00324292">
        <w:rPr>
          <w:rFonts w:ascii="Calibri" w:hAnsi="Calibri" w:cs="Calibri"/>
          <w:b w:val="0"/>
          <w:bCs/>
          <w:color w:val="auto"/>
          <w:szCs w:val="24"/>
        </w:rPr>
        <w:t xml:space="preserve">of study </w:t>
      </w:r>
      <w:r w:rsidRPr="00324292">
        <w:rPr>
          <w:rFonts w:ascii="Calibri" w:hAnsi="Calibri" w:cs="Calibri"/>
          <w:b w:val="0"/>
          <w:bCs/>
          <w:color w:val="auto"/>
          <w:szCs w:val="24"/>
        </w:rPr>
        <w:t xml:space="preserve">(and therefore be entitled to HECS-HELP assistance for that unit) if, among other things, the unit is covered by the person’s Student Learning Entitlement (see sections 36-10 and 90-1 of HESA). A person’s SLE amount </w:t>
      </w:r>
      <w:r w:rsidR="002F4E5D" w:rsidRPr="00324292">
        <w:rPr>
          <w:rFonts w:ascii="Calibri" w:hAnsi="Calibri" w:cs="Calibri"/>
          <w:b w:val="0"/>
          <w:bCs/>
          <w:color w:val="auto"/>
          <w:szCs w:val="24"/>
        </w:rPr>
        <w:t xml:space="preserve">(as referred to in section 73-1 of HESA) </w:t>
      </w:r>
      <w:r w:rsidRPr="00324292">
        <w:rPr>
          <w:rFonts w:ascii="Calibri" w:hAnsi="Calibri" w:cs="Calibri"/>
          <w:b w:val="0"/>
          <w:bCs/>
          <w:color w:val="auto"/>
          <w:szCs w:val="24"/>
        </w:rPr>
        <w:t>is reduced as the person undertakes units of study as a Commonwealth supported student. The person’s SLE amount may also be re-credited in certain circumstances.</w:t>
      </w:r>
    </w:p>
    <w:p w14:paraId="2A4879FF" w14:textId="04BBF420" w:rsidR="00B5624C" w:rsidRPr="00324292" w:rsidRDefault="00B5624C" w:rsidP="00B5624C">
      <w:pPr>
        <w:pStyle w:val="Heading2"/>
        <w:keepNext w:val="0"/>
        <w:keepLines w:val="0"/>
        <w:spacing w:after="240"/>
        <w:rPr>
          <w:rFonts w:ascii="Calibri" w:hAnsi="Calibri" w:cs="Calibri"/>
          <w:b w:val="0"/>
          <w:bCs/>
          <w:color w:val="auto"/>
          <w:szCs w:val="24"/>
        </w:rPr>
      </w:pPr>
      <w:r w:rsidRPr="00324292">
        <w:rPr>
          <w:rFonts w:ascii="Calibri" w:hAnsi="Calibri" w:cs="Calibri"/>
          <w:b w:val="0"/>
          <w:bCs/>
          <w:color w:val="auto"/>
          <w:szCs w:val="24"/>
        </w:rPr>
        <w:t xml:space="preserve">Part 3-1 of HESA deals with the Student Learning Entitlement. Section 70-5 of HESA provides that the Student Learning Entitlement is also dealt with in the Student Learning Entitlement Guidelines, and that the provisions of Part 3-1 indicate when a particular matter is or may be dealt with </w:t>
      </w:r>
      <w:r w:rsidR="00AC4C0F" w:rsidRPr="00324292">
        <w:rPr>
          <w:rFonts w:ascii="Calibri" w:hAnsi="Calibri" w:cs="Calibri"/>
          <w:b w:val="0"/>
          <w:bCs/>
          <w:color w:val="auto"/>
          <w:szCs w:val="24"/>
        </w:rPr>
        <w:t xml:space="preserve">in </w:t>
      </w:r>
      <w:r w:rsidRPr="00324292">
        <w:rPr>
          <w:rFonts w:ascii="Calibri" w:hAnsi="Calibri" w:cs="Calibri"/>
          <w:b w:val="0"/>
          <w:bCs/>
          <w:color w:val="auto"/>
          <w:szCs w:val="24"/>
        </w:rPr>
        <w:t>the Student Learning Entitlement Guidelines.</w:t>
      </w:r>
    </w:p>
    <w:p w14:paraId="397CF511" w14:textId="38BD4417" w:rsidR="00B5624C" w:rsidRPr="00324292" w:rsidRDefault="00B5624C" w:rsidP="00B5624C">
      <w:pPr>
        <w:pStyle w:val="Heading2"/>
        <w:keepNext w:val="0"/>
        <w:keepLines w:val="0"/>
        <w:spacing w:after="240"/>
        <w:rPr>
          <w:rFonts w:ascii="Calibri" w:hAnsi="Calibri" w:cs="Calibri"/>
          <w:b w:val="0"/>
          <w:bCs/>
          <w:szCs w:val="24"/>
        </w:rPr>
      </w:pPr>
      <w:r w:rsidRPr="00324292">
        <w:rPr>
          <w:rFonts w:ascii="Calibri" w:hAnsi="Calibri" w:cs="Calibri"/>
          <w:b w:val="0"/>
          <w:bCs/>
          <w:szCs w:val="24"/>
        </w:rPr>
        <w:lastRenderedPageBreak/>
        <w:t>Under section 73-1</w:t>
      </w:r>
      <w:r w:rsidR="002F4E5D" w:rsidRPr="00324292">
        <w:rPr>
          <w:rFonts w:ascii="Calibri" w:hAnsi="Calibri" w:cs="Calibri"/>
          <w:b w:val="0"/>
          <w:bCs/>
          <w:szCs w:val="24"/>
        </w:rPr>
        <w:t xml:space="preserve"> of HESA</w:t>
      </w:r>
      <w:r w:rsidRPr="00324292">
        <w:rPr>
          <w:rFonts w:ascii="Calibri" w:hAnsi="Calibri" w:cs="Calibri"/>
          <w:b w:val="0"/>
          <w:bCs/>
          <w:szCs w:val="24"/>
        </w:rPr>
        <w:t xml:space="preserve">, a person’s Student Learning Entitlement is an entitlement that consists of: </w:t>
      </w:r>
    </w:p>
    <w:p w14:paraId="09D26751" w14:textId="1E9F02FA" w:rsidR="00B5624C" w:rsidRPr="00324292" w:rsidRDefault="00B5624C" w:rsidP="00B5624C">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ordinary SLE that the person has – being the equivalent of 7 years of </w:t>
      </w:r>
      <w:r w:rsidR="0047199D" w:rsidRPr="00324292">
        <w:rPr>
          <w:rFonts w:ascii="Calibri" w:hAnsi="Calibri" w:cs="Calibri"/>
          <w:b w:val="0"/>
          <w:bCs/>
          <w:szCs w:val="24"/>
        </w:rPr>
        <w:t xml:space="preserve">full-time </w:t>
      </w:r>
      <w:r w:rsidRPr="00324292">
        <w:rPr>
          <w:rFonts w:ascii="Calibri" w:hAnsi="Calibri" w:cs="Calibri"/>
          <w:b w:val="0"/>
          <w:bCs/>
          <w:szCs w:val="24"/>
        </w:rPr>
        <w:t xml:space="preserve">study. </w:t>
      </w:r>
      <w:r w:rsidR="008F1EB6" w:rsidRPr="00324292">
        <w:rPr>
          <w:rFonts w:ascii="Calibri" w:hAnsi="Calibri" w:cs="Calibri"/>
          <w:b w:val="0"/>
          <w:bCs/>
          <w:szCs w:val="24"/>
        </w:rPr>
        <w:t xml:space="preserve">Generally, this would cover </w:t>
      </w:r>
      <w:r w:rsidRPr="00324292">
        <w:rPr>
          <w:rFonts w:ascii="Calibri" w:hAnsi="Calibri" w:cs="Calibri"/>
          <w:b w:val="0"/>
          <w:bCs/>
          <w:szCs w:val="24"/>
        </w:rPr>
        <w:t xml:space="preserve">a student’s undergraduate </w:t>
      </w:r>
      <w:proofErr w:type="gramStart"/>
      <w:r w:rsidRPr="00324292">
        <w:rPr>
          <w:rFonts w:ascii="Calibri" w:hAnsi="Calibri" w:cs="Calibri"/>
          <w:b w:val="0"/>
          <w:bCs/>
          <w:szCs w:val="24"/>
        </w:rPr>
        <w:t>studies;</w:t>
      </w:r>
      <w:proofErr w:type="gramEnd"/>
      <w:r w:rsidRPr="00324292">
        <w:rPr>
          <w:rFonts w:ascii="Calibri" w:hAnsi="Calibri" w:cs="Calibri"/>
          <w:b w:val="0"/>
          <w:bCs/>
          <w:szCs w:val="24"/>
        </w:rPr>
        <w:t xml:space="preserve"> </w:t>
      </w:r>
    </w:p>
    <w:p w14:paraId="67D2559B" w14:textId="77276FA0" w:rsidR="00B5624C" w:rsidRPr="00324292" w:rsidRDefault="00B5624C" w:rsidP="00B5624C">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any additional SLE that the person has – being an extra amount of SLE a person has if they are enrolled in a course of study (or course of study of a kind) specified in the Student Learning Entitlement Guidelines and if they meet any other requirements specified in those Guidelines. </w:t>
      </w:r>
      <w:r w:rsidR="008F1EB6" w:rsidRPr="00324292">
        <w:rPr>
          <w:rFonts w:ascii="Calibri" w:hAnsi="Calibri" w:cs="Calibri"/>
          <w:b w:val="0"/>
          <w:bCs/>
          <w:szCs w:val="24"/>
        </w:rPr>
        <w:t xml:space="preserve">Generally, additional SLE </w:t>
      </w:r>
      <w:r w:rsidRPr="00324292">
        <w:rPr>
          <w:rFonts w:ascii="Calibri" w:hAnsi="Calibri" w:cs="Calibri"/>
          <w:b w:val="0"/>
          <w:bCs/>
          <w:szCs w:val="24"/>
        </w:rPr>
        <w:t>is intended to cover</w:t>
      </w:r>
      <w:r w:rsidR="009472E0" w:rsidRPr="00324292">
        <w:rPr>
          <w:rFonts w:ascii="Calibri" w:hAnsi="Calibri" w:cs="Calibri"/>
          <w:b w:val="0"/>
          <w:bCs/>
          <w:szCs w:val="24"/>
        </w:rPr>
        <w:t xml:space="preserve"> longer undergraduate courses of study and</w:t>
      </w:r>
      <w:r w:rsidRPr="00324292">
        <w:rPr>
          <w:rFonts w:ascii="Calibri" w:hAnsi="Calibri" w:cs="Calibri"/>
          <w:b w:val="0"/>
          <w:bCs/>
          <w:szCs w:val="24"/>
        </w:rPr>
        <w:t xml:space="preserve"> further studies in honours or postgraduate </w:t>
      </w:r>
      <w:proofErr w:type="gramStart"/>
      <w:r w:rsidRPr="00324292">
        <w:rPr>
          <w:rFonts w:ascii="Calibri" w:hAnsi="Calibri" w:cs="Calibri"/>
          <w:b w:val="0"/>
          <w:bCs/>
          <w:szCs w:val="24"/>
        </w:rPr>
        <w:t>courses;</w:t>
      </w:r>
      <w:proofErr w:type="gramEnd"/>
    </w:p>
    <w:p w14:paraId="0B2B0A95" w14:textId="3EF254AC" w:rsidR="00B5624C" w:rsidRPr="00324292" w:rsidRDefault="00B5624C" w:rsidP="00B5624C">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any lifelong SLE that the person has – being an extra amount of SLE a person has in the circumstances specified in the Student Learning Entitlement Guidelines. </w:t>
      </w:r>
      <w:r w:rsidR="008F1EB6" w:rsidRPr="00324292">
        <w:rPr>
          <w:rFonts w:ascii="Calibri" w:hAnsi="Calibri" w:cs="Calibri"/>
          <w:b w:val="0"/>
          <w:bCs/>
          <w:szCs w:val="24"/>
        </w:rPr>
        <w:t xml:space="preserve">Generally, lifelong SLE </w:t>
      </w:r>
      <w:r w:rsidRPr="00324292">
        <w:rPr>
          <w:rFonts w:ascii="Calibri" w:hAnsi="Calibri" w:cs="Calibri"/>
          <w:b w:val="0"/>
          <w:bCs/>
          <w:szCs w:val="24"/>
        </w:rPr>
        <w:t xml:space="preserve">is intended to cover further studies later in a person’s career. </w:t>
      </w:r>
    </w:p>
    <w:p w14:paraId="0D419F7E" w14:textId="2CB7AB01" w:rsidR="00B5624C" w:rsidRPr="00324292" w:rsidRDefault="00B5624C" w:rsidP="00B5624C">
      <w:pPr>
        <w:pStyle w:val="Heading2"/>
        <w:keepNext w:val="0"/>
        <w:keepLines w:val="0"/>
        <w:spacing w:after="240"/>
        <w:rPr>
          <w:rFonts w:ascii="Calibri" w:hAnsi="Calibri" w:cs="Calibri"/>
          <w:b w:val="0"/>
          <w:bCs/>
          <w:szCs w:val="24"/>
        </w:rPr>
      </w:pPr>
      <w:r w:rsidRPr="00324292">
        <w:rPr>
          <w:rFonts w:ascii="Calibri" w:hAnsi="Calibri" w:cs="Calibri"/>
          <w:b w:val="0"/>
          <w:bCs/>
          <w:szCs w:val="24"/>
        </w:rPr>
        <w:t xml:space="preserve">A person’s SLE amount at a particular </w:t>
      </w:r>
      <w:r w:rsidR="00300ABC" w:rsidRPr="00324292">
        <w:rPr>
          <w:rFonts w:ascii="Calibri" w:hAnsi="Calibri" w:cs="Calibri"/>
          <w:b w:val="0"/>
          <w:bCs/>
          <w:szCs w:val="24"/>
        </w:rPr>
        <w:t>time</w:t>
      </w:r>
      <w:r w:rsidRPr="00324292">
        <w:rPr>
          <w:rFonts w:ascii="Calibri" w:hAnsi="Calibri" w:cs="Calibri"/>
          <w:b w:val="0"/>
          <w:bCs/>
          <w:szCs w:val="24"/>
        </w:rPr>
        <w:t xml:space="preserve"> is the sum of: (a) the amount of ordinary SLE that the person has under subsection 73-5(3), (b) the amount of any additional SLE that the person has under subsection 73-10(3), (c) the amount of any lifelong SLE that the person has under subsection 73-15(3), </w:t>
      </w:r>
      <w:proofErr w:type="gramStart"/>
      <w:r w:rsidRPr="00324292">
        <w:rPr>
          <w:rFonts w:ascii="Calibri" w:hAnsi="Calibri" w:cs="Calibri"/>
          <w:b w:val="0"/>
          <w:bCs/>
          <w:szCs w:val="24"/>
        </w:rPr>
        <w:t>taking into account</w:t>
      </w:r>
      <w:proofErr w:type="gramEnd"/>
      <w:r w:rsidRPr="00324292">
        <w:rPr>
          <w:rFonts w:ascii="Calibri" w:hAnsi="Calibri" w:cs="Calibri"/>
          <w:b w:val="0"/>
          <w:bCs/>
          <w:szCs w:val="24"/>
        </w:rPr>
        <w:t xml:space="preserve"> any reduction or re-crediting that has occurred before that time under Division 76 or 79</w:t>
      </w:r>
      <w:r w:rsidR="00610EEF" w:rsidRPr="00324292">
        <w:rPr>
          <w:rFonts w:ascii="Calibri" w:hAnsi="Calibri" w:cs="Calibri"/>
          <w:b w:val="0"/>
          <w:bCs/>
          <w:szCs w:val="24"/>
        </w:rPr>
        <w:t xml:space="preserve"> of HESA</w:t>
      </w:r>
      <w:r w:rsidRPr="00324292">
        <w:rPr>
          <w:rFonts w:ascii="Calibri" w:hAnsi="Calibri" w:cs="Calibri"/>
          <w:b w:val="0"/>
          <w:bCs/>
          <w:szCs w:val="24"/>
        </w:rPr>
        <w:t xml:space="preserve">, respectively. </w:t>
      </w:r>
    </w:p>
    <w:p w14:paraId="29906271" w14:textId="2D0AC003" w:rsidR="00B5624C" w:rsidRPr="00324292" w:rsidRDefault="00B5624C" w:rsidP="00B5624C">
      <w:pPr>
        <w:pStyle w:val="Heading2"/>
        <w:keepNext w:val="0"/>
        <w:keepLines w:val="0"/>
        <w:spacing w:after="240"/>
        <w:rPr>
          <w:rFonts w:ascii="Calibri" w:hAnsi="Calibri" w:cs="Calibri"/>
          <w:b w:val="0"/>
          <w:bCs/>
          <w:szCs w:val="24"/>
        </w:rPr>
      </w:pPr>
      <w:r w:rsidRPr="00324292">
        <w:rPr>
          <w:rFonts w:ascii="Calibri" w:hAnsi="Calibri" w:cs="Calibri"/>
          <w:b w:val="0"/>
          <w:bCs/>
          <w:szCs w:val="24"/>
        </w:rPr>
        <w:t xml:space="preserve">The purpose of the </w:t>
      </w:r>
      <w:r w:rsidR="00677CB0" w:rsidRPr="00324292">
        <w:rPr>
          <w:rFonts w:ascii="Calibri" w:hAnsi="Calibri" w:cs="Calibri"/>
          <w:b w:val="0"/>
          <w:bCs/>
          <w:szCs w:val="24"/>
        </w:rPr>
        <w:t xml:space="preserve">SLE </w:t>
      </w:r>
      <w:r w:rsidRPr="00324292">
        <w:rPr>
          <w:rFonts w:ascii="Calibri" w:hAnsi="Calibri" w:cs="Calibri"/>
          <w:b w:val="0"/>
          <w:bCs/>
          <w:szCs w:val="24"/>
        </w:rPr>
        <w:t xml:space="preserve">Guidelines is to provide for various administrative and operational matters to support the operation of Part 3-1 of HESA. </w:t>
      </w:r>
    </w:p>
    <w:p w14:paraId="231D4F56" w14:textId="77777777" w:rsidR="00B5624C" w:rsidRPr="00324292" w:rsidRDefault="00B5624C" w:rsidP="00B5624C">
      <w:pPr>
        <w:pStyle w:val="Heading2"/>
        <w:keepNext w:val="0"/>
        <w:keepLines w:val="0"/>
        <w:spacing w:after="240"/>
        <w:rPr>
          <w:rFonts w:ascii="Calibri" w:hAnsi="Calibri" w:cs="Calibri"/>
          <w:b w:val="0"/>
          <w:bCs/>
          <w:color w:val="auto"/>
          <w:szCs w:val="24"/>
        </w:rPr>
      </w:pPr>
      <w:r w:rsidRPr="00324292">
        <w:rPr>
          <w:rFonts w:ascii="Calibri" w:hAnsi="Calibri" w:cs="Calibri"/>
          <w:b w:val="0"/>
          <w:bCs/>
          <w:color w:val="auto"/>
          <w:szCs w:val="24"/>
        </w:rPr>
        <w:t xml:space="preserve">Specifically: </w:t>
      </w:r>
    </w:p>
    <w:p w14:paraId="36795841" w14:textId="654D44FD" w:rsidR="00B5624C" w:rsidRPr="00324292" w:rsidRDefault="00B5624C" w:rsidP="00B5624C">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Part 2 of the </w:t>
      </w:r>
      <w:r w:rsidR="00677CB0" w:rsidRPr="00324292">
        <w:rPr>
          <w:rFonts w:ascii="Calibri" w:hAnsi="Calibri" w:cs="Calibri"/>
          <w:b w:val="0"/>
          <w:bCs/>
          <w:szCs w:val="24"/>
        </w:rPr>
        <w:t xml:space="preserve">SLE </w:t>
      </w:r>
      <w:r w:rsidRPr="00324292">
        <w:rPr>
          <w:rFonts w:ascii="Calibri" w:hAnsi="Calibri" w:cs="Calibri"/>
          <w:b w:val="0"/>
          <w:bCs/>
          <w:szCs w:val="24"/>
        </w:rPr>
        <w:t xml:space="preserve">Guidelines provides for matters relating to additional SLE by specifying: the courses of study, or kinds of courses, in relation to which a person has additional SLE, the requirements a person must meet to have additional SLE and how to work out the amount of additional SLE a person </w:t>
      </w:r>
      <w:proofErr w:type="gramStart"/>
      <w:r w:rsidRPr="00324292">
        <w:rPr>
          <w:rFonts w:ascii="Calibri" w:hAnsi="Calibri" w:cs="Calibri"/>
          <w:b w:val="0"/>
          <w:bCs/>
          <w:szCs w:val="24"/>
        </w:rPr>
        <w:t>has;</w:t>
      </w:r>
      <w:proofErr w:type="gramEnd"/>
      <w:r w:rsidRPr="00324292">
        <w:rPr>
          <w:rFonts w:ascii="Calibri" w:hAnsi="Calibri" w:cs="Calibri"/>
          <w:b w:val="0"/>
          <w:bCs/>
          <w:szCs w:val="24"/>
        </w:rPr>
        <w:t xml:space="preserve"> </w:t>
      </w:r>
    </w:p>
    <w:p w14:paraId="683B906D" w14:textId="51C33003" w:rsidR="00B5624C" w:rsidRPr="00324292" w:rsidRDefault="00B5624C" w:rsidP="00B5624C">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Part 3 of the </w:t>
      </w:r>
      <w:r w:rsidR="00677CB0" w:rsidRPr="00324292">
        <w:rPr>
          <w:rFonts w:ascii="Calibri" w:hAnsi="Calibri" w:cs="Calibri"/>
          <w:b w:val="0"/>
          <w:bCs/>
          <w:szCs w:val="24"/>
        </w:rPr>
        <w:t xml:space="preserve">SLE </w:t>
      </w:r>
      <w:r w:rsidRPr="00324292">
        <w:rPr>
          <w:rFonts w:ascii="Calibri" w:hAnsi="Calibri" w:cs="Calibri"/>
          <w:b w:val="0"/>
          <w:bCs/>
          <w:szCs w:val="24"/>
        </w:rPr>
        <w:t xml:space="preserve">Guidelines provides for matters relating to lifelong SLE by specifying: the circumstances in which a person has lifelong SLE, the day on which the person has lifelong SLE and how to work </w:t>
      </w:r>
      <w:r w:rsidR="00AB2732" w:rsidRPr="00324292">
        <w:rPr>
          <w:rFonts w:ascii="Calibri" w:hAnsi="Calibri" w:cs="Calibri"/>
          <w:b w:val="0"/>
          <w:bCs/>
          <w:szCs w:val="24"/>
        </w:rPr>
        <w:t xml:space="preserve">out </w:t>
      </w:r>
      <w:r w:rsidRPr="00324292">
        <w:rPr>
          <w:rFonts w:ascii="Calibri" w:hAnsi="Calibri" w:cs="Calibri"/>
          <w:b w:val="0"/>
          <w:bCs/>
          <w:szCs w:val="24"/>
        </w:rPr>
        <w:t xml:space="preserve">the amount of lifelong SLE a person </w:t>
      </w:r>
      <w:proofErr w:type="gramStart"/>
      <w:r w:rsidRPr="00324292">
        <w:rPr>
          <w:rFonts w:ascii="Calibri" w:hAnsi="Calibri" w:cs="Calibri"/>
          <w:b w:val="0"/>
          <w:bCs/>
          <w:szCs w:val="24"/>
        </w:rPr>
        <w:t>has;</w:t>
      </w:r>
      <w:proofErr w:type="gramEnd"/>
    </w:p>
    <w:p w14:paraId="50208521" w14:textId="4D6DE545" w:rsidR="00B5624C" w:rsidRPr="00324292" w:rsidRDefault="00B5624C" w:rsidP="00B5624C">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Part 4 of the </w:t>
      </w:r>
      <w:r w:rsidR="00677CB0" w:rsidRPr="00324292">
        <w:rPr>
          <w:rFonts w:ascii="Calibri" w:hAnsi="Calibri" w:cs="Calibri"/>
          <w:b w:val="0"/>
          <w:bCs/>
          <w:szCs w:val="24"/>
        </w:rPr>
        <w:t xml:space="preserve">SLE </w:t>
      </w:r>
      <w:r w:rsidRPr="00324292">
        <w:rPr>
          <w:rFonts w:ascii="Calibri" w:hAnsi="Calibri" w:cs="Calibri"/>
          <w:b w:val="0"/>
          <w:bCs/>
          <w:szCs w:val="24"/>
        </w:rPr>
        <w:t xml:space="preserve">Guidelines specifies how amounts of ordinary SLE, additional SLE and lifelong SLE are to be reduced if a higher education provider reduces a person’s SLE amount at a particular time under subsection 76-1(1) of </w:t>
      </w:r>
      <w:proofErr w:type="gramStart"/>
      <w:r w:rsidRPr="00324292">
        <w:rPr>
          <w:rFonts w:ascii="Calibri" w:hAnsi="Calibri" w:cs="Calibri"/>
          <w:b w:val="0"/>
          <w:bCs/>
          <w:szCs w:val="24"/>
        </w:rPr>
        <w:t>HESA;</w:t>
      </w:r>
      <w:proofErr w:type="gramEnd"/>
      <w:r w:rsidRPr="00324292">
        <w:rPr>
          <w:rFonts w:ascii="Calibri" w:hAnsi="Calibri" w:cs="Calibri"/>
          <w:b w:val="0"/>
          <w:bCs/>
          <w:szCs w:val="24"/>
        </w:rPr>
        <w:t xml:space="preserve"> </w:t>
      </w:r>
    </w:p>
    <w:p w14:paraId="0AA03389" w14:textId="0BD23973" w:rsidR="00B5624C" w:rsidRPr="00324292" w:rsidRDefault="00B5624C" w:rsidP="00B5624C">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lastRenderedPageBreak/>
        <w:t xml:space="preserve">Part 5 of the </w:t>
      </w:r>
      <w:r w:rsidR="00677CB0" w:rsidRPr="00324292">
        <w:rPr>
          <w:rFonts w:ascii="Calibri" w:hAnsi="Calibri" w:cs="Calibri"/>
          <w:b w:val="0"/>
          <w:bCs/>
          <w:szCs w:val="24"/>
        </w:rPr>
        <w:t xml:space="preserve">SLE </w:t>
      </w:r>
      <w:r w:rsidRPr="00324292">
        <w:rPr>
          <w:rFonts w:ascii="Calibri" w:hAnsi="Calibri" w:cs="Calibri"/>
          <w:b w:val="0"/>
          <w:bCs/>
          <w:szCs w:val="24"/>
        </w:rPr>
        <w:t xml:space="preserve">Guidelines specifies how amounts of ordinary SLE, additional SLE and lifelong SLE are to be re-credited if a higher education provider re-credits a person’s SLE amount at a particular time under subsection 79-1(1) or 79-20(1) of </w:t>
      </w:r>
      <w:proofErr w:type="gramStart"/>
      <w:r w:rsidRPr="00324292">
        <w:rPr>
          <w:rFonts w:ascii="Calibri" w:hAnsi="Calibri" w:cs="Calibri"/>
          <w:b w:val="0"/>
          <w:bCs/>
          <w:szCs w:val="24"/>
        </w:rPr>
        <w:t>HESA;</w:t>
      </w:r>
      <w:proofErr w:type="gramEnd"/>
      <w:r w:rsidRPr="00324292">
        <w:rPr>
          <w:rFonts w:ascii="Calibri" w:hAnsi="Calibri" w:cs="Calibri"/>
          <w:b w:val="0"/>
          <w:bCs/>
          <w:szCs w:val="24"/>
        </w:rPr>
        <w:t xml:space="preserve"> </w:t>
      </w:r>
    </w:p>
    <w:p w14:paraId="3EE5BB81" w14:textId="0BA8B402" w:rsidR="00B5624C" w:rsidRPr="00324292" w:rsidRDefault="00B5624C" w:rsidP="00B5624C">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Part 6 of the </w:t>
      </w:r>
      <w:r w:rsidR="00677CB0" w:rsidRPr="00324292">
        <w:rPr>
          <w:rFonts w:ascii="Calibri" w:hAnsi="Calibri" w:cs="Calibri"/>
          <w:b w:val="0"/>
          <w:bCs/>
          <w:szCs w:val="24"/>
        </w:rPr>
        <w:t xml:space="preserve">SLE </w:t>
      </w:r>
      <w:r w:rsidR="007558E1" w:rsidRPr="00324292">
        <w:rPr>
          <w:rFonts w:ascii="Calibri" w:hAnsi="Calibri" w:cs="Calibri"/>
          <w:b w:val="0"/>
          <w:bCs/>
          <w:szCs w:val="24"/>
        </w:rPr>
        <w:t xml:space="preserve">Guidelines </w:t>
      </w:r>
      <w:r w:rsidRPr="00324292">
        <w:rPr>
          <w:rFonts w:ascii="Calibri" w:hAnsi="Calibri" w:cs="Calibri"/>
          <w:b w:val="0"/>
          <w:bCs/>
          <w:szCs w:val="24"/>
        </w:rPr>
        <w:t xml:space="preserve">specifies the circumstances in which a higher education provider will be satisfied that special circumstances apply to a person in the context of an application by the person to have their SLE amount re-credited. </w:t>
      </w:r>
    </w:p>
    <w:p w14:paraId="626F1531" w14:textId="77777777" w:rsidR="00350779" w:rsidRPr="00324292" w:rsidRDefault="00144950" w:rsidP="00350779">
      <w:pPr>
        <w:pStyle w:val="Heading2"/>
        <w:rPr>
          <w:rFonts w:asciiTheme="minorHAnsi" w:hAnsiTheme="minorHAnsi" w:cstheme="minorHAnsi"/>
          <w:color w:val="auto"/>
        </w:rPr>
      </w:pPr>
      <w:r w:rsidRPr="00324292">
        <w:rPr>
          <w:rFonts w:asciiTheme="minorHAnsi" w:hAnsiTheme="minorHAnsi" w:cstheme="minorHAnsi"/>
          <w:color w:val="auto"/>
        </w:rPr>
        <w:t>REGULATORY IMPACT</w:t>
      </w:r>
    </w:p>
    <w:p w14:paraId="37E6470B" w14:textId="756A8985" w:rsidR="00DD5441" w:rsidRPr="00324292" w:rsidRDefault="00DD5441" w:rsidP="00F475EB">
      <w:pPr>
        <w:pStyle w:val="Heading2"/>
        <w:keepNext w:val="0"/>
        <w:keepLines w:val="0"/>
        <w:spacing w:after="240"/>
        <w:rPr>
          <w:rFonts w:ascii="Calibri" w:hAnsi="Calibri" w:cs="Calibri"/>
          <w:b w:val="0"/>
          <w:bCs/>
          <w:color w:val="auto"/>
          <w:szCs w:val="24"/>
        </w:rPr>
      </w:pPr>
      <w:r w:rsidRPr="00324292">
        <w:rPr>
          <w:rFonts w:ascii="Calibri" w:hAnsi="Calibri" w:cs="Calibri"/>
          <w:b w:val="0"/>
          <w:bCs/>
          <w:color w:val="auto"/>
          <w:szCs w:val="24"/>
        </w:rPr>
        <w:t>The Office of Best Practice Regulation (</w:t>
      </w:r>
      <w:r w:rsidRPr="00324292">
        <w:rPr>
          <w:rFonts w:ascii="Calibri" w:hAnsi="Calibri" w:cs="Calibri"/>
          <w:color w:val="auto"/>
          <w:szCs w:val="24"/>
        </w:rPr>
        <w:t>OBPR</w:t>
      </w:r>
      <w:r w:rsidRPr="00324292">
        <w:rPr>
          <w:rFonts w:ascii="Calibri" w:hAnsi="Calibri" w:cs="Calibri"/>
          <w:b w:val="0"/>
          <w:bCs/>
          <w:color w:val="auto"/>
          <w:szCs w:val="24"/>
        </w:rPr>
        <w:t>) has</w:t>
      </w:r>
      <w:r w:rsidR="0058207F" w:rsidRPr="00324292">
        <w:rPr>
          <w:rFonts w:ascii="Calibri" w:hAnsi="Calibri" w:cs="Calibri"/>
          <w:b w:val="0"/>
          <w:bCs/>
          <w:color w:val="auto"/>
          <w:szCs w:val="24"/>
        </w:rPr>
        <w:t xml:space="preserve"> </w:t>
      </w:r>
      <w:r w:rsidR="00F475EB" w:rsidRPr="00324292">
        <w:rPr>
          <w:rFonts w:ascii="Calibri" w:hAnsi="Calibri" w:cs="Calibri"/>
          <w:b w:val="0"/>
          <w:bCs/>
          <w:color w:val="auto"/>
          <w:szCs w:val="24"/>
        </w:rPr>
        <w:t>advised that</w:t>
      </w:r>
      <w:r w:rsidRPr="00324292">
        <w:rPr>
          <w:rFonts w:ascii="Calibri" w:hAnsi="Calibri" w:cs="Calibri"/>
          <w:b w:val="0"/>
          <w:bCs/>
          <w:color w:val="auto"/>
          <w:szCs w:val="24"/>
        </w:rPr>
        <w:t xml:space="preserve"> </w:t>
      </w:r>
      <w:r w:rsidR="00F475EB" w:rsidRPr="00324292">
        <w:rPr>
          <w:rFonts w:ascii="Calibri" w:hAnsi="Calibri" w:cs="Calibri"/>
          <w:b w:val="0"/>
          <w:bCs/>
          <w:color w:val="auto"/>
          <w:szCs w:val="24"/>
        </w:rPr>
        <w:t xml:space="preserve">a </w:t>
      </w:r>
      <w:r w:rsidRPr="00324292">
        <w:rPr>
          <w:rFonts w:ascii="Calibri" w:hAnsi="Calibri" w:cs="Calibri"/>
          <w:b w:val="0"/>
          <w:bCs/>
          <w:color w:val="auto"/>
          <w:szCs w:val="24"/>
        </w:rPr>
        <w:t xml:space="preserve">Regulation Impact Statement </w:t>
      </w:r>
      <w:r w:rsidR="00F475EB" w:rsidRPr="00324292">
        <w:rPr>
          <w:rFonts w:ascii="Calibri" w:hAnsi="Calibri" w:cs="Calibri"/>
          <w:b w:val="0"/>
          <w:bCs/>
          <w:color w:val="auto"/>
          <w:szCs w:val="24"/>
        </w:rPr>
        <w:t xml:space="preserve">is not </w:t>
      </w:r>
      <w:r w:rsidRPr="00324292">
        <w:rPr>
          <w:rFonts w:ascii="Calibri" w:hAnsi="Calibri" w:cs="Calibri"/>
          <w:b w:val="0"/>
          <w:bCs/>
          <w:color w:val="auto"/>
          <w:szCs w:val="24"/>
        </w:rPr>
        <w:t xml:space="preserve">required (OBPR ID No. 44313). </w:t>
      </w:r>
    </w:p>
    <w:p w14:paraId="4818CCF0" w14:textId="77777777" w:rsidR="00696CF0" w:rsidRPr="00324292" w:rsidRDefault="00144950" w:rsidP="0088497A">
      <w:pPr>
        <w:pStyle w:val="Heading2"/>
        <w:rPr>
          <w:rFonts w:asciiTheme="minorHAnsi" w:hAnsiTheme="minorHAnsi" w:cstheme="minorHAnsi"/>
          <w:color w:val="auto"/>
          <w:szCs w:val="24"/>
        </w:rPr>
      </w:pPr>
      <w:r w:rsidRPr="00324292">
        <w:rPr>
          <w:rFonts w:asciiTheme="minorHAnsi" w:hAnsiTheme="minorHAnsi" w:cstheme="minorHAnsi"/>
          <w:color w:val="auto"/>
          <w:szCs w:val="24"/>
        </w:rPr>
        <w:t>COMMENCEMENT</w:t>
      </w:r>
    </w:p>
    <w:p w14:paraId="6F0E4CB1" w14:textId="3D44FC5F" w:rsidR="00F475EB" w:rsidRPr="00324292" w:rsidRDefault="00F475EB" w:rsidP="00F475EB">
      <w:pPr>
        <w:pStyle w:val="Heading2"/>
        <w:keepNext w:val="0"/>
        <w:keepLines w:val="0"/>
        <w:spacing w:after="240"/>
        <w:rPr>
          <w:rFonts w:ascii="Calibri" w:hAnsi="Calibri" w:cs="Calibri"/>
          <w:b w:val="0"/>
          <w:bCs/>
          <w:color w:val="auto"/>
          <w:szCs w:val="24"/>
        </w:rPr>
      </w:pPr>
      <w:bookmarkStart w:id="2" w:name="_Toc34293360"/>
      <w:r w:rsidRPr="00324292">
        <w:rPr>
          <w:rFonts w:ascii="Calibri" w:hAnsi="Calibri" w:cs="Calibri"/>
          <w:b w:val="0"/>
          <w:bCs/>
          <w:color w:val="auto"/>
          <w:szCs w:val="24"/>
        </w:rPr>
        <w:t xml:space="preserve">The </w:t>
      </w:r>
      <w:r w:rsidR="00677CB0" w:rsidRPr="00324292">
        <w:rPr>
          <w:rFonts w:ascii="Calibri" w:hAnsi="Calibri" w:cs="Calibri"/>
          <w:b w:val="0"/>
          <w:bCs/>
          <w:color w:val="auto"/>
          <w:szCs w:val="24"/>
        </w:rPr>
        <w:t xml:space="preserve">SLE </w:t>
      </w:r>
      <w:r w:rsidRPr="00324292">
        <w:rPr>
          <w:rFonts w:ascii="Calibri" w:hAnsi="Calibri" w:cs="Calibri"/>
          <w:b w:val="0"/>
          <w:bCs/>
          <w:color w:val="auto"/>
          <w:szCs w:val="24"/>
        </w:rPr>
        <w:t xml:space="preserve">Guidelines take effect from the later of: (a) the start of the day after the </w:t>
      </w:r>
      <w:r w:rsidR="00677CB0" w:rsidRPr="00324292">
        <w:rPr>
          <w:rFonts w:ascii="Calibri" w:hAnsi="Calibri" w:cs="Calibri"/>
          <w:b w:val="0"/>
          <w:bCs/>
          <w:color w:val="auto"/>
          <w:szCs w:val="24"/>
        </w:rPr>
        <w:t xml:space="preserve">SLE </w:t>
      </w:r>
      <w:r w:rsidRPr="00324292">
        <w:rPr>
          <w:rFonts w:ascii="Calibri" w:hAnsi="Calibri" w:cs="Calibri"/>
          <w:b w:val="0"/>
          <w:bCs/>
          <w:color w:val="auto"/>
          <w:szCs w:val="24"/>
        </w:rPr>
        <w:t xml:space="preserve">Guidelines are registered (in case they are registered after 1 January 2022); and (b) on 1 January 2022, immediately after the commencement of Schedule 4B to the Amendment Act (in case they are registered before 1 January 2022). In both cases, the </w:t>
      </w:r>
      <w:r w:rsidR="00677CB0" w:rsidRPr="00324292">
        <w:rPr>
          <w:rFonts w:ascii="Calibri" w:hAnsi="Calibri" w:cs="Calibri"/>
          <w:b w:val="0"/>
          <w:bCs/>
          <w:color w:val="auto"/>
          <w:szCs w:val="24"/>
        </w:rPr>
        <w:t xml:space="preserve">SLE </w:t>
      </w:r>
      <w:r w:rsidRPr="00324292">
        <w:rPr>
          <w:rFonts w:ascii="Calibri" w:hAnsi="Calibri" w:cs="Calibri"/>
          <w:b w:val="0"/>
          <w:bCs/>
          <w:color w:val="auto"/>
          <w:szCs w:val="24"/>
        </w:rPr>
        <w:t xml:space="preserve">Guidelines will be purely prospective in their effect (and cannot be effective before 1 January 2022). </w:t>
      </w:r>
    </w:p>
    <w:p w14:paraId="2055E4ED" w14:textId="3761968F" w:rsidR="009D5F31" w:rsidRPr="00324292" w:rsidRDefault="00144950" w:rsidP="00F475EB">
      <w:pPr>
        <w:pStyle w:val="Heading2"/>
        <w:rPr>
          <w:rFonts w:asciiTheme="minorHAnsi" w:hAnsiTheme="minorHAnsi" w:cstheme="minorHAnsi"/>
          <w:color w:val="auto"/>
        </w:rPr>
      </w:pPr>
      <w:r w:rsidRPr="00324292">
        <w:rPr>
          <w:rFonts w:asciiTheme="minorHAnsi" w:hAnsiTheme="minorHAnsi" w:cstheme="minorHAnsi"/>
          <w:color w:val="auto"/>
        </w:rPr>
        <w:t>CONSULTATION</w:t>
      </w:r>
      <w:bookmarkStart w:id="3" w:name="_Toc23942241"/>
      <w:bookmarkEnd w:id="2"/>
    </w:p>
    <w:p w14:paraId="579F4B8F" w14:textId="5F61D7E7" w:rsidR="009A5CE0" w:rsidRPr="00324292" w:rsidRDefault="009A5CE0" w:rsidP="00F475EB">
      <w:pPr>
        <w:pStyle w:val="Heading2"/>
        <w:keepNext w:val="0"/>
        <w:keepLines w:val="0"/>
        <w:spacing w:after="240"/>
        <w:rPr>
          <w:rFonts w:ascii="Calibri" w:hAnsi="Calibri" w:cs="Calibri"/>
          <w:b w:val="0"/>
          <w:bCs/>
          <w:color w:val="auto"/>
          <w:szCs w:val="24"/>
        </w:rPr>
      </w:pPr>
      <w:bookmarkStart w:id="4" w:name="_Hlk88810923"/>
      <w:r w:rsidRPr="00324292">
        <w:rPr>
          <w:rFonts w:ascii="Calibri" w:hAnsi="Calibri" w:cs="Calibri"/>
          <w:b w:val="0"/>
          <w:bCs/>
          <w:color w:val="auto"/>
          <w:szCs w:val="24"/>
        </w:rPr>
        <w:t xml:space="preserve">The following stakeholders were consulted on draft SLE Guidelines: </w:t>
      </w:r>
    </w:p>
    <w:p w14:paraId="10147AC0" w14:textId="0C52376E" w:rsidR="009A5CE0" w:rsidRPr="00324292" w:rsidRDefault="009A5CE0" w:rsidP="009A5CE0">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University peak bodies, namely Universities Australia, The Group of Eight, The Australia</w:t>
      </w:r>
      <w:r w:rsidR="00C01F1F" w:rsidRPr="00324292">
        <w:rPr>
          <w:rFonts w:ascii="Calibri" w:hAnsi="Calibri" w:cs="Calibri"/>
          <w:b w:val="0"/>
          <w:bCs/>
          <w:szCs w:val="24"/>
        </w:rPr>
        <w:t>n</w:t>
      </w:r>
      <w:r w:rsidRPr="00324292">
        <w:rPr>
          <w:rFonts w:ascii="Calibri" w:hAnsi="Calibri" w:cs="Calibri"/>
          <w:b w:val="0"/>
          <w:bCs/>
          <w:szCs w:val="24"/>
        </w:rPr>
        <w:t xml:space="preserve"> Technology Network of Universities, Innovative Research Universities and Regional Universities </w:t>
      </w:r>
      <w:proofErr w:type="gramStart"/>
      <w:r w:rsidR="00C01F1F" w:rsidRPr="00324292">
        <w:rPr>
          <w:rFonts w:ascii="Calibri" w:hAnsi="Calibri" w:cs="Calibri"/>
          <w:b w:val="0"/>
          <w:bCs/>
          <w:szCs w:val="24"/>
        </w:rPr>
        <w:t>Network</w:t>
      </w:r>
      <w:r w:rsidRPr="00324292">
        <w:rPr>
          <w:rFonts w:ascii="Calibri" w:hAnsi="Calibri" w:cs="Calibri"/>
          <w:b w:val="0"/>
          <w:bCs/>
          <w:szCs w:val="24"/>
        </w:rPr>
        <w:t>;</w:t>
      </w:r>
      <w:proofErr w:type="gramEnd"/>
      <w:r w:rsidRPr="00324292">
        <w:rPr>
          <w:rFonts w:ascii="Calibri" w:hAnsi="Calibri" w:cs="Calibri"/>
          <w:b w:val="0"/>
          <w:bCs/>
          <w:szCs w:val="24"/>
        </w:rPr>
        <w:t xml:space="preserve"> </w:t>
      </w:r>
    </w:p>
    <w:p w14:paraId="572A7F1A" w14:textId="1E02AF59" w:rsidR="009A5CE0" w:rsidRPr="00324292" w:rsidRDefault="009A5CE0" w:rsidP="009A5CE0">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The Australian Network of University </w:t>
      </w:r>
      <w:proofErr w:type="gramStart"/>
      <w:r w:rsidRPr="00324292">
        <w:rPr>
          <w:rFonts w:ascii="Calibri" w:hAnsi="Calibri" w:cs="Calibri"/>
          <w:b w:val="0"/>
          <w:bCs/>
          <w:szCs w:val="24"/>
        </w:rPr>
        <w:t>Planners;</w:t>
      </w:r>
      <w:proofErr w:type="gramEnd"/>
    </w:p>
    <w:p w14:paraId="680DAA98" w14:textId="77A1484E" w:rsidR="009A5CE0" w:rsidRPr="00324292" w:rsidRDefault="009A5CE0" w:rsidP="009A5CE0">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select higher education providers with significant experience in higher education administrative matters. </w:t>
      </w:r>
    </w:p>
    <w:p w14:paraId="268804C0" w14:textId="6EA847C1" w:rsidR="009D5F31" w:rsidRPr="00324292" w:rsidRDefault="00502406" w:rsidP="00F475EB">
      <w:pPr>
        <w:pStyle w:val="Heading2"/>
        <w:keepNext w:val="0"/>
        <w:keepLines w:val="0"/>
        <w:spacing w:after="240"/>
        <w:rPr>
          <w:rFonts w:ascii="Calibri" w:hAnsi="Calibri" w:cs="Calibri"/>
          <w:b w:val="0"/>
          <w:bCs/>
          <w:color w:val="auto"/>
          <w:szCs w:val="24"/>
        </w:rPr>
      </w:pPr>
      <w:r w:rsidRPr="00324292">
        <w:rPr>
          <w:rFonts w:ascii="Calibri" w:hAnsi="Calibri" w:cs="Calibri"/>
          <w:b w:val="0"/>
          <w:bCs/>
          <w:color w:val="auto"/>
          <w:szCs w:val="24"/>
        </w:rPr>
        <w:t xml:space="preserve">This involved </w:t>
      </w:r>
      <w:r w:rsidR="009A5CE0" w:rsidRPr="00324292">
        <w:rPr>
          <w:rFonts w:ascii="Calibri" w:hAnsi="Calibri" w:cs="Calibri"/>
          <w:b w:val="0"/>
          <w:bCs/>
          <w:color w:val="auto"/>
          <w:szCs w:val="24"/>
        </w:rPr>
        <w:t xml:space="preserve">draft </w:t>
      </w:r>
      <w:r w:rsidR="00A448F9" w:rsidRPr="00324292">
        <w:rPr>
          <w:rFonts w:ascii="Calibri" w:hAnsi="Calibri" w:cs="Calibri"/>
          <w:b w:val="0"/>
          <w:bCs/>
          <w:color w:val="auto"/>
          <w:szCs w:val="24"/>
        </w:rPr>
        <w:t xml:space="preserve">SLE </w:t>
      </w:r>
      <w:r w:rsidRPr="00324292">
        <w:rPr>
          <w:rFonts w:ascii="Calibri" w:hAnsi="Calibri" w:cs="Calibri"/>
          <w:b w:val="0"/>
          <w:bCs/>
          <w:color w:val="auto"/>
          <w:szCs w:val="24"/>
        </w:rPr>
        <w:t xml:space="preserve">Guidelines and </w:t>
      </w:r>
      <w:r w:rsidR="009A5CE0" w:rsidRPr="00324292">
        <w:rPr>
          <w:rFonts w:ascii="Calibri" w:hAnsi="Calibri" w:cs="Calibri"/>
          <w:b w:val="0"/>
          <w:bCs/>
          <w:color w:val="auto"/>
          <w:szCs w:val="24"/>
        </w:rPr>
        <w:t xml:space="preserve">draft explanation of provisions </w:t>
      </w:r>
      <w:r w:rsidR="007E1103" w:rsidRPr="00324292">
        <w:rPr>
          <w:rFonts w:ascii="Calibri" w:hAnsi="Calibri" w:cs="Calibri"/>
          <w:b w:val="0"/>
          <w:bCs/>
          <w:color w:val="auto"/>
          <w:szCs w:val="24"/>
        </w:rPr>
        <w:t>being provided</w:t>
      </w:r>
      <w:r w:rsidR="00A448F9" w:rsidRPr="00324292">
        <w:rPr>
          <w:rFonts w:ascii="Calibri" w:hAnsi="Calibri" w:cs="Calibri"/>
          <w:b w:val="0"/>
          <w:bCs/>
          <w:color w:val="auto"/>
          <w:szCs w:val="24"/>
        </w:rPr>
        <w:t xml:space="preserve"> by email</w:t>
      </w:r>
      <w:r w:rsidR="007E1103" w:rsidRPr="00324292">
        <w:rPr>
          <w:rFonts w:ascii="Calibri" w:hAnsi="Calibri" w:cs="Calibri"/>
          <w:b w:val="0"/>
          <w:bCs/>
          <w:color w:val="auto"/>
          <w:szCs w:val="24"/>
        </w:rPr>
        <w:t xml:space="preserve"> for feedback</w:t>
      </w:r>
      <w:r w:rsidR="00A448F9" w:rsidRPr="00324292">
        <w:rPr>
          <w:rFonts w:ascii="Calibri" w:hAnsi="Calibri" w:cs="Calibri"/>
          <w:b w:val="0"/>
          <w:bCs/>
          <w:color w:val="auto"/>
          <w:szCs w:val="24"/>
        </w:rPr>
        <w:t xml:space="preserve"> from these parties</w:t>
      </w:r>
      <w:r w:rsidR="007E1103" w:rsidRPr="00324292">
        <w:rPr>
          <w:rFonts w:ascii="Calibri" w:hAnsi="Calibri" w:cs="Calibri"/>
          <w:b w:val="0"/>
          <w:bCs/>
          <w:color w:val="auto"/>
          <w:szCs w:val="24"/>
        </w:rPr>
        <w:t>.</w:t>
      </w:r>
      <w:r w:rsidR="009D5F31" w:rsidRPr="00324292">
        <w:rPr>
          <w:rFonts w:ascii="Calibri" w:hAnsi="Calibri" w:cs="Calibri"/>
          <w:b w:val="0"/>
          <w:bCs/>
          <w:color w:val="auto"/>
          <w:szCs w:val="24"/>
        </w:rPr>
        <w:t xml:space="preserve"> </w:t>
      </w:r>
      <w:r w:rsidR="00A448F9" w:rsidRPr="00324292">
        <w:rPr>
          <w:rFonts w:ascii="Calibri" w:hAnsi="Calibri" w:cs="Calibri"/>
          <w:b w:val="0"/>
          <w:bCs/>
          <w:color w:val="auto"/>
          <w:szCs w:val="24"/>
        </w:rPr>
        <w:t xml:space="preserve">Any </w:t>
      </w:r>
      <w:r w:rsidR="009D5F31" w:rsidRPr="00324292">
        <w:rPr>
          <w:rFonts w:ascii="Calibri" w:hAnsi="Calibri" w:cs="Calibri"/>
          <w:b w:val="0"/>
          <w:bCs/>
          <w:color w:val="auto"/>
          <w:szCs w:val="24"/>
        </w:rPr>
        <w:t xml:space="preserve">feedback </w:t>
      </w:r>
      <w:r w:rsidR="0047199D" w:rsidRPr="00324292">
        <w:rPr>
          <w:rFonts w:ascii="Calibri" w:hAnsi="Calibri" w:cs="Calibri"/>
          <w:b w:val="0"/>
          <w:bCs/>
          <w:color w:val="auto"/>
          <w:szCs w:val="24"/>
        </w:rPr>
        <w:t>received through this process</w:t>
      </w:r>
      <w:r w:rsidR="00A448F9" w:rsidRPr="00324292">
        <w:rPr>
          <w:rFonts w:ascii="Calibri" w:hAnsi="Calibri" w:cs="Calibri"/>
          <w:b w:val="0"/>
          <w:bCs/>
          <w:color w:val="auto"/>
          <w:szCs w:val="24"/>
        </w:rPr>
        <w:t xml:space="preserve"> was assessed and</w:t>
      </w:r>
      <w:r w:rsidR="0047199D" w:rsidRPr="00324292">
        <w:rPr>
          <w:rFonts w:ascii="Calibri" w:hAnsi="Calibri" w:cs="Calibri"/>
          <w:b w:val="0"/>
          <w:bCs/>
          <w:color w:val="auto"/>
          <w:szCs w:val="24"/>
        </w:rPr>
        <w:t xml:space="preserve"> </w:t>
      </w:r>
      <w:r w:rsidR="009D5F31" w:rsidRPr="00324292">
        <w:rPr>
          <w:rFonts w:ascii="Calibri" w:hAnsi="Calibri" w:cs="Calibri"/>
          <w:b w:val="0"/>
          <w:bCs/>
          <w:color w:val="auto"/>
          <w:szCs w:val="24"/>
        </w:rPr>
        <w:t xml:space="preserve">minor amendments were made to the </w:t>
      </w:r>
      <w:r w:rsidR="0047199D" w:rsidRPr="00324292">
        <w:rPr>
          <w:rFonts w:ascii="Calibri" w:hAnsi="Calibri" w:cs="Calibri"/>
          <w:b w:val="0"/>
          <w:bCs/>
          <w:color w:val="auto"/>
          <w:szCs w:val="24"/>
        </w:rPr>
        <w:t xml:space="preserve">SLE </w:t>
      </w:r>
      <w:r w:rsidR="009D5F31" w:rsidRPr="00324292">
        <w:rPr>
          <w:rFonts w:ascii="Calibri" w:hAnsi="Calibri" w:cs="Calibri"/>
          <w:b w:val="0"/>
          <w:bCs/>
          <w:color w:val="auto"/>
          <w:szCs w:val="24"/>
        </w:rPr>
        <w:t>Guidelines</w:t>
      </w:r>
      <w:r w:rsidR="009A5CE0" w:rsidRPr="00324292">
        <w:rPr>
          <w:rFonts w:ascii="Calibri" w:hAnsi="Calibri" w:cs="Calibri"/>
          <w:b w:val="0"/>
          <w:bCs/>
          <w:color w:val="auto"/>
          <w:szCs w:val="24"/>
        </w:rPr>
        <w:t xml:space="preserve"> as a result</w:t>
      </w:r>
      <w:r w:rsidR="009D5F31" w:rsidRPr="00324292">
        <w:rPr>
          <w:rFonts w:ascii="Calibri" w:hAnsi="Calibri" w:cs="Calibri"/>
          <w:b w:val="0"/>
          <w:bCs/>
          <w:color w:val="auto"/>
          <w:szCs w:val="24"/>
        </w:rPr>
        <w:t>.</w:t>
      </w:r>
      <w:r w:rsidR="005A255F" w:rsidRPr="00324292">
        <w:rPr>
          <w:rFonts w:ascii="Calibri" w:hAnsi="Calibri" w:cs="Calibri"/>
          <w:b w:val="0"/>
          <w:bCs/>
          <w:color w:val="auto"/>
          <w:szCs w:val="24"/>
        </w:rPr>
        <w:t xml:space="preserve"> These </w:t>
      </w:r>
      <w:r w:rsidR="0045044C" w:rsidRPr="00324292">
        <w:rPr>
          <w:rFonts w:ascii="Calibri" w:hAnsi="Calibri" w:cs="Calibri"/>
          <w:b w:val="0"/>
          <w:bCs/>
          <w:color w:val="auto"/>
          <w:szCs w:val="24"/>
        </w:rPr>
        <w:t xml:space="preserve">stakeholders </w:t>
      </w:r>
      <w:r w:rsidR="005A255F" w:rsidRPr="00324292">
        <w:rPr>
          <w:rFonts w:ascii="Calibri" w:hAnsi="Calibri" w:cs="Calibri"/>
          <w:b w:val="0"/>
          <w:bCs/>
          <w:color w:val="auto"/>
          <w:szCs w:val="24"/>
        </w:rPr>
        <w:t xml:space="preserve">were considered reasonable for consultation due to the largely technical nature of the SLE Guidelines, </w:t>
      </w:r>
      <w:r w:rsidR="00693958" w:rsidRPr="00324292">
        <w:rPr>
          <w:rFonts w:ascii="Calibri" w:hAnsi="Calibri" w:cs="Calibri"/>
          <w:b w:val="0"/>
          <w:bCs/>
          <w:color w:val="auto"/>
          <w:szCs w:val="24"/>
        </w:rPr>
        <w:t>noting</w:t>
      </w:r>
      <w:r w:rsidR="00DD38E8" w:rsidRPr="00324292">
        <w:rPr>
          <w:rFonts w:ascii="Calibri" w:hAnsi="Calibri" w:cs="Calibri"/>
          <w:b w:val="0"/>
          <w:bCs/>
          <w:color w:val="auto"/>
          <w:szCs w:val="24"/>
        </w:rPr>
        <w:t xml:space="preserve"> matters relating to</w:t>
      </w:r>
      <w:r w:rsidR="00693958" w:rsidRPr="00324292">
        <w:rPr>
          <w:rFonts w:ascii="Calibri" w:hAnsi="Calibri" w:cs="Calibri"/>
          <w:b w:val="0"/>
          <w:bCs/>
          <w:color w:val="auto"/>
          <w:szCs w:val="24"/>
        </w:rPr>
        <w:t xml:space="preserve"> </w:t>
      </w:r>
      <w:r w:rsidR="00DD38E8" w:rsidRPr="00324292">
        <w:rPr>
          <w:rFonts w:ascii="Calibri" w:hAnsi="Calibri" w:cs="Calibri"/>
          <w:b w:val="0"/>
          <w:bCs/>
          <w:color w:val="auto"/>
          <w:szCs w:val="24"/>
        </w:rPr>
        <w:t xml:space="preserve">the Student Learning Entitlement are </w:t>
      </w:r>
      <w:r w:rsidR="00A448F9" w:rsidRPr="00324292">
        <w:rPr>
          <w:rFonts w:ascii="Calibri" w:hAnsi="Calibri" w:cs="Calibri"/>
          <w:b w:val="0"/>
          <w:bCs/>
          <w:color w:val="auto"/>
          <w:szCs w:val="24"/>
        </w:rPr>
        <w:t>largely set</w:t>
      </w:r>
      <w:r w:rsidR="005A255F" w:rsidRPr="00324292">
        <w:rPr>
          <w:rFonts w:ascii="Calibri" w:hAnsi="Calibri" w:cs="Calibri"/>
          <w:b w:val="0"/>
          <w:bCs/>
          <w:color w:val="auto"/>
          <w:szCs w:val="24"/>
        </w:rPr>
        <w:t xml:space="preserve"> out in </w:t>
      </w:r>
      <w:r w:rsidR="00DD38E8" w:rsidRPr="00324292">
        <w:rPr>
          <w:rFonts w:ascii="Calibri" w:hAnsi="Calibri" w:cs="Calibri"/>
          <w:b w:val="0"/>
          <w:bCs/>
          <w:color w:val="auto"/>
          <w:szCs w:val="24"/>
        </w:rPr>
        <w:t xml:space="preserve">Part 3-1 of HESA. </w:t>
      </w:r>
    </w:p>
    <w:bookmarkEnd w:id="4"/>
    <w:p w14:paraId="6E0C022B" w14:textId="77777777" w:rsidR="00CB060B" w:rsidRPr="00324292" w:rsidRDefault="00CB060B">
      <w:pPr>
        <w:spacing w:after="160" w:line="259" w:lineRule="auto"/>
        <w:rPr>
          <w:rFonts w:asciiTheme="minorHAnsi" w:eastAsiaTheme="majorEastAsia" w:hAnsiTheme="minorHAnsi" w:cstheme="minorHAnsi"/>
          <w:b/>
          <w:szCs w:val="26"/>
        </w:rPr>
      </w:pPr>
      <w:r w:rsidRPr="00324292">
        <w:rPr>
          <w:rFonts w:asciiTheme="minorHAnsi" w:hAnsiTheme="minorHAnsi" w:cstheme="minorHAnsi"/>
        </w:rPr>
        <w:br w:type="page"/>
      </w:r>
    </w:p>
    <w:p w14:paraId="637DFF93" w14:textId="048B4613" w:rsidR="00CB060B" w:rsidRPr="00324292" w:rsidRDefault="00CB060B" w:rsidP="00CB060B">
      <w:pPr>
        <w:pStyle w:val="Heading2"/>
        <w:jc w:val="center"/>
        <w:rPr>
          <w:rFonts w:asciiTheme="minorHAnsi" w:hAnsiTheme="minorHAnsi" w:cstheme="minorHAnsi"/>
          <w:color w:val="auto"/>
        </w:rPr>
      </w:pPr>
      <w:r w:rsidRPr="00324292">
        <w:rPr>
          <w:rFonts w:asciiTheme="minorHAnsi" w:hAnsiTheme="minorHAnsi" w:cstheme="minorHAnsi"/>
          <w:color w:val="auto"/>
        </w:rPr>
        <w:lastRenderedPageBreak/>
        <w:t>STATEMENT OF COMPATIBILITY WITH HUMAN RIGHTS</w:t>
      </w:r>
    </w:p>
    <w:p w14:paraId="73C2A668" w14:textId="77777777" w:rsidR="00CB060B" w:rsidRPr="00324292" w:rsidRDefault="00CB060B" w:rsidP="00CB060B">
      <w:pPr>
        <w:spacing w:before="120" w:after="120"/>
        <w:jc w:val="center"/>
        <w:rPr>
          <w:rFonts w:asciiTheme="minorHAnsi" w:hAnsiTheme="minorHAnsi" w:cstheme="minorHAnsi"/>
          <w:szCs w:val="24"/>
        </w:rPr>
      </w:pPr>
      <w:r w:rsidRPr="00324292">
        <w:rPr>
          <w:rFonts w:asciiTheme="minorHAnsi" w:hAnsiTheme="minorHAnsi" w:cstheme="minorHAnsi"/>
          <w:i/>
          <w:szCs w:val="24"/>
        </w:rPr>
        <w:t>Prepared in accordance with Part 3 of the Human Rights (Parliamentary Scrutiny) Act 2011</w:t>
      </w:r>
    </w:p>
    <w:p w14:paraId="0D76D53A" w14:textId="77777777" w:rsidR="00CB060B" w:rsidRPr="00324292" w:rsidRDefault="00CB060B" w:rsidP="00CB060B">
      <w:pPr>
        <w:spacing w:before="120" w:after="120"/>
        <w:rPr>
          <w:rFonts w:asciiTheme="minorHAnsi" w:hAnsiTheme="minorHAnsi" w:cstheme="minorHAnsi"/>
          <w:b/>
          <w:iCs/>
          <w:szCs w:val="24"/>
        </w:rPr>
      </w:pPr>
      <w:r w:rsidRPr="00324292">
        <w:rPr>
          <w:rFonts w:asciiTheme="minorHAnsi" w:hAnsiTheme="minorHAnsi" w:cstheme="minorHAnsi"/>
          <w:b/>
          <w:iCs/>
          <w:szCs w:val="24"/>
        </w:rPr>
        <w:t>Higher Education Support (Student Learning Entitlement) Guidelines 2021</w:t>
      </w:r>
    </w:p>
    <w:p w14:paraId="22DEC5D9" w14:textId="02CDBD65" w:rsidR="00CB060B" w:rsidRPr="00324292" w:rsidRDefault="00CB060B" w:rsidP="00CB060B">
      <w:pPr>
        <w:spacing w:before="120" w:after="120"/>
        <w:rPr>
          <w:rFonts w:asciiTheme="minorHAnsi" w:hAnsiTheme="minorHAnsi" w:cstheme="minorHAnsi"/>
          <w:b/>
          <w:iCs/>
          <w:szCs w:val="24"/>
        </w:rPr>
      </w:pPr>
      <w:r w:rsidRPr="00324292">
        <w:rPr>
          <w:rFonts w:asciiTheme="minorHAnsi" w:hAnsiTheme="minorHAnsi" w:cstheme="minorHAnsi"/>
          <w:szCs w:val="24"/>
        </w:rPr>
        <w:t xml:space="preserve">The </w:t>
      </w:r>
      <w:r w:rsidRPr="00324292">
        <w:rPr>
          <w:rFonts w:asciiTheme="minorHAnsi" w:hAnsiTheme="minorHAnsi" w:cstheme="minorHAnsi"/>
          <w:bCs/>
          <w:i/>
          <w:szCs w:val="24"/>
        </w:rPr>
        <w:t>Higher Education Support (Student Learning Entitlement) Guidelines 2021</w:t>
      </w:r>
      <w:r w:rsidRPr="00324292">
        <w:rPr>
          <w:rFonts w:asciiTheme="minorHAnsi" w:hAnsiTheme="minorHAnsi" w:cstheme="minorHAnsi"/>
          <w:b/>
          <w:iCs/>
          <w:szCs w:val="24"/>
        </w:rPr>
        <w:t xml:space="preserve"> </w:t>
      </w:r>
      <w:r w:rsidRPr="00324292">
        <w:rPr>
          <w:rFonts w:asciiTheme="minorHAnsi" w:hAnsiTheme="minorHAnsi" w:cstheme="minorHAnsi"/>
          <w:szCs w:val="24"/>
        </w:rPr>
        <w:t>(</w:t>
      </w:r>
      <w:r w:rsidR="00677CB0" w:rsidRPr="00324292">
        <w:rPr>
          <w:rFonts w:asciiTheme="minorHAnsi" w:hAnsiTheme="minorHAnsi" w:cstheme="minorHAnsi"/>
          <w:b/>
          <w:bCs/>
          <w:szCs w:val="24"/>
        </w:rPr>
        <w:t xml:space="preserve">SLE </w:t>
      </w:r>
      <w:r w:rsidRPr="00324292">
        <w:rPr>
          <w:rFonts w:asciiTheme="minorHAnsi" w:hAnsiTheme="minorHAnsi" w:cstheme="minorHAnsi"/>
          <w:b/>
          <w:bCs/>
          <w:szCs w:val="24"/>
        </w:rPr>
        <w:t>Guidelines</w:t>
      </w:r>
      <w:r w:rsidRPr="00324292">
        <w:rPr>
          <w:rFonts w:asciiTheme="minorHAnsi" w:hAnsiTheme="minorHAnsi" w:cstheme="minorHAnsi"/>
          <w:szCs w:val="24"/>
        </w:rPr>
        <w:t xml:space="preserve">) </w:t>
      </w:r>
      <w:r w:rsidR="00F51FDF" w:rsidRPr="00324292">
        <w:rPr>
          <w:rFonts w:asciiTheme="minorHAnsi" w:hAnsiTheme="minorHAnsi" w:cstheme="minorHAnsi"/>
          <w:szCs w:val="24"/>
        </w:rPr>
        <w:t xml:space="preserve">are </w:t>
      </w:r>
      <w:r w:rsidRPr="00324292">
        <w:rPr>
          <w:rFonts w:asciiTheme="minorHAnsi" w:hAnsiTheme="minorHAnsi" w:cstheme="minorHAnsi"/>
          <w:szCs w:val="24"/>
        </w:rPr>
        <w:t xml:space="preserve">compatible with the human rights and freedoms recognised or declared in the international instruments listed in section 3 of the </w:t>
      </w:r>
      <w:r w:rsidRPr="00324292">
        <w:rPr>
          <w:rFonts w:asciiTheme="minorHAnsi" w:hAnsiTheme="minorHAnsi" w:cstheme="minorHAnsi"/>
          <w:i/>
          <w:szCs w:val="24"/>
        </w:rPr>
        <w:t>Human Rights (Parliamentary Scrutiny) Act 2011</w:t>
      </w:r>
      <w:r w:rsidRPr="00324292">
        <w:rPr>
          <w:rFonts w:asciiTheme="minorHAnsi" w:hAnsiTheme="minorHAnsi" w:cstheme="minorHAnsi"/>
          <w:szCs w:val="24"/>
        </w:rPr>
        <w:t>.</w:t>
      </w:r>
    </w:p>
    <w:p w14:paraId="5758DD03" w14:textId="77777777" w:rsidR="00CB060B" w:rsidRPr="00324292" w:rsidRDefault="00CB060B" w:rsidP="00CB060B">
      <w:pPr>
        <w:spacing w:before="120" w:after="120"/>
        <w:rPr>
          <w:rFonts w:asciiTheme="minorHAnsi" w:hAnsiTheme="minorHAnsi" w:cstheme="minorHAnsi"/>
          <w:szCs w:val="24"/>
        </w:rPr>
      </w:pPr>
      <w:r w:rsidRPr="00324292">
        <w:rPr>
          <w:rFonts w:asciiTheme="minorHAnsi" w:hAnsiTheme="minorHAnsi" w:cstheme="minorHAnsi"/>
          <w:b/>
          <w:szCs w:val="24"/>
        </w:rPr>
        <w:t>Overview of the Legislative Instrument</w:t>
      </w:r>
    </w:p>
    <w:p w14:paraId="168D951E" w14:textId="77777777" w:rsidR="009C22F4" w:rsidRPr="00324292" w:rsidRDefault="009C22F4" w:rsidP="009C22F4">
      <w:pPr>
        <w:pStyle w:val="Heading2"/>
        <w:keepNext w:val="0"/>
        <w:keepLines w:val="0"/>
        <w:spacing w:after="240"/>
        <w:rPr>
          <w:rFonts w:ascii="Calibri" w:hAnsi="Calibri" w:cs="Calibri"/>
          <w:b w:val="0"/>
          <w:bCs/>
          <w:color w:val="auto"/>
          <w:szCs w:val="24"/>
        </w:rPr>
      </w:pPr>
      <w:r w:rsidRPr="00324292">
        <w:rPr>
          <w:rFonts w:ascii="Calibri" w:hAnsi="Calibri" w:cs="Calibri"/>
          <w:b w:val="0"/>
          <w:bCs/>
          <w:szCs w:val="24"/>
        </w:rPr>
        <w:t xml:space="preserve">A </w:t>
      </w:r>
      <w:r w:rsidRPr="00324292">
        <w:rPr>
          <w:rFonts w:ascii="Calibri" w:hAnsi="Calibri" w:cs="Calibri"/>
          <w:b w:val="0"/>
          <w:bCs/>
          <w:color w:val="auto"/>
          <w:szCs w:val="24"/>
        </w:rPr>
        <w:t>person may be a Commonwealth supported student in relation to a unit of study (and therefore be entitled to HECS-HELP assistance for that unit) if, among other things, the unit is covered by the person’s Student Learning Entitlement (see sections 36-10 and 90-1 of HESA). A person’s SLE amount (as referred to in section 73-1 of HESA) is reduced as the person undertakes units of study as a Commonwealth supported student. The person’s SLE amount may also be re-credited in certain circumstances.</w:t>
      </w:r>
    </w:p>
    <w:p w14:paraId="509E698D" w14:textId="77777777" w:rsidR="009C22F4" w:rsidRPr="00324292" w:rsidRDefault="009C22F4" w:rsidP="009C22F4">
      <w:pPr>
        <w:pStyle w:val="Heading2"/>
        <w:keepNext w:val="0"/>
        <w:keepLines w:val="0"/>
        <w:spacing w:after="240"/>
        <w:rPr>
          <w:rFonts w:ascii="Calibri" w:hAnsi="Calibri" w:cs="Calibri"/>
          <w:b w:val="0"/>
          <w:bCs/>
          <w:color w:val="auto"/>
          <w:szCs w:val="24"/>
        </w:rPr>
      </w:pPr>
      <w:r w:rsidRPr="00324292">
        <w:rPr>
          <w:rFonts w:ascii="Calibri" w:hAnsi="Calibri" w:cs="Calibri"/>
          <w:b w:val="0"/>
          <w:bCs/>
          <w:color w:val="auto"/>
          <w:szCs w:val="24"/>
        </w:rPr>
        <w:t>Part 3-1 of HESA deals with the Student Learning Entitlement. Section 70-5 of HESA provides that the Student Learning Entitlement is also dealt with in the Student Learning Entitlement Guidelines, and that the provisions of Part 3-1 indicate when a particular matter is or may be dealt with in the Student Learning Entitlement Guidelines.</w:t>
      </w:r>
    </w:p>
    <w:p w14:paraId="68443544" w14:textId="77777777" w:rsidR="009C22F4" w:rsidRPr="00324292" w:rsidRDefault="009C22F4" w:rsidP="009C22F4">
      <w:pPr>
        <w:pStyle w:val="Heading2"/>
        <w:keepNext w:val="0"/>
        <w:keepLines w:val="0"/>
        <w:spacing w:after="240"/>
        <w:rPr>
          <w:rFonts w:ascii="Calibri" w:hAnsi="Calibri" w:cs="Calibri"/>
          <w:b w:val="0"/>
          <w:bCs/>
          <w:szCs w:val="24"/>
        </w:rPr>
      </w:pPr>
      <w:r w:rsidRPr="00324292">
        <w:rPr>
          <w:rFonts w:ascii="Calibri" w:hAnsi="Calibri" w:cs="Calibri"/>
          <w:b w:val="0"/>
          <w:bCs/>
          <w:szCs w:val="24"/>
        </w:rPr>
        <w:t xml:space="preserve">Under section 73-1 of HESA, a person’s Student Learning Entitlement is an entitlement that consists of: </w:t>
      </w:r>
    </w:p>
    <w:p w14:paraId="1BBC52E3" w14:textId="77777777" w:rsidR="009C22F4" w:rsidRPr="00324292" w:rsidRDefault="009C22F4" w:rsidP="009C22F4">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ordinary SLE that the person has – being the equivalent of 7 years of full-time study. Generally, this would cover a student’s undergraduate </w:t>
      </w:r>
      <w:proofErr w:type="gramStart"/>
      <w:r w:rsidRPr="00324292">
        <w:rPr>
          <w:rFonts w:ascii="Calibri" w:hAnsi="Calibri" w:cs="Calibri"/>
          <w:b w:val="0"/>
          <w:bCs/>
          <w:szCs w:val="24"/>
        </w:rPr>
        <w:t>studies;</w:t>
      </w:r>
      <w:proofErr w:type="gramEnd"/>
      <w:r w:rsidRPr="00324292">
        <w:rPr>
          <w:rFonts w:ascii="Calibri" w:hAnsi="Calibri" w:cs="Calibri"/>
          <w:b w:val="0"/>
          <w:bCs/>
          <w:szCs w:val="24"/>
        </w:rPr>
        <w:t xml:space="preserve"> </w:t>
      </w:r>
    </w:p>
    <w:p w14:paraId="22C4987F" w14:textId="77777777" w:rsidR="009C22F4" w:rsidRPr="00324292" w:rsidRDefault="009C22F4" w:rsidP="009C22F4">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any additional SLE that the person has – being an extra amount of SLE a person has if they are enrolled in a course of study (or course of study of a kind) specified in the Student Learning Entitlement Guidelines and if they meet any other requirements specified in those Guidelines. Generally, additional SLE is intended to cover longer undergraduate courses of study and further studies in honours or postgraduate </w:t>
      </w:r>
      <w:proofErr w:type="gramStart"/>
      <w:r w:rsidRPr="00324292">
        <w:rPr>
          <w:rFonts w:ascii="Calibri" w:hAnsi="Calibri" w:cs="Calibri"/>
          <w:b w:val="0"/>
          <w:bCs/>
          <w:szCs w:val="24"/>
        </w:rPr>
        <w:t>courses;</w:t>
      </w:r>
      <w:proofErr w:type="gramEnd"/>
    </w:p>
    <w:p w14:paraId="6B1B054B" w14:textId="77777777" w:rsidR="009C22F4" w:rsidRPr="00324292" w:rsidRDefault="009C22F4" w:rsidP="009C22F4">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any lifelong SLE that the person has – being an extra amount of SLE a person has in the circumstances specified in the Student Learning Entitlement Guidelines. Generally, lifelong SLE is intended to cover further studies later in a person’s career. </w:t>
      </w:r>
    </w:p>
    <w:p w14:paraId="06A70131" w14:textId="77777777" w:rsidR="009C22F4" w:rsidRPr="00324292" w:rsidRDefault="009C22F4" w:rsidP="009C22F4">
      <w:pPr>
        <w:pStyle w:val="Heading2"/>
        <w:keepNext w:val="0"/>
        <w:keepLines w:val="0"/>
        <w:spacing w:after="240"/>
        <w:rPr>
          <w:rFonts w:ascii="Calibri" w:hAnsi="Calibri" w:cs="Calibri"/>
          <w:b w:val="0"/>
          <w:bCs/>
          <w:szCs w:val="24"/>
        </w:rPr>
      </w:pPr>
      <w:r w:rsidRPr="00324292">
        <w:rPr>
          <w:rFonts w:ascii="Calibri" w:hAnsi="Calibri" w:cs="Calibri"/>
          <w:b w:val="0"/>
          <w:bCs/>
          <w:szCs w:val="24"/>
        </w:rPr>
        <w:t xml:space="preserve">A person’s SLE amount at a particular time is the sum of: (a) the amount of ordinary SLE that the person has under subsection 73-5(3), (b) the amount of any additional SLE that the person has under subsection 73-10(3), (c) the amount of any lifelong SLE that the person has </w:t>
      </w:r>
      <w:r w:rsidRPr="00324292">
        <w:rPr>
          <w:rFonts w:ascii="Calibri" w:hAnsi="Calibri" w:cs="Calibri"/>
          <w:b w:val="0"/>
          <w:bCs/>
          <w:szCs w:val="24"/>
        </w:rPr>
        <w:lastRenderedPageBreak/>
        <w:t xml:space="preserve">under subsection 73-15(3), </w:t>
      </w:r>
      <w:proofErr w:type="gramStart"/>
      <w:r w:rsidRPr="00324292">
        <w:rPr>
          <w:rFonts w:ascii="Calibri" w:hAnsi="Calibri" w:cs="Calibri"/>
          <w:b w:val="0"/>
          <w:bCs/>
          <w:szCs w:val="24"/>
        </w:rPr>
        <w:t>taking into account</w:t>
      </w:r>
      <w:proofErr w:type="gramEnd"/>
      <w:r w:rsidRPr="00324292">
        <w:rPr>
          <w:rFonts w:ascii="Calibri" w:hAnsi="Calibri" w:cs="Calibri"/>
          <w:b w:val="0"/>
          <w:bCs/>
          <w:szCs w:val="24"/>
        </w:rPr>
        <w:t xml:space="preserve"> any reduction or re-crediting that has occurred before that time under Division 76 or 79 of HESA, respectively. </w:t>
      </w:r>
    </w:p>
    <w:p w14:paraId="4FE55A7D" w14:textId="77777777" w:rsidR="009C22F4" w:rsidRPr="00324292" w:rsidRDefault="009C22F4" w:rsidP="009C22F4">
      <w:pPr>
        <w:pStyle w:val="Heading2"/>
        <w:keepNext w:val="0"/>
        <w:keepLines w:val="0"/>
        <w:spacing w:after="240"/>
        <w:rPr>
          <w:rFonts w:ascii="Calibri" w:hAnsi="Calibri" w:cs="Calibri"/>
          <w:b w:val="0"/>
          <w:bCs/>
          <w:szCs w:val="24"/>
        </w:rPr>
      </w:pPr>
      <w:r w:rsidRPr="00324292">
        <w:rPr>
          <w:rFonts w:ascii="Calibri" w:hAnsi="Calibri" w:cs="Calibri"/>
          <w:b w:val="0"/>
          <w:bCs/>
          <w:szCs w:val="24"/>
        </w:rPr>
        <w:t xml:space="preserve">The purpose of the SLE Guidelines is to provide for various administrative and operational matters to support the operation of Part 3-1 of HESA. </w:t>
      </w:r>
    </w:p>
    <w:p w14:paraId="2CCD5543" w14:textId="77777777" w:rsidR="009C22F4" w:rsidRPr="00324292" w:rsidRDefault="009C22F4" w:rsidP="009C22F4">
      <w:pPr>
        <w:pStyle w:val="Heading2"/>
        <w:keepNext w:val="0"/>
        <w:keepLines w:val="0"/>
        <w:spacing w:after="240"/>
        <w:rPr>
          <w:rFonts w:ascii="Calibri" w:hAnsi="Calibri" w:cs="Calibri"/>
          <w:b w:val="0"/>
          <w:bCs/>
          <w:color w:val="auto"/>
          <w:szCs w:val="24"/>
        </w:rPr>
      </w:pPr>
      <w:r w:rsidRPr="00324292">
        <w:rPr>
          <w:rFonts w:ascii="Calibri" w:hAnsi="Calibri" w:cs="Calibri"/>
          <w:b w:val="0"/>
          <w:bCs/>
          <w:color w:val="auto"/>
          <w:szCs w:val="24"/>
        </w:rPr>
        <w:t xml:space="preserve">Specifically: </w:t>
      </w:r>
    </w:p>
    <w:p w14:paraId="5C4CBBBD" w14:textId="77777777" w:rsidR="009C22F4" w:rsidRPr="00324292" w:rsidRDefault="009C22F4" w:rsidP="009C22F4">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Part 2 of the SLE Guidelines provides for matters relating to additional SLE by specifying: the courses of study, or kinds of courses, in relation to which a person has additional SLE, the requirements a person must meet to have additional SLE and how to work out the amount of additional SLE a person </w:t>
      </w:r>
      <w:proofErr w:type="gramStart"/>
      <w:r w:rsidRPr="00324292">
        <w:rPr>
          <w:rFonts w:ascii="Calibri" w:hAnsi="Calibri" w:cs="Calibri"/>
          <w:b w:val="0"/>
          <w:bCs/>
          <w:szCs w:val="24"/>
        </w:rPr>
        <w:t>has;</w:t>
      </w:r>
      <w:proofErr w:type="gramEnd"/>
      <w:r w:rsidRPr="00324292">
        <w:rPr>
          <w:rFonts w:ascii="Calibri" w:hAnsi="Calibri" w:cs="Calibri"/>
          <w:b w:val="0"/>
          <w:bCs/>
          <w:szCs w:val="24"/>
        </w:rPr>
        <w:t xml:space="preserve"> </w:t>
      </w:r>
    </w:p>
    <w:p w14:paraId="06CB17AF" w14:textId="77777777" w:rsidR="009C22F4" w:rsidRPr="00324292" w:rsidRDefault="009C22F4" w:rsidP="009C22F4">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Part 3 of the SLE Guidelines provides for matters relating to lifelong SLE by specifying: the circumstances in which a person has lifelong SLE, the day on which the person has lifelong SLE and how to work out the amount of lifelong SLE a person </w:t>
      </w:r>
      <w:proofErr w:type="gramStart"/>
      <w:r w:rsidRPr="00324292">
        <w:rPr>
          <w:rFonts w:ascii="Calibri" w:hAnsi="Calibri" w:cs="Calibri"/>
          <w:b w:val="0"/>
          <w:bCs/>
          <w:szCs w:val="24"/>
        </w:rPr>
        <w:t>has;</w:t>
      </w:r>
      <w:proofErr w:type="gramEnd"/>
    </w:p>
    <w:p w14:paraId="385835C5" w14:textId="77777777" w:rsidR="009C22F4" w:rsidRPr="00324292" w:rsidRDefault="009C22F4" w:rsidP="009C22F4">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Part 4 of the SLE Guidelines specifies how amounts of ordinary SLE, additional SLE and lifelong SLE are to be reduced if a higher education provider reduces a person’s SLE amount at a particular time under subsection 76-1(1) of </w:t>
      </w:r>
      <w:proofErr w:type="gramStart"/>
      <w:r w:rsidRPr="00324292">
        <w:rPr>
          <w:rFonts w:ascii="Calibri" w:hAnsi="Calibri" w:cs="Calibri"/>
          <w:b w:val="0"/>
          <w:bCs/>
          <w:szCs w:val="24"/>
        </w:rPr>
        <w:t>HESA;</w:t>
      </w:r>
      <w:proofErr w:type="gramEnd"/>
      <w:r w:rsidRPr="00324292">
        <w:rPr>
          <w:rFonts w:ascii="Calibri" w:hAnsi="Calibri" w:cs="Calibri"/>
          <w:b w:val="0"/>
          <w:bCs/>
          <w:szCs w:val="24"/>
        </w:rPr>
        <w:t xml:space="preserve"> </w:t>
      </w:r>
    </w:p>
    <w:p w14:paraId="2B138BF4" w14:textId="77777777" w:rsidR="009C22F4" w:rsidRPr="00324292" w:rsidRDefault="009C22F4" w:rsidP="009C22F4">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Part 5 of the SLE Guidelines specifies how amounts of ordinary SLE, additional SLE and lifelong SLE are to be re-credited if a higher education provider re-credits a person’s SLE amount at a particular time under subsection 79-1(1) or 79-20(1) of </w:t>
      </w:r>
      <w:proofErr w:type="gramStart"/>
      <w:r w:rsidRPr="00324292">
        <w:rPr>
          <w:rFonts w:ascii="Calibri" w:hAnsi="Calibri" w:cs="Calibri"/>
          <w:b w:val="0"/>
          <w:bCs/>
          <w:szCs w:val="24"/>
        </w:rPr>
        <w:t>HESA;</w:t>
      </w:r>
      <w:proofErr w:type="gramEnd"/>
      <w:r w:rsidRPr="00324292">
        <w:rPr>
          <w:rFonts w:ascii="Calibri" w:hAnsi="Calibri" w:cs="Calibri"/>
          <w:b w:val="0"/>
          <w:bCs/>
          <w:szCs w:val="24"/>
        </w:rPr>
        <w:t xml:space="preserve"> </w:t>
      </w:r>
    </w:p>
    <w:p w14:paraId="27ECCAC3" w14:textId="77777777" w:rsidR="009C22F4" w:rsidRPr="00324292" w:rsidRDefault="009C22F4" w:rsidP="009C22F4">
      <w:pPr>
        <w:pStyle w:val="Heading2"/>
        <w:keepNext w:val="0"/>
        <w:keepLines w:val="0"/>
        <w:numPr>
          <w:ilvl w:val="0"/>
          <w:numId w:val="20"/>
        </w:numPr>
        <w:spacing w:after="240"/>
        <w:rPr>
          <w:rFonts w:ascii="Calibri" w:hAnsi="Calibri" w:cs="Calibri"/>
          <w:b w:val="0"/>
          <w:bCs/>
          <w:szCs w:val="24"/>
        </w:rPr>
      </w:pPr>
      <w:r w:rsidRPr="00324292">
        <w:rPr>
          <w:rFonts w:ascii="Calibri" w:hAnsi="Calibri" w:cs="Calibri"/>
          <w:b w:val="0"/>
          <w:bCs/>
          <w:szCs w:val="24"/>
        </w:rPr>
        <w:t xml:space="preserve">Part 6 of the SLE Guidelines specifies the circumstances in which a higher education provider will be satisfied that special circumstances apply to a person in the context of an application by the person to have their SLE amount re-credited. </w:t>
      </w:r>
    </w:p>
    <w:p w14:paraId="65904382" w14:textId="77777777" w:rsidR="00CB060B" w:rsidRPr="00324292" w:rsidRDefault="00CB060B" w:rsidP="00CB060B">
      <w:pPr>
        <w:spacing w:before="120" w:after="120"/>
        <w:rPr>
          <w:rFonts w:asciiTheme="minorHAnsi" w:hAnsiTheme="minorHAnsi" w:cstheme="minorHAnsi"/>
          <w:b/>
          <w:szCs w:val="24"/>
        </w:rPr>
      </w:pPr>
      <w:r w:rsidRPr="00324292">
        <w:rPr>
          <w:rFonts w:asciiTheme="minorHAnsi" w:hAnsiTheme="minorHAnsi" w:cstheme="minorHAnsi"/>
          <w:b/>
          <w:szCs w:val="24"/>
        </w:rPr>
        <w:t>Human rights implications</w:t>
      </w:r>
    </w:p>
    <w:p w14:paraId="28C65F1A" w14:textId="4C5AC756" w:rsidR="00FB2C13" w:rsidRPr="00324292" w:rsidRDefault="00FB2C13" w:rsidP="00CB060B">
      <w:pPr>
        <w:spacing w:before="120" w:after="120"/>
        <w:rPr>
          <w:rFonts w:asciiTheme="minorHAnsi" w:hAnsiTheme="minorHAnsi" w:cstheme="minorHAnsi"/>
          <w:szCs w:val="24"/>
        </w:rPr>
      </w:pPr>
      <w:r w:rsidRPr="00324292">
        <w:rPr>
          <w:rFonts w:asciiTheme="minorHAnsi" w:hAnsiTheme="minorHAnsi" w:cstheme="minorHAnsi"/>
          <w:szCs w:val="24"/>
        </w:rPr>
        <w:t xml:space="preserve">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Guidelines engage the right to education, which is set out in Article 13 of the International Covenant on Economic, Social and Cultural Rights (</w:t>
      </w:r>
      <w:r w:rsidRPr="00324292">
        <w:rPr>
          <w:rFonts w:asciiTheme="minorHAnsi" w:hAnsiTheme="minorHAnsi" w:cstheme="minorHAnsi"/>
          <w:b/>
          <w:bCs/>
          <w:szCs w:val="24"/>
        </w:rPr>
        <w:t>ICESCR</w:t>
      </w:r>
      <w:r w:rsidRPr="00324292">
        <w:rPr>
          <w:rFonts w:asciiTheme="minorHAnsi" w:hAnsiTheme="minorHAnsi" w:cstheme="minorHAnsi"/>
          <w:szCs w:val="24"/>
        </w:rPr>
        <w:t xml:space="preserve">). Article 13(2)(c) of the ICESCR provides that ‘higher education shall be made equally accessible to all, </w:t>
      </w:r>
      <w:proofErr w:type="gramStart"/>
      <w:r w:rsidRPr="00324292">
        <w:rPr>
          <w:rFonts w:asciiTheme="minorHAnsi" w:hAnsiTheme="minorHAnsi" w:cstheme="minorHAnsi"/>
          <w:szCs w:val="24"/>
        </w:rPr>
        <w:t>on the basis of</w:t>
      </w:r>
      <w:proofErr w:type="gramEnd"/>
      <w:r w:rsidRPr="00324292">
        <w:rPr>
          <w:rFonts w:asciiTheme="minorHAnsi" w:hAnsiTheme="minorHAnsi" w:cstheme="minorHAnsi"/>
          <w:szCs w:val="24"/>
        </w:rPr>
        <w:t xml:space="preserve"> capacity, by every appropriate means, and in particular by the progressive introduction of free education’.</w:t>
      </w:r>
    </w:p>
    <w:p w14:paraId="35ED6404" w14:textId="0258D11C" w:rsidR="00C712EA" w:rsidRPr="00324292" w:rsidRDefault="00A82EFE" w:rsidP="00CB060B">
      <w:pPr>
        <w:spacing w:before="120" w:after="120"/>
        <w:rPr>
          <w:rFonts w:asciiTheme="minorHAnsi" w:hAnsiTheme="minorHAnsi" w:cstheme="minorHAnsi"/>
          <w:szCs w:val="24"/>
        </w:rPr>
      </w:pPr>
      <w:proofErr w:type="gramStart"/>
      <w:r w:rsidRPr="00324292">
        <w:rPr>
          <w:rFonts w:asciiTheme="minorHAnsi" w:hAnsiTheme="minorHAnsi" w:cstheme="minorHAnsi"/>
          <w:szCs w:val="24"/>
        </w:rPr>
        <w:t xml:space="preserve">In particular, </w:t>
      </w:r>
      <w:r w:rsidR="002C1FEE" w:rsidRPr="00324292">
        <w:rPr>
          <w:rFonts w:asciiTheme="minorHAnsi" w:hAnsiTheme="minorHAnsi" w:cstheme="minorHAnsi"/>
          <w:szCs w:val="24"/>
        </w:rPr>
        <w:t>Part</w:t>
      </w:r>
      <w:proofErr w:type="gramEnd"/>
      <w:r w:rsidR="002C1FEE" w:rsidRPr="00324292">
        <w:rPr>
          <w:rFonts w:asciiTheme="minorHAnsi" w:hAnsiTheme="minorHAnsi" w:cstheme="minorHAnsi"/>
          <w:szCs w:val="24"/>
        </w:rPr>
        <w:t xml:space="preserve"> 2 and Part 3 of the </w:t>
      </w:r>
      <w:r w:rsidR="00677CB0" w:rsidRPr="00324292">
        <w:rPr>
          <w:rFonts w:asciiTheme="minorHAnsi" w:hAnsiTheme="minorHAnsi" w:cstheme="minorHAnsi"/>
          <w:szCs w:val="24"/>
        </w:rPr>
        <w:t xml:space="preserve">SLE </w:t>
      </w:r>
      <w:r w:rsidR="002C1FEE" w:rsidRPr="00324292">
        <w:rPr>
          <w:rFonts w:asciiTheme="minorHAnsi" w:hAnsiTheme="minorHAnsi" w:cstheme="minorHAnsi"/>
          <w:szCs w:val="24"/>
        </w:rPr>
        <w:t xml:space="preserve">Guidelines promote the right </w:t>
      </w:r>
      <w:r w:rsidR="00442422" w:rsidRPr="00324292">
        <w:rPr>
          <w:rFonts w:asciiTheme="minorHAnsi" w:hAnsiTheme="minorHAnsi" w:cstheme="minorHAnsi"/>
          <w:szCs w:val="24"/>
        </w:rPr>
        <w:t>to</w:t>
      </w:r>
      <w:r w:rsidR="002C1FEE" w:rsidRPr="00324292">
        <w:rPr>
          <w:rFonts w:asciiTheme="minorHAnsi" w:hAnsiTheme="minorHAnsi" w:cstheme="minorHAnsi"/>
          <w:szCs w:val="24"/>
        </w:rPr>
        <w:t xml:space="preserve"> education by</w:t>
      </w:r>
      <w:r w:rsidR="00C712EA" w:rsidRPr="00324292">
        <w:rPr>
          <w:rFonts w:asciiTheme="minorHAnsi" w:hAnsiTheme="minorHAnsi" w:cstheme="minorHAnsi"/>
          <w:szCs w:val="24"/>
        </w:rPr>
        <w:t xml:space="preserve"> specifying: </w:t>
      </w:r>
    </w:p>
    <w:p w14:paraId="02DD036D" w14:textId="106601FE" w:rsidR="00C712EA" w:rsidRPr="00324292" w:rsidRDefault="00C712EA" w:rsidP="00C712EA">
      <w:pPr>
        <w:pStyle w:val="ListParagraph"/>
        <w:numPr>
          <w:ilvl w:val="0"/>
          <w:numId w:val="21"/>
        </w:numPr>
        <w:spacing w:before="120" w:after="120"/>
        <w:rPr>
          <w:rFonts w:asciiTheme="minorHAnsi" w:hAnsiTheme="minorHAnsi" w:cstheme="minorHAnsi"/>
          <w:szCs w:val="24"/>
        </w:rPr>
      </w:pPr>
      <w:r w:rsidRPr="00324292">
        <w:rPr>
          <w:rFonts w:ascii="Calibri" w:hAnsi="Calibri" w:cs="Calibri"/>
          <w:bCs/>
          <w:szCs w:val="24"/>
        </w:rPr>
        <w:t xml:space="preserve">the courses of study, or kinds of courses, in relation to which a person has additional SLE and the requirements a person must meet to have additional SLE – these include </w:t>
      </w:r>
      <w:r w:rsidRPr="00324292">
        <w:rPr>
          <w:rFonts w:ascii="Calibri" w:hAnsi="Calibri" w:cs="Calibri"/>
          <w:bCs/>
          <w:szCs w:val="24"/>
        </w:rPr>
        <w:lastRenderedPageBreak/>
        <w:t xml:space="preserve">undergraduate courses of study </w:t>
      </w:r>
      <w:r w:rsidR="0021663E" w:rsidRPr="00324292">
        <w:rPr>
          <w:rFonts w:ascii="Calibri" w:hAnsi="Calibri" w:cs="Calibri"/>
          <w:bCs/>
          <w:szCs w:val="24"/>
        </w:rPr>
        <w:t xml:space="preserve">requiring </w:t>
      </w:r>
      <w:r w:rsidRPr="00324292">
        <w:rPr>
          <w:rFonts w:ascii="Calibri" w:hAnsi="Calibri" w:cs="Calibri"/>
          <w:bCs/>
          <w:szCs w:val="24"/>
        </w:rPr>
        <w:t xml:space="preserve">longer than 6 years of full-time study, honours courses of study </w:t>
      </w:r>
      <w:r w:rsidR="0021663E" w:rsidRPr="00324292">
        <w:rPr>
          <w:rFonts w:ascii="Calibri" w:hAnsi="Calibri" w:cs="Calibri"/>
          <w:bCs/>
          <w:szCs w:val="24"/>
        </w:rPr>
        <w:t xml:space="preserve">requiring </w:t>
      </w:r>
      <w:r w:rsidRPr="00324292">
        <w:rPr>
          <w:rFonts w:ascii="Calibri" w:hAnsi="Calibri" w:cs="Calibri"/>
          <w:bCs/>
          <w:szCs w:val="24"/>
        </w:rPr>
        <w:t>up to 1 year of full</w:t>
      </w:r>
      <w:r w:rsidR="0021663E" w:rsidRPr="00324292">
        <w:rPr>
          <w:rFonts w:ascii="Calibri" w:hAnsi="Calibri" w:cs="Calibri"/>
          <w:bCs/>
          <w:szCs w:val="24"/>
        </w:rPr>
        <w:t>-</w:t>
      </w:r>
      <w:r w:rsidRPr="00324292">
        <w:rPr>
          <w:rFonts w:ascii="Calibri" w:hAnsi="Calibri" w:cs="Calibri"/>
          <w:bCs/>
          <w:szCs w:val="24"/>
        </w:rPr>
        <w:t>time study</w:t>
      </w:r>
      <w:r w:rsidR="0021663E" w:rsidRPr="00324292">
        <w:rPr>
          <w:rFonts w:ascii="Calibri" w:hAnsi="Calibri" w:cs="Calibri"/>
          <w:bCs/>
          <w:szCs w:val="24"/>
        </w:rPr>
        <w:t xml:space="preserve">, postgraduate courses of study and graduate entry bachelor </w:t>
      </w:r>
      <w:proofErr w:type="gramStart"/>
      <w:r w:rsidR="0021663E" w:rsidRPr="00324292">
        <w:rPr>
          <w:rFonts w:ascii="Calibri" w:hAnsi="Calibri" w:cs="Calibri"/>
          <w:bCs/>
          <w:szCs w:val="24"/>
        </w:rPr>
        <w:t>degrees;</w:t>
      </w:r>
      <w:proofErr w:type="gramEnd"/>
      <w:r w:rsidR="0021663E" w:rsidRPr="00324292">
        <w:rPr>
          <w:rFonts w:ascii="Calibri" w:hAnsi="Calibri" w:cs="Calibri"/>
          <w:bCs/>
          <w:szCs w:val="24"/>
        </w:rPr>
        <w:t xml:space="preserve"> </w:t>
      </w:r>
    </w:p>
    <w:p w14:paraId="28B5340E" w14:textId="697D4618" w:rsidR="0021663E" w:rsidRPr="00324292" w:rsidRDefault="002C1FEE" w:rsidP="00C712EA">
      <w:pPr>
        <w:pStyle w:val="ListParagraph"/>
        <w:numPr>
          <w:ilvl w:val="0"/>
          <w:numId w:val="21"/>
        </w:numPr>
        <w:spacing w:before="120" w:after="120"/>
        <w:rPr>
          <w:rFonts w:asciiTheme="minorHAnsi" w:hAnsiTheme="minorHAnsi" w:cstheme="minorHAnsi"/>
          <w:szCs w:val="24"/>
        </w:rPr>
      </w:pPr>
      <w:r w:rsidRPr="00324292">
        <w:rPr>
          <w:rFonts w:asciiTheme="minorHAnsi" w:hAnsiTheme="minorHAnsi" w:cstheme="minorHAnsi"/>
          <w:szCs w:val="24"/>
        </w:rPr>
        <w:t>the</w:t>
      </w:r>
      <w:r w:rsidR="00C712EA" w:rsidRPr="00324292">
        <w:rPr>
          <w:rFonts w:asciiTheme="minorHAnsi" w:hAnsiTheme="minorHAnsi" w:cstheme="minorHAnsi"/>
          <w:szCs w:val="24"/>
        </w:rPr>
        <w:t xml:space="preserve"> circumstances</w:t>
      </w:r>
      <w:r w:rsidRPr="00324292">
        <w:rPr>
          <w:rFonts w:asciiTheme="minorHAnsi" w:hAnsiTheme="minorHAnsi" w:cstheme="minorHAnsi"/>
          <w:szCs w:val="24"/>
        </w:rPr>
        <w:t xml:space="preserve"> in which a person has lifelong SLE</w:t>
      </w:r>
      <w:r w:rsidR="0021663E" w:rsidRPr="00324292">
        <w:rPr>
          <w:rFonts w:asciiTheme="minorHAnsi" w:hAnsiTheme="minorHAnsi" w:cstheme="minorHAnsi"/>
          <w:szCs w:val="24"/>
        </w:rPr>
        <w:t xml:space="preserve"> – these include </w:t>
      </w:r>
      <w:r w:rsidR="00442422" w:rsidRPr="00324292">
        <w:rPr>
          <w:rFonts w:asciiTheme="minorHAnsi" w:hAnsiTheme="minorHAnsi" w:cstheme="minorHAnsi"/>
          <w:szCs w:val="24"/>
        </w:rPr>
        <w:t xml:space="preserve">where </w:t>
      </w:r>
      <w:r w:rsidR="00E659E8" w:rsidRPr="00324292">
        <w:rPr>
          <w:rFonts w:asciiTheme="minorHAnsi" w:hAnsiTheme="minorHAnsi" w:cstheme="minorHAnsi"/>
          <w:szCs w:val="24"/>
        </w:rPr>
        <w:t xml:space="preserve">a higher education provider restructures a course of study in a manner that will require the person to undertake additional units of study </w:t>
      </w:r>
      <w:proofErr w:type="gramStart"/>
      <w:r w:rsidR="00E659E8" w:rsidRPr="00324292">
        <w:rPr>
          <w:rFonts w:asciiTheme="minorHAnsi" w:hAnsiTheme="minorHAnsi" w:cstheme="minorHAnsi"/>
          <w:szCs w:val="24"/>
        </w:rPr>
        <w:t>in order to</w:t>
      </w:r>
      <w:proofErr w:type="gramEnd"/>
      <w:r w:rsidR="00E659E8" w:rsidRPr="00324292">
        <w:rPr>
          <w:rFonts w:asciiTheme="minorHAnsi" w:hAnsiTheme="minorHAnsi" w:cstheme="minorHAnsi"/>
          <w:szCs w:val="24"/>
        </w:rPr>
        <w:t xml:space="preserve"> complete the course, or where </w:t>
      </w:r>
      <w:r w:rsidR="00D26F99" w:rsidRPr="00324292">
        <w:rPr>
          <w:rFonts w:asciiTheme="minorHAnsi" w:hAnsiTheme="minorHAnsi" w:cstheme="minorHAnsi"/>
          <w:szCs w:val="24"/>
        </w:rPr>
        <w:t xml:space="preserve">a person </w:t>
      </w:r>
      <w:r w:rsidR="009F1C0D" w:rsidRPr="00324292">
        <w:rPr>
          <w:rFonts w:asciiTheme="minorHAnsi" w:hAnsiTheme="minorHAnsi" w:cstheme="minorHAnsi"/>
          <w:szCs w:val="24"/>
        </w:rPr>
        <w:t xml:space="preserve">is or was enrolled in a unit of study </w:t>
      </w:r>
      <w:r w:rsidR="004E1017" w:rsidRPr="00324292">
        <w:rPr>
          <w:rFonts w:asciiTheme="minorHAnsi" w:hAnsiTheme="minorHAnsi" w:cstheme="minorHAnsi"/>
          <w:szCs w:val="24"/>
        </w:rPr>
        <w:t xml:space="preserve">as part of a course of study with a higher education provider (which would enable them to undertake an additional 3 years of full-time study later in their career). </w:t>
      </w:r>
    </w:p>
    <w:p w14:paraId="669D1C0A" w14:textId="60E20B21" w:rsidR="009E14E7" w:rsidRPr="00324292" w:rsidRDefault="0021663E" w:rsidP="00E659E8">
      <w:pPr>
        <w:spacing w:before="120" w:after="120"/>
        <w:rPr>
          <w:rFonts w:ascii="Calibri" w:hAnsi="Calibri" w:cs="Calibri"/>
          <w:bCs/>
          <w:szCs w:val="24"/>
        </w:rPr>
      </w:pPr>
      <w:r w:rsidRPr="00324292">
        <w:rPr>
          <w:rFonts w:asciiTheme="minorHAnsi" w:hAnsiTheme="minorHAnsi" w:cstheme="minorHAnsi"/>
          <w:szCs w:val="24"/>
        </w:rPr>
        <w:t xml:space="preserve">As a result, </w:t>
      </w:r>
      <w:r w:rsidR="00E659E8" w:rsidRPr="00324292">
        <w:rPr>
          <w:rFonts w:asciiTheme="minorHAnsi" w:hAnsiTheme="minorHAnsi" w:cstheme="minorHAnsi"/>
          <w:szCs w:val="24"/>
        </w:rPr>
        <w:t xml:space="preserve">where a person meets the requirements in Part 2 and/or Part 3 of the </w:t>
      </w:r>
      <w:r w:rsidR="00F547F8" w:rsidRPr="00324292">
        <w:rPr>
          <w:rFonts w:asciiTheme="minorHAnsi" w:hAnsiTheme="minorHAnsi" w:cstheme="minorHAnsi"/>
          <w:szCs w:val="24"/>
        </w:rPr>
        <w:t xml:space="preserve">SLE </w:t>
      </w:r>
      <w:r w:rsidR="00E659E8" w:rsidRPr="00324292">
        <w:rPr>
          <w:rFonts w:asciiTheme="minorHAnsi" w:hAnsiTheme="minorHAnsi" w:cstheme="minorHAnsi"/>
          <w:szCs w:val="24"/>
        </w:rPr>
        <w:t xml:space="preserve">Guidelines, </w:t>
      </w:r>
      <w:r w:rsidRPr="00324292">
        <w:rPr>
          <w:rFonts w:asciiTheme="minorHAnsi" w:hAnsiTheme="minorHAnsi" w:cstheme="minorHAnsi"/>
          <w:szCs w:val="24"/>
        </w:rPr>
        <w:t>the overall time</w:t>
      </w:r>
      <w:r w:rsidR="00E659E8" w:rsidRPr="00324292">
        <w:rPr>
          <w:rFonts w:asciiTheme="minorHAnsi" w:hAnsiTheme="minorHAnsi" w:cstheme="minorHAnsi"/>
          <w:szCs w:val="24"/>
        </w:rPr>
        <w:t xml:space="preserve"> they will be able to study as a </w:t>
      </w:r>
      <w:r w:rsidRPr="00324292">
        <w:rPr>
          <w:rFonts w:asciiTheme="minorHAnsi" w:hAnsiTheme="minorHAnsi" w:cstheme="minorHAnsi"/>
          <w:szCs w:val="24"/>
        </w:rPr>
        <w:t xml:space="preserve">Commonwealth supported student </w:t>
      </w:r>
      <w:r w:rsidR="00E659E8" w:rsidRPr="00324292">
        <w:rPr>
          <w:rFonts w:asciiTheme="minorHAnsi" w:hAnsiTheme="minorHAnsi" w:cstheme="minorHAnsi"/>
          <w:szCs w:val="24"/>
        </w:rPr>
        <w:t xml:space="preserve">will increase. </w:t>
      </w:r>
      <w:r w:rsidR="00A82EFE" w:rsidRPr="00324292">
        <w:rPr>
          <w:rFonts w:asciiTheme="minorHAnsi" w:hAnsiTheme="minorHAnsi" w:cstheme="minorHAnsi"/>
          <w:szCs w:val="24"/>
        </w:rPr>
        <w:t xml:space="preserve">As noted above, </w:t>
      </w:r>
      <w:r w:rsidR="00F04F1A" w:rsidRPr="00324292">
        <w:rPr>
          <w:rFonts w:asciiTheme="minorHAnsi" w:hAnsiTheme="minorHAnsi" w:cstheme="minorHAnsi"/>
          <w:szCs w:val="24"/>
        </w:rPr>
        <w:t xml:space="preserve">more generally, the </w:t>
      </w:r>
      <w:r w:rsidR="00820B54" w:rsidRPr="00324292">
        <w:rPr>
          <w:rFonts w:asciiTheme="minorHAnsi" w:hAnsiTheme="minorHAnsi" w:cstheme="minorHAnsi"/>
          <w:szCs w:val="24"/>
        </w:rPr>
        <w:t xml:space="preserve">SLE Guidelines </w:t>
      </w:r>
      <w:r w:rsidR="00820B54" w:rsidRPr="00324292">
        <w:rPr>
          <w:rFonts w:ascii="Calibri" w:hAnsi="Calibri" w:cs="Calibri"/>
          <w:bCs/>
          <w:szCs w:val="24"/>
        </w:rPr>
        <w:t>provide for various administrative and operational matters to support the operation of Part 3-1 of HESA</w:t>
      </w:r>
      <w:r w:rsidR="000A59B9" w:rsidRPr="00324292">
        <w:rPr>
          <w:rFonts w:ascii="Calibri" w:hAnsi="Calibri" w:cs="Calibri"/>
          <w:bCs/>
          <w:szCs w:val="24"/>
        </w:rPr>
        <w:t xml:space="preserve">. </w:t>
      </w:r>
    </w:p>
    <w:p w14:paraId="49505300" w14:textId="5A91E4FF" w:rsidR="00A82EFE" w:rsidRPr="00324292" w:rsidRDefault="000A59B9" w:rsidP="00E659E8">
      <w:pPr>
        <w:spacing w:before="120" w:after="120"/>
        <w:rPr>
          <w:rFonts w:asciiTheme="minorHAnsi" w:hAnsiTheme="minorHAnsi" w:cstheme="minorHAnsi"/>
          <w:szCs w:val="24"/>
        </w:rPr>
      </w:pPr>
      <w:r w:rsidRPr="00324292">
        <w:rPr>
          <w:rFonts w:ascii="Calibri" w:hAnsi="Calibri" w:cs="Calibri"/>
          <w:bCs/>
          <w:szCs w:val="24"/>
        </w:rPr>
        <w:t xml:space="preserve">Together with Part 3-1 of HESA, the SLE Guidelines contain measures that are reasonable, </w:t>
      </w:r>
      <w:proofErr w:type="gramStart"/>
      <w:r w:rsidRPr="00324292">
        <w:rPr>
          <w:rFonts w:ascii="Calibri" w:hAnsi="Calibri" w:cs="Calibri"/>
          <w:bCs/>
          <w:szCs w:val="24"/>
        </w:rPr>
        <w:t>necessary</w:t>
      </w:r>
      <w:proofErr w:type="gramEnd"/>
      <w:r w:rsidRPr="00324292">
        <w:rPr>
          <w:rFonts w:ascii="Calibri" w:hAnsi="Calibri" w:cs="Calibri"/>
          <w:bCs/>
          <w:szCs w:val="24"/>
        </w:rPr>
        <w:t xml:space="preserve"> and proportionate</w:t>
      </w:r>
      <w:r w:rsidR="00C15C07" w:rsidRPr="00324292">
        <w:rPr>
          <w:rFonts w:ascii="Calibri" w:hAnsi="Calibri" w:cs="Calibri"/>
          <w:bCs/>
          <w:szCs w:val="24"/>
        </w:rPr>
        <w:t xml:space="preserve"> </w:t>
      </w:r>
      <w:r w:rsidR="00F04F1A" w:rsidRPr="00324292">
        <w:rPr>
          <w:rFonts w:ascii="Calibri" w:hAnsi="Calibri" w:cs="Calibri"/>
          <w:bCs/>
          <w:szCs w:val="24"/>
        </w:rPr>
        <w:t xml:space="preserve">to support </w:t>
      </w:r>
      <w:r w:rsidRPr="00324292">
        <w:rPr>
          <w:rFonts w:ascii="Calibri" w:hAnsi="Calibri" w:cs="Calibri"/>
          <w:bCs/>
          <w:szCs w:val="24"/>
        </w:rPr>
        <w:t xml:space="preserve">the </w:t>
      </w:r>
      <w:r w:rsidR="009C0CF2" w:rsidRPr="00324292">
        <w:rPr>
          <w:rFonts w:ascii="Calibri" w:hAnsi="Calibri" w:cs="Calibri"/>
          <w:bCs/>
          <w:szCs w:val="24"/>
        </w:rPr>
        <w:t xml:space="preserve">policy objective of </w:t>
      </w:r>
      <w:r w:rsidR="009E14E7" w:rsidRPr="00324292">
        <w:rPr>
          <w:rFonts w:ascii="Calibri" w:hAnsi="Calibri" w:cs="Calibri"/>
          <w:bCs/>
          <w:szCs w:val="24"/>
        </w:rPr>
        <w:t xml:space="preserve">ensuring broad access to Commonwealth supported study. </w:t>
      </w:r>
    </w:p>
    <w:p w14:paraId="44339DBF" w14:textId="77777777" w:rsidR="00CB060B" w:rsidRPr="00324292" w:rsidRDefault="00CB060B" w:rsidP="00CB060B">
      <w:pPr>
        <w:spacing w:before="120" w:after="120"/>
        <w:rPr>
          <w:rFonts w:asciiTheme="minorHAnsi" w:hAnsiTheme="minorHAnsi" w:cstheme="minorHAnsi"/>
          <w:szCs w:val="24"/>
        </w:rPr>
      </w:pPr>
      <w:r w:rsidRPr="00324292">
        <w:rPr>
          <w:rFonts w:asciiTheme="minorHAnsi" w:hAnsiTheme="minorHAnsi" w:cstheme="minorHAnsi"/>
          <w:b/>
          <w:szCs w:val="24"/>
        </w:rPr>
        <w:t>Conclusion</w:t>
      </w:r>
    </w:p>
    <w:p w14:paraId="6B01C2F3" w14:textId="135868CC" w:rsidR="00CB060B" w:rsidRPr="00324292" w:rsidRDefault="00CB060B" w:rsidP="00CB060B">
      <w:pPr>
        <w:spacing w:before="120" w:after="120"/>
        <w:rPr>
          <w:rFonts w:asciiTheme="minorHAnsi" w:hAnsiTheme="minorHAnsi" w:cstheme="minorHAnsi"/>
          <w:szCs w:val="24"/>
        </w:rPr>
      </w:pPr>
      <w:r w:rsidRPr="00324292">
        <w:rPr>
          <w:rFonts w:asciiTheme="minorHAnsi" w:hAnsiTheme="minorHAnsi" w:cstheme="minorHAnsi"/>
          <w:szCs w:val="24"/>
        </w:rPr>
        <w:t xml:space="preserve">The </w:t>
      </w:r>
      <w:r w:rsidR="00677CB0" w:rsidRPr="00324292">
        <w:rPr>
          <w:rFonts w:asciiTheme="minorHAnsi" w:hAnsiTheme="minorHAnsi" w:cstheme="minorHAnsi"/>
          <w:szCs w:val="24"/>
        </w:rPr>
        <w:t xml:space="preserve">SLE </w:t>
      </w:r>
      <w:r w:rsidR="004E1017" w:rsidRPr="00324292">
        <w:rPr>
          <w:rFonts w:asciiTheme="minorHAnsi" w:hAnsiTheme="minorHAnsi" w:cstheme="minorHAnsi"/>
          <w:szCs w:val="24"/>
        </w:rPr>
        <w:t xml:space="preserve">Guidelines are </w:t>
      </w:r>
      <w:r w:rsidRPr="00324292">
        <w:rPr>
          <w:rFonts w:asciiTheme="minorHAnsi" w:hAnsiTheme="minorHAnsi" w:cstheme="minorHAnsi"/>
          <w:szCs w:val="24"/>
        </w:rPr>
        <w:t xml:space="preserve">compatible with human rights because </w:t>
      </w:r>
      <w:r w:rsidR="00855E53" w:rsidRPr="00324292">
        <w:rPr>
          <w:rFonts w:asciiTheme="minorHAnsi" w:hAnsiTheme="minorHAnsi" w:cstheme="minorHAnsi"/>
          <w:szCs w:val="24"/>
        </w:rPr>
        <w:t>they promote</w:t>
      </w:r>
      <w:r w:rsidR="004E1017" w:rsidRPr="00324292">
        <w:rPr>
          <w:rFonts w:asciiTheme="minorHAnsi" w:hAnsiTheme="minorHAnsi" w:cstheme="minorHAnsi"/>
          <w:szCs w:val="24"/>
        </w:rPr>
        <w:t xml:space="preserve"> the right to education. </w:t>
      </w:r>
    </w:p>
    <w:p w14:paraId="5E98BCDF" w14:textId="77777777" w:rsidR="004E1017" w:rsidRPr="00324292" w:rsidRDefault="004E1017" w:rsidP="00CB060B">
      <w:pPr>
        <w:spacing w:before="120" w:after="120"/>
        <w:rPr>
          <w:rFonts w:asciiTheme="minorHAnsi" w:hAnsiTheme="minorHAnsi" w:cstheme="minorHAnsi"/>
          <w:szCs w:val="24"/>
        </w:rPr>
      </w:pPr>
    </w:p>
    <w:p w14:paraId="134C4FF5" w14:textId="77777777" w:rsidR="00585B24" w:rsidRPr="00324292" w:rsidRDefault="00585B24" w:rsidP="00CB060B">
      <w:pPr>
        <w:spacing w:after="0"/>
        <w:jc w:val="center"/>
        <w:rPr>
          <w:rFonts w:asciiTheme="minorHAnsi" w:hAnsiTheme="minorHAnsi" w:cstheme="minorHAnsi"/>
          <w:b/>
          <w:bCs/>
        </w:rPr>
      </w:pPr>
      <w:r w:rsidRPr="00324292">
        <w:rPr>
          <w:rFonts w:asciiTheme="minorHAnsi" w:hAnsiTheme="minorHAnsi" w:cstheme="minorHAnsi"/>
          <w:b/>
          <w:bCs/>
        </w:rPr>
        <w:t>Minister for Employment, Workforce, Skills, Small and Family Business</w:t>
      </w:r>
    </w:p>
    <w:p w14:paraId="5B7F0D13" w14:textId="24D17A44" w:rsidR="00CB060B" w:rsidRPr="00324292" w:rsidRDefault="00CB060B" w:rsidP="00CB060B">
      <w:pPr>
        <w:spacing w:after="0"/>
        <w:jc w:val="center"/>
        <w:rPr>
          <w:rFonts w:asciiTheme="minorHAnsi" w:hAnsiTheme="minorHAnsi" w:cstheme="minorHAnsi"/>
          <w:b/>
          <w:bCs/>
        </w:rPr>
      </w:pPr>
      <w:r w:rsidRPr="00324292">
        <w:rPr>
          <w:rFonts w:asciiTheme="minorHAnsi" w:hAnsiTheme="minorHAnsi" w:cstheme="minorHAnsi"/>
          <w:b/>
          <w:bCs/>
        </w:rPr>
        <w:t xml:space="preserve">The Hon </w:t>
      </w:r>
      <w:r w:rsidR="00A114FC" w:rsidRPr="00324292">
        <w:rPr>
          <w:rFonts w:asciiTheme="minorHAnsi" w:hAnsiTheme="minorHAnsi" w:cstheme="minorHAnsi"/>
          <w:b/>
          <w:bCs/>
        </w:rPr>
        <w:t>Stuart Robert</w:t>
      </w:r>
      <w:r w:rsidRPr="00324292">
        <w:rPr>
          <w:rFonts w:asciiTheme="minorHAnsi" w:hAnsiTheme="minorHAnsi" w:cstheme="minorHAnsi"/>
          <w:b/>
          <w:bCs/>
        </w:rPr>
        <w:t xml:space="preserve"> MP</w:t>
      </w:r>
    </w:p>
    <w:p w14:paraId="08C09DCE" w14:textId="77777777" w:rsidR="00CB060B" w:rsidRPr="00324292" w:rsidRDefault="00CB060B" w:rsidP="00CB060B"/>
    <w:p w14:paraId="150FC4D1" w14:textId="77777777" w:rsidR="00CB060B" w:rsidRPr="00324292" w:rsidRDefault="00CB060B">
      <w:pPr>
        <w:spacing w:after="160" w:line="259" w:lineRule="auto"/>
        <w:rPr>
          <w:rFonts w:asciiTheme="minorHAnsi" w:hAnsiTheme="minorHAnsi" w:cstheme="minorHAnsi"/>
          <w:b/>
          <w:szCs w:val="24"/>
        </w:rPr>
      </w:pPr>
      <w:r w:rsidRPr="00324292">
        <w:rPr>
          <w:rFonts w:asciiTheme="minorHAnsi" w:hAnsiTheme="minorHAnsi" w:cstheme="minorHAnsi"/>
          <w:b/>
          <w:szCs w:val="24"/>
        </w:rPr>
        <w:br w:type="page"/>
      </w:r>
    </w:p>
    <w:p w14:paraId="1C8D641F" w14:textId="5DBC1F75" w:rsidR="00A23332" w:rsidRPr="00324292" w:rsidRDefault="00A23332" w:rsidP="00A23332">
      <w:pPr>
        <w:spacing w:after="0" w:line="240" w:lineRule="auto"/>
        <w:jc w:val="center"/>
        <w:rPr>
          <w:rFonts w:asciiTheme="minorHAnsi" w:hAnsiTheme="minorHAnsi" w:cstheme="minorHAnsi"/>
          <w:b/>
          <w:szCs w:val="24"/>
        </w:rPr>
      </w:pPr>
      <w:r w:rsidRPr="00324292">
        <w:rPr>
          <w:rFonts w:asciiTheme="minorHAnsi" w:hAnsiTheme="minorHAnsi" w:cstheme="minorHAnsi"/>
          <w:b/>
          <w:szCs w:val="24"/>
        </w:rPr>
        <w:lastRenderedPageBreak/>
        <w:t>HIGHER EDUCATION SUPPORT (STUDENT LEARNING ENTITLEMENT) GUIDELINES 2021</w:t>
      </w:r>
    </w:p>
    <w:p w14:paraId="7746C5FA" w14:textId="77777777" w:rsidR="00A23332" w:rsidRPr="00324292" w:rsidRDefault="00A23332" w:rsidP="00A23332">
      <w:pPr>
        <w:spacing w:after="0" w:line="240" w:lineRule="auto"/>
        <w:jc w:val="center"/>
        <w:rPr>
          <w:rFonts w:asciiTheme="minorHAnsi" w:hAnsiTheme="minorHAnsi" w:cstheme="minorHAnsi"/>
          <w:b/>
          <w:szCs w:val="24"/>
        </w:rPr>
      </w:pPr>
    </w:p>
    <w:p w14:paraId="7125F8C6" w14:textId="77777777" w:rsidR="00A23332" w:rsidRPr="00324292" w:rsidRDefault="00A23332" w:rsidP="00A23332">
      <w:pPr>
        <w:spacing w:after="0" w:line="240" w:lineRule="auto"/>
        <w:jc w:val="center"/>
        <w:rPr>
          <w:rFonts w:asciiTheme="minorHAnsi" w:hAnsiTheme="minorHAnsi" w:cstheme="minorHAnsi"/>
          <w:b/>
          <w:szCs w:val="24"/>
        </w:rPr>
      </w:pPr>
      <w:r w:rsidRPr="00324292">
        <w:rPr>
          <w:rFonts w:asciiTheme="minorHAnsi" w:hAnsiTheme="minorHAnsi" w:cstheme="minorHAnsi"/>
          <w:b/>
          <w:szCs w:val="24"/>
        </w:rPr>
        <w:t xml:space="preserve">EXPLANATION OF PROVISIONS </w:t>
      </w:r>
    </w:p>
    <w:p w14:paraId="58C5AA35" w14:textId="77777777" w:rsidR="00A23332" w:rsidRPr="00324292" w:rsidRDefault="00A23332" w:rsidP="00A23332">
      <w:pPr>
        <w:spacing w:after="0" w:line="240" w:lineRule="auto"/>
        <w:jc w:val="center"/>
        <w:rPr>
          <w:rFonts w:asciiTheme="minorHAnsi" w:hAnsiTheme="minorHAnsi" w:cstheme="minorHAnsi"/>
          <w:b/>
          <w:szCs w:val="24"/>
        </w:rPr>
      </w:pPr>
    </w:p>
    <w:p w14:paraId="321F8AD9"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1: Name</w:t>
      </w:r>
    </w:p>
    <w:p w14:paraId="7F1E6744" w14:textId="77777777" w:rsidR="00A23332" w:rsidRPr="00324292" w:rsidRDefault="00A23332" w:rsidP="00A23332">
      <w:pPr>
        <w:spacing w:after="0" w:line="240" w:lineRule="auto"/>
        <w:rPr>
          <w:rFonts w:asciiTheme="minorHAnsi" w:hAnsiTheme="minorHAnsi" w:cstheme="minorHAnsi"/>
          <w:szCs w:val="24"/>
          <w:u w:val="single"/>
        </w:rPr>
      </w:pPr>
    </w:p>
    <w:p w14:paraId="7EDC570F" w14:textId="44FC9E78" w:rsidR="00A23332" w:rsidRPr="00324292" w:rsidRDefault="00A23332" w:rsidP="005965C6">
      <w:pPr>
        <w:pStyle w:val="ListParagraph"/>
        <w:numPr>
          <w:ilvl w:val="0"/>
          <w:numId w:val="16"/>
        </w:numPr>
        <w:spacing w:before="40" w:after="240"/>
        <w:ind w:left="357" w:hanging="357"/>
        <w:rPr>
          <w:rFonts w:asciiTheme="minorHAnsi" w:hAnsiTheme="minorHAnsi" w:cstheme="minorHAnsi"/>
          <w:szCs w:val="24"/>
        </w:rPr>
      </w:pPr>
      <w:r w:rsidRPr="00324292">
        <w:rPr>
          <w:rFonts w:asciiTheme="minorHAnsi" w:hAnsiTheme="minorHAnsi" w:cstheme="minorHAnsi"/>
          <w:szCs w:val="24"/>
        </w:rPr>
        <w:t xml:space="preserve">Section 1 specifies that the name of the instrument is the </w:t>
      </w:r>
      <w:r w:rsidRPr="00324292">
        <w:rPr>
          <w:rFonts w:asciiTheme="minorHAnsi" w:hAnsiTheme="minorHAnsi" w:cstheme="minorHAnsi"/>
          <w:i/>
          <w:iCs/>
          <w:szCs w:val="24"/>
        </w:rPr>
        <w:t>Higher Education Support (Student Learning Entitlement) Guidelines 2021</w:t>
      </w:r>
      <w:r w:rsidRPr="00324292">
        <w:rPr>
          <w:rFonts w:asciiTheme="minorHAnsi" w:hAnsiTheme="minorHAnsi" w:cstheme="minorHAnsi"/>
          <w:szCs w:val="24"/>
        </w:rPr>
        <w:t xml:space="preserve"> (</w:t>
      </w:r>
      <w:r w:rsidR="00677CB0" w:rsidRPr="00324292">
        <w:rPr>
          <w:rFonts w:asciiTheme="minorHAnsi" w:hAnsiTheme="minorHAnsi" w:cstheme="minorHAnsi"/>
          <w:b/>
          <w:bCs/>
          <w:szCs w:val="24"/>
        </w:rPr>
        <w:t>SLE</w:t>
      </w:r>
      <w:r w:rsidR="00677CB0" w:rsidRPr="00324292">
        <w:rPr>
          <w:rFonts w:asciiTheme="minorHAnsi" w:hAnsiTheme="minorHAnsi" w:cstheme="minorHAnsi"/>
          <w:szCs w:val="24"/>
        </w:rPr>
        <w:t xml:space="preserve"> </w:t>
      </w:r>
      <w:r w:rsidRPr="00324292">
        <w:rPr>
          <w:rFonts w:asciiTheme="minorHAnsi" w:hAnsiTheme="minorHAnsi" w:cstheme="minorHAnsi"/>
          <w:b/>
          <w:bCs/>
          <w:szCs w:val="24"/>
        </w:rPr>
        <w:t>Guidelines</w:t>
      </w:r>
      <w:r w:rsidRPr="00324292">
        <w:rPr>
          <w:rFonts w:asciiTheme="minorHAnsi" w:hAnsiTheme="minorHAnsi" w:cstheme="minorHAnsi"/>
          <w:szCs w:val="24"/>
        </w:rPr>
        <w:t xml:space="preserve">), which is how it is to be cited. </w:t>
      </w:r>
    </w:p>
    <w:p w14:paraId="6604CA17"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2: Commencement</w:t>
      </w:r>
    </w:p>
    <w:p w14:paraId="60C9C712" w14:textId="77777777" w:rsidR="00A23332" w:rsidRPr="00324292" w:rsidRDefault="00A23332" w:rsidP="00A23332">
      <w:pPr>
        <w:spacing w:after="0" w:line="240" w:lineRule="auto"/>
        <w:rPr>
          <w:rFonts w:asciiTheme="minorHAnsi" w:hAnsiTheme="minorHAnsi" w:cstheme="minorHAnsi"/>
          <w:szCs w:val="24"/>
          <w:u w:val="single"/>
        </w:rPr>
      </w:pPr>
    </w:p>
    <w:p w14:paraId="2E688FD5" w14:textId="5E426FB1"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2 provides that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will commence the later of: (a) the start of the day after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are registered; and (b) immediately after the commencement of Schedule 4B to the </w:t>
      </w:r>
      <w:r w:rsidRPr="00324292">
        <w:rPr>
          <w:rFonts w:asciiTheme="minorHAnsi" w:hAnsiTheme="minorHAnsi" w:cstheme="minorHAnsi"/>
          <w:i/>
          <w:iCs/>
          <w:szCs w:val="24"/>
        </w:rPr>
        <w:t>Higher Education Support Amendment (Job-Ready Graduates and Supporting Regional and Remote Students) Act 2020</w:t>
      </w:r>
      <w:r w:rsidRPr="00324292">
        <w:rPr>
          <w:rFonts w:asciiTheme="minorHAnsi" w:hAnsiTheme="minorHAnsi" w:cstheme="minorHAnsi"/>
          <w:szCs w:val="24"/>
        </w:rPr>
        <w:t xml:space="preserve"> (</w:t>
      </w:r>
      <w:r w:rsidRPr="00324292">
        <w:rPr>
          <w:rFonts w:asciiTheme="minorHAnsi" w:hAnsiTheme="minorHAnsi" w:cstheme="minorHAnsi"/>
          <w:b/>
          <w:bCs/>
          <w:szCs w:val="24"/>
        </w:rPr>
        <w:t>Amendment Act</w:t>
      </w:r>
      <w:r w:rsidRPr="00324292">
        <w:rPr>
          <w:rFonts w:asciiTheme="minorHAnsi" w:hAnsiTheme="minorHAnsi" w:cstheme="minorHAnsi"/>
          <w:szCs w:val="24"/>
        </w:rPr>
        <w:t xml:space="preserve">), which contains the enabling provisions for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and commences on 1 January 2022. </w:t>
      </w:r>
    </w:p>
    <w:p w14:paraId="71AFD050" w14:textId="77777777" w:rsidR="005965C6" w:rsidRPr="00324292" w:rsidRDefault="005965C6" w:rsidP="005965C6">
      <w:pPr>
        <w:pStyle w:val="ListParagraph"/>
        <w:spacing w:before="40" w:after="240"/>
        <w:ind w:left="360"/>
        <w:rPr>
          <w:rFonts w:asciiTheme="minorHAnsi" w:hAnsiTheme="minorHAnsi" w:cstheme="minorHAnsi"/>
          <w:szCs w:val="24"/>
        </w:rPr>
      </w:pPr>
    </w:p>
    <w:p w14:paraId="71E8F206" w14:textId="3B872B6B"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If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w:t>
      </w:r>
      <w:r w:rsidR="0047199D" w:rsidRPr="00324292">
        <w:rPr>
          <w:rFonts w:asciiTheme="minorHAnsi" w:hAnsiTheme="minorHAnsi" w:cstheme="minorHAnsi"/>
          <w:szCs w:val="24"/>
        </w:rPr>
        <w:t xml:space="preserve">are made and registered </w:t>
      </w:r>
      <w:r w:rsidRPr="00324292">
        <w:rPr>
          <w:rFonts w:asciiTheme="minorHAnsi" w:hAnsiTheme="minorHAnsi" w:cstheme="minorHAnsi"/>
          <w:szCs w:val="24"/>
        </w:rPr>
        <w:t xml:space="preserve">after the Amendment Act is enacted but before the enabling provisions commence, the power to make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in that “pre-commencement” period will derive from subsection 4(2) of </w:t>
      </w:r>
      <w:r w:rsidRPr="00324292">
        <w:rPr>
          <w:rFonts w:asciiTheme="minorHAnsi" w:hAnsiTheme="minorHAnsi" w:cstheme="minorHAnsi"/>
          <w:i/>
          <w:iCs/>
          <w:szCs w:val="24"/>
        </w:rPr>
        <w:t>the Acts Interpretation Act 1901</w:t>
      </w:r>
      <w:r w:rsidRPr="00324292">
        <w:rPr>
          <w:rFonts w:asciiTheme="minorHAnsi" w:hAnsiTheme="minorHAnsi" w:cstheme="minorHAnsi"/>
          <w:szCs w:val="24"/>
        </w:rPr>
        <w:t xml:space="preserve"> (</w:t>
      </w:r>
      <w:r w:rsidRPr="00324292">
        <w:rPr>
          <w:rFonts w:asciiTheme="minorHAnsi" w:hAnsiTheme="minorHAnsi" w:cstheme="minorHAnsi"/>
          <w:b/>
          <w:bCs/>
          <w:szCs w:val="24"/>
        </w:rPr>
        <w:t>AIA</w:t>
      </w:r>
      <w:r w:rsidRPr="00324292">
        <w:rPr>
          <w:rFonts w:asciiTheme="minorHAnsi" w:hAnsiTheme="minorHAnsi" w:cstheme="minorHAnsi"/>
          <w:szCs w:val="24"/>
        </w:rPr>
        <w:t xml:space="preserve">) (noting this provision will not be applicable if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are made and registered on or after 1 January 2022). This commencement provision ensures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will commence and become effective on either: (a) the day after they are registered, if they are registered after 1 January 2022; or (b) on 1 January 2022, if they are registered before that day.  In both cases,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Guidelines will be purely prospective in their effect (and cannot be effective before 1 January 2022).</w:t>
      </w:r>
    </w:p>
    <w:p w14:paraId="1099B64F"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3: Authority</w:t>
      </w:r>
    </w:p>
    <w:p w14:paraId="73F3BE5A" w14:textId="77777777" w:rsidR="00A23332" w:rsidRPr="00324292" w:rsidRDefault="00A23332" w:rsidP="00A23332">
      <w:pPr>
        <w:spacing w:after="0" w:line="240" w:lineRule="auto"/>
        <w:rPr>
          <w:rFonts w:asciiTheme="minorHAnsi" w:hAnsiTheme="minorHAnsi" w:cstheme="minorHAnsi"/>
          <w:szCs w:val="24"/>
          <w:u w:val="single"/>
        </w:rPr>
      </w:pPr>
    </w:p>
    <w:p w14:paraId="1F4A40FF" w14:textId="02D318C9" w:rsidR="00A23332" w:rsidRPr="00324292" w:rsidRDefault="00A23332" w:rsidP="005965C6">
      <w:pPr>
        <w:pStyle w:val="ListParagraph"/>
        <w:numPr>
          <w:ilvl w:val="0"/>
          <w:numId w:val="16"/>
        </w:numPr>
        <w:spacing w:before="40" w:after="240"/>
        <w:ind w:left="357" w:hanging="357"/>
        <w:rPr>
          <w:rFonts w:asciiTheme="minorHAnsi" w:hAnsiTheme="minorHAnsi" w:cstheme="minorHAnsi"/>
          <w:szCs w:val="24"/>
        </w:rPr>
      </w:pPr>
      <w:r w:rsidRPr="00324292">
        <w:rPr>
          <w:rFonts w:asciiTheme="minorHAnsi" w:hAnsiTheme="minorHAnsi" w:cstheme="minorHAnsi"/>
          <w:szCs w:val="24"/>
        </w:rPr>
        <w:t xml:space="preserve">Section 3 provides that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are made under section 238-10 of the </w:t>
      </w:r>
      <w:r w:rsidRPr="00324292">
        <w:rPr>
          <w:rFonts w:asciiTheme="minorHAnsi" w:hAnsiTheme="minorHAnsi" w:cstheme="minorHAnsi"/>
          <w:i/>
          <w:iCs/>
          <w:szCs w:val="24"/>
        </w:rPr>
        <w:t>Higher Education Support Act 2003</w:t>
      </w:r>
      <w:r w:rsidRPr="00324292">
        <w:rPr>
          <w:rFonts w:asciiTheme="minorHAnsi" w:hAnsiTheme="minorHAnsi" w:cstheme="minorHAnsi"/>
          <w:szCs w:val="24"/>
        </w:rPr>
        <w:t xml:space="preserve"> (</w:t>
      </w:r>
      <w:r w:rsidRPr="00324292">
        <w:rPr>
          <w:rFonts w:asciiTheme="minorHAnsi" w:hAnsiTheme="minorHAnsi" w:cstheme="minorHAnsi"/>
          <w:b/>
          <w:bCs/>
          <w:szCs w:val="24"/>
        </w:rPr>
        <w:t>HESA</w:t>
      </w:r>
      <w:r w:rsidRPr="00324292">
        <w:rPr>
          <w:rFonts w:asciiTheme="minorHAnsi" w:hAnsiTheme="minorHAnsi" w:cstheme="minorHAnsi"/>
          <w:szCs w:val="24"/>
        </w:rPr>
        <w:t xml:space="preserve">). As noted above, if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Guidelines are made and registered before 1 January 2022, they will also be authorised by subsection 4(2) of the AIA.</w:t>
      </w:r>
    </w:p>
    <w:p w14:paraId="7EAC283C"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4: Definitions</w:t>
      </w:r>
    </w:p>
    <w:p w14:paraId="2D908F71" w14:textId="77777777" w:rsidR="00A23332" w:rsidRPr="00324292" w:rsidRDefault="00A23332" w:rsidP="00A23332">
      <w:pPr>
        <w:spacing w:after="0" w:line="240" w:lineRule="auto"/>
        <w:rPr>
          <w:rFonts w:asciiTheme="minorHAnsi" w:hAnsiTheme="minorHAnsi" w:cstheme="minorHAnsi"/>
          <w:szCs w:val="24"/>
          <w:u w:val="single"/>
        </w:rPr>
      </w:pPr>
    </w:p>
    <w:p w14:paraId="0FE6C0F9" w14:textId="253E3FAF"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Section 4 defines some terms used in the Guidelines.</w:t>
      </w:r>
    </w:p>
    <w:p w14:paraId="601DE1E2" w14:textId="77777777" w:rsidR="005965C6" w:rsidRPr="00324292" w:rsidRDefault="005965C6" w:rsidP="005965C6">
      <w:pPr>
        <w:pStyle w:val="ListParagraph"/>
        <w:spacing w:before="40" w:after="240"/>
        <w:ind w:left="360"/>
        <w:rPr>
          <w:rFonts w:asciiTheme="minorHAnsi" w:hAnsiTheme="minorHAnsi" w:cstheme="minorHAnsi"/>
          <w:szCs w:val="24"/>
        </w:rPr>
      </w:pPr>
    </w:p>
    <w:p w14:paraId="7946D042" w14:textId="4CDECDBB" w:rsidR="005965C6"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In particular, the term “course load” means the minimum aggregated EFTSL value of all the units of study required to complete the course of study to which the units relate. For example, a three-year Bachelor of Commerce may be made up of 4 units per semester </w:t>
      </w:r>
      <w:r w:rsidRPr="00324292">
        <w:rPr>
          <w:rFonts w:asciiTheme="minorHAnsi" w:hAnsiTheme="minorHAnsi" w:cstheme="minorHAnsi"/>
          <w:szCs w:val="24"/>
        </w:rPr>
        <w:lastRenderedPageBreak/>
        <w:t>for six semesters. Each course is worth .125 EFTSL, aggregating to a course load of 3 EFTSL.</w:t>
      </w:r>
    </w:p>
    <w:p w14:paraId="540C851F" w14:textId="77777777" w:rsidR="005965C6" w:rsidRPr="00324292" w:rsidRDefault="005965C6" w:rsidP="005965C6">
      <w:pPr>
        <w:pStyle w:val="ListParagraph"/>
        <w:spacing w:before="40" w:after="240"/>
        <w:ind w:left="360"/>
        <w:rPr>
          <w:rFonts w:asciiTheme="minorHAnsi" w:hAnsiTheme="minorHAnsi" w:cstheme="minorHAnsi"/>
          <w:szCs w:val="24"/>
        </w:rPr>
      </w:pPr>
    </w:p>
    <w:p w14:paraId="066CF4B1" w14:textId="628D9DF6"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The note in section 4 explains that </w:t>
      </w:r>
      <w:proofErr w:type="gramStart"/>
      <w:r w:rsidRPr="00324292">
        <w:rPr>
          <w:rFonts w:asciiTheme="minorHAnsi" w:hAnsiTheme="minorHAnsi" w:cstheme="minorHAnsi"/>
          <w:szCs w:val="24"/>
        </w:rPr>
        <w:t>a number of</w:t>
      </w:r>
      <w:proofErr w:type="gramEnd"/>
      <w:r w:rsidRPr="00324292">
        <w:rPr>
          <w:rFonts w:asciiTheme="minorHAnsi" w:hAnsiTheme="minorHAnsi" w:cstheme="minorHAnsi"/>
          <w:szCs w:val="24"/>
        </w:rPr>
        <w:t xml:space="preserve"> expressions used in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(including those listed in the note) are defined in Schedule 1 to HESA. </w:t>
      </w:r>
    </w:p>
    <w:p w14:paraId="1CF3E7D2" w14:textId="77777777" w:rsidR="00A23332" w:rsidRPr="00324292" w:rsidRDefault="00A23332" w:rsidP="00A23332">
      <w:pPr>
        <w:keepNext/>
        <w:spacing w:after="0" w:line="240" w:lineRule="auto"/>
        <w:rPr>
          <w:rFonts w:asciiTheme="minorHAnsi" w:hAnsiTheme="minorHAnsi" w:cstheme="minorHAnsi"/>
          <w:b/>
          <w:bCs/>
          <w:szCs w:val="24"/>
          <w:u w:val="single"/>
        </w:rPr>
      </w:pPr>
      <w:r w:rsidRPr="00324292">
        <w:rPr>
          <w:rFonts w:asciiTheme="minorHAnsi" w:hAnsiTheme="minorHAnsi" w:cstheme="minorHAnsi"/>
          <w:b/>
          <w:bCs/>
          <w:szCs w:val="24"/>
          <w:u w:val="single"/>
        </w:rPr>
        <w:t xml:space="preserve">Part 2 – Additional SLE </w:t>
      </w:r>
    </w:p>
    <w:p w14:paraId="54111BA2" w14:textId="77777777" w:rsidR="00A23332" w:rsidRPr="00324292" w:rsidRDefault="00A23332" w:rsidP="00A23332">
      <w:pPr>
        <w:keepNext/>
        <w:spacing w:after="0" w:line="240" w:lineRule="auto"/>
        <w:rPr>
          <w:rFonts w:asciiTheme="minorHAnsi" w:hAnsiTheme="minorHAnsi" w:cstheme="minorHAnsi"/>
          <w:szCs w:val="24"/>
          <w:u w:val="single"/>
        </w:rPr>
      </w:pPr>
    </w:p>
    <w:p w14:paraId="2F5E0678" w14:textId="77777777" w:rsidR="00A23332" w:rsidRPr="00324292" w:rsidRDefault="00A23332" w:rsidP="00A23332">
      <w:pPr>
        <w:keepNext/>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 xml:space="preserve">Section 5 – Purpose </w:t>
      </w:r>
    </w:p>
    <w:p w14:paraId="452B03A8" w14:textId="77777777" w:rsidR="00A23332" w:rsidRPr="00324292" w:rsidRDefault="00A23332" w:rsidP="00A23332">
      <w:pPr>
        <w:spacing w:after="0" w:line="240" w:lineRule="auto"/>
        <w:rPr>
          <w:rFonts w:asciiTheme="minorHAnsi" w:hAnsiTheme="minorHAnsi" w:cstheme="minorHAnsi"/>
          <w:szCs w:val="24"/>
          <w:u w:val="single"/>
        </w:rPr>
      </w:pPr>
    </w:p>
    <w:p w14:paraId="6BC76FB2" w14:textId="6C8EB019"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73-10 of HESA sets out when a person has additional SLE. </w:t>
      </w:r>
      <w:r w:rsidR="008F1EB6" w:rsidRPr="00324292">
        <w:rPr>
          <w:rFonts w:asciiTheme="minorHAnsi" w:hAnsiTheme="minorHAnsi" w:cstheme="minorHAnsi"/>
          <w:szCs w:val="24"/>
        </w:rPr>
        <w:t xml:space="preserve">Generally, additional SLE is intended to cover longer undergraduate courses of study and further studies in honours or postgraduate courses. </w:t>
      </w:r>
    </w:p>
    <w:p w14:paraId="658C0002" w14:textId="77777777" w:rsidR="005965C6" w:rsidRPr="00324292" w:rsidRDefault="005965C6" w:rsidP="005965C6">
      <w:pPr>
        <w:pStyle w:val="ListParagraph"/>
        <w:spacing w:before="40" w:after="240"/>
        <w:ind w:left="360"/>
        <w:rPr>
          <w:rFonts w:asciiTheme="minorHAnsi" w:hAnsiTheme="minorHAnsi" w:cstheme="minorHAnsi"/>
          <w:szCs w:val="24"/>
        </w:rPr>
      </w:pPr>
    </w:p>
    <w:p w14:paraId="5D14F560" w14:textId="63EE49F1"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5 of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provides that the purpose of Part 2 of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is to specify various matters for the purposes of section 73-10 of HESA, specifically: </w:t>
      </w:r>
    </w:p>
    <w:p w14:paraId="08164B81" w14:textId="77777777" w:rsidR="00A23332" w:rsidRPr="00324292" w:rsidRDefault="00A23332" w:rsidP="005965C6">
      <w:pPr>
        <w:pStyle w:val="ListParagraph"/>
        <w:numPr>
          <w:ilvl w:val="1"/>
          <w:numId w:val="1"/>
        </w:numPr>
        <w:spacing w:before="40" w:after="240"/>
        <w:ind w:left="1080"/>
        <w:rPr>
          <w:rFonts w:asciiTheme="minorHAnsi" w:hAnsiTheme="minorHAnsi" w:cstheme="minorHAnsi"/>
          <w:szCs w:val="24"/>
        </w:rPr>
      </w:pPr>
      <w:r w:rsidRPr="00324292">
        <w:rPr>
          <w:rFonts w:asciiTheme="minorHAnsi" w:hAnsiTheme="minorHAnsi" w:cstheme="minorHAnsi"/>
          <w:szCs w:val="24"/>
        </w:rPr>
        <w:t xml:space="preserve">the courses of study, or kinds of courses of study, in relation to which a person has additional SLE (for the purposes of paragraph 73-10(1)(b) of HESA). This is dealt with in section </w:t>
      </w:r>
      <w:proofErr w:type="gramStart"/>
      <w:r w:rsidRPr="00324292">
        <w:rPr>
          <w:rFonts w:asciiTheme="minorHAnsi" w:hAnsiTheme="minorHAnsi" w:cstheme="minorHAnsi"/>
          <w:szCs w:val="24"/>
        </w:rPr>
        <w:t>6;</w:t>
      </w:r>
      <w:proofErr w:type="gramEnd"/>
      <w:r w:rsidRPr="00324292">
        <w:rPr>
          <w:rFonts w:asciiTheme="minorHAnsi" w:hAnsiTheme="minorHAnsi" w:cstheme="minorHAnsi"/>
          <w:szCs w:val="24"/>
        </w:rPr>
        <w:t xml:space="preserve"> </w:t>
      </w:r>
    </w:p>
    <w:p w14:paraId="5A5B4F5B" w14:textId="77777777" w:rsidR="00A23332" w:rsidRPr="00324292" w:rsidRDefault="00A23332" w:rsidP="005965C6">
      <w:pPr>
        <w:pStyle w:val="ListParagraph"/>
        <w:numPr>
          <w:ilvl w:val="1"/>
          <w:numId w:val="1"/>
        </w:numPr>
        <w:spacing w:before="40" w:after="240"/>
        <w:ind w:left="1080"/>
        <w:rPr>
          <w:rFonts w:asciiTheme="minorHAnsi" w:hAnsiTheme="minorHAnsi" w:cstheme="minorHAnsi"/>
          <w:szCs w:val="24"/>
        </w:rPr>
      </w:pPr>
      <w:r w:rsidRPr="00324292">
        <w:rPr>
          <w:rFonts w:asciiTheme="minorHAnsi" w:hAnsiTheme="minorHAnsi" w:cstheme="minorHAnsi"/>
          <w:szCs w:val="24"/>
        </w:rPr>
        <w:t xml:space="preserve">the requirements a person must meet to have additional SLE (for the purposes of paragraph 73-10(1)(c) of HESA). This is dealt with in section 6; and </w:t>
      </w:r>
    </w:p>
    <w:p w14:paraId="2F820D7C" w14:textId="35EF3C97" w:rsidR="00A23332" w:rsidRPr="00324292" w:rsidRDefault="00A23332" w:rsidP="005965C6">
      <w:pPr>
        <w:pStyle w:val="ListParagraph"/>
        <w:numPr>
          <w:ilvl w:val="1"/>
          <w:numId w:val="1"/>
        </w:numPr>
        <w:spacing w:before="40" w:after="240"/>
        <w:ind w:left="1080"/>
        <w:rPr>
          <w:rFonts w:asciiTheme="minorHAnsi" w:hAnsiTheme="minorHAnsi" w:cstheme="minorHAnsi"/>
          <w:szCs w:val="24"/>
        </w:rPr>
      </w:pPr>
      <w:r w:rsidRPr="00324292">
        <w:rPr>
          <w:rFonts w:asciiTheme="minorHAnsi" w:hAnsiTheme="minorHAnsi" w:cstheme="minorHAnsi"/>
          <w:szCs w:val="24"/>
        </w:rPr>
        <w:t>how to work out the amount of additional SLE a person has (for the purposes of subsection 73-10(3) of HESA). This is dealt with in section 7.</w:t>
      </w:r>
    </w:p>
    <w:p w14:paraId="22279236" w14:textId="2FEE085A" w:rsidR="00A23332" w:rsidRPr="00324292" w:rsidRDefault="00A23332" w:rsidP="005965C6">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 xml:space="preserve">Section 6 – Specified courses and requirements for additional SLE </w:t>
      </w:r>
    </w:p>
    <w:p w14:paraId="032D7628" w14:textId="77777777" w:rsidR="005965C6" w:rsidRPr="00324292" w:rsidRDefault="005965C6" w:rsidP="005965C6">
      <w:pPr>
        <w:spacing w:after="0" w:line="240" w:lineRule="auto"/>
        <w:rPr>
          <w:rFonts w:asciiTheme="minorHAnsi" w:hAnsiTheme="minorHAnsi" w:cstheme="minorHAnsi"/>
          <w:szCs w:val="24"/>
          <w:u w:val="single"/>
        </w:rPr>
      </w:pPr>
    </w:p>
    <w:p w14:paraId="7E930044" w14:textId="5D6EA5DA"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6 specifies the courses of study, or kinds of courses of study, in relation to which a person has additional SLE and the requirements a person must meet to have additional SLE. </w:t>
      </w:r>
    </w:p>
    <w:p w14:paraId="78DD7AFA" w14:textId="77777777" w:rsidR="005965C6" w:rsidRPr="00324292" w:rsidRDefault="005965C6" w:rsidP="005965C6">
      <w:pPr>
        <w:pStyle w:val="ListParagraph"/>
        <w:spacing w:before="40" w:after="240"/>
        <w:ind w:left="360"/>
        <w:rPr>
          <w:rFonts w:asciiTheme="minorHAnsi" w:hAnsiTheme="minorHAnsi" w:cstheme="minorHAnsi"/>
          <w:szCs w:val="24"/>
        </w:rPr>
      </w:pPr>
    </w:p>
    <w:p w14:paraId="524B3E18" w14:textId="5B0C7AE9" w:rsidR="005965C6"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Under subsection 6(1), a person has additional SLE where they are enrolled in an undergraduate course of study (other than an honours course of study or a graduate entry </w:t>
      </w:r>
      <w:proofErr w:type="gramStart"/>
      <w:r w:rsidRPr="00324292">
        <w:rPr>
          <w:rFonts w:asciiTheme="minorHAnsi" w:hAnsiTheme="minorHAnsi" w:cstheme="minorHAnsi"/>
          <w:szCs w:val="24"/>
        </w:rPr>
        <w:t>bachelor</w:t>
      </w:r>
      <w:proofErr w:type="gramEnd"/>
      <w:r w:rsidRPr="00324292">
        <w:rPr>
          <w:rFonts w:asciiTheme="minorHAnsi" w:hAnsiTheme="minorHAnsi" w:cstheme="minorHAnsi"/>
          <w:szCs w:val="24"/>
        </w:rPr>
        <w:t xml:space="preserve"> degree course of study) and the course load of that course is greater than 6 EFTSL. The amount of additional SLE that a person has in these circumstances is calculated in accordance with subsection 7(1). </w:t>
      </w:r>
    </w:p>
    <w:p w14:paraId="4CD0F4D0" w14:textId="77777777" w:rsidR="005965C6" w:rsidRPr="00324292" w:rsidRDefault="005965C6" w:rsidP="005965C6">
      <w:pPr>
        <w:pStyle w:val="ListParagraph"/>
        <w:spacing w:before="40" w:after="240"/>
        <w:ind w:left="360"/>
        <w:rPr>
          <w:rFonts w:asciiTheme="minorHAnsi" w:hAnsiTheme="minorHAnsi" w:cstheme="minorHAnsi"/>
          <w:szCs w:val="24"/>
        </w:rPr>
      </w:pPr>
    </w:p>
    <w:p w14:paraId="34FDD6BE" w14:textId="08D41FB4" w:rsidR="005965C6" w:rsidRPr="00324292" w:rsidRDefault="006500EB"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Under subsection 6(2), a person has additional SLE where they are enrolled in an honours course of study and the course load for that course is less than or equal to 1 EFTSL. The amount of additional SLE that a person has in these circumstances is calculated in accordance with subsection 7(2). </w:t>
      </w:r>
    </w:p>
    <w:p w14:paraId="4C9DD6E9" w14:textId="77777777" w:rsidR="005965C6" w:rsidRPr="00324292" w:rsidRDefault="005965C6" w:rsidP="005965C6">
      <w:pPr>
        <w:pStyle w:val="ListParagraph"/>
        <w:spacing w:before="40" w:after="240"/>
        <w:ind w:left="360"/>
        <w:rPr>
          <w:rFonts w:asciiTheme="minorHAnsi" w:hAnsiTheme="minorHAnsi" w:cstheme="minorHAnsi"/>
          <w:szCs w:val="24"/>
        </w:rPr>
      </w:pPr>
    </w:p>
    <w:p w14:paraId="6E2FC011" w14:textId="46AF1F79"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lastRenderedPageBreak/>
        <w:t>Under subsection 6(</w:t>
      </w:r>
      <w:r w:rsidR="006500EB" w:rsidRPr="00324292">
        <w:rPr>
          <w:rFonts w:asciiTheme="minorHAnsi" w:hAnsiTheme="minorHAnsi" w:cstheme="minorHAnsi"/>
          <w:szCs w:val="24"/>
        </w:rPr>
        <w:t>3</w:t>
      </w:r>
      <w:r w:rsidRPr="00324292">
        <w:rPr>
          <w:rFonts w:asciiTheme="minorHAnsi" w:hAnsiTheme="minorHAnsi" w:cstheme="minorHAnsi"/>
          <w:szCs w:val="24"/>
        </w:rPr>
        <w:t xml:space="preserve">), a person has additional SLE where they are enrolled in a postgraduate course of study or a graduate entry </w:t>
      </w:r>
      <w:proofErr w:type="gramStart"/>
      <w:r w:rsidRPr="00324292">
        <w:rPr>
          <w:rFonts w:asciiTheme="minorHAnsi" w:hAnsiTheme="minorHAnsi" w:cstheme="minorHAnsi"/>
          <w:szCs w:val="24"/>
        </w:rPr>
        <w:t>bachelor</w:t>
      </w:r>
      <w:proofErr w:type="gramEnd"/>
      <w:r w:rsidRPr="00324292">
        <w:rPr>
          <w:rFonts w:asciiTheme="minorHAnsi" w:hAnsiTheme="minorHAnsi" w:cstheme="minorHAnsi"/>
          <w:szCs w:val="24"/>
        </w:rPr>
        <w:t xml:space="preserve"> degree course of study and, ignoring paragraph 36-10(1)(d) of HESA, they would be a Commonwealth supported student (as defined in section 36-5 of HESA) in relation to a unit of study that forms part of that course. The amount of additional SLE that a person has in these circumstances is calculated in accordance with subsection 7(2). </w:t>
      </w:r>
    </w:p>
    <w:p w14:paraId="38E83527" w14:textId="77777777" w:rsidR="00A23332" w:rsidRPr="00324292" w:rsidRDefault="00A23332" w:rsidP="005965C6">
      <w:pPr>
        <w:pStyle w:val="ListParagraph"/>
        <w:spacing w:before="40" w:after="240"/>
        <w:ind w:left="360"/>
        <w:rPr>
          <w:rFonts w:asciiTheme="minorHAnsi" w:hAnsiTheme="minorHAnsi" w:cstheme="minorHAnsi"/>
          <w:szCs w:val="24"/>
        </w:rPr>
      </w:pPr>
    </w:p>
    <w:p w14:paraId="5E32CC87" w14:textId="5EBC1404"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Section 36-10 of HESA deals with advice by a higher education provider on whether a person is a Commonwealth supported student, and paragraph 36-10(1)(d) specifies that a provider must not advise a person that they are a Commonwealth supported student in relation to a unit of study unless the unit is covered by the person’s Student Learning Entitlement</w:t>
      </w:r>
      <w:r w:rsidR="00862749" w:rsidRPr="00324292">
        <w:rPr>
          <w:rFonts w:asciiTheme="minorHAnsi" w:hAnsiTheme="minorHAnsi" w:cstheme="minorHAnsi"/>
          <w:szCs w:val="24"/>
        </w:rPr>
        <w:t xml:space="preserve">. </w:t>
      </w:r>
      <w:proofErr w:type="gramStart"/>
      <w:r w:rsidR="00862749" w:rsidRPr="00324292">
        <w:rPr>
          <w:rFonts w:asciiTheme="minorHAnsi" w:hAnsiTheme="minorHAnsi" w:cstheme="minorHAnsi"/>
          <w:szCs w:val="24"/>
        </w:rPr>
        <w:t xml:space="preserve">This </w:t>
      </w:r>
      <w:r w:rsidRPr="00324292">
        <w:rPr>
          <w:rFonts w:asciiTheme="minorHAnsi" w:hAnsiTheme="minorHAnsi" w:cstheme="minorHAnsi"/>
          <w:szCs w:val="24"/>
        </w:rPr>
        <w:t>is why</w:t>
      </w:r>
      <w:proofErr w:type="gramEnd"/>
      <w:r w:rsidRPr="00324292">
        <w:rPr>
          <w:rFonts w:asciiTheme="minorHAnsi" w:hAnsiTheme="minorHAnsi" w:cstheme="minorHAnsi"/>
          <w:szCs w:val="24"/>
        </w:rPr>
        <w:t xml:space="preserve"> subsection 6(3) states that paragraph </w:t>
      </w:r>
      <w:r w:rsidR="00F62682" w:rsidRPr="00324292">
        <w:rPr>
          <w:rFonts w:asciiTheme="minorHAnsi" w:hAnsiTheme="minorHAnsi" w:cstheme="minorHAnsi"/>
          <w:szCs w:val="24"/>
        </w:rPr>
        <w:t xml:space="preserve">36-10(1)(d) of HESA </w:t>
      </w:r>
      <w:r w:rsidRPr="00324292">
        <w:rPr>
          <w:rFonts w:asciiTheme="minorHAnsi" w:hAnsiTheme="minorHAnsi" w:cstheme="minorHAnsi"/>
          <w:szCs w:val="24"/>
        </w:rPr>
        <w:t>needs to be ignored, given it is partly what determines whether a person</w:t>
      </w:r>
      <w:r w:rsidR="00862749" w:rsidRPr="00324292">
        <w:rPr>
          <w:rFonts w:asciiTheme="minorHAnsi" w:hAnsiTheme="minorHAnsi" w:cstheme="minorHAnsi"/>
          <w:szCs w:val="24"/>
        </w:rPr>
        <w:t xml:space="preserve">’s Student Learning Entitlement is sufficient </w:t>
      </w:r>
      <w:r w:rsidRPr="00324292">
        <w:rPr>
          <w:rFonts w:asciiTheme="minorHAnsi" w:hAnsiTheme="minorHAnsi" w:cstheme="minorHAnsi"/>
          <w:szCs w:val="24"/>
        </w:rPr>
        <w:t>for th</w:t>
      </w:r>
      <w:r w:rsidR="00862749" w:rsidRPr="00324292">
        <w:rPr>
          <w:rFonts w:asciiTheme="minorHAnsi" w:hAnsiTheme="minorHAnsi" w:cstheme="minorHAnsi"/>
          <w:szCs w:val="24"/>
        </w:rPr>
        <w:t>e purposes of paragraph 36-10(1)(d) of HESA</w:t>
      </w:r>
      <w:r w:rsidRPr="00324292">
        <w:rPr>
          <w:rFonts w:asciiTheme="minorHAnsi" w:hAnsiTheme="minorHAnsi" w:cstheme="minorHAnsi"/>
          <w:szCs w:val="24"/>
        </w:rPr>
        <w:t xml:space="preserve">. The intention of subsection 6(3) of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is that a person has additional SLE only where they are enrolled in a postgraduate course of study or a graduate entry </w:t>
      </w:r>
      <w:proofErr w:type="gramStart"/>
      <w:r w:rsidRPr="00324292">
        <w:rPr>
          <w:rFonts w:asciiTheme="minorHAnsi" w:hAnsiTheme="minorHAnsi" w:cstheme="minorHAnsi"/>
          <w:szCs w:val="24"/>
        </w:rPr>
        <w:t>bachelor</w:t>
      </w:r>
      <w:proofErr w:type="gramEnd"/>
      <w:r w:rsidRPr="00324292">
        <w:rPr>
          <w:rFonts w:asciiTheme="minorHAnsi" w:hAnsiTheme="minorHAnsi" w:cstheme="minorHAnsi"/>
          <w:szCs w:val="24"/>
        </w:rPr>
        <w:t xml:space="preserve"> degree as a Commonwealth supported student. </w:t>
      </w:r>
    </w:p>
    <w:p w14:paraId="5DDD34B4" w14:textId="77777777" w:rsidR="00A23332" w:rsidRPr="00324292" w:rsidRDefault="00A23332" w:rsidP="00A23332">
      <w:pPr>
        <w:spacing w:after="0" w:line="240" w:lineRule="auto"/>
        <w:rPr>
          <w:rFonts w:asciiTheme="minorHAnsi" w:hAnsiTheme="minorHAnsi" w:cstheme="minorHAnsi"/>
          <w:szCs w:val="24"/>
        </w:rPr>
      </w:pPr>
    </w:p>
    <w:p w14:paraId="0A3BB92E"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7 – How to calculate the amount of additional SLE</w:t>
      </w:r>
    </w:p>
    <w:p w14:paraId="303BE0BF" w14:textId="77777777" w:rsidR="00A23332" w:rsidRPr="00324292" w:rsidRDefault="00A23332" w:rsidP="00A23332">
      <w:pPr>
        <w:spacing w:after="0" w:line="240" w:lineRule="auto"/>
        <w:rPr>
          <w:rFonts w:asciiTheme="minorHAnsi" w:hAnsiTheme="minorHAnsi" w:cstheme="minorHAnsi"/>
          <w:szCs w:val="24"/>
          <w:u w:val="single"/>
        </w:rPr>
      </w:pPr>
    </w:p>
    <w:p w14:paraId="4FDF0D06" w14:textId="5B1FC022"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7 sets out how to calculate the amount of additional SLE a person has. </w:t>
      </w:r>
    </w:p>
    <w:p w14:paraId="6C1AB590" w14:textId="77777777" w:rsidR="005965C6" w:rsidRPr="00324292" w:rsidRDefault="005965C6" w:rsidP="005965C6">
      <w:pPr>
        <w:pStyle w:val="ListParagraph"/>
        <w:spacing w:before="40" w:after="240"/>
        <w:ind w:left="360"/>
        <w:rPr>
          <w:rFonts w:asciiTheme="minorHAnsi" w:hAnsiTheme="minorHAnsi" w:cstheme="minorHAnsi"/>
          <w:szCs w:val="24"/>
        </w:rPr>
      </w:pPr>
    </w:p>
    <w:p w14:paraId="158171D9" w14:textId="007E466A" w:rsidR="005965C6"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Subsection 7(1) includes a formula </w:t>
      </w:r>
      <w:bookmarkStart w:id="5" w:name="_Hlk81312190"/>
      <w:r w:rsidRPr="00324292">
        <w:rPr>
          <w:rFonts w:asciiTheme="minorHAnsi" w:hAnsiTheme="minorHAnsi" w:cstheme="minorHAnsi"/>
          <w:szCs w:val="24"/>
        </w:rPr>
        <w:t>for calculating the amount of additional SLE (expressed in EFTSL) a person has for an undergraduate study</w:t>
      </w:r>
      <w:r w:rsidR="000A6BB3" w:rsidRPr="00324292">
        <w:rPr>
          <w:rFonts w:asciiTheme="minorHAnsi" w:hAnsiTheme="minorHAnsi" w:cstheme="minorHAnsi"/>
          <w:szCs w:val="24"/>
        </w:rPr>
        <w:t xml:space="preserve"> course of study</w:t>
      </w:r>
      <w:r w:rsidRPr="00324292">
        <w:rPr>
          <w:rFonts w:asciiTheme="minorHAnsi" w:hAnsiTheme="minorHAnsi" w:cstheme="minorHAnsi"/>
          <w:szCs w:val="24"/>
        </w:rPr>
        <w:t xml:space="preserve"> (other than an honours course of study or a graduate entry </w:t>
      </w:r>
      <w:proofErr w:type="gramStart"/>
      <w:r w:rsidRPr="00324292">
        <w:rPr>
          <w:rFonts w:asciiTheme="minorHAnsi" w:hAnsiTheme="minorHAnsi" w:cstheme="minorHAnsi"/>
          <w:szCs w:val="24"/>
        </w:rPr>
        <w:t>bachelor</w:t>
      </w:r>
      <w:proofErr w:type="gramEnd"/>
      <w:r w:rsidRPr="00324292">
        <w:rPr>
          <w:rFonts w:asciiTheme="minorHAnsi" w:hAnsiTheme="minorHAnsi" w:cstheme="minorHAnsi"/>
          <w:szCs w:val="24"/>
        </w:rPr>
        <w:t xml:space="preserve"> degree course of study) that has a course load of greater than 6 EFTSL.</w:t>
      </w:r>
      <w:bookmarkEnd w:id="5"/>
      <w:r w:rsidRPr="00324292">
        <w:rPr>
          <w:rFonts w:asciiTheme="minorHAnsi" w:hAnsiTheme="minorHAnsi" w:cstheme="minorHAnsi"/>
          <w:szCs w:val="24"/>
        </w:rPr>
        <w:t xml:space="preserve"> </w:t>
      </w:r>
    </w:p>
    <w:p w14:paraId="35F143DF" w14:textId="77777777" w:rsidR="005965C6" w:rsidRPr="00324292" w:rsidRDefault="005965C6" w:rsidP="005965C6">
      <w:pPr>
        <w:pStyle w:val="ListParagraph"/>
        <w:spacing w:before="40" w:after="240"/>
        <w:ind w:left="360"/>
        <w:rPr>
          <w:rFonts w:asciiTheme="minorHAnsi" w:hAnsiTheme="minorHAnsi" w:cstheme="minorHAnsi"/>
          <w:szCs w:val="24"/>
        </w:rPr>
      </w:pPr>
    </w:p>
    <w:p w14:paraId="664A6105" w14:textId="0C4E6123"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Subsection 7(2) includes a formula for calculating the amount of additional SLE (expressed in EFTSL) a person has for</w:t>
      </w:r>
      <w:r w:rsidR="00C64DD4" w:rsidRPr="00324292">
        <w:rPr>
          <w:rFonts w:asciiTheme="minorHAnsi" w:hAnsiTheme="minorHAnsi" w:cstheme="minorHAnsi"/>
          <w:szCs w:val="24"/>
        </w:rPr>
        <w:t xml:space="preserve"> an honours course of study,</w:t>
      </w:r>
      <w:r w:rsidRPr="00324292">
        <w:rPr>
          <w:rFonts w:asciiTheme="minorHAnsi" w:hAnsiTheme="minorHAnsi" w:cstheme="minorHAnsi"/>
          <w:szCs w:val="24"/>
        </w:rPr>
        <w:t xml:space="preserve"> a graduate entry </w:t>
      </w:r>
      <w:proofErr w:type="gramStart"/>
      <w:r w:rsidRPr="00324292">
        <w:rPr>
          <w:rFonts w:asciiTheme="minorHAnsi" w:hAnsiTheme="minorHAnsi" w:cstheme="minorHAnsi"/>
          <w:szCs w:val="24"/>
        </w:rPr>
        <w:t>bachelor</w:t>
      </w:r>
      <w:proofErr w:type="gramEnd"/>
      <w:r w:rsidRPr="00324292">
        <w:rPr>
          <w:rFonts w:asciiTheme="minorHAnsi" w:hAnsiTheme="minorHAnsi" w:cstheme="minorHAnsi"/>
          <w:szCs w:val="24"/>
        </w:rPr>
        <w:t xml:space="preserve"> degree course of study</w:t>
      </w:r>
      <w:r w:rsidR="00C64DD4" w:rsidRPr="00324292">
        <w:rPr>
          <w:rFonts w:asciiTheme="minorHAnsi" w:hAnsiTheme="minorHAnsi" w:cstheme="minorHAnsi"/>
          <w:szCs w:val="24"/>
        </w:rPr>
        <w:t>,</w:t>
      </w:r>
      <w:r w:rsidRPr="00324292">
        <w:rPr>
          <w:rFonts w:asciiTheme="minorHAnsi" w:hAnsiTheme="minorHAnsi" w:cstheme="minorHAnsi"/>
          <w:szCs w:val="24"/>
        </w:rPr>
        <w:t xml:space="preserve"> or postgraduate course of study, assuming the person also meets the requirements in subsection 6(2)</w:t>
      </w:r>
      <w:r w:rsidR="00C64DD4" w:rsidRPr="00324292">
        <w:rPr>
          <w:rFonts w:asciiTheme="minorHAnsi" w:hAnsiTheme="minorHAnsi" w:cstheme="minorHAnsi"/>
          <w:szCs w:val="24"/>
        </w:rPr>
        <w:t xml:space="preserve"> or 6(3) as applicable</w:t>
      </w:r>
      <w:r w:rsidRPr="00324292">
        <w:rPr>
          <w:rFonts w:asciiTheme="minorHAnsi" w:hAnsiTheme="minorHAnsi" w:cstheme="minorHAnsi"/>
          <w:szCs w:val="24"/>
        </w:rPr>
        <w:t xml:space="preserve">. </w:t>
      </w:r>
    </w:p>
    <w:p w14:paraId="314D7D32" w14:textId="77777777" w:rsidR="00A23332" w:rsidRPr="00324292" w:rsidRDefault="00A23332" w:rsidP="00A23332">
      <w:pPr>
        <w:spacing w:after="0" w:line="240" w:lineRule="auto"/>
        <w:rPr>
          <w:rFonts w:asciiTheme="minorHAnsi" w:hAnsiTheme="minorHAnsi" w:cstheme="minorHAnsi"/>
          <w:b/>
          <w:u w:val="single"/>
        </w:rPr>
      </w:pPr>
      <w:r w:rsidRPr="00324292">
        <w:rPr>
          <w:rFonts w:asciiTheme="minorHAnsi" w:hAnsiTheme="minorHAnsi" w:cstheme="minorHAnsi"/>
          <w:b/>
          <w:u w:val="single"/>
        </w:rPr>
        <w:t xml:space="preserve">Part 3 – Lifelong SLE </w:t>
      </w:r>
    </w:p>
    <w:p w14:paraId="04C8C222" w14:textId="77777777" w:rsidR="00A23332" w:rsidRPr="00324292" w:rsidRDefault="00A23332" w:rsidP="00A23332">
      <w:pPr>
        <w:spacing w:after="0" w:line="240" w:lineRule="auto"/>
        <w:rPr>
          <w:rFonts w:asciiTheme="minorHAnsi" w:hAnsiTheme="minorHAnsi" w:cstheme="minorHAnsi"/>
          <w:szCs w:val="24"/>
          <w:u w:val="single"/>
        </w:rPr>
      </w:pPr>
    </w:p>
    <w:p w14:paraId="24CC3319"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8 – Purpose</w:t>
      </w:r>
    </w:p>
    <w:p w14:paraId="48D10805" w14:textId="77777777" w:rsidR="00A23332" w:rsidRPr="00324292" w:rsidRDefault="00A23332" w:rsidP="00A23332">
      <w:pPr>
        <w:spacing w:after="0" w:line="240" w:lineRule="auto"/>
        <w:rPr>
          <w:rFonts w:asciiTheme="minorHAnsi" w:hAnsiTheme="minorHAnsi" w:cstheme="minorHAnsi"/>
          <w:szCs w:val="24"/>
        </w:rPr>
      </w:pPr>
    </w:p>
    <w:p w14:paraId="69EDE60C" w14:textId="3C7FA1DE"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73-15 of HESA sets out when a person has lifelong SLE. </w:t>
      </w:r>
      <w:r w:rsidR="00320CFB" w:rsidRPr="00324292">
        <w:rPr>
          <w:rFonts w:asciiTheme="minorHAnsi" w:hAnsiTheme="minorHAnsi" w:cstheme="minorHAnsi"/>
          <w:szCs w:val="24"/>
        </w:rPr>
        <w:t>Generally, lifelong SLE is intended to cover further studies later in a person’s career</w:t>
      </w:r>
      <w:r w:rsidR="007D2EE1" w:rsidRPr="00324292">
        <w:rPr>
          <w:rFonts w:asciiTheme="minorHAnsi" w:hAnsiTheme="minorHAnsi" w:cstheme="minorHAnsi"/>
          <w:szCs w:val="24"/>
        </w:rPr>
        <w:t>, and it</w:t>
      </w:r>
      <w:r w:rsidR="00320CFB" w:rsidRPr="00324292">
        <w:rPr>
          <w:rFonts w:asciiTheme="minorHAnsi" w:hAnsiTheme="minorHAnsi" w:cstheme="minorHAnsi"/>
          <w:szCs w:val="24"/>
        </w:rPr>
        <w:t xml:space="preserve"> </w:t>
      </w:r>
      <w:r w:rsidRPr="00324292">
        <w:rPr>
          <w:rFonts w:asciiTheme="minorHAnsi" w:hAnsiTheme="minorHAnsi" w:cstheme="minorHAnsi"/>
          <w:szCs w:val="24"/>
        </w:rPr>
        <w:t xml:space="preserve">acknowledges the importance of lifelong learning, balanced </w:t>
      </w:r>
      <w:r w:rsidR="00C64DD4" w:rsidRPr="00324292">
        <w:rPr>
          <w:rFonts w:asciiTheme="minorHAnsi" w:hAnsiTheme="minorHAnsi" w:cstheme="minorHAnsi"/>
          <w:szCs w:val="24"/>
        </w:rPr>
        <w:t xml:space="preserve">with the </w:t>
      </w:r>
      <w:r w:rsidR="00B86EDE" w:rsidRPr="00324292">
        <w:rPr>
          <w:rFonts w:asciiTheme="minorHAnsi" w:hAnsiTheme="minorHAnsi" w:cstheme="minorHAnsi"/>
          <w:szCs w:val="24"/>
        </w:rPr>
        <w:t xml:space="preserve">need to encourage </w:t>
      </w:r>
      <w:r w:rsidRPr="00324292">
        <w:rPr>
          <w:rFonts w:asciiTheme="minorHAnsi" w:hAnsiTheme="minorHAnsi" w:cstheme="minorHAnsi"/>
          <w:szCs w:val="24"/>
        </w:rPr>
        <w:t xml:space="preserve">students </w:t>
      </w:r>
      <w:r w:rsidR="00C64DD4" w:rsidRPr="00324292">
        <w:rPr>
          <w:rFonts w:asciiTheme="minorHAnsi" w:hAnsiTheme="minorHAnsi" w:cstheme="minorHAnsi"/>
          <w:szCs w:val="24"/>
        </w:rPr>
        <w:t xml:space="preserve">not </w:t>
      </w:r>
      <w:r w:rsidRPr="00324292">
        <w:rPr>
          <w:rFonts w:asciiTheme="minorHAnsi" w:hAnsiTheme="minorHAnsi" w:cstheme="minorHAnsi"/>
          <w:szCs w:val="24"/>
        </w:rPr>
        <w:t xml:space="preserve">to remain at university for extended periods of time. </w:t>
      </w:r>
      <w:r w:rsidR="007D2EE1" w:rsidRPr="00324292">
        <w:rPr>
          <w:rFonts w:asciiTheme="minorHAnsi" w:hAnsiTheme="minorHAnsi" w:cstheme="minorHAnsi"/>
          <w:szCs w:val="24"/>
        </w:rPr>
        <w:t xml:space="preserve">Under the </w:t>
      </w:r>
      <w:r w:rsidR="00D55CAB" w:rsidRPr="00324292">
        <w:rPr>
          <w:rFonts w:asciiTheme="minorHAnsi" w:hAnsiTheme="minorHAnsi" w:cstheme="minorHAnsi"/>
          <w:szCs w:val="24"/>
        </w:rPr>
        <w:t xml:space="preserve">SLE </w:t>
      </w:r>
      <w:r w:rsidR="007D2EE1" w:rsidRPr="00324292">
        <w:rPr>
          <w:rFonts w:asciiTheme="minorHAnsi" w:hAnsiTheme="minorHAnsi" w:cstheme="minorHAnsi"/>
          <w:szCs w:val="24"/>
        </w:rPr>
        <w:t>Guidelines, l</w:t>
      </w:r>
      <w:r w:rsidRPr="00324292">
        <w:rPr>
          <w:rFonts w:asciiTheme="minorHAnsi" w:hAnsiTheme="minorHAnsi" w:cstheme="minorHAnsi"/>
          <w:szCs w:val="24"/>
        </w:rPr>
        <w:t xml:space="preserve">ifelong SLE </w:t>
      </w:r>
      <w:r w:rsidRPr="00324292">
        <w:rPr>
          <w:rFonts w:asciiTheme="minorHAnsi" w:hAnsiTheme="minorHAnsi" w:cstheme="minorHAnsi"/>
          <w:szCs w:val="24"/>
        </w:rPr>
        <w:lastRenderedPageBreak/>
        <w:t xml:space="preserve">also </w:t>
      </w:r>
      <w:r w:rsidR="007D2EE1" w:rsidRPr="00324292">
        <w:rPr>
          <w:rFonts w:asciiTheme="minorHAnsi" w:hAnsiTheme="minorHAnsi" w:cstheme="minorHAnsi"/>
          <w:szCs w:val="24"/>
        </w:rPr>
        <w:t xml:space="preserve">covers circumstances </w:t>
      </w:r>
      <w:r w:rsidRPr="00324292">
        <w:rPr>
          <w:rFonts w:asciiTheme="minorHAnsi" w:hAnsiTheme="minorHAnsi" w:cstheme="minorHAnsi"/>
          <w:szCs w:val="24"/>
        </w:rPr>
        <w:t xml:space="preserve">where a student is required to undertake additional study due to a course restructure. </w:t>
      </w:r>
    </w:p>
    <w:p w14:paraId="0624B42A" w14:textId="77777777" w:rsidR="005965C6" w:rsidRPr="00324292" w:rsidRDefault="005965C6" w:rsidP="005965C6">
      <w:pPr>
        <w:pStyle w:val="ListParagraph"/>
        <w:spacing w:before="40" w:after="240"/>
        <w:ind w:left="360"/>
        <w:rPr>
          <w:rFonts w:asciiTheme="minorHAnsi" w:hAnsiTheme="minorHAnsi" w:cstheme="minorHAnsi"/>
          <w:szCs w:val="24"/>
        </w:rPr>
      </w:pPr>
    </w:p>
    <w:p w14:paraId="669F4A86" w14:textId="643AD3BD"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8 of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provides that the purpose of Part 3 of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is to specify various matters for the purposes of section 73-15 of HESA, as follows: </w:t>
      </w:r>
    </w:p>
    <w:p w14:paraId="07FAF3AA" w14:textId="77777777" w:rsidR="00A23332" w:rsidRPr="00324292" w:rsidRDefault="00A23332" w:rsidP="005965C6">
      <w:pPr>
        <w:pStyle w:val="ListParagraph"/>
        <w:numPr>
          <w:ilvl w:val="0"/>
          <w:numId w:val="7"/>
        </w:numPr>
        <w:spacing w:before="40" w:after="240"/>
        <w:rPr>
          <w:rFonts w:asciiTheme="minorHAnsi" w:hAnsiTheme="minorHAnsi" w:cstheme="minorHAnsi"/>
          <w:szCs w:val="24"/>
        </w:rPr>
      </w:pPr>
      <w:r w:rsidRPr="00324292">
        <w:rPr>
          <w:rFonts w:asciiTheme="minorHAnsi" w:hAnsiTheme="minorHAnsi" w:cstheme="minorHAnsi"/>
          <w:szCs w:val="24"/>
        </w:rPr>
        <w:t xml:space="preserve">the circumstances in which a person has lifelong SLE (for the purposes of subsection 73-15(1) of HESA). This is dealt with in section </w:t>
      </w:r>
      <w:proofErr w:type="gramStart"/>
      <w:r w:rsidRPr="00324292">
        <w:rPr>
          <w:rFonts w:asciiTheme="minorHAnsi" w:hAnsiTheme="minorHAnsi" w:cstheme="minorHAnsi"/>
          <w:szCs w:val="24"/>
        </w:rPr>
        <w:t>9;</w:t>
      </w:r>
      <w:proofErr w:type="gramEnd"/>
    </w:p>
    <w:p w14:paraId="41627356" w14:textId="77777777" w:rsidR="00A23332" w:rsidRPr="00324292" w:rsidRDefault="00A23332" w:rsidP="005965C6">
      <w:pPr>
        <w:pStyle w:val="ListParagraph"/>
        <w:numPr>
          <w:ilvl w:val="0"/>
          <w:numId w:val="7"/>
        </w:numPr>
        <w:spacing w:before="40" w:after="240"/>
        <w:rPr>
          <w:rFonts w:asciiTheme="minorHAnsi" w:hAnsiTheme="minorHAnsi" w:cstheme="minorHAnsi"/>
          <w:szCs w:val="24"/>
        </w:rPr>
      </w:pPr>
      <w:r w:rsidRPr="00324292">
        <w:rPr>
          <w:rFonts w:asciiTheme="minorHAnsi" w:hAnsiTheme="minorHAnsi" w:cstheme="minorHAnsi"/>
          <w:szCs w:val="24"/>
        </w:rPr>
        <w:t xml:space="preserve">the day on which a person has lifelong SLE (for the purposes of subsection 73-15(2) of HESA). This is dealt with in section 10; and </w:t>
      </w:r>
    </w:p>
    <w:p w14:paraId="78EF7504" w14:textId="77777777" w:rsidR="00A23332" w:rsidRPr="00324292" w:rsidRDefault="00A23332" w:rsidP="005965C6">
      <w:pPr>
        <w:pStyle w:val="ListParagraph"/>
        <w:numPr>
          <w:ilvl w:val="0"/>
          <w:numId w:val="7"/>
        </w:numPr>
        <w:spacing w:before="40" w:after="240"/>
        <w:rPr>
          <w:rFonts w:asciiTheme="minorHAnsi" w:hAnsiTheme="minorHAnsi" w:cstheme="minorHAnsi"/>
          <w:szCs w:val="24"/>
        </w:rPr>
      </w:pPr>
      <w:r w:rsidRPr="00324292">
        <w:rPr>
          <w:rFonts w:asciiTheme="minorHAnsi" w:hAnsiTheme="minorHAnsi" w:cstheme="minorHAnsi"/>
          <w:szCs w:val="24"/>
        </w:rPr>
        <w:t xml:space="preserve">how to work out the amount of lifelong SLE a person has on the day specified for the purposes of subsection 73-15(2) of HESA (for the purposes of subsection 73-15(3) of HESA). This is dealt with in section 11. </w:t>
      </w:r>
    </w:p>
    <w:p w14:paraId="14721F21" w14:textId="637DFE9F" w:rsidR="00A23332" w:rsidRPr="00324292" w:rsidRDefault="00A23332" w:rsidP="005965C6">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 xml:space="preserve">Section 9 – Circumstances in which a person has lifelong SLE </w:t>
      </w:r>
    </w:p>
    <w:p w14:paraId="739E0821" w14:textId="77777777" w:rsidR="005965C6" w:rsidRPr="00324292" w:rsidRDefault="005965C6" w:rsidP="005965C6">
      <w:pPr>
        <w:spacing w:after="0" w:line="240" w:lineRule="auto"/>
        <w:rPr>
          <w:rFonts w:asciiTheme="minorHAnsi" w:hAnsiTheme="minorHAnsi" w:cstheme="minorHAnsi"/>
          <w:szCs w:val="24"/>
          <w:u w:val="single"/>
        </w:rPr>
      </w:pPr>
    </w:p>
    <w:p w14:paraId="7E607073" w14:textId="62121E6B"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9 sets out two sets of circumstances in which a person has lifelong SLE. </w:t>
      </w:r>
    </w:p>
    <w:p w14:paraId="6C25C9D5" w14:textId="77777777" w:rsidR="005965C6" w:rsidRPr="00324292" w:rsidRDefault="005965C6" w:rsidP="005965C6">
      <w:pPr>
        <w:pStyle w:val="ListParagraph"/>
        <w:spacing w:before="40" w:after="240"/>
        <w:ind w:left="360"/>
        <w:rPr>
          <w:rFonts w:asciiTheme="minorHAnsi" w:hAnsiTheme="minorHAnsi" w:cstheme="minorHAnsi"/>
          <w:szCs w:val="24"/>
        </w:rPr>
      </w:pPr>
    </w:p>
    <w:p w14:paraId="715AE75A" w14:textId="166F5C4F" w:rsidR="005965C6"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Under subsection 9(1), a person has lifelong SLE if the person is or was enrolled in a unit of study as part of a course of study with a higher education provider.</w:t>
      </w:r>
    </w:p>
    <w:p w14:paraId="0EE938A1" w14:textId="77777777" w:rsidR="005965C6" w:rsidRPr="00324292" w:rsidRDefault="005965C6" w:rsidP="005965C6">
      <w:pPr>
        <w:pStyle w:val="ListParagraph"/>
        <w:spacing w:before="40" w:after="240"/>
        <w:ind w:left="360"/>
        <w:rPr>
          <w:rFonts w:asciiTheme="minorHAnsi" w:hAnsiTheme="minorHAnsi" w:cstheme="minorHAnsi"/>
          <w:szCs w:val="24"/>
        </w:rPr>
      </w:pPr>
    </w:p>
    <w:p w14:paraId="411F9413" w14:textId="4934F008"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Under subsection 9(2), a person has lifelong SLE where: </w:t>
      </w:r>
    </w:p>
    <w:p w14:paraId="738076BD" w14:textId="78E23F3C" w:rsidR="00A23332" w:rsidRPr="00324292" w:rsidRDefault="00A23332" w:rsidP="005965C6">
      <w:pPr>
        <w:pStyle w:val="ListParagraph"/>
        <w:numPr>
          <w:ilvl w:val="0"/>
          <w:numId w:val="5"/>
        </w:numPr>
        <w:spacing w:before="40" w:after="240"/>
        <w:rPr>
          <w:rFonts w:asciiTheme="minorHAnsi" w:hAnsiTheme="minorHAnsi" w:cstheme="minorHAnsi"/>
          <w:szCs w:val="24"/>
        </w:rPr>
      </w:pPr>
      <w:r w:rsidRPr="00324292">
        <w:rPr>
          <w:rFonts w:asciiTheme="minorHAnsi" w:hAnsiTheme="minorHAnsi" w:cstheme="minorHAnsi"/>
          <w:szCs w:val="24"/>
        </w:rPr>
        <w:t xml:space="preserve">the person is enrolled in a course of study </w:t>
      </w:r>
      <w:r w:rsidR="00B86EDE" w:rsidRPr="00324292">
        <w:rPr>
          <w:rFonts w:asciiTheme="minorHAnsi" w:hAnsiTheme="minorHAnsi" w:cstheme="minorHAnsi"/>
          <w:szCs w:val="24"/>
        </w:rPr>
        <w:t xml:space="preserve">(other than an enabling course (as defined in clause 1 of Schedule 1 to HESA)) </w:t>
      </w:r>
      <w:r w:rsidRPr="00324292">
        <w:rPr>
          <w:rFonts w:asciiTheme="minorHAnsi" w:hAnsiTheme="minorHAnsi" w:cstheme="minorHAnsi"/>
          <w:szCs w:val="24"/>
        </w:rPr>
        <w:t xml:space="preserve">with a higher education </w:t>
      </w:r>
      <w:proofErr w:type="gramStart"/>
      <w:r w:rsidRPr="00324292">
        <w:rPr>
          <w:rFonts w:asciiTheme="minorHAnsi" w:hAnsiTheme="minorHAnsi" w:cstheme="minorHAnsi"/>
          <w:szCs w:val="24"/>
        </w:rPr>
        <w:t>provider;</w:t>
      </w:r>
      <w:proofErr w:type="gramEnd"/>
      <w:r w:rsidRPr="00324292">
        <w:rPr>
          <w:rFonts w:asciiTheme="minorHAnsi" w:hAnsiTheme="minorHAnsi" w:cstheme="minorHAnsi"/>
          <w:szCs w:val="24"/>
        </w:rPr>
        <w:t xml:space="preserve"> </w:t>
      </w:r>
    </w:p>
    <w:p w14:paraId="225828B3" w14:textId="77777777" w:rsidR="00A23332" w:rsidRPr="00324292" w:rsidRDefault="00A23332" w:rsidP="005965C6">
      <w:pPr>
        <w:pStyle w:val="ListParagraph"/>
        <w:numPr>
          <w:ilvl w:val="0"/>
          <w:numId w:val="5"/>
        </w:numPr>
        <w:spacing w:before="40" w:after="240"/>
        <w:rPr>
          <w:rFonts w:asciiTheme="minorHAnsi" w:hAnsiTheme="minorHAnsi" w:cstheme="minorHAnsi"/>
          <w:szCs w:val="24"/>
        </w:rPr>
      </w:pPr>
      <w:r w:rsidRPr="00324292">
        <w:rPr>
          <w:rFonts w:asciiTheme="minorHAnsi" w:hAnsiTheme="minorHAnsi" w:cstheme="minorHAnsi"/>
          <w:szCs w:val="24"/>
        </w:rPr>
        <w:t xml:space="preserve">the person is a Commonwealth supported student (as defined in section 36-5 of HESA) in relation to a unit of study that forms part of the course; and </w:t>
      </w:r>
    </w:p>
    <w:p w14:paraId="2B1E0E34" w14:textId="27EAB8C6" w:rsidR="00A23332" w:rsidRPr="00324292" w:rsidRDefault="00A23332" w:rsidP="005965C6">
      <w:pPr>
        <w:pStyle w:val="ListParagraph"/>
        <w:numPr>
          <w:ilvl w:val="0"/>
          <w:numId w:val="5"/>
        </w:numPr>
        <w:spacing w:before="40" w:after="240"/>
        <w:rPr>
          <w:rFonts w:asciiTheme="minorHAnsi" w:hAnsiTheme="minorHAnsi" w:cstheme="minorHAnsi"/>
          <w:szCs w:val="24"/>
        </w:rPr>
      </w:pPr>
      <w:r w:rsidRPr="00324292">
        <w:rPr>
          <w:rFonts w:asciiTheme="minorHAnsi" w:hAnsiTheme="minorHAnsi" w:cstheme="minorHAnsi"/>
          <w:szCs w:val="24"/>
        </w:rPr>
        <w:t xml:space="preserve">the providers </w:t>
      </w:r>
      <w:proofErr w:type="gramStart"/>
      <w:r w:rsidRPr="00324292">
        <w:rPr>
          <w:rFonts w:asciiTheme="minorHAnsi" w:hAnsiTheme="minorHAnsi" w:cstheme="minorHAnsi"/>
          <w:szCs w:val="24"/>
        </w:rPr>
        <w:t>restructures</w:t>
      </w:r>
      <w:proofErr w:type="gramEnd"/>
      <w:r w:rsidRPr="00324292">
        <w:rPr>
          <w:rFonts w:asciiTheme="minorHAnsi" w:hAnsiTheme="minorHAnsi" w:cstheme="minorHAnsi"/>
          <w:szCs w:val="24"/>
        </w:rPr>
        <w:t xml:space="preserve"> the course in a manner that will require the person to undertake units of study, in addition to those originally required before the restructure, in order to complete the course. </w:t>
      </w:r>
    </w:p>
    <w:p w14:paraId="3B13BD0E" w14:textId="77777777" w:rsidR="00A23332" w:rsidRPr="00324292" w:rsidRDefault="00A23332" w:rsidP="00A23332">
      <w:pPr>
        <w:keepNext/>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10 – Day on which a person has lifelong SLE</w:t>
      </w:r>
    </w:p>
    <w:p w14:paraId="7F488598" w14:textId="77777777" w:rsidR="00A23332" w:rsidRPr="00324292" w:rsidRDefault="00A23332" w:rsidP="00A23332">
      <w:pPr>
        <w:keepNext/>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 xml:space="preserve"> </w:t>
      </w:r>
    </w:p>
    <w:p w14:paraId="1C3A0B50" w14:textId="1C8BCBBA" w:rsidR="00A23332" w:rsidRPr="00324292" w:rsidRDefault="00A23332" w:rsidP="005965C6">
      <w:pPr>
        <w:pStyle w:val="ListParagraph"/>
        <w:keepNext/>
        <w:numPr>
          <w:ilvl w:val="0"/>
          <w:numId w:val="16"/>
        </w:numPr>
        <w:spacing w:before="40" w:after="240"/>
        <w:ind w:hanging="357"/>
        <w:rPr>
          <w:rFonts w:asciiTheme="minorHAnsi" w:hAnsiTheme="minorHAnsi" w:cstheme="minorHAnsi"/>
          <w:szCs w:val="24"/>
        </w:rPr>
      </w:pPr>
      <w:r w:rsidRPr="00324292">
        <w:rPr>
          <w:rFonts w:asciiTheme="minorHAnsi" w:hAnsiTheme="minorHAnsi" w:cstheme="minorHAnsi"/>
          <w:szCs w:val="24"/>
        </w:rPr>
        <w:t xml:space="preserve">Section 10 specifies the day on which a person has lifelong SLE: </w:t>
      </w:r>
    </w:p>
    <w:p w14:paraId="79D0AF89" w14:textId="6E157FB2" w:rsidR="00A23332" w:rsidRPr="00324292" w:rsidRDefault="00A23332" w:rsidP="005965C6">
      <w:pPr>
        <w:pStyle w:val="ListParagraph"/>
        <w:numPr>
          <w:ilvl w:val="0"/>
          <w:numId w:val="6"/>
        </w:numPr>
        <w:spacing w:before="40" w:after="240"/>
        <w:ind w:hanging="357"/>
        <w:rPr>
          <w:rFonts w:asciiTheme="minorHAnsi" w:hAnsiTheme="minorHAnsi" w:cstheme="minorHAnsi"/>
          <w:szCs w:val="24"/>
        </w:rPr>
      </w:pPr>
      <w:r w:rsidRPr="00324292">
        <w:rPr>
          <w:rFonts w:asciiTheme="minorHAnsi" w:hAnsiTheme="minorHAnsi" w:cstheme="minorHAnsi"/>
          <w:szCs w:val="24"/>
        </w:rPr>
        <w:t xml:space="preserve">if the circumstances in subsection 9(1) apply to a person, the person has lifelong SLE the later of: (a) 1 January 2032 (which is 10 years after the commencement of the </w:t>
      </w:r>
      <w:r w:rsidR="00F7362B" w:rsidRPr="00324292">
        <w:rPr>
          <w:rFonts w:asciiTheme="minorHAnsi" w:hAnsiTheme="minorHAnsi" w:cstheme="minorHAnsi"/>
          <w:szCs w:val="24"/>
        </w:rPr>
        <w:t xml:space="preserve">SLE </w:t>
      </w:r>
      <w:r w:rsidRPr="00324292">
        <w:rPr>
          <w:rFonts w:asciiTheme="minorHAnsi" w:hAnsiTheme="minorHAnsi" w:cstheme="minorHAnsi"/>
          <w:szCs w:val="24"/>
        </w:rPr>
        <w:t>Guidelines); and the 1 January immediately after the period of 10 years from the date the person first commence</w:t>
      </w:r>
      <w:r w:rsidR="00B86EDE" w:rsidRPr="00324292">
        <w:rPr>
          <w:rFonts w:asciiTheme="minorHAnsi" w:hAnsiTheme="minorHAnsi" w:cstheme="minorHAnsi"/>
          <w:szCs w:val="24"/>
        </w:rPr>
        <w:t>d</w:t>
      </w:r>
      <w:r w:rsidRPr="00324292">
        <w:rPr>
          <w:rFonts w:asciiTheme="minorHAnsi" w:hAnsiTheme="minorHAnsi" w:cstheme="minorHAnsi"/>
          <w:szCs w:val="24"/>
        </w:rPr>
        <w:t xml:space="preserve"> in a unit of study as part of a course of study with a higher education provider (subsection 10(1))</w:t>
      </w:r>
      <w:r w:rsidR="001F3F00" w:rsidRPr="00324292">
        <w:rPr>
          <w:rFonts w:asciiTheme="minorHAnsi" w:hAnsiTheme="minorHAnsi" w:cstheme="minorHAnsi"/>
          <w:szCs w:val="24"/>
        </w:rPr>
        <w:t xml:space="preserve">. This is </w:t>
      </w:r>
      <w:r w:rsidR="007A19B6" w:rsidRPr="00324292">
        <w:rPr>
          <w:rFonts w:asciiTheme="minorHAnsi" w:hAnsiTheme="minorHAnsi" w:cstheme="minorHAnsi"/>
          <w:szCs w:val="24"/>
        </w:rPr>
        <w:t xml:space="preserve">intended </w:t>
      </w:r>
      <w:r w:rsidR="001F3F00" w:rsidRPr="00324292">
        <w:rPr>
          <w:rFonts w:asciiTheme="minorHAnsi" w:hAnsiTheme="minorHAnsi" w:cstheme="minorHAnsi"/>
          <w:szCs w:val="24"/>
        </w:rPr>
        <w:t xml:space="preserve">to encourage time in the workforce </w:t>
      </w:r>
      <w:r w:rsidR="00156116" w:rsidRPr="00324292">
        <w:rPr>
          <w:rFonts w:asciiTheme="minorHAnsi" w:hAnsiTheme="minorHAnsi" w:cstheme="minorHAnsi"/>
          <w:szCs w:val="24"/>
        </w:rPr>
        <w:t xml:space="preserve">before a person has lifelong SLE and is able to undertake further studies as a Commonwealth supported </w:t>
      </w:r>
      <w:proofErr w:type="gramStart"/>
      <w:r w:rsidR="00156116" w:rsidRPr="00324292">
        <w:rPr>
          <w:rFonts w:asciiTheme="minorHAnsi" w:hAnsiTheme="minorHAnsi" w:cstheme="minorHAnsi"/>
          <w:szCs w:val="24"/>
        </w:rPr>
        <w:t>student</w:t>
      </w:r>
      <w:r w:rsidRPr="00324292">
        <w:rPr>
          <w:rFonts w:asciiTheme="minorHAnsi" w:hAnsiTheme="minorHAnsi" w:cstheme="minorHAnsi"/>
          <w:szCs w:val="24"/>
        </w:rPr>
        <w:t>;</w:t>
      </w:r>
      <w:proofErr w:type="gramEnd"/>
      <w:r w:rsidRPr="00324292">
        <w:rPr>
          <w:rFonts w:asciiTheme="minorHAnsi" w:hAnsiTheme="minorHAnsi" w:cstheme="minorHAnsi"/>
          <w:szCs w:val="24"/>
        </w:rPr>
        <w:t xml:space="preserve"> </w:t>
      </w:r>
    </w:p>
    <w:p w14:paraId="55EB12CE" w14:textId="670C07F4" w:rsidR="00A23332" w:rsidRPr="00324292" w:rsidRDefault="00A23332" w:rsidP="005965C6">
      <w:pPr>
        <w:pStyle w:val="ListParagraph"/>
        <w:numPr>
          <w:ilvl w:val="0"/>
          <w:numId w:val="6"/>
        </w:numPr>
        <w:spacing w:before="40" w:after="240"/>
        <w:ind w:hanging="357"/>
        <w:rPr>
          <w:rFonts w:asciiTheme="minorHAnsi" w:hAnsiTheme="minorHAnsi" w:cstheme="minorHAnsi"/>
          <w:szCs w:val="24"/>
        </w:rPr>
      </w:pPr>
      <w:r w:rsidRPr="00324292">
        <w:rPr>
          <w:rFonts w:asciiTheme="minorHAnsi" w:hAnsiTheme="minorHAnsi" w:cstheme="minorHAnsi"/>
          <w:szCs w:val="24"/>
        </w:rPr>
        <w:t>if the circumstances in subsection 9(2) apply to a person, the person has lifelong SLE on the day the provider restructures the course (subsection 10(2)).</w:t>
      </w:r>
    </w:p>
    <w:p w14:paraId="0D20F826" w14:textId="7B9CCCBA" w:rsidR="00A23332" w:rsidRPr="00324292" w:rsidRDefault="00A23332" w:rsidP="00DB4DB5">
      <w:pPr>
        <w:keepNext/>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lastRenderedPageBreak/>
        <w:t xml:space="preserve">Section 11 – Amount of lifelong SLE </w:t>
      </w:r>
    </w:p>
    <w:p w14:paraId="4966EFC9" w14:textId="77777777" w:rsidR="005965C6" w:rsidRPr="00324292" w:rsidRDefault="005965C6" w:rsidP="00DB4DB5">
      <w:pPr>
        <w:keepNext/>
        <w:spacing w:after="0" w:line="240" w:lineRule="auto"/>
        <w:rPr>
          <w:rFonts w:asciiTheme="minorHAnsi" w:hAnsiTheme="minorHAnsi" w:cstheme="minorHAnsi"/>
          <w:szCs w:val="24"/>
          <w:u w:val="single"/>
        </w:rPr>
      </w:pPr>
    </w:p>
    <w:p w14:paraId="44DC702B" w14:textId="77777777" w:rsidR="00A23332" w:rsidRPr="00324292" w:rsidRDefault="00A23332" w:rsidP="00DB4DB5">
      <w:pPr>
        <w:pStyle w:val="ListParagraph"/>
        <w:keepNext/>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11 sets out the amount of lifelong SLE (expressed in EFTSL) a person has on the day specified in section 10, according to the circumstances that apply to the person: </w:t>
      </w:r>
    </w:p>
    <w:p w14:paraId="57C7FB76" w14:textId="6327E525" w:rsidR="00A23332" w:rsidRPr="00324292" w:rsidRDefault="00A23332" w:rsidP="00DB4DB5">
      <w:pPr>
        <w:pStyle w:val="ListParagraph"/>
        <w:keepNext/>
        <w:numPr>
          <w:ilvl w:val="0"/>
          <w:numId w:val="8"/>
        </w:numPr>
        <w:spacing w:before="40" w:after="240"/>
        <w:rPr>
          <w:rFonts w:asciiTheme="minorHAnsi" w:hAnsiTheme="minorHAnsi" w:cstheme="minorHAnsi"/>
          <w:szCs w:val="24"/>
        </w:rPr>
      </w:pPr>
      <w:r w:rsidRPr="00324292">
        <w:rPr>
          <w:rFonts w:asciiTheme="minorHAnsi" w:hAnsiTheme="minorHAnsi" w:cstheme="minorHAnsi"/>
          <w:szCs w:val="24"/>
        </w:rPr>
        <w:t>the amount of lifelong SLE a person has on the day specified in subsection 10(1) (which is relevant to the circumstances specified in subsection 9(1)) is 3 EFTSL (subsection 11(1))</w:t>
      </w:r>
      <w:r w:rsidR="00DF35C4" w:rsidRPr="00324292">
        <w:rPr>
          <w:rFonts w:asciiTheme="minorHAnsi" w:hAnsiTheme="minorHAnsi" w:cstheme="minorHAnsi"/>
          <w:szCs w:val="24"/>
        </w:rPr>
        <w:t xml:space="preserve">. </w:t>
      </w:r>
      <w:r w:rsidR="007A19B6" w:rsidRPr="00324292">
        <w:rPr>
          <w:rFonts w:asciiTheme="minorHAnsi" w:hAnsiTheme="minorHAnsi" w:cstheme="minorHAnsi"/>
          <w:szCs w:val="24"/>
        </w:rPr>
        <w:t xml:space="preserve">For example, this </w:t>
      </w:r>
      <w:r w:rsidR="00DF35C4" w:rsidRPr="00324292">
        <w:rPr>
          <w:rFonts w:asciiTheme="minorHAnsi" w:hAnsiTheme="minorHAnsi" w:cstheme="minorHAnsi"/>
          <w:szCs w:val="24"/>
        </w:rPr>
        <w:t xml:space="preserve">would enable a person </w:t>
      </w:r>
      <w:r w:rsidR="007A19B6" w:rsidRPr="00324292">
        <w:rPr>
          <w:rFonts w:asciiTheme="minorHAnsi" w:hAnsiTheme="minorHAnsi" w:cstheme="minorHAnsi"/>
          <w:szCs w:val="24"/>
        </w:rPr>
        <w:t>to undertake a new undergraduate course of study</w:t>
      </w:r>
      <w:r w:rsidR="00B30756" w:rsidRPr="00324292">
        <w:rPr>
          <w:rFonts w:asciiTheme="minorHAnsi" w:hAnsiTheme="minorHAnsi" w:cstheme="minorHAnsi"/>
          <w:szCs w:val="24"/>
        </w:rPr>
        <w:t xml:space="preserve"> if the person wanted to change career, or undertake </w:t>
      </w:r>
      <w:r w:rsidR="005C183E" w:rsidRPr="00324292">
        <w:rPr>
          <w:rFonts w:asciiTheme="minorHAnsi" w:hAnsiTheme="minorHAnsi" w:cstheme="minorHAnsi"/>
          <w:szCs w:val="24"/>
        </w:rPr>
        <w:t>postgraduate studies</w:t>
      </w:r>
      <w:r w:rsidR="0088724B" w:rsidRPr="00324292">
        <w:rPr>
          <w:rFonts w:asciiTheme="minorHAnsi" w:hAnsiTheme="minorHAnsi" w:cstheme="minorHAnsi"/>
          <w:szCs w:val="24"/>
        </w:rPr>
        <w:t xml:space="preserve"> </w:t>
      </w:r>
      <w:r w:rsidR="00A5429E" w:rsidRPr="00324292">
        <w:rPr>
          <w:rFonts w:asciiTheme="minorHAnsi" w:hAnsiTheme="minorHAnsi" w:cstheme="minorHAnsi"/>
          <w:szCs w:val="24"/>
        </w:rPr>
        <w:t xml:space="preserve">in their existing field </w:t>
      </w:r>
      <w:r w:rsidR="0088724B" w:rsidRPr="00324292">
        <w:rPr>
          <w:rFonts w:asciiTheme="minorHAnsi" w:hAnsiTheme="minorHAnsi" w:cstheme="minorHAnsi"/>
          <w:szCs w:val="24"/>
        </w:rPr>
        <w:t xml:space="preserve">to gain further </w:t>
      </w:r>
      <w:proofErr w:type="gramStart"/>
      <w:r w:rsidR="0088724B" w:rsidRPr="00324292">
        <w:rPr>
          <w:rFonts w:asciiTheme="minorHAnsi" w:hAnsiTheme="minorHAnsi" w:cstheme="minorHAnsi"/>
          <w:szCs w:val="24"/>
        </w:rPr>
        <w:t>skills</w:t>
      </w:r>
      <w:r w:rsidRPr="00324292">
        <w:rPr>
          <w:rFonts w:asciiTheme="minorHAnsi" w:hAnsiTheme="minorHAnsi" w:cstheme="minorHAnsi"/>
          <w:szCs w:val="24"/>
        </w:rPr>
        <w:t>;</w:t>
      </w:r>
      <w:proofErr w:type="gramEnd"/>
      <w:r w:rsidRPr="00324292">
        <w:rPr>
          <w:rFonts w:asciiTheme="minorHAnsi" w:hAnsiTheme="minorHAnsi" w:cstheme="minorHAnsi"/>
          <w:szCs w:val="24"/>
        </w:rPr>
        <w:t xml:space="preserve"> </w:t>
      </w:r>
    </w:p>
    <w:p w14:paraId="2E06AF8A" w14:textId="26B569A8" w:rsidR="00A23332" w:rsidRPr="00324292" w:rsidRDefault="00A23332" w:rsidP="005965C6">
      <w:pPr>
        <w:pStyle w:val="ListParagraph"/>
        <w:numPr>
          <w:ilvl w:val="0"/>
          <w:numId w:val="8"/>
        </w:numPr>
        <w:spacing w:before="40" w:after="240"/>
        <w:rPr>
          <w:rFonts w:asciiTheme="minorHAnsi" w:hAnsiTheme="minorHAnsi" w:cstheme="minorHAnsi"/>
          <w:szCs w:val="24"/>
        </w:rPr>
      </w:pPr>
      <w:r w:rsidRPr="00324292">
        <w:rPr>
          <w:rFonts w:asciiTheme="minorHAnsi" w:hAnsiTheme="minorHAnsi" w:cstheme="minorHAnsi"/>
          <w:szCs w:val="24"/>
        </w:rPr>
        <w:t xml:space="preserve">the amount of lifelong SLE a person has on the day specified in subsection 10(2) (which is relevant to the circumstances specified in subsection 9(2)) is equal to the total EFTSL value of the additional units of study a person must undertake </w:t>
      </w:r>
      <w:proofErr w:type="gramStart"/>
      <w:r w:rsidRPr="00324292">
        <w:rPr>
          <w:rFonts w:asciiTheme="minorHAnsi" w:hAnsiTheme="minorHAnsi" w:cstheme="minorHAnsi"/>
          <w:szCs w:val="24"/>
        </w:rPr>
        <w:t>as a result of</w:t>
      </w:r>
      <w:proofErr w:type="gramEnd"/>
      <w:r w:rsidRPr="00324292">
        <w:rPr>
          <w:rFonts w:asciiTheme="minorHAnsi" w:hAnsiTheme="minorHAnsi" w:cstheme="minorHAnsi"/>
          <w:szCs w:val="24"/>
        </w:rPr>
        <w:t xml:space="preserve"> the course being restructured in order to complete the course (subsection 11(2)). </w:t>
      </w:r>
      <w:r w:rsidR="00A27F1B" w:rsidRPr="00324292">
        <w:rPr>
          <w:rFonts w:asciiTheme="minorHAnsi" w:hAnsiTheme="minorHAnsi" w:cstheme="minorHAnsi"/>
          <w:szCs w:val="24"/>
        </w:rPr>
        <w:t xml:space="preserve">This is so the person is not disadvantaged </w:t>
      </w:r>
      <w:proofErr w:type="gramStart"/>
      <w:r w:rsidR="00A27F1B" w:rsidRPr="00324292">
        <w:rPr>
          <w:rFonts w:asciiTheme="minorHAnsi" w:hAnsiTheme="minorHAnsi" w:cstheme="minorHAnsi"/>
          <w:szCs w:val="24"/>
        </w:rPr>
        <w:t>as a result of</w:t>
      </w:r>
      <w:proofErr w:type="gramEnd"/>
      <w:r w:rsidR="00A27F1B" w:rsidRPr="00324292">
        <w:rPr>
          <w:rFonts w:asciiTheme="minorHAnsi" w:hAnsiTheme="minorHAnsi" w:cstheme="minorHAnsi"/>
          <w:szCs w:val="24"/>
        </w:rPr>
        <w:t xml:space="preserve"> the course being restructured. </w:t>
      </w:r>
    </w:p>
    <w:p w14:paraId="13CB54E8" w14:textId="77777777" w:rsidR="00A23332" w:rsidRPr="00324292" w:rsidRDefault="00A23332" w:rsidP="00A23332">
      <w:pPr>
        <w:keepNext/>
        <w:spacing w:after="0" w:line="240" w:lineRule="auto"/>
        <w:rPr>
          <w:rFonts w:asciiTheme="minorHAnsi" w:hAnsiTheme="minorHAnsi" w:cstheme="minorHAnsi"/>
          <w:b/>
          <w:u w:val="single"/>
        </w:rPr>
      </w:pPr>
      <w:r w:rsidRPr="00324292">
        <w:rPr>
          <w:rFonts w:asciiTheme="minorHAnsi" w:hAnsiTheme="minorHAnsi" w:cstheme="minorHAnsi"/>
          <w:b/>
          <w:u w:val="single"/>
        </w:rPr>
        <w:t xml:space="preserve">Part 4 – Reduction of a person’s SLE amount </w:t>
      </w:r>
    </w:p>
    <w:p w14:paraId="7A851408" w14:textId="77777777" w:rsidR="00A23332" w:rsidRPr="00324292" w:rsidRDefault="00A23332" w:rsidP="00A23332">
      <w:pPr>
        <w:spacing w:after="0" w:line="240" w:lineRule="auto"/>
        <w:rPr>
          <w:rFonts w:asciiTheme="minorHAnsi" w:hAnsiTheme="minorHAnsi" w:cstheme="minorHAnsi"/>
          <w:szCs w:val="24"/>
          <w:u w:val="single"/>
        </w:rPr>
      </w:pPr>
    </w:p>
    <w:p w14:paraId="66F876EB" w14:textId="00D79609" w:rsidR="00A23332" w:rsidRPr="00324292" w:rsidRDefault="00A23332" w:rsidP="005965C6">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 xml:space="preserve">Section 12 – Purpose </w:t>
      </w:r>
    </w:p>
    <w:p w14:paraId="69A39A41" w14:textId="77777777" w:rsidR="005965C6" w:rsidRPr="00324292" w:rsidRDefault="005965C6" w:rsidP="005965C6">
      <w:pPr>
        <w:spacing w:after="0" w:line="240" w:lineRule="auto"/>
        <w:rPr>
          <w:rFonts w:asciiTheme="minorHAnsi" w:hAnsiTheme="minorHAnsi" w:cstheme="minorHAnsi"/>
          <w:szCs w:val="24"/>
          <w:u w:val="single"/>
        </w:rPr>
      </w:pPr>
    </w:p>
    <w:p w14:paraId="718E4D6A" w14:textId="5278166E"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76-1 of HESA deals with the reduction of a person’s SLE amount. </w:t>
      </w:r>
    </w:p>
    <w:p w14:paraId="23B63D1A" w14:textId="77777777" w:rsidR="005965C6" w:rsidRPr="00324292" w:rsidRDefault="005965C6" w:rsidP="005965C6">
      <w:pPr>
        <w:pStyle w:val="ListParagraph"/>
        <w:spacing w:before="40" w:after="240"/>
        <w:ind w:left="360"/>
        <w:rPr>
          <w:rFonts w:asciiTheme="minorHAnsi" w:hAnsiTheme="minorHAnsi" w:cstheme="minorHAnsi"/>
          <w:szCs w:val="24"/>
        </w:rPr>
      </w:pPr>
    </w:p>
    <w:p w14:paraId="7B3CCDB2" w14:textId="4013956B"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12 of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provides that, for the purposes of subsection 76-1(4) of HESA, Part 4 of the </w:t>
      </w:r>
      <w:r w:rsidR="00677CB0"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specifies how amounts of ordinary SLE, additional SLE and lifelong SLE are to be reduced if a higher education provider reduces a person’s SLE amount at a particular time under subsection 76-1(1) of HESA. </w:t>
      </w:r>
    </w:p>
    <w:p w14:paraId="742D134A"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13 – Reduction of a person’s amounts of ordinary SLE, additional SLE and lifelong SLE</w:t>
      </w:r>
    </w:p>
    <w:p w14:paraId="004A001D" w14:textId="77777777" w:rsidR="00A23332" w:rsidRPr="00324292" w:rsidRDefault="00A23332" w:rsidP="00A23332">
      <w:pPr>
        <w:spacing w:after="0" w:line="240" w:lineRule="auto"/>
        <w:rPr>
          <w:rFonts w:asciiTheme="minorHAnsi" w:hAnsiTheme="minorHAnsi" w:cstheme="minorHAnsi"/>
          <w:szCs w:val="24"/>
          <w:u w:val="single"/>
        </w:rPr>
      </w:pPr>
    </w:p>
    <w:p w14:paraId="31F30053" w14:textId="77777777"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Subsection 13(1) provides that, if a higher education provider reduces a person’s SLE amount at a particular time under subsection 76-1(1) of HESA, the provider must reduce one or more of the person’s ordinary SLE amount, additional SLE amount and lifelong SLE to take account of the reduction under that subsection:</w:t>
      </w:r>
    </w:p>
    <w:p w14:paraId="526034F0" w14:textId="77777777" w:rsidR="00A23332" w:rsidRPr="00324292" w:rsidRDefault="00A23332" w:rsidP="005965C6">
      <w:pPr>
        <w:pStyle w:val="ListParagraph"/>
        <w:numPr>
          <w:ilvl w:val="0"/>
          <w:numId w:val="9"/>
        </w:numPr>
        <w:spacing w:before="40" w:after="240"/>
        <w:rPr>
          <w:rFonts w:asciiTheme="minorHAnsi" w:hAnsiTheme="minorHAnsi" w:cstheme="minorHAnsi"/>
          <w:szCs w:val="24"/>
        </w:rPr>
      </w:pPr>
      <w:r w:rsidRPr="00324292">
        <w:rPr>
          <w:rFonts w:asciiTheme="minorHAnsi" w:hAnsiTheme="minorHAnsi" w:cstheme="minorHAnsi"/>
          <w:szCs w:val="24"/>
        </w:rPr>
        <w:t xml:space="preserve">in the order specified in subsection 13(2); and </w:t>
      </w:r>
    </w:p>
    <w:p w14:paraId="4FDBB9AC" w14:textId="2C109021" w:rsidR="00A23332" w:rsidRPr="00324292" w:rsidRDefault="00A23332" w:rsidP="005965C6">
      <w:pPr>
        <w:pStyle w:val="ListParagraph"/>
        <w:numPr>
          <w:ilvl w:val="0"/>
          <w:numId w:val="9"/>
        </w:numPr>
        <w:spacing w:before="40" w:after="240"/>
        <w:rPr>
          <w:rFonts w:asciiTheme="minorHAnsi" w:hAnsiTheme="minorHAnsi" w:cstheme="minorHAnsi"/>
          <w:szCs w:val="24"/>
        </w:rPr>
      </w:pPr>
      <w:r w:rsidRPr="00324292">
        <w:rPr>
          <w:rFonts w:asciiTheme="minorHAnsi" w:hAnsiTheme="minorHAnsi" w:cstheme="minorHAnsi"/>
          <w:szCs w:val="24"/>
        </w:rPr>
        <w:t xml:space="preserve">in accordance with subsection 13(3). </w:t>
      </w:r>
    </w:p>
    <w:p w14:paraId="1275FD7C" w14:textId="77777777" w:rsidR="00B86EDE" w:rsidRPr="00324292" w:rsidRDefault="00B86EDE" w:rsidP="005965C6">
      <w:pPr>
        <w:pStyle w:val="ListParagraph"/>
        <w:spacing w:before="40" w:after="240"/>
        <w:ind w:left="1080"/>
        <w:rPr>
          <w:rFonts w:asciiTheme="minorHAnsi" w:hAnsiTheme="minorHAnsi" w:cstheme="minorHAnsi"/>
          <w:szCs w:val="24"/>
        </w:rPr>
      </w:pPr>
    </w:p>
    <w:p w14:paraId="26427F98" w14:textId="17EF2E92" w:rsidR="00A23332" w:rsidRPr="00324292" w:rsidRDefault="00A23332" w:rsidP="005965C6">
      <w:pPr>
        <w:pStyle w:val="ListParagraph"/>
        <w:keepNext/>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The order specified in subsection 13(3) is: ordinary SLE first; then additional SLE; and </w:t>
      </w:r>
      <w:proofErr w:type="gramStart"/>
      <w:r w:rsidRPr="00324292">
        <w:rPr>
          <w:rFonts w:asciiTheme="minorHAnsi" w:hAnsiTheme="minorHAnsi" w:cstheme="minorHAnsi"/>
          <w:szCs w:val="24"/>
        </w:rPr>
        <w:t>fin</w:t>
      </w:r>
      <w:r w:rsidR="005965C6" w:rsidRPr="00324292">
        <w:rPr>
          <w:rFonts w:asciiTheme="minorHAnsi" w:hAnsiTheme="minorHAnsi" w:cstheme="minorHAnsi"/>
          <w:szCs w:val="24"/>
        </w:rPr>
        <w:t>a</w:t>
      </w:r>
      <w:r w:rsidRPr="00324292">
        <w:rPr>
          <w:rFonts w:asciiTheme="minorHAnsi" w:hAnsiTheme="minorHAnsi" w:cstheme="minorHAnsi"/>
          <w:szCs w:val="24"/>
        </w:rPr>
        <w:t>lly</w:t>
      </w:r>
      <w:proofErr w:type="gramEnd"/>
      <w:r w:rsidRPr="00324292">
        <w:rPr>
          <w:rFonts w:asciiTheme="minorHAnsi" w:hAnsiTheme="minorHAnsi" w:cstheme="minorHAnsi"/>
          <w:szCs w:val="24"/>
        </w:rPr>
        <w:t xml:space="preserve"> lifelong SLE. </w:t>
      </w:r>
    </w:p>
    <w:p w14:paraId="4DDA42A6" w14:textId="77777777" w:rsidR="005965C6" w:rsidRPr="00324292" w:rsidRDefault="005965C6" w:rsidP="005965C6">
      <w:pPr>
        <w:pStyle w:val="ListParagraph"/>
        <w:keepNext/>
        <w:spacing w:before="40" w:after="240"/>
        <w:ind w:left="360"/>
        <w:rPr>
          <w:rFonts w:asciiTheme="minorHAnsi" w:hAnsiTheme="minorHAnsi" w:cstheme="minorHAnsi"/>
          <w:szCs w:val="24"/>
        </w:rPr>
      </w:pPr>
    </w:p>
    <w:p w14:paraId="6025A94F" w14:textId="77777777"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Subsection 13(3) provides that: </w:t>
      </w:r>
    </w:p>
    <w:p w14:paraId="1FDD134B" w14:textId="77777777" w:rsidR="00A23332" w:rsidRPr="00324292" w:rsidRDefault="00A23332" w:rsidP="005965C6">
      <w:pPr>
        <w:pStyle w:val="ListParagraph"/>
        <w:numPr>
          <w:ilvl w:val="0"/>
          <w:numId w:val="10"/>
        </w:numPr>
        <w:spacing w:before="40" w:after="240"/>
        <w:rPr>
          <w:rFonts w:asciiTheme="minorHAnsi" w:hAnsiTheme="minorHAnsi" w:cstheme="minorHAnsi"/>
          <w:szCs w:val="24"/>
        </w:rPr>
      </w:pPr>
      <w:r w:rsidRPr="00324292">
        <w:rPr>
          <w:rFonts w:asciiTheme="minorHAnsi" w:hAnsiTheme="minorHAnsi" w:cstheme="minorHAnsi"/>
          <w:szCs w:val="24"/>
        </w:rPr>
        <w:lastRenderedPageBreak/>
        <w:t xml:space="preserve">the person’s ordinary SLE, additional SLE and lifelong SLE amounts must be reduced sequentially by amounts totalling the EFTSL value of the unit of study referred to in subsection 76-1(2) of </w:t>
      </w:r>
      <w:proofErr w:type="gramStart"/>
      <w:r w:rsidRPr="00324292">
        <w:rPr>
          <w:rFonts w:asciiTheme="minorHAnsi" w:hAnsiTheme="minorHAnsi" w:cstheme="minorHAnsi"/>
          <w:szCs w:val="24"/>
        </w:rPr>
        <w:t>HESA;</w:t>
      </w:r>
      <w:proofErr w:type="gramEnd"/>
      <w:r w:rsidRPr="00324292">
        <w:rPr>
          <w:rFonts w:asciiTheme="minorHAnsi" w:hAnsiTheme="minorHAnsi" w:cstheme="minorHAnsi"/>
          <w:szCs w:val="24"/>
        </w:rPr>
        <w:t xml:space="preserve"> </w:t>
      </w:r>
    </w:p>
    <w:p w14:paraId="7F39E4AE" w14:textId="77777777" w:rsidR="00A23332" w:rsidRPr="00324292" w:rsidRDefault="00A23332" w:rsidP="005965C6">
      <w:pPr>
        <w:pStyle w:val="ListParagraph"/>
        <w:numPr>
          <w:ilvl w:val="0"/>
          <w:numId w:val="10"/>
        </w:numPr>
        <w:spacing w:before="40" w:after="240"/>
        <w:rPr>
          <w:rFonts w:asciiTheme="minorHAnsi" w:hAnsiTheme="minorHAnsi" w:cstheme="minorHAnsi"/>
          <w:szCs w:val="24"/>
        </w:rPr>
      </w:pPr>
      <w:r w:rsidRPr="00324292">
        <w:rPr>
          <w:rFonts w:asciiTheme="minorHAnsi" w:hAnsiTheme="minorHAnsi" w:cstheme="minorHAnsi"/>
          <w:szCs w:val="24"/>
        </w:rPr>
        <w:t xml:space="preserve">the person’s ordinary SLE amount (if any) must be reduced to zero before the person’s additional SLE amount is </w:t>
      </w:r>
      <w:proofErr w:type="gramStart"/>
      <w:r w:rsidRPr="00324292">
        <w:rPr>
          <w:rFonts w:asciiTheme="minorHAnsi" w:hAnsiTheme="minorHAnsi" w:cstheme="minorHAnsi"/>
          <w:szCs w:val="24"/>
        </w:rPr>
        <w:t>reduced;</w:t>
      </w:r>
      <w:proofErr w:type="gramEnd"/>
    </w:p>
    <w:p w14:paraId="041F114B" w14:textId="4717931C" w:rsidR="00A23332" w:rsidRPr="00324292" w:rsidRDefault="00A23332" w:rsidP="005965C6">
      <w:pPr>
        <w:pStyle w:val="ListParagraph"/>
        <w:numPr>
          <w:ilvl w:val="0"/>
          <w:numId w:val="10"/>
        </w:numPr>
        <w:spacing w:before="40" w:after="240"/>
        <w:rPr>
          <w:rFonts w:asciiTheme="minorHAnsi" w:hAnsiTheme="minorHAnsi" w:cstheme="minorHAnsi"/>
          <w:szCs w:val="24"/>
        </w:rPr>
      </w:pPr>
      <w:r w:rsidRPr="00324292">
        <w:rPr>
          <w:rFonts w:asciiTheme="minorHAnsi" w:hAnsiTheme="minorHAnsi" w:cstheme="minorHAnsi"/>
          <w:szCs w:val="24"/>
        </w:rPr>
        <w:t xml:space="preserve">the person’s additional SLE amount (if any) must be reduced to zero before the person’s lifelong SLE amount is reduced. </w:t>
      </w:r>
    </w:p>
    <w:p w14:paraId="6E7377A7" w14:textId="77777777" w:rsidR="005965C6" w:rsidRPr="00324292" w:rsidRDefault="005965C6" w:rsidP="005965C6">
      <w:pPr>
        <w:pStyle w:val="ListParagraph"/>
        <w:spacing w:before="40" w:after="240"/>
        <w:ind w:left="1080"/>
        <w:rPr>
          <w:rFonts w:asciiTheme="minorHAnsi" w:hAnsiTheme="minorHAnsi" w:cstheme="minorHAnsi"/>
          <w:szCs w:val="24"/>
        </w:rPr>
      </w:pPr>
    </w:p>
    <w:p w14:paraId="58F3B054" w14:textId="2278D4C7"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The intention is that each type of SLE be reduced to zero before the next type of SLE is reduced. The total amount to be reduced must equal the EFTSL value of the unit of study referred to in subsection 76-1(2) of HESA. </w:t>
      </w:r>
    </w:p>
    <w:p w14:paraId="108798FB" w14:textId="77777777" w:rsidR="005965C6" w:rsidRPr="00324292" w:rsidRDefault="005965C6" w:rsidP="005965C6">
      <w:pPr>
        <w:pStyle w:val="ListParagraph"/>
        <w:spacing w:before="40" w:after="240"/>
        <w:ind w:left="360"/>
        <w:rPr>
          <w:rFonts w:asciiTheme="minorHAnsi" w:hAnsiTheme="minorHAnsi" w:cstheme="minorHAnsi"/>
          <w:szCs w:val="24"/>
        </w:rPr>
      </w:pPr>
    </w:p>
    <w:p w14:paraId="17C0782F" w14:textId="77777777"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The example under subsection 13(3) illustrates this. In that example, Jack is enrolled in his last unit of study as part of a Bachelor of Commerce at a higher education provider. The EFTSL value of that unit of study is 0.75. Immediately before the census date for that unit of study: (a) the amount of ordinary SLE Jack has is 0.25; (b) the amount of additional SLE Jack has is 0.25; (c) the amount of lifelong SLE Jack has is 0.5. To take account of the reduction of Jack’s SLE amount under subsection 76-1(1) of HESA, the provider must: (1) reduce Jack’s ordinary SLE amount to zero; then (2) reduce Jack’s additional SLE amount to zero; and finally (3) reduce Jack’s lifelong SLE to 0.25. </w:t>
      </w:r>
    </w:p>
    <w:p w14:paraId="295FEC8E" w14:textId="77777777" w:rsidR="00A23332" w:rsidRPr="00324292" w:rsidRDefault="00A23332" w:rsidP="00A23332">
      <w:pPr>
        <w:spacing w:after="0" w:line="240" w:lineRule="auto"/>
        <w:rPr>
          <w:rFonts w:asciiTheme="minorHAnsi" w:hAnsiTheme="minorHAnsi" w:cstheme="minorHAnsi"/>
          <w:b/>
          <w:u w:val="single"/>
        </w:rPr>
      </w:pPr>
      <w:r w:rsidRPr="00324292">
        <w:rPr>
          <w:rFonts w:asciiTheme="minorHAnsi" w:hAnsiTheme="minorHAnsi" w:cstheme="minorHAnsi"/>
          <w:b/>
          <w:u w:val="single"/>
        </w:rPr>
        <w:t>Part 5 – Re-crediting a person’s SLE amount</w:t>
      </w:r>
    </w:p>
    <w:p w14:paraId="6002D5DB" w14:textId="77777777" w:rsidR="00A23332" w:rsidRPr="00324292" w:rsidRDefault="00A23332" w:rsidP="00A23332">
      <w:pPr>
        <w:spacing w:after="0" w:line="240" w:lineRule="auto"/>
        <w:rPr>
          <w:rFonts w:asciiTheme="minorHAnsi" w:hAnsiTheme="minorHAnsi" w:cstheme="minorHAnsi"/>
          <w:szCs w:val="24"/>
          <w:u w:val="single"/>
        </w:rPr>
      </w:pPr>
    </w:p>
    <w:p w14:paraId="29191980" w14:textId="0DC0BEEC" w:rsidR="00A23332" w:rsidRPr="00324292" w:rsidRDefault="00A23332" w:rsidP="005965C6">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 xml:space="preserve">Section 14 – Purpose </w:t>
      </w:r>
    </w:p>
    <w:p w14:paraId="3669194F" w14:textId="77777777" w:rsidR="005965C6" w:rsidRPr="00324292" w:rsidRDefault="005965C6" w:rsidP="005965C6">
      <w:pPr>
        <w:spacing w:after="0" w:line="240" w:lineRule="auto"/>
        <w:rPr>
          <w:rFonts w:asciiTheme="minorHAnsi" w:hAnsiTheme="minorHAnsi" w:cstheme="minorHAnsi"/>
          <w:szCs w:val="24"/>
          <w:u w:val="single"/>
        </w:rPr>
      </w:pPr>
    </w:p>
    <w:p w14:paraId="286CF76B" w14:textId="21E340A2"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79-1 of HESA deals with the re-crediting of a person’s SLE amount if special circumstances apply to the person. Section 79-20 of HESA deals with the re-crediting of a person’s SLE amount if the person’s HELP balance is re-credited under any of the provisions listed in subsection 79-20(1) of HESA. </w:t>
      </w:r>
    </w:p>
    <w:p w14:paraId="26335B73" w14:textId="77777777" w:rsidR="00DB4DB5" w:rsidRPr="00324292" w:rsidRDefault="00DB4DB5" w:rsidP="00DB4DB5">
      <w:pPr>
        <w:pStyle w:val="ListParagraph"/>
        <w:spacing w:before="40" w:after="240"/>
        <w:ind w:left="360"/>
        <w:rPr>
          <w:rFonts w:asciiTheme="minorHAnsi" w:hAnsiTheme="minorHAnsi" w:cstheme="minorHAnsi"/>
          <w:szCs w:val="24"/>
        </w:rPr>
      </w:pPr>
    </w:p>
    <w:p w14:paraId="775C995C" w14:textId="76618199"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14 of the </w:t>
      </w:r>
      <w:r w:rsidR="0047199D"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provides that the purpose of Part 5 of the </w:t>
      </w:r>
      <w:r w:rsidR="0047199D"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is to specify how amounts of ordinary SLE, additional SLE and lifelong SLE are to be re-credited if a higher education provider re-credits a person’s SLE amount at a particular time under subsection 79-1(1) or 79-20(1) of HESA (for the purposes of subsections 79-1(2) and 79-20(2) of HESA). </w:t>
      </w:r>
    </w:p>
    <w:p w14:paraId="2AD1C11E"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15 – Re-crediting of a person’s amounts of ordinary SLE, additional SLE and lifelong SLE</w:t>
      </w:r>
    </w:p>
    <w:p w14:paraId="4BEA5465" w14:textId="77777777" w:rsidR="00A23332" w:rsidRPr="00324292" w:rsidRDefault="00A23332" w:rsidP="00A23332">
      <w:pPr>
        <w:spacing w:after="0" w:line="240" w:lineRule="auto"/>
        <w:rPr>
          <w:rFonts w:asciiTheme="minorHAnsi" w:hAnsiTheme="minorHAnsi" w:cstheme="minorHAnsi"/>
          <w:szCs w:val="24"/>
        </w:rPr>
      </w:pPr>
    </w:p>
    <w:p w14:paraId="627475EC" w14:textId="57AE9D45"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Section 15 provides that, if a higher education provider re-credits a person’s SLE amount at a particular time under subsection 79-1(1) or 79-20(1) of HESA, the provider must re-credit one or more of the person’s </w:t>
      </w:r>
      <w:r w:rsidR="00F7362B" w:rsidRPr="00324292">
        <w:rPr>
          <w:rFonts w:asciiTheme="minorHAnsi" w:hAnsiTheme="minorHAnsi" w:cstheme="minorHAnsi"/>
          <w:szCs w:val="24"/>
        </w:rPr>
        <w:t xml:space="preserve">ordinary </w:t>
      </w:r>
      <w:r w:rsidRPr="00324292">
        <w:rPr>
          <w:rFonts w:asciiTheme="minorHAnsi" w:hAnsiTheme="minorHAnsi" w:cstheme="minorHAnsi"/>
          <w:szCs w:val="24"/>
        </w:rPr>
        <w:t xml:space="preserve">SLE amount, additional SLE amount and </w:t>
      </w:r>
      <w:r w:rsidRPr="00324292">
        <w:rPr>
          <w:rFonts w:asciiTheme="minorHAnsi" w:hAnsiTheme="minorHAnsi" w:cstheme="minorHAnsi"/>
          <w:szCs w:val="24"/>
        </w:rPr>
        <w:lastRenderedPageBreak/>
        <w:t xml:space="preserve">lifelong SLE amount to reverse (that is, “un-do”) the previous reduction of those amounts under section 13. </w:t>
      </w:r>
    </w:p>
    <w:p w14:paraId="5E859C63" w14:textId="77777777" w:rsidR="005965C6" w:rsidRPr="00324292" w:rsidRDefault="005965C6" w:rsidP="005965C6">
      <w:pPr>
        <w:pStyle w:val="ListParagraph"/>
        <w:spacing w:before="40" w:after="240"/>
        <w:ind w:left="360"/>
        <w:rPr>
          <w:rFonts w:asciiTheme="minorHAnsi" w:hAnsiTheme="minorHAnsi" w:cstheme="minorHAnsi"/>
          <w:szCs w:val="24"/>
        </w:rPr>
      </w:pPr>
    </w:p>
    <w:p w14:paraId="24288164" w14:textId="1B7032CD" w:rsidR="005965C6"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The intention is for the type of SLE that was reduced under section 13 of the </w:t>
      </w:r>
      <w:r w:rsidR="0047199D"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to be re-credited under section 15. </w:t>
      </w:r>
    </w:p>
    <w:p w14:paraId="6C3D2048" w14:textId="77777777" w:rsidR="005965C6" w:rsidRPr="00324292" w:rsidRDefault="005965C6" w:rsidP="005965C6">
      <w:pPr>
        <w:pStyle w:val="ListParagraph"/>
        <w:spacing w:before="40" w:after="240"/>
        <w:ind w:left="360"/>
        <w:rPr>
          <w:rFonts w:asciiTheme="minorHAnsi" w:hAnsiTheme="minorHAnsi" w:cstheme="minorHAnsi"/>
          <w:szCs w:val="24"/>
        </w:rPr>
      </w:pPr>
    </w:p>
    <w:p w14:paraId="7D95739C" w14:textId="7CC6A88D"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The example under section 15 illustrates this. In that example, Jack enrolled in his last unit of study as part of a Bachelor of Commerce at a higher education provider. The EFTSL value of that unit of study was 0.5. Immediately before the census date for that unit of study: (a) the amount of ordinary SLE Jack had was 0.25; (b) the amount of additional SLE Jack had was 0.25; (c) Jack had no lifelong SLE. In accordance with section 13, to take account of the reduction of Jack’s SLE amount under subsection 76-1(1) of HESA, the provider: (1) reduced Jack’s ordinary SLE amount to zero; and (2) reduced Jack’s additional SLE amount to zero. Subsequently, under subsection 79-1(1) of HESA, the provider re-credits 0.5 to Jack’s SLE amount. To take account of the re-credit under subsection 79-1(1) of HESA and having regard to how Jack’s amounts of ordinary SLE and additional SLE were reduced under section 13 for that unit of study, the provider must re-credit 0.25 to Jack’s ordinary SLE and 0.25 to Jack’s additional SLE. </w:t>
      </w:r>
    </w:p>
    <w:p w14:paraId="17C19222" w14:textId="77777777" w:rsidR="00A23332" w:rsidRPr="00324292" w:rsidRDefault="00A23332" w:rsidP="00A23332">
      <w:pPr>
        <w:spacing w:after="0" w:line="240" w:lineRule="auto"/>
        <w:rPr>
          <w:rFonts w:asciiTheme="minorHAnsi" w:hAnsiTheme="minorHAnsi" w:cstheme="minorHAnsi"/>
          <w:b/>
          <w:u w:val="single"/>
        </w:rPr>
      </w:pPr>
      <w:r w:rsidRPr="00324292">
        <w:rPr>
          <w:rFonts w:asciiTheme="minorHAnsi" w:hAnsiTheme="minorHAnsi" w:cstheme="minorHAnsi"/>
          <w:b/>
          <w:u w:val="single"/>
        </w:rPr>
        <w:t xml:space="preserve">Part 6 – Special circumstances </w:t>
      </w:r>
    </w:p>
    <w:p w14:paraId="780FD440" w14:textId="77777777" w:rsidR="00A23332" w:rsidRPr="00324292" w:rsidRDefault="00A23332" w:rsidP="00A23332">
      <w:pPr>
        <w:spacing w:after="0" w:line="240" w:lineRule="auto"/>
        <w:rPr>
          <w:rFonts w:asciiTheme="minorHAnsi" w:hAnsiTheme="minorHAnsi" w:cstheme="minorHAnsi"/>
          <w:szCs w:val="24"/>
          <w:u w:val="single"/>
        </w:rPr>
      </w:pPr>
    </w:p>
    <w:p w14:paraId="124E9A68"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 xml:space="preserve">Section 16 – Purpose </w:t>
      </w:r>
    </w:p>
    <w:p w14:paraId="6C8644B2" w14:textId="77777777" w:rsidR="00A23332" w:rsidRPr="00324292" w:rsidRDefault="00A23332" w:rsidP="00A23332">
      <w:pPr>
        <w:spacing w:after="0" w:line="240" w:lineRule="auto"/>
        <w:rPr>
          <w:rFonts w:asciiTheme="minorHAnsi" w:hAnsiTheme="minorHAnsi" w:cstheme="minorHAnsi"/>
          <w:szCs w:val="24"/>
        </w:rPr>
      </w:pPr>
    </w:p>
    <w:p w14:paraId="6BDEEBEA" w14:textId="02347250"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As </w:t>
      </w:r>
      <w:r w:rsidR="00696B7A" w:rsidRPr="00324292">
        <w:rPr>
          <w:rFonts w:asciiTheme="minorHAnsi" w:hAnsiTheme="minorHAnsi" w:cstheme="minorHAnsi"/>
          <w:szCs w:val="24"/>
        </w:rPr>
        <w:t xml:space="preserve">noted </w:t>
      </w:r>
      <w:r w:rsidRPr="00324292">
        <w:rPr>
          <w:rFonts w:asciiTheme="minorHAnsi" w:hAnsiTheme="minorHAnsi" w:cstheme="minorHAnsi"/>
          <w:szCs w:val="24"/>
        </w:rPr>
        <w:t xml:space="preserve">above, section 79-1 of HESA deals with the re-crediting of a person’s SLE amount if special circumstances apply. </w:t>
      </w:r>
    </w:p>
    <w:p w14:paraId="311215E5" w14:textId="77777777" w:rsidR="00DB4DB5" w:rsidRPr="00324292" w:rsidRDefault="00DB4DB5" w:rsidP="00DB4DB5">
      <w:pPr>
        <w:pStyle w:val="ListParagraph"/>
        <w:spacing w:before="40" w:after="240"/>
        <w:ind w:left="360"/>
        <w:rPr>
          <w:rFonts w:asciiTheme="minorHAnsi" w:hAnsiTheme="minorHAnsi" w:cstheme="minorHAnsi"/>
          <w:szCs w:val="24"/>
        </w:rPr>
      </w:pPr>
    </w:p>
    <w:p w14:paraId="620D6D83" w14:textId="77777777"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Subsection 79-5(1) of HESA describes when special circumstances apply to a person, namely if the higher education provider is satisfied that circumstances apply to the person that:</w:t>
      </w:r>
    </w:p>
    <w:p w14:paraId="382F1E05" w14:textId="77777777" w:rsidR="00A23332" w:rsidRPr="00324292" w:rsidRDefault="00A23332" w:rsidP="005965C6">
      <w:pPr>
        <w:pStyle w:val="ListParagraph"/>
        <w:numPr>
          <w:ilvl w:val="0"/>
          <w:numId w:val="11"/>
        </w:numPr>
        <w:spacing w:before="40" w:after="240"/>
        <w:rPr>
          <w:rFonts w:asciiTheme="minorHAnsi" w:hAnsiTheme="minorHAnsi" w:cstheme="minorHAnsi"/>
          <w:szCs w:val="24"/>
        </w:rPr>
      </w:pPr>
      <w:r w:rsidRPr="00324292">
        <w:rPr>
          <w:rFonts w:asciiTheme="minorHAnsi" w:hAnsiTheme="minorHAnsi" w:cstheme="minorHAnsi"/>
          <w:szCs w:val="24"/>
        </w:rPr>
        <w:t xml:space="preserve">are beyond the person’s control; and </w:t>
      </w:r>
    </w:p>
    <w:p w14:paraId="029F8115" w14:textId="77777777" w:rsidR="00A23332" w:rsidRPr="00324292" w:rsidRDefault="00A23332" w:rsidP="005965C6">
      <w:pPr>
        <w:pStyle w:val="ListParagraph"/>
        <w:numPr>
          <w:ilvl w:val="0"/>
          <w:numId w:val="11"/>
        </w:numPr>
        <w:spacing w:before="40" w:after="240"/>
        <w:rPr>
          <w:rFonts w:asciiTheme="minorHAnsi" w:hAnsiTheme="minorHAnsi" w:cstheme="minorHAnsi"/>
          <w:szCs w:val="24"/>
        </w:rPr>
      </w:pPr>
      <w:r w:rsidRPr="00324292">
        <w:rPr>
          <w:rFonts w:asciiTheme="minorHAnsi" w:hAnsiTheme="minorHAnsi" w:cstheme="minorHAnsi"/>
          <w:szCs w:val="24"/>
        </w:rPr>
        <w:t xml:space="preserve">do not make their full impact on the person until on or after the census date for the unit of study in question; and </w:t>
      </w:r>
    </w:p>
    <w:p w14:paraId="5BE0ABB4" w14:textId="2520CB8C" w:rsidR="00A23332" w:rsidRPr="00324292" w:rsidRDefault="00A23332" w:rsidP="005965C6">
      <w:pPr>
        <w:pStyle w:val="ListParagraph"/>
        <w:numPr>
          <w:ilvl w:val="0"/>
          <w:numId w:val="11"/>
        </w:numPr>
        <w:spacing w:before="40" w:after="240"/>
        <w:rPr>
          <w:rFonts w:asciiTheme="minorHAnsi" w:hAnsiTheme="minorHAnsi" w:cstheme="minorHAnsi"/>
          <w:szCs w:val="24"/>
        </w:rPr>
      </w:pPr>
      <w:r w:rsidRPr="00324292">
        <w:rPr>
          <w:rFonts w:asciiTheme="minorHAnsi" w:hAnsiTheme="minorHAnsi" w:cstheme="minorHAnsi"/>
          <w:szCs w:val="24"/>
        </w:rPr>
        <w:t xml:space="preserve">make it impracticable for the person to complete the requirements for the unit in the period during which the person undertook, or was to undertake, the unit. </w:t>
      </w:r>
    </w:p>
    <w:p w14:paraId="762D707B" w14:textId="77777777" w:rsidR="005965C6" w:rsidRPr="00324292" w:rsidRDefault="005965C6" w:rsidP="005965C6">
      <w:pPr>
        <w:pStyle w:val="ListParagraph"/>
        <w:spacing w:before="40" w:after="240"/>
        <w:ind w:left="1080"/>
        <w:rPr>
          <w:rFonts w:asciiTheme="minorHAnsi" w:hAnsiTheme="minorHAnsi" w:cstheme="minorHAnsi"/>
          <w:szCs w:val="24"/>
        </w:rPr>
      </w:pPr>
    </w:p>
    <w:p w14:paraId="7B4A9329" w14:textId="1A3A70A7"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Subsection 7</w:t>
      </w:r>
      <w:r w:rsidR="004E6EC6" w:rsidRPr="00324292">
        <w:rPr>
          <w:rFonts w:asciiTheme="minorHAnsi" w:hAnsiTheme="minorHAnsi" w:cstheme="minorHAnsi"/>
          <w:szCs w:val="24"/>
        </w:rPr>
        <w:t>9-5</w:t>
      </w:r>
      <w:r w:rsidRPr="00324292">
        <w:rPr>
          <w:rFonts w:asciiTheme="minorHAnsi" w:hAnsiTheme="minorHAnsi" w:cstheme="minorHAnsi"/>
          <w:szCs w:val="24"/>
        </w:rPr>
        <w:t xml:space="preserve">(2) of HESA enables the </w:t>
      </w:r>
      <w:r w:rsidR="0047199D"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to specify circumstances in which a higher education provider will be satisfied of a matter referred to in paragraph 79-5(1)(a), (b) or (c). It further provides that a decision under subsection 79-5(1) must be in accordance with the </w:t>
      </w:r>
      <w:r w:rsidR="00696B7A"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w:t>
      </w:r>
    </w:p>
    <w:p w14:paraId="7584F944" w14:textId="77777777" w:rsidR="005965C6" w:rsidRPr="00324292" w:rsidRDefault="005965C6" w:rsidP="005965C6">
      <w:pPr>
        <w:pStyle w:val="ListParagraph"/>
        <w:spacing w:before="40" w:after="240"/>
        <w:ind w:left="360"/>
        <w:rPr>
          <w:rFonts w:asciiTheme="minorHAnsi" w:hAnsiTheme="minorHAnsi" w:cstheme="minorHAnsi"/>
          <w:szCs w:val="24"/>
        </w:rPr>
      </w:pPr>
    </w:p>
    <w:p w14:paraId="7276E75F" w14:textId="53A45B85" w:rsidR="00386885"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lastRenderedPageBreak/>
        <w:t xml:space="preserve">For the purposes of subsection 79-5(2) of HESA, the purpose of Part 6 of the </w:t>
      </w:r>
      <w:r w:rsidR="00696B7A" w:rsidRPr="00324292">
        <w:rPr>
          <w:rFonts w:asciiTheme="minorHAnsi" w:hAnsiTheme="minorHAnsi" w:cstheme="minorHAnsi"/>
          <w:szCs w:val="24"/>
        </w:rPr>
        <w:t xml:space="preserve">SLE </w:t>
      </w:r>
      <w:r w:rsidRPr="00324292">
        <w:rPr>
          <w:rFonts w:asciiTheme="minorHAnsi" w:hAnsiTheme="minorHAnsi" w:cstheme="minorHAnsi"/>
          <w:szCs w:val="24"/>
        </w:rPr>
        <w:t xml:space="preserve">Guidelines is to specify the circumstances in which a higher education provider will be satisfied </w:t>
      </w:r>
      <w:r w:rsidR="00386885" w:rsidRPr="00324292">
        <w:rPr>
          <w:rFonts w:asciiTheme="minorHAnsi" w:hAnsiTheme="minorHAnsi" w:cstheme="minorHAnsi"/>
          <w:szCs w:val="24"/>
        </w:rPr>
        <w:t xml:space="preserve">of the matters listed in subsection 79-5(1) of HESA as referred to above. </w:t>
      </w:r>
    </w:p>
    <w:p w14:paraId="3DBA7620" w14:textId="77777777" w:rsidR="002A530E" w:rsidRPr="00324292" w:rsidRDefault="002A530E" w:rsidP="002A530E">
      <w:pPr>
        <w:pStyle w:val="ListParagraph"/>
        <w:rPr>
          <w:rFonts w:asciiTheme="minorHAnsi" w:hAnsiTheme="minorHAnsi" w:cstheme="minorHAnsi"/>
          <w:szCs w:val="24"/>
        </w:rPr>
      </w:pPr>
    </w:p>
    <w:p w14:paraId="7D7C700C" w14:textId="45456D3C" w:rsidR="00A23332" w:rsidRPr="00324292" w:rsidRDefault="00386885" w:rsidP="00386885">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Part 6 of the SLE Guidelines operates in a similar way to Chapter 3 of the </w:t>
      </w:r>
      <w:r w:rsidRPr="00324292">
        <w:rPr>
          <w:rFonts w:asciiTheme="minorHAnsi" w:hAnsiTheme="minorHAnsi" w:cstheme="minorHAnsi"/>
          <w:i/>
          <w:iCs/>
          <w:szCs w:val="24"/>
        </w:rPr>
        <w:t>Administration Guidelines 2012</w:t>
      </w:r>
      <w:r w:rsidRPr="00324292">
        <w:rPr>
          <w:rFonts w:asciiTheme="minorHAnsi" w:hAnsiTheme="minorHAnsi" w:cstheme="minorHAnsi"/>
          <w:szCs w:val="24"/>
        </w:rPr>
        <w:t xml:space="preserve">, which are also made under section 238-10 of HESA. </w:t>
      </w:r>
    </w:p>
    <w:p w14:paraId="29E36976"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17 – Circumstances beyond the person’s control</w:t>
      </w:r>
    </w:p>
    <w:p w14:paraId="14518A0B" w14:textId="77777777" w:rsidR="00A23332" w:rsidRPr="00324292" w:rsidRDefault="00A23332" w:rsidP="00A23332">
      <w:pPr>
        <w:spacing w:after="0" w:line="240" w:lineRule="auto"/>
        <w:rPr>
          <w:rFonts w:asciiTheme="minorHAnsi" w:hAnsiTheme="minorHAnsi" w:cstheme="minorHAnsi"/>
          <w:szCs w:val="24"/>
          <w:u w:val="single"/>
        </w:rPr>
      </w:pPr>
    </w:p>
    <w:p w14:paraId="172987FD" w14:textId="77777777" w:rsidR="00A23332" w:rsidRPr="00324292" w:rsidRDefault="00A23332" w:rsidP="005965C6">
      <w:pPr>
        <w:pStyle w:val="ListParagraph"/>
        <w:numPr>
          <w:ilvl w:val="0"/>
          <w:numId w:val="16"/>
        </w:numPr>
        <w:spacing w:before="40" w:after="240"/>
        <w:ind w:left="357" w:hanging="357"/>
        <w:rPr>
          <w:rFonts w:asciiTheme="minorHAnsi" w:hAnsiTheme="minorHAnsi" w:cstheme="minorHAnsi"/>
          <w:szCs w:val="24"/>
        </w:rPr>
      </w:pPr>
      <w:r w:rsidRPr="00324292">
        <w:rPr>
          <w:rFonts w:asciiTheme="minorHAnsi" w:hAnsiTheme="minorHAnsi" w:cstheme="minorHAnsi"/>
          <w:szCs w:val="24"/>
        </w:rPr>
        <w:t xml:space="preserve">Section 17 does not specify any specific circumstances, </w:t>
      </w:r>
      <w:proofErr w:type="spellStart"/>
      <w:r w:rsidRPr="00324292">
        <w:rPr>
          <w:rFonts w:asciiTheme="minorHAnsi" w:hAnsiTheme="minorHAnsi" w:cstheme="minorHAnsi"/>
          <w:szCs w:val="24"/>
        </w:rPr>
        <w:t>referring</w:t>
      </w:r>
      <w:proofErr w:type="spellEnd"/>
      <w:r w:rsidRPr="00324292">
        <w:rPr>
          <w:rFonts w:asciiTheme="minorHAnsi" w:hAnsiTheme="minorHAnsi" w:cstheme="minorHAnsi"/>
          <w:szCs w:val="24"/>
        </w:rPr>
        <w:t xml:space="preserve"> instead to a general description of the term “control” </w:t>
      </w:r>
      <w:proofErr w:type="gramStart"/>
      <w:r w:rsidRPr="00324292">
        <w:rPr>
          <w:rFonts w:asciiTheme="minorHAnsi" w:hAnsiTheme="minorHAnsi" w:cstheme="minorHAnsi"/>
          <w:szCs w:val="24"/>
        </w:rPr>
        <w:t>in order to</w:t>
      </w:r>
      <w:proofErr w:type="gramEnd"/>
      <w:r w:rsidRPr="00324292">
        <w:rPr>
          <w:rFonts w:asciiTheme="minorHAnsi" w:hAnsiTheme="minorHAnsi" w:cstheme="minorHAnsi"/>
          <w:szCs w:val="24"/>
        </w:rPr>
        <w:t xml:space="preserve"> leave open a broad discretion. Subsection 17(1) provides that a higher education provider will be satisfied that a person’s circumstances are beyond that person’s control if a situation occurs which a reasonable person would consider is not due to the person’s action or inaction, either direct or indirect, and for which the person is not responsible. Subsection 17(2) requires the situation referred to in subsection 17(1) to be unusual, </w:t>
      </w:r>
      <w:proofErr w:type="gramStart"/>
      <w:r w:rsidRPr="00324292">
        <w:rPr>
          <w:rFonts w:asciiTheme="minorHAnsi" w:hAnsiTheme="minorHAnsi" w:cstheme="minorHAnsi"/>
          <w:szCs w:val="24"/>
        </w:rPr>
        <w:t>uncommon</w:t>
      </w:r>
      <w:proofErr w:type="gramEnd"/>
      <w:r w:rsidRPr="00324292">
        <w:rPr>
          <w:rFonts w:asciiTheme="minorHAnsi" w:hAnsiTheme="minorHAnsi" w:cstheme="minorHAnsi"/>
          <w:szCs w:val="24"/>
        </w:rPr>
        <w:t xml:space="preserve"> or abnormal. </w:t>
      </w:r>
    </w:p>
    <w:p w14:paraId="11C4E79F"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 xml:space="preserve">Section 18 – Circumstances that did not make their full impact until on or after the census date </w:t>
      </w:r>
    </w:p>
    <w:p w14:paraId="49F67ED3" w14:textId="77777777" w:rsidR="00A23332" w:rsidRPr="00324292" w:rsidRDefault="00A23332" w:rsidP="00A23332">
      <w:pPr>
        <w:spacing w:after="0" w:line="240" w:lineRule="auto"/>
        <w:rPr>
          <w:rFonts w:asciiTheme="minorHAnsi" w:hAnsiTheme="minorHAnsi" w:cstheme="minorHAnsi"/>
          <w:szCs w:val="24"/>
          <w:u w:val="single"/>
        </w:rPr>
      </w:pPr>
    </w:p>
    <w:p w14:paraId="106C4A1C" w14:textId="62854627" w:rsidR="00A23332" w:rsidRPr="00324292" w:rsidRDefault="00A23332" w:rsidP="005965C6">
      <w:pPr>
        <w:pStyle w:val="ListParagraph"/>
        <w:numPr>
          <w:ilvl w:val="0"/>
          <w:numId w:val="16"/>
        </w:numPr>
        <w:spacing w:before="40" w:after="240"/>
        <w:ind w:hanging="357"/>
        <w:rPr>
          <w:rFonts w:asciiTheme="minorHAnsi" w:hAnsiTheme="minorHAnsi" w:cstheme="minorHAnsi"/>
          <w:szCs w:val="24"/>
        </w:rPr>
      </w:pPr>
      <w:r w:rsidRPr="00324292">
        <w:rPr>
          <w:rFonts w:asciiTheme="minorHAnsi" w:hAnsiTheme="minorHAnsi" w:cstheme="minorHAnsi"/>
          <w:szCs w:val="24"/>
        </w:rPr>
        <w:t xml:space="preserve">Section 18 provides a general description of when circumstances “do not make their full impact” (again to leave open a broad discretion) and provides that a higher education provider will be satisfied that a person’s circumstances </w:t>
      </w:r>
      <w:r w:rsidR="009472E0" w:rsidRPr="00324292">
        <w:rPr>
          <w:rFonts w:asciiTheme="minorHAnsi" w:hAnsiTheme="minorHAnsi" w:cstheme="minorHAnsi"/>
          <w:szCs w:val="24"/>
        </w:rPr>
        <w:t xml:space="preserve">did </w:t>
      </w:r>
      <w:r w:rsidRPr="00324292">
        <w:rPr>
          <w:rFonts w:asciiTheme="minorHAnsi" w:hAnsiTheme="minorHAnsi" w:cstheme="minorHAnsi"/>
          <w:szCs w:val="24"/>
        </w:rPr>
        <w:t>not make their full impact on the person until on or after the census date for the unit of study in question if the person’s circumstances occur:</w:t>
      </w:r>
    </w:p>
    <w:p w14:paraId="2563C567" w14:textId="2DE125A1" w:rsidR="00A23332" w:rsidRPr="00324292" w:rsidRDefault="00A23332" w:rsidP="005965C6">
      <w:pPr>
        <w:pStyle w:val="ListParagraph"/>
        <w:numPr>
          <w:ilvl w:val="0"/>
          <w:numId w:val="13"/>
        </w:numPr>
        <w:spacing w:before="40" w:after="240"/>
        <w:ind w:hanging="357"/>
        <w:rPr>
          <w:rFonts w:asciiTheme="minorHAnsi" w:hAnsiTheme="minorHAnsi" w:cstheme="minorHAnsi"/>
          <w:szCs w:val="24"/>
        </w:rPr>
      </w:pPr>
      <w:r w:rsidRPr="00324292">
        <w:rPr>
          <w:rFonts w:asciiTheme="minorHAnsi" w:hAnsiTheme="minorHAnsi" w:cstheme="minorHAnsi"/>
          <w:szCs w:val="24"/>
        </w:rPr>
        <w:t xml:space="preserve">before the census date, but worsen after that </w:t>
      </w:r>
      <w:r w:rsidR="009472E0" w:rsidRPr="00324292">
        <w:rPr>
          <w:rFonts w:asciiTheme="minorHAnsi" w:hAnsiTheme="minorHAnsi" w:cstheme="minorHAnsi"/>
          <w:szCs w:val="24"/>
        </w:rPr>
        <w:t>day</w:t>
      </w:r>
      <w:r w:rsidRPr="00324292">
        <w:rPr>
          <w:rFonts w:asciiTheme="minorHAnsi" w:hAnsiTheme="minorHAnsi" w:cstheme="minorHAnsi"/>
          <w:szCs w:val="24"/>
        </w:rPr>
        <w:t>; or</w:t>
      </w:r>
    </w:p>
    <w:p w14:paraId="7F98C0DA" w14:textId="07767760" w:rsidR="00A23332" w:rsidRPr="00324292" w:rsidRDefault="00A23332" w:rsidP="005965C6">
      <w:pPr>
        <w:pStyle w:val="ListParagraph"/>
        <w:numPr>
          <w:ilvl w:val="0"/>
          <w:numId w:val="13"/>
        </w:numPr>
        <w:spacing w:before="40" w:after="240"/>
        <w:ind w:hanging="357"/>
        <w:rPr>
          <w:rFonts w:asciiTheme="minorHAnsi" w:hAnsiTheme="minorHAnsi" w:cstheme="minorHAnsi"/>
          <w:szCs w:val="24"/>
        </w:rPr>
      </w:pPr>
      <w:r w:rsidRPr="00324292">
        <w:rPr>
          <w:rFonts w:asciiTheme="minorHAnsi" w:hAnsiTheme="minorHAnsi" w:cstheme="minorHAnsi"/>
          <w:szCs w:val="24"/>
        </w:rPr>
        <w:t xml:space="preserve">before the census date, but the full effect or magnitude does not become apparent until on or after </w:t>
      </w:r>
      <w:r w:rsidR="009472E0" w:rsidRPr="00324292">
        <w:rPr>
          <w:rFonts w:asciiTheme="minorHAnsi" w:hAnsiTheme="minorHAnsi" w:cstheme="minorHAnsi"/>
          <w:szCs w:val="24"/>
        </w:rPr>
        <w:t>that day</w:t>
      </w:r>
      <w:r w:rsidRPr="00324292">
        <w:rPr>
          <w:rFonts w:asciiTheme="minorHAnsi" w:hAnsiTheme="minorHAnsi" w:cstheme="minorHAnsi"/>
          <w:szCs w:val="24"/>
        </w:rPr>
        <w:t>; or</w:t>
      </w:r>
    </w:p>
    <w:p w14:paraId="222B737E" w14:textId="77777777" w:rsidR="00A23332" w:rsidRPr="00324292" w:rsidRDefault="00A23332" w:rsidP="005965C6">
      <w:pPr>
        <w:pStyle w:val="ListParagraph"/>
        <w:numPr>
          <w:ilvl w:val="0"/>
          <w:numId w:val="13"/>
        </w:numPr>
        <w:spacing w:before="40" w:after="240"/>
        <w:ind w:hanging="357"/>
        <w:rPr>
          <w:rFonts w:asciiTheme="minorHAnsi" w:hAnsiTheme="minorHAnsi" w:cstheme="minorHAnsi"/>
          <w:szCs w:val="24"/>
        </w:rPr>
      </w:pPr>
      <w:r w:rsidRPr="00324292">
        <w:rPr>
          <w:rFonts w:asciiTheme="minorHAnsi" w:hAnsiTheme="minorHAnsi" w:cstheme="minorHAnsi"/>
          <w:szCs w:val="24"/>
        </w:rPr>
        <w:t xml:space="preserve">on or after the census date. </w:t>
      </w:r>
    </w:p>
    <w:p w14:paraId="5D07BA05" w14:textId="77777777" w:rsidR="00A23332" w:rsidRPr="00324292" w:rsidRDefault="00A23332" w:rsidP="00A23332">
      <w:pPr>
        <w:spacing w:after="0" w:line="240" w:lineRule="auto"/>
        <w:rPr>
          <w:rFonts w:asciiTheme="minorHAnsi" w:hAnsiTheme="minorHAnsi" w:cstheme="minorHAnsi"/>
          <w:szCs w:val="24"/>
          <w:u w:val="single"/>
        </w:rPr>
      </w:pPr>
      <w:r w:rsidRPr="00324292">
        <w:rPr>
          <w:rFonts w:asciiTheme="minorHAnsi" w:hAnsiTheme="minorHAnsi" w:cstheme="minorHAnsi"/>
          <w:szCs w:val="24"/>
          <w:u w:val="single"/>
        </w:rPr>
        <w:t>Section 19 – Circumstances that make it impracticable for the person to complete the requirements</w:t>
      </w:r>
    </w:p>
    <w:p w14:paraId="0C784489" w14:textId="77777777" w:rsidR="00A23332" w:rsidRPr="00324292" w:rsidRDefault="00A23332" w:rsidP="00A23332">
      <w:pPr>
        <w:spacing w:after="0" w:line="240" w:lineRule="auto"/>
        <w:rPr>
          <w:rFonts w:asciiTheme="minorHAnsi" w:hAnsiTheme="minorHAnsi" w:cstheme="minorHAnsi"/>
          <w:szCs w:val="24"/>
        </w:rPr>
      </w:pPr>
    </w:p>
    <w:p w14:paraId="7CE9F2C3" w14:textId="60AEAD16"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 xml:space="preserve">Subsection 19(1) provides that a higher education provider will be satisfied that a person’s circumstances make it impracticable for the person to complete the requirements for the unit of study during the period which the person undertook, or was to undertake, the unit if circumstances such as the following occur: </w:t>
      </w:r>
    </w:p>
    <w:p w14:paraId="36132F7B" w14:textId="77777777" w:rsidR="00A23332" w:rsidRPr="00324292" w:rsidRDefault="00A23332" w:rsidP="005965C6">
      <w:pPr>
        <w:pStyle w:val="ListParagraph"/>
        <w:numPr>
          <w:ilvl w:val="0"/>
          <w:numId w:val="14"/>
        </w:numPr>
        <w:spacing w:before="40" w:after="240"/>
        <w:rPr>
          <w:rFonts w:asciiTheme="minorHAnsi" w:hAnsiTheme="minorHAnsi" w:cstheme="minorHAnsi"/>
          <w:szCs w:val="24"/>
        </w:rPr>
      </w:pPr>
      <w:r w:rsidRPr="00324292">
        <w:rPr>
          <w:rFonts w:asciiTheme="minorHAnsi" w:hAnsiTheme="minorHAnsi" w:cstheme="minorHAnsi"/>
          <w:szCs w:val="24"/>
        </w:rPr>
        <w:t xml:space="preserve">medical circumstances, such as where the person’s medical condition has changed to such an extent that they are unable to continue studying; or </w:t>
      </w:r>
    </w:p>
    <w:p w14:paraId="19115947" w14:textId="77777777" w:rsidR="00A23332" w:rsidRPr="00324292" w:rsidRDefault="00A23332" w:rsidP="005965C6">
      <w:pPr>
        <w:pStyle w:val="ListParagraph"/>
        <w:numPr>
          <w:ilvl w:val="0"/>
          <w:numId w:val="14"/>
        </w:numPr>
        <w:spacing w:before="40" w:after="240"/>
        <w:rPr>
          <w:rFonts w:asciiTheme="minorHAnsi" w:hAnsiTheme="minorHAnsi" w:cstheme="minorHAnsi"/>
          <w:szCs w:val="24"/>
        </w:rPr>
      </w:pPr>
      <w:r w:rsidRPr="00324292">
        <w:rPr>
          <w:rFonts w:asciiTheme="minorHAnsi" w:hAnsiTheme="minorHAnsi" w:cstheme="minorHAnsi"/>
          <w:szCs w:val="24"/>
        </w:rPr>
        <w:t>family personal circumstances, such as death or severe medical problems within a family, or unforeseen family financial difficulties, so that it is unreasonable to expect a person to continue their studies; or</w:t>
      </w:r>
    </w:p>
    <w:p w14:paraId="499AB93B" w14:textId="77777777" w:rsidR="00A23332" w:rsidRPr="00324292" w:rsidRDefault="00A23332" w:rsidP="005965C6">
      <w:pPr>
        <w:pStyle w:val="ListParagraph"/>
        <w:numPr>
          <w:ilvl w:val="0"/>
          <w:numId w:val="14"/>
        </w:numPr>
        <w:spacing w:before="40" w:after="240"/>
        <w:rPr>
          <w:rFonts w:asciiTheme="minorHAnsi" w:hAnsiTheme="minorHAnsi" w:cstheme="minorHAnsi"/>
          <w:szCs w:val="24"/>
        </w:rPr>
      </w:pPr>
      <w:r w:rsidRPr="00324292">
        <w:rPr>
          <w:rFonts w:asciiTheme="minorHAnsi" w:hAnsiTheme="minorHAnsi" w:cstheme="minorHAnsi"/>
          <w:szCs w:val="24"/>
        </w:rPr>
        <w:lastRenderedPageBreak/>
        <w:t>employment related circumstances, such as where the person’s employment status or arrangements have changed so the person is unable to continue their studies, and this change is beyond the person’s control; or</w:t>
      </w:r>
    </w:p>
    <w:p w14:paraId="4FC0EE5D" w14:textId="387873E8" w:rsidR="00A23332" w:rsidRPr="00324292" w:rsidRDefault="00A23332" w:rsidP="005965C6">
      <w:pPr>
        <w:pStyle w:val="ListParagraph"/>
        <w:numPr>
          <w:ilvl w:val="0"/>
          <w:numId w:val="14"/>
        </w:numPr>
        <w:spacing w:before="40" w:after="240"/>
        <w:rPr>
          <w:rFonts w:asciiTheme="minorHAnsi" w:hAnsiTheme="minorHAnsi" w:cstheme="minorHAnsi"/>
          <w:szCs w:val="24"/>
        </w:rPr>
      </w:pPr>
      <w:r w:rsidRPr="00324292">
        <w:rPr>
          <w:rFonts w:asciiTheme="minorHAnsi" w:hAnsiTheme="minorHAnsi" w:cstheme="minorHAnsi"/>
          <w:szCs w:val="24"/>
        </w:rPr>
        <w:t>course related circumstances, such as where the provider has changed the requirements of the unit of study in question and the person is disadvantaged by either not being able to complete the requirements of the unit, or not being given credit towards another unit of study or course of study.</w:t>
      </w:r>
    </w:p>
    <w:p w14:paraId="000359BC" w14:textId="77777777" w:rsidR="009472E0" w:rsidRPr="00324292" w:rsidRDefault="009472E0" w:rsidP="005965C6">
      <w:pPr>
        <w:pStyle w:val="ListParagraph"/>
        <w:spacing w:before="40" w:after="240"/>
        <w:ind w:left="1080"/>
        <w:rPr>
          <w:rFonts w:asciiTheme="minorHAnsi" w:hAnsiTheme="minorHAnsi" w:cstheme="minorHAnsi"/>
          <w:szCs w:val="24"/>
        </w:rPr>
      </w:pPr>
    </w:p>
    <w:p w14:paraId="37854F23" w14:textId="77777777" w:rsidR="00A23332" w:rsidRPr="00324292" w:rsidRDefault="00A23332" w:rsidP="005965C6">
      <w:pPr>
        <w:pStyle w:val="ListParagraph"/>
        <w:numPr>
          <w:ilvl w:val="0"/>
          <w:numId w:val="16"/>
        </w:numPr>
        <w:spacing w:before="40" w:after="240"/>
        <w:rPr>
          <w:rFonts w:asciiTheme="minorHAnsi" w:hAnsiTheme="minorHAnsi" w:cstheme="minorHAnsi"/>
          <w:szCs w:val="24"/>
        </w:rPr>
      </w:pPr>
      <w:r w:rsidRPr="00324292">
        <w:rPr>
          <w:rFonts w:asciiTheme="minorHAnsi" w:hAnsiTheme="minorHAnsi" w:cstheme="minorHAnsi"/>
          <w:szCs w:val="24"/>
        </w:rPr>
        <w:t>Subsection 19(2) provides that a person is unable to complete the requirements for a unit of study if the person is unable to:</w:t>
      </w:r>
    </w:p>
    <w:p w14:paraId="1039B408" w14:textId="77777777" w:rsidR="00A23332" w:rsidRPr="00324292" w:rsidRDefault="00A23332" w:rsidP="005965C6">
      <w:pPr>
        <w:pStyle w:val="ListParagraph"/>
        <w:numPr>
          <w:ilvl w:val="0"/>
          <w:numId w:val="15"/>
        </w:numPr>
        <w:spacing w:before="40" w:after="240"/>
        <w:rPr>
          <w:rFonts w:asciiTheme="minorHAnsi" w:hAnsiTheme="minorHAnsi" w:cstheme="minorHAnsi"/>
          <w:szCs w:val="24"/>
        </w:rPr>
      </w:pPr>
      <w:r w:rsidRPr="00324292">
        <w:rPr>
          <w:rFonts w:asciiTheme="minorHAnsi" w:hAnsiTheme="minorHAnsi" w:cstheme="minorHAnsi"/>
          <w:szCs w:val="24"/>
        </w:rPr>
        <w:t xml:space="preserve">undertake the necessary private study required, or attend sufficient lectures or tutorials or meet other compulsory attendance requirements in order to meet their compulsory course </w:t>
      </w:r>
      <w:proofErr w:type="gramStart"/>
      <w:r w:rsidRPr="00324292">
        <w:rPr>
          <w:rFonts w:asciiTheme="minorHAnsi" w:hAnsiTheme="minorHAnsi" w:cstheme="minorHAnsi"/>
          <w:szCs w:val="24"/>
        </w:rPr>
        <w:t>requirements;</w:t>
      </w:r>
      <w:proofErr w:type="gramEnd"/>
      <w:r w:rsidRPr="00324292">
        <w:rPr>
          <w:rFonts w:asciiTheme="minorHAnsi" w:hAnsiTheme="minorHAnsi" w:cstheme="minorHAnsi"/>
          <w:szCs w:val="24"/>
        </w:rPr>
        <w:t xml:space="preserve"> </w:t>
      </w:r>
    </w:p>
    <w:p w14:paraId="10BC40DF" w14:textId="77777777" w:rsidR="00A23332" w:rsidRPr="00324292" w:rsidRDefault="00A23332" w:rsidP="005965C6">
      <w:pPr>
        <w:pStyle w:val="ListParagraph"/>
        <w:numPr>
          <w:ilvl w:val="0"/>
          <w:numId w:val="15"/>
        </w:numPr>
        <w:spacing w:before="40" w:after="240"/>
        <w:rPr>
          <w:rFonts w:asciiTheme="minorHAnsi" w:hAnsiTheme="minorHAnsi" w:cstheme="minorHAnsi"/>
          <w:szCs w:val="24"/>
        </w:rPr>
      </w:pPr>
      <w:r w:rsidRPr="00324292">
        <w:rPr>
          <w:rFonts w:asciiTheme="minorHAnsi" w:hAnsiTheme="minorHAnsi" w:cstheme="minorHAnsi"/>
          <w:szCs w:val="24"/>
        </w:rPr>
        <w:t xml:space="preserve">complete the required assessable </w:t>
      </w:r>
      <w:proofErr w:type="gramStart"/>
      <w:r w:rsidRPr="00324292">
        <w:rPr>
          <w:rFonts w:asciiTheme="minorHAnsi" w:hAnsiTheme="minorHAnsi" w:cstheme="minorHAnsi"/>
          <w:szCs w:val="24"/>
        </w:rPr>
        <w:t>work;</w:t>
      </w:r>
      <w:proofErr w:type="gramEnd"/>
      <w:r w:rsidRPr="00324292">
        <w:rPr>
          <w:rFonts w:asciiTheme="minorHAnsi" w:hAnsiTheme="minorHAnsi" w:cstheme="minorHAnsi"/>
          <w:szCs w:val="24"/>
        </w:rPr>
        <w:t xml:space="preserve"> </w:t>
      </w:r>
    </w:p>
    <w:p w14:paraId="211153B3" w14:textId="77777777" w:rsidR="00A23332" w:rsidRPr="00324292" w:rsidRDefault="00A23332" w:rsidP="005965C6">
      <w:pPr>
        <w:pStyle w:val="ListParagraph"/>
        <w:numPr>
          <w:ilvl w:val="0"/>
          <w:numId w:val="15"/>
        </w:numPr>
        <w:spacing w:before="40" w:after="240"/>
        <w:rPr>
          <w:rFonts w:asciiTheme="minorHAnsi" w:hAnsiTheme="minorHAnsi" w:cstheme="minorHAnsi"/>
          <w:szCs w:val="24"/>
        </w:rPr>
      </w:pPr>
      <w:r w:rsidRPr="00324292">
        <w:rPr>
          <w:rFonts w:asciiTheme="minorHAnsi" w:hAnsiTheme="minorHAnsi" w:cstheme="minorHAnsi"/>
          <w:szCs w:val="24"/>
        </w:rPr>
        <w:t>sit the required examinations; or</w:t>
      </w:r>
    </w:p>
    <w:p w14:paraId="2AB55D93" w14:textId="16F986D0" w:rsidR="00756D99" w:rsidRPr="00324292" w:rsidRDefault="00A23332" w:rsidP="005965C6">
      <w:pPr>
        <w:pStyle w:val="ListParagraph"/>
        <w:numPr>
          <w:ilvl w:val="0"/>
          <w:numId w:val="15"/>
        </w:numPr>
        <w:spacing w:before="40" w:after="240"/>
        <w:rPr>
          <w:rFonts w:asciiTheme="minorHAnsi" w:hAnsiTheme="minorHAnsi" w:cstheme="minorHAnsi"/>
          <w:szCs w:val="24"/>
        </w:rPr>
      </w:pPr>
      <w:r w:rsidRPr="00324292">
        <w:rPr>
          <w:rFonts w:asciiTheme="minorHAnsi" w:hAnsiTheme="minorHAnsi" w:cstheme="minorHAnsi"/>
          <w:szCs w:val="24"/>
        </w:rPr>
        <w:t>complete any other course requirements because of the inability referred to in paragraphs (a), (b) and (c).</w:t>
      </w:r>
      <w:bookmarkStart w:id="6" w:name="_Toc23942243"/>
      <w:bookmarkEnd w:id="3"/>
      <w:bookmarkEnd w:id="6"/>
    </w:p>
    <w:sectPr w:rsidR="00756D99" w:rsidRPr="003242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16B88" w14:textId="77777777" w:rsidR="00A72F5D" w:rsidRDefault="00A72F5D" w:rsidP="00783FAB">
      <w:pPr>
        <w:spacing w:after="0" w:line="240" w:lineRule="auto"/>
      </w:pPr>
      <w:r>
        <w:separator/>
      </w:r>
    </w:p>
  </w:endnote>
  <w:endnote w:type="continuationSeparator" w:id="0">
    <w:p w14:paraId="1C46D9FF" w14:textId="77777777" w:rsidR="00A72F5D" w:rsidRDefault="00A72F5D" w:rsidP="00783FAB">
      <w:pPr>
        <w:spacing w:after="0" w:line="240" w:lineRule="auto"/>
      </w:pPr>
      <w:r>
        <w:continuationSeparator/>
      </w:r>
    </w:p>
  </w:endnote>
  <w:endnote w:type="continuationNotice" w:id="1">
    <w:p w14:paraId="745DEA7D" w14:textId="77777777" w:rsidR="00A72F5D" w:rsidRDefault="00A72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A063F" w14:textId="77777777" w:rsidR="00A72F5D" w:rsidRDefault="00A72F5D" w:rsidP="00783FAB">
      <w:pPr>
        <w:spacing w:after="0" w:line="240" w:lineRule="auto"/>
      </w:pPr>
      <w:r>
        <w:separator/>
      </w:r>
    </w:p>
  </w:footnote>
  <w:footnote w:type="continuationSeparator" w:id="0">
    <w:p w14:paraId="15F6709E" w14:textId="77777777" w:rsidR="00A72F5D" w:rsidRDefault="00A72F5D" w:rsidP="00783FAB">
      <w:pPr>
        <w:spacing w:after="0" w:line="240" w:lineRule="auto"/>
      </w:pPr>
      <w:r>
        <w:continuationSeparator/>
      </w:r>
    </w:p>
  </w:footnote>
  <w:footnote w:type="continuationNotice" w:id="1">
    <w:p w14:paraId="1D770BAD" w14:textId="77777777" w:rsidR="00A72F5D" w:rsidRDefault="00A72F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0C6"/>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590BF9"/>
    <w:multiLevelType w:val="hybridMultilevel"/>
    <w:tmpl w:val="FCC01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916F4"/>
    <w:multiLevelType w:val="hybridMultilevel"/>
    <w:tmpl w:val="69E61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A0ACD"/>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4D7DA3"/>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3C3D51"/>
    <w:multiLevelType w:val="hybridMultilevel"/>
    <w:tmpl w:val="1B54AAA0"/>
    <w:lvl w:ilvl="0" w:tplc="AA423DD8">
      <w:start w:val="1"/>
      <w:numFmt w:val="bullet"/>
      <w:pStyle w:val="ECPointSubDot"/>
      <w:lvlText w:val=""/>
      <w:lvlJc w:val="left"/>
      <w:pPr>
        <w:ind w:left="873" w:hanging="360"/>
      </w:pPr>
      <w:rPr>
        <w:rFonts w:ascii="Symbol" w:hAnsi="Symbol" w:hint="default"/>
      </w:rPr>
    </w:lvl>
    <w:lvl w:ilvl="1" w:tplc="D2C8D160" w:tentative="1">
      <w:start w:val="1"/>
      <w:numFmt w:val="bullet"/>
      <w:lvlText w:val="o"/>
      <w:lvlJc w:val="left"/>
      <w:pPr>
        <w:ind w:left="1593" w:hanging="360"/>
      </w:pPr>
      <w:rPr>
        <w:rFonts w:ascii="Courier New" w:hAnsi="Courier New" w:cs="Courier New" w:hint="default"/>
      </w:rPr>
    </w:lvl>
    <w:lvl w:ilvl="2" w:tplc="0F742C42" w:tentative="1">
      <w:start w:val="1"/>
      <w:numFmt w:val="bullet"/>
      <w:lvlText w:val=""/>
      <w:lvlJc w:val="left"/>
      <w:pPr>
        <w:ind w:left="2313" w:hanging="360"/>
      </w:pPr>
      <w:rPr>
        <w:rFonts w:ascii="Wingdings" w:hAnsi="Wingdings" w:hint="default"/>
      </w:rPr>
    </w:lvl>
    <w:lvl w:ilvl="3" w:tplc="3EC8C928" w:tentative="1">
      <w:start w:val="1"/>
      <w:numFmt w:val="bullet"/>
      <w:lvlText w:val=""/>
      <w:lvlJc w:val="left"/>
      <w:pPr>
        <w:ind w:left="3033" w:hanging="360"/>
      </w:pPr>
      <w:rPr>
        <w:rFonts w:ascii="Symbol" w:hAnsi="Symbol" w:hint="default"/>
      </w:rPr>
    </w:lvl>
    <w:lvl w:ilvl="4" w:tplc="AA46B90C" w:tentative="1">
      <w:start w:val="1"/>
      <w:numFmt w:val="bullet"/>
      <w:lvlText w:val="o"/>
      <w:lvlJc w:val="left"/>
      <w:pPr>
        <w:ind w:left="3753" w:hanging="360"/>
      </w:pPr>
      <w:rPr>
        <w:rFonts w:ascii="Courier New" w:hAnsi="Courier New" w:cs="Courier New" w:hint="default"/>
      </w:rPr>
    </w:lvl>
    <w:lvl w:ilvl="5" w:tplc="9306B358" w:tentative="1">
      <w:start w:val="1"/>
      <w:numFmt w:val="bullet"/>
      <w:lvlText w:val=""/>
      <w:lvlJc w:val="left"/>
      <w:pPr>
        <w:ind w:left="4473" w:hanging="360"/>
      </w:pPr>
      <w:rPr>
        <w:rFonts w:ascii="Wingdings" w:hAnsi="Wingdings" w:hint="default"/>
      </w:rPr>
    </w:lvl>
    <w:lvl w:ilvl="6" w:tplc="C2B8A1E8" w:tentative="1">
      <w:start w:val="1"/>
      <w:numFmt w:val="bullet"/>
      <w:lvlText w:val=""/>
      <w:lvlJc w:val="left"/>
      <w:pPr>
        <w:ind w:left="5193" w:hanging="360"/>
      </w:pPr>
      <w:rPr>
        <w:rFonts w:ascii="Symbol" w:hAnsi="Symbol" w:hint="default"/>
      </w:rPr>
    </w:lvl>
    <w:lvl w:ilvl="7" w:tplc="E20205A2" w:tentative="1">
      <w:start w:val="1"/>
      <w:numFmt w:val="bullet"/>
      <w:lvlText w:val="o"/>
      <w:lvlJc w:val="left"/>
      <w:pPr>
        <w:ind w:left="5913" w:hanging="360"/>
      </w:pPr>
      <w:rPr>
        <w:rFonts w:ascii="Courier New" w:hAnsi="Courier New" w:cs="Courier New" w:hint="default"/>
      </w:rPr>
    </w:lvl>
    <w:lvl w:ilvl="8" w:tplc="7D9AE7E2" w:tentative="1">
      <w:start w:val="1"/>
      <w:numFmt w:val="bullet"/>
      <w:lvlText w:val=""/>
      <w:lvlJc w:val="left"/>
      <w:pPr>
        <w:ind w:left="6633" w:hanging="360"/>
      </w:pPr>
      <w:rPr>
        <w:rFonts w:ascii="Wingdings" w:hAnsi="Wingdings" w:hint="default"/>
      </w:rPr>
    </w:lvl>
  </w:abstractNum>
  <w:abstractNum w:abstractNumId="8" w15:restartNumberingAfterBreak="0">
    <w:nsid w:val="1E7C2B0A"/>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3E67BA"/>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11668D"/>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A50221"/>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7324D3"/>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32178F"/>
    <w:multiLevelType w:val="hybridMultilevel"/>
    <w:tmpl w:val="DEAAC2A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B9E3ACE"/>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C00D11"/>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104FCE"/>
    <w:multiLevelType w:val="hybridMultilevel"/>
    <w:tmpl w:val="1DE43CC4"/>
    <w:lvl w:ilvl="0" w:tplc="E6863F94">
      <w:start w:val="1"/>
      <w:numFmt w:val="decimal"/>
      <w:pStyle w:val="MBPoint"/>
      <w:lvlText w:val="%1."/>
      <w:lvlJc w:val="left"/>
      <w:pPr>
        <w:ind w:left="-207" w:hanging="360"/>
      </w:pPr>
      <w:rPr>
        <w:rFonts w:hint="default"/>
      </w:rPr>
    </w:lvl>
    <w:lvl w:ilvl="1" w:tplc="8F2E44A4">
      <w:start w:val="1"/>
      <w:numFmt w:val="lowerLetter"/>
      <w:pStyle w:val="MBPointSub"/>
      <w:lvlText w:val="%2."/>
      <w:lvlJc w:val="left"/>
      <w:pPr>
        <w:ind w:left="513" w:hanging="360"/>
      </w:pPr>
    </w:lvl>
    <w:lvl w:ilvl="2" w:tplc="CF84732A" w:tentative="1">
      <w:start w:val="1"/>
      <w:numFmt w:val="lowerRoman"/>
      <w:lvlText w:val="%3."/>
      <w:lvlJc w:val="right"/>
      <w:pPr>
        <w:ind w:left="1233" w:hanging="180"/>
      </w:pPr>
    </w:lvl>
    <w:lvl w:ilvl="3" w:tplc="7472C5B8" w:tentative="1">
      <w:start w:val="1"/>
      <w:numFmt w:val="decimal"/>
      <w:lvlText w:val="%4."/>
      <w:lvlJc w:val="left"/>
      <w:pPr>
        <w:ind w:left="1953" w:hanging="360"/>
      </w:pPr>
    </w:lvl>
    <w:lvl w:ilvl="4" w:tplc="9D9CF2E0" w:tentative="1">
      <w:start w:val="1"/>
      <w:numFmt w:val="lowerLetter"/>
      <w:lvlText w:val="%5."/>
      <w:lvlJc w:val="left"/>
      <w:pPr>
        <w:ind w:left="2673" w:hanging="360"/>
      </w:pPr>
    </w:lvl>
    <w:lvl w:ilvl="5" w:tplc="2FE6F8C8" w:tentative="1">
      <w:start w:val="1"/>
      <w:numFmt w:val="lowerRoman"/>
      <w:lvlText w:val="%6."/>
      <w:lvlJc w:val="right"/>
      <w:pPr>
        <w:ind w:left="3393" w:hanging="180"/>
      </w:pPr>
    </w:lvl>
    <w:lvl w:ilvl="6" w:tplc="D068A5FC" w:tentative="1">
      <w:start w:val="1"/>
      <w:numFmt w:val="decimal"/>
      <w:lvlText w:val="%7."/>
      <w:lvlJc w:val="left"/>
      <w:pPr>
        <w:ind w:left="4113" w:hanging="360"/>
      </w:pPr>
    </w:lvl>
    <w:lvl w:ilvl="7" w:tplc="4B4E6866" w:tentative="1">
      <w:start w:val="1"/>
      <w:numFmt w:val="lowerLetter"/>
      <w:lvlText w:val="%8."/>
      <w:lvlJc w:val="left"/>
      <w:pPr>
        <w:ind w:left="4833" w:hanging="360"/>
      </w:pPr>
    </w:lvl>
    <w:lvl w:ilvl="8" w:tplc="A48C2552" w:tentative="1">
      <w:start w:val="1"/>
      <w:numFmt w:val="lowerRoman"/>
      <w:lvlText w:val="%9."/>
      <w:lvlJc w:val="right"/>
      <w:pPr>
        <w:ind w:left="5553" w:hanging="180"/>
      </w:pPr>
    </w:lvl>
  </w:abstractNum>
  <w:abstractNum w:abstractNumId="17" w15:restartNumberingAfterBreak="0">
    <w:nsid w:val="652B7613"/>
    <w:multiLevelType w:val="hybridMultilevel"/>
    <w:tmpl w:val="4AC83302"/>
    <w:lvl w:ilvl="0" w:tplc="1936AE7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C940F9"/>
    <w:multiLevelType w:val="multilevel"/>
    <w:tmpl w:val="8488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85D89"/>
    <w:multiLevelType w:val="hybridMultilevel"/>
    <w:tmpl w:val="EFBC7E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5"/>
  </w:num>
  <w:num w:numId="4">
    <w:abstractNumId w:val="18"/>
  </w:num>
  <w:num w:numId="5">
    <w:abstractNumId w:val="3"/>
  </w:num>
  <w:num w:numId="6">
    <w:abstractNumId w:val="8"/>
  </w:num>
  <w:num w:numId="7">
    <w:abstractNumId w:val="17"/>
  </w:num>
  <w:num w:numId="8">
    <w:abstractNumId w:val="15"/>
  </w:num>
  <w:num w:numId="9">
    <w:abstractNumId w:val="14"/>
  </w:num>
  <w:num w:numId="10">
    <w:abstractNumId w:val="0"/>
  </w:num>
  <w:num w:numId="11">
    <w:abstractNumId w:val="11"/>
  </w:num>
  <w:num w:numId="12">
    <w:abstractNumId w:val="6"/>
  </w:num>
  <w:num w:numId="13">
    <w:abstractNumId w:val="12"/>
  </w:num>
  <w:num w:numId="14">
    <w:abstractNumId w:val="10"/>
  </w:num>
  <w:num w:numId="15">
    <w:abstractNumId w:val="9"/>
  </w:num>
  <w:num w:numId="16">
    <w:abstractNumId w:val="19"/>
  </w:num>
  <w:num w:numId="17">
    <w:abstractNumId w:val="16"/>
  </w:num>
  <w:num w:numId="18">
    <w:abstractNumId w:val="7"/>
  </w:num>
  <w:num w:numId="19">
    <w:abstractNumId w:val="7"/>
  </w:num>
  <w:num w:numId="20">
    <w:abstractNumId w:val="13"/>
  </w:num>
  <w:num w:numId="21">
    <w:abstractNumId w:val="2"/>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E34"/>
    <w:rsid w:val="00000F56"/>
    <w:rsid w:val="00003184"/>
    <w:rsid w:val="000036EB"/>
    <w:rsid w:val="0000395C"/>
    <w:rsid w:val="00007CA7"/>
    <w:rsid w:val="00011E4D"/>
    <w:rsid w:val="000132B6"/>
    <w:rsid w:val="000138CF"/>
    <w:rsid w:val="000140D5"/>
    <w:rsid w:val="000146FA"/>
    <w:rsid w:val="0001554B"/>
    <w:rsid w:val="00016AFF"/>
    <w:rsid w:val="00017F54"/>
    <w:rsid w:val="000305EA"/>
    <w:rsid w:val="00031E3C"/>
    <w:rsid w:val="00032CB3"/>
    <w:rsid w:val="00036FAE"/>
    <w:rsid w:val="000370E4"/>
    <w:rsid w:val="00044508"/>
    <w:rsid w:val="00047668"/>
    <w:rsid w:val="00047A2A"/>
    <w:rsid w:val="0005020B"/>
    <w:rsid w:val="00057815"/>
    <w:rsid w:val="00057A1E"/>
    <w:rsid w:val="000614A1"/>
    <w:rsid w:val="00062794"/>
    <w:rsid w:val="000628DA"/>
    <w:rsid w:val="00063B88"/>
    <w:rsid w:val="0006484E"/>
    <w:rsid w:val="000668B0"/>
    <w:rsid w:val="00067A34"/>
    <w:rsid w:val="00074685"/>
    <w:rsid w:val="00076E76"/>
    <w:rsid w:val="00083F41"/>
    <w:rsid w:val="000846B7"/>
    <w:rsid w:val="000A2A28"/>
    <w:rsid w:val="000A2D3A"/>
    <w:rsid w:val="000A3124"/>
    <w:rsid w:val="000A35D6"/>
    <w:rsid w:val="000A59B9"/>
    <w:rsid w:val="000A6BB3"/>
    <w:rsid w:val="000B1BE1"/>
    <w:rsid w:val="000B3914"/>
    <w:rsid w:val="000B6430"/>
    <w:rsid w:val="000B6547"/>
    <w:rsid w:val="000C224C"/>
    <w:rsid w:val="000C34FD"/>
    <w:rsid w:val="000C4D6B"/>
    <w:rsid w:val="000D1472"/>
    <w:rsid w:val="000D5E6D"/>
    <w:rsid w:val="000E3516"/>
    <w:rsid w:val="000E57DB"/>
    <w:rsid w:val="000E6FD6"/>
    <w:rsid w:val="000F0E19"/>
    <w:rsid w:val="000F1811"/>
    <w:rsid w:val="000F371C"/>
    <w:rsid w:val="000F7A8C"/>
    <w:rsid w:val="00103015"/>
    <w:rsid w:val="00103253"/>
    <w:rsid w:val="001042BA"/>
    <w:rsid w:val="00120A34"/>
    <w:rsid w:val="00124260"/>
    <w:rsid w:val="00125A8E"/>
    <w:rsid w:val="00127CD8"/>
    <w:rsid w:val="001301AD"/>
    <w:rsid w:val="001334D9"/>
    <w:rsid w:val="0013647A"/>
    <w:rsid w:val="001377D9"/>
    <w:rsid w:val="00137ACD"/>
    <w:rsid w:val="00140DAD"/>
    <w:rsid w:val="00140E3D"/>
    <w:rsid w:val="001421FE"/>
    <w:rsid w:val="001437EA"/>
    <w:rsid w:val="00144950"/>
    <w:rsid w:val="00145BE1"/>
    <w:rsid w:val="0015276C"/>
    <w:rsid w:val="00152947"/>
    <w:rsid w:val="0015508C"/>
    <w:rsid w:val="00156116"/>
    <w:rsid w:val="001573FD"/>
    <w:rsid w:val="00160153"/>
    <w:rsid w:val="00161A1F"/>
    <w:rsid w:val="0017006A"/>
    <w:rsid w:val="00173A64"/>
    <w:rsid w:val="00173E0C"/>
    <w:rsid w:val="00185491"/>
    <w:rsid w:val="00195030"/>
    <w:rsid w:val="00197C3F"/>
    <w:rsid w:val="001A2B69"/>
    <w:rsid w:val="001A2FE9"/>
    <w:rsid w:val="001A4389"/>
    <w:rsid w:val="001A68B5"/>
    <w:rsid w:val="001B3C7A"/>
    <w:rsid w:val="001D00E3"/>
    <w:rsid w:val="001D0AF3"/>
    <w:rsid w:val="001D1D8A"/>
    <w:rsid w:val="001D1E8F"/>
    <w:rsid w:val="001D36EE"/>
    <w:rsid w:val="001E07CE"/>
    <w:rsid w:val="001E52EB"/>
    <w:rsid w:val="001E5A0B"/>
    <w:rsid w:val="001F127D"/>
    <w:rsid w:val="001F3626"/>
    <w:rsid w:val="001F3F00"/>
    <w:rsid w:val="001F7336"/>
    <w:rsid w:val="00200358"/>
    <w:rsid w:val="002005CD"/>
    <w:rsid w:val="00201F75"/>
    <w:rsid w:val="002023B0"/>
    <w:rsid w:val="00202EC1"/>
    <w:rsid w:val="00204283"/>
    <w:rsid w:val="00204EEF"/>
    <w:rsid w:val="00205DBD"/>
    <w:rsid w:val="00207297"/>
    <w:rsid w:val="0021337D"/>
    <w:rsid w:val="0021663E"/>
    <w:rsid w:val="00216A1C"/>
    <w:rsid w:val="00223F82"/>
    <w:rsid w:val="00224C52"/>
    <w:rsid w:val="00226847"/>
    <w:rsid w:val="00232304"/>
    <w:rsid w:val="002378EE"/>
    <w:rsid w:val="002445E3"/>
    <w:rsid w:val="00247EBF"/>
    <w:rsid w:val="00261499"/>
    <w:rsid w:val="002672A4"/>
    <w:rsid w:val="00270300"/>
    <w:rsid w:val="00272F48"/>
    <w:rsid w:val="002747E8"/>
    <w:rsid w:val="00274EEA"/>
    <w:rsid w:val="0027686D"/>
    <w:rsid w:val="002808A9"/>
    <w:rsid w:val="00284C9D"/>
    <w:rsid w:val="00292863"/>
    <w:rsid w:val="00294430"/>
    <w:rsid w:val="00296CA7"/>
    <w:rsid w:val="00296FAF"/>
    <w:rsid w:val="00297EAB"/>
    <w:rsid w:val="002A15F1"/>
    <w:rsid w:val="002A3D34"/>
    <w:rsid w:val="002A4961"/>
    <w:rsid w:val="002A530E"/>
    <w:rsid w:val="002B313C"/>
    <w:rsid w:val="002B5C28"/>
    <w:rsid w:val="002C1F84"/>
    <w:rsid w:val="002C1FEE"/>
    <w:rsid w:val="002C40FB"/>
    <w:rsid w:val="002D1504"/>
    <w:rsid w:val="002D564A"/>
    <w:rsid w:val="002D7154"/>
    <w:rsid w:val="002E12E6"/>
    <w:rsid w:val="002E2494"/>
    <w:rsid w:val="002F4E5D"/>
    <w:rsid w:val="002F76C6"/>
    <w:rsid w:val="00300ABC"/>
    <w:rsid w:val="00304A88"/>
    <w:rsid w:val="00304E64"/>
    <w:rsid w:val="00307358"/>
    <w:rsid w:val="0031070C"/>
    <w:rsid w:val="00313612"/>
    <w:rsid w:val="0031399E"/>
    <w:rsid w:val="00316053"/>
    <w:rsid w:val="0031608C"/>
    <w:rsid w:val="003170AC"/>
    <w:rsid w:val="00320CFB"/>
    <w:rsid w:val="00324292"/>
    <w:rsid w:val="00326C24"/>
    <w:rsid w:val="0033070E"/>
    <w:rsid w:val="003440C7"/>
    <w:rsid w:val="00350779"/>
    <w:rsid w:val="00353D81"/>
    <w:rsid w:val="00354743"/>
    <w:rsid w:val="003617EE"/>
    <w:rsid w:val="00365D2C"/>
    <w:rsid w:val="00367C2D"/>
    <w:rsid w:val="0037028F"/>
    <w:rsid w:val="003719BF"/>
    <w:rsid w:val="00375010"/>
    <w:rsid w:val="0037728A"/>
    <w:rsid w:val="00377427"/>
    <w:rsid w:val="00386885"/>
    <w:rsid w:val="00386B68"/>
    <w:rsid w:val="00386E17"/>
    <w:rsid w:val="0038758C"/>
    <w:rsid w:val="003913F1"/>
    <w:rsid w:val="00393A61"/>
    <w:rsid w:val="00394454"/>
    <w:rsid w:val="00395655"/>
    <w:rsid w:val="003A0965"/>
    <w:rsid w:val="003A373E"/>
    <w:rsid w:val="003A3D0E"/>
    <w:rsid w:val="003A4424"/>
    <w:rsid w:val="003A4A25"/>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3F5211"/>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034A"/>
    <w:rsid w:val="00442351"/>
    <w:rsid w:val="00442422"/>
    <w:rsid w:val="00445460"/>
    <w:rsid w:val="00446B03"/>
    <w:rsid w:val="0044797F"/>
    <w:rsid w:val="0045044C"/>
    <w:rsid w:val="00454C8E"/>
    <w:rsid w:val="00455C2A"/>
    <w:rsid w:val="00464CDF"/>
    <w:rsid w:val="0047199D"/>
    <w:rsid w:val="00472F61"/>
    <w:rsid w:val="00481DE1"/>
    <w:rsid w:val="00484DBC"/>
    <w:rsid w:val="00490BA0"/>
    <w:rsid w:val="00494834"/>
    <w:rsid w:val="0049486C"/>
    <w:rsid w:val="004A2F70"/>
    <w:rsid w:val="004A409F"/>
    <w:rsid w:val="004A48D9"/>
    <w:rsid w:val="004A6B2D"/>
    <w:rsid w:val="004B2C3F"/>
    <w:rsid w:val="004B3A13"/>
    <w:rsid w:val="004D5695"/>
    <w:rsid w:val="004D665B"/>
    <w:rsid w:val="004D7B86"/>
    <w:rsid w:val="004E092B"/>
    <w:rsid w:val="004E1017"/>
    <w:rsid w:val="004E6EC6"/>
    <w:rsid w:val="004F53E6"/>
    <w:rsid w:val="004F54FF"/>
    <w:rsid w:val="0050158D"/>
    <w:rsid w:val="00502406"/>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C30"/>
    <w:rsid w:val="005812FF"/>
    <w:rsid w:val="005819C8"/>
    <w:rsid w:val="0058207F"/>
    <w:rsid w:val="0058422E"/>
    <w:rsid w:val="00584B84"/>
    <w:rsid w:val="00585B24"/>
    <w:rsid w:val="005905A0"/>
    <w:rsid w:val="00591EC0"/>
    <w:rsid w:val="005965C6"/>
    <w:rsid w:val="00597535"/>
    <w:rsid w:val="005A255F"/>
    <w:rsid w:val="005A54B4"/>
    <w:rsid w:val="005A7050"/>
    <w:rsid w:val="005B3CBC"/>
    <w:rsid w:val="005B510A"/>
    <w:rsid w:val="005C0740"/>
    <w:rsid w:val="005C183E"/>
    <w:rsid w:val="005C18D0"/>
    <w:rsid w:val="005E2026"/>
    <w:rsid w:val="005E5508"/>
    <w:rsid w:val="005F4914"/>
    <w:rsid w:val="005F5DF6"/>
    <w:rsid w:val="005F5FA1"/>
    <w:rsid w:val="005F7D42"/>
    <w:rsid w:val="0060088C"/>
    <w:rsid w:val="00604F05"/>
    <w:rsid w:val="00607F73"/>
    <w:rsid w:val="00610EEF"/>
    <w:rsid w:val="00611D31"/>
    <w:rsid w:val="006202A1"/>
    <w:rsid w:val="0062319E"/>
    <w:rsid w:val="00625432"/>
    <w:rsid w:val="00626E42"/>
    <w:rsid w:val="00627EDA"/>
    <w:rsid w:val="00636200"/>
    <w:rsid w:val="00644232"/>
    <w:rsid w:val="00645DC7"/>
    <w:rsid w:val="00646FE0"/>
    <w:rsid w:val="0064724F"/>
    <w:rsid w:val="006500EB"/>
    <w:rsid w:val="006507CB"/>
    <w:rsid w:val="00651D68"/>
    <w:rsid w:val="00652D30"/>
    <w:rsid w:val="00653A42"/>
    <w:rsid w:val="00656314"/>
    <w:rsid w:val="00661BE8"/>
    <w:rsid w:val="00667B6F"/>
    <w:rsid w:val="00667F82"/>
    <w:rsid w:val="006700AA"/>
    <w:rsid w:val="0067193A"/>
    <w:rsid w:val="00677A0D"/>
    <w:rsid w:val="00677CB0"/>
    <w:rsid w:val="00683087"/>
    <w:rsid w:val="00685653"/>
    <w:rsid w:val="006930D1"/>
    <w:rsid w:val="006931AD"/>
    <w:rsid w:val="00693958"/>
    <w:rsid w:val="006940BB"/>
    <w:rsid w:val="00696B7A"/>
    <w:rsid w:val="00696CF0"/>
    <w:rsid w:val="00697001"/>
    <w:rsid w:val="006A1788"/>
    <w:rsid w:val="006A666D"/>
    <w:rsid w:val="006B2D99"/>
    <w:rsid w:val="006B6E38"/>
    <w:rsid w:val="006B75C4"/>
    <w:rsid w:val="006C763B"/>
    <w:rsid w:val="006C7EFF"/>
    <w:rsid w:val="006D58E2"/>
    <w:rsid w:val="006D7B6B"/>
    <w:rsid w:val="006E3838"/>
    <w:rsid w:val="006E3C40"/>
    <w:rsid w:val="006E43E1"/>
    <w:rsid w:val="006E7699"/>
    <w:rsid w:val="006F27AC"/>
    <w:rsid w:val="006F3E5C"/>
    <w:rsid w:val="006F627D"/>
    <w:rsid w:val="00701CB8"/>
    <w:rsid w:val="00701E47"/>
    <w:rsid w:val="00707E57"/>
    <w:rsid w:val="00707F49"/>
    <w:rsid w:val="007103B5"/>
    <w:rsid w:val="007213BB"/>
    <w:rsid w:val="0072758F"/>
    <w:rsid w:val="007314EF"/>
    <w:rsid w:val="0073763E"/>
    <w:rsid w:val="00737E8D"/>
    <w:rsid w:val="007452A0"/>
    <w:rsid w:val="00745FCA"/>
    <w:rsid w:val="00747943"/>
    <w:rsid w:val="00752BD5"/>
    <w:rsid w:val="00753090"/>
    <w:rsid w:val="0075573F"/>
    <w:rsid w:val="007558E1"/>
    <w:rsid w:val="00756861"/>
    <w:rsid w:val="00756D99"/>
    <w:rsid w:val="00756F20"/>
    <w:rsid w:val="00760772"/>
    <w:rsid w:val="00760DDE"/>
    <w:rsid w:val="007620AE"/>
    <w:rsid w:val="00772715"/>
    <w:rsid w:val="0077536C"/>
    <w:rsid w:val="0077557B"/>
    <w:rsid w:val="00782538"/>
    <w:rsid w:val="007828DD"/>
    <w:rsid w:val="00783FAB"/>
    <w:rsid w:val="00785B13"/>
    <w:rsid w:val="00787A10"/>
    <w:rsid w:val="00791AAC"/>
    <w:rsid w:val="00794008"/>
    <w:rsid w:val="00795969"/>
    <w:rsid w:val="007A19B6"/>
    <w:rsid w:val="007A6AF0"/>
    <w:rsid w:val="007B44CD"/>
    <w:rsid w:val="007B4836"/>
    <w:rsid w:val="007C5020"/>
    <w:rsid w:val="007D129F"/>
    <w:rsid w:val="007D12B2"/>
    <w:rsid w:val="007D1F16"/>
    <w:rsid w:val="007D2EE1"/>
    <w:rsid w:val="007D4E08"/>
    <w:rsid w:val="007E00A8"/>
    <w:rsid w:val="007E1103"/>
    <w:rsid w:val="007E16D6"/>
    <w:rsid w:val="007E2197"/>
    <w:rsid w:val="007E3446"/>
    <w:rsid w:val="007E3447"/>
    <w:rsid w:val="007E36E5"/>
    <w:rsid w:val="007E6EC6"/>
    <w:rsid w:val="007E7901"/>
    <w:rsid w:val="007F563E"/>
    <w:rsid w:val="00803447"/>
    <w:rsid w:val="008035CF"/>
    <w:rsid w:val="0080584E"/>
    <w:rsid w:val="00805FEB"/>
    <w:rsid w:val="0081103E"/>
    <w:rsid w:val="00811E34"/>
    <w:rsid w:val="00812C37"/>
    <w:rsid w:val="008134D5"/>
    <w:rsid w:val="00813A38"/>
    <w:rsid w:val="00820B54"/>
    <w:rsid w:val="00823B66"/>
    <w:rsid w:val="00824A98"/>
    <w:rsid w:val="00830807"/>
    <w:rsid w:val="008310AA"/>
    <w:rsid w:val="00834114"/>
    <w:rsid w:val="00835F1C"/>
    <w:rsid w:val="00844D23"/>
    <w:rsid w:val="008517D8"/>
    <w:rsid w:val="00855239"/>
    <w:rsid w:val="00855E53"/>
    <w:rsid w:val="00856BC4"/>
    <w:rsid w:val="00857AAE"/>
    <w:rsid w:val="00862749"/>
    <w:rsid w:val="00867101"/>
    <w:rsid w:val="0087284B"/>
    <w:rsid w:val="008755D8"/>
    <w:rsid w:val="00877896"/>
    <w:rsid w:val="0088497A"/>
    <w:rsid w:val="0088724B"/>
    <w:rsid w:val="008A1F97"/>
    <w:rsid w:val="008A6224"/>
    <w:rsid w:val="008B44DA"/>
    <w:rsid w:val="008B478B"/>
    <w:rsid w:val="008B61B7"/>
    <w:rsid w:val="008C48EF"/>
    <w:rsid w:val="008C497B"/>
    <w:rsid w:val="008C76FD"/>
    <w:rsid w:val="008D72EA"/>
    <w:rsid w:val="008D7625"/>
    <w:rsid w:val="008E30D6"/>
    <w:rsid w:val="008E30D9"/>
    <w:rsid w:val="008E68D3"/>
    <w:rsid w:val="008E79DF"/>
    <w:rsid w:val="008F002D"/>
    <w:rsid w:val="008F082B"/>
    <w:rsid w:val="008F1EB6"/>
    <w:rsid w:val="008F43E8"/>
    <w:rsid w:val="008F4C91"/>
    <w:rsid w:val="00902A26"/>
    <w:rsid w:val="00903257"/>
    <w:rsid w:val="009048A2"/>
    <w:rsid w:val="00905C61"/>
    <w:rsid w:val="00907D61"/>
    <w:rsid w:val="00910064"/>
    <w:rsid w:val="009114DC"/>
    <w:rsid w:val="00911D92"/>
    <w:rsid w:val="009121D3"/>
    <w:rsid w:val="009130A7"/>
    <w:rsid w:val="009176F5"/>
    <w:rsid w:val="00933AD6"/>
    <w:rsid w:val="009421AA"/>
    <w:rsid w:val="0094476A"/>
    <w:rsid w:val="009472E0"/>
    <w:rsid w:val="0094774B"/>
    <w:rsid w:val="00970AAB"/>
    <w:rsid w:val="00974504"/>
    <w:rsid w:val="00975A4A"/>
    <w:rsid w:val="00976413"/>
    <w:rsid w:val="009767B4"/>
    <w:rsid w:val="00977D37"/>
    <w:rsid w:val="009807AE"/>
    <w:rsid w:val="00981808"/>
    <w:rsid w:val="00990334"/>
    <w:rsid w:val="00991158"/>
    <w:rsid w:val="0099199E"/>
    <w:rsid w:val="009958B4"/>
    <w:rsid w:val="00995C44"/>
    <w:rsid w:val="009A04A5"/>
    <w:rsid w:val="009A35A0"/>
    <w:rsid w:val="009A5CE0"/>
    <w:rsid w:val="009A7CFA"/>
    <w:rsid w:val="009B0C51"/>
    <w:rsid w:val="009B2183"/>
    <w:rsid w:val="009B29AC"/>
    <w:rsid w:val="009B4B7F"/>
    <w:rsid w:val="009B5431"/>
    <w:rsid w:val="009C0CF2"/>
    <w:rsid w:val="009C0F35"/>
    <w:rsid w:val="009C10C1"/>
    <w:rsid w:val="009C22F4"/>
    <w:rsid w:val="009C4F55"/>
    <w:rsid w:val="009C5E5D"/>
    <w:rsid w:val="009D23FB"/>
    <w:rsid w:val="009D5F31"/>
    <w:rsid w:val="009D65FB"/>
    <w:rsid w:val="009D7562"/>
    <w:rsid w:val="009E0803"/>
    <w:rsid w:val="009E14E7"/>
    <w:rsid w:val="009E7C1C"/>
    <w:rsid w:val="009F13BF"/>
    <w:rsid w:val="009F1C0D"/>
    <w:rsid w:val="009F1D34"/>
    <w:rsid w:val="009F4C47"/>
    <w:rsid w:val="009F528F"/>
    <w:rsid w:val="009F676C"/>
    <w:rsid w:val="009F6AC9"/>
    <w:rsid w:val="00A105DA"/>
    <w:rsid w:val="00A114FC"/>
    <w:rsid w:val="00A20031"/>
    <w:rsid w:val="00A202D5"/>
    <w:rsid w:val="00A23332"/>
    <w:rsid w:val="00A23CDC"/>
    <w:rsid w:val="00A24596"/>
    <w:rsid w:val="00A24B24"/>
    <w:rsid w:val="00A25E6C"/>
    <w:rsid w:val="00A27F1B"/>
    <w:rsid w:val="00A3747B"/>
    <w:rsid w:val="00A40E3D"/>
    <w:rsid w:val="00A40EA6"/>
    <w:rsid w:val="00A448F9"/>
    <w:rsid w:val="00A47C4E"/>
    <w:rsid w:val="00A52753"/>
    <w:rsid w:val="00A5429E"/>
    <w:rsid w:val="00A550E8"/>
    <w:rsid w:val="00A556D1"/>
    <w:rsid w:val="00A55F1A"/>
    <w:rsid w:val="00A56E8B"/>
    <w:rsid w:val="00A71133"/>
    <w:rsid w:val="00A7209C"/>
    <w:rsid w:val="00A72F5D"/>
    <w:rsid w:val="00A761C7"/>
    <w:rsid w:val="00A77D42"/>
    <w:rsid w:val="00A82E17"/>
    <w:rsid w:val="00A82EFE"/>
    <w:rsid w:val="00A85075"/>
    <w:rsid w:val="00A90245"/>
    <w:rsid w:val="00A93F1F"/>
    <w:rsid w:val="00AA12F7"/>
    <w:rsid w:val="00AA3173"/>
    <w:rsid w:val="00AA3A3E"/>
    <w:rsid w:val="00AA7F9B"/>
    <w:rsid w:val="00AB19B6"/>
    <w:rsid w:val="00AB2732"/>
    <w:rsid w:val="00AC4C0F"/>
    <w:rsid w:val="00AC6ABA"/>
    <w:rsid w:val="00AD1C80"/>
    <w:rsid w:val="00AD2E24"/>
    <w:rsid w:val="00AD3693"/>
    <w:rsid w:val="00AD5627"/>
    <w:rsid w:val="00AD65C9"/>
    <w:rsid w:val="00AD6639"/>
    <w:rsid w:val="00AE4A25"/>
    <w:rsid w:val="00AE5CCB"/>
    <w:rsid w:val="00AE7179"/>
    <w:rsid w:val="00AF134E"/>
    <w:rsid w:val="00AF58D0"/>
    <w:rsid w:val="00AF6215"/>
    <w:rsid w:val="00AF6F6E"/>
    <w:rsid w:val="00B00A18"/>
    <w:rsid w:val="00B11323"/>
    <w:rsid w:val="00B13301"/>
    <w:rsid w:val="00B13A2F"/>
    <w:rsid w:val="00B145D2"/>
    <w:rsid w:val="00B178D3"/>
    <w:rsid w:val="00B22F73"/>
    <w:rsid w:val="00B25474"/>
    <w:rsid w:val="00B30756"/>
    <w:rsid w:val="00B339F8"/>
    <w:rsid w:val="00B4065C"/>
    <w:rsid w:val="00B43512"/>
    <w:rsid w:val="00B52CD8"/>
    <w:rsid w:val="00B5624C"/>
    <w:rsid w:val="00B604EB"/>
    <w:rsid w:val="00B60F4B"/>
    <w:rsid w:val="00B6108C"/>
    <w:rsid w:val="00B6465F"/>
    <w:rsid w:val="00B67F7B"/>
    <w:rsid w:val="00B739E2"/>
    <w:rsid w:val="00B8151D"/>
    <w:rsid w:val="00B819AA"/>
    <w:rsid w:val="00B86EDE"/>
    <w:rsid w:val="00BA54AA"/>
    <w:rsid w:val="00BB2109"/>
    <w:rsid w:val="00BB2C6B"/>
    <w:rsid w:val="00BB38D4"/>
    <w:rsid w:val="00BB4D85"/>
    <w:rsid w:val="00BB61E4"/>
    <w:rsid w:val="00BB631E"/>
    <w:rsid w:val="00BB71A8"/>
    <w:rsid w:val="00BB748B"/>
    <w:rsid w:val="00BC4BD5"/>
    <w:rsid w:val="00BC50A3"/>
    <w:rsid w:val="00BD41D4"/>
    <w:rsid w:val="00BD465A"/>
    <w:rsid w:val="00BD47A9"/>
    <w:rsid w:val="00BD5316"/>
    <w:rsid w:val="00BD5A86"/>
    <w:rsid w:val="00BD6AC2"/>
    <w:rsid w:val="00BE214C"/>
    <w:rsid w:val="00BE68F9"/>
    <w:rsid w:val="00BF2A9B"/>
    <w:rsid w:val="00BF3DAE"/>
    <w:rsid w:val="00C01F1F"/>
    <w:rsid w:val="00C02595"/>
    <w:rsid w:val="00C12197"/>
    <w:rsid w:val="00C1330A"/>
    <w:rsid w:val="00C145EB"/>
    <w:rsid w:val="00C15C07"/>
    <w:rsid w:val="00C22C5D"/>
    <w:rsid w:val="00C2416A"/>
    <w:rsid w:val="00C30E45"/>
    <w:rsid w:val="00C325A5"/>
    <w:rsid w:val="00C36A15"/>
    <w:rsid w:val="00C3701B"/>
    <w:rsid w:val="00C37043"/>
    <w:rsid w:val="00C4300F"/>
    <w:rsid w:val="00C45661"/>
    <w:rsid w:val="00C5010C"/>
    <w:rsid w:val="00C546BD"/>
    <w:rsid w:val="00C62BC1"/>
    <w:rsid w:val="00C64879"/>
    <w:rsid w:val="00C64DD4"/>
    <w:rsid w:val="00C66953"/>
    <w:rsid w:val="00C712EA"/>
    <w:rsid w:val="00C73133"/>
    <w:rsid w:val="00C731FA"/>
    <w:rsid w:val="00C7617C"/>
    <w:rsid w:val="00C82C91"/>
    <w:rsid w:val="00C846A2"/>
    <w:rsid w:val="00C85550"/>
    <w:rsid w:val="00C90EFC"/>
    <w:rsid w:val="00C90FC4"/>
    <w:rsid w:val="00C954B7"/>
    <w:rsid w:val="00C9591A"/>
    <w:rsid w:val="00CA46AC"/>
    <w:rsid w:val="00CA4F71"/>
    <w:rsid w:val="00CB060B"/>
    <w:rsid w:val="00CB337B"/>
    <w:rsid w:val="00CB45D5"/>
    <w:rsid w:val="00CB7A83"/>
    <w:rsid w:val="00CC3AE0"/>
    <w:rsid w:val="00CC3C0B"/>
    <w:rsid w:val="00CC3CD3"/>
    <w:rsid w:val="00CC4C6D"/>
    <w:rsid w:val="00CC5798"/>
    <w:rsid w:val="00CD20F8"/>
    <w:rsid w:val="00CD3705"/>
    <w:rsid w:val="00CD6E72"/>
    <w:rsid w:val="00CE3EA5"/>
    <w:rsid w:val="00CE7136"/>
    <w:rsid w:val="00CF1C96"/>
    <w:rsid w:val="00CF5A8C"/>
    <w:rsid w:val="00D010D3"/>
    <w:rsid w:val="00D01740"/>
    <w:rsid w:val="00D05A8C"/>
    <w:rsid w:val="00D119DD"/>
    <w:rsid w:val="00D14A9D"/>
    <w:rsid w:val="00D17A67"/>
    <w:rsid w:val="00D17FC6"/>
    <w:rsid w:val="00D217D1"/>
    <w:rsid w:val="00D2517F"/>
    <w:rsid w:val="00D2699C"/>
    <w:rsid w:val="00D26F99"/>
    <w:rsid w:val="00D32198"/>
    <w:rsid w:val="00D334C7"/>
    <w:rsid w:val="00D3758C"/>
    <w:rsid w:val="00D44CDF"/>
    <w:rsid w:val="00D46134"/>
    <w:rsid w:val="00D468A9"/>
    <w:rsid w:val="00D50946"/>
    <w:rsid w:val="00D5387E"/>
    <w:rsid w:val="00D55CAB"/>
    <w:rsid w:val="00D56A3B"/>
    <w:rsid w:val="00D61A73"/>
    <w:rsid w:val="00D63270"/>
    <w:rsid w:val="00D633BA"/>
    <w:rsid w:val="00D63CDD"/>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4DB5"/>
    <w:rsid w:val="00DB6247"/>
    <w:rsid w:val="00DC3E8C"/>
    <w:rsid w:val="00DC4B5E"/>
    <w:rsid w:val="00DD1234"/>
    <w:rsid w:val="00DD38E8"/>
    <w:rsid w:val="00DD408F"/>
    <w:rsid w:val="00DD5441"/>
    <w:rsid w:val="00DD5F43"/>
    <w:rsid w:val="00DD651A"/>
    <w:rsid w:val="00DD7496"/>
    <w:rsid w:val="00DD7B03"/>
    <w:rsid w:val="00DE02BB"/>
    <w:rsid w:val="00DE5F92"/>
    <w:rsid w:val="00DE715E"/>
    <w:rsid w:val="00DE7C37"/>
    <w:rsid w:val="00DF13F3"/>
    <w:rsid w:val="00DF35C4"/>
    <w:rsid w:val="00DF3683"/>
    <w:rsid w:val="00DF46B2"/>
    <w:rsid w:val="00DF61B7"/>
    <w:rsid w:val="00E01C32"/>
    <w:rsid w:val="00E01F85"/>
    <w:rsid w:val="00E1257E"/>
    <w:rsid w:val="00E24E50"/>
    <w:rsid w:val="00E251EE"/>
    <w:rsid w:val="00E302D5"/>
    <w:rsid w:val="00E33927"/>
    <w:rsid w:val="00E33FED"/>
    <w:rsid w:val="00E43542"/>
    <w:rsid w:val="00E5541C"/>
    <w:rsid w:val="00E55D04"/>
    <w:rsid w:val="00E57556"/>
    <w:rsid w:val="00E60A2A"/>
    <w:rsid w:val="00E62C51"/>
    <w:rsid w:val="00E631F9"/>
    <w:rsid w:val="00E63F31"/>
    <w:rsid w:val="00E659E8"/>
    <w:rsid w:val="00E662FD"/>
    <w:rsid w:val="00E72FD0"/>
    <w:rsid w:val="00E757D0"/>
    <w:rsid w:val="00E767BE"/>
    <w:rsid w:val="00E8671C"/>
    <w:rsid w:val="00E87F96"/>
    <w:rsid w:val="00E90298"/>
    <w:rsid w:val="00E916A2"/>
    <w:rsid w:val="00E91930"/>
    <w:rsid w:val="00EA6D4F"/>
    <w:rsid w:val="00EA716A"/>
    <w:rsid w:val="00EA7EA8"/>
    <w:rsid w:val="00EC0A15"/>
    <w:rsid w:val="00EC2F87"/>
    <w:rsid w:val="00EC733B"/>
    <w:rsid w:val="00EE412B"/>
    <w:rsid w:val="00EF3D18"/>
    <w:rsid w:val="00EF4ACB"/>
    <w:rsid w:val="00F00674"/>
    <w:rsid w:val="00F02351"/>
    <w:rsid w:val="00F03635"/>
    <w:rsid w:val="00F0455E"/>
    <w:rsid w:val="00F04F1A"/>
    <w:rsid w:val="00F0609A"/>
    <w:rsid w:val="00F1230D"/>
    <w:rsid w:val="00F14BCE"/>
    <w:rsid w:val="00F21042"/>
    <w:rsid w:val="00F21FAC"/>
    <w:rsid w:val="00F24A2F"/>
    <w:rsid w:val="00F3264E"/>
    <w:rsid w:val="00F36014"/>
    <w:rsid w:val="00F36E18"/>
    <w:rsid w:val="00F37BC2"/>
    <w:rsid w:val="00F43DAD"/>
    <w:rsid w:val="00F45857"/>
    <w:rsid w:val="00F475EB"/>
    <w:rsid w:val="00F513EB"/>
    <w:rsid w:val="00F51FDF"/>
    <w:rsid w:val="00F5236B"/>
    <w:rsid w:val="00F5252A"/>
    <w:rsid w:val="00F54266"/>
    <w:rsid w:val="00F547F8"/>
    <w:rsid w:val="00F551D7"/>
    <w:rsid w:val="00F552D2"/>
    <w:rsid w:val="00F5679F"/>
    <w:rsid w:val="00F60D6A"/>
    <w:rsid w:val="00F60F15"/>
    <w:rsid w:val="00F62682"/>
    <w:rsid w:val="00F62708"/>
    <w:rsid w:val="00F6460E"/>
    <w:rsid w:val="00F64CB4"/>
    <w:rsid w:val="00F65889"/>
    <w:rsid w:val="00F66A76"/>
    <w:rsid w:val="00F7083B"/>
    <w:rsid w:val="00F72398"/>
    <w:rsid w:val="00F7362B"/>
    <w:rsid w:val="00F74CC9"/>
    <w:rsid w:val="00F77106"/>
    <w:rsid w:val="00F84E27"/>
    <w:rsid w:val="00F85B48"/>
    <w:rsid w:val="00F861AE"/>
    <w:rsid w:val="00F871D7"/>
    <w:rsid w:val="00F87FB6"/>
    <w:rsid w:val="00F90098"/>
    <w:rsid w:val="00F9205E"/>
    <w:rsid w:val="00F92FA5"/>
    <w:rsid w:val="00F935BD"/>
    <w:rsid w:val="00F96889"/>
    <w:rsid w:val="00FA6309"/>
    <w:rsid w:val="00FA6319"/>
    <w:rsid w:val="00FB14CA"/>
    <w:rsid w:val="00FB2C13"/>
    <w:rsid w:val="00FB46DD"/>
    <w:rsid w:val="00FB656A"/>
    <w:rsid w:val="00FB7019"/>
    <w:rsid w:val="00FC1EFA"/>
    <w:rsid w:val="00FC522B"/>
    <w:rsid w:val="00FD0A30"/>
    <w:rsid w:val="00FD1A80"/>
    <w:rsid w:val="00FD3568"/>
    <w:rsid w:val="00FD529F"/>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NormalWeb">
    <w:name w:val="Normal (Web)"/>
    <w:basedOn w:val="Normal"/>
    <w:uiPriority w:val="99"/>
    <w:semiHidden/>
    <w:unhideWhenUsed/>
    <w:rsid w:val="00DD5441"/>
    <w:pPr>
      <w:spacing w:before="100" w:beforeAutospacing="1" w:after="100" w:afterAutospacing="1" w:line="240" w:lineRule="auto"/>
    </w:pPr>
    <w:rPr>
      <w:rFonts w:eastAsia="Times New Roman" w:cs="Times New Roman"/>
      <w:szCs w:val="24"/>
      <w:lang w:eastAsia="en-AU"/>
    </w:rPr>
  </w:style>
  <w:style w:type="paragraph" w:customStyle="1" w:styleId="MBPoint">
    <w:name w:val="MB Point"/>
    <w:basedOn w:val="ListParagraph"/>
    <w:qFormat/>
    <w:locked/>
    <w:rsid w:val="00B60F4B"/>
    <w:pPr>
      <w:numPr>
        <w:numId w:val="17"/>
      </w:numPr>
      <w:spacing w:after="60" w:line="240" w:lineRule="auto"/>
      <w:ind w:left="425" w:hanging="357"/>
      <w:contextualSpacing w:val="0"/>
    </w:pPr>
    <w:rPr>
      <w:rFonts w:cs="Times New Roman"/>
      <w:szCs w:val="24"/>
    </w:rPr>
  </w:style>
  <w:style w:type="paragraph" w:customStyle="1" w:styleId="MBPointSub">
    <w:name w:val="MB Point Sub"/>
    <w:basedOn w:val="ListParagraph"/>
    <w:qFormat/>
    <w:locked/>
    <w:rsid w:val="00B60F4B"/>
    <w:pPr>
      <w:numPr>
        <w:ilvl w:val="1"/>
        <w:numId w:val="17"/>
      </w:numPr>
      <w:spacing w:after="60" w:line="240" w:lineRule="auto"/>
      <w:ind w:left="510" w:hanging="357"/>
      <w:contextualSpacing w:val="0"/>
    </w:pPr>
    <w:rPr>
      <w:rFonts w:cs="Times New Roman"/>
      <w:szCs w:val="24"/>
    </w:rPr>
  </w:style>
  <w:style w:type="paragraph" w:customStyle="1" w:styleId="ECPointSub">
    <w:name w:val="EC Point Sub"/>
    <w:basedOn w:val="MBPointSub"/>
    <w:link w:val="ECPointSubChar"/>
    <w:qFormat/>
    <w:rsid w:val="00B60F4B"/>
    <w:rPr>
      <w:rFonts w:asciiTheme="minorHAnsi" w:hAnsiTheme="minorHAnsi"/>
      <w:sz w:val="22"/>
    </w:rPr>
  </w:style>
  <w:style w:type="character" w:customStyle="1" w:styleId="ECPointSubChar">
    <w:name w:val="EC Point Sub Char"/>
    <w:basedOn w:val="DefaultParagraphFont"/>
    <w:link w:val="ECPointSub"/>
    <w:rsid w:val="00B60F4B"/>
    <w:rPr>
      <w:rFonts w:asciiTheme="minorHAnsi" w:hAnsiTheme="minorHAnsi" w:cs="Times New Roman"/>
      <w:sz w:val="22"/>
      <w:szCs w:val="24"/>
    </w:rPr>
  </w:style>
  <w:style w:type="paragraph" w:customStyle="1" w:styleId="ECPointSubDot">
    <w:name w:val="EC Point Sub Dot"/>
    <w:basedOn w:val="ECPointSub"/>
    <w:link w:val="ECPointSubDotChar"/>
    <w:qFormat/>
    <w:rsid w:val="00B60F4B"/>
    <w:pPr>
      <w:numPr>
        <w:ilvl w:val="0"/>
        <w:numId w:val="18"/>
      </w:numPr>
    </w:pPr>
  </w:style>
  <w:style w:type="character" w:customStyle="1" w:styleId="ECPointSubDotChar">
    <w:name w:val="EC Point Sub Dot Char"/>
    <w:basedOn w:val="ECPointSubChar"/>
    <w:link w:val="ECPointSubDot"/>
    <w:rsid w:val="00B60F4B"/>
    <w:rPr>
      <w:rFonts w:asciiTheme="minorHAnsi" w:hAnsiTheme="minorHAnsi"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7037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920727172C444F91B4BB220875CFB3" ma:contentTypeVersion="" ma:contentTypeDescription="PDMS Document Site Content Type" ma:contentTypeScope="" ma:versionID="f680805c0ef42dd51c1f088d11e17b23">
  <xsd:schema xmlns:xsd="http://www.w3.org/2001/XMLSchema" xmlns:xs="http://www.w3.org/2001/XMLSchema" xmlns:p="http://schemas.microsoft.com/office/2006/metadata/properties" xmlns:ns2="D9CF7EE1-1BE0-40FB-80E7-3F817A54C00E" targetNamespace="http://schemas.microsoft.com/office/2006/metadata/properties" ma:root="true" ma:fieldsID="bfe029375854589a6e4e4b70f1924c05" ns2:_="">
    <xsd:import namespace="D9CF7EE1-1BE0-40FB-80E7-3F817A54C0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7EE1-1BE0-40FB-80E7-3F817A54C0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9CF7EE1-1BE0-40FB-80E7-3F817A54C0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9DCE6DC1-6E17-4D59-8A00-519BCA75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7EE1-1BE0-40FB-80E7-3F817A54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2F429-4198-4ECD-8E59-23F01B09005A}">
  <ds:schemaRefs>
    <ds:schemaRef ds:uri="http://schemas.microsoft.com/office/2006/metadata/properties"/>
    <ds:schemaRef ds:uri="http://www.w3.org/XML/1998/namespace"/>
    <ds:schemaRef ds:uri="D9CF7EE1-1BE0-40FB-80E7-3F817A54C00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4901</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HERBERT,Callum</cp:lastModifiedBy>
  <cp:revision>3</cp:revision>
  <cp:lastPrinted>2019-11-17T23:12:00Z</cp:lastPrinted>
  <dcterms:created xsi:type="dcterms:W3CDTF">2021-12-13T05:19:00Z</dcterms:created>
  <dcterms:modified xsi:type="dcterms:W3CDTF">2021-12-13T05:19:00Z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0x010100266966F133664895A6EE3632470D45F500CC920727172C444F91B4BB220875CFB3</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