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572CC5" w:rsidRDefault="005E317F" w:rsidP="005E317F">
      <w:pPr>
        <w:rPr>
          <w:sz w:val="28"/>
        </w:rPr>
      </w:pPr>
      <w:r w:rsidRPr="00572CC5"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572CC5" w:rsidRDefault="005E317F" w:rsidP="005E317F">
      <w:pPr>
        <w:rPr>
          <w:sz w:val="19"/>
        </w:rPr>
      </w:pPr>
    </w:p>
    <w:p w:rsidR="005E317F" w:rsidRPr="00572CC5" w:rsidRDefault="00E9548F" w:rsidP="005E317F">
      <w:pPr>
        <w:pStyle w:val="ShortT"/>
      </w:pPr>
      <w:r w:rsidRPr="00572CC5">
        <w:t>Superannuation</w:t>
      </w:r>
      <w:r w:rsidR="005E317F" w:rsidRPr="00572CC5">
        <w:t xml:space="preserve"> Amendment (</w:t>
      </w:r>
      <w:r w:rsidRPr="00572CC5">
        <w:t>PSS Trust Deed</w:t>
      </w:r>
      <w:r w:rsidR="005E317F" w:rsidRPr="00572CC5">
        <w:t xml:space="preserve">) Instrument </w:t>
      </w:r>
      <w:r w:rsidRPr="00572CC5">
        <w:t>2021 (No. 2)</w:t>
      </w:r>
    </w:p>
    <w:p w:rsidR="005E317F" w:rsidRPr="00572CC5" w:rsidRDefault="005E317F" w:rsidP="005E317F">
      <w:pPr>
        <w:pStyle w:val="SignCoverPageStart"/>
        <w:spacing w:before="240"/>
        <w:ind w:right="91"/>
        <w:rPr>
          <w:szCs w:val="22"/>
        </w:rPr>
      </w:pPr>
      <w:r w:rsidRPr="00572CC5">
        <w:rPr>
          <w:szCs w:val="22"/>
        </w:rPr>
        <w:t xml:space="preserve">I, </w:t>
      </w:r>
      <w:r w:rsidR="00E9548F" w:rsidRPr="00572CC5">
        <w:rPr>
          <w:szCs w:val="22"/>
        </w:rPr>
        <w:t>Simon Birmingham</w:t>
      </w:r>
      <w:r w:rsidRPr="00572CC5">
        <w:rPr>
          <w:szCs w:val="22"/>
        </w:rPr>
        <w:t xml:space="preserve">, </w:t>
      </w:r>
      <w:r w:rsidR="00E9548F" w:rsidRPr="00572CC5">
        <w:rPr>
          <w:szCs w:val="22"/>
        </w:rPr>
        <w:t>Minister for Finance</w:t>
      </w:r>
      <w:r w:rsidRPr="00572CC5">
        <w:rPr>
          <w:szCs w:val="22"/>
        </w:rPr>
        <w:t xml:space="preserve">, make the following </w:t>
      </w:r>
      <w:r w:rsidR="00E9548F" w:rsidRPr="00572CC5">
        <w:rPr>
          <w:szCs w:val="22"/>
        </w:rPr>
        <w:t>instrument</w:t>
      </w:r>
      <w:r w:rsidRPr="00572CC5">
        <w:rPr>
          <w:szCs w:val="22"/>
        </w:rPr>
        <w:t>.</w:t>
      </w:r>
    </w:p>
    <w:p w:rsidR="005E317F" w:rsidRPr="00572CC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72CC5">
        <w:rPr>
          <w:szCs w:val="22"/>
        </w:rPr>
        <w:t>Dated</w:t>
      </w:r>
      <w:r w:rsidRPr="00572CC5">
        <w:rPr>
          <w:szCs w:val="22"/>
        </w:rPr>
        <w:tab/>
      </w:r>
      <w:r w:rsidR="00333B3E">
        <w:rPr>
          <w:szCs w:val="22"/>
        </w:rPr>
        <w:t>5 December 2021</w:t>
      </w:r>
      <w:bookmarkStart w:id="0" w:name="_GoBack"/>
      <w:bookmarkEnd w:id="0"/>
    </w:p>
    <w:p w:rsidR="005E317F" w:rsidRPr="00572CC5" w:rsidRDefault="00E9548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72CC5">
        <w:rPr>
          <w:szCs w:val="22"/>
        </w:rPr>
        <w:t>Simon Birmingham</w:t>
      </w:r>
    </w:p>
    <w:p w:rsidR="005E317F" w:rsidRPr="00572CC5" w:rsidRDefault="00E9548F" w:rsidP="005E317F">
      <w:pPr>
        <w:pStyle w:val="SignCoverPageEnd"/>
        <w:ind w:right="91"/>
        <w:rPr>
          <w:sz w:val="22"/>
        </w:rPr>
      </w:pPr>
      <w:r w:rsidRPr="00572CC5">
        <w:rPr>
          <w:sz w:val="22"/>
        </w:rPr>
        <w:t>Minister for Finance</w:t>
      </w:r>
    </w:p>
    <w:p w:rsidR="00B20990" w:rsidRPr="00572CC5" w:rsidRDefault="00B20990" w:rsidP="00B20990"/>
    <w:p w:rsidR="00B20990" w:rsidRPr="00572CC5" w:rsidRDefault="00B20990" w:rsidP="00B20990">
      <w:pPr>
        <w:sectPr w:rsidR="00B20990" w:rsidRPr="00572CC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572CC5" w:rsidRDefault="00B20990" w:rsidP="00B20990">
      <w:pPr>
        <w:outlineLvl w:val="0"/>
        <w:rPr>
          <w:sz w:val="36"/>
        </w:rPr>
      </w:pPr>
      <w:r w:rsidRPr="00572CC5">
        <w:rPr>
          <w:sz w:val="36"/>
        </w:rPr>
        <w:lastRenderedPageBreak/>
        <w:t>Contents</w:t>
      </w:r>
    </w:p>
    <w:bookmarkStart w:id="1" w:name="BKCheck15B_2"/>
    <w:bookmarkEnd w:id="1"/>
    <w:p w:rsidR="00DC443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2CC5">
        <w:fldChar w:fldCharType="begin"/>
      </w:r>
      <w:r w:rsidRPr="00572CC5">
        <w:instrText xml:space="preserve"> TOC \o "1-9" </w:instrText>
      </w:r>
      <w:r w:rsidRPr="00572CC5">
        <w:fldChar w:fldCharType="separate"/>
      </w:r>
      <w:r w:rsidR="00DC4433">
        <w:rPr>
          <w:noProof/>
        </w:rPr>
        <w:t>1  Name</w:t>
      </w:r>
      <w:r w:rsidR="00DC4433">
        <w:rPr>
          <w:noProof/>
        </w:rPr>
        <w:tab/>
      </w:r>
      <w:r w:rsidR="00DC4433">
        <w:rPr>
          <w:noProof/>
        </w:rPr>
        <w:fldChar w:fldCharType="begin"/>
      </w:r>
      <w:r w:rsidR="00DC4433">
        <w:rPr>
          <w:noProof/>
        </w:rPr>
        <w:instrText xml:space="preserve"> PAGEREF _Toc85116117 \h </w:instrText>
      </w:r>
      <w:r w:rsidR="00DC4433">
        <w:rPr>
          <w:noProof/>
        </w:rPr>
      </w:r>
      <w:r w:rsidR="00DC4433">
        <w:rPr>
          <w:noProof/>
        </w:rPr>
        <w:fldChar w:fldCharType="separate"/>
      </w:r>
      <w:r w:rsidR="00DC4433">
        <w:rPr>
          <w:noProof/>
        </w:rPr>
        <w:t>1</w:t>
      </w:r>
      <w:r w:rsidR="00DC4433">
        <w:rPr>
          <w:noProof/>
        </w:rPr>
        <w:fldChar w:fldCharType="end"/>
      </w:r>
    </w:p>
    <w:p w:rsidR="00DC4433" w:rsidRDefault="00DC4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_Toc85116118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C4433" w:rsidRDefault="00DC4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_Toc85116119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C4433" w:rsidRDefault="00DC4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_Toc85116120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C4433" w:rsidRDefault="00DC44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 of the PSS Trust Deed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_Toc85116121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Pr="00572CC5" w:rsidRDefault="00B20990" w:rsidP="005E317F">
      <w:r w:rsidRPr="00572CC5">
        <w:rPr>
          <w:rFonts w:cs="Times New Roman"/>
          <w:sz w:val="20"/>
        </w:rPr>
        <w:fldChar w:fldCharType="end"/>
      </w:r>
    </w:p>
    <w:p w:rsidR="00B20990" w:rsidRPr="00572CC5" w:rsidRDefault="00B20990" w:rsidP="00B20990"/>
    <w:p w:rsidR="00B20990" w:rsidRPr="00572CC5" w:rsidRDefault="00B20990" w:rsidP="00B20990">
      <w:pPr>
        <w:sectPr w:rsidR="00B20990" w:rsidRPr="00572CC5" w:rsidSect="005937B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572CC5" w:rsidRDefault="005E317F" w:rsidP="005E317F">
      <w:pPr>
        <w:pStyle w:val="ActHead5"/>
      </w:pPr>
      <w:bookmarkStart w:id="2" w:name="_Toc85116117"/>
      <w:r w:rsidRPr="00572CC5">
        <w:rPr>
          <w:rStyle w:val="CharSectno"/>
        </w:rPr>
        <w:lastRenderedPageBreak/>
        <w:t>1</w:t>
      </w:r>
      <w:r w:rsidRPr="00572CC5">
        <w:t xml:space="preserve">  Name</w:t>
      </w:r>
      <w:bookmarkEnd w:id="2"/>
    </w:p>
    <w:p w:rsidR="005E317F" w:rsidRPr="00572CC5" w:rsidRDefault="005E317F" w:rsidP="005E317F">
      <w:pPr>
        <w:pStyle w:val="subsection"/>
      </w:pPr>
      <w:r w:rsidRPr="00572CC5">
        <w:tab/>
      </w:r>
      <w:r w:rsidRPr="00572CC5">
        <w:tab/>
        <w:t xml:space="preserve">This instrument is the </w:t>
      </w:r>
      <w:bookmarkStart w:id="3" w:name="BKCheck15B_3"/>
      <w:bookmarkEnd w:id="3"/>
      <w:r w:rsidR="005D05B7" w:rsidRPr="00572CC5">
        <w:rPr>
          <w:i/>
        </w:rPr>
        <w:t>Superannuation Amendment (PSS Trust Deed) Instrument 2021 (No. 2)</w:t>
      </w:r>
      <w:r w:rsidRPr="00572CC5">
        <w:t>.</w:t>
      </w:r>
    </w:p>
    <w:p w:rsidR="005E317F" w:rsidRPr="00572CC5" w:rsidRDefault="005E317F" w:rsidP="005E317F">
      <w:pPr>
        <w:pStyle w:val="ActHead5"/>
      </w:pPr>
      <w:bookmarkStart w:id="4" w:name="_Toc85116118"/>
      <w:r w:rsidRPr="00572CC5">
        <w:rPr>
          <w:rStyle w:val="CharSectno"/>
        </w:rPr>
        <w:t>2</w:t>
      </w:r>
      <w:r w:rsidRPr="00572CC5">
        <w:t xml:space="preserve">  Commencement</w:t>
      </w:r>
      <w:bookmarkEnd w:id="4"/>
    </w:p>
    <w:p w:rsidR="00002BCC" w:rsidRPr="00572CC5" w:rsidRDefault="00002BCC" w:rsidP="00002BCC">
      <w:pPr>
        <w:pStyle w:val="subsection"/>
      </w:pPr>
      <w:r w:rsidRPr="00572CC5">
        <w:tab/>
        <w:t>(1)</w:t>
      </w:r>
      <w:r w:rsidRPr="00572C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572CC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572CC5" w:rsidTr="005937B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572CC5" w:rsidRDefault="00002BCC" w:rsidP="005937BD">
            <w:pPr>
              <w:pStyle w:val="TableHeading"/>
            </w:pPr>
            <w:r w:rsidRPr="00572CC5">
              <w:t>Commencement information</w:t>
            </w:r>
          </w:p>
        </w:tc>
      </w:tr>
      <w:tr w:rsidR="00002BCC" w:rsidRPr="00572CC5" w:rsidTr="005937B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572CC5" w:rsidRDefault="00002BCC" w:rsidP="005937BD">
            <w:pPr>
              <w:pStyle w:val="TableHeading"/>
            </w:pPr>
            <w:r w:rsidRPr="00572CC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572CC5" w:rsidRDefault="00002BCC" w:rsidP="005937BD">
            <w:pPr>
              <w:pStyle w:val="TableHeading"/>
            </w:pPr>
            <w:r w:rsidRPr="00572CC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572CC5" w:rsidRDefault="00002BCC" w:rsidP="005937BD">
            <w:pPr>
              <w:pStyle w:val="TableHeading"/>
            </w:pPr>
            <w:r w:rsidRPr="00572CC5">
              <w:t>Column 3</w:t>
            </w:r>
          </w:p>
        </w:tc>
      </w:tr>
      <w:tr w:rsidR="00002BCC" w:rsidRPr="00572CC5" w:rsidTr="00A87A7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572CC5" w:rsidRDefault="00002BCC" w:rsidP="005937BD">
            <w:pPr>
              <w:pStyle w:val="TableHeading"/>
            </w:pPr>
            <w:r w:rsidRPr="00572CC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572CC5" w:rsidRDefault="00002BCC" w:rsidP="005937BD">
            <w:pPr>
              <w:pStyle w:val="TableHeading"/>
            </w:pPr>
            <w:r w:rsidRPr="00572CC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572CC5" w:rsidRDefault="00002BCC" w:rsidP="005937BD">
            <w:pPr>
              <w:pStyle w:val="TableHeading"/>
            </w:pPr>
            <w:r w:rsidRPr="00572CC5">
              <w:t>Date/Details</w:t>
            </w:r>
          </w:p>
        </w:tc>
      </w:tr>
      <w:tr w:rsidR="00002BCC" w:rsidRPr="00572CC5" w:rsidTr="00A87A79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002BCC" w:rsidRPr="00572CC5" w:rsidRDefault="00002BCC" w:rsidP="00EF6DFF">
            <w:pPr>
              <w:pStyle w:val="Tabletext"/>
              <w:rPr>
                <w:i/>
              </w:rPr>
            </w:pPr>
            <w:r w:rsidRPr="00572CC5">
              <w:t xml:space="preserve">1.  </w:t>
            </w:r>
            <w:r w:rsidR="0029082E" w:rsidRPr="00572CC5"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002BCC" w:rsidRPr="00572CC5" w:rsidRDefault="0029082E" w:rsidP="005937BD">
            <w:pPr>
              <w:pStyle w:val="Tabletext"/>
            </w:pPr>
            <w:r w:rsidRPr="00572CC5">
              <w:t>The day after this instrument is registered on the Federal Register of Legislation.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2BCC" w:rsidRPr="00572CC5" w:rsidRDefault="00002BCC" w:rsidP="005937BD">
            <w:pPr>
              <w:pStyle w:val="Tabletext"/>
            </w:pPr>
          </w:p>
        </w:tc>
      </w:tr>
      <w:tr w:rsidR="005937BD" w:rsidRPr="00572CC5" w:rsidTr="00A87A79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937BD" w:rsidRPr="00572CC5" w:rsidRDefault="0029082E" w:rsidP="005937BD">
            <w:pPr>
              <w:pStyle w:val="Tabletext"/>
            </w:pPr>
            <w:r w:rsidRPr="00572CC5">
              <w:t>2. Schedule 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937BD" w:rsidRPr="00572CC5" w:rsidRDefault="0029082E" w:rsidP="005937BD">
            <w:pPr>
              <w:pStyle w:val="Tabletext"/>
            </w:pPr>
            <w:r w:rsidRPr="00572CC5">
              <w:t>The day after this instrument is registered on the Federal Register of Legislation.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937BD" w:rsidRPr="00572CC5" w:rsidRDefault="005937BD" w:rsidP="005937BD">
            <w:pPr>
              <w:pStyle w:val="Tabletext"/>
              <w:rPr>
                <w:i/>
              </w:rPr>
            </w:pPr>
          </w:p>
        </w:tc>
      </w:tr>
    </w:tbl>
    <w:p w:rsidR="00002BCC" w:rsidRPr="00572CC5" w:rsidRDefault="00002BCC" w:rsidP="00002BCC">
      <w:pPr>
        <w:pStyle w:val="notetext"/>
      </w:pPr>
      <w:r w:rsidRPr="00572CC5">
        <w:rPr>
          <w:snapToGrid w:val="0"/>
          <w:lang w:eastAsia="en-US"/>
        </w:rPr>
        <w:t>Note:</w:t>
      </w:r>
      <w:r w:rsidRPr="00572CC5">
        <w:rPr>
          <w:snapToGrid w:val="0"/>
          <w:lang w:eastAsia="en-US"/>
        </w:rPr>
        <w:tab/>
        <w:t>This table relates only to the provisions of this instrument</w:t>
      </w:r>
      <w:r w:rsidRPr="00572CC5">
        <w:t xml:space="preserve"> </w:t>
      </w:r>
      <w:r w:rsidRPr="00572CC5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572CC5" w:rsidRDefault="00002BCC" w:rsidP="00002BCC">
      <w:pPr>
        <w:pStyle w:val="subsection"/>
      </w:pPr>
      <w:r w:rsidRPr="00572CC5">
        <w:tab/>
        <w:t>(2)</w:t>
      </w:r>
      <w:r w:rsidRPr="00572CC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572CC5" w:rsidRDefault="005E317F" w:rsidP="005E317F">
      <w:pPr>
        <w:pStyle w:val="ActHead5"/>
      </w:pPr>
      <w:bookmarkStart w:id="5" w:name="_Toc85116119"/>
      <w:r w:rsidRPr="00572CC5">
        <w:rPr>
          <w:rStyle w:val="CharSectno"/>
        </w:rPr>
        <w:t>3</w:t>
      </w:r>
      <w:r w:rsidRPr="00572CC5">
        <w:t xml:space="preserve">  Authority</w:t>
      </w:r>
      <w:bookmarkEnd w:id="5"/>
    </w:p>
    <w:p w:rsidR="005E317F" w:rsidRPr="00572CC5" w:rsidRDefault="005E317F" w:rsidP="005E317F">
      <w:pPr>
        <w:pStyle w:val="subsection"/>
      </w:pPr>
      <w:r w:rsidRPr="00572CC5">
        <w:tab/>
      </w:r>
      <w:r w:rsidRPr="00572CC5">
        <w:tab/>
        <w:t xml:space="preserve">This instrument is made under </w:t>
      </w:r>
      <w:r w:rsidR="008510BD" w:rsidRPr="00572CC5">
        <w:t xml:space="preserve">section 5 of the </w:t>
      </w:r>
      <w:r w:rsidR="008510BD" w:rsidRPr="00572CC5">
        <w:rPr>
          <w:i/>
        </w:rPr>
        <w:t>Superannuation Act 1990</w:t>
      </w:r>
      <w:r w:rsidRPr="00572CC5">
        <w:t>.</w:t>
      </w:r>
    </w:p>
    <w:p w:rsidR="005E317F" w:rsidRPr="00572CC5" w:rsidRDefault="005E317F" w:rsidP="005E317F">
      <w:pPr>
        <w:pStyle w:val="ActHead5"/>
      </w:pPr>
      <w:bookmarkStart w:id="6" w:name="_Toc85116120"/>
      <w:r w:rsidRPr="00572CC5">
        <w:t>4  Schedules</w:t>
      </w:r>
      <w:bookmarkEnd w:id="6"/>
    </w:p>
    <w:p w:rsidR="005E317F" w:rsidRPr="00572CC5" w:rsidRDefault="005E317F" w:rsidP="005E317F">
      <w:pPr>
        <w:pStyle w:val="subsection"/>
      </w:pPr>
      <w:r w:rsidRPr="00572CC5">
        <w:tab/>
      </w:r>
      <w:r w:rsidRPr="00572CC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Pr="00572CC5" w:rsidRDefault="005E317F" w:rsidP="005E317F">
      <w:pPr>
        <w:pStyle w:val="ActHead6"/>
        <w:pageBreakBefore/>
      </w:pPr>
      <w:bookmarkStart w:id="7" w:name="_Toc85116121"/>
      <w:r w:rsidRPr="00572CC5">
        <w:rPr>
          <w:rStyle w:val="CharAmSchNo"/>
        </w:rPr>
        <w:lastRenderedPageBreak/>
        <w:t>Schedule 1</w:t>
      </w:r>
      <w:r w:rsidRPr="00572CC5">
        <w:t>—</w:t>
      </w:r>
      <w:r w:rsidRPr="00572CC5">
        <w:rPr>
          <w:rStyle w:val="CharAmSchText"/>
        </w:rPr>
        <w:t>Amendment</w:t>
      </w:r>
      <w:r w:rsidR="008510BD" w:rsidRPr="00572CC5">
        <w:rPr>
          <w:rStyle w:val="CharAmSchText"/>
        </w:rPr>
        <w:t xml:space="preserve"> of the PSS Trust Deed</w:t>
      </w:r>
      <w:bookmarkEnd w:id="7"/>
    </w:p>
    <w:p w:rsidR="005E317F" w:rsidRPr="00572CC5" w:rsidRDefault="005E317F" w:rsidP="005E317F">
      <w:pPr>
        <w:pStyle w:val="ItemHead"/>
      </w:pPr>
      <w:r w:rsidRPr="00572CC5">
        <w:t xml:space="preserve">1  </w:t>
      </w:r>
      <w:r w:rsidR="00916B63" w:rsidRPr="00572CC5">
        <w:t>Rule 3.5.1</w:t>
      </w:r>
    </w:p>
    <w:p w:rsidR="005E317F" w:rsidRPr="00572CC5" w:rsidRDefault="00916B63" w:rsidP="005E317F">
      <w:pPr>
        <w:pStyle w:val="Item"/>
      </w:pPr>
      <w:r w:rsidRPr="00572CC5">
        <w:t>Repeal the table, substitute:</w:t>
      </w:r>
    </w:p>
    <w:p w:rsidR="00916B63" w:rsidRPr="00572CC5" w:rsidRDefault="00916B63" w:rsidP="00A87A79">
      <w:pPr>
        <w:pStyle w:val="Item"/>
        <w:ind w:left="0"/>
      </w:pPr>
    </w:p>
    <w:tbl>
      <w:tblPr>
        <w:tblW w:w="9640" w:type="dxa"/>
        <w:tblInd w:w="-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81"/>
        <w:gridCol w:w="39"/>
        <w:gridCol w:w="4820"/>
      </w:tblGrid>
      <w:tr w:rsidR="00A31C73" w:rsidRPr="00572CC5" w:rsidTr="00EC22B0">
        <w:trPr>
          <w:tblHeader/>
        </w:trPr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  <w:sz w:val="24"/>
              </w:rPr>
              <w:t>Average Salary Factors</w:t>
            </w:r>
          </w:p>
        </w:tc>
      </w:tr>
      <w:tr w:rsidR="00A31C73" w:rsidRPr="00572CC5" w:rsidTr="00EC22B0">
        <w:trPr>
          <w:tblHeader/>
        </w:trPr>
        <w:tc>
          <w:tcPr>
            <w:tcW w:w="4781" w:type="dxa"/>
            <w:shd w:val="pct10" w:color="auto" w:fill="FFFFFF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  <w:sz w:val="24"/>
              </w:rPr>
              <w:t xml:space="preserve">Cessation otherwise than on </w:t>
            </w:r>
            <w:r w:rsidRPr="00572CC5">
              <w:rPr>
                <w:rFonts w:eastAsia="Times New Roman" w:cs="Times New Roman"/>
                <w:b/>
                <w:color w:val="000000"/>
                <w:sz w:val="24"/>
              </w:rPr>
              <w:t>involuntary retirement</w:t>
            </w:r>
          </w:p>
        </w:tc>
        <w:tc>
          <w:tcPr>
            <w:tcW w:w="4859" w:type="dxa"/>
            <w:gridSpan w:val="2"/>
            <w:shd w:val="pct10" w:color="auto" w:fill="FFFFFF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  <w:sz w:val="24"/>
              </w:rPr>
              <w:t xml:space="preserve">Cessation on </w:t>
            </w:r>
            <w:r w:rsidRPr="00572CC5">
              <w:rPr>
                <w:rFonts w:eastAsia="Times New Roman" w:cs="Times New Roman"/>
                <w:b/>
                <w:color w:val="000000"/>
                <w:sz w:val="24"/>
              </w:rPr>
              <w:t>involuntary retirement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NOTE:  The factors defined for the case of not ceasing on </w:t>
            </w:r>
            <w:r w:rsidRPr="00572CC5">
              <w:rPr>
                <w:rFonts w:eastAsia="Times New Roman" w:cs="Times New Roman"/>
                <w:b/>
                <w:color w:val="000000"/>
              </w:rPr>
              <w:t xml:space="preserve">involuntary retirement </w:t>
            </w:r>
            <w:r w:rsidRPr="00572CC5">
              <w:rPr>
                <w:rFonts w:eastAsia="Times New Roman" w:cs="Times New Roman"/>
                <w:color w:val="000000"/>
              </w:rPr>
              <w:t xml:space="preserve">are used to calculate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on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>, if the date of cessation is an anniversary of the regular member’s birth, or is treated as such under Rule 3.5.4.</w:t>
            </w:r>
          </w:p>
        </w:tc>
      </w:tr>
      <w:tr w:rsidR="00A31C73" w:rsidRPr="00572CC5" w:rsidTr="00A87A79">
        <w:tc>
          <w:tcPr>
            <w:tcW w:w="9640" w:type="dxa"/>
            <w:gridSpan w:val="3"/>
            <w:shd w:val="pct10" w:color="auto" w:fill="FFFFFF"/>
          </w:tcPr>
          <w:p w:rsidR="00A31C73" w:rsidRPr="00572CC5" w:rsidRDefault="00A31C73" w:rsidP="00A31C73">
            <w:pPr>
              <w:widowControl w:val="0"/>
              <w:spacing w:before="240" w:after="24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572CC5">
              <w:rPr>
                <w:rFonts w:eastAsia="Times New Roman" w:cs="Times New Roman"/>
                <w:color w:val="000000"/>
                <w:u w:val="single"/>
              </w:rPr>
              <w:t>Three or more</w:t>
            </w:r>
            <w:r w:rsidRPr="00572CC5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572CC5">
              <w:rPr>
                <w:rFonts w:eastAsia="Times New Roman" w:cs="Times New Roman"/>
                <w:color w:val="000000"/>
              </w:rPr>
              <w:t xml:space="preserve">anniversaries of birth in </w:t>
            </w:r>
            <w:r w:rsidRPr="00572CC5">
              <w:rPr>
                <w:rFonts w:eastAsia="Times New Roman" w:cs="Times New Roman"/>
                <w:b/>
                <w:color w:val="000000"/>
              </w:rPr>
              <w:t>period of membership</w:t>
            </w:r>
            <w:r w:rsidRPr="00572CC5">
              <w:rPr>
                <w:rFonts w:eastAsia="Times New Roman" w:cs="Times New Roman"/>
                <w:color w:val="000000"/>
              </w:rPr>
              <w:t xml:space="preserve"> 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also Rule 3.5.5)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 is 0.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is the amount calculated by the following formula:</w:t>
            </w:r>
          </w:p>
          <w:p w:rsidR="00A31C73" w:rsidRPr="00572CC5" w:rsidRDefault="00333C97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lang w:eastAsia="en-AU"/>
              </w:rPr>
              <w:drawing>
                <wp:inline distT="0" distB="0" distL="0" distR="0" wp14:anchorId="347D0DE7">
                  <wp:extent cx="2019300" cy="4857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where:</w:t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D  is 1 plus the number of days between the date of the regular member’s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 xml:space="preserve"> and the date of the anniversary of his/her birth immediately preceding the date of cessation; and</w:t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O 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 xml:space="preserve">(see Rule 3.5.2) </w:t>
            </w:r>
            <w:r w:rsidRPr="00572CC5">
              <w:rPr>
                <w:rFonts w:eastAsia="Times New Roman" w:cs="Times New Roman"/>
                <w:color w:val="000000"/>
              </w:rPr>
              <w:t xml:space="preserve">on the date of his/her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="00636E21" w:rsidRPr="00572CC5">
              <w:rPr>
                <w:rFonts w:eastAsia="Times New Roman" w:cs="Times New Roman"/>
                <w:color w:val="000000"/>
              </w:rPr>
              <w:t>;</w:t>
            </w:r>
            <w:r w:rsidRPr="00572CC5">
              <w:rPr>
                <w:rFonts w:eastAsia="Times New Roman" w:cs="Times New Roman"/>
                <w:color w:val="000000"/>
              </w:rPr>
              <w:t xml:space="preserve"> and</w:t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P 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 xml:space="preserve">(see Rule 3.5.2) </w:t>
            </w:r>
            <w:r w:rsidRPr="00572CC5">
              <w:rPr>
                <w:rFonts w:eastAsia="Times New Roman" w:cs="Times New Roman"/>
                <w:color w:val="000000"/>
              </w:rPr>
              <w:t>on the anniversary of his/her birth immediately preceding the anniversary in B2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</w:t>
            </w:r>
            <w:r w:rsidRPr="00572CC5">
              <w:rPr>
                <w:rFonts w:eastAsia="Times New Roman" w:cs="Times New Roman"/>
                <w:color w:val="000000"/>
              </w:rPr>
              <w:t>below.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60" w:after="6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B1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 </w:t>
            </w:r>
            <w:r w:rsidRPr="00572CC5">
              <w:rPr>
                <w:rFonts w:eastAsia="Times New Roman" w:cs="Times New Roman"/>
                <w:color w:val="000000"/>
              </w:rPr>
              <w:t xml:space="preserve">is 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day at which the calculation is made, or on that day if it is an anniversary of his/her birth.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B1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 </w:t>
            </w:r>
            <w:r w:rsidRPr="00572CC5">
              <w:rPr>
                <w:rFonts w:eastAsia="Times New Roman" w:cs="Times New Roman"/>
                <w:color w:val="000000"/>
              </w:rPr>
              <w:t xml:space="preserve">is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date of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60" w:after="6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B2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</w:t>
            </w:r>
            <w:r w:rsidRPr="00572CC5">
              <w:rPr>
                <w:rFonts w:eastAsia="Times New Roman" w:cs="Times New Roman"/>
                <w:color w:val="000000"/>
              </w:rPr>
              <w:t xml:space="preserve">is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anniversary in the definition of B1.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60" w:after="6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B3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</w:t>
            </w:r>
            <w:r w:rsidRPr="00572CC5">
              <w:rPr>
                <w:rFonts w:eastAsia="Times New Roman" w:cs="Times New Roman"/>
                <w:color w:val="000000"/>
              </w:rPr>
              <w:t xml:space="preserve">is </w:t>
            </w:r>
            <w:r w:rsidRPr="00572CC5">
              <w:rPr>
                <w:rFonts w:eastAsia="Times New Roman" w:cs="Times New Roman"/>
                <w:color w:val="000000"/>
              </w:rPr>
              <w:br/>
              <w:t>the regular member’s salary for</w:t>
            </w:r>
            <w:r w:rsidRPr="00572CC5">
              <w:rPr>
                <w:rFonts w:eastAsia="Times New Roman" w:cs="Times New Roman"/>
                <w:b/>
                <w:color w:val="000000"/>
              </w:rPr>
              <w:t xml:space="preserve"> 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anniversary </w:t>
            </w:r>
            <w:r w:rsidRPr="00572CC5">
              <w:rPr>
                <w:rFonts w:eastAsia="Times New Roman" w:cs="Times New Roman"/>
                <w:color w:val="000000"/>
              </w:rPr>
              <w:lastRenderedPageBreak/>
              <w:t>in the definition of B2.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lastRenderedPageBreak/>
              <w:t>B3  is 0.</w:t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E  is 0.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n  is 3.</w:t>
            </w:r>
          </w:p>
        </w:tc>
      </w:tr>
      <w:tr w:rsidR="00A31C73" w:rsidRPr="00572CC5" w:rsidTr="00A87A79">
        <w:tc>
          <w:tcPr>
            <w:tcW w:w="9640" w:type="dxa"/>
            <w:gridSpan w:val="3"/>
            <w:shd w:val="pct10" w:color="auto" w:fill="FFFFFF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  <w:u w:val="single"/>
              </w:rPr>
              <w:t>Two</w:t>
            </w:r>
            <w:r w:rsidRPr="00572CC5">
              <w:rPr>
                <w:rFonts w:eastAsia="Times New Roman" w:cs="Times New Roman"/>
                <w:color w:val="000000"/>
              </w:rPr>
              <w:t xml:space="preserve"> anniversaries of birth in</w:t>
            </w:r>
            <w:r w:rsidRPr="00572CC5">
              <w:rPr>
                <w:rFonts w:eastAsia="Times New Roman" w:cs="Times New Roman"/>
                <w:b/>
                <w:color w:val="000000"/>
              </w:rPr>
              <w:t xml:space="preserve"> period of membership</w:t>
            </w:r>
            <w:r w:rsidRPr="00572CC5">
              <w:rPr>
                <w:rFonts w:eastAsia="Times New Roman" w:cs="Times New Roman"/>
                <w:color w:val="000000"/>
              </w:rPr>
              <w:t xml:space="preserve">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also Rule 3.5.5)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 is 0.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is the amount calculated by the following formula:</w:t>
            </w:r>
          </w:p>
          <w:p w:rsidR="00A31C73" w:rsidRPr="00572CC5" w:rsidRDefault="00333C97" w:rsidP="00A31C73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lang w:eastAsia="en-AU"/>
              </w:rPr>
              <w:drawing>
                <wp:inline distT="0" distB="0" distL="0" distR="0" wp14:anchorId="0A351112">
                  <wp:extent cx="2019600" cy="486000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where:</w:t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D  is 1 plus the number of days between the date of the regular member’s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 xml:space="preserve"> and the date of the anniversary of his/her birth immediately preceding the date of cessation; and</w:t>
            </w:r>
          </w:p>
          <w:p w:rsidR="00A31C73" w:rsidRPr="00572CC5" w:rsidRDefault="00A31C73" w:rsidP="00EC22B0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O 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 xml:space="preserve">(see Rule 3.5.2) </w:t>
            </w:r>
            <w:r w:rsidRPr="00572CC5">
              <w:rPr>
                <w:rFonts w:eastAsia="Times New Roman" w:cs="Times New Roman"/>
                <w:color w:val="000000"/>
              </w:rPr>
              <w:t xml:space="preserve">on the date of his/her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="00636E21" w:rsidRPr="00572CC5">
              <w:rPr>
                <w:rFonts w:eastAsia="Times New Roman" w:cs="Times New Roman"/>
                <w:color w:val="000000"/>
              </w:rPr>
              <w:t>;</w:t>
            </w:r>
            <w:r w:rsidRPr="00572CC5">
              <w:rPr>
                <w:rFonts w:eastAsia="Times New Roman" w:cs="Times New Roman"/>
                <w:color w:val="000000"/>
              </w:rPr>
              <w:t xml:space="preserve"> and</w:t>
            </w:r>
          </w:p>
          <w:p w:rsidR="00A31C73" w:rsidRPr="00572CC5" w:rsidRDefault="00A31C73" w:rsidP="00A31C73">
            <w:pPr>
              <w:widowControl w:val="0"/>
              <w:spacing w:before="30" w:after="3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P 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 xml:space="preserve">(see Rule 3.5.2) </w:t>
            </w:r>
            <w:r w:rsidRPr="00572CC5">
              <w:rPr>
                <w:rFonts w:eastAsia="Times New Roman" w:cs="Times New Roman"/>
                <w:color w:val="000000"/>
              </w:rPr>
              <w:t xml:space="preserve">on his/her </w:t>
            </w:r>
            <w:r w:rsidRPr="00572CC5">
              <w:rPr>
                <w:rFonts w:eastAsia="Times New Roman" w:cs="Times New Roman"/>
                <w:b/>
                <w:color w:val="000000"/>
              </w:rPr>
              <w:t>first day of membership</w:t>
            </w:r>
            <w:r w:rsidRPr="00572CC5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B1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 </w:t>
            </w:r>
            <w:r w:rsidRPr="00572CC5">
              <w:rPr>
                <w:rFonts w:eastAsia="Times New Roman" w:cs="Times New Roman"/>
                <w:color w:val="000000"/>
              </w:rPr>
              <w:t xml:space="preserve">is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day at which the calculation is made, or on that day if it is an anniversary of his/her birth.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B1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 </w:t>
            </w:r>
            <w:r w:rsidRPr="00572CC5">
              <w:rPr>
                <w:rFonts w:eastAsia="Times New Roman" w:cs="Times New Roman"/>
                <w:color w:val="000000"/>
              </w:rPr>
              <w:t xml:space="preserve">is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date of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B2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</w:t>
            </w:r>
            <w:r w:rsidRPr="00572CC5">
              <w:rPr>
                <w:rFonts w:eastAsia="Times New Roman" w:cs="Times New Roman"/>
                <w:color w:val="000000"/>
              </w:rPr>
              <w:t xml:space="preserve">is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anniversary in the definition of B1.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B3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</w:t>
            </w:r>
            <w:r w:rsidRPr="00572CC5">
              <w:rPr>
                <w:rFonts w:eastAsia="Times New Roman" w:cs="Times New Roman"/>
                <w:color w:val="000000"/>
              </w:rPr>
              <w:t xml:space="preserve"> is 0.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5E40C6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E is the regular member’s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 salary for </w:t>
            </w:r>
            <w:r w:rsidR="00A31C73"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="00A31C73"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 on his/her </w:t>
            </w:r>
            <w:r w:rsidR="00A31C73" w:rsidRPr="00572CC5">
              <w:rPr>
                <w:rFonts w:eastAsia="Times New Roman" w:cs="Times New Roman"/>
                <w:b/>
                <w:color w:val="000000"/>
              </w:rPr>
              <w:t>first day of membership</w:t>
            </w:r>
            <w:r w:rsidR="00A31C73" w:rsidRPr="00572CC5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E  is 0.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n  is 3.</w:t>
            </w:r>
          </w:p>
        </w:tc>
      </w:tr>
      <w:tr w:rsidR="00A31C73" w:rsidRPr="00572CC5" w:rsidTr="00A87A79">
        <w:tc>
          <w:tcPr>
            <w:tcW w:w="9640" w:type="dxa"/>
            <w:gridSpan w:val="3"/>
            <w:shd w:val="pct10" w:color="auto" w:fill="FFFFFF"/>
          </w:tcPr>
          <w:p w:rsidR="00A31C73" w:rsidRPr="00572CC5" w:rsidRDefault="00A31C73" w:rsidP="004E4F61">
            <w:pPr>
              <w:pageBreakBefore/>
              <w:widowControl w:val="0"/>
              <w:spacing w:before="240" w:after="24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  <w:u w:val="single"/>
              </w:rPr>
              <w:lastRenderedPageBreak/>
              <w:t>One</w:t>
            </w:r>
            <w:r w:rsidRPr="00572CC5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572CC5">
              <w:rPr>
                <w:rFonts w:eastAsia="Times New Roman" w:cs="Times New Roman"/>
                <w:color w:val="000000"/>
              </w:rPr>
              <w:t xml:space="preserve">anniversary of birth in </w:t>
            </w:r>
            <w:r w:rsidRPr="00572CC5">
              <w:rPr>
                <w:rFonts w:eastAsia="Times New Roman" w:cs="Times New Roman"/>
                <w:b/>
                <w:color w:val="000000"/>
              </w:rPr>
              <w:t xml:space="preserve">period of membership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also Rule 3.5.5)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is 0.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is the amount calculated by the following formula:</w:t>
            </w:r>
          </w:p>
          <w:p w:rsidR="00A31C73" w:rsidRDefault="00333C97" w:rsidP="00333C97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lang w:eastAsia="en-AU"/>
              </w:rPr>
              <w:drawing>
                <wp:inline distT="0" distB="0" distL="0" distR="0" wp14:anchorId="12897D43">
                  <wp:extent cx="2019600" cy="486000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1C73" w:rsidRPr="00572CC5" w:rsidRDefault="00A31C73" w:rsidP="00A31C73">
            <w:pPr>
              <w:widowControl w:val="0"/>
              <w:spacing w:before="24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where:</w:t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D  is 1 plus the number of days between the date of the regular member’s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 xml:space="preserve"> and the date of the anniversary of his/her birth immediately </w:t>
            </w:r>
            <w:r w:rsidR="00636E21" w:rsidRPr="00572CC5">
              <w:rPr>
                <w:rFonts w:eastAsia="Times New Roman" w:cs="Times New Roman"/>
                <w:color w:val="000000"/>
              </w:rPr>
              <w:t>preceding the date of cessation;</w:t>
            </w:r>
            <w:r w:rsidRPr="00572CC5">
              <w:rPr>
                <w:rFonts w:eastAsia="Times New Roman" w:cs="Times New Roman"/>
                <w:color w:val="000000"/>
              </w:rPr>
              <w:t xml:space="preserve"> and</w:t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O 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 xml:space="preserve">(see Rule 3.5.2) </w:t>
            </w:r>
            <w:r w:rsidRPr="00572CC5">
              <w:rPr>
                <w:rFonts w:eastAsia="Times New Roman" w:cs="Times New Roman"/>
                <w:color w:val="000000"/>
              </w:rPr>
              <w:t xml:space="preserve">on the date of his/her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="00636E21" w:rsidRPr="00572CC5">
              <w:rPr>
                <w:rFonts w:eastAsia="Times New Roman" w:cs="Times New Roman"/>
                <w:color w:val="000000"/>
              </w:rPr>
              <w:t>;</w:t>
            </w:r>
            <w:r w:rsidRPr="00572CC5">
              <w:rPr>
                <w:rFonts w:eastAsia="Times New Roman" w:cs="Times New Roman"/>
                <w:color w:val="000000"/>
              </w:rPr>
              <w:t xml:space="preserve"> and</w:t>
            </w:r>
          </w:p>
          <w:p w:rsidR="00A31C73" w:rsidRPr="00572CC5" w:rsidRDefault="00D34EAE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P  is the regular member’s 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salary for </w:t>
            </w:r>
            <w:r w:rsidR="00A31C73"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="00A31C73"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 on his/her </w:t>
            </w:r>
            <w:r w:rsidR="00A31C73" w:rsidRPr="00572CC5">
              <w:rPr>
                <w:rFonts w:eastAsia="Times New Roman" w:cs="Times New Roman"/>
                <w:b/>
                <w:color w:val="000000"/>
              </w:rPr>
              <w:t>first day of membership</w:t>
            </w:r>
            <w:r w:rsidR="00A31C73" w:rsidRPr="00572CC5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B1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 </w:t>
            </w:r>
            <w:r w:rsidRPr="00572CC5">
              <w:rPr>
                <w:rFonts w:eastAsia="Times New Roman" w:cs="Times New Roman"/>
                <w:color w:val="000000"/>
              </w:rPr>
              <w:t xml:space="preserve">is 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day at which the calculation is made, or on that day if it is an anniversary of his/her birth.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B1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 </w:t>
            </w:r>
            <w:r w:rsidRPr="00572CC5">
              <w:rPr>
                <w:rFonts w:eastAsia="Times New Roman" w:cs="Times New Roman"/>
                <w:color w:val="000000"/>
              </w:rPr>
              <w:t xml:space="preserve">is </w:t>
            </w:r>
            <w:r w:rsidRPr="00572CC5">
              <w:rPr>
                <w:rFonts w:eastAsia="Times New Roman" w:cs="Times New Roman"/>
                <w:color w:val="000000"/>
              </w:rPr>
              <w:br/>
              <w:t xml:space="preserve">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the anniversary of his/her birth immediately preceding the date of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B2  is 0.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B3  is 0.</w:t>
            </w:r>
          </w:p>
        </w:tc>
      </w:tr>
      <w:tr w:rsidR="00A31C73" w:rsidRPr="00572CC5" w:rsidTr="00A87A79">
        <w:tc>
          <w:tcPr>
            <w:tcW w:w="4820" w:type="dxa"/>
            <w:gridSpan w:val="2"/>
          </w:tcPr>
          <w:p w:rsidR="00A31C73" w:rsidRPr="00572CC5" w:rsidRDefault="00A31C73" w:rsidP="00D34EAE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sz w:val="24"/>
              </w:rPr>
              <w:br w:type="page"/>
            </w:r>
            <w:r w:rsidRPr="00572CC5">
              <w:rPr>
                <w:rFonts w:eastAsia="Times New Roman" w:cs="Times New Roman"/>
                <w:color w:val="000000"/>
              </w:rPr>
              <w:t xml:space="preserve">E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Pr="00572CC5">
              <w:rPr>
                <w:rFonts w:eastAsia="Times New Roman" w:cs="Times New Roman"/>
                <w:color w:val="000000"/>
              </w:rPr>
              <w:t xml:space="preserve"> on his/her </w:t>
            </w:r>
            <w:r w:rsidRPr="00572CC5">
              <w:rPr>
                <w:rFonts w:eastAsia="Times New Roman" w:cs="Times New Roman"/>
                <w:b/>
                <w:color w:val="000000"/>
              </w:rPr>
              <w:t>first day of membership</w:t>
            </w:r>
            <w:r w:rsidRPr="00572CC5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820" w:type="dxa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E  is 0.</w:t>
            </w:r>
          </w:p>
        </w:tc>
      </w:tr>
      <w:tr w:rsidR="00A31C73" w:rsidRPr="00572CC5" w:rsidTr="00A87A79">
        <w:trPr>
          <w:cantSplit/>
        </w:trPr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n  is 2.</w:t>
            </w:r>
          </w:p>
        </w:tc>
      </w:tr>
      <w:tr w:rsidR="00A31C73" w:rsidRPr="00572CC5" w:rsidTr="00A87A79">
        <w:tc>
          <w:tcPr>
            <w:tcW w:w="9640" w:type="dxa"/>
            <w:gridSpan w:val="3"/>
            <w:shd w:val="pct10" w:color="auto" w:fill="FFFFFF"/>
          </w:tcPr>
          <w:p w:rsidR="00A31C73" w:rsidRPr="00572CC5" w:rsidRDefault="00A31C73" w:rsidP="00A31C73">
            <w:pPr>
              <w:widowControl w:val="0"/>
              <w:spacing w:before="200" w:after="20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  <w:u w:val="single"/>
              </w:rPr>
              <w:t>No</w:t>
            </w:r>
            <w:r w:rsidRPr="00572CC5">
              <w:rPr>
                <w:rFonts w:eastAsia="Times New Roman" w:cs="Times New Roman"/>
                <w:color w:val="000000"/>
              </w:rPr>
              <w:t xml:space="preserve"> anniversaries of birth in </w:t>
            </w:r>
            <w:r w:rsidRPr="00572CC5">
              <w:rPr>
                <w:rFonts w:eastAsia="Times New Roman" w:cs="Times New Roman"/>
                <w:b/>
                <w:color w:val="000000"/>
              </w:rPr>
              <w:t xml:space="preserve">period of membership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also Rule 3.5.5)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 is 0.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X is the amount calculated by the following formula:</w:t>
            </w:r>
          </w:p>
          <w:p w:rsidR="00A31C73" w:rsidRPr="00572CC5" w:rsidRDefault="00333C97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lang w:eastAsia="en-AU"/>
              </w:rPr>
              <w:drawing>
                <wp:inline distT="0" distB="0" distL="0" distR="0" wp14:anchorId="3AB5BD62">
                  <wp:extent cx="1915160" cy="46037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168" cy="461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lastRenderedPageBreak/>
              <w:t>where:</w:t>
            </w:r>
          </w:p>
          <w:p w:rsidR="00A31C73" w:rsidRPr="00572CC5" w:rsidRDefault="00A31C73" w:rsidP="00480092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D  is 1 plus the number of days between the date of the regular member’s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 xml:space="preserve"> and the date of his/her </w:t>
            </w:r>
            <w:r w:rsidRPr="00572CC5">
              <w:rPr>
                <w:rFonts w:eastAsia="Times New Roman" w:cs="Times New Roman"/>
                <w:b/>
                <w:color w:val="000000"/>
              </w:rPr>
              <w:t>first day of membership</w:t>
            </w:r>
            <w:r w:rsidRPr="00572CC5">
              <w:rPr>
                <w:rFonts w:eastAsia="Times New Roman" w:cs="Times New Roman"/>
                <w:color w:val="000000"/>
              </w:rPr>
              <w:t>; and</w:t>
            </w:r>
          </w:p>
          <w:p w:rsidR="00A31C73" w:rsidRPr="00572CC5" w:rsidRDefault="00A31C73" w:rsidP="00480092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O 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="00D34EAE" w:rsidRPr="00572CC5">
              <w:rPr>
                <w:rFonts w:eastAsia="Times New Roman" w:cs="Times New Roman"/>
                <w:color w:val="000000"/>
              </w:rPr>
              <w:t xml:space="preserve"> on the date of </w:t>
            </w:r>
            <w:r w:rsidRPr="00572CC5">
              <w:rPr>
                <w:rFonts w:eastAsia="Times New Roman" w:cs="Times New Roman"/>
                <w:color w:val="000000"/>
              </w:rPr>
              <w:t xml:space="preserve">his/her cessation on </w:t>
            </w:r>
            <w:r w:rsidRPr="00572CC5">
              <w:rPr>
                <w:rFonts w:eastAsia="Times New Roman" w:cs="Times New Roman"/>
                <w:b/>
                <w:color w:val="000000"/>
              </w:rPr>
              <w:t>involuntary retirement</w:t>
            </w:r>
            <w:r w:rsidRPr="00572CC5">
              <w:rPr>
                <w:rFonts w:eastAsia="Times New Roman" w:cs="Times New Roman"/>
                <w:color w:val="000000"/>
              </w:rPr>
              <w:t>; and</w:t>
            </w:r>
          </w:p>
          <w:p w:rsidR="00A31C73" w:rsidRPr="00572CC5" w:rsidRDefault="00A31C73" w:rsidP="00A31C73">
            <w:pPr>
              <w:widowControl w:val="0"/>
              <w:spacing w:before="40" w:after="4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P  is the regular member’s salary for </w:t>
            </w:r>
            <w:r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Pr="00572CC5">
              <w:rPr>
                <w:rFonts w:eastAsia="Times New Roman" w:cs="Times New Roman"/>
                <w:i/>
                <w:color w:val="000000"/>
              </w:rPr>
              <w:t xml:space="preserve">(see Rule 3.5.2) </w:t>
            </w:r>
            <w:r w:rsidRPr="00572CC5">
              <w:rPr>
                <w:rFonts w:eastAsia="Times New Roman" w:cs="Times New Roman"/>
                <w:color w:val="000000"/>
              </w:rPr>
              <w:t xml:space="preserve">on his/her </w:t>
            </w:r>
            <w:r w:rsidRPr="00572CC5">
              <w:rPr>
                <w:rFonts w:eastAsia="Times New Roman" w:cs="Times New Roman"/>
                <w:b/>
                <w:color w:val="000000"/>
              </w:rPr>
              <w:t>first day of membership</w:t>
            </w:r>
            <w:r w:rsidRPr="00572CC5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A31C73" w:rsidRPr="00572CC5" w:rsidTr="00A87A79">
        <w:trPr>
          <w:trHeight w:val="402"/>
        </w:trPr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lastRenderedPageBreak/>
              <w:t>B1</w:t>
            </w:r>
            <w:r w:rsidRPr="00572CC5">
              <w:rPr>
                <w:rFonts w:eastAsia="Times New Roman" w:cs="Times New Roman"/>
                <w:color w:val="000000"/>
                <w:position w:val="-5"/>
                <w:sz w:val="12"/>
              </w:rPr>
              <w:t xml:space="preserve">    </w:t>
            </w:r>
            <w:r w:rsidRPr="00572CC5">
              <w:rPr>
                <w:rFonts w:eastAsia="Times New Roman" w:cs="Times New Roman"/>
                <w:color w:val="000000"/>
              </w:rPr>
              <w:t>is 0.</w:t>
            </w:r>
          </w:p>
        </w:tc>
      </w:tr>
      <w:tr w:rsidR="00A31C73" w:rsidRPr="00572CC5" w:rsidTr="00A87A79">
        <w:trPr>
          <w:trHeight w:val="410"/>
        </w:trPr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B2  is 0.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B3  is 0.</w:t>
            </w:r>
          </w:p>
        </w:tc>
      </w:tr>
      <w:tr w:rsidR="00A31C73" w:rsidRPr="00572CC5" w:rsidTr="00A87A79">
        <w:tc>
          <w:tcPr>
            <w:tcW w:w="4781" w:type="dxa"/>
          </w:tcPr>
          <w:p w:rsidR="00A31C73" w:rsidRPr="00572CC5" w:rsidRDefault="00D34EAE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 xml:space="preserve">E is the regular member’s 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salary for </w:t>
            </w:r>
            <w:r w:rsidR="00A31C73" w:rsidRPr="00572CC5">
              <w:rPr>
                <w:rFonts w:eastAsia="Times New Roman" w:cs="Times New Roman"/>
                <w:b/>
                <w:color w:val="000000"/>
              </w:rPr>
              <w:t>average salary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 purposes </w:t>
            </w:r>
            <w:r w:rsidR="00A31C73" w:rsidRPr="00572CC5">
              <w:rPr>
                <w:rFonts w:eastAsia="Times New Roman" w:cs="Times New Roman"/>
                <w:i/>
                <w:color w:val="000000"/>
              </w:rPr>
              <w:t>(see Rule 3.5.2)</w:t>
            </w:r>
            <w:r w:rsidR="00A31C73" w:rsidRPr="00572CC5">
              <w:rPr>
                <w:rFonts w:eastAsia="Times New Roman" w:cs="Times New Roman"/>
                <w:color w:val="000000"/>
              </w:rPr>
              <w:t xml:space="preserve"> on his/her </w:t>
            </w:r>
            <w:r w:rsidR="00A31C73" w:rsidRPr="00572CC5">
              <w:rPr>
                <w:rFonts w:eastAsia="Times New Roman" w:cs="Times New Roman"/>
                <w:b/>
                <w:color w:val="000000"/>
              </w:rPr>
              <w:t>first day of membership</w:t>
            </w:r>
            <w:r w:rsidR="00A31C73" w:rsidRPr="00572CC5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859" w:type="dxa"/>
            <w:gridSpan w:val="2"/>
          </w:tcPr>
          <w:p w:rsidR="00A31C73" w:rsidRPr="00572CC5" w:rsidRDefault="00A31C73" w:rsidP="00A31C73">
            <w:pPr>
              <w:widowControl w:val="0"/>
              <w:spacing w:before="120" w:after="120" w:line="240" w:lineRule="auto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E  is 0.</w:t>
            </w:r>
          </w:p>
        </w:tc>
      </w:tr>
      <w:tr w:rsidR="00A31C73" w:rsidRPr="00572CC5" w:rsidTr="00A87A79">
        <w:tc>
          <w:tcPr>
            <w:tcW w:w="9640" w:type="dxa"/>
            <w:gridSpan w:val="3"/>
          </w:tcPr>
          <w:p w:rsidR="00A31C73" w:rsidRPr="00572CC5" w:rsidRDefault="00A31C73" w:rsidP="00D34EAE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72CC5">
              <w:rPr>
                <w:rFonts w:eastAsia="Times New Roman" w:cs="Times New Roman"/>
                <w:color w:val="000000"/>
              </w:rPr>
              <w:t>n  is 1.</w:t>
            </w:r>
          </w:p>
        </w:tc>
      </w:tr>
    </w:tbl>
    <w:p w:rsidR="00EC7130" w:rsidRPr="00572CC5" w:rsidRDefault="00EF6DFF" w:rsidP="00EC7130">
      <w:pPr>
        <w:pStyle w:val="ItemHead"/>
      </w:pPr>
      <w:r w:rsidRPr="00572CC5">
        <w:t xml:space="preserve">2  </w:t>
      </w:r>
      <w:r w:rsidR="00EC7130" w:rsidRPr="00572CC5">
        <w:t>Rule 5.2.1</w:t>
      </w:r>
    </w:p>
    <w:p w:rsidR="00EC7130" w:rsidRPr="00572CC5" w:rsidRDefault="00EC7130" w:rsidP="00EC7130">
      <w:pPr>
        <w:pStyle w:val="Item"/>
      </w:pPr>
      <w:r w:rsidRPr="00572CC5">
        <w:t>Omit “under this Division”.</w:t>
      </w:r>
    </w:p>
    <w:p w:rsidR="00EC7130" w:rsidRPr="00572CC5" w:rsidRDefault="00EC7130" w:rsidP="00EC7130">
      <w:pPr>
        <w:pStyle w:val="ItemHead"/>
      </w:pPr>
      <w:r w:rsidRPr="00572CC5">
        <w:t>3  Rule 5.2.1</w:t>
      </w:r>
    </w:p>
    <w:p w:rsidR="00EC7130" w:rsidRPr="00572CC5" w:rsidRDefault="00EC7130" w:rsidP="00F25C83">
      <w:pPr>
        <w:pStyle w:val="Item"/>
      </w:pPr>
      <w:r w:rsidRPr="00572CC5">
        <w:t xml:space="preserve">Repeal the </w:t>
      </w:r>
      <w:r w:rsidR="00074563" w:rsidRPr="00572CC5">
        <w:t>t</w:t>
      </w:r>
      <w:r w:rsidRPr="00572CC5">
        <w:t>able, substitute:</w:t>
      </w:r>
    </w:p>
    <w:p w:rsidR="00EC7130" w:rsidRPr="00572CC5" w:rsidRDefault="00EC7130" w:rsidP="00AB35D7">
      <w:pPr>
        <w:pStyle w:val="Item"/>
        <w:ind w:left="0"/>
      </w:pPr>
    </w:p>
    <w:tbl>
      <w:tblPr>
        <w:tblW w:w="9398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8"/>
        <w:gridCol w:w="2551"/>
        <w:gridCol w:w="4961"/>
        <w:gridCol w:w="1418"/>
      </w:tblGrid>
      <w:tr w:rsidR="00EC7130" w:rsidRPr="00572CC5" w:rsidTr="00B852ED">
        <w:trPr>
          <w:cantSplit/>
        </w:trPr>
        <w:tc>
          <w:tcPr>
            <w:tcW w:w="93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4"/>
              </w:rPr>
            </w:pPr>
            <w:r w:rsidRPr="00572CC5">
              <w:rPr>
                <w:rFonts w:eastAsia="Times New Roman" w:cs="Times New Roman"/>
                <w:b/>
                <w:snapToGrid w:val="0"/>
                <w:color w:val="000000"/>
                <w:sz w:val="24"/>
              </w:rPr>
              <w:t>Quick Guide to the Components of a Benefit Accrual Multiple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Possible Components</w:t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ind w:left="1659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Results from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See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On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noBreakHyphen/>
              <w:t>going Multiple</w:t>
            </w:r>
          </w:p>
        </w:tc>
        <w:tc>
          <w:tcPr>
            <w:tcW w:w="496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Paying fortnightly contributions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5.2.2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Additional Cover 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br/>
              <w:t>Multiple</w:t>
            </w:r>
          </w:p>
        </w:tc>
        <w:tc>
          <w:tcPr>
            <w:tcW w:w="496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An amount received from a life office in respect of a policy for extra death and invalidity cover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5.2.10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Preserved Multiple</w:t>
            </w:r>
          </w:p>
        </w:tc>
        <w:tc>
          <w:tcPr>
            <w:tcW w:w="496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preserved benefit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from a previous period of PSS membership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5.2.12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Restoration Multiple</w:t>
            </w:r>
          </w:p>
        </w:tc>
        <w:tc>
          <w:tcPr>
            <w:tcW w:w="496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 former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invalidity pensioner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again becoming a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member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5.2.14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Excess Contribution Multiple </w:t>
            </w:r>
          </w:p>
        </w:tc>
        <w:tc>
          <w:tcPr>
            <w:tcW w:w="496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Paying fortnightly contributions above the maximum average rate that attract employer benefits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5.2.16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Unfunded Transfer 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br/>
              <w:t>Multiple</w:t>
            </w:r>
          </w:p>
        </w:tc>
        <w:tc>
          <w:tcPr>
            <w:tcW w:w="496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An amount transferred on entry to the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PSS scheme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 that is exclusively productivity benefit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5.2.18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Membership Transfer Multiple</w:t>
            </w:r>
          </w:p>
        </w:tc>
        <w:tc>
          <w:tcPr>
            <w:tcW w:w="496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Combining benefits from previously concurrent periods of membership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5.2.20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CSS Transfer Multiple</w:t>
            </w:r>
          </w:p>
        </w:tc>
        <w:tc>
          <w:tcPr>
            <w:tcW w:w="496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Transferring entitlements from the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CSS scheme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Division 2 of Part 14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Non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noBreakHyphen/>
              <w:t>Cash Transfer Multiple</w:t>
            </w:r>
          </w:p>
        </w:tc>
        <w:tc>
          <w:tcPr>
            <w:tcW w:w="4961" w:type="dxa"/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An amount that would otherwise have been payable to an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approved superannuation scheme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in respect of a person who had transferred to that scheme from the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 xml:space="preserve"> PSS scheme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or the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CSS scheme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5.2.23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Reduction Multiple</w:t>
            </w:r>
          </w:p>
        </w:tc>
        <w:tc>
          <w:tcPr>
            <w:tcW w:w="4961" w:type="dxa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 xml:space="preserve">The application of a </w:t>
            </w:r>
            <w:r w:rsidRPr="00572CC5">
              <w:rPr>
                <w:rFonts w:eastAsia="Times New Roman" w:cs="Times New Roman"/>
                <w:b/>
                <w:szCs w:val="22"/>
              </w:rPr>
              <w:t>splitting agreement</w:t>
            </w:r>
            <w:r w:rsidRPr="00572CC5">
              <w:rPr>
                <w:rFonts w:eastAsia="Times New Roman" w:cs="Times New Roman"/>
                <w:szCs w:val="22"/>
              </w:rPr>
              <w:t xml:space="preserve"> or </w:t>
            </w:r>
            <w:r w:rsidRPr="00572CC5">
              <w:rPr>
                <w:rFonts w:eastAsia="Times New Roman" w:cs="Times New Roman"/>
                <w:b/>
                <w:szCs w:val="22"/>
              </w:rPr>
              <w:t>splitting</w:t>
            </w:r>
            <w:r w:rsidRPr="00572CC5">
              <w:rPr>
                <w:rFonts w:eastAsia="Times New Roman" w:cs="Times New Roman"/>
                <w:szCs w:val="22"/>
              </w:rPr>
              <w:t xml:space="preserve"> </w:t>
            </w:r>
            <w:r w:rsidRPr="00572CC5">
              <w:rPr>
                <w:rFonts w:eastAsia="Times New Roman" w:cs="Times New Roman"/>
                <w:b/>
                <w:szCs w:val="22"/>
              </w:rPr>
              <w:t>order</w:t>
            </w:r>
            <w:r w:rsidRPr="00572CC5">
              <w:rPr>
                <w:rFonts w:eastAsia="Times New Roman" w:cs="Times New Roman"/>
                <w:szCs w:val="22"/>
              </w:rPr>
              <w:t xml:space="preserve"> under Part 16.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Rule 16.4.3</w:t>
            </w:r>
          </w:p>
        </w:tc>
      </w:tr>
      <w:tr w:rsidR="00EC7130" w:rsidRPr="00572CC5" w:rsidTr="00B852ED">
        <w:trPr>
          <w:cantSplit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Former MBL Multiple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 xml:space="preserve">A </w:t>
            </w:r>
            <w:r w:rsidRPr="00572CC5">
              <w:rPr>
                <w:rFonts w:eastAsia="Times New Roman" w:cs="Times New Roman"/>
                <w:b/>
                <w:szCs w:val="22"/>
              </w:rPr>
              <w:t>member</w:t>
            </w:r>
            <w:r w:rsidRPr="00572CC5">
              <w:rPr>
                <w:rFonts w:eastAsia="Times New Roman" w:cs="Times New Roman"/>
                <w:szCs w:val="22"/>
              </w:rPr>
              <w:t xml:space="preserve"> who was a </w:t>
            </w:r>
            <w:r w:rsidRPr="00572CC5">
              <w:rPr>
                <w:rFonts w:eastAsia="Times New Roman" w:cs="Times New Roman"/>
                <w:b/>
                <w:szCs w:val="22"/>
              </w:rPr>
              <w:t>maximum benefits</w:t>
            </w:r>
            <w:r w:rsidRPr="00572CC5">
              <w:rPr>
                <w:rFonts w:eastAsia="Times New Roman" w:cs="Times New Roman"/>
                <w:szCs w:val="22"/>
              </w:rPr>
              <w:t xml:space="preserve"> </w:t>
            </w:r>
            <w:r w:rsidRPr="00572CC5">
              <w:rPr>
                <w:rFonts w:eastAsia="Times New Roman" w:cs="Times New Roman"/>
                <w:b/>
                <w:szCs w:val="22"/>
              </w:rPr>
              <w:t>member</w:t>
            </w:r>
            <w:r w:rsidRPr="00572CC5">
              <w:rPr>
                <w:rFonts w:eastAsia="Times New Roman" w:cs="Times New Roman"/>
                <w:szCs w:val="22"/>
              </w:rPr>
              <w:t xml:space="preserve"> immediately before 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8"/>
              </w:smartTagPr>
              <w:r w:rsidRPr="00572CC5">
                <w:rPr>
                  <w:rFonts w:eastAsia="Times New Roman" w:cs="Times New Roman"/>
                  <w:szCs w:val="22"/>
                </w:rPr>
                <w:t>1 January 2008</w:t>
              </w:r>
            </w:smartTag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EC7130" w:rsidRPr="00572CC5" w:rsidRDefault="00EC7130" w:rsidP="00B852ED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Rule 5.6.8</w:t>
            </w:r>
          </w:p>
        </w:tc>
      </w:tr>
    </w:tbl>
    <w:p w:rsidR="00EC7130" w:rsidRPr="00572CC5" w:rsidRDefault="00EC7130" w:rsidP="00EC7130">
      <w:pPr>
        <w:pStyle w:val="ItemHead"/>
      </w:pPr>
      <w:r w:rsidRPr="00572CC5">
        <w:t>4  Rule 5.2.22</w:t>
      </w:r>
    </w:p>
    <w:p w:rsidR="00EC7130" w:rsidRPr="00572CC5" w:rsidRDefault="00074563" w:rsidP="00F25C83">
      <w:pPr>
        <w:pStyle w:val="Item"/>
      </w:pPr>
      <w:r w:rsidRPr="00572CC5">
        <w:t>Repeal the rule, including the h</w:t>
      </w:r>
      <w:r w:rsidR="00EC7130" w:rsidRPr="00572CC5">
        <w:t>eading “CSS Transfer Multiple”.</w:t>
      </w:r>
    </w:p>
    <w:p w:rsidR="00EC7130" w:rsidRPr="00572CC5" w:rsidRDefault="00EC7130" w:rsidP="00EC7130">
      <w:pPr>
        <w:pStyle w:val="ItemHead"/>
      </w:pPr>
      <w:r w:rsidRPr="00572CC5">
        <w:t>5  After Rule 5.2.25</w:t>
      </w:r>
    </w:p>
    <w:p w:rsidR="00EC7130" w:rsidRPr="00572CC5" w:rsidRDefault="00EC7130" w:rsidP="00EC7130">
      <w:pPr>
        <w:pStyle w:val="Item"/>
      </w:pPr>
      <w:r w:rsidRPr="00572CC5">
        <w:t>Insert:</w:t>
      </w:r>
    </w:p>
    <w:p w:rsidR="00EC7130" w:rsidRPr="00572CC5" w:rsidRDefault="00C31090" w:rsidP="002D7EF6">
      <w:pPr>
        <w:pStyle w:val="ItemHead"/>
      </w:pPr>
      <w:r w:rsidRPr="00572CC5">
        <w:rPr>
          <w:noProof/>
        </w:rPr>
        <mc:AlternateContent>
          <mc:Choice Requires="wps">
            <w:drawing>
              <wp:inline distT="0" distB="0" distL="0" distR="0">
                <wp:extent cx="5461200" cy="1828800"/>
                <wp:effectExtent l="0" t="0" r="25400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2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130" w:rsidRDefault="00EC7130" w:rsidP="00EC71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 Multiples may be Applicable</w:t>
                            </w:r>
                            <w:r w:rsidR="0095004D">
                              <w:rPr>
                                <w:b/>
                              </w:rPr>
                              <w:t xml:space="preserve"> to a Regular Member</w:t>
                            </w:r>
                          </w:p>
                          <w:p w:rsidR="00EC7130" w:rsidRDefault="00EC7130" w:rsidP="00EC7130">
                            <w:pPr>
                              <w:rPr>
                                <w:b/>
                              </w:rPr>
                            </w:pPr>
                          </w:p>
                          <w:p w:rsidR="00EC7130" w:rsidRDefault="00EC7130" w:rsidP="00EC7130">
                            <w:r w:rsidRPr="007656BC">
                              <w:rPr>
                                <w:b/>
                              </w:rPr>
                              <w:t>Note 1:</w:t>
                            </w:r>
                            <w:r>
                              <w:t xml:space="preserve"> The applicability of, and method for calculating, a CSS Transfer Multiple is set out in Division 2 of Part 14.</w:t>
                            </w:r>
                          </w:p>
                          <w:p w:rsidR="00EC7130" w:rsidRDefault="00EC7130" w:rsidP="00EC7130"/>
                          <w:p w:rsidR="00EC7130" w:rsidRDefault="00EC7130" w:rsidP="00EC7130">
                            <w:r w:rsidRPr="00360CDB">
                              <w:rPr>
                                <w:b/>
                              </w:rPr>
                              <w:t>Note 2</w:t>
                            </w:r>
                            <w:r>
                              <w:t xml:space="preserve">: A Reduction Multiple applies to a </w:t>
                            </w:r>
                            <w:r w:rsidRPr="007656BC">
                              <w:rPr>
                                <w:b/>
                              </w:rPr>
                              <w:t>member</w:t>
                            </w:r>
                            <w:r>
                              <w:t xml:space="preserve"> to whom Part 16 applies and is calculated under Rule 16.4.3. The multiple is to be used to reduce the Benefit Accrual Multiple.</w:t>
                            </w:r>
                          </w:p>
                          <w:p w:rsidR="00EC7130" w:rsidRDefault="00EC7130" w:rsidP="00EC7130"/>
                          <w:p w:rsidR="00EC7130" w:rsidRPr="007656BC" w:rsidRDefault="00EC7130" w:rsidP="00EC7130">
                            <w:pPr>
                              <w:rPr>
                                <w:b/>
                              </w:rPr>
                            </w:pPr>
                            <w:r w:rsidRPr="007656BC">
                              <w:rPr>
                                <w:b/>
                              </w:rPr>
                              <w:t xml:space="preserve">Note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7656BC">
                              <w:rPr>
                                <w:b/>
                              </w:rPr>
                              <w:t>:</w:t>
                            </w:r>
                            <w:r w:rsidRPr="007656BC">
                              <w:t xml:space="preserve"> A </w:t>
                            </w:r>
                            <w:r>
                              <w:t xml:space="preserve">Former MBL Multiple applies to a </w:t>
                            </w:r>
                            <w:r w:rsidRPr="007656BC">
                              <w:rPr>
                                <w:b/>
                              </w:rPr>
                              <w:t>member</w:t>
                            </w:r>
                            <w:r>
                              <w:t xml:space="preserve"> who, immediately before 1 January 2008, was a </w:t>
                            </w:r>
                            <w:r w:rsidRPr="007656BC">
                              <w:rPr>
                                <w:b/>
                              </w:rPr>
                              <w:t>maximum benefits member</w:t>
                            </w:r>
                            <w:r>
                              <w:t xml:space="preserve"> and is calculated under Rule 5.6.8.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0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" fillcolor="#f2f2f2">
                <v:textbox>
                  <w:txbxContent>
                    <w:p w14:paraId="7550D073" w14:textId="77777777" w:rsidR="00EC7130" w:rsidRDefault="00EC7130" w:rsidP="00EC71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Additional Multiples may be Applicable</w:t>
                      </w:r>
                      <w:r w:rsidR="0095004D">
                        <w:rPr>
                          <w:b/>
                        </w:rPr>
                        <w:t xml:space="preserve"> to a Regular Member</w:t>
                      </w:r>
                    </w:p>
                    <w:p w14:paraId="3859BDE5" w14:textId="77777777" w:rsidR="00EC7130" w:rsidRDefault="00EC7130" w:rsidP="00EC7130">
                      <w:pPr>
                        <w:rPr>
                          <w:b/>
                        </w:rPr>
                      </w:pPr>
                    </w:p>
                    <w:p w14:paraId="65D6C63E" w14:textId="77777777" w:rsidR="00EC7130" w:rsidRDefault="00EC7130" w:rsidP="00EC7130">
                      <w:r w:rsidRPr="007656BC">
                        <w:rPr>
                          <w:b/>
                        </w:rPr>
                        <w:t>Note 1:</w:t>
                      </w:r>
                      <w:r>
                        <w:t xml:space="preserve"> The applicability of, and method for calculating, a CSS Transfer Multiple is set out in Division 2 of Part 14.</w:t>
                      </w:r>
                    </w:p>
                    <w:p w14:paraId="7B80205F" w14:textId="77777777" w:rsidR="00EC7130" w:rsidRDefault="00EC7130" w:rsidP="00EC7130"/>
                    <w:p w14:paraId="7D66D345" w14:textId="77777777" w:rsidR="00EC7130" w:rsidRDefault="00EC7130" w:rsidP="00EC7130">
                      <w:r w:rsidRPr="00360CDB">
                        <w:rPr>
                          <w:b/>
                        </w:rPr>
                        <w:t>Note 2</w:t>
                      </w:r>
                      <w:r>
                        <w:t xml:space="preserve">: A Reduction Multiple applies to a </w:t>
                      </w:r>
                      <w:r w:rsidRPr="007656BC">
                        <w:rPr>
                          <w:b/>
                        </w:rPr>
                        <w:t>member</w:t>
                      </w:r>
                      <w:r>
                        <w:t xml:space="preserve"> to whom Part 16 applies and is calculated under Rule 16.4.3. The multiple is to be used to reduce the Benefit Accrual Multiple.</w:t>
                      </w:r>
                    </w:p>
                    <w:p w14:paraId="6CC3FA85" w14:textId="77777777" w:rsidR="00EC7130" w:rsidRDefault="00EC7130" w:rsidP="00EC7130"/>
                    <w:p w14:paraId="356EB548" w14:textId="77777777" w:rsidR="00EC7130" w:rsidRPr="007656BC" w:rsidRDefault="00EC7130" w:rsidP="00EC7130">
                      <w:pPr>
                        <w:rPr>
                          <w:b/>
                        </w:rPr>
                      </w:pPr>
                      <w:r w:rsidRPr="007656BC">
                        <w:rPr>
                          <w:b/>
                        </w:rPr>
                        <w:t xml:space="preserve">Note </w:t>
                      </w:r>
                      <w:r>
                        <w:rPr>
                          <w:b/>
                        </w:rPr>
                        <w:t>3</w:t>
                      </w:r>
                      <w:r w:rsidRPr="007656BC">
                        <w:rPr>
                          <w:b/>
                        </w:rPr>
                        <w:t>:</w:t>
                      </w:r>
                      <w:r w:rsidRPr="007656BC">
                        <w:t xml:space="preserve"> A </w:t>
                      </w:r>
                      <w:r>
                        <w:t xml:space="preserve">Former MBL Multiple applies to a </w:t>
                      </w:r>
                      <w:r w:rsidRPr="007656BC">
                        <w:rPr>
                          <w:b/>
                        </w:rPr>
                        <w:t>member</w:t>
                      </w:r>
                      <w:r>
                        <w:t xml:space="preserve"> who, immediately before 1 January 2008, was a </w:t>
                      </w:r>
                      <w:r w:rsidRPr="007656BC">
                        <w:rPr>
                          <w:b/>
                        </w:rPr>
                        <w:t>maximum benefits member</w:t>
                      </w:r>
                      <w:r>
                        <w:t xml:space="preserve"> and is calculated under Rule 5.6.8.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7130" w:rsidRPr="00572CC5" w:rsidRDefault="00EC7130" w:rsidP="00EC7130">
      <w:pPr>
        <w:pStyle w:val="ItemHead"/>
      </w:pPr>
      <w:r w:rsidRPr="00572CC5">
        <w:t>6  Rule 5.2.26</w:t>
      </w:r>
    </w:p>
    <w:p w:rsidR="00EC7130" w:rsidRPr="00572CC5" w:rsidRDefault="00074563" w:rsidP="00EC7130">
      <w:pPr>
        <w:pStyle w:val="Item"/>
      </w:pPr>
      <w:r w:rsidRPr="00572CC5">
        <w:t>Repeal the rule, including the h</w:t>
      </w:r>
      <w:r w:rsidR="00EC7130" w:rsidRPr="00572CC5">
        <w:t>eading “Reduction Multiple”.</w:t>
      </w:r>
    </w:p>
    <w:p w:rsidR="00EC7130" w:rsidRPr="00572CC5" w:rsidRDefault="00EC7130" w:rsidP="00EC7130">
      <w:pPr>
        <w:pStyle w:val="ItemHead"/>
      </w:pPr>
      <w:r w:rsidRPr="00572CC5">
        <w:t>7  Rule 5.2.27</w:t>
      </w:r>
    </w:p>
    <w:p w:rsidR="00EC7130" w:rsidRPr="00572CC5" w:rsidRDefault="00074563" w:rsidP="00F25C83">
      <w:pPr>
        <w:pStyle w:val="Item"/>
      </w:pPr>
      <w:r w:rsidRPr="00572CC5">
        <w:t>Repeal the rule, including the h</w:t>
      </w:r>
      <w:r w:rsidR="00EC7130" w:rsidRPr="00572CC5">
        <w:t>eading “Former MBL Multiple”.</w:t>
      </w:r>
    </w:p>
    <w:p w:rsidR="00EF6DFF" w:rsidRPr="00572CC5" w:rsidRDefault="00595509" w:rsidP="00EF6DFF">
      <w:pPr>
        <w:pStyle w:val="ItemHead"/>
      </w:pPr>
      <w:r>
        <w:t>8</w:t>
      </w:r>
      <w:r w:rsidR="00EC7130" w:rsidRPr="00572CC5">
        <w:t xml:space="preserve">  </w:t>
      </w:r>
      <w:r w:rsidR="00EF6DFF" w:rsidRPr="00572CC5">
        <w:t>Rule 5.3.1</w:t>
      </w:r>
    </w:p>
    <w:p w:rsidR="00EF6DFF" w:rsidRPr="00572CC5" w:rsidRDefault="00EF6DFF" w:rsidP="00A87A79">
      <w:pPr>
        <w:pStyle w:val="Item"/>
      </w:pPr>
      <w:r w:rsidRPr="00572CC5">
        <w:t>Omit “under this Division”.</w:t>
      </w:r>
    </w:p>
    <w:p w:rsidR="00EF6DFF" w:rsidRPr="00572CC5" w:rsidRDefault="00EC7130" w:rsidP="00A87A79">
      <w:pPr>
        <w:pStyle w:val="ItemHead"/>
      </w:pPr>
      <w:r w:rsidRPr="00572CC5">
        <w:lastRenderedPageBreak/>
        <w:t>9</w:t>
      </w:r>
      <w:r w:rsidR="00EF6DFF" w:rsidRPr="00572CC5">
        <w:t xml:space="preserve">  Rule 5.3.1</w:t>
      </w:r>
    </w:p>
    <w:p w:rsidR="00EF6DFF" w:rsidRPr="00572CC5" w:rsidRDefault="00074563" w:rsidP="00A87A79">
      <w:pPr>
        <w:pStyle w:val="Item"/>
      </w:pPr>
      <w:r w:rsidRPr="00572CC5">
        <w:t>Repeal the t</w:t>
      </w:r>
      <w:r w:rsidR="00EF6DFF" w:rsidRPr="00572CC5">
        <w:t>able, substitute:</w:t>
      </w:r>
    </w:p>
    <w:p w:rsidR="00EF6DFF" w:rsidRPr="00572CC5" w:rsidRDefault="00EF6DFF" w:rsidP="00A87A79">
      <w:pPr>
        <w:pStyle w:val="Item"/>
        <w:ind w:left="0"/>
      </w:pP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28"/>
        <w:gridCol w:w="2635"/>
        <w:gridCol w:w="4859"/>
        <w:gridCol w:w="1217"/>
      </w:tblGrid>
      <w:tr w:rsidR="00EF6DFF" w:rsidRPr="00572CC5" w:rsidTr="004C3D45">
        <w:trPr>
          <w:cantSplit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b/>
                <w:snapToGrid w:val="0"/>
                <w:color w:val="000000"/>
                <w:sz w:val="24"/>
              </w:rPr>
              <w:t>Quick Guide to the Components of a Benefit Accrual Multiple</w:t>
            </w:r>
          </w:p>
        </w:tc>
      </w:tr>
      <w:tr w:rsidR="00EF6DFF" w:rsidRPr="00572CC5" w:rsidTr="004C3D45"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  <w:tcBorders>
              <w:top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Possible Components</w:t>
            </w:r>
          </w:p>
        </w:tc>
        <w:tc>
          <w:tcPr>
            <w:tcW w:w="4859" w:type="dxa"/>
            <w:tcBorders>
              <w:top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Results from</w:t>
            </w:r>
          </w:p>
        </w:tc>
        <w:tc>
          <w:tcPr>
            <w:tcW w:w="1217" w:type="dxa"/>
            <w:tcBorders>
              <w:top w:val="single" w:sz="4" w:space="0" w:color="000000"/>
              <w:righ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See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On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noBreakHyphen/>
              <w:t>going Multiple</w:t>
            </w:r>
          </w:p>
        </w:tc>
        <w:tc>
          <w:tcPr>
            <w:tcW w:w="4859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Paying fortnightly contributions 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5.3.2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Additional Cover Multiple</w:t>
            </w:r>
          </w:p>
        </w:tc>
        <w:tc>
          <w:tcPr>
            <w:tcW w:w="4859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An amount received from a life office in respect of a policy for extra death and invalidity cover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5.3.10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Preserved Multiple</w:t>
            </w:r>
          </w:p>
        </w:tc>
        <w:tc>
          <w:tcPr>
            <w:tcW w:w="4859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preserved benefit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from a previous period of PSS membership 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5.3.12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Restoration Multiple</w:t>
            </w:r>
          </w:p>
        </w:tc>
        <w:tc>
          <w:tcPr>
            <w:tcW w:w="4859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 former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invalidity pensioner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again becoming a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member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5.3.14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Excess Contribution Multiple </w:t>
            </w:r>
          </w:p>
        </w:tc>
        <w:tc>
          <w:tcPr>
            <w:tcW w:w="4859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Paying fortnightly contributions above the maximum average rate that attract employer benefits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5.3.16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Unfunded Transfer Multiple</w:t>
            </w:r>
          </w:p>
        </w:tc>
        <w:tc>
          <w:tcPr>
            <w:tcW w:w="4859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An amount transferred on entry to the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PSS scheme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that is exclusively productivity benefit 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5.3.18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Membership Transfer Multiple</w:t>
            </w:r>
          </w:p>
        </w:tc>
        <w:tc>
          <w:tcPr>
            <w:tcW w:w="4859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Combining benefits from previously concurrent periods of membership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5.3.20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CSS Transfer Multiple</w:t>
            </w:r>
          </w:p>
        </w:tc>
        <w:tc>
          <w:tcPr>
            <w:tcW w:w="4859" w:type="dxa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Transferring entitlements from the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CSS scheme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Division 2 of Part 14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Non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noBreakHyphen/>
              <w:t>Cash Transfer Multiple</w:t>
            </w:r>
          </w:p>
        </w:tc>
        <w:tc>
          <w:tcPr>
            <w:tcW w:w="4859" w:type="dxa"/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An amount that would otherwise have been payable to an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approved superannuation scheme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in respect of a person who had transferred to that scheme from the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PSS scheme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 xml:space="preserve"> or the </w:t>
            </w:r>
            <w:r w:rsidRPr="00572CC5">
              <w:rPr>
                <w:rFonts w:eastAsia="Times New Roman" w:cs="Times New Roman"/>
                <w:b/>
                <w:snapToGrid w:val="0"/>
                <w:color w:val="000000"/>
              </w:rPr>
              <w:t>CSS scheme</w:t>
            </w:r>
            <w:r w:rsidRPr="00572CC5">
              <w:rPr>
                <w:rFonts w:eastAsia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 w:rsidRPr="00572CC5">
              <w:rPr>
                <w:rFonts w:eastAsia="Times New Roman" w:cs="Times New Roman"/>
                <w:snapToGrid w:val="0"/>
                <w:color w:val="000000"/>
              </w:rPr>
              <w:t>Rule 5.3.23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</w:rPr>
            </w:pPr>
          </w:p>
        </w:tc>
        <w:tc>
          <w:tcPr>
            <w:tcW w:w="2635" w:type="dxa"/>
          </w:tcPr>
          <w:p w:rsidR="00EF6DFF" w:rsidRPr="00572CC5" w:rsidRDefault="00EF6DFF" w:rsidP="00EF6DFF">
            <w:pPr>
              <w:spacing w:before="80" w:after="80" w:line="240" w:lineRule="auto"/>
              <w:rPr>
                <w:rFonts w:eastAsia="Times New Roman" w:cs="Times New Roman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Reduction Multiple</w:t>
            </w:r>
          </w:p>
        </w:tc>
        <w:tc>
          <w:tcPr>
            <w:tcW w:w="4859" w:type="dxa"/>
          </w:tcPr>
          <w:p w:rsidR="00EF6DFF" w:rsidRPr="00572CC5" w:rsidRDefault="00EF6DFF" w:rsidP="00EF6DFF">
            <w:pPr>
              <w:spacing w:before="80" w:after="80" w:line="240" w:lineRule="auto"/>
              <w:rPr>
                <w:rFonts w:eastAsia="Times New Roman" w:cs="Times New Roman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 xml:space="preserve">The application of a </w:t>
            </w:r>
            <w:r w:rsidRPr="00572CC5">
              <w:rPr>
                <w:rFonts w:eastAsia="Times New Roman" w:cs="Times New Roman"/>
                <w:b/>
                <w:szCs w:val="22"/>
              </w:rPr>
              <w:t>splitting agreement</w:t>
            </w:r>
            <w:r w:rsidRPr="00572CC5">
              <w:rPr>
                <w:rFonts w:eastAsia="Times New Roman" w:cs="Times New Roman"/>
                <w:szCs w:val="22"/>
              </w:rPr>
              <w:t xml:space="preserve"> or </w:t>
            </w:r>
            <w:r w:rsidRPr="00572CC5">
              <w:rPr>
                <w:rFonts w:eastAsia="Times New Roman" w:cs="Times New Roman"/>
                <w:b/>
                <w:szCs w:val="22"/>
              </w:rPr>
              <w:t>splitting order</w:t>
            </w:r>
            <w:r w:rsidRPr="00572CC5">
              <w:rPr>
                <w:rFonts w:eastAsia="Times New Roman" w:cs="Times New Roman"/>
                <w:szCs w:val="22"/>
              </w:rPr>
              <w:t xml:space="preserve"> under Part 16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Rule 16.4.3</w:t>
            </w:r>
          </w:p>
        </w:tc>
      </w:tr>
      <w:tr w:rsidR="00EF6DFF" w:rsidRPr="00572CC5" w:rsidTr="004C3D45"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Former MBL Multiple</w:t>
            </w:r>
          </w:p>
        </w:tc>
        <w:tc>
          <w:tcPr>
            <w:tcW w:w="4859" w:type="dxa"/>
            <w:tcBorders>
              <w:bottom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 xml:space="preserve">A </w:t>
            </w:r>
            <w:r w:rsidRPr="00572CC5">
              <w:rPr>
                <w:rFonts w:eastAsia="Times New Roman" w:cs="Times New Roman"/>
                <w:b/>
                <w:szCs w:val="22"/>
              </w:rPr>
              <w:t>member</w:t>
            </w:r>
            <w:r w:rsidRPr="00572CC5">
              <w:rPr>
                <w:rFonts w:eastAsia="Times New Roman" w:cs="Times New Roman"/>
                <w:szCs w:val="22"/>
              </w:rPr>
              <w:t xml:space="preserve"> who was a </w:t>
            </w:r>
            <w:r w:rsidRPr="00572CC5">
              <w:rPr>
                <w:rFonts w:eastAsia="Times New Roman" w:cs="Times New Roman"/>
                <w:b/>
                <w:szCs w:val="22"/>
              </w:rPr>
              <w:t>maximum benefits</w:t>
            </w:r>
            <w:r w:rsidRPr="00572CC5">
              <w:rPr>
                <w:rFonts w:eastAsia="Times New Roman" w:cs="Times New Roman"/>
                <w:szCs w:val="22"/>
              </w:rPr>
              <w:t xml:space="preserve"> </w:t>
            </w:r>
            <w:r w:rsidRPr="00572CC5">
              <w:rPr>
                <w:rFonts w:eastAsia="Times New Roman" w:cs="Times New Roman"/>
                <w:b/>
                <w:szCs w:val="22"/>
              </w:rPr>
              <w:t>member</w:t>
            </w:r>
            <w:r w:rsidRPr="00572CC5">
              <w:rPr>
                <w:rFonts w:eastAsia="Times New Roman" w:cs="Times New Roman"/>
                <w:szCs w:val="22"/>
              </w:rPr>
              <w:t xml:space="preserve"> immediately before </w:t>
            </w:r>
            <w:smartTag w:uri="urn:schemas-microsoft-com:office:smarttags" w:element="date">
              <w:smartTagPr>
                <w:attr w:name="Year" w:val="2008"/>
                <w:attr w:name="Day" w:val="1"/>
                <w:attr w:name="Month" w:val="1"/>
              </w:smartTagPr>
              <w:r w:rsidRPr="00572CC5">
                <w:rPr>
                  <w:rFonts w:eastAsia="Times New Roman" w:cs="Times New Roman"/>
                  <w:szCs w:val="22"/>
                </w:rPr>
                <w:t>1 January 2008</w:t>
              </w:r>
            </w:smartTag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:rsidR="00EF6DFF" w:rsidRPr="00572CC5" w:rsidRDefault="00EF6DFF" w:rsidP="00EF6DFF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2"/>
              </w:rPr>
            </w:pPr>
            <w:r w:rsidRPr="00572CC5">
              <w:rPr>
                <w:rFonts w:eastAsia="Times New Roman" w:cs="Times New Roman"/>
                <w:szCs w:val="22"/>
              </w:rPr>
              <w:t>Rule 5.6.8</w:t>
            </w:r>
          </w:p>
        </w:tc>
      </w:tr>
    </w:tbl>
    <w:p w:rsidR="005E317F" w:rsidRPr="00572CC5" w:rsidRDefault="00EC7130" w:rsidP="005E317F">
      <w:pPr>
        <w:pStyle w:val="ItemHead"/>
      </w:pPr>
      <w:r w:rsidRPr="00572CC5">
        <w:t>10</w:t>
      </w:r>
      <w:r w:rsidR="00BF3CDA" w:rsidRPr="00572CC5">
        <w:t xml:space="preserve">  </w:t>
      </w:r>
      <w:r w:rsidR="00916B63" w:rsidRPr="00572CC5">
        <w:t>Rule 5.3.22</w:t>
      </w:r>
    </w:p>
    <w:p w:rsidR="005E317F" w:rsidRPr="00572CC5" w:rsidRDefault="00074563" w:rsidP="005E317F">
      <w:pPr>
        <w:pStyle w:val="Item"/>
      </w:pPr>
      <w:r w:rsidRPr="00572CC5">
        <w:t>Repeal the rule, including the h</w:t>
      </w:r>
      <w:r w:rsidR="00916B63" w:rsidRPr="00572CC5">
        <w:t>eading “CSS Transfer Multiple”</w:t>
      </w:r>
      <w:r w:rsidR="005E317F" w:rsidRPr="00572CC5">
        <w:t>.</w:t>
      </w:r>
    </w:p>
    <w:p w:rsidR="00F92D4D" w:rsidRDefault="00F92D4D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BF3CDA" w:rsidRPr="00572CC5" w:rsidRDefault="00EC7130" w:rsidP="00BF3CDA">
      <w:pPr>
        <w:pStyle w:val="ItemHead"/>
      </w:pPr>
      <w:r w:rsidRPr="00572CC5">
        <w:lastRenderedPageBreak/>
        <w:t>11</w:t>
      </w:r>
      <w:r w:rsidR="00BF3CDA" w:rsidRPr="00572CC5">
        <w:t xml:space="preserve">  After Rule 5.3.25</w:t>
      </w:r>
    </w:p>
    <w:p w:rsidR="00BF3CDA" w:rsidRPr="00572CC5" w:rsidRDefault="00BF3CDA" w:rsidP="00BF3CDA">
      <w:pPr>
        <w:pStyle w:val="Item"/>
      </w:pPr>
      <w:r w:rsidRPr="00572CC5">
        <w:t>Insert:</w:t>
      </w:r>
    </w:p>
    <w:p w:rsidR="00BF3CDA" w:rsidRPr="00572CC5" w:rsidRDefault="002D7EF6" w:rsidP="002D7EF6">
      <w:pPr>
        <w:pStyle w:val="Item"/>
        <w:tabs>
          <w:tab w:val="left" w:pos="0"/>
        </w:tabs>
        <w:ind w:left="0"/>
      </w:pPr>
      <w:r w:rsidRPr="00572CC5">
        <w:rPr>
          <w:noProof/>
        </w:rPr>
        <mc:AlternateContent>
          <mc:Choice Requires="wps">
            <w:drawing>
              <wp:inline distT="0" distB="0" distL="0" distR="0" wp14:anchorId="72C78352" wp14:editId="6B05D12E">
                <wp:extent cx="5468400" cy="1767600"/>
                <wp:effectExtent l="0" t="0" r="18415" b="234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400" cy="1767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F6" w:rsidRDefault="002D7EF6" w:rsidP="002D7E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 Multiples may be Applicable to a Casual Member</w:t>
                            </w:r>
                          </w:p>
                          <w:p w:rsidR="002D7EF6" w:rsidRDefault="002D7EF6" w:rsidP="002D7EF6">
                            <w:pPr>
                              <w:rPr>
                                <w:b/>
                              </w:rPr>
                            </w:pPr>
                          </w:p>
                          <w:p w:rsidR="002D7EF6" w:rsidRDefault="002D7EF6" w:rsidP="002D7EF6">
                            <w:r w:rsidRPr="007656BC">
                              <w:rPr>
                                <w:b/>
                              </w:rPr>
                              <w:t>Note 1:</w:t>
                            </w:r>
                            <w:r>
                              <w:t xml:space="preserve"> The applicability of, and method for calculating, a CSS Transfer Multiple is set out in Division 2 of Part 14.</w:t>
                            </w:r>
                          </w:p>
                          <w:p w:rsidR="002D7EF6" w:rsidRDefault="002D7EF6" w:rsidP="002D7EF6"/>
                          <w:p w:rsidR="002D7EF6" w:rsidRDefault="002D7EF6" w:rsidP="002D7EF6">
                            <w:r w:rsidRPr="00F25C83">
                              <w:rPr>
                                <w:b/>
                              </w:rPr>
                              <w:t>Note 2:</w:t>
                            </w:r>
                            <w:r>
                              <w:t xml:space="preserve"> A Reduction Multiple applies to a </w:t>
                            </w:r>
                            <w:r w:rsidRPr="007656BC">
                              <w:rPr>
                                <w:b/>
                              </w:rPr>
                              <w:t>member</w:t>
                            </w:r>
                            <w:r>
                              <w:t xml:space="preserve"> to whom Part 16 applies and is calculated under Rule 16.4.3. The multiple is to be used to reduce the Benefit Accrual Multiple.</w:t>
                            </w:r>
                          </w:p>
                          <w:p w:rsidR="002D7EF6" w:rsidRDefault="002D7EF6" w:rsidP="002D7EF6"/>
                          <w:p w:rsidR="002D7EF6" w:rsidRPr="007656BC" w:rsidRDefault="002D7EF6" w:rsidP="002D7EF6">
                            <w:pPr>
                              <w:rPr>
                                <w:b/>
                              </w:rPr>
                            </w:pPr>
                            <w:r w:rsidRPr="007656BC">
                              <w:rPr>
                                <w:b/>
                              </w:rPr>
                              <w:t xml:space="preserve">Note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7656BC">
                              <w:rPr>
                                <w:b/>
                              </w:rPr>
                              <w:t>:</w:t>
                            </w:r>
                            <w:r w:rsidRPr="007656BC">
                              <w:t xml:space="preserve"> A </w:t>
                            </w:r>
                            <w:r>
                              <w:t xml:space="preserve">Former MBL Multiple applies to a </w:t>
                            </w:r>
                            <w:r w:rsidRPr="007656BC">
                              <w:rPr>
                                <w:b/>
                              </w:rPr>
                              <w:t>member</w:t>
                            </w:r>
                            <w:r>
                              <w:t xml:space="preserve"> who, immediately before 1 January 2008, was a </w:t>
                            </w:r>
                            <w:r w:rsidRPr="007656BC">
                              <w:rPr>
                                <w:b/>
                              </w:rPr>
                              <w:t>maximum benefits member</w:t>
                            </w:r>
                            <w:r>
                              <w:t xml:space="preserve"> and is calculated under Rule 5.6.8.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78352" id="_x0000_s1027" type="#_x0000_t202" style="width:430.6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" fillcolor="#f2f2f2 [3052]">
                <v:textbox>
                  <w:txbxContent>
                    <w:p w14:paraId="2D71EAF0" w14:textId="77777777" w:rsidR="002D7EF6" w:rsidRDefault="002D7EF6" w:rsidP="002D7E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Additional Multiples may be Applicable to a Casual Member</w:t>
                      </w:r>
                    </w:p>
                    <w:p w14:paraId="064EBDAD" w14:textId="77777777" w:rsidR="002D7EF6" w:rsidRDefault="002D7EF6" w:rsidP="002D7EF6">
                      <w:pPr>
                        <w:rPr>
                          <w:b/>
                        </w:rPr>
                      </w:pPr>
                    </w:p>
                    <w:p w14:paraId="15CF4A13" w14:textId="77777777" w:rsidR="002D7EF6" w:rsidRDefault="002D7EF6" w:rsidP="002D7EF6">
                      <w:r w:rsidRPr="007656BC">
                        <w:rPr>
                          <w:b/>
                        </w:rPr>
                        <w:t>Note 1:</w:t>
                      </w:r>
                      <w:r>
                        <w:t xml:space="preserve"> The applicability of, and method for calculating, a CSS Transfer Multiple is set out in Division 2 of Part 14.</w:t>
                      </w:r>
                    </w:p>
                    <w:p w14:paraId="4C598588" w14:textId="77777777" w:rsidR="002D7EF6" w:rsidRDefault="002D7EF6" w:rsidP="002D7EF6"/>
                    <w:p w14:paraId="216488F3" w14:textId="77777777" w:rsidR="002D7EF6" w:rsidRDefault="002D7EF6" w:rsidP="002D7EF6">
                      <w:r w:rsidRPr="00F25C83">
                        <w:rPr>
                          <w:b/>
                        </w:rPr>
                        <w:t>Note 2:</w:t>
                      </w:r>
                      <w:r>
                        <w:t xml:space="preserve"> A Reduction Multiple applies to a </w:t>
                      </w:r>
                      <w:r w:rsidRPr="007656BC">
                        <w:rPr>
                          <w:b/>
                        </w:rPr>
                        <w:t>member</w:t>
                      </w:r>
                      <w:r>
                        <w:t xml:space="preserve"> to whom Part 16 applies and is calculated under Rule 16.4.3. The multiple is to be used to reduce the Benefit Accrual Multiple.</w:t>
                      </w:r>
                    </w:p>
                    <w:p w14:paraId="28E6A440" w14:textId="77777777" w:rsidR="002D7EF6" w:rsidRDefault="002D7EF6" w:rsidP="002D7EF6"/>
                    <w:p w14:paraId="3337FA27" w14:textId="77777777" w:rsidR="002D7EF6" w:rsidRPr="007656BC" w:rsidRDefault="002D7EF6" w:rsidP="002D7EF6">
                      <w:pPr>
                        <w:rPr>
                          <w:b/>
                        </w:rPr>
                      </w:pPr>
                      <w:r w:rsidRPr="007656BC">
                        <w:rPr>
                          <w:b/>
                        </w:rPr>
                        <w:t xml:space="preserve">Note </w:t>
                      </w:r>
                      <w:r>
                        <w:rPr>
                          <w:b/>
                        </w:rPr>
                        <w:t>3</w:t>
                      </w:r>
                      <w:r w:rsidRPr="007656BC">
                        <w:rPr>
                          <w:b/>
                        </w:rPr>
                        <w:t>:</w:t>
                      </w:r>
                      <w:r w:rsidRPr="007656BC">
                        <w:t xml:space="preserve"> A </w:t>
                      </w:r>
                      <w:r>
                        <w:t xml:space="preserve">Former MBL Multiple applies to a </w:t>
                      </w:r>
                      <w:r w:rsidRPr="007656BC">
                        <w:rPr>
                          <w:b/>
                        </w:rPr>
                        <w:t>member</w:t>
                      </w:r>
                      <w:r>
                        <w:t xml:space="preserve"> who, immediately before 1 January 2008, was a </w:t>
                      </w:r>
                      <w:r w:rsidRPr="007656BC">
                        <w:rPr>
                          <w:b/>
                        </w:rPr>
                        <w:t>maximum benefits member</w:t>
                      </w:r>
                      <w:r>
                        <w:t xml:space="preserve"> and is calculated under Rule 5.6.8.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317F" w:rsidRPr="00572CC5" w:rsidRDefault="00B604DB" w:rsidP="005E317F">
      <w:pPr>
        <w:pStyle w:val="ItemHead"/>
      </w:pPr>
      <w:r w:rsidRPr="00572CC5">
        <w:t>12</w:t>
      </w:r>
      <w:r w:rsidR="005E317F" w:rsidRPr="00572CC5">
        <w:t xml:space="preserve">  </w:t>
      </w:r>
      <w:r w:rsidR="00916B63" w:rsidRPr="00572CC5">
        <w:t>Rule 5.3.26</w:t>
      </w:r>
    </w:p>
    <w:p w:rsidR="005E317F" w:rsidRPr="00572CC5" w:rsidRDefault="005E317F" w:rsidP="005E317F">
      <w:pPr>
        <w:pStyle w:val="Item"/>
      </w:pPr>
      <w:r w:rsidRPr="00572CC5">
        <w:t xml:space="preserve">Repeal the </w:t>
      </w:r>
      <w:r w:rsidR="00074563" w:rsidRPr="00572CC5">
        <w:t>rule, including the h</w:t>
      </w:r>
      <w:r w:rsidR="00916B63" w:rsidRPr="00572CC5">
        <w:t>eading “Reduction Multiple”</w:t>
      </w:r>
      <w:r w:rsidRPr="00572CC5">
        <w:t>.</w:t>
      </w:r>
    </w:p>
    <w:p w:rsidR="005E317F" w:rsidRPr="00572CC5" w:rsidRDefault="00B604DB" w:rsidP="005E317F">
      <w:pPr>
        <w:pStyle w:val="ItemHead"/>
      </w:pPr>
      <w:r w:rsidRPr="00572CC5">
        <w:t>13</w:t>
      </w:r>
      <w:r w:rsidR="005E317F" w:rsidRPr="00572CC5">
        <w:t xml:space="preserve">  </w:t>
      </w:r>
      <w:r w:rsidR="00916B63" w:rsidRPr="00572CC5">
        <w:t>Rule 5.3.27</w:t>
      </w:r>
    </w:p>
    <w:p w:rsidR="00916B63" w:rsidRPr="00572CC5" w:rsidRDefault="00074563" w:rsidP="005E317F">
      <w:pPr>
        <w:pStyle w:val="Item"/>
      </w:pPr>
      <w:r w:rsidRPr="00572CC5">
        <w:t>Repeal the rule, including the h</w:t>
      </w:r>
      <w:r w:rsidR="00916B63" w:rsidRPr="00572CC5">
        <w:t>eading “Former MBL Multiple”.</w:t>
      </w:r>
    </w:p>
    <w:p w:rsidR="00726D0A" w:rsidRPr="00572CC5" w:rsidRDefault="00B604DB" w:rsidP="00726D0A">
      <w:pPr>
        <w:pStyle w:val="ItemHead"/>
      </w:pPr>
      <w:r w:rsidRPr="00572CC5">
        <w:t>14</w:t>
      </w:r>
      <w:r w:rsidR="00726D0A" w:rsidRPr="00572CC5">
        <w:t xml:space="preserve">  Rule 6.2.3</w:t>
      </w:r>
    </w:p>
    <w:p w:rsidR="00916B63" w:rsidRPr="00572CC5" w:rsidRDefault="00074563" w:rsidP="005E317F">
      <w:pPr>
        <w:pStyle w:val="Item"/>
      </w:pPr>
      <w:r w:rsidRPr="00572CC5">
        <w:t>Repeal the r</w:t>
      </w:r>
      <w:r w:rsidR="00726D0A" w:rsidRPr="00572CC5">
        <w:t xml:space="preserve">ule, </w:t>
      </w:r>
      <w:r w:rsidRPr="00572CC5">
        <w:t>including the h</w:t>
      </w:r>
      <w:r w:rsidR="00726D0A" w:rsidRPr="00572CC5">
        <w:t>eading “Benefit options – certain other cases”</w:t>
      </w:r>
      <w:r w:rsidR="00916B63" w:rsidRPr="00572CC5">
        <w:t>.</w:t>
      </w:r>
    </w:p>
    <w:p w:rsidR="00726D0A" w:rsidRPr="00572CC5" w:rsidRDefault="00B604DB" w:rsidP="00726D0A">
      <w:pPr>
        <w:pStyle w:val="ItemHead"/>
      </w:pPr>
      <w:r w:rsidRPr="00572CC5">
        <w:t>15</w:t>
      </w:r>
      <w:r w:rsidR="00726D0A" w:rsidRPr="00572CC5">
        <w:t xml:space="preserve">  Rule 6.2.4</w:t>
      </w:r>
    </w:p>
    <w:p w:rsidR="00726D0A" w:rsidRPr="00572CC5" w:rsidRDefault="00074563" w:rsidP="00726D0A">
      <w:pPr>
        <w:pStyle w:val="Item"/>
      </w:pPr>
      <w:r w:rsidRPr="00572CC5">
        <w:t>Repeal the r</w:t>
      </w:r>
      <w:r w:rsidR="00726D0A" w:rsidRPr="00572CC5">
        <w:t>ule.</w:t>
      </w:r>
    </w:p>
    <w:p w:rsidR="00916B63" w:rsidRPr="00572CC5" w:rsidRDefault="00B604DB" w:rsidP="00916B63">
      <w:pPr>
        <w:pStyle w:val="ItemHead"/>
      </w:pPr>
      <w:r w:rsidRPr="00572CC5">
        <w:t>16</w:t>
      </w:r>
      <w:r w:rsidR="00916B63" w:rsidRPr="00572CC5">
        <w:t xml:space="preserve">  Rule 6.8.3</w:t>
      </w:r>
    </w:p>
    <w:p w:rsidR="00916B63" w:rsidRPr="00572CC5" w:rsidRDefault="00074563" w:rsidP="00916B63">
      <w:pPr>
        <w:pStyle w:val="Item"/>
      </w:pPr>
      <w:r w:rsidRPr="00572CC5">
        <w:t>Repeal the r</w:t>
      </w:r>
      <w:r w:rsidR="00916B63" w:rsidRPr="00572CC5">
        <w:t>ule, substitute:</w:t>
      </w:r>
    </w:p>
    <w:p w:rsidR="005E317F" w:rsidRPr="00572CC5" w:rsidRDefault="00916B63" w:rsidP="008E17E5">
      <w:pPr>
        <w:pStyle w:val="paragraph"/>
        <w:tabs>
          <w:tab w:val="clear" w:pos="1531"/>
        </w:tabs>
        <w:ind w:left="993" w:firstLine="0"/>
      </w:pPr>
      <w:r w:rsidRPr="00572CC5">
        <w:rPr>
          <w:b/>
        </w:rPr>
        <w:t>6.8.3</w:t>
      </w:r>
      <w:r w:rsidR="008E17E5" w:rsidRPr="00572CC5">
        <w:tab/>
      </w:r>
      <w:r w:rsidR="008E17E5" w:rsidRPr="00572CC5">
        <w:tab/>
      </w:r>
      <w:r w:rsidR="00A87A79" w:rsidRPr="00572CC5">
        <w:t>T</w:t>
      </w:r>
      <w:r w:rsidRPr="00572CC5">
        <w:t xml:space="preserve">he Minister and </w:t>
      </w:r>
      <w:r w:rsidRPr="00572CC5">
        <w:rPr>
          <w:b/>
        </w:rPr>
        <w:t>CSC</w:t>
      </w:r>
      <w:r w:rsidR="00A87A79" w:rsidRPr="00572CC5">
        <w:rPr>
          <w:b/>
        </w:rPr>
        <w:t xml:space="preserve"> </w:t>
      </w:r>
      <w:r w:rsidR="00A87A79" w:rsidRPr="00572CC5">
        <w:t xml:space="preserve">may at any time terminate an agreement related to the declaration of an </w:t>
      </w:r>
      <w:r w:rsidR="00A87A79" w:rsidRPr="00572CC5">
        <w:rPr>
          <w:b/>
        </w:rPr>
        <w:t xml:space="preserve">eligible superannuation scheme </w:t>
      </w:r>
      <w:r w:rsidR="00A87A79" w:rsidRPr="00572CC5">
        <w:t xml:space="preserve">made by the Minister and the </w:t>
      </w:r>
      <w:r w:rsidR="00A87A79" w:rsidRPr="00572CC5">
        <w:rPr>
          <w:b/>
        </w:rPr>
        <w:t>Board</w:t>
      </w:r>
      <w:r w:rsidRPr="00572CC5">
        <w:t>.</w:t>
      </w:r>
    </w:p>
    <w:p w:rsidR="005E317F" w:rsidRPr="00572CC5" w:rsidRDefault="00B604DB" w:rsidP="005E317F">
      <w:pPr>
        <w:pStyle w:val="ItemHead"/>
      </w:pPr>
      <w:r w:rsidRPr="00572CC5">
        <w:t>17</w:t>
      </w:r>
      <w:r w:rsidR="005E317F" w:rsidRPr="00572CC5">
        <w:t xml:space="preserve">  </w:t>
      </w:r>
      <w:r w:rsidR="00CC74B3" w:rsidRPr="00572CC5">
        <w:t>Rule 6.8.4</w:t>
      </w:r>
    </w:p>
    <w:p w:rsidR="005E317F" w:rsidRPr="00572CC5" w:rsidRDefault="00074563" w:rsidP="005E317F">
      <w:pPr>
        <w:pStyle w:val="Item"/>
      </w:pPr>
      <w:r w:rsidRPr="00572CC5">
        <w:t>Repeal the r</w:t>
      </w:r>
      <w:r w:rsidR="00CC74B3" w:rsidRPr="00572CC5">
        <w:t>ule, substitute:</w:t>
      </w:r>
    </w:p>
    <w:p w:rsidR="00CC74B3" w:rsidRPr="00572CC5" w:rsidRDefault="00CC74B3" w:rsidP="008E17E5">
      <w:pPr>
        <w:pStyle w:val="paragraph"/>
        <w:ind w:left="993" w:firstLine="0"/>
      </w:pPr>
      <w:r w:rsidRPr="00572CC5">
        <w:rPr>
          <w:b/>
        </w:rPr>
        <w:t>6.8.4</w:t>
      </w:r>
      <w:r w:rsidR="008E17E5" w:rsidRPr="00572CC5">
        <w:tab/>
      </w:r>
      <w:r w:rsidR="008E17E5" w:rsidRPr="00572CC5">
        <w:tab/>
      </w:r>
      <w:r w:rsidRPr="00572CC5">
        <w:t xml:space="preserve">The variation or termination of an agreement in relation to an </w:t>
      </w:r>
      <w:r w:rsidRPr="00572CC5">
        <w:rPr>
          <w:b/>
        </w:rPr>
        <w:t>eligible superannuation scheme</w:t>
      </w:r>
      <w:r w:rsidRPr="00572CC5">
        <w:t xml:space="preserve"> must be notified in the annual report of </w:t>
      </w:r>
      <w:r w:rsidRPr="00572CC5">
        <w:rPr>
          <w:b/>
        </w:rPr>
        <w:t>CSC</w:t>
      </w:r>
      <w:r w:rsidRPr="00572CC5">
        <w:t xml:space="preserve"> under section 30 of the </w:t>
      </w:r>
      <w:r w:rsidRPr="00572CC5">
        <w:rPr>
          <w:i/>
        </w:rPr>
        <w:t xml:space="preserve">Governance of Australian </w:t>
      </w:r>
      <w:r w:rsidR="00A87A79" w:rsidRPr="00572CC5">
        <w:rPr>
          <w:i/>
        </w:rPr>
        <w:t>G</w:t>
      </w:r>
      <w:r w:rsidRPr="00572CC5">
        <w:rPr>
          <w:i/>
        </w:rPr>
        <w:t>overnment Superannuation Schemes Act 2011</w:t>
      </w:r>
      <w:r w:rsidRPr="00572CC5">
        <w:t>.</w:t>
      </w:r>
    </w:p>
    <w:p w:rsidR="008E17E5" w:rsidRPr="00572CC5" w:rsidRDefault="00B604DB" w:rsidP="008E17E5">
      <w:pPr>
        <w:pStyle w:val="ItemHead"/>
      </w:pPr>
      <w:r w:rsidRPr="00572CC5">
        <w:t>18</w:t>
      </w:r>
      <w:r w:rsidR="008E17E5" w:rsidRPr="00572CC5">
        <w:t xml:space="preserve">  Paragraph 8.1.1(f)</w:t>
      </w:r>
    </w:p>
    <w:p w:rsidR="008E17E5" w:rsidRPr="00572CC5" w:rsidRDefault="008E17E5" w:rsidP="00A87A79">
      <w:pPr>
        <w:pStyle w:val="Item"/>
      </w:pPr>
      <w:r w:rsidRPr="00572CC5">
        <w:t>Omit “; or”, substitute “.”</w:t>
      </w:r>
    </w:p>
    <w:p w:rsidR="008E17E5" w:rsidRPr="00572CC5" w:rsidRDefault="00B604DB" w:rsidP="008E17E5">
      <w:pPr>
        <w:pStyle w:val="ItemHead"/>
      </w:pPr>
      <w:r w:rsidRPr="00572CC5">
        <w:t>19</w:t>
      </w:r>
      <w:r w:rsidR="008E17E5" w:rsidRPr="00572CC5">
        <w:t xml:space="preserve">  Rule 8.1.1</w:t>
      </w:r>
    </w:p>
    <w:p w:rsidR="008E17E5" w:rsidRPr="00572CC5" w:rsidRDefault="00074563" w:rsidP="008E17E5">
      <w:pPr>
        <w:pStyle w:val="Item"/>
      </w:pPr>
      <w:r w:rsidRPr="00572CC5">
        <w:t>Repeal paragraph (g) and the n</w:t>
      </w:r>
      <w:r w:rsidR="008E17E5" w:rsidRPr="00572CC5">
        <w:t>ote.</w:t>
      </w:r>
    </w:p>
    <w:p w:rsidR="00DB114C" w:rsidRPr="00572CC5" w:rsidRDefault="00B604DB" w:rsidP="00A87A79">
      <w:pPr>
        <w:pStyle w:val="ItemHead"/>
      </w:pPr>
      <w:r w:rsidRPr="00572CC5">
        <w:t>20</w:t>
      </w:r>
      <w:r w:rsidR="00DB114C" w:rsidRPr="00572CC5">
        <w:t xml:space="preserve">  Rule 8.2.5</w:t>
      </w:r>
    </w:p>
    <w:p w:rsidR="00DB114C" w:rsidRPr="00572CC5" w:rsidRDefault="00074563" w:rsidP="00A87A79">
      <w:pPr>
        <w:pStyle w:val="Item"/>
      </w:pPr>
      <w:r w:rsidRPr="00572CC5">
        <w:t>Repeal the rule, including the h</w:t>
      </w:r>
      <w:r w:rsidR="00DB114C" w:rsidRPr="00572CC5">
        <w:t>eading “Transitional benefit options for certain pre</w:t>
      </w:r>
      <w:r w:rsidR="00DB114C" w:rsidRPr="00572CC5">
        <w:noBreakHyphen/>
        <w:t>1 July 1996 preserved benefits members”.</w:t>
      </w:r>
    </w:p>
    <w:p w:rsidR="005E317F" w:rsidRPr="00572CC5" w:rsidRDefault="00B604DB" w:rsidP="005E317F">
      <w:pPr>
        <w:pStyle w:val="ItemHead"/>
      </w:pPr>
      <w:r w:rsidRPr="00572CC5">
        <w:lastRenderedPageBreak/>
        <w:t>21</w:t>
      </w:r>
      <w:r w:rsidR="005E317F" w:rsidRPr="00572CC5">
        <w:t xml:space="preserve">  </w:t>
      </w:r>
      <w:r w:rsidR="00CC74B3" w:rsidRPr="00572CC5">
        <w:t>Rule 9.2.2</w:t>
      </w:r>
    </w:p>
    <w:p w:rsidR="005E317F" w:rsidRPr="00572CC5" w:rsidRDefault="00CC74B3" w:rsidP="005E317F">
      <w:pPr>
        <w:pStyle w:val="Item"/>
      </w:pPr>
      <w:r w:rsidRPr="00572CC5">
        <w:t xml:space="preserve">Omit “This rule also applies to the calculation of an annual </w:t>
      </w:r>
      <w:r w:rsidRPr="00572CC5">
        <w:rPr>
          <w:b/>
        </w:rPr>
        <w:t>pension</w:t>
      </w:r>
      <w:r w:rsidRPr="00572CC5">
        <w:t xml:space="preserve"> payable under Rule 6.2.4 to a </w:t>
      </w:r>
      <w:r w:rsidRPr="00572CC5">
        <w:rPr>
          <w:b/>
        </w:rPr>
        <w:t>member</w:t>
      </w:r>
      <w:r w:rsidRPr="00572CC5">
        <w:t xml:space="preserve"> who, on retirement before 1 July 1996, was suffering from a </w:t>
      </w:r>
      <w:r w:rsidR="00E66E4C" w:rsidRPr="00572CC5">
        <w:rPr>
          <w:b/>
        </w:rPr>
        <w:t>terminal medical condition</w:t>
      </w:r>
      <w:r w:rsidR="00E66E4C" w:rsidRPr="00572CC5">
        <w:t>.”</w:t>
      </w:r>
      <w:r w:rsidRPr="00572CC5">
        <w:t xml:space="preserve"> </w:t>
      </w:r>
    </w:p>
    <w:p w:rsidR="00E66E4C" w:rsidRPr="00572CC5" w:rsidRDefault="00B604DB" w:rsidP="00E66E4C">
      <w:pPr>
        <w:pStyle w:val="ItemHead"/>
      </w:pPr>
      <w:r w:rsidRPr="00572CC5">
        <w:t>22</w:t>
      </w:r>
      <w:r w:rsidR="00E66E4C" w:rsidRPr="00572CC5">
        <w:t xml:space="preserve">  Rule 12.2.3</w:t>
      </w:r>
    </w:p>
    <w:p w:rsidR="00E66E4C" w:rsidRPr="00572CC5" w:rsidRDefault="00074563" w:rsidP="00E66E4C">
      <w:pPr>
        <w:pStyle w:val="Item"/>
      </w:pPr>
      <w:r w:rsidRPr="00572CC5">
        <w:t>Repeal the rule, including the h</w:t>
      </w:r>
      <w:r w:rsidR="00E66E4C" w:rsidRPr="00572CC5">
        <w:t>eading “Payment of benefits to eligible roll-over fund where no instructions”.</w:t>
      </w:r>
    </w:p>
    <w:p w:rsidR="00E66E4C" w:rsidRPr="00572CC5" w:rsidRDefault="00B604DB" w:rsidP="00A87A79">
      <w:pPr>
        <w:pStyle w:val="ItemHead"/>
        <w:ind w:left="0" w:firstLine="0"/>
      </w:pPr>
      <w:r w:rsidRPr="00572CC5">
        <w:t>23</w:t>
      </w:r>
      <w:r w:rsidR="00E66E4C" w:rsidRPr="00572CC5">
        <w:t xml:space="preserve">  After Part 17</w:t>
      </w:r>
    </w:p>
    <w:p w:rsidR="00E66E4C" w:rsidRPr="00572CC5" w:rsidRDefault="00E66E4C" w:rsidP="00E66E4C">
      <w:pPr>
        <w:pStyle w:val="Item"/>
      </w:pPr>
      <w:r w:rsidRPr="00572CC5">
        <w:t>Insert:</w:t>
      </w:r>
    </w:p>
    <w:p w:rsidR="002D7EF6" w:rsidRDefault="00E66E4C" w:rsidP="002D7EF6">
      <w:pPr>
        <w:pStyle w:val="ItemHead"/>
      </w:pPr>
      <w:r w:rsidRPr="00572CC5">
        <w:rPr>
          <w:noProof/>
        </w:rPr>
        <mc:AlternateContent>
          <mc:Choice Requires="wps">
            <w:drawing>
              <wp:inline distT="0" distB="0" distL="0" distR="0">
                <wp:extent cx="5477933" cy="1404620"/>
                <wp:effectExtent l="0" t="0" r="2794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9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BD" w:rsidRPr="005E3131" w:rsidRDefault="005937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31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PART 17A – AMOUNTS </w:t>
                            </w:r>
                            <w:r w:rsidR="00CA7A00" w:rsidRPr="005E3131">
                              <w:rPr>
                                <w:b/>
                                <w:sz w:val="28"/>
                                <w:szCs w:val="28"/>
                              </w:rPr>
                              <w:t>PAYABLE</w:t>
                            </w:r>
                            <w:r w:rsidRPr="005E31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THE COMMONWEALTH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31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">
                <v:textbox style="mso-fit-shape-to-text:t">
                  <w:txbxContent>
                    <w:p w14:paraId="1128CD53" w14:textId="77777777" w:rsidR="005937BD" w:rsidRPr="005E3131" w:rsidRDefault="005937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E3131">
                        <w:rPr>
                          <w:b/>
                          <w:sz w:val="28"/>
                          <w:szCs w:val="28"/>
                        </w:rPr>
                        <w:t xml:space="preserve">PART 17A – AMOUNTS </w:t>
                      </w:r>
                      <w:r w:rsidR="00CA7A00" w:rsidRPr="005E3131">
                        <w:rPr>
                          <w:b/>
                          <w:sz w:val="28"/>
                          <w:szCs w:val="28"/>
                        </w:rPr>
                        <w:t>PAYABLE</w:t>
                      </w:r>
                      <w:r w:rsidRPr="005E3131">
                        <w:rPr>
                          <w:b/>
                          <w:sz w:val="28"/>
                          <w:szCs w:val="28"/>
                        </w:rPr>
                        <w:t xml:space="preserve"> TO THE COMMONWEALTH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3E93" w:rsidRPr="00323E93" w:rsidRDefault="00323E93" w:rsidP="00323E93">
      <w:pPr>
        <w:pStyle w:val="Item"/>
      </w:pPr>
    </w:p>
    <w:p w:rsidR="00E66E4C" w:rsidRDefault="005126CD" w:rsidP="002D7EF6">
      <w:pPr>
        <w:pStyle w:val="Item"/>
        <w:ind w:left="0"/>
        <w:rPr>
          <w:b/>
          <w:sz w:val="28"/>
          <w:szCs w:val="28"/>
        </w:rPr>
      </w:pPr>
      <w:r w:rsidRPr="005E3131">
        <w:rPr>
          <w:b/>
          <w:sz w:val="28"/>
          <w:szCs w:val="28"/>
        </w:rPr>
        <w:t>Division 1</w:t>
      </w:r>
      <w:r w:rsidRPr="00572CC5">
        <w:rPr>
          <w:b/>
          <w:sz w:val="28"/>
          <w:szCs w:val="28"/>
        </w:rPr>
        <w:tab/>
      </w:r>
      <w:r w:rsidR="002D7EF6" w:rsidRPr="00572CC5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268DB666" wp14:editId="259B2386">
                <wp:extent cx="4122000" cy="500400"/>
                <wp:effectExtent l="0" t="0" r="1206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000" cy="5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F6" w:rsidRPr="005E3131" w:rsidRDefault="002D7EF6" w:rsidP="002D7EF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3131">
                              <w:rPr>
                                <w:b/>
                                <w:sz w:val="28"/>
                                <w:szCs w:val="28"/>
                              </w:rPr>
                              <w:t>Arrangements where amounts payable to the Commonwealth are not yet due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8DB666" id="_x0000_s1029" type="#_x0000_t202" style="width:324.5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">
                <v:textbox>
                  <w:txbxContent>
                    <w:p w14:paraId="486E8BB2" w14:textId="77777777" w:rsidR="002D7EF6" w:rsidRPr="005E3131" w:rsidRDefault="002D7EF6" w:rsidP="002D7EF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E3131">
                        <w:rPr>
                          <w:b/>
                          <w:sz w:val="28"/>
                          <w:szCs w:val="28"/>
                        </w:rPr>
                        <w:t>Arrangements where amounts payable to the Commonwealth are not yet due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26CD" w:rsidRPr="00572CC5" w:rsidRDefault="005126CD" w:rsidP="005126CD">
      <w:pPr>
        <w:pStyle w:val="paragraph"/>
        <w:ind w:left="2836" w:hanging="2127"/>
        <w:rPr>
          <w:b/>
        </w:rPr>
      </w:pPr>
    </w:p>
    <w:p w:rsidR="00B604DB" w:rsidRPr="00572CC5" w:rsidRDefault="00B604DB" w:rsidP="00323E93">
      <w:pPr>
        <w:spacing w:before="40" w:line="240" w:lineRule="auto"/>
        <w:rPr>
          <w:rFonts w:eastAsia="Calibri" w:cs="Times New Roman"/>
          <w:szCs w:val="22"/>
          <w:lang w:eastAsia="en-AU"/>
        </w:rPr>
      </w:pPr>
      <w:r w:rsidRPr="00572CC5">
        <w:rPr>
          <w:b/>
        </w:rPr>
        <w:t>17A.1.1</w:t>
      </w:r>
      <w:r w:rsidRPr="00572CC5">
        <w:tab/>
      </w:r>
      <w:r w:rsidRPr="00572CC5">
        <w:tab/>
      </w:r>
      <w:r w:rsidRPr="00572CC5">
        <w:rPr>
          <w:rFonts w:eastAsia="Times New Roman" w:cs="Times New Roman"/>
          <w:lang w:eastAsia="en-AU"/>
        </w:rPr>
        <w:t xml:space="preserve">Where the Minister, following consultation with </w:t>
      </w:r>
      <w:r w:rsidRPr="00572CC5">
        <w:rPr>
          <w:rFonts w:eastAsia="Times New Roman" w:cs="Times New Roman"/>
          <w:b/>
          <w:lang w:eastAsia="en-AU"/>
        </w:rPr>
        <w:t>CSC</w:t>
      </w:r>
      <w:r w:rsidRPr="00572CC5">
        <w:rPr>
          <w:rFonts w:eastAsia="Times New Roman" w:cs="Times New Roman"/>
          <w:lang w:eastAsia="en-AU"/>
        </w:rPr>
        <w:t>:</w:t>
      </w:r>
    </w:p>
    <w:p w:rsidR="00B604DB" w:rsidRPr="00572CC5" w:rsidRDefault="00B604DB" w:rsidP="00EA05EF">
      <w:pPr>
        <w:numPr>
          <w:ilvl w:val="0"/>
          <w:numId w:val="15"/>
        </w:numPr>
        <w:spacing w:before="40" w:line="240" w:lineRule="auto"/>
        <w:ind w:left="2127" w:hanging="709"/>
        <w:rPr>
          <w:rFonts w:eastAsia="Calibri" w:cs="Times New Roman"/>
          <w:szCs w:val="22"/>
          <w:lang w:eastAsia="en-AU"/>
        </w:rPr>
      </w:pPr>
      <w:r w:rsidRPr="00572CC5">
        <w:rPr>
          <w:rFonts w:eastAsia="Calibri" w:cs="Times New Roman"/>
          <w:szCs w:val="22"/>
          <w:lang w:eastAsia="en-AU"/>
        </w:rPr>
        <w:t>agrees, on behalf of the Commonwealth, that amounts which become payable to the Commonwealth unde</w:t>
      </w:r>
      <w:r w:rsidR="00B97DA4">
        <w:rPr>
          <w:rFonts w:eastAsia="Calibri" w:cs="Times New Roman"/>
          <w:szCs w:val="22"/>
          <w:lang w:eastAsia="en-AU"/>
        </w:rPr>
        <w:t>r paragraph 16(1)(a), paragraph </w:t>
      </w:r>
      <w:r w:rsidRPr="00572CC5">
        <w:rPr>
          <w:rFonts w:eastAsia="Calibri" w:cs="Times New Roman"/>
          <w:szCs w:val="22"/>
          <w:lang w:eastAsia="en-AU"/>
        </w:rPr>
        <w:t xml:space="preserve">16(4)(a) and/or subsection 16A(2) of the </w:t>
      </w:r>
      <w:r w:rsidRPr="00572CC5">
        <w:rPr>
          <w:rFonts w:eastAsia="Calibri" w:cs="Times New Roman"/>
          <w:i/>
          <w:iCs/>
          <w:szCs w:val="22"/>
          <w:lang w:eastAsia="en-AU"/>
        </w:rPr>
        <w:t>Superannuation Act 1990</w:t>
      </w:r>
      <w:r w:rsidRPr="00572CC5">
        <w:rPr>
          <w:rFonts w:eastAsia="Calibri" w:cs="Times New Roman"/>
          <w:szCs w:val="22"/>
          <w:lang w:eastAsia="en-AU"/>
        </w:rPr>
        <w:t xml:space="preserve"> are not due until a later time, and</w:t>
      </w:r>
    </w:p>
    <w:p w:rsidR="00B604DB" w:rsidRPr="00572CC5" w:rsidRDefault="00B604DB" w:rsidP="00EA05EF">
      <w:pPr>
        <w:numPr>
          <w:ilvl w:val="0"/>
          <w:numId w:val="15"/>
        </w:numPr>
        <w:spacing w:before="40" w:line="240" w:lineRule="auto"/>
        <w:ind w:left="2127" w:hanging="709"/>
        <w:rPr>
          <w:rFonts w:eastAsia="Calibri" w:cs="Times New Roman"/>
          <w:szCs w:val="22"/>
          <w:lang w:eastAsia="en-AU"/>
        </w:rPr>
      </w:pPr>
      <w:r w:rsidRPr="00572CC5">
        <w:rPr>
          <w:rFonts w:eastAsia="Calibri" w:cs="Times New Roman"/>
          <w:szCs w:val="22"/>
          <w:lang w:eastAsia="en-AU"/>
        </w:rPr>
        <w:t xml:space="preserve">gives </w:t>
      </w:r>
      <w:r w:rsidRPr="00572CC5">
        <w:rPr>
          <w:rFonts w:eastAsia="Calibri" w:cs="Times New Roman"/>
          <w:b/>
          <w:bCs/>
          <w:szCs w:val="22"/>
          <w:lang w:eastAsia="en-AU"/>
        </w:rPr>
        <w:t>CSC</w:t>
      </w:r>
      <w:r w:rsidRPr="00572CC5">
        <w:rPr>
          <w:rFonts w:eastAsia="Calibri" w:cs="Times New Roman"/>
          <w:szCs w:val="22"/>
          <w:lang w:eastAsia="en-AU"/>
        </w:rPr>
        <w:t xml:space="preserve"> written notice of this agreement, specifying a time at which amounts become due, or a mechanism for giving reasonable notice of that time,</w:t>
      </w:r>
    </w:p>
    <w:p w:rsidR="00B604DB" w:rsidRPr="00572CC5" w:rsidRDefault="00B604DB" w:rsidP="00EA05EF">
      <w:pPr>
        <w:spacing w:before="40" w:line="240" w:lineRule="auto"/>
        <w:ind w:left="2127" w:hanging="709"/>
        <w:rPr>
          <w:rFonts w:eastAsia="Calibri" w:cs="Times New Roman"/>
          <w:szCs w:val="22"/>
          <w:lang w:eastAsia="en-AU"/>
        </w:rPr>
      </w:pPr>
      <w:r w:rsidRPr="00572CC5">
        <w:rPr>
          <w:rFonts w:eastAsia="Calibri" w:cs="Times New Roman"/>
          <w:szCs w:val="22"/>
          <w:lang w:eastAsia="en-AU"/>
        </w:rPr>
        <w:t>then:</w:t>
      </w:r>
    </w:p>
    <w:p w:rsidR="00B604DB" w:rsidRPr="00572CC5" w:rsidRDefault="00B604DB" w:rsidP="00EA05EF">
      <w:pPr>
        <w:numPr>
          <w:ilvl w:val="0"/>
          <w:numId w:val="15"/>
        </w:numPr>
        <w:spacing w:before="40" w:line="240" w:lineRule="auto"/>
        <w:ind w:left="2127" w:hanging="709"/>
        <w:rPr>
          <w:rFonts w:eastAsia="Calibri" w:cs="Times New Roman"/>
          <w:szCs w:val="22"/>
          <w:lang w:eastAsia="en-AU"/>
        </w:rPr>
      </w:pPr>
      <w:r w:rsidRPr="00572CC5">
        <w:rPr>
          <w:rFonts w:eastAsia="Calibri" w:cs="Times New Roman"/>
          <w:szCs w:val="22"/>
          <w:lang w:eastAsia="en-AU"/>
        </w:rPr>
        <w:t xml:space="preserve">those amounts accumulate with interest in the </w:t>
      </w:r>
      <w:r w:rsidRPr="00572CC5">
        <w:rPr>
          <w:rFonts w:eastAsia="Calibri" w:cs="Times New Roman"/>
          <w:b/>
          <w:bCs/>
          <w:szCs w:val="22"/>
          <w:lang w:eastAsia="en-AU"/>
        </w:rPr>
        <w:t xml:space="preserve">PSS Fund </w:t>
      </w:r>
      <w:r w:rsidRPr="00572CC5">
        <w:rPr>
          <w:rFonts w:eastAsia="Calibri" w:cs="Times New Roman"/>
          <w:szCs w:val="22"/>
          <w:lang w:eastAsia="en-AU"/>
        </w:rPr>
        <w:t xml:space="preserve">in accordance with a determination or determinations made by </w:t>
      </w:r>
      <w:r w:rsidRPr="00572CC5">
        <w:rPr>
          <w:rFonts w:eastAsia="Calibri" w:cs="Times New Roman"/>
          <w:b/>
          <w:bCs/>
          <w:szCs w:val="22"/>
          <w:lang w:eastAsia="en-AU"/>
        </w:rPr>
        <w:t xml:space="preserve">CSC </w:t>
      </w:r>
      <w:r w:rsidRPr="00572CC5">
        <w:rPr>
          <w:rFonts w:eastAsia="Calibri" w:cs="Times New Roman"/>
          <w:szCs w:val="22"/>
          <w:lang w:eastAsia="en-AU"/>
        </w:rPr>
        <w:t>as to the rate and method of allocation of interest, taking into account the after tax-earnings and/or losses from investment of the amounts, and</w:t>
      </w:r>
    </w:p>
    <w:p w:rsidR="00B604DB" w:rsidRPr="00572CC5" w:rsidRDefault="00B604DB" w:rsidP="00EA05EF">
      <w:pPr>
        <w:numPr>
          <w:ilvl w:val="0"/>
          <w:numId w:val="15"/>
        </w:numPr>
        <w:spacing w:before="40" w:line="240" w:lineRule="auto"/>
        <w:ind w:left="2127" w:hanging="709"/>
        <w:rPr>
          <w:rFonts w:eastAsia="Calibri" w:cs="Times New Roman"/>
          <w:szCs w:val="22"/>
          <w:lang w:eastAsia="en-AU"/>
        </w:rPr>
      </w:pPr>
      <w:r w:rsidRPr="00572CC5">
        <w:rPr>
          <w:rFonts w:eastAsia="Calibri" w:cs="Times New Roman"/>
          <w:b/>
          <w:bCs/>
          <w:szCs w:val="22"/>
          <w:lang w:eastAsia="en-AU"/>
        </w:rPr>
        <w:t>CSC</w:t>
      </w:r>
      <w:r w:rsidRPr="00572CC5">
        <w:rPr>
          <w:rFonts w:eastAsia="Calibri" w:cs="Times New Roman"/>
          <w:szCs w:val="22"/>
          <w:lang w:eastAsia="en-AU"/>
        </w:rPr>
        <w:t xml:space="preserve"> must pay the accumulated interest in relation to those amounts to the Commonwealth from the </w:t>
      </w:r>
      <w:r w:rsidRPr="00572CC5">
        <w:rPr>
          <w:rFonts w:eastAsia="Calibri" w:cs="Times New Roman"/>
          <w:b/>
          <w:bCs/>
          <w:szCs w:val="22"/>
          <w:lang w:eastAsia="en-AU"/>
        </w:rPr>
        <w:t xml:space="preserve">PSS Fund </w:t>
      </w:r>
      <w:r w:rsidRPr="00572CC5">
        <w:rPr>
          <w:rFonts w:eastAsia="Calibri" w:cs="Times New Roman"/>
          <w:szCs w:val="22"/>
          <w:lang w:eastAsia="en-AU"/>
        </w:rPr>
        <w:t>when those amounts become due.</w:t>
      </w:r>
    </w:p>
    <w:p w:rsidR="003F6F52" w:rsidRPr="00A87A79" w:rsidRDefault="003F6F52" w:rsidP="00A87A79">
      <w:pPr>
        <w:pStyle w:val="paragraph"/>
        <w:tabs>
          <w:tab w:val="clear" w:pos="1531"/>
        </w:tabs>
        <w:ind w:left="709" w:firstLine="0"/>
        <w:rPr>
          <w:b/>
        </w:rPr>
      </w:pPr>
    </w:p>
    <w:sectPr w:rsidR="003F6F52" w:rsidRPr="00A87A79" w:rsidSect="00B2099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DE" w:rsidRDefault="00DA5BDE" w:rsidP="0048364F">
      <w:pPr>
        <w:spacing w:line="240" w:lineRule="auto"/>
      </w:pPr>
      <w:r>
        <w:separator/>
      </w:r>
    </w:p>
  </w:endnote>
  <w:endnote w:type="continuationSeparator" w:id="0">
    <w:p w:rsidR="00DA5BDE" w:rsidRDefault="00DA5B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937BD" w:rsidTr="005937BD">
      <w:tc>
        <w:tcPr>
          <w:tcW w:w="5000" w:type="pct"/>
        </w:tcPr>
        <w:p w:rsidR="005937BD" w:rsidRDefault="005937BD" w:rsidP="005937BD">
          <w:pPr>
            <w:rPr>
              <w:sz w:val="18"/>
            </w:rPr>
          </w:pPr>
        </w:p>
      </w:tc>
    </w:tr>
  </w:tbl>
  <w:p w:rsidR="005937BD" w:rsidRPr="005F1388" w:rsidRDefault="005937B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937BD" w:rsidTr="005937BD">
      <w:tc>
        <w:tcPr>
          <w:tcW w:w="5000" w:type="pct"/>
        </w:tcPr>
        <w:p w:rsidR="005937BD" w:rsidRDefault="005937BD" w:rsidP="005937BD">
          <w:pPr>
            <w:rPr>
              <w:sz w:val="18"/>
            </w:rPr>
          </w:pPr>
        </w:p>
      </w:tc>
    </w:tr>
  </w:tbl>
  <w:p w:rsidR="005937BD" w:rsidRPr="006D3667" w:rsidRDefault="005937BD" w:rsidP="00593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Default="005937BD" w:rsidP="005937B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937BD" w:rsidTr="005937BD">
      <w:tc>
        <w:tcPr>
          <w:tcW w:w="5000" w:type="pct"/>
        </w:tcPr>
        <w:p w:rsidR="005937BD" w:rsidRDefault="005937BD" w:rsidP="005937BD">
          <w:pPr>
            <w:rPr>
              <w:sz w:val="18"/>
            </w:rPr>
          </w:pPr>
        </w:p>
      </w:tc>
    </w:tr>
  </w:tbl>
  <w:p w:rsidR="005937BD" w:rsidRPr="00486382" w:rsidRDefault="005937B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33C1C" w:rsidRDefault="005937BD" w:rsidP="005937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937BD" w:rsidTr="005937B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937BD" w:rsidRDefault="005937BD" w:rsidP="005937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937BD" w:rsidRDefault="005937BD" w:rsidP="005937B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6D0A">
            <w:rPr>
              <w:i/>
              <w:noProof/>
              <w:sz w:val="18"/>
            </w:rPr>
            <w:t>Superannuation Amendment (PSS Trust Deed) Instrument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937BD" w:rsidRDefault="005937BD" w:rsidP="005937BD">
          <w:pPr>
            <w:spacing w:line="0" w:lineRule="atLeast"/>
            <w:jc w:val="right"/>
            <w:rPr>
              <w:sz w:val="18"/>
            </w:rPr>
          </w:pPr>
        </w:p>
      </w:tc>
    </w:tr>
    <w:tr w:rsidR="005937BD" w:rsidTr="005937B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937BD" w:rsidRDefault="005937BD" w:rsidP="005937BD">
          <w:pPr>
            <w:jc w:val="right"/>
            <w:rPr>
              <w:sz w:val="18"/>
            </w:rPr>
          </w:pPr>
        </w:p>
      </w:tc>
    </w:tr>
  </w:tbl>
  <w:p w:rsidR="005937BD" w:rsidRPr="00ED79B6" w:rsidRDefault="005937BD" w:rsidP="005937B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33C1C" w:rsidRDefault="005937BD" w:rsidP="005937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937BD" w:rsidTr="005937B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937BD" w:rsidRDefault="005937BD" w:rsidP="005937B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937BD" w:rsidRPr="00B20990" w:rsidRDefault="005937BD" w:rsidP="005937B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3B3E">
            <w:rPr>
              <w:i/>
              <w:noProof/>
              <w:sz w:val="18"/>
            </w:rPr>
            <w:t>Superannuation Amendment (PSS Trust Deed) Instrument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937BD" w:rsidRDefault="005937BD" w:rsidP="005937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3B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37BD" w:rsidTr="005937B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937BD" w:rsidRDefault="005937BD" w:rsidP="005937BD">
          <w:pPr>
            <w:rPr>
              <w:sz w:val="18"/>
            </w:rPr>
          </w:pPr>
        </w:p>
      </w:tc>
    </w:tr>
  </w:tbl>
  <w:p w:rsidR="005937BD" w:rsidRPr="00ED79B6" w:rsidRDefault="005937BD" w:rsidP="005937B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33C1C" w:rsidRDefault="005937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37BD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3B3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3B3E">
            <w:rPr>
              <w:i/>
              <w:noProof/>
              <w:sz w:val="18"/>
            </w:rPr>
            <w:t>Superannuation Amendment (PSS Trust Deed) Instrument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937BD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937BD" w:rsidRDefault="005937BD" w:rsidP="00EE57E8">
          <w:pPr>
            <w:jc w:val="right"/>
            <w:rPr>
              <w:sz w:val="18"/>
            </w:rPr>
          </w:pPr>
        </w:p>
      </w:tc>
    </w:tr>
  </w:tbl>
  <w:p w:rsidR="005937BD" w:rsidRPr="00ED79B6" w:rsidRDefault="005937B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33C1C" w:rsidRDefault="005937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37BD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3B3E">
            <w:rPr>
              <w:i/>
              <w:noProof/>
              <w:sz w:val="18"/>
            </w:rPr>
            <w:t>Superannuation Amendment (PSS Trust Deed) Instrument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3B3E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37BD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937BD" w:rsidRDefault="005937BD" w:rsidP="00EE57E8">
          <w:pPr>
            <w:rPr>
              <w:sz w:val="18"/>
            </w:rPr>
          </w:pPr>
        </w:p>
      </w:tc>
    </w:tr>
  </w:tbl>
  <w:p w:rsidR="005937BD" w:rsidRPr="00ED79B6" w:rsidRDefault="005937B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33C1C" w:rsidRDefault="005937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37B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D0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37BD" w:rsidRDefault="005937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37BD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937BD" w:rsidRDefault="005937B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26D0A">
            <w:rPr>
              <w:i/>
              <w:noProof/>
              <w:sz w:val="18"/>
            </w:rPr>
            <w:t>H:\Documents\Super Policy\PSS Amending Instrument 2021 No. 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33B3E">
            <w:rPr>
              <w:i/>
              <w:noProof/>
              <w:sz w:val="18"/>
            </w:rPr>
            <w:t>8/12/2021 10:13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937BD" w:rsidRPr="00ED79B6" w:rsidRDefault="005937B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DE" w:rsidRDefault="00DA5BDE" w:rsidP="0048364F">
      <w:pPr>
        <w:spacing w:line="240" w:lineRule="auto"/>
      </w:pPr>
      <w:r>
        <w:separator/>
      </w:r>
    </w:p>
  </w:footnote>
  <w:footnote w:type="continuationSeparator" w:id="0">
    <w:p w:rsidR="00DA5BDE" w:rsidRDefault="00DA5B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5F1388" w:rsidRDefault="005937B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5F1388" w:rsidRDefault="005937B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5F1388" w:rsidRDefault="005937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D79B6" w:rsidRDefault="005937BD" w:rsidP="005937B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D79B6" w:rsidRDefault="005937BD" w:rsidP="005937B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ED79B6" w:rsidRDefault="005937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A961C4" w:rsidRDefault="005937BD" w:rsidP="0048364F">
    <w:pPr>
      <w:rPr>
        <w:b/>
        <w:sz w:val="20"/>
      </w:rPr>
    </w:pPr>
  </w:p>
  <w:p w:rsidR="005937BD" w:rsidRPr="00A961C4" w:rsidRDefault="005937BD" w:rsidP="0048364F">
    <w:pPr>
      <w:rPr>
        <w:b/>
        <w:sz w:val="20"/>
      </w:rPr>
    </w:pPr>
  </w:p>
  <w:p w:rsidR="005937BD" w:rsidRPr="00A961C4" w:rsidRDefault="005937B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D" w:rsidRPr="00A961C4" w:rsidRDefault="005937BD" w:rsidP="0048364F">
    <w:pPr>
      <w:jc w:val="right"/>
      <w:rPr>
        <w:sz w:val="20"/>
      </w:rPr>
    </w:pPr>
  </w:p>
  <w:p w:rsidR="005937BD" w:rsidRPr="00A961C4" w:rsidRDefault="005937BD" w:rsidP="0048364F">
    <w:pPr>
      <w:jc w:val="right"/>
      <w:rPr>
        <w:b/>
        <w:sz w:val="20"/>
      </w:rPr>
    </w:pPr>
  </w:p>
  <w:p w:rsidR="005937BD" w:rsidRPr="00A961C4" w:rsidRDefault="005937B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09" w:rsidRDefault="00D9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A6A77C0"/>
    <w:multiLevelType w:val="multilevel"/>
    <w:tmpl w:val="373EB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1" w:firstLine="0"/>
      </w:pPr>
    </w:lvl>
    <w:lvl w:ilvl="7">
      <w:start w:val="1"/>
      <w:numFmt w:val="none"/>
      <w:suff w:val="nothing"/>
      <w:lvlText w:val=""/>
      <w:lvlJc w:val="left"/>
      <w:pPr>
        <w:ind w:left="5041" w:firstLine="0"/>
      </w:pPr>
    </w:lvl>
    <w:lvl w:ilvl="8">
      <w:start w:val="1"/>
      <w:numFmt w:val="none"/>
      <w:suff w:val="nothing"/>
      <w:lvlText w:val=""/>
      <w:lvlJc w:val="left"/>
      <w:pPr>
        <w:ind w:left="5761" w:firstLine="0"/>
      </w:pPr>
    </w:lvl>
  </w:abstractNum>
  <w:abstractNum w:abstractNumId="14" w15:restartNumberingAfterBreak="0">
    <w:nsid w:val="4AB265F5"/>
    <w:multiLevelType w:val="hybridMultilevel"/>
    <w:tmpl w:val="B644C784"/>
    <w:lvl w:ilvl="0" w:tplc="B2166D62">
      <w:start w:val="1"/>
      <w:numFmt w:val="lowerLetter"/>
      <w:lvlText w:val="(%1)"/>
      <w:lvlJc w:val="left"/>
      <w:pPr>
        <w:ind w:left="1069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AF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4563"/>
    <w:rsid w:val="00077593"/>
    <w:rsid w:val="00083F48"/>
    <w:rsid w:val="00095CC5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6FD7"/>
    <w:rsid w:val="0010745C"/>
    <w:rsid w:val="001122FF"/>
    <w:rsid w:val="00117539"/>
    <w:rsid w:val="00160BD7"/>
    <w:rsid w:val="001643C9"/>
    <w:rsid w:val="00165568"/>
    <w:rsid w:val="00166082"/>
    <w:rsid w:val="00166C2F"/>
    <w:rsid w:val="001716C9"/>
    <w:rsid w:val="00184261"/>
    <w:rsid w:val="001874E4"/>
    <w:rsid w:val="00193461"/>
    <w:rsid w:val="00193976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1F57"/>
    <w:rsid w:val="0020588D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082E"/>
    <w:rsid w:val="00291167"/>
    <w:rsid w:val="0029489E"/>
    <w:rsid w:val="00297ECB"/>
    <w:rsid w:val="002B35C6"/>
    <w:rsid w:val="002C00EC"/>
    <w:rsid w:val="002C152A"/>
    <w:rsid w:val="002D043A"/>
    <w:rsid w:val="002D7EF6"/>
    <w:rsid w:val="003144BA"/>
    <w:rsid w:val="0031713F"/>
    <w:rsid w:val="003222D1"/>
    <w:rsid w:val="00323E93"/>
    <w:rsid w:val="0032750F"/>
    <w:rsid w:val="00333B3E"/>
    <w:rsid w:val="00333C97"/>
    <w:rsid w:val="003415D3"/>
    <w:rsid w:val="003442F6"/>
    <w:rsid w:val="00346335"/>
    <w:rsid w:val="00352B0F"/>
    <w:rsid w:val="003561B0"/>
    <w:rsid w:val="00397893"/>
    <w:rsid w:val="003A15AC"/>
    <w:rsid w:val="003B0627"/>
    <w:rsid w:val="003B7EEF"/>
    <w:rsid w:val="003C5F2B"/>
    <w:rsid w:val="003C7D35"/>
    <w:rsid w:val="003D0BFE"/>
    <w:rsid w:val="003D5700"/>
    <w:rsid w:val="003F6F52"/>
    <w:rsid w:val="004022CA"/>
    <w:rsid w:val="00411056"/>
    <w:rsid w:val="004116CD"/>
    <w:rsid w:val="004148BB"/>
    <w:rsid w:val="00414ADE"/>
    <w:rsid w:val="00424CA9"/>
    <w:rsid w:val="004257BB"/>
    <w:rsid w:val="0044291A"/>
    <w:rsid w:val="004600B0"/>
    <w:rsid w:val="00460499"/>
    <w:rsid w:val="00460FBA"/>
    <w:rsid w:val="00474835"/>
    <w:rsid w:val="00480092"/>
    <w:rsid w:val="004819C7"/>
    <w:rsid w:val="0048364F"/>
    <w:rsid w:val="004877FC"/>
    <w:rsid w:val="00490F2E"/>
    <w:rsid w:val="00496F97"/>
    <w:rsid w:val="004A53EA"/>
    <w:rsid w:val="004B35E7"/>
    <w:rsid w:val="004E4F61"/>
    <w:rsid w:val="004F1FAC"/>
    <w:rsid w:val="004F676E"/>
    <w:rsid w:val="004F71C0"/>
    <w:rsid w:val="005126CD"/>
    <w:rsid w:val="00516B8D"/>
    <w:rsid w:val="0052756C"/>
    <w:rsid w:val="00530230"/>
    <w:rsid w:val="00530CC9"/>
    <w:rsid w:val="00531B46"/>
    <w:rsid w:val="00537FBC"/>
    <w:rsid w:val="00541D73"/>
    <w:rsid w:val="00543469"/>
    <w:rsid w:val="00546BFD"/>
    <w:rsid w:val="00546FA3"/>
    <w:rsid w:val="00557C7A"/>
    <w:rsid w:val="00562A58"/>
    <w:rsid w:val="0056541A"/>
    <w:rsid w:val="00572CC5"/>
    <w:rsid w:val="00581211"/>
    <w:rsid w:val="00584811"/>
    <w:rsid w:val="005937BD"/>
    <w:rsid w:val="00593AA6"/>
    <w:rsid w:val="00594161"/>
    <w:rsid w:val="00594749"/>
    <w:rsid w:val="00594956"/>
    <w:rsid w:val="00595509"/>
    <w:rsid w:val="005B1555"/>
    <w:rsid w:val="005B4067"/>
    <w:rsid w:val="005C3F41"/>
    <w:rsid w:val="005C4EF0"/>
    <w:rsid w:val="005D05B7"/>
    <w:rsid w:val="005D1029"/>
    <w:rsid w:val="005D5EA1"/>
    <w:rsid w:val="005E098C"/>
    <w:rsid w:val="005E1F8D"/>
    <w:rsid w:val="005E3131"/>
    <w:rsid w:val="005E317F"/>
    <w:rsid w:val="005E40C6"/>
    <w:rsid w:val="005E61D3"/>
    <w:rsid w:val="00600219"/>
    <w:rsid w:val="006065DA"/>
    <w:rsid w:val="00606AA4"/>
    <w:rsid w:val="00636E21"/>
    <w:rsid w:val="00640402"/>
    <w:rsid w:val="00640F78"/>
    <w:rsid w:val="00642065"/>
    <w:rsid w:val="00653395"/>
    <w:rsid w:val="00655D6A"/>
    <w:rsid w:val="00656DE9"/>
    <w:rsid w:val="00672876"/>
    <w:rsid w:val="00677CC2"/>
    <w:rsid w:val="00685F42"/>
    <w:rsid w:val="0069207B"/>
    <w:rsid w:val="00696FCE"/>
    <w:rsid w:val="006A304E"/>
    <w:rsid w:val="006B7006"/>
    <w:rsid w:val="006C6F7D"/>
    <w:rsid w:val="006C7F8C"/>
    <w:rsid w:val="006D2876"/>
    <w:rsid w:val="006D4262"/>
    <w:rsid w:val="006D7AB9"/>
    <w:rsid w:val="006F197D"/>
    <w:rsid w:val="00700B2C"/>
    <w:rsid w:val="00713084"/>
    <w:rsid w:val="00717463"/>
    <w:rsid w:val="00720FC2"/>
    <w:rsid w:val="00722E89"/>
    <w:rsid w:val="00726D0A"/>
    <w:rsid w:val="00731E00"/>
    <w:rsid w:val="007339C7"/>
    <w:rsid w:val="007440B7"/>
    <w:rsid w:val="00747993"/>
    <w:rsid w:val="007634AD"/>
    <w:rsid w:val="007656BC"/>
    <w:rsid w:val="007715C9"/>
    <w:rsid w:val="00774EDD"/>
    <w:rsid w:val="007757EC"/>
    <w:rsid w:val="007908DA"/>
    <w:rsid w:val="007A6863"/>
    <w:rsid w:val="007C78B4"/>
    <w:rsid w:val="007E32B6"/>
    <w:rsid w:val="007E486B"/>
    <w:rsid w:val="007E7D4A"/>
    <w:rsid w:val="007F3C56"/>
    <w:rsid w:val="007F48ED"/>
    <w:rsid w:val="007F5E3F"/>
    <w:rsid w:val="00805442"/>
    <w:rsid w:val="00812F45"/>
    <w:rsid w:val="008329D8"/>
    <w:rsid w:val="00836FE9"/>
    <w:rsid w:val="0084172C"/>
    <w:rsid w:val="008510BD"/>
    <w:rsid w:val="0085175E"/>
    <w:rsid w:val="00856A31"/>
    <w:rsid w:val="00863FB0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17E5"/>
    <w:rsid w:val="008E4702"/>
    <w:rsid w:val="008E69AA"/>
    <w:rsid w:val="008F4F1C"/>
    <w:rsid w:val="00901B0A"/>
    <w:rsid w:val="009069AD"/>
    <w:rsid w:val="00910E64"/>
    <w:rsid w:val="00916B63"/>
    <w:rsid w:val="00922764"/>
    <w:rsid w:val="009278C1"/>
    <w:rsid w:val="00932377"/>
    <w:rsid w:val="009346E3"/>
    <w:rsid w:val="0094523D"/>
    <w:rsid w:val="0095004D"/>
    <w:rsid w:val="00961746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1C73"/>
    <w:rsid w:val="00A3513C"/>
    <w:rsid w:val="00A379BB"/>
    <w:rsid w:val="00A4169B"/>
    <w:rsid w:val="00A50D55"/>
    <w:rsid w:val="00A52FDA"/>
    <w:rsid w:val="00A64912"/>
    <w:rsid w:val="00A70A74"/>
    <w:rsid w:val="00A87A79"/>
    <w:rsid w:val="00A90856"/>
    <w:rsid w:val="00A9231A"/>
    <w:rsid w:val="00A95BC7"/>
    <w:rsid w:val="00AA0343"/>
    <w:rsid w:val="00AA78CE"/>
    <w:rsid w:val="00AA7B26"/>
    <w:rsid w:val="00AB35D7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04DB"/>
    <w:rsid w:val="00B61728"/>
    <w:rsid w:val="00B71F07"/>
    <w:rsid w:val="00B770D2"/>
    <w:rsid w:val="00B93516"/>
    <w:rsid w:val="00B96776"/>
    <w:rsid w:val="00B973E5"/>
    <w:rsid w:val="00B97DA4"/>
    <w:rsid w:val="00BA47A3"/>
    <w:rsid w:val="00BA5026"/>
    <w:rsid w:val="00BA7B5B"/>
    <w:rsid w:val="00BB6E79"/>
    <w:rsid w:val="00BE42C5"/>
    <w:rsid w:val="00BE719A"/>
    <w:rsid w:val="00BE720A"/>
    <w:rsid w:val="00BF0723"/>
    <w:rsid w:val="00BF3CDA"/>
    <w:rsid w:val="00BF6650"/>
    <w:rsid w:val="00C067E5"/>
    <w:rsid w:val="00C164CA"/>
    <w:rsid w:val="00C26051"/>
    <w:rsid w:val="00C27C63"/>
    <w:rsid w:val="00C31090"/>
    <w:rsid w:val="00C429F6"/>
    <w:rsid w:val="00C42BF8"/>
    <w:rsid w:val="00C45E4E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A784C"/>
    <w:rsid w:val="00CA7A00"/>
    <w:rsid w:val="00CB58EF"/>
    <w:rsid w:val="00CC74B3"/>
    <w:rsid w:val="00CE0A93"/>
    <w:rsid w:val="00CF0BB2"/>
    <w:rsid w:val="00D12B0D"/>
    <w:rsid w:val="00D13441"/>
    <w:rsid w:val="00D243A3"/>
    <w:rsid w:val="00D33440"/>
    <w:rsid w:val="00D34EAE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3E09"/>
    <w:rsid w:val="00D9431A"/>
    <w:rsid w:val="00D94ABD"/>
    <w:rsid w:val="00DA2439"/>
    <w:rsid w:val="00DA5BDE"/>
    <w:rsid w:val="00DA6F05"/>
    <w:rsid w:val="00DB114C"/>
    <w:rsid w:val="00DB64FC"/>
    <w:rsid w:val="00DC4433"/>
    <w:rsid w:val="00DE149E"/>
    <w:rsid w:val="00E034DB"/>
    <w:rsid w:val="00E05704"/>
    <w:rsid w:val="00E12F1A"/>
    <w:rsid w:val="00E22935"/>
    <w:rsid w:val="00E54292"/>
    <w:rsid w:val="00E60191"/>
    <w:rsid w:val="00E66E4C"/>
    <w:rsid w:val="00E74DC7"/>
    <w:rsid w:val="00E87699"/>
    <w:rsid w:val="00E92E27"/>
    <w:rsid w:val="00E9548F"/>
    <w:rsid w:val="00E9586B"/>
    <w:rsid w:val="00E97334"/>
    <w:rsid w:val="00EA05EF"/>
    <w:rsid w:val="00EB3A99"/>
    <w:rsid w:val="00EB65F8"/>
    <w:rsid w:val="00EC22B0"/>
    <w:rsid w:val="00EC7130"/>
    <w:rsid w:val="00ED4928"/>
    <w:rsid w:val="00EE3FFE"/>
    <w:rsid w:val="00EE57E8"/>
    <w:rsid w:val="00EE6190"/>
    <w:rsid w:val="00EF2E3A"/>
    <w:rsid w:val="00EF6402"/>
    <w:rsid w:val="00EF6DFF"/>
    <w:rsid w:val="00F047E2"/>
    <w:rsid w:val="00F04D57"/>
    <w:rsid w:val="00F078DC"/>
    <w:rsid w:val="00F13E86"/>
    <w:rsid w:val="00F20B52"/>
    <w:rsid w:val="00F25C83"/>
    <w:rsid w:val="00F32FCB"/>
    <w:rsid w:val="00F33523"/>
    <w:rsid w:val="00F404AF"/>
    <w:rsid w:val="00F677A9"/>
    <w:rsid w:val="00F8121C"/>
    <w:rsid w:val="00F84CF5"/>
    <w:rsid w:val="00F8612E"/>
    <w:rsid w:val="00F8784F"/>
    <w:rsid w:val="00F92D4D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."/>
  <w:listSeparator w:val=","/>
  <w14:docId w14:val="0349B89B"/>
  <w15:docId w15:val="{B287920E-9A4D-4437-846D-990D4821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footer" Target="footer7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png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RCURY.NETWORK\DFS\Users\KEMDEV\Documents\Super%20Policy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DE86753D67BF442826CD1F495260153" ma:contentTypeVersion="" ma:contentTypeDescription="PDMS Document Site Content Type" ma:contentTypeScope="" ma:versionID="8706136d7f3aef11a15f7d1ee2c94423">
  <xsd:schema xmlns:xsd="http://www.w3.org/2001/XMLSchema" xmlns:xs="http://www.w3.org/2001/XMLSchema" xmlns:p="http://schemas.microsoft.com/office/2006/metadata/properties" xmlns:ns2="F3553D15-9F97-42C0-9064-48B607B445D8" targetNamespace="http://schemas.microsoft.com/office/2006/metadata/properties" ma:root="true" ma:fieldsID="1067031f09024675dc8edf772bdbbd64" ns2:_="">
    <xsd:import namespace="F3553D15-9F97-42C0-9064-48B607B445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3D15-9F97-42C0-9064-48B607B445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3553D15-9F97-42C0-9064-48B607B445D8" xsi:nil="true"/>
  </documentManagement>
</p:properties>
</file>

<file path=customXml/itemProps1.xml><?xml version="1.0" encoding="utf-8"?>
<ds:datastoreItem xmlns:ds="http://schemas.openxmlformats.org/officeDocument/2006/customXml" ds:itemID="{801B5D35-CAAF-409E-9050-E5113F9D4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3D15-9F97-42C0-9064-48B607B44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6F3C4-90EA-44EC-961F-F342E9A69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140F4-842C-4B20-8ACA-FB92733322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553D15-9F97-42C0-9064-48B607B445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13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Kemp, Devi</dc:creator>
  <cp:lastModifiedBy>Kemp, Devi</cp:lastModifiedBy>
  <cp:revision>3</cp:revision>
  <cp:lastPrinted>2021-08-11T00:47:00Z</cp:lastPrinted>
  <dcterms:created xsi:type="dcterms:W3CDTF">2021-12-07T22:55:00Z</dcterms:created>
  <dcterms:modified xsi:type="dcterms:W3CDTF">2021-12-07T23:13:00Z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0x010100266966F133664895A6EE3632470D45F5004DE86753D67BF442826CD1F495260153</vt:lpwstr>
  </property>
</Properties>
</file>