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7BE04" w14:textId="3CBB396C" w:rsidR="00CC1F2D" w:rsidRDefault="25088863" w:rsidP="25088863">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58"/>
        </w:tabs>
        <w:spacing w:line="276" w:lineRule="auto"/>
        <w:rPr>
          <w:b/>
          <w:bCs/>
        </w:rPr>
      </w:pPr>
      <w:r w:rsidRPr="25088863">
        <w:rPr>
          <w:b/>
          <w:bCs/>
          <w:sz w:val="28"/>
          <w:szCs w:val="28"/>
          <w:u w:val="none"/>
        </w:rPr>
        <w:t>EXPLANATORY STATEMENT</w:t>
      </w:r>
      <w:r w:rsidRPr="25088863">
        <w:rPr>
          <w:b/>
          <w:bCs/>
        </w:rPr>
        <w:t xml:space="preserve"> </w:t>
      </w:r>
    </w:p>
    <w:p w14:paraId="69414477" w14:textId="77777777" w:rsidR="00C07FE4" w:rsidRPr="00E44934" w:rsidRDefault="25088863" w:rsidP="25088863">
      <w:pPr>
        <w:spacing w:before="120" w:line="276" w:lineRule="auto"/>
        <w:jc w:val="center"/>
        <w:rPr>
          <w:b/>
          <w:bCs/>
        </w:rPr>
      </w:pPr>
      <w:r w:rsidRPr="25088863">
        <w:rPr>
          <w:b/>
          <w:bCs/>
        </w:rPr>
        <w:t xml:space="preserve">Issued by the authority of the Minister for Finance </w:t>
      </w:r>
    </w:p>
    <w:p w14:paraId="07EC7F19" w14:textId="1F597A9E" w:rsidR="002A0BFE" w:rsidRDefault="25088863" w:rsidP="25088863">
      <w:pPr>
        <w:pStyle w:val="Heading8"/>
        <w:spacing w:before="120" w:after="120" w:line="276" w:lineRule="auto"/>
        <w:ind w:left="-284" w:right="-335"/>
        <w:jc w:val="center"/>
        <w:rPr>
          <w:sz w:val="24"/>
        </w:rPr>
      </w:pPr>
      <w:r w:rsidRPr="25088863">
        <w:rPr>
          <w:sz w:val="24"/>
        </w:rPr>
        <w:t>Public Governance, Performance and Accountability Act 2013</w:t>
      </w:r>
    </w:p>
    <w:p w14:paraId="16D48AD9" w14:textId="012B3E53" w:rsidR="00E44934" w:rsidRDefault="25088863" w:rsidP="25088863">
      <w:pPr>
        <w:spacing w:line="276" w:lineRule="auto"/>
        <w:jc w:val="center"/>
        <w:rPr>
          <w:i/>
          <w:iCs/>
        </w:rPr>
      </w:pPr>
      <w:r w:rsidRPr="25088863">
        <w:rPr>
          <w:i/>
          <w:iCs/>
        </w:rPr>
        <w:t>Public Governance, Performance and Accountability</w:t>
      </w:r>
    </w:p>
    <w:p w14:paraId="72DF531D" w14:textId="2543DD83" w:rsidR="00E44934" w:rsidRDefault="25088863" w:rsidP="25088863">
      <w:pPr>
        <w:spacing w:after="200" w:line="276" w:lineRule="auto"/>
        <w:jc w:val="center"/>
        <w:rPr>
          <w:i/>
          <w:iCs/>
        </w:rPr>
      </w:pPr>
      <w:r w:rsidRPr="25088863">
        <w:rPr>
          <w:i/>
          <w:iCs/>
        </w:rPr>
        <w:t>(Financial Reporting) Amendment (2021 Measures No. 2) Rules 2021</w:t>
      </w:r>
    </w:p>
    <w:p w14:paraId="799C637E" w14:textId="1563EA99" w:rsidR="00E44934" w:rsidRDefault="25088863" w:rsidP="00EB2C82">
      <w:pPr>
        <w:spacing w:after="200" w:line="276" w:lineRule="auto"/>
        <w:jc w:val="both"/>
      </w:pPr>
      <w:r>
        <w:t xml:space="preserve">Section 101 of the </w:t>
      </w:r>
      <w:r w:rsidRPr="25088863">
        <w:rPr>
          <w:i/>
          <w:iCs/>
        </w:rPr>
        <w:t>Public Governance, Performance and Accountability Act 2013</w:t>
      </w:r>
      <w:r>
        <w:t xml:space="preserve"> (PGPA Act) provides that the Finance Minister may make rules by legislative instrument to prescribe matters giving effect to this Act. </w:t>
      </w:r>
    </w:p>
    <w:p w14:paraId="7FA1C27E" w14:textId="77637B26" w:rsidR="00E44934" w:rsidRDefault="25088863" w:rsidP="00EB2C82">
      <w:pPr>
        <w:spacing w:line="276" w:lineRule="auto"/>
        <w:jc w:val="both"/>
      </w:pPr>
      <w:r>
        <w:t xml:space="preserve">The </w:t>
      </w:r>
      <w:r w:rsidRPr="25088863">
        <w:rPr>
          <w:i/>
          <w:iCs/>
        </w:rPr>
        <w:t xml:space="preserve">Public Governance, Performance and Accountability (Financial Reporting) Amendment (2021 Measures No. 2) Rules 2021 </w:t>
      </w:r>
      <w:r>
        <w:t xml:space="preserve">(the Amending Rule) amends the </w:t>
      </w:r>
      <w:r w:rsidRPr="25088863">
        <w:rPr>
          <w:i/>
          <w:iCs/>
        </w:rPr>
        <w:t xml:space="preserve">Public Governance, Performance and Accountability (Financial Reporting) Rule 2015 </w:t>
      </w:r>
      <w:r>
        <w:t>(FRR), which prescribes the financial reporting requirements for Commonwealth entities. Both rules are legislative instruments for the purpose of the</w:t>
      </w:r>
      <w:r w:rsidRPr="25088863">
        <w:rPr>
          <w:i/>
          <w:iCs/>
        </w:rPr>
        <w:t xml:space="preserve"> Legislation Act 2003.</w:t>
      </w:r>
    </w:p>
    <w:p w14:paraId="7BAF675D" w14:textId="77777777" w:rsidR="00E44934" w:rsidRPr="006C3BA8" w:rsidRDefault="00E44934" w:rsidP="00EB2C82">
      <w:pPr>
        <w:spacing w:line="276" w:lineRule="auto"/>
        <w:jc w:val="both"/>
        <w:rPr>
          <w:i/>
        </w:rPr>
      </w:pPr>
    </w:p>
    <w:p w14:paraId="131D43EA" w14:textId="77777777" w:rsidR="00E44934" w:rsidRPr="006C3BA8" w:rsidRDefault="25088863" w:rsidP="25088863">
      <w:pPr>
        <w:tabs>
          <w:tab w:val="left" w:pos="4536"/>
        </w:tabs>
        <w:spacing w:after="120" w:line="276" w:lineRule="auto"/>
        <w:jc w:val="both"/>
        <w:rPr>
          <w:i/>
          <w:iCs/>
        </w:rPr>
      </w:pPr>
      <w:r w:rsidRPr="25088863">
        <w:rPr>
          <w:i/>
          <w:iCs/>
        </w:rPr>
        <w:t>Other Legislative Provisions</w:t>
      </w:r>
    </w:p>
    <w:p w14:paraId="64C3157D" w14:textId="4CD076C0" w:rsidR="00E44934" w:rsidRDefault="25088863" w:rsidP="00EB2C82">
      <w:pPr>
        <w:tabs>
          <w:tab w:val="left" w:pos="4536"/>
        </w:tabs>
        <w:spacing w:after="160" w:line="276" w:lineRule="auto"/>
        <w:jc w:val="both"/>
      </w:pPr>
      <w:r>
        <w:t>The FRR sets out the requirements for preparation of financial statements in accordance with the following legislative provisions:</w:t>
      </w:r>
    </w:p>
    <w:p w14:paraId="2B1C4011" w14:textId="58171558" w:rsidR="00C73CEC" w:rsidRDefault="25088863" w:rsidP="00EB2C82">
      <w:pPr>
        <w:pStyle w:val="ListParagraph"/>
        <w:numPr>
          <w:ilvl w:val="0"/>
          <w:numId w:val="9"/>
        </w:numPr>
        <w:spacing w:line="276" w:lineRule="auto"/>
        <w:jc w:val="both"/>
      </w:pPr>
      <w:r>
        <w:t>subsection 42(2) of the PGPA Act prescribes that annual financial statements must:</w:t>
      </w:r>
    </w:p>
    <w:p w14:paraId="75D295FA" w14:textId="352BB92A" w:rsidR="00C73CEC" w:rsidRDefault="25088863" w:rsidP="00EB2C82">
      <w:pPr>
        <w:pStyle w:val="ListParagraph"/>
        <w:numPr>
          <w:ilvl w:val="1"/>
          <w:numId w:val="9"/>
        </w:numPr>
        <w:spacing w:line="276" w:lineRule="auto"/>
        <w:jc w:val="both"/>
      </w:pPr>
      <w:r>
        <w:t>comply with accounting standards and any other requirements prescribed by the rules</w:t>
      </w:r>
    </w:p>
    <w:p w14:paraId="2AD094CD" w14:textId="52CEAC65" w:rsidR="00E44934" w:rsidRPr="009C5606" w:rsidRDefault="25088863" w:rsidP="00EB2C82">
      <w:pPr>
        <w:pStyle w:val="ListParagraph"/>
        <w:numPr>
          <w:ilvl w:val="1"/>
          <w:numId w:val="9"/>
        </w:numPr>
        <w:spacing w:line="276" w:lineRule="auto"/>
        <w:jc w:val="both"/>
      </w:pPr>
      <w:r>
        <w:t>present fairly the entity’s financial position, financial performance and cash flows</w:t>
      </w:r>
    </w:p>
    <w:p w14:paraId="1EE9556A" w14:textId="5DB88EB5" w:rsidR="00E44934" w:rsidRPr="009C5606" w:rsidRDefault="25088863" w:rsidP="00EB2C82">
      <w:pPr>
        <w:pStyle w:val="ListParagraph"/>
        <w:numPr>
          <w:ilvl w:val="0"/>
          <w:numId w:val="9"/>
        </w:numPr>
        <w:spacing w:line="276" w:lineRule="auto"/>
        <w:jc w:val="both"/>
      </w:pPr>
      <w:r>
        <w:t xml:space="preserve">subsection 47(1) of the </w:t>
      </w:r>
      <w:r w:rsidRPr="25088863">
        <w:rPr>
          <w:i/>
          <w:iCs/>
        </w:rPr>
        <w:t>High Court of Australia Act 1979</w:t>
      </w:r>
      <w:r>
        <w:t xml:space="preserve">  prescribes the financial statements reporting requirements of the High Court of Australia</w:t>
      </w:r>
    </w:p>
    <w:p w14:paraId="787E8E48" w14:textId="0C47A4CD" w:rsidR="00E44934" w:rsidRPr="009C5606" w:rsidRDefault="25088863" w:rsidP="00EB2C82">
      <w:pPr>
        <w:pStyle w:val="ListParagraph"/>
        <w:numPr>
          <w:ilvl w:val="0"/>
          <w:numId w:val="9"/>
        </w:numPr>
        <w:spacing w:line="276" w:lineRule="auto"/>
        <w:jc w:val="both"/>
      </w:pPr>
      <w:r>
        <w:t xml:space="preserve">subsections 50B(2) and (4) of the </w:t>
      </w:r>
      <w:r w:rsidRPr="25088863">
        <w:rPr>
          <w:i/>
          <w:iCs/>
        </w:rPr>
        <w:t>Defence Service Homes Act 1918</w:t>
      </w:r>
      <w:r>
        <w:t xml:space="preserve"> prescribe the financial statements reporting requirements of the Defence Service Homes Corporation</w:t>
      </w:r>
    </w:p>
    <w:p w14:paraId="2A256B00" w14:textId="338A074B" w:rsidR="001A3B3D" w:rsidRDefault="25088863" w:rsidP="00EB2C82">
      <w:pPr>
        <w:pStyle w:val="ListParagraph"/>
        <w:numPr>
          <w:ilvl w:val="0"/>
          <w:numId w:val="9"/>
        </w:numPr>
        <w:spacing w:line="276" w:lineRule="auto"/>
        <w:jc w:val="both"/>
      </w:pPr>
      <w:r>
        <w:t xml:space="preserve">subsections 43(1) and (3) of the </w:t>
      </w:r>
      <w:r w:rsidRPr="25088863">
        <w:rPr>
          <w:i/>
          <w:iCs/>
        </w:rPr>
        <w:t>Natural Heritage Trust of Australia Act 1997</w:t>
      </w:r>
      <w:r>
        <w:t xml:space="preserve"> prescribe the financial statements reporting requirements of the Natural Heritage Trust of Australia Account</w:t>
      </w:r>
    </w:p>
    <w:p w14:paraId="7886A8CD" w14:textId="0E783467" w:rsidR="00E44934" w:rsidRPr="009C5606" w:rsidRDefault="25088863" w:rsidP="00EB2C82">
      <w:pPr>
        <w:pStyle w:val="ListParagraph"/>
        <w:numPr>
          <w:ilvl w:val="0"/>
          <w:numId w:val="9"/>
        </w:numPr>
        <w:spacing w:after="200" w:line="276" w:lineRule="auto"/>
        <w:ind w:left="714" w:hanging="357"/>
        <w:contextualSpacing w:val="0"/>
        <w:jc w:val="both"/>
      </w:pPr>
      <w:r>
        <w:t xml:space="preserve">Division 4 of Part 2-3 of the </w:t>
      </w:r>
      <w:r w:rsidRPr="25088863">
        <w:rPr>
          <w:i/>
          <w:iCs/>
        </w:rPr>
        <w:t>Public Governance, Performance and Accountability Rule 2014</w:t>
      </w:r>
      <w:r>
        <w:t xml:space="preserve"> (PGPA Rule) prescribes how financial statements must be prepared for Commonwealth entities that have ceased to exist or whose functions have been transferred.</w:t>
      </w:r>
    </w:p>
    <w:p w14:paraId="3CD49266" w14:textId="48F9AA0F" w:rsidR="00454C17" w:rsidRDefault="25088863" w:rsidP="00EB2C82">
      <w:pPr>
        <w:spacing w:line="276" w:lineRule="auto"/>
        <w:jc w:val="both"/>
      </w:pPr>
      <w:r>
        <w:t>A number of FRR provisions are made for the purpose of subsection 102(1)(b) of the PGPA Act, which prescribes that provisions may be made for the Commonwealth and Commonwealth entities to ensure or promote proper accountability for the use and management of public resources.</w:t>
      </w:r>
    </w:p>
    <w:p w14:paraId="2CFDEEC5" w14:textId="77777777" w:rsidR="00A31DDA" w:rsidRDefault="00A31DDA" w:rsidP="00EB2C82">
      <w:pPr>
        <w:spacing w:line="276" w:lineRule="auto"/>
        <w:jc w:val="both"/>
      </w:pPr>
    </w:p>
    <w:p w14:paraId="0E0A8E60" w14:textId="2959D07B" w:rsidR="00454C17" w:rsidRDefault="25088863" w:rsidP="25088863">
      <w:pPr>
        <w:spacing w:after="120" w:line="276" w:lineRule="auto"/>
        <w:jc w:val="both"/>
        <w:rPr>
          <w:b/>
          <w:bCs/>
        </w:rPr>
      </w:pPr>
      <w:r w:rsidRPr="25088863">
        <w:rPr>
          <w:b/>
          <w:bCs/>
        </w:rPr>
        <w:lastRenderedPageBreak/>
        <w:t>2021-22 Amendments</w:t>
      </w:r>
    </w:p>
    <w:p w14:paraId="215EB090" w14:textId="0D5F9F97" w:rsidR="00454C17" w:rsidRDefault="25088863" w:rsidP="00EB2C82">
      <w:pPr>
        <w:spacing w:after="160" w:line="276" w:lineRule="auto"/>
        <w:jc w:val="both"/>
      </w:pPr>
      <w:r>
        <w:t xml:space="preserve">For the 2021-22 financial reporting period, the following changes to the FRR have been made: </w:t>
      </w:r>
    </w:p>
    <w:p w14:paraId="12FF6D3D" w14:textId="211B7D55" w:rsidR="0004314F" w:rsidRPr="00E7485D" w:rsidRDefault="002D47BF" w:rsidP="004821DA">
      <w:pPr>
        <w:pStyle w:val="ListParagraph"/>
        <w:numPr>
          <w:ilvl w:val="0"/>
          <w:numId w:val="13"/>
        </w:numPr>
        <w:spacing w:line="276" w:lineRule="auto"/>
        <w:contextualSpacing w:val="0"/>
        <w:jc w:val="both"/>
      </w:pPr>
      <w:r>
        <w:t>A</w:t>
      </w:r>
      <w:r w:rsidR="00403B02">
        <w:t xml:space="preserve">dditional </w:t>
      </w:r>
      <w:r w:rsidR="25088863">
        <w:t>disclosure requirements regarding leases</w:t>
      </w:r>
      <w:r w:rsidR="25088863" w:rsidRPr="25088863">
        <w:rPr>
          <w:i/>
          <w:iCs/>
        </w:rPr>
        <w:t xml:space="preserve"> </w:t>
      </w:r>
      <w:r w:rsidR="25088863">
        <w:t xml:space="preserve">and contracts with customers to ensure </w:t>
      </w:r>
      <w:r w:rsidR="00995BAB">
        <w:t xml:space="preserve">that </w:t>
      </w:r>
      <w:r w:rsidR="25088863">
        <w:t>the integrity of the whole of government financial reporting process</w:t>
      </w:r>
      <w:r w:rsidR="00403B02">
        <w:t xml:space="preserve"> is maintained</w:t>
      </w:r>
      <w:r w:rsidR="25088863">
        <w:t xml:space="preserve"> following reduced disclosure requirements introduced by AASB 1060 </w:t>
      </w:r>
      <w:r w:rsidR="25088863" w:rsidRPr="25088863">
        <w:rPr>
          <w:i/>
          <w:iCs/>
        </w:rPr>
        <w:t>General Purpose Financial Statements – Simplified Disclosures for For-Profit and Not-for-Profit Tier 2 Entities</w:t>
      </w:r>
      <w:r w:rsidR="00EA7AB8">
        <w:rPr>
          <w:i/>
          <w:iCs/>
        </w:rPr>
        <w:t>.</w:t>
      </w:r>
    </w:p>
    <w:p w14:paraId="207C0E93" w14:textId="6D500E36" w:rsidR="001D44DD" w:rsidRPr="00E7485D" w:rsidRDefault="002D47BF" w:rsidP="00995BAB">
      <w:pPr>
        <w:pStyle w:val="ListParagraph"/>
        <w:numPr>
          <w:ilvl w:val="0"/>
          <w:numId w:val="13"/>
        </w:numPr>
        <w:spacing w:line="276" w:lineRule="auto"/>
        <w:contextualSpacing w:val="0"/>
        <w:jc w:val="both"/>
      </w:pPr>
      <w:r>
        <w:t>R</w:t>
      </w:r>
      <w:r w:rsidR="25088863">
        <w:t>emoval of specific listed Tier 1 reporting requirements for one entity</w:t>
      </w:r>
      <w:r w:rsidR="00995BAB">
        <w:t xml:space="preserve"> </w:t>
      </w:r>
      <w:r w:rsidR="00995BAB" w:rsidRPr="00995BAB">
        <w:t>(Department of Agriculture, Water and the Environment)</w:t>
      </w:r>
      <w:r w:rsidR="00EA7AB8">
        <w:t>.</w:t>
      </w:r>
    </w:p>
    <w:p w14:paraId="431E423F" w14:textId="6CC0D002" w:rsidR="00F900E7" w:rsidRDefault="002D47BF" w:rsidP="00DE5B4D">
      <w:pPr>
        <w:pStyle w:val="ListParagraph"/>
        <w:numPr>
          <w:ilvl w:val="0"/>
          <w:numId w:val="13"/>
        </w:numPr>
        <w:spacing w:line="276" w:lineRule="auto"/>
        <w:contextualSpacing w:val="0"/>
        <w:jc w:val="both"/>
      </w:pPr>
      <w:r>
        <w:t>C</w:t>
      </w:r>
      <w:r w:rsidR="00EA7AB8">
        <w:t>larification</w:t>
      </w:r>
      <w:r w:rsidR="25088863">
        <w:t xml:space="preserve"> of the methodologies that can be used when estimating </w:t>
      </w:r>
      <w:r w:rsidR="00995BAB">
        <w:t>an</w:t>
      </w:r>
      <w:r w:rsidR="25088863">
        <w:t xml:space="preserve"> entity’s long service leave liability </w:t>
      </w:r>
      <w:r w:rsidR="00995BAB">
        <w:t>(</w:t>
      </w:r>
      <w:r w:rsidR="25088863">
        <w:t>for entities with less than or equal to 1,000 full-time equivalent employees</w:t>
      </w:r>
      <w:r w:rsidR="00995BAB">
        <w:t>)</w:t>
      </w:r>
      <w:r w:rsidR="00EA7AB8">
        <w:t>.</w:t>
      </w:r>
    </w:p>
    <w:p w14:paraId="45BFEF4B" w14:textId="4D0EA624" w:rsidR="00CE0AA1" w:rsidRPr="00277E14" w:rsidRDefault="00995BAB" w:rsidP="00DE5B4D">
      <w:pPr>
        <w:pStyle w:val="ListParagraph"/>
        <w:numPr>
          <w:ilvl w:val="0"/>
          <w:numId w:val="13"/>
        </w:numPr>
        <w:spacing w:line="276" w:lineRule="auto"/>
        <w:contextualSpacing w:val="0"/>
        <w:jc w:val="both"/>
      </w:pPr>
      <w:r>
        <w:t>A n</w:t>
      </w:r>
      <w:r w:rsidR="00403B02">
        <w:t>ew</w:t>
      </w:r>
      <w:r w:rsidR="00E2521C">
        <w:t xml:space="preserve"> </w:t>
      </w:r>
      <w:r w:rsidR="25088863">
        <w:t>disclosure requirement regarding regulatory charging activities</w:t>
      </w:r>
      <w:r>
        <w:t xml:space="preserve"> to ensure consistency with the requirements of the Australian Government Charging Framework.</w:t>
      </w:r>
    </w:p>
    <w:p w14:paraId="14315538" w14:textId="2B770146" w:rsidR="00F900E7" w:rsidRDefault="002D47BF" w:rsidP="00DE5B4D">
      <w:pPr>
        <w:pStyle w:val="ListParagraph"/>
        <w:numPr>
          <w:ilvl w:val="0"/>
          <w:numId w:val="13"/>
        </w:numPr>
        <w:spacing w:line="276" w:lineRule="auto"/>
        <w:contextualSpacing w:val="0"/>
        <w:jc w:val="both"/>
      </w:pPr>
      <w:r>
        <w:t>C</w:t>
      </w:r>
      <w:r w:rsidR="00995BAB">
        <w:t>larification of</w:t>
      </w:r>
      <w:r w:rsidR="25088863">
        <w:t xml:space="preserve"> disclosures required for adjustments made to current and prior years annual appropriations under sections 74 and 75 of the PGPA Act</w:t>
      </w:r>
      <w:r w:rsidR="00EA7AB8">
        <w:t>.</w:t>
      </w:r>
    </w:p>
    <w:p w14:paraId="398C9BC6" w14:textId="0C06C1AF" w:rsidR="001D44DD" w:rsidRDefault="002D47BF" w:rsidP="00DE5B4D">
      <w:pPr>
        <w:pStyle w:val="ListParagraph"/>
        <w:numPr>
          <w:ilvl w:val="0"/>
          <w:numId w:val="13"/>
        </w:numPr>
        <w:spacing w:line="276" w:lineRule="auto"/>
        <w:contextualSpacing w:val="0"/>
        <w:jc w:val="both"/>
      </w:pPr>
      <w:r>
        <w:t>C</w:t>
      </w:r>
      <w:r w:rsidR="00995BAB">
        <w:t>larification of</w:t>
      </w:r>
      <w:r w:rsidR="25088863">
        <w:t xml:space="preserve"> disclosures required for current and prior years annual appropriations withheld under section 51 of the PGPA Act or quarantined for administrative reasons</w:t>
      </w:r>
      <w:r w:rsidR="00EA7AB8">
        <w:t>.</w:t>
      </w:r>
    </w:p>
    <w:p w14:paraId="54F56B30" w14:textId="2FEB7490" w:rsidR="008E775C" w:rsidRDefault="008E775C" w:rsidP="008E775C">
      <w:pPr>
        <w:spacing w:line="276" w:lineRule="auto"/>
        <w:jc w:val="both"/>
      </w:pPr>
    </w:p>
    <w:p w14:paraId="76E373E1" w14:textId="5650CF48" w:rsidR="008E775C" w:rsidRDefault="008E775C" w:rsidP="008E775C">
      <w:pPr>
        <w:spacing w:line="276" w:lineRule="auto"/>
        <w:jc w:val="both"/>
      </w:pPr>
      <w:r w:rsidRPr="008E775C">
        <w:t xml:space="preserve">The accounting standards referred to are incorporated as in force from time to time as per the definition in the PGPA Act. Accounting standards can be found at </w:t>
      </w:r>
      <w:hyperlink r:id="rId13" w:history="1">
        <w:r>
          <w:rPr>
            <w:rStyle w:val="Hyperlink"/>
          </w:rPr>
          <w:t>www.aasb.gov.au</w:t>
        </w:r>
      </w:hyperlink>
      <w:r w:rsidRPr="008E775C">
        <w:t>.</w:t>
      </w:r>
    </w:p>
    <w:p w14:paraId="15FFD61F" w14:textId="77777777" w:rsidR="00805D0D" w:rsidRPr="00AC099A" w:rsidRDefault="00805D0D" w:rsidP="00EB2C82">
      <w:pPr>
        <w:spacing w:line="276" w:lineRule="auto"/>
        <w:jc w:val="both"/>
      </w:pPr>
    </w:p>
    <w:p w14:paraId="3D18B592" w14:textId="49928B89" w:rsidR="0072275C" w:rsidRPr="00407B73" w:rsidRDefault="25088863" w:rsidP="25088863">
      <w:pPr>
        <w:spacing w:after="120" w:line="276" w:lineRule="auto"/>
        <w:jc w:val="both"/>
        <w:rPr>
          <w:b/>
          <w:bCs/>
        </w:rPr>
      </w:pPr>
      <w:r w:rsidRPr="25088863">
        <w:rPr>
          <w:b/>
          <w:bCs/>
        </w:rPr>
        <w:t>Retrospectivity and Timing</w:t>
      </w:r>
    </w:p>
    <w:p w14:paraId="77FA8551" w14:textId="127F2CBD" w:rsidR="00E6511D" w:rsidRPr="00407B73" w:rsidRDefault="25088863" w:rsidP="25088863">
      <w:pPr>
        <w:pStyle w:val="Paragraph"/>
        <w:spacing w:before="0" w:after="200" w:line="276" w:lineRule="auto"/>
        <w:jc w:val="both"/>
        <w:rPr>
          <w:szCs w:val="24"/>
        </w:rPr>
      </w:pPr>
      <w:r>
        <w:t xml:space="preserve">The retrospective commencement date of the Amending Rule does not adversely affect the rights of persons or otherwise impose liabilities, other than onto the Commonwealth or Commonwealth entities, and as such, does not contravene subsection 12(2) of the </w:t>
      </w:r>
      <w:r w:rsidRPr="25088863">
        <w:rPr>
          <w:i/>
          <w:iCs/>
        </w:rPr>
        <w:t>Legislation Act 2003</w:t>
      </w:r>
      <w:r>
        <w:t>.</w:t>
      </w:r>
      <w:bookmarkStart w:id="0" w:name="OLE_LINK1"/>
      <w:bookmarkStart w:id="1" w:name="OLE_LINK2"/>
      <w:bookmarkEnd w:id="0"/>
      <w:bookmarkEnd w:id="1"/>
    </w:p>
    <w:p w14:paraId="60D9681D" w14:textId="77777777" w:rsidR="003F1486" w:rsidRPr="00805D0D" w:rsidRDefault="25088863" w:rsidP="25088863">
      <w:pPr>
        <w:pStyle w:val="Paragraph"/>
        <w:spacing w:before="0" w:after="200" w:line="276" w:lineRule="auto"/>
        <w:jc w:val="both"/>
        <w:rPr>
          <w:szCs w:val="24"/>
        </w:rPr>
      </w:pPr>
      <w:r>
        <w:t>A retrospective commencement date has historically been used for financial reporting purposes as this ensures that changes are applicable in the same reporting period in which the amendments are made.</w:t>
      </w:r>
    </w:p>
    <w:p w14:paraId="24DBE88C" w14:textId="6CF60C9D" w:rsidR="002E02B6" w:rsidRPr="00407B73" w:rsidRDefault="25088863" w:rsidP="25088863">
      <w:pPr>
        <w:pStyle w:val="Paragraph"/>
        <w:spacing w:before="0" w:line="276" w:lineRule="auto"/>
        <w:jc w:val="both"/>
        <w:rPr>
          <w:szCs w:val="24"/>
        </w:rPr>
      </w:pPr>
      <w:r>
        <w:t>For reporting periods commencing before 1 July 2021, these amendments to the FRR are not applicable.</w:t>
      </w:r>
    </w:p>
    <w:p w14:paraId="2374F8E2" w14:textId="77777777" w:rsidR="006B4D64" w:rsidRPr="00407B73" w:rsidRDefault="006B4D64" w:rsidP="00EB2C82">
      <w:pPr>
        <w:pStyle w:val="Paragraph"/>
        <w:spacing w:before="0" w:line="276" w:lineRule="auto"/>
        <w:jc w:val="both"/>
        <w:rPr>
          <w:szCs w:val="24"/>
        </w:rPr>
      </w:pPr>
    </w:p>
    <w:p w14:paraId="597CCE84" w14:textId="77777777" w:rsidR="00C07FE4" w:rsidRPr="00407B73" w:rsidRDefault="25088863" w:rsidP="25088863">
      <w:pPr>
        <w:pStyle w:val="Heading7"/>
        <w:spacing w:after="120" w:line="276" w:lineRule="auto"/>
        <w:ind w:left="0"/>
        <w:jc w:val="both"/>
        <w:rPr>
          <w:i w:val="0"/>
          <w:sz w:val="24"/>
          <w:szCs w:val="24"/>
        </w:rPr>
      </w:pPr>
      <w:r w:rsidRPr="25088863">
        <w:rPr>
          <w:i w:val="0"/>
          <w:sz w:val="24"/>
          <w:szCs w:val="24"/>
        </w:rPr>
        <w:t>Consultation</w:t>
      </w:r>
    </w:p>
    <w:p w14:paraId="0F3E8CF0" w14:textId="545DAFDC" w:rsidR="00FF5CFE" w:rsidRDefault="25088863" w:rsidP="25088863">
      <w:pPr>
        <w:spacing w:after="200" w:line="276" w:lineRule="auto"/>
        <w:jc w:val="both"/>
        <w:rPr>
          <w:lang w:val="en-GB"/>
        </w:rPr>
      </w:pPr>
      <w:r w:rsidRPr="25088863">
        <w:rPr>
          <w:lang w:val="en-GB"/>
        </w:rPr>
        <w:t>The Department of Finance worked with the Office of Parliamentary Counsel in drafting the Amending Rule.</w:t>
      </w:r>
    </w:p>
    <w:p w14:paraId="240B84AF" w14:textId="360573F9" w:rsidR="00E87790" w:rsidRDefault="25088863" w:rsidP="00EB2C82">
      <w:pPr>
        <w:spacing w:line="276" w:lineRule="auto"/>
        <w:jc w:val="both"/>
      </w:pPr>
      <w:r w:rsidRPr="25088863">
        <w:rPr>
          <w:lang w:val="en-GB"/>
        </w:rPr>
        <w:lastRenderedPageBreak/>
        <w:t xml:space="preserve">The Amending Rule was developed in consultation with </w:t>
      </w:r>
      <w:r>
        <w:t>the Australian National Audit Office and all Commonwealth reporting entities.</w:t>
      </w:r>
    </w:p>
    <w:p w14:paraId="1B8D5C85" w14:textId="77777777" w:rsidR="00A31DDA" w:rsidRDefault="00A31DDA" w:rsidP="00EB2C82">
      <w:pPr>
        <w:spacing w:line="276" w:lineRule="auto"/>
        <w:jc w:val="both"/>
        <w:rPr>
          <w:lang w:val="en-GB"/>
        </w:rPr>
      </w:pPr>
    </w:p>
    <w:p w14:paraId="58C1DFFF" w14:textId="77777777" w:rsidR="00403B02" w:rsidRDefault="00403B02">
      <w:pPr>
        <w:rPr>
          <w:b/>
          <w:bCs/>
        </w:rPr>
      </w:pPr>
      <w:r>
        <w:rPr>
          <w:b/>
          <w:bCs/>
        </w:rPr>
        <w:br w:type="page"/>
      </w:r>
    </w:p>
    <w:p w14:paraId="69CA9690" w14:textId="396AFEE8" w:rsidR="00454C17" w:rsidRPr="00454C17" w:rsidRDefault="25088863" w:rsidP="25088863">
      <w:pPr>
        <w:spacing w:after="120" w:line="276" w:lineRule="auto"/>
        <w:jc w:val="both"/>
        <w:rPr>
          <w:b/>
          <w:bCs/>
        </w:rPr>
      </w:pPr>
      <w:r w:rsidRPr="25088863">
        <w:rPr>
          <w:b/>
          <w:bCs/>
        </w:rPr>
        <w:lastRenderedPageBreak/>
        <w:t>Attachments</w:t>
      </w:r>
    </w:p>
    <w:p w14:paraId="69829B67" w14:textId="0A3EE191" w:rsidR="00454C17" w:rsidRDefault="25088863" w:rsidP="00EB2C82">
      <w:pPr>
        <w:spacing w:after="200" w:line="276" w:lineRule="auto"/>
        <w:jc w:val="both"/>
      </w:pPr>
      <w:r>
        <w:t xml:space="preserve">Details of the Amending Rule for reporting periods commencing on or after 1 July 2021 are set out at </w:t>
      </w:r>
      <w:r w:rsidRPr="25088863">
        <w:rPr>
          <w:u w:val="single"/>
        </w:rPr>
        <w:t>Attachment A</w:t>
      </w:r>
      <w:r>
        <w:t>.</w:t>
      </w:r>
    </w:p>
    <w:p w14:paraId="5290B6AD" w14:textId="77777777" w:rsidR="00454C17" w:rsidRPr="00407B73" w:rsidRDefault="25088863" w:rsidP="00EB2C82">
      <w:pPr>
        <w:spacing w:line="276" w:lineRule="auto"/>
        <w:jc w:val="both"/>
      </w:pPr>
      <w:r w:rsidRPr="25088863">
        <w:rPr>
          <w:lang w:val="en-GB"/>
        </w:rPr>
        <w:t xml:space="preserve">The Statement of Compatibility with Human Rights as required by the </w:t>
      </w:r>
      <w:r w:rsidRPr="25088863">
        <w:rPr>
          <w:i/>
          <w:iCs/>
          <w:lang w:val="en-GB"/>
        </w:rPr>
        <w:t>Human Rights (Parliamentary Scrutiny) Act 2011</w:t>
      </w:r>
      <w:r w:rsidRPr="25088863">
        <w:rPr>
          <w:lang w:val="en-GB"/>
        </w:rPr>
        <w:t xml:space="preserve"> is at </w:t>
      </w:r>
      <w:r w:rsidRPr="25088863">
        <w:rPr>
          <w:u w:val="single"/>
          <w:lang w:val="en-GB"/>
        </w:rPr>
        <w:t>Attachment B</w:t>
      </w:r>
      <w:r w:rsidRPr="25088863">
        <w:rPr>
          <w:lang w:val="en-GB"/>
        </w:rPr>
        <w:t>.</w:t>
      </w:r>
    </w:p>
    <w:p w14:paraId="5CF57090" w14:textId="77777777" w:rsidR="00454C17" w:rsidRPr="00407B73" w:rsidRDefault="00454C17" w:rsidP="007329EA">
      <w:pPr>
        <w:sectPr w:rsidR="00454C17" w:rsidRPr="00407B73" w:rsidSect="001F35A6">
          <w:headerReference w:type="default" r:id="rId14"/>
          <w:footerReference w:type="default" r:id="rId15"/>
          <w:footerReference w:type="first" r:id="rId16"/>
          <w:pgSz w:w="11907" w:h="16840" w:code="9"/>
          <w:pgMar w:top="1135" w:right="1797" w:bottom="1440" w:left="1797" w:header="720" w:footer="209" w:gutter="0"/>
          <w:cols w:space="720"/>
          <w:docGrid w:linePitch="326"/>
        </w:sectPr>
      </w:pPr>
    </w:p>
    <w:p w14:paraId="1E273EBA" w14:textId="77777777" w:rsidR="001F35A6" w:rsidRDefault="25088863" w:rsidP="25088863">
      <w:pPr>
        <w:pStyle w:val="Heading1"/>
        <w:spacing w:after="200" w:line="276" w:lineRule="auto"/>
        <w:jc w:val="right"/>
        <w:rPr>
          <w:u w:val="single"/>
          <w:lang w:val="en-AU"/>
        </w:rPr>
      </w:pPr>
      <w:r w:rsidRPr="25088863">
        <w:rPr>
          <w:u w:val="single"/>
          <w:lang w:val="en-AU"/>
        </w:rPr>
        <w:lastRenderedPageBreak/>
        <w:t>Attachment A</w:t>
      </w:r>
    </w:p>
    <w:p w14:paraId="629E1885" w14:textId="67564081" w:rsidR="00F53ADE" w:rsidRPr="008D3AA2" w:rsidRDefault="25088863" w:rsidP="25088863">
      <w:pPr>
        <w:pStyle w:val="Heading1"/>
        <w:spacing w:after="200" w:line="276" w:lineRule="auto"/>
        <w:rPr>
          <w:i/>
          <w:iCs/>
          <w:u w:val="single"/>
          <w:lang w:val="en-AU"/>
        </w:rPr>
      </w:pPr>
      <w:r w:rsidRPr="25088863">
        <w:rPr>
          <w:u w:val="single"/>
          <w:lang w:val="en-AU"/>
        </w:rPr>
        <w:t xml:space="preserve">Details of the </w:t>
      </w:r>
      <w:r w:rsidRPr="25088863">
        <w:rPr>
          <w:i/>
          <w:iCs/>
          <w:u w:val="single"/>
          <w:lang w:val="en-AU"/>
        </w:rPr>
        <w:t>Public Governance, Performance and Accountability (Financial Reporting) Amendment (2021 Measures No. 2) Rules 2021</w:t>
      </w:r>
    </w:p>
    <w:p w14:paraId="1369B37D" w14:textId="77777777" w:rsidR="00425F6E" w:rsidRPr="00AC099A" w:rsidRDefault="25088863" w:rsidP="25088863">
      <w:pPr>
        <w:keepNext/>
        <w:spacing w:after="200" w:line="276" w:lineRule="auto"/>
        <w:ind w:right="-340"/>
        <w:jc w:val="both"/>
        <w:rPr>
          <w:b/>
          <w:bCs/>
        </w:rPr>
      </w:pPr>
      <w:r w:rsidRPr="25088863">
        <w:rPr>
          <w:b/>
          <w:bCs/>
        </w:rPr>
        <w:t>Section 1 – Name of rule</w:t>
      </w:r>
    </w:p>
    <w:p w14:paraId="135EE4BB" w14:textId="72F58780" w:rsidR="00425F6E" w:rsidRDefault="25088863" w:rsidP="00AC099A">
      <w:pPr>
        <w:keepNext/>
        <w:spacing w:after="200" w:line="276" w:lineRule="auto"/>
        <w:ind w:right="-340"/>
        <w:jc w:val="both"/>
      </w:pPr>
      <w:r>
        <w:t xml:space="preserve">This section provides that the title of the instrument is the </w:t>
      </w:r>
      <w:r w:rsidRPr="25088863">
        <w:rPr>
          <w:i/>
          <w:iCs/>
        </w:rPr>
        <w:t>Public Governance, Performance and Accountability (Financial Reporting) Amendment (2021 Measures No. 2) Rules 2021</w:t>
      </w:r>
      <w:r>
        <w:t xml:space="preserve"> (the Amending Rule). </w:t>
      </w:r>
    </w:p>
    <w:p w14:paraId="62D06BC4" w14:textId="2E00C2C1" w:rsidR="00425F6E" w:rsidRPr="00AC099A" w:rsidRDefault="25088863" w:rsidP="25088863">
      <w:pPr>
        <w:keepNext/>
        <w:spacing w:after="200" w:line="276" w:lineRule="auto"/>
        <w:ind w:right="-340"/>
        <w:jc w:val="both"/>
        <w:rPr>
          <w:b/>
          <w:bCs/>
        </w:rPr>
      </w:pPr>
      <w:r w:rsidRPr="25088863">
        <w:rPr>
          <w:b/>
          <w:bCs/>
        </w:rPr>
        <w:t>Section 2 – Commencement</w:t>
      </w:r>
    </w:p>
    <w:p w14:paraId="33AA629C" w14:textId="4C6CC419" w:rsidR="00425F6E" w:rsidRDefault="25088863" w:rsidP="00AC099A">
      <w:pPr>
        <w:keepNext/>
        <w:spacing w:after="200" w:line="276" w:lineRule="auto"/>
        <w:ind w:right="-340"/>
        <w:jc w:val="both"/>
      </w:pPr>
      <w:r>
        <w:t xml:space="preserve">This section provides that each provision of the instrument specified in column 1 of the table commences, or is taken to have commenced, in accordance with column 2 of the table. </w:t>
      </w:r>
    </w:p>
    <w:p w14:paraId="03ABC642" w14:textId="010046BE" w:rsidR="00425F6E" w:rsidRDefault="25088863" w:rsidP="00AC099A">
      <w:pPr>
        <w:keepNext/>
        <w:spacing w:after="200" w:line="276" w:lineRule="auto"/>
        <w:ind w:right="-340"/>
        <w:jc w:val="both"/>
      </w:pPr>
      <w:r>
        <w:t>The entire instrument commences on the day after the Amending Rule is registered.</w:t>
      </w:r>
    </w:p>
    <w:p w14:paraId="02A69782" w14:textId="1F2F5E6B" w:rsidR="00425F6E" w:rsidRPr="00AC099A" w:rsidRDefault="25088863" w:rsidP="25088863">
      <w:pPr>
        <w:keepNext/>
        <w:spacing w:after="200" w:line="276" w:lineRule="auto"/>
        <w:ind w:right="-340"/>
        <w:jc w:val="both"/>
        <w:rPr>
          <w:b/>
          <w:bCs/>
        </w:rPr>
      </w:pPr>
      <w:r w:rsidRPr="25088863">
        <w:rPr>
          <w:b/>
          <w:bCs/>
        </w:rPr>
        <w:t>Section 3 – Authority</w:t>
      </w:r>
    </w:p>
    <w:p w14:paraId="237F8C8D" w14:textId="5986E3B7" w:rsidR="00425F6E" w:rsidRDefault="25088863" w:rsidP="00AC099A">
      <w:pPr>
        <w:keepNext/>
        <w:spacing w:after="200" w:line="276" w:lineRule="auto"/>
        <w:ind w:right="-340"/>
        <w:jc w:val="both"/>
      </w:pPr>
      <w:r>
        <w:t xml:space="preserve">This section states that the Amending Rule is made under the </w:t>
      </w:r>
      <w:r w:rsidRPr="25088863">
        <w:rPr>
          <w:i/>
          <w:iCs/>
        </w:rPr>
        <w:t xml:space="preserve">Public Governance, Performance and Accountability Act 2013 </w:t>
      </w:r>
      <w:r>
        <w:t xml:space="preserve">(PGPA Act). </w:t>
      </w:r>
    </w:p>
    <w:p w14:paraId="26DAC5DD" w14:textId="1862C73B" w:rsidR="00425F6E" w:rsidRPr="00AC099A" w:rsidRDefault="25088863" w:rsidP="25088863">
      <w:pPr>
        <w:keepNext/>
        <w:spacing w:after="200" w:line="276" w:lineRule="auto"/>
        <w:ind w:right="-340"/>
        <w:jc w:val="both"/>
        <w:rPr>
          <w:b/>
          <w:bCs/>
        </w:rPr>
      </w:pPr>
      <w:r w:rsidRPr="25088863">
        <w:rPr>
          <w:b/>
          <w:bCs/>
        </w:rPr>
        <w:t>Section 4 – Schedules</w:t>
      </w:r>
    </w:p>
    <w:p w14:paraId="152D1181" w14:textId="7FE3F21B" w:rsidR="00425F6E" w:rsidRDefault="25088863" w:rsidP="00AC099A">
      <w:pPr>
        <w:keepNext/>
        <w:spacing w:after="200" w:line="276" w:lineRule="auto"/>
        <w:ind w:right="-340"/>
        <w:jc w:val="both"/>
      </w:pPr>
      <w:r>
        <w:t>This section provides that each legislative instrument that is specified in a Schedule to the Amending Rule is amended or repealed as set out, and that any item in a Schedule to this instrument operates or is applied as specified in the Schedule.</w:t>
      </w:r>
    </w:p>
    <w:p w14:paraId="66CBE586" w14:textId="39210B85" w:rsidR="00425F6E" w:rsidRPr="00AC099A" w:rsidRDefault="25088863" w:rsidP="25088863">
      <w:pPr>
        <w:keepNext/>
        <w:spacing w:after="200" w:line="276" w:lineRule="auto"/>
        <w:ind w:right="-340"/>
        <w:jc w:val="both"/>
        <w:rPr>
          <w:b/>
          <w:bCs/>
        </w:rPr>
      </w:pPr>
      <w:r w:rsidRPr="25088863">
        <w:rPr>
          <w:b/>
          <w:bCs/>
        </w:rPr>
        <w:t>Schedule 1 – Amendments</w:t>
      </w:r>
    </w:p>
    <w:p w14:paraId="45CAAA5A" w14:textId="1256AADA" w:rsidR="00425F6E" w:rsidRPr="00AC099A" w:rsidRDefault="25088863" w:rsidP="25088863">
      <w:pPr>
        <w:keepNext/>
        <w:spacing w:after="200" w:line="276" w:lineRule="auto"/>
        <w:ind w:right="-340"/>
        <w:jc w:val="both"/>
        <w:rPr>
          <w:b/>
          <w:bCs/>
          <w:i/>
          <w:iCs/>
        </w:rPr>
      </w:pPr>
      <w:r w:rsidRPr="25088863">
        <w:rPr>
          <w:b/>
          <w:bCs/>
          <w:i/>
          <w:iCs/>
        </w:rPr>
        <w:t>Public Governance, Performance and Accountability (Financial Reporting) Rule 2015</w:t>
      </w:r>
    </w:p>
    <w:p w14:paraId="4527B698" w14:textId="5BAD3471" w:rsidR="002D7DA0" w:rsidRPr="00AC099A" w:rsidRDefault="25088863" w:rsidP="25088863">
      <w:pPr>
        <w:keepNext/>
        <w:spacing w:after="200" w:line="276" w:lineRule="auto"/>
        <w:ind w:right="-340"/>
        <w:jc w:val="both"/>
        <w:rPr>
          <w:b/>
          <w:bCs/>
        </w:rPr>
      </w:pPr>
      <w:r w:rsidRPr="25088863">
        <w:rPr>
          <w:b/>
          <w:bCs/>
        </w:rPr>
        <w:t xml:space="preserve">Item 1 – Subsection 3(2) </w:t>
      </w:r>
    </w:p>
    <w:p w14:paraId="044377ED" w14:textId="505C3641" w:rsidR="002D7DA0" w:rsidRPr="000F1407" w:rsidRDefault="25088863" w:rsidP="002D7DA0">
      <w:pPr>
        <w:keepNext/>
        <w:spacing w:after="200" w:line="276" w:lineRule="auto"/>
        <w:ind w:left="-6" w:right="-340"/>
        <w:jc w:val="both"/>
      </w:pPr>
      <w:r>
        <w:t xml:space="preserve">Item 1 amends the reporting period to commence on or after 1 July 2021. </w:t>
      </w:r>
    </w:p>
    <w:p w14:paraId="437C6284" w14:textId="457F981A" w:rsidR="00C87E47" w:rsidRPr="00AC099A" w:rsidRDefault="25088863" w:rsidP="25088863">
      <w:pPr>
        <w:keepNext/>
        <w:spacing w:after="200" w:line="276" w:lineRule="auto"/>
        <w:ind w:right="-340"/>
        <w:jc w:val="both"/>
        <w:rPr>
          <w:b/>
          <w:bCs/>
        </w:rPr>
      </w:pPr>
      <w:r w:rsidRPr="25088863">
        <w:rPr>
          <w:b/>
          <w:bCs/>
        </w:rPr>
        <w:t xml:space="preserve">Item 2 – Subsection 18(1A) </w:t>
      </w:r>
    </w:p>
    <w:p w14:paraId="107550F8" w14:textId="63AF5F84" w:rsidR="00C87E47" w:rsidRPr="000F1407" w:rsidRDefault="25088863" w:rsidP="00C87E47">
      <w:pPr>
        <w:keepNext/>
        <w:spacing w:after="200" w:line="276" w:lineRule="auto"/>
        <w:ind w:left="-6" w:right="-340"/>
        <w:jc w:val="both"/>
      </w:pPr>
      <w:r>
        <w:t xml:space="preserve">Item 2 </w:t>
      </w:r>
      <w:r w:rsidR="0096510D">
        <w:t xml:space="preserve"> amends the subsection</w:t>
      </w:r>
      <w:r>
        <w:t xml:space="preserve"> to include an additional subsection </w:t>
      </w:r>
      <w:r w:rsidR="009266EA">
        <w:t xml:space="preserve">that </w:t>
      </w:r>
      <w:r>
        <w:t xml:space="preserve">reporting entities are subject to when applying AASB 1053 </w:t>
      </w:r>
      <w:r w:rsidRPr="25088863">
        <w:rPr>
          <w:i/>
          <w:iCs/>
        </w:rPr>
        <w:t>Application of Tiers of Australian Accounting Standards</w:t>
      </w:r>
      <w:r>
        <w:t xml:space="preserve">. </w:t>
      </w:r>
    </w:p>
    <w:p w14:paraId="5BAB0610" w14:textId="5F160B38" w:rsidR="00C87E47" w:rsidRPr="00AC099A" w:rsidRDefault="25088863" w:rsidP="25088863">
      <w:pPr>
        <w:keepNext/>
        <w:spacing w:after="200" w:line="276" w:lineRule="auto"/>
        <w:ind w:right="-340"/>
        <w:jc w:val="both"/>
        <w:rPr>
          <w:b/>
          <w:bCs/>
        </w:rPr>
      </w:pPr>
      <w:r w:rsidRPr="25088863">
        <w:rPr>
          <w:b/>
          <w:bCs/>
        </w:rPr>
        <w:t xml:space="preserve">Item 3 – Subsection 18(1) </w:t>
      </w:r>
    </w:p>
    <w:p w14:paraId="5A32774E" w14:textId="59F040E4" w:rsidR="00C87E47" w:rsidRPr="00C87E47" w:rsidRDefault="25088863" w:rsidP="00C87E47">
      <w:pPr>
        <w:keepNext/>
        <w:spacing w:after="200" w:line="276" w:lineRule="auto"/>
        <w:ind w:left="-6" w:right="-340"/>
        <w:jc w:val="both"/>
      </w:pPr>
      <w:r>
        <w:t xml:space="preserve">Item 3 </w:t>
      </w:r>
      <w:r w:rsidR="009266EA">
        <w:t>amends the subsection</w:t>
      </w:r>
      <w:r>
        <w:t xml:space="preserve"> to include an additional subsection </w:t>
      </w:r>
      <w:r w:rsidR="009266EA">
        <w:t xml:space="preserve">that </w:t>
      </w:r>
      <w:r>
        <w:t xml:space="preserve">reporting entities are subject to when applying AASB 1053 </w:t>
      </w:r>
      <w:r w:rsidRPr="25088863">
        <w:rPr>
          <w:i/>
          <w:iCs/>
        </w:rPr>
        <w:t>Application of Tiers of Australian Accounting Standards</w:t>
      </w:r>
      <w:r>
        <w:t xml:space="preserve">. </w:t>
      </w:r>
    </w:p>
    <w:p w14:paraId="647B2E0F" w14:textId="5C8FDF98" w:rsidR="00EA32C8" w:rsidRPr="00AC099A" w:rsidRDefault="25088863" w:rsidP="25088863">
      <w:pPr>
        <w:keepNext/>
        <w:spacing w:after="200" w:line="276" w:lineRule="auto"/>
        <w:ind w:right="-340"/>
        <w:jc w:val="both"/>
        <w:rPr>
          <w:b/>
          <w:bCs/>
        </w:rPr>
      </w:pPr>
      <w:r w:rsidRPr="25088863">
        <w:rPr>
          <w:b/>
          <w:bCs/>
        </w:rPr>
        <w:t xml:space="preserve">Item 4 – Subsection 18(2) </w:t>
      </w:r>
    </w:p>
    <w:p w14:paraId="64A2E76A" w14:textId="2688EEC1" w:rsidR="003B4CA2" w:rsidRPr="00A8312C" w:rsidRDefault="25088863" w:rsidP="00C611D4">
      <w:pPr>
        <w:spacing w:after="200" w:line="276" w:lineRule="auto"/>
        <w:jc w:val="both"/>
      </w:pPr>
      <w:r>
        <w:t xml:space="preserve">Item 4 adds a new subsection requiring all reporting entities to apply Tier 1 reporting requirements when applying AASB </w:t>
      </w:r>
      <w:r w:rsidRPr="25088863">
        <w:rPr>
          <w:i/>
          <w:iCs/>
        </w:rPr>
        <w:t>16 Leases</w:t>
      </w:r>
      <w:r>
        <w:t xml:space="preserve">. This is required to ensure the integrity of the whole of government financial reporting process following reduced lease disclosure </w:t>
      </w:r>
      <w:r>
        <w:lastRenderedPageBreak/>
        <w:t xml:space="preserve">requirements introduced by AASB 1060 </w:t>
      </w:r>
      <w:r w:rsidRPr="25088863">
        <w:rPr>
          <w:i/>
          <w:iCs/>
        </w:rPr>
        <w:t>General Purpose Financial Statements – Simplified Disclosures for For-Profit and Not-for-Profit Tier 2 Entities</w:t>
      </w:r>
      <w:r>
        <w:t>.</w:t>
      </w:r>
    </w:p>
    <w:p w14:paraId="5894B1E9" w14:textId="70F640EB" w:rsidR="00A8312C" w:rsidRPr="00AC099A" w:rsidRDefault="25088863" w:rsidP="25088863">
      <w:pPr>
        <w:spacing w:after="200" w:line="276" w:lineRule="auto"/>
        <w:jc w:val="both"/>
        <w:rPr>
          <w:b/>
          <w:bCs/>
        </w:rPr>
      </w:pPr>
      <w:r w:rsidRPr="25088863">
        <w:rPr>
          <w:b/>
          <w:bCs/>
        </w:rPr>
        <w:t xml:space="preserve">Item 5 – </w:t>
      </w:r>
      <w:r w:rsidR="009266EA">
        <w:rPr>
          <w:b/>
          <w:bCs/>
        </w:rPr>
        <w:t>Subsection 18(2)</w:t>
      </w:r>
      <w:r w:rsidRPr="25088863">
        <w:rPr>
          <w:b/>
          <w:bCs/>
        </w:rPr>
        <w:t xml:space="preserve"> </w:t>
      </w:r>
    </w:p>
    <w:p w14:paraId="5B7A20C4" w14:textId="1BD79A4B" w:rsidR="00A8312C" w:rsidRPr="00A8312C" w:rsidRDefault="25088863" w:rsidP="00A8312C">
      <w:pPr>
        <w:spacing w:after="200" w:line="276" w:lineRule="auto"/>
        <w:jc w:val="both"/>
      </w:pPr>
      <w:r>
        <w:t>Item 5 amends the number</w:t>
      </w:r>
      <w:r w:rsidR="009266EA">
        <w:t>ing</w:t>
      </w:r>
      <w:r>
        <w:t xml:space="preserve"> of the subsection, with no substantial changes made. </w:t>
      </w:r>
    </w:p>
    <w:p w14:paraId="7747F955" w14:textId="60B7079A" w:rsidR="00A8312C" w:rsidRPr="00AC099A" w:rsidRDefault="25088863" w:rsidP="25088863">
      <w:pPr>
        <w:spacing w:after="200" w:line="276" w:lineRule="auto"/>
        <w:jc w:val="both"/>
        <w:rPr>
          <w:b/>
          <w:bCs/>
        </w:rPr>
      </w:pPr>
      <w:r w:rsidRPr="25088863">
        <w:rPr>
          <w:b/>
          <w:bCs/>
        </w:rPr>
        <w:t xml:space="preserve">Item 6 – </w:t>
      </w:r>
      <w:r w:rsidR="009266EA">
        <w:rPr>
          <w:b/>
          <w:bCs/>
        </w:rPr>
        <w:t xml:space="preserve">Subsection 18(3) </w:t>
      </w:r>
    </w:p>
    <w:p w14:paraId="3DFF6533" w14:textId="36CC180A" w:rsidR="00425F6E" w:rsidRPr="00C87E47" w:rsidRDefault="25088863" w:rsidP="00425F6E">
      <w:pPr>
        <w:keepNext/>
        <w:spacing w:after="200" w:line="276" w:lineRule="auto"/>
        <w:ind w:left="-6" w:right="-340"/>
        <w:jc w:val="both"/>
      </w:pPr>
      <w:r>
        <w:t>Item 6 amends the number</w:t>
      </w:r>
      <w:r w:rsidR="009266EA">
        <w:t>ing</w:t>
      </w:r>
      <w:r>
        <w:t xml:space="preserve"> of the subsection, with no substantial changes made. </w:t>
      </w:r>
    </w:p>
    <w:p w14:paraId="573C5C76" w14:textId="68AB80CD" w:rsidR="00A8312C" w:rsidRPr="00AC099A" w:rsidRDefault="25088863" w:rsidP="25088863">
      <w:pPr>
        <w:spacing w:after="200" w:line="276" w:lineRule="auto"/>
        <w:jc w:val="both"/>
        <w:rPr>
          <w:b/>
          <w:bCs/>
        </w:rPr>
      </w:pPr>
      <w:r w:rsidRPr="25088863">
        <w:rPr>
          <w:b/>
          <w:bCs/>
        </w:rPr>
        <w:t xml:space="preserve">Item 7 – </w:t>
      </w:r>
      <w:r w:rsidR="001C2EBE">
        <w:rPr>
          <w:b/>
          <w:bCs/>
        </w:rPr>
        <w:t>Subsection 18(3)</w:t>
      </w:r>
      <w:r w:rsidRPr="25088863">
        <w:rPr>
          <w:b/>
          <w:bCs/>
        </w:rPr>
        <w:t>(table item 2A)</w:t>
      </w:r>
    </w:p>
    <w:p w14:paraId="41B3F814" w14:textId="2BA9A221" w:rsidR="007F4873" w:rsidRDefault="25088863" w:rsidP="00A8312C">
      <w:pPr>
        <w:spacing w:after="200" w:line="276" w:lineRule="auto"/>
        <w:jc w:val="both"/>
      </w:pPr>
      <w:r>
        <w:t xml:space="preserve">Item 7 removes one </w:t>
      </w:r>
      <w:r w:rsidR="009266EA">
        <w:t xml:space="preserve">reporting </w:t>
      </w:r>
      <w:r>
        <w:t>entity from the table</w:t>
      </w:r>
      <w:r w:rsidR="00413E7B">
        <w:t xml:space="preserve"> </w:t>
      </w:r>
      <w:r w:rsidR="00413E7B" w:rsidRPr="00995BAB">
        <w:t>(Department of Agriculture, Water and the Environment)</w:t>
      </w:r>
      <w:r>
        <w:t>. This entity is no longer subject to Tier 1 reporting requirements for the listed matters.</w:t>
      </w:r>
      <w:bookmarkStart w:id="2" w:name="_GoBack"/>
      <w:bookmarkEnd w:id="2"/>
    </w:p>
    <w:p w14:paraId="25E35CBE" w14:textId="4E4AD020" w:rsidR="0076489E" w:rsidRPr="00AC099A" w:rsidRDefault="25088863" w:rsidP="25088863">
      <w:pPr>
        <w:spacing w:after="200" w:line="276" w:lineRule="auto"/>
        <w:jc w:val="both"/>
        <w:rPr>
          <w:b/>
          <w:bCs/>
        </w:rPr>
      </w:pPr>
      <w:r w:rsidRPr="25088863">
        <w:rPr>
          <w:b/>
          <w:bCs/>
        </w:rPr>
        <w:t>Item 8 – Paragraphs 24(1)(a) and (b)</w:t>
      </w:r>
    </w:p>
    <w:p w14:paraId="6EBD4457" w14:textId="68933812" w:rsidR="00425F6E" w:rsidRDefault="25088863" w:rsidP="00425F6E">
      <w:pPr>
        <w:spacing w:after="200" w:line="276" w:lineRule="auto"/>
        <w:jc w:val="both"/>
      </w:pPr>
      <w:r>
        <w:t>Item 8 reorders the paragraphs and requires that reporting entities with less than</w:t>
      </w:r>
      <w:r w:rsidR="001C2EBE">
        <w:t xml:space="preserve"> or equal to</w:t>
      </w:r>
      <w:r>
        <w:t xml:space="preserve"> 1,000 full-time equivalent employees must use either the shorthand method (as per the Commonwealth Entities Financial Statements Guide), an actuarial assessment, or a detailed calculation basis (e.g. employee by employee) when calculating</w:t>
      </w:r>
      <w:r w:rsidR="001C2EBE">
        <w:t xml:space="preserve"> the entity’s</w:t>
      </w:r>
      <w:r>
        <w:t xml:space="preserve"> long service leave liability.</w:t>
      </w:r>
    </w:p>
    <w:p w14:paraId="08F975A0" w14:textId="11BAF13F" w:rsidR="0076489E" w:rsidRPr="00AC099A" w:rsidRDefault="25088863" w:rsidP="25088863">
      <w:pPr>
        <w:spacing w:after="200" w:line="276" w:lineRule="auto"/>
        <w:jc w:val="both"/>
        <w:rPr>
          <w:b/>
          <w:bCs/>
        </w:rPr>
      </w:pPr>
      <w:r w:rsidRPr="25088863">
        <w:rPr>
          <w:b/>
          <w:bCs/>
        </w:rPr>
        <w:t xml:space="preserve">Item 9 – Paragraph 34A(2)(aa) </w:t>
      </w:r>
    </w:p>
    <w:p w14:paraId="73DA4250" w14:textId="1D088111" w:rsidR="00425F6E" w:rsidRDefault="25088863" w:rsidP="00425F6E">
      <w:pPr>
        <w:spacing w:after="200" w:line="276" w:lineRule="auto"/>
        <w:jc w:val="both"/>
      </w:pPr>
      <w:r>
        <w:t xml:space="preserve">Item 9 adds a new paragraph </w:t>
      </w:r>
      <w:r w:rsidR="00853A0F">
        <w:t xml:space="preserve">before paragraph 34A(2)(a) </w:t>
      </w:r>
      <w:r>
        <w:t>requiring reporting entities to disclose a list of the regulatory charging activities in the regulatory charging note</w:t>
      </w:r>
      <w:r w:rsidR="00853A0F">
        <w:t xml:space="preserve"> included in the entity’s financial statements</w:t>
      </w:r>
      <w:r>
        <w:t>.</w:t>
      </w:r>
      <w:r w:rsidR="00423B83">
        <w:t xml:space="preserve"> </w:t>
      </w:r>
    </w:p>
    <w:p w14:paraId="33F002B8" w14:textId="4EF47448" w:rsidR="0076489E" w:rsidRPr="00AC099A" w:rsidRDefault="25088863" w:rsidP="25088863">
      <w:pPr>
        <w:spacing w:after="200" w:line="276" w:lineRule="auto"/>
        <w:jc w:val="both"/>
        <w:rPr>
          <w:b/>
          <w:bCs/>
        </w:rPr>
      </w:pPr>
      <w:r w:rsidRPr="25088863">
        <w:rPr>
          <w:b/>
          <w:bCs/>
        </w:rPr>
        <w:t>Item 10 – Section 34C</w:t>
      </w:r>
    </w:p>
    <w:p w14:paraId="580FC015" w14:textId="77777777" w:rsidR="00423B83" w:rsidRDefault="25088863" w:rsidP="00E70816">
      <w:pPr>
        <w:spacing w:after="200" w:line="276" w:lineRule="auto"/>
        <w:jc w:val="both"/>
      </w:pPr>
      <w:r>
        <w:t xml:space="preserve">Item 10 </w:t>
      </w:r>
      <w:r w:rsidR="00853A0F">
        <w:t>deletes the reference to ‘</w:t>
      </w:r>
      <w:r w:rsidR="00853A0F" w:rsidRPr="00853A0F">
        <w:t>Lease maturity analysis under AASB 16 Leases</w:t>
      </w:r>
      <w:r w:rsidR="00853A0F">
        <w:t>’ in the title of this section</w:t>
      </w:r>
      <w:r w:rsidR="00853A0F" w:rsidRPr="00853A0F">
        <w:t xml:space="preserve"> </w:t>
      </w:r>
      <w:r w:rsidR="00853A0F">
        <w:t>and substitutes the title of the section for</w:t>
      </w:r>
      <w:r>
        <w:t xml:space="preserve"> ‘Contracts with customers’</w:t>
      </w:r>
      <w:r w:rsidR="00853A0F">
        <w:t>.</w:t>
      </w:r>
      <w:r w:rsidR="00E70816">
        <w:t xml:space="preserve"> </w:t>
      </w:r>
    </w:p>
    <w:p w14:paraId="5F8F457C" w14:textId="30A2291B" w:rsidR="00E70816" w:rsidRPr="00BE7BFB" w:rsidRDefault="00E70816" w:rsidP="00E70816">
      <w:pPr>
        <w:spacing w:after="200" w:line="276" w:lineRule="auto"/>
        <w:jc w:val="both"/>
        <w:rPr>
          <w:u w:val="single"/>
        </w:rPr>
      </w:pPr>
      <w:r>
        <w:t xml:space="preserve">Item 10 removes requirements relating to lease maturity analysis. These requirements are now redundant due to changes detailed in Item 4 requiring all reporting entities to apply Tier 1 reporting requirements when applying AASB 16 </w:t>
      </w:r>
      <w:r w:rsidRPr="25088863">
        <w:rPr>
          <w:i/>
          <w:iCs/>
        </w:rPr>
        <w:t>Leases</w:t>
      </w:r>
      <w:r>
        <w:t>.</w:t>
      </w:r>
      <w:r w:rsidRPr="25088863">
        <w:rPr>
          <w:u w:val="single"/>
        </w:rPr>
        <w:t xml:space="preserve"> </w:t>
      </w:r>
    </w:p>
    <w:p w14:paraId="37123EBC" w14:textId="1B5EE309" w:rsidR="00425F6E" w:rsidRPr="00711FFB" w:rsidRDefault="00853A0F" w:rsidP="00425F6E">
      <w:pPr>
        <w:spacing w:after="200" w:line="276" w:lineRule="auto"/>
        <w:jc w:val="both"/>
      </w:pPr>
      <w:r>
        <w:t>Item 10</w:t>
      </w:r>
      <w:r w:rsidR="25088863">
        <w:t xml:space="preserve"> </w:t>
      </w:r>
      <w:r w:rsidR="00E70816">
        <w:t xml:space="preserve">amends the section to add </w:t>
      </w:r>
      <w:r w:rsidR="25088863">
        <w:t>disclosure requirements to ensure the integrity of the whole of government financial reporting process</w:t>
      </w:r>
      <w:r w:rsidR="00E70816">
        <w:t xml:space="preserve"> is maintained</w:t>
      </w:r>
      <w:r w:rsidR="25088863">
        <w:t xml:space="preserve"> following reduced disclosure requirements introduced by AASB 1060 </w:t>
      </w:r>
      <w:r w:rsidR="25088863" w:rsidRPr="25088863">
        <w:rPr>
          <w:i/>
          <w:iCs/>
        </w:rPr>
        <w:t>General Purpose Financial Statements – Simplified Disclosures for For-Profit and Not-for-Profit Tier 2 Entities</w:t>
      </w:r>
      <w:r w:rsidR="25088863">
        <w:t>.</w:t>
      </w:r>
    </w:p>
    <w:p w14:paraId="0F8C3556" w14:textId="0554D14F" w:rsidR="00A32723" w:rsidRPr="00AC099A" w:rsidRDefault="25088863" w:rsidP="25088863">
      <w:pPr>
        <w:spacing w:after="200" w:line="276" w:lineRule="auto"/>
        <w:jc w:val="both"/>
        <w:rPr>
          <w:b/>
          <w:bCs/>
        </w:rPr>
      </w:pPr>
      <w:r w:rsidRPr="25088863">
        <w:rPr>
          <w:b/>
          <w:bCs/>
        </w:rPr>
        <w:t>Item 11 – Paragraph 43(2)(b)</w:t>
      </w:r>
    </w:p>
    <w:p w14:paraId="2FE7CF2C" w14:textId="0A30EFA7" w:rsidR="00425F6E" w:rsidRDefault="25088863" w:rsidP="00425F6E">
      <w:pPr>
        <w:spacing w:after="200" w:line="276" w:lineRule="auto"/>
        <w:jc w:val="both"/>
      </w:pPr>
      <w:r>
        <w:t>Item 11 amends the paragraph to clarify the requirement for reporting entities to disclose PGPA Act section 74 adjustments made to current year annual appropriations in the annual appropriations note.</w:t>
      </w:r>
    </w:p>
    <w:p w14:paraId="4BD6AC2F" w14:textId="77777777" w:rsidR="00403B02" w:rsidRDefault="00403B02">
      <w:pPr>
        <w:rPr>
          <w:b/>
          <w:bCs/>
        </w:rPr>
      </w:pPr>
      <w:r>
        <w:rPr>
          <w:b/>
          <w:bCs/>
        </w:rPr>
        <w:br w:type="page"/>
      </w:r>
    </w:p>
    <w:p w14:paraId="3F951BED" w14:textId="6F0271DA" w:rsidR="0076489E" w:rsidRPr="00AC099A" w:rsidRDefault="25088863" w:rsidP="25088863">
      <w:pPr>
        <w:spacing w:after="200" w:line="276" w:lineRule="auto"/>
        <w:jc w:val="both"/>
        <w:rPr>
          <w:b/>
          <w:bCs/>
        </w:rPr>
      </w:pPr>
      <w:r w:rsidRPr="25088863">
        <w:rPr>
          <w:b/>
          <w:bCs/>
        </w:rPr>
        <w:lastRenderedPageBreak/>
        <w:t xml:space="preserve">Item 12 – Paragraph 43(4)(a) </w:t>
      </w:r>
    </w:p>
    <w:p w14:paraId="132491AA" w14:textId="7C108A53" w:rsidR="00425F6E" w:rsidRDefault="00423B83" w:rsidP="00425F6E">
      <w:pPr>
        <w:spacing w:after="200" w:line="276" w:lineRule="auto"/>
        <w:jc w:val="both"/>
      </w:pPr>
      <w:r>
        <w:t>Item 12 amends the</w:t>
      </w:r>
      <w:r w:rsidR="25088863">
        <w:t xml:space="preserve"> paragraph to clarify </w:t>
      </w:r>
      <w:r w:rsidR="00E70816">
        <w:t xml:space="preserve">that </w:t>
      </w:r>
      <w:r w:rsidR="25088863">
        <w:t xml:space="preserve">the requirements are for current year </w:t>
      </w:r>
      <w:r w:rsidR="00462538">
        <w:t xml:space="preserve">annual </w:t>
      </w:r>
      <w:r w:rsidR="25088863">
        <w:t>appropriations.</w:t>
      </w:r>
    </w:p>
    <w:p w14:paraId="3B60894E" w14:textId="736CA34F" w:rsidR="00DD465C" w:rsidRPr="00AC099A" w:rsidRDefault="005A448A" w:rsidP="25088863">
      <w:pPr>
        <w:keepNext/>
        <w:spacing w:after="200" w:line="276" w:lineRule="auto"/>
        <w:ind w:right="-340"/>
        <w:jc w:val="both"/>
        <w:rPr>
          <w:b/>
          <w:bCs/>
        </w:rPr>
      </w:pPr>
      <w:r>
        <w:rPr>
          <w:b/>
          <w:bCs/>
        </w:rPr>
        <w:t>Item 13</w:t>
      </w:r>
      <w:r w:rsidR="25088863" w:rsidRPr="25088863">
        <w:rPr>
          <w:b/>
          <w:bCs/>
        </w:rPr>
        <w:t xml:space="preserve"> – Section 45 </w:t>
      </w:r>
    </w:p>
    <w:p w14:paraId="31FDB1C0" w14:textId="0135774D" w:rsidR="00425F6E" w:rsidRDefault="25088863" w:rsidP="00425F6E">
      <w:pPr>
        <w:spacing w:after="200" w:line="276" w:lineRule="auto"/>
        <w:jc w:val="both"/>
      </w:pPr>
      <w:r>
        <w:t xml:space="preserve">Item 14 adds </w:t>
      </w:r>
      <w:r w:rsidR="005A448A">
        <w:t>five</w:t>
      </w:r>
      <w:r w:rsidR="0046787C">
        <w:t xml:space="preserve"> </w:t>
      </w:r>
      <w:r>
        <w:t xml:space="preserve">new subsections to clarify disclosure requirements for prior year </w:t>
      </w:r>
      <w:r w:rsidR="005A448A">
        <w:t xml:space="preserve">unspent </w:t>
      </w:r>
      <w:r>
        <w:t>annual appropriations.</w:t>
      </w:r>
    </w:p>
    <w:p w14:paraId="16456706" w14:textId="744AB620" w:rsidR="00AE414F" w:rsidRPr="002B2910" w:rsidRDefault="00AE414F" w:rsidP="00AE414F">
      <w:pPr>
        <w:spacing w:after="200" w:line="276" w:lineRule="auto"/>
        <w:jc w:val="both"/>
      </w:pPr>
      <w:r>
        <w:t xml:space="preserve"> </w:t>
      </w:r>
    </w:p>
    <w:p w14:paraId="31E1A1E4" w14:textId="77777777" w:rsidR="00D9091D" w:rsidRPr="001F35A6" w:rsidRDefault="005948A9" w:rsidP="25088863">
      <w:pPr>
        <w:pStyle w:val="ListParagraph"/>
        <w:spacing w:after="200" w:line="276" w:lineRule="auto"/>
        <w:ind w:left="0"/>
        <w:contextualSpacing w:val="0"/>
        <w:jc w:val="right"/>
        <w:rPr>
          <w:b/>
          <w:bCs/>
          <w:u w:val="single"/>
        </w:rPr>
      </w:pPr>
      <w:r w:rsidRPr="25088863">
        <w:rPr>
          <w:u w:val="single"/>
        </w:rPr>
        <w:br w:type="page"/>
      </w:r>
      <w:r w:rsidR="25088863" w:rsidRPr="25088863">
        <w:rPr>
          <w:b/>
          <w:bCs/>
          <w:u w:val="single"/>
        </w:rPr>
        <w:lastRenderedPageBreak/>
        <w:t>Attachment B</w:t>
      </w:r>
    </w:p>
    <w:p w14:paraId="380C6A4A" w14:textId="77777777" w:rsidR="00D9091D" w:rsidRDefault="00D9091D" w:rsidP="001F35A6">
      <w:pPr>
        <w:spacing w:line="276" w:lineRule="auto"/>
        <w:ind w:right="91"/>
        <w:jc w:val="right"/>
        <w:rPr>
          <w:b/>
        </w:rPr>
      </w:pPr>
    </w:p>
    <w:p w14:paraId="4F567724" w14:textId="77777777" w:rsidR="00BA129C" w:rsidRPr="001F35A6" w:rsidRDefault="25088863" w:rsidP="25088863">
      <w:pPr>
        <w:spacing w:line="276" w:lineRule="auto"/>
        <w:ind w:right="-1"/>
        <w:jc w:val="center"/>
        <w:rPr>
          <w:b/>
          <w:bCs/>
        </w:rPr>
      </w:pPr>
      <w:r w:rsidRPr="25088863">
        <w:rPr>
          <w:b/>
          <w:bCs/>
        </w:rPr>
        <w:t>Statement of Compatibility with Human Rights</w:t>
      </w:r>
    </w:p>
    <w:p w14:paraId="43258D40" w14:textId="77777777" w:rsidR="00D9091D" w:rsidRDefault="00D9091D" w:rsidP="00EB2C82">
      <w:pPr>
        <w:spacing w:line="276" w:lineRule="auto"/>
        <w:ind w:right="-1"/>
        <w:jc w:val="center"/>
      </w:pPr>
    </w:p>
    <w:p w14:paraId="12A89CAE" w14:textId="5004E1C8" w:rsidR="00BA129C" w:rsidRPr="001D6819" w:rsidRDefault="25088863" w:rsidP="25088863">
      <w:pPr>
        <w:spacing w:line="276" w:lineRule="auto"/>
        <w:ind w:right="-1"/>
        <w:jc w:val="center"/>
        <w:rPr>
          <w:i/>
          <w:iCs/>
        </w:rPr>
      </w:pPr>
      <w:r>
        <w:t>Prepared in accordance with</w:t>
      </w:r>
      <w:r w:rsidRPr="25088863">
        <w:rPr>
          <w:i/>
          <w:iCs/>
        </w:rPr>
        <w:t xml:space="preserve"> </w:t>
      </w:r>
      <w:r>
        <w:t>Part 3 of the</w:t>
      </w:r>
      <w:r w:rsidRPr="25088863">
        <w:rPr>
          <w:i/>
          <w:iCs/>
        </w:rPr>
        <w:t xml:space="preserve"> Human Rights (Parliamentary Scrutiny) Act 2011</w:t>
      </w:r>
      <w:r>
        <w:t>.</w:t>
      </w:r>
    </w:p>
    <w:p w14:paraId="698F7D2D" w14:textId="77777777" w:rsidR="00BA129C" w:rsidRDefault="00BA129C" w:rsidP="00EB2C82">
      <w:pPr>
        <w:spacing w:line="276" w:lineRule="auto"/>
        <w:ind w:right="-1"/>
        <w:jc w:val="center"/>
        <w:rPr>
          <w:i/>
        </w:rPr>
      </w:pPr>
    </w:p>
    <w:p w14:paraId="40C20981" w14:textId="7139D213" w:rsidR="00BA129C" w:rsidRPr="001F35A6" w:rsidRDefault="25088863" w:rsidP="25088863">
      <w:pPr>
        <w:spacing w:line="276" w:lineRule="auto"/>
        <w:ind w:right="-1"/>
        <w:jc w:val="center"/>
        <w:rPr>
          <w:b/>
          <w:bCs/>
        </w:rPr>
      </w:pPr>
      <w:r w:rsidRPr="25088863">
        <w:rPr>
          <w:b/>
          <w:bCs/>
          <w:i/>
          <w:iCs/>
        </w:rPr>
        <w:t>Public Governance, Performance and Accountability (Financial Reporting) Amendment (2021 Measures No. 2) Rules 2021</w:t>
      </w:r>
    </w:p>
    <w:p w14:paraId="6EF371C0" w14:textId="77777777" w:rsidR="004430C7" w:rsidRDefault="004430C7" w:rsidP="00EB2C82">
      <w:pPr>
        <w:spacing w:line="276" w:lineRule="auto"/>
        <w:ind w:right="-1"/>
        <w:jc w:val="center"/>
      </w:pPr>
    </w:p>
    <w:p w14:paraId="0C5FD56E" w14:textId="77777777" w:rsidR="00DC2995" w:rsidRPr="00DC2995" w:rsidRDefault="25088863" w:rsidP="00EB2C82">
      <w:pPr>
        <w:spacing w:line="276" w:lineRule="auto"/>
        <w:ind w:right="-1"/>
        <w:jc w:val="center"/>
      </w:pPr>
      <w:r>
        <w:t xml:space="preserve">This Disallowable Legislative Instrument is compatible with the human rights and freedoms recognised or declared in the international instruments listed in section 3 of the </w:t>
      </w:r>
      <w:r w:rsidRPr="25088863">
        <w:rPr>
          <w:i/>
          <w:iCs/>
        </w:rPr>
        <w:t>Human Rights (Parliamentary Scrutiny) Act 2011</w:t>
      </w:r>
      <w:r>
        <w:t>.</w:t>
      </w:r>
    </w:p>
    <w:p w14:paraId="538B880B" w14:textId="77777777" w:rsidR="00DC2995" w:rsidRDefault="00DC2995" w:rsidP="00EB2C82">
      <w:pPr>
        <w:spacing w:line="276" w:lineRule="auto"/>
        <w:ind w:right="-1"/>
      </w:pPr>
    </w:p>
    <w:p w14:paraId="2AEEF8D8" w14:textId="77777777" w:rsidR="00D9091D" w:rsidRPr="00DC2995" w:rsidRDefault="25088863" w:rsidP="25088863">
      <w:pPr>
        <w:spacing w:after="120" w:line="276" w:lineRule="auto"/>
        <w:ind w:right="-1"/>
        <w:jc w:val="both"/>
        <w:rPr>
          <w:b/>
          <w:bCs/>
        </w:rPr>
      </w:pPr>
      <w:r w:rsidRPr="25088863">
        <w:rPr>
          <w:b/>
          <w:bCs/>
        </w:rPr>
        <w:t>Overview of the Disallowable Legislative Instrument</w:t>
      </w:r>
    </w:p>
    <w:p w14:paraId="2CCD510F" w14:textId="08AC180D" w:rsidR="004430C7" w:rsidRDefault="25088863" w:rsidP="00EB2C82">
      <w:pPr>
        <w:spacing w:after="200" w:line="276" w:lineRule="auto"/>
        <w:ind w:right="-1"/>
        <w:jc w:val="both"/>
      </w:pPr>
      <w:r>
        <w:t xml:space="preserve">Section 101 of the </w:t>
      </w:r>
      <w:r w:rsidRPr="25088863">
        <w:rPr>
          <w:i/>
          <w:iCs/>
        </w:rPr>
        <w:t>Public Governance, Performance and Accountability Act 2013</w:t>
      </w:r>
      <w:r>
        <w:t xml:space="preserve"> (PGPA Act) provides that the Finance Minister may make rules by legislative instrument to prescribe matters giving effect to this Act. </w:t>
      </w:r>
    </w:p>
    <w:p w14:paraId="5C0410CE" w14:textId="3BC8D01E" w:rsidR="004430C7" w:rsidRDefault="25088863" w:rsidP="00EB2C82">
      <w:pPr>
        <w:spacing w:line="276" w:lineRule="auto"/>
        <w:ind w:right="-1"/>
        <w:jc w:val="both"/>
      </w:pPr>
      <w:r>
        <w:t xml:space="preserve">The </w:t>
      </w:r>
      <w:r w:rsidRPr="25088863">
        <w:rPr>
          <w:i/>
          <w:iCs/>
        </w:rPr>
        <w:t xml:space="preserve">Public Governance, Performance and Accountability (Financial Reporting) Amendment (2021 Measures No. 2) Rules 2021 </w:t>
      </w:r>
      <w:r>
        <w:t xml:space="preserve">amends the </w:t>
      </w:r>
      <w:r w:rsidRPr="25088863">
        <w:rPr>
          <w:i/>
          <w:iCs/>
        </w:rPr>
        <w:t xml:space="preserve">Public Governance, Performance and Accountability (Financial Reporting) Rule 2015 </w:t>
      </w:r>
      <w:r>
        <w:t>(FRR). Both rules are legislative instruments for the purpose of the</w:t>
      </w:r>
      <w:r w:rsidRPr="25088863">
        <w:rPr>
          <w:i/>
          <w:iCs/>
        </w:rPr>
        <w:t xml:space="preserve"> Legislation Act 2003.</w:t>
      </w:r>
    </w:p>
    <w:p w14:paraId="2305A72C" w14:textId="77777777" w:rsidR="0043071F" w:rsidRPr="001F35A6" w:rsidRDefault="0043071F" w:rsidP="00EB2C82">
      <w:pPr>
        <w:spacing w:line="276" w:lineRule="auto"/>
        <w:ind w:right="-1"/>
        <w:jc w:val="both"/>
        <w:rPr>
          <w:b/>
        </w:rPr>
      </w:pPr>
    </w:p>
    <w:p w14:paraId="2AEB11E3" w14:textId="77777777" w:rsidR="004430C7" w:rsidRPr="001F35A6" w:rsidRDefault="25088863" w:rsidP="25088863">
      <w:pPr>
        <w:tabs>
          <w:tab w:val="left" w:pos="4536"/>
        </w:tabs>
        <w:spacing w:after="120" w:line="276" w:lineRule="auto"/>
        <w:ind w:right="-1"/>
        <w:jc w:val="both"/>
        <w:rPr>
          <w:i/>
          <w:iCs/>
        </w:rPr>
      </w:pPr>
      <w:r w:rsidRPr="25088863">
        <w:rPr>
          <w:i/>
          <w:iCs/>
        </w:rPr>
        <w:t>Other legislative provisions</w:t>
      </w:r>
    </w:p>
    <w:p w14:paraId="1719EF35" w14:textId="77777777" w:rsidR="004430C7" w:rsidRPr="0048385F" w:rsidRDefault="25088863" w:rsidP="00EB2C82">
      <w:pPr>
        <w:tabs>
          <w:tab w:val="left" w:pos="4536"/>
        </w:tabs>
        <w:spacing w:after="160" w:line="276" w:lineRule="auto"/>
        <w:ind w:right="-1"/>
        <w:jc w:val="both"/>
      </w:pPr>
      <w:r>
        <w:t>The FRR sets out the requirements for preparation of financial statements under the following legislative provisions:</w:t>
      </w:r>
    </w:p>
    <w:p w14:paraId="58FA9181" w14:textId="248BDB61" w:rsidR="006741D7" w:rsidRPr="0048385F" w:rsidRDefault="25088863" w:rsidP="00416545">
      <w:pPr>
        <w:pStyle w:val="ListParagraph"/>
        <w:numPr>
          <w:ilvl w:val="0"/>
          <w:numId w:val="9"/>
        </w:numPr>
        <w:spacing w:line="276" w:lineRule="auto"/>
        <w:ind w:left="851" w:right="-1" w:hanging="294"/>
        <w:jc w:val="both"/>
      </w:pPr>
      <w:r>
        <w:t>subsection 42(2) of the PGPA Act prescribes that annual financial statements must:</w:t>
      </w:r>
    </w:p>
    <w:p w14:paraId="1FACE61F" w14:textId="099A6463" w:rsidR="006741D7" w:rsidRPr="0048385F" w:rsidRDefault="25088863" w:rsidP="00416545">
      <w:pPr>
        <w:pStyle w:val="ListParagraph"/>
        <w:numPr>
          <w:ilvl w:val="1"/>
          <w:numId w:val="9"/>
        </w:numPr>
        <w:spacing w:line="276" w:lineRule="auto"/>
        <w:ind w:left="1843" w:right="-1" w:hanging="425"/>
        <w:jc w:val="both"/>
      </w:pPr>
      <w:r>
        <w:t>comply with accounting standards and any other requirements prescribed by the rules</w:t>
      </w:r>
    </w:p>
    <w:p w14:paraId="4704E816" w14:textId="0309F20D" w:rsidR="006741D7" w:rsidRPr="0048385F" w:rsidRDefault="25088863" w:rsidP="00416545">
      <w:pPr>
        <w:pStyle w:val="ListParagraph"/>
        <w:numPr>
          <w:ilvl w:val="1"/>
          <w:numId w:val="9"/>
        </w:numPr>
        <w:spacing w:line="276" w:lineRule="auto"/>
        <w:ind w:left="1843" w:right="-1" w:hanging="425"/>
        <w:jc w:val="both"/>
      </w:pPr>
      <w:r>
        <w:t>present fairly the entity’s financial position, financial performance and cash flows</w:t>
      </w:r>
    </w:p>
    <w:p w14:paraId="22487002" w14:textId="2F978629" w:rsidR="006741D7" w:rsidRPr="0048385F" w:rsidRDefault="25088863" w:rsidP="00416545">
      <w:pPr>
        <w:pStyle w:val="ListParagraph"/>
        <w:numPr>
          <w:ilvl w:val="0"/>
          <w:numId w:val="9"/>
        </w:numPr>
        <w:spacing w:line="276" w:lineRule="auto"/>
        <w:ind w:left="993" w:right="-1" w:hanging="426"/>
        <w:jc w:val="both"/>
      </w:pPr>
      <w:r>
        <w:t xml:space="preserve">subsection 47(1) of the </w:t>
      </w:r>
      <w:r w:rsidRPr="25088863">
        <w:rPr>
          <w:i/>
          <w:iCs/>
        </w:rPr>
        <w:t>High Court of Australia Act 1979</w:t>
      </w:r>
      <w:r>
        <w:t xml:space="preserve">  prescribes the financial statements reporting requirements of the High Court of Australia</w:t>
      </w:r>
    </w:p>
    <w:p w14:paraId="4FFDB24D" w14:textId="63029788" w:rsidR="006741D7" w:rsidRPr="0048385F" w:rsidRDefault="25088863" w:rsidP="00416545">
      <w:pPr>
        <w:pStyle w:val="ListParagraph"/>
        <w:numPr>
          <w:ilvl w:val="0"/>
          <w:numId w:val="9"/>
        </w:numPr>
        <w:spacing w:line="276" w:lineRule="auto"/>
        <w:ind w:left="993" w:right="-1" w:hanging="426"/>
        <w:jc w:val="both"/>
      </w:pPr>
      <w:r>
        <w:t xml:space="preserve">subsections 50B(2) and (4) of the </w:t>
      </w:r>
      <w:r w:rsidRPr="25088863">
        <w:rPr>
          <w:i/>
          <w:iCs/>
        </w:rPr>
        <w:t>Defence Service Homes Act 1918</w:t>
      </w:r>
      <w:r>
        <w:t xml:space="preserve"> prescribe the financial statements reporting requirements of the Defence Service Homes Corporation</w:t>
      </w:r>
    </w:p>
    <w:p w14:paraId="52AE08F1" w14:textId="757C1591" w:rsidR="006741D7" w:rsidRPr="0048385F" w:rsidRDefault="25088863" w:rsidP="00416545">
      <w:pPr>
        <w:pStyle w:val="ListParagraph"/>
        <w:numPr>
          <w:ilvl w:val="0"/>
          <w:numId w:val="9"/>
        </w:numPr>
        <w:spacing w:line="276" w:lineRule="auto"/>
        <w:ind w:left="993" w:right="-1" w:hanging="426"/>
        <w:jc w:val="both"/>
      </w:pPr>
      <w:r>
        <w:t xml:space="preserve">subsections 43(1) and (3) of the </w:t>
      </w:r>
      <w:r w:rsidRPr="25088863">
        <w:rPr>
          <w:i/>
          <w:iCs/>
        </w:rPr>
        <w:t>Natural Heritage Trust of Australia Act 1997</w:t>
      </w:r>
      <w:r>
        <w:t xml:space="preserve"> prescribe the financial statements reporting requirements of the Natural Heritage Trust of Australia Account</w:t>
      </w:r>
    </w:p>
    <w:p w14:paraId="7999DEA3" w14:textId="20FD73DC" w:rsidR="0048385F" w:rsidRPr="0048385F" w:rsidRDefault="25088863" w:rsidP="00416545">
      <w:pPr>
        <w:pStyle w:val="ListParagraph"/>
        <w:numPr>
          <w:ilvl w:val="0"/>
          <w:numId w:val="9"/>
        </w:numPr>
        <w:spacing w:after="200" w:line="276" w:lineRule="auto"/>
        <w:ind w:left="993" w:right="-1" w:hanging="426"/>
        <w:contextualSpacing w:val="0"/>
        <w:jc w:val="both"/>
      </w:pPr>
      <w:r>
        <w:t>Division 4 of Part 2-3 of the PGPA Rule prescribes how financial statements must be prepared for Commonwealth entities that have ceased to exist or whose functions have been transferred.</w:t>
      </w:r>
    </w:p>
    <w:p w14:paraId="0DC0EEAF" w14:textId="0729684B" w:rsidR="00A65BEA" w:rsidRDefault="25088863" w:rsidP="00EB2C82">
      <w:pPr>
        <w:spacing w:line="276" w:lineRule="auto"/>
        <w:ind w:right="-1"/>
        <w:jc w:val="both"/>
      </w:pPr>
      <w:r>
        <w:lastRenderedPageBreak/>
        <w:t>Some provisions of the FRR are made for the purpose of subsection 102(1)(b) of the PGPA Act, which prescribes that provisions may be made for the Commonwealth and Commonwealth entities to ensure or promote proper accountability for the use and management of public resources.</w:t>
      </w:r>
    </w:p>
    <w:p w14:paraId="1B259687" w14:textId="77777777" w:rsidR="004430C7" w:rsidRPr="001F35A6" w:rsidRDefault="004430C7" w:rsidP="00EB2C82">
      <w:pPr>
        <w:spacing w:line="276" w:lineRule="auto"/>
        <w:ind w:right="-1"/>
        <w:jc w:val="both"/>
        <w:rPr>
          <w:b/>
        </w:rPr>
      </w:pPr>
    </w:p>
    <w:p w14:paraId="0C0C81A7" w14:textId="77777777" w:rsidR="00B92E35" w:rsidRPr="00DC2995" w:rsidRDefault="25088863" w:rsidP="25088863">
      <w:pPr>
        <w:spacing w:after="120" w:line="276" w:lineRule="auto"/>
        <w:ind w:right="-1"/>
        <w:jc w:val="both"/>
        <w:rPr>
          <w:b/>
          <w:bCs/>
        </w:rPr>
      </w:pPr>
      <w:r w:rsidRPr="25088863">
        <w:rPr>
          <w:b/>
          <w:bCs/>
        </w:rPr>
        <w:t>Human rights implications</w:t>
      </w:r>
    </w:p>
    <w:p w14:paraId="56D69784" w14:textId="77777777" w:rsidR="00E835FF" w:rsidRPr="00662BFB" w:rsidRDefault="25088863" w:rsidP="25088863">
      <w:pPr>
        <w:pStyle w:val="ListParagraph"/>
        <w:numPr>
          <w:ilvl w:val="0"/>
          <w:numId w:val="6"/>
        </w:numPr>
        <w:spacing w:before="120" w:after="120" w:line="276" w:lineRule="auto"/>
        <w:ind w:left="993" w:right="-1" w:hanging="426"/>
        <w:jc w:val="both"/>
        <w:rPr>
          <w:rFonts w:ascii="Calibri" w:eastAsiaTheme="minorEastAsia" w:hAnsi="Calibri"/>
        </w:rPr>
      </w:pPr>
      <w:r>
        <w:t xml:space="preserve">The amendments do not engage any of the applicable rights or freedoms outlined in the </w:t>
      </w:r>
      <w:r w:rsidRPr="25088863">
        <w:rPr>
          <w:i/>
          <w:iCs/>
        </w:rPr>
        <w:t>Human Rights (Parliamentary Scrutiny) Act 2011</w:t>
      </w:r>
      <w:r>
        <w:t xml:space="preserve">, such as encompassed in the </w:t>
      </w:r>
      <w:r w:rsidRPr="25088863">
        <w:rPr>
          <w:i/>
          <w:iCs/>
        </w:rPr>
        <w:t>International Covenant on Civil and Political Rights</w:t>
      </w:r>
      <w:r>
        <w:t>.</w:t>
      </w:r>
    </w:p>
    <w:p w14:paraId="017F9779" w14:textId="77777777" w:rsidR="00E835FF" w:rsidRPr="00662BFB" w:rsidRDefault="25088863" w:rsidP="25088863">
      <w:pPr>
        <w:pStyle w:val="ListParagraph"/>
        <w:numPr>
          <w:ilvl w:val="0"/>
          <w:numId w:val="6"/>
        </w:numPr>
        <w:spacing w:before="120" w:after="120" w:line="276" w:lineRule="auto"/>
        <w:ind w:left="993" w:right="-1" w:hanging="426"/>
        <w:jc w:val="both"/>
        <w:rPr>
          <w:rFonts w:ascii="Calibri" w:eastAsiaTheme="minorEastAsia" w:hAnsi="Calibri"/>
        </w:rPr>
      </w:pPr>
      <w:r>
        <w:t xml:space="preserve">The proposed amendments do not limit any human rights, nor propose any offences or penalties.  </w:t>
      </w:r>
    </w:p>
    <w:p w14:paraId="16E29B61" w14:textId="2CAFC6FF" w:rsidR="00DC2995" w:rsidRPr="00DC2995" w:rsidRDefault="25088863" w:rsidP="25088863">
      <w:pPr>
        <w:pStyle w:val="ListParagraph"/>
        <w:numPr>
          <w:ilvl w:val="0"/>
          <w:numId w:val="6"/>
        </w:numPr>
        <w:spacing w:after="200" w:line="276" w:lineRule="auto"/>
        <w:ind w:left="993" w:right="-1" w:hanging="426"/>
        <w:contextualSpacing w:val="0"/>
        <w:jc w:val="both"/>
        <w:rPr>
          <w:rFonts w:ascii="Calibri" w:eastAsiaTheme="minorEastAsia" w:hAnsi="Calibri"/>
        </w:rPr>
      </w:pPr>
      <w:r>
        <w:t xml:space="preserve">This disallowable legislative instrument is therefore compatible with the human rights and freedoms recognised or declared in the international instruments listed in subsection 3(1) of the </w:t>
      </w:r>
      <w:r w:rsidRPr="25088863">
        <w:rPr>
          <w:i/>
          <w:iCs/>
        </w:rPr>
        <w:t>Human Rights (Parliamentary Scrutiny) Act 2011</w:t>
      </w:r>
      <w:r>
        <w:t>.</w:t>
      </w:r>
    </w:p>
    <w:p w14:paraId="0E6FA857" w14:textId="77777777" w:rsidR="00DC2995" w:rsidRPr="00DC2995" w:rsidRDefault="25088863" w:rsidP="25088863">
      <w:pPr>
        <w:spacing w:after="120" w:line="276" w:lineRule="auto"/>
        <w:ind w:right="-1"/>
        <w:jc w:val="both"/>
        <w:rPr>
          <w:rFonts w:ascii="Calibri" w:eastAsiaTheme="minorEastAsia" w:hAnsi="Calibri"/>
        </w:rPr>
      </w:pPr>
      <w:r w:rsidRPr="25088863">
        <w:rPr>
          <w:b/>
          <w:bCs/>
        </w:rPr>
        <w:t>Conclusion</w:t>
      </w:r>
    </w:p>
    <w:p w14:paraId="6C99D740" w14:textId="77777777" w:rsidR="00B3043B" w:rsidRDefault="25088863" w:rsidP="00EB2C82">
      <w:pPr>
        <w:spacing w:after="100" w:line="276" w:lineRule="auto"/>
        <w:ind w:right="-1"/>
        <w:jc w:val="both"/>
      </w:pPr>
      <w:r>
        <w:t xml:space="preserve">This Disallowable Legislative Instrument is compatible with human rights as it does not raise any human rights issues. </w:t>
      </w:r>
    </w:p>
    <w:p w14:paraId="64E398F0" w14:textId="77777777" w:rsidR="00DC2995" w:rsidRDefault="00DC2995" w:rsidP="00EB2C82">
      <w:pPr>
        <w:spacing w:line="276" w:lineRule="auto"/>
        <w:ind w:right="-1"/>
        <w:jc w:val="both"/>
        <w:rPr>
          <w:b/>
        </w:rPr>
      </w:pPr>
    </w:p>
    <w:p w14:paraId="0A6F19F7" w14:textId="77777777" w:rsidR="00DC2995" w:rsidRDefault="00DC2995" w:rsidP="00EB2C82">
      <w:pPr>
        <w:spacing w:line="276" w:lineRule="auto"/>
        <w:ind w:right="-1"/>
        <w:jc w:val="both"/>
        <w:rPr>
          <w:b/>
        </w:rPr>
      </w:pPr>
    </w:p>
    <w:p w14:paraId="6343C5FC" w14:textId="77777777" w:rsidR="00D9091D" w:rsidRDefault="25088863" w:rsidP="25088863">
      <w:pPr>
        <w:spacing w:line="276" w:lineRule="auto"/>
        <w:ind w:right="-1"/>
        <w:jc w:val="center"/>
        <w:rPr>
          <w:b/>
          <w:bCs/>
        </w:rPr>
      </w:pPr>
      <w:r w:rsidRPr="25088863">
        <w:rPr>
          <w:b/>
          <w:bCs/>
        </w:rPr>
        <w:t>Senator the Honourable Simon Birmingham</w:t>
      </w:r>
    </w:p>
    <w:p w14:paraId="3A0F49A9" w14:textId="77777777" w:rsidR="002A4F19" w:rsidRPr="00552752" w:rsidRDefault="25088863" w:rsidP="25088863">
      <w:pPr>
        <w:spacing w:line="276" w:lineRule="auto"/>
        <w:ind w:right="-1"/>
        <w:jc w:val="center"/>
        <w:rPr>
          <w:sz w:val="22"/>
          <w:szCs w:val="22"/>
          <w:highlight w:val="yellow"/>
        </w:rPr>
      </w:pPr>
      <w:r w:rsidRPr="25088863">
        <w:rPr>
          <w:b/>
          <w:bCs/>
        </w:rPr>
        <w:t xml:space="preserve">Minister for Finance </w:t>
      </w:r>
    </w:p>
    <w:sectPr w:rsidR="002A4F19" w:rsidRPr="00552752" w:rsidSect="005C283D">
      <w:pgSz w:w="11907" w:h="16840" w:code="9"/>
      <w:pgMar w:top="1245" w:right="1701" w:bottom="567" w:left="15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1EE9" w14:textId="77777777" w:rsidR="00D32F77" w:rsidRDefault="00D32F77">
      <w:r>
        <w:separator/>
      </w:r>
    </w:p>
  </w:endnote>
  <w:endnote w:type="continuationSeparator" w:id="0">
    <w:p w14:paraId="04F6EFB5" w14:textId="77777777" w:rsidR="00D32F77" w:rsidRDefault="00D3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647" w:type="dxa"/>
      <w:tblInd w:w="-426" w:type="dxa"/>
      <w:tblLook w:val="04A0" w:firstRow="1" w:lastRow="0" w:firstColumn="1" w:lastColumn="0" w:noHBand="0" w:noVBand="1"/>
    </w:tblPr>
    <w:tblGrid>
      <w:gridCol w:w="284"/>
      <w:gridCol w:w="7655"/>
      <w:gridCol w:w="708"/>
    </w:tblGrid>
    <w:tr w:rsidR="00A67793" w14:paraId="29E78232" w14:textId="77777777" w:rsidTr="25088863">
      <w:tc>
        <w:tcPr>
          <w:tcW w:w="284" w:type="dxa"/>
          <w:tcBorders>
            <w:left w:val="nil"/>
            <w:bottom w:val="nil"/>
            <w:right w:val="nil"/>
          </w:tcBorders>
        </w:tcPr>
        <w:p w14:paraId="4235DE9B" w14:textId="77777777" w:rsidR="00A67793" w:rsidRPr="006B1927" w:rsidRDefault="00A67793" w:rsidP="00557BB0">
          <w:pPr>
            <w:pStyle w:val="Footer"/>
            <w:rPr>
              <w:rFonts w:ascii="Arial" w:hAnsi="Arial" w:cs="Arial"/>
              <w:sz w:val="18"/>
            </w:rPr>
          </w:pPr>
        </w:p>
      </w:tc>
      <w:tc>
        <w:tcPr>
          <w:tcW w:w="7655" w:type="dxa"/>
          <w:tcBorders>
            <w:left w:val="nil"/>
            <w:bottom w:val="nil"/>
            <w:right w:val="nil"/>
          </w:tcBorders>
        </w:tcPr>
        <w:p w14:paraId="27A9BB93" w14:textId="21E4DB1A" w:rsidR="00A67793" w:rsidRPr="00E219C7" w:rsidRDefault="25088863" w:rsidP="008F774A">
          <w:pPr>
            <w:pStyle w:val="Footer"/>
            <w:jc w:val="center"/>
          </w:pPr>
          <w:r w:rsidRPr="25088863">
            <w:rPr>
              <w:i/>
              <w:iCs/>
              <w:sz w:val="18"/>
              <w:szCs w:val="18"/>
            </w:rPr>
            <w:t>Explanatory Statement to the Public Governance, Performance and Accountability (Financial Reporting) Amendment (2021 Measures No.2) Rules 2021</w:t>
          </w:r>
        </w:p>
        <w:p w14:paraId="358DB305" w14:textId="77777777" w:rsidR="00A67793" w:rsidRDefault="00A67793" w:rsidP="008E1EF8">
          <w:pPr>
            <w:pStyle w:val="Footer"/>
          </w:pPr>
        </w:p>
      </w:tc>
      <w:tc>
        <w:tcPr>
          <w:tcW w:w="708" w:type="dxa"/>
          <w:tcBorders>
            <w:left w:val="nil"/>
            <w:bottom w:val="nil"/>
            <w:right w:val="nil"/>
          </w:tcBorders>
        </w:tcPr>
        <w:p w14:paraId="18199EA3" w14:textId="6D43C9D8" w:rsidR="00A67793" w:rsidRPr="001F35A6" w:rsidRDefault="00A67793" w:rsidP="008E1EF8">
          <w:pPr>
            <w:pStyle w:val="Footer"/>
            <w:rPr>
              <w:sz w:val="18"/>
              <w:szCs w:val="18"/>
            </w:rPr>
          </w:pPr>
          <w:r w:rsidRPr="001F35A6">
            <w:rPr>
              <w:rStyle w:val="PageNumber"/>
              <w:sz w:val="18"/>
              <w:szCs w:val="18"/>
            </w:rPr>
            <w:fldChar w:fldCharType="begin"/>
          </w:r>
          <w:r w:rsidRPr="001F35A6">
            <w:rPr>
              <w:rStyle w:val="PageNumber"/>
              <w:sz w:val="18"/>
              <w:szCs w:val="18"/>
            </w:rPr>
            <w:instrText xml:space="preserve"> PAGE </w:instrText>
          </w:r>
          <w:r w:rsidRPr="001F35A6">
            <w:rPr>
              <w:rStyle w:val="PageNumber"/>
              <w:sz w:val="18"/>
              <w:szCs w:val="18"/>
            </w:rPr>
            <w:fldChar w:fldCharType="separate"/>
          </w:r>
          <w:r w:rsidR="00413E7B">
            <w:rPr>
              <w:rStyle w:val="PageNumber"/>
              <w:noProof/>
              <w:sz w:val="18"/>
              <w:szCs w:val="18"/>
            </w:rPr>
            <w:t>6</w:t>
          </w:r>
          <w:r w:rsidRPr="001F35A6">
            <w:rPr>
              <w:rStyle w:val="PageNumber"/>
              <w:sz w:val="18"/>
              <w:szCs w:val="18"/>
            </w:rPr>
            <w:fldChar w:fldCharType="end"/>
          </w:r>
        </w:p>
      </w:tc>
    </w:tr>
  </w:tbl>
  <w:p w14:paraId="317A8DBC" w14:textId="77777777" w:rsidR="00A67793" w:rsidRDefault="00A67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84"/>
      <w:gridCol w:w="6838"/>
      <w:gridCol w:w="851"/>
    </w:tblGrid>
    <w:tr w:rsidR="00A67793" w:rsidRPr="001F35A6" w14:paraId="0DF6F644" w14:textId="77777777" w:rsidTr="25088863">
      <w:tc>
        <w:tcPr>
          <w:tcW w:w="284" w:type="dxa"/>
          <w:tcBorders>
            <w:left w:val="nil"/>
            <w:bottom w:val="nil"/>
            <w:right w:val="nil"/>
          </w:tcBorders>
        </w:tcPr>
        <w:p w14:paraId="12ED58E5" w14:textId="77777777" w:rsidR="00A67793" w:rsidRPr="001F35A6" w:rsidRDefault="00A67793" w:rsidP="001F35A6">
          <w:pPr>
            <w:pStyle w:val="Footer"/>
            <w:jc w:val="center"/>
            <w:rPr>
              <w:sz w:val="18"/>
              <w:szCs w:val="18"/>
            </w:rPr>
          </w:pPr>
        </w:p>
      </w:tc>
      <w:tc>
        <w:tcPr>
          <w:tcW w:w="6838" w:type="dxa"/>
          <w:tcBorders>
            <w:left w:val="nil"/>
            <w:bottom w:val="nil"/>
            <w:right w:val="nil"/>
          </w:tcBorders>
        </w:tcPr>
        <w:p w14:paraId="36780210" w14:textId="63B643DE" w:rsidR="00A67793" w:rsidRPr="001F35A6" w:rsidRDefault="25088863" w:rsidP="25088863">
          <w:pPr>
            <w:pStyle w:val="Footer"/>
            <w:jc w:val="center"/>
            <w:rPr>
              <w:sz w:val="18"/>
              <w:szCs w:val="18"/>
            </w:rPr>
          </w:pPr>
          <w:r w:rsidRPr="25088863">
            <w:rPr>
              <w:i/>
              <w:iCs/>
              <w:sz w:val="18"/>
              <w:szCs w:val="18"/>
            </w:rPr>
            <w:t>Explanatory Statement to the Public Governance, Performance and Accountability (Financial Reporting) Amendment (2021 Measures No.2) Rules 2021</w:t>
          </w:r>
        </w:p>
      </w:tc>
      <w:tc>
        <w:tcPr>
          <w:tcW w:w="851" w:type="dxa"/>
          <w:tcBorders>
            <w:left w:val="nil"/>
            <w:bottom w:val="nil"/>
            <w:right w:val="nil"/>
          </w:tcBorders>
        </w:tcPr>
        <w:p w14:paraId="34F3F47C" w14:textId="65A94A9E" w:rsidR="00A67793" w:rsidRPr="001F35A6" w:rsidRDefault="00A67793" w:rsidP="00261312">
          <w:pPr>
            <w:pStyle w:val="Footer"/>
            <w:ind w:left="-110" w:firstLine="110"/>
            <w:jc w:val="center"/>
            <w:rPr>
              <w:sz w:val="18"/>
              <w:szCs w:val="18"/>
            </w:rPr>
          </w:pPr>
          <w:r w:rsidRPr="001F35A6">
            <w:rPr>
              <w:rStyle w:val="PageNumber"/>
              <w:sz w:val="18"/>
              <w:szCs w:val="18"/>
            </w:rPr>
            <w:fldChar w:fldCharType="begin"/>
          </w:r>
          <w:r w:rsidRPr="001F35A6">
            <w:rPr>
              <w:rStyle w:val="PageNumber"/>
              <w:sz w:val="18"/>
              <w:szCs w:val="18"/>
            </w:rPr>
            <w:instrText xml:space="preserve"> PAGE </w:instrText>
          </w:r>
          <w:r w:rsidRPr="001F35A6">
            <w:rPr>
              <w:rStyle w:val="PageNumber"/>
              <w:sz w:val="18"/>
              <w:szCs w:val="18"/>
            </w:rPr>
            <w:fldChar w:fldCharType="separate"/>
          </w:r>
          <w:r w:rsidR="00983243">
            <w:rPr>
              <w:rStyle w:val="PageNumber"/>
              <w:noProof/>
              <w:sz w:val="18"/>
              <w:szCs w:val="18"/>
            </w:rPr>
            <w:t>5</w:t>
          </w:r>
          <w:r w:rsidRPr="001F35A6">
            <w:rPr>
              <w:rStyle w:val="PageNumber"/>
              <w:sz w:val="18"/>
              <w:szCs w:val="18"/>
            </w:rPr>
            <w:fldChar w:fldCharType="end"/>
          </w:r>
        </w:p>
      </w:tc>
    </w:tr>
  </w:tbl>
  <w:p w14:paraId="5652518A" w14:textId="77777777" w:rsidR="00A67793" w:rsidRPr="001F35A6" w:rsidRDefault="00A67793" w:rsidP="001F35A6">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3499C" w14:textId="77777777" w:rsidR="00D32F77" w:rsidRDefault="00D32F77">
      <w:r>
        <w:separator/>
      </w:r>
    </w:p>
  </w:footnote>
  <w:footnote w:type="continuationSeparator" w:id="0">
    <w:p w14:paraId="3EBC21E7" w14:textId="77777777" w:rsidR="00D32F77" w:rsidRDefault="00D3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2BC0" w14:textId="39C863EE" w:rsidR="00A67793" w:rsidRPr="00450366" w:rsidRDefault="00A67793" w:rsidP="00450366">
    <w:pPr>
      <w:pStyle w:val="Header"/>
      <w:pBdr>
        <w:between w:val="single" w:sz="12" w:space="1" w:color="auto"/>
      </w:pBd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181"/>
    <w:multiLevelType w:val="hybridMultilevel"/>
    <w:tmpl w:val="AC84FA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D420AB"/>
    <w:multiLevelType w:val="hybridMultilevel"/>
    <w:tmpl w:val="D1228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249D7"/>
    <w:multiLevelType w:val="multilevel"/>
    <w:tmpl w:val="1DD006AA"/>
    <w:lvl w:ilvl="0">
      <w:start w:val="1"/>
      <w:numFmt w:val="bullet"/>
      <w:pStyle w:val="Bullet"/>
      <w:lvlText w:val=""/>
      <w:lvlJc w:val="left"/>
      <w:pPr>
        <w:tabs>
          <w:tab w:val="num" w:pos="680"/>
        </w:tabs>
        <w:ind w:left="680" w:hanging="680"/>
      </w:pPr>
      <w:rPr>
        <w:rFonts w:ascii="Symbol" w:hAnsi="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2268"/>
        </w:tabs>
        <w:ind w:left="2268" w:hanging="567"/>
      </w:pPr>
      <w:rPr>
        <w:rFonts w:ascii="Symbol" w:hAnsi="Symbol" w:cs="Symbol" w:hint="default"/>
      </w:rPr>
    </w:lvl>
    <w:lvl w:ilvl="7">
      <w:start w:val="1"/>
      <w:numFmt w:val="bullet"/>
      <w:lvlText w:val=""/>
      <w:lvlJc w:val="left"/>
      <w:pPr>
        <w:tabs>
          <w:tab w:val="num" w:pos="2835"/>
        </w:tabs>
        <w:ind w:left="2835" w:hanging="567"/>
      </w:pPr>
      <w:rPr>
        <w:rFonts w:ascii="Symbol" w:hAnsi="Symbol" w:cs="Symbol" w:hint="default"/>
      </w:rPr>
    </w:lvl>
    <w:lvl w:ilvl="8">
      <w:start w:val="1"/>
      <w:numFmt w:val="bullet"/>
      <w:lvlText w:val=""/>
      <w:lvlJc w:val="left"/>
      <w:pPr>
        <w:tabs>
          <w:tab w:val="num" w:pos="3402"/>
        </w:tabs>
        <w:ind w:left="3402" w:hanging="567"/>
      </w:pPr>
      <w:rPr>
        <w:rFonts w:ascii="Symbol" w:hAnsi="Symbol" w:cs="Symbol" w:hint="default"/>
      </w:rPr>
    </w:lvl>
  </w:abstractNum>
  <w:abstractNum w:abstractNumId="3" w15:restartNumberingAfterBreak="0">
    <w:nsid w:val="22ED0DF7"/>
    <w:multiLevelType w:val="hybridMultilevel"/>
    <w:tmpl w:val="99524468"/>
    <w:lvl w:ilvl="0" w:tplc="D48451A8">
      <w:start w:val="1"/>
      <w:numFmt w:val="bullet"/>
      <w:pStyle w:val="StyleNew"/>
      <w:lvlText w:val=""/>
      <w:lvlJc w:val="left"/>
      <w:pPr>
        <w:tabs>
          <w:tab w:val="num" w:pos="720"/>
        </w:tabs>
        <w:ind w:left="340" w:hanging="340"/>
      </w:pPr>
      <w:rPr>
        <w:rFonts w:ascii="Symbol" w:hAnsi="Symbol" w:hint="default"/>
      </w:rPr>
    </w:lvl>
    <w:lvl w:ilvl="1" w:tplc="F294D27C">
      <w:start w:val="1"/>
      <w:numFmt w:val="bullet"/>
      <w:lvlText w:val="o"/>
      <w:lvlJc w:val="left"/>
      <w:pPr>
        <w:tabs>
          <w:tab w:val="num" w:pos="927"/>
        </w:tabs>
        <w:ind w:left="907" w:hanging="34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53F9B"/>
    <w:multiLevelType w:val="hybridMultilevel"/>
    <w:tmpl w:val="0BD65B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AE1601"/>
    <w:multiLevelType w:val="hybridMultilevel"/>
    <w:tmpl w:val="83E2FF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E353FD"/>
    <w:multiLevelType w:val="hybridMultilevel"/>
    <w:tmpl w:val="F6E08226"/>
    <w:lvl w:ilvl="0" w:tplc="CAA24094">
      <w:start w:val="2"/>
      <w:numFmt w:val="decimal"/>
      <w:pStyle w:val="NumberedParagraph"/>
      <w:lvlText w:val="%1."/>
      <w:lvlJc w:val="left"/>
      <w:pPr>
        <w:tabs>
          <w:tab w:val="num" w:pos="680"/>
        </w:tabs>
        <w:ind w:left="680" w:hanging="6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3A951A0B"/>
    <w:multiLevelType w:val="hybridMultilevel"/>
    <w:tmpl w:val="F11AFA8E"/>
    <w:lvl w:ilvl="0" w:tplc="B442E3F0">
      <w:start w:val="1"/>
      <w:numFmt w:val="decimal"/>
      <w:lvlText w:val="%1."/>
      <w:lvlJc w:val="left"/>
      <w:pPr>
        <w:ind w:left="360" w:hanging="360"/>
      </w:pPr>
      <w:rPr>
        <w:rFonts w:ascii="Times New Roman"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72453FF"/>
    <w:multiLevelType w:val="hybridMultilevel"/>
    <w:tmpl w:val="3D72ADDC"/>
    <w:lvl w:ilvl="0" w:tplc="518600FA">
      <w:start w:val="1"/>
      <w:numFmt w:val="lowerLetter"/>
      <w:lvlText w:val="(%1)"/>
      <w:lvlJc w:val="left"/>
      <w:pPr>
        <w:tabs>
          <w:tab w:val="num" w:pos="1080"/>
        </w:tabs>
        <w:ind w:left="1080" w:hanging="360"/>
      </w:pPr>
      <w:rPr>
        <w:rFonts w:hint="default"/>
      </w:rPr>
    </w:lvl>
    <w:lvl w:ilvl="1" w:tplc="BCCA3CFC">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4AAE8450">
      <w:start w:val="1"/>
      <w:numFmt w:val="lowerLetter"/>
      <w:pStyle w:val="AmendmentHeading"/>
      <w:lvlText w:val="(%4)"/>
      <w:lvlJc w:val="left"/>
      <w:pPr>
        <w:tabs>
          <w:tab w:val="num" w:pos="3240"/>
        </w:tabs>
        <w:ind w:left="3240" w:hanging="360"/>
      </w:pPr>
      <w:rPr>
        <w:rFonts w:hint="default"/>
      </w:rPr>
    </w:lvl>
    <w:lvl w:ilvl="4" w:tplc="93CA2846">
      <w:start w:val="1"/>
      <w:numFmt w:val="bullet"/>
      <w:lvlText w:val=""/>
      <w:lvlJc w:val="left"/>
      <w:pPr>
        <w:tabs>
          <w:tab w:val="num" w:pos="3960"/>
        </w:tabs>
        <w:ind w:left="3960" w:hanging="360"/>
      </w:pPr>
      <w:rPr>
        <w:rFonts w:ascii="Symbol" w:hAnsi="Symbol" w:hint="default"/>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0" w15:restartNumberingAfterBreak="0">
    <w:nsid w:val="5E815138"/>
    <w:multiLevelType w:val="multilevel"/>
    <w:tmpl w:val="1578179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96C116A"/>
    <w:multiLevelType w:val="hybridMultilevel"/>
    <w:tmpl w:val="9EC6B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38338E"/>
    <w:multiLevelType w:val="singleLevel"/>
    <w:tmpl w:val="2922866A"/>
    <w:lvl w:ilvl="0">
      <w:start w:val="1"/>
      <w:numFmt w:val="bullet"/>
      <w:pStyle w:val="Colon"/>
      <w:lvlText w:val=""/>
      <w:lvlJc w:val="left"/>
      <w:pPr>
        <w:tabs>
          <w:tab w:val="num" w:pos="360"/>
        </w:tabs>
        <w:ind w:left="360" w:hanging="360"/>
      </w:pPr>
      <w:rPr>
        <w:rFonts w:ascii="Symbol" w:hAnsi="Symbol" w:cs="Times New Roman" w:hint="default"/>
      </w:rPr>
    </w:lvl>
  </w:abstractNum>
  <w:abstractNum w:abstractNumId="13" w15:restartNumberingAfterBreak="0">
    <w:nsid w:val="6A7E2E8A"/>
    <w:multiLevelType w:val="hybridMultilevel"/>
    <w:tmpl w:val="4DCCDC9C"/>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D3B47F6"/>
    <w:multiLevelType w:val="hybridMultilevel"/>
    <w:tmpl w:val="E55A30A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3"/>
  </w:num>
  <w:num w:numId="5">
    <w:abstractNumId w:val="6"/>
  </w:num>
  <w:num w:numId="6">
    <w:abstractNumId w:val="7"/>
  </w:num>
  <w:num w:numId="7">
    <w:abstractNumId w:val="10"/>
  </w:num>
  <w:num w:numId="8">
    <w:abstractNumId w:val="9"/>
  </w:num>
  <w:num w:numId="9">
    <w:abstractNumId w:val="1"/>
  </w:num>
  <w:num w:numId="10">
    <w:abstractNumId w:val="13"/>
  </w:num>
  <w:num w:numId="11">
    <w:abstractNumId w:val="4"/>
  </w:num>
  <w:num w:numId="12">
    <w:abstractNumId w:val="14"/>
  </w:num>
  <w:num w:numId="13">
    <w:abstractNumId w:val="0"/>
  </w:num>
  <w:num w:numId="14">
    <w:abstractNumId w:val="11"/>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71"/>
    <w:rsid w:val="000006AD"/>
    <w:rsid w:val="00000DBF"/>
    <w:rsid w:val="00002A76"/>
    <w:rsid w:val="00005B1F"/>
    <w:rsid w:val="0000674E"/>
    <w:rsid w:val="000225FF"/>
    <w:rsid w:val="00025465"/>
    <w:rsid w:val="00025A18"/>
    <w:rsid w:val="00026225"/>
    <w:rsid w:val="00027A4F"/>
    <w:rsid w:val="00027EA5"/>
    <w:rsid w:val="000359A8"/>
    <w:rsid w:val="00037F5D"/>
    <w:rsid w:val="00037F9E"/>
    <w:rsid w:val="0004012C"/>
    <w:rsid w:val="00040819"/>
    <w:rsid w:val="0004314F"/>
    <w:rsid w:val="000431C7"/>
    <w:rsid w:val="000466D2"/>
    <w:rsid w:val="00046DF4"/>
    <w:rsid w:val="00047DE0"/>
    <w:rsid w:val="00047EC3"/>
    <w:rsid w:val="00051243"/>
    <w:rsid w:val="00052605"/>
    <w:rsid w:val="00052DDD"/>
    <w:rsid w:val="00061CFC"/>
    <w:rsid w:val="0006692F"/>
    <w:rsid w:val="00067854"/>
    <w:rsid w:val="0007348C"/>
    <w:rsid w:val="00074BE8"/>
    <w:rsid w:val="00080103"/>
    <w:rsid w:val="00080BD7"/>
    <w:rsid w:val="00080F3C"/>
    <w:rsid w:val="000828E6"/>
    <w:rsid w:val="00082AF0"/>
    <w:rsid w:val="0008325B"/>
    <w:rsid w:val="00084263"/>
    <w:rsid w:val="000849FA"/>
    <w:rsid w:val="0008573C"/>
    <w:rsid w:val="00086BCA"/>
    <w:rsid w:val="000877BA"/>
    <w:rsid w:val="00087D74"/>
    <w:rsid w:val="00091CF8"/>
    <w:rsid w:val="000922BC"/>
    <w:rsid w:val="00092773"/>
    <w:rsid w:val="000929A9"/>
    <w:rsid w:val="000936D4"/>
    <w:rsid w:val="000937D9"/>
    <w:rsid w:val="000A154D"/>
    <w:rsid w:val="000A2D37"/>
    <w:rsid w:val="000A5D30"/>
    <w:rsid w:val="000B0097"/>
    <w:rsid w:val="000B1BBF"/>
    <w:rsid w:val="000B5C59"/>
    <w:rsid w:val="000C0939"/>
    <w:rsid w:val="000C0C22"/>
    <w:rsid w:val="000C52E1"/>
    <w:rsid w:val="000D51FC"/>
    <w:rsid w:val="000D5BC6"/>
    <w:rsid w:val="000D6AA8"/>
    <w:rsid w:val="000E0752"/>
    <w:rsid w:val="000E1F9A"/>
    <w:rsid w:val="000E4D75"/>
    <w:rsid w:val="000F0D7E"/>
    <w:rsid w:val="000F1407"/>
    <w:rsid w:val="000F2391"/>
    <w:rsid w:val="000F357C"/>
    <w:rsid w:val="000F39BE"/>
    <w:rsid w:val="000F54DA"/>
    <w:rsid w:val="000F611B"/>
    <w:rsid w:val="000F61FD"/>
    <w:rsid w:val="00100533"/>
    <w:rsid w:val="00100D03"/>
    <w:rsid w:val="001025A9"/>
    <w:rsid w:val="00107D09"/>
    <w:rsid w:val="001153CB"/>
    <w:rsid w:val="00116981"/>
    <w:rsid w:val="00116B9F"/>
    <w:rsid w:val="001203F5"/>
    <w:rsid w:val="00120B88"/>
    <w:rsid w:val="0012282C"/>
    <w:rsid w:val="00131A52"/>
    <w:rsid w:val="001342BC"/>
    <w:rsid w:val="00136DC3"/>
    <w:rsid w:val="00146EE8"/>
    <w:rsid w:val="00147057"/>
    <w:rsid w:val="00150320"/>
    <w:rsid w:val="00152759"/>
    <w:rsid w:val="00152F75"/>
    <w:rsid w:val="00153574"/>
    <w:rsid w:val="00154A28"/>
    <w:rsid w:val="0015715F"/>
    <w:rsid w:val="00157755"/>
    <w:rsid w:val="00157C20"/>
    <w:rsid w:val="00162D25"/>
    <w:rsid w:val="001647E7"/>
    <w:rsid w:val="00165423"/>
    <w:rsid w:val="00166809"/>
    <w:rsid w:val="00171AE6"/>
    <w:rsid w:val="00172AAE"/>
    <w:rsid w:val="001808BC"/>
    <w:rsid w:val="001853CE"/>
    <w:rsid w:val="00186884"/>
    <w:rsid w:val="00187921"/>
    <w:rsid w:val="00191A88"/>
    <w:rsid w:val="00192834"/>
    <w:rsid w:val="00192B28"/>
    <w:rsid w:val="0019390A"/>
    <w:rsid w:val="00194265"/>
    <w:rsid w:val="001975F4"/>
    <w:rsid w:val="001A1BDE"/>
    <w:rsid w:val="001A3B3D"/>
    <w:rsid w:val="001A5228"/>
    <w:rsid w:val="001A5CE0"/>
    <w:rsid w:val="001B0D2B"/>
    <w:rsid w:val="001B3EE8"/>
    <w:rsid w:val="001B47DB"/>
    <w:rsid w:val="001C0B34"/>
    <w:rsid w:val="001C2EBE"/>
    <w:rsid w:val="001C41D7"/>
    <w:rsid w:val="001C6A89"/>
    <w:rsid w:val="001C73A9"/>
    <w:rsid w:val="001D03C3"/>
    <w:rsid w:val="001D2D11"/>
    <w:rsid w:val="001D2E78"/>
    <w:rsid w:val="001D3594"/>
    <w:rsid w:val="001D44DD"/>
    <w:rsid w:val="001D6154"/>
    <w:rsid w:val="001D6819"/>
    <w:rsid w:val="001E0E7C"/>
    <w:rsid w:val="001E1FD9"/>
    <w:rsid w:val="001E451E"/>
    <w:rsid w:val="001F1DC8"/>
    <w:rsid w:val="001F3301"/>
    <w:rsid w:val="001F35A6"/>
    <w:rsid w:val="001F4437"/>
    <w:rsid w:val="001F63DC"/>
    <w:rsid w:val="0020394A"/>
    <w:rsid w:val="00205988"/>
    <w:rsid w:val="00205DBF"/>
    <w:rsid w:val="0020795E"/>
    <w:rsid w:val="00211941"/>
    <w:rsid w:val="00214EBB"/>
    <w:rsid w:val="00216EBA"/>
    <w:rsid w:val="00224B3D"/>
    <w:rsid w:val="002256D1"/>
    <w:rsid w:val="00244804"/>
    <w:rsid w:val="00246B5F"/>
    <w:rsid w:val="0025231B"/>
    <w:rsid w:val="0025262A"/>
    <w:rsid w:val="002559F4"/>
    <w:rsid w:val="00260A1E"/>
    <w:rsid w:val="00260C0B"/>
    <w:rsid w:val="00261312"/>
    <w:rsid w:val="002619D9"/>
    <w:rsid w:val="00264775"/>
    <w:rsid w:val="00264B34"/>
    <w:rsid w:val="002650E9"/>
    <w:rsid w:val="00265A2D"/>
    <w:rsid w:val="00272419"/>
    <w:rsid w:val="00275989"/>
    <w:rsid w:val="00277E14"/>
    <w:rsid w:val="00280BE8"/>
    <w:rsid w:val="0028188A"/>
    <w:rsid w:val="00282A93"/>
    <w:rsid w:val="00283A8B"/>
    <w:rsid w:val="00283EB3"/>
    <w:rsid w:val="00284CE9"/>
    <w:rsid w:val="002873F3"/>
    <w:rsid w:val="0028789F"/>
    <w:rsid w:val="002914C7"/>
    <w:rsid w:val="00291940"/>
    <w:rsid w:val="00291AF2"/>
    <w:rsid w:val="0029530D"/>
    <w:rsid w:val="002975FE"/>
    <w:rsid w:val="002A0BFE"/>
    <w:rsid w:val="002A1AC4"/>
    <w:rsid w:val="002A2256"/>
    <w:rsid w:val="002A4F19"/>
    <w:rsid w:val="002A71CE"/>
    <w:rsid w:val="002B0ECE"/>
    <w:rsid w:val="002B2910"/>
    <w:rsid w:val="002B2A8F"/>
    <w:rsid w:val="002B519F"/>
    <w:rsid w:val="002B5761"/>
    <w:rsid w:val="002B76E9"/>
    <w:rsid w:val="002C0407"/>
    <w:rsid w:val="002C2376"/>
    <w:rsid w:val="002C2F8A"/>
    <w:rsid w:val="002C61CF"/>
    <w:rsid w:val="002D2CF8"/>
    <w:rsid w:val="002D46B0"/>
    <w:rsid w:val="002D47BF"/>
    <w:rsid w:val="002D57CA"/>
    <w:rsid w:val="002D5FBC"/>
    <w:rsid w:val="002D7154"/>
    <w:rsid w:val="002D7DA0"/>
    <w:rsid w:val="002E02B6"/>
    <w:rsid w:val="002E5296"/>
    <w:rsid w:val="002E56A4"/>
    <w:rsid w:val="002E6107"/>
    <w:rsid w:val="002E643B"/>
    <w:rsid w:val="002E6FC0"/>
    <w:rsid w:val="002F07C0"/>
    <w:rsid w:val="002F13B2"/>
    <w:rsid w:val="002F3782"/>
    <w:rsid w:val="002F413D"/>
    <w:rsid w:val="002F5E89"/>
    <w:rsid w:val="002F74F3"/>
    <w:rsid w:val="003016FA"/>
    <w:rsid w:val="00312B00"/>
    <w:rsid w:val="00313323"/>
    <w:rsid w:val="0031543F"/>
    <w:rsid w:val="00316808"/>
    <w:rsid w:val="00316FEA"/>
    <w:rsid w:val="003172F3"/>
    <w:rsid w:val="00317818"/>
    <w:rsid w:val="00317CFC"/>
    <w:rsid w:val="003278E3"/>
    <w:rsid w:val="00334843"/>
    <w:rsid w:val="00340E3E"/>
    <w:rsid w:val="0034240F"/>
    <w:rsid w:val="00342FE2"/>
    <w:rsid w:val="0034402D"/>
    <w:rsid w:val="003442C2"/>
    <w:rsid w:val="0035006A"/>
    <w:rsid w:val="003660BF"/>
    <w:rsid w:val="00373A8C"/>
    <w:rsid w:val="00374567"/>
    <w:rsid w:val="003747CF"/>
    <w:rsid w:val="00377742"/>
    <w:rsid w:val="00377E45"/>
    <w:rsid w:val="00380F37"/>
    <w:rsid w:val="00383562"/>
    <w:rsid w:val="0038364B"/>
    <w:rsid w:val="003846EF"/>
    <w:rsid w:val="00385C62"/>
    <w:rsid w:val="00386C78"/>
    <w:rsid w:val="0039160A"/>
    <w:rsid w:val="00393A73"/>
    <w:rsid w:val="00397D8B"/>
    <w:rsid w:val="003A158A"/>
    <w:rsid w:val="003A71E4"/>
    <w:rsid w:val="003A7F2B"/>
    <w:rsid w:val="003B0BCD"/>
    <w:rsid w:val="003B3137"/>
    <w:rsid w:val="003B4CA2"/>
    <w:rsid w:val="003B4FC4"/>
    <w:rsid w:val="003B5074"/>
    <w:rsid w:val="003B56C2"/>
    <w:rsid w:val="003B6541"/>
    <w:rsid w:val="003B7D2E"/>
    <w:rsid w:val="003C0B4E"/>
    <w:rsid w:val="003C2B98"/>
    <w:rsid w:val="003C2BD1"/>
    <w:rsid w:val="003C3115"/>
    <w:rsid w:val="003C52C7"/>
    <w:rsid w:val="003C52D4"/>
    <w:rsid w:val="003D3B28"/>
    <w:rsid w:val="003D5520"/>
    <w:rsid w:val="003D7534"/>
    <w:rsid w:val="003D7860"/>
    <w:rsid w:val="003D7C22"/>
    <w:rsid w:val="003E1B8D"/>
    <w:rsid w:val="003E2256"/>
    <w:rsid w:val="003E4D0F"/>
    <w:rsid w:val="003E590E"/>
    <w:rsid w:val="003E6864"/>
    <w:rsid w:val="003E7A7B"/>
    <w:rsid w:val="003E7DE2"/>
    <w:rsid w:val="003F1486"/>
    <w:rsid w:val="003F4C4C"/>
    <w:rsid w:val="00401667"/>
    <w:rsid w:val="00402FEF"/>
    <w:rsid w:val="00403B02"/>
    <w:rsid w:val="004063CE"/>
    <w:rsid w:val="004079A5"/>
    <w:rsid w:val="00407B73"/>
    <w:rsid w:val="00413E7B"/>
    <w:rsid w:val="00414B72"/>
    <w:rsid w:val="00415CC5"/>
    <w:rsid w:val="00416545"/>
    <w:rsid w:val="00417C64"/>
    <w:rsid w:val="00420E32"/>
    <w:rsid w:val="00421053"/>
    <w:rsid w:val="004215AF"/>
    <w:rsid w:val="00421949"/>
    <w:rsid w:val="00422BF3"/>
    <w:rsid w:val="00423B83"/>
    <w:rsid w:val="00425F6E"/>
    <w:rsid w:val="0043008C"/>
    <w:rsid w:val="0043071F"/>
    <w:rsid w:val="00433E04"/>
    <w:rsid w:val="004350D7"/>
    <w:rsid w:val="00436E66"/>
    <w:rsid w:val="004373D6"/>
    <w:rsid w:val="00440188"/>
    <w:rsid w:val="004430C7"/>
    <w:rsid w:val="004437CA"/>
    <w:rsid w:val="004450C3"/>
    <w:rsid w:val="0044515B"/>
    <w:rsid w:val="00447B1D"/>
    <w:rsid w:val="00450366"/>
    <w:rsid w:val="00451B64"/>
    <w:rsid w:val="00454C17"/>
    <w:rsid w:val="00455ED0"/>
    <w:rsid w:val="00456DA2"/>
    <w:rsid w:val="00456F23"/>
    <w:rsid w:val="00460056"/>
    <w:rsid w:val="00462538"/>
    <w:rsid w:val="004636B2"/>
    <w:rsid w:val="00463A94"/>
    <w:rsid w:val="0046787C"/>
    <w:rsid w:val="00471C6A"/>
    <w:rsid w:val="0047360F"/>
    <w:rsid w:val="00474C3F"/>
    <w:rsid w:val="00474D61"/>
    <w:rsid w:val="00474E4F"/>
    <w:rsid w:val="004806DF"/>
    <w:rsid w:val="004810EA"/>
    <w:rsid w:val="004821DA"/>
    <w:rsid w:val="00483742"/>
    <w:rsid w:val="0048385F"/>
    <w:rsid w:val="00485048"/>
    <w:rsid w:val="00490663"/>
    <w:rsid w:val="0049189D"/>
    <w:rsid w:val="00491A26"/>
    <w:rsid w:val="00492354"/>
    <w:rsid w:val="00492C1F"/>
    <w:rsid w:val="00493A05"/>
    <w:rsid w:val="004968B4"/>
    <w:rsid w:val="00497A1E"/>
    <w:rsid w:val="004A0C36"/>
    <w:rsid w:val="004A0F8A"/>
    <w:rsid w:val="004A355D"/>
    <w:rsid w:val="004A6B99"/>
    <w:rsid w:val="004A7FBD"/>
    <w:rsid w:val="004B385F"/>
    <w:rsid w:val="004B3C3B"/>
    <w:rsid w:val="004B6DC8"/>
    <w:rsid w:val="004C27A6"/>
    <w:rsid w:val="004C2E3F"/>
    <w:rsid w:val="004D0284"/>
    <w:rsid w:val="004D0C5F"/>
    <w:rsid w:val="004D32CD"/>
    <w:rsid w:val="004D44EF"/>
    <w:rsid w:val="004D50FB"/>
    <w:rsid w:val="004D6E83"/>
    <w:rsid w:val="004D783B"/>
    <w:rsid w:val="004E2414"/>
    <w:rsid w:val="004E43F1"/>
    <w:rsid w:val="004E4B77"/>
    <w:rsid w:val="004E5045"/>
    <w:rsid w:val="004E6863"/>
    <w:rsid w:val="004F37C4"/>
    <w:rsid w:val="004F5A0F"/>
    <w:rsid w:val="0050039A"/>
    <w:rsid w:val="00500498"/>
    <w:rsid w:val="005006C2"/>
    <w:rsid w:val="00503295"/>
    <w:rsid w:val="00504407"/>
    <w:rsid w:val="00504894"/>
    <w:rsid w:val="00506090"/>
    <w:rsid w:val="005106EC"/>
    <w:rsid w:val="00511345"/>
    <w:rsid w:val="0051188E"/>
    <w:rsid w:val="0051354A"/>
    <w:rsid w:val="00513C8F"/>
    <w:rsid w:val="005142BC"/>
    <w:rsid w:val="005158CA"/>
    <w:rsid w:val="0051630A"/>
    <w:rsid w:val="00517ECC"/>
    <w:rsid w:val="00521E95"/>
    <w:rsid w:val="00524B43"/>
    <w:rsid w:val="00526615"/>
    <w:rsid w:val="00527733"/>
    <w:rsid w:val="00531DF0"/>
    <w:rsid w:val="00532337"/>
    <w:rsid w:val="005344EA"/>
    <w:rsid w:val="00535098"/>
    <w:rsid w:val="0053606E"/>
    <w:rsid w:val="00536DB4"/>
    <w:rsid w:val="0054303D"/>
    <w:rsid w:val="00544DC1"/>
    <w:rsid w:val="00545438"/>
    <w:rsid w:val="005470F7"/>
    <w:rsid w:val="00551C43"/>
    <w:rsid w:val="00552752"/>
    <w:rsid w:val="00557BB0"/>
    <w:rsid w:val="00560BB8"/>
    <w:rsid w:val="0056163E"/>
    <w:rsid w:val="0056220C"/>
    <w:rsid w:val="0056441E"/>
    <w:rsid w:val="00565BEB"/>
    <w:rsid w:val="00567AF8"/>
    <w:rsid w:val="00567B3D"/>
    <w:rsid w:val="00571147"/>
    <w:rsid w:val="00574A5F"/>
    <w:rsid w:val="00576107"/>
    <w:rsid w:val="0057752C"/>
    <w:rsid w:val="005775C2"/>
    <w:rsid w:val="00580AA7"/>
    <w:rsid w:val="0058371C"/>
    <w:rsid w:val="00592ED3"/>
    <w:rsid w:val="00593B68"/>
    <w:rsid w:val="005948A9"/>
    <w:rsid w:val="00595DB7"/>
    <w:rsid w:val="00595EE8"/>
    <w:rsid w:val="00596521"/>
    <w:rsid w:val="005A24B2"/>
    <w:rsid w:val="005A32F6"/>
    <w:rsid w:val="005A428A"/>
    <w:rsid w:val="005A448A"/>
    <w:rsid w:val="005A65AF"/>
    <w:rsid w:val="005B171F"/>
    <w:rsid w:val="005C283D"/>
    <w:rsid w:val="005D0626"/>
    <w:rsid w:val="005D07D3"/>
    <w:rsid w:val="005D0E5E"/>
    <w:rsid w:val="005D1255"/>
    <w:rsid w:val="005D3108"/>
    <w:rsid w:val="005D54B7"/>
    <w:rsid w:val="005D561B"/>
    <w:rsid w:val="005E014D"/>
    <w:rsid w:val="005E06B6"/>
    <w:rsid w:val="005E34F3"/>
    <w:rsid w:val="005E55DD"/>
    <w:rsid w:val="005E597D"/>
    <w:rsid w:val="005E6DE6"/>
    <w:rsid w:val="005E6FAE"/>
    <w:rsid w:val="005E7724"/>
    <w:rsid w:val="005F0A83"/>
    <w:rsid w:val="005F421E"/>
    <w:rsid w:val="006008BF"/>
    <w:rsid w:val="00601329"/>
    <w:rsid w:val="00602012"/>
    <w:rsid w:val="006023D2"/>
    <w:rsid w:val="00603FF5"/>
    <w:rsid w:val="0060489C"/>
    <w:rsid w:val="00607DE9"/>
    <w:rsid w:val="00612E1E"/>
    <w:rsid w:val="00613979"/>
    <w:rsid w:val="00617C1B"/>
    <w:rsid w:val="006200EB"/>
    <w:rsid w:val="00621C44"/>
    <w:rsid w:val="00622F4E"/>
    <w:rsid w:val="00634A51"/>
    <w:rsid w:val="0063500A"/>
    <w:rsid w:val="006353FC"/>
    <w:rsid w:val="00637578"/>
    <w:rsid w:val="006379B4"/>
    <w:rsid w:val="00637C60"/>
    <w:rsid w:val="00637DC3"/>
    <w:rsid w:val="00643CC6"/>
    <w:rsid w:val="0064404D"/>
    <w:rsid w:val="00645069"/>
    <w:rsid w:val="00646862"/>
    <w:rsid w:val="00647838"/>
    <w:rsid w:val="00653198"/>
    <w:rsid w:val="00655A0A"/>
    <w:rsid w:val="00655AEE"/>
    <w:rsid w:val="00656569"/>
    <w:rsid w:val="0065659E"/>
    <w:rsid w:val="0066001B"/>
    <w:rsid w:val="00660391"/>
    <w:rsid w:val="00661849"/>
    <w:rsid w:val="0066197A"/>
    <w:rsid w:val="00662BFB"/>
    <w:rsid w:val="006633A0"/>
    <w:rsid w:val="00663FC9"/>
    <w:rsid w:val="00664200"/>
    <w:rsid w:val="00664B4F"/>
    <w:rsid w:val="00666856"/>
    <w:rsid w:val="006726F2"/>
    <w:rsid w:val="00673FA9"/>
    <w:rsid w:val="006741D7"/>
    <w:rsid w:val="006743F7"/>
    <w:rsid w:val="00676D14"/>
    <w:rsid w:val="00676E5B"/>
    <w:rsid w:val="00685A4B"/>
    <w:rsid w:val="00686983"/>
    <w:rsid w:val="00691088"/>
    <w:rsid w:val="006938EF"/>
    <w:rsid w:val="00693D80"/>
    <w:rsid w:val="006A025B"/>
    <w:rsid w:val="006A1292"/>
    <w:rsid w:val="006A4F61"/>
    <w:rsid w:val="006A7E5D"/>
    <w:rsid w:val="006B0350"/>
    <w:rsid w:val="006B075B"/>
    <w:rsid w:val="006B07DA"/>
    <w:rsid w:val="006B16ED"/>
    <w:rsid w:val="006B3BED"/>
    <w:rsid w:val="006B3DB7"/>
    <w:rsid w:val="006B49EA"/>
    <w:rsid w:val="006B4D64"/>
    <w:rsid w:val="006B4FBC"/>
    <w:rsid w:val="006B5BD8"/>
    <w:rsid w:val="006C0D5B"/>
    <w:rsid w:val="006C1849"/>
    <w:rsid w:val="006C2972"/>
    <w:rsid w:val="006C3B1E"/>
    <w:rsid w:val="006C3BA8"/>
    <w:rsid w:val="006D0AE0"/>
    <w:rsid w:val="006D6AEE"/>
    <w:rsid w:val="006E1B49"/>
    <w:rsid w:val="006E2ABE"/>
    <w:rsid w:val="006E2FC3"/>
    <w:rsid w:val="006E4996"/>
    <w:rsid w:val="006F06EC"/>
    <w:rsid w:val="006F3CFA"/>
    <w:rsid w:val="006F7449"/>
    <w:rsid w:val="007011A9"/>
    <w:rsid w:val="007013C1"/>
    <w:rsid w:val="00702D81"/>
    <w:rsid w:val="00704BCD"/>
    <w:rsid w:val="00706138"/>
    <w:rsid w:val="007107BA"/>
    <w:rsid w:val="0071140C"/>
    <w:rsid w:val="00711FFB"/>
    <w:rsid w:val="007142DC"/>
    <w:rsid w:val="00714300"/>
    <w:rsid w:val="0072275C"/>
    <w:rsid w:val="00722F61"/>
    <w:rsid w:val="0072401B"/>
    <w:rsid w:val="0072503F"/>
    <w:rsid w:val="00726491"/>
    <w:rsid w:val="00726697"/>
    <w:rsid w:val="00732580"/>
    <w:rsid w:val="007329EA"/>
    <w:rsid w:val="007334F8"/>
    <w:rsid w:val="007356CC"/>
    <w:rsid w:val="007357E3"/>
    <w:rsid w:val="00735D74"/>
    <w:rsid w:val="00735F58"/>
    <w:rsid w:val="00737756"/>
    <w:rsid w:val="007415A3"/>
    <w:rsid w:val="0074667E"/>
    <w:rsid w:val="00750253"/>
    <w:rsid w:val="007510B4"/>
    <w:rsid w:val="00753CD8"/>
    <w:rsid w:val="00755320"/>
    <w:rsid w:val="00760C5E"/>
    <w:rsid w:val="007620A3"/>
    <w:rsid w:val="0076489E"/>
    <w:rsid w:val="00770FCA"/>
    <w:rsid w:val="00774787"/>
    <w:rsid w:val="00781368"/>
    <w:rsid w:val="007816D7"/>
    <w:rsid w:val="00781CF3"/>
    <w:rsid w:val="00782EF0"/>
    <w:rsid w:val="00783638"/>
    <w:rsid w:val="00784361"/>
    <w:rsid w:val="0078564E"/>
    <w:rsid w:val="00786BCD"/>
    <w:rsid w:val="00792494"/>
    <w:rsid w:val="00792E4C"/>
    <w:rsid w:val="00794E29"/>
    <w:rsid w:val="007A5E36"/>
    <w:rsid w:val="007A7616"/>
    <w:rsid w:val="007B1898"/>
    <w:rsid w:val="007B19C1"/>
    <w:rsid w:val="007B2238"/>
    <w:rsid w:val="007C186E"/>
    <w:rsid w:val="007C424A"/>
    <w:rsid w:val="007C43FC"/>
    <w:rsid w:val="007C559A"/>
    <w:rsid w:val="007D036E"/>
    <w:rsid w:val="007D649F"/>
    <w:rsid w:val="007D7DAA"/>
    <w:rsid w:val="007E0CD0"/>
    <w:rsid w:val="007E4038"/>
    <w:rsid w:val="007E6787"/>
    <w:rsid w:val="007E6D43"/>
    <w:rsid w:val="007E704C"/>
    <w:rsid w:val="007E7DC5"/>
    <w:rsid w:val="007F01FA"/>
    <w:rsid w:val="007F1E8F"/>
    <w:rsid w:val="007F3014"/>
    <w:rsid w:val="007F4300"/>
    <w:rsid w:val="007F4873"/>
    <w:rsid w:val="00800BFF"/>
    <w:rsid w:val="00801B54"/>
    <w:rsid w:val="00802A29"/>
    <w:rsid w:val="00803FE7"/>
    <w:rsid w:val="00804FB8"/>
    <w:rsid w:val="00805D0D"/>
    <w:rsid w:val="008063B7"/>
    <w:rsid w:val="008068CF"/>
    <w:rsid w:val="0080745A"/>
    <w:rsid w:val="00810AEC"/>
    <w:rsid w:val="0081126F"/>
    <w:rsid w:val="0081179F"/>
    <w:rsid w:val="00820235"/>
    <w:rsid w:val="00822284"/>
    <w:rsid w:val="008228F4"/>
    <w:rsid w:val="00826F2F"/>
    <w:rsid w:val="008303F2"/>
    <w:rsid w:val="0083136D"/>
    <w:rsid w:val="0083205F"/>
    <w:rsid w:val="008325BE"/>
    <w:rsid w:val="00833243"/>
    <w:rsid w:val="00833D5B"/>
    <w:rsid w:val="00833ECD"/>
    <w:rsid w:val="008356AC"/>
    <w:rsid w:val="00840895"/>
    <w:rsid w:val="00846FCB"/>
    <w:rsid w:val="00850535"/>
    <w:rsid w:val="00850F42"/>
    <w:rsid w:val="00851C50"/>
    <w:rsid w:val="00852AF7"/>
    <w:rsid w:val="00853A0F"/>
    <w:rsid w:val="00855C7F"/>
    <w:rsid w:val="00856212"/>
    <w:rsid w:val="00863415"/>
    <w:rsid w:val="008658C0"/>
    <w:rsid w:val="008669DE"/>
    <w:rsid w:val="00867E15"/>
    <w:rsid w:val="0087114F"/>
    <w:rsid w:val="00877539"/>
    <w:rsid w:val="008812C4"/>
    <w:rsid w:val="00883EF9"/>
    <w:rsid w:val="00885099"/>
    <w:rsid w:val="008921CA"/>
    <w:rsid w:val="0089329B"/>
    <w:rsid w:val="00894B98"/>
    <w:rsid w:val="008968B4"/>
    <w:rsid w:val="008A00E5"/>
    <w:rsid w:val="008A1BDA"/>
    <w:rsid w:val="008A6315"/>
    <w:rsid w:val="008A7621"/>
    <w:rsid w:val="008A7AAF"/>
    <w:rsid w:val="008B1166"/>
    <w:rsid w:val="008B1C9F"/>
    <w:rsid w:val="008B23D0"/>
    <w:rsid w:val="008B37A1"/>
    <w:rsid w:val="008B386D"/>
    <w:rsid w:val="008B4064"/>
    <w:rsid w:val="008B6BFB"/>
    <w:rsid w:val="008C0198"/>
    <w:rsid w:val="008C15F5"/>
    <w:rsid w:val="008C1F78"/>
    <w:rsid w:val="008D0219"/>
    <w:rsid w:val="008D1087"/>
    <w:rsid w:val="008D36B9"/>
    <w:rsid w:val="008D3A47"/>
    <w:rsid w:val="008D3AA2"/>
    <w:rsid w:val="008D4E91"/>
    <w:rsid w:val="008D5ED9"/>
    <w:rsid w:val="008E144D"/>
    <w:rsid w:val="008E1EF8"/>
    <w:rsid w:val="008E64A4"/>
    <w:rsid w:val="008E775C"/>
    <w:rsid w:val="008F0FE1"/>
    <w:rsid w:val="008F48A3"/>
    <w:rsid w:val="008F631D"/>
    <w:rsid w:val="008F774A"/>
    <w:rsid w:val="009004C4"/>
    <w:rsid w:val="009014E6"/>
    <w:rsid w:val="00902064"/>
    <w:rsid w:val="00903BC5"/>
    <w:rsid w:val="00906C88"/>
    <w:rsid w:val="009077B0"/>
    <w:rsid w:val="00911A65"/>
    <w:rsid w:val="00920E7B"/>
    <w:rsid w:val="009212D5"/>
    <w:rsid w:val="00921A52"/>
    <w:rsid w:val="00921AAE"/>
    <w:rsid w:val="00924B9F"/>
    <w:rsid w:val="009266EA"/>
    <w:rsid w:val="009301EC"/>
    <w:rsid w:val="0093066E"/>
    <w:rsid w:val="00932D06"/>
    <w:rsid w:val="00933FDE"/>
    <w:rsid w:val="00935A56"/>
    <w:rsid w:val="0093607D"/>
    <w:rsid w:val="00946A32"/>
    <w:rsid w:val="00947296"/>
    <w:rsid w:val="009565DD"/>
    <w:rsid w:val="00957770"/>
    <w:rsid w:val="00957B20"/>
    <w:rsid w:val="00961B58"/>
    <w:rsid w:val="00962C2B"/>
    <w:rsid w:val="009646B1"/>
    <w:rsid w:val="0096510D"/>
    <w:rsid w:val="00966042"/>
    <w:rsid w:val="00966BE4"/>
    <w:rsid w:val="00966C4F"/>
    <w:rsid w:val="009700BF"/>
    <w:rsid w:val="00970DBB"/>
    <w:rsid w:val="00973D8F"/>
    <w:rsid w:val="009743A6"/>
    <w:rsid w:val="009766BD"/>
    <w:rsid w:val="00983243"/>
    <w:rsid w:val="009873C4"/>
    <w:rsid w:val="00987829"/>
    <w:rsid w:val="009900EE"/>
    <w:rsid w:val="009914BA"/>
    <w:rsid w:val="00995525"/>
    <w:rsid w:val="00995BAB"/>
    <w:rsid w:val="009A03BF"/>
    <w:rsid w:val="009A158E"/>
    <w:rsid w:val="009A322F"/>
    <w:rsid w:val="009A3690"/>
    <w:rsid w:val="009A3B31"/>
    <w:rsid w:val="009A40AB"/>
    <w:rsid w:val="009A43A3"/>
    <w:rsid w:val="009A51A2"/>
    <w:rsid w:val="009A5C41"/>
    <w:rsid w:val="009A6ACB"/>
    <w:rsid w:val="009A6B5C"/>
    <w:rsid w:val="009A7188"/>
    <w:rsid w:val="009B2181"/>
    <w:rsid w:val="009B3E6D"/>
    <w:rsid w:val="009B49BA"/>
    <w:rsid w:val="009B558C"/>
    <w:rsid w:val="009B5ABE"/>
    <w:rsid w:val="009C436A"/>
    <w:rsid w:val="009C6DA8"/>
    <w:rsid w:val="009D0F0F"/>
    <w:rsid w:val="009D1D18"/>
    <w:rsid w:val="009D1DB6"/>
    <w:rsid w:val="009D2058"/>
    <w:rsid w:val="009D2CB0"/>
    <w:rsid w:val="009D3BA7"/>
    <w:rsid w:val="009D42C3"/>
    <w:rsid w:val="009D50F8"/>
    <w:rsid w:val="009E2A6F"/>
    <w:rsid w:val="009E3AC5"/>
    <w:rsid w:val="009E4155"/>
    <w:rsid w:val="009E48E7"/>
    <w:rsid w:val="009E5297"/>
    <w:rsid w:val="009F06AA"/>
    <w:rsid w:val="009F2BFC"/>
    <w:rsid w:val="009F4285"/>
    <w:rsid w:val="009F6FCF"/>
    <w:rsid w:val="00A02879"/>
    <w:rsid w:val="00A03E9B"/>
    <w:rsid w:val="00A04381"/>
    <w:rsid w:val="00A04C8D"/>
    <w:rsid w:val="00A06501"/>
    <w:rsid w:val="00A13A6F"/>
    <w:rsid w:val="00A13C0C"/>
    <w:rsid w:val="00A14A22"/>
    <w:rsid w:val="00A15936"/>
    <w:rsid w:val="00A175A1"/>
    <w:rsid w:val="00A17839"/>
    <w:rsid w:val="00A17E7E"/>
    <w:rsid w:val="00A22631"/>
    <w:rsid w:val="00A242F8"/>
    <w:rsid w:val="00A25B03"/>
    <w:rsid w:val="00A26C80"/>
    <w:rsid w:val="00A31DDA"/>
    <w:rsid w:val="00A32723"/>
    <w:rsid w:val="00A34B42"/>
    <w:rsid w:val="00A365D1"/>
    <w:rsid w:val="00A36BEF"/>
    <w:rsid w:val="00A36EDF"/>
    <w:rsid w:val="00A37F70"/>
    <w:rsid w:val="00A40D51"/>
    <w:rsid w:val="00A4166F"/>
    <w:rsid w:val="00A444FC"/>
    <w:rsid w:val="00A453BF"/>
    <w:rsid w:val="00A4668E"/>
    <w:rsid w:val="00A502CB"/>
    <w:rsid w:val="00A5058B"/>
    <w:rsid w:val="00A515D7"/>
    <w:rsid w:val="00A54AC3"/>
    <w:rsid w:val="00A5730B"/>
    <w:rsid w:val="00A6517B"/>
    <w:rsid w:val="00A65BEA"/>
    <w:rsid w:val="00A66004"/>
    <w:rsid w:val="00A67793"/>
    <w:rsid w:val="00A72962"/>
    <w:rsid w:val="00A74176"/>
    <w:rsid w:val="00A74B02"/>
    <w:rsid w:val="00A75307"/>
    <w:rsid w:val="00A813A7"/>
    <w:rsid w:val="00A82581"/>
    <w:rsid w:val="00A8312C"/>
    <w:rsid w:val="00A83BD6"/>
    <w:rsid w:val="00A87691"/>
    <w:rsid w:val="00A91039"/>
    <w:rsid w:val="00A9217D"/>
    <w:rsid w:val="00A92C78"/>
    <w:rsid w:val="00A9454B"/>
    <w:rsid w:val="00A9466C"/>
    <w:rsid w:val="00A956FA"/>
    <w:rsid w:val="00AA3B70"/>
    <w:rsid w:val="00AA5B23"/>
    <w:rsid w:val="00AB1289"/>
    <w:rsid w:val="00AB283A"/>
    <w:rsid w:val="00AB3168"/>
    <w:rsid w:val="00AB3E8B"/>
    <w:rsid w:val="00AB49DF"/>
    <w:rsid w:val="00AB510A"/>
    <w:rsid w:val="00AB56E1"/>
    <w:rsid w:val="00AC099A"/>
    <w:rsid w:val="00AC0D6D"/>
    <w:rsid w:val="00AC3C71"/>
    <w:rsid w:val="00AC43BF"/>
    <w:rsid w:val="00AC4724"/>
    <w:rsid w:val="00AC496E"/>
    <w:rsid w:val="00AC6E54"/>
    <w:rsid w:val="00AC7E87"/>
    <w:rsid w:val="00AD1F88"/>
    <w:rsid w:val="00AD23B9"/>
    <w:rsid w:val="00AD7668"/>
    <w:rsid w:val="00AD782F"/>
    <w:rsid w:val="00AE000F"/>
    <w:rsid w:val="00AE0023"/>
    <w:rsid w:val="00AE316C"/>
    <w:rsid w:val="00AE414F"/>
    <w:rsid w:val="00AE52D8"/>
    <w:rsid w:val="00AF00A4"/>
    <w:rsid w:val="00AF07A0"/>
    <w:rsid w:val="00AF1341"/>
    <w:rsid w:val="00AF493A"/>
    <w:rsid w:val="00AF4F1F"/>
    <w:rsid w:val="00AF5175"/>
    <w:rsid w:val="00AF6CC3"/>
    <w:rsid w:val="00B001C2"/>
    <w:rsid w:val="00B00F76"/>
    <w:rsid w:val="00B03931"/>
    <w:rsid w:val="00B04180"/>
    <w:rsid w:val="00B04D05"/>
    <w:rsid w:val="00B05B69"/>
    <w:rsid w:val="00B0703A"/>
    <w:rsid w:val="00B12D7B"/>
    <w:rsid w:val="00B1303F"/>
    <w:rsid w:val="00B14E83"/>
    <w:rsid w:val="00B163FC"/>
    <w:rsid w:val="00B2178C"/>
    <w:rsid w:val="00B23E29"/>
    <w:rsid w:val="00B3043B"/>
    <w:rsid w:val="00B307AB"/>
    <w:rsid w:val="00B31D91"/>
    <w:rsid w:val="00B329E4"/>
    <w:rsid w:val="00B33711"/>
    <w:rsid w:val="00B3474A"/>
    <w:rsid w:val="00B361B6"/>
    <w:rsid w:val="00B400D9"/>
    <w:rsid w:val="00B403FC"/>
    <w:rsid w:val="00B40BF9"/>
    <w:rsid w:val="00B447BA"/>
    <w:rsid w:val="00B474C2"/>
    <w:rsid w:val="00B52FCB"/>
    <w:rsid w:val="00B546C3"/>
    <w:rsid w:val="00B57F74"/>
    <w:rsid w:val="00B60189"/>
    <w:rsid w:val="00B60A92"/>
    <w:rsid w:val="00B6108D"/>
    <w:rsid w:val="00B65A77"/>
    <w:rsid w:val="00B6687F"/>
    <w:rsid w:val="00B66C72"/>
    <w:rsid w:val="00B77B86"/>
    <w:rsid w:val="00B8228D"/>
    <w:rsid w:val="00B83BCD"/>
    <w:rsid w:val="00B8691D"/>
    <w:rsid w:val="00B92945"/>
    <w:rsid w:val="00B92E35"/>
    <w:rsid w:val="00B94647"/>
    <w:rsid w:val="00BA0F45"/>
    <w:rsid w:val="00BA10FA"/>
    <w:rsid w:val="00BA129C"/>
    <w:rsid w:val="00BA3775"/>
    <w:rsid w:val="00BA4BD5"/>
    <w:rsid w:val="00BB1181"/>
    <w:rsid w:val="00BB2BFB"/>
    <w:rsid w:val="00BC3AA2"/>
    <w:rsid w:val="00BC46CF"/>
    <w:rsid w:val="00BC79C3"/>
    <w:rsid w:val="00BE10C4"/>
    <w:rsid w:val="00BE1461"/>
    <w:rsid w:val="00BE2929"/>
    <w:rsid w:val="00BE3954"/>
    <w:rsid w:val="00BE7BFB"/>
    <w:rsid w:val="00BF1257"/>
    <w:rsid w:val="00BF642F"/>
    <w:rsid w:val="00C04EDA"/>
    <w:rsid w:val="00C07FE4"/>
    <w:rsid w:val="00C1173D"/>
    <w:rsid w:val="00C1317F"/>
    <w:rsid w:val="00C1372C"/>
    <w:rsid w:val="00C16078"/>
    <w:rsid w:val="00C20B32"/>
    <w:rsid w:val="00C21AFD"/>
    <w:rsid w:val="00C23646"/>
    <w:rsid w:val="00C26185"/>
    <w:rsid w:val="00C27D77"/>
    <w:rsid w:val="00C32155"/>
    <w:rsid w:val="00C364B0"/>
    <w:rsid w:val="00C41E70"/>
    <w:rsid w:val="00C42242"/>
    <w:rsid w:val="00C435EA"/>
    <w:rsid w:val="00C458F6"/>
    <w:rsid w:val="00C45A5C"/>
    <w:rsid w:val="00C50973"/>
    <w:rsid w:val="00C5251E"/>
    <w:rsid w:val="00C5393C"/>
    <w:rsid w:val="00C54B34"/>
    <w:rsid w:val="00C57046"/>
    <w:rsid w:val="00C611D4"/>
    <w:rsid w:val="00C616E6"/>
    <w:rsid w:val="00C61AB9"/>
    <w:rsid w:val="00C61CF4"/>
    <w:rsid w:val="00C62D1C"/>
    <w:rsid w:val="00C65E72"/>
    <w:rsid w:val="00C7024B"/>
    <w:rsid w:val="00C73CEC"/>
    <w:rsid w:val="00C748B2"/>
    <w:rsid w:val="00C74DEE"/>
    <w:rsid w:val="00C759C5"/>
    <w:rsid w:val="00C759D1"/>
    <w:rsid w:val="00C80021"/>
    <w:rsid w:val="00C8629C"/>
    <w:rsid w:val="00C87E47"/>
    <w:rsid w:val="00C904A3"/>
    <w:rsid w:val="00C91FB4"/>
    <w:rsid w:val="00C94F6C"/>
    <w:rsid w:val="00C95FFD"/>
    <w:rsid w:val="00C97A75"/>
    <w:rsid w:val="00C97DDA"/>
    <w:rsid w:val="00CA1AB8"/>
    <w:rsid w:val="00CA4E0E"/>
    <w:rsid w:val="00CA6BB3"/>
    <w:rsid w:val="00CB0429"/>
    <w:rsid w:val="00CB165A"/>
    <w:rsid w:val="00CB2978"/>
    <w:rsid w:val="00CB2A31"/>
    <w:rsid w:val="00CB4C48"/>
    <w:rsid w:val="00CB521A"/>
    <w:rsid w:val="00CC12B3"/>
    <w:rsid w:val="00CC1F2D"/>
    <w:rsid w:val="00CC4F3F"/>
    <w:rsid w:val="00CC6493"/>
    <w:rsid w:val="00CD1C73"/>
    <w:rsid w:val="00CD41A9"/>
    <w:rsid w:val="00CD5987"/>
    <w:rsid w:val="00CD727B"/>
    <w:rsid w:val="00CE0AA1"/>
    <w:rsid w:val="00CE37D8"/>
    <w:rsid w:val="00CE5717"/>
    <w:rsid w:val="00CE6527"/>
    <w:rsid w:val="00CE67B8"/>
    <w:rsid w:val="00CF1AE9"/>
    <w:rsid w:val="00CF2286"/>
    <w:rsid w:val="00CF2EE6"/>
    <w:rsid w:val="00CF60E2"/>
    <w:rsid w:val="00CF6BBF"/>
    <w:rsid w:val="00CF7BE8"/>
    <w:rsid w:val="00D0245E"/>
    <w:rsid w:val="00D07826"/>
    <w:rsid w:val="00D100FA"/>
    <w:rsid w:val="00D104A4"/>
    <w:rsid w:val="00D14CE4"/>
    <w:rsid w:val="00D15AD5"/>
    <w:rsid w:val="00D17F28"/>
    <w:rsid w:val="00D17F6C"/>
    <w:rsid w:val="00D26B28"/>
    <w:rsid w:val="00D30195"/>
    <w:rsid w:val="00D32F77"/>
    <w:rsid w:val="00D344F8"/>
    <w:rsid w:val="00D37ED2"/>
    <w:rsid w:val="00D4022D"/>
    <w:rsid w:val="00D4090C"/>
    <w:rsid w:val="00D4305E"/>
    <w:rsid w:val="00D4338D"/>
    <w:rsid w:val="00D4433E"/>
    <w:rsid w:val="00D46A63"/>
    <w:rsid w:val="00D5036C"/>
    <w:rsid w:val="00D515B1"/>
    <w:rsid w:val="00D52C34"/>
    <w:rsid w:val="00D56281"/>
    <w:rsid w:val="00D572AF"/>
    <w:rsid w:val="00D579BB"/>
    <w:rsid w:val="00D65880"/>
    <w:rsid w:val="00D65941"/>
    <w:rsid w:val="00D704A9"/>
    <w:rsid w:val="00D72A20"/>
    <w:rsid w:val="00D75DC3"/>
    <w:rsid w:val="00D76FA2"/>
    <w:rsid w:val="00D8231E"/>
    <w:rsid w:val="00D82A3C"/>
    <w:rsid w:val="00D84F5A"/>
    <w:rsid w:val="00D8500D"/>
    <w:rsid w:val="00D90200"/>
    <w:rsid w:val="00D9091D"/>
    <w:rsid w:val="00D923C1"/>
    <w:rsid w:val="00D9445E"/>
    <w:rsid w:val="00D95A58"/>
    <w:rsid w:val="00DA003F"/>
    <w:rsid w:val="00DA0B28"/>
    <w:rsid w:val="00DA3305"/>
    <w:rsid w:val="00DA47EA"/>
    <w:rsid w:val="00DA74CD"/>
    <w:rsid w:val="00DB1F1C"/>
    <w:rsid w:val="00DB29DB"/>
    <w:rsid w:val="00DC2995"/>
    <w:rsid w:val="00DC49F9"/>
    <w:rsid w:val="00DC52F8"/>
    <w:rsid w:val="00DC63E5"/>
    <w:rsid w:val="00DC6916"/>
    <w:rsid w:val="00DC6B86"/>
    <w:rsid w:val="00DD08BB"/>
    <w:rsid w:val="00DD1D67"/>
    <w:rsid w:val="00DD31DF"/>
    <w:rsid w:val="00DD465C"/>
    <w:rsid w:val="00DE0F68"/>
    <w:rsid w:val="00DE288F"/>
    <w:rsid w:val="00DE5B4D"/>
    <w:rsid w:val="00DF6107"/>
    <w:rsid w:val="00DF632B"/>
    <w:rsid w:val="00E02A89"/>
    <w:rsid w:val="00E061F0"/>
    <w:rsid w:val="00E07CC9"/>
    <w:rsid w:val="00E13AED"/>
    <w:rsid w:val="00E14925"/>
    <w:rsid w:val="00E15E81"/>
    <w:rsid w:val="00E17A0A"/>
    <w:rsid w:val="00E17CC5"/>
    <w:rsid w:val="00E216DC"/>
    <w:rsid w:val="00E219C7"/>
    <w:rsid w:val="00E21A41"/>
    <w:rsid w:val="00E21BFF"/>
    <w:rsid w:val="00E22740"/>
    <w:rsid w:val="00E23480"/>
    <w:rsid w:val="00E23B97"/>
    <w:rsid w:val="00E24B5E"/>
    <w:rsid w:val="00E2521C"/>
    <w:rsid w:val="00E259A1"/>
    <w:rsid w:val="00E328F4"/>
    <w:rsid w:val="00E33B33"/>
    <w:rsid w:val="00E35E59"/>
    <w:rsid w:val="00E40D4A"/>
    <w:rsid w:val="00E44659"/>
    <w:rsid w:val="00E44934"/>
    <w:rsid w:val="00E46F82"/>
    <w:rsid w:val="00E50935"/>
    <w:rsid w:val="00E5242E"/>
    <w:rsid w:val="00E539A3"/>
    <w:rsid w:val="00E53E2D"/>
    <w:rsid w:val="00E542ED"/>
    <w:rsid w:val="00E549CD"/>
    <w:rsid w:val="00E62438"/>
    <w:rsid w:val="00E62FE3"/>
    <w:rsid w:val="00E6511D"/>
    <w:rsid w:val="00E65551"/>
    <w:rsid w:val="00E70816"/>
    <w:rsid w:val="00E717FC"/>
    <w:rsid w:val="00E725EC"/>
    <w:rsid w:val="00E7485D"/>
    <w:rsid w:val="00E76533"/>
    <w:rsid w:val="00E8269A"/>
    <w:rsid w:val="00E835FF"/>
    <w:rsid w:val="00E8376F"/>
    <w:rsid w:val="00E8558E"/>
    <w:rsid w:val="00E87790"/>
    <w:rsid w:val="00E91E0D"/>
    <w:rsid w:val="00E959B7"/>
    <w:rsid w:val="00E9733F"/>
    <w:rsid w:val="00EA32C8"/>
    <w:rsid w:val="00EA5B26"/>
    <w:rsid w:val="00EA73FD"/>
    <w:rsid w:val="00EA7AB8"/>
    <w:rsid w:val="00EB0CA7"/>
    <w:rsid w:val="00EB1833"/>
    <w:rsid w:val="00EB2C82"/>
    <w:rsid w:val="00EB4978"/>
    <w:rsid w:val="00EB6217"/>
    <w:rsid w:val="00EB68DA"/>
    <w:rsid w:val="00EC07FE"/>
    <w:rsid w:val="00EC1E9C"/>
    <w:rsid w:val="00EC5207"/>
    <w:rsid w:val="00EC6984"/>
    <w:rsid w:val="00ED0BE6"/>
    <w:rsid w:val="00ED4078"/>
    <w:rsid w:val="00EE1D9C"/>
    <w:rsid w:val="00EE2330"/>
    <w:rsid w:val="00EE4401"/>
    <w:rsid w:val="00EE52B0"/>
    <w:rsid w:val="00EF3971"/>
    <w:rsid w:val="00EF3F76"/>
    <w:rsid w:val="00EF678F"/>
    <w:rsid w:val="00EF773E"/>
    <w:rsid w:val="00F011CD"/>
    <w:rsid w:val="00F03DE8"/>
    <w:rsid w:val="00F03FCD"/>
    <w:rsid w:val="00F04C95"/>
    <w:rsid w:val="00F04CC3"/>
    <w:rsid w:val="00F05198"/>
    <w:rsid w:val="00F054B3"/>
    <w:rsid w:val="00F056B8"/>
    <w:rsid w:val="00F06C33"/>
    <w:rsid w:val="00F07E6C"/>
    <w:rsid w:val="00F12FAB"/>
    <w:rsid w:val="00F20000"/>
    <w:rsid w:val="00F20065"/>
    <w:rsid w:val="00F20DD3"/>
    <w:rsid w:val="00F2202A"/>
    <w:rsid w:val="00F24D3A"/>
    <w:rsid w:val="00F275C6"/>
    <w:rsid w:val="00F27848"/>
    <w:rsid w:val="00F33A42"/>
    <w:rsid w:val="00F3635A"/>
    <w:rsid w:val="00F36BBD"/>
    <w:rsid w:val="00F42690"/>
    <w:rsid w:val="00F43C9F"/>
    <w:rsid w:val="00F458E0"/>
    <w:rsid w:val="00F46D6E"/>
    <w:rsid w:val="00F473CA"/>
    <w:rsid w:val="00F478BD"/>
    <w:rsid w:val="00F478C5"/>
    <w:rsid w:val="00F47D0D"/>
    <w:rsid w:val="00F52747"/>
    <w:rsid w:val="00F52BB0"/>
    <w:rsid w:val="00F53ADE"/>
    <w:rsid w:val="00F56A9A"/>
    <w:rsid w:val="00F607F1"/>
    <w:rsid w:val="00F608B0"/>
    <w:rsid w:val="00F6419F"/>
    <w:rsid w:val="00F64A5F"/>
    <w:rsid w:val="00F64AD5"/>
    <w:rsid w:val="00F658F6"/>
    <w:rsid w:val="00F67AD6"/>
    <w:rsid w:val="00F7060C"/>
    <w:rsid w:val="00F74DBB"/>
    <w:rsid w:val="00F7561A"/>
    <w:rsid w:val="00F816BD"/>
    <w:rsid w:val="00F81B25"/>
    <w:rsid w:val="00F826F6"/>
    <w:rsid w:val="00F900E7"/>
    <w:rsid w:val="00F91163"/>
    <w:rsid w:val="00F95328"/>
    <w:rsid w:val="00FA154D"/>
    <w:rsid w:val="00FA1C5B"/>
    <w:rsid w:val="00FA4783"/>
    <w:rsid w:val="00FA5D6D"/>
    <w:rsid w:val="00FA713F"/>
    <w:rsid w:val="00FB03C1"/>
    <w:rsid w:val="00FB1304"/>
    <w:rsid w:val="00FB34CC"/>
    <w:rsid w:val="00FB77AF"/>
    <w:rsid w:val="00FC13D9"/>
    <w:rsid w:val="00FC2768"/>
    <w:rsid w:val="00FD2119"/>
    <w:rsid w:val="00FD22CD"/>
    <w:rsid w:val="00FD286F"/>
    <w:rsid w:val="00FE0EF2"/>
    <w:rsid w:val="00FE1447"/>
    <w:rsid w:val="00FE25F2"/>
    <w:rsid w:val="00FE3F5B"/>
    <w:rsid w:val="00FE3FB9"/>
    <w:rsid w:val="00FF063C"/>
    <w:rsid w:val="00FF1E80"/>
    <w:rsid w:val="00FF2F93"/>
    <w:rsid w:val="00FF544E"/>
    <w:rsid w:val="00FF56D2"/>
    <w:rsid w:val="00FF5CFE"/>
    <w:rsid w:val="00FF5E12"/>
    <w:rsid w:val="250888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DA94EF9"/>
  <w15:docId w15:val="{77528ED5-1D6D-493C-8D1C-7493D8D0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6D2"/>
    <w:rPr>
      <w:sz w:val="24"/>
      <w:szCs w:val="24"/>
      <w:lang w:eastAsia="en-US"/>
    </w:rPr>
  </w:style>
  <w:style w:type="paragraph" w:styleId="Heading1">
    <w:name w:val="heading 1"/>
    <w:aliases w:val="Attribute Heading 1,h1,Attribute Heading 11,Attribute Heading 12,Attribute Heading 13,Attribute Heading 14,Attribute Heading 15,Attribute Heading 16,Attribute Heading 17,Attribute Heading 18,Attribute Heading 111,Attribute Heading 121"/>
    <w:basedOn w:val="Normal"/>
    <w:next w:val="Normal"/>
    <w:qFormat/>
    <w:rsid w:val="00FF56D2"/>
    <w:pPr>
      <w:keepNext/>
      <w:outlineLvl w:val="0"/>
    </w:pPr>
    <w:rPr>
      <w:b/>
      <w:bCs/>
      <w:lang w:val="en-US"/>
    </w:rPr>
  </w:style>
  <w:style w:type="paragraph" w:styleId="Heading2">
    <w:name w:val="heading 2"/>
    <w:basedOn w:val="Normal"/>
    <w:next w:val="Normal"/>
    <w:qFormat/>
    <w:rsid w:val="00FF56D2"/>
    <w:pPr>
      <w:keepNext/>
      <w:spacing w:before="240" w:after="60"/>
      <w:outlineLvl w:val="1"/>
    </w:pPr>
    <w:rPr>
      <w:rFonts w:ascii="Arial" w:hAnsi="Arial" w:cs="Arial"/>
      <w:b/>
      <w:bCs/>
      <w:i/>
      <w:iCs/>
      <w:sz w:val="28"/>
      <w:szCs w:val="28"/>
    </w:rPr>
  </w:style>
  <w:style w:type="paragraph" w:styleId="Heading3">
    <w:name w:val="heading 3"/>
    <w:aliases w:val="h3,3,l3,Level 3 Head,HeadSmall,h31,31,l31,Level 3 Head1,H31,HeadSmall1,h32,32,l32,Level 3 Head2,H32,HeadSmall2,h33,33,l33,Level 3 Head3,H33,HeadSmall3,heading 31,Level 1 - 1,C Sub-Sub/Italic,h34,34,l34,Level 3 Head4,H34,heading 3,HeadSmall4"/>
    <w:basedOn w:val="Normal"/>
    <w:next w:val="Normal"/>
    <w:qFormat/>
    <w:rsid w:val="00FF56D2"/>
    <w:pPr>
      <w:keepNext/>
      <w:spacing w:before="240" w:after="60"/>
      <w:outlineLvl w:val="2"/>
    </w:pPr>
  </w:style>
  <w:style w:type="paragraph" w:styleId="Heading4">
    <w:name w:val="heading 4"/>
    <w:aliases w:val="Map Title"/>
    <w:basedOn w:val="Normal"/>
    <w:next w:val="Normal"/>
    <w:qFormat/>
    <w:rsid w:val="00FF56D2"/>
    <w:pPr>
      <w:keepNext/>
      <w:spacing w:before="240" w:after="60"/>
      <w:outlineLvl w:val="3"/>
    </w:pPr>
    <w:rPr>
      <w:b/>
      <w:bCs/>
      <w:sz w:val="28"/>
      <w:szCs w:val="28"/>
    </w:rPr>
  </w:style>
  <w:style w:type="paragraph" w:styleId="Heading5">
    <w:name w:val="heading 5"/>
    <w:basedOn w:val="Normal"/>
    <w:next w:val="Normal"/>
    <w:qFormat/>
    <w:rsid w:val="00FF56D2"/>
    <w:pPr>
      <w:keepLines/>
      <w:spacing w:before="120"/>
      <w:ind w:left="1985"/>
      <w:outlineLvl w:val="4"/>
    </w:pPr>
    <w:rPr>
      <w:b/>
      <w:bCs/>
      <w:i/>
      <w:iCs/>
      <w:sz w:val="22"/>
      <w:szCs w:val="22"/>
      <w:lang w:val="en-GB"/>
    </w:rPr>
  </w:style>
  <w:style w:type="paragraph" w:styleId="Heading6">
    <w:name w:val="heading 6"/>
    <w:basedOn w:val="Normal"/>
    <w:next w:val="Normal"/>
    <w:qFormat/>
    <w:rsid w:val="00FF56D2"/>
    <w:pPr>
      <w:spacing w:before="240" w:after="60"/>
      <w:outlineLvl w:val="5"/>
    </w:pPr>
    <w:rPr>
      <w:b/>
      <w:bCs/>
      <w:sz w:val="22"/>
      <w:szCs w:val="22"/>
    </w:rPr>
  </w:style>
  <w:style w:type="paragraph" w:styleId="Heading7">
    <w:name w:val="heading 7"/>
    <w:basedOn w:val="Normal"/>
    <w:next w:val="Normal"/>
    <w:qFormat/>
    <w:rsid w:val="00FF56D2"/>
    <w:pPr>
      <w:keepNext/>
      <w:ind w:left="851"/>
      <w:outlineLvl w:val="6"/>
    </w:pPr>
    <w:rPr>
      <w:b/>
      <w:i/>
      <w:sz w:val="22"/>
      <w:szCs w:val="20"/>
      <w:lang w:val="en-GB"/>
    </w:rPr>
  </w:style>
  <w:style w:type="paragraph" w:styleId="Heading8">
    <w:name w:val="heading 8"/>
    <w:basedOn w:val="Normal"/>
    <w:next w:val="Normal"/>
    <w:qFormat/>
    <w:rsid w:val="00FF56D2"/>
    <w:pPr>
      <w:keepNext/>
      <w:outlineLvl w:val="7"/>
    </w:pPr>
    <w:rPr>
      <w:i/>
      <w:sz w:val="18"/>
    </w:rPr>
  </w:style>
  <w:style w:type="paragraph" w:styleId="Heading9">
    <w:name w:val="heading 9"/>
    <w:basedOn w:val="Normal"/>
    <w:next w:val="Normal"/>
    <w:qFormat/>
    <w:rsid w:val="00FF56D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56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pPr>
    <w:rPr>
      <w:snapToGrid w:val="0"/>
      <w:color w:val="000000"/>
      <w:szCs w:val="20"/>
      <w:u w:val="single"/>
    </w:rPr>
  </w:style>
  <w:style w:type="paragraph" w:styleId="BodyText2">
    <w:name w:val="Body Text 2"/>
    <w:basedOn w:val="Normal"/>
    <w:rsid w:val="00FF56D2"/>
    <w:pPr>
      <w:spacing w:before="120" w:after="120"/>
      <w:jc w:val="center"/>
    </w:pPr>
    <w:rPr>
      <w:sz w:val="22"/>
      <w:lang w:val="en-US"/>
    </w:rPr>
  </w:style>
  <w:style w:type="paragraph" w:customStyle="1" w:styleId="ParaNumbering">
    <w:name w:val="Para Numbering"/>
    <w:basedOn w:val="Normal"/>
    <w:rsid w:val="00FF56D2"/>
    <w:pPr>
      <w:tabs>
        <w:tab w:val="left" w:pos="567"/>
      </w:tabs>
      <w:spacing w:after="200"/>
    </w:pPr>
    <w:rPr>
      <w:szCs w:val="20"/>
    </w:rPr>
  </w:style>
  <w:style w:type="paragraph" w:customStyle="1" w:styleId="ExplanatoryGuidance">
    <w:name w:val="Explanatory Guidance"/>
    <w:basedOn w:val="Normal"/>
    <w:rsid w:val="00FF56D2"/>
    <w:pPr>
      <w:keepNext/>
      <w:spacing w:before="200"/>
    </w:pPr>
    <w:rPr>
      <w:rFonts w:ascii="Arial" w:hAnsi="Arial"/>
      <w:szCs w:val="20"/>
      <w:lang w:val="en-GB"/>
    </w:rPr>
  </w:style>
  <w:style w:type="paragraph" w:customStyle="1" w:styleId="AmendmentHeading">
    <w:name w:val="Amendment Heading"/>
    <w:basedOn w:val="Normal"/>
    <w:rsid w:val="00FF56D2"/>
    <w:pPr>
      <w:numPr>
        <w:ilvl w:val="3"/>
        <w:numId w:val="1"/>
      </w:numPr>
      <w:tabs>
        <w:tab w:val="clear" w:pos="3240"/>
        <w:tab w:val="num" w:pos="800"/>
      </w:tabs>
      <w:spacing w:before="120"/>
      <w:ind w:left="499" w:hanging="357"/>
    </w:pPr>
    <w:rPr>
      <w:b/>
      <w:bCs/>
    </w:rPr>
  </w:style>
  <w:style w:type="paragraph" w:customStyle="1" w:styleId="Year">
    <w:name w:val="Year"/>
    <w:basedOn w:val="Normal"/>
    <w:rsid w:val="00FF56D2"/>
    <w:pPr>
      <w:keepNext/>
      <w:keepLines/>
      <w:pBdr>
        <w:bottom w:val="single" w:sz="6" w:space="3" w:color="auto"/>
      </w:pBdr>
      <w:tabs>
        <w:tab w:val="left" w:pos="454"/>
        <w:tab w:val="left" w:pos="907"/>
        <w:tab w:val="left" w:pos="1361"/>
        <w:tab w:val="left" w:pos="1814"/>
        <w:tab w:val="left" w:pos="2268"/>
        <w:tab w:val="right" w:leader="dot" w:pos="7938"/>
      </w:tabs>
      <w:spacing w:before="240"/>
    </w:pPr>
    <w:rPr>
      <w:i/>
      <w:iCs/>
      <w:sz w:val="22"/>
      <w:szCs w:val="22"/>
      <w:lang w:val="en-GB"/>
    </w:rPr>
  </w:style>
  <w:style w:type="paragraph" w:customStyle="1" w:styleId="BlackLetterText">
    <w:name w:val="Black Letter Text"/>
    <w:basedOn w:val="Heading2"/>
    <w:rsid w:val="00FF56D2"/>
    <w:pPr>
      <w:numPr>
        <w:ilvl w:val="1"/>
      </w:numPr>
      <w:spacing w:before="120" w:after="120"/>
      <w:ind w:left="720" w:hanging="720"/>
      <w:jc w:val="both"/>
    </w:pPr>
    <w:rPr>
      <w:rFonts w:ascii="Times New Roman" w:hAnsi="Times New Roman" w:cs="Times New Roman"/>
      <w:i w:val="0"/>
      <w:iCs w:val="0"/>
      <w:kern w:val="28"/>
      <w:sz w:val="22"/>
      <w:szCs w:val="22"/>
      <w:lang w:val="en-GB"/>
    </w:rPr>
  </w:style>
  <w:style w:type="paragraph" w:customStyle="1" w:styleId="Policy">
    <w:name w:val="Policy"/>
    <w:basedOn w:val="Heading9"/>
    <w:rsid w:val="00FF56D2"/>
    <w:pPr>
      <w:keepNext/>
      <w:spacing w:before="200" w:after="0"/>
    </w:pPr>
    <w:rPr>
      <w:b/>
      <w:bCs/>
      <w:sz w:val="24"/>
      <w:szCs w:val="24"/>
      <w:lang w:val="en-GB"/>
    </w:rPr>
  </w:style>
  <w:style w:type="paragraph" w:customStyle="1" w:styleId="BlackLetterBP">
    <w:name w:val="Black Letter BP"/>
    <w:basedOn w:val="Heading4"/>
    <w:rsid w:val="00FF56D2"/>
    <w:pPr>
      <w:keepNext w:val="0"/>
      <w:keepLines/>
      <w:tabs>
        <w:tab w:val="num" w:pos="1440"/>
      </w:tabs>
      <w:spacing w:before="120" w:after="0"/>
      <w:ind w:left="1440" w:hanging="720"/>
      <w:jc w:val="both"/>
    </w:pPr>
    <w:rPr>
      <w:sz w:val="22"/>
      <w:szCs w:val="22"/>
    </w:rPr>
  </w:style>
  <w:style w:type="paragraph" w:customStyle="1" w:styleId="41">
    <w:name w:val="4.1"/>
    <w:basedOn w:val="Normal"/>
    <w:rsid w:val="00FF56D2"/>
    <w:rPr>
      <w:b/>
      <w:bCs/>
    </w:rPr>
  </w:style>
  <w:style w:type="paragraph" w:customStyle="1" w:styleId="SC1">
    <w:name w:val="SC1"/>
    <w:basedOn w:val="Normal"/>
    <w:rsid w:val="00FF56D2"/>
    <w:pPr>
      <w:keepNext/>
      <w:tabs>
        <w:tab w:val="left" w:pos="454"/>
      </w:tabs>
      <w:spacing w:after="60"/>
      <w:outlineLvl w:val="5"/>
    </w:pPr>
    <w:rPr>
      <w:rFonts w:ascii="Arial" w:hAnsi="Arial" w:cs="Arial"/>
      <w:b/>
      <w:bCs/>
      <w:caps/>
      <w:kern w:val="28"/>
      <w:sz w:val="28"/>
      <w:szCs w:val="28"/>
    </w:rPr>
  </w:style>
  <w:style w:type="paragraph" w:styleId="FootnoteText">
    <w:name w:val="footnote text"/>
    <w:basedOn w:val="Normal"/>
    <w:semiHidden/>
    <w:rsid w:val="00FF56D2"/>
    <w:rPr>
      <w:sz w:val="20"/>
      <w:szCs w:val="20"/>
    </w:rPr>
  </w:style>
  <w:style w:type="character" w:styleId="FootnoteReference">
    <w:name w:val="footnote reference"/>
    <w:basedOn w:val="DefaultParagraphFont"/>
    <w:semiHidden/>
    <w:rsid w:val="00FF56D2"/>
    <w:rPr>
      <w:vertAlign w:val="superscript"/>
    </w:rPr>
  </w:style>
  <w:style w:type="paragraph" w:customStyle="1" w:styleId="Colon">
    <w:name w:val="Colon"/>
    <w:basedOn w:val="Normal"/>
    <w:rsid w:val="00FF56D2"/>
    <w:pPr>
      <w:numPr>
        <w:numId w:val="2"/>
      </w:numPr>
      <w:spacing w:line="240" w:lineRule="atLeast"/>
      <w:ind w:left="0" w:firstLine="0"/>
    </w:pPr>
  </w:style>
  <w:style w:type="paragraph" w:customStyle="1" w:styleId="Tabletext">
    <w:name w:val="Table text"/>
    <w:basedOn w:val="Normal"/>
    <w:rsid w:val="00FF56D2"/>
    <w:pPr>
      <w:spacing w:before="60" w:after="60"/>
    </w:pPr>
    <w:rPr>
      <w:sz w:val="18"/>
      <w:szCs w:val="18"/>
      <w:lang w:val="en-GB"/>
    </w:rPr>
  </w:style>
  <w:style w:type="paragraph" w:customStyle="1" w:styleId="H6">
    <w:name w:val="H6"/>
    <w:basedOn w:val="Heading6"/>
    <w:rsid w:val="00FF56D2"/>
    <w:pPr>
      <w:keepNext/>
      <w:tabs>
        <w:tab w:val="left" w:pos="454"/>
      </w:tabs>
      <w:spacing w:before="0"/>
    </w:pPr>
    <w:rPr>
      <w:i/>
      <w:iCs/>
      <w:sz w:val="20"/>
      <w:szCs w:val="20"/>
    </w:rPr>
  </w:style>
  <w:style w:type="paragraph" w:customStyle="1" w:styleId="BlackLetterSubBullet">
    <w:name w:val="Black Letter Sub Bullet"/>
    <w:basedOn w:val="Heading2"/>
    <w:rsid w:val="00FF56D2"/>
    <w:pPr>
      <w:numPr>
        <w:ilvl w:val="1"/>
      </w:numPr>
      <w:tabs>
        <w:tab w:val="left" w:pos="3570"/>
      </w:tabs>
      <w:spacing w:before="120" w:after="120"/>
      <w:ind w:left="2160" w:hanging="720"/>
      <w:jc w:val="both"/>
    </w:pPr>
    <w:rPr>
      <w:rFonts w:ascii="Times New Roman" w:hAnsi="Times New Roman" w:cs="Times New Roman"/>
      <w:i w:val="0"/>
      <w:iCs w:val="0"/>
      <w:kern w:val="28"/>
      <w:sz w:val="22"/>
      <w:szCs w:val="22"/>
      <w:lang w:val="en-GB"/>
    </w:rPr>
  </w:style>
  <w:style w:type="paragraph" w:styleId="Header">
    <w:name w:val="header"/>
    <w:basedOn w:val="Normal"/>
    <w:rsid w:val="00FF56D2"/>
    <w:pPr>
      <w:tabs>
        <w:tab w:val="center" w:pos="4153"/>
        <w:tab w:val="right" w:pos="8306"/>
      </w:tabs>
    </w:pPr>
  </w:style>
  <w:style w:type="paragraph" w:styleId="BodyText">
    <w:name w:val="Body Text"/>
    <w:basedOn w:val="Normal"/>
    <w:rsid w:val="00FF56D2"/>
    <w:pPr>
      <w:spacing w:before="120" w:after="120"/>
      <w:jc w:val="center"/>
    </w:pPr>
    <w:rPr>
      <w:i/>
      <w:iCs/>
      <w:sz w:val="22"/>
    </w:rPr>
  </w:style>
  <w:style w:type="paragraph" w:styleId="BodyText3">
    <w:name w:val="Body Text 3"/>
    <w:basedOn w:val="Normal"/>
    <w:rsid w:val="00FF56D2"/>
    <w:pPr>
      <w:spacing w:before="120" w:after="120"/>
    </w:pPr>
    <w:rPr>
      <w:sz w:val="22"/>
    </w:rPr>
  </w:style>
  <w:style w:type="paragraph" w:customStyle="1" w:styleId="H3">
    <w:name w:val="H3"/>
    <w:basedOn w:val="Normal"/>
    <w:next w:val="Normal"/>
    <w:rsid w:val="00FF56D2"/>
    <w:pPr>
      <w:keepNext/>
      <w:spacing w:before="100" w:after="100"/>
      <w:outlineLvl w:val="3"/>
    </w:pPr>
    <w:rPr>
      <w:b/>
      <w:bCs/>
      <w:sz w:val="28"/>
      <w:szCs w:val="28"/>
    </w:rPr>
  </w:style>
  <w:style w:type="paragraph" w:styleId="BodyTextIndent2">
    <w:name w:val="Body Text Indent 2"/>
    <w:basedOn w:val="Normal"/>
    <w:rsid w:val="00FF56D2"/>
    <w:pPr>
      <w:ind w:left="720" w:hanging="720"/>
      <w:jc w:val="both"/>
    </w:pPr>
    <w:rPr>
      <w:b/>
      <w:bCs/>
    </w:rPr>
  </w:style>
  <w:style w:type="paragraph" w:customStyle="1" w:styleId="TextboxDot">
    <w:name w:val="Text box Dot"/>
    <w:basedOn w:val="Textbox"/>
    <w:rsid w:val="00FF56D2"/>
    <w:pPr>
      <w:tabs>
        <w:tab w:val="num" w:pos="814"/>
      </w:tabs>
      <w:ind w:left="737" w:hanging="283"/>
    </w:pPr>
  </w:style>
  <w:style w:type="paragraph" w:customStyle="1" w:styleId="Textbox">
    <w:name w:val="Text box"/>
    <w:basedOn w:val="Normal"/>
    <w:rsid w:val="00FF56D2"/>
    <w:pPr>
      <w:spacing w:before="60"/>
      <w:jc w:val="center"/>
    </w:pPr>
    <w:rPr>
      <w:sz w:val="20"/>
      <w:szCs w:val="20"/>
      <w:lang w:val="en-GB"/>
    </w:rPr>
  </w:style>
  <w:style w:type="paragraph" w:customStyle="1" w:styleId="Style2">
    <w:name w:val="Style2"/>
    <w:basedOn w:val="Normal"/>
    <w:rsid w:val="00FF56D2"/>
    <w:pPr>
      <w:tabs>
        <w:tab w:val="num" w:pos="1701"/>
      </w:tabs>
      <w:spacing w:before="240"/>
      <w:ind w:left="1701" w:hanging="283"/>
    </w:pPr>
    <w:rPr>
      <w:b/>
      <w:bCs/>
      <w:sz w:val="22"/>
      <w:szCs w:val="22"/>
      <w:lang w:val="en-GB"/>
    </w:rPr>
  </w:style>
  <w:style w:type="paragraph" w:customStyle="1" w:styleId="Group">
    <w:name w:val="Group"/>
    <w:basedOn w:val="Normal"/>
    <w:rsid w:val="00FF56D2"/>
    <w:pPr>
      <w:keepNext/>
      <w:tabs>
        <w:tab w:val="num" w:pos="720"/>
      </w:tabs>
      <w:ind w:left="567" w:hanging="567"/>
      <w:outlineLvl w:val="0"/>
    </w:pPr>
    <w:rPr>
      <w:rFonts w:ascii="Arial" w:hAnsi="Arial" w:cs="Arial"/>
      <w:b/>
      <w:bCs/>
      <w:sz w:val="32"/>
      <w:szCs w:val="32"/>
    </w:rPr>
  </w:style>
  <w:style w:type="paragraph" w:customStyle="1" w:styleId="ABRM2">
    <w:name w:val="ABRM 2"/>
    <w:basedOn w:val="Normal"/>
    <w:rsid w:val="00FF56D2"/>
    <w:pPr>
      <w:tabs>
        <w:tab w:val="num" w:pos="720"/>
        <w:tab w:val="left" w:pos="851"/>
      </w:tabs>
      <w:spacing w:before="120" w:after="120"/>
      <w:ind w:left="851" w:hanging="851"/>
    </w:pPr>
    <w:rPr>
      <w:b/>
      <w:bCs/>
      <w:lang w:val="en-GB"/>
    </w:rPr>
  </w:style>
  <w:style w:type="paragraph" w:customStyle="1" w:styleId="Year1">
    <w:name w:val="Year1"/>
    <w:basedOn w:val="Year"/>
    <w:rsid w:val="00FF56D2"/>
    <w:pPr>
      <w:spacing w:before="60" w:after="60"/>
    </w:pPr>
    <w:rPr>
      <w:sz w:val="20"/>
      <w:szCs w:val="20"/>
    </w:rPr>
  </w:style>
  <w:style w:type="paragraph" w:customStyle="1" w:styleId="Tot">
    <w:name w:val="Tot"/>
    <w:basedOn w:val="Total"/>
    <w:rsid w:val="00FF56D2"/>
    <w:pPr>
      <w:tabs>
        <w:tab w:val="clear" w:pos="454"/>
        <w:tab w:val="clear" w:pos="907"/>
        <w:tab w:val="clear" w:pos="1361"/>
        <w:tab w:val="clear" w:pos="1814"/>
        <w:tab w:val="clear" w:pos="2268"/>
        <w:tab w:val="right" w:pos="6521"/>
        <w:tab w:val="right" w:pos="7938"/>
      </w:tabs>
    </w:pPr>
  </w:style>
  <w:style w:type="paragraph" w:customStyle="1" w:styleId="Total">
    <w:name w:val="Total"/>
    <w:basedOn w:val="Normal"/>
    <w:rsid w:val="00FF56D2"/>
    <w:pPr>
      <w:keepNext/>
      <w:keepLines/>
      <w:tabs>
        <w:tab w:val="left" w:pos="454"/>
        <w:tab w:val="left" w:pos="907"/>
        <w:tab w:val="left" w:pos="1361"/>
        <w:tab w:val="left" w:pos="1814"/>
        <w:tab w:val="left" w:pos="2268"/>
        <w:tab w:val="right" w:leader="dot" w:pos="7938"/>
      </w:tabs>
      <w:spacing w:before="60"/>
      <w:jc w:val="both"/>
    </w:pPr>
    <w:rPr>
      <w:b/>
      <w:bCs/>
      <w:sz w:val="18"/>
      <w:szCs w:val="18"/>
      <w:lang w:val="en-GB"/>
    </w:rPr>
  </w:style>
  <w:style w:type="paragraph" w:customStyle="1" w:styleId="GreyLetterText">
    <w:name w:val="Grey Letter Text"/>
    <w:basedOn w:val="Heading4"/>
    <w:rsid w:val="00FF56D2"/>
    <w:pPr>
      <w:keepNext w:val="0"/>
      <w:keepLines/>
      <w:numPr>
        <w:ilvl w:val="2"/>
      </w:numPr>
      <w:spacing w:before="120" w:after="0"/>
      <w:ind w:left="720" w:hanging="720"/>
      <w:jc w:val="both"/>
    </w:pPr>
    <w:rPr>
      <w:b w:val="0"/>
      <w:bCs w:val="0"/>
      <w:sz w:val="22"/>
      <w:szCs w:val="22"/>
    </w:rPr>
  </w:style>
  <w:style w:type="paragraph" w:customStyle="1" w:styleId="H5">
    <w:name w:val="H5"/>
    <w:basedOn w:val="Normal"/>
    <w:next w:val="Normal"/>
    <w:rsid w:val="00FF56D2"/>
    <w:pPr>
      <w:keepNext/>
      <w:spacing w:before="100" w:after="100"/>
      <w:outlineLvl w:val="5"/>
    </w:pPr>
    <w:rPr>
      <w:b/>
      <w:bCs/>
      <w:sz w:val="20"/>
      <w:szCs w:val="20"/>
    </w:rPr>
  </w:style>
  <w:style w:type="paragraph" w:customStyle="1" w:styleId="Classy">
    <w:name w:val="Classy"/>
    <w:basedOn w:val="Class"/>
    <w:rsid w:val="00FF56D2"/>
    <w:pPr>
      <w:spacing w:before="0"/>
      <w:jc w:val="left"/>
    </w:pPr>
  </w:style>
  <w:style w:type="paragraph" w:customStyle="1" w:styleId="Class">
    <w:name w:val="Class"/>
    <w:basedOn w:val="Normal"/>
    <w:rsid w:val="00FF56D2"/>
    <w:pPr>
      <w:keepLines/>
      <w:tabs>
        <w:tab w:val="left" w:pos="454"/>
        <w:tab w:val="left" w:pos="907"/>
        <w:tab w:val="left" w:pos="1361"/>
        <w:tab w:val="left" w:pos="1814"/>
        <w:tab w:val="left" w:pos="2268"/>
        <w:tab w:val="right" w:leader="dot" w:pos="7938"/>
      </w:tabs>
      <w:spacing w:before="240"/>
      <w:ind w:left="454"/>
      <w:jc w:val="both"/>
    </w:pPr>
    <w:rPr>
      <w:sz w:val="18"/>
      <w:szCs w:val="18"/>
      <w:lang w:val="en-GB"/>
    </w:rPr>
  </w:style>
  <w:style w:type="paragraph" w:customStyle="1" w:styleId="BlackLetterSubheadings">
    <w:name w:val="Black Letter Subheadings"/>
    <w:basedOn w:val="BlackLetterText"/>
    <w:rsid w:val="00FF56D2"/>
    <w:rPr>
      <w:i/>
      <w:iCs/>
    </w:rPr>
  </w:style>
  <w:style w:type="paragraph" w:customStyle="1" w:styleId="GreyLetterBP">
    <w:name w:val="Grey Letter BP"/>
    <w:basedOn w:val="Normal"/>
    <w:rsid w:val="00FF56D2"/>
    <w:pPr>
      <w:tabs>
        <w:tab w:val="left" w:pos="1442"/>
      </w:tabs>
      <w:spacing w:before="120"/>
      <w:ind w:left="1440" w:hanging="712"/>
      <w:jc w:val="both"/>
    </w:pPr>
    <w:rPr>
      <w:sz w:val="22"/>
      <w:szCs w:val="22"/>
      <w:lang w:val="en-GB"/>
    </w:rPr>
  </w:style>
  <w:style w:type="paragraph" w:styleId="Footer">
    <w:name w:val="footer"/>
    <w:basedOn w:val="Normal"/>
    <w:link w:val="FooterChar"/>
    <w:uiPriority w:val="99"/>
    <w:rsid w:val="00FF56D2"/>
    <w:pPr>
      <w:tabs>
        <w:tab w:val="center" w:pos="4153"/>
        <w:tab w:val="right" w:pos="8306"/>
      </w:tabs>
    </w:pPr>
  </w:style>
  <w:style w:type="character" w:styleId="PageNumber">
    <w:name w:val="page number"/>
    <w:basedOn w:val="DefaultParagraphFont"/>
    <w:rsid w:val="00FF56D2"/>
  </w:style>
  <w:style w:type="paragraph" w:styleId="BodyTextIndent">
    <w:name w:val="Body Text Indent"/>
    <w:basedOn w:val="Normal"/>
    <w:rsid w:val="00FF56D2"/>
    <w:pPr>
      <w:ind w:left="720" w:hanging="720"/>
    </w:pPr>
    <w:rPr>
      <w:sz w:val="22"/>
    </w:rPr>
  </w:style>
  <w:style w:type="paragraph" w:customStyle="1" w:styleId="Item">
    <w:name w:val="Item"/>
    <w:aliases w:val="i"/>
    <w:basedOn w:val="Class"/>
    <w:rsid w:val="00FF56D2"/>
    <w:pPr>
      <w:spacing w:before="60"/>
      <w:jc w:val="left"/>
    </w:pPr>
    <w:rPr>
      <w:b/>
      <w:bCs/>
    </w:rPr>
  </w:style>
  <w:style w:type="paragraph" w:customStyle="1" w:styleId="Class2">
    <w:name w:val="Class 2"/>
    <w:basedOn w:val="Class"/>
    <w:rsid w:val="00FF56D2"/>
    <w:pPr>
      <w:spacing w:before="0"/>
      <w:ind w:left="907"/>
      <w:jc w:val="left"/>
    </w:pPr>
  </w:style>
  <w:style w:type="paragraph" w:customStyle="1" w:styleId="ABRMHEAD1">
    <w:name w:val="ABRM HEAD1"/>
    <w:basedOn w:val="Heading1"/>
    <w:rsid w:val="00FF56D2"/>
    <w:pPr>
      <w:tabs>
        <w:tab w:val="num" w:pos="720"/>
      </w:tabs>
      <w:spacing w:after="240"/>
      <w:ind w:left="720" w:hanging="720"/>
    </w:pPr>
    <w:rPr>
      <w:b w:val="0"/>
      <w:bCs w:val="0"/>
      <w:sz w:val="28"/>
      <w:szCs w:val="28"/>
    </w:rPr>
  </w:style>
  <w:style w:type="paragraph" w:customStyle="1" w:styleId="ABRMHEAD2">
    <w:name w:val="ABRM HEAD2"/>
    <w:basedOn w:val="Normal"/>
    <w:rsid w:val="00FF56D2"/>
    <w:pPr>
      <w:tabs>
        <w:tab w:val="num" w:pos="360"/>
      </w:tabs>
      <w:spacing w:before="120" w:after="240"/>
    </w:pPr>
    <w:rPr>
      <w:b/>
      <w:bCs/>
    </w:rPr>
  </w:style>
  <w:style w:type="paragraph" w:customStyle="1" w:styleId="ABRMHEAD3">
    <w:name w:val="ABRM HEAD 3"/>
    <w:basedOn w:val="Normal"/>
    <w:rsid w:val="00FF56D2"/>
    <w:pPr>
      <w:tabs>
        <w:tab w:val="num" w:pos="720"/>
      </w:tabs>
      <w:spacing w:before="120" w:after="240"/>
      <w:ind w:left="720" w:hanging="720"/>
    </w:pPr>
  </w:style>
  <w:style w:type="paragraph" w:customStyle="1" w:styleId="Heading">
    <w:name w:val="Heading"/>
    <w:basedOn w:val="Normal"/>
    <w:autoRedefine/>
    <w:rsid w:val="00FF56D2"/>
    <w:pPr>
      <w:spacing w:before="120"/>
      <w:ind w:right="45"/>
    </w:pPr>
    <w:rPr>
      <w:b/>
      <w:bCs/>
      <w:caps/>
      <w:sz w:val="28"/>
      <w:szCs w:val="22"/>
    </w:rPr>
  </w:style>
  <w:style w:type="paragraph" w:customStyle="1" w:styleId="ChapterTitles">
    <w:name w:val="Chapter Titles"/>
    <w:basedOn w:val="Heading1"/>
    <w:rsid w:val="00FF56D2"/>
    <w:pPr>
      <w:spacing w:before="200" w:after="40"/>
      <w:ind w:left="2200" w:hanging="600"/>
    </w:pPr>
    <w:rPr>
      <w:kern w:val="28"/>
      <w:sz w:val="28"/>
      <w:szCs w:val="28"/>
      <w:lang w:val="en-GB"/>
    </w:rPr>
  </w:style>
  <w:style w:type="paragraph" w:customStyle="1" w:styleId="CHead1">
    <w:name w:val="C Head 1"/>
    <w:basedOn w:val="Normal"/>
    <w:rsid w:val="00FF56D2"/>
    <w:rPr>
      <w:b/>
      <w:bCs/>
      <w:sz w:val="22"/>
    </w:rPr>
  </w:style>
  <w:style w:type="paragraph" w:customStyle="1" w:styleId="H1">
    <w:name w:val="H1"/>
    <w:basedOn w:val="Normal"/>
    <w:next w:val="Normal"/>
    <w:rsid w:val="00FF56D2"/>
    <w:pPr>
      <w:keepNext/>
      <w:spacing w:before="100" w:after="100"/>
      <w:outlineLvl w:val="1"/>
    </w:pPr>
    <w:rPr>
      <w:b/>
      <w:bCs/>
      <w:kern w:val="36"/>
      <w:sz w:val="48"/>
      <w:szCs w:val="48"/>
    </w:rPr>
  </w:style>
  <w:style w:type="paragraph" w:customStyle="1" w:styleId="H2">
    <w:name w:val="H2"/>
    <w:basedOn w:val="Normal"/>
    <w:next w:val="Normal"/>
    <w:rsid w:val="00FF56D2"/>
    <w:pPr>
      <w:keepNext/>
      <w:spacing w:before="100" w:after="100"/>
      <w:outlineLvl w:val="2"/>
    </w:pPr>
    <w:rPr>
      <w:b/>
      <w:bCs/>
      <w:sz w:val="36"/>
      <w:szCs w:val="36"/>
    </w:rPr>
  </w:style>
  <w:style w:type="paragraph" w:customStyle="1" w:styleId="Ross1">
    <w:name w:val="Ross1"/>
    <w:basedOn w:val="Heading3"/>
    <w:rsid w:val="00FF56D2"/>
    <w:pPr>
      <w:keepNext w:val="0"/>
      <w:keepLines/>
      <w:spacing w:before="200" w:after="0"/>
      <w:ind w:left="851"/>
    </w:pPr>
    <w:rPr>
      <w:b/>
      <w:bCs/>
      <w:sz w:val="22"/>
      <w:szCs w:val="22"/>
    </w:rPr>
  </w:style>
  <w:style w:type="paragraph" w:customStyle="1" w:styleId="Heading20">
    <w:name w:val="Heading2"/>
    <w:basedOn w:val="Normal"/>
    <w:rsid w:val="00FF56D2"/>
    <w:pPr>
      <w:spacing w:before="240"/>
    </w:pPr>
    <w:rPr>
      <w:b/>
      <w:bCs/>
      <w:sz w:val="22"/>
      <w:szCs w:val="22"/>
      <w:lang w:val="en-GB"/>
    </w:rPr>
  </w:style>
  <w:style w:type="paragraph" w:customStyle="1" w:styleId="Class3">
    <w:name w:val="Class 3"/>
    <w:basedOn w:val="Class2"/>
    <w:rsid w:val="00FF56D2"/>
    <w:pPr>
      <w:ind w:left="1361"/>
    </w:pPr>
  </w:style>
  <w:style w:type="paragraph" w:customStyle="1" w:styleId="Heading1A">
    <w:name w:val="Heading 1A"/>
    <w:basedOn w:val="Heading1"/>
    <w:rsid w:val="00FF56D2"/>
    <w:pPr>
      <w:spacing w:after="40"/>
      <w:ind w:left="567"/>
    </w:pPr>
    <w:rPr>
      <w:kern w:val="28"/>
      <w:sz w:val="26"/>
      <w:szCs w:val="26"/>
      <w:lang w:val="en-GB"/>
    </w:rPr>
  </w:style>
  <w:style w:type="paragraph" w:customStyle="1" w:styleId="H7">
    <w:name w:val="H7"/>
    <w:basedOn w:val="H6"/>
    <w:rsid w:val="00FF56D2"/>
    <w:pPr>
      <w:keepNext w:val="0"/>
      <w:keepLines/>
      <w:spacing w:before="300" w:after="40"/>
      <w:outlineLvl w:val="0"/>
    </w:pPr>
  </w:style>
  <w:style w:type="paragraph" w:customStyle="1" w:styleId="H4">
    <w:name w:val="H4"/>
    <w:basedOn w:val="H3"/>
    <w:rsid w:val="00FF56D2"/>
    <w:rPr>
      <w:sz w:val="20"/>
      <w:szCs w:val="20"/>
    </w:rPr>
  </w:style>
  <w:style w:type="paragraph" w:customStyle="1" w:styleId="ForwardBullet">
    <w:name w:val="ForwardBullet"/>
    <w:basedOn w:val="Normal"/>
    <w:rsid w:val="00FF56D2"/>
    <w:pPr>
      <w:tabs>
        <w:tab w:val="num" w:pos="720"/>
        <w:tab w:val="num" w:pos="1134"/>
      </w:tabs>
      <w:spacing w:before="120"/>
      <w:ind w:left="1134" w:hanging="567"/>
    </w:pPr>
    <w:rPr>
      <w:sz w:val="22"/>
      <w:szCs w:val="20"/>
      <w:lang w:val="en-GB"/>
    </w:rPr>
  </w:style>
  <w:style w:type="character" w:customStyle="1" w:styleId="EmailStyle71">
    <w:name w:val="EmailStyle71"/>
    <w:basedOn w:val="DefaultParagraphFont"/>
    <w:rsid w:val="00FF56D2"/>
    <w:rPr>
      <w:rFonts w:ascii="Arial" w:hAnsi="Arial" w:cs="Arial"/>
      <w:color w:val="000000"/>
      <w:sz w:val="20"/>
      <w:szCs w:val="20"/>
    </w:rPr>
  </w:style>
  <w:style w:type="paragraph" w:customStyle="1" w:styleId="FMO">
    <w:name w:val="FMO"/>
    <w:basedOn w:val="Normal"/>
    <w:rsid w:val="00FF56D2"/>
    <w:pPr>
      <w:ind w:left="700" w:hanging="700"/>
    </w:pPr>
    <w:rPr>
      <w:sz w:val="22"/>
      <w:szCs w:val="22"/>
    </w:rPr>
  </w:style>
  <w:style w:type="paragraph" w:customStyle="1" w:styleId="DefnSubpoint1">
    <w:name w:val="Defn Subpoint1"/>
    <w:basedOn w:val="Normal"/>
    <w:rsid w:val="00FF56D2"/>
    <w:pPr>
      <w:spacing w:after="200" w:line="200" w:lineRule="exact"/>
      <w:ind w:left="1587" w:hanging="510"/>
    </w:pPr>
    <w:rPr>
      <w:b/>
      <w:sz w:val="20"/>
      <w:szCs w:val="20"/>
    </w:rPr>
  </w:style>
  <w:style w:type="paragraph" w:customStyle="1" w:styleId="DefnSubpoint2">
    <w:name w:val="Defn Subpoint2"/>
    <w:basedOn w:val="DefnSubpoint1"/>
    <w:rsid w:val="00FF56D2"/>
    <w:pPr>
      <w:ind w:left="2098"/>
    </w:pPr>
  </w:style>
  <w:style w:type="paragraph" w:styleId="BodyTextIndent3">
    <w:name w:val="Body Text Indent 3"/>
    <w:basedOn w:val="Normal"/>
    <w:rsid w:val="00FF56D2"/>
    <w:pPr>
      <w:ind w:left="360"/>
    </w:pPr>
    <w:rPr>
      <w:b/>
      <w:bCs/>
    </w:rPr>
  </w:style>
  <w:style w:type="paragraph" w:styleId="BalloonText">
    <w:name w:val="Balloon Text"/>
    <w:basedOn w:val="Normal"/>
    <w:semiHidden/>
    <w:rsid w:val="00C97DDA"/>
    <w:rPr>
      <w:rFonts w:ascii="Tahoma" w:hAnsi="Tahoma" w:cs="Tahoma"/>
      <w:sz w:val="16"/>
      <w:szCs w:val="16"/>
    </w:rPr>
  </w:style>
  <w:style w:type="table" w:styleId="TableGrid">
    <w:name w:val="Table Grid"/>
    <w:basedOn w:val="TableNormal"/>
    <w:rsid w:val="00686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1179F"/>
    <w:rPr>
      <w:color w:val="0000FF"/>
      <w:u w:val="single"/>
    </w:rPr>
  </w:style>
  <w:style w:type="paragraph" w:styleId="NormalWeb">
    <w:name w:val="Normal (Web)"/>
    <w:basedOn w:val="Normal"/>
    <w:rsid w:val="00C95FFD"/>
    <w:pPr>
      <w:spacing w:before="100" w:beforeAutospacing="1" w:after="100" w:afterAutospacing="1"/>
    </w:pPr>
    <w:rPr>
      <w:lang w:eastAsia="en-AU"/>
    </w:rPr>
  </w:style>
  <w:style w:type="paragraph" w:styleId="DocumentMap">
    <w:name w:val="Document Map"/>
    <w:basedOn w:val="Normal"/>
    <w:semiHidden/>
    <w:rsid w:val="005E597D"/>
    <w:pPr>
      <w:shd w:val="clear" w:color="auto" w:fill="000080"/>
    </w:pPr>
    <w:rPr>
      <w:rFonts w:ascii="Tahoma" w:hAnsi="Tahoma" w:cs="Tahoma"/>
      <w:sz w:val="20"/>
      <w:szCs w:val="20"/>
    </w:rPr>
  </w:style>
  <w:style w:type="paragraph" w:customStyle="1" w:styleId="CharCharCharCharChar">
    <w:name w:val="Char Char Char Char Char"/>
    <w:basedOn w:val="Normal"/>
    <w:rsid w:val="00E23480"/>
    <w:rPr>
      <w:rFonts w:ascii="Arial" w:hAnsi="Arial" w:cs="Arial"/>
      <w:sz w:val="22"/>
      <w:szCs w:val="22"/>
    </w:rPr>
  </w:style>
  <w:style w:type="character" w:customStyle="1" w:styleId="HelpText">
    <w:name w:val="Help Text"/>
    <w:basedOn w:val="DefaultParagraphFont"/>
    <w:rsid w:val="00885099"/>
    <w:rPr>
      <w:color w:val="808080"/>
    </w:rPr>
  </w:style>
  <w:style w:type="paragraph" w:customStyle="1" w:styleId="Bullet">
    <w:name w:val="Bullet"/>
    <w:basedOn w:val="Normal"/>
    <w:rsid w:val="00885099"/>
    <w:pPr>
      <w:numPr>
        <w:numId w:val="3"/>
      </w:numPr>
      <w:spacing w:after="240" w:line="240" w:lineRule="atLeast"/>
    </w:pPr>
  </w:style>
  <w:style w:type="paragraph" w:customStyle="1" w:styleId="Bulletsinglespaced">
    <w:name w:val="Bullet (single spaced)"/>
    <w:basedOn w:val="Bullet"/>
    <w:rsid w:val="00885099"/>
    <w:pPr>
      <w:spacing w:after="0"/>
    </w:pPr>
  </w:style>
  <w:style w:type="character" w:styleId="CommentReference">
    <w:name w:val="annotation reference"/>
    <w:basedOn w:val="DefaultParagraphFont"/>
    <w:rsid w:val="00F458E0"/>
    <w:rPr>
      <w:sz w:val="16"/>
      <w:szCs w:val="16"/>
    </w:rPr>
  </w:style>
  <w:style w:type="paragraph" w:styleId="CommentText">
    <w:name w:val="annotation text"/>
    <w:basedOn w:val="Normal"/>
    <w:link w:val="CommentTextChar"/>
    <w:uiPriority w:val="99"/>
    <w:rsid w:val="00F458E0"/>
    <w:rPr>
      <w:sz w:val="20"/>
      <w:szCs w:val="20"/>
    </w:rPr>
  </w:style>
  <w:style w:type="character" w:customStyle="1" w:styleId="CommentTextChar">
    <w:name w:val="Comment Text Char"/>
    <w:basedOn w:val="DefaultParagraphFont"/>
    <w:link w:val="CommentText"/>
    <w:uiPriority w:val="99"/>
    <w:rsid w:val="00F458E0"/>
    <w:rPr>
      <w:lang w:eastAsia="en-US"/>
    </w:rPr>
  </w:style>
  <w:style w:type="paragraph" w:styleId="CommentSubject">
    <w:name w:val="annotation subject"/>
    <w:basedOn w:val="CommentText"/>
    <w:next w:val="CommentText"/>
    <w:link w:val="CommentSubjectChar"/>
    <w:rsid w:val="00F458E0"/>
    <w:rPr>
      <w:b/>
      <w:bCs/>
    </w:rPr>
  </w:style>
  <w:style w:type="character" w:customStyle="1" w:styleId="CommentSubjectChar">
    <w:name w:val="Comment Subject Char"/>
    <w:basedOn w:val="CommentTextChar"/>
    <w:link w:val="CommentSubject"/>
    <w:rsid w:val="00F458E0"/>
    <w:rPr>
      <w:b/>
      <w:bCs/>
      <w:lang w:eastAsia="en-US"/>
    </w:rPr>
  </w:style>
  <w:style w:type="paragraph" w:customStyle="1" w:styleId="Paragraph">
    <w:name w:val="Paragraph"/>
    <w:basedOn w:val="Normal"/>
    <w:rsid w:val="0072275C"/>
    <w:pPr>
      <w:numPr>
        <w:ilvl w:val="12"/>
      </w:numPr>
      <w:spacing w:before="240"/>
    </w:pPr>
    <w:rPr>
      <w:szCs w:val="20"/>
      <w:lang w:eastAsia="en-AU"/>
    </w:rPr>
  </w:style>
  <w:style w:type="paragraph" w:styleId="ListParagraph">
    <w:name w:val="List Paragraph"/>
    <w:aliases w:val="NFP GP Bulleted List,List Paragraph1,Recommendation,List Paragraph11"/>
    <w:basedOn w:val="Normal"/>
    <w:link w:val="ListParagraphChar"/>
    <w:uiPriority w:val="34"/>
    <w:qFormat/>
    <w:rsid w:val="00753CD8"/>
    <w:pPr>
      <w:ind w:left="720"/>
      <w:contextualSpacing/>
    </w:pPr>
  </w:style>
  <w:style w:type="paragraph" w:customStyle="1" w:styleId="StyleNew">
    <w:name w:val="Style_New"/>
    <w:basedOn w:val="Normal"/>
    <w:qFormat/>
    <w:rsid w:val="00377E45"/>
    <w:pPr>
      <w:numPr>
        <w:numId w:val="4"/>
      </w:numPr>
    </w:pPr>
    <w:rPr>
      <w:color w:val="76923C" w:themeColor="accent3" w:themeShade="BF"/>
      <w:sz w:val="22"/>
      <w:szCs w:val="22"/>
    </w:rPr>
  </w:style>
  <w:style w:type="paragraph" w:customStyle="1" w:styleId="NumberedParagraph">
    <w:name w:val="Numbered Paragraph"/>
    <w:basedOn w:val="Normal"/>
    <w:rsid w:val="00DA47EA"/>
    <w:pPr>
      <w:numPr>
        <w:numId w:val="5"/>
      </w:numPr>
      <w:spacing w:after="240" w:line="240" w:lineRule="atLeast"/>
    </w:pPr>
  </w:style>
  <w:style w:type="paragraph" w:customStyle="1" w:styleId="NumberList">
    <w:name w:val="Number List"/>
    <w:basedOn w:val="Normal"/>
    <w:rsid w:val="00407B73"/>
    <w:pPr>
      <w:numPr>
        <w:numId w:val="8"/>
      </w:numPr>
      <w:tabs>
        <w:tab w:val="left" w:pos="1985"/>
      </w:tabs>
      <w:spacing w:before="240" w:line="240" w:lineRule="atLeast"/>
    </w:pPr>
  </w:style>
  <w:style w:type="paragraph" w:customStyle="1" w:styleId="NumberListSub">
    <w:name w:val="Number List Sub"/>
    <w:basedOn w:val="NumberList"/>
    <w:rsid w:val="00407B73"/>
    <w:pPr>
      <w:numPr>
        <w:ilvl w:val="1"/>
      </w:numPr>
      <w:tabs>
        <w:tab w:val="left" w:pos="2552"/>
      </w:tabs>
    </w:pPr>
  </w:style>
  <w:style w:type="character" w:customStyle="1" w:styleId="FooterChar">
    <w:name w:val="Footer Char"/>
    <w:basedOn w:val="DefaultParagraphFont"/>
    <w:link w:val="Footer"/>
    <w:uiPriority w:val="99"/>
    <w:rsid w:val="0029530D"/>
    <w:rPr>
      <w:sz w:val="24"/>
      <w:szCs w:val="24"/>
      <w:lang w:eastAsia="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E44934"/>
    <w:rPr>
      <w:sz w:val="24"/>
      <w:szCs w:val="24"/>
      <w:lang w:eastAsia="en-US"/>
    </w:rPr>
  </w:style>
  <w:style w:type="paragraph" w:styleId="Index2">
    <w:name w:val="index 2"/>
    <w:basedOn w:val="Normal"/>
    <w:next w:val="Normal"/>
    <w:autoRedefine/>
    <w:uiPriority w:val="99"/>
    <w:semiHidden/>
    <w:unhideWhenUsed/>
    <w:rsid w:val="00551C43"/>
    <w:pPr>
      <w:ind w:left="440" w:hanging="220"/>
    </w:pPr>
    <w:rPr>
      <w:rFonts w:asciiTheme="minorHAnsi" w:eastAsiaTheme="minorEastAsia" w:hAnsiTheme="minorHAnsi" w:cstheme="minorBidi"/>
      <w:sz w:val="22"/>
      <w:szCs w:val="22"/>
      <w:lang w:eastAsia="en-AU"/>
    </w:rPr>
  </w:style>
  <w:style w:type="character" w:customStyle="1" w:styleId="CharPartText">
    <w:name w:val="CharPartText"/>
    <w:basedOn w:val="DefaultParagraphFont"/>
    <w:uiPriority w:val="1"/>
    <w:qFormat/>
    <w:rsid w:val="00AB3E8B"/>
  </w:style>
  <w:style w:type="paragraph" w:styleId="Revision">
    <w:name w:val="Revision"/>
    <w:hidden/>
    <w:uiPriority w:val="99"/>
    <w:semiHidden/>
    <w:rsid w:val="00C32155"/>
    <w:rPr>
      <w:sz w:val="24"/>
      <w:szCs w:val="24"/>
      <w:lang w:eastAsia="en-US"/>
    </w:rPr>
  </w:style>
  <w:style w:type="character" w:styleId="FollowedHyperlink">
    <w:name w:val="FollowedHyperlink"/>
    <w:basedOn w:val="DefaultParagraphFont"/>
    <w:semiHidden/>
    <w:unhideWhenUsed/>
    <w:rsid w:val="008E77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663320">
      <w:bodyDiv w:val="1"/>
      <w:marLeft w:val="0"/>
      <w:marRight w:val="0"/>
      <w:marTop w:val="0"/>
      <w:marBottom w:val="0"/>
      <w:divBdr>
        <w:top w:val="none" w:sz="0" w:space="0" w:color="auto"/>
        <w:left w:val="none" w:sz="0" w:space="0" w:color="auto"/>
        <w:bottom w:val="none" w:sz="0" w:space="0" w:color="auto"/>
        <w:right w:val="none" w:sz="0" w:space="0" w:color="auto"/>
      </w:divBdr>
    </w:div>
    <w:div w:id="1121269638">
      <w:bodyDiv w:val="1"/>
      <w:marLeft w:val="0"/>
      <w:marRight w:val="0"/>
      <w:marTop w:val="0"/>
      <w:marBottom w:val="0"/>
      <w:divBdr>
        <w:top w:val="none" w:sz="0" w:space="0" w:color="auto"/>
        <w:left w:val="none" w:sz="0" w:space="0" w:color="auto"/>
        <w:bottom w:val="none" w:sz="0" w:space="0" w:color="auto"/>
        <w:right w:val="none" w:sz="0" w:space="0" w:color="auto"/>
      </w:divBdr>
    </w:div>
    <w:div w:id="1619532866">
      <w:bodyDiv w:val="1"/>
      <w:marLeft w:val="0"/>
      <w:marRight w:val="0"/>
      <w:marTop w:val="0"/>
      <w:marBottom w:val="0"/>
      <w:divBdr>
        <w:top w:val="none" w:sz="0" w:space="0" w:color="auto"/>
        <w:left w:val="none" w:sz="0" w:space="0" w:color="auto"/>
        <w:bottom w:val="none" w:sz="0" w:space="0" w:color="auto"/>
        <w:right w:val="none" w:sz="0" w:space="0" w:color="auto"/>
      </w:divBdr>
    </w:div>
    <w:div w:id="1666012585">
      <w:bodyDiv w:val="1"/>
      <w:marLeft w:val="0"/>
      <w:marRight w:val="0"/>
      <w:marTop w:val="0"/>
      <w:marBottom w:val="0"/>
      <w:divBdr>
        <w:top w:val="none" w:sz="0" w:space="0" w:color="auto"/>
        <w:left w:val="none" w:sz="0" w:space="0" w:color="auto"/>
        <w:bottom w:val="none" w:sz="0" w:space="0" w:color="auto"/>
        <w:right w:val="none" w:sz="0" w:space="0" w:color="auto"/>
      </w:divBdr>
    </w:div>
    <w:div w:id="1758593990">
      <w:bodyDiv w:val="1"/>
      <w:marLeft w:val="0"/>
      <w:marRight w:val="0"/>
      <w:marTop w:val="0"/>
      <w:marBottom w:val="0"/>
      <w:divBdr>
        <w:top w:val="none" w:sz="0" w:space="0" w:color="auto"/>
        <w:left w:val="none" w:sz="0" w:space="0" w:color="auto"/>
        <w:bottom w:val="none" w:sz="0" w:space="0" w:color="auto"/>
        <w:right w:val="none" w:sz="0" w:space="0" w:color="auto"/>
      </w:divBdr>
    </w:div>
    <w:div w:id="21219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asb.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TaxCatchAll xmlns="82ff9d9b-d3fc-4aad-bc42-9949ee83b815">
      <Value>51</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OFFICIAL:Sensitive, Legal-Privilege</SecClass>
    <RelatedItems xmlns="http://schemas.microsoft.com/sharepoint/v3" xsi:nil="true"/>
    <Original_x0020_Date_x0020_Created xmlns="82ff9d9b-d3fc-4aad-bc42-9949ee83b815" xsi:nil="true"/>
    <_dlc_DocId xmlns="79e5d1b8-31fe-4abb-b9ad-c81c29576083">FIN34055-2137779915-7445</_dlc_DocId>
    <_dlc_DocIdUrl xmlns="79e5d1b8-31fe-4abb-b9ad-c81c29576083">
      <Url>https://f1.prdmgd.finance.gov.au/sites/50034055/_layouts/15/DocIdRedir.aspx?ID=FIN34055-2137779915-7445</Url>
      <Description>FIN34055-2137779915-7445</Description>
    </_dlc_DocIdUrl>
    <_dlc_DocIdPersistId xmlns="79e5d1b8-31fe-4abb-b9ad-c81c29576083">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82DF6-A255-4F60-96DC-A230B66CBCAF}">
  <ds:schemaRefs>
    <ds:schemaRef ds:uri="http://schemas.microsoft.com/sharepoint/v3/contenttype/forms"/>
  </ds:schemaRefs>
</ds:datastoreItem>
</file>

<file path=customXml/itemProps2.xml><?xml version="1.0" encoding="utf-8"?>
<ds:datastoreItem xmlns:ds="http://schemas.openxmlformats.org/officeDocument/2006/customXml" ds:itemID="{A5A471B4-A55B-4F88-A053-BB5FC77A3D02}">
  <ds:schemaRefs>
    <ds:schemaRef ds:uri="fdd6b31f-a027-425f-adfa-a4194e98dae2"/>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82ff9d9b-d3fc-4aad-bc42-9949ee83b815"/>
    <ds:schemaRef ds:uri="http://www.w3.org/XML/1998/namespace"/>
    <ds:schemaRef ds:uri="http://purl.org/dc/dcmitype/"/>
  </ds:schemaRefs>
</ds:datastoreItem>
</file>

<file path=customXml/itemProps3.xml><?xml version="1.0" encoding="utf-8"?>
<ds:datastoreItem xmlns:ds="http://schemas.openxmlformats.org/officeDocument/2006/customXml" ds:itemID="{A38DE6E4-2EA4-46AF-AA40-D4F070CBE91C}"/>
</file>

<file path=customXml/itemProps4.xml><?xml version="1.0" encoding="utf-8"?>
<ds:datastoreItem xmlns:ds="http://schemas.openxmlformats.org/officeDocument/2006/customXml" ds:itemID="{2DE18EED-A6DB-4D64-A49C-949A9D84BFCE}">
  <ds:schemaRefs>
    <ds:schemaRef ds:uri="Microsoft.SharePoint.Taxonomy.ContentTypeSync"/>
  </ds:schemaRefs>
</ds:datastoreItem>
</file>

<file path=customXml/itemProps5.xml><?xml version="1.0" encoding="utf-8"?>
<ds:datastoreItem xmlns:ds="http://schemas.openxmlformats.org/officeDocument/2006/customXml" ds:itemID="{A0322385-1106-4075-ACF4-62501E9A1C50}">
  <ds:schemaRefs>
    <ds:schemaRef ds:uri="http://schemas.microsoft.com/sharepoint/events"/>
  </ds:schemaRefs>
</ds:datastoreItem>
</file>

<file path=customXml/itemProps6.xml><?xml version="1.0" encoding="utf-8"?>
<ds:datastoreItem xmlns:ds="http://schemas.openxmlformats.org/officeDocument/2006/customXml" ds:itemID="{C51A441A-709D-4865-B2C3-6ABF5CDB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Leslie Macdonald</Manager>
  <Company>Finance</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Tony Rose</dc:creator>
  <cp:keywords/>
  <cp:lastModifiedBy>Holland, Natalie</cp:lastModifiedBy>
  <cp:revision>9</cp:revision>
  <cp:lastPrinted>2021-03-05T05:10:00Z</cp:lastPrinted>
  <dcterms:created xsi:type="dcterms:W3CDTF">2021-11-17T03:33:00Z</dcterms:created>
  <dcterms:modified xsi:type="dcterms:W3CDTF">2021-11-25T23:56:00Z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btEntity">
    <vt:lpwstr>1;#Department of Finance|fd660e8f-8f31-49bd-92a3-d31d4da31afe</vt:lpwstr>
  </property>
  <property fmtid="{D5CDD505-2E9C-101B-9397-08002B2CF9AE}" pid="4" name="InitiatingEntity">
    <vt:lpwstr>1;#Department of Finance|fd660e8f-8f31-49bd-92a3-d31d4da31afe</vt:lpwstr>
  </property>
  <property fmtid="{D5CDD505-2E9C-101B-9397-08002B2CF9AE}" pid="5" name="ContentTypeId">
    <vt:lpwstr>0x010100B321FEA60C5BA343A52BC94EC00ABC9E07001EB2D5CB43084344AD364CB1DDC773DA</vt:lpwstr>
  </property>
  <property fmtid="{D5CDD505-2E9C-101B-9397-08002B2CF9AE}" pid="6" name="Function and Activity">
    <vt:lpwstr/>
  </property>
  <property fmtid="{D5CDD505-2E9C-101B-9397-08002B2CF9AE}" pid="7" name="OrgUnit">
    <vt:lpwstr>51;#Accounting FW and Capability Support|17de058c-12f7-44f2-8e7d-03ff49305e52</vt:lpwstr>
  </property>
  <property fmtid="{D5CDD505-2E9C-101B-9397-08002B2CF9AE}" pid="8" name="_dlc_DocIdItemGuid">
    <vt:lpwstr>4a69c104-6933-4cf0-b669-27c725413636</vt:lpwstr>
  </property>
  <property fmtid="{D5CDD505-2E9C-101B-9397-08002B2CF9AE}" pid="9" name="SharedWithUsers">
    <vt:lpwstr>429;#Hansen, Ellen</vt:lpwstr>
  </property>
</Properties>
</file>