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12EF" w14:textId="2938EB95" w:rsidR="002B1DB3" w:rsidRPr="005D1ABF" w:rsidRDefault="001813AC" w:rsidP="008B36CD">
      <w:pPr>
        <w:spacing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18AE2B3A" w14:textId="77777777" w:rsidR="005D1ABF" w:rsidRPr="005D1ABF" w:rsidRDefault="005D1ABF" w:rsidP="008B36CD">
      <w:pPr>
        <w:spacing w:line="240" w:lineRule="auto"/>
        <w:jc w:val="center"/>
        <w:rPr>
          <w:rFonts w:ascii="Times New Roman" w:hAnsi="Times New Roman" w:cs="Times New Roman"/>
          <w:b/>
          <w:caps/>
          <w:sz w:val="24"/>
          <w:szCs w:val="24"/>
          <w:u w:val="single"/>
        </w:rPr>
      </w:pPr>
    </w:p>
    <w:p w14:paraId="6CBCFFB9" w14:textId="2ED85528" w:rsidR="002B1DB3" w:rsidRPr="003E3FC6" w:rsidRDefault="002B1DB3" w:rsidP="008B36CD">
      <w:pPr>
        <w:spacing w:line="240" w:lineRule="auto"/>
        <w:jc w:val="center"/>
        <w:rPr>
          <w:rFonts w:ascii="Times New Roman" w:hAnsi="Times New Roman" w:cs="Times New Roman"/>
          <w:color w:val="000000" w:themeColor="text1"/>
          <w:sz w:val="24"/>
          <w:szCs w:val="24"/>
          <w:u w:val="single"/>
        </w:rPr>
      </w:pPr>
      <w:r w:rsidRPr="003E3FC6">
        <w:rPr>
          <w:rFonts w:ascii="Times New Roman" w:hAnsi="Times New Roman" w:cs="Times New Roman"/>
          <w:color w:val="000000" w:themeColor="text1"/>
          <w:sz w:val="24"/>
          <w:szCs w:val="24"/>
          <w:u w:val="single"/>
        </w:rPr>
        <w:t xml:space="preserve">Issued by Authority of the </w:t>
      </w:r>
      <w:r w:rsidR="00470AE8" w:rsidRPr="003E3FC6">
        <w:rPr>
          <w:rFonts w:ascii="Times New Roman" w:hAnsi="Times New Roman" w:cs="Times New Roman"/>
          <w:color w:val="000000" w:themeColor="text1"/>
          <w:sz w:val="24"/>
          <w:szCs w:val="24"/>
          <w:u w:val="single"/>
        </w:rPr>
        <w:t>Minister for Agriculture</w:t>
      </w:r>
      <w:r w:rsidR="003939E5">
        <w:rPr>
          <w:rFonts w:ascii="Times New Roman" w:hAnsi="Times New Roman" w:cs="Times New Roman"/>
          <w:color w:val="000000" w:themeColor="text1"/>
          <w:sz w:val="24"/>
          <w:szCs w:val="24"/>
          <w:u w:val="single"/>
        </w:rPr>
        <w:t xml:space="preserve"> and Northern Australia</w:t>
      </w:r>
    </w:p>
    <w:p w14:paraId="29AB4A21" w14:textId="77777777" w:rsidR="002B1DB3" w:rsidRPr="003E3FC6" w:rsidRDefault="002B1DB3" w:rsidP="008B36CD">
      <w:pPr>
        <w:spacing w:line="240" w:lineRule="auto"/>
        <w:jc w:val="center"/>
        <w:rPr>
          <w:rFonts w:ascii="Times New Roman" w:hAnsi="Times New Roman" w:cs="Times New Roman"/>
          <w:i/>
          <w:snapToGrid w:val="0"/>
          <w:color w:val="000000" w:themeColor="text1"/>
          <w:sz w:val="24"/>
          <w:szCs w:val="24"/>
        </w:rPr>
      </w:pPr>
    </w:p>
    <w:p w14:paraId="2B479973" w14:textId="1B3F4BF9" w:rsidR="002B1DB3" w:rsidRDefault="002E3939" w:rsidP="008B36CD">
      <w:pPr>
        <w:spacing w:line="240" w:lineRule="auto"/>
        <w:jc w:val="center"/>
        <w:rPr>
          <w:rFonts w:ascii="Times New Roman" w:hAnsi="Times New Roman" w:cs="Times New Roman"/>
          <w:i/>
          <w:snapToGrid w:val="0"/>
          <w:sz w:val="24"/>
          <w:szCs w:val="24"/>
        </w:rPr>
      </w:pPr>
      <w:r w:rsidRPr="002E3939">
        <w:rPr>
          <w:rFonts w:ascii="Times New Roman" w:hAnsi="Times New Roman" w:cs="Times New Roman"/>
          <w:i/>
          <w:snapToGrid w:val="0"/>
          <w:sz w:val="24"/>
          <w:szCs w:val="24"/>
        </w:rPr>
        <w:t xml:space="preserve">Illegal Logging Prohibition </w:t>
      </w:r>
      <w:r w:rsidR="002B1DB3" w:rsidRPr="005D1ABF">
        <w:rPr>
          <w:rFonts w:ascii="Times New Roman" w:hAnsi="Times New Roman" w:cs="Times New Roman"/>
          <w:i/>
          <w:snapToGrid w:val="0"/>
          <w:sz w:val="24"/>
          <w:szCs w:val="24"/>
        </w:rPr>
        <w:t>Act</w:t>
      </w:r>
      <w:r>
        <w:rPr>
          <w:rFonts w:ascii="Times New Roman" w:hAnsi="Times New Roman" w:cs="Times New Roman"/>
          <w:i/>
          <w:snapToGrid w:val="0"/>
          <w:sz w:val="24"/>
          <w:szCs w:val="24"/>
        </w:rPr>
        <w:t xml:space="preserve"> 2012</w:t>
      </w:r>
    </w:p>
    <w:p w14:paraId="6652464D" w14:textId="7D5FF6AC" w:rsidR="003939E5" w:rsidRDefault="003939E5" w:rsidP="008B36CD">
      <w:pPr>
        <w:spacing w:line="240" w:lineRule="auto"/>
        <w:jc w:val="center"/>
        <w:rPr>
          <w:rFonts w:ascii="Times New Roman" w:hAnsi="Times New Roman" w:cs="Times New Roman"/>
          <w:i/>
          <w:snapToGrid w:val="0"/>
          <w:sz w:val="24"/>
          <w:szCs w:val="24"/>
        </w:rPr>
      </w:pPr>
    </w:p>
    <w:p w14:paraId="44A406D6" w14:textId="4DC8863B" w:rsidR="003939E5" w:rsidRDefault="002970B7" w:rsidP="008B36CD">
      <w:pPr>
        <w:spacing w:line="240" w:lineRule="auto"/>
        <w:jc w:val="center"/>
        <w:rPr>
          <w:rFonts w:ascii="Times New Roman" w:hAnsi="Times New Roman" w:cs="Times New Roman"/>
          <w:i/>
          <w:sz w:val="24"/>
        </w:rPr>
      </w:pPr>
      <w:r w:rsidRPr="002970B7">
        <w:rPr>
          <w:rFonts w:ascii="Times New Roman" w:hAnsi="Times New Roman" w:cs="Times New Roman"/>
          <w:i/>
          <w:sz w:val="24"/>
        </w:rPr>
        <w:t>Illegal Logging Prohibition Amendment (2021 Measures No. 1) Regulations 2021</w:t>
      </w:r>
    </w:p>
    <w:p w14:paraId="20D2705C" w14:textId="77777777" w:rsidR="002970B7" w:rsidRPr="001A3865" w:rsidRDefault="002970B7" w:rsidP="008B36CD">
      <w:pPr>
        <w:spacing w:line="240" w:lineRule="auto"/>
        <w:jc w:val="center"/>
        <w:rPr>
          <w:rFonts w:ascii="Times New Roman" w:hAnsi="Times New Roman" w:cs="Times New Roman"/>
          <w:i/>
          <w:sz w:val="24"/>
          <w:szCs w:val="24"/>
        </w:rPr>
      </w:pPr>
    </w:p>
    <w:p w14:paraId="46679048" w14:textId="77777777" w:rsidR="002B1DB3" w:rsidRPr="001A3865" w:rsidRDefault="002B1DB3" w:rsidP="008B36CD">
      <w:pPr>
        <w:tabs>
          <w:tab w:val="left" w:pos="1701"/>
          <w:tab w:val="right" w:pos="9072"/>
        </w:tabs>
        <w:spacing w:line="240" w:lineRule="auto"/>
        <w:rPr>
          <w:rFonts w:ascii="Times New Roman" w:hAnsi="Times New Roman" w:cs="Times New Roman"/>
          <w:sz w:val="24"/>
          <w:szCs w:val="24"/>
        </w:rPr>
      </w:pPr>
      <w:r w:rsidRPr="001A3865">
        <w:rPr>
          <w:rFonts w:ascii="Times New Roman" w:hAnsi="Times New Roman" w:cs="Times New Roman"/>
          <w:b/>
          <w:sz w:val="24"/>
          <w:szCs w:val="24"/>
        </w:rPr>
        <w:t>Legislative Authority</w:t>
      </w:r>
    </w:p>
    <w:p w14:paraId="22312F32" w14:textId="44CB4F96" w:rsidR="000736A1" w:rsidRDefault="000736A1" w:rsidP="008B36CD">
      <w:pPr>
        <w:tabs>
          <w:tab w:val="left" w:pos="1701"/>
          <w:tab w:val="right" w:pos="9072"/>
        </w:tabs>
        <w:spacing w:line="240" w:lineRule="auto"/>
        <w:rPr>
          <w:rFonts w:ascii="Times New Roman" w:hAnsi="Times New Roman" w:cs="Times New Roman"/>
          <w:sz w:val="24"/>
        </w:rPr>
      </w:pPr>
      <w:r>
        <w:rPr>
          <w:rFonts w:ascii="Times New Roman" w:hAnsi="Times New Roman" w:cs="Times New Roman"/>
          <w:sz w:val="24"/>
        </w:rPr>
        <w:t xml:space="preserve">The </w:t>
      </w:r>
      <w:r w:rsidR="003939E5" w:rsidRPr="003939E5">
        <w:rPr>
          <w:rFonts w:ascii="Times New Roman" w:hAnsi="Times New Roman" w:cs="Times New Roman"/>
          <w:i/>
          <w:iCs/>
          <w:sz w:val="24"/>
        </w:rPr>
        <w:t xml:space="preserve">Illegal Logging Prohibition Amendment </w:t>
      </w:r>
      <w:r w:rsidR="002B37F5" w:rsidRPr="002970B7">
        <w:rPr>
          <w:rFonts w:ascii="Times New Roman" w:hAnsi="Times New Roman" w:cs="Times New Roman"/>
          <w:i/>
          <w:sz w:val="24"/>
        </w:rPr>
        <w:t>(2021 Measures No. 1)</w:t>
      </w:r>
      <w:r w:rsidR="003939E5" w:rsidRPr="003939E5">
        <w:rPr>
          <w:rFonts w:ascii="Times New Roman" w:hAnsi="Times New Roman" w:cs="Times New Roman"/>
          <w:i/>
          <w:iCs/>
          <w:sz w:val="24"/>
        </w:rPr>
        <w:t xml:space="preserve"> Regulations 2021</w:t>
      </w:r>
      <w:r w:rsidR="003939E5">
        <w:rPr>
          <w:rFonts w:ascii="Times New Roman" w:hAnsi="Times New Roman" w:cs="Times New Roman"/>
          <w:i/>
          <w:iCs/>
          <w:sz w:val="24"/>
        </w:rPr>
        <w:t xml:space="preserve"> </w:t>
      </w:r>
      <w:r w:rsidR="003939E5">
        <w:rPr>
          <w:rFonts w:ascii="Times New Roman" w:hAnsi="Times New Roman" w:cs="Times New Roman"/>
          <w:sz w:val="24"/>
        </w:rPr>
        <w:t xml:space="preserve">(the Regulation) </w:t>
      </w:r>
      <w:r>
        <w:rPr>
          <w:rFonts w:ascii="Times New Roman" w:hAnsi="Times New Roman" w:cs="Times New Roman"/>
          <w:sz w:val="24"/>
        </w:rPr>
        <w:t>make</w:t>
      </w:r>
      <w:r w:rsidR="003939E5">
        <w:rPr>
          <w:rFonts w:ascii="Times New Roman" w:hAnsi="Times New Roman" w:cs="Times New Roman"/>
          <w:sz w:val="24"/>
        </w:rPr>
        <w:t>s</w:t>
      </w:r>
      <w:r>
        <w:rPr>
          <w:rFonts w:ascii="Times New Roman" w:hAnsi="Times New Roman" w:cs="Times New Roman"/>
          <w:sz w:val="24"/>
        </w:rPr>
        <w:t xml:space="preserve"> regulation amendments to </w:t>
      </w:r>
      <w:r w:rsidR="002B37F5">
        <w:rPr>
          <w:rFonts w:ascii="Times New Roman" w:hAnsi="Times New Roman" w:cs="Times New Roman"/>
          <w:sz w:val="24"/>
        </w:rPr>
        <w:t xml:space="preserve">the </w:t>
      </w:r>
      <w:r w:rsidR="002B37F5" w:rsidRPr="00D67F30">
        <w:rPr>
          <w:rFonts w:ascii="Times New Roman" w:hAnsi="Times New Roman" w:cs="Times New Roman"/>
          <w:i/>
          <w:sz w:val="24"/>
        </w:rPr>
        <w:t>Illegal Logging Prohibition Regulation 2012</w:t>
      </w:r>
      <w:r w:rsidR="002B37F5">
        <w:rPr>
          <w:rFonts w:ascii="Times New Roman" w:hAnsi="Times New Roman" w:cs="Times New Roman"/>
          <w:sz w:val="24"/>
        </w:rPr>
        <w:t xml:space="preserve"> (the Principal Regulation) to </w:t>
      </w:r>
      <w:r w:rsidR="004475EF">
        <w:rPr>
          <w:rFonts w:ascii="Times New Roman" w:hAnsi="Times New Roman" w:cs="Times New Roman"/>
          <w:sz w:val="24"/>
        </w:rPr>
        <w:t xml:space="preserve">amend </w:t>
      </w:r>
      <w:r w:rsidR="005B06BD">
        <w:rPr>
          <w:rFonts w:ascii="Times New Roman" w:hAnsi="Times New Roman" w:cs="Times New Roman"/>
          <w:sz w:val="24"/>
        </w:rPr>
        <w:t xml:space="preserve">codes and </w:t>
      </w:r>
      <w:r w:rsidR="004475EF">
        <w:rPr>
          <w:rFonts w:ascii="Times New Roman" w:hAnsi="Times New Roman" w:cs="Times New Roman"/>
          <w:sz w:val="24"/>
        </w:rPr>
        <w:t xml:space="preserve">descriptions of regulated timber products, remove a country specific guideline, </w:t>
      </w:r>
      <w:r>
        <w:rPr>
          <w:rFonts w:ascii="Times New Roman" w:hAnsi="Times New Roman" w:cs="Times New Roman"/>
          <w:sz w:val="24"/>
        </w:rPr>
        <w:t xml:space="preserve">add a new country specific guideline </w:t>
      </w:r>
      <w:r w:rsidR="004475EF">
        <w:rPr>
          <w:rFonts w:ascii="Times New Roman" w:hAnsi="Times New Roman" w:cs="Times New Roman"/>
          <w:sz w:val="24"/>
        </w:rPr>
        <w:t>and</w:t>
      </w:r>
      <w:r>
        <w:rPr>
          <w:rFonts w:ascii="Times New Roman" w:hAnsi="Times New Roman" w:cs="Times New Roman"/>
          <w:sz w:val="24"/>
        </w:rPr>
        <w:t xml:space="preserve"> revise </w:t>
      </w:r>
      <w:r w:rsidR="00E315F3">
        <w:rPr>
          <w:rFonts w:ascii="Times New Roman" w:hAnsi="Times New Roman" w:cs="Times New Roman"/>
          <w:sz w:val="24"/>
        </w:rPr>
        <w:t>S</w:t>
      </w:r>
      <w:r>
        <w:rPr>
          <w:rFonts w:ascii="Times New Roman" w:hAnsi="Times New Roman" w:cs="Times New Roman"/>
          <w:sz w:val="24"/>
        </w:rPr>
        <w:t xml:space="preserve">tate specific guidelines. </w:t>
      </w:r>
    </w:p>
    <w:p w14:paraId="53EC672E" w14:textId="4263E4AC" w:rsidR="000736A1" w:rsidRPr="00800326" w:rsidRDefault="000736A1" w:rsidP="008B36CD">
      <w:pPr>
        <w:tabs>
          <w:tab w:val="left" w:pos="1701"/>
          <w:tab w:val="right" w:pos="9072"/>
        </w:tabs>
        <w:spacing w:line="240" w:lineRule="auto"/>
        <w:rPr>
          <w:rFonts w:ascii="Times New Roman" w:hAnsi="Times New Roman" w:cs="Times New Roman"/>
          <w:sz w:val="24"/>
        </w:rPr>
      </w:pPr>
      <w:r w:rsidRPr="00BC6A58">
        <w:rPr>
          <w:rFonts w:ascii="Times New Roman" w:hAnsi="Times New Roman" w:cs="Times New Roman"/>
          <w:sz w:val="24"/>
        </w:rPr>
        <w:t xml:space="preserve">The </w:t>
      </w:r>
      <w:r w:rsidRPr="00887C31">
        <w:rPr>
          <w:rFonts w:ascii="Times New Roman" w:hAnsi="Times New Roman" w:cs="Times New Roman"/>
          <w:i/>
          <w:sz w:val="24"/>
        </w:rPr>
        <w:t>Illegal Logging Prohibition Act 2012</w:t>
      </w:r>
      <w:r w:rsidRPr="00BC6A58">
        <w:rPr>
          <w:rFonts w:ascii="Times New Roman" w:hAnsi="Times New Roman" w:cs="Times New Roman"/>
          <w:sz w:val="24"/>
        </w:rPr>
        <w:t xml:space="preserve"> (the Act) aims to reduce the harmful environmental, </w:t>
      </w:r>
      <w:proofErr w:type="gramStart"/>
      <w:r w:rsidRPr="00BC6A58">
        <w:rPr>
          <w:rFonts w:ascii="Times New Roman" w:hAnsi="Times New Roman" w:cs="Times New Roman"/>
          <w:sz w:val="24"/>
        </w:rPr>
        <w:t>social</w:t>
      </w:r>
      <w:proofErr w:type="gramEnd"/>
      <w:r w:rsidRPr="00BC6A58">
        <w:rPr>
          <w:rFonts w:ascii="Times New Roman" w:hAnsi="Times New Roman" w:cs="Times New Roman"/>
          <w:sz w:val="24"/>
        </w:rPr>
        <w:t xml:space="preserve"> and economic impacts of illegal logging by restricting the importation and </w:t>
      </w:r>
      <w:r w:rsidR="00AC1CDF">
        <w:rPr>
          <w:rFonts w:ascii="Times New Roman" w:hAnsi="Times New Roman" w:cs="Times New Roman"/>
          <w:sz w:val="24"/>
        </w:rPr>
        <w:t>processing</w:t>
      </w:r>
      <w:r w:rsidR="00AC1CDF" w:rsidRPr="00BC6A58">
        <w:rPr>
          <w:rFonts w:ascii="Times New Roman" w:hAnsi="Times New Roman" w:cs="Times New Roman"/>
          <w:sz w:val="24"/>
        </w:rPr>
        <w:t xml:space="preserve"> </w:t>
      </w:r>
      <w:r w:rsidRPr="00BC6A58">
        <w:rPr>
          <w:rFonts w:ascii="Times New Roman" w:hAnsi="Times New Roman" w:cs="Times New Roman"/>
          <w:sz w:val="24"/>
        </w:rPr>
        <w:t>of illegally logged timber in Australia.</w:t>
      </w:r>
      <w:r w:rsidR="008B36CD">
        <w:rPr>
          <w:rFonts w:ascii="Times New Roman" w:hAnsi="Times New Roman" w:cs="Times New Roman"/>
          <w:sz w:val="24"/>
        </w:rPr>
        <w:t xml:space="preserve"> </w:t>
      </w:r>
      <w:r w:rsidR="008B36CD" w:rsidRPr="003A32B8">
        <w:rPr>
          <w:rFonts w:ascii="Times New Roman" w:hAnsi="Times New Roman" w:cs="Times New Roman"/>
          <w:sz w:val="24"/>
        </w:rPr>
        <w:t xml:space="preserve">The </w:t>
      </w:r>
      <w:r w:rsidR="008B36CD">
        <w:rPr>
          <w:rFonts w:ascii="Times New Roman" w:hAnsi="Times New Roman" w:cs="Times New Roman"/>
          <w:sz w:val="24"/>
        </w:rPr>
        <w:t xml:space="preserve">Principal </w:t>
      </w:r>
      <w:r w:rsidR="008B36CD" w:rsidRPr="003A32B8">
        <w:rPr>
          <w:rFonts w:ascii="Times New Roman" w:hAnsi="Times New Roman" w:cs="Times New Roman"/>
          <w:sz w:val="24"/>
        </w:rPr>
        <w:t>Regulation gives effect to various sections of the Act. This includes prescribing timber products that are regulated under the Act; the due diligence requirements for persons importing regulated timber products</w:t>
      </w:r>
      <w:r w:rsidR="008B36CD">
        <w:rPr>
          <w:rFonts w:ascii="Times New Roman" w:hAnsi="Times New Roman" w:cs="Times New Roman"/>
          <w:sz w:val="24"/>
        </w:rPr>
        <w:t>, including listing country specific guidelines for importers</w:t>
      </w:r>
      <w:r w:rsidR="008B36CD" w:rsidRPr="003A32B8">
        <w:rPr>
          <w:rFonts w:ascii="Times New Roman" w:hAnsi="Times New Roman" w:cs="Times New Roman"/>
          <w:sz w:val="24"/>
        </w:rPr>
        <w:t>; and the due diligence requirements for persons processing domestically grown raw logs</w:t>
      </w:r>
      <w:r w:rsidR="008B36CD">
        <w:rPr>
          <w:rFonts w:ascii="Times New Roman" w:hAnsi="Times New Roman" w:cs="Times New Roman"/>
          <w:sz w:val="24"/>
        </w:rPr>
        <w:t>, including listing State specific guidelines for processors.</w:t>
      </w:r>
    </w:p>
    <w:p w14:paraId="1A433621" w14:textId="702A7587" w:rsidR="003939E5" w:rsidRDefault="000736A1" w:rsidP="008B36CD">
      <w:pPr>
        <w:tabs>
          <w:tab w:val="left" w:pos="1701"/>
          <w:tab w:val="right" w:pos="9072"/>
        </w:tabs>
        <w:spacing w:line="240" w:lineRule="auto"/>
        <w:rPr>
          <w:rFonts w:ascii="Times New Roman" w:hAnsi="Times New Roman" w:cs="Times New Roman"/>
          <w:sz w:val="24"/>
        </w:rPr>
      </w:pPr>
      <w:r w:rsidRPr="00BC6A58">
        <w:rPr>
          <w:rFonts w:ascii="Times New Roman" w:hAnsi="Times New Roman" w:cs="Times New Roman"/>
          <w:sz w:val="24"/>
        </w:rPr>
        <w:t>Section 86 of the Act provides that the Governor</w:t>
      </w:r>
      <w:r w:rsidRPr="00BC6A58">
        <w:rPr>
          <w:rFonts w:ascii="Cambria Math" w:hAnsi="Cambria Math" w:cs="Cambria Math"/>
          <w:sz w:val="24"/>
        </w:rPr>
        <w:t>‑</w:t>
      </w:r>
      <w:r w:rsidRPr="00BC6A58">
        <w:rPr>
          <w:rFonts w:ascii="Times New Roman" w:hAnsi="Times New Roman" w:cs="Times New Roman"/>
          <w:sz w:val="24"/>
        </w:rPr>
        <w:t>General may make regulations prescribing matters required or permitted by the Act to be prescribed or matters necessary or convenient to be prescribed for carrying out or giving effect to the Act.</w:t>
      </w:r>
    </w:p>
    <w:p w14:paraId="71242068" w14:textId="77777777" w:rsidR="008D4672" w:rsidRPr="006D20F3" w:rsidRDefault="008D4672" w:rsidP="008D4672">
      <w:pPr>
        <w:tabs>
          <w:tab w:val="right" w:pos="9072"/>
        </w:tabs>
        <w:spacing w:line="240" w:lineRule="auto"/>
        <w:rPr>
          <w:rFonts w:ascii="Times New Roman" w:hAnsi="Times New Roman" w:cs="Times New Roman"/>
          <w:i/>
          <w:iCs/>
          <w:sz w:val="24"/>
          <w:u w:val="single"/>
        </w:rPr>
      </w:pPr>
      <w:r w:rsidRPr="006D20F3">
        <w:rPr>
          <w:rFonts w:ascii="Times New Roman" w:hAnsi="Times New Roman" w:cs="Times New Roman"/>
          <w:i/>
          <w:iCs/>
          <w:sz w:val="24"/>
          <w:u w:val="single"/>
        </w:rPr>
        <w:t>Regulated timber products</w:t>
      </w:r>
    </w:p>
    <w:p w14:paraId="11FC3324" w14:textId="77777777" w:rsidR="008D4672" w:rsidRPr="006D20F3" w:rsidRDefault="008D4672" w:rsidP="008D4672">
      <w:pPr>
        <w:tabs>
          <w:tab w:val="right" w:pos="9072"/>
        </w:tabs>
        <w:spacing w:line="240" w:lineRule="auto"/>
        <w:rPr>
          <w:rFonts w:ascii="Times New Roman" w:hAnsi="Times New Roman" w:cs="Times New Roman"/>
          <w:sz w:val="24"/>
        </w:rPr>
      </w:pPr>
      <w:r w:rsidRPr="006D20F3">
        <w:rPr>
          <w:rFonts w:ascii="Times New Roman" w:hAnsi="Times New Roman" w:cs="Times New Roman"/>
          <w:sz w:val="24"/>
        </w:rPr>
        <w:t>The Harmoni</w:t>
      </w:r>
      <w:r>
        <w:rPr>
          <w:rFonts w:ascii="Times New Roman" w:hAnsi="Times New Roman" w:cs="Times New Roman"/>
          <w:sz w:val="24"/>
        </w:rPr>
        <w:t>z</w:t>
      </w:r>
      <w:r w:rsidRPr="006D20F3">
        <w:rPr>
          <w:rFonts w:ascii="Times New Roman" w:hAnsi="Times New Roman" w:cs="Times New Roman"/>
          <w:sz w:val="24"/>
        </w:rPr>
        <w:t>ed Commodity Description and Coding System (the Harmoni</w:t>
      </w:r>
      <w:r>
        <w:rPr>
          <w:rFonts w:ascii="Times New Roman" w:hAnsi="Times New Roman" w:cs="Times New Roman"/>
          <w:sz w:val="24"/>
        </w:rPr>
        <w:t>z</w:t>
      </w:r>
      <w:r w:rsidRPr="006D20F3">
        <w:rPr>
          <w:rFonts w:ascii="Times New Roman" w:hAnsi="Times New Roman" w:cs="Times New Roman"/>
          <w:sz w:val="24"/>
        </w:rPr>
        <w:t>ed System) is a framework of codes and descriptions used to identify all tradeable goods, administered by the Department of Home Affairs. This H</w:t>
      </w:r>
      <w:r>
        <w:rPr>
          <w:rFonts w:ascii="Times New Roman" w:hAnsi="Times New Roman" w:cs="Times New Roman"/>
          <w:sz w:val="24"/>
        </w:rPr>
        <w:t>armonize</w:t>
      </w:r>
      <w:r w:rsidRPr="006D20F3">
        <w:rPr>
          <w:rFonts w:ascii="Times New Roman" w:hAnsi="Times New Roman" w:cs="Times New Roman"/>
          <w:sz w:val="24"/>
        </w:rPr>
        <w:t>d System is updated every 5 years, and the H</w:t>
      </w:r>
      <w:r>
        <w:rPr>
          <w:rFonts w:ascii="Times New Roman" w:hAnsi="Times New Roman" w:cs="Times New Roman"/>
          <w:sz w:val="24"/>
        </w:rPr>
        <w:t>armonize</w:t>
      </w:r>
      <w:r w:rsidRPr="006D20F3">
        <w:rPr>
          <w:rFonts w:ascii="Times New Roman" w:hAnsi="Times New Roman" w:cs="Times New Roman"/>
          <w:sz w:val="24"/>
        </w:rPr>
        <w:t xml:space="preserve">d System of 2022 is due to enter into force on 1 January 2022. </w:t>
      </w:r>
    </w:p>
    <w:p w14:paraId="13429B36" w14:textId="0D487D05" w:rsidR="008D4672" w:rsidRPr="006D20F3" w:rsidRDefault="008D4672" w:rsidP="008D4672">
      <w:pPr>
        <w:tabs>
          <w:tab w:val="right" w:pos="9072"/>
        </w:tabs>
        <w:spacing w:line="240" w:lineRule="auto"/>
        <w:rPr>
          <w:rFonts w:ascii="Times New Roman" w:hAnsi="Times New Roman" w:cs="Times New Roman"/>
          <w:sz w:val="24"/>
        </w:rPr>
      </w:pPr>
      <w:r w:rsidRPr="006D20F3">
        <w:rPr>
          <w:rFonts w:ascii="Times New Roman" w:hAnsi="Times New Roman" w:cs="Times New Roman"/>
          <w:sz w:val="24"/>
        </w:rPr>
        <w:t xml:space="preserve">The </w:t>
      </w:r>
      <w:r w:rsidRPr="006D20F3">
        <w:rPr>
          <w:rFonts w:ascii="Times New Roman" w:hAnsi="Times New Roman" w:cs="Times New Roman"/>
          <w:i/>
          <w:iCs/>
          <w:sz w:val="24"/>
        </w:rPr>
        <w:t>Customs Tariff Amendment (2022 Harmonized System Changes) Act 2021</w:t>
      </w:r>
      <w:r w:rsidRPr="006D20F3">
        <w:rPr>
          <w:rFonts w:ascii="Times New Roman" w:hAnsi="Times New Roman" w:cs="Times New Roman"/>
          <w:sz w:val="24"/>
        </w:rPr>
        <w:t xml:space="preserve"> received </w:t>
      </w:r>
      <w:r>
        <w:rPr>
          <w:rFonts w:ascii="Times New Roman" w:hAnsi="Times New Roman" w:cs="Times New Roman"/>
          <w:sz w:val="24"/>
        </w:rPr>
        <w:t>Royal A</w:t>
      </w:r>
      <w:r w:rsidRPr="006D20F3">
        <w:rPr>
          <w:rFonts w:ascii="Times New Roman" w:hAnsi="Times New Roman" w:cs="Times New Roman"/>
          <w:sz w:val="24"/>
        </w:rPr>
        <w:t xml:space="preserve">ssent on 2 September 2021. </w:t>
      </w:r>
      <w:r>
        <w:rPr>
          <w:rFonts w:ascii="Times New Roman" w:hAnsi="Times New Roman" w:cs="Times New Roman"/>
          <w:sz w:val="24"/>
        </w:rPr>
        <w:t>This Act</w:t>
      </w:r>
      <w:r w:rsidRPr="006D20F3">
        <w:rPr>
          <w:rFonts w:ascii="Times New Roman" w:hAnsi="Times New Roman" w:cs="Times New Roman"/>
          <w:sz w:val="24"/>
        </w:rPr>
        <w:t xml:space="preserve"> amend</w:t>
      </w:r>
      <w:r>
        <w:rPr>
          <w:rFonts w:ascii="Times New Roman" w:hAnsi="Times New Roman" w:cs="Times New Roman"/>
          <w:sz w:val="24"/>
        </w:rPr>
        <w:t>s</w:t>
      </w:r>
      <w:r w:rsidRPr="006D20F3">
        <w:rPr>
          <w:rFonts w:ascii="Times New Roman" w:hAnsi="Times New Roman" w:cs="Times New Roman"/>
          <w:sz w:val="24"/>
        </w:rPr>
        <w:t xml:space="preserve"> the </w:t>
      </w:r>
      <w:r w:rsidRPr="006D20F3">
        <w:rPr>
          <w:rFonts w:ascii="Times New Roman" w:hAnsi="Times New Roman" w:cs="Times New Roman"/>
          <w:i/>
          <w:iCs/>
          <w:sz w:val="24"/>
        </w:rPr>
        <w:t>Customs Tariff Act 1995</w:t>
      </w:r>
      <w:r w:rsidRPr="006D20F3">
        <w:rPr>
          <w:rFonts w:ascii="Times New Roman" w:hAnsi="Times New Roman" w:cs="Times New Roman"/>
          <w:sz w:val="24"/>
        </w:rPr>
        <w:t xml:space="preserve"> (the Tariff Act) to replace the codes and descriptions of the H</w:t>
      </w:r>
      <w:r>
        <w:rPr>
          <w:rFonts w:ascii="Times New Roman" w:hAnsi="Times New Roman" w:cs="Times New Roman"/>
          <w:sz w:val="24"/>
        </w:rPr>
        <w:t>armonize</w:t>
      </w:r>
      <w:r w:rsidRPr="006D20F3">
        <w:rPr>
          <w:rFonts w:ascii="Times New Roman" w:hAnsi="Times New Roman" w:cs="Times New Roman"/>
          <w:sz w:val="24"/>
        </w:rPr>
        <w:t>d System of 2017 and replace them with the codes and descriptions of the H</w:t>
      </w:r>
      <w:r>
        <w:rPr>
          <w:rFonts w:ascii="Times New Roman" w:hAnsi="Times New Roman" w:cs="Times New Roman"/>
          <w:sz w:val="24"/>
        </w:rPr>
        <w:t>armonize</w:t>
      </w:r>
      <w:r w:rsidRPr="006D20F3">
        <w:rPr>
          <w:rFonts w:ascii="Times New Roman" w:hAnsi="Times New Roman" w:cs="Times New Roman"/>
          <w:sz w:val="24"/>
        </w:rPr>
        <w:t xml:space="preserve">d System of 2022. This will ensure that, from </w:t>
      </w:r>
      <w:r w:rsidR="00AC1CDF" w:rsidRPr="006D20F3">
        <w:rPr>
          <w:rFonts w:ascii="Times New Roman" w:hAnsi="Times New Roman" w:cs="Times New Roman"/>
          <w:sz w:val="24"/>
        </w:rPr>
        <w:t>1</w:t>
      </w:r>
      <w:r w:rsidR="00AC1CDF">
        <w:rPr>
          <w:rFonts w:ascii="Times New Roman" w:hAnsi="Times New Roman" w:cs="Times New Roman"/>
          <w:sz w:val="24"/>
        </w:rPr>
        <w:t> </w:t>
      </w:r>
      <w:r w:rsidRPr="006D20F3">
        <w:rPr>
          <w:rFonts w:ascii="Times New Roman" w:hAnsi="Times New Roman" w:cs="Times New Roman"/>
          <w:sz w:val="24"/>
        </w:rPr>
        <w:t>January 2022, the codes and description used to identify goods imported into Australia are consistent with those in the latest version of th</w:t>
      </w:r>
      <w:r>
        <w:rPr>
          <w:rFonts w:ascii="Times New Roman" w:hAnsi="Times New Roman" w:cs="Times New Roman"/>
          <w:sz w:val="24"/>
        </w:rPr>
        <w:t>e Harmonized</w:t>
      </w:r>
      <w:r w:rsidRPr="006D20F3">
        <w:rPr>
          <w:rFonts w:ascii="Times New Roman" w:hAnsi="Times New Roman" w:cs="Times New Roman"/>
          <w:sz w:val="24"/>
        </w:rPr>
        <w:t xml:space="preserve"> System.</w:t>
      </w:r>
    </w:p>
    <w:p w14:paraId="7D4923C1" w14:textId="77777777" w:rsidR="008D4672" w:rsidRDefault="008D4672" w:rsidP="008D4672">
      <w:pPr>
        <w:tabs>
          <w:tab w:val="right" w:pos="9072"/>
        </w:tabs>
        <w:spacing w:line="240" w:lineRule="auto"/>
        <w:rPr>
          <w:rFonts w:ascii="Times New Roman" w:hAnsi="Times New Roman" w:cs="Times New Roman"/>
          <w:sz w:val="24"/>
        </w:rPr>
      </w:pPr>
      <w:r w:rsidRPr="006D20F3">
        <w:rPr>
          <w:rFonts w:ascii="Times New Roman" w:hAnsi="Times New Roman" w:cs="Times New Roman"/>
          <w:sz w:val="24"/>
        </w:rPr>
        <w:t xml:space="preserve">Schedule 1 to </w:t>
      </w:r>
      <w:r>
        <w:rPr>
          <w:rFonts w:ascii="Times New Roman" w:hAnsi="Times New Roman" w:cs="Times New Roman"/>
          <w:sz w:val="24"/>
        </w:rPr>
        <w:t>the Principal Regulation</w:t>
      </w:r>
      <w:r w:rsidRPr="006D20F3">
        <w:rPr>
          <w:rFonts w:ascii="Times New Roman" w:hAnsi="Times New Roman" w:cs="Times New Roman"/>
          <w:sz w:val="24"/>
        </w:rPr>
        <w:t xml:space="preserve"> also refers to the codes and descriptions used in the Tariff Act, which in turn uses the codes and descriptions in the H</w:t>
      </w:r>
      <w:r>
        <w:rPr>
          <w:rFonts w:ascii="Times New Roman" w:hAnsi="Times New Roman" w:cs="Times New Roman"/>
          <w:sz w:val="24"/>
        </w:rPr>
        <w:t>armonize</w:t>
      </w:r>
      <w:r w:rsidRPr="006D20F3">
        <w:rPr>
          <w:rFonts w:ascii="Times New Roman" w:hAnsi="Times New Roman" w:cs="Times New Roman"/>
          <w:sz w:val="24"/>
        </w:rPr>
        <w:t xml:space="preserve">d System. </w:t>
      </w:r>
      <w:r>
        <w:rPr>
          <w:rFonts w:ascii="Times New Roman" w:hAnsi="Times New Roman" w:cs="Times New Roman"/>
          <w:sz w:val="24"/>
        </w:rPr>
        <w:t>The Regulations update the codes and descriptions of two items within Schedule 1 of the Principal Regulation, which refer to wooden frames and wooden parts of furniture, respectively. This ensures that the codes and descriptions of regulated timber products listed in Schedule 1 reflect current information.</w:t>
      </w:r>
    </w:p>
    <w:p w14:paraId="69FA29B1" w14:textId="77777777" w:rsidR="000736A1" w:rsidRPr="008B36CD" w:rsidRDefault="000736A1" w:rsidP="0026710D">
      <w:pPr>
        <w:keepNext/>
        <w:tabs>
          <w:tab w:val="left" w:pos="1701"/>
          <w:tab w:val="right" w:pos="9072"/>
        </w:tabs>
        <w:spacing w:line="240" w:lineRule="auto"/>
        <w:rPr>
          <w:rFonts w:ascii="Times New Roman" w:hAnsi="Times New Roman" w:cs="Times New Roman"/>
          <w:i/>
          <w:iCs/>
          <w:sz w:val="24"/>
          <w:u w:val="single"/>
        </w:rPr>
      </w:pPr>
      <w:r w:rsidRPr="008B36CD">
        <w:rPr>
          <w:rFonts w:ascii="Times New Roman" w:hAnsi="Times New Roman" w:cs="Times New Roman"/>
          <w:i/>
          <w:iCs/>
          <w:sz w:val="24"/>
          <w:u w:val="single"/>
        </w:rPr>
        <w:lastRenderedPageBreak/>
        <w:t>Country specific guidelines</w:t>
      </w:r>
    </w:p>
    <w:p w14:paraId="3BBADABB" w14:textId="56DC2776" w:rsidR="008B36CD" w:rsidRPr="005D1944" w:rsidRDefault="008B36CD" w:rsidP="008B36CD">
      <w:pPr>
        <w:tabs>
          <w:tab w:val="right" w:pos="9072"/>
        </w:tabs>
        <w:spacing w:line="240" w:lineRule="auto"/>
        <w:rPr>
          <w:rFonts w:ascii="Times New Roman" w:hAnsi="Times New Roman" w:cs="Times New Roman"/>
          <w:sz w:val="24"/>
          <w:szCs w:val="24"/>
        </w:rPr>
      </w:pPr>
      <w:r w:rsidRPr="005D1944">
        <w:rPr>
          <w:rFonts w:ascii="Times New Roman" w:hAnsi="Times New Roman" w:cs="Times New Roman"/>
          <w:sz w:val="24"/>
        </w:rPr>
        <w:t>The new country specific guideline for Thailand provide</w:t>
      </w:r>
      <w:r w:rsidR="00EE5FC8">
        <w:rPr>
          <w:rFonts w:ascii="Times New Roman" w:hAnsi="Times New Roman" w:cs="Times New Roman"/>
          <w:sz w:val="24"/>
        </w:rPr>
        <w:t>s</w:t>
      </w:r>
      <w:r w:rsidRPr="005D1944">
        <w:rPr>
          <w:rFonts w:ascii="Times New Roman" w:hAnsi="Times New Roman" w:cs="Times New Roman"/>
          <w:sz w:val="24"/>
        </w:rPr>
        <w:t xml:space="preserve"> an </w:t>
      </w:r>
      <w:r w:rsidRPr="005D1944">
        <w:rPr>
          <w:rFonts w:ascii="Times New Roman" w:hAnsi="Times New Roman" w:cs="Times New Roman"/>
          <w:sz w:val="24"/>
          <w:szCs w:val="24"/>
        </w:rPr>
        <w:t xml:space="preserve">additional option by which importers of regulated timber products </w:t>
      </w:r>
      <w:r w:rsidR="004C65F7" w:rsidRPr="005D1944">
        <w:rPr>
          <w:rFonts w:ascii="Times New Roman" w:hAnsi="Times New Roman" w:cs="Times New Roman"/>
          <w:sz w:val="24"/>
          <w:szCs w:val="24"/>
        </w:rPr>
        <w:t>containing timber harvested in</w:t>
      </w:r>
      <w:r w:rsidRPr="005D1944">
        <w:rPr>
          <w:rFonts w:ascii="Times New Roman" w:hAnsi="Times New Roman" w:cs="Times New Roman"/>
          <w:sz w:val="24"/>
          <w:szCs w:val="24"/>
        </w:rPr>
        <w:t xml:space="preserve"> Thailand may conduct due diligence to reduce the risk that imported regulated timber products </w:t>
      </w:r>
      <w:r w:rsidR="005612AD" w:rsidRPr="005D1944">
        <w:rPr>
          <w:rFonts w:ascii="Times New Roman" w:hAnsi="Times New Roman" w:cs="Times New Roman"/>
          <w:sz w:val="24"/>
          <w:szCs w:val="24"/>
        </w:rPr>
        <w:t xml:space="preserve">containing timber harvested in that </w:t>
      </w:r>
      <w:r w:rsidRPr="005D1944">
        <w:rPr>
          <w:rFonts w:ascii="Times New Roman" w:hAnsi="Times New Roman" w:cs="Times New Roman"/>
          <w:sz w:val="24"/>
          <w:szCs w:val="24"/>
        </w:rPr>
        <w:t>country are, are made from, or include, illegally logged timber.</w:t>
      </w:r>
      <w:r w:rsidR="00CE43B0" w:rsidRPr="005D1944" w:rsidDel="00CE43B0">
        <w:rPr>
          <w:rFonts w:ascii="Times New Roman" w:hAnsi="Times New Roman" w:cs="Times New Roman"/>
          <w:sz w:val="24"/>
          <w:szCs w:val="24"/>
        </w:rPr>
        <w:t xml:space="preserve"> </w:t>
      </w:r>
    </w:p>
    <w:p w14:paraId="46BF80BE" w14:textId="676FC366" w:rsidR="008B36CD" w:rsidRPr="008B36CD" w:rsidRDefault="008B36CD" w:rsidP="008B36CD">
      <w:pPr>
        <w:tabs>
          <w:tab w:val="right" w:pos="9072"/>
        </w:tabs>
        <w:spacing w:line="240" w:lineRule="auto"/>
        <w:rPr>
          <w:rFonts w:ascii="Times New Roman" w:hAnsi="Times New Roman" w:cs="Times New Roman"/>
          <w:sz w:val="24"/>
          <w:szCs w:val="24"/>
        </w:rPr>
      </w:pPr>
      <w:r w:rsidRPr="005D1944">
        <w:rPr>
          <w:rFonts w:ascii="Times New Roman" w:hAnsi="Times New Roman" w:cs="Times New Roman"/>
          <w:sz w:val="24"/>
          <w:szCs w:val="24"/>
        </w:rPr>
        <w:t>The removal of the country specific guideline for the Solomon Islands ensures that the prescribed country specific guidelines under the Principal Regulations reflect reasonably current information. The country specific guidelines listed in Schedule 2 of the Principal Regulation are periodically reviewed and updated where needed, in consultation</w:t>
      </w:r>
      <w:r w:rsidRPr="00800326">
        <w:rPr>
          <w:rFonts w:ascii="Times New Roman" w:hAnsi="Times New Roman" w:cs="Times New Roman"/>
          <w:sz w:val="24"/>
          <w:szCs w:val="24"/>
        </w:rPr>
        <w:t xml:space="preserve"> with the respective jurisdiction</w:t>
      </w:r>
      <w:r w:rsidR="007D1643">
        <w:rPr>
          <w:rFonts w:ascii="Times New Roman" w:hAnsi="Times New Roman" w:cs="Times New Roman"/>
          <w:sz w:val="24"/>
          <w:szCs w:val="24"/>
        </w:rPr>
        <w:t xml:space="preserve"> </w:t>
      </w:r>
      <w:r w:rsidRPr="00800326">
        <w:rPr>
          <w:rFonts w:ascii="Times New Roman" w:hAnsi="Times New Roman" w:cs="Times New Roman"/>
          <w:sz w:val="24"/>
          <w:szCs w:val="24"/>
        </w:rPr>
        <w:t>to ensure they continue to accurately detail timber legality information.</w:t>
      </w:r>
      <w:r>
        <w:rPr>
          <w:rFonts w:ascii="Times New Roman" w:hAnsi="Times New Roman" w:cs="Times New Roman"/>
          <w:sz w:val="24"/>
          <w:szCs w:val="24"/>
        </w:rPr>
        <w:t xml:space="preserve"> </w:t>
      </w:r>
      <w:r w:rsidR="00370B44" w:rsidRPr="00370B44">
        <w:rPr>
          <w:rFonts w:ascii="Times New Roman" w:hAnsi="Times New Roman" w:cs="Times New Roman"/>
          <w:sz w:val="24"/>
          <w:szCs w:val="24"/>
        </w:rPr>
        <w:t>The department has engaged with the Solomon Islands country specific guideline through the periodic review process and as a result of this engagement, a decision has been made that this country specific guideline should now be removed from incorporation under the Principal Regulation</w:t>
      </w:r>
      <w:r w:rsidRPr="00800326">
        <w:rPr>
          <w:rFonts w:ascii="Times New Roman" w:hAnsi="Times New Roman" w:cs="Times New Roman"/>
          <w:sz w:val="24"/>
          <w:szCs w:val="24"/>
        </w:rPr>
        <w:t>.</w:t>
      </w:r>
    </w:p>
    <w:p w14:paraId="347A7AE3" w14:textId="77777777" w:rsidR="000736A1" w:rsidRPr="008B36CD" w:rsidRDefault="000736A1" w:rsidP="0026710D">
      <w:pPr>
        <w:keepNext/>
        <w:tabs>
          <w:tab w:val="right" w:pos="9072"/>
        </w:tabs>
        <w:spacing w:line="240" w:lineRule="auto"/>
        <w:rPr>
          <w:rFonts w:ascii="Times New Roman" w:hAnsi="Times New Roman" w:cs="Times New Roman"/>
          <w:i/>
          <w:iCs/>
          <w:sz w:val="24"/>
          <w:u w:val="single"/>
        </w:rPr>
      </w:pPr>
      <w:r w:rsidRPr="008B36CD">
        <w:rPr>
          <w:rFonts w:ascii="Times New Roman" w:hAnsi="Times New Roman" w:cs="Times New Roman"/>
          <w:i/>
          <w:iCs/>
          <w:sz w:val="24"/>
          <w:u w:val="single"/>
        </w:rPr>
        <w:t>State specific guidelines</w:t>
      </w:r>
    </w:p>
    <w:p w14:paraId="0443999D" w14:textId="0A83874B" w:rsidR="008B36CD" w:rsidRPr="00800326" w:rsidRDefault="008B36CD" w:rsidP="008B36CD">
      <w:pPr>
        <w:tabs>
          <w:tab w:val="right" w:pos="9072"/>
        </w:tabs>
        <w:spacing w:line="240" w:lineRule="auto"/>
        <w:rPr>
          <w:rFonts w:ascii="Times New Roman" w:hAnsi="Times New Roman" w:cs="Times New Roman"/>
          <w:sz w:val="24"/>
        </w:rPr>
      </w:pPr>
      <w:r w:rsidRPr="00800326">
        <w:rPr>
          <w:rFonts w:ascii="Times New Roman" w:hAnsi="Times New Roman" w:cs="Times New Roman"/>
          <w:sz w:val="24"/>
        </w:rPr>
        <w:t xml:space="preserve">The </w:t>
      </w:r>
      <w:r>
        <w:rPr>
          <w:rFonts w:ascii="Times New Roman" w:hAnsi="Times New Roman" w:cs="Times New Roman"/>
          <w:sz w:val="24"/>
        </w:rPr>
        <w:t>addition of the</w:t>
      </w:r>
      <w:r w:rsidRPr="00800326">
        <w:rPr>
          <w:rFonts w:ascii="Times New Roman" w:hAnsi="Times New Roman" w:cs="Times New Roman"/>
          <w:sz w:val="24"/>
        </w:rPr>
        <w:t xml:space="preserve"> revised versions of the State specific guidelines for Tasmania and South Australia </w:t>
      </w:r>
      <w:r>
        <w:rPr>
          <w:rFonts w:ascii="Times New Roman" w:hAnsi="Times New Roman" w:cs="Times New Roman"/>
          <w:sz w:val="24"/>
        </w:rPr>
        <w:t>enables</w:t>
      </w:r>
      <w:r w:rsidRPr="00800326">
        <w:rPr>
          <w:rFonts w:ascii="Times New Roman" w:hAnsi="Times New Roman" w:cs="Times New Roman"/>
          <w:sz w:val="24"/>
        </w:rPr>
        <w:t xml:space="preserve"> processors of raw logs to access the most up-to-date guidance material on legal frameworks in those States in order to carry out their due diligence obligations.</w:t>
      </w:r>
    </w:p>
    <w:p w14:paraId="361C916D" w14:textId="77777777" w:rsidR="008B36CD" w:rsidRPr="008B36CD" w:rsidRDefault="008B36CD" w:rsidP="008B36CD">
      <w:pPr>
        <w:tabs>
          <w:tab w:val="right" w:pos="9072"/>
        </w:tabs>
        <w:spacing w:line="240" w:lineRule="auto"/>
        <w:rPr>
          <w:rFonts w:ascii="Times New Roman" w:hAnsi="Times New Roman" w:cs="Times New Roman"/>
          <w:sz w:val="24"/>
        </w:rPr>
      </w:pPr>
    </w:p>
    <w:p w14:paraId="21DC3117" w14:textId="77777777" w:rsidR="002B1DB3" w:rsidRPr="001A3865" w:rsidRDefault="002B1DB3" w:rsidP="008B36CD">
      <w:pPr>
        <w:tabs>
          <w:tab w:val="left" w:pos="1701"/>
          <w:tab w:val="right" w:pos="9072"/>
        </w:tabs>
        <w:spacing w:line="240" w:lineRule="auto"/>
        <w:rPr>
          <w:rFonts w:ascii="Times New Roman" w:hAnsi="Times New Roman" w:cs="Times New Roman"/>
          <w:b/>
          <w:sz w:val="24"/>
          <w:szCs w:val="24"/>
        </w:rPr>
      </w:pPr>
      <w:r w:rsidRPr="001A3865">
        <w:rPr>
          <w:rFonts w:ascii="Times New Roman" w:hAnsi="Times New Roman" w:cs="Times New Roman"/>
          <w:b/>
          <w:sz w:val="24"/>
          <w:szCs w:val="24"/>
        </w:rPr>
        <w:t>Purpose</w:t>
      </w:r>
    </w:p>
    <w:p w14:paraId="30683480" w14:textId="7C754ABA" w:rsidR="005D1944" w:rsidRDefault="005D1944" w:rsidP="005D1944">
      <w:pPr>
        <w:tabs>
          <w:tab w:val="left" w:pos="1701"/>
          <w:tab w:val="right" w:pos="9072"/>
        </w:tabs>
        <w:spacing w:line="240" w:lineRule="auto"/>
        <w:rPr>
          <w:rFonts w:ascii="Times New Roman" w:hAnsi="Times New Roman" w:cs="Times New Roman"/>
          <w:sz w:val="24"/>
        </w:rPr>
      </w:pPr>
      <w:r w:rsidRPr="00A13870">
        <w:rPr>
          <w:rFonts w:ascii="Times New Roman" w:hAnsi="Times New Roman" w:cs="Times New Roman"/>
          <w:sz w:val="24"/>
        </w:rPr>
        <w:t xml:space="preserve">The purpose of </w:t>
      </w:r>
      <w:r>
        <w:rPr>
          <w:rFonts w:ascii="Times New Roman" w:hAnsi="Times New Roman" w:cs="Times New Roman"/>
          <w:sz w:val="24"/>
        </w:rPr>
        <w:t>the Regulations is to:</w:t>
      </w:r>
      <w:r w:rsidRPr="00A13870">
        <w:rPr>
          <w:rFonts w:ascii="Times New Roman" w:hAnsi="Times New Roman" w:cs="Times New Roman"/>
          <w:sz w:val="24"/>
        </w:rPr>
        <w:t xml:space="preserve"> </w:t>
      </w:r>
      <w:r>
        <w:rPr>
          <w:rFonts w:ascii="Times New Roman" w:hAnsi="Times New Roman" w:cs="Times New Roman"/>
          <w:sz w:val="24"/>
        </w:rPr>
        <w:t xml:space="preserve">amend Schedule 1 to update codes and descriptions of regulated timber products as a result of changes made to the </w:t>
      </w:r>
      <w:r w:rsidRPr="006D20F3">
        <w:rPr>
          <w:rFonts w:ascii="Times New Roman" w:hAnsi="Times New Roman" w:cs="Times New Roman"/>
          <w:sz w:val="24"/>
        </w:rPr>
        <w:t>Harmoni</w:t>
      </w:r>
      <w:r>
        <w:rPr>
          <w:rFonts w:ascii="Times New Roman" w:hAnsi="Times New Roman" w:cs="Times New Roman"/>
          <w:sz w:val="24"/>
        </w:rPr>
        <w:t>z</w:t>
      </w:r>
      <w:r w:rsidRPr="006D20F3">
        <w:rPr>
          <w:rFonts w:ascii="Times New Roman" w:hAnsi="Times New Roman" w:cs="Times New Roman"/>
          <w:sz w:val="24"/>
        </w:rPr>
        <w:t>ed Commodity Description and Coding System</w:t>
      </w:r>
      <w:r>
        <w:rPr>
          <w:rFonts w:ascii="Times New Roman" w:hAnsi="Times New Roman" w:cs="Times New Roman"/>
          <w:sz w:val="24"/>
        </w:rPr>
        <w:t>;</w:t>
      </w:r>
      <w:r w:rsidRPr="00A13870">
        <w:rPr>
          <w:rFonts w:ascii="Times New Roman" w:hAnsi="Times New Roman" w:cs="Times New Roman"/>
          <w:sz w:val="24"/>
        </w:rPr>
        <w:t xml:space="preserve"> amend Part 2 of Schedule 2 to the Principal Regulation to add a new country specific guideline for Thailand</w:t>
      </w:r>
      <w:r>
        <w:rPr>
          <w:rFonts w:ascii="Times New Roman" w:hAnsi="Times New Roman" w:cs="Times New Roman"/>
          <w:sz w:val="24"/>
        </w:rPr>
        <w:t>;</w:t>
      </w:r>
      <w:r w:rsidRPr="00A13870">
        <w:rPr>
          <w:rFonts w:ascii="Times New Roman" w:hAnsi="Times New Roman" w:cs="Times New Roman"/>
          <w:sz w:val="24"/>
        </w:rPr>
        <w:t xml:space="preserve"> remove the country specific guideline for the Solomon Islands</w:t>
      </w:r>
      <w:r>
        <w:rPr>
          <w:rFonts w:ascii="Times New Roman" w:hAnsi="Times New Roman" w:cs="Times New Roman"/>
          <w:sz w:val="24"/>
        </w:rPr>
        <w:t>;</w:t>
      </w:r>
      <w:r w:rsidRPr="00A13870">
        <w:rPr>
          <w:rFonts w:ascii="Times New Roman" w:hAnsi="Times New Roman" w:cs="Times New Roman"/>
          <w:sz w:val="24"/>
        </w:rPr>
        <w:t xml:space="preserve"> </w:t>
      </w:r>
      <w:r>
        <w:rPr>
          <w:rFonts w:ascii="Times New Roman" w:hAnsi="Times New Roman" w:cs="Times New Roman"/>
          <w:sz w:val="24"/>
        </w:rPr>
        <w:t xml:space="preserve">and </w:t>
      </w:r>
      <w:r w:rsidRPr="00A13870">
        <w:rPr>
          <w:rFonts w:ascii="Times New Roman" w:hAnsi="Times New Roman" w:cs="Times New Roman"/>
          <w:sz w:val="24"/>
        </w:rPr>
        <w:t xml:space="preserve">amend Part 3 of Schedule </w:t>
      </w:r>
      <w:r>
        <w:rPr>
          <w:rFonts w:ascii="Times New Roman" w:hAnsi="Times New Roman" w:cs="Times New Roman"/>
          <w:sz w:val="24"/>
        </w:rPr>
        <w:t>2</w:t>
      </w:r>
      <w:r w:rsidRPr="00A13870">
        <w:rPr>
          <w:rFonts w:ascii="Times New Roman" w:hAnsi="Times New Roman" w:cs="Times New Roman"/>
          <w:sz w:val="24"/>
        </w:rPr>
        <w:t xml:space="preserve"> to provide revised </w:t>
      </w:r>
      <w:r>
        <w:rPr>
          <w:rFonts w:ascii="Times New Roman" w:hAnsi="Times New Roman" w:cs="Times New Roman"/>
          <w:sz w:val="24"/>
        </w:rPr>
        <w:t>S</w:t>
      </w:r>
      <w:r w:rsidRPr="00A13870">
        <w:rPr>
          <w:rFonts w:ascii="Times New Roman" w:hAnsi="Times New Roman" w:cs="Times New Roman"/>
          <w:sz w:val="24"/>
        </w:rPr>
        <w:t xml:space="preserve">tate specific guidelines for the </w:t>
      </w:r>
      <w:r>
        <w:rPr>
          <w:rFonts w:ascii="Times New Roman" w:hAnsi="Times New Roman" w:cs="Times New Roman"/>
          <w:sz w:val="24"/>
        </w:rPr>
        <w:t>S</w:t>
      </w:r>
      <w:r w:rsidRPr="00A13870">
        <w:rPr>
          <w:rFonts w:ascii="Times New Roman" w:hAnsi="Times New Roman" w:cs="Times New Roman"/>
          <w:sz w:val="24"/>
        </w:rPr>
        <w:t>tates of Tasmania and South Australia</w:t>
      </w:r>
      <w:r>
        <w:rPr>
          <w:rFonts w:ascii="Times New Roman" w:hAnsi="Times New Roman" w:cs="Times New Roman"/>
          <w:sz w:val="24"/>
        </w:rPr>
        <w:t>.</w:t>
      </w:r>
    </w:p>
    <w:p w14:paraId="2F8DAA40" w14:textId="77777777" w:rsidR="002B1DB3" w:rsidRPr="001A3865" w:rsidRDefault="002B1DB3" w:rsidP="008B36CD">
      <w:pPr>
        <w:tabs>
          <w:tab w:val="right" w:pos="9072"/>
        </w:tabs>
        <w:spacing w:line="240" w:lineRule="auto"/>
        <w:rPr>
          <w:rFonts w:ascii="Times New Roman" w:hAnsi="Times New Roman" w:cs="Times New Roman"/>
          <w:sz w:val="24"/>
          <w:szCs w:val="24"/>
        </w:rPr>
      </w:pPr>
    </w:p>
    <w:p w14:paraId="058F5B03" w14:textId="108FCB54" w:rsidR="002B1DB3" w:rsidRPr="000736A1" w:rsidRDefault="002B1DB3" w:rsidP="008B36CD">
      <w:pPr>
        <w:tabs>
          <w:tab w:val="left" w:pos="1701"/>
          <w:tab w:val="right" w:pos="9072"/>
        </w:tabs>
        <w:spacing w:line="240" w:lineRule="auto"/>
        <w:rPr>
          <w:rFonts w:ascii="Times New Roman" w:hAnsi="Times New Roman" w:cs="Times New Roman"/>
          <w:b/>
          <w:sz w:val="24"/>
          <w:szCs w:val="24"/>
        </w:rPr>
      </w:pPr>
      <w:r w:rsidRPr="001A3865">
        <w:rPr>
          <w:rFonts w:ascii="Times New Roman" w:hAnsi="Times New Roman" w:cs="Times New Roman"/>
          <w:b/>
          <w:sz w:val="24"/>
          <w:szCs w:val="24"/>
        </w:rPr>
        <w:t>Background</w:t>
      </w:r>
    </w:p>
    <w:p w14:paraId="4A483EA9" w14:textId="77777777" w:rsidR="005B5608" w:rsidRPr="005D1944" w:rsidRDefault="005B5608" w:rsidP="005B5608">
      <w:pPr>
        <w:tabs>
          <w:tab w:val="right" w:pos="9072"/>
        </w:tabs>
        <w:spacing w:line="240" w:lineRule="auto"/>
        <w:rPr>
          <w:rFonts w:ascii="Times New Roman" w:hAnsi="Times New Roman" w:cs="Times New Roman"/>
          <w:sz w:val="24"/>
        </w:rPr>
      </w:pPr>
      <w:r>
        <w:rPr>
          <w:rFonts w:ascii="Times New Roman" w:hAnsi="Times New Roman" w:cs="Times New Roman"/>
          <w:sz w:val="24"/>
        </w:rPr>
        <w:t xml:space="preserve">The amendments to the codes and descriptions of regulated timber products listed in Schedule 1 ensures </w:t>
      </w:r>
      <w:r w:rsidRPr="005D1944">
        <w:rPr>
          <w:rFonts w:ascii="Times New Roman" w:hAnsi="Times New Roman" w:cs="Times New Roman"/>
          <w:sz w:val="24"/>
        </w:rPr>
        <w:t>that the Principal Regulations reflect current information.</w:t>
      </w:r>
    </w:p>
    <w:p w14:paraId="17F88CA9" w14:textId="5CF81633" w:rsidR="000736A1" w:rsidRPr="005D1944" w:rsidRDefault="000736A1" w:rsidP="008B36CD">
      <w:pPr>
        <w:tabs>
          <w:tab w:val="right" w:pos="9072"/>
        </w:tabs>
        <w:spacing w:line="240" w:lineRule="auto"/>
        <w:rPr>
          <w:rFonts w:ascii="Times New Roman" w:hAnsi="Times New Roman" w:cs="Times New Roman"/>
          <w:sz w:val="24"/>
          <w:szCs w:val="24"/>
        </w:rPr>
      </w:pPr>
      <w:r w:rsidRPr="005D1944">
        <w:rPr>
          <w:rFonts w:ascii="Times New Roman" w:hAnsi="Times New Roman" w:cs="Times New Roman"/>
          <w:sz w:val="24"/>
        </w:rPr>
        <w:t xml:space="preserve">The </w:t>
      </w:r>
      <w:r w:rsidR="00001060" w:rsidRPr="005D1944">
        <w:rPr>
          <w:rFonts w:ascii="Times New Roman" w:hAnsi="Times New Roman" w:cs="Times New Roman"/>
          <w:sz w:val="24"/>
        </w:rPr>
        <w:t xml:space="preserve">purpose </w:t>
      </w:r>
      <w:r w:rsidRPr="005D1944">
        <w:rPr>
          <w:rFonts w:ascii="Times New Roman" w:hAnsi="Times New Roman" w:cs="Times New Roman"/>
          <w:sz w:val="24"/>
        </w:rPr>
        <w:t xml:space="preserve">of the new country specific guideline for Thailand </w:t>
      </w:r>
      <w:r w:rsidR="00001060" w:rsidRPr="005D1944">
        <w:rPr>
          <w:rFonts w:ascii="Times New Roman" w:hAnsi="Times New Roman" w:cs="Times New Roman"/>
          <w:sz w:val="24"/>
        </w:rPr>
        <w:t xml:space="preserve">is to </w:t>
      </w:r>
      <w:r w:rsidRPr="005D1944">
        <w:rPr>
          <w:rFonts w:ascii="Times New Roman" w:hAnsi="Times New Roman" w:cs="Times New Roman"/>
          <w:sz w:val="24"/>
        </w:rPr>
        <w:t xml:space="preserve">provide an </w:t>
      </w:r>
      <w:r w:rsidRPr="005D1944">
        <w:rPr>
          <w:rFonts w:ascii="Times New Roman" w:hAnsi="Times New Roman" w:cs="Times New Roman"/>
          <w:sz w:val="24"/>
          <w:szCs w:val="24"/>
        </w:rPr>
        <w:t xml:space="preserve">additional option by which importers of regulated timber products </w:t>
      </w:r>
      <w:r w:rsidR="00885B7F" w:rsidRPr="005D1944">
        <w:rPr>
          <w:rFonts w:ascii="Times New Roman" w:hAnsi="Times New Roman" w:cs="Times New Roman"/>
          <w:sz w:val="24"/>
          <w:szCs w:val="24"/>
        </w:rPr>
        <w:t xml:space="preserve">containing timber harvested in </w:t>
      </w:r>
      <w:r w:rsidRPr="005D1944">
        <w:rPr>
          <w:rFonts w:ascii="Times New Roman" w:hAnsi="Times New Roman" w:cs="Times New Roman"/>
          <w:sz w:val="24"/>
          <w:szCs w:val="24"/>
        </w:rPr>
        <w:t>Thailand may conduct due diligence to reduce the risk that imported regulated timber products</w:t>
      </w:r>
      <w:r w:rsidR="00885B7F" w:rsidRPr="005D1944">
        <w:rPr>
          <w:rFonts w:ascii="Times New Roman" w:hAnsi="Times New Roman" w:cs="Times New Roman"/>
          <w:sz w:val="24"/>
          <w:szCs w:val="24"/>
        </w:rPr>
        <w:t xml:space="preserve"> containing timber</w:t>
      </w:r>
      <w:r w:rsidRPr="005D1944">
        <w:rPr>
          <w:rFonts w:ascii="Times New Roman" w:hAnsi="Times New Roman" w:cs="Times New Roman"/>
          <w:sz w:val="24"/>
          <w:szCs w:val="24"/>
        </w:rPr>
        <w:t xml:space="preserve"> </w:t>
      </w:r>
      <w:r w:rsidR="00885B7F" w:rsidRPr="005D1944">
        <w:rPr>
          <w:rFonts w:ascii="Times New Roman" w:hAnsi="Times New Roman" w:cs="Times New Roman"/>
          <w:sz w:val="24"/>
          <w:szCs w:val="24"/>
        </w:rPr>
        <w:t>harvested</w:t>
      </w:r>
      <w:r w:rsidR="00B31176" w:rsidRPr="005D1944">
        <w:rPr>
          <w:rFonts w:ascii="Times New Roman" w:hAnsi="Times New Roman" w:cs="Times New Roman"/>
          <w:sz w:val="24"/>
          <w:szCs w:val="24"/>
        </w:rPr>
        <w:t xml:space="preserve"> in</w:t>
      </w:r>
      <w:r w:rsidRPr="005D1944">
        <w:rPr>
          <w:rFonts w:ascii="Times New Roman" w:hAnsi="Times New Roman" w:cs="Times New Roman"/>
          <w:sz w:val="24"/>
          <w:szCs w:val="24"/>
        </w:rPr>
        <w:t xml:space="preserve"> that country are, are made from, or include, illegally logged timber.</w:t>
      </w:r>
      <w:r w:rsidR="00B31176" w:rsidRPr="005D1944">
        <w:rPr>
          <w:rFonts w:ascii="Times New Roman" w:hAnsi="Times New Roman" w:cs="Times New Roman"/>
          <w:sz w:val="24"/>
          <w:szCs w:val="24"/>
        </w:rPr>
        <w:t xml:space="preserve"> </w:t>
      </w:r>
    </w:p>
    <w:p w14:paraId="7436A8C3" w14:textId="113C51EE" w:rsidR="003939E5" w:rsidRPr="005D1944" w:rsidRDefault="000736A1" w:rsidP="008B36CD">
      <w:pPr>
        <w:tabs>
          <w:tab w:val="right" w:pos="9072"/>
        </w:tabs>
        <w:spacing w:line="240" w:lineRule="auto"/>
        <w:rPr>
          <w:rFonts w:ascii="Times New Roman" w:hAnsi="Times New Roman" w:cs="Times New Roman"/>
          <w:sz w:val="24"/>
          <w:szCs w:val="24"/>
        </w:rPr>
      </w:pPr>
      <w:r w:rsidRPr="005D1944">
        <w:rPr>
          <w:rFonts w:ascii="Times New Roman" w:hAnsi="Times New Roman" w:cs="Times New Roman"/>
          <w:sz w:val="24"/>
          <w:szCs w:val="24"/>
        </w:rPr>
        <w:t xml:space="preserve">The </w:t>
      </w:r>
      <w:r w:rsidR="003939E5" w:rsidRPr="005D1944">
        <w:rPr>
          <w:rFonts w:ascii="Times New Roman" w:hAnsi="Times New Roman" w:cs="Times New Roman"/>
          <w:sz w:val="24"/>
          <w:szCs w:val="24"/>
        </w:rPr>
        <w:t>removal of the</w:t>
      </w:r>
      <w:r w:rsidRPr="005D1944">
        <w:rPr>
          <w:rFonts w:ascii="Times New Roman" w:hAnsi="Times New Roman" w:cs="Times New Roman"/>
          <w:sz w:val="24"/>
          <w:szCs w:val="24"/>
        </w:rPr>
        <w:t xml:space="preserve"> country specific guideline for the Solomon Islands ensure</w:t>
      </w:r>
      <w:r w:rsidR="003939E5" w:rsidRPr="005D1944">
        <w:rPr>
          <w:rFonts w:ascii="Times New Roman" w:hAnsi="Times New Roman" w:cs="Times New Roman"/>
          <w:sz w:val="24"/>
          <w:szCs w:val="24"/>
        </w:rPr>
        <w:t xml:space="preserve">s </w:t>
      </w:r>
      <w:r w:rsidRPr="005D1944">
        <w:rPr>
          <w:rFonts w:ascii="Times New Roman" w:hAnsi="Times New Roman" w:cs="Times New Roman"/>
          <w:sz w:val="24"/>
          <w:szCs w:val="24"/>
        </w:rPr>
        <w:t xml:space="preserve">that the prescribed country specific guidelines under the Principal Regulations reflect reasonably current information. </w:t>
      </w:r>
    </w:p>
    <w:p w14:paraId="316226E7" w14:textId="2B0FE3F6" w:rsidR="000736A1" w:rsidRPr="005D1944" w:rsidRDefault="000736A1" w:rsidP="008B36CD">
      <w:pPr>
        <w:tabs>
          <w:tab w:val="right" w:pos="9072"/>
        </w:tabs>
        <w:spacing w:line="240" w:lineRule="auto"/>
        <w:rPr>
          <w:rFonts w:ascii="Times New Roman" w:hAnsi="Times New Roman" w:cs="Times New Roman"/>
          <w:sz w:val="24"/>
        </w:rPr>
      </w:pPr>
      <w:r w:rsidRPr="005D1944">
        <w:rPr>
          <w:rFonts w:ascii="Times New Roman" w:hAnsi="Times New Roman" w:cs="Times New Roman"/>
          <w:sz w:val="24"/>
        </w:rPr>
        <w:t xml:space="preserve">The </w:t>
      </w:r>
      <w:r w:rsidR="003939E5" w:rsidRPr="005D1944">
        <w:rPr>
          <w:rFonts w:ascii="Times New Roman" w:hAnsi="Times New Roman" w:cs="Times New Roman"/>
          <w:sz w:val="24"/>
        </w:rPr>
        <w:t xml:space="preserve">amendments to </w:t>
      </w:r>
      <w:r w:rsidRPr="005D1944">
        <w:rPr>
          <w:rFonts w:ascii="Times New Roman" w:hAnsi="Times New Roman" w:cs="Times New Roman"/>
          <w:sz w:val="24"/>
        </w:rPr>
        <w:t xml:space="preserve">the State specific guidelines for Tasmania and South Australia </w:t>
      </w:r>
      <w:r w:rsidR="003939E5" w:rsidRPr="005D1944">
        <w:rPr>
          <w:rFonts w:ascii="Times New Roman" w:hAnsi="Times New Roman" w:cs="Times New Roman"/>
          <w:sz w:val="24"/>
        </w:rPr>
        <w:t>enable</w:t>
      </w:r>
      <w:r w:rsidRPr="005D1944">
        <w:rPr>
          <w:rFonts w:ascii="Times New Roman" w:hAnsi="Times New Roman" w:cs="Times New Roman"/>
          <w:sz w:val="24"/>
        </w:rPr>
        <w:t xml:space="preserve"> processors of raw logs to access the most up-to-date guidance material on legal frameworks in those States</w:t>
      </w:r>
      <w:r w:rsidR="002274DF" w:rsidRPr="005D1944">
        <w:rPr>
          <w:rFonts w:ascii="Times New Roman" w:hAnsi="Times New Roman" w:cs="Times New Roman"/>
          <w:sz w:val="24"/>
        </w:rPr>
        <w:t>,</w:t>
      </w:r>
      <w:r w:rsidRPr="005D1944">
        <w:rPr>
          <w:rFonts w:ascii="Times New Roman" w:hAnsi="Times New Roman" w:cs="Times New Roman"/>
          <w:sz w:val="24"/>
        </w:rPr>
        <w:t xml:space="preserve"> in order to carry out their due diligence obligations.</w:t>
      </w:r>
    </w:p>
    <w:p w14:paraId="75C78EA7" w14:textId="5F47A7CF" w:rsidR="003939E5" w:rsidRDefault="003939E5" w:rsidP="008B36CD">
      <w:pPr>
        <w:tabs>
          <w:tab w:val="left" w:pos="1701"/>
          <w:tab w:val="right" w:pos="9072"/>
        </w:tabs>
        <w:spacing w:line="240" w:lineRule="auto"/>
        <w:rPr>
          <w:rFonts w:ascii="Times New Roman" w:hAnsi="Times New Roman" w:cs="Times New Roman"/>
          <w:b/>
          <w:sz w:val="24"/>
          <w:szCs w:val="24"/>
        </w:rPr>
      </w:pPr>
    </w:p>
    <w:p w14:paraId="5AFDA8E8" w14:textId="77777777" w:rsidR="00CB55A8" w:rsidRPr="005D1944" w:rsidRDefault="00CB55A8" w:rsidP="008B36CD">
      <w:pPr>
        <w:tabs>
          <w:tab w:val="left" w:pos="1701"/>
          <w:tab w:val="right" w:pos="9072"/>
        </w:tabs>
        <w:spacing w:line="240" w:lineRule="auto"/>
        <w:rPr>
          <w:rFonts w:ascii="Times New Roman" w:hAnsi="Times New Roman" w:cs="Times New Roman"/>
          <w:b/>
          <w:sz w:val="24"/>
          <w:szCs w:val="24"/>
        </w:rPr>
      </w:pPr>
    </w:p>
    <w:p w14:paraId="79659A87" w14:textId="77777777" w:rsidR="002B1DB3" w:rsidRPr="005D1944" w:rsidRDefault="002B1DB3" w:rsidP="008B36CD">
      <w:pPr>
        <w:tabs>
          <w:tab w:val="left" w:pos="1701"/>
          <w:tab w:val="right" w:pos="9072"/>
        </w:tabs>
        <w:spacing w:line="240" w:lineRule="auto"/>
        <w:rPr>
          <w:rFonts w:ascii="Times New Roman" w:hAnsi="Times New Roman" w:cs="Times New Roman"/>
          <w:sz w:val="24"/>
          <w:szCs w:val="24"/>
        </w:rPr>
      </w:pPr>
      <w:r w:rsidRPr="005D1944">
        <w:rPr>
          <w:rFonts w:ascii="Times New Roman" w:hAnsi="Times New Roman" w:cs="Times New Roman"/>
          <w:b/>
          <w:sz w:val="24"/>
          <w:szCs w:val="24"/>
        </w:rPr>
        <w:lastRenderedPageBreak/>
        <w:t>Consultation</w:t>
      </w:r>
    </w:p>
    <w:p w14:paraId="7660F119" w14:textId="7E2354CD" w:rsidR="000736A1" w:rsidRPr="005D1944" w:rsidRDefault="000736A1" w:rsidP="008B36CD">
      <w:pPr>
        <w:tabs>
          <w:tab w:val="left" w:pos="1701"/>
          <w:tab w:val="right" w:pos="9072"/>
        </w:tabs>
        <w:spacing w:line="240" w:lineRule="auto"/>
        <w:rPr>
          <w:rFonts w:ascii="Times New Roman" w:hAnsi="Times New Roman" w:cs="Times New Roman"/>
          <w:sz w:val="24"/>
        </w:rPr>
      </w:pPr>
      <w:r w:rsidRPr="005D1944">
        <w:rPr>
          <w:rFonts w:ascii="Times New Roman" w:hAnsi="Times New Roman" w:cs="Times New Roman"/>
          <w:sz w:val="24"/>
        </w:rPr>
        <w:t xml:space="preserve">The Regulations are machinery in nature and will not add any new obligations to the existing due diligence process or create any additional regulatory burden for affected stakeholders. </w:t>
      </w:r>
      <w:bookmarkStart w:id="0" w:name="_Hlk88146833"/>
      <w:r w:rsidR="00D8290D" w:rsidRPr="005D1944">
        <w:rPr>
          <w:rFonts w:ascii="Times New Roman" w:hAnsi="Times New Roman" w:cs="Times New Roman"/>
          <w:sz w:val="24"/>
        </w:rPr>
        <w:t xml:space="preserve">New and amended country and </w:t>
      </w:r>
      <w:r w:rsidR="00104643" w:rsidRPr="005D1944">
        <w:rPr>
          <w:rFonts w:ascii="Times New Roman" w:hAnsi="Times New Roman" w:cs="Times New Roman"/>
          <w:sz w:val="24"/>
        </w:rPr>
        <w:t>S</w:t>
      </w:r>
      <w:r w:rsidR="00D8290D" w:rsidRPr="005D1944">
        <w:rPr>
          <w:rFonts w:ascii="Times New Roman" w:hAnsi="Times New Roman" w:cs="Times New Roman"/>
          <w:sz w:val="24"/>
        </w:rPr>
        <w:t>tate specific guidelines provide additional options to satisfy the Principal Regulation’s requirements. In delisting a country specific guideline there remain</w:t>
      </w:r>
      <w:r w:rsidR="00B20F8B">
        <w:rPr>
          <w:rFonts w:ascii="Times New Roman" w:hAnsi="Times New Roman" w:cs="Times New Roman"/>
          <w:sz w:val="24"/>
        </w:rPr>
        <w:t>s</w:t>
      </w:r>
      <w:r w:rsidR="00D8290D" w:rsidRPr="005D1944">
        <w:rPr>
          <w:rFonts w:ascii="Times New Roman" w:hAnsi="Times New Roman" w:cs="Times New Roman"/>
          <w:sz w:val="24"/>
        </w:rPr>
        <w:t xml:space="preserve"> two pathways for affected importers to undertake due diligence </w:t>
      </w:r>
      <w:r w:rsidR="00B20F8B">
        <w:rPr>
          <w:rFonts w:ascii="Times New Roman" w:hAnsi="Times New Roman" w:cs="Times New Roman"/>
          <w:sz w:val="24"/>
        </w:rPr>
        <w:t xml:space="preserve">assessments </w:t>
      </w:r>
      <w:r w:rsidR="00D8290D" w:rsidRPr="005D1944">
        <w:rPr>
          <w:rFonts w:ascii="Times New Roman" w:hAnsi="Times New Roman" w:cs="Times New Roman"/>
          <w:sz w:val="24"/>
        </w:rPr>
        <w:t>under the Principal Regulation</w:t>
      </w:r>
      <w:r w:rsidR="00001060" w:rsidRPr="005D1944">
        <w:rPr>
          <w:rFonts w:ascii="Times New Roman" w:hAnsi="Times New Roman" w:cs="Times New Roman"/>
          <w:sz w:val="24"/>
        </w:rPr>
        <w:t>:</w:t>
      </w:r>
      <w:r w:rsidR="00D85CC9" w:rsidRPr="005D1944">
        <w:rPr>
          <w:rFonts w:ascii="Times New Roman" w:hAnsi="Times New Roman" w:cs="Times New Roman"/>
          <w:sz w:val="24"/>
        </w:rPr>
        <w:t xml:space="preserve"> the timber legality frameworks</w:t>
      </w:r>
      <w:r w:rsidR="00001060" w:rsidRPr="005D1944">
        <w:rPr>
          <w:rFonts w:ascii="Times New Roman" w:hAnsi="Times New Roman" w:cs="Times New Roman"/>
          <w:sz w:val="24"/>
        </w:rPr>
        <w:t xml:space="preserve"> process set out in section 11 of the Principal Regulation; and the identifying and assessing risk process </w:t>
      </w:r>
      <w:r w:rsidR="008E1CE8" w:rsidRPr="005D1944">
        <w:rPr>
          <w:rFonts w:ascii="Times New Roman" w:hAnsi="Times New Roman" w:cs="Times New Roman"/>
          <w:sz w:val="24"/>
        </w:rPr>
        <w:t>set out</w:t>
      </w:r>
      <w:r w:rsidR="00001060" w:rsidRPr="005D1944">
        <w:rPr>
          <w:rFonts w:ascii="Times New Roman" w:hAnsi="Times New Roman" w:cs="Times New Roman"/>
          <w:sz w:val="24"/>
        </w:rPr>
        <w:t xml:space="preserve"> in section 13 of the Principal Regulation</w:t>
      </w:r>
      <w:r w:rsidR="00D8290D" w:rsidRPr="005D1944">
        <w:rPr>
          <w:rFonts w:ascii="Times New Roman" w:hAnsi="Times New Roman" w:cs="Times New Roman"/>
          <w:sz w:val="24"/>
        </w:rPr>
        <w:t xml:space="preserve">. </w:t>
      </w:r>
      <w:bookmarkEnd w:id="0"/>
      <w:r w:rsidRPr="005D1944">
        <w:rPr>
          <w:rFonts w:ascii="Times New Roman" w:hAnsi="Times New Roman" w:cs="Times New Roman"/>
          <w:sz w:val="24"/>
        </w:rPr>
        <w:t>Consequently, importers of timber products and processors of raw logs have not been consulted in relation to the proposed amendments. This is consistent with the approach used for the development of all previous country specific and State specific guidelines.</w:t>
      </w:r>
    </w:p>
    <w:p w14:paraId="000E362F" w14:textId="32A52C2F" w:rsidR="000736A1" w:rsidRPr="00800326" w:rsidRDefault="00B20F8B" w:rsidP="008B36CD">
      <w:pPr>
        <w:tabs>
          <w:tab w:val="right" w:pos="9072"/>
        </w:tabs>
        <w:spacing w:line="240" w:lineRule="auto"/>
        <w:rPr>
          <w:rFonts w:ascii="Times New Roman" w:hAnsi="Times New Roman" w:cs="Times New Roman"/>
          <w:sz w:val="24"/>
          <w:szCs w:val="24"/>
        </w:rPr>
      </w:pPr>
      <w:r w:rsidRPr="00B20F8B">
        <w:rPr>
          <w:rFonts w:ascii="Times New Roman" w:hAnsi="Times New Roman" w:cs="Times New Roman"/>
          <w:sz w:val="24"/>
        </w:rPr>
        <w:t>In respect of the proposed amendments related to regulated timber products, the department consulted with the Department of Home Affairs in respect of the amendments to the codes and descriptions of regulated timber products.</w:t>
      </w:r>
      <w:r>
        <w:rPr>
          <w:rFonts w:ascii="Times New Roman" w:hAnsi="Times New Roman" w:cs="Times New Roman"/>
          <w:sz w:val="24"/>
        </w:rPr>
        <w:t xml:space="preserve"> </w:t>
      </w:r>
      <w:r w:rsidR="000736A1" w:rsidRPr="005D1944">
        <w:rPr>
          <w:rFonts w:ascii="Times New Roman" w:hAnsi="Times New Roman" w:cs="Times New Roman"/>
          <w:sz w:val="24"/>
        </w:rPr>
        <w:t>The Government of Thailand was consulted during the development of</w:t>
      </w:r>
      <w:r w:rsidR="000736A1" w:rsidRPr="00800326">
        <w:rPr>
          <w:rFonts w:ascii="Times New Roman" w:hAnsi="Times New Roman" w:cs="Times New Roman"/>
          <w:sz w:val="24"/>
        </w:rPr>
        <w:t xml:space="preserve"> </w:t>
      </w:r>
      <w:r>
        <w:rPr>
          <w:rFonts w:ascii="Times New Roman" w:hAnsi="Times New Roman" w:cs="Times New Roman"/>
          <w:sz w:val="24"/>
        </w:rPr>
        <w:t>its</w:t>
      </w:r>
      <w:r w:rsidRPr="00800326">
        <w:rPr>
          <w:rFonts w:ascii="Times New Roman" w:hAnsi="Times New Roman" w:cs="Times New Roman"/>
          <w:sz w:val="24"/>
        </w:rPr>
        <w:t xml:space="preserve"> </w:t>
      </w:r>
      <w:r w:rsidR="000736A1" w:rsidRPr="00800326">
        <w:rPr>
          <w:rFonts w:ascii="Times New Roman" w:hAnsi="Times New Roman" w:cs="Times New Roman"/>
          <w:sz w:val="24"/>
        </w:rPr>
        <w:t xml:space="preserve">country specific guidelines and co-endorsed the final guidelines. </w:t>
      </w:r>
      <w:r w:rsidR="000736A1" w:rsidRPr="00800326">
        <w:rPr>
          <w:rFonts w:ascii="Times New Roman" w:hAnsi="Times New Roman" w:cs="Times New Roman"/>
          <w:sz w:val="24"/>
          <w:szCs w:val="24"/>
        </w:rPr>
        <w:t>This consultation was undertaken through a range of bilateral meetings undertaken with this Government and the exchange of correspondence.</w:t>
      </w:r>
    </w:p>
    <w:p w14:paraId="3C416458" w14:textId="5E6A7A38" w:rsidR="000736A1" w:rsidRDefault="000736A1" w:rsidP="008B36CD">
      <w:pPr>
        <w:tabs>
          <w:tab w:val="right" w:pos="9072"/>
        </w:tabs>
        <w:spacing w:line="240" w:lineRule="auto"/>
        <w:rPr>
          <w:rFonts w:ascii="Times New Roman" w:hAnsi="Times New Roman" w:cs="Times New Roman"/>
          <w:sz w:val="24"/>
        </w:rPr>
      </w:pPr>
      <w:r w:rsidRPr="00800326">
        <w:rPr>
          <w:rFonts w:ascii="Times New Roman" w:hAnsi="Times New Roman" w:cs="Times New Roman"/>
          <w:sz w:val="24"/>
        </w:rPr>
        <w:t>The department has consulted with the Government of Solomon Islands and the Department of Foreign Affairs and Trade post in the Solomon Islands regarding the delisting of the Solomon Islands country specific guideline.</w:t>
      </w:r>
    </w:p>
    <w:p w14:paraId="35DF93EE" w14:textId="6A0A4680" w:rsidR="00081126" w:rsidRDefault="00081126" w:rsidP="008B36CD">
      <w:pPr>
        <w:tabs>
          <w:tab w:val="right" w:pos="9072"/>
        </w:tabs>
        <w:spacing w:line="240" w:lineRule="auto"/>
        <w:rPr>
          <w:rFonts w:ascii="Times New Roman" w:hAnsi="Times New Roman" w:cs="Times New Roman"/>
          <w:sz w:val="24"/>
        </w:rPr>
      </w:pPr>
      <w:r>
        <w:rPr>
          <w:rFonts w:ascii="Times New Roman" w:hAnsi="Times New Roman" w:cs="Times New Roman"/>
          <w:sz w:val="24"/>
        </w:rPr>
        <w:t>The department has consulted with the Tasmanian and South Australian governments</w:t>
      </w:r>
      <w:r w:rsidR="00047B71">
        <w:rPr>
          <w:rFonts w:ascii="Times New Roman" w:hAnsi="Times New Roman" w:cs="Times New Roman"/>
          <w:sz w:val="24"/>
        </w:rPr>
        <w:t xml:space="preserve"> in updating</w:t>
      </w:r>
      <w:r w:rsidR="00954ABD">
        <w:rPr>
          <w:rFonts w:ascii="Times New Roman" w:hAnsi="Times New Roman" w:cs="Times New Roman"/>
          <w:sz w:val="24"/>
        </w:rPr>
        <w:t xml:space="preserve"> their </w:t>
      </w:r>
      <w:r w:rsidR="00047B71">
        <w:rPr>
          <w:rFonts w:ascii="Times New Roman" w:hAnsi="Times New Roman" w:cs="Times New Roman"/>
          <w:sz w:val="24"/>
        </w:rPr>
        <w:t>State specific guidelines</w:t>
      </w:r>
      <w:r w:rsidR="00954ABD">
        <w:rPr>
          <w:rFonts w:ascii="Times New Roman" w:hAnsi="Times New Roman" w:cs="Times New Roman"/>
          <w:sz w:val="24"/>
        </w:rPr>
        <w:t>, and each government co-endorsed their respective updated guideline</w:t>
      </w:r>
      <w:r w:rsidR="00047B71">
        <w:rPr>
          <w:rFonts w:ascii="Times New Roman" w:hAnsi="Times New Roman" w:cs="Times New Roman"/>
          <w:sz w:val="24"/>
        </w:rPr>
        <w:t>.</w:t>
      </w:r>
    </w:p>
    <w:p w14:paraId="62F61D63" w14:textId="1802313E" w:rsidR="002B1DB3" w:rsidRPr="001A3865" w:rsidRDefault="005170F1" w:rsidP="008B36CD">
      <w:pPr>
        <w:tabs>
          <w:tab w:val="right" w:pos="9072"/>
        </w:tabs>
        <w:spacing w:line="240" w:lineRule="auto"/>
        <w:rPr>
          <w:rFonts w:ascii="Times New Roman" w:hAnsi="Times New Roman" w:cs="Times New Roman"/>
          <w:sz w:val="24"/>
          <w:szCs w:val="24"/>
        </w:rPr>
      </w:pPr>
      <w:bookmarkStart w:id="1" w:name="_Hlk87363757"/>
      <w:r w:rsidRPr="001A3865">
        <w:rPr>
          <w:rFonts w:ascii="Times New Roman" w:hAnsi="Times New Roman" w:cs="Times New Roman"/>
          <w:sz w:val="24"/>
          <w:szCs w:val="24"/>
        </w:rPr>
        <w:t xml:space="preserve">The Office of </w:t>
      </w:r>
      <w:r w:rsidR="00181A30" w:rsidRPr="001A3865">
        <w:rPr>
          <w:rFonts w:ascii="Times New Roman" w:hAnsi="Times New Roman" w:cs="Times New Roman"/>
          <w:sz w:val="24"/>
          <w:szCs w:val="24"/>
        </w:rPr>
        <w:t xml:space="preserve">Best Practice Regulation has been consulted and has advised that the amendments are </w:t>
      </w:r>
      <w:r w:rsidRPr="001A3865">
        <w:rPr>
          <w:rFonts w:ascii="Times New Roman" w:hAnsi="Times New Roman" w:cs="Times New Roman"/>
          <w:sz w:val="24"/>
          <w:szCs w:val="24"/>
        </w:rPr>
        <w:t xml:space="preserve">minor in nature, with the regulatory cost burden unlikely to </w:t>
      </w:r>
      <w:r w:rsidR="00AD1E11">
        <w:rPr>
          <w:rFonts w:ascii="Times New Roman" w:hAnsi="Times New Roman" w:cs="Times New Roman"/>
          <w:sz w:val="24"/>
          <w:szCs w:val="24"/>
        </w:rPr>
        <w:t>be affected</w:t>
      </w:r>
      <w:r w:rsidRPr="001A3865">
        <w:rPr>
          <w:rFonts w:ascii="Times New Roman" w:hAnsi="Times New Roman" w:cs="Times New Roman"/>
          <w:sz w:val="24"/>
          <w:szCs w:val="24"/>
        </w:rPr>
        <w:t xml:space="preserve">, and </w:t>
      </w:r>
      <w:r w:rsidR="00181A30" w:rsidRPr="001A3865">
        <w:rPr>
          <w:rFonts w:ascii="Times New Roman" w:hAnsi="Times New Roman" w:cs="Times New Roman"/>
          <w:sz w:val="24"/>
          <w:szCs w:val="24"/>
        </w:rPr>
        <w:t xml:space="preserve">that a </w:t>
      </w:r>
      <w:r w:rsidRPr="001A3865">
        <w:rPr>
          <w:rFonts w:ascii="Times New Roman" w:hAnsi="Times New Roman" w:cs="Times New Roman"/>
          <w:sz w:val="24"/>
          <w:szCs w:val="24"/>
        </w:rPr>
        <w:t xml:space="preserve">Regulation Impact Statement </w:t>
      </w:r>
      <w:r w:rsidR="00181A30" w:rsidRPr="001A3865">
        <w:rPr>
          <w:rFonts w:ascii="Times New Roman" w:hAnsi="Times New Roman" w:cs="Times New Roman"/>
          <w:sz w:val="24"/>
          <w:szCs w:val="24"/>
        </w:rPr>
        <w:t xml:space="preserve">is not required </w:t>
      </w:r>
      <w:r w:rsidRPr="001A3865">
        <w:rPr>
          <w:rFonts w:ascii="Times New Roman" w:hAnsi="Times New Roman" w:cs="Times New Roman"/>
          <w:sz w:val="24"/>
          <w:szCs w:val="24"/>
        </w:rPr>
        <w:t>(OBPR ID</w:t>
      </w:r>
      <w:r w:rsidR="00181A30" w:rsidRPr="001A3865">
        <w:rPr>
          <w:rFonts w:ascii="Times New Roman" w:hAnsi="Times New Roman" w:cs="Times New Roman"/>
          <w:sz w:val="24"/>
          <w:szCs w:val="24"/>
        </w:rPr>
        <w:t xml:space="preserve"> Number</w:t>
      </w:r>
      <w:r w:rsidRPr="001A3865">
        <w:rPr>
          <w:rFonts w:ascii="Times New Roman" w:hAnsi="Times New Roman" w:cs="Times New Roman"/>
          <w:sz w:val="24"/>
          <w:szCs w:val="24"/>
        </w:rPr>
        <w:t xml:space="preserve">: </w:t>
      </w:r>
      <w:r w:rsidR="00F8316F" w:rsidRPr="00F8316F">
        <w:rPr>
          <w:rFonts w:ascii="Times New Roman" w:hAnsi="Times New Roman" w:cs="Times New Roman"/>
          <w:sz w:val="24"/>
          <w:szCs w:val="24"/>
        </w:rPr>
        <w:t>44796</w:t>
      </w:r>
      <w:r w:rsidRPr="001A3865">
        <w:rPr>
          <w:rFonts w:ascii="Times New Roman" w:hAnsi="Times New Roman" w:cs="Times New Roman"/>
          <w:sz w:val="24"/>
          <w:szCs w:val="24"/>
        </w:rPr>
        <w:t>).</w:t>
      </w:r>
    </w:p>
    <w:bookmarkEnd w:id="1"/>
    <w:p w14:paraId="16D25BF3" w14:textId="77777777" w:rsidR="005170F1" w:rsidRPr="001A3865" w:rsidRDefault="005170F1" w:rsidP="008B36CD">
      <w:pPr>
        <w:tabs>
          <w:tab w:val="right" w:pos="9072"/>
        </w:tabs>
        <w:spacing w:line="240" w:lineRule="auto"/>
        <w:rPr>
          <w:rFonts w:ascii="Times New Roman" w:hAnsi="Times New Roman" w:cs="Times New Roman"/>
          <w:sz w:val="24"/>
          <w:szCs w:val="24"/>
        </w:rPr>
      </w:pPr>
    </w:p>
    <w:p w14:paraId="63853B56" w14:textId="4C805AB7" w:rsidR="00E76AB5" w:rsidRPr="000736A1" w:rsidRDefault="00E76AB5" w:rsidP="008B36CD">
      <w:pPr>
        <w:tabs>
          <w:tab w:val="left" w:pos="1701"/>
          <w:tab w:val="right" w:pos="9072"/>
        </w:tabs>
        <w:spacing w:line="240" w:lineRule="auto"/>
        <w:rPr>
          <w:rFonts w:ascii="Times New Roman" w:hAnsi="Times New Roman" w:cs="Times New Roman"/>
          <w:b/>
          <w:sz w:val="24"/>
        </w:rPr>
      </w:pPr>
      <w:r w:rsidRPr="001A3865">
        <w:rPr>
          <w:rFonts w:ascii="Times New Roman" w:hAnsi="Times New Roman" w:cs="Times New Roman"/>
          <w:b/>
          <w:sz w:val="24"/>
        </w:rPr>
        <w:t>Details/ Operation</w:t>
      </w:r>
    </w:p>
    <w:p w14:paraId="4C3A20F0" w14:textId="73250F52" w:rsidR="00181A30" w:rsidRPr="001A3865" w:rsidRDefault="00181A30" w:rsidP="008B36CD">
      <w:pPr>
        <w:tabs>
          <w:tab w:val="left" w:pos="1701"/>
          <w:tab w:val="right" w:pos="9072"/>
        </w:tabs>
        <w:spacing w:line="240" w:lineRule="auto"/>
        <w:rPr>
          <w:rFonts w:ascii="Times New Roman" w:hAnsi="Times New Roman" w:cs="Times New Roman"/>
          <w:sz w:val="24"/>
          <w:szCs w:val="24"/>
        </w:rPr>
      </w:pPr>
      <w:r w:rsidRPr="001A3865">
        <w:rPr>
          <w:rFonts w:ascii="Times New Roman" w:hAnsi="Times New Roman" w:cs="Times New Roman"/>
          <w:sz w:val="24"/>
          <w:szCs w:val="24"/>
        </w:rPr>
        <w:t xml:space="preserve">Details of the Regulations are set out in </w:t>
      </w:r>
      <w:r w:rsidRPr="001A3865">
        <w:rPr>
          <w:rFonts w:ascii="Times New Roman" w:hAnsi="Times New Roman" w:cs="Times New Roman"/>
          <w:sz w:val="24"/>
          <w:szCs w:val="24"/>
          <w:u w:val="single"/>
        </w:rPr>
        <w:t>Attachment A</w:t>
      </w:r>
      <w:r w:rsidRPr="001A3865">
        <w:rPr>
          <w:rFonts w:ascii="Times New Roman" w:hAnsi="Times New Roman" w:cs="Times New Roman"/>
          <w:sz w:val="24"/>
          <w:szCs w:val="24"/>
        </w:rPr>
        <w:t xml:space="preserve">. </w:t>
      </w:r>
    </w:p>
    <w:p w14:paraId="5C8BFCCD" w14:textId="12D33AB8" w:rsidR="00E76AB5" w:rsidRPr="001A3865" w:rsidRDefault="00E76AB5" w:rsidP="008B36CD">
      <w:pPr>
        <w:tabs>
          <w:tab w:val="left" w:pos="1701"/>
          <w:tab w:val="right" w:pos="9072"/>
        </w:tabs>
        <w:spacing w:line="240" w:lineRule="auto"/>
        <w:rPr>
          <w:rFonts w:ascii="Times New Roman" w:hAnsi="Times New Roman" w:cs="Times New Roman"/>
          <w:sz w:val="24"/>
          <w:szCs w:val="24"/>
        </w:rPr>
      </w:pPr>
      <w:r w:rsidRPr="001A3865">
        <w:rPr>
          <w:rFonts w:ascii="Times New Roman" w:hAnsi="Times New Roman" w:cs="Times New Roman"/>
          <w:sz w:val="24"/>
          <w:szCs w:val="24"/>
        </w:rPr>
        <w:t xml:space="preserve">The </w:t>
      </w:r>
      <w:r w:rsidR="00464DC9">
        <w:rPr>
          <w:rFonts w:ascii="Times New Roman" w:hAnsi="Times New Roman" w:cs="Times New Roman"/>
          <w:sz w:val="24"/>
          <w:szCs w:val="24"/>
        </w:rPr>
        <w:t xml:space="preserve">Regulations are </w:t>
      </w:r>
      <w:r w:rsidR="003A3A60" w:rsidRPr="001A3865">
        <w:rPr>
          <w:rFonts w:ascii="Times New Roman" w:hAnsi="Times New Roman" w:cs="Times New Roman"/>
          <w:sz w:val="24"/>
          <w:szCs w:val="24"/>
        </w:rPr>
        <w:t>compatible</w:t>
      </w:r>
      <w:r w:rsidRPr="001A3865">
        <w:rPr>
          <w:rFonts w:ascii="Times New Roman" w:hAnsi="Times New Roman" w:cs="Times New Roman"/>
          <w:sz w:val="24"/>
          <w:szCs w:val="24"/>
        </w:rPr>
        <w:t xml:space="preserve"> with the human rights and freedoms recognised or declared under section 3 of the </w:t>
      </w:r>
      <w:r w:rsidRPr="001A3865">
        <w:rPr>
          <w:rFonts w:ascii="Times New Roman" w:hAnsi="Times New Roman" w:cs="Times New Roman"/>
          <w:i/>
          <w:sz w:val="24"/>
          <w:szCs w:val="24"/>
        </w:rPr>
        <w:t>Human Rights (Parliamentary Scrutiny) Act 2011.</w:t>
      </w:r>
      <w:r w:rsidRPr="001A3865">
        <w:rPr>
          <w:rFonts w:ascii="Times New Roman" w:hAnsi="Times New Roman" w:cs="Times New Roman"/>
          <w:sz w:val="24"/>
          <w:szCs w:val="24"/>
        </w:rPr>
        <w:t xml:space="preserve"> A full statement of compatibility is set out in </w:t>
      </w:r>
      <w:r w:rsidRPr="001A3865">
        <w:rPr>
          <w:rFonts w:ascii="Times New Roman" w:hAnsi="Times New Roman" w:cs="Times New Roman"/>
          <w:sz w:val="24"/>
          <w:szCs w:val="24"/>
          <w:u w:val="single"/>
        </w:rPr>
        <w:t>Attachment B</w:t>
      </w:r>
      <w:r w:rsidRPr="001A3865">
        <w:rPr>
          <w:rFonts w:ascii="Times New Roman" w:hAnsi="Times New Roman" w:cs="Times New Roman"/>
          <w:sz w:val="24"/>
          <w:szCs w:val="24"/>
        </w:rPr>
        <w:t>.</w:t>
      </w:r>
    </w:p>
    <w:p w14:paraId="7C030CE6" w14:textId="26CF0BC4" w:rsidR="00E76AB5" w:rsidRPr="000736A1" w:rsidRDefault="00203AAB" w:rsidP="008B36CD">
      <w:pPr>
        <w:tabs>
          <w:tab w:val="left" w:pos="1701"/>
          <w:tab w:val="right" w:pos="9072"/>
        </w:tabs>
        <w:spacing w:line="240" w:lineRule="auto"/>
        <w:rPr>
          <w:rFonts w:ascii="Times New Roman" w:hAnsi="Times New Roman" w:cs="Times New Roman"/>
          <w:sz w:val="24"/>
          <w:szCs w:val="24"/>
        </w:rPr>
      </w:pPr>
      <w:r w:rsidRPr="001A3865">
        <w:rPr>
          <w:rFonts w:ascii="Times New Roman" w:hAnsi="Times New Roman" w:cs="Times New Roman"/>
          <w:sz w:val="24"/>
          <w:szCs w:val="24"/>
        </w:rPr>
        <w:t xml:space="preserve">The </w:t>
      </w:r>
      <w:r w:rsidR="007C02FF" w:rsidRPr="001A3865">
        <w:rPr>
          <w:rFonts w:ascii="Times New Roman" w:hAnsi="Times New Roman" w:cs="Times New Roman"/>
          <w:sz w:val="24"/>
          <w:szCs w:val="24"/>
        </w:rPr>
        <w:t>Regulations are</w:t>
      </w:r>
      <w:r w:rsidR="00D45E13" w:rsidRPr="001A3865">
        <w:rPr>
          <w:rFonts w:ascii="Times New Roman" w:hAnsi="Times New Roman" w:cs="Times New Roman"/>
          <w:sz w:val="24"/>
          <w:szCs w:val="24"/>
        </w:rPr>
        <w:t xml:space="preserve"> </w:t>
      </w:r>
      <w:r w:rsidRPr="001A3865">
        <w:rPr>
          <w:rFonts w:ascii="Times New Roman" w:hAnsi="Times New Roman" w:cs="Times New Roman"/>
          <w:sz w:val="24"/>
          <w:szCs w:val="24"/>
        </w:rPr>
        <w:t xml:space="preserve">a legislative instrument for the purposes of the </w:t>
      </w:r>
      <w:r w:rsidR="000645AB" w:rsidRPr="001A3865">
        <w:rPr>
          <w:rFonts w:ascii="Times New Roman" w:hAnsi="Times New Roman" w:cs="Times New Roman"/>
          <w:i/>
          <w:sz w:val="24"/>
          <w:szCs w:val="24"/>
        </w:rPr>
        <w:t xml:space="preserve">Legislation </w:t>
      </w:r>
      <w:r w:rsidRPr="001A3865">
        <w:rPr>
          <w:rFonts w:ascii="Times New Roman" w:hAnsi="Times New Roman" w:cs="Times New Roman"/>
          <w:i/>
          <w:sz w:val="24"/>
          <w:szCs w:val="24"/>
        </w:rPr>
        <w:t>Act 2003</w:t>
      </w:r>
      <w:r w:rsidRPr="001A3865">
        <w:rPr>
          <w:rFonts w:ascii="Times New Roman" w:hAnsi="Times New Roman" w:cs="Times New Roman"/>
          <w:sz w:val="24"/>
          <w:szCs w:val="24"/>
        </w:rPr>
        <w:t>.</w:t>
      </w:r>
    </w:p>
    <w:p w14:paraId="663A745F" w14:textId="77777777" w:rsidR="003939E5" w:rsidRDefault="003939E5" w:rsidP="008B36CD">
      <w:pPr>
        <w:rPr>
          <w:rFonts w:ascii="Times" w:eastAsia="Times New Roman" w:hAnsi="Times" w:cs="Times New Roman"/>
          <w:b/>
          <w:caps/>
          <w:color w:val="000000"/>
          <w:sz w:val="24"/>
          <w:u w:val="single"/>
        </w:rPr>
      </w:pPr>
      <w:r>
        <w:rPr>
          <w:rFonts w:ascii="Times" w:hAnsi="Times"/>
          <w:b/>
          <w:caps/>
          <w:u w:val="single"/>
        </w:rPr>
        <w:br w:type="page"/>
      </w:r>
    </w:p>
    <w:p w14:paraId="049C6384" w14:textId="76C7B367" w:rsidR="000736A1" w:rsidRDefault="000736A1" w:rsidP="008B36CD">
      <w:pPr>
        <w:pStyle w:val="Normal-em"/>
        <w:spacing w:line="240" w:lineRule="auto"/>
        <w:jc w:val="right"/>
        <w:rPr>
          <w:rFonts w:ascii="Times" w:hAnsi="Times"/>
          <w:b/>
          <w:caps/>
          <w:u w:val="single"/>
        </w:rPr>
      </w:pPr>
      <w:r>
        <w:rPr>
          <w:rFonts w:ascii="Times" w:hAnsi="Times"/>
          <w:b/>
          <w:caps/>
          <w:u w:val="single"/>
        </w:rPr>
        <w:lastRenderedPageBreak/>
        <w:t>Attachment A</w:t>
      </w:r>
    </w:p>
    <w:p w14:paraId="6AB70526" w14:textId="77777777" w:rsidR="000736A1" w:rsidRPr="00836D6E" w:rsidRDefault="000736A1" w:rsidP="008B36CD">
      <w:pPr>
        <w:pStyle w:val="Normal-em"/>
        <w:spacing w:line="240" w:lineRule="auto"/>
        <w:rPr>
          <w:color w:val="auto"/>
          <w:szCs w:val="24"/>
        </w:rPr>
      </w:pPr>
    </w:p>
    <w:p w14:paraId="188FD4AB" w14:textId="77777777" w:rsidR="00E75B0A" w:rsidRPr="00800326" w:rsidRDefault="00E75B0A" w:rsidP="00E75B0A">
      <w:pPr>
        <w:pStyle w:val="Normal-em"/>
        <w:spacing w:line="240" w:lineRule="auto"/>
        <w:ind w:left="1440" w:hanging="1440"/>
        <w:rPr>
          <w:color w:val="auto"/>
          <w:szCs w:val="24"/>
          <w:u w:val="single"/>
        </w:rPr>
      </w:pPr>
      <w:r>
        <w:rPr>
          <w:color w:val="auto"/>
          <w:szCs w:val="24"/>
          <w:u w:val="single"/>
        </w:rPr>
        <w:t>Section 1 – Name</w:t>
      </w:r>
    </w:p>
    <w:p w14:paraId="60DE65D5" w14:textId="208080EC" w:rsidR="00E75B0A" w:rsidRPr="00836D6E" w:rsidRDefault="00E75B0A" w:rsidP="00E75B0A">
      <w:pPr>
        <w:pStyle w:val="Normal-em"/>
        <w:spacing w:line="240" w:lineRule="auto"/>
        <w:rPr>
          <w:i/>
          <w:iCs/>
          <w:color w:val="auto"/>
          <w:szCs w:val="24"/>
        </w:rPr>
      </w:pPr>
      <w:r w:rsidRPr="00836D6E">
        <w:rPr>
          <w:color w:val="auto"/>
          <w:szCs w:val="24"/>
        </w:rPr>
        <w:t xml:space="preserve">This </w:t>
      </w:r>
      <w:r>
        <w:rPr>
          <w:color w:val="auto"/>
          <w:szCs w:val="24"/>
        </w:rPr>
        <w:t>s</w:t>
      </w:r>
      <w:r w:rsidRPr="00836D6E">
        <w:rPr>
          <w:color w:val="auto"/>
          <w:szCs w:val="24"/>
        </w:rPr>
        <w:t xml:space="preserve">ection </w:t>
      </w:r>
      <w:r>
        <w:rPr>
          <w:color w:val="auto"/>
          <w:szCs w:val="24"/>
        </w:rPr>
        <w:t>p</w:t>
      </w:r>
      <w:r w:rsidRPr="00836D6E">
        <w:rPr>
          <w:color w:val="auto"/>
          <w:szCs w:val="24"/>
        </w:rPr>
        <w:t>rovide</w:t>
      </w:r>
      <w:r>
        <w:rPr>
          <w:color w:val="auto"/>
          <w:szCs w:val="24"/>
        </w:rPr>
        <w:t>s</w:t>
      </w:r>
      <w:r w:rsidRPr="00836D6E">
        <w:rPr>
          <w:color w:val="auto"/>
          <w:szCs w:val="24"/>
        </w:rPr>
        <w:t xml:space="preserve"> </w:t>
      </w:r>
      <w:r>
        <w:rPr>
          <w:color w:val="auto"/>
          <w:szCs w:val="24"/>
        </w:rPr>
        <w:t xml:space="preserve">that the name of the Regulation is the </w:t>
      </w:r>
      <w:r w:rsidRPr="00E818DB">
        <w:rPr>
          <w:i/>
          <w:color w:val="auto"/>
          <w:szCs w:val="24"/>
        </w:rPr>
        <w:t>Illegal Logging Prohibition Amendment (2021 Measures No. 1) Regulations 2021</w:t>
      </w:r>
      <w:r w:rsidRPr="00D03D5E">
        <w:rPr>
          <w:i/>
          <w:color w:val="auto"/>
          <w:szCs w:val="24"/>
        </w:rPr>
        <w:t>.</w:t>
      </w:r>
    </w:p>
    <w:p w14:paraId="4EF581AE" w14:textId="77777777" w:rsidR="00E75B0A" w:rsidRPr="00836D6E" w:rsidRDefault="00E75B0A" w:rsidP="00E75B0A">
      <w:pPr>
        <w:pStyle w:val="Normal-em"/>
        <w:spacing w:line="240" w:lineRule="auto"/>
        <w:rPr>
          <w:color w:val="auto"/>
          <w:szCs w:val="24"/>
        </w:rPr>
      </w:pPr>
    </w:p>
    <w:p w14:paraId="3B7CE03B" w14:textId="77777777" w:rsidR="00E75B0A" w:rsidRPr="00800326" w:rsidRDefault="00E75B0A" w:rsidP="00E75B0A">
      <w:pPr>
        <w:pStyle w:val="Normal-em"/>
        <w:spacing w:line="240" w:lineRule="auto"/>
        <w:rPr>
          <w:color w:val="auto"/>
          <w:szCs w:val="24"/>
          <w:u w:val="single"/>
        </w:rPr>
      </w:pPr>
      <w:r w:rsidRPr="00836D6E">
        <w:rPr>
          <w:color w:val="auto"/>
          <w:szCs w:val="24"/>
          <w:u w:val="single"/>
        </w:rPr>
        <w:t>Section 2 – Commencement</w:t>
      </w:r>
    </w:p>
    <w:p w14:paraId="40B3001D" w14:textId="48332AE7" w:rsidR="00E75B0A" w:rsidRPr="005D1944" w:rsidRDefault="00E75B0A" w:rsidP="00E75B0A">
      <w:pPr>
        <w:pStyle w:val="Normal-em"/>
        <w:rPr>
          <w:szCs w:val="24"/>
        </w:rPr>
      </w:pPr>
      <w:r w:rsidRPr="005B6075">
        <w:rPr>
          <w:szCs w:val="24"/>
        </w:rPr>
        <w:t xml:space="preserve">This section </w:t>
      </w:r>
      <w:r>
        <w:rPr>
          <w:szCs w:val="24"/>
        </w:rPr>
        <w:t>sets out,</w:t>
      </w:r>
      <w:r w:rsidRPr="005B6075">
        <w:rPr>
          <w:szCs w:val="24"/>
        </w:rPr>
        <w:t xml:space="preserve"> in a table, the date on which each of the provisions contained in the Regulations </w:t>
      </w:r>
      <w:r w:rsidRPr="005D1944">
        <w:rPr>
          <w:szCs w:val="24"/>
        </w:rPr>
        <w:t xml:space="preserve">commence. </w:t>
      </w:r>
      <w:r w:rsidRPr="005D1944">
        <w:rPr>
          <w:color w:val="auto"/>
          <w:szCs w:val="24"/>
        </w:rPr>
        <w:t xml:space="preserve">This table provides that sections 1 to </w:t>
      </w:r>
      <w:r w:rsidR="00410C8B" w:rsidRPr="005D1944">
        <w:rPr>
          <w:color w:val="auto"/>
          <w:szCs w:val="24"/>
        </w:rPr>
        <w:t>4</w:t>
      </w:r>
      <w:r w:rsidRPr="005D1944">
        <w:rPr>
          <w:color w:val="auto"/>
          <w:szCs w:val="24"/>
        </w:rPr>
        <w:t xml:space="preserve"> of the Regulations commence the day after this instrument is registered. Schedule 1, Part 1 of the Regulations commences on 1 January 2022, to align with the commencement of the </w:t>
      </w:r>
      <w:r w:rsidRPr="005D1944">
        <w:rPr>
          <w:i/>
          <w:iCs/>
        </w:rPr>
        <w:t>Customs Tariff Amendment (2022</w:t>
      </w:r>
      <w:r w:rsidR="009C4FDA" w:rsidRPr="005D1944">
        <w:rPr>
          <w:i/>
          <w:iCs/>
        </w:rPr>
        <w:t> </w:t>
      </w:r>
      <w:r w:rsidRPr="005D1944">
        <w:rPr>
          <w:i/>
          <w:iCs/>
        </w:rPr>
        <w:t>Harmonized System Changes) Act 2021</w:t>
      </w:r>
      <w:r w:rsidRPr="005D1944">
        <w:t>.</w:t>
      </w:r>
      <w:r w:rsidRPr="005D1944">
        <w:rPr>
          <w:color w:val="auto"/>
          <w:szCs w:val="24"/>
        </w:rPr>
        <w:t xml:space="preserve"> Schedule 1, Part 2 of the Regulations commences on the </w:t>
      </w:r>
      <w:r w:rsidRPr="005D1944">
        <w:t>day after the end of the period of 2 months beginning on the day this instrument is registered</w:t>
      </w:r>
      <w:r w:rsidR="00216972" w:rsidRPr="005D1944">
        <w:t xml:space="preserve"> </w:t>
      </w:r>
      <w:bookmarkStart w:id="2" w:name="_Hlk88204477"/>
      <w:r w:rsidR="00216972" w:rsidRPr="005D1944">
        <w:t xml:space="preserve">to allow any importers that are using the Solomon Islands country specific guideline, or processors using the superseded </w:t>
      </w:r>
      <w:r w:rsidR="00104643" w:rsidRPr="005D1944">
        <w:t>S</w:t>
      </w:r>
      <w:r w:rsidR="00216972" w:rsidRPr="005D1944">
        <w:t>tate specific guidelines</w:t>
      </w:r>
      <w:r w:rsidR="00730D8C" w:rsidRPr="005D1944">
        <w:t xml:space="preserve"> </w:t>
      </w:r>
      <w:r w:rsidR="00216972" w:rsidRPr="005D1944">
        <w:t>to</w:t>
      </w:r>
      <w:r w:rsidR="00730D8C" w:rsidRPr="005D1944">
        <w:t xml:space="preserve"> make any necessary </w:t>
      </w:r>
      <w:r w:rsidR="00216972" w:rsidRPr="005D1944">
        <w:t>adjust</w:t>
      </w:r>
      <w:r w:rsidR="00730D8C" w:rsidRPr="005D1944">
        <w:t xml:space="preserve">ments. </w:t>
      </w:r>
      <w:bookmarkEnd w:id="2"/>
    </w:p>
    <w:p w14:paraId="2E1839B8" w14:textId="77777777" w:rsidR="00E75B0A" w:rsidRPr="005D1944" w:rsidRDefault="00E75B0A" w:rsidP="00E75B0A">
      <w:pPr>
        <w:pStyle w:val="Normal-em"/>
        <w:spacing w:line="240" w:lineRule="auto"/>
        <w:rPr>
          <w:color w:val="auto"/>
          <w:szCs w:val="24"/>
        </w:rPr>
      </w:pPr>
    </w:p>
    <w:p w14:paraId="726B11DF" w14:textId="77777777" w:rsidR="00E75B0A" w:rsidRPr="005D1944" w:rsidRDefault="00E75B0A" w:rsidP="00E75B0A">
      <w:pPr>
        <w:pStyle w:val="Normal-em"/>
        <w:spacing w:line="240" w:lineRule="auto"/>
        <w:ind w:left="1440" w:hanging="1440"/>
        <w:rPr>
          <w:color w:val="auto"/>
          <w:szCs w:val="24"/>
          <w:u w:val="single"/>
        </w:rPr>
      </w:pPr>
      <w:r w:rsidRPr="005D1944">
        <w:rPr>
          <w:color w:val="auto"/>
          <w:szCs w:val="24"/>
          <w:u w:val="single"/>
        </w:rPr>
        <w:t xml:space="preserve">Section 3 – Authority </w:t>
      </w:r>
    </w:p>
    <w:p w14:paraId="10998389" w14:textId="6507A274" w:rsidR="00E75B0A" w:rsidRPr="0016210B" w:rsidRDefault="00E75B0A" w:rsidP="00E75B0A">
      <w:pPr>
        <w:pStyle w:val="Normal-em"/>
        <w:spacing w:line="240" w:lineRule="auto"/>
        <w:rPr>
          <w:iCs/>
          <w:color w:val="auto"/>
          <w:szCs w:val="24"/>
        </w:rPr>
      </w:pPr>
      <w:r w:rsidRPr="005D1944">
        <w:rPr>
          <w:color w:val="auto"/>
          <w:szCs w:val="24"/>
        </w:rPr>
        <w:t xml:space="preserve">This section provides that the Regulations are made under the </w:t>
      </w:r>
      <w:r w:rsidRPr="005D1944">
        <w:rPr>
          <w:i/>
          <w:color w:val="auto"/>
          <w:szCs w:val="24"/>
        </w:rPr>
        <w:t>Illegal Logging Prohibition Act 2012.</w:t>
      </w:r>
    </w:p>
    <w:p w14:paraId="6C57EB6B" w14:textId="77777777" w:rsidR="00E75B0A" w:rsidRPr="00836D6E" w:rsidRDefault="00E75B0A" w:rsidP="00E75B0A">
      <w:pPr>
        <w:pStyle w:val="Normal-em"/>
        <w:spacing w:line="240" w:lineRule="auto"/>
        <w:rPr>
          <w:iCs/>
          <w:color w:val="auto"/>
          <w:szCs w:val="24"/>
        </w:rPr>
      </w:pPr>
    </w:p>
    <w:p w14:paraId="03EF611C" w14:textId="77777777" w:rsidR="00E75B0A" w:rsidRPr="00800326" w:rsidRDefault="00E75B0A" w:rsidP="00E75B0A">
      <w:pPr>
        <w:pStyle w:val="Normal-em"/>
        <w:spacing w:line="240" w:lineRule="auto"/>
        <w:rPr>
          <w:color w:val="auto"/>
          <w:szCs w:val="24"/>
          <w:u w:val="single"/>
        </w:rPr>
      </w:pPr>
      <w:r>
        <w:rPr>
          <w:color w:val="auto"/>
          <w:szCs w:val="24"/>
          <w:u w:val="single"/>
        </w:rPr>
        <w:t>Section 4 – Schedules</w:t>
      </w:r>
    </w:p>
    <w:p w14:paraId="116D1EC1" w14:textId="5235DD4B" w:rsidR="00E75B0A" w:rsidRPr="00B95503" w:rsidRDefault="00E75B0A" w:rsidP="00E75B0A">
      <w:pPr>
        <w:pStyle w:val="Normal-em"/>
        <w:spacing w:line="240" w:lineRule="auto"/>
        <w:rPr>
          <w:color w:val="auto"/>
          <w:szCs w:val="24"/>
        </w:rPr>
      </w:pPr>
      <w:r>
        <w:rPr>
          <w:color w:val="auto"/>
          <w:szCs w:val="24"/>
        </w:rPr>
        <w:t>The effect of this section is</w:t>
      </w:r>
      <w:r w:rsidRPr="00B95503">
        <w:rPr>
          <w:color w:val="auto"/>
          <w:szCs w:val="24"/>
        </w:rPr>
        <w:t xml:space="preserve"> that the </w:t>
      </w:r>
      <w:r w:rsidRPr="00B95503">
        <w:rPr>
          <w:i/>
          <w:color w:val="auto"/>
          <w:szCs w:val="24"/>
        </w:rPr>
        <w:t>Illegal Logging Prohibition Regulation 2012</w:t>
      </w:r>
      <w:r w:rsidRPr="00B95503">
        <w:rPr>
          <w:color w:val="auto"/>
          <w:szCs w:val="24"/>
        </w:rPr>
        <w:t xml:space="preserve"> (the </w:t>
      </w:r>
      <w:r>
        <w:rPr>
          <w:color w:val="auto"/>
          <w:szCs w:val="24"/>
        </w:rPr>
        <w:t>P</w:t>
      </w:r>
      <w:r w:rsidRPr="00B95503">
        <w:rPr>
          <w:color w:val="auto"/>
          <w:szCs w:val="24"/>
        </w:rPr>
        <w:t>rincipal Regulation)</w:t>
      </w:r>
      <w:r w:rsidRPr="00B95503">
        <w:rPr>
          <w:i/>
          <w:color w:val="auto"/>
          <w:szCs w:val="24"/>
        </w:rPr>
        <w:t xml:space="preserve"> </w:t>
      </w:r>
      <w:r w:rsidRPr="00B95503">
        <w:rPr>
          <w:color w:val="auto"/>
          <w:szCs w:val="24"/>
        </w:rPr>
        <w:t>is amended as set out in Schedule 1.</w:t>
      </w:r>
    </w:p>
    <w:p w14:paraId="224192B4" w14:textId="77777777" w:rsidR="00E75B0A" w:rsidRPr="00800326" w:rsidRDefault="00E75B0A" w:rsidP="00E75B0A">
      <w:pPr>
        <w:pStyle w:val="Normal-em"/>
        <w:spacing w:line="240" w:lineRule="auto"/>
        <w:rPr>
          <w:color w:val="auto"/>
          <w:szCs w:val="24"/>
          <w:u w:val="single"/>
        </w:rPr>
      </w:pPr>
    </w:p>
    <w:p w14:paraId="48A5CCE5" w14:textId="77777777" w:rsidR="00E75B0A" w:rsidRDefault="00E75B0A" w:rsidP="00E75B0A">
      <w:pPr>
        <w:pStyle w:val="Normal-em"/>
        <w:spacing w:line="240" w:lineRule="auto"/>
        <w:rPr>
          <w:b/>
          <w:bCs/>
          <w:color w:val="auto"/>
          <w:szCs w:val="24"/>
        </w:rPr>
      </w:pPr>
      <w:r w:rsidRPr="00800326">
        <w:rPr>
          <w:b/>
          <w:bCs/>
          <w:color w:val="auto"/>
          <w:szCs w:val="24"/>
        </w:rPr>
        <w:t>Schedule 1 – Amendments</w:t>
      </w:r>
    </w:p>
    <w:p w14:paraId="1BB24E4D" w14:textId="77777777" w:rsidR="00E75B0A" w:rsidRDefault="00E75B0A" w:rsidP="00E75B0A">
      <w:pPr>
        <w:pStyle w:val="Normal-em"/>
        <w:spacing w:line="240" w:lineRule="auto"/>
        <w:rPr>
          <w:b/>
          <w:bCs/>
          <w:i/>
          <w:iCs/>
          <w:color w:val="auto"/>
          <w:szCs w:val="24"/>
        </w:rPr>
      </w:pPr>
      <w:r>
        <w:rPr>
          <w:b/>
          <w:bCs/>
          <w:i/>
          <w:iCs/>
          <w:color w:val="auto"/>
          <w:szCs w:val="24"/>
        </w:rPr>
        <w:t>Illegal Logging Prohibition Regulation 2012</w:t>
      </w:r>
    </w:p>
    <w:p w14:paraId="2272A309" w14:textId="77777777" w:rsidR="00E75B0A" w:rsidRPr="00A97F38" w:rsidRDefault="00E75B0A" w:rsidP="00E75B0A">
      <w:pPr>
        <w:pStyle w:val="Normal-em"/>
        <w:spacing w:line="240" w:lineRule="auto"/>
        <w:rPr>
          <w:b/>
          <w:bCs/>
          <w:color w:val="auto"/>
          <w:szCs w:val="24"/>
        </w:rPr>
      </w:pPr>
      <w:r w:rsidRPr="00A97F38">
        <w:rPr>
          <w:b/>
          <w:bCs/>
          <w:color w:val="auto"/>
          <w:szCs w:val="24"/>
        </w:rPr>
        <w:t>Part 1—Regulated timber products</w:t>
      </w:r>
    </w:p>
    <w:p w14:paraId="22E5598D" w14:textId="77777777" w:rsidR="00E75B0A" w:rsidRPr="00A97F38" w:rsidRDefault="00E75B0A" w:rsidP="00E75B0A">
      <w:pPr>
        <w:pStyle w:val="Normal-em"/>
        <w:spacing w:line="240" w:lineRule="auto"/>
        <w:rPr>
          <w:b/>
          <w:szCs w:val="24"/>
        </w:rPr>
      </w:pPr>
      <w:r>
        <w:rPr>
          <w:b/>
          <w:szCs w:val="24"/>
        </w:rPr>
        <w:t>Item 1 – At the end of Part 5</w:t>
      </w:r>
    </w:p>
    <w:p w14:paraId="53A9426D" w14:textId="1B0F4C9A" w:rsidR="00E75B0A" w:rsidRPr="00A97F38" w:rsidRDefault="00E75B0A" w:rsidP="00E75B0A">
      <w:pPr>
        <w:pStyle w:val="Normal-em"/>
        <w:spacing w:line="240" w:lineRule="auto"/>
        <w:rPr>
          <w:szCs w:val="24"/>
        </w:rPr>
      </w:pPr>
      <w:r>
        <w:rPr>
          <w:bCs/>
          <w:szCs w:val="24"/>
        </w:rPr>
        <w:t xml:space="preserve">This item </w:t>
      </w:r>
      <w:r w:rsidR="009C07B5">
        <w:rPr>
          <w:bCs/>
          <w:szCs w:val="24"/>
        </w:rPr>
        <w:t>i</w:t>
      </w:r>
      <w:r>
        <w:rPr>
          <w:bCs/>
          <w:szCs w:val="24"/>
        </w:rPr>
        <w:t>nsert</w:t>
      </w:r>
      <w:r w:rsidR="009C07B5">
        <w:rPr>
          <w:bCs/>
          <w:szCs w:val="24"/>
        </w:rPr>
        <w:t>s</w:t>
      </w:r>
      <w:r>
        <w:rPr>
          <w:bCs/>
          <w:szCs w:val="24"/>
        </w:rPr>
        <w:t xml:space="preserve"> </w:t>
      </w:r>
      <w:r w:rsidR="005F5200">
        <w:rPr>
          <w:bCs/>
          <w:szCs w:val="24"/>
        </w:rPr>
        <w:t>section </w:t>
      </w:r>
      <w:r>
        <w:rPr>
          <w:bCs/>
          <w:szCs w:val="24"/>
        </w:rPr>
        <w:t>28, which provide</w:t>
      </w:r>
      <w:r w:rsidR="009C07B5">
        <w:rPr>
          <w:bCs/>
          <w:szCs w:val="24"/>
        </w:rPr>
        <w:t>s</w:t>
      </w:r>
      <w:r>
        <w:rPr>
          <w:bCs/>
          <w:szCs w:val="24"/>
        </w:rPr>
        <w:t xml:space="preserve"> that the amendments made by items 2 and 3 of this </w:t>
      </w:r>
      <w:proofErr w:type="gramStart"/>
      <w:r>
        <w:rPr>
          <w:bCs/>
          <w:szCs w:val="24"/>
        </w:rPr>
        <w:t>instrument</w:t>
      </w:r>
      <w:proofErr w:type="gramEnd"/>
      <w:r>
        <w:rPr>
          <w:bCs/>
          <w:szCs w:val="24"/>
        </w:rPr>
        <w:t xml:space="preserve"> apply in relation to </w:t>
      </w:r>
      <w:r w:rsidR="00410C8B">
        <w:rPr>
          <w:bCs/>
          <w:szCs w:val="24"/>
        </w:rPr>
        <w:t>the importation of a thing</w:t>
      </w:r>
      <w:r>
        <w:rPr>
          <w:bCs/>
          <w:szCs w:val="24"/>
        </w:rPr>
        <w:t xml:space="preserve"> on or after 1 January 2022. This align</w:t>
      </w:r>
      <w:r w:rsidR="009C07B5">
        <w:rPr>
          <w:bCs/>
          <w:szCs w:val="24"/>
        </w:rPr>
        <w:t>s</w:t>
      </w:r>
      <w:r>
        <w:rPr>
          <w:bCs/>
          <w:szCs w:val="24"/>
        </w:rPr>
        <w:t xml:space="preserve"> the changes to regulated timber products with the changes made to the corresponding product descriptions in the </w:t>
      </w:r>
      <w:r w:rsidRPr="006D20F3">
        <w:rPr>
          <w:i/>
          <w:iCs/>
        </w:rPr>
        <w:t>Customs Tariff Amendment (2022 Harmonized System Changes) Act 2021</w:t>
      </w:r>
      <w:r>
        <w:rPr>
          <w:i/>
          <w:iCs/>
        </w:rPr>
        <w:t xml:space="preserve">, </w:t>
      </w:r>
      <w:r>
        <w:t>which commences on 1 January 2022.</w:t>
      </w:r>
    </w:p>
    <w:p w14:paraId="1F661F06" w14:textId="77777777" w:rsidR="00E75B0A" w:rsidRDefault="00E75B0A" w:rsidP="00E75B0A">
      <w:pPr>
        <w:pStyle w:val="Normal-em"/>
        <w:spacing w:line="240" w:lineRule="auto"/>
        <w:rPr>
          <w:b/>
          <w:szCs w:val="24"/>
        </w:rPr>
      </w:pPr>
    </w:p>
    <w:p w14:paraId="2BC0F156" w14:textId="77777777" w:rsidR="00E75B0A" w:rsidRDefault="00E75B0A" w:rsidP="00E75B0A">
      <w:pPr>
        <w:pStyle w:val="Normal-em"/>
        <w:spacing w:line="240" w:lineRule="auto"/>
        <w:rPr>
          <w:szCs w:val="24"/>
        </w:rPr>
      </w:pPr>
      <w:r>
        <w:rPr>
          <w:b/>
          <w:szCs w:val="24"/>
        </w:rPr>
        <w:t>Item 2 – Clause 1 of Schedule 1 (table item 10)</w:t>
      </w:r>
      <w:r>
        <w:rPr>
          <w:szCs w:val="24"/>
        </w:rPr>
        <w:t xml:space="preserve"> </w:t>
      </w:r>
    </w:p>
    <w:p w14:paraId="23F74703" w14:textId="35FB0726" w:rsidR="00E75B0A" w:rsidRDefault="00E75B0A" w:rsidP="00E75B0A">
      <w:pPr>
        <w:pStyle w:val="Normal-em"/>
        <w:spacing w:line="240" w:lineRule="auto"/>
      </w:pPr>
      <w:r>
        <w:rPr>
          <w:iCs/>
          <w:color w:val="auto"/>
          <w:szCs w:val="24"/>
        </w:rPr>
        <w:t>This item repeal</w:t>
      </w:r>
      <w:r w:rsidR="009C07B5">
        <w:rPr>
          <w:iCs/>
          <w:color w:val="auto"/>
          <w:szCs w:val="24"/>
        </w:rPr>
        <w:t>s</w:t>
      </w:r>
      <w:r>
        <w:rPr>
          <w:iCs/>
          <w:color w:val="auto"/>
          <w:szCs w:val="24"/>
        </w:rPr>
        <w:t xml:space="preserve"> the reference number in column 1 of table item 10 (4414.00.00) and substitute</w:t>
      </w:r>
      <w:r w:rsidR="009C07B5">
        <w:rPr>
          <w:iCs/>
          <w:color w:val="auto"/>
          <w:szCs w:val="24"/>
        </w:rPr>
        <w:t>s</w:t>
      </w:r>
      <w:r>
        <w:rPr>
          <w:iCs/>
          <w:color w:val="auto"/>
          <w:szCs w:val="24"/>
        </w:rPr>
        <w:t xml:space="preserve"> a new reference number of 4414.</w:t>
      </w:r>
      <w:r>
        <w:t xml:space="preserve"> </w:t>
      </w:r>
    </w:p>
    <w:p w14:paraId="606BFE9A" w14:textId="7AD49312" w:rsidR="00E75B0A" w:rsidRDefault="00E75B0A" w:rsidP="00E75B0A">
      <w:pPr>
        <w:pStyle w:val="Normal-em"/>
        <w:spacing w:line="240" w:lineRule="auto"/>
        <w:rPr>
          <w:b/>
          <w:szCs w:val="24"/>
        </w:rPr>
      </w:pPr>
      <w:r>
        <w:t>This amendment reflects the updating of the H</w:t>
      </w:r>
      <w:r w:rsidR="008D3D5F">
        <w:t>armonize</w:t>
      </w:r>
      <w:r>
        <w:t xml:space="preserve">d System within the Tariff Act that split the previous description of </w:t>
      </w:r>
      <w:r w:rsidRPr="00632E7A">
        <w:t xml:space="preserve">‘WOODEN FRAMES FOR PAINTINGS, PHOTOGRAPHS, </w:t>
      </w:r>
      <w:r w:rsidRPr="00632E7A">
        <w:lastRenderedPageBreak/>
        <w:t>MIRRORS OR SIMILAR OBJECTS’, into two new sub-</w:t>
      </w:r>
      <w:r>
        <w:t>categories</w:t>
      </w:r>
      <w:r w:rsidRPr="00632E7A">
        <w:t xml:space="preserve">, specifying items made of ‘tropical wood’, and items made of ‘other’, respectively. </w:t>
      </w:r>
      <w:r>
        <w:t>Th</w:t>
      </w:r>
      <w:r w:rsidR="009C07B5">
        <w:t>is item ensures</w:t>
      </w:r>
      <w:r>
        <w:t xml:space="preserve"> both of</w:t>
      </w:r>
      <w:r w:rsidRPr="00632E7A">
        <w:t xml:space="preserve"> </w:t>
      </w:r>
      <w:r>
        <w:t xml:space="preserve">these </w:t>
      </w:r>
      <w:r w:rsidRPr="00632E7A">
        <w:t>sub-</w:t>
      </w:r>
      <w:r>
        <w:t>categories</w:t>
      </w:r>
      <w:r w:rsidRPr="00632E7A">
        <w:t xml:space="preserve"> </w:t>
      </w:r>
      <w:r w:rsidR="009C07B5">
        <w:t>are still</w:t>
      </w:r>
      <w:r w:rsidRPr="00632E7A">
        <w:t xml:space="preserve"> covered by the </w:t>
      </w:r>
      <w:r>
        <w:t xml:space="preserve">Principal </w:t>
      </w:r>
      <w:r w:rsidRPr="00632E7A">
        <w:t>Regulation</w:t>
      </w:r>
      <w:r>
        <w:t xml:space="preserve"> as regulated timber products.</w:t>
      </w:r>
    </w:p>
    <w:p w14:paraId="2A1342D9" w14:textId="77777777" w:rsidR="00E75B0A" w:rsidRDefault="00E75B0A" w:rsidP="00E75B0A">
      <w:pPr>
        <w:pStyle w:val="Normal-em"/>
        <w:spacing w:line="240" w:lineRule="auto"/>
        <w:rPr>
          <w:szCs w:val="24"/>
        </w:rPr>
      </w:pPr>
    </w:p>
    <w:p w14:paraId="3FF83DB2" w14:textId="77777777" w:rsidR="00E75B0A" w:rsidRDefault="00E75B0A" w:rsidP="00E75B0A">
      <w:pPr>
        <w:pStyle w:val="Normal-em"/>
        <w:spacing w:line="240" w:lineRule="auto"/>
        <w:rPr>
          <w:szCs w:val="24"/>
        </w:rPr>
      </w:pPr>
      <w:r>
        <w:rPr>
          <w:b/>
          <w:szCs w:val="24"/>
        </w:rPr>
        <w:t>Item 3 – Clause 1 of Schedule 1 (table item 45)</w:t>
      </w:r>
      <w:r>
        <w:rPr>
          <w:szCs w:val="24"/>
        </w:rPr>
        <w:t xml:space="preserve"> </w:t>
      </w:r>
    </w:p>
    <w:p w14:paraId="09BE1B56" w14:textId="481B1B8A" w:rsidR="00410C8B" w:rsidRDefault="00E75B0A" w:rsidP="00410C8B">
      <w:pPr>
        <w:pStyle w:val="Normal-em"/>
        <w:spacing w:line="240" w:lineRule="auto"/>
      </w:pPr>
      <w:r>
        <w:rPr>
          <w:iCs/>
          <w:color w:val="auto"/>
          <w:szCs w:val="24"/>
        </w:rPr>
        <w:t xml:space="preserve">This item </w:t>
      </w:r>
      <w:r w:rsidR="009C07B5">
        <w:rPr>
          <w:iCs/>
          <w:color w:val="auto"/>
          <w:szCs w:val="24"/>
        </w:rPr>
        <w:t>r</w:t>
      </w:r>
      <w:r>
        <w:rPr>
          <w:iCs/>
          <w:color w:val="auto"/>
          <w:szCs w:val="24"/>
        </w:rPr>
        <w:t>epeal</w:t>
      </w:r>
      <w:r w:rsidR="009C07B5">
        <w:rPr>
          <w:iCs/>
          <w:color w:val="auto"/>
          <w:szCs w:val="24"/>
        </w:rPr>
        <w:t>s</w:t>
      </w:r>
      <w:r>
        <w:rPr>
          <w:iCs/>
          <w:color w:val="auto"/>
          <w:szCs w:val="24"/>
        </w:rPr>
        <w:t xml:space="preserve"> the </w:t>
      </w:r>
      <w:r w:rsidR="00410C8B">
        <w:rPr>
          <w:iCs/>
          <w:color w:val="auto"/>
          <w:szCs w:val="24"/>
        </w:rPr>
        <w:t>table item 45 and substitutes a new table item. This new item provides a new reference number of 9403.91.00 in column 1, and</w:t>
      </w:r>
      <w:r w:rsidR="00410C8B">
        <w:t xml:space="preserve"> updates the item description at column</w:t>
      </w:r>
      <w:r w:rsidR="009C4FDA">
        <w:t> </w:t>
      </w:r>
      <w:r w:rsidR="00410C8B">
        <w:t>2 to add ‘of wood’.</w:t>
      </w:r>
    </w:p>
    <w:p w14:paraId="5A983F48" w14:textId="52FC5CAA" w:rsidR="00E75B0A" w:rsidRDefault="00E75B0A" w:rsidP="00E75B0A">
      <w:pPr>
        <w:pStyle w:val="Normal-em"/>
        <w:spacing w:line="240" w:lineRule="auto"/>
        <w:rPr>
          <w:b/>
          <w:szCs w:val="24"/>
        </w:rPr>
      </w:pPr>
      <w:r>
        <w:t xml:space="preserve">This </w:t>
      </w:r>
      <w:r w:rsidR="009C07B5">
        <w:t xml:space="preserve">item </w:t>
      </w:r>
      <w:r>
        <w:t>reflects the updating of the H</w:t>
      </w:r>
      <w:r w:rsidR="008D3D5F">
        <w:t>armonize</w:t>
      </w:r>
      <w:r>
        <w:t>d System within the Tariff Act that split the previous description of ‘</w:t>
      </w:r>
      <w:r w:rsidRPr="00632E7A">
        <w:t>OTHER FURNITURE AND PARTS THEREOF: Parts’ into two new sub-</w:t>
      </w:r>
      <w:r>
        <w:t>categories</w:t>
      </w:r>
      <w:r w:rsidRPr="00632E7A">
        <w:t xml:space="preserve">, specifying parts made of ‘wood’ and ‘other’, respectively. </w:t>
      </w:r>
      <w:r>
        <w:t>Th</w:t>
      </w:r>
      <w:r w:rsidR="009C07B5">
        <w:t xml:space="preserve">is item </w:t>
      </w:r>
      <w:r>
        <w:t>ensure</w:t>
      </w:r>
      <w:r w:rsidR="009C07B5">
        <w:t>s</w:t>
      </w:r>
      <w:r>
        <w:t xml:space="preserve"> that only parts of furniture made of wood</w:t>
      </w:r>
      <w:r w:rsidRPr="00632E7A">
        <w:t xml:space="preserve"> </w:t>
      </w:r>
      <w:r w:rsidR="009C07B5">
        <w:t>are still</w:t>
      </w:r>
      <w:r w:rsidRPr="00632E7A">
        <w:t xml:space="preserve"> covered by the </w:t>
      </w:r>
      <w:r>
        <w:t xml:space="preserve">Principal </w:t>
      </w:r>
      <w:r w:rsidRPr="00632E7A">
        <w:t>Regulation</w:t>
      </w:r>
      <w:r>
        <w:t xml:space="preserve"> as a regulated timber product.</w:t>
      </w:r>
    </w:p>
    <w:p w14:paraId="1DC08DF7" w14:textId="77777777" w:rsidR="00E75B0A" w:rsidRDefault="00E75B0A" w:rsidP="00E75B0A">
      <w:pPr>
        <w:pStyle w:val="Normal-em"/>
        <w:spacing w:line="240" w:lineRule="auto"/>
        <w:rPr>
          <w:b/>
          <w:bCs/>
          <w:i/>
          <w:iCs/>
          <w:color w:val="auto"/>
          <w:szCs w:val="24"/>
        </w:rPr>
      </w:pPr>
    </w:p>
    <w:p w14:paraId="7F130A47" w14:textId="77777777" w:rsidR="00E75B0A" w:rsidRPr="002F62E2" w:rsidRDefault="00E75B0A" w:rsidP="00E75B0A">
      <w:pPr>
        <w:pStyle w:val="Normal-em"/>
        <w:spacing w:line="240" w:lineRule="auto"/>
        <w:rPr>
          <w:b/>
          <w:bCs/>
          <w:color w:val="auto"/>
          <w:szCs w:val="24"/>
        </w:rPr>
      </w:pPr>
      <w:r w:rsidRPr="002F62E2">
        <w:rPr>
          <w:b/>
          <w:bCs/>
          <w:color w:val="auto"/>
          <w:szCs w:val="24"/>
        </w:rPr>
        <w:t>Part 2—Country and State specific guidelines</w:t>
      </w:r>
    </w:p>
    <w:p w14:paraId="187E45EC" w14:textId="77777777" w:rsidR="00E75B0A" w:rsidRPr="005D1944" w:rsidRDefault="00E75B0A" w:rsidP="00E75B0A">
      <w:pPr>
        <w:pStyle w:val="Normal-em"/>
        <w:spacing w:line="240" w:lineRule="auto"/>
        <w:rPr>
          <w:szCs w:val="24"/>
        </w:rPr>
      </w:pPr>
      <w:r w:rsidRPr="00800326">
        <w:rPr>
          <w:b/>
          <w:szCs w:val="24"/>
        </w:rPr>
        <w:t xml:space="preserve">Item </w:t>
      </w:r>
      <w:r>
        <w:rPr>
          <w:b/>
          <w:szCs w:val="24"/>
        </w:rPr>
        <w:t>4</w:t>
      </w:r>
      <w:r w:rsidRPr="00800326">
        <w:rPr>
          <w:b/>
          <w:bCs/>
          <w:szCs w:val="24"/>
        </w:rPr>
        <w:t xml:space="preserve"> – Clause 2 of Schedule 2 </w:t>
      </w:r>
      <w:r w:rsidRPr="005D1944">
        <w:rPr>
          <w:b/>
          <w:bCs/>
          <w:szCs w:val="24"/>
        </w:rPr>
        <w:t>(table item 6)</w:t>
      </w:r>
    </w:p>
    <w:p w14:paraId="3F4D3997" w14:textId="34FA7435" w:rsidR="00E75B0A" w:rsidRPr="005D1944" w:rsidRDefault="00E75B0A" w:rsidP="00E75B0A">
      <w:pPr>
        <w:pStyle w:val="Normal-em"/>
        <w:spacing w:line="240" w:lineRule="auto"/>
        <w:rPr>
          <w:iCs/>
          <w:color w:val="auto"/>
          <w:szCs w:val="24"/>
        </w:rPr>
      </w:pPr>
      <w:r w:rsidRPr="005D1944">
        <w:rPr>
          <w:szCs w:val="24"/>
        </w:rPr>
        <w:t xml:space="preserve">This item </w:t>
      </w:r>
      <w:r w:rsidRPr="005D1944">
        <w:rPr>
          <w:iCs/>
          <w:color w:val="auto"/>
          <w:szCs w:val="24"/>
        </w:rPr>
        <w:t>repeal</w:t>
      </w:r>
      <w:r w:rsidR="009C07B5" w:rsidRPr="005D1944">
        <w:rPr>
          <w:iCs/>
          <w:color w:val="auto"/>
          <w:szCs w:val="24"/>
        </w:rPr>
        <w:t>s</w:t>
      </w:r>
      <w:r w:rsidRPr="005D1944">
        <w:rPr>
          <w:iCs/>
          <w:color w:val="auto"/>
          <w:szCs w:val="24"/>
        </w:rPr>
        <w:t xml:space="preserve"> table item 6 of </w:t>
      </w:r>
      <w:r w:rsidR="005F5200">
        <w:rPr>
          <w:iCs/>
          <w:color w:val="auto"/>
          <w:szCs w:val="24"/>
        </w:rPr>
        <w:t>section</w:t>
      </w:r>
      <w:r w:rsidR="005F5200" w:rsidRPr="005D1944">
        <w:rPr>
          <w:iCs/>
          <w:color w:val="auto"/>
          <w:szCs w:val="24"/>
        </w:rPr>
        <w:t xml:space="preserve"> </w:t>
      </w:r>
      <w:r w:rsidRPr="005D1944">
        <w:rPr>
          <w:iCs/>
          <w:color w:val="auto"/>
          <w:szCs w:val="24"/>
        </w:rPr>
        <w:t>2 of Schedule 2 to the Principal Regulation, being the country specific guideline for the Solomon Islands.</w:t>
      </w:r>
    </w:p>
    <w:p w14:paraId="10A71AF1" w14:textId="367BD64D" w:rsidR="00E75B0A" w:rsidRPr="005D1944" w:rsidRDefault="00E75B0A" w:rsidP="00E75B0A">
      <w:pPr>
        <w:pStyle w:val="Normal-em"/>
        <w:spacing w:line="240" w:lineRule="auto"/>
      </w:pPr>
      <w:r w:rsidRPr="005D1944">
        <w:rPr>
          <w:iCs/>
          <w:color w:val="auto"/>
          <w:szCs w:val="24"/>
        </w:rPr>
        <w:t>This item substitute</w:t>
      </w:r>
      <w:r w:rsidR="009C07B5" w:rsidRPr="005D1944">
        <w:rPr>
          <w:iCs/>
          <w:color w:val="auto"/>
          <w:szCs w:val="24"/>
        </w:rPr>
        <w:t>s</w:t>
      </w:r>
      <w:r w:rsidRPr="005D1944">
        <w:rPr>
          <w:iCs/>
          <w:color w:val="auto"/>
          <w:szCs w:val="24"/>
        </w:rPr>
        <w:t xml:space="preserve"> a new table item 6, which list</w:t>
      </w:r>
      <w:r w:rsidR="009C07B5" w:rsidRPr="005D1944">
        <w:rPr>
          <w:iCs/>
          <w:color w:val="auto"/>
          <w:szCs w:val="24"/>
        </w:rPr>
        <w:t>s</w:t>
      </w:r>
      <w:r w:rsidRPr="005D1944">
        <w:rPr>
          <w:iCs/>
          <w:color w:val="auto"/>
          <w:szCs w:val="24"/>
        </w:rPr>
        <w:t xml:space="preserve"> the </w:t>
      </w:r>
      <w:r w:rsidRPr="005D1944">
        <w:t>country specific guideline for Thailand, co-endorsed by the Government of Australia and the Government of Thailand on 24</w:t>
      </w:r>
      <w:r w:rsidR="00B976EC" w:rsidRPr="005D1944">
        <w:t> </w:t>
      </w:r>
      <w:r w:rsidRPr="005D1944">
        <w:t>August 2021.</w:t>
      </w:r>
    </w:p>
    <w:p w14:paraId="75C15528" w14:textId="3BDB893C" w:rsidR="00E75B0A" w:rsidRDefault="00E75B0A" w:rsidP="00E75B0A">
      <w:pPr>
        <w:pStyle w:val="Normal-em"/>
        <w:spacing w:line="240" w:lineRule="auto"/>
      </w:pPr>
      <w:r w:rsidRPr="005D1944">
        <w:t xml:space="preserve">The new country specific guideline for Thailand provides guidance material for importers when gathering information to meet their due diligence requirements in section 10 of the Principal Regulation to reduce the risk that imported regulated timber products </w:t>
      </w:r>
      <w:r w:rsidR="00F154B0" w:rsidRPr="005D1944">
        <w:t xml:space="preserve">containing timber harvested in </w:t>
      </w:r>
      <w:r w:rsidRPr="005D1944">
        <w:t>Thailand are, are made from, or include, illegally logged timber. Importers may elect to use the country specific guideline optional process under section 12 of the Principal Regulation to conduct due diligence, if the country specific guideline for Thailand applies to the timber in the product, or the area in which</w:t>
      </w:r>
      <w:r>
        <w:t xml:space="preserve"> the timber is harvested.</w:t>
      </w:r>
    </w:p>
    <w:p w14:paraId="72C37496" w14:textId="463C9141" w:rsidR="00410C8B" w:rsidRDefault="00410C8B" w:rsidP="009C07B5">
      <w:pPr>
        <w:spacing w:line="240" w:lineRule="auto"/>
        <w:rPr>
          <w:rStyle w:val="Hyperlink"/>
          <w:rFonts w:ascii="Times New Roman" w:hAnsi="Times New Roman" w:cs="Times New Roman"/>
          <w:sz w:val="24"/>
          <w:szCs w:val="24"/>
        </w:rPr>
      </w:pPr>
    </w:p>
    <w:p w14:paraId="6CD13141" w14:textId="77777777" w:rsidR="00410C8B" w:rsidRDefault="00410C8B" w:rsidP="00410C8B">
      <w:pPr>
        <w:pStyle w:val="Normal-em"/>
        <w:spacing w:line="240" w:lineRule="auto"/>
        <w:rPr>
          <w:szCs w:val="24"/>
        </w:rPr>
      </w:pPr>
      <w:r w:rsidRPr="00800326">
        <w:rPr>
          <w:b/>
          <w:szCs w:val="24"/>
        </w:rPr>
        <w:t xml:space="preserve">Item </w:t>
      </w:r>
      <w:r>
        <w:rPr>
          <w:b/>
          <w:szCs w:val="24"/>
        </w:rPr>
        <w:t>5</w:t>
      </w:r>
      <w:r w:rsidRPr="00800326">
        <w:rPr>
          <w:b/>
          <w:bCs/>
          <w:szCs w:val="24"/>
        </w:rPr>
        <w:t xml:space="preserve"> – Clause 2 of Schedule 2 (</w:t>
      </w:r>
      <w:r>
        <w:rPr>
          <w:b/>
          <w:bCs/>
          <w:szCs w:val="24"/>
        </w:rPr>
        <w:t>note</w:t>
      </w:r>
      <w:r w:rsidRPr="00800326">
        <w:rPr>
          <w:b/>
          <w:bCs/>
          <w:szCs w:val="24"/>
        </w:rPr>
        <w:t>)</w:t>
      </w:r>
    </w:p>
    <w:p w14:paraId="305B7E01" w14:textId="7C409768" w:rsidR="00410C8B" w:rsidRDefault="00410C8B" w:rsidP="00410C8B">
      <w:pPr>
        <w:pStyle w:val="Normal-em"/>
        <w:spacing w:line="240" w:lineRule="auto"/>
        <w:rPr>
          <w:iCs/>
          <w:color w:val="auto"/>
          <w:szCs w:val="24"/>
        </w:rPr>
      </w:pPr>
      <w:r>
        <w:rPr>
          <w:szCs w:val="24"/>
        </w:rPr>
        <w:t xml:space="preserve">This item </w:t>
      </w:r>
      <w:r>
        <w:rPr>
          <w:iCs/>
          <w:color w:val="auto"/>
          <w:szCs w:val="24"/>
        </w:rPr>
        <w:t xml:space="preserve">repeals the existing note and substitutes a note that </w:t>
      </w:r>
      <w:r w:rsidR="00B4735C">
        <w:rPr>
          <w:iCs/>
          <w:color w:val="auto"/>
          <w:szCs w:val="24"/>
        </w:rPr>
        <w:t>explains</w:t>
      </w:r>
      <w:r>
        <w:rPr>
          <w:iCs/>
          <w:color w:val="auto"/>
          <w:szCs w:val="24"/>
        </w:rPr>
        <w:t xml:space="preserve"> that the country specific guidelines could in 2021 be viewed on the Department’s website (</w:t>
      </w:r>
      <w:hyperlink r:id="rId8" w:history="1">
        <w:r w:rsidRPr="00494AF8">
          <w:rPr>
            <w:rStyle w:val="Hyperlink"/>
            <w:iCs/>
            <w:szCs w:val="24"/>
          </w:rPr>
          <w:t>http://awe.gov.au</w:t>
        </w:r>
      </w:hyperlink>
      <w:r>
        <w:rPr>
          <w:iCs/>
          <w:color w:val="auto"/>
          <w:szCs w:val="24"/>
        </w:rPr>
        <w:t xml:space="preserve">). This </w:t>
      </w:r>
      <w:r w:rsidR="00B4735C">
        <w:rPr>
          <w:iCs/>
          <w:color w:val="auto"/>
          <w:szCs w:val="24"/>
        </w:rPr>
        <w:t>is consistent with</w:t>
      </w:r>
      <w:r>
        <w:rPr>
          <w:iCs/>
          <w:color w:val="auto"/>
          <w:szCs w:val="24"/>
        </w:rPr>
        <w:t xml:space="preserve"> the</w:t>
      </w:r>
      <w:r w:rsidR="007674EA">
        <w:rPr>
          <w:iCs/>
          <w:color w:val="auto"/>
          <w:szCs w:val="24"/>
        </w:rPr>
        <w:t xml:space="preserve"> expectation that, as a</w:t>
      </w:r>
      <w:r>
        <w:rPr>
          <w:iCs/>
          <w:color w:val="auto"/>
          <w:szCs w:val="24"/>
        </w:rPr>
        <w:t xml:space="preserve"> principle of justice, that </w:t>
      </w:r>
      <w:r w:rsidRPr="005935B5">
        <w:rPr>
          <w:iCs/>
          <w:color w:val="auto"/>
          <w:szCs w:val="24"/>
        </w:rPr>
        <w:t xml:space="preserve">every person subject to the law should be able to </w:t>
      </w:r>
      <w:proofErr w:type="gramStart"/>
      <w:r w:rsidRPr="005935B5">
        <w:rPr>
          <w:iCs/>
          <w:color w:val="auto"/>
          <w:szCs w:val="24"/>
        </w:rPr>
        <w:t>readily and freely access its terms</w:t>
      </w:r>
      <w:proofErr w:type="gramEnd"/>
      <w:r w:rsidRPr="005935B5">
        <w:rPr>
          <w:iCs/>
          <w:color w:val="auto"/>
          <w:szCs w:val="24"/>
        </w:rPr>
        <w:t>, without cost.</w:t>
      </w:r>
      <w:r>
        <w:rPr>
          <w:iCs/>
          <w:color w:val="auto"/>
          <w:szCs w:val="24"/>
        </w:rPr>
        <w:t xml:space="preserve"> This note </w:t>
      </w:r>
      <w:r w:rsidR="00EE5FC8">
        <w:rPr>
          <w:iCs/>
          <w:color w:val="auto"/>
          <w:szCs w:val="24"/>
        </w:rPr>
        <w:t xml:space="preserve">explains </w:t>
      </w:r>
      <w:r>
        <w:rPr>
          <w:iCs/>
          <w:color w:val="auto"/>
          <w:szCs w:val="24"/>
        </w:rPr>
        <w:t xml:space="preserve">that </w:t>
      </w:r>
      <w:r w:rsidRPr="005935B5">
        <w:rPr>
          <w:iCs/>
          <w:color w:val="auto"/>
          <w:szCs w:val="24"/>
        </w:rPr>
        <w:t>the incorporated documents</w:t>
      </w:r>
      <w:r>
        <w:rPr>
          <w:iCs/>
          <w:color w:val="auto"/>
          <w:szCs w:val="24"/>
        </w:rPr>
        <w:t>, being the country specific guidelines,</w:t>
      </w:r>
      <w:r w:rsidRPr="005935B5">
        <w:rPr>
          <w:iCs/>
          <w:color w:val="auto"/>
          <w:szCs w:val="24"/>
        </w:rPr>
        <w:t xml:space="preserve"> are freely available online, with website details provided</w:t>
      </w:r>
      <w:r>
        <w:rPr>
          <w:iCs/>
          <w:color w:val="auto"/>
          <w:szCs w:val="24"/>
        </w:rPr>
        <w:t>.</w:t>
      </w:r>
    </w:p>
    <w:p w14:paraId="14ECD5EC" w14:textId="77777777" w:rsidR="00E75B0A" w:rsidRPr="00B95503" w:rsidRDefault="00E75B0A" w:rsidP="00E75B0A">
      <w:pPr>
        <w:spacing w:line="240" w:lineRule="auto"/>
        <w:rPr>
          <w:rFonts w:ascii="Times New Roman" w:hAnsi="Times New Roman" w:cs="Times New Roman"/>
          <w:sz w:val="24"/>
          <w:highlight w:val="yellow"/>
        </w:rPr>
      </w:pPr>
    </w:p>
    <w:p w14:paraId="5CD771E9" w14:textId="1C9D461A" w:rsidR="00E75B0A" w:rsidRDefault="00E75B0A" w:rsidP="005D1944">
      <w:pPr>
        <w:pStyle w:val="Normal-em"/>
        <w:keepNext/>
        <w:spacing w:line="240" w:lineRule="auto"/>
        <w:rPr>
          <w:b/>
          <w:szCs w:val="24"/>
        </w:rPr>
      </w:pPr>
      <w:r w:rsidRPr="002D4356">
        <w:rPr>
          <w:b/>
          <w:szCs w:val="24"/>
        </w:rPr>
        <w:t xml:space="preserve">Item </w:t>
      </w:r>
      <w:r w:rsidR="00410C8B">
        <w:rPr>
          <w:b/>
          <w:szCs w:val="24"/>
        </w:rPr>
        <w:t>6</w:t>
      </w:r>
      <w:r w:rsidRPr="002D4356">
        <w:rPr>
          <w:b/>
          <w:szCs w:val="24"/>
        </w:rPr>
        <w:t xml:space="preserve"> </w:t>
      </w:r>
      <w:r>
        <w:rPr>
          <w:b/>
          <w:szCs w:val="24"/>
        </w:rPr>
        <w:t>– Clause 3 of Schedule 2 (table item 4)</w:t>
      </w:r>
    </w:p>
    <w:p w14:paraId="5039D3CE" w14:textId="0748DAF1" w:rsidR="00E75B0A" w:rsidRDefault="00E75B0A" w:rsidP="005D1944">
      <w:pPr>
        <w:pStyle w:val="Normal-em"/>
        <w:keepNext/>
        <w:spacing w:line="240" w:lineRule="auto"/>
      </w:pPr>
      <w:r>
        <w:rPr>
          <w:iCs/>
          <w:color w:val="auto"/>
          <w:szCs w:val="24"/>
        </w:rPr>
        <w:t>This item repeal</w:t>
      </w:r>
      <w:r w:rsidR="009C07B5">
        <w:rPr>
          <w:iCs/>
          <w:color w:val="auto"/>
          <w:szCs w:val="24"/>
        </w:rPr>
        <w:t>s</w:t>
      </w:r>
      <w:r>
        <w:rPr>
          <w:iCs/>
          <w:color w:val="auto"/>
          <w:szCs w:val="24"/>
        </w:rPr>
        <w:t xml:space="preserve"> the date of co-endorsement of the State specific guideline for South Australia in table item 4 of </w:t>
      </w:r>
      <w:r w:rsidR="005F5200">
        <w:rPr>
          <w:iCs/>
          <w:color w:val="auto"/>
          <w:szCs w:val="24"/>
        </w:rPr>
        <w:t xml:space="preserve">section </w:t>
      </w:r>
      <w:r>
        <w:rPr>
          <w:iCs/>
          <w:color w:val="auto"/>
          <w:szCs w:val="24"/>
        </w:rPr>
        <w:t xml:space="preserve">3 of </w:t>
      </w:r>
      <w:r w:rsidRPr="005B0F09">
        <w:rPr>
          <w:iCs/>
          <w:color w:val="auto"/>
          <w:szCs w:val="24"/>
        </w:rPr>
        <w:t xml:space="preserve">Schedule 2 </w:t>
      </w:r>
      <w:r>
        <w:rPr>
          <w:iCs/>
          <w:color w:val="auto"/>
          <w:szCs w:val="24"/>
        </w:rPr>
        <w:t>to</w:t>
      </w:r>
      <w:r w:rsidRPr="005B0F09">
        <w:rPr>
          <w:iCs/>
          <w:color w:val="auto"/>
          <w:szCs w:val="24"/>
        </w:rPr>
        <w:t xml:space="preserve"> the </w:t>
      </w:r>
      <w:r>
        <w:rPr>
          <w:iCs/>
          <w:color w:val="auto"/>
          <w:szCs w:val="24"/>
        </w:rPr>
        <w:t xml:space="preserve">Principal </w:t>
      </w:r>
      <w:r w:rsidRPr="005B0F09">
        <w:rPr>
          <w:iCs/>
          <w:color w:val="auto"/>
          <w:szCs w:val="24"/>
        </w:rPr>
        <w:t xml:space="preserve">Regulation </w:t>
      </w:r>
      <w:r>
        <w:rPr>
          <w:iCs/>
          <w:color w:val="auto"/>
          <w:szCs w:val="24"/>
        </w:rPr>
        <w:t>and substitute</w:t>
      </w:r>
      <w:r w:rsidR="009C07B5">
        <w:rPr>
          <w:iCs/>
          <w:color w:val="auto"/>
          <w:szCs w:val="24"/>
        </w:rPr>
        <w:t>s</w:t>
      </w:r>
      <w:r>
        <w:rPr>
          <w:iCs/>
          <w:color w:val="auto"/>
          <w:szCs w:val="24"/>
        </w:rPr>
        <w:t xml:space="preserve"> a new date of 27 April 2021.</w:t>
      </w:r>
      <w:r>
        <w:t xml:space="preserve"> </w:t>
      </w:r>
    </w:p>
    <w:p w14:paraId="557F6FB5" w14:textId="5E4E01CA" w:rsidR="00E75B0A" w:rsidRDefault="00E75B0A" w:rsidP="00E75B0A">
      <w:pPr>
        <w:pStyle w:val="Normal-em"/>
        <w:spacing w:line="240" w:lineRule="auto"/>
      </w:pPr>
      <w:r>
        <w:t xml:space="preserve">This </w:t>
      </w:r>
      <w:r w:rsidR="009C07B5">
        <w:t xml:space="preserve">item </w:t>
      </w:r>
      <w:r>
        <w:t xml:space="preserve">reflects the updating of this document by the Australian Government and the Government of South Australia. Processors </w:t>
      </w:r>
      <w:r w:rsidR="009C07B5">
        <w:t>are required</w:t>
      </w:r>
      <w:r>
        <w:t xml:space="preserve"> to use this updated version of the </w:t>
      </w:r>
      <w:r>
        <w:lastRenderedPageBreak/>
        <w:t>State specific guideline for South Australia</w:t>
      </w:r>
      <w:r w:rsidRPr="001833C4">
        <w:t xml:space="preserve"> </w:t>
      </w:r>
      <w:r>
        <w:t>when they elect to use the State specific guidelines optional process, provided for in section 21 of the Principal Regulation, to conduct due diligence, or when required to obtain information about raw logs where a State specific guideline applies, as provided for in section 19 of the Principal Regulation.</w:t>
      </w:r>
    </w:p>
    <w:p w14:paraId="78687B5E" w14:textId="77777777" w:rsidR="000736A1" w:rsidRDefault="000736A1" w:rsidP="008B36CD">
      <w:pPr>
        <w:pStyle w:val="Normal-em"/>
        <w:spacing w:line="240" w:lineRule="auto"/>
        <w:rPr>
          <w:szCs w:val="24"/>
        </w:rPr>
      </w:pPr>
    </w:p>
    <w:p w14:paraId="528B6E96" w14:textId="7C4F733A" w:rsidR="000736A1" w:rsidRDefault="000736A1" w:rsidP="008B36CD">
      <w:pPr>
        <w:pStyle w:val="Normal-em"/>
        <w:spacing w:line="240" w:lineRule="auto"/>
        <w:rPr>
          <w:szCs w:val="24"/>
        </w:rPr>
      </w:pPr>
      <w:r>
        <w:rPr>
          <w:b/>
          <w:szCs w:val="24"/>
        </w:rPr>
        <w:t xml:space="preserve">Item </w:t>
      </w:r>
      <w:r w:rsidR="00410C8B">
        <w:rPr>
          <w:b/>
          <w:szCs w:val="24"/>
        </w:rPr>
        <w:t>7</w:t>
      </w:r>
      <w:r>
        <w:rPr>
          <w:b/>
          <w:szCs w:val="24"/>
        </w:rPr>
        <w:t xml:space="preserve"> – Clause 3 of Schedule 2 (table item 5)</w:t>
      </w:r>
      <w:r>
        <w:rPr>
          <w:szCs w:val="24"/>
        </w:rPr>
        <w:t xml:space="preserve"> </w:t>
      </w:r>
    </w:p>
    <w:p w14:paraId="4A1E6049" w14:textId="1104002F" w:rsidR="000736A1" w:rsidRDefault="000736A1" w:rsidP="008B36CD">
      <w:pPr>
        <w:pStyle w:val="Normal-em"/>
        <w:spacing w:line="240" w:lineRule="auto"/>
      </w:pPr>
      <w:r>
        <w:rPr>
          <w:iCs/>
          <w:color w:val="auto"/>
          <w:szCs w:val="24"/>
        </w:rPr>
        <w:t xml:space="preserve">This item </w:t>
      </w:r>
      <w:r w:rsidR="00E315F3">
        <w:rPr>
          <w:iCs/>
          <w:color w:val="auto"/>
          <w:szCs w:val="24"/>
        </w:rPr>
        <w:t>repeals</w:t>
      </w:r>
      <w:r>
        <w:rPr>
          <w:iCs/>
          <w:color w:val="auto"/>
          <w:szCs w:val="24"/>
        </w:rPr>
        <w:t xml:space="preserve"> the </w:t>
      </w:r>
      <w:r w:rsidR="00E315F3">
        <w:rPr>
          <w:iCs/>
          <w:color w:val="auto"/>
          <w:szCs w:val="24"/>
        </w:rPr>
        <w:t>former</w:t>
      </w:r>
      <w:r>
        <w:rPr>
          <w:iCs/>
          <w:color w:val="auto"/>
          <w:szCs w:val="24"/>
        </w:rPr>
        <w:t xml:space="preserve"> date of co-endorsement of the State specific guideline for</w:t>
      </w:r>
      <w:r w:rsidR="00E315F3">
        <w:rPr>
          <w:iCs/>
          <w:color w:val="auto"/>
          <w:szCs w:val="24"/>
        </w:rPr>
        <w:t xml:space="preserve"> </w:t>
      </w:r>
      <w:r>
        <w:rPr>
          <w:iCs/>
          <w:color w:val="auto"/>
          <w:szCs w:val="24"/>
        </w:rPr>
        <w:t xml:space="preserve">Tasmania in table item 5 of </w:t>
      </w:r>
      <w:r w:rsidR="005F5200">
        <w:rPr>
          <w:iCs/>
          <w:color w:val="auto"/>
          <w:szCs w:val="24"/>
        </w:rPr>
        <w:t xml:space="preserve">section </w:t>
      </w:r>
      <w:r>
        <w:rPr>
          <w:iCs/>
          <w:color w:val="auto"/>
          <w:szCs w:val="24"/>
        </w:rPr>
        <w:t xml:space="preserve">3 of </w:t>
      </w:r>
      <w:r w:rsidRPr="005B0F09">
        <w:rPr>
          <w:iCs/>
          <w:color w:val="auto"/>
          <w:szCs w:val="24"/>
        </w:rPr>
        <w:t xml:space="preserve">Schedule 2 </w:t>
      </w:r>
      <w:r>
        <w:rPr>
          <w:iCs/>
          <w:color w:val="auto"/>
          <w:szCs w:val="24"/>
        </w:rPr>
        <w:t>to</w:t>
      </w:r>
      <w:r w:rsidRPr="005B0F09">
        <w:rPr>
          <w:iCs/>
          <w:color w:val="auto"/>
          <w:szCs w:val="24"/>
        </w:rPr>
        <w:t xml:space="preserve"> the </w:t>
      </w:r>
      <w:r>
        <w:rPr>
          <w:iCs/>
          <w:color w:val="auto"/>
          <w:szCs w:val="24"/>
        </w:rPr>
        <w:t xml:space="preserve">Principal </w:t>
      </w:r>
      <w:r w:rsidRPr="005B0F09">
        <w:rPr>
          <w:iCs/>
          <w:color w:val="auto"/>
          <w:szCs w:val="24"/>
        </w:rPr>
        <w:t xml:space="preserve">Regulation </w:t>
      </w:r>
      <w:r>
        <w:rPr>
          <w:iCs/>
          <w:color w:val="auto"/>
          <w:szCs w:val="24"/>
        </w:rPr>
        <w:t>and substitute</w:t>
      </w:r>
      <w:r w:rsidR="00E315F3">
        <w:rPr>
          <w:iCs/>
          <w:color w:val="auto"/>
          <w:szCs w:val="24"/>
        </w:rPr>
        <w:t>s</w:t>
      </w:r>
      <w:r>
        <w:rPr>
          <w:iCs/>
          <w:color w:val="auto"/>
          <w:szCs w:val="24"/>
        </w:rPr>
        <w:t xml:space="preserve"> a new date of 7 April 2021.</w:t>
      </w:r>
      <w:r>
        <w:t xml:space="preserve"> </w:t>
      </w:r>
    </w:p>
    <w:p w14:paraId="0A60AAA9" w14:textId="78A512D5" w:rsidR="000736A1" w:rsidRPr="00E315F3" w:rsidRDefault="000736A1" w:rsidP="008B36CD">
      <w:pPr>
        <w:pStyle w:val="Normal-em"/>
        <w:spacing w:line="240" w:lineRule="auto"/>
      </w:pPr>
      <w:r>
        <w:t xml:space="preserve">This </w:t>
      </w:r>
      <w:r w:rsidR="00E315F3">
        <w:t>r</w:t>
      </w:r>
      <w:r>
        <w:t>eflects the updating of this document by the Australian Government and the</w:t>
      </w:r>
      <w:r w:rsidR="00E315F3">
        <w:t xml:space="preserve"> </w:t>
      </w:r>
      <w:r>
        <w:t xml:space="preserve">Government of Tasmania. Processors </w:t>
      </w:r>
      <w:r w:rsidR="00E315F3">
        <w:t>are</w:t>
      </w:r>
      <w:r>
        <w:t xml:space="preserve"> required to use this updated version of the State specific guideline for Tasmania</w:t>
      </w:r>
      <w:r w:rsidRPr="001833C4">
        <w:t xml:space="preserve"> </w:t>
      </w:r>
      <w:r>
        <w:t>when they elect to use the State specific guidelines optional process</w:t>
      </w:r>
      <w:r w:rsidR="00B06E21">
        <w:t>,</w:t>
      </w:r>
      <w:r>
        <w:t xml:space="preserve"> provided for in section 21 of the Principal Regulation</w:t>
      </w:r>
      <w:r w:rsidR="00B06E21">
        <w:t>,</w:t>
      </w:r>
      <w:r>
        <w:t xml:space="preserve"> to conduct due diligence, or when required to obtain information about raw logs where a State specific guideline applies, as provided for in section 19 of the Principal Regulation.</w:t>
      </w:r>
    </w:p>
    <w:p w14:paraId="026C974F" w14:textId="77777777" w:rsidR="00410C8B" w:rsidRDefault="00410C8B" w:rsidP="008B36CD">
      <w:pPr>
        <w:spacing w:line="240" w:lineRule="auto"/>
        <w:rPr>
          <w:rFonts w:ascii="Times New Roman" w:hAnsi="Times New Roman" w:cs="Times New Roman"/>
          <w:sz w:val="24"/>
          <w:szCs w:val="24"/>
        </w:rPr>
      </w:pPr>
    </w:p>
    <w:p w14:paraId="709043F3" w14:textId="77777777" w:rsidR="00410C8B" w:rsidRPr="0094202C" w:rsidRDefault="00410C8B" w:rsidP="00410C8B">
      <w:pPr>
        <w:pStyle w:val="Normal-em"/>
        <w:spacing w:line="240" w:lineRule="auto"/>
        <w:rPr>
          <w:szCs w:val="24"/>
        </w:rPr>
      </w:pPr>
      <w:r>
        <w:rPr>
          <w:b/>
          <w:szCs w:val="24"/>
        </w:rPr>
        <w:t>Item 8 – Clause 3 of Schedule 2 (note)</w:t>
      </w:r>
      <w:r>
        <w:rPr>
          <w:szCs w:val="24"/>
        </w:rPr>
        <w:t xml:space="preserve"> </w:t>
      </w:r>
    </w:p>
    <w:p w14:paraId="698BAB99" w14:textId="245CF4FB" w:rsidR="00410C8B" w:rsidRDefault="00410C8B" w:rsidP="00410C8B">
      <w:pPr>
        <w:pStyle w:val="Normal-em"/>
        <w:spacing w:line="240" w:lineRule="auto"/>
        <w:rPr>
          <w:iCs/>
          <w:color w:val="auto"/>
          <w:szCs w:val="24"/>
        </w:rPr>
      </w:pPr>
      <w:r>
        <w:rPr>
          <w:szCs w:val="24"/>
        </w:rPr>
        <w:t xml:space="preserve">This item </w:t>
      </w:r>
      <w:r>
        <w:rPr>
          <w:iCs/>
          <w:color w:val="auto"/>
          <w:szCs w:val="24"/>
        </w:rPr>
        <w:t xml:space="preserve">repeals the existing note and substitutes a note that </w:t>
      </w:r>
      <w:r w:rsidR="00B4735C">
        <w:rPr>
          <w:iCs/>
          <w:color w:val="auto"/>
          <w:szCs w:val="24"/>
        </w:rPr>
        <w:t>explains</w:t>
      </w:r>
      <w:r>
        <w:rPr>
          <w:iCs/>
          <w:color w:val="auto"/>
          <w:szCs w:val="24"/>
        </w:rPr>
        <w:t xml:space="preserve"> that the State specific guidelines could in 2021 be viewed on the Department’s website (</w:t>
      </w:r>
      <w:hyperlink r:id="rId9" w:history="1">
        <w:r w:rsidRPr="00494AF8">
          <w:rPr>
            <w:rStyle w:val="Hyperlink"/>
            <w:iCs/>
            <w:szCs w:val="24"/>
          </w:rPr>
          <w:t>http://awe.gov.au</w:t>
        </w:r>
      </w:hyperlink>
      <w:r>
        <w:rPr>
          <w:iCs/>
          <w:color w:val="auto"/>
          <w:szCs w:val="24"/>
        </w:rPr>
        <w:t xml:space="preserve">). This </w:t>
      </w:r>
      <w:r w:rsidR="00B4735C">
        <w:rPr>
          <w:iCs/>
          <w:color w:val="auto"/>
          <w:szCs w:val="24"/>
        </w:rPr>
        <w:t>is consistent with the</w:t>
      </w:r>
      <w:r>
        <w:rPr>
          <w:iCs/>
          <w:color w:val="auto"/>
          <w:szCs w:val="24"/>
        </w:rPr>
        <w:t xml:space="preserve"> expectation</w:t>
      </w:r>
      <w:r w:rsidR="007674EA">
        <w:rPr>
          <w:iCs/>
          <w:color w:val="auto"/>
          <w:szCs w:val="24"/>
        </w:rPr>
        <w:t xml:space="preserve"> that</w:t>
      </w:r>
      <w:r>
        <w:rPr>
          <w:iCs/>
          <w:color w:val="auto"/>
          <w:szCs w:val="24"/>
        </w:rPr>
        <w:t xml:space="preserve">, as a principle of justice, </w:t>
      </w:r>
      <w:r w:rsidRPr="005935B5">
        <w:rPr>
          <w:iCs/>
          <w:color w:val="auto"/>
          <w:szCs w:val="24"/>
        </w:rPr>
        <w:t xml:space="preserve">every person subject to the law should be able to </w:t>
      </w:r>
      <w:proofErr w:type="gramStart"/>
      <w:r w:rsidRPr="005935B5">
        <w:rPr>
          <w:iCs/>
          <w:color w:val="auto"/>
          <w:szCs w:val="24"/>
        </w:rPr>
        <w:t>readily and freely access its terms</w:t>
      </w:r>
      <w:proofErr w:type="gramEnd"/>
      <w:r w:rsidRPr="005935B5">
        <w:rPr>
          <w:iCs/>
          <w:color w:val="auto"/>
          <w:szCs w:val="24"/>
        </w:rPr>
        <w:t>, without cost.</w:t>
      </w:r>
      <w:r>
        <w:rPr>
          <w:iCs/>
          <w:color w:val="auto"/>
          <w:szCs w:val="24"/>
        </w:rPr>
        <w:t xml:space="preserve"> This note </w:t>
      </w:r>
      <w:r w:rsidR="00EE5FC8">
        <w:rPr>
          <w:iCs/>
          <w:color w:val="auto"/>
          <w:szCs w:val="24"/>
        </w:rPr>
        <w:t xml:space="preserve">explains </w:t>
      </w:r>
      <w:r>
        <w:rPr>
          <w:iCs/>
          <w:color w:val="auto"/>
          <w:szCs w:val="24"/>
        </w:rPr>
        <w:t xml:space="preserve">that </w:t>
      </w:r>
      <w:r w:rsidRPr="005935B5">
        <w:rPr>
          <w:iCs/>
          <w:color w:val="auto"/>
          <w:szCs w:val="24"/>
        </w:rPr>
        <w:t>the incorporated documents</w:t>
      </w:r>
      <w:r>
        <w:rPr>
          <w:iCs/>
          <w:color w:val="auto"/>
          <w:szCs w:val="24"/>
        </w:rPr>
        <w:t>, being the country specific guidelines,</w:t>
      </w:r>
      <w:r w:rsidRPr="005935B5">
        <w:rPr>
          <w:iCs/>
          <w:color w:val="auto"/>
          <w:szCs w:val="24"/>
        </w:rPr>
        <w:t xml:space="preserve"> are freely available online, with website details provided</w:t>
      </w:r>
      <w:r>
        <w:rPr>
          <w:iCs/>
          <w:color w:val="auto"/>
          <w:szCs w:val="24"/>
        </w:rPr>
        <w:t>.</w:t>
      </w:r>
    </w:p>
    <w:p w14:paraId="2F234068" w14:textId="091F9F10" w:rsidR="000736A1" w:rsidRDefault="000736A1" w:rsidP="008B36CD">
      <w:pPr>
        <w:pStyle w:val="Normal-em"/>
        <w:spacing w:line="240" w:lineRule="auto"/>
        <w:rPr>
          <w:szCs w:val="24"/>
        </w:rPr>
      </w:pPr>
    </w:p>
    <w:p w14:paraId="48C5ACFD" w14:textId="77777777" w:rsidR="009C07B5" w:rsidRDefault="009C07B5">
      <w:pPr>
        <w:rPr>
          <w:rFonts w:ascii="Times New Roman" w:eastAsia="Times New Roman" w:hAnsi="Times New Roman" w:cs="Times New Roman"/>
          <w:b/>
          <w:caps/>
          <w:color w:val="000000"/>
          <w:sz w:val="24"/>
          <w:szCs w:val="24"/>
          <w:u w:val="single"/>
        </w:rPr>
      </w:pPr>
      <w:r>
        <w:rPr>
          <w:b/>
          <w:caps/>
          <w:szCs w:val="24"/>
          <w:u w:val="single"/>
        </w:rPr>
        <w:br w:type="page"/>
      </w:r>
    </w:p>
    <w:p w14:paraId="71553DBF" w14:textId="5ACEC0C2" w:rsidR="007C02FF" w:rsidRPr="005D1ABF" w:rsidRDefault="007C02FF" w:rsidP="008B36CD">
      <w:pPr>
        <w:pStyle w:val="Normal-em"/>
        <w:spacing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6E2EB388" w14:textId="77777777" w:rsidR="007C02FF" w:rsidRDefault="007C02FF" w:rsidP="008B36CD">
      <w:pPr>
        <w:spacing w:line="240" w:lineRule="auto"/>
        <w:jc w:val="center"/>
        <w:rPr>
          <w:rFonts w:ascii="Times New Roman" w:hAnsi="Times New Roman" w:cs="Times New Roman"/>
          <w:b/>
          <w:sz w:val="24"/>
          <w:szCs w:val="24"/>
        </w:rPr>
      </w:pPr>
    </w:p>
    <w:p w14:paraId="10AA5F05" w14:textId="77777777" w:rsidR="002B1DB3" w:rsidRDefault="002B1DB3" w:rsidP="008B36CD">
      <w:pPr>
        <w:spacing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730C0AF8" w14:textId="77777777" w:rsidR="002C177A" w:rsidRPr="005D1ABF" w:rsidRDefault="002C177A" w:rsidP="008B36CD">
      <w:pPr>
        <w:spacing w:line="240" w:lineRule="auto"/>
        <w:rPr>
          <w:rFonts w:ascii="Times New Roman" w:hAnsi="Times New Roman" w:cs="Times New Roman"/>
          <w:b/>
          <w:sz w:val="24"/>
          <w:szCs w:val="24"/>
        </w:rPr>
      </w:pPr>
    </w:p>
    <w:p w14:paraId="300DC93A" w14:textId="77777777" w:rsidR="002B1DB3" w:rsidRPr="005D1ABF" w:rsidRDefault="002B1DB3" w:rsidP="008B36CD">
      <w:pPr>
        <w:spacing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1BED76BC" w14:textId="77777777" w:rsidR="002B1DB3" w:rsidRPr="005D1ABF" w:rsidRDefault="002B1DB3" w:rsidP="008B36CD">
      <w:pPr>
        <w:spacing w:line="240" w:lineRule="auto"/>
        <w:jc w:val="center"/>
        <w:rPr>
          <w:rFonts w:ascii="Times New Roman" w:hAnsi="Times New Roman" w:cs="Times New Roman"/>
          <w:sz w:val="24"/>
          <w:szCs w:val="24"/>
        </w:rPr>
      </w:pPr>
    </w:p>
    <w:p w14:paraId="34AE30D6" w14:textId="37DE8EA2" w:rsidR="000736A1" w:rsidRDefault="002970B7" w:rsidP="008B36CD">
      <w:pPr>
        <w:spacing w:line="240" w:lineRule="auto"/>
        <w:jc w:val="center"/>
        <w:rPr>
          <w:rFonts w:ascii="Times New Roman" w:hAnsi="Times New Roman" w:cs="Times New Roman"/>
          <w:b/>
          <w:sz w:val="24"/>
          <w:szCs w:val="24"/>
        </w:rPr>
      </w:pPr>
      <w:r w:rsidRPr="002970B7">
        <w:rPr>
          <w:rFonts w:ascii="Times New Roman" w:hAnsi="Times New Roman" w:cs="Times New Roman"/>
          <w:b/>
          <w:sz w:val="24"/>
          <w:szCs w:val="24"/>
        </w:rPr>
        <w:t>Illegal Logging Prohibition Amendment (2021 Measures No. 1) Regulations 2021</w:t>
      </w:r>
    </w:p>
    <w:p w14:paraId="7012BBC8" w14:textId="77777777" w:rsidR="002970B7" w:rsidRPr="00A36027" w:rsidRDefault="002970B7" w:rsidP="008B36CD">
      <w:pPr>
        <w:spacing w:line="240" w:lineRule="auto"/>
        <w:jc w:val="center"/>
        <w:rPr>
          <w:rFonts w:ascii="Times New Roman" w:hAnsi="Times New Roman" w:cs="Times New Roman"/>
          <w:sz w:val="24"/>
          <w:szCs w:val="24"/>
        </w:rPr>
      </w:pPr>
    </w:p>
    <w:p w14:paraId="18B5BED0" w14:textId="4141E421" w:rsidR="002B1DB3" w:rsidRDefault="002B1DB3" w:rsidP="008B36CD">
      <w:pPr>
        <w:spacing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w:t>
      </w:r>
      <w:r w:rsidR="000736A1">
        <w:rPr>
          <w:rFonts w:ascii="Times New Roman" w:hAnsi="Times New Roman" w:cs="Times New Roman"/>
          <w:sz w:val="24"/>
          <w:szCs w:val="24"/>
        </w:rPr>
        <w:t>legislative instrument</w:t>
      </w:r>
      <w:r w:rsidRPr="005D1ABF">
        <w:rPr>
          <w:rFonts w:ascii="Times New Roman" w:hAnsi="Times New Roman" w:cs="Times New Roman"/>
          <w:sz w:val="24"/>
          <w:szCs w:val="24"/>
        </w:rPr>
        <w:t xml:space="preserve">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17D9933E" w14:textId="77777777" w:rsidR="000736A1" w:rsidRPr="005D1ABF" w:rsidRDefault="000736A1" w:rsidP="008B36CD">
      <w:pPr>
        <w:spacing w:line="240" w:lineRule="auto"/>
        <w:rPr>
          <w:rFonts w:ascii="Times New Roman" w:hAnsi="Times New Roman" w:cs="Times New Roman"/>
          <w:sz w:val="24"/>
          <w:szCs w:val="24"/>
        </w:rPr>
      </w:pPr>
    </w:p>
    <w:p w14:paraId="5310824E" w14:textId="29DE7CB1" w:rsidR="002B1DB3" w:rsidRPr="000736A1" w:rsidRDefault="002B1DB3" w:rsidP="008B36CD">
      <w:pPr>
        <w:spacing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 xml:space="preserve">Overview of the </w:t>
      </w:r>
      <w:r w:rsidR="000736A1">
        <w:rPr>
          <w:rFonts w:ascii="Times New Roman" w:hAnsi="Times New Roman" w:cs="Times New Roman"/>
          <w:b/>
          <w:sz w:val="24"/>
          <w:szCs w:val="24"/>
        </w:rPr>
        <w:t>legislative instrument</w:t>
      </w:r>
    </w:p>
    <w:p w14:paraId="3B63C3BA" w14:textId="324284CF" w:rsidR="002B1DB3" w:rsidRPr="002304D2" w:rsidRDefault="007C02FF" w:rsidP="008B36CD">
      <w:pPr>
        <w:spacing w:line="240" w:lineRule="auto"/>
        <w:rPr>
          <w:rFonts w:ascii="Times New Roman" w:hAnsi="Times New Roman"/>
          <w:color w:val="000000" w:themeColor="text1"/>
          <w:sz w:val="24"/>
          <w:szCs w:val="24"/>
        </w:rPr>
      </w:pPr>
      <w:r w:rsidRPr="002304D2">
        <w:rPr>
          <w:rFonts w:ascii="Times New Roman" w:hAnsi="Times New Roman"/>
          <w:color w:val="000000" w:themeColor="text1"/>
          <w:sz w:val="24"/>
          <w:szCs w:val="24"/>
        </w:rPr>
        <w:t xml:space="preserve">The </w:t>
      </w:r>
      <w:r w:rsidR="002970B7" w:rsidRPr="002970B7">
        <w:rPr>
          <w:rFonts w:ascii="Times New Roman" w:hAnsi="Times New Roman"/>
          <w:i/>
          <w:color w:val="000000" w:themeColor="text1"/>
          <w:sz w:val="24"/>
          <w:szCs w:val="24"/>
        </w:rPr>
        <w:t>Illegal Logging Prohibition Amendment (2021 Measures No. 1) Regulations 2021</w:t>
      </w:r>
      <w:r w:rsidR="002970B7">
        <w:rPr>
          <w:rFonts w:ascii="Times New Roman" w:hAnsi="Times New Roman"/>
          <w:i/>
          <w:color w:val="000000" w:themeColor="text1"/>
          <w:sz w:val="24"/>
          <w:szCs w:val="24"/>
        </w:rPr>
        <w:t xml:space="preserve"> </w:t>
      </w:r>
      <w:r w:rsidRPr="002304D2">
        <w:rPr>
          <w:rFonts w:ascii="Times New Roman" w:hAnsi="Times New Roman"/>
          <w:color w:val="000000" w:themeColor="text1"/>
          <w:sz w:val="24"/>
          <w:szCs w:val="24"/>
        </w:rPr>
        <w:t>amend</w:t>
      </w:r>
      <w:r w:rsidR="00E315F3">
        <w:rPr>
          <w:rFonts w:ascii="Times New Roman" w:hAnsi="Times New Roman"/>
          <w:color w:val="000000" w:themeColor="text1"/>
          <w:sz w:val="24"/>
          <w:szCs w:val="24"/>
        </w:rPr>
        <w:t>s</w:t>
      </w:r>
      <w:r w:rsidRPr="002304D2">
        <w:rPr>
          <w:rFonts w:ascii="Times New Roman" w:hAnsi="Times New Roman"/>
          <w:color w:val="000000" w:themeColor="text1"/>
          <w:sz w:val="24"/>
          <w:szCs w:val="24"/>
        </w:rPr>
        <w:t xml:space="preserve"> the </w:t>
      </w:r>
      <w:r w:rsidRPr="002304D2">
        <w:rPr>
          <w:rFonts w:ascii="Times New Roman" w:hAnsi="Times New Roman"/>
          <w:i/>
          <w:color w:val="000000" w:themeColor="text1"/>
          <w:sz w:val="24"/>
          <w:szCs w:val="24"/>
        </w:rPr>
        <w:t>Illegal Logging Prohibition Regulation 2012</w:t>
      </w:r>
      <w:r w:rsidRPr="002304D2">
        <w:rPr>
          <w:rFonts w:ascii="Times New Roman" w:hAnsi="Times New Roman"/>
          <w:color w:val="000000" w:themeColor="text1"/>
          <w:sz w:val="24"/>
          <w:szCs w:val="24"/>
        </w:rPr>
        <w:t xml:space="preserve"> </w:t>
      </w:r>
      <w:r w:rsidR="002858CD">
        <w:rPr>
          <w:rFonts w:ascii="Times New Roman" w:hAnsi="Times New Roman"/>
          <w:color w:val="000000" w:themeColor="text1"/>
          <w:sz w:val="24"/>
          <w:szCs w:val="24"/>
        </w:rPr>
        <w:t xml:space="preserve">to revise codes and descriptions of regulated timber products at Schedule 1, to remove a country specific guideline, </w:t>
      </w:r>
      <w:r w:rsidRPr="002304D2">
        <w:rPr>
          <w:rFonts w:ascii="Times New Roman" w:hAnsi="Times New Roman"/>
          <w:color w:val="000000" w:themeColor="text1"/>
          <w:sz w:val="24"/>
          <w:szCs w:val="24"/>
        </w:rPr>
        <w:t xml:space="preserve">to add </w:t>
      </w:r>
      <w:r w:rsidR="000736A1">
        <w:rPr>
          <w:rFonts w:ascii="Times New Roman" w:hAnsi="Times New Roman"/>
          <w:color w:val="000000" w:themeColor="text1"/>
          <w:sz w:val="24"/>
          <w:szCs w:val="24"/>
        </w:rPr>
        <w:t xml:space="preserve">a </w:t>
      </w:r>
      <w:r w:rsidRPr="002304D2">
        <w:rPr>
          <w:rFonts w:ascii="Times New Roman" w:hAnsi="Times New Roman"/>
          <w:color w:val="000000" w:themeColor="text1"/>
          <w:sz w:val="24"/>
          <w:szCs w:val="24"/>
        </w:rPr>
        <w:t>new country specific guideline</w:t>
      </w:r>
      <w:r w:rsidR="002858CD">
        <w:rPr>
          <w:rFonts w:ascii="Times New Roman" w:hAnsi="Times New Roman"/>
          <w:color w:val="000000" w:themeColor="text1"/>
          <w:sz w:val="24"/>
          <w:szCs w:val="24"/>
        </w:rPr>
        <w:t xml:space="preserve"> and </w:t>
      </w:r>
      <w:r w:rsidR="000736A1">
        <w:rPr>
          <w:rFonts w:ascii="Times New Roman" w:hAnsi="Times New Roman"/>
          <w:color w:val="000000" w:themeColor="text1"/>
          <w:sz w:val="24"/>
          <w:szCs w:val="24"/>
        </w:rPr>
        <w:t>to revise two State specific guidelines in Schedule 2</w:t>
      </w:r>
      <w:r w:rsidR="00A063AB">
        <w:rPr>
          <w:rFonts w:ascii="Times New Roman" w:hAnsi="Times New Roman"/>
          <w:color w:val="000000" w:themeColor="text1"/>
          <w:sz w:val="24"/>
          <w:szCs w:val="24"/>
        </w:rPr>
        <w:t>.</w:t>
      </w:r>
    </w:p>
    <w:p w14:paraId="7D5884CB" w14:textId="77777777" w:rsidR="007C02FF" w:rsidRPr="002304D2" w:rsidRDefault="007C02FF" w:rsidP="008B36CD">
      <w:pPr>
        <w:spacing w:line="240" w:lineRule="auto"/>
        <w:rPr>
          <w:rFonts w:ascii="Times New Roman" w:hAnsi="Times New Roman" w:cs="Times New Roman"/>
          <w:color w:val="000000" w:themeColor="text1"/>
          <w:sz w:val="24"/>
          <w:szCs w:val="24"/>
        </w:rPr>
      </w:pPr>
    </w:p>
    <w:p w14:paraId="29B05757" w14:textId="46A4585B" w:rsidR="007B052D" w:rsidRPr="002304D2" w:rsidRDefault="002B1DB3" w:rsidP="008B36CD">
      <w:pPr>
        <w:spacing w:line="240" w:lineRule="auto"/>
        <w:jc w:val="both"/>
        <w:rPr>
          <w:rFonts w:ascii="Times New Roman" w:hAnsi="Times New Roman" w:cs="Times New Roman"/>
          <w:b/>
          <w:color w:val="000000" w:themeColor="text1"/>
          <w:sz w:val="24"/>
          <w:szCs w:val="24"/>
        </w:rPr>
      </w:pPr>
      <w:r w:rsidRPr="002304D2">
        <w:rPr>
          <w:rFonts w:ascii="Times New Roman" w:hAnsi="Times New Roman" w:cs="Times New Roman"/>
          <w:b/>
          <w:color w:val="000000" w:themeColor="text1"/>
          <w:sz w:val="24"/>
          <w:szCs w:val="24"/>
        </w:rPr>
        <w:t>Human rights implications</w:t>
      </w:r>
    </w:p>
    <w:p w14:paraId="6D136617" w14:textId="6DB3DFF0" w:rsidR="002B1DB3" w:rsidRPr="002304D2" w:rsidRDefault="002B1DB3" w:rsidP="008B36CD">
      <w:pPr>
        <w:spacing w:line="240" w:lineRule="auto"/>
        <w:rPr>
          <w:rFonts w:ascii="Times New Roman" w:hAnsi="Times New Roman" w:cs="Times New Roman"/>
          <w:color w:val="000000" w:themeColor="text1"/>
          <w:sz w:val="24"/>
          <w:szCs w:val="24"/>
        </w:rPr>
      </w:pPr>
      <w:r w:rsidRPr="002304D2">
        <w:rPr>
          <w:rFonts w:ascii="Times New Roman" w:hAnsi="Times New Roman" w:cs="Times New Roman"/>
          <w:color w:val="000000" w:themeColor="text1"/>
          <w:sz w:val="24"/>
          <w:szCs w:val="24"/>
        </w:rPr>
        <w:t xml:space="preserve">This </w:t>
      </w:r>
      <w:r w:rsidR="000736A1">
        <w:rPr>
          <w:rFonts w:ascii="Times New Roman" w:hAnsi="Times New Roman" w:cs="Times New Roman"/>
          <w:color w:val="000000" w:themeColor="text1"/>
          <w:sz w:val="24"/>
          <w:szCs w:val="24"/>
        </w:rPr>
        <w:t>legislative instrument</w:t>
      </w:r>
      <w:r w:rsidRPr="002304D2">
        <w:rPr>
          <w:rFonts w:ascii="Times New Roman" w:hAnsi="Times New Roman" w:cs="Times New Roman"/>
          <w:color w:val="000000" w:themeColor="text1"/>
          <w:sz w:val="24"/>
          <w:szCs w:val="24"/>
        </w:rPr>
        <w:t xml:space="preserve"> does not engage any of the applicable rights or freedoms.</w:t>
      </w:r>
    </w:p>
    <w:p w14:paraId="1C40771F" w14:textId="77777777" w:rsidR="00390CCA" w:rsidRPr="002304D2" w:rsidRDefault="00390CCA" w:rsidP="008B36CD">
      <w:pPr>
        <w:spacing w:line="240" w:lineRule="auto"/>
        <w:rPr>
          <w:rFonts w:ascii="Times New Roman" w:hAnsi="Times New Roman" w:cs="Times New Roman"/>
          <w:color w:val="000000" w:themeColor="text1"/>
          <w:sz w:val="24"/>
          <w:szCs w:val="24"/>
        </w:rPr>
      </w:pPr>
    </w:p>
    <w:p w14:paraId="126ED1CD" w14:textId="401D7F2B" w:rsidR="007B052D" w:rsidRPr="002304D2" w:rsidRDefault="002B1DB3" w:rsidP="008B36CD">
      <w:pPr>
        <w:spacing w:line="240" w:lineRule="auto"/>
        <w:jc w:val="both"/>
        <w:rPr>
          <w:rFonts w:ascii="Times New Roman" w:hAnsi="Times New Roman" w:cs="Times New Roman"/>
          <w:b/>
          <w:color w:val="000000" w:themeColor="text1"/>
          <w:sz w:val="24"/>
          <w:szCs w:val="24"/>
        </w:rPr>
      </w:pPr>
      <w:r w:rsidRPr="002304D2">
        <w:rPr>
          <w:rFonts w:ascii="Times New Roman" w:hAnsi="Times New Roman" w:cs="Times New Roman"/>
          <w:b/>
          <w:color w:val="000000" w:themeColor="text1"/>
          <w:sz w:val="24"/>
          <w:szCs w:val="24"/>
        </w:rPr>
        <w:t>Conclusion</w:t>
      </w:r>
    </w:p>
    <w:p w14:paraId="407366BC" w14:textId="0C2545D7" w:rsidR="002B1DB3" w:rsidRPr="002304D2" w:rsidRDefault="002B1DB3" w:rsidP="008B36CD">
      <w:pPr>
        <w:spacing w:line="240" w:lineRule="auto"/>
        <w:rPr>
          <w:rFonts w:ascii="Times New Roman" w:hAnsi="Times New Roman" w:cs="Times New Roman"/>
          <w:color w:val="000000" w:themeColor="text1"/>
          <w:sz w:val="24"/>
          <w:szCs w:val="24"/>
        </w:rPr>
      </w:pPr>
      <w:r w:rsidRPr="002304D2">
        <w:rPr>
          <w:rFonts w:ascii="Times New Roman" w:hAnsi="Times New Roman" w:cs="Times New Roman"/>
          <w:color w:val="000000" w:themeColor="text1"/>
          <w:sz w:val="24"/>
          <w:szCs w:val="24"/>
        </w:rPr>
        <w:t xml:space="preserve">This </w:t>
      </w:r>
      <w:r w:rsidR="000736A1">
        <w:rPr>
          <w:rFonts w:ascii="Times New Roman" w:hAnsi="Times New Roman" w:cs="Times New Roman"/>
          <w:color w:val="000000" w:themeColor="text1"/>
          <w:sz w:val="24"/>
          <w:szCs w:val="24"/>
        </w:rPr>
        <w:t>legislative instrument</w:t>
      </w:r>
      <w:r w:rsidRPr="002304D2">
        <w:rPr>
          <w:rFonts w:ascii="Times New Roman" w:hAnsi="Times New Roman" w:cs="Times New Roman"/>
          <w:color w:val="000000" w:themeColor="text1"/>
          <w:sz w:val="24"/>
          <w:szCs w:val="24"/>
        </w:rPr>
        <w:t xml:space="preserve"> is compatible with human rights as it does not raise any human rights issues.</w:t>
      </w:r>
    </w:p>
    <w:p w14:paraId="26391C28" w14:textId="77777777" w:rsidR="00390CCA" w:rsidRPr="002304D2" w:rsidRDefault="00390CCA" w:rsidP="008B36CD">
      <w:pPr>
        <w:spacing w:line="240" w:lineRule="auto"/>
        <w:rPr>
          <w:rFonts w:ascii="Times New Roman" w:hAnsi="Times New Roman" w:cs="Times New Roman"/>
          <w:color w:val="000000" w:themeColor="text1"/>
          <w:sz w:val="24"/>
          <w:szCs w:val="24"/>
        </w:rPr>
      </w:pPr>
    </w:p>
    <w:p w14:paraId="77F9E68C" w14:textId="77777777" w:rsidR="00A36027" w:rsidRPr="002304D2" w:rsidRDefault="00A36027" w:rsidP="008B36CD">
      <w:pPr>
        <w:spacing w:line="240" w:lineRule="auto"/>
        <w:rPr>
          <w:rFonts w:ascii="Times New Roman" w:hAnsi="Times New Roman" w:cs="Times New Roman"/>
          <w:color w:val="000000" w:themeColor="text1"/>
          <w:sz w:val="24"/>
          <w:szCs w:val="24"/>
        </w:rPr>
      </w:pPr>
    </w:p>
    <w:p w14:paraId="490E75A8" w14:textId="77777777" w:rsidR="002B1DB3" w:rsidRPr="002304D2" w:rsidRDefault="002B1DB3" w:rsidP="008B36CD">
      <w:pPr>
        <w:spacing w:line="240" w:lineRule="auto"/>
        <w:rPr>
          <w:rFonts w:ascii="Times New Roman" w:hAnsi="Times New Roman" w:cs="Times New Roman"/>
          <w:color w:val="000000" w:themeColor="text1"/>
          <w:sz w:val="24"/>
          <w:szCs w:val="24"/>
        </w:rPr>
      </w:pPr>
    </w:p>
    <w:p w14:paraId="4AC47DFB" w14:textId="77777777" w:rsidR="002B1DB3" w:rsidRPr="002304D2" w:rsidRDefault="002B1DB3" w:rsidP="008B36CD">
      <w:pPr>
        <w:spacing w:line="240" w:lineRule="auto"/>
        <w:rPr>
          <w:rFonts w:ascii="Times New Roman" w:hAnsi="Times New Roman" w:cs="Times New Roman"/>
          <w:color w:val="000000" w:themeColor="text1"/>
          <w:sz w:val="24"/>
          <w:szCs w:val="24"/>
        </w:rPr>
      </w:pPr>
    </w:p>
    <w:p w14:paraId="6F21D8C1" w14:textId="77777777" w:rsidR="00BE6861" w:rsidRPr="002304D2" w:rsidRDefault="00BE6861" w:rsidP="008B36CD">
      <w:pPr>
        <w:spacing w:line="240" w:lineRule="auto"/>
        <w:jc w:val="center"/>
        <w:rPr>
          <w:rFonts w:ascii="Times New Roman" w:hAnsi="Times New Roman" w:cs="Times New Roman"/>
          <w:b/>
          <w:bCs/>
          <w:color w:val="000000" w:themeColor="text1"/>
          <w:sz w:val="24"/>
          <w:szCs w:val="24"/>
        </w:rPr>
      </w:pPr>
    </w:p>
    <w:p w14:paraId="00854466" w14:textId="77777777" w:rsidR="00A36027" w:rsidRPr="002304D2" w:rsidRDefault="00A36027" w:rsidP="008B36CD">
      <w:pPr>
        <w:spacing w:line="240" w:lineRule="auto"/>
        <w:jc w:val="center"/>
        <w:rPr>
          <w:rFonts w:ascii="Times New Roman" w:hAnsi="Times New Roman" w:cs="Times New Roman"/>
          <w:b/>
          <w:bCs/>
          <w:color w:val="000000" w:themeColor="text1"/>
          <w:sz w:val="24"/>
          <w:szCs w:val="24"/>
        </w:rPr>
      </w:pPr>
    </w:p>
    <w:p w14:paraId="139DC045" w14:textId="77777777" w:rsidR="003F2B62" w:rsidRPr="003F2B62" w:rsidRDefault="003F2B62" w:rsidP="008B36CD">
      <w:pPr>
        <w:spacing w:line="240" w:lineRule="auto"/>
        <w:jc w:val="center"/>
        <w:rPr>
          <w:rFonts w:ascii="Times New Roman" w:hAnsi="Times New Roman" w:cs="Times New Roman"/>
          <w:b/>
          <w:bCs/>
          <w:sz w:val="24"/>
          <w:szCs w:val="24"/>
        </w:rPr>
      </w:pPr>
      <w:r w:rsidRPr="002304D2">
        <w:rPr>
          <w:rFonts w:ascii="Times New Roman" w:hAnsi="Times New Roman" w:cs="Times New Roman"/>
          <w:b/>
          <w:bCs/>
          <w:color w:val="000000" w:themeColor="text1"/>
          <w:sz w:val="24"/>
          <w:szCs w:val="24"/>
        </w:rPr>
        <w:t xml:space="preserve">The Hon. David Littleproud </w:t>
      </w:r>
      <w:r w:rsidRPr="003F2B62">
        <w:rPr>
          <w:rFonts w:ascii="Times New Roman" w:hAnsi="Times New Roman" w:cs="Times New Roman"/>
          <w:b/>
          <w:bCs/>
          <w:sz w:val="24"/>
          <w:szCs w:val="24"/>
        </w:rPr>
        <w:t>MP</w:t>
      </w:r>
    </w:p>
    <w:p w14:paraId="25E5C7EC" w14:textId="7F018F1B" w:rsidR="00B80A1E" w:rsidRDefault="00207ABA" w:rsidP="008B36C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Minister for Agriculture</w:t>
      </w:r>
      <w:r w:rsidR="000736A1">
        <w:rPr>
          <w:rFonts w:ascii="Times New Roman" w:hAnsi="Times New Roman" w:cs="Times New Roman"/>
          <w:b/>
          <w:bCs/>
          <w:sz w:val="24"/>
          <w:szCs w:val="24"/>
        </w:rPr>
        <w:t xml:space="preserve"> and Northern Australia</w:t>
      </w:r>
    </w:p>
    <w:p w14:paraId="0096F4FD" w14:textId="77777777" w:rsidR="00543F39" w:rsidRDefault="00543F39" w:rsidP="008B36CD">
      <w:pPr>
        <w:spacing w:line="240" w:lineRule="auto"/>
        <w:rPr>
          <w:rFonts w:ascii="Times New Roman" w:hAnsi="Times New Roman" w:cs="Times New Roman"/>
          <w:b/>
          <w:bCs/>
          <w:sz w:val="24"/>
          <w:szCs w:val="24"/>
        </w:rPr>
      </w:pPr>
    </w:p>
    <w:sectPr w:rsidR="00543F39"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4778" w14:textId="77777777" w:rsidR="009A2F1E" w:rsidRDefault="009A2F1E" w:rsidP="00151C54">
      <w:r>
        <w:separator/>
      </w:r>
    </w:p>
  </w:endnote>
  <w:endnote w:type="continuationSeparator" w:id="0">
    <w:p w14:paraId="34EAD433" w14:textId="77777777" w:rsidR="009A2F1E" w:rsidRDefault="009A2F1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888F" w14:textId="77777777" w:rsidR="009A2F1E" w:rsidRDefault="009A2F1E" w:rsidP="00151C54">
      <w:r>
        <w:separator/>
      </w:r>
    </w:p>
  </w:footnote>
  <w:footnote w:type="continuationSeparator" w:id="0">
    <w:p w14:paraId="52A6606D" w14:textId="77777777" w:rsidR="009A2F1E" w:rsidRDefault="009A2F1E"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AEF79A6"/>
    <w:multiLevelType w:val="hybridMultilevel"/>
    <w:tmpl w:val="4E0A339E"/>
    <w:lvl w:ilvl="0" w:tplc="236E7B4A">
      <w:numFmt w:val="bullet"/>
      <w:lvlText w:val="-"/>
      <w:lvlJc w:val="left"/>
      <w:pPr>
        <w:ind w:left="720" w:hanging="360"/>
      </w:pPr>
      <w:rPr>
        <w:rFonts w:ascii="Cambria" w:eastAsiaTheme="minorEastAsia"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BF3242"/>
    <w:multiLevelType w:val="hybridMultilevel"/>
    <w:tmpl w:val="7F3A7A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12"/>
  </w:num>
  <w:num w:numId="4">
    <w:abstractNumId w:val="4"/>
  </w:num>
  <w:num w:numId="5">
    <w:abstractNumId w:val="1"/>
  </w:num>
  <w:num w:numId="6">
    <w:abstractNumId w:val="8"/>
  </w:num>
  <w:num w:numId="7">
    <w:abstractNumId w:val="2"/>
  </w:num>
  <w:num w:numId="8">
    <w:abstractNumId w:val="6"/>
  </w:num>
  <w:num w:numId="9">
    <w:abstractNumId w:val="7"/>
  </w:num>
  <w:num w:numId="10">
    <w:abstractNumId w:val="16"/>
  </w:num>
  <w:num w:numId="11">
    <w:abstractNumId w:val="18"/>
  </w:num>
  <w:num w:numId="12">
    <w:abstractNumId w:val="10"/>
  </w:num>
  <w:num w:numId="13">
    <w:abstractNumId w:val="10"/>
    <w:lvlOverride w:ilvl="0">
      <w:startOverride w:val="1"/>
    </w:lvlOverride>
  </w:num>
  <w:num w:numId="14">
    <w:abstractNumId w:val="0"/>
  </w:num>
  <w:num w:numId="15">
    <w:abstractNumId w:val="14"/>
  </w:num>
  <w:num w:numId="16">
    <w:abstractNumId w:val="20"/>
  </w:num>
  <w:num w:numId="17">
    <w:abstractNumId w:val="13"/>
  </w:num>
  <w:num w:numId="18">
    <w:abstractNumId w:val="11"/>
  </w:num>
  <w:num w:numId="19">
    <w:abstractNumId w:val="5"/>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060"/>
    <w:rsid w:val="000223C5"/>
    <w:rsid w:val="00031B05"/>
    <w:rsid w:val="00035636"/>
    <w:rsid w:val="00042AF8"/>
    <w:rsid w:val="00047B71"/>
    <w:rsid w:val="000503F4"/>
    <w:rsid w:val="00056065"/>
    <w:rsid w:val="000629B8"/>
    <w:rsid w:val="000645AB"/>
    <w:rsid w:val="00065269"/>
    <w:rsid w:val="000736A1"/>
    <w:rsid w:val="0007563F"/>
    <w:rsid w:val="00081126"/>
    <w:rsid w:val="00092CC1"/>
    <w:rsid w:val="00092F2C"/>
    <w:rsid w:val="000962BA"/>
    <w:rsid w:val="000976DB"/>
    <w:rsid w:val="000A52A2"/>
    <w:rsid w:val="000A65F6"/>
    <w:rsid w:val="000B06B1"/>
    <w:rsid w:val="000B129E"/>
    <w:rsid w:val="000C0C86"/>
    <w:rsid w:val="000C3693"/>
    <w:rsid w:val="000D07B5"/>
    <w:rsid w:val="000D78D6"/>
    <w:rsid w:val="000F08F2"/>
    <w:rsid w:val="000F63AB"/>
    <w:rsid w:val="00102163"/>
    <w:rsid w:val="00104643"/>
    <w:rsid w:val="001125D9"/>
    <w:rsid w:val="00113C4E"/>
    <w:rsid w:val="0012062A"/>
    <w:rsid w:val="00127498"/>
    <w:rsid w:val="0012775E"/>
    <w:rsid w:val="001372D1"/>
    <w:rsid w:val="00143F3A"/>
    <w:rsid w:val="00151C54"/>
    <w:rsid w:val="00153032"/>
    <w:rsid w:val="00155159"/>
    <w:rsid w:val="00161CE2"/>
    <w:rsid w:val="001669D6"/>
    <w:rsid w:val="00173471"/>
    <w:rsid w:val="001746B7"/>
    <w:rsid w:val="00175BD8"/>
    <w:rsid w:val="001763D6"/>
    <w:rsid w:val="00180DEF"/>
    <w:rsid w:val="001813AC"/>
    <w:rsid w:val="00181A30"/>
    <w:rsid w:val="0018228A"/>
    <w:rsid w:val="001A3865"/>
    <w:rsid w:val="001A5CE3"/>
    <w:rsid w:val="001C09FB"/>
    <w:rsid w:val="001C227E"/>
    <w:rsid w:val="001D006D"/>
    <w:rsid w:val="001E1A14"/>
    <w:rsid w:val="001E6727"/>
    <w:rsid w:val="001F47AF"/>
    <w:rsid w:val="001F5A48"/>
    <w:rsid w:val="0020089C"/>
    <w:rsid w:val="00203456"/>
    <w:rsid w:val="00203AAB"/>
    <w:rsid w:val="00204D5D"/>
    <w:rsid w:val="00207ABA"/>
    <w:rsid w:val="00216972"/>
    <w:rsid w:val="00223CC7"/>
    <w:rsid w:val="00224D28"/>
    <w:rsid w:val="002274DF"/>
    <w:rsid w:val="002304D2"/>
    <w:rsid w:val="00236F07"/>
    <w:rsid w:val="0026710D"/>
    <w:rsid w:val="002675B0"/>
    <w:rsid w:val="00271C2E"/>
    <w:rsid w:val="002737B5"/>
    <w:rsid w:val="00273C11"/>
    <w:rsid w:val="0027637A"/>
    <w:rsid w:val="002816C4"/>
    <w:rsid w:val="002827DF"/>
    <w:rsid w:val="002858CD"/>
    <w:rsid w:val="002970B7"/>
    <w:rsid w:val="0029727D"/>
    <w:rsid w:val="002A500B"/>
    <w:rsid w:val="002B1DB3"/>
    <w:rsid w:val="002B2B54"/>
    <w:rsid w:val="002B37F5"/>
    <w:rsid w:val="002C177A"/>
    <w:rsid w:val="002D1FDB"/>
    <w:rsid w:val="002D2972"/>
    <w:rsid w:val="002D3CE5"/>
    <w:rsid w:val="002D41BA"/>
    <w:rsid w:val="002E3939"/>
    <w:rsid w:val="002E44C0"/>
    <w:rsid w:val="002F2F4C"/>
    <w:rsid w:val="003015AF"/>
    <w:rsid w:val="003064B1"/>
    <w:rsid w:val="003228F6"/>
    <w:rsid w:val="00323B9C"/>
    <w:rsid w:val="003376BA"/>
    <w:rsid w:val="0034613E"/>
    <w:rsid w:val="00355546"/>
    <w:rsid w:val="00370B44"/>
    <w:rsid w:val="003710C0"/>
    <w:rsid w:val="00385AED"/>
    <w:rsid w:val="003869BF"/>
    <w:rsid w:val="00387B76"/>
    <w:rsid w:val="00390CCA"/>
    <w:rsid w:val="0039127F"/>
    <w:rsid w:val="003931D0"/>
    <w:rsid w:val="003939E5"/>
    <w:rsid w:val="003A2479"/>
    <w:rsid w:val="003A3A60"/>
    <w:rsid w:val="003B6311"/>
    <w:rsid w:val="003D6D6F"/>
    <w:rsid w:val="003E0906"/>
    <w:rsid w:val="003E1443"/>
    <w:rsid w:val="003E3F2E"/>
    <w:rsid w:val="003E3FC6"/>
    <w:rsid w:val="003E5CA0"/>
    <w:rsid w:val="003F2B62"/>
    <w:rsid w:val="00402F72"/>
    <w:rsid w:val="004065CA"/>
    <w:rsid w:val="0040710F"/>
    <w:rsid w:val="00410C8B"/>
    <w:rsid w:val="00417598"/>
    <w:rsid w:val="004223EC"/>
    <w:rsid w:val="00442785"/>
    <w:rsid w:val="004475EF"/>
    <w:rsid w:val="004557F1"/>
    <w:rsid w:val="004565E0"/>
    <w:rsid w:val="004607C8"/>
    <w:rsid w:val="00461420"/>
    <w:rsid w:val="00463657"/>
    <w:rsid w:val="00464DC9"/>
    <w:rsid w:val="00470AE8"/>
    <w:rsid w:val="0048377A"/>
    <w:rsid w:val="00483CF0"/>
    <w:rsid w:val="00485C1E"/>
    <w:rsid w:val="004A3A20"/>
    <w:rsid w:val="004B0DD7"/>
    <w:rsid w:val="004B14D6"/>
    <w:rsid w:val="004C276E"/>
    <w:rsid w:val="004C5892"/>
    <w:rsid w:val="004C65F7"/>
    <w:rsid w:val="004D257B"/>
    <w:rsid w:val="004D27C9"/>
    <w:rsid w:val="004D672D"/>
    <w:rsid w:val="004E5C3E"/>
    <w:rsid w:val="004E5E21"/>
    <w:rsid w:val="004E6468"/>
    <w:rsid w:val="004F09DE"/>
    <w:rsid w:val="00501D56"/>
    <w:rsid w:val="0050279C"/>
    <w:rsid w:val="005170F1"/>
    <w:rsid w:val="00524522"/>
    <w:rsid w:val="00543544"/>
    <w:rsid w:val="00543F39"/>
    <w:rsid w:val="00547846"/>
    <w:rsid w:val="005505AB"/>
    <w:rsid w:val="00556205"/>
    <w:rsid w:val="00560AC6"/>
    <w:rsid w:val="005612AD"/>
    <w:rsid w:val="005664BC"/>
    <w:rsid w:val="00572C90"/>
    <w:rsid w:val="00582E28"/>
    <w:rsid w:val="00587EB9"/>
    <w:rsid w:val="005902E8"/>
    <w:rsid w:val="00592216"/>
    <w:rsid w:val="005A0AB8"/>
    <w:rsid w:val="005A2B8C"/>
    <w:rsid w:val="005B0205"/>
    <w:rsid w:val="005B06BD"/>
    <w:rsid w:val="005B5608"/>
    <w:rsid w:val="005B6B55"/>
    <w:rsid w:val="005B7015"/>
    <w:rsid w:val="005B759C"/>
    <w:rsid w:val="005C1AC3"/>
    <w:rsid w:val="005C7337"/>
    <w:rsid w:val="005D1944"/>
    <w:rsid w:val="005D1ABF"/>
    <w:rsid w:val="005D4711"/>
    <w:rsid w:val="005D53EF"/>
    <w:rsid w:val="005E3D4B"/>
    <w:rsid w:val="005F5200"/>
    <w:rsid w:val="005F66F2"/>
    <w:rsid w:val="006022C4"/>
    <w:rsid w:val="006168F9"/>
    <w:rsid w:val="006327D8"/>
    <w:rsid w:val="00633472"/>
    <w:rsid w:val="006400BC"/>
    <w:rsid w:val="0064772B"/>
    <w:rsid w:val="00650566"/>
    <w:rsid w:val="0065082E"/>
    <w:rsid w:val="00652426"/>
    <w:rsid w:val="00653C86"/>
    <w:rsid w:val="0065449B"/>
    <w:rsid w:val="006553D3"/>
    <w:rsid w:val="00661138"/>
    <w:rsid w:val="006624EA"/>
    <w:rsid w:val="0067702D"/>
    <w:rsid w:val="00680272"/>
    <w:rsid w:val="00681FEE"/>
    <w:rsid w:val="006867E6"/>
    <w:rsid w:val="00690055"/>
    <w:rsid w:val="006A1181"/>
    <w:rsid w:val="006A253A"/>
    <w:rsid w:val="006A320D"/>
    <w:rsid w:val="006B7E05"/>
    <w:rsid w:val="006C6058"/>
    <w:rsid w:val="006E6178"/>
    <w:rsid w:val="00700F91"/>
    <w:rsid w:val="00703D38"/>
    <w:rsid w:val="0071622C"/>
    <w:rsid w:val="00720AEC"/>
    <w:rsid w:val="00725DC1"/>
    <w:rsid w:val="00730D8C"/>
    <w:rsid w:val="00734BCB"/>
    <w:rsid w:val="00745BFD"/>
    <w:rsid w:val="00760D5F"/>
    <w:rsid w:val="007674EA"/>
    <w:rsid w:val="00767639"/>
    <w:rsid w:val="00767D95"/>
    <w:rsid w:val="00784976"/>
    <w:rsid w:val="00794F9C"/>
    <w:rsid w:val="007B052D"/>
    <w:rsid w:val="007B3C0B"/>
    <w:rsid w:val="007B3C56"/>
    <w:rsid w:val="007B6243"/>
    <w:rsid w:val="007C02FF"/>
    <w:rsid w:val="007C226A"/>
    <w:rsid w:val="007C45D8"/>
    <w:rsid w:val="007C78C1"/>
    <w:rsid w:val="007D1643"/>
    <w:rsid w:val="007D19A8"/>
    <w:rsid w:val="007E3EC4"/>
    <w:rsid w:val="007E4885"/>
    <w:rsid w:val="007E6B30"/>
    <w:rsid w:val="007F21BF"/>
    <w:rsid w:val="00813B12"/>
    <w:rsid w:val="00816022"/>
    <w:rsid w:val="008224BE"/>
    <w:rsid w:val="0082572E"/>
    <w:rsid w:val="008300B9"/>
    <w:rsid w:val="00831DF3"/>
    <w:rsid w:val="00840620"/>
    <w:rsid w:val="00841053"/>
    <w:rsid w:val="0085100D"/>
    <w:rsid w:val="008515F7"/>
    <w:rsid w:val="00860A82"/>
    <w:rsid w:val="00870516"/>
    <w:rsid w:val="00877C5B"/>
    <w:rsid w:val="00881025"/>
    <w:rsid w:val="00885B7F"/>
    <w:rsid w:val="0088771F"/>
    <w:rsid w:val="00896814"/>
    <w:rsid w:val="00896EBE"/>
    <w:rsid w:val="0089780D"/>
    <w:rsid w:val="008B36CD"/>
    <w:rsid w:val="008B370D"/>
    <w:rsid w:val="008B73F3"/>
    <w:rsid w:val="008C1C7B"/>
    <w:rsid w:val="008C3F1D"/>
    <w:rsid w:val="008C46C2"/>
    <w:rsid w:val="008C5BA4"/>
    <w:rsid w:val="008D29F0"/>
    <w:rsid w:val="008D3D5F"/>
    <w:rsid w:val="008D4378"/>
    <w:rsid w:val="008D4672"/>
    <w:rsid w:val="008E1CE8"/>
    <w:rsid w:val="008F6908"/>
    <w:rsid w:val="00902DA3"/>
    <w:rsid w:val="009152CA"/>
    <w:rsid w:val="00922C40"/>
    <w:rsid w:val="00954ABD"/>
    <w:rsid w:val="00961FB9"/>
    <w:rsid w:val="00972310"/>
    <w:rsid w:val="00973468"/>
    <w:rsid w:val="009855AF"/>
    <w:rsid w:val="009908D6"/>
    <w:rsid w:val="00992814"/>
    <w:rsid w:val="00995D93"/>
    <w:rsid w:val="00997A1B"/>
    <w:rsid w:val="009A11A2"/>
    <w:rsid w:val="009A2F1E"/>
    <w:rsid w:val="009A38F6"/>
    <w:rsid w:val="009A4740"/>
    <w:rsid w:val="009B3BDE"/>
    <w:rsid w:val="009C07B5"/>
    <w:rsid w:val="009C2A38"/>
    <w:rsid w:val="009C4FDA"/>
    <w:rsid w:val="009D5C4E"/>
    <w:rsid w:val="009E61C5"/>
    <w:rsid w:val="00A063AB"/>
    <w:rsid w:val="00A351C1"/>
    <w:rsid w:val="00A36027"/>
    <w:rsid w:val="00A37FDF"/>
    <w:rsid w:val="00A411AF"/>
    <w:rsid w:val="00A423CA"/>
    <w:rsid w:val="00A426C7"/>
    <w:rsid w:val="00A46209"/>
    <w:rsid w:val="00A46E2D"/>
    <w:rsid w:val="00A629BA"/>
    <w:rsid w:val="00A73A77"/>
    <w:rsid w:val="00A806A9"/>
    <w:rsid w:val="00A92EDB"/>
    <w:rsid w:val="00AC0BD4"/>
    <w:rsid w:val="00AC197B"/>
    <w:rsid w:val="00AC1BE0"/>
    <w:rsid w:val="00AC1CDF"/>
    <w:rsid w:val="00AD1E11"/>
    <w:rsid w:val="00AD4432"/>
    <w:rsid w:val="00B02530"/>
    <w:rsid w:val="00B030B7"/>
    <w:rsid w:val="00B06E21"/>
    <w:rsid w:val="00B20EBE"/>
    <w:rsid w:val="00B20F8B"/>
    <w:rsid w:val="00B268DA"/>
    <w:rsid w:val="00B26C7F"/>
    <w:rsid w:val="00B31176"/>
    <w:rsid w:val="00B354DB"/>
    <w:rsid w:val="00B37AB7"/>
    <w:rsid w:val="00B452D1"/>
    <w:rsid w:val="00B4735C"/>
    <w:rsid w:val="00B555C7"/>
    <w:rsid w:val="00B57443"/>
    <w:rsid w:val="00B603D7"/>
    <w:rsid w:val="00B65C14"/>
    <w:rsid w:val="00B66DFF"/>
    <w:rsid w:val="00B80A1E"/>
    <w:rsid w:val="00B85B8C"/>
    <w:rsid w:val="00B976EC"/>
    <w:rsid w:val="00BA0B39"/>
    <w:rsid w:val="00BA6DBB"/>
    <w:rsid w:val="00BB0E52"/>
    <w:rsid w:val="00BB0F69"/>
    <w:rsid w:val="00BB4AD3"/>
    <w:rsid w:val="00BB4CD3"/>
    <w:rsid w:val="00BB7041"/>
    <w:rsid w:val="00BC0E5D"/>
    <w:rsid w:val="00BC12A9"/>
    <w:rsid w:val="00BC6B2F"/>
    <w:rsid w:val="00BD34E3"/>
    <w:rsid w:val="00BD3594"/>
    <w:rsid w:val="00BE2404"/>
    <w:rsid w:val="00BE6861"/>
    <w:rsid w:val="00C06F49"/>
    <w:rsid w:val="00C142FA"/>
    <w:rsid w:val="00C154F5"/>
    <w:rsid w:val="00C23AAE"/>
    <w:rsid w:val="00C32367"/>
    <w:rsid w:val="00C36CC7"/>
    <w:rsid w:val="00C3789C"/>
    <w:rsid w:val="00C43E32"/>
    <w:rsid w:val="00C4623B"/>
    <w:rsid w:val="00C463C2"/>
    <w:rsid w:val="00C510E3"/>
    <w:rsid w:val="00C52CC5"/>
    <w:rsid w:val="00C559E2"/>
    <w:rsid w:val="00C55BA8"/>
    <w:rsid w:val="00C57334"/>
    <w:rsid w:val="00C81402"/>
    <w:rsid w:val="00C86558"/>
    <w:rsid w:val="00C91ADF"/>
    <w:rsid w:val="00C9474A"/>
    <w:rsid w:val="00CA121F"/>
    <w:rsid w:val="00CA6F6B"/>
    <w:rsid w:val="00CB1C30"/>
    <w:rsid w:val="00CB26E2"/>
    <w:rsid w:val="00CB55A8"/>
    <w:rsid w:val="00CB5929"/>
    <w:rsid w:val="00CC01F0"/>
    <w:rsid w:val="00CC08EB"/>
    <w:rsid w:val="00CD7150"/>
    <w:rsid w:val="00CE43B0"/>
    <w:rsid w:val="00CE50EA"/>
    <w:rsid w:val="00CE72E2"/>
    <w:rsid w:val="00CE73AE"/>
    <w:rsid w:val="00CF1E27"/>
    <w:rsid w:val="00CF2006"/>
    <w:rsid w:val="00CF455F"/>
    <w:rsid w:val="00CF7161"/>
    <w:rsid w:val="00D0550D"/>
    <w:rsid w:val="00D076DD"/>
    <w:rsid w:val="00D121A6"/>
    <w:rsid w:val="00D12E82"/>
    <w:rsid w:val="00D45E13"/>
    <w:rsid w:val="00D557BA"/>
    <w:rsid w:val="00D61985"/>
    <w:rsid w:val="00D67088"/>
    <w:rsid w:val="00D70F10"/>
    <w:rsid w:val="00D80F37"/>
    <w:rsid w:val="00D8290D"/>
    <w:rsid w:val="00D85CC9"/>
    <w:rsid w:val="00D93E42"/>
    <w:rsid w:val="00DA2671"/>
    <w:rsid w:val="00DA6802"/>
    <w:rsid w:val="00DB65DE"/>
    <w:rsid w:val="00DC2D23"/>
    <w:rsid w:val="00DD2C31"/>
    <w:rsid w:val="00DD47B1"/>
    <w:rsid w:val="00DE2764"/>
    <w:rsid w:val="00DE6B9D"/>
    <w:rsid w:val="00DF3F6E"/>
    <w:rsid w:val="00E14B41"/>
    <w:rsid w:val="00E17A7C"/>
    <w:rsid w:val="00E315F3"/>
    <w:rsid w:val="00E34976"/>
    <w:rsid w:val="00E510A0"/>
    <w:rsid w:val="00E552D3"/>
    <w:rsid w:val="00E555F7"/>
    <w:rsid w:val="00E57D7B"/>
    <w:rsid w:val="00E70274"/>
    <w:rsid w:val="00E75B0A"/>
    <w:rsid w:val="00E76AB5"/>
    <w:rsid w:val="00E922D3"/>
    <w:rsid w:val="00E9571B"/>
    <w:rsid w:val="00EA7474"/>
    <w:rsid w:val="00EC4AD6"/>
    <w:rsid w:val="00EE0A3F"/>
    <w:rsid w:val="00EE512D"/>
    <w:rsid w:val="00EE5FC8"/>
    <w:rsid w:val="00F11BB3"/>
    <w:rsid w:val="00F12365"/>
    <w:rsid w:val="00F154B0"/>
    <w:rsid w:val="00F52CAC"/>
    <w:rsid w:val="00F55FED"/>
    <w:rsid w:val="00F8316F"/>
    <w:rsid w:val="00F95723"/>
    <w:rsid w:val="00F97B6B"/>
    <w:rsid w:val="00FA26FF"/>
    <w:rsid w:val="00FA6186"/>
    <w:rsid w:val="00FA65D3"/>
    <w:rsid w:val="00FB4B41"/>
    <w:rsid w:val="00FD3A27"/>
    <w:rsid w:val="00FE3DFD"/>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1E684D7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UnresolvedMention">
    <w:name w:val="Unresolved Mention"/>
    <w:basedOn w:val="DefaultParagraphFont"/>
    <w:uiPriority w:val="99"/>
    <w:semiHidden/>
    <w:unhideWhenUsed/>
    <w:rsid w:val="00E31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awe.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C0E2-824B-4770-BF90-4BA7AF4D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Ireland, Cassandra</cp:lastModifiedBy>
  <cp:revision>2</cp:revision>
  <cp:lastPrinted>2020-02-13T23:53:00Z</cp:lastPrinted>
  <dcterms:created xsi:type="dcterms:W3CDTF">2021-11-25T22:33:00Z</dcterms:created>
  <dcterms:modified xsi:type="dcterms:W3CDTF">2021-11-25T22:33:00Z</dcterms:modified>
</cp:coreProperties>
</file>