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4DFBD" w14:textId="77777777" w:rsidR="0048364F" w:rsidRPr="000345CA" w:rsidRDefault="00193461" w:rsidP="0020300C">
      <w:pPr>
        <w:rPr>
          <w:sz w:val="28"/>
        </w:rPr>
      </w:pPr>
      <w:r w:rsidRPr="000345CA">
        <w:rPr>
          <w:noProof/>
          <w:lang w:eastAsia="en-AU"/>
        </w:rPr>
        <w:drawing>
          <wp:inline distT="0" distB="0" distL="0" distR="0" wp14:anchorId="5F73DFC6" wp14:editId="7B5C910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6738344B" w14:textId="77777777" w:rsidR="0048364F" w:rsidRPr="000345CA" w:rsidRDefault="0048364F" w:rsidP="0048364F">
      <w:pPr>
        <w:rPr>
          <w:sz w:val="19"/>
        </w:rPr>
      </w:pPr>
    </w:p>
    <w:p w14:paraId="723B0AE4" w14:textId="77777777" w:rsidR="0048364F" w:rsidRPr="000345CA" w:rsidRDefault="003B6E24" w:rsidP="0048364F">
      <w:pPr>
        <w:pStyle w:val="ShortT"/>
      </w:pPr>
      <w:r w:rsidRPr="000345CA">
        <w:t xml:space="preserve">National Health (Pharmaceutical Benefits) Amendment (2021 Measures No. 1) </w:t>
      </w:r>
      <w:r w:rsidR="000345CA" w:rsidRPr="000345CA">
        <w:t>Regulations 2</w:t>
      </w:r>
      <w:r w:rsidRPr="000345CA">
        <w:t>021</w:t>
      </w:r>
    </w:p>
    <w:p w14:paraId="5E1DD160" w14:textId="77777777" w:rsidR="00AA511D" w:rsidRPr="000345CA" w:rsidRDefault="00AA511D" w:rsidP="00AA511D">
      <w:pPr>
        <w:pStyle w:val="SignCoverPageStart"/>
        <w:spacing w:before="240"/>
        <w:rPr>
          <w:szCs w:val="22"/>
        </w:rPr>
      </w:pPr>
      <w:r w:rsidRPr="000345CA">
        <w:rPr>
          <w:szCs w:val="22"/>
        </w:rPr>
        <w:t>I, General the Honourable David Hurley AC DSC (Retd), Governor</w:t>
      </w:r>
      <w:r w:rsidR="000345CA">
        <w:rPr>
          <w:szCs w:val="22"/>
        </w:rPr>
        <w:noBreakHyphen/>
      </w:r>
      <w:r w:rsidRPr="000345CA">
        <w:rPr>
          <w:szCs w:val="22"/>
        </w:rPr>
        <w:t>General of the Commonwealth of Australia, acting with the advice of the Federal Executive Council, make the following regulations.</w:t>
      </w:r>
    </w:p>
    <w:p w14:paraId="38F63627" w14:textId="6F40E72D" w:rsidR="00AA511D" w:rsidRPr="000345CA" w:rsidRDefault="00AA511D" w:rsidP="00AA511D">
      <w:pPr>
        <w:keepNext/>
        <w:spacing w:before="720" w:line="240" w:lineRule="atLeast"/>
        <w:ind w:right="397"/>
        <w:jc w:val="both"/>
        <w:rPr>
          <w:szCs w:val="22"/>
        </w:rPr>
      </w:pPr>
      <w:r w:rsidRPr="000345CA">
        <w:rPr>
          <w:szCs w:val="22"/>
        </w:rPr>
        <w:t xml:space="preserve">Dated </w:t>
      </w:r>
      <w:r w:rsidRPr="000345CA">
        <w:rPr>
          <w:szCs w:val="22"/>
        </w:rPr>
        <w:fldChar w:fldCharType="begin"/>
      </w:r>
      <w:r w:rsidRPr="000345CA">
        <w:rPr>
          <w:szCs w:val="22"/>
        </w:rPr>
        <w:instrText xml:space="preserve"> DOCPROPERTY  DateMade </w:instrText>
      </w:r>
      <w:r w:rsidRPr="000345CA">
        <w:rPr>
          <w:szCs w:val="22"/>
        </w:rPr>
        <w:fldChar w:fldCharType="separate"/>
      </w:r>
      <w:r w:rsidR="00BA5F4F">
        <w:rPr>
          <w:szCs w:val="22"/>
        </w:rPr>
        <w:t>16 December 2021</w:t>
      </w:r>
      <w:r w:rsidRPr="000345CA">
        <w:rPr>
          <w:szCs w:val="22"/>
        </w:rPr>
        <w:fldChar w:fldCharType="end"/>
      </w:r>
    </w:p>
    <w:p w14:paraId="58884DAF" w14:textId="77777777" w:rsidR="00AA511D" w:rsidRPr="000345CA" w:rsidRDefault="00AA511D" w:rsidP="00AA511D">
      <w:pPr>
        <w:keepNext/>
        <w:tabs>
          <w:tab w:val="left" w:pos="3402"/>
        </w:tabs>
        <w:spacing w:before="1080" w:line="300" w:lineRule="atLeast"/>
        <w:ind w:left="397" w:right="397"/>
        <w:jc w:val="right"/>
        <w:rPr>
          <w:szCs w:val="22"/>
        </w:rPr>
      </w:pPr>
      <w:r w:rsidRPr="000345CA">
        <w:rPr>
          <w:szCs w:val="22"/>
        </w:rPr>
        <w:t>David Hurley</w:t>
      </w:r>
    </w:p>
    <w:p w14:paraId="00191269" w14:textId="77777777" w:rsidR="00AA511D" w:rsidRPr="000345CA" w:rsidRDefault="00AA511D" w:rsidP="00AA511D">
      <w:pPr>
        <w:keepNext/>
        <w:tabs>
          <w:tab w:val="left" w:pos="3402"/>
        </w:tabs>
        <w:spacing w:line="300" w:lineRule="atLeast"/>
        <w:ind w:left="397" w:right="397"/>
        <w:jc w:val="right"/>
        <w:rPr>
          <w:szCs w:val="22"/>
        </w:rPr>
      </w:pPr>
      <w:r w:rsidRPr="000345CA">
        <w:rPr>
          <w:szCs w:val="22"/>
        </w:rPr>
        <w:t>Governor</w:t>
      </w:r>
      <w:r w:rsidR="000345CA">
        <w:rPr>
          <w:szCs w:val="22"/>
        </w:rPr>
        <w:noBreakHyphen/>
      </w:r>
      <w:r w:rsidRPr="000345CA">
        <w:rPr>
          <w:szCs w:val="22"/>
        </w:rPr>
        <w:t>General</w:t>
      </w:r>
    </w:p>
    <w:p w14:paraId="5CE405D5" w14:textId="77777777" w:rsidR="00AA511D" w:rsidRPr="000345CA" w:rsidRDefault="00AA511D" w:rsidP="00AA511D">
      <w:pPr>
        <w:keepNext/>
        <w:tabs>
          <w:tab w:val="left" w:pos="3402"/>
        </w:tabs>
        <w:spacing w:before="840" w:after="1080" w:line="300" w:lineRule="atLeast"/>
        <w:ind w:right="397"/>
        <w:rPr>
          <w:szCs w:val="22"/>
        </w:rPr>
      </w:pPr>
      <w:r w:rsidRPr="000345CA">
        <w:rPr>
          <w:szCs w:val="22"/>
        </w:rPr>
        <w:t>By His Excellency’s Command</w:t>
      </w:r>
    </w:p>
    <w:p w14:paraId="32C0A55B" w14:textId="77777777" w:rsidR="00AA511D" w:rsidRPr="000345CA" w:rsidRDefault="00AA511D" w:rsidP="00AA511D">
      <w:pPr>
        <w:keepNext/>
        <w:tabs>
          <w:tab w:val="left" w:pos="3402"/>
        </w:tabs>
        <w:spacing w:before="480" w:line="300" w:lineRule="atLeast"/>
        <w:ind w:right="397"/>
        <w:rPr>
          <w:szCs w:val="22"/>
        </w:rPr>
      </w:pPr>
      <w:r w:rsidRPr="000345CA">
        <w:rPr>
          <w:szCs w:val="22"/>
        </w:rPr>
        <w:t>Greg Hunt</w:t>
      </w:r>
    </w:p>
    <w:p w14:paraId="23946788" w14:textId="77777777" w:rsidR="00AA511D" w:rsidRPr="000345CA" w:rsidRDefault="00AA511D" w:rsidP="00AA511D">
      <w:pPr>
        <w:pStyle w:val="SignCoverPageEnd"/>
        <w:rPr>
          <w:szCs w:val="22"/>
        </w:rPr>
      </w:pPr>
      <w:r w:rsidRPr="000345CA">
        <w:rPr>
          <w:szCs w:val="22"/>
        </w:rPr>
        <w:t>Minister for Health and Aged Care</w:t>
      </w:r>
    </w:p>
    <w:p w14:paraId="0F548D39" w14:textId="77777777" w:rsidR="00AA511D" w:rsidRPr="000345CA" w:rsidRDefault="00AA511D" w:rsidP="00AA511D"/>
    <w:p w14:paraId="39BA7BC1" w14:textId="77777777" w:rsidR="00AA511D" w:rsidRPr="000345CA" w:rsidRDefault="00AA511D" w:rsidP="00AA511D"/>
    <w:p w14:paraId="422A6FDB" w14:textId="77777777" w:rsidR="00AA511D" w:rsidRPr="000345CA" w:rsidRDefault="00AA511D" w:rsidP="00AA511D"/>
    <w:p w14:paraId="71120F1B" w14:textId="77777777" w:rsidR="0048364F" w:rsidRPr="00DF55EF" w:rsidRDefault="0048364F" w:rsidP="0048364F">
      <w:pPr>
        <w:pStyle w:val="Header"/>
        <w:tabs>
          <w:tab w:val="clear" w:pos="4150"/>
          <w:tab w:val="clear" w:pos="8307"/>
        </w:tabs>
      </w:pPr>
      <w:r w:rsidRPr="00DF55EF">
        <w:rPr>
          <w:rStyle w:val="CharAmSchNo"/>
        </w:rPr>
        <w:t xml:space="preserve"> </w:t>
      </w:r>
      <w:r w:rsidRPr="00DF55EF">
        <w:rPr>
          <w:rStyle w:val="CharAmSchText"/>
        </w:rPr>
        <w:t xml:space="preserve"> </w:t>
      </w:r>
    </w:p>
    <w:p w14:paraId="5CDA63E3" w14:textId="77777777" w:rsidR="0048364F" w:rsidRPr="00DF55EF" w:rsidRDefault="0048364F" w:rsidP="0048364F">
      <w:pPr>
        <w:pStyle w:val="Header"/>
        <w:tabs>
          <w:tab w:val="clear" w:pos="4150"/>
          <w:tab w:val="clear" w:pos="8307"/>
        </w:tabs>
      </w:pPr>
      <w:r w:rsidRPr="00DF55EF">
        <w:rPr>
          <w:rStyle w:val="CharAmPartNo"/>
        </w:rPr>
        <w:t xml:space="preserve"> </w:t>
      </w:r>
      <w:r w:rsidRPr="00DF55EF">
        <w:rPr>
          <w:rStyle w:val="CharAmPartText"/>
        </w:rPr>
        <w:t xml:space="preserve"> </w:t>
      </w:r>
    </w:p>
    <w:p w14:paraId="4136D6A7" w14:textId="77777777" w:rsidR="0048364F" w:rsidRPr="000345CA" w:rsidRDefault="0048364F" w:rsidP="0048364F">
      <w:pPr>
        <w:sectPr w:rsidR="0048364F" w:rsidRPr="000345CA" w:rsidSect="00AF32A3">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6FD5A0AD" w14:textId="77777777" w:rsidR="00220A0C" w:rsidRPr="000345CA" w:rsidRDefault="0048364F" w:rsidP="0048364F">
      <w:pPr>
        <w:outlineLvl w:val="0"/>
        <w:rPr>
          <w:sz w:val="36"/>
        </w:rPr>
      </w:pPr>
      <w:r w:rsidRPr="000345CA">
        <w:rPr>
          <w:sz w:val="36"/>
        </w:rPr>
        <w:lastRenderedPageBreak/>
        <w:t>Contents</w:t>
      </w:r>
    </w:p>
    <w:p w14:paraId="71820F25" w14:textId="270BF815" w:rsidR="00FA1D0E" w:rsidRPr="000345CA" w:rsidRDefault="00FA1D0E">
      <w:pPr>
        <w:pStyle w:val="TOC5"/>
        <w:rPr>
          <w:rFonts w:asciiTheme="minorHAnsi" w:eastAsiaTheme="minorEastAsia" w:hAnsiTheme="minorHAnsi" w:cstheme="minorBidi"/>
          <w:noProof/>
          <w:kern w:val="0"/>
          <w:sz w:val="22"/>
          <w:szCs w:val="22"/>
        </w:rPr>
      </w:pPr>
      <w:r w:rsidRPr="000345CA">
        <w:fldChar w:fldCharType="begin"/>
      </w:r>
      <w:r w:rsidRPr="000345CA">
        <w:instrText xml:space="preserve"> TOC \o "1-9" </w:instrText>
      </w:r>
      <w:r w:rsidRPr="000345CA">
        <w:fldChar w:fldCharType="separate"/>
      </w:r>
      <w:r w:rsidRPr="000345CA">
        <w:rPr>
          <w:noProof/>
        </w:rPr>
        <w:t>1</w:t>
      </w:r>
      <w:r w:rsidRPr="000345CA">
        <w:rPr>
          <w:noProof/>
        </w:rPr>
        <w:tab/>
        <w:t>Name</w:t>
      </w:r>
      <w:r w:rsidRPr="000345CA">
        <w:rPr>
          <w:noProof/>
        </w:rPr>
        <w:tab/>
      </w:r>
      <w:r w:rsidRPr="000345CA">
        <w:rPr>
          <w:noProof/>
        </w:rPr>
        <w:fldChar w:fldCharType="begin"/>
      </w:r>
      <w:r w:rsidRPr="000345CA">
        <w:rPr>
          <w:noProof/>
        </w:rPr>
        <w:instrText xml:space="preserve"> PAGEREF _Toc88818129 \h </w:instrText>
      </w:r>
      <w:r w:rsidRPr="000345CA">
        <w:rPr>
          <w:noProof/>
        </w:rPr>
      </w:r>
      <w:r w:rsidRPr="000345CA">
        <w:rPr>
          <w:noProof/>
        </w:rPr>
        <w:fldChar w:fldCharType="separate"/>
      </w:r>
      <w:r w:rsidR="00BA5F4F">
        <w:rPr>
          <w:noProof/>
        </w:rPr>
        <w:t>1</w:t>
      </w:r>
      <w:r w:rsidRPr="000345CA">
        <w:rPr>
          <w:noProof/>
        </w:rPr>
        <w:fldChar w:fldCharType="end"/>
      </w:r>
    </w:p>
    <w:p w14:paraId="258BF9DA" w14:textId="5412C19D" w:rsidR="00FA1D0E" w:rsidRPr="000345CA" w:rsidRDefault="00FA1D0E">
      <w:pPr>
        <w:pStyle w:val="TOC5"/>
        <w:rPr>
          <w:rFonts w:asciiTheme="minorHAnsi" w:eastAsiaTheme="minorEastAsia" w:hAnsiTheme="minorHAnsi" w:cstheme="minorBidi"/>
          <w:noProof/>
          <w:kern w:val="0"/>
          <w:sz w:val="22"/>
          <w:szCs w:val="22"/>
        </w:rPr>
      </w:pPr>
      <w:r w:rsidRPr="000345CA">
        <w:rPr>
          <w:noProof/>
        </w:rPr>
        <w:t>2</w:t>
      </w:r>
      <w:r w:rsidRPr="000345CA">
        <w:rPr>
          <w:noProof/>
        </w:rPr>
        <w:tab/>
        <w:t>Commencement</w:t>
      </w:r>
      <w:r w:rsidRPr="000345CA">
        <w:rPr>
          <w:noProof/>
        </w:rPr>
        <w:tab/>
      </w:r>
      <w:r w:rsidRPr="000345CA">
        <w:rPr>
          <w:noProof/>
        </w:rPr>
        <w:fldChar w:fldCharType="begin"/>
      </w:r>
      <w:r w:rsidRPr="000345CA">
        <w:rPr>
          <w:noProof/>
        </w:rPr>
        <w:instrText xml:space="preserve"> PAGEREF _Toc88818130 \h </w:instrText>
      </w:r>
      <w:r w:rsidRPr="000345CA">
        <w:rPr>
          <w:noProof/>
        </w:rPr>
      </w:r>
      <w:r w:rsidRPr="000345CA">
        <w:rPr>
          <w:noProof/>
        </w:rPr>
        <w:fldChar w:fldCharType="separate"/>
      </w:r>
      <w:r w:rsidR="00BA5F4F">
        <w:rPr>
          <w:noProof/>
        </w:rPr>
        <w:t>1</w:t>
      </w:r>
      <w:r w:rsidRPr="000345CA">
        <w:rPr>
          <w:noProof/>
        </w:rPr>
        <w:fldChar w:fldCharType="end"/>
      </w:r>
    </w:p>
    <w:p w14:paraId="05FCD9F8" w14:textId="381B0934" w:rsidR="00FA1D0E" w:rsidRPr="000345CA" w:rsidRDefault="00FA1D0E">
      <w:pPr>
        <w:pStyle w:val="TOC5"/>
        <w:rPr>
          <w:rFonts w:asciiTheme="minorHAnsi" w:eastAsiaTheme="minorEastAsia" w:hAnsiTheme="minorHAnsi" w:cstheme="minorBidi"/>
          <w:noProof/>
          <w:kern w:val="0"/>
          <w:sz w:val="22"/>
          <w:szCs w:val="22"/>
        </w:rPr>
      </w:pPr>
      <w:r w:rsidRPr="000345CA">
        <w:rPr>
          <w:noProof/>
        </w:rPr>
        <w:t>3</w:t>
      </w:r>
      <w:r w:rsidRPr="000345CA">
        <w:rPr>
          <w:noProof/>
        </w:rPr>
        <w:tab/>
        <w:t>Authority</w:t>
      </w:r>
      <w:r w:rsidRPr="000345CA">
        <w:rPr>
          <w:noProof/>
        </w:rPr>
        <w:tab/>
      </w:r>
      <w:r w:rsidRPr="000345CA">
        <w:rPr>
          <w:noProof/>
        </w:rPr>
        <w:fldChar w:fldCharType="begin"/>
      </w:r>
      <w:r w:rsidRPr="000345CA">
        <w:rPr>
          <w:noProof/>
        </w:rPr>
        <w:instrText xml:space="preserve"> PAGEREF _Toc88818131 \h </w:instrText>
      </w:r>
      <w:r w:rsidRPr="000345CA">
        <w:rPr>
          <w:noProof/>
        </w:rPr>
      </w:r>
      <w:r w:rsidRPr="000345CA">
        <w:rPr>
          <w:noProof/>
        </w:rPr>
        <w:fldChar w:fldCharType="separate"/>
      </w:r>
      <w:r w:rsidR="00BA5F4F">
        <w:rPr>
          <w:noProof/>
        </w:rPr>
        <w:t>1</w:t>
      </w:r>
      <w:r w:rsidRPr="000345CA">
        <w:rPr>
          <w:noProof/>
        </w:rPr>
        <w:fldChar w:fldCharType="end"/>
      </w:r>
    </w:p>
    <w:p w14:paraId="5042B44B" w14:textId="39B79570" w:rsidR="00FA1D0E" w:rsidRPr="000345CA" w:rsidRDefault="00FA1D0E">
      <w:pPr>
        <w:pStyle w:val="TOC5"/>
        <w:rPr>
          <w:rFonts w:asciiTheme="minorHAnsi" w:eastAsiaTheme="minorEastAsia" w:hAnsiTheme="minorHAnsi" w:cstheme="minorBidi"/>
          <w:noProof/>
          <w:kern w:val="0"/>
          <w:sz w:val="22"/>
          <w:szCs w:val="22"/>
        </w:rPr>
      </w:pPr>
      <w:r w:rsidRPr="000345CA">
        <w:rPr>
          <w:noProof/>
        </w:rPr>
        <w:t>4</w:t>
      </w:r>
      <w:r w:rsidRPr="000345CA">
        <w:rPr>
          <w:noProof/>
        </w:rPr>
        <w:tab/>
        <w:t>Schedules</w:t>
      </w:r>
      <w:r w:rsidRPr="000345CA">
        <w:rPr>
          <w:noProof/>
        </w:rPr>
        <w:tab/>
      </w:r>
      <w:r w:rsidRPr="000345CA">
        <w:rPr>
          <w:noProof/>
        </w:rPr>
        <w:fldChar w:fldCharType="begin"/>
      </w:r>
      <w:r w:rsidRPr="000345CA">
        <w:rPr>
          <w:noProof/>
        </w:rPr>
        <w:instrText xml:space="preserve"> PAGEREF _Toc88818132 \h </w:instrText>
      </w:r>
      <w:r w:rsidRPr="000345CA">
        <w:rPr>
          <w:noProof/>
        </w:rPr>
      </w:r>
      <w:r w:rsidRPr="000345CA">
        <w:rPr>
          <w:noProof/>
        </w:rPr>
        <w:fldChar w:fldCharType="separate"/>
      </w:r>
      <w:r w:rsidR="00BA5F4F">
        <w:rPr>
          <w:noProof/>
        </w:rPr>
        <w:t>1</w:t>
      </w:r>
      <w:r w:rsidRPr="000345CA">
        <w:rPr>
          <w:noProof/>
        </w:rPr>
        <w:fldChar w:fldCharType="end"/>
      </w:r>
    </w:p>
    <w:p w14:paraId="2A0B79BD" w14:textId="5DDCCBB5" w:rsidR="00FA1D0E" w:rsidRPr="000345CA" w:rsidRDefault="00FA1D0E">
      <w:pPr>
        <w:pStyle w:val="TOC6"/>
        <w:rPr>
          <w:rFonts w:asciiTheme="minorHAnsi" w:eastAsiaTheme="minorEastAsia" w:hAnsiTheme="minorHAnsi" w:cstheme="minorBidi"/>
          <w:b w:val="0"/>
          <w:noProof/>
          <w:kern w:val="0"/>
          <w:sz w:val="22"/>
          <w:szCs w:val="22"/>
        </w:rPr>
      </w:pPr>
      <w:r w:rsidRPr="000345CA">
        <w:rPr>
          <w:noProof/>
        </w:rPr>
        <w:t>Schedule 1—Amendments</w:t>
      </w:r>
      <w:r w:rsidRPr="000345CA">
        <w:rPr>
          <w:b w:val="0"/>
          <w:noProof/>
          <w:sz w:val="18"/>
        </w:rPr>
        <w:tab/>
      </w:r>
      <w:r w:rsidRPr="000345CA">
        <w:rPr>
          <w:b w:val="0"/>
          <w:noProof/>
          <w:sz w:val="18"/>
        </w:rPr>
        <w:fldChar w:fldCharType="begin"/>
      </w:r>
      <w:r w:rsidRPr="000345CA">
        <w:rPr>
          <w:b w:val="0"/>
          <w:noProof/>
          <w:sz w:val="18"/>
        </w:rPr>
        <w:instrText xml:space="preserve"> PAGEREF _Toc88818133 \h </w:instrText>
      </w:r>
      <w:r w:rsidRPr="000345CA">
        <w:rPr>
          <w:b w:val="0"/>
          <w:noProof/>
          <w:sz w:val="18"/>
        </w:rPr>
      </w:r>
      <w:r w:rsidRPr="000345CA">
        <w:rPr>
          <w:b w:val="0"/>
          <w:noProof/>
          <w:sz w:val="18"/>
        </w:rPr>
        <w:fldChar w:fldCharType="separate"/>
      </w:r>
      <w:r w:rsidR="00BA5F4F">
        <w:rPr>
          <w:b w:val="0"/>
          <w:noProof/>
          <w:sz w:val="18"/>
        </w:rPr>
        <w:t>2</w:t>
      </w:r>
      <w:r w:rsidRPr="000345CA">
        <w:rPr>
          <w:b w:val="0"/>
          <w:noProof/>
          <w:sz w:val="18"/>
        </w:rPr>
        <w:fldChar w:fldCharType="end"/>
      </w:r>
    </w:p>
    <w:p w14:paraId="154A0EFF" w14:textId="119CE819" w:rsidR="00FA1D0E" w:rsidRPr="000345CA" w:rsidRDefault="00FA1D0E">
      <w:pPr>
        <w:pStyle w:val="TOC7"/>
        <w:rPr>
          <w:rFonts w:asciiTheme="minorHAnsi" w:eastAsiaTheme="minorEastAsia" w:hAnsiTheme="minorHAnsi" w:cstheme="minorBidi"/>
          <w:noProof/>
          <w:kern w:val="0"/>
          <w:sz w:val="22"/>
          <w:szCs w:val="22"/>
        </w:rPr>
      </w:pPr>
      <w:r w:rsidRPr="000345CA">
        <w:rPr>
          <w:noProof/>
        </w:rPr>
        <w:t>Part 1—Amendments commencing 1 July 2022</w:t>
      </w:r>
      <w:r w:rsidRPr="000345CA">
        <w:rPr>
          <w:noProof/>
          <w:sz w:val="18"/>
        </w:rPr>
        <w:tab/>
      </w:r>
      <w:r w:rsidRPr="000345CA">
        <w:rPr>
          <w:noProof/>
          <w:sz w:val="18"/>
        </w:rPr>
        <w:fldChar w:fldCharType="begin"/>
      </w:r>
      <w:r w:rsidRPr="000345CA">
        <w:rPr>
          <w:noProof/>
          <w:sz w:val="18"/>
        </w:rPr>
        <w:instrText xml:space="preserve"> PAGEREF _Toc88818134 \h </w:instrText>
      </w:r>
      <w:r w:rsidRPr="000345CA">
        <w:rPr>
          <w:noProof/>
          <w:sz w:val="18"/>
        </w:rPr>
      </w:r>
      <w:r w:rsidRPr="000345CA">
        <w:rPr>
          <w:noProof/>
          <w:sz w:val="18"/>
        </w:rPr>
        <w:fldChar w:fldCharType="separate"/>
      </w:r>
      <w:r w:rsidR="00BA5F4F">
        <w:rPr>
          <w:noProof/>
          <w:sz w:val="18"/>
        </w:rPr>
        <w:t>2</w:t>
      </w:r>
      <w:r w:rsidRPr="000345CA">
        <w:rPr>
          <w:noProof/>
          <w:sz w:val="18"/>
        </w:rPr>
        <w:fldChar w:fldCharType="end"/>
      </w:r>
    </w:p>
    <w:p w14:paraId="552DFD1D" w14:textId="2875A41A" w:rsidR="00FA1D0E" w:rsidRPr="000345CA" w:rsidRDefault="00FA1D0E">
      <w:pPr>
        <w:pStyle w:val="TOC9"/>
        <w:rPr>
          <w:rFonts w:asciiTheme="minorHAnsi" w:eastAsiaTheme="minorEastAsia" w:hAnsiTheme="minorHAnsi" w:cstheme="minorBidi"/>
          <w:i w:val="0"/>
          <w:noProof/>
          <w:kern w:val="0"/>
          <w:sz w:val="22"/>
          <w:szCs w:val="22"/>
        </w:rPr>
      </w:pPr>
      <w:r w:rsidRPr="000345CA">
        <w:rPr>
          <w:noProof/>
        </w:rPr>
        <w:t xml:space="preserve">National Health (Pharmaceutical Benefits) </w:t>
      </w:r>
      <w:r w:rsidR="000345CA" w:rsidRPr="000345CA">
        <w:rPr>
          <w:noProof/>
        </w:rPr>
        <w:t>Regulations 2</w:t>
      </w:r>
      <w:r w:rsidRPr="000345CA">
        <w:rPr>
          <w:noProof/>
        </w:rPr>
        <w:t>017</w:t>
      </w:r>
      <w:r w:rsidRPr="000345CA">
        <w:rPr>
          <w:i w:val="0"/>
          <w:noProof/>
          <w:sz w:val="18"/>
        </w:rPr>
        <w:tab/>
      </w:r>
      <w:r w:rsidRPr="000345CA">
        <w:rPr>
          <w:i w:val="0"/>
          <w:noProof/>
          <w:sz w:val="18"/>
        </w:rPr>
        <w:fldChar w:fldCharType="begin"/>
      </w:r>
      <w:r w:rsidRPr="000345CA">
        <w:rPr>
          <w:i w:val="0"/>
          <w:noProof/>
          <w:sz w:val="18"/>
        </w:rPr>
        <w:instrText xml:space="preserve"> PAGEREF _Toc88818135 \h </w:instrText>
      </w:r>
      <w:r w:rsidRPr="000345CA">
        <w:rPr>
          <w:i w:val="0"/>
          <w:noProof/>
          <w:sz w:val="18"/>
        </w:rPr>
      </w:r>
      <w:r w:rsidRPr="000345CA">
        <w:rPr>
          <w:i w:val="0"/>
          <w:noProof/>
          <w:sz w:val="18"/>
        </w:rPr>
        <w:fldChar w:fldCharType="separate"/>
      </w:r>
      <w:r w:rsidR="00BA5F4F">
        <w:rPr>
          <w:i w:val="0"/>
          <w:noProof/>
          <w:sz w:val="18"/>
        </w:rPr>
        <w:t>2</w:t>
      </w:r>
      <w:r w:rsidRPr="000345CA">
        <w:rPr>
          <w:i w:val="0"/>
          <w:noProof/>
          <w:sz w:val="18"/>
        </w:rPr>
        <w:fldChar w:fldCharType="end"/>
      </w:r>
    </w:p>
    <w:p w14:paraId="60542F61" w14:textId="623BDFC4" w:rsidR="00FA1D0E" w:rsidRPr="000345CA" w:rsidRDefault="00FA1D0E">
      <w:pPr>
        <w:pStyle w:val="TOC7"/>
        <w:rPr>
          <w:rFonts w:asciiTheme="minorHAnsi" w:eastAsiaTheme="minorEastAsia" w:hAnsiTheme="minorHAnsi" w:cstheme="minorBidi"/>
          <w:noProof/>
          <w:kern w:val="0"/>
          <w:sz w:val="22"/>
          <w:szCs w:val="22"/>
        </w:rPr>
      </w:pPr>
      <w:r w:rsidRPr="000345CA">
        <w:rPr>
          <w:noProof/>
        </w:rPr>
        <w:t>Part 2—Amendments commencing 1 October 2022</w:t>
      </w:r>
      <w:r w:rsidRPr="000345CA">
        <w:rPr>
          <w:noProof/>
          <w:sz w:val="18"/>
        </w:rPr>
        <w:tab/>
      </w:r>
      <w:r w:rsidRPr="000345CA">
        <w:rPr>
          <w:noProof/>
          <w:sz w:val="18"/>
        </w:rPr>
        <w:fldChar w:fldCharType="begin"/>
      </w:r>
      <w:r w:rsidRPr="000345CA">
        <w:rPr>
          <w:noProof/>
          <w:sz w:val="18"/>
        </w:rPr>
        <w:instrText xml:space="preserve"> PAGEREF _Toc88818140 \h </w:instrText>
      </w:r>
      <w:r w:rsidRPr="000345CA">
        <w:rPr>
          <w:noProof/>
          <w:sz w:val="18"/>
        </w:rPr>
      </w:r>
      <w:r w:rsidRPr="000345CA">
        <w:rPr>
          <w:noProof/>
          <w:sz w:val="18"/>
        </w:rPr>
        <w:fldChar w:fldCharType="separate"/>
      </w:r>
      <w:r w:rsidR="00BA5F4F">
        <w:rPr>
          <w:noProof/>
          <w:sz w:val="18"/>
        </w:rPr>
        <w:t>6</w:t>
      </w:r>
      <w:r w:rsidRPr="000345CA">
        <w:rPr>
          <w:noProof/>
          <w:sz w:val="18"/>
        </w:rPr>
        <w:fldChar w:fldCharType="end"/>
      </w:r>
    </w:p>
    <w:p w14:paraId="18AA8105" w14:textId="7557AE75" w:rsidR="00FA1D0E" w:rsidRPr="000345CA" w:rsidRDefault="00FA1D0E">
      <w:pPr>
        <w:pStyle w:val="TOC9"/>
        <w:rPr>
          <w:rFonts w:asciiTheme="minorHAnsi" w:eastAsiaTheme="minorEastAsia" w:hAnsiTheme="minorHAnsi" w:cstheme="minorBidi"/>
          <w:i w:val="0"/>
          <w:noProof/>
          <w:kern w:val="0"/>
          <w:sz w:val="22"/>
          <w:szCs w:val="22"/>
        </w:rPr>
      </w:pPr>
      <w:r w:rsidRPr="000345CA">
        <w:rPr>
          <w:noProof/>
        </w:rPr>
        <w:t xml:space="preserve">National Health (Pharmaceutical Benefits) </w:t>
      </w:r>
      <w:r w:rsidR="000345CA" w:rsidRPr="000345CA">
        <w:rPr>
          <w:noProof/>
        </w:rPr>
        <w:t>Regulations 2</w:t>
      </w:r>
      <w:r w:rsidRPr="000345CA">
        <w:rPr>
          <w:noProof/>
        </w:rPr>
        <w:t>017</w:t>
      </w:r>
      <w:r w:rsidRPr="000345CA">
        <w:rPr>
          <w:i w:val="0"/>
          <w:noProof/>
          <w:sz w:val="18"/>
        </w:rPr>
        <w:tab/>
      </w:r>
      <w:r w:rsidRPr="000345CA">
        <w:rPr>
          <w:i w:val="0"/>
          <w:noProof/>
          <w:sz w:val="18"/>
        </w:rPr>
        <w:fldChar w:fldCharType="begin"/>
      </w:r>
      <w:r w:rsidRPr="000345CA">
        <w:rPr>
          <w:i w:val="0"/>
          <w:noProof/>
          <w:sz w:val="18"/>
        </w:rPr>
        <w:instrText xml:space="preserve"> PAGEREF _Toc88818141 \h </w:instrText>
      </w:r>
      <w:r w:rsidRPr="000345CA">
        <w:rPr>
          <w:i w:val="0"/>
          <w:noProof/>
          <w:sz w:val="18"/>
        </w:rPr>
      </w:r>
      <w:r w:rsidRPr="000345CA">
        <w:rPr>
          <w:i w:val="0"/>
          <w:noProof/>
          <w:sz w:val="18"/>
        </w:rPr>
        <w:fldChar w:fldCharType="separate"/>
      </w:r>
      <w:r w:rsidR="00BA5F4F">
        <w:rPr>
          <w:i w:val="0"/>
          <w:noProof/>
          <w:sz w:val="18"/>
        </w:rPr>
        <w:t>6</w:t>
      </w:r>
      <w:r w:rsidRPr="000345CA">
        <w:rPr>
          <w:i w:val="0"/>
          <w:noProof/>
          <w:sz w:val="18"/>
        </w:rPr>
        <w:fldChar w:fldCharType="end"/>
      </w:r>
    </w:p>
    <w:p w14:paraId="60245C0E" w14:textId="291F6125" w:rsidR="00FA1D0E" w:rsidRPr="000345CA" w:rsidRDefault="000345CA">
      <w:pPr>
        <w:pStyle w:val="TOC7"/>
        <w:rPr>
          <w:rFonts w:asciiTheme="minorHAnsi" w:eastAsiaTheme="minorEastAsia" w:hAnsiTheme="minorHAnsi" w:cstheme="minorBidi"/>
          <w:noProof/>
          <w:kern w:val="0"/>
          <w:sz w:val="22"/>
          <w:szCs w:val="22"/>
        </w:rPr>
      </w:pPr>
      <w:r w:rsidRPr="000345CA">
        <w:rPr>
          <w:noProof/>
        </w:rPr>
        <w:t>Part 3</w:t>
      </w:r>
      <w:r w:rsidR="00FA1D0E" w:rsidRPr="000345CA">
        <w:rPr>
          <w:noProof/>
        </w:rPr>
        <w:t>—Amendments commencing 1 April 2023</w:t>
      </w:r>
      <w:r w:rsidR="00FA1D0E" w:rsidRPr="000345CA">
        <w:rPr>
          <w:noProof/>
          <w:sz w:val="18"/>
        </w:rPr>
        <w:tab/>
      </w:r>
      <w:r w:rsidR="00FA1D0E" w:rsidRPr="000345CA">
        <w:rPr>
          <w:noProof/>
          <w:sz w:val="18"/>
        </w:rPr>
        <w:fldChar w:fldCharType="begin"/>
      </w:r>
      <w:r w:rsidR="00FA1D0E" w:rsidRPr="000345CA">
        <w:rPr>
          <w:noProof/>
          <w:sz w:val="18"/>
        </w:rPr>
        <w:instrText xml:space="preserve"> PAGEREF _Toc88818142 \h </w:instrText>
      </w:r>
      <w:r w:rsidR="00FA1D0E" w:rsidRPr="000345CA">
        <w:rPr>
          <w:noProof/>
          <w:sz w:val="18"/>
        </w:rPr>
      </w:r>
      <w:r w:rsidR="00FA1D0E" w:rsidRPr="000345CA">
        <w:rPr>
          <w:noProof/>
          <w:sz w:val="18"/>
        </w:rPr>
        <w:fldChar w:fldCharType="separate"/>
      </w:r>
      <w:r w:rsidR="00BA5F4F">
        <w:rPr>
          <w:noProof/>
          <w:sz w:val="18"/>
        </w:rPr>
        <w:t>7</w:t>
      </w:r>
      <w:r w:rsidR="00FA1D0E" w:rsidRPr="000345CA">
        <w:rPr>
          <w:noProof/>
          <w:sz w:val="18"/>
        </w:rPr>
        <w:fldChar w:fldCharType="end"/>
      </w:r>
    </w:p>
    <w:p w14:paraId="6DEC6A9C" w14:textId="7DA2E5BB" w:rsidR="00FA1D0E" w:rsidRPr="000345CA" w:rsidRDefault="00FA1D0E">
      <w:pPr>
        <w:pStyle w:val="TOC9"/>
        <w:rPr>
          <w:rFonts w:asciiTheme="minorHAnsi" w:eastAsiaTheme="minorEastAsia" w:hAnsiTheme="minorHAnsi" w:cstheme="minorBidi"/>
          <w:i w:val="0"/>
          <w:noProof/>
          <w:kern w:val="0"/>
          <w:sz w:val="22"/>
          <w:szCs w:val="22"/>
        </w:rPr>
      </w:pPr>
      <w:r w:rsidRPr="000345CA">
        <w:rPr>
          <w:noProof/>
        </w:rPr>
        <w:t xml:space="preserve">National Health (Pharmaceutical Benefits) </w:t>
      </w:r>
      <w:r w:rsidR="000345CA" w:rsidRPr="000345CA">
        <w:rPr>
          <w:noProof/>
        </w:rPr>
        <w:t>Regulations 2</w:t>
      </w:r>
      <w:r w:rsidRPr="000345CA">
        <w:rPr>
          <w:noProof/>
        </w:rPr>
        <w:t>017</w:t>
      </w:r>
      <w:r w:rsidRPr="000345CA">
        <w:rPr>
          <w:i w:val="0"/>
          <w:noProof/>
          <w:sz w:val="18"/>
        </w:rPr>
        <w:tab/>
      </w:r>
      <w:r w:rsidRPr="000345CA">
        <w:rPr>
          <w:i w:val="0"/>
          <w:noProof/>
          <w:sz w:val="18"/>
        </w:rPr>
        <w:fldChar w:fldCharType="begin"/>
      </w:r>
      <w:r w:rsidRPr="000345CA">
        <w:rPr>
          <w:i w:val="0"/>
          <w:noProof/>
          <w:sz w:val="18"/>
        </w:rPr>
        <w:instrText xml:space="preserve"> PAGEREF _Toc88818143 \h </w:instrText>
      </w:r>
      <w:r w:rsidRPr="000345CA">
        <w:rPr>
          <w:i w:val="0"/>
          <w:noProof/>
          <w:sz w:val="18"/>
        </w:rPr>
      </w:r>
      <w:r w:rsidRPr="000345CA">
        <w:rPr>
          <w:i w:val="0"/>
          <w:noProof/>
          <w:sz w:val="18"/>
        </w:rPr>
        <w:fldChar w:fldCharType="separate"/>
      </w:r>
      <w:r w:rsidR="00BA5F4F">
        <w:rPr>
          <w:i w:val="0"/>
          <w:noProof/>
          <w:sz w:val="18"/>
        </w:rPr>
        <w:t>7</w:t>
      </w:r>
      <w:r w:rsidRPr="000345CA">
        <w:rPr>
          <w:i w:val="0"/>
          <w:noProof/>
          <w:sz w:val="18"/>
        </w:rPr>
        <w:fldChar w:fldCharType="end"/>
      </w:r>
    </w:p>
    <w:p w14:paraId="21C2E799" w14:textId="53FC1E37" w:rsidR="00FA1D0E" w:rsidRPr="000345CA" w:rsidRDefault="00FA1D0E">
      <w:pPr>
        <w:pStyle w:val="TOC7"/>
        <w:rPr>
          <w:rFonts w:asciiTheme="minorHAnsi" w:eastAsiaTheme="minorEastAsia" w:hAnsiTheme="minorHAnsi" w:cstheme="minorBidi"/>
          <w:noProof/>
          <w:kern w:val="0"/>
          <w:sz w:val="22"/>
          <w:szCs w:val="22"/>
        </w:rPr>
      </w:pPr>
      <w:r w:rsidRPr="000345CA">
        <w:rPr>
          <w:noProof/>
        </w:rPr>
        <w:t>Part 4—Amendments commencing 1 July 2023</w:t>
      </w:r>
      <w:r w:rsidRPr="000345CA">
        <w:rPr>
          <w:noProof/>
          <w:sz w:val="18"/>
        </w:rPr>
        <w:tab/>
      </w:r>
      <w:r w:rsidRPr="000345CA">
        <w:rPr>
          <w:noProof/>
          <w:sz w:val="18"/>
        </w:rPr>
        <w:fldChar w:fldCharType="begin"/>
      </w:r>
      <w:r w:rsidRPr="000345CA">
        <w:rPr>
          <w:noProof/>
          <w:sz w:val="18"/>
        </w:rPr>
        <w:instrText xml:space="preserve"> PAGEREF _Toc88818145 \h </w:instrText>
      </w:r>
      <w:r w:rsidRPr="000345CA">
        <w:rPr>
          <w:noProof/>
          <w:sz w:val="18"/>
        </w:rPr>
      </w:r>
      <w:r w:rsidRPr="000345CA">
        <w:rPr>
          <w:noProof/>
          <w:sz w:val="18"/>
        </w:rPr>
        <w:fldChar w:fldCharType="separate"/>
      </w:r>
      <w:r w:rsidR="00BA5F4F">
        <w:rPr>
          <w:noProof/>
          <w:sz w:val="18"/>
        </w:rPr>
        <w:t>9</w:t>
      </w:r>
      <w:r w:rsidRPr="000345CA">
        <w:rPr>
          <w:noProof/>
          <w:sz w:val="18"/>
        </w:rPr>
        <w:fldChar w:fldCharType="end"/>
      </w:r>
    </w:p>
    <w:p w14:paraId="4D3B950C" w14:textId="0A029FD3" w:rsidR="00FA1D0E" w:rsidRPr="000345CA" w:rsidRDefault="00FA1D0E">
      <w:pPr>
        <w:pStyle w:val="TOC9"/>
        <w:rPr>
          <w:rFonts w:asciiTheme="minorHAnsi" w:eastAsiaTheme="minorEastAsia" w:hAnsiTheme="minorHAnsi" w:cstheme="minorBidi"/>
          <w:i w:val="0"/>
          <w:noProof/>
          <w:kern w:val="0"/>
          <w:sz w:val="22"/>
          <w:szCs w:val="22"/>
        </w:rPr>
      </w:pPr>
      <w:r w:rsidRPr="000345CA">
        <w:rPr>
          <w:noProof/>
        </w:rPr>
        <w:t xml:space="preserve">National Health (Pharmaceutical Benefits) </w:t>
      </w:r>
      <w:r w:rsidR="000345CA" w:rsidRPr="000345CA">
        <w:rPr>
          <w:noProof/>
        </w:rPr>
        <w:t>Regulations 2</w:t>
      </w:r>
      <w:r w:rsidRPr="000345CA">
        <w:rPr>
          <w:noProof/>
        </w:rPr>
        <w:t>017</w:t>
      </w:r>
      <w:r w:rsidRPr="000345CA">
        <w:rPr>
          <w:i w:val="0"/>
          <w:noProof/>
          <w:sz w:val="18"/>
        </w:rPr>
        <w:tab/>
      </w:r>
      <w:r w:rsidRPr="000345CA">
        <w:rPr>
          <w:i w:val="0"/>
          <w:noProof/>
          <w:sz w:val="18"/>
        </w:rPr>
        <w:fldChar w:fldCharType="begin"/>
      </w:r>
      <w:r w:rsidRPr="000345CA">
        <w:rPr>
          <w:i w:val="0"/>
          <w:noProof/>
          <w:sz w:val="18"/>
        </w:rPr>
        <w:instrText xml:space="preserve"> PAGEREF _Toc88818146 \h </w:instrText>
      </w:r>
      <w:r w:rsidRPr="000345CA">
        <w:rPr>
          <w:i w:val="0"/>
          <w:noProof/>
          <w:sz w:val="18"/>
        </w:rPr>
      </w:r>
      <w:r w:rsidRPr="000345CA">
        <w:rPr>
          <w:i w:val="0"/>
          <w:noProof/>
          <w:sz w:val="18"/>
        </w:rPr>
        <w:fldChar w:fldCharType="separate"/>
      </w:r>
      <w:r w:rsidR="00BA5F4F">
        <w:rPr>
          <w:i w:val="0"/>
          <w:noProof/>
          <w:sz w:val="18"/>
        </w:rPr>
        <w:t>9</w:t>
      </w:r>
      <w:r w:rsidRPr="000345CA">
        <w:rPr>
          <w:i w:val="0"/>
          <w:noProof/>
          <w:sz w:val="18"/>
        </w:rPr>
        <w:fldChar w:fldCharType="end"/>
      </w:r>
    </w:p>
    <w:p w14:paraId="01D1DD9B" w14:textId="77777777" w:rsidR="0048364F" w:rsidRPr="000345CA" w:rsidRDefault="00FA1D0E" w:rsidP="0048364F">
      <w:r w:rsidRPr="000345CA">
        <w:fldChar w:fldCharType="end"/>
      </w:r>
    </w:p>
    <w:p w14:paraId="6B2F3A87" w14:textId="77777777" w:rsidR="0048364F" w:rsidRPr="000345CA" w:rsidRDefault="0048364F" w:rsidP="0048364F">
      <w:pPr>
        <w:sectPr w:rsidR="0048364F" w:rsidRPr="000345CA" w:rsidSect="00AF32A3">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0DE5483B" w14:textId="77777777" w:rsidR="0048364F" w:rsidRPr="000345CA" w:rsidRDefault="0048364F" w:rsidP="0048364F">
      <w:pPr>
        <w:pStyle w:val="ActHead5"/>
      </w:pPr>
      <w:bookmarkStart w:id="0" w:name="_Toc88818129"/>
      <w:r w:rsidRPr="00DF55EF">
        <w:rPr>
          <w:rStyle w:val="CharSectno"/>
        </w:rPr>
        <w:lastRenderedPageBreak/>
        <w:t>1</w:t>
      </w:r>
      <w:r w:rsidRPr="000345CA">
        <w:t xml:space="preserve">  </w:t>
      </w:r>
      <w:r w:rsidR="004F676E" w:rsidRPr="000345CA">
        <w:t>Name</w:t>
      </w:r>
      <w:bookmarkEnd w:id="0"/>
    </w:p>
    <w:p w14:paraId="3010BB4D" w14:textId="77777777" w:rsidR="0048364F" w:rsidRPr="000345CA" w:rsidRDefault="0048364F" w:rsidP="0048364F">
      <w:pPr>
        <w:pStyle w:val="subsection"/>
      </w:pPr>
      <w:r w:rsidRPr="000345CA">
        <w:tab/>
      </w:r>
      <w:r w:rsidRPr="000345CA">
        <w:tab/>
      </w:r>
      <w:r w:rsidR="003B6E24" w:rsidRPr="000345CA">
        <w:t>This instrument is</w:t>
      </w:r>
      <w:r w:rsidRPr="000345CA">
        <w:t xml:space="preserve"> the </w:t>
      </w:r>
      <w:r w:rsidR="00464C57">
        <w:rPr>
          <w:i/>
          <w:noProof/>
        </w:rPr>
        <w:t>National Health (Pharmaceutical Benefits) Amendment (2021 Measures No. 1) Regulations 2021</w:t>
      </w:r>
      <w:r w:rsidRPr="000345CA">
        <w:t>.</w:t>
      </w:r>
    </w:p>
    <w:p w14:paraId="0CEE57D6" w14:textId="77777777" w:rsidR="004F676E" w:rsidRPr="000345CA" w:rsidRDefault="0048364F" w:rsidP="005452CC">
      <w:pPr>
        <w:pStyle w:val="ActHead5"/>
      </w:pPr>
      <w:bookmarkStart w:id="1" w:name="_Toc88818130"/>
      <w:r w:rsidRPr="00DF55EF">
        <w:rPr>
          <w:rStyle w:val="CharSectno"/>
        </w:rPr>
        <w:t>2</w:t>
      </w:r>
      <w:r w:rsidRPr="000345CA">
        <w:t xml:space="preserve">  Commencement</w:t>
      </w:r>
      <w:bookmarkEnd w:id="1"/>
    </w:p>
    <w:p w14:paraId="2EAC5E92" w14:textId="77777777" w:rsidR="005452CC" w:rsidRPr="000345CA" w:rsidRDefault="005452CC" w:rsidP="00AA511D">
      <w:pPr>
        <w:pStyle w:val="subsection"/>
      </w:pPr>
      <w:r w:rsidRPr="000345CA">
        <w:tab/>
        <w:t>(1)</w:t>
      </w:r>
      <w:r w:rsidRPr="000345CA">
        <w:tab/>
        <w:t xml:space="preserve">Each provision of </w:t>
      </w:r>
      <w:r w:rsidR="003B6E24" w:rsidRPr="000345CA">
        <w:t>this instrument</w:t>
      </w:r>
      <w:r w:rsidRPr="000345CA">
        <w:t xml:space="preserve"> specified in column 1 of the table commences, or is taken to have commenced, in accordance with column 2 of the table. Any other statement in column 2 has effect according to its terms.</w:t>
      </w:r>
    </w:p>
    <w:p w14:paraId="25B4D8DD" w14:textId="77777777" w:rsidR="005452CC" w:rsidRPr="000345CA" w:rsidRDefault="005452CC" w:rsidP="00AA511D">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0345CA" w14:paraId="104FF83C" w14:textId="77777777" w:rsidTr="006B7DB3">
        <w:trPr>
          <w:tblHeader/>
        </w:trPr>
        <w:tc>
          <w:tcPr>
            <w:tcW w:w="8364" w:type="dxa"/>
            <w:gridSpan w:val="3"/>
            <w:tcBorders>
              <w:top w:val="single" w:sz="12" w:space="0" w:color="auto"/>
              <w:bottom w:val="single" w:sz="6" w:space="0" w:color="auto"/>
            </w:tcBorders>
            <w:shd w:val="clear" w:color="auto" w:fill="auto"/>
            <w:hideMark/>
          </w:tcPr>
          <w:p w14:paraId="25F05740" w14:textId="77777777" w:rsidR="005452CC" w:rsidRPr="000345CA" w:rsidRDefault="005452CC" w:rsidP="00AA511D">
            <w:pPr>
              <w:pStyle w:val="TableHeading"/>
            </w:pPr>
            <w:r w:rsidRPr="000345CA">
              <w:t>Commencement information</w:t>
            </w:r>
          </w:p>
        </w:tc>
      </w:tr>
      <w:tr w:rsidR="005452CC" w:rsidRPr="000345CA" w14:paraId="006C7DB2" w14:textId="77777777" w:rsidTr="006B7DB3">
        <w:trPr>
          <w:tblHeader/>
        </w:trPr>
        <w:tc>
          <w:tcPr>
            <w:tcW w:w="2127" w:type="dxa"/>
            <w:tcBorders>
              <w:top w:val="single" w:sz="6" w:space="0" w:color="auto"/>
              <w:bottom w:val="single" w:sz="6" w:space="0" w:color="auto"/>
            </w:tcBorders>
            <w:shd w:val="clear" w:color="auto" w:fill="auto"/>
            <w:hideMark/>
          </w:tcPr>
          <w:p w14:paraId="66F2E24C" w14:textId="77777777" w:rsidR="005452CC" w:rsidRPr="000345CA" w:rsidRDefault="005452CC" w:rsidP="00AA511D">
            <w:pPr>
              <w:pStyle w:val="TableHeading"/>
            </w:pPr>
            <w:r w:rsidRPr="000345CA">
              <w:t>Column 1</w:t>
            </w:r>
          </w:p>
        </w:tc>
        <w:tc>
          <w:tcPr>
            <w:tcW w:w="4394" w:type="dxa"/>
            <w:tcBorders>
              <w:top w:val="single" w:sz="6" w:space="0" w:color="auto"/>
              <w:bottom w:val="single" w:sz="6" w:space="0" w:color="auto"/>
            </w:tcBorders>
            <w:shd w:val="clear" w:color="auto" w:fill="auto"/>
            <w:hideMark/>
          </w:tcPr>
          <w:p w14:paraId="0EE068E9" w14:textId="77777777" w:rsidR="005452CC" w:rsidRPr="000345CA" w:rsidRDefault="005452CC" w:rsidP="00AA511D">
            <w:pPr>
              <w:pStyle w:val="TableHeading"/>
            </w:pPr>
            <w:r w:rsidRPr="000345CA">
              <w:t>Column 2</w:t>
            </w:r>
          </w:p>
        </w:tc>
        <w:tc>
          <w:tcPr>
            <w:tcW w:w="1843" w:type="dxa"/>
            <w:tcBorders>
              <w:top w:val="single" w:sz="6" w:space="0" w:color="auto"/>
              <w:bottom w:val="single" w:sz="6" w:space="0" w:color="auto"/>
            </w:tcBorders>
            <w:shd w:val="clear" w:color="auto" w:fill="auto"/>
            <w:hideMark/>
          </w:tcPr>
          <w:p w14:paraId="52256A51" w14:textId="77777777" w:rsidR="005452CC" w:rsidRPr="000345CA" w:rsidRDefault="005452CC" w:rsidP="00AA511D">
            <w:pPr>
              <w:pStyle w:val="TableHeading"/>
            </w:pPr>
            <w:r w:rsidRPr="000345CA">
              <w:t>Column 3</w:t>
            </w:r>
          </w:p>
        </w:tc>
      </w:tr>
      <w:tr w:rsidR="005452CC" w:rsidRPr="000345CA" w14:paraId="0122B2AF" w14:textId="77777777" w:rsidTr="006B7DB3">
        <w:trPr>
          <w:tblHeader/>
        </w:trPr>
        <w:tc>
          <w:tcPr>
            <w:tcW w:w="2127" w:type="dxa"/>
            <w:tcBorders>
              <w:top w:val="single" w:sz="6" w:space="0" w:color="auto"/>
              <w:bottom w:val="single" w:sz="12" w:space="0" w:color="auto"/>
            </w:tcBorders>
            <w:shd w:val="clear" w:color="auto" w:fill="auto"/>
            <w:hideMark/>
          </w:tcPr>
          <w:p w14:paraId="5D1EC817" w14:textId="77777777" w:rsidR="005452CC" w:rsidRPr="000345CA" w:rsidRDefault="005452CC" w:rsidP="00AA511D">
            <w:pPr>
              <w:pStyle w:val="TableHeading"/>
            </w:pPr>
            <w:r w:rsidRPr="000345CA">
              <w:t>Provisions</w:t>
            </w:r>
          </w:p>
        </w:tc>
        <w:tc>
          <w:tcPr>
            <w:tcW w:w="4394" w:type="dxa"/>
            <w:tcBorders>
              <w:top w:val="single" w:sz="6" w:space="0" w:color="auto"/>
              <w:bottom w:val="single" w:sz="12" w:space="0" w:color="auto"/>
            </w:tcBorders>
            <w:shd w:val="clear" w:color="auto" w:fill="auto"/>
            <w:hideMark/>
          </w:tcPr>
          <w:p w14:paraId="00EEFD91" w14:textId="77777777" w:rsidR="005452CC" w:rsidRPr="000345CA" w:rsidRDefault="005452CC" w:rsidP="00AA511D">
            <w:pPr>
              <w:pStyle w:val="TableHeading"/>
            </w:pPr>
            <w:r w:rsidRPr="000345CA">
              <w:t>Commencement</w:t>
            </w:r>
          </w:p>
        </w:tc>
        <w:tc>
          <w:tcPr>
            <w:tcW w:w="1843" w:type="dxa"/>
            <w:tcBorders>
              <w:top w:val="single" w:sz="6" w:space="0" w:color="auto"/>
              <w:bottom w:val="single" w:sz="12" w:space="0" w:color="auto"/>
            </w:tcBorders>
            <w:shd w:val="clear" w:color="auto" w:fill="auto"/>
            <w:hideMark/>
          </w:tcPr>
          <w:p w14:paraId="6B824F22" w14:textId="77777777" w:rsidR="005452CC" w:rsidRPr="000345CA" w:rsidRDefault="005452CC" w:rsidP="00AA511D">
            <w:pPr>
              <w:pStyle w:val="TableHeading"/>
            </w:pPr>
            <w:r w:rsidRPr="000345CA">
              <w:t>Date/Details</w:t>
            </w:r>
          </w:p>
        </w:tc>
      </w:tr>
      <w:tr w:rsidR="005452CC" w:rsidRPr="000345CA" w14:paraId="7EB91CB2" w14:textId="77777777" w:rsidTr="006B7DB3">
        <w:tc>
          <w:tcPr>
            <w:tcW w:w="2127" w:type="dxa"/>
            <w:tcBorders>
              <w:top w:val="single" w:sz="12" w:space="0" w:color="auto"/>
            </w:tcBorders>
            <w:shd w:val="clear" w:color="auto" w:fill="auto"/>
            <w:hideMark/>
          </w:tcPr>
          <w:p w14:paraId="2B2D8ECF" w14:textId="77777777" w:rsidR="005452CC" w:rsidRPr="000345CA" w:rsidRDefault="005452CC" w:rsidP="00AD7252">
            <w:pPr>
              <w:pStyle w:val="Tabletext"/>
            </w:pPr>
            <w:r w:rsidRPr="000345CA">
              <w:t xml:space="preserve">1.  </w:t>
            </w:r>
            <w:r w:rsidR="001B121A" w:rsidRPr="000345CA">
              <w:t>Sections 1</w:t>
            </w:r>
            <w:r w:rsidR="002C2958" w:rsidRPr="000345CA">
              <w:t xml:space="preserve"> to 4</w:t>
            </w:r>
            <w:r w:rsidR="00FA1D0E" w:rsidRPr="000345CA">
              <w:t xml:space="preserve"> and anything in this instrument not elsewhere covered by this table</w:t>
            </w:r>
          </w:p>
        </w:tc>
        <w:tc>
          <w:tcPr>
            <w:tcW w:w="4394" w:type="dxa"/>
            <w:tcBorders>
              <w:top w:val="single" w:sz="12" w:space="0" w:color="auto"/>
            </w:tcBorders>
            <w:shd w:val="clear" w:color="auto" w:fill="auto"/>
            <w:hideMark/>
          </w:tcPr>
          <w:p w14:paraId="0DCC6DA0" w14:textId="77777777" w:rsidR="005452CC" w:rsidRPr="000345CA" w:rsidRDefault="005452CC" w:rsidP="005452CC">
            <w:pPr>
              <w:pStyle w:val="Tabletext"/>
            </w:pPr>
            <w:r w:rsidRPr="000345CA">
              <w:t xml:space="preserve">The day after </w:t>
            </w:r>
            <w:r w:rsidR="003B6E24" w:rsidRPr="000345CA">
              <w:t>this instrument is</w:t>
            </w:r>
            <w:r w:rsidRPr="000345CA">
              <w:t xml:space="preserve"> registered.</w:t>
            </w:r>
          </w:p>
        </w:tc>
        <w:tc>
          <w:tcPr>
            <w:tcW w:w="1843" w:type="dxa"/>
            <w:tcBorders>
              <w:top w:val="single" w:sz="12" w:space="0" w:color="auto"/>
            </w:tcBorders>
            <w:shd w:val="clear" w:color="auto" w:fill="auto"/>
          </w:tcPr>
          <w:p w14:paraId="76964A9B" w14:textId="612C70F1" w:rsidR="005452CC" w:rsidRPr="000345CA" w:rsidRDefault="005D156A">
            <w:pPr>
              <w:pStyle w:val="Tabletext"/>
            </w:pPr>
            <w:r>
              <w:t>17 December 2021</w:t>
            </w:r>
            <w:bookmarkStart w:id="2" w:name="_GoBack"/>
            <w:bookmarkEnd w:id="2"/>
          </w:p>
        </w:tc>
      </w:tr>
      <w:tr w:rsidR="002C2958" w:rsidRPr="000345CA" w14:paraId="6A4BF70F" w14:textId="77777777" w:rsidTr="006B7DB3">
        <w:tc>
          <w:tcPr>
            <w:tcW w:w="2127" w:type="dxa"/>
            <w:shd w:val="clear" w:color="auto" w:fill="auto"/>
          </w:tcPr>
          <w:p w14:paraId="1E8ECEFA" w14:textId="77777777" w:rsidR="002C2958" w:rsidRPr="000345CA" w:rsidRDefault="002C2958" w:rsidP="00AD7252">
            <w:pPr>
              <w:pStyle w:val="Tabletext"/>
            </w:pPr>
            <w:r w:rsidRPr="000345CA">
              <w:t xml:space="preserve">2.  </w:t>
            </w:r>
            <w:r w:rsidR="001B121A" w:rsidRPr="000345CA">
              <w:t>Schedule 1</w:t>
            </w:r>
            <w:r w:rsidRPr="000345CA">
              <w:t xml:space="preserve">, </w:t>
            </w:r>
            <w:r w:rsidR="001B121A" w:rsidRPr="000345CA">
              <w:t>Part 1</w:t>
            </w:r>
          </w:p>
        </w:tc>
        <w:tc>
          <w:tcPr>
            <w:tcW w:w="4394" w:type="dxa"/>
            <w:shd w:val="clear" w:color="auto" w:fill="auto"/>
          </w:tcPr>
          <w:p w14:paraId="67A71F77" w14:textId="77777777" w:rsidR="002C2958" w:rsidRPr="000345CA" w:rsidRDefault="001B121A" w:rsidP="005452CC">
            <w:pPr>
              <w:pStyle w:val="Tabletext"/>
            </w:pPr>
            <w:r w:rsidRPr="000345CA">
              <w:t>1 July</w:t>
            </w:r>
            <w:r w:rsidR="002C2958" w:rsidRPr="000345CA">
              <w:t xml:space="preserve"> 2022</w:t>
            </w:r>
            <w:r w:rsidR="001A09D8" w:rsidRPr="000345CA">
              <w:t>.</w:t>
            </w:r>
          </w:p>
        </w:tc>
        <w:tc>
          <w:tcPr>
            <w:tcW w:w="1843" w:type="dxa"/>
            <w:shd w:val="clear" w:color="auto" w:fill="auto"/>
          </w:tcPr>
          <w:p w14:paraId="116EFF7C" w14:textId="77777777" w:rsidR="002C2958" w:rsidRPr="000345CA" w:rsidRDefault="001B121A">
            <w:pPr>
              <w:pStyle w:val="Tabletext"/>
            </w:pPr>
            <w:r w:rsidRPr="000345CA">
              <w:t>1 July</w:t>
            </w:r>
            <w:r w:rsidR="002C2958" w:rsidRPr="000345CA">
              <w:t xml:space="preserve"> 2022</w:t>
            </w:r>
          </w:p>
        </w:tc>
      </w:tr>
      <w:tr w:rsidR="002C2958" w:rsidRPr="000345CA" w14:paraId="3496EFCB" w14:textId="77777777" w:rsidTr="006B7DB3">
        <w:tc>
          <w:tcPr>
            <w:tcW w:w="2127" w:type="dxa"/>
            <w:shd w:val="clear" w:color="auto" w:fill="auto"/>
          </w:tcPr>
          <w:p w14:paraId="7F51F16F" w14:textId="77777777" w:rsidR="002C2958" w:rsidRPr="000345CA" w:rsidRDefault="002C2958" w:rsidP="00AD7252">
            <w:pPr>
              <w:pStyle w:val="Tabletext"/>
            </w:pPr>
            <w:r w:rsidRPr="000345CA">
              <w:t xml:space="preserve">3.  </w:t>
            </w:r>
            <w:r w:rsidR="001B121A" w:rsidRPr="000345CA">
              <w:t>Schedule 1</w:t>
            </w:r>
            <w:r w:rsidRPr="000345CA">
              <w:t xml:space="preserve">, </w:t>
            </w:r>
            <w:r w:rsidR="001B121A" w:rsidRPr="000345CA">
              <w:t>Part 2</w:t>
            </w:r>
          </w:p>
        </w:tc>
        <w:tc>
          <w:tcPr>
            <w:tcW w:w="4394" w:type="dxa"/>
            <w:shd w:val="clear" w:color="auto" w:fill="auto"/>
          </w:tcPr>
          <w:p w14:paraId="05A81A40" w14:textId="77777777" w:rsidR="002C2958" w:rsidRPr="000345CA" w:rsidRDefault="001B121A" w:rsidP="005452CC">
            <w:pPr>
              <w:pStyle w:val="Tabletext"/>
            </w:pPr>
            <w:r w:rsidRPr="000345CA">
              <w:t>1 October</w:t>
            </w:r>
            <w:r w:rsidR="006B7DB3" w:rsidRPr="000345CA">
              <w:t xml:space="preserve"> 2022</w:t>
            </w:r>
            <w:r w:rsidR="001A09D8" w:rsidRPr="000345CA">
              <w:t>.</w:t>
            </w:r>
          </w:p>
        </w:tc>
        <w:tc>
          <w:tcPr>
            <w:tcW w:w="1843" w:type="dxa"/>
            <w:shd w:val="clear" w:color="auto" w:fill="auto"/>
          </w:tcPr>
          <w:p w14:paraId="1D03C485" w14:textId="77777777" w:rsidR="002C2958" w:rsidRPr="000345CA" w:rsidRDefault="001B121A">
            <w:pPr>
              <w:pStyle w:val="Tabletext"/>
            </w:pPr>
            <w:r w:rsidRPr="000345CA">
              <w:t>1 October</w:t>
            </w:r>
            <w:r w:rsidR="006B7DB3" w:rsidRPr="000345CA">
              <w:t xml:space="preserve"> 2022</w:t>
            </w:r>
          </w:p>
        </w:tc>
      </w:tr>
      <w:tr w:rsidR="006B7DB3" w:rsidRPr="000345CA" w14:paraId="6261738B" w14:textId="77777777" w:rsidTr="006B7DB3">
        <w:tc>
          <w:tcPr>
            <w:tcW w:w="2127" w:type="dxa"/>
            <w:tcBorders>
              <w:bottom w:val="single" w:sz="2" w:space="0" w:color="auto"/>
            </w:tcBorders>
            <w:shd w:val="clear" w:color="auto" w:fill="auto"/>
          </w:tcPr>
          <w:p w14:paraId="1D7A118B" w14:textId="77777777" w:rsidR="006B7DB3" w:rsidRPr="000345CA" w:rsidRDefault="006B7DB3" w:rsidP="00AD7252">
            <w:pPr>
              <w:pStyle w:val="Tabletext"/>
            </w:pPr>
            <w:r w:rsidRPr="000345CA">
              <w:t xml:space="preserve">4.  </w:t>
            </w:r>
            <w:r w:rsidR="001B121A" w:rsidRPr="000345CA">
              <w:t>Schedule 1</w:t>
            </w:r>
            <w:r w:rsidRPr="000345CA">
              <w:t xml:space="preserve">, </w:t>
            </w:r>
            <w:r w:rsidR="000345CA" w:rsidRPr="000345CA">
              <w:t>Part 3</w:t>
            </w:r>
          </w:p>
        </w:tc>
        <w:tc>
          <w:tcPr>
            <w:tcW w:w="4394" w:type="dxa"/>
            <w:tcBorders>
              <w:bottom w:val="single" w:sz="2" w:space="0" w:color="auto"/>
            </w:tcBorders>
            <w:shd w:val="clear" w:color="auto" w:fill="auto"/>
          </w:tcPr>
          <w:p w14:paraId="6EFFD051" w14:textId="77777777" w:rsidR="006B7DB3" w:rsidRPr="000345CA" w:rsidRDefault="001B121A" w:rsidP="005452CC">
            <w:pPr>
              <w:pStyle w:val="Tabletext"/>
            </w:pPr>
            <w:r w:rsidRPr="000345CA">
              <w:t>1 April</w:t>
            </w:r>
            <w:r w:rsidR="006B7DB3" w:rsidRPr="000345CA">
              <w:t xml:space="preserve"> 2023</w:t>
            </w:r>
            <w:r w:rsidR="001A09D8" w:rsidRPr="000345CA">
              <w:t>.</w:t>
            </w:r>
          </w:p>
        </w:tc>
        <w:tc>
          <w:tcPr>
            <w:tcW w:w="1843" w:type="dxa"/>
            <w:tcBorders>
              <w:bottom w:val="single" w:sz="2" w:space="0" w:color="auto"/>
            </w:tcBorders>
            <w:shd w:val="clear" w:color="auto" w:fill="auto"/>
          </w:tcPr>
          <w:p w14:paraId="66E7B6EC" w14:textId="77777777" w:rsidR="006B7DB3" w:rsidRPr="000345CA" w:rsidRDefault="001B121A">
            <w:pPr>
              <w:pStyle w:val="Tabletext"/>
            </w:pPr>
            <w:r w:rsidRPr="000345CA">
              <w:t>1 April</w:t>
            </w:r>
            <w:r w:rsidR="006B7DB3" w:rsidRPr="000345CA">
              <w:t xml:space="preserve"> 2023</w:t>
            </w:r>
          </w:p>
        </w:tc>
      </w:tr>
      <w:tr w:rsidR="006B7DB3" w:rsidRPr="000345CA" w14:paraId="3A69D44F" w14:textId="77777777" w:rsidTr="006B7DB3">
        <w:tc>
          <w:tcPr>
            <w:tcW w:w="2127" w:type="dxa"/>
            <w:tcBorders>
              <w:top w:val="single" w:sz="2" w:space="0" w:color="auto"/>
              <w:bottom w:val="single" w:sz="12" w:space="0" w:color="auto"/>
            </w:tcBorders>
            <w:shd w:val="clear" w:color="auto" w:fill="auto"/>
          </w:tcPr>
          <w:p w14:paraId="4F9A8658" w14:textId="77777777" w:rsidR="006B7DB3" w:rsidRPr="000345CA" w:rsidRDefault="006B7DB3" w:rsidP="00AD7252">
            <w:pPr>
              <w:pStyle w:val="Tabletext"/>
            </w:pPr>
            <w:r w:rsidRPr="000345CA">
              <w:t xml:space="preserve">5.  </w:t>
            </w:r>
            <w:r w:rsidR="001B121A" w:rsidRPr="000345CA">
              <w:t>Schedule 1</w:t>
            </w:r>
            <w:r w:rsidRPr="000345CA">
              <w:t xml:space="preserve">, </w:t>
            </w:r>
            <w:r w:rsidR="001B121A" w:rsidRPr="000345CA">
              <w:t>Part 4</w:t>
            </w:r>
          </w:p>
        </w:tc>
        <w:tc>
          <w:tcPr>
            <w:tcW w:w="4394" w:type="dxa"/>
            <w:tcBorders>
              <w:top w:val="single" w:sz="2" w:space="0" w:color="auto"/>
              <w:bottom w:val="single" w:sz="12" w:space="0" w:color="auto"/>
            </w:tcBorders>
            <w:shd w:val="clear" w:color="auto" w:fill="auto"/>
          </w:tcPr>
          <w:p w14:paraId="7620B88E" w14:textId="77777777" w:rsidR="006B7DB3" w:rsidRPr="000345CA" w:rsidRDefault="001B121A" w:rsidP="005452CC">
            <w:pPr>
              <w:pStyle w:val="Tabletext"/>
            </w:pPr>
            <w:r w:rsidRPr="000345CA">
              <w:t>1 July</w:t>
            </w:r>
            <w:r w:rsidR="006B7DB3" w:rsidRPr="000345CA">
              <w:t xml:space="preserve"> 2023</w:t>
            </w:r>
            <w:r w:rsidR="001A09D8" w:rsidRPr="000345CA">
              <w:t>.</w:t>
            </w:r>
          </w:p>
        </w:tc>
        <w:tc>
          <w:tcPr>
            <w:tcW w:w="1843" w:type="dxa"/>
            <w:tcBorders>
              <w:top w:val="single" w:sz="2" w:space="0" w:color="auto"/>
              <w:bottom w:val="single" w:sz="12" w:space="0" w:color="auto"/>
            </w:tcBorders>
            <w:shd w:val="clear" w:color="auto" w:fill="auto"/>
          </w:tcPr>
          <w:p w14:paraId="60551093" w14:textId="77777777" w:rsidR="006B7DB3" w:rsidRPr="000345CA" w:rsidRDefault="001B121A">
            <w:pPr>
              <w:pStyle w:val="Tabletext"/>
            </w:pPr>
            <w:r w:rsidRPr="000345CA">
              <w:t>1 July</w:t>
            </w:r>
            <w:r w:rsidR="006B7DB3" w:rsidRPr="000345CA">
              <w:t xml:space="preserve"> 2023</w:t>
            </w:r>
          </w:p>
        </w:tc>
      </w:tr>
    </w:tbl>
    <w:p w14:paraId="0902ACAD" w14:textId="77777777" w:rsidR="005452CC" w:rsidRPr="000345CA" w:rsidRDefault="005452CC" w:rsidP="00AA511D">
      <w:pPr>
        <w:pStyle w:val="notetext"/>
      </w:pPr>
      <w:r w:rsidRPr="000345CA">
        <w:rPr>
          <w:snapToGrid w:val="0"/>
          <w:lang w:eastAsia="en-US"/>
        </w:rPr>
        <w:t>Note:</w:t>
      </w:r>
      <w:r w:rsidRPr="000345CA">
        <w:rPr>
          <w:snapToGrid w:val="0"/>
          <w:lang w:eastAsia="en-US"/>
        </w:rPr>
        <w:tab/>
        <w:t xml:space="preserve">This table relates only to the provisions of </w:t>
      </w:r>
      <w:r w:rsidR="003B6E24" w:rsidRPr="000345CA">
        <w:rPr>
          <w:snapToGrid w:val="0"/>
          <w:lang w:eastAsia="en-US"/>
        </w:rPr>
        <w:t>this instrument</w:t>
      </w:r>
      <w:r w:rsidRPr="000345CA">
        <w:t xml:space="preserve"> </w:t>
      </w:r>
      <w:r w:rsidRPr="000345CA">
        <w:rPr>
          <w:snapToGrid w:val="0"/>
          <w:lang w:eastAsia="en-US"/>
        </w:rPr>
        <w:t xml:space="preserve">as originally made. It will not be amended to deal with any later amendments of </w:t>
      </w:r>
      <w:r w:rsidR="003B6E24" w:rsidRPr="000345CA">
        <w:rPr>
          <w:snapToGrid w:val="0"/>
          <w:lang w:eastAsia="en-US"/>
        </w:rPr>
        <w:t>this instrument</w:t>
      </w:r>
      <w:r w:rsidRPr="000345CA">
        <w:rPr>
          <w:snapToGrid w:val="0"/>
          <w:lang w:eastAsia="en-US"/>
        </w:rPr>
        <w:t>.</w:t>
      </w:r>
    </w:p>
    <w:p w14:paraId="46A71162" w14:textId="77777777" w:rsidR="005452CC" w:rsidRPr="000345CA" w:rsidRDefault="005452CC" w:rsidP="004F676E">
      <w:pPr>
        <w:pStyle w:val="subsection"/>
      </w:pPr>
      <w:r w:rsidRPr="000345CA">
        <w:tab/>
        <w:t>(2)</w:t>
      </w:r>
      <w:r w:rsidRPr="000345CA">
        <w:tab/>
        <w:t xml:space="preserve">Any information in column 3 of the table is not part of </w:t>
      </w:r>
      <w:r w:rsidR="003B6E24" w:rsidRPr="000345CA">
        <w:t>this instrument</w:t>
      </w:r>
      <w:r w:rsidRPr="000345CA">
        <w:t xml:space="preserve">. Information may be inserted in this column, or information in it may be edited, in any published version of </w:t>
      </w:r>
      <w:r w:rsidR="003B6E24" w:rsidRPr="000345CA">
        <w:t>this instrument</w:t>
      </w:r>
      <w:r w:rsidRPr="000345CA">
        <w:t>.</w:t>
      </w:r>
    </w:p>
    <w:p w14:paraId="1252C0B5" w14:textId="77777777" w:rsidR="00BF6650" w:rsidRPr="000345CA" w:rsidRDefault="00BF6650" w:rsidP="00BF6650">
      <w:pPr>
        <w:pStyle w:val="ActHead5"/>
      </w:pPr>
      <w:bookmarkStart w:id="3" w:name="_Toc88818131"/>
      <w:r w:rsidRPr="00DF55EF">
        <w:rPr>
          <w:rStyle w:val="CharSectno"/>
        </w:rPr>
        <w:t>3</w:t>
      </w:r>
      <w:r w:rsidRPr="000345CA">
        <w:t xml:space="preserve">  Authority</w:t>
      </w:r>
      <w:bookmarkEnd w:id="3"/>
    </w:p>
    <w:p w14:paraId="0BB7AD02" w14:textId="77777777" w:rsidR="00BF6650" w:rsidRPr="000345CA" w:rsidRDefault="00BF6650" w:rsidP="00BF6650">
      <w:pPr>
        <w:pStyle w:val="subsection"/>
      </w:pPr>
      <w:r w:rsidRPr="000345CA">
        <w:tab/>
      </w:r>
      <w:r w:rsidRPr="000345CA">
        <w:tab/>
      </w:r>
      <w:r w:rsidR="003B6E24" w:rsidRPr="000345CA">
        <w:t>This instrument is</w:t>
      </w:r>
      <w:r w:rsidRPr="000345CA">
        <w:t xml:space="preserve"> made under the </w:t>
      </w:r>
      <w:r w:rsidR="007226A5" w:rsidRPr="000345CA">
        <w:rPr>
          <w:i/>
        </w:rPr>
        <w:t>National Health Act 1953</w:t>
      </w:r>
      <w:r w:rsidR="00546FA3" w:rsidRPr="000345CA">
        <w:t>.</w:t>
      </w:r>
    </w:p>
    <w:p w14:paraId="2074E39F" w14:textId="77777777" w:rsidR="00557C7A" w:rsidRPr="000345CA" w:rsidRDefault="00BF6650" w:rsidP="00557C7A">
      <w:pPr>
        <w:pStyle w:val="ActHead5"/>
      </w:pPr>
      <w:bookmarkStart w:id="4" w:name="_Toc88818132"/>
      <w:r w:rsidRPr="00DF55EF">
        <w:rPr>
          <w:rStyle w:val="CharSectno"/>
        </w:rPr>
        <w:t>4</w:t>
      </w:r>
      <w:r w:rsidR="00557C7A" w:rsidRPr="000345CA">
        <w:t xml:space="preserve">  </w:t>
      </w:r>
      <w:r w:rsidR="00083F48" w:rsidRPr="000345CA">
        <w:t>Schedules</w:t>
      </w:r>
      <w:bookmarkEnd w:id="4"/>
    </w:p>
    <w:p w14:paraId="3F4CFF96" w14:textId="77777777" w:rsidR="00557C7A" w:rsidRPr="000345CA" w:rsidRDefault="00557C7A" w:rsidP="00557C7A">
      <w:pPr>
        <w:pStyle w:val="subsection"/>
      </w:pPr>
      <w:r w:rsidRPr="000345CA">
        <w:tab/>
      </w:r>
      <w:r w:rsidRPr="000345CA">
        <w:tab/>
      </w:r>
      <w:r w:rsidR="00083F48" w:rsidRPr="000345CA">
        <w:t xml:space="preserve">Each </w:t>
      </w:r>
      <w:r w:rsidR="00160BD7" w:rsidRPr="000345CA">
        <w:t>instrument</w:t>
      </w:r>
      <w:r w:rsidR="00083F48" w:rsidRPr="000345CA">
        <w:t xml:space="preserve"> that is specified in a Schedule to </w:t>
      </w:r>
      <w:r w:rsidR="003B6E24" w:rsidRPr="000345CA">
        <w:t>this instrument</w:t>
      </w:r>
      <w:r w:rsidR="00083F48" w:rsidRPr="000345CA">
        <w:t xml:space="preserve"> is amended or repealed as set out in the applicable items in the Schedule concerned, and any other item in a Schedule to </w:t>
      </w:r>
      <w:r w:rsidR="003B6E24" w:rsidRPr="000345CA">
        <w:t>this instrument</w:t>
      </w:r>
      <w:r w:rsidR="00083F48" w:rsidRPr="000345CA">
        <w:t xml:space="preserve"> has effect according to its terms.</w:t>
      </w:r>
    </w:p>
    <w:p w14:paraId="07F5F982" w14:textId="77777777" w:rsidR="0048364F" w:rsidRPr="000345CA" w:rsidRDefault="001B121A" w:rsidP="009C5989">
      <w:pPr>
        <w:pStyle w:val="ActHead6"/>
        <w:pageBreakBefore/>
      </w:pPr>
      <w:bookmarkStart w:id="5" w:name="_Toc88818133"/>
      <w:r w:rsidRPr="00DF55EF">
        <w:rPr>
          <w:rStyle w:val="CharAmSchNo"/>
        </w:rPr>
        <w:lastRenderedPageBreak/>
        <w:t>Schedule 1</w:t>
      </w:r>
      <w:r w:rsidR="0048364F" w:rsidRPr="000345CA">
        <w:t>—</w:t>
      </w:r>
      <w:r w:rsidR="00460499" w:rsidRPr="00DF55EF">
        <w:rPr>
          <w:rStyle w:val="CharAmSchText"/>
        </w:rPr>
        <w:t>Amendments</w:t>
      </w:r>
      <w:bookmarkEnd w:id="5"/>
    </w:p>
    <w:p w14:paraId="0271A5CE" w14:textId="77777777" w:rsidR="00DB2B05" w:rsidRPr="000345CA" w:rsidRDefault="001B121A" w:rsidP="00DB2B05">
      <w:pPr>
        <w:pStyle w:val="ActHead7"/>
      </w:pPr>
      <w:bookmarkStart w:id="6" w:name="_Toc88818134"/>
      <w:r w:rsidRPr="00DF55EF">
        <w:rPr>
          <w:rStyle w:val="CharAmPartNo"/>
        </w:rPr>
        <w:t>Part 1</w:t>
      </w:r>
      <w:r w:rsidR="00DB2B05" w:rsidRPr="000345CA">
        <w:t>—</w:t>
      </w:r>
      <w:r w:rsidR="00DB2B05" w:rsidRPr="00DF55EF">
        <w:rPr>
          <w:rStyle w:val="CharAmPartText"/>
        </w:rPr>
        <w:t xml:space="preserve">Amendments commencing </w:t>
      </w:r>
      <w:r w:rsidRPr="00DF55EF">
        <w:rPr>
          <w:rStyle w:val="CharAmPartText"/>
        </w:rPr>
        <w:t>1 July</w:t>
      </w:r>
      <w:r w:rsidR="00DB2B05" w:rsidRPr="00DF55EF">
        <w:rPr>
          <w:rStyle w:val="CharAmPartText"/>
        </w:rPr>
        <w:t xml:space="preserve"> 2022</w:t>
      </w:r>
      <w:bookmarkEnd w:id="6"/>
    </w:p>
    <w:p w14:paraId="5CF27E71" w14:textId="77777777" w:rsidR="0084172C" w:rsidRPr="000345CA" w:rsidRDefault="00AA511D" w:rsidP="00EA0D36">
      <w:pPr>
        <w:pStyle w:val="ActHead9"/>
      </w:pPr>
      <w:bookmarkStart w:id="7" w:name="_Toc88818135"/>
      <w:r w:rsidRPr="000345CA">
        <w:t xml:space="preserve">National Health (Pharmaceutical Benefits) </w:t>
      </w:r>
      <w:r w:rsidR="000345CA" w:rsidRPr="000345CA">
        <w:t>Regulations 2</w:t>
      </w:r>
      <w:r w:rsidRPr="000345CA">
        <w:t>017</w:t>
      </w:r>
      <w:bookmarkEnd w:id="7"/>
    </w:p>
    <w:p w14:paraId="5DE98E24" w14:textId="77777777" w:rsidR="00AA511D" w:rsidRPr="000345CA" w:rsidRDefault="00C84594" w:rsidP="00AA511D">
      <w:pPr>
        <w:pStyle w:val="ItemHead"/>
      </w:pPr>
      <w:r w:rsidRPr="000345CA">
        <w:t>1</w:t>
      </w:r>
      <w:r w:rsidR="00AA511D" w:rsidRPr="000345CA">
        <w:t xml:space="preserve">  Before </w:t>
      </w:r>
      <w:r w:rsidR="004673B9" w:rsidRPr="000345CA">
        <w:t>section 6</w:t>
      </w:r>
      <w:r w:rsidR="00AA511D" w:rsidRPr="000345CA">
        <w:t>6</w:t>
      </w:r>
    </w:p>
    <w:p w14:paraId="63FEEACB" w14:textId="77777777" w:rsidR="00AA511D" w:rsidRPr="000345CA" w:rsidRDefault="00AA511D" w:rsidP="00AA511D">
      <w:pPr>
        <w:pStyle w:val="Item"/>
      </w:pPr>
      <w:r w:rsidRPr="000345CA">
        <w:t>Insert:</w:t>
      </w:r>
    </w:p>
    <w:p w14:paraId="45826748" w14:textId="77777777" w:rsidR="00AA511D" w:rsidRPr="000345CA" w:rsidRDefault="00AA511D" w:rsidP="00AA511D">
      <w:pPr>
        <w:pStyle w:val="ActHead5"/>
      </w:pPr>
      <w:bookmarkStart w:id="8" w:name="_Toc88818136"/>
      <w:r w:rsidRPr="00DF55EF">
        <w:rPr>
          <w:rStyle w:val="CharSectno"/>
        </w:rPr>
        <w:t>65A</w:t>
      </w:r>
      <w:r w:rsidRPr="000345CA">
        <w:t xml:space="preserve">  </w:t>
      </w:r>
      <w:r w:rsidR="00081312" w:rsidRPr="000345CA">
        <w:t>Price reductions for single brands of combination items</w:t>
      </w:r>
      <w:bookmarkEnd w:id="8"/>
    </w:p>
    <w:p w14:paraId="36C10076" w14:textId="77777777" w:rsidR="00081312" w:rsidRPr="000345CA" w:rsidRDefault="00081312" w:rsidP="00081312">
      <w:pPr>
        <w:pStyle w:val="subsection"/>
      </w:pPr>
      <w:r w:rsidRPr="000345CA">
        <w:tab/>
        <w:t>(1)</w:t>
      </w:r>
      <w:r w:rsidRPr="000345CA">
        <w:tab/>
        <w:t xml:space="preserve">This section sets out, for the purposes of </w:t>
      </w:r>
      <w:r w:rsidR="001B121A" w:rsidRPr="000345CA">
        <w:t>subsection 9</w:t>
      </w:r>
      <w:r w:rsidRPr="000345CA">
        <w:t xml:space="preserve">9ACC(2) of the Act, </w:t>
      </w:r>
      <w:r w:rsidR="006B54B2" w:rsidRPr="000345CA">
        <w:t xml:space="preserve">the </w:t>
      </w:r>
      <w:r w:rsidRPr="000345CA">
        <w:t xml:space="preserve">method </w:t>
      </w:r>
      <w:r w:rsidR="00FF5F90" w:rsidRPr="000345CA">
        <w:t>for calculating the</w:t>
      </w:r>
      <w:r w:rsidRPr="000345CA">
        <w:t xml:space="preserve"> </w:t>
      </w:r>
      <w:r w:rsidR="00FF5F90" w:rsidRPr="000345CA">
        <w:t xml:space="preserve">reduced </w:t>
      </w:r>
      <w:r w:rsidRPr="000345CA">
        <w:t>approved ex</w:t>
      </w:r>
      <w:r w:rsidR="000345CA">
        <w:noBreakHyphen/>
      </w:r>
      <w:r w:rsidRPr="000345CA">
        <w:t xml:space="preserve">manufacturer price of a single brand of </w:t>
      </w:r>
      <w:r w:rsidR="008E44F8" w:rsidRPr="000345CA">
        <w:t xml:space="preserve">a </w:t>
      </w:r>
      <w:r w:rsidRPr="000345CA">
        <w:t>combination item</w:t>
      </w:r>
      <w:r w:rsidR="00C12532" w:rsidRPr="000345CA">
        <w:t xml:space="preserve"> on </w:t>
      </w:r>
      <w:r w:rsidR="00763661" w:rsidRPr="000345CA">
        <w:t xml:space="preserve">the </w:t>
      </w:r>
      <w:r w:rsidR="008E44F8" w:rsidRPr="000345CA">
        <w:t xml:space="preserve">reduction </w:t>
      </w:r>
      <w:r w:rsidR="00763661" w:rsidRPr="000345CA">
        <w:t xml:space="preserve">day mentioned in </w:t>
      </w:r>
      <w:r w:rsidR="008E44F8" w:rsidRPr="000345CA">
        <w:t>that subsection</w:t>
      </w:r>
      <w:r w:rsidR="00FF5F90" w:rsidRPr="000345CA">
        <w:t>.</w:t>
      </w:r>
    </w:p>
    <w:p w14:paraId="253B7766" w14:textId="77777777" w:rsidR="008E44F8" w:rsidRPr="000345CA" w:rsidRDefault="00081312" w:rsidP="00081312">
      <w:pPr>
        <w:pStyle w:val="subsection"/>
      </w:pPr>
      <w:r w:rsidRPr="000345CA">
        <w:tab/>
        <w:t>(2)</w:t>
      </w:r>
      <w:r w:rsidRPr="000345CA">
        <w:tab/>
      </w:r>
      <w:r w:rsidR="006B54B2" w:rsidRPr="000345CA">
        <w:t>T</w:t>
      </w:r>
      <w:r w:rsidR="00FF5F90" w:rsidRPr="000345CA">
        <w:t xml:space="preserve">he </w:t>
      </w:r>
      <w:r w:rsidR="00E047AB" w:rsidRPr="000345CA">
        <w:t xml:space="preserve">reduced </w:t>
      </w:r>
      <w:r w:rsidR="00FF5F90" w:rsidRPr="000345CA">
        <w:t>approved ex</w:t>
      </w:r>
      <w:r w:rsidR="000345CA">
        <w:noBreakHyphen/>
      </w:r>
      <w:r w:rsidR="00FF5F90" w:rsidRPr="000345CA">
        <w:t>manufacturer price of the</w:t>
      </w:r>
      <w:r w:rsidR="00C12532" w:rsidRPr="000345CA">
        <w:t xml:space="preserve"> brand of </w:t>
      </w:r>
      <w:r w:rsidR="008E44F8" w:rsidRPr="000345CA">
        <w:t xml:space="preserve">the </w:t>
      </w:r>
      <w:r w:rsidR="00FF5F90" w:rsidRPr="000345CA">
        <w:t>combination item is the amount worked out</w:t>
      </w:r>
      <w:r w:rsidR="00C12532" w:rsidRPr="000345CA">
        <w:t xml:space="preserve"> by </w:t>
      </w:r>
      <w:r w:rsidR="008E44F8" w:rsidRPr="000345CA">
        <w:t>the following formula:</w:t>
      </w:r>
    </w:p>
    <w:p w14:paraId="7560574C" w14:textId="77777777" w:rsidR="00C12532" w:rsidRPr="000345CA" w:rsidRDefault="003A5D2C" w:rsidP="00081312">
      <w:pPr>
        <w:pStyle w:val="subsection"/>
      </w:pPr>
      <w:r>
        <w:tab/>
      </w:r>
      <w:r w:rsidR="00937AFA" w:rsidRPr="000345CA">
        <w:tab/>
      </w:r>
      <w:r w:rsidR="001E1375" w:rsidRPr="000345CA">
        <w:rPr>
          <w:position w:val="-54"/>
        </w:rPr>
        <w:object w:dxaOrig="3980" w:dyaOrig="1180" w14:anchorId="2933F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art formula Reduction day component AEMPs times Day before combination item AEMP over Day before component AEMPs end formula" style="width:199.5pt;height:59.25pt;mso-position-horizontal:absolute" o:ole="">
            <v:imagedata r:id="rId20" o:title=""/>
          </v:shape>
          <o:OLEObject Type="Embed" ProgID="Equation.DSMT4" ShapeID="_x0000_i1025" DrawAspect="Content" ObjectID="_1701179551" r:id="rId21"/>
        </w:object>
      </w:r>
    </w:p>
    <w:p w14:paraId="0C01F73F" w14:textId="63BD2325" w:rsidR="00C12532" w:rsidRPr="000345CA" w:rsidRDefault="005D156A" w:rsidP="000C6A7F">
      <w:pPr>
        <w:pStyle w:val="subsection"/>
      </w:pPr>
      <w:r>
        <w:rPr>
          <w:noProof/>
          <w:position w:val="-4"/>
        </w:rPr>
        <w:drawing>
          <wp:inline distT="0" distB="0" distL="0" distR="0" wp14:anchorId="48B1E086" wp14:editId="3BF93D9A">
            <wp:extent cx="104775"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000C6A7F" w:rsidRPr="000345CA">
        <w:tab/>
      </w:r>
      <w:r w:rsidR="000C6A7F" w:rsidRPr="000345CA">
        <w:tab/>
      </w:r>
      <w:r w:rsidR="00937AFA" w:rsidRPr="000345CA">
        <w:t>where:</w:t>
      </w:r>
    </w:p>
    <w:p w14:paraId="4276F072" w14:textId="77777777" w:rsidR="00FA514B" w:rsidRPr="000345CA" w:rsidRDefault="00FA514B" w:rsidP="008E707B">
      <w:pPr>
        <w:pStyle w:val="Definition"/>
        <w:rPr>
          <w:b/>
        </w:rPr>
      </w:pPr>
      <w:r w:rsidRPr="000345CA">
        <w:rPr>
          <w:b/>
          <w:i/>
        </w:rPr>
        <w:t>component drug</w:t>
      </w:r>
      <w:r w:rsidRPr="000345CA">
        <w:t>, in relation to a drug in a combination item, means a drug or medicinal preparation that is contained in that drug.</w:t>
      </w:r>
    </w:p>
    <w:p w14:paraId="67F326F8" w14:textId="77777777" w:rsidR="008E707B" w:rsidRPr="000345CA" w:rsidRDefault="008E707B" w:rsidP="008E707B">
      <w:pPr>
        <w:pStyle w:val="Definition"/>
      </w:pPr>
      <w:r w:rsidRPr="000345CA">
        <w:rPr>
          <w:b/>
          <w:i/>
        </w:rPr>
        <w:t xml:space="preserve">day before combination item </w:t>
      </w:r>
      <w:r w:rsidR="005A6682" w:rsidRPr="000345CA">
        <w:rPr>
          <w:b/>
          <w:i/>
        </w:rPr>
        <w:t>AEMP</w:t>
      </w:r>
      <w:r w:rsidR="009433D3" w:rsidRPr="000345CA">
        <w:rPr>
          <w:b/>
          <w:i/>
        </w:rPr>
        <w:t xml:space="preserve"> </w:t>
      </w:r>
      <w:r w:rsidRPr="000345CA">
        <w:t>means the approved ex</w:t>
      </w:r>
      <w:r w:rsidR="000345CA">
        <w:noBreakHyphen/>
      </w:r>
      <w:r w:rsidRPr="000345CA">
        <w:t xml:space="preserve">manufacturer price of the </w:t>
      </w:r>
      <w:r w:rsidR="009433D3" w:rsidRPr="000345CA">
        <w:t xml:space="preserve">brand of the </w:t>
      </w:r>
      <w:r w:rsidRPr="000345CA">
        <w:t>combination item on the day before the reduction day.</w:t>
      </w:r>
    </w:p>
    <w:p w14:paraId="762AE4F6" w14:textId="77777777" w:rsidR="009B1938" w:rsidRPr="000345CA" w:rsidRDefault="009B1938" w:rsidP="009B1938">
      <w:pPr>
        <w:pStyle w:val="Definition"/>
      </w:pPr>
      <w:r w:rsidRPr="000345CA">
        <w:rPr>
          <w:b/>
          <w:i/>
        </w:rPr>
        <w:t>day before</w:t>
      </w:r>
      <w:r w:rsidR="009433D3" w:rsidRPr="000345CA">
        <w:rPr>
          <w:b/>
          <w:i/>
        </w:rPr>
        <w:t xml:space="preserve"> </w:t>
      </w:r>
      <w:r w:rsidRPr="000345CA">
        <w:rPr>
          <w:b/>
          <w:i/>
        </w:rPr>
        <w:t xml:space="preserve">component </w:t>
      </w:r>
      <w:r w:rsidR="009433D3" w:rsidRPr="000345CA">
        <w:rPr>
          <w:b/>
          <w:i/>
        </w:rPr>
        <w:t>AEMPs</w:t>
      </w:r>
      <w:r w:rsidRPr="000345CA">
        <w:rPr>
          <w:b/>
          <w:i/>
        </w:rPr>
        <w:t xml:space="preserve"> </w:t>
      </w:r>
      <w:r w:rsidRPr="000345CA">
        <w:t>means the sum of:</w:t>
      </w:r>
    </w:p>
    <w:p w14:paraId="669EAEA5" w14:textId="77777777" w:rsidR="009B1938" w:rsidRPr="000345CA" w:rsidRDefault="009B1938" w:rsidP="009B1938">
      <w:pPr>
        <w:pStyle w:val="paragraph"/>
      </w:pPr>
      <w:r w:rsidRPr="000345CA">
        <w:tab/>
        <w:t>(a)</w:t>
      </w:r>
      <w:r w:rsidRPr="000345CA">
        <w:tab/>
      </w:r>
      <w:r w:rsidR="0040082A" w:rsidRPr="000345CA">
        <w:t xml:space="preserve">the </w:t>
      </w:r>
      <w:r w:rsidRPr="000345CA">
        <w:t>approved ex</w:t>
      </w:r>
      <w:r w:rsidR="000345CA">
        <w:noBreakHyphen/>
      </w:r>
      <w:r w:rsidRPr="000345CA">
        <w:t>manufacturer price</w:t>
      </w:r>
      <w:r w:rsidR="00D81C7D" w:rsidRPr="000345CA">
        <w:t>s</w:t>
      </w:r>
      <w:r w:rsidRPr="000345CA">
        <w:t xml:space="preserve">, on the day before the reduction day, of </w:t>
      </w:r>
      <w:r w:rsidR="009433D3" w:rsidRPr="000345CA">
        <w:t xml:space="preserve">any one brand of </w:t>
      </w:r>
      <w:r w:rsidRPr="000345CA">
        <w:t xml:space="preserve">each of the listed component items, adjusted in accordance with </w:t>
      </w:r>
      <w:r w:rsidR="001B121A" w:rsidRPr="000345CA">
        <w:t>subsection (</w:t>
      </w:r>
      <w:r w:rsidRPr="000345CA">
        <w:t>3); and</w:t>
      </w:r>
    </w:p>
    <w:p w14:paraId="709EE4C1" w14:textId="77777777" w:rsidR="009B1938" w:rsidRPr="000345CA" w:rsidRDefault="009B1938" w:rsidP="009B1938">
      <w:pPr>
        <w:pStyle w:val="paragraph"/>
      </w:pPr>
      <w:r w:rsidRPr="000345CA">
        <w:tab/>
        <w:t>(b)</w:t>
      </w:r>
      <w:r w:rsidRPr="000345CA">
        <w:tab/>
      </w:r>
      <w:r w:rsidR="00DA467C" w:rsidRPr="000345CA">
        <w:t xml:space="preserve">if the combination item includes one or more </w:t>
      </w:r>
      <w:r w:rsidR="00BD098E" w:rsidRPr="000345CA">
        <w:t>component drugs that are not</w:t>
      </w:r>
      <w:r w:rsidR="00781745" w:rsidRPr="000345CA">
        <w:t xml:space="preserve"> listed component </w:t>
      </w:r>
      <w:r w:rsidR="00DA467C" w:rsidRPr="000345CA">
        <w:t>drugs—</w:t>
      </w:r>
      <w:r w:rsidR="00BD098E" w:rsidRPr="000345CA">
        <w:t>the non</w:t>
      </w:r>
      <w:r w:rsidR="000345CA">
        <w:noBreakHyphen/>
      </w:r>
      <w:r w:rsidR="00BD098E" w:rsidRPr="000345CA">
        <w:t>listed component price</w:t>
      </w:r>
      <w:r w:rsidRPr="000345CA">
        <w:t>.</w:t>
      </w:r>
    </w:p>
    <w:p w14:paraId="1ABAA0C6" w14:textId="77777777" w:rsidR="00C27096" w:rsidRPr="000345CA" w:rsidRDefault="00C27096" w:rsidP="00C27096">
      <w:pPr>
        <w:pStyle w:val="Definition"/>
      </w:pPr>
      <w:r w:rsidRPr="000345CA">
        <w:rPr>
          <w:b/>
          <w:i/>
        </w:rPr>
        <w:t>differential reduction percentage</w:t>
      </w:r>
      <w:r w:rsidRPr="000345CA">
        <w:t xml:space="preserve"> means:</w:t>
      </w:r>
    </w:p>
    <w:p w14:paraId="04B68BB3" w14:textId="77777777" w:rsidR="00C27096" w:rsidRPr="000345CA" w:rsidRDefault="00C27096" w:rsidP="00C27096">
      <w:pPr>
        <w:pStyle w:val="paragraph"/>
      </w:pPr>
      <w:r w:rsidRPr="000345CA">
        <w:tab/>
        <w:t>(a)</w:t>
      </w:r>
      <w:r w:rsidRPr="000345CA">
        <w:tab/>
        <w:t>if there is only one listed component item for which the approved ex</w:t>
      </w:r>
      <w:r w:rsidR="000345CA">
        <w:noBreakHyphen/>
      </w:r>
      <w:r w:rsidRPr="000345CA">
        <w:t>manufacturer price of any one brand of the listed component item has been reduced under a provision mentioned in subsection 99ACC(6) of the Act on the reduction day—the difference between 100% and the percentage by which the approved ex</w:t>
      </w:r>
      <w:r w:rsidR="000345CA">
        <w:noBreakHyphen/>
      </w:r>
      <w:r w:rsidRPr="000345CA">
        <w:t>manufacturer price of any one brand of the listed component item in the combination item has been so reduced; or</w:t>
      </w:r>
    </w:p>
    <w:p w14:paraId="6A19F53E" w14:textId="77777777" w:rsidR="00C27096" w:rsidRPr="000345CA" w:rsidRDefault="00C27096" w:rsidP="00C27096">
      <w:pPr>
        <w:pStyle w:val="paragraph"/>
      </w:pPr>
      <w:r w:rsidRPr="000345CA">
        <w:tab/>
        <w:t>(b)</w:t>
      </w:r>
      <w:r w:rsidRPr="000345CA">
        <w:tab/>
        <w:t xml:space="preserve">if there are </w:t>
      </w:r>
      <w:r w:rsidR="00DD3886" w:rsidRPr="000345CA">
        <w:t>2</w:t>
      </w:r>
      <w:r w:rsidRPr="000345CA">
        <w:t xml:space="preserve"> or more listed component items for which the approved ex</w:t>
      </w:r>
      <w:r w:rsidR="000345CA">
        <w:noBreakHyphen/>
      </w:r>
      <w:r w:rsidRPr="000345CA">
        <w:t xml:space="preserve">manufacturer price of any one brand of each of those listed component items has been reduced under a provision mentioned in subsection 99ACC(6) of the Act on the reduction day—the difference between 100% and the average of the percentages by which the approved </w:t>
      </w:r>
      <w:r w:rsidRPr="000345CA">
        <w:lastRenderedPageBreak/>
        <w:t>ex</w:t>
      </w:r>
      <w:r w:rsidR="000345CA">
        <w:noBreakHyphen/>
      </w:r>
      <w:r w:rsidRPr="000345CA">
        <w:t>manufacturer price of any one brand of each of those listed component items has been so reduced.</w:t>
      </w:r>
    </w:p>
    <w:p w14:paraId="00E2339A" w14:textId="77777777" w:rsidR="00FA514B" w:rsidRPr="000345CA" w:rsidRDefault="00FA514B" w:rsidP="008E707B">
      <w:pPr>
        <w:pStyle w:val="Definition"/>
        <w:rPr>
          <w:b/>
          <w:i/>
        </w:rPr>
      </w:pPr>
      <w:r w:rsidRPr="000345CA">
        <w:rPr>
          <w:b/>
          <w:i/>
        </w:rPr>
        <w:t>listed component drug</w:t>
      </w:r>
      <w:r w:rsidRPr="000345CA">
        <w:t xml:space="preserve"> means a component drug in relation to which a declaration under </w:t>
      </w:r>
      <w:r w:rsidR="001B121A" w:rsidRPr="000345CA">
        <w:t>subsection 8</w:t>
      </w:r>
      <w:r w:rsidRPr="000345CA">
        <w:t>5(2) is in force.</w:t>
      </w:r>
    </w:p>
    <w:p w14:paraId="00E259E4" w14:textId="77777777" w:rsidR="00C524E8" w:rsidRPr="000345CA" w:rsidRDefault="00EC6BAC" w:rsidP="008E707B">
      <w:pPr>
        <w:pStyle w:val="Definition"/>
      </w:pPr>
      <w:r w:rsidRPr="000345CA">
        <w:rPr>
          <w:b/>
          <w:i/>
        </w:rPr>
        <w:t>listed component item</w:t>
      </w:r>
      <w:r w:rsidRPr="000345CA">
        <w:t>,</w:t>
      </w:r>
      <w:r w:rsidRPr="000345CA">
        <w:rPr>
          <w:b/>
          <w:i/>
        </w:rPr>
        <w:t xml:space="preserve"> </w:t>
      </w:r>
      <w:r w:rsidRPr="000345CA">
        <w:t xml:space="preserve">for each listed </w:t>
      </w:r>
      <w:r w:rsidR="007F73F9" w:rsidRPr="000345CA">
        <w:t xml:space="preserve">component </w:t>
      </w:r>
      <w:r w:rsidRPr="000345CA">
        <w:t>drug contained in the combination item, means</w:t>
      </w:r>
      <w:r w:rsidR="00C3002F" w:rsidRPr="000345CA">
        <w:t xml:space="preserve"> </w:t>
      </w:r>
      <w:r w:rsidR="009433D3" w:rsidRPr="000345CA">
        <w:t>the</w:t>
      </w:r>
      <w:r w:rsidR="00F6474E" w:rsidRPr="000345CA">
        <w:t xml:space="preserve"> </w:t>
      </w:r>
      <w:r w:rsidR="00C524E8" w:rsidRPr="000345CA">
        <w:t>pharmaceutical item that has:</w:t>
      </w:r>
    </w:p>
    <w:p w14:paraId="069F2320" w14:textId="77777777" w:rsidR="00C524E8" w:rsidRPr="000345CA" w:rsidRDefault="00C524E8" w:rsidP="00C524E8">
      <w:pPr>
        <w:pStyle w:val="paragraph"/>
      </w:pPr>
      <w:r w:rsidRPr="000345CA">
        <w:tab/>
        <w:t>(a)</w:t>
      </w:r>
      <w:r w:rsidRPr="000345CA">
        <w:tab/>
        <w:t xml:space="preserve">the listed </w:t>
      </w:r>
      <w:r w:rsidR="007F73F9" w:rsidRPr="000345CA">
        <w:t xml:space="preserve">component </w:t>
      </w:r>
      <w:r w:rsidRPr="000345CA">
        <w:t>drug; and</w:t>
      </w:r>
    </w:p>
    <w:p w14:paraId="22133072" w14:textId="77777777" w:rsidR="00C524E8" w:rsidRPr="000345CA" w:rsidRDefault="00C524E8" w:rsidP="00C524E8">
      <w:pPr>
        <w:pStyle w:val="paragraph"/>
      </w:pPr>
      <w:r w:rsidRPr="000345CA">
        <w:tab/>
        <w:t>(b)</w:t>
      </w:r>
      <w:r w:rsidRPr="000345CA">
        <w:tab/>
        <w:t>the same manner of administration as the combination item</w:t>
      </w:r>
      <w:r w:rsidR="00D54B5E" w:rsidRPr="000345CA">
        <w:t xml:space="preserve"> as referred to in </w:t>
      </w:r>
      <w:r w:rsidR="001B121A" w:rsidRPr="000345CA">
        <w:t>subsection 9</w:t>
      </w:r>
      <w:r w:rsidR="00D54B5E" w:rsidRPr="000345CA">
        <w:t>9ACC(7) of the Act</w:t>
      </w:r>
      <w:r w:rsidRPr="000345CA">
        <w:t>; and</w:t>
      </w:r>
    </w:p>
    <w:p w14:paraId="553637E3" w14:textId="77777777" w:rsidR="009433D3" w:rsidRPr="000345CA" w:rsidRDefault="00C524E8" w:rsidP="00C524E8">
      <w:pPr>
        <w:pStyle w:val="paragraph"/>
      </w:pPr>
      <w:r w:rsidRPr="000345CA">
        <w:tab/>
        <w:t>(c)</w:t>
      </w:r>
      <w:r w:rsidRPr="000345CA">
        <w:tab/>
      </w:r>
      <w:r w:rsidR="009433D3" w:rsidRPr="000345CA">
        <w:t xml:space="preserve">subject to </w:t>
      </w:r>
      <w:r w:rsidR="001B121A" w:rsidRPr="000345CA">
        <w:t>subsection (</w:t>
      </w:r>
      <w:r w:rsidR="009433D3" w:rsidRPr="000345CA">
        <w:t>4)</w:t>
      </w:r>
      <w:r w:rsidR="001F1F6D" w:rsidRPr="000345CA">
        <w:t xml:space="preserve"> of this section</w:t>
      </w:r>
      <w:r w:rsidR="009433D3" w:rsidRPr="000345CA">
        <w:t xml:space="preserve">, the smallest difference in the total quantity or amount of the listed component drug contained in the quantity or number of units in the pricing quantity of any one brand of the pharmaceutical item compared to the total quantity or amount of the listed component drug in the pricing quantity of </w:t>
      </w:r>
      <w:r w:rsidR="00B42B1F" w:rsidRPr="000345CA">
        <w:t>the</w:t>
      </w:r>
      <w:r w:rsidR="009433D3" w:rsidRPr="000345CA">
        <w:t xml:space="preserve"> brand of the combination item.</w:t>
      </w:r>
    </w:p>
    <w:p w14:paraId="1C0AE239" w14:textId="77777777" w:rsidR="002A2CFF" w:rsidRPr="000345CA" w:rsidRDefault="00BD098E" w:rsidP="002A2CFF">
      <w:pPr>
        <w:pStyle w:val="Definition"/>
      </w:pPr>
      <w:r w:rsidRPr="000345CA">
        <w:rPr>
          <w:b/>
          <w:i/>
        </w:rPr>
        <w:t>n</w:t>
      </w:r>
      <w:r w:rsidR="002A2CFF" w:rsidRPr="000345CA">
        <w:rPr>
          <w:b/>
          <w:i/>
        </w:rPr>
        <w:t>on</w:t>
      </w:r>
      <w:r w:rsidR="000345CA">
        <w:rPr>
          <w:b/>
          <w:i/>
        </w:rPr>
        <w:noBreakHyphen/>
      </w:r>
      <w:r w:rsidR="002A2CFF" w:rsidRPr="000345CA">
        <w:rPr>
          <w:b/>
          <w:i/>
        </w:rPr>
        <w:t>listed component</w:t>
      </w:r>
      <w:r w:rsidRPr="000345CA">
        <w:rPr>
          <w:b/>
          <w:i/>
        </w:rPr>
        <w:t xml:space="preserve"> price</w:t>
      </w:r>
      <w:r w:rsidRPr="000345CA">
        <w:t xml:space="preserve"> means the </w:t>
      </w:r>
      <w:r w:rsidR="00F43A5C" w:rsidRPr="000345CA">
        <w:t xml:space="preserve">day before combination item AEMP </w:t>
      </w:r>
      <w:r w:rsidRPr="000345CA">
        <w:t xml:space="preserve">reduced (but not below zero) by the </w:t>
      </w:r>
      <w:r w:rsidR="00FF425B" w:rsidRPr="000345CA">
        <w:t>sum of the approved ex</w:t>
      </w:r>
      <w:r w:rsidR="000345CA">
        <w:noBreakHyphen/>
      </w:r>
      <w:r w:rsidR="00FF425B" w:rsidRPr="000345CA">
        <w:t xml:space="preserve">manufacturer prices, on the day before the reduction day, of any one brand of each of the listed component items, adjusted in accordance with </w:t>
      </w:r>
      <w:r w:rsidR="001B121A" w:rsidRPr="000345CA">
        <w:t>subsection (</w:t>
      </w:r>
      <w:r w:rsidR="00FF425B" w:rsidRPr="000345CA">
        <w:t>3)</w:t>
      </w:r>
      <w:r w:rsidRPr="000345CA">
        <w:t>.</w:t>
      </w:r>
    </w:p>
    <w:p w14:paraId="6895679E" w14:textId="77777777" w:rsidR="00925FF3" w:rsidRPr="000345CA" w:rsidRDefault="008E44F8" w:rsidP="00925FF3">
      <w:pPr>
        <w:pStyle w:val="Definition"/>
      </w:pPr>
      <w:r w:rsidRPr="000345CA">
        <w:rPr>
          <w:b/>
          <w:i/>
        </w:rPr>
        <w:t>reduction day</w:t>
      </w:r>
      <w:r w:rsidR="00476E85" w:rsidRPr="000345CA">
        <w:rPr>
          <w:b/>
          <w:i/>
        </w:rPr>
        <w:t xml:space="preserve"> </w:t>
      </w:r>
      <w:r w:rsidRPr="000345CA">
        <w:rPr>
          <w:b/>
          <w:i/>
        </w:rPr>
        <w:t xml:space="preserve">component </w:t>
      </w:r>
      <w:r w:rsidR="009433D3" w:rsidRPr="000345CA">
        <w:rPr>
          <w:b/>
          <w:i/>
        </w:rPr>
        <w:t xml:space="preserve">AEMPs </w:t>
      </w:r>
      <w:r w:rsidRPr="000345CA">
        <w:t>means the sum of</w:t>
      </w:r>
      <w:r w:rsidR="00925FF3" w:rsidRPr="000345CA">
        <w:t>:</w:t>
      </w:r>
    </w:p>
    <w:p w14:paraId="46B4FA1B" w14:textId="77777777" w:rsidR="00937AFA" w:rsidRPr="000345CA" w:rsidRDefault="00F6474E" w:rsidP="00F6474E">
      <w:pPr>
        <w:pStyle w:val="paragraph"/>
      </w:pPr>
      <w:r w:rsidRPr="000345CA">
        <w:tab/>
        <w:t>(a)</w:t>
      </w:r>
      <w:r w:rsidRPr="000345CA">
        <w:tab/>
      </w:r>
      <w:r w:rsidR="00BF231D" w:rsidRPr="000345CA">
        <w:t xml:space="preserve">the </w:t>
      </w:r>
      <w:r w:rsidR="008E44F8" w:rsidRPr="000345CA">
        <w:t>approved ex</w:t>
      </w:r>
      <w:r w:rsidR="000345CA">
        <w:noBreakHyphen/>
      </w:r>
      <w:r w:rsidR="008E44F8" w:rsidRPr="000345CA">
        <w:t>manufacturer price</w:t>
      </w:r>
      <w:r w:rsidR="00D81C7D" w:rsidRPr="000345CA">
        <w:t>s</w:t>
      </w:r>
      <w:r w:rsidR="008E44F8" w:rsidRPr="000345CA">
        <w:t xml:space="preserve">, on the reduction day, of </w:t>
      </w:r>
      <w:r w:rsidR="000F0108" w:rsidRPr="000345CA">
        <w:t>any one br</w:t>
      </w:r>
      <w:r w:rsidR="00F82BAC" w:rsidRPr="000345CA">
        <w:t xml:space="preserve">and of </w:t>
      </w:r>
      <w:r w:rsidR="008E44F8" w:rsidRPr="000345CA">
        <w:t xml:space="preserve">each of the listed component </w:t>
      </w:r>
      <w:r w:rsidR="00C52E0C" w:rsidRPr="000345CA">
        <w:t>items</w:t>
      </w:r>
      <w:r w:rsidR="000C6A7F" w:rsidRPr="000345CA">
        <w:t xml:space="preserve">, </w:t>
      </w:r>
      <w:r w:rsidR="007A56AF" w:rsidRPr="000345CA">
        <w:t>adjusted</w:t>
      </w:r>
      <w:r w:rsidR="000C6A7F" w:rsidRPr="000345CA">
        <w:t xml:space="preserve"> in accordance with </w:t>
      </w:r>
      <w:r w:rsidR="001B121A" w:rsidRPr="000345CA">
        <w:t>subsection (</w:t>
      </w:r>
      <w:r w:rsidR="000C6A7F" w:rsidRPr="000345CA">
        <w:t>3)</w:t>
      </w:r>
      <w:r w:rsidRPr="000345CA">
        <w:t>; and</w:t>
      </w:r>
    </w:p>
    <w:p w14:paraId="27EBB241" w14:textId="77777777" w:rsidR="00F6474E" w:rsidRPr="000345CA" w:rsidRDefault="00F6474E" w:rsidP="00F6474E">
      <w:pPr>
        <w:pStyle w:val="paragraph"/>
      </w:pPr>
      <w:r w:rsidRPr="000345CA">
        <w:tab/>
        <w:t>(b)</w:t>
      </w:r>
      <w:r w:rsidRPr="000345CA">
        <w:tab/>
      </w:r>
      <w:r w:rsidR="00DA467C" w:rsidRPr="000345CA">
        <w:t xml:space="preserve">if the combination item includes one or more </w:t>
      </w:r>
      <w:r w:rsidR="001F1F6D" w:rsidRPr="000345CA">
        <w:t>component drugs that are not listed component drugs</w:t>
      </w:r>
      <w:r w:rsidR="00DA467C" w:rsidRPr="000345CA">
        <w:t>—</w:t>
      </w:r>
      <w:r w:rsidR="00ED0B2D" w:rsidRPr="000345CA">
        <w:t xml:space="preserve">the </w:t>
      </w:r>
      <w:r w:rsidR="00BD098E" w:rsidRPr="000345CA">
        <w:t>non</w:t>
      </w:r>
      <w:r w:rsidR="000345CA">
        <w:noBreakHyphen/>
      </w:r>
      <w:r w:rsidR="00BD098E" w:rsidRPr="000345CA">
        <w:t>listed component price</w:t>
      </w:r>
      <w:r w:rsidR="00ED0B2D" w:rsidRPr="000345CA">
        <w:t xml:space="preserve"> </w:t>
      </w:r>
      <w:r w:rsidR="00E73047" w:rsidRPr="000345CA">
        <w:t xml:space="preserve">multiplied by the </w:t>
      </w:r>
      <w:r w:rsidR="00F82BAC" w:rsidRPr="000345CA">
        <w:t xml:space="preserve">differential </w:t>
      </w:r>
      <w:r w:rsidR="00E73047" w:rsidRPr="000345CA">
        <w:t>reduction percentage</w:t>
      </w:r>
      <w:r w:rsidR="002867DC" w:rsidRPr="000345CA">
        <w:t>.</w:t>
      </w:r>
    </w:p>
    <w:p w14:paraId="1822364A" w14:textId="77777777" w:rsidR="00DF5073" w:rsidRPr="000345CA" w:rsidRDefault="00C11EA4" w:rsidP="00ED0B2D">
      <w:pPr>
        <w:pStyle w:val="subsection"/>
      </w:pPr>
      <w:r w:rsidRPr="000345CA">
        <w:tab/>
        <w:t>(3)</w:t>
      </w:r>
      <w:r w:rsidRPr="000345CA">
        <w:tab/>
        <w:t xml:space="preserve">For the purposes of </w:t>
      </w:r>
      <w:r w:rsidR="00B374C0" w:rsidRPr="000345CA">
        <w:t>the definition</w:t>
      </w:r>
      <w:r w:rsidR="00AA0E83" w:rsidRPr="000345CA">
        <w:t>s</w:t>
      </w:r>
      <w:r w:rsidR="00B374C0" w:rsidRPr="000345CA">
        <w:t xml:space="preserve"> of </w:t>
      </w:r>
      <w:r w:rsidR="00B374C0" w:rsidRPr="000345CA">
        <w:rPr>
          <w:b/>
          <w:i/>
        </w:rPr>
        <w:t>day before component AEMPs</w:t>
      </w:r>
      <w:r w:rsidR="00FA514B" w:rsidRPr="000345CA">
        <w:t xml:space="preserve">, </w:t>
      </w:r>
      <w:r w:rsidR="00FA514B" w:rsidRPr="000345CA">
        <w:rPr>
          <w:b/>
          <w:i/>
        </w:rPr>
        <w:t>non</w:t>
      </w:r>
      <w:r w:rsidR="000345CA">
        <w:rPr>
          <w:b/>
          <w:i/>
        </w:rPr>
        <w:noBreakHyphen/>
      </w:r>
      <w:r w:rsidR="00FA514B" w:rsidRPr="000345CA">
        <w:rPr>
          <w:b/>
          <w:i/>
        </w:rPr>
        <w:t>listed component price</w:t>
      </w:r>
      <w:r w:rsidR="00FA514B" w:rsidRPr="000345CA">
        <w:t xml:space="preserve"> and</w:t>
      </w:r>
      <w:r w:rsidR="00AA0E83" w:rsidRPr="000345CA">
        <w:t xml:space="preserve"> </w:t>
      </w:r>
      <w:r w:rsidR="00AA0E83" w:rsidRPr="000345CA">
        <w:rPr>
          <w:b/>
          <w:i/>
        </w:rPr>
        <w:t>reduction day component AEMPs</w:t>
      </w:r>
      <w:r w:rsidR="00AA0E83" w:rsidRPr="000345CA">
        <w:t xml:space="preserve"> </w:t>
      </w:r>
      <w:r w:rsidR="008A49BA" w:rsidRPr="000345CA">
        <w:t xml:space="preserve">in </w:t>
      </w:r>
      <w:r w:rsidR="001B121A" w:rsidRPr="000345CA">
        <w:t>subsection (</w:t>
      </w:r>
      <w:r w:rsidRPr="000345CA">
        <w:t xml:space="preserve">2), </w:t>
      </w:r>
      <w:r w:rsidR="00C3002F" w:rsidRPr="000345CA">
        <w:t>adjust the approved ex</w:t>
      </w:r>
      <w:r w:rsidR="000345CA">
        <w:noBreakHyphen/>
      </w:r>
      <w:r w:rsidR="00C3002F" w:rsidRPr="000345CA">
        <w:t xml:space="preserve">manufacturer price of </w:t>
      </w:r>
      <w:r w:rsidR="007A56AF" w:rsidRPr="000345CA">
        <w:t>a</w:t>
      </w:r>
      <w:r w:rsidR="00B42B1F" w:rsidRPr="000345CA">
        <w:t xml:space="preserve"> brand of a</w:t>
      </w:r>
      <w:r w:rsidR="007A56AF" w:rsidRPr="000345CA">
        <w:t xml:space="preserve"> listed component </w:t>
      </w:r>
      <w:r w:rsidR="00C3002F" w:rsidRPr="000345CA">
        <w:t>item so that the value attributed to the listed component drug in the combination item reflects</w:t>
      </w:r>
      <w:r w:rsidR="00DF5073" w:rsidRPr="000345CA">
        <w:t>:</w:t>
      </w:r>
    </w:p>
    <w:p w14:paraId="73898414" w14:textId="77777777" w:rsidR="00DF5073" w:rsidRPr="000345CA" w:rsidRDefault="00DF5073" w:rsidP="00DF5073">
      <w:pPr>
        <w:pStyle w:val="paragraph"/>
      </w:pPr>
      <w:r w:rsidRPr="000345CA">
        <w:tab/>
        <w:t>(a)</w:t>
      </w:r>
      <w:r w:rsidRPr="000345CA">
        <w:tab/>
      </w:r>
      <w:r w:rsidR="00C3002F" w:rsidRPr="000345CA">
        <w:t>any difference in quantity or amount</w:t>
      </w:r>
      <w:r w:rsidRPr="000345CA">
        <w:t>;</w:t>
      </w:r>
      <w:r w:rsidR="007A56AF" w:rsidRPr="000345CA">
        <w:t xml:space="preserve"> and</w:t>
      </w:r>
    </w:p>
    <w:p w14:paraId="7D9CF33D" w14:textId="77777777" w:rsidR="00DF5073" w:rsidRPr="000345CA" w:rsidRDefault="00DF5073" w:rsidP="00DF5073">
      <w:pPr>
        <w:pStyle w:val="paragraph"/>
      </w:pPr>
      <w:r w:rsidRPr="000345CA">
        <w:tab/>
        <w:t>(b)</w:t>
      </w:r>
      <w:r w:rsidRPr="000345CA">
        <w:tab/>
      </w:r>
      <w:r w:rsidR="007A56AF" w:rsidRPr="000345CA">
        <w:t>any difference in pricing quantity</w:t>
      </w:r>
      <w:r w:rsidRPr="000345CA">
        <w:t>;</w:t>
      </w:r>
    </w:p>
    <w:p w14:paraId="092C74A8" w14:textId="77777777" w:rsidR="008E707B" w:rsidRPr="000345CA" w:rsidRDefault="007A56AF" w:rsidP="00DF5073">
      <w:pPr>
        <w:pStyle w:val="subsection2"/>
      </w:pPr>
      <w:r w:rsidRPr="000345CA">
        <w:t>of the listed component drug</w:t>
      </w:r>
      <w:r w:rsidR="00C3002F" w:rsidRPr="000345CA">
        <w:t xml:space="preserve"> in the listed component item</w:t>
      </w:r>
      <w:r w:rsidRPr="000345CA">
        <w:t>.</w:t>
      </w:r>
    </w:p>
    <w:p w14:paraId="09841080" w14:textId="77777777" w:rsidR="00CA32FA" w:rsidRPr="000345CA" w:rsidRDefault="009433D3" w:rsidP="00ED0B2D">
      <w:pPr>
        <w:pStyle w:val="subsection"/>
      </w:pPr>
      <w:r w:rsidRPr="000345CA">
        <w:tab/>
        <w:t>(4)</w:t>
      </w:r>
      <w:r w:rsidRPr="000345CA">
        <w:tab/>
        <w:t xml:space="preserve">For the purposes of </w:t>
      </w:r>
      <w:r w:rsidR="001B121A" w:rsidRPr="000345CA">
        <w:t>paragraph (</w:t>
      </w:r>
      <w:r w:rsidRPr="000345CA">
        <w:t>c) of the defin</w:t>
      </w:r>
      <w:r w:rsidR="00B374C0" w:rsidRPr="000345CA">
        <w:t xml:space="preserve">ition of </w:t>
      </w:r>
      <w:r w:rsidR="00B374C0" w:rsidRPr="000345CA">
        <w:rPr>
          <w:b/>
          <w:i/>
        </w:rPr>
        <w:t>listed component item</w:t>
      </w:r>
      <w:r w:rsidR="00B374C0" w:rsidRPr="000345CA">
        <w:t xml:space="preserve"> in </w:t>
      </w:r>
      <w:r w:rsidR="001B121A" w:rsidRPr="000345CA">
        <w:t>subsection (</w:t>
      </w:r>
      <w:r w:rsidR="00B374C0" w:rsidRPr="000345CA">
        <w:t>2), if there is more than one pharmaceutical item that has the smallest difference as referred to in that paragraph, the pharmaceutical item that</w:t>
      </w:r>
      <w:r w:rsidR="00CA32FA" w:rsidRPr="000345CA">
        <w:t>:</w:t>
      </w:r>
    </w:p>
    <w:p w14:paraId="2A79AC35" w14:textId="77777777" w:rsidR="00CA32FA" w:rsidRPr="000345CA" w:rsidRDefault="00CA32FA" w:rsidP="00CA32FA">
      <w:pPr>
        <w:pStyle w:val="paragraph"/>
      </w:pPr>
      <w:r w:rsidRPr="000345CA">
        <w:tab/>
        <w:t>(a)</w:t>
      </w:r>
      <w:r w:rsidRPr="000345CA">
        <w:tab/>
        <w:t>is not an exempt item; and</w:t>
      </w:r>
    </w:p>
    <w:p w14:paraId="18D03F74" w14:textId="77777777" w:rsidR="00CA32FA" w:rsidRPr="000345CA" w:rsidRDefault="00CA32FA" w:rsidP="00CA32FA">
      <w:pPr>
        <w:pStyle w:val="paragraph"/>
      </w:pPr>
      <w:r w:rsidRPr="000345CA">
        <w:tab/>
        <w:t>(b)</w:t>
      </w:r>
      <w:r w:rsidRPr="000345CA">
        <w:tab/>
      </w:r>
      <w:r w:rsidR="00B374C0" w:rsidRPr="000345CA">
        <w:t xml:space="preserve">results in the </w:t>
      </w:r>
      <w:r w:rsidRPr="000345CA">
        <w:t xml:space="preserve">smallest </w:t>
      </w:r>
      <w:r w:rsidR="00B374C0" w:rsidRPr="000345CA">
        <w:t xml:space="preserve">reduction </w:t>
      </w:r>
      <w:r w:rsidR="00057EF1" w:rsidRPr="000345CA">
        <w:t xml:space="preserve">under this section </w:t>
      </w:r>
      <w:r w:rsidR="00B374C0" w:rsidRPr="000345CA">
        <w:t>to the approved ex</w:t>
      </w:r>
      <w:r w:rsidR="000345CA">
        <w:noBreakHyphen/>
      </w:r>
      <w:r w:rsidR="00B374C0" w:rsidRPr="000345CA">
        <w:t xml:space="preserve">manufacturer price of </w:t>
      </w:r>
      <w:r w:rsidR="00B42B1F" w:rsidRPr="000345CA">
        <w:t xml:space="preserve">the brand of </w:t>
      </w:r>
      <w:r w:rsidR="00B374C0" w:rsidRPr="000345CA">
        <w:t>the combination item</w:t>
      </w:r>
      <w:r w:rsidRPr="000345CA">
        <w:t>;</w:t>
      </w:r>
    </w:p>
    <w:p w14:paraId="081F0296" w14:textId="77777777" w:rsidR="009433D3" w:rsidRPr="000345CA" w:rsidRDefault="00B374C0" w:rsidP="00CA32FA">
      <w:pPr>
        <w:pStyle w:val="subsection2"/>
      </w:pPr>
      <w:r w:rsidRPr="000345CA">
        <w:t xml:space="preserve">is taken to be the listed component item for the purposes of </w:t>
      </w:r>
      <w:r w:rsidR="007B625A" w:rsidRPr="000345CA">
        <w:t>this section</w:t>
      </w:r>
      <w:r w:rsidRPr="000345CA">
        <w:t>.</w:t>
      </w:r>
    </w:p>
    <w:p w14:paraId="28B2E5DF" w14:textId="77777777" w:rsidR="00DB2B05" w:rsidRPr="000345CA" w:rsidRDefault="00C84594" w:rsidP="00DB2B05">
      <w:pPr>
        <w:pStyle w:val="ItemHead"/>
      </w:pPr>
      <w:r w:rsidRPr="000345CA">
        <w:t>2</w:t>
      </w:r>
      <w:r w:rsidR="00DB2B05" w:rsidRPr="000345CA">
        <w:t xml:space="preserve">  At the end of </w:t>
      </w:r>
      <w:r w:rsidR="001B121A" w:rsidRPr="000345CA">
        <w:t>Part 7</w:t>
      </w:r>
    </w:p>
    <w:p w14:paraId="72296A62" w14:textId="77777777" w:rsidR="00DB2B05" w:rsidRPr="000345CA" w:rsidRDefault="00DB2B05" w:rsidP="00DB2B05">
      <w:pPr>
        <w:pStyle w:val="Item"/>
      </w:pPr>
      <w:r w:rsidRPr="000345CA">
        <w:t>Add:</w:t>
      </w:r>
    </w:p>
    <w:p w14:paraId="39E331A8" w14:textId="77777777" w:rsidR="00DB2B05" w:rsidRPr="000345CA" w:rsidRDefault="00DB2B05" w:rsidP="00DB2B05">
      <w:pPr>
        <w:pStyle w:val="ActHead4"/>
      </w:pPr>
      <w:bookmarkStart w:id="9" w:name="_Toc88818137"/>
      <w:r w:rsidRPr="00DF55EF">
        <w:rPr>
          <w:rStyle w:val="CharSubdNo"/>
        </w:rPr>
        <w:lastRenderedPageBreak/>
        <w:t>Subdivision E</w:t>
      </w:r>
      <w:r w:rsidRPr="000345CA">
        <w:t>—</w:t>
      </w:r>
      <w:r w:rsidRPr="00DF55EF">
        <w:rPr>
          <w:rStyle w:val="CharSubdText"/>
        </w:rPr>
        <w:t>Price reduction</w:t>
      </w:r>
      <w:bookmarkEnd w:id="9"/>
    </w:p>
    <w:p w14:paraId="5BF4BDD7" w14:textId="77777777" w:rsidR="00DB2B05" w:rsidRPr="000345CA" w:rsidRDefault="00DB2B05" w:rsidP="00DB2B05">
      <w:pPr>
        <w:pStyle w:val="ActHead5"/>
      </w:pPr>
      <w:bookmarkStart w:id="10" w:name="_Toc88818138"/>
      <w:r w:rsidRPr="00DF55EF">
        <w:rPr>
          <w:rStyle w:val="CharSectno"/>
        </w:rPr>
        <w:t>85A</w:t>
      </w:r>
      <w:r w:rsidRPr="000345CA">
        <w:t xml:space="preserve">  Flow on price reductions for brands of combination items</w:t>
      </w:r>
      <w:bookmarkEnd w:id="10"/>
    </w:p>
    <w:p w14:paraId="5723C9B4" w14:textId="77777777" w:rsidR="00DB2B05" w:rsidRPr="000345CA" w:rsidRDefault="00DB2B05" w:rsidP="00DB2B05">
      <w:pPr>
        <w:pStyle w:val="subsection"/>
      </w:pPr>
      <w:r w:rsidRPr="000345CA">
        <w:tab/>
        <w:t>(1)</w:t>
      </w:r>
      <w:r w:rsidRPr="000345CA">
        <w:tab/>
        <w:t xml:space="preserve">This section sets out, for the purposes of </w:t>
      </w:r>
      <w:r w:rsidR="001B121A" w:rsidRPr="000345CA">
        <w:t>subsection 9</w:t>
      </w:r>
      <w:r w:rsidRPr="000345CA">
        <w:t>9ADHB(2) of the Act, the method for calculating the reduced approved ex</w:t>
      </w:r>
      <w:r w:rsidR="000345CA">
        <w:noBreakHyphen/>
      </w:r>
      <w:r w:rsidRPr="000345CA">
        <w:t>manufacturer price of an existing brand of a combination item on the reduction day mentioned in that subsection.</w:t>
      </w:r>
    </w:p>
    <w:p w14:paraId="12FDEE1D" w14:textId="77777777" w:rsidR="00DB2B05" w:rsidRPr="000345CA" w:rsidRDefault="00DB2B05" w:rsidP="00DB2B05">
      <w:pPr>
        <w:pStyle w:val="subsection"/>
      </w:pPr>
      <w:r w:rsidRPr="000345CA">
        <w:tab/>
        <w:t>(2)</w:t>
      </w:r>
      <w:r w:rsidRPr="000345CA">
        <w:tab/>
        <w:t>The reduced approved ex</w:t>
      </w:r>
      <w:r w:rsidR="000345CA">
        <w:noBreakHyphen/>
      </w:r>
      <w:r w:rsidRPr="000345CA">
        <w:t>manufacturer price of the brand of the combination item is the amount worked out by the following formula:</w:t>
      </w:r>
    </w:p>
    <w:p w14:paraId="32A47B58" w14:textId="77777777" w:rsidR="00DB2B05" w:rsidRPr="000345CA" w:rsidRDefault="00DB2B05" w:rsidP="00DB2B05">
      <w:pPr>
        <w:pStyle w:val="subsection"/>
      </w:pPr>
      <w:r w:rsidRPr="000345CA">
        <w:tab/>
      </w:r>
      <w:r w:rsidR="003A5D2C">
        <w:tab/>
      </w:r>
      <w:r w:rsidR="00956103" w:rsidRPr="000345CA">
        <w:rPr>
          <w:position w:val="-54"/>
        </w:rPr>
        <w:object w:dxaOrig="3980" w:dyaOrig="1180" w14:anchorId="6AFF45C0">
          <v:shape id="_x0000_i1027" type="#_x0000_t75" alt="Start formula Reduction day component AEMPs times Day before combination item AEMP over Day before component AEMPs end formula" style="width:199.5pt;height:59.25pt;mso-position-horizontal:absolute" o:ole="">
            <v:imagedata r:id="rId23" o:title=""/>
          </v:shape>
          <o:OLEObject Type="Embed" ProgID="Equation.DSMT4" ShapeID="_x0000_i1027" DrawAspect="Content" ObjectID="_1701179552" r:id="rId24"/>
        </w:object>
      </w:r>
    </w:p>
    <w:p w14:paraId="6B1CAA45" w14:textId="07A0F4D6" w:rsidR="00DB2B05" w:rsidRPr="000345CA" w:rsidRDefault="005D156A" w:rsidP="00DB2B05">
      <w:pPr>
        <w:pStyle w:val="subsection"/>
      </w:pPr>
      <w:r>
        <w:rPr>
          <w:noProof/>
          <w:position w:val="-4"/>
        </w:rPr>
        <w:drawing>
          <wp:inline distT="0" distB="0" distL="0" distR="0" wp14:anchorId="5E23C51E" wp14:editId="135038D5">
            <wp:extent cx="104775"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00DB2B05" w:rsidRPr="000345CA">
        <w:tab/>
      </w:r>
      <w:r w:rsidR="00DB2B05" w:rsidRPr="000345CA">
        <w:tab/>
        <w:t>where:</w:t>
      </w:r>
    </w:p>
    <w:p w14:paraId="45BD07F6" w14:textId="77777777" w:rsidR="00DB2B05" w:rsidRPr="000345CA" w:rsidRDefault="00DB2B05" w:rsidP="00DB2B05">
      <w:pPr>
        <w:pStyle w:val="Definition"/>
        <w:rPr>
          <w:b/>
          <w:i/>
        </w:rPr>
      </w:pPr>
      <w:r w:rsidRPr="000345CA">
        <w:rPr>
          <w:b/>
          <w:i/>
        </w:rPr>
        <w:t>component drug</w:t>
      </w:r>
      <w:r w:rsidRPr="000345CA">
        <w:t>, in relation to a drug in a combination item, means a drug or medicinal preparation that is contained in that drug.</w:t>
      </w:r>
    </w:p>
    <w:p w14:paraId="7FE73B9C" w14:textId="77777777" w:rsidR="00DB2B05" w:rsidRPr="000345CA" w:rsidRDefault="00DB2B05" w:rsidP="00DB2B05">
      <w:pPr>
        <w:pStyle w:val="Definition"/>
      </w:pPr>
      <w:r w:rsidRPr="000345CA">
        <w:rPr>
          <w:b/>
          <w:i/>
        </w:rPr>
        <w:t xml:space="preserve">day before combination item AEMP </w:t>
      </w:r>
      <w:r w:rsidRPr="000345CA">
        <w:t>means the approved ex</w:t>
      </w:r>
      <w:r w:rsidR="000345CA">
        <w:noBreakHyphen/>
      </w:r>
      <w:r w:rsidRPr="000345CA">
        <w:t>manufacturer price of the brand of the combination item on the day before the reduction day.</w:t>
      </w:r>
    </w:p>
    <w:p w14:paraId="64E6C84E" w14:textId="77777777" w:rsidR="00DB2B05" w:rsidRPr="000345CA" w:rsidRDefault="00DB2B05" w:rsidP="00DB2B05">
      <w:pPr>
        <w:pStyle w:val="Definition"/>
      </w:pPr>
      <w:r w:rsidRPr="000345CA">
        <w:rPr>
          <w:b/>
          <w:i/>
        </w:rPr>
        <w:t xml:space="preserve">day before component AEMPs </w:t>
      </w:r>
      <w:r w:rsidRPr="000345CA">
        <w:t>means the sum of:</w:t>
      </w:r>
    </w:p>
    <w:p w14:paraId="049F4343" w14:textId="77777777" w:rsidR="00DB2B05" w:rsidRPr="000345CA" w:rsidRDefault="00DB2B05" w:rsidP="00DB2B05">
      <w:pPr>
        <w:pStyle w:val="paragraph"/>
      </w:pPr>
      <w:r w:rsidRPr="000345CA">
        <w:tab/>
        <w:t>(a)</w:t>
      </w:r>
      <w:r w:rsidRPr="000345CA">
        <w:tab/>
        <w:t>the approved ex</w:t>
      </w:r>
      <w:r w:rsidR="000345CA">
        <w:noBreakHyphen/>
      </w:r>
      <w:r w:rsidRPr="000345CA">
        <w:t xml:space="preserve">manufacturer prices, on the day before the reduction day, of any one brand of each of the listed component items, adjusted in accordance with </w:t>
      </w:r>
      <w:r w:rsidR="001B121A" w:rsidRPr="000345CA">
        <w:t>subsection (</w:t>
      </w:r>
      <w:r w:rsidRPr="000345CA">
        <w:t>3); and</w:t>
      </w:r>
    </w:p>
    <w:p w14:paraId="6CE41C88" w14:textId="77777777" w:rsidR="00DB2B05" w:rsidRPr="000345CA" w:rsidRDefault="00DB2B05" w:rsidP="00DB2B05">
      <w:pPr>
        <w:pStyle w:val="paragraph"/>
      </w:pPr>
      <w:r w:rsidRPr="000345CA">
        <w:tab/>
        <w:t>(b)</w:t>
      </w:r>
      <w:r w:rsidRPr="000345CA">
        <w:tab/>
        <w:t>if the combination item includes one or more component drugs that are not listed component drugs—the non</w:t>
      </w:r>
      <w:r w:rsidR="000345CA">
        <w:noBreakHyphen/>
      </w:r>
      <w:r w:rsidRPr="000345CA">
        <w:t>listed component price.</w:t>
      </w:r>
    </w:p>
    <w:p w14:paraId="06277A48" w14:textId="77777777" w:rsidR="00B233D9" w:rsidRPr="000345CA" w:rsidRDefault="00B233D9" w:rsidP="00B233D9">
      <w:pPr>
        <w:pStyle w:val="Definition"/>
      </w:pPr>
      <w:r w:rsidRPr="000345CA">
        <w:rPr>
          <w:b/>
          <w:i/>
        </w:rPr>
        <w:t>differential reduction percentage</w:t>
      </w:r>
      <w:r w:rsidRPr="000345CA">
        <w:t xml:space="preserve"> means:</w:t>
      </w:r>
    </w:p>
    <w:p w14:paraId="338ACCC9" w14:textId="77777777" w:rsidR="00B233D9" w:rsidRPr="000345CA" w:rsidRDefault="00B233D9" w:rsidP="00B233D9">
      <w:pPr>
        <w:pStyle w:val="paragraph"/>
      </w:pPr>
      <w:r w:rsidRPr="000345CA">
        <w:tab/>
        <w:t>(a)</w:t>
      </w:r>
      <w:r w:rsidRPr="000345CA">
        <w:tab/>
        <w:t>if there is only one listed component item for which the approved ex</w:t>
      </w:r>
      <w:r w:rsidR="000345CA">
        <w:noBreakHyphen/>
      </w:r>
      <w:r w:rsidRPr="000345CA">
        <w:t>manufacturer price of any one brand of the listed component item has been reduced under a provision in Division 3B of Part VII of the Act on the reduction day—the difference between 100% and the percentage by which the approved ex</w:t>
      </w:r>
      <w:r w:rsidR="000345CA">
        <w:noBreakHyphen/>
      </w:r>
      <w:r w:rsidRPr="000345CA">
        <w:t>manufacturer price of any one brand of the listed component item in the combination item has been so reduced; or</w:t>
      </w:r>
    </w:p>
    <w:p w14:paraId="6EDF106F" w14:textId="77777777" w:rsidR="00B233D9" w:rsidRPr="000345CA" w:rsidRDefault="00B233D9" w:rsidP="00DB2B05">
      <w:pPr>
        <w:pStyle w:val="paragraph"/>
      </w:pPr>
      <w:r w:rsidRPr="000345CA">
        <w:tab/>
        <w:t>(b)</w:t>
      </w:r>
      <w:r w:rsidRPr="000345CA">
        <w:tab/>
        <w:t xml:space="preserve">if there are </w:t>
      </w:r>
      <w:r w:rsidR="00DD3886" w:rsidRPr="000345CA">
        <w:t>2</w:t>
      </w:r>
      <w:r w:rsidRPr="000345CA">
        <w:t xml:space="preserve"> or more listed component items for which the approved ex</w:t>
      </w:r>
      <w:r w:rsidR="000345CA">
        <w:noBreakHyphen/>
      </w:r>
      <w:r w:rsidRPr="000345CA">
        <w:t>manufacturer price of any one brand of each of those listed component items has been reduced under a provision in Division 3B of Part VII of the Act on the reduction day—the difference between 100% and the average of the percentages by which the approved ex</w:t>
      </w:r>
      <w:r w:rsidR="000345CA">
        <w:noBreakHyphen/>
      </w:r>
      <w:r w:rsidRPr="000345CA">
        <w:t>manufacturer price of any one brand of each of those listed component items has been so reduced.</w:t>
      </w:r>
    </w:p>
    <w:p w14:paraId="7E867538" w14:textId="77777777" w:rsidR="00DB2B05" w:rsidRPr="000345CA" w:rsidRDefault="00DB2B05" w:rsidP="00DB2B05">
      <w:pPr>
        <w:pStyle w:val="Definition"/>
        <w:rPr>
          <w:b/>
          <w:i/>
        </w:rPr>
      </w:pPr>
      <w:r w:rsidRPr="000345CA">
        <w:rPr>
          <w:b/>
          <w:i/>
        </w:rPr>
        <w:t>listed component drug</w:t>
      </w:r>
      <w:r w:rsidRPr="000345CA">
        <w:t xml:space="preserve"> means a component drug in relation to which a declaration under </w:t>
      </w:r>
      <w:r w:rsidR="001B121A" w:rsidRPr="000345CA">
        <w:t>subsection 8</w:t>
      </w:r>
      <w:r w:rsidRPr="000345CA">
        <w:t>5(2) is in force.</w:t>
      </w:r>
    </w:p>
    <w:p w14:paraId="074BF223" w14:textId="77777777" w:rsidR="00DB2B05" w:rsidRPr="000345CA" w:rsidRDefault="00DB2B05" w:rsidP="00DB2B05">
      <w:pPr>
        <w:pStyle w:val="Definition"/>
      </w:pPr>
      <w:r w:rsidRPr="000345CA">
        <w:rPr>
          <w:b/>
          <w:i/>
        </w:rPr>
        <w:t>listed component item</w:t>
      </w:r>
      <w:r w:rsidRPr="000345CA">
        <w:t>, for each listed component drug that is in the combination item and in a non</w:t>
      </w:r>
      <w:r w:rsidR="000345CA">
        <w:noBreakHyphen/>
      </w:r>
      <w:r w:rsidRPr="000345CA">
        <w:t>combination item as mentioned in paragraph 99ADHB(1)(d) of the Act, means the pharmaceutical item that has:</w:t>
      </w:r>
    </w:p>
    <w:p w14:paraId="0794E7E2" w14:textId="77777777" w:rsidR="00DB2B05" w:rsidRPr="000345CA" w:rsidRDefault="00DB2B05" w:rsidP="00DB2B05">
      <w:pPr>
        <w:pStyle w:val="paragraph"/>
      </w:pPr>
      <w:r w:rsidRPr="000345CA">
        <w:tab/>
        <w:t>(a)</w:t>
      </w:r>
      <w:r w:rsidRPr="000345CA">
        <w:tab/>
        <w:t>the same listed component drug as the non</w:t>
      </w:r>
      <w:r w:rsidR="000345CA">
        <w:noBreakHyphen/>
      </w:r>
      <w:r w:rsidRPr="000345CA">
        <w:t>combination item; and</w:t>
      </w:r>
    </w:p>
    <w:p w14:paraId="7690814B" w14:textId="6AD5566F" w:rsidR="00DB2B05" w:rsidRPr="000345CA" w:rsidRDefault="00DB2B05" w:rsidP="00DB2B05">
      <w:pPr>
        <w:pStyle w:val="paragraph"/>
      </w:pPr>
      <w:r w:rsidRPr="000345CA">
        <w:lastRenderedPageBreak/>
        <w:tab/>
      </w:r>
      <w:r w:rsidR="005D156A">
        <w:rPr>
          <w:noProof/>
          <w:position w:val="-4"/>
        </w:rPr>
        <w:drawing>
          <wp:inline distT="0" distB="0" distL="0" distR="0" wp14:anchorId="1D4DFF2B" wp14:editId="12DE0793">
            <wp:extent cx="104775"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4775" cy="152400"/>
                    </a:xfrm>
                    <a:prstGeom prst="rect">
                      <a:avLst/>
                    </a:prstGeom>
                    <a:noFill/>
                    <a:ln>
                      <a:noFill/>
                    </a:ln>
                  </pic:spPr>
                </pic:pic>
              </a:graphicData>
            </a:graphic>
          </wp:inline>
        </w:drawing>
      </w:r>
      <w:r w:rsidRPr="000345CA">
        <w:t>(b)</w:t>
      </w:r>
      <w:r w:rsidRPr="000345CA">
        <w:tab/>
        <w:t xml:space="preserve">the same manner of administration as the combination item as referred to in </w:t>
      </w:r>
      <w:r w:rsidR="001B121A" w:rsidRPr="000345CA">
        <w:t>subsection 9</w:t>
      </w:r>
      <w:r w:rsidRPr="000345CA">
        <w:t>9ADHB(7) of the Act; and</w:t>
      </w:r>
    </w:p>
    <w:p w14:paraId="20BD234B" w14:textId="77777777" w:rsidR="00DB2B05" w:rsidRPr="000345CA" w:rsidRDefault="00DB2B05" w:rsidP="00DB2B05">
      <w:pPr>
        <w:pStyle w:val="paragraph"/>
      </w:pPr>
      <w:r w:rsidRPr="000345CA">
        <w:tab/>
        <w:t>(c)</w:t>
      </w:r>
      <w:r w:rsidRPr="000345CA">
        <w:tab/>
        <w:t xml:space="preserve">subject to </w:t>
      </w:r>
      <w:r w:rsidR="001B121A" w:rsidRPr="000345CA">
        <w:t>subsection (</w:t>
      </w:r>
      <w:r w:rsidRPr="000345CA">
        <w:t>4) of this section, the smallest difference in the total quantity or amount of the listed component drug contained in the quantity or number of units in the pricing quantity of any one brand of the pharmaceutical item compared to the total quantity or amount of the listed component drug in the pricing quantity of the brand of the combination item.</w:t>
      </w:r>
    </w:p>
    <w:p w14:paraId="12FFB044" w14:textId="77777777" w:rsidR="00DB2B05" w:rsidRPr="000345CA" w:rsidRDefault="00DB2B05" w:rsidP="00DB2B05">
      <w:pPr>
        <w:pStyle w:val="Definition"/>
      </w:pPr>
      <w:r w:rsidRPr="000345CA">
        <w:rPr>
          <w:b/>
          <w:i/>
        </w:rPr>
        <w:t>non</w:t>
      </w:r>
      <w:r w:rsidR="000345CA">
        <w:rPr>
          <w:b/>
          <w:i/>
        </w:rPr>
        <w:noBreakHyphen/>
      </w:r>
      <w:r w:rsidRPr="000345CA">
        <w:rPr>
          <w:b/>
          <w:i/>
        </w:rPr>
        <w:t>listed component price</w:t>
      </w:r>
      <w:r w:rsidRPr="000345CA">
        <w:t xml:space="preserve"> means the day before combination item AEMP reduced (but not below zero) by the sum of the approved ex</w:t>
      </w:r>
      <w:r w:rsidR="000345CA">
        <w:noBreakHyphen/>
      </w:r>
      <w:r w:rsidRPr="000345CA">
        <w:t xml:space="preserve">manufacturer prices, on the day before the reduction day, of any one brand of each of the listed component items, adjusted in accordance with </w:t>
      </w:r>
      <w:r w:rsidR="001B121A" w:rsidRPr="000345CA">
        <w:t>subsection (</w:t>
      </w:r>
      <w:r w:rsidRPr="000345CA">
        <w:t>3).</w:t>
      </w:r>
    </w:p>
    <w:p w14:paraId="7619E722" w14:textId="77777777" w:rsidR="00DB2B05" w:rsidRPr="000345CA" w:rsidRDefault="00DB2B05" w:rsidP="00DB2B05">
      <w:pPr>
        <w:pStyle w:val="Definition"/>
      </w:pPr>
      <w:r w:rsidRPr="000345CA">
        <w:rPr>
          <w:b/>
          <w:i/>
        </w:rPr>
        <w:t xml:space="preserve">reduction day component AEMPs </w:t>
      </w:r>
      <w:r w:rsidRPr="000345CA">
        <w:t>means the sum of:</w:t>
      </w:r>
    </w:p>
    <w:p w14:paraId="5AC4F9A9" w14:textId="77777777" w:rsidR="00DB2B05" w:rsidRPr="000345CA" w:rsidRDefault="00DB2B05" w:rsidP="00DB2B05">
      <w:pPr>
        <w:pStyle w:val="paragraph"/>
      </w:pPr>
      <w:r w:rsidRPr="000345CA">
        <w:tab/>
        <w:t>(a)</w:t>
      </w:r>
      <w:r w:rsidRPr="000345CA">
        <w:tab/>
        <w:t>the approved ex</w:t>
      </w:r>
      <w:r w:rsidR="000345CA">
        <w:noBreakHyphen/>
      </w:r>
      <w:r w:rsidRPr="000345CA">
        <w:t xml:space="preserve">manufacturer prices, on the reduction day, of any one brand of each of the listed component items, adjusted in accordance with </w:t>
      </w:r>
      <w:r w:rsidR="001B121A" w:rsidRPr="000345CA">
        <w:t>subsection (</w:t>
      </w:r>
      <w:r w:rsidRPr="000345CA">
        <w:t>3); and</w:t>
      </w:r>
    </w:p>
    <w:p w14:paraId="51AAC167" w14:textId="77777777" w:rsidR="00DB2B05" w:rsidRPr="000345CA" w:rsidRDefault="00DB2B05" w:rsidP="00DB2B05">
      <w:pPr>
        <w:pStyle w:val="paragraph"/>
      </w:pPr>
      <w:r w:rsidRPr="000345CA">
        <w:tab/>
        <w:t>(b)</w:t>
      </w:r>
      <w:r w:rsidRPr="000345CA">
        <w:tab/>
        <w:t>if the combination item includes one or more component drugs that are not listed component drugs—the non</w:t>
      </w:r>
      <w:r w:rsidR="000345CA">
        <w:noBreakHyphen/>
      </w:r>
      <w:r w:rsidRPr="000345CA">
        <w:t>listed component price multiplied by the differential reduction percentage.</w:t>
      </w:r>
    </w:p>
    <w:p w14:paraId="1ECA73AC" w14:textId="77777777" w:rsidR="00DB2B05" w:rsidRPr="000345CA" w:rsidRDefault="00DB2B05" w:rsidP="00DB2B05">
      <w:pPr>
        <w:pStyle w:val="subsection"/>
      </w:pPr>
      <w:r w:rsidRPr="000345CA">
        <w:tab/>
        <w:t>(3)</w:t>
      </w:r>
      <w:r w:rsidRPr="000345CA">
        <w:tab/>
        <w:t xml:space="preserve">For the purposes of the definitions of </w:t>
      </w:r>
      <w:r w:rsidRPr="000345CA">
        <w:rPr>
          <w:b/>
          <w:i/>
        </w:rPr>
        <w:t>day before component AEMPs</w:t>
      </w:r>
      <w:r w:rsidRPr="000345CA">
        <w:t xml:space="preserve">, </w:t>
      </w:r>
      <w:r w:rsidRPr="000345CA">
        <w:rPr>
          <w:b/>
          <w:i/>
        </w:rPr>
        <w:t>non</w:t>
      </w:r>
      <w:r w:rsidR="000345CA">
        <w:rPr>
          <w:b/>
          <w:i/>
        </w:rPr>
        <w:noBreakHyphen/>
      </w:r>
      <w:r w:rsidRPr="000345CA">
        <w:rPr>
          <w:b/>
          <w:i/>
        </w:rPr>
        <w:t>listed component price</w:t>
      </w:r>
      <w:r w:rsidRPr="000345CA">
        <w:t xml:space="preserve"> and </w:t>
      </w:r>
      <w:r w:rsidRPr="000345CA">
        <w:rPr>
          <w:b/>
          <w:i/>
        </w:rPr>
        <w:t>reduction day component AEMPs</w:t>
      </w:r>
      <w:r w:rsidRPr="000345CA">
        <w:t xml:space="preserve"> in </w:t>
      </w:r>
      <w:r w:rsidR="001B121A" w:rsidRPr="000345CA">
        <w:t>subsection (</w:t>
      </w:r>
      <w:r w:rsidRPr="000345CA">
        <w:t>2), adjust the approved ex</w:t>
      </w:r>
      <w:r w:rsidR="000345CA">
        <w:noBreakHyphen/>
      </w:r>
      <w:r w:rsidRPr="000345CA">
        <w:t>manufacturer price of a brand of a listed component item so that the value attributed to the listed component drug in the combination item reflects:</w:t>
      </w:r>
    </w:p>
    <w:p w14:paraId="57C44C7F" w14:textId="77777777" w:rsidR="00DB2B05" w:rsidRPr="000345CA" w:rsidRDefault="00DB2B05" w:rsidP="00DB2B05">
      <w:pPr>
        <w:pStyle w:val="paragraph"/>
      </w:pPr>
      <w:r w:rsidRPr="000345CA">
        <w:tab/>
        <w:t>(a)</w:t>
      </w:r>
      <w:r w:rsidRPr="000345CA">
        <w:tab/>
        <w:t>any difference in quantity or amount; and</w:t>
      </w:r>
    </w:p>
    <w:p w14:paraId="20B79B20" w14:textId="77777777" w:rsidR="00DB2B05" w:rsidRPr="000345CA" w:rsidRDefault="00DB2B05" w:rsidP="00DB2B05">
      <w:pPr>
        <w:pStyle w:val="paragraph"/>
      </w:pPr>
      <w:r w:rsidRPr="000345CA">
        <w:tab/>
        <w:t>(b)</w:t>
      </w:r>
      <w:r w:rsidRPr="000345CA">
        <w:tab/>
        <w:t>any difference in pricing quantity;</w:t>
      </w:r>
    </w:p>
    <w:p w14:paraId="3EC6DF2F" w14:textId="77777777" w:rsidR="00DB2B05" w:rsidRPr="000345CA" w:rsidRDefault="00DB2B05" w:rsidP="00DB2B05">
      <w:pPr>
        <w:pStyle w:val="subsection2"/>
      </w:pPr>
      <w:r w:rsidRPr="000345CA">
        <w:t>of the listed component drug in the listed component item.</w:t>
      </w:r>
    </w:p>
    <w:p w14:paraId="6E6CEFA1" w14:textId="77777777" w:rsidR="00DB2B05" w:rsidRPr="000345CA" w:rsidRDefault="00DB2B05" w:rsidP="00DB2B05">
      <w:pPr>
        <w:pStyle w:val="subsection"/>
      </w:pPr>
      <w:r w:rsidRPr="000345CA">
        <w:tab/>
        <w:t>(4)</w:t>
      </w:r>
      <w:r w:rsidRPr="000345CA">
        <w:tab/>
        <w:t xml:space="preserve">For the purposes of </w:t>
      </w:r>
      <w:r w:rsidR="001B121A" w:rsidRPr="000345CA">
        <w:t>paragraph (</w:t>
      </w:r>
      <w:r w:rsidRPr="000345CA">
        <w:t xml:space="preserve">c) of the definition of </w:t>
      </w:r>
      <w:r w:rsidRPr="000345CA">
        <w:rPr>
          <w:b/>
          <w:i/>
        </w:rPr>
        <w:t>listed component item</w:t>
      </w:r>
      <w:r w:rsidRPr="000345CA">
        <w:t xml:space="preserve"> in </w:t>
      </w:r>
      <w:r w:rsidR="001B121A" w:rsidRPr="000345CA">
        <w:t>subsection (</w:t>
      </w:r>
      <w:r w:rsidRPr="000345CA">
        <w:t>2), if there is more than one pharmaceutical item that has the smallest difference as referred to in that paragraph, the pharmaceutical item that:</w:t>
      </w:r>
    </w:p>
    <w:p w14:paraId="6431E05B" w14:textId="77777777" w:rsidR="00DB2B05" w:rsidRPr="000345CA" w:rsidRDefault="00DB2B05" w:rsidP="00DB2B05">
      <w:pPr>
        <w:pStyle w:val="paragraph"/>
      </w:pPr>
      <w:r w:rsidRPr="000345CA">
        <w:tab/>
        <w:t>(a)</w:t>
      </w:r>
      <w:r w:rsidRPr="000345CA">
        <w:tab/>
        <w:t>is not an exempt item; and</w:t>
      </w:r>
    </w:p>
    <w:p w14:paraId="68790069" w14:textId="77777777" w:rsidR="00DB2B05" w:rsidRPr="000345CA" w:rsidRDefault="00DB2B05" w:rsidP="00DB2B05">
      <w:pPr>
        <w:pStyle w:val="paragraph"/>
      </w:pPr>
      <w:r w:rsidRPr="000345CA">
        <w:tab/>
        <w:t>(b)</w:t>
      </w:r>
      <w:r w:rsidRPr="000345CA">
        <w:tab/>
        <w:t>results in the smallest reduction under this section to the approved ex</w:t>
      </w:r>
      <w:r w:rsidR="000345CA">
        <w:noBreakHyphen/>
      </w:r>
      <w:r w:rsidRPr="000345CA">
        <w:t>manufacturer price of the brand of the combination item;</w:t>
      </w:r>
    </w:p>
    <w:p w14:paraId="0511B7EE" w14:textId="77777777" w:rsidR="00DB2B05" w:rsidRPr="000345CA" w:rsidRDefault="00DB2B05" w:rsidP="00DB2B05">
      <w:pPr>
        <w:pStyle w:val="subsection2"/>
      </w:pPr>
      <w:r w:rsidRPr="000345CA">
        <w:t xml:space="preserve">is taken to be the listed component item for the purposes of </w:t>
      </w:r>
      <w:r w:rsidR="007B625A" w:rsidRPr="000345CA">
        <w:t>this section</w:t>
      </w:r>
      <w:r w:rsidRPr="000345CA">
        <w:t>.</w:t>
      </w:r>
    </w:p>
    <w:p w14:paraId="13C9DBA3" w14:textId="77777777" w:rsidR="00B14883" w:rsidRPr="000345CA" w:rsidRDefault="00C84594" w:rsidP="00B14883">
      <w:pPr>
        <w:pStyle w:val="ItemHead"/>
      </w:pPr>
      <w:r w:rsidRPr="000345CA">
        <w:t>3</w:t>
      </w:r>
      <w:r w:rsidR="00B14883" w:rsidRPr="000345CA">
        <w:t xml:space="preserve">  At the end of Part 9</w:t>
      </w:r>
    </w:p>
    <w:p w14:paraId="41FBBC34" w14:textId="77777777" w:rsidR="00B14883" w:rsidRPr="000345CA" w:rsidRDefault="00B14883" w:rsidP="00B14883">
      <w:pPr>
        <w:pStyle w:val="Item"/>
      </w:pPr>
      <w:r w:rsidRPr="000345CA">
        <w:t>Add:</w:t>
      </w:r>
    </w:p>
    <w:p w14:paraId="716FF55F" w14:textId="77777777" w:rsidR="00B14883" w:rsidRPr="000345CA" w:rsidRDefault="00B14883" w:rsidP="00B14883">
      <w:pPr>
        <w:pStyle w:val="ActHead5"/>
      </w:pPr>
      <w:bookmarkStart w:id="11" w:name="_Toc88818139"/>
      <w:r w:rsidRPr="00DF55EF">
        <w:rPr>
          <w:rStyle w:val="CharSectno"/>
        </w:rPr>
        <w:t>103</w:t>
      </w:r>
      <w:r w:rsidRPr="000345CA">
        <w:t xml:space="preserve">  Application provision relating to the </w:t>
      </w:r>
      <w:r w:rsidRPr="000345CA">
        <w:rPr>
          <w:i/>
        </w:rPr>
        <w:t xml:space="preserve">National Health (Pharmaceutical Benefits) Amendment (2021 Measures No. 1) </w:t>
      </w:r>
      <w:r w:rsidR="000345CA" w:rsidRPr="000345CA">
        <w:rPr>
          <w:i/>
        </w:rPr>
        <w:t>Regulations 2</w:t>
      </w:r>
      <w:r w:rsidRPr="000345CA">
        <w:rPr>
          <w:i/>
        </w:rPr>
        <w:t>021</w:t>
      </w:r>
      <w:bookmarkEnd w:id="11"/>
    </w:p>
    <w:p w14:paraId="6F253F96" w14:textId="77777777" w:rsidR="00B14883" w:rsidRPr="000345CA" w:rsidRDefault="00B14883" w:rsidP="00B14883">
      <w:pPr>
        <w:pStyle w:val="subsection"/>
      </w:pPr>
      <w:r w:rsidRPr="000345CA">
        <w:tab/>
      </w:r>
      <w:r w:rsidRPr="000345CA">
        <w:tab/>
        <w:t xml:space="preserve">Sections 65A and 85A, as inserted by </w:t>
      </w:r>
      <w:r w:rsidR="001B121A" w:rsidRPr="000345CA">
        <w:t>Part 1</w:t>
      </w:r>
      <w:r w:rsidR="00DB6F4A" w:rsidRPr="000345CA">
        <w:t xml:space="preserve"> of </w:t>
      </w:r>
      <w:r w:rsidR="001B121A" w:rsidRPr="000345CA">
        <w:t>Schedule 1</w:t>
      </w:r>
      <w:r w:rsidRPr="000345CA">
        <w:t xml:space="preserve"> to the </w:t>
      </w:r>
      <w:r w:rsidRPr="000345CA">
        <w:rPr>
          <w:i/>
        </w:rPr>
        <w:t xml:space="preserve">National Health (Pharmaceutical Benefits) Amendment (2021 Measures No. 1) </w:t>
      </w:r>
      <w:r w:rsidR="000345CA" w:rsidRPr="000345CA">
        <w:rPr>
          <w:i/>
        </w:rPr>
        <w:t>Regulations 2</w:t>
      </w:r>
      <w:r w:rsidRPr="000345CA">
        <w:rPr>
          <w:i/>
        </w:rPr>
        <w:t>021</w:t>
      </w:r>
      <w:r w:rsidRPr="000345CA">
        <w:t xml:space="preserve">, apply in relation to reduction days occurring on or after </w:t>
      </w:r>
      <w:r w:rsidR="001B121A" w:rsidRPr="000345CA">
        <w:t>1 July</w:t>
      </w:r>
      <w:r w:rsidRPr="000345CA">
        <w:t xml:space="preserve"> 2022.</w:t>
      </w:r>
    </w:p>
    <w:p w14:paraId="030543EC" w14:textId="77777777" w:rsidR="00DB2B05" w:rsidRPr="000345CA" w:rsidRDefault="001B121A" w:rsidP="00DB2B05">
      <w:pPr>
        <w:pStyle w:val="ActHead7"/>
        <w:pageBreakBefore/>
      </w:pPr>
      <w:bookmarkStart w:id="12" w:name="_Toc88818140"/>
      <w:r w:rsidRPr="00DF55EF">
        <w:rPr>
          <w:rStyle w:val="CharAmPartNo"/>
        </w:rPr>
        <w:lastRenderedPageBreak/>
        <w:t>Part 2</w:t>
      </w:r>
      <w:r w:rsidR="00DB2B05" w:rsidRPr="000345CA">
        <w:t>—</w:t>
      </w:r>
      <w:r w:rsidR="00DB2B05" w:rsidRPr="00DF55EF">
        <w:rPr>
          <w:rStyle w:val="CharAmPartText"/>
        </w:rPr>
        <w:t xml:space="preserve">Amendments commencing </w:t>
      </w:r>
      <w:r w:rsidRPr="00DF55EF">
        <w:rPr>
          <w:rStyle w:val="CharAmPartText"/>
        </w:rPr>
        <w:t>1 October</w:t>
      </w:r>
      <w:r w:rsidR="00DB2B05" w:rsidRPr="00DF55EF">
        <w:rPr>
          <w:rStyle w:val="CharAmPartText"/>
        </w:rPr>
        <w:t xml:space="preserve"> 2022</w:t>
      </w:r>
      <w:bookmarkEnd w:id="12"/>
    </w:p>
    <w:p w14:paraId="7C0B73E5" w14:textId="77777777" w:rsidR="00DB2B05" w:rsidRPr="000345CA" w:rsidRDefault="00DB2B05" w:rsidP="00DB2B05">
      <w:pPr>
        <w:pStyle w:val="ActHead9"/>
      </w:pPr>
      <w:bookmarkStart w:id="13" w:name="_Toc88818141"/>
      <w:r w:rsidRPr="000345CA">
        <w:t xml:space="preserve">National Health (Pharmaceutical Benefits) </w:t>
      </w:r>
      <w:r w:rsidR="000345CA" w:rsidRPr="000345CA">
        <w:t>Regulations 2</w:t>
      </w:r>
      <w:r w:rsidRPr="000345CA">
        <w:t>017</w:t>
      </w:r>
      <w:bookmarkEnd w:id="13"/>
    </w:p>
    <w:p w14:paraId="5E6A1D1D" w14:textId="77777777" w:rsidR="00DB2B05" w:rsidRPr="000345CA" w:rsidRDefault="00C84594" w:rsidP="00DB2B05">
      <w:pPr>
        <w:pStyle w:val="ItemHead"/>
      </w:pPr>
      <w:r w:rsidRPr="000345CA">
        <w:t>4</w:t>
      </w:r>
      <w:r w:rsidR="00DB2B05" w:rsidRPr="000345CA">
        <w:t xml:space="preserve">  Paragraph 84(1)(b)</w:t>
      </w:r>
    </w:p>
    <w:p w14:paraId="27EBDB4C" w14:textId="77777777" w:rsidR="00DB2B05" w:rsidRPr="000345CA" w:rsidRDefault="00DB2B05" w:rsidP="00DB2B05">
      <w:pPr>
        <w:pStyle w:val="Item"/>
      </w:pPr>
      <w:r w:rsidRPr="000345CA">
        <w:t>Repeal the paragraph, substitute:</w:t>
      </w:r>
    </w:p>
    <w:p w14:paraId="1E48AC75" w14:textId="77777777" w:rsidR="00DB2B05" w:rsidRPr="000345CA" w:rsidRDefault="00DB2B05" w:rsidP="00DB2B05">
      <w:pPr>
        <w:pStyle w:val="paragraph"/>
      </w:pPr>
      <w:r w:rsidRPr="000345CA">
        <w:tab/>
        <w:t>(b)</w:t>
      </w:r>
      <w:r w:rsidRPr="000345CA">
        <w:tab/>
        <w:t>at the end of the previous data collection period either:</w:t>
      </w:r>
    </w:p>
    <w:p w14:paraId="650CC0AB" w14:textId="77777777" w:rsidR="00DB2B05" w:rsidRPr="000345CA" w:rsidRDefault="00DB2B05" w:rsidP="00DB2B05">
      <w:pPr>
        <w:pStyle w:val="paragraphsub"/>
      </w:pPr>
      <w:r w:rsidRPr="000345CA">
        <w:tab/>
        <w:t>(i)</w:t>
      </w:r>
      <w:r w:rsidRPr="000345CA">
        <w:tab/>
        <w:t xml:space="preserve">the drug in the WADP brand had been on F2 for at least 18 months and during that period there has been no price reduction under </w:t>
      </w:r>
      <w:r w:rsidR="001B121A" w:rsidRPr="000345CA">
        <w:t>Division 3</w:t>
      </w:r>
      <w:r w:rsidRPr="000345CA">
        <w:t xml:space="preserve">B of </w:t>
      </w:r>
      <w:r w:rsidR="001B121A" w:rsidRPr="000345CA">
        <w:t>Part V</w:t>
      </w:r>
      <w:r w:rsidRPr="000345CA">
        <w:t>II of the Act to any brand of pharmaceutical item that has the same drug and manner of administration as the WADP brand; or</w:t>
      </w:r>
    </w:p>
    <w:p w14:paraId="35485ADB" w14:textId="77777777" w:rsidR="00DB2B05" w:rsidRPr="000345CA" w:rsidRDefault="00DB2B05" w:rsidP="00DB2B05">
      <w:pPr>
        <w:pStyle w:val="paragraphsub"/>
      </w:pPr>
      <w:r w:rsidRPr="000345CA">
        <w:tab/>
        <w:t>(ii)</w:t>
      </w:r>
      <w:r w:rsidRPr="000345CA">
        <w:tab/>
        <w:t>the drug in the WADP brand had been on F2 for at least 30 months; and</w:t>
      </w:r>
    </w:p>
    <w:p w14:paraId="33D24B44" w14:textId="77777777" w:rsidR="00DB2B05" w:rsidRPr="000345CA" w:rsidRDefault="00C84594" w:rsidP="00DB2B05">
      <w:pPr>
        <w:pStyle w:val="ItemHead"/>
      </w:pPr>
      <w:r w:rsidRPr="000345CA">
        <w:t>5</w:t>
      </w:r>
      <w:r w:rsidR="00DB2B05" w:rsidRPr="000345CA">
        <w:t xml:space="preserve">  Paragraph 84(1)(c)</w:t>
      </w:r>
    </w:p>
    <w:p w14:paraId="259E4306" w14:textId="77777777" w:rsidR="00DB2B05" w:rsidRPr="000345CA" w:rsidRDefault="00DB2B05" w:rsidP="00DB2B05">
      <w:pPr>
        <w:pStyle w:val="Item"/>
      </w:pPr>
      <w:r w:rsidRPr="000345CA">
        <w:t xml:space="preserve">Omit “at least 30 months”, substitute “at least as many months as mentioned in </w:t>
      </w:r>
      <w:r w:rsidR="001B121A" w:rsidRPr="000345CA">
        <w:t>subparagraph (</w:t>
      </w:r>
      <w:r w:rsidRPr="000345CA">
        <w:t>b)(i) or (ii) (whichever is applicable)”.</w:t>
      </w:r>
    </w:p>
    <w:p w14:paraId="437E166B" w14:textId="77777777" w:rsidR="00DB6F4A" w:rsidRPr="000345CA" w:rsidRDefault="00C84594" w:rsidP="00DB6F4A">
      <w:pPr>
        <w:pStyle w:val="ItemHead"/>
      </w:pPr>
      <w:r w:rsidRPr="000345CA">
        <w:t>6</w:t>
      </w:r>
      <w:r w:rsidR="00DB6F4A" w:rsidRPr="000345CA">
        <w:t xml:space="preserve">  </w:t>
      </w:r>
      <w:r w:rsidR="001B121A" w:rsidRPr="000345CA">
        <w:t>Section 1</w:t>
      </w:r>
      <w:r w:rsidR="00DB6F4A" w:rsidRPr="000345CA">
        <w:t>03</w:t>
      </w:r>
    </w:p>
    <w:p w14:paraId="572EED86" w14:textId="77777777" w:rsidR="00DB6F4A" w:rsidRPr="000345CA" w:rsidRDefault="00DB6F4A" w:rsidP="00DB6F4A">
      <w:pPr>
        <w:pStyle w:val="Item"/>
      </w:pPr>
      <w:r w:rsidRPr="000345CA">
        <w:t>Before “Sections”, insert “(1)”.</w:t>
      </w:r>
    </w:p>
    <w:p w14:paraId="3E5B01AD" w14:textId="77777777" w:rsidR="00DB6F4A" w:rsidRPr="000345CA" w:rsidRDefault="00C84594" w:rsidP="00DB6F4A">
      <w:pPr>
        <w:pStyle w:val="ItemHead"/>
      </w:pPr>
      <w:r w:rsidRPr="000345CA">
        <w:t>7</w:t>
      </w:r>
      <w:r w:rsidR="00DB6F4A" w:rsidRPr="000345CA">
        <w:t xml:space="preserve">  At the end of </w:t>
      </w:r>
      <w:r w:rsidR="001B121A" w:rsidRPr="000345CA">
        <w:t>section 1</w:t>
      </w:r>
      <w:r w:rsidR="00DB6F4A" w:rsidRPr="000345CA">
        <w:t>03</w:t>
      </w:r>
    </w:p>
    <w:p w14:paraId="445C1513" w14:textId="77777777" w:rsidR="00DB6F4A" w:rsidRPr="000345CA" w:rsidRDefault="00DB6F4A" w:rsidP="00DB6F4A">
      <w:pPr>
        <w:pStyle w:val="Item"/>
      </w:pPr>
      <w:r w:rsidRPr="000345CA">
        <w:t>Add:</w:t>
      </w:r>
    </w:p>
    <w:p w14:paraId="1BA161D5" w14:textId="77777777" w:rsidR="00DB6F4A" w:rsidRPr="000345CA" w:rsidRDefault="00DB6F4A" w:rsidP="00DB6F4A">
      <w:pPr>
        <w:pStyle w:val="subsection"/>
      </w:pPr>
      <w:r w:rsidRPr="000345CA">
        <w:tab/>
        <w:t>(2)</w:t>
      </w:r>
      <w:r w:rsidRPr="000345CA">
        <w:tab/>
        <w:t xml:space="preserve">The amendments made to </w:t>
      </w:r>
      <w:r w:rsidR="001B121A" w:rsidRPr="000345CA">
        <w:t>section 8</w:t>
      </w:r>
      <w:r w:rsidRPr="000345CA">
        <w:t xml:space="preserve">4 by </w:t>
      </w:r>
      <w:r w:rsidR="001B121A" w:rsidRPr="000345CA">
        <w:t>Part 2</w:t>
      </w:r>
      <w:r w:rsidRPr="000345CA">
        <w:t xml:space="preserve"> of </w:t>
      </w:r>
      <w:r w:rsidR="001B121A" w:rsidRPr="000345CA">
        <w:t>Schedule 1</w:t>
      </w:r>
      <w:r w:rsidRPr="000345CA">
        <w:t xml:space="preserve"> to those Regulations apply to data collection periods beginning on or after </w:t>
      </w:r>
      <w:r w:rsidR="001B121A" w:rsidRPr="000345CA">
        <w:t>1 April</w:t>
      </w:r>
      <w:r w:rsidRPr="000345CA">
        <w:t xml:space="preserve"> 2022.</w:t>
      </w:r>
    </w:p>
    <w:p w14:paraId="1932D962" w14:textId="77777777" w:rsidR="00DB2B05" w:rsidRPr="000345CA" w:rsidRDefault="000345CA" w:rsidP="00DB6F4A">
      <w:pPr>
        <w:pStyle w:val="ActHead7"/>
        <w:pageBreakBefore/>
      </w:pPr>
      <w:bookmarkStart w:id="14" w:name="_Toc88818142"/>
      <w:r w:rsidRPr="00DF55EF">
        <w:rPr>
          <w:rStyle w:val="CharAmPartNo"/>
        </w:rPr>
        <w:lastRenderedPageBreak/>
        <w:t>Part 3</w:t>
      </w:r>
      <w:r w:rsidR="00DB2B05" w:rsidRPr="000345CA">
        <w:t>—</w:t>
      </w:r>
      <w:r w:rsidR="00DB2B05" w:rsidRPr="00DF55EF">
        <w:rPr>
          <w:rStyle w:val="CharAmPartText"/>
        </w:rPr>
        <w:t xml:space="preserve">Amendments commencing </w:t>
      </w:r>
      <w:r w:rsidR="001B121A" w:rsidRPr="00DF55EF">
        <w:rPr>
          <w:rStyle w:val="CharAmPartText"/>
        </w:rPr>
        <w:t>1 April</w:t>
      </w:r>
      <w:r w:rsidR="00DB2B05" w:rsidRPr="00DF55EF">
        <w:rPr>
          <w:rStyle w:val="CharAmPartText"/>
        </w:rPr>
        <w:t xml:space="preserve"> 2023</w:t>
      </w:r>
      <w:bookmarkEnd w:id="14"/>
    </w:p>
    <w:p w14:paraId="4ECA567F" w14:textId="77777777" w:rsidR="00C84594" w:rsidRPr="000345CA" w:rsidRDefault="00C84594" w:rsidP="00C84594">
      <w:pPr>
        <w:pStyle w:val="ActHead9"/>
      </w:pPr>
      <w:bookmarkStart w:id="15" w:name="_Toc88818143"/>
      <w:r w:rsidRPr="000345CA">
        <w:t xml:space="preserve">National Health (Pharmaceutical Benefits) </w:t>
      </w:r>
      <w:r w:rsidR="000345CA" w:rsidRPr="000345CA">
        <w:t>Regulations 2</w:t>
      </w:r>
      <w:r w:rsidRPr="000345CA">
        <w:t>017</w:t>
      </w:r>
      <w:bookmarkEnd w:id="15"/>
    </w:p>
    <w:p w14:paraId="4365346E" w14:textId="77777777" w:rsidR="00B64391" w:rsidRPr="000345CA" w:rsidRDefault="00C84594" w:rsidP="00B64391">
      <w:pPr>
        <w:pStyle w:val="ItemHead"/>
      </w:pPr>
      <w:r w:rsidRPr="000345CA">
        <w:t>8</w:t>
      </w:r>
      <w:r w:rsidR="00B64391" w:rsidRPr="000345CA">
        <w:t xml:space="preserve">  After </w:t>
      </w:r>
      <w:r w:rsidR="001B121A" w:rsidRPr="000345CA">
        <w:t>section 7</w:t>
      </w:r>
      <w:r w:rsidR="00B64391" w:rsidRPr="000345CA">
        <w:t>3</w:t>
      </w:r>
    </w:p>
    <w:p w14:paraId="1C994830" w14:textId="77777777" w:rsidR="00B64391" w:rsidRPr="000345CA" w:rsidRDefault="00B64391" w:rsidP="00B64391">
      <w:pPr>
        <w:pStyle w:val="Item"/>
      </w:pPr>
      <w:r w:rsidRPr="000345CA">
        <w:t>Insert:</w:t>
      </w:r>
    </w:p>
    <w:p w14:paraId="3F732650" w14:textId="77777777" w:rsidR="00B64391" w:rsidRPr="000345CA" w:rsidRDefault="00B64391" w:rsidP="00B64391">
      <w:pPr>
        <w:pStyle w:val="ActHead5"/>
      </w:pPr>
      <w:bookmarkStart w:id="16" w:name="_Toc88818144"/>
      <w:r w:rsidRPr="00DF55EF">
        <w:rPr>
          <w:rStyle w:val="CharSectno"/>
        </w:rPr>
        <w:t>73A</w:t>
      </w:r>
      <w:r w:rsidRPr="000345CA">
        <w:t xml:space="preserve">  Step 3A—adjusted net revenue for brand</w:t>
      </w:r>
      <w:bookmarkEnd w:id="16"/>
    </w:p>
    <w:p w14:paraId="3F91B2D7" w14:textId="77777777" w:rsidR="00B64391" w:rsidRPr="000345CA" w:rsidRDefault="00B64391" w:rsidP="00B64391">
      <w:pPr>
        <w:pStyle w:val="subsection"/>
      </w:pPr>
      <w:r w:rsidRPr="000345CA">
        <w:tab/>
        <w:t>(1)</w:t>
      </w:r>
      <w:r w:rsidRPr="000345CA">
        <w:tab/>
        <w:t>Work out the adjusted net revenue of the listed brand of the pharmaceutical item for the data collection period.</w:t>
      </w:r>
    </w:p>
    <w:p w14:paraId="5386AB89" w14:textId="77777777" w:rsidR="00B64391" w:rsidRPr="000345CA" w:rsidRDefault="00B64391" w:rsidP="00B64391">
      <w:pPr>
        <w:pStyle w:val="SubsectionHead"/>
      </w:pPr>
      <w:r w:rsidRPr="000345CA">
        <w:t>Where average approved ex</w:t>
      </w:r>
      <w:r w:rsidR="000345CA">
        <w:noBreakHyphen/>
      </w:r>
      <w:r w:rsidRPr="000345CA">
        <w:t>manufacturer price is $4 or less</w:t>
      </w:r>
    </w:p>
    <w:p w14:paraId="706F80E8" w14:textId="77777777" w:rsidR="00B64391" w:rsidRPr="000345CA" w:rsidRDefault="00B64391" w:rsidP="00B64391">
      <w:pPr>
        <w:pStyle w:val="subsection"/>
      </w:pPr>
      <w:r w:rsidRPr="000345CA">
        <w:tab/>
        <w:t>(2)</w:t>
      </w:r>
      <w:r w:rsidRPr="000345CA">
        <w:tab/>
        <w:t>If the average approved ex</w:t>
      </w:r>
      <w:r w:rsidR="000345CA">
        <w:noBreakHyphen/>
      </w:r>
      <w:r w:rsidRPr="000345CA">
        <w:t xml:space="preserve">manufacturer price (see step 3) of the listed brand of the pharmaceutical item for the data collection period for the brand is $4 or less, the </w:t>
      </w:r>
      <w:r w:rsidRPr="000345CA">
        <w:rPr>
          <w:b/>
          <w:i/>
        </w:rPr>
        <w:t>adjusted net revenue</w:t>
      </w:r>
      <w:r w:rsidRPr="000345CA">
        <w:t xml:space="preserve"> is the amount worked out by multiplying:</w:t>
      </w:r>
    </w:p>
    <w:p w14:paraId="00B131D5" w14:textId="77777777" w:rsidR="00B64391" w:rsidRPr="000345CA" w:rsidRDefault="00B64391" w:rsidP="00B64391">
      <w:pPr>
        <w:pStyle w:val="paragraph"/>
      </w:pPr>
      <w:r w:rsidRPr="000345CA">
        <w:tab/>
        <w:t>(a)</w:t>
      </w:r>
      <w:r w:rsidRPr="000345CA">
        <w:tab/>
        <w:t>the adjusted volume of the listed brand of the pharmaceutical item sold for the data collection period (see step 2); by</w:t>
      </w:r>
    </w:p>
    <w:p w14:paraId="28D15B13" w14:textId="77777777" w:rsidR="00B64391" w:rsidRPr="000345CA" w:rsidRDefault="00B64391" w:rsidP="00B64391">
      <w:pPr>
        <w:pStyle w:val="paragraph"/>
      </w:pPr>
      <w:r w:rsidRPr="000345CA">
        <w:tab/>
        <w:t>(b)</w:t>
      </w:r>
      <w:r w:rsidRPr="000345CA">
        <w:tab/>
        <w:t>the average approved ex</w:t>
      </w:r>
      <w:r w:rsidR="000345CA">
        <w:noBreakHyphen/>
      </w:r>
      <w:r w:rsidRPr="000345CA">
        <w:t>manufacturer price of the listed brand of the pharmaceutical item for the data collection period (see step 3).</w:t>
      </w:r>
    </w:p>
    <w:p w14:paraId="029F9F34" w14:textId="77777777" w:rsidR="00B64391" w:rsidRPr="000345CA" w:rsidRDefault="00B64391" w:rsidP="00B64391">
      <w:pPr>
        <w:pStyle w:val="notetext"/>
      </w:pPr>
      <w:r w:rsidRPr="000345CA">
        <w:t>Example:</w:t>
      </w:r>
      <w:r w:rsidRPr="000345CA">
        <w:tab/>
        <w:t>A responsible person has one listed brand (</w:t>
      </w:r>
      <w:r w:rsidRPr="000345CA">
        <w:rPr>
          <w:b/>
          <w:i/>
        </w:rPr>
        <w:t>brand A</w:t>
      </w:r>
      <w:r w:rsidRPr="000345CA">
        <w:t>) of a pharmaceutical item that has an average approved ex</w:t>
      </w:r>
      <w:r w:rsidR="000345CA">
        <w:noBreakHyphen/>
      </w:r>
      <w:r w:rsidRPr="000345CA">
        <w:t>manufacturer price of $3.50 and the net revenue obtained for a sale of 1</w:t>
      </w:r>
      <w:r w:rsidR="0084150D" w:rsidRPr="000345CA">
        <w:t>,</w:t>
      </w:r>
      <w:r w:rsidRPr="000345CA">
        <w:t>000 packs of that brand was $3,000. The adjusted net revenue of brand A is $3,500.</w:t>
      </w:r>
    </w:p>
    <w:p w14:paraId="40AB4ED1" w14:textId="77777777" w:rsidR="00B64391" w:rsidRPr="000345CA" w:rsidRDefault="00B64391" w:rsidP="00B64391">
      <w:pPr>
        <w:pStyle w:val="SubsectionHead"/>
      </w:pPr>
      <w:r w:rsidRPr="000345CA">
        <w:t>Where average approved ex</w:t>
      </w:r>
      <w:r w:rsidR="000345CA">
        <w:noBreakHyphen/>
      </w:r>
      <w:r w:rsidRPr="000345CA">
        <w:t>manufacturer price is more than $4</w:t>
      </w:r>
    </w:p>
    <w:p w14:paraId="06FB7D9D" w14:textId="77777777" w:rsidR="00B64391" w:rsidRPr="000345CA" w:rsidRDefault="00B64391" w:rsidP="00B64391">
      <w:pPr>
        <w:pStyle w:val="subsection"/>
      </w:pPr>
      <w:r w:rsidRPr="000345CA">
        <w:tab/>
        <w:t>(3)</w:t>
      </w:r>
      <w:r w:rsidRPr="000345CA">
        <w:tab/>
        <w:t>If the average approved ex</w:t>
      </w:r>
      <w:r w:rsidR="000345CA">
        <w:noBreakHyphen/>
      </w:r>
      <w:r w:rsidRPr="000345CA">
        <w:t xml:space="preserve">manufacturer price (see step 3) of the listed brand (the </w:t>
      </w:r>
      <w:r w:rsidRPr="000345CA">
        <w:rPr>
          <w:b/>
          <w:i/>
        </w:rPr>
        <w:t>relevant brand</w:t>
      </w:r>
      <w:r w:rsidRPr="000345CA">
        <w:t xml:space="preserve">) of the pharmaceutical item for the data collection period is more than $4, the </w:t>
      </w:r>
      <w:r w:rsidRPr="000345CA">
        <w:rPr>
          <w:b/>
          <w:i/>
        </w:rPr>
        <w:t>adjusted net revenue</w:t>
      </w:r>
      <w:r w:rsidRPr="000345CA">
        <w:t xml:space="preserve"> is the amount worked out by:</w:t>
      </w:r>
    </w:p>
    <w:p w14:paraId="790E9C04" w14:textId="77777777" w:rsidR="00B64391" w:rsidRPr="000345CA" w:rsidRDefault="00B64391" w:rsidP="00B64391">
      <w:pPr>
        <w:pStyle w:val="paragraph"/>
      </w:pPr>
      <w:r w:rsidRPr="000345CA">
        <w:tab/>
        <w:t>(a)</w:t>
      </w:r>
      <w:r w:rsidRPr="000345CA">
        <w:tab/>
        <w:t>working out the sum of the net revenue worked out under step 1 for all listed brands of pharmaceutical items to which both of the following apply for the data collection period:</w:t>
      </w:r>
    </w:p>
    <w:p w14:paraId="40843732" w14:textId="77777777" w:rsidR="00B64391" w:rsidRPr="000345CA" w:rsidRDefault="00B64391" w:rsidP="00B64391">
      <w:pPr>
        <w:pStyle w:val="paragraphsub"/>
      </w:pPr>
      <w:r w:rsidRPr="000345CA">
        <w:tab/>
        <w:t xml:space="preserve">(i) </w:t>
      </w:r>
      <w:r w:rsidRPr="000345CA">
        <w:tab/>
        <w:t>the responsible person for the brand of the pharmaceutical item is the same as the responsible person for the relevant brand;</w:t>
      </w:r>
    </w:p>
    <w:p w14:paraId="2B4648D0" w14:textId="77777777" w:rsidR="00B64391" w:rsidRPr="000345CA" w:rsidRDefault="00B64391" w:rsidP="00B64391">
      <w:pPr>
        <w:pStyle w:val="paragraphsub"/>
      </w:pPr>
      <w:r w:rsidRPr="000345CA">
        <w:tab/>
        <w:t>(ii)</w:t>
      </w:r>
      <w:r w:rsidRPr="000345CA">
        <w:tab/>
        <w:t>the average approved ex</w:t>
      </w:r>
      <w:r w:rsidR="000345CA">
        <w:noBreakHyphen/>
      </w:r>
      <w:r w:rsidRPr="000345CA">
        <w:t>manufacturer price of the brand of the pharmaceutical item is $4 or less; and</w:t>
      </w:r>
    </w:p>
    <w:p w14:paraId="426430A0" w14:textId="77777777" w:rsidR="00B64391" w:rsidRPr="000345CA" w:rsidRDefault="00B64391" w:rsidP="00B64391">
      <w:pPr>
        <w:pStyle w:val="paragraph"/>
      </w:pPr>
      <w:r w:rsidRPr="000345CA">
        <w:tab/>
        <w:t>(b)</w:t>
      </w:r>
      <w:r w:rsidRPr="000345CA">
        <w:tab/>
        <w:t xml:space="preserve">working out what would have been the sum of the net revenue of all listed brands of pharmaceutical items to which </w:t>
      </w:r>
      <w:r w:rsidR="001B121A" w:rsidRPr="000345CA">
        <w:t>paragraph (</w:t>
      </w:r>
      <w:r w:rsidRPr="000345CA">
        <w:t>a) applies for the data collection period if each of those listed brands had instead been sold for the average approved ex</w:t>
      </w:r>
      <w:r w:rsidR="000345CA">
        <w:noBreakHyphen/>
      </w:r>
      <w:r w:rsidRPr="000345CA">
        <w:t>manufacturer prices by:</w:t>
      </w:r>
    </w:p>
    <w:p w14:paraId="18AA3488" w14:textId="77777777" w:rsidR="00B64391" w:rsidRPr="000345CA" w:rsidRDefault="00B64391" w:rsidP="00B64391">
      <w:pPr>
        <w:pStyle w:val="paragraphsub"/>
      </w:pPr>
      <w:r w:rsidRPr="000345CA">
        <w:tab/>
        <w:t>(i)</w:t>
      </w:r>
      <w:r w:rsidRPr="000345CA">
        <w:tab/>
        <w:t>multiplying the adjusted volume worked out under step 2 for each of those listed brands by the average approved ex</w:t>
      </w:r>
      <w:r w:rsidR="000345CA">
        <w:noBreakHyphen/>
      </w:r>
      <w:r w:rsidRPr="000345CA">
        <w:t>manufacturer price for each of those brands worked out under step 3; and</w:t>
      </w:r>
    </w:p>
    <w:p w14:paraId="54AE070B" w14:textId="77777777" w:rsidR="00B64391" w:rsidRPr="000345CA" w:rsidRDefault="00B64391" w:rsidP="00B64391">
      <w:pPr>
        <w:pStyle w:val="paragraphsub"/>
      </w:pPr>
      <w:r w:rsidRPr="000345CA">
        <w:tab/>
        <w:t>(ii)</w:t>
      </w:r>
      <w:r w:rsidRPr="000345CA">
        <w:tab/>
        <w:t xml:space="preserve">adding up the amounts worked out under </w:t>
      </w:r>
      <w:r w:rsidR="001B121A" w:rsidRPr="000345CA">
        <w:t>subparagraph (</w:t>
      </w:r>
      <w:r w:rsidRPr="000345CA">
        <w:t>i); and</w:t>
      </w:r>
    </w:p>
    <w:p w14:paraId="33510F55" w14:textId="77777777" w:rsidR="00B64391" w:rsidRPr="000345CA" w:rsidRDefault="00B64391" w:rsidP="00B64391">
      <w:pPr>
        <w:pStyle w:val="paragraph"/>
      </w:pPr>
      <w:r w:rsidRPr="000345CA">
        <w:tab/>
        <w:t>(c)</w:t>
      </w:r>
      <w:r w:rsidRPr="000345CA">
        <w:tab/>
        <w:t xml:space="preserve">reducing (but not below zero) the amount worked out under </w:t>
      </w:r>
      <w:r w:rsidR="001B121A" w:rsidRPr="000345CA">
        <w:t>paragraph (</w:t>
      </w:r>
      <w:r w:rsidRPr="000345CA">
        <w:t xml:space="preserve">b) by the amount worked out under </w:t>
      </w:r>
      <w:r w:rsidR="001B121A" w:rsidRPr="000345CA">
        <w:t>paragraph (</w:t>
      </w:r>
      <w:r w:rsidRPr="000345CA">
        <w:t>a); and</w:t>
      </w:r>
    </w:p>
    <w:p w14:paraId="47C5FDA8" w14:textId="77777777" w:rsidR="00B64391" w:rsidRPr="000345CA" w:rsidRDefault="00B64391" w:rsidP="00B64391">
      <w:pPr>
        <w:pStyle w:val="paragraph"/>
      </w:pPr>
      <w:r w:rsidRPr="000345CA">
        <w:tab/>
        <w:t>(d)</w:t>
      </w:r>
      <w:r w:rsidRPr="000345CA">
        <w:tab/>
        <w:t xml:space="preserve">working out the </w:t>
      </w:r>
      <w:r w:rsidRPr="000345CA">
        <w:rPr>
          <w:b/>
          <w:i/>
        </w:rPr>
        <w:t>net revenue adjustment percentage</w:t>
      </w:r>
      <w:r w:rsidRPr="000345CA">
        <w:t xml:space="preserve"> (expressed as a percentage to 2 decimal places) by dividing the amount worked out under </w:t>
      </w:r>
      <w:r w:rsidR="001B121A" w:rsidRPr="000345CA">
        <w:lastRenderedPageBreak/>
        <w:t>paragraph (</w:t>
      </w:r>
      <w:r w:rsidRPr="000345CA">
        <w:t>c) by the sum of the net revenue (worked out under step 1) of all listed brands of pharmaceutical items to which both of the following apply for the data collection period:</w:t>
      </w:r>
    </w:p>
    <w:p w14:paraId="11A0DE57" w14:textId="77777777" w:rsidR="00B64391" w:rsidRPr="000345CA" w:rsidRDefault="00B64391" w:rsidP="00B64391">
      <w:pPr>
        <w:pStyle w:val="paragraphsub"/>
      </w:pPr>
      <w:r w:rsidRPr="000345CA">
        <w:tab/>
        <w:t>(i)</w:t>
      </w:r>
      <w:r w:rsidRPr="000345CA">
        <w:tab/>
        <w:t>the responsible person for the brand of the pharmaceutical item is the same as the responsible person for the relevant brand;</w:t>
      </w:r>
    </w:p>
    <w:p w14:paraId="637E6DF2" w14:textId="77777777" w:rsidR="00B64391" w:rsidRPr="000345CA" w:rsidRDefault="00B64391" w:rsidP="00B64391">
      <w:pPr>
        <w:pStyle w:val="paragraphsub"/>
      </w:pPr>
      <w:r w:rsidRPr="000345CA">
        <w:tab/>
        <w:t>(ii)</w:t>
      </w:r>
      <w:r w:rsidRPr="000345CA">
        <w:tab/>
        <w:t>the average approved ex</w:t>
      </w:r>
      <w:r w:rsidR="000345CA">
        <w:noBreakHyphen/>
      </w:r>
      <w:r w:rsidRPr="000345CA">
        <w:t>manufacturer price of the brand of pharmaceutical item is more than $4; and</w:t>
      </w:r>
    </w:p>
    <w:p w14:paraId="044CBB8D" w14:textId="77777777" w:rsidR="00B64391" w:rsidRPr="000345CA" w:rsidRDefault="00B64391" w:rsidP="00B64391">
      <w:pPr>
        <w:pStyle w:val="paragraph"/>
      </w:pPr>
      <w:r w:rsidRPr="000345CA">
        <w:tab/>
        <w:t>(e)</w:t>
      </w:r>
      <w:r w:rsidRPr="000345CA">
        <w:tab/>
        <w:t>reducing the net revenue for the relevant brand for the data collection period by the net revenue adjustment percentage.</w:t>
      </w:r>
    </w:p>
    <w:p w14:paraId="0EC3D383" w14:textId="77777777" w:rsidR="00B64391" w:rsidRPr="000345CA" w:rsidRDefault="00B64391" w:rsidP="00B64391">
      <w:pPr>
        <w:pStyle w:val="notetext"/>
      </w:pPr>
      <w:r w:rsidRPr="000345CA">
        <w:t>Note:</w:t>
      </w:r>
      <w:r w:rsidRPr="000345CA">
        <w:tab/>
        <w:t>The effect of this subsection is that any difference between net revenue and the revenue that would have been obtained by a responsible person had they supplied brands of pharmaceutical items with approved ex</w:t>
      </w:r>
      <w:r w:rsidR="000345CA">
        <w:noBreakHyphen/>
      </w:r>
      <w:r w:rsidRPr="000345CA">
        <w:t>manufacturer prices of $4 or less at the average approved ex</w:t>
      </w:r>
      <w:r w:rsidR="000345CA">
        <w:noBreakHyphen/>
      </w:r>
      <w:r w:rsidRPr="000345CA">
        <w:t>manufacturer prices for those brands will be apportioned to the net revenue for the responsible person’s brands of pharmaceutical items that have approved ex</w:t>
      </w:r>
      <w:r w:rsidR="000345CA">
        <w:noBreakHyphen/>
      </w:r>
      <w:r w:rsidRPr="000345CA">
        <w:t>manufacturer prices of more than $4.</w:t>
      </w:r>
    </w:p>
    <w:p w14:paraId="0996006A" w14:textId="77777777" w:rsidR="00B64391" w:rsidRPr="000345CA" w:rsidRDefault="00B64391" w:rsidP="00B64391">
      <w:pPr>
        <w:pStyle w:val="notetext"/>
      </w:pPr>
      <w:r w:rsidRPr="000345CA">
        <w:t>Example:</w:t>
      </w:r>
      <w:r w:rsidRPr="000345CA">
        <w:tab/>
        <w:t>The responsible person for brand A is also the responsible person for two listed brands of pharmaceutical items that have approved ex</w:t>
      </w:r>
      <w:r w:rsidR="000345CA">
        <w:noBreakHyphen/>
      </w:r>
      <w:r w:rsidRPr="000345CA">
        <w:t>manufacturer prices of more than $4. The net revenue for one of those brands (</w:t>
      </w:r>
      <w:r w:rsidRPr="000345CA">
        <w:rPr>
          <w:b/>
          <w:i/>
        </w:rPr>
        <w:t>brand B</w:t>
      </w:r>
      <w:r w:rsidRPr="000345CA">
        <w:t>) is $2</w:t>
      </w:r>
      <w:r w:rsidR="00FA1D0E" w:rsidRPr="000345CA">
        <w:t>,</w:t>
      </w:r>
      <w:r w:rsidRPr="000345CA">
        <w:t>000 and for the other (</w:t>
      </w:r>
      <w:r w:rsidRPr="000345CA">
        <w:rPr>
          <w:b/>
          <w:i/>
        </w:rPr>
        <w:t>brand C</w:t>
      </w:r>
      <w:r w:rsidRPr="000345CA">
        <w:t xml:space="preserve">) is $3,000. The net revenue adjustment percentage is obtained by dividing $500 (the difference between the adjusted net revenue and </w:t>
      </w:r>
      <w:r w:rsidR="0084150D" w:rsidRPr="000345CA">
        <w:t xml:space="preserve">the </w:t>
      </w:r>
      <w:r w:rsidRPr="000345CA">
        <w:t>net revenue of brand A) by $5,000 (the sum of the net revenue of brand B and brand C) which equals 10%. The adjusted net revenue of brand B is $1</w:t>
      </w:r>
      <w:r w:rsidR="00FA1D0E" w:rsidRPr="000345CA">
        <w:t>,</w:t>
      </w:r>
      <w:r w:rsidRPr="000345CA">
        <w:t>800 ($2,000 reduced by 10%) and the adjusted net revenue of brand C is $2,700 ($3,000 reduced by 10%).</w:t>
      </w:r>
    </w:p>
    <w:p w14:paraId="5A9AA258" w14:textId="77777777" w:rsidR="00B64391" w:rsidRPr="000345CA" w:rsidRDefault="00C84594" w:rsidP="00B64391">
      <w:pPr>
        <w:pStyle w:val="ItemHead"/>
      </w:pPr>
      <w:r w:rsidRPr="000345CA">
        <w:t>9</w:t>
      </w:r>
      <w:r w:rsidR="00B64391" w:rsidRPr="000345CA">
        <w:t xml:space="preserve">  Subparagraph 74(2)(b)(i)</w:t>
      </w:r>
    </w:p>
    <w:p w14:paraId="795300E0" w14:textId="77777777" w:rsidR="00B64391" w:rsidRPr="000345CA" w:rsidRDefault="00B64391" w:rsidP="00B64391">
      <w:pPr>
        <w:pStyle w:val="Item"/>
      </w:pPr>
      <w:r w:rsidRPr="000345CA">
        <w:t>Omit “net revenue for the listed brand (see step 1)”, substitute “adjusted net revenue for the listed brand (see step 3A)”.</w:t>
      </w:r>
    </w:p>
    <w:p w14:paraId="00559BB2" w14:textId="77777777" w:rsidR="00DB2B05" w:rsidRPr="000345CA" w:rsidRDefault="00C84594" w:rsidP="00DB2B05">
      <w:pPr>
        <w:pStyle w:val="ItemHead"/>
      </w:pPr>
      <w:r w:rsidRPr="000345CA">
        <w:t>10</w:t>
      </w:r>
      <w:r w:rsidR="00DB2B05" w:rsidRPr="000345CA">
        <w:t xml:space="preserve">  Sub</w:t>
      </w:r>
      <w:r w:rsidR="001B121A" w:rsidRPr="000345CA">
        <w:t>section 8</w:t>
      </w:r>
      <w:r w:rsidR="00DB2B05" w:rsidRPr="000345CA">
        <w:t>5(2)</w:t>
      </w:r>
    </w:p>
    <w:p w14:paraId="6F42BB20" w14:textId="77777777" w:rsidR="00DB2B05" w:rsidRPr="000345CA" w:rsidRDefault="00DB2B05" w:rsidP="00DB2B05">
      <w:pPr>
        <w:pStyle w:val="Item"/>
      </w:pPr>
      <w:r w:rsidRPr="000345CA">
        <w:t>Omit “, other than the supply to a public hospital”.</w:t>
      </w:r>
    </w:p>
    <w:p w14:paraId="6E11B50F" w14:textId="77777777" w:rsidR="00DB2B05" w:rsidRPr="000345CA" w:rsidRDefault="00C84594" w:rsidP="00DB2B05">
      <w:pPr>
        <w:pStyle w:val="ItemHead"/>
      </w:pPr>
      <w:r w:rsidRPr="000345CA">
        <w:t>11</w:t>
      </w:r>
      <w:r w:rsidR="00DB2B05" w:rsidRPr="000345CA">
        <w:t xml:space="preserve">  After </w:t>
      </w:r>
      <w:r w:rsidR="001B121A" w:rsidRPr="000345CA">
        <w:t>subsection 8</w:t>
      </w:r>
      <w:r w:rsidR="00DB2B05" w:rsidRPr="000345CA">
        <w:t>5(2)</w:t>
      </w:r>
    </w:p>
    <w:p w14:paraId="385BE108" w14:textId="77777777" w:rsidR="00DB2B05" w:rsidRPr="000345CA" w:rsidRDefault="00DB2B05" w:rsidP="00DB2B05">
      <w:pPr>
        <w:pStyle w:val="Item"/>
      </w:pPr>
      <w:r w:rsidRPr="000345CA">
        <w:t>Insert:</w:t>
      </w:r>
    </w:p>
    <w:p w14:paraId="37D4CEFE" w14:textId="77777777" w:rsidR="00DB2B05" w:rsidRPr="000345CA" w:rsidRDefault="00DB2B05" w:rsidP="00DB2B05">
      <w:pPr>
        <w:pStyle w:val="subsection"/>
      </w:pPr>
      <w:r w:rsidRPr="000345CA">
        <w:tab/>
        <w:t>(2A)</w:t>
      </w:r>
      <w:r w:rsidRPr="000345CA">
        <w:tab/>
        <w:t>Subsection (2) does not apply to a supply of a brand of a pharmaceutical item during a data collection period for the brand if:</w:t>
      </w:r>
    </w:p>
    <w:p w14:paraId="7A15AD01" w14:textId="77777777" w:rsidR="00DB2B05" w:rsidRPr="000345CA" w:rsidRDefault="00DB2B05" w:rsidP="00DB2B05">
      <w:pPr>
        <w:pStyle w:val="paragraph"/>
      </w:pPr>
      <w:r w:rsidRPr="000345CA">
        <w:tab/>
        <w:t>(a)</w:t>
      </w:r>
      <w:r w:rsidRPr="000345CA">
        <w:tab/>
        <w:t>the supply is to a public hospital; and</w:t>
      </w:r>
    </w:p>
    <w:p w14:paraId="2C9AEB30" w14:textId="77777777" w:rsidR="00DB2B05" w:rsidRPr="000345CA" w:rsidRDefault="00DB2B05" w:rsidP="00DB2B05">
      <w:pPr>
        <w:pStyle w:val="paragraph"/>
      </w:pPr>
      <w:r w:rsidRPr="000345CA">
        <w:tab/>
        <w:t>(b)</w:t>
      </w:r>
      <w:r w:rsidRPr="000345CA">
        <w:tab/>
        <w:t>the drug in the pharmaceutical item had not been on F2 for at least 42 months at the end of the previous data collection period for the brand.</w:t>
      </w:r>
    </w:p>
    <w:p w14:paraId="4E3D5299" w14:textId="77777777" w:rsidR="00C43E1C" w:rsidRPr="000345CA" w:rsidRDefault="00C84594" w:rsidP="00C43E1C">
      <w:pPr>
        <w:pStyle w:val="ItemHead"/>
      </w:pPr>
      <w:r w:rsidRPr="000345CA">
        <w:t>12</w:t>
      </w:r>
      <w:r w:rsidR="00C43E1C" w:rsidRPr="000345CA">
        <w:t xml:space="preserve">  At the end of </w:t>
      </w:r>
      <w:r w:rsidR="001B121A" w:rsidRPr="000345CA">
        <w:t>section 1</w:t>
      </w:r>
      <w:r w:rsidR="00C43E1C" w:rsidRPr="000345CA">
        <w:t>03</w:t>
      </w:r>
    </w:p>
    <w:p w14:paraId="2196A055" w14:textId="77777777" w:rsidR="00C43E1C" w:rsidRPr="000345CA" w:rsidRDefault="00C43E1C" w:rsidP="00C43E1C">
      <w:pPr>
        <w:pStyle w:val="Item"/>
      </w:pPr>
      <w:r w:rsidRPr="000345CA">
        <w:t>Add:</w:t>
      </w:r>
    </w:p>
    <w:p w14:paraId="2A91B42C" w14:textId="77777777" w:rsidR="00DB2B05" w:rsidRPr="000345CA" w:rsidRDefault="00C43E1C" w:rsidP="00C43E1C">
      <w:pPr>
        <w:pStyle w:val="subsection"/>
      </w:pPr>
      <w:r w:rsidRPr="000345CA">
        <w:tab/>
        <w:t>(3)</w:t>
      </w:r>
      <w:r w:rsidRPr="000345CA">
        <w:tab/>
        <w:t xml:space="preserve">Section 73A, as inserted by </w:t>
      </w:r>
      <w:r w:rsidR="000345CA" w:rsidRPr="000345CA">
        <w:t>Part 3</w:t>
      </w:r>
      <w:r w:rsidR="0084150D" w:rsidRPr="000345CA">
        <w:t xml:space="preserve"> of </w:t>
      </w:r>
      <w:r w:rsidR="001B121A" w:rsidRPr="000345CA">
        <w:t>Schedule 1</w:t>
      </w:r>
      <w:r w:rsidRPr="000345CA">
        <w:t xml:space="preserve"> to those Regulations, and the amendments made to </w:t>
      </w:r>
      <w:r w:rsidR="001B121A" w:rsidRPr="000345CA">
        <w:t>section 7</w:t>
      </w:r>
      <w:r w:rsidRPr="000345CA">
        <w:t xml:space="preserve">4 by </w:t>
      </w:r>
      <w:r w:rsidR="000345CA" w:rsidRPr="000345CA">
        <w:t>Part 3</w:t>
      </w:r>
      <w:r w:rsidRPr="000345CA">
        <w:t xml:space="preserve"> of </w:t>
      </w:r>
      <w:r w:rsidR="001B121A" w:rsidRPr="000345CA">
        <w:t>Schedule 1</w:t>
      </w:r>
      <w:r w:rsidRPr="000345CA">
        <w:t xml:space="preserve"> to those Regulations, apply to data collection periods beginning on or after </w:t>
      </w:r>
      <w:r w:rsidR="001B121A" w:rsidRPr="000345CA">
        <w:t>1 October</w:t>
      </w:r>
      <w:r w:rsidRPr="000345CA">
        <w:t xml:space="preserve"> 2022.</w:t>
      </w:r>
    </w:p>
    <w:p w14:paraId="32B9C6EA" w14:textId="77777777" w:rsidR="00467E57" w:rsidRPr="000345CA" w:rsidRDefault="00467E57" w:rsidP="00C43E1C">
      <w:pPr>
        <w:pStyle w:val="subsection"/>
      </w:pPr>
      <w:r w:rsidRPr="000345CA">
        <w:tab/>
        <w:t>(</w:t>
      </w:r>
      <w:r w:rsidR="001336E7" w:rsidRPr="000345CA">
        <w:t>4</w:t>
      </w:r>
      <w:r w:rsidRPr="000345CA">
        <w:t>)</w:t>
      </w:r>
      <w:r w:rsidRPr="000345CA">
        <w:tab/>
        <w:t xml:space="preserve">The amendments made to </w:t>
      </w:r>
      <w:r w:rsidR="001B121A" w:rsidRPr="000345CA">
        <w:t>section 8</w:t>
      </w:r>
      <w:r w:rsidRPr="000345CA">
        <w:t xml:space="preserve">5 by </w:t>
      </w:r>
      <w:r w:rsidR="000345CA" w:rsidRPr="000345CA">
        <w:t>Part 3</w:t>
      </w:r>
      <w:r w:rsidR="007B625A" w:rsidRPr="000345CA">
        <w:t xml:space="preserve"> of Schedule 1 to those Regulations </w:t>
      </w:r>
      <w:r w:rsidRPr="000345CA">
        <w:t xml:space="preserve">apply to information in relation to supplies of brands of pharmaceutical items occurring on or after </w:t>
      </w:r>
      <w:r w:rsidR="001B121A" w:rsidRPr="000345CA">
        <w:t>1 October</w:t>
      </w:r>
      <w:r w:rsidRPr="000345CA">
        <w:t xml:space="preserve"> 2022.</w:t>
      </w:r>
    </w:p>
    <w:p w14:paraId="1C10CB10" w14:textId="77777777" w:rsidR="00DB2B05" w:rsidRPr="000345CA" w:rsidRDefault="001B121A" w:rsidP="00DB2B05">
      <w:pPr>
        <w:pStyle w:val="ActHead7"/>
        <w:pageBreakBefore/>
      </w:pPr>
      <w:bookmarkStart w:id="17" w:name="_Toc88818145"/>
      <w:r w:rsidRPr="00DF55EF">
        <w:rPr>
          <w:rStyle w:val="CharAmPartNo"/>
        </w:rPr>
        <w:lastRenderedPageBreak/>
        <w:t>Part 4</w:t>
      </w:r>
      <w:r w:rsidR="00DB2B05" w:rsidRPr="000345CA">
        <w:t>—</w:t>
      </w:r>
      <w:r w:rsidR="00DB2B05" w:rsidRPr="00DF55EF">
        <w:rPr>
          <w:rStyle w:val="CharAmPartText"/>
        </w:rPr>
        <w:t xml:space="preserve">Amendments commencing </w:t>
      </w:r>
      <w:r w:rsidRPr="00DF55EF">
        <w:rPr>
          <w:rStyle w:val="CharAmPartText"/>
        </w:rPr>
        <w:t>1 July</w:t>
      </w:r>
      <w:r w:rsidR="00DB2B05" w:rsidRPr="00DF55EF">
        <w:rPr>
          <w:rStyle w:val="CharAmPartText"/>
        </w:rPr>
        <w:t xml:space="preserve"> 2023</w:t>
      </w:r>
      <w:bookmarkEnd w:id="17"/>
    </w:p>
    <w:p w14:paraId="4B4AE64D" w14:textId="77777777" w:rsidR="00C84594" w:rsidRPr="000345CA" w:rsidRDefault="00C84594" w:rsidP="00C84594">
      <w:pPr>
        <w:pStyle w:val="ActHead9"/>
      </w:pPr>
      <w:bookmarkStart w:id="18" w:name="_Toc88818146"/>
      <w:r w:rsidRPr="000345CA">
        <w:t xml:space="preserve">National Health (Pharmaceutical Benefits) </w:t>
      </w:r>
      <w:r w:rsidR="000345CA" w:rsidRPr="000345CA">
        <w:t>Regulations 2</w:t>
      </w:r>
      <w:r w:rsidRPr="000345CA">
        <w:t>017</w:t>
      </w:r>
      <w:bookmarkEnd w:id="18"/>
    </w:p>
    <w:p w14:paraId="1371E860" w14:textId="77777777" w:rsidR="0060184F" w:rsidRPr="000345CA" w:rsidRDefault="00C84594" w:rsidP="0060184F">
      <w:pPr>
        <w:pStyle w:val="ItemHead"/>
      </w:pPr>
      <w:r w:rsidRPr="000345CA">
        <w:t>13</w:t>
      </w:r>
      <w:r w:rsidR="0060184F" w:rsidRPr="000345CA">
        <w:t xml:space="preserve">  </w:t>
      </w:r>
      <w:r w:rsidR="001B121A" w:rsidRPr="000345CA">
        <w:t>Part 7</w:t>
      </w:r>
      <w:r w:rsidR="0060184F" w:rsidRPr="000345CA">
        <w:t xml:space="preserve"> (heading)</w:t>
      </w:r>
    </w:p>
    <w:p w14:paraId="13EC5A88" w14:textId="77777777" w:rsidR="0060184F" w:rsidRPr="000345CA" w:rsidRDefault="0060184F" w:rsidP="0060184F">
      <w:pPr>
        <w:pStyle w:val="Item"/>
      </w:pPr>
      <w:r w:rsidRPr="000345CA">
        <w:t>Repeal the heading, substitute:</w:t>
      </w:r>
    </w:p>
    <w:p w14:paraId="6D59DAF6" w14:textId="77777777" w:rsidR="0060184F" w:rsidRPr="000345CA" w:rsidRDefault="001B121A" w:rsidP="0060184F">
      <w:pPr>
        <w:pStyle w:val="ActHead2"/>
      </w:pPr>
      <w:bookmarkStart w:id="19" w:name="_Toc88818147"/>
      <w:r w:rsidRPr="00DF55EF">
        <w:rPr>
          <w:rStyle w:val="CharPartNo"/>
        </w:rPr>
        <w:t>Part 7</w:t>
      </w:r>
      <w:r w:rsidR="0060184F" w:rsidRPr="000345CA">
        <w:t>—</w:t>
      </w:r>
      <w:r w:rsidR="0060184F" w:rsidRPr="00DF55EF">
        <w:rPr>
          <w:rStyle w:val="CharPartText"/>
        </w:rPr>
        <w:t>Price reduction, price disclosure and stockholding</w:t>
      </w:r>
      <w:bookmarkEnd w:id="19"/>
    </w:p>
    <w:p w14:paraId="2B31FB1E" w14:textId="77777777" w:rsidR="00A67BEF" w:rsidRPr="000345CA" w:rsidRDefault="00C84594" w:rsidP="00A67BEF">
      <w:pPr>
        <w:pStyle w:val="ItemHead"/>
      </w:pPr>
      <w:r w:rsidRPr="000345CA">
        <w:t>14</w:t>
      </w:r>
      <w:r w:rsidR="00A67BEF" w:rsidRPr="000345CA">
        <w:t xml:space="preserve">  At the end of </w:t>
      </w:r>
      <w:r w:rsidR="001B121A" w:rsidRPr="000345CA">
        <w:t>Part 7</w:t>
      </w:r>
    </w:p>
    <w:p w14:paraId="377B692B" w14:textId="77777777" w:rsidR="00A67BEF" w:rsidRPr="000345CA" w:rsidRDefault="00A67BEF" w:rsidP="00A67BEF">
      <w:pPr>
        <w:pStyle w:val="Item"/>
      </w:pPr>
      <w:r w:rsidRPr="000345CA">
        <w:t>Add:</w:t>
      </w:r>
    </w:p>
    <w:p w14:paraId="147E641A" w14:textId="77777777" w:rsidR="00A03BA3" w:rsidRPr="000345CA" w:rsidRDefault="001B121A" w:rsidP="00A03BA3">
      <w:pPr>
        <w:pStyle w:val="ActHead3"/>
      </w:pPr>
      <w:bookmarkStart w:id="20" w:name="_Toc88818148"/>
      <w:r w:rsidRPr="00DF55EF">
        <w:rPr>
          <w:rStyle w:val="CharDivNo"/>
        </w:rPr>
        <w:t>Division 3</w:t>
      </w:r>
      <w:r w:rsidR="00A03BA3" w:rsidRPr="000345CA">
        <w:t>—</w:t>
      </w:r>
      <w:r w:rsidR="00A03BA3" w:rsidRPr="00DF55EF">
        <w:rPr>
          <w:rStyle w:val="CharDivText"/>
        </w:rPr>
        <w:t>Stockholding requirements</w:t>
      </w:r>
      <w:bookmarkEnd w:id="20"/>
    </w:p>
    <w:p w14:paraId="4FD2E5E1" w14:textId="77777777" w:rsidR="00A03BA3" w:rsidRPr="000345CA" w:rsidRDefault="00A03BA3" w:rsidP="00A03BA3">
      <w:pPr>
        <w:pStyle w:val="ActHead5"/>
      </w:pPr>
      <w:bookmarkStart w:id="21" w:name="_Toc88818149"/>
      <w:r w:rsidRPr="00DF55EF">
        <w:rPr>
          <w:rStyle w:val="CharSectno"/>
        </w:rPr>
        <w:t>85B</w:t>
      </w:r>
      <w:r w:rsidRPr="000345CA">
        <w:t xml:space="preserve">  Usual demand for a brand</w:t>
      </w:r>
      <w:bookmarkEnd w:id="21"/>
    </w:p>
    <w:p w14:paraId="68C9B790" w14:textId="77777777" w:rsidR="00A03BA3" w:rsidRPr="000345CA" w:rsidRDefault="00A03BA3" w:rsidP="00A03BA3">
      <w:pPr>
        <w:pStyle w:val="subsection"/>
      </w:pPr>
      <w:r w:rsidRPr="000345CA">
        <w:tab/>
        <w:t>(1)</w:t>
      </w:r>
      <w:r w:rsidRPr="000345CA">
        <w:tab/>
        <w:t xml:space="preserve">For the purposes of </w:t>
      </w:r>
      <w:r w:rsidR="001B121A" w:rsidRPr="000345CA">
        <w:t>subsection 9</w:t>
      </w:r>
      <w:r w:rsidRPr="000345CA">
        <w:t xml:space="preserve">9AEKC(5) of the Act, the </w:t>
      </w:r>
      <w:r w:rsidRPr="000345CA">
        <w:rPr>
          <w:b/>
          <w:i/>
        </w:rPr>
        <w:t>usual demand</w:t>
      </w:r>
      <w:r w:rsidRPr="000345CA">
        <w:t xml:space="preserve"> for a brand of a pharmaceutical item for a month in a data collection period for that brand is the number of packs of the brand supplied during the </w:t>
      </w:r>
      <w:r w:rsidR="00531099" w:rsidRPr="000345CA">
        <w:t xml:space="preserve">data collection period (the </w:t>
      </w:r>
      <w:r w:rsidR="00531099" w:rsidRPr="000345CA">
        <w:rPr>
          <w:b/>
          <w:i/>
        </w:rPr>
        <w:t>reference period</w:t>
      </w:r>
      <w:r w:rsidR="00531099" w:rsidRPr="000345CA">
        <w:t xml:space="preserve">) before the </w:t>
      </w:r>
      <w:r w:rsidRPr="000345CA">
        <w:t xml:space="preserve">previous data collection period for the brand divided by the number of months in </w:t>
      </w:r>
      <w:r w:rsidR="00531099" w:rsidRPr="000345CA">
        <w:t>the reference period</w:t>
      </w:r>
      <w:r w:rsidRPr="000345CA">
        <w:t>.</w:t>
      </w:r>
    </w:p>
    <w:p w14:paraId="1D93EC73" w14:textId="77777777" w:rsidR="00062B23" w:rsidRPr="000345CA" w:rsidRDefault="00A03BA3" w:rsidP="00A03BA3">
      <w:pPr>
        <w:pStyle w:val="subsection"/>
      </w:pPr>
      <w:r w:rsidRPr="000345CA">
        <w:tab/>
        <w:t>(2)</w:t>
      </w:r>
      <w:r w:rsidRPr="000345CA">
        <w:tab/>
        <w:t xml:space="preserve">For the purposes of </w:t>
      </w:r>
      <w:r w:rsidR="001B121A" w:rsidRPr="000345CA">
        <w:t>subsection (</w:t>
      </w:r>
      <w:r w:rsidRPr="000345CA">
        <w:t>1)</w:t>
      </w:r>
      <w:r w:rsidR="00062B23" w:rsidRPr="000345CA">
        <w:t xml:space="preserve"> the number of packs of the brand supplied during a data collection period is taken to be:</w:t>
      </w:r>
    </w:p>
    <w:p w14:paraId="4EE2C926" w14:textId="77777777" w:rsidR="00A03BA3" w:rsidRPr="000345CA" w:rsidRDefault="00062B23" w:rsidP="00062B23">
      <w:pPr>
        <w:pStyle w:val="paragraph"/>
      </w:pPr>
      <w:r w:rsidRPr="000345CA">
        <w:tab/>
        <w:t>(a)</w:t>
      </w:r>
      <w:r w:rsidRPr="000345CA">
        <w:tab/>
      </w:r>
      <w:r w:rsidR="00A03BA3" w:rsidRPr="000345CA">
        <w:t>the number provided in accordance with paragraph 85(2)(h) for that brand for that period</w:t>
      </w:r>
      <w:r w:rsidRPr="000345CA">
        <w:t>; and</w:t>
      </w:r>
    </w:p>
    <w:p w14:paraId="6D4B9AAF" w14:textId="77777777" w:rsidR="00062B23" w:rsidRPr="000345CA" w:rsidRDefault="00062B23" w:rsidP="00062B23">
      <w:pPr>
        <w:pStyle w:val="paragraph"/>
      </w:pPr>
      <w:r w:rsidRPr="000345CA">
        <w:tab/>
        <w:t>(b)</w:t>
      </w:r>
      <w:r w:rsidRPr="000345CA">
        <w:tab/>
        <w:t>adjusted as if the size of the pack equals the pricing quantity of the brand.</w:t>
      </w:r>
    </w:p>
    <w:p w14:paraId="087A0A4A" w14:textId="77777777" w:rsidR="00531099" w:rsidRPr="000345CA" w:rsidRDefault="00531099" w:rsidP="00531099">
      <w:pPr>
        <w:pStyle w:val="subsection"/>
      </w:pPr>
      <w:r w:rsidRPr="000345CA">
        <w:tab/>
        <w:t>(3)</w:t>
      </w:r>
      <w:r w:rsidRPr="000345CA">
        <w:tab/>
        <w:t xml:space="preserve">If a brand of </w:t>
      </w:r>
      <w:r w:rsidR="00EC2B95" w:rsidRPr="000345CA">
        <w:t xml:space="preserve">a </w:t>
      </w:r>
      <w:r w:rsidRPr="000345CA">
        <w:t xml:space="preserve">pharmaceutical item is not a listed brand in the reference period referred to in </w:t>
      </w:r>
      <w:r w:rsidR="001B121A" w:rsidRPr="000345CA">
        <w:t>subsection (</w:t>
      </w:r>
      <w:r w:rsidRPr="000345CA">
        <w:t>1), the usual demand for the brand for the month referred to in that subsection is taken to be zero.</w:t>
      </w:r>
    </w:p>
    <w:p w14:paraId="4CE95CC6" w14:textId="77777777" w:rsidR="00A03BA3" w:rsidRPr="000345CA" w:rsidRDefault="00A03BA3" w:rsidP="00A03BA3">
      <w:pPr>
        <w:pStyle w:val="ActHead5"/>
      </w:pPr>
      <w:bookmarkStart w:id="22" w:name="_Toc88818150"/>
      <w:r w:rsidRPr="00DF55EF">
        <w:rPr>
          <w:rStyle w:val="CharSectno"/>
        </w:rPr>
        <w:t>85C</w:t>
      </w:r>
      <w:r w:rsidRPr="000345CA">
        <w:t xml:space="preserve">  Stockholding disclosure requirements</w:t>
      </w:r>
      <w:bookmarkEnd w:id="22"/>
    </w:p>
    <w:p w14:paraId="2F98F1FF" w14:textId="77777777" w:rsidR="00A03BA3" w:rsidRPr="000345CA" w:rsidRDefault="00A03BA3" w:rsidP="00A03BA3">
      <w:pPr>
        <w:pStyle w:val="subsection"/>
      </w:pPr>
      <w:r w:rsidRPr="000345CA">
        <w:tab/>
        <w:t>(1)</w:t>
      </w:r>
      <w:r w:rsidRPr="000345CA">
        <w:tab/>
        <w:t xml:space="preserve">This section is made for the purposes of </w:t>
      </w:r>
      <w:r w:rsidR="001B121A" w:rsidRPr="000345CA">
        <w:t>subsection 9</w:t>
      </w:r>
      <w:r w:rsidRPr="000345CA">
        <w:t>9AEKF(1) of the Act.</w:t>
      </w:r>
    </w:p>
    <w:p w14:paraId="198883DA" w14:textId="77777777" w:rsidR="00A03BA3" w:rsidRPr="000345CA" w:rsidRDefault="00A03BA3" w:rsidP="00A03BA3">
      <w:pPr>
        <w:pStyle w:val="SubsectionHead"/>
      </w:pPr>
      <w:r w:rsidRPr="000345CA">
        <w:t>Prescribed information</w:t>
      </w:r>
    </w:p>
    <w:p w14:paraId="25370F39" w14:textId="77777777" w:rsidR="00A03BA3" w:rsidRPr="000345CA" w:rsidRDefault="00A03BA3" w:rsidP="00A03BA3">
      <w:pPr>
        <w:pStyle w:val="subsection"/>
      </w:pPr>
      <w:r w:rsidRPr="000345CA">
        <w:tab/>
        <w:t>(2)</w:t>
      </w:r>
      <w:r w:rsidRPr="000345CA">
        <w:tab/>
        <w:t>The responsible person for a brand of a pharmaceutical item must provide the following information in relation to the quantity of the brand of pharmaceutical item kept in stock in Australia:</w:t>
      </w:r>
    </w:p>
    <w:p w14:paraId="4C4FCD0E" w14:textId="77777777" w:rsidR="00A03BA3" w:rsidRPr="000345CA" w:rsidRDefault="00A03BA3" w:rsidP="00A03BA3">
      <w:pPr>
        <w:pStyle w:val="paragraph"/>
      </w:pPr>
      <w:r w:rsidRPr="000345CA">
        <w:tab/>
        <w:t>(a)</w:t>
      </w:r>
      <w:r w:rsidRPr="000345CA">
        <w:tab/>
        <w:t>the start and end dates of the period to which the information relates;</w:t>
      </w:r>
    </w:p>
    <w:p w14:paraId="2C7A79A3" w14:textId="77777777" w:rsidR="00A03BA3" w:rsidRPr="000345CA" w:rsidRDefault="00A03BA3" w:rsidP="00A03BA3">
      <w:pPr>
        <w:pStyle w:val="paragraph"/>
      </w:pPr>
      <w:r w:rsidRPr="000345CA">
        <w:tab/>
        <w:t>(b)</w:t>
      </w:r>
      <w:r w:rsidRPr="000345CA">
        <w:tab/>
        <w:t>the name of the brand;</w:t>
      </w:r>
    </w:p>
    <w:p w14:paraId="71993D1A" w14:textId="77777777" w:rsidR="00A03BA3" w:rsidRPr="000345CA" w:rsidRDefault="00A03BA3" w:rsidP="00A03BA3">
      <w:pPr>
        <w:pStyle w:val="paragraph"/>
      </w:pPr>
      <w:r w:rsidRPr="000345CA">
        <w:tab/>
        <w:t>(c)</w:t>
      </w:r>
      <w:r w:rsidRPr="000345CA">
        <w:tab/>
        <w:t>the name of the responsible person;</w:t>
      </w:r>
    </w:p>
    <w:p w14:paraId="1EC9F4F3" w14:textId="77777777" w:rsidR="00A03BA3" w:rsidRPr="000345CA" w:rsidRDefault="00A03BA3" w:rsidP="00A03BA3">
      <w:pPr>
        <w:pStyle w:val="paragraph"/>
      </w:pPr>
      <w:r w:rsidRPr="000345CA">
        <w:tab/>
        <w:t>(d)</w:t>
      </w:r>
      <w:r w:rsidRPr="000345CA">
        <w:tab/>
        <w:t>the name of the drug in the pharmaceutical item;</w:t>
      </w:r>
    </w:p>
    <w:p w14:paraId="44C6D456" w14:textId="77777777" w:rsidR="00A03BA3" w:rsidRPr="000345CA" w:rsidRDefault="00A03BA3" w:rsidP="00A03BA3">
      <w:pPr>
        <w:pStyle w:val="paragraph"/>
      </w:pPr>
      <w:r w:rsidRPr="000345CA">
        <w:tab/>
        <w:t>(e)</w:t>
      </w:r>
      <w:r w:rsidRPr="000345CA">
        <w:tab/>
        <w:t>the form of the drug, including its strength;</w:t>
      </w:r>
    </w:p>
    <w:p w14:paraId="1ACCBAB7" w14:textId="77777777" w:rsidR="00A03BA3" w:rsidRPr="000345CA" w:rsidRDefault="00A03BA3" w:rsidP="00A03BA3">
      <w:pPr>
        <w:pStyle w:val="paragraph"/>
      </w:pPr>
      <w:r w:rsidRPr="000345CA">
        <w:tab/>
        <w:t>(f)</w:t>
      </w:r>
      <w:r w:rsidRPr="000345CA">
        <w:tab/>
        <w:t>the manner of administration of the form of the drug;</w:t>
      </w:r>
    </w:p>
    <w:p w14:paraId="3B23BF4B" w14:textId="77777777" w:rsidR="00A03BA3" w:rsidRPr="000345CA" w:rsidRDefault="00A03BA3" w:rsidP="00A03BA3">
      <w:pPr>
        <w:pStyle w:val="paragraph"/>
      </w:pPr>
      <w:r w:rsidRPr="000345CA">
        <w:tab/>
        <w:t>(g)</w:t>
      </w:r>
      <w:r w:rsidRPr="000345CA">
        <w:tab/>
        <w:t>the number or quantity of units in a pack (the number of tablets in a pack, for example);</w:t>
      </w:r>
    </w:p>
    <w:p w14:paraId="656E7EA7" w14:textId="77777777" w:rsidR="00A03BA3" w:rsidRPr="000345CA" w:rsidRDefault="00A03BA3" w:rsidP="00A03BA3">
      <w:pPr>
        <w:pStyle w:val="paragraph"/>
      </w:pPr>
      <w:r w:rsidRPr="000345CA">
        <w:lastRenderedPageBreak/>
        <w:tab/>
        <w:t>(h)</w:t>
      </w:r>
      <w:r w:rsidRPr="000345CA">
        <w:tab/>
        <w:t>the number of packs held in stock at the end of each month in the period.</w:t>
      </w:r>
    </w:p>
    <w:p w14:paraId="5AFDC7C6" w14:textId="77777777" w:rsidR="00A03BA3" w:rsidRPr="000345CA" w:rsidRDefault="00A03BA3" w:rsidP="00A03BA3">
      <w:pPr>
        <w:pStyle w:val="SubsectionHead"/>
      </w:pPr>
      <w:r w:rsidRPr="000345CA">
        <w:t>Prescribed person</w:t>
      </w:r>
    </w:p>
    <w:p w14:paraId="54E5E17A" w14:textId="77777777" w:rsidR="00A03BA3" w:rsidRPr="000345CA" w:rsidRDefault="00A03BA3" w:rsidP="00A03BA3">
      <w:pPr>
        <w:pStyle w:val="subsection"/>
      </w:pPr>
      <w:r w:rsidRPr="000345CA">
        <w:tab/>
        <w:t>(3)</w:t>
      </w:r>
      <w:r w:rsidRPr="000345CA">
        <w:tab/>
        <w:t xml:space="preserve">The responsible person must provide the information to the same person to whom the responsible person must give information under </w:t>
      </w:r>
      <w:r w:rsidR="001B121A" w:rsidRPr="000345CA">
        <w:t>subsection 8</w:t>
      </w:r>
      <w:r w:rsidRPr="000345CA">
        <w:t>5(6).</w:t>
      </w:r>
    </w:p>
    <w:p w14:paraId="1207EA67" w14:textId="77777777" w:rsidR="00A03BA3" w:rsidRPr="000345CA" w:rsidRDefault="00A03BA3" w:rsidP="00A03BA3">
      <w:pPr>
        <w:pStyle w:val="SubsectionHead"/>
      </w:pPr>
      <w:r w:rsidRPr="000345CA">
        <w:t>Prescribed manner and form</w:t>
      </w:r>
    </w:p>
    <w:p w14:paraId="54B8262B" w14:textId="77777777" w:rsidR="00A03BA3" w:rsidRPr="000345CA" w:rsidRDefault="00A03BA3" w:rsidP="00A03BA3">
      <w:pPr>
        <w:pStyle w:val="subsection"/>
      </w:pPr>
      <w:r w:rsidRPr="000345CA">
        <w:tab/>
        <w:t>(4)</w:t>
      </w:r>
      <w:r w:rsidRPr="000345CA">
        <w:tab/>
        <w:t>The responsible person must provide the information in a form approved, in writing, by the Secretary.</w:t>
      </w:r>
    </w:p>
    <w:p w14:paraId="379D14AA" w14:textId="77777777" w:rsidR="00A03BA3" w:rsidRPr="000345CA" w:rsidRDefault="00A03BA3" w:rsidP="00A03BA3">
      <w:pPr>
        <w:pStyle w:val="subsection"/>
      </w:pPr>
      <w:r w:rsidRPr="000345CA">
        <w:tab/>
        <w:t>(5)</w:t>
      </w:r>
      <w:r w:rsidRPr="000345CA">
        <w:tab/>
        <w:t>The completed form must:</w:t>
      </w:r>
    </w:p>
    <w:p w14:paraId="202E9DD1" w14:textId="77777777" w:rsidR="00A03BA3" w:rsidRPr="000345CA" w:rsidRDefault="00A03BA3" w:rsidP="00A03BA3">
      <w:pPr>
        <w:pStyle w:val="paragraph"/>
      </w:pPr>
      <w:r w:rsidRPr="000345CA">
        <w:tab/>
        <w:t>(a)</w:t>
      </w:r>
      <w:r w:rsidRPr="000345CA">
        <w:tab/>
        <w:t>include all the statements and information required by the form; and</w:t>
      </w:r>
    </w:p>
    <w:p w14:paraId="37692F85" w14:textId="77777777" w:rsidR="00A03BA3" w:rsidRPr="000345CA" w:rsidRDefault="00A03BA3" w:rsidP="00A03BA3">
      <w:pPr>
        <w:pStyle w:val="paragraph"/>
      </w:pPr>
      <w:r w:rsidRPr="000345CA">
        <w:tab/>
        <w:t>(b)</w:t>
      </w:r>
      <w:r w:rsidRPr="000345CA">
        <w:tab/>
        <w:t>be signed (or authorised for electronic transmission) by a person who is authorised by the responsible person to provide the information.</w:t>
      </w:r>
    </w:p>
    <w:p w14:paraId="5950DDED" w14:textId="77777777" w:rsidR="00A03BA3" w:rsidRPr="000345CA" w:rsidRDefault="00A03BA3" w:rsidP="00A03BA3">
      <w:pPr>
        <w:pStyle w:val="SubsectionHead"/>
        <w:rPr>
          <w:i w:val="0"/>
        </w:rPr>
      </w:pPr>
      <w:r w:rsidRPr="000345CA">
        <w:t>Prescribed times</w:t>
      </w:r>
    </w:p>
    <w:p w14:paraId="0E5EBA6C" w14:textId="77777777" w:rsidR="00A03BA3" w:rsidRPr="000345CA" w:rsidRDefault="00A03BA3" w:rsidP="00A03BA3">
      <w:pPr>
        <w:pStyle w:val="subsection"/>
      </w:pPr>
      <w:r w:rsidRPr="000345CA">
        <w:tab/>
        <w:t>(6)</w:t>
      </w:r>
      <w:r w:rsidRPr="000345CA">
        <w:tab/>
        <w:t xml:space="preserve">Subject to </w:t>
      </w:r>
      <w:r w:rsidR="001B121A" w:rsidRPr="000345CA">
        <w:t>subsection (</w:t>
      </w:r>
      <w:r w:rsidRPr="000345CA">
        <w:t>7), the responsible person must provide the information:</w:t>
      </w:r>
    </w:p>
    <w:p w14:paraId="6322753C" w14:textId="77777777" w:rsidR="00A03BA3" w:rsidRPr="000345CA" w:rsidRDefault="00A03BA3" w:rsidP="00A03BA3">
      <w:pPr>
        <w:pStyle w:val="paragraph"/>
      </w:pPr>
      <w:r w:rsidRPr="000345CA">
        <w:tab/>
        <w:t>(a)</w:t>
      </w:r>
      <w:r w:rsidRPr="000345CA">
        <w:tab/>
        <w:t xml:space="preserve">for each period between </w:t>
      </w:r>
      <w:r w:rsidR="001B121A" w:rsidRPr="000345CA">
        <w:t>1 April</w:t>
      </w:r>
      <w:r w:rsidRPr="000345CA">
        <w:t xml:space="preserve"> and 30 September in a year—before the end of 11 November in that year; and</w:t>
      </w:r>
    </w:p>
    <w:p w14:paraId="3BF85AE2" w14:textId="77777777" w:rsidR="00A03BA3" w:rsidRPr="000345CA" w:rsidRDefault="00A03BA3" w:rsidP="00A03BA3">
      <w:pPr>
        <w:pStyle w:val="paragraph"/>
      </w:pPr>
      <w:r w:rsidRPr="000345CA">
        <w:tab/>
        <w:t>(b)</w:t>
      </w:r>
      <w:r w:rsidRPr="000345CA">
        <w:tab/>
        <w:t xml:space="preserve">for each period between </w:t>
      </w:r>
      <w:r w:rsidR="001B121A" w:rsidRPr="000345CA">
        <w:t>1 October</w:t>
      </w:r>
      <w:r w:rsidRPr="000345CA">
        <w:t xml:space="preserve"> and the next 31 March—before the end of the next 12 May.</w:t>
      </w:r>
    </w:p>
    <w:p w14:paraId="41C37302" w14:textId="77777777" w:rsidR="00A03BA3" w:rsidRPr="000345CA" w:rsidRDefault="00A03BA3" w:rsidP="00A03BA3">
      <w:pPr>
        <w:pStyle w:val="subsection"/>
      </w:pPr>
      <w:r w:rsidRPr="000345CA">
        <w:tab/>
        <w:t>(7)</w:t>
      </w:r>
      <w:r w:rsidRPr="000345CA">
        <w:tab/>
        <w:t>However, for the period between a brand’s start day and the next 31 March or 30 September, whichever is the sooner, the responsible person must provide the information:</w:t>
      </w:r>
    </w:p>
    <w:p w14:paraId="021FE494" w14:textId="77777777" w:rsidR="00A03BA3" w:rsidRPr="000345CA" w:rsidRDefault="00A03BA3" w:rsidP="00A03BA3">
      <w:pPr>
        <w:pStyle w:val="paragraph"/>
      </w:pPr>
      <w:r w:rsidRPr="000345CA">
        <w:tab/>
        <w:t>(a)</w:t>
      </w:r>
      <w:r w:rsidRPr="000345CA">
        <w:tab/>
        <w:t xml:space="preserve">if the start day happens between </w:t>
      </w:r>
      <w:r w:rsidR="001B121A" w:rsidRPr="000345CA">
        <w:t>1 April</w:t>
      </w:r>
      <w:r w:rsidRPr="000345CA">
        <w:t xml:space="preserve"> and 30 September in a year—before the end of 11 November in that year; or</w:t>
      </w:r>
    </w:p>
    <w:p w14:paraId="1C90B4DF" w14:textId="77777777" w:rsidR="00A03BA3" w:rsidRPr="000345CA" w:rsidRDefault="00A03BA3" w:rsidP="00A03BA3">
      <w:pPr>
        <w:pStyle w:val="paragraph"/>
      </w:pPr>
      <w:r w:rsidRPr="000345CA">
        <w:tab/>
        <w:t>(b)</w:t>
      </w:r>
      <w:r w:rsidRPr="000345CA">
        <w:tab/>
        <w:t xml:space="preserve">if the start day happens between </w:t>
      </w:r>
      <w:r w:rsidR="001B121A" w:rsidRPr="000345CA">
        <w:t>1 October</w:t>
      </w:r>
      <w:r w:rsidRPr="000345CA">
        <w:t xml:space="preserve"> and the next 31 March—before the end of the next 12 May.</w:t>
      </w:r>
    </w:p>
    <w:p w14:paraId="76777DD7" w14:textId="77777777" w:rsidR="00467E57" w:rsidRPr="000345CA" w:rsidRDefault="00C84594" w:rsidP="00467E57">
      <w:pPr>
        <w:pStyle w:val="ItemHead"/>
      </w:pPr>
      <w:r w:rsidRPr="000345CA">
        <w:t>15</w:t>
      </w:r>
      <w:r w:rsidR="00467E57" w:rsidRPr="000345CA">
        <w:t xml:space="preserve">  At the end of </w:t>
      </w:r>
      <w:r w:rsidR="001B121A" w:rsidRPr="000345CA">
        <w:t>section 1</w:t>
      </w:r>
      <w:r w:rsidR="00467E57" w:rsidRPr="000345CA">
        <w:t>03</w:t>
      </w:r>
    </w:p>
    <w:p w14:paraId="6123A61A" w14:textId="77777777" w:rsidR="00467E57" w:rsidRPr="000345CA" w:rsidRDefault="00467E57" w:rsidP="00467E57">
      <w:pPr>
        <w:pStyle w:val="Item"/>
      </w:pPr>
      <w:r w:rsidRPr="000345CA">
        <w:t>Add:</w:t>
      </w:r>
    </w:p>
    <w:p w14:paraId="2FA81D2C" w14:textId="77777777" w:rsidR="00467E57" w:rsidRPr="000345CA" w:rsidRDefault="00467E57" w:rsidP="00467E57">
      <w:pPr>
        <w:pStyle w:val="subsection"/>
      </w:pPr>
      <w:r w:rsidRPr="000345CA">
        <w:tab/>
        <w:t>(</w:t>
      </w:r>
      <w:r w:rsidR="001336E7" w:rsidRPr="000345CA">
        <w:t>5</w:t>
      </w:r>
      <w:r w:rsidRPr="000345CA">
        <w:t>)</w:t>
      </w:r>
      <w:r w:rsidRPr="000345CA">
        <w:tab/>
      </w:r>
      <w:r w:rsidR="001B121A" w:rsidRPr="000345CA">
        <w:t>Sections 8</w:t>
      </w:r>
      <w:r w:rsidRPr="000345CA">
        <w:t>5B and 85C</w:t>
      </w:r>
      <w:r w:rsidR="00144705" w:rsidRPr="000345CA">
        <w:t>,</w:t>
      </w:r>
      <w:r w:rsidRPr="000345CA">
        <w:t xml:space="preserve"> as inserted by </w:t>
      </w:r>
      <w:r w:rsidR="001B121A" w:rsidRPr="000345CA">
        <w:t>Part 4</w:t>
      </w:r>
      <w:r w:rsidRPr="000345CA">
        <w:t xml:space="preserve"> of </w:t>
      </w:r>
      <w:r w:rsidR="001B121A" w:rsidRPr="000345CA">
        <w:t>Schedule 1</w:t>
      </w:r>
      <w:r w:rsidRPr="000345CA">
        <w:t xml:space="preserve"> to those Regulations</w:t>
      </w:r>
      <w:r w:rsidR="00144705" w:rsidRPr="000345CA">
        <w:t>,</w:t>
      </w:r>
      <w:r w:rsidRPr="000345CA">
        <w:t xml:space="preserve"> apply to information in relation to supplies of brands of pharmaceutical items occurring on or after </w:t>
      </w:r>
      <w:r w:rsidR="001B121A" w:rsidRPr="000345CA">
        <w:t>1 July</w:t>
      </w:r>
      <w:r w:rsidRPr="000345CA">
        <w:t xml:space="preserve"> 2023.</w:t>
      </w:r>
    </w:p>
    <w:sectPr w:rsidR="00467E57" w:rsidRPr="000345CA" w:rsidSect="00AF32A3">
      <w:headerReference w:type="even" r:id="rId25"/>
      <w:headerReference w:type="default" r:id="rId26"/>
      <w:footerReference w:type="even" r:id="rId27"/>
      <w:footerReference w:type="default" r:id="rId28"/>
      <w:headerReference w:type="first" r:id="rId29"/>
      <w:footerReference w:type="first" r:id="rId30"/>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CAC8D" w14:textId="77777777" w:rsidR="007D7945" w:rsidRDefault="007D7945" w:rsidP="0048364F">
      <w:pPr>
        <w:spacing w:line="240" w:lineRule="auto"/>
      </w:pPr>
      <w:r>
        <w:separator/>
      </w:r>
    </w:p>
  </w:endnote>
  <w:endnote w:type="continuationSeparator" w:id="0">
    <w:p w14:paraId="1F2B2D00" w14:textId="77777777" w:rsidR="007D7945" w:rsidRDefault="007D794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E687C" w14:textId="77777777" w:rsidR="007D7945" w:rsidRPr="00AF32A3" w:rsidRDefault="00AF32A3" w:rsidP="00AF32A3">
    <w:pPr>
      <w:pStyle w:val="Footer"/>
      <w:tabs>
        <w:tab w:val="clear" w:pos="4153"/>
        <w:tab w:val="clear" w:pos="8306"/>
        <w:tab w:val="center" w:pos="4150"/>
        <w:tab w:val="right" w:pos="8307"/>
      </w:tabs>
      <w:spacing w:before="120"/>
      <w:rPr>
        <w:i/>
        <w:sz w:val="18"/>
      </w:rPr>
    </w:pPr>
    <w:r w:rsidRPr="00AF32A3">
      <w:rPr>
        <w:i/>
        <w:sz w:val="18"/>
      </w:rPr>
      <w:t>OPC65429 -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B3A07" w14:textId="77777777" w:rsidR="00FA1D0E" w:rsidRDefault="00FA1D0E" w:rsidP="00E97334"/>
  <w:p w14:paraId="577E0A24" w14:textId="77777777" w:rsidR="00FA1D0E" w:rsidRPr="00AF32A3" w:rsidRDefault="00AF32A3" w:rsidP="00AF32A3">
    <w:pPr>
      <w:rPr>
        <w:rFonts w:cs="Times New Roman"/>
        <w:i/>
        <w:sz w:val="18"/>
      </w:rPr>
    </w:pPr>
    <w:r w:rsidRPr="00AF32A3">
      <w:rPr>
        <w:rFonts w:cs="Times New Roman"/>
        <w:i/>
        <w:sz w:val="18"/>
      </w:rPr>
      <w:t>OPC65429 -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2E728" w14:textId="77777777" w:rsidR="007D7945" w:rsidRPr="00AF32A3" w:rsidRDefault="00AF32A3" w:rsidP="00AF32A3">
    <w:pPr>
      <w:pStyle w:val="Footer"/>
      <w:tabs>
        <w:tab w:val="clear" w:pos="4153"/>
        <w:tab w:val="clear" w:pos="8306"/>
        <w:tab w:val="center" w:pos="4150"/>
        <w:tab w:val="right" w:pos="8307"/>
      </w:tabs>
      <w:spacing w:before="120"/>
      <w:rPr>
        <w:i/>
        <w:sz w:val="18"/>
      </w:rPr>
    </w:pPr>
    <w:r w:rsidRPr="00AF32A3">
      <w:rPr>
        <w:i/>
        <w:sz w:val="18"/>
      </w:rPr>
      <w:t>OPC65429 -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977D" w14:textId="77777777" w:rsidR="00FA1D0E" w:rsidRPr="00E33C1C" w:rsidRDefault="00FA1D0E"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A1D0E" w14:paraId="51F1B5BC" w14:textId="77777777" w:rsidTr="005F7120">
      <w:tc>
        <w:tcPr>
          <w:tcW w:w="709" w:type="dxa"/>
          <w:tcBorders>
            <w:top w:val="nil"/>
            <w:left w:val="nil"/>
            <w:bottom w:val="nil"/>
            <w:right w:val="nil"/>
          </w:tcBorders>
        </w:tcPr>
        <w:p w14:paraId="57DC67B5" w14:textId="77777777" w:rsidR="00FA1D0E" w:rsidRDefault="00FA1D0E" w:rsidP="00AA511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3D8367AA" w14:textId="379492F8" w:rsidR="00FA1D0E" w:rsidRDefault="00FA1D0E" w:rsidP="00AA511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5F4F">
            <w:rPr>
              <w:i/>
              <w:sz w:val="18"/>
            </w:rPr>
            <w:t>National Health (Pharmaceutical Benefits) Amendment (2021 Measures No. 1) Regulations 2021</w:t>
          </w:r>
          <w:r w:rsidRPr="007A1328">
            <w:rPr>
              <w:i/>
              <w:sz w:val="18"/>
            </w:rPr>
            <w:fldChar w:fldCharType="end"/>
          </w:r>
        </w:p>
      </w:tc>
      <w:tc>
        <w:tcPr>
          <w:tcW w:w="1384" w:type="dxa"/>
          <w:tcBorders>
            <w:top w:val="nil"/>
            <w:left w:val="nil"/>
            <w:bottom w:val="nil"/>
            <w:right w:val="nil"/>
          </w:tcBorders>
        </w:tcPr>
        <w:p w14:paraId="752CC796" w14:textId="77777777" w:rsidR="00FA1D0E" w:rsidRDefault="00FA1D0E" w:rsidP="00AA511D">
          <w:pPr>
            <w:spacing w:line="0" w:lineRule="atLeast"/>
            <w:jc w:val="right"/>
            <w:rPr>
              <w:sz w:val="18"/>
            </w:rPr>
          </w:pPr>
        </w:p>
      </w:tc>
    </w:tr>
  </w:tbl>
  <w:p w14:paraId="40D5CB08" w14:textId="77777777" w:rsidR="00FA1D0E" w:rsidRPr="00AF32A3" w:rsidRDefault="00AF32A3" w:rsidP="00AF32A3">
    <w:pPr>
      <w:rPr>
        <w:rFonts w:cs="Times New Roman"/>
        <w:i/>
        <w:sz w:val="18"/>
      </w:rPr>
    </w:pPr>
    <w:r w:rsidRPr="00AF32A3">
      <w:rPr>
        <w:rFonts w:cs="Times New Roman"/>
        <w:i/>
        <w:sz w:val="18"/>
      </w:rPr>
      <w:t>OPC65429 -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D40AB" w14:textId="77777777" w:rsidR="00FA1D0E" w:rsidRPr="00E33C1C" w:rsidRDefault="00FA1D0E"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FA1D0E" w14:paraId="0BE5F2B3" w14:textId="77777777" w:rsidTr="005F7120">
      <w:tc>
        <w:tcPr>
          <w:tcW w:w="1383" w:type="dxa"/>
          <w:tcBorders>
            <w:top w:val="nil"/>
            <w:left w:val="nil"/>
            <w:bottom w:val="nil"/>
            <w:right w:val="nil"/>
          </w:tcBorders>
        </w:tcPr>
        <w:p w14:paraId="0F46C1D5" w14:textId="77777777" w:rsidR="00FA1D0E" w:rsidRDefault="00FA1D0E" w:rsidP="00AA511D">
          <w:pPr>
            <w:spacing w:line="0" w:lineRule="atLeast"/>
            <w:rPr>
              <w:sz w:val="18"/>
            </w:rPr>
          </w:pPr>
        </w:p>
      </w:tc>
      <w:tc>
        <w:tcPr>
          <w:tcW w:w="6379" w:type="dxa"/>
          <w:tcBorders>
            <w:top w:val="nil"/>
            <w:left w:val="nil"/>
            <w:bottom w:val="nil"/>
            <w:right w:val="nil"/>
          </w:tcBorders>
        </w:tcPr>
        <w:p w14:paraId="2886B676" w14:textId="686D1413" w:rsidR="00FA1D0E" w:rsidRDefault="00FA1D0E" w:rsidP="00AA511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5F4F">
            <w:rPr>
              <w:i/>
              <w:sz w:val="18"/>
            </w:rPr>
            <w:t>National Health (Pharmaceutical Benefits) Amendment (2021 Measures No. 1) Regulations 2021</w:t>
          </w:r>
          <w:r w:rsidRPr="007A1328">
            <w:rPr>
              <w:i/>
              <w:sz w:val="18"/>
            </w:rPr>
            <w:fldChar w:fldCharType="end"/>
          </w:r>
        </w:p>
      </w:tc>
      <w:tc>
        <w:tcPr>
          <w:tcW w:w="710" w:type="dxa"/>
          <w:tcBorders>
            <w:top w:val="nil"/>
            <w:left w:val="nil"/>
            <w:bottom w:val="nil"/>
            <w:right w:val="nil"/>
          </w:tcBorders>
        </w:tcPr>
        <w:p w14:paraId="53129B8B" w14:textId="77777777" w:rsidR="00FA1D0E" w:rsidRDefault="00FA1D0E" w:rsidP="00AA511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0F9C7048" w14:textId="77777777" w:rsidR="00FA1D0E" w:rsidRPr="00AF32A3" w:rsidRDefault="00AF32A3" w:rsidP="00AF32A3">
    <w:pPr>
      <w:rPr>
        <w:rFonts w:cs="Times New Roman"/>
        <w:i/>
        <w:sz w:val="18"/>
      </w:rPr>
    </w:pPr>
    <w:r w:rsidRPr="00AF32A3">
      <w:rPr>
        <w:rFonts w:cs="Times New Roman"/>
        <w:i/>
        <w:sz w:val="18"/>
      </w:rPr>
      <w:t>OPC65429 -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CEE77" w14:textId="77777777" w:rsidR="00FA1D0E" w:rsidRPr="00E33C1C" w:rsidRDefault="00FA1D0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A1D0E" w14:paraId="47A342FF" w14:textId="77777777" w:rsidTr="005F7120">
      <w:tc>
        <w:tcPr>
          <w:tcW w:w="709" w:type="dxa"/>
          <w:tcBorders>
            <w:top w:val="nil"/>
            <w:left w:val="nil"/>
            <w:bottom w:val="nil"/>
            <w:right w:val="nil"/>
          </w:tcBorders>
        </w:tcPr>
        <w:p w14:paraId="70A50CCA" w14:textId="77777777" w:rsidR="00FA1D0E" w:rsidRDefault="00FA1D0E" w:rsidP="00AA511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06E89F1E" w14:textId="53FB28B6" w:rsidR="00FA1D0E" w:rsidRDefault="00FA1D0E" w:rsidP="00AA511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5F4F">
            <w:rPr>
              <w:i/>
              <w:sz w:val="18"/>
            </w:rPr>
            <w:t>National Health (Pharmaceutical Benefits) Amendment (2021 Measures No. 1) Regulations 2021</w:t>
          </w:r>
          <w:r w:rsidRPr="007A1328">
            <w:rPr>
              <w:i/>
              <w:sz w:val="18"/>
            </w:rPr>
            <w:fldChar w:fldCharType="end"/>
          </w:r>
        </w:p>
      </w:tc>
      <w:tc>
        <w:tcPr>
          <w:tcW w:w="1384" w:type="dxa"/>
          <w:tcBorders>
            <w:top w:val="nil"/>
            <w:left w:val="nil"/>
            <w:bottom w:val="nil"/>
            <w:right w:val="nil"/>
          </w:tcBorders>
        </w:tcPr>
        <w:p w14:paraId="252CED95" w14:textId="77777777" w:rsidR="00FA1D0E" w:rsidRDefault="00FA1D0E" w:rsidP="00AA511D">
          <w:pPr>
            <w:spacing w:line="0" w:lineRule="atLeast"/>
            <w:jc w:val="right"/>
            <w:rPr>
              <w:sz w:val="18"/>
            </w:rPr>
          </w:pPr>
        </w:p>
      </w:tc>
    </w:tr>
  </w:tbl>
  <w:p w14:paraId="5D4E109E" w14:textId="77777777" w:rsidR="00FA1D0E" w:rsidRPr="00AF32A3" w:rsidRDefault="00AF32A3" w:rsidP="00AF32A3">
    <w:pPr>
      <w:rPr>
        <w:rFonts w:cs="Times New Roman"/>
        <w:i/>
        <w:sz w:val="18"/>
      </w:rPr>
    </w:pPr>
    <w:r w:rsidRPr="00AF32A3">
      <w:rPr>
        <w:rFonts w:cs="Times New Roman"/>
        <w:i/>
        <w:sz w:val="18"/>
      </w:rPr>
      <w:t>OPC65429 -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AC3B3" w14:textId="77777777" w:rsidR="00FA1D0E" w:rsidRPr="00E33C1C" w:rsidRDefault="00FA1D0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A1D0E" w14:paraId="46FCBAD3" w14:textId="77777777" w:rsidTr="00AA511D">
      <w:tc>
        <w:tcPr>
          <w:tcW w:w="1384" w:type="dxa"/>
          <w:tcBorders>
            <w:top w:val="nil"/>
            <w:left w:val="nil"/>
            <w:bottom w:val="nil"/>
            <w:right w:val="nil"/>
          </w:tcBorders>
        </w:tcPr>
        <w:p w14:paraId="09E2709D" w14:textId="77777777" w:rsidR="00FA1D0E" w:rsidRDefault="00FA1D0E" w:rsidP="00AA511D">
          <w:pPr>
            <w:spacing w:line="0" w:lineRule="atLeast"/>
            <w:rPr>
              <w:sz w:val="18"/>
            </w:rPr>
          </w:pPr>
        </w:p>
      </w:tc>
      <w:tc>
        <w:tcPr>
          <w:tcW w:w="6379" w:type="dxa"/>
          <w:tcBorders>
            <w:top w:val="nil"/>
            <w:left w:val="nil"/>
            <w:bottom w:val="nil"/>
            <w:right w:val="nil"/>
          </w:tcBorders>
        </w:tcPr>
        <w:p w14:paraId="4F06EE8E" w14:textId="5FC88AFD" w:rsidR="00FA1D0E" w:rsidRDefault="00FA1D0E" w:rsidP="00AA511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5F4F">
            <w:rPr>
              <w:i/>
              <w:sz w:val="18"/>
            </w:rPr>
            <w:t>National Health (Pharmaceutical Benefits) Amendment (2021 Measures No. 1) Regulations 2021</w:t>
          </w:r>
          <w:r w:rsidRPr="007A1328">
            <w:rPr>
              <w:i/>
              <w:sz w:val="18"/>
            </w:rPr>
            <w:fldChar w:fldCharType="end"/>
          </w:r>
        </w:p>
      </w:tc>
      <w:tc>
        <w:tcPr>
          <w:tcW w:w="709" w:type="dxa"/>
          <w:tcBorders>
            <w:top w:val="nil"/>
            <w:left w:val="nil"/>
            <w:bottom w:val="nil"/>
            <w:right w:val="nil"/>
          </w:tcBorders>
        </w:tcPr>
        <w:p w14:paraId="57FAAE47" w14:textId="77777777" w:rsidR="00FA1D0E" w:rsidRDefault="00FA1D0E" w:rsidP="00AA511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14:paraId="6898131B" w14:textId="77777777" w:rsidR="00FA1D0E" w:rsidRPr="00AF32A3" w:rsidRDefault="00AF32A3" w:rsidP="00AF32A3">
    <w:pPr>
      <w:rPr>
        <w:rFonts w:cs="Times New Roman"/>
        <w:i/>
        <w:sz w:val="18"/>
      </w:rPr>
    </w:pPr>
    <w:r w:rsidRPr="00AF32A3">
      <w:rPr>
        <w:rFonts w:cs="Times New Roman"/>
        <w:i/>
        <w:sz w:val="18"/>
      </w:rPr>
      <w:t>OPC65429 -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E5101" w14:textId="77777777" w:rsidR="00FA1D0E" w:rsidRPr="00E33C1C" w:rsidRDefault="00FA1D0E"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FA1D0E" w14:paraId="580CE86A" w14:textId="77777777" w:rsidTr="007A6863">
      <w:tc>
        <w:tcPr>
          <w:tcW w:w="1384" w:type="dxa"/>
          <w:tcBorders>
            <w:top w:val="nil"/>
            <w:left w:val="nil"/>
            <w:bottom w:val="nil"/>
            <w:right w:val="nil"/>
          </w:tcBorders>
        </w:tcPr>
        <w:p w14:paraId="7F6641E4" w14:textId="77777777" w:rsidR="00FA1D0E" w:rsidRDefault="00FA1D0E" w:rsidP="00AA511D">
          <w:pPr>
            <w:spacing w:line="0" w:lineRule="atLeast"/>
            <w:rPr>
              <w:sz w:val="18"/>
            </w:rPr>
          </w:pPr>
        </w:p>
      </w:tc>
      <w:tc>
        <w:tcPr>
          <w:tcW w:w="6379" w:type="dxa"/>
          <w:tcBorders>
            <w:top w:val="nil"/>
            <w:left w:val="nil"/>
            <w:bottom w:val="nil"/>
            <w:right w:val="nil"/>
          </w:tcBorders>
        </w:tcPr>
        <w:p w14:paraId="10FAC051" w14:textId="0984BA1D" w:rsidR="00FA1D0E" w:rsidRDefault="00FA1D0E" w:rsidP="00AA511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5F4F">
            <w:rPr>
              <w:i/>
              <w:sz w:val="18"/>
            </w:rPr>
            <w:t>National Health (Pharmaceutical Benefits) Amendment (2021 Measures No. 1) Regulations 2021</w:t>
          </w:r>
          <w:r w:rsidRPr="007A1328">
            <w:rPr>
              <w:i/>
              <w:sz w:val="18"/>
            </w:rPr>
            <w:fldChar w:fldCharType="end"/>
          </w:r>
        </w:p>
      </w:tc>
      <w:tc>
        <w:tcPr>
          <w:tcW w:w="709" w:type="dxa"/>
          <w:tcBorders>
            <w:top w:val="nil"/>
            <w:left w:val="nil"/>
            <w:bottom w:val="nil"/>
            <w:right w:val="nil"/>
          </w:tcBorders>
        </w:tcPr>
        <w:p w14:paraId="7EB099E5" w14:textId="77777777" w:rsidR="00FA1D0E" w:rsidRDefault="00FA1D0E" w:rsidP="00AA511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r>
  </w:tbl>
  <w:p w14:paraId="023D1F07" w14:textId="77777777" w:rsidR="00FA1D0E" w:rsidRPr="00AF32A3" w:rsidRDefault="00AF32A3" w:rsidP="00AF32A3">
    <w:pPr>
      <w:rPr>
        <w:rFonts w:cs="Times New Roman"/>
        <w:i/>
        <w:sz w:val="18"/>
      </w:rPr>
    </w:pPr>
    <w:r w:rsidRPr="00AF32A3">
      <w:rPr>
        <w:rFonts w:cs="Times New Roman"/>
        <w:i/>
        <w:sz w:val="18"/>
      </w:rPr>
      <w:t>OPC65429 -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5DE9E" w14:textId="77777777" w:rsidR="007D7945" w:rsidRDefault="007D7945" w:rsidP="0048364F">
      <w:pPr>
        <w:spacing w:line="240" w:lineRule="auto"/>
      </w:pPr>
      <w:r>
        <w:separator/>
      </w:r>
    </w:p>
  </w:footnote>
  <w:footnote w:type="continuationSeparator" w:id="0">
    <w:p w14:paraId="31BAD3AD" w14:textId="77777777" w:rsidR="007D7945" w:rsidRDefault="007D794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BD559" w14:textId="77777777" w:rsidR="007D7945" w:rsidRPr="005F1388" w:rsidRDefault="007D7945"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A5AFE" w14:textId="77777777" w:rsidR="007D7945" w:rsidRPr="005F1388" w:rsidRDefault="007D7945"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AF3E8" w14:textId="77777777" w:rsidR="007D7945" w:rsidRPr="005F1388" w:rsidRDefault="007D7945"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FCE6D" w14:textId="77777777" w:rsidR="007D7945" w:rsidRPr="00ED79B6" w:rsidRDefault="007D7945" w:rsidP="00220A0C">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96826" w14:textId="77777777" w:rsidR="007D7945" w:rsidRPr="00ED79B6" w:rsidRDefault="007D7945" w:rsidP="00220A0C">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3E17D" w14:textId="77777777" w:rsidR="007D7945" w:rsidRPr="00ED79B6" w:rsidRDefault="007D7945"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348A7" w14:textId="2AED47C0" w:rsidR="007D7945" w:rsidRPr="00A961C4" w:rsidRDefault="007D7945" w:rsidP="0048364F">
    <w:pPr>
      <w:rPr>
        <w:b/>
        <w:sz w:val="20"/>
      </w:rPr>
    </w:pPr>
    <w:r>
      <w:rPr>
        <w:b/>
        <w:sz w:val="20"/>
      </w:rPr>
      <w:fldChar w:fldCharType="begin"/>
    </w:r>
    <w:r>
      <w:rPr>
        <w:b/>
        <w:sz w:val="20"/>
      </w:rPr>
      <w:instrText xml:space="preserve"> STYLEREF CharAmSchNo </w:instrText>
    </w:r>
    <w:r>
      <w:rPr>
        <w:b/>
        <w:sz w:val="20"/>
      </w:rPr>
      <w:fldChar w:fldCharType="separate"/>
    </w:r>
    <w:r w:rsidR="005D156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5D156A">
      <w:rPr>
        <w:noProof/>
        <w:sz w:val="20"/>
      </w:rPr>
      <w:t>Amendments</w:t>
    </w:r>
    <w:r>
      <w:rPr>
        <w:sz w:val="20"/>
      </w:rPr>
      <w:fldChar w:fldCharType="end"/>
    </w:r>
  </w:p>
  <w:p w14:paraId="6FD6E37D" w14:textId="321DAE1E" w:rsidR="007D7945" w:rsidRPr="00A961C4" w:rsidRDefault="007D7945" w:rsidP="0048364F">
    <w:pPr>
      <w:rPr>
        <w:b/>
        <w:sz w:val="20"/>
      </w:rPr>
    </w:pPr>
    <w:r>
      <w:rPr>
        <w:b/>
        <w:sz w:val="20"/>
      </w:rPr>
      <w:fldChar w:fldCharType="begin"/>
    </w:r>
    <w:r>
      <w:rPr>
        <w:b/>
        <w:sz w:val="20"/>
      </w:rPr>
      <w:instrText xml:space="preserve"> STYLEREF CharAmPartNo </w:instrText>
    </w:r>
    <w:r>
      <w:rPr>
        <w:b/>
        <w:sz w:val="20"/>
      </w:rPr>
      <w:fldChar w:fldCharType="separate"/>
    </w:r>
    <w:r w:rsidR="005D156A">
      <w:rPr>
        <w:b/>
        <w:noProof/>
        <w:sz w:val="20"/>
      </w:rPr>
      <w:t>Part 1</w: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separate"/>
    </w:r>
    <w:r w:rsidR="005D156A">
      <w:rPr>
        <w:noProof/>
        <w:sz w:val="20"/>
      </w:rPr>
      <w:t>Amendments commencing 1 July 2022</w:t>
    </w:r>
    <w:r>
      <w:rPr>
        <w:sz w:val="20"/>
      </w:rPr>
      <w:fldChar w:fldCharType="end"/>
    </w:r>
  </w:p>
  <w:p w14:paraId="21E234CA" w14:textId="77777777" w:rsidR="007D7945" w:rsidRPr="00A961C4" w:rsidRDefault="007D7945"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931F9" w14:textId="2FD1566D" w:rsidR="007D7945" w:rsidRPr="00A961C4" w:rsidRDefault="007D7945"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14:paraId="2A2EF6B3" w14:textId="49EC942B" w:rsidR="007D7945" w:rsidRPr="00A961C4" w:rsidRDefault="007D794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6BAF150" w14:textId="77777777" w:rsidR="007D7945" w:rsidRPr="00A961C4" w:rsidRDefault="007D7945" w:rsidP="007F48ED">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7613C" w14:textId="77777777" w:rsidR="007D7945" w:rsidRPr="00A961C4" w:rsidRDefault="007D7945"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E24"/>
    <w:rsid w:val="00000263"/>
    <w:rsid w:val="00000AC9"/>
    <w:rsid w:val="000113BC"/>
    <w:rsid w:val="000136AF"/>
    <w:rsid w:val="00013C90"/>
    <w:rsid w:val="00030593"/>
    <w:rsid w:val="00032C07"/>
    <w:rsid w:val="000345CA"/>
    <w:rsid w:val="00034976"/>
    <w:rsid w:val="000353D1"/>
    <w:rsid w:val="00036E24"/>
    <w:rsid w:val="0004044E"/>
    <w:rsid w:val="00044EE3"/>
    <w:rsid w:val="00046F47"/>
    <w:rsid w:val="000508E1"/>
    <w:rsid w:val="0005120E"/>
    <w:rsid w:val="00054577"/>
    <w:rsid w:val="00057EF1"/>
    <w:rsid w:val="000614BF"/>
    <w:rsid w:val="00062B23"/>
    <w:rsid w:val="00070088"/>
    <w:rsid w:val="00070438"/>
    <w:rsid w:val="0007169C"/>
    <w:rsid w:val="00073035"/>
    <w:rsid w:val="00077593"/>
    <w:rsid w:val="00081312"/>
    <w:rsid w:val="00083F48"/>
    <w:rsid w:val="000A7DF9"/>
    <w:rsid w:val="000B4EDB"/>
    <w:rsid w:val="000C6A1E"/>
    <w:rsid w:val="000C6A7F"/>
    <w:rsid w:val="000C7C04"/>
    <w:rsid w:val="000D05EF"/>
    <w:rsid w:val="000D5485"/>
    <w:rsid w:val="000D5ACB"/>
    <w:rsid w:val="000E0178"/>
    <w:rsid w:val="000F0108"/>
    <w:rsid w:val="000F1907"/>
    <w:rsid w:val="000F21C1"/>
    <w:rsid w:val="000F322D"/>
    <w:rsid w:val="00102A7C"/>
    <w:rsid w:val="00105D72"/>
    <w:rsid w:val="00105DC3"/>
    <w:rsid w:val="00106903"/>
    <w:rsid w:val="0010745C"/>
    <w:rsid w:val="00117277"/>
    <w:rsid w:val="00117601"/>
    <w:rsid w:val="001336E7"/>
    <w:rsid w:val="00144705"/>
    <w:rsid w:val="00160BD7"/>
    <w:rsid w:val="001643C9"/>
    <w:rsid w:val="00165568"/>
    <w:rsid w:val="00166082"/>
    <w:rsid w:val="00166C2F"/>
    <w:rsid w:val="001716C9"/>
    <w:rsid w:val="001818BE"/>
    <w:rsid w:val="00184261"/>
    <w:rsid w:val="00190BA1"/>
    <w:rsid w:val="00190DF5"/>
    <w:rsid w:val="00193461"/>
    <w:rsid w:val="001939E1"/>
    <w:rsid w:val="00194CB4"/>
    <w:rsid w:val="00195382"/>
    <w:rsid w:val="00195B86"/>
    <w:rsid w:val="001A09D8"/>
    <w:rsid w:val="001A1C8A"/>
    <w:rsid w:val="001A3B9F"/>
    <w:rsid w:val="001A65C0"/>
    <w:rsid w:val="001B121A"/>
    <w:rsid w:val="001B1C21"/>
    <w:rsid w:val="001B4A91"/>
    <w:rsid w:val="001B5675"/>
    <w:rsid w:val="001B6456"/>
    <w:rsid w:val="001B7A5D"/>
    <w:rsid w:val="001C69C4"/>
    <w:rsid w:val="001E0A8D"/>
    <w:rsid w:val="001E1375"/>
    <w:rsid w:val="001E3590"/>
    <w:rsid w:val="001E7407"/>
    <w:rsid w:val="001F0338"/>
    <w:rsid w:val="001F1F6D"/>
    <w:rsid w:val="001F3C81"/>
    <w:rsid w:val="00201D27"/>
    <w:rsid w:val="0020300C"/>
    <w:rsid w:val="00207EFF"/>
    <w:rsid w:val="0021570E"/>
    <w:rsid w:val="00220A0C"/>
    <w:rsid w:val="00223364"/>
    <w:rsid w:val="00223E4A"/>
    <w:rsid w:val="002302EA"/>
    <w:rsid w:val="00233AFA"/>
    <w:rsid w:val="00240749"/>
    <w:rsid w:val="002468D7"/>
    <w:rsid w:val="00284116"/>
    <w:rsid w:val="00285CDD"/>
    <w:rsid w:val="002867DC"/>
    <w:rsid w:val="00291167"/>
    <w:rsid w:val="0029614C"/>
    <w:rsid w:val="00297ECB"/>
    <w:rsid w:val="002A2CFF"/>
    <w:rsid w:val="002B045F"/>
    <w:rsid w:val="002B2B58"/>
    <w:rsid w:val="002B608C"/>
    <w:rsid w:val="002C152A"/>
    <w:rsid w:val="002C2958"/>
    <w:rsid w:val="002C3730"/>
    <w:rsid w:val="002C468C"/>
    <w:rsid w:val="002C7D2A"/>
    <w:rsid w:val="002D043A"/>
    <w:rsid w:val="002D2271"/>
    <w:rsid w:val="002F4571"/>
    <w:rsid w:val="00310B7F"/>
    <w:rsid w:val="0031713F"/>
    <w:rsid w:val="00321913"/>
    <w:rsid w:val="00321EA1"/>
    <w:rsid w:val="00324EE6"/>
    <w:rsid w:val="003316DC"/>
    <w:rsid w:val="00332E0D"/>
    <w:rsid w:val="00333342"/>
    <w:rsid w:val="00333A66"/>
    <w:rsid w:val="003415D3"/>
    <w:rsid w:val="00346335"/>
    <w:rsid w:val="00351CC0"/>
    <w:rsid w:val="00352B0F"/>
    <w:rsid w:val="003561B0"/>
    <w:rsid w:val="00361F8B"/>
    <w:rsid w:val="00365952"/>
    <w:rsid w:val="00367960"/>
    <w:rsid w:val="003A15AC"/>
    <w:rsid w:val="003A5438"/>
    <w:rsid w:val="003A56EB"/>
    <w:rsid w:val="003A5D2C"/>
    <w:rsid w:val="003B0627"/>
    <w:rsid w:val="003B6E24"/>
    <w:rsid w:val="003C5F2B"/>
    <w:rsid w:val="003D0BFE"/>
    <w:rsid w:val="003D0C03"/>
    <w:rsid w:val="003D5700"/>
    <w:rsid w:val="003D6AE9"/>
    <w:rsid w:val="003D73CD"/>
    <w:rsid w:val="003E25FF"/>
    <w:rsid w:val="003F0F5A"/>
    <w:rsid w:val="0040082A"/>
    <w:rsid w:val="00400A30"/>
    <w:rsid w:val="004022CA"/>
    <w:rsid w:val="004116CD"/>
    <w:rsid w:val="00414ADE"/>
    <w:rsid w:val="00424CA9"/>
    <w:rsid w:val="004257BB"/>
    <w:rsid w:val="004261D9"/>
    <w:rsid w:val="0044291A"/>
    <w:rsid w:val="00460499"/>
    <w:rsid w:val="00460DB7"/>
    <w:rsid w:val="00464C57"/>
    <w:rsid w:val="004673B9"/>
    <w:rsid w:val="00467E57"/>
    <w:rsid w:val="00474835"/>
    <w:rsid w:val="004749E9"/>
    <w:rsid w:val="00476E85"/>
    <w:rsid w:val="004819C7"/>
    <w:rsid w:val="0048364F"/>
    <w:rsid w:val="00490F2E"/>
    <w:rsid w:val="00496DB3"/>
    <w:rsid w:val="00496F97"/>
    <w:rsid w:val="004A42AF"/>
    <w:rsid w:val="004A53EA"/>
    <w:rsid w:val="004A58AC"/>
    <w:rsid w:val="004A7F6A"/>
    <w:rsid w:val="004D615C"/>
    <w:rsid w:val="004D7D5A"/>
    <w:rsid w:val="004E155E"/>
    <w:rsid w:val="004F1FAC"/>
    <w:rsid w:val="004F676E"/>
    <w:rsid w:val="00501BB6"/>
    <w:rsid w:val="00516B8D"/>
    <w:rsid w:val="00520141"/>
    <w:rsid w:val="00525FEF"/>
    <w:rsid w:val="0052686F"/>
    <w:rsid w:val="0052756C"/>
    <w:rsid w:val="00530230"/>
    <w:rsid w:val="00530CC9"/>
    <w:rsid w:val="00531099"/>
    <w:rsid w:val="00537FBC"/>
    <w:rsid w:val="00541D73"/>
    <w:rsid w:val="00543469"/>
    <w:rsid w:val="005452CC"/>
    <w:rsid w:val="00546FA3"/>
    <w:rsid w:val="00554243"/>
    <w:rsid w:val="00557C7A"/>
    <w:rsid w:val="0056160B"/>
    <w:rsid w:val="00562A58"/>
    <w:rsid w:val="00581211"/>
    <w:rsid w:val="00584811"/>
    <w:rsid w:val="00584AC3"/>
    <w:rsid w:val="00593AA6"/>
    <w:rsid w:val="00594161"/>
    <w:rsid w:val="00594512"/>
    <w:rsid w:val="00594749"/>
    <w:rsid w:val="005A0C5C"/>
    <w:rsid w:val="005A482B"/>
    <w:rsid w:val="005A6682"/>
    <w:rsid w:val="005A776E"/>
    <w:rsid w:val="005B4067"/>
    <w:rsid w:val="005C20B9"/>
    <w:rsid w:val="005C36E0"/>
    <w:rsid w:val="005C3F41"/>
    <w:rsid w:val="005D156A"/>
    <w:rsid w:val="005D168D"/>
    <w:rsid w:val="005D5EA1"/>
    <w:rsid w:val="005E61D3"/>
    <w:rsid w:val="005F6232"/>
    <w:rsid w:val="005F7120"/>
    <w:rsid w:val="005F7738"/>
    <w:rsid w:val="00600219"/>
    <w:rsid w:val="0060184F"/>
    <w:rsid w:val="00611D8B"/>
    <w:rsid w:val="00613DCB"/>
    <w:rsid w:val="00613EAD"/>
    <w:rsid w:val="0061539D"/>
    <w:rsid w:val="006158AC"/>
    <w:rsid w:val="00621766"/>
    <w:rsid w:val="00633A05"/>
    <w:rsid w:val="00637CDC"/>
    <w:rsid w:val="00640402"/>
    <w:rsid w:val="00640F78"/>
    <w:rsid w:val="00646E7B"/>
    <w:rsid w:val="00654D42"/>
    <w:rsid w:val="00655D6A"/>
    <w:rsid w:val="00656DE9"/>
    <w:rsid w:val="00677CC2"/>
    <w:rsid w:val="00685F42"/>
    <w:rsid w:val="006866A1"/>
    <w:rsid w:val="0069207B"/>
    <w:rsid w:val="006942C9"/>
    <w:rsid w:val="00695D90"/>
    <w:rsid w:val="006A4309"/>
    <w:rsid w:val="006B03CD"/>
    <w:rsid w:val="006B0E55"/>
    <w:rsid w:val="006B54B2"/>
    <w:rsid w:val="006B7006"/>
    <w:rsid w:val="006B7DB3"/>
    <w:rsid w:val="006C7F8C"/>
    <w:rsid w:val="006D31C3"/>
    <w:rsid w:val="006D7AB9"/>
    <w:rsid w:val="006E60CE"/>
    <w:rsid w:val="006F0D15"/>
    <w:rsid w:val="006F215A"/>
    <w:rsid w:val="006F2B71"/>
    <w:rsid w:val="00700B2C"/>
    <w:rsid w:val="00701A31"/>
    <w:rsid w:val="00702686"/>
    <w:rsid w:val="007057E6"/>
    <w:rsid w:val="00711D94"/>
    <w:rsid w:val="00713084"/>
    <w:rsid w:val="00720FC2"/>
    <w:rsid w:val="007226A5"/>
    <w:rsid w:val="007226F5"/>
    <w:rsid w:val="00730858"/>
    <w:rsid w:val="00731E00"/>
    <w:rsid w:val="00732E9D"/>
    <w:rsid w:val="0073491A"/>
    <w:rsid w:val="007440B7"/>
    <w:rsid w:val="00747993"/>
    <w:rsid w:val="007510E8"/>
    <w:rsid w:val="00755177"/>
    <w:rsid w:val="007634AD"/>
    <w:rsid w:val="00763661"/>
    <w:rsid w:val="00763881"/>
    <w:rsid w:val="007715C9"/>
    <w:rsid w:val="00774EDD"/>
    <w:rsid w:val="007757EC"/>
    <w:rsid w:val="00781745"/>
    <w:rsid w:val="00790DFE"/>
    <w:rsid w:val="007A115D"/>
    <w:rsid w:val="007A35E6"/>
    <w:rsid w:val="007A56AF"/>
    <w:rsid w:val="007A6863"/>
    <w:rsid w:val="007B625A"/>
    <w:rsid w:val="007C57AE"/>
    <w:rsid w:val="007D2FA6"/>
    <w:rsid w:val="007D45C1"/>
    <w:rsid w:val="007D7945"/>
    <w:rsid w:val="007E0318"/>
    <w:rsid w:val="007E520A"/>
    <w:rsid w:val="007E7D4A"/>
    <w:rsid w:val="007F3F61"/>
    <w:rsid w:val="007F48ED"/>
    <w:rsid w:val="007F73F9"/>
    <w:rsid w:val="007F7947"/>
    <w:rsid w:val="00812F45"/>
    <w:rsid w:val="00816F03"/>
    <w:rsid w:val="008223C5"/>
    <w:rsid w:val="00823B55"/>
    <w:rsid w:val="0084150D"/>
    <w:rsid w:val="0084172C"/>
    <w:rsid w:val="0084630A"/>
    <w:rsid w:val="00856A31"/>
    <w:rsid w:val="00856EEB"/>
    <w:rsid w:val="008651D0"/>
    <w:rsid w:val="00866983"/>
    <w:rsid w:val="008754D0"/>
    <w:rsid w:val="00877D48"/>
    <w:rsid w:val="008816F0"/>
    <w:rsid w:val="0088345B"/>
    <w:rsid w:val="008848DA"/>
    <w:rsid w:val="008A16A5"/>
    <w:rsid w:val="008A49BA"/>
    <w:rsid w:val="008B3132"/>
    <w:rsid w:val="008B5D42"/>
    <w:rsid w:val="008C2B5D"/>
    <w:rsid w:val="008C44A5"/>
    <w:rsid w:val="008D0EE0"/>
    <w:rsid w:val="008D1A1C"/>
    <w:rsid w:val="008D2CC3"/>
    <w:rsid w:val="008D59A0"/>
    <w:rsid w:val="008D5B99"/>
    <w:rsid w:val="008D7A27"/>
    <w:rsid w:val="008E1DF7"/>
    <w:rsid w:val="008E44F8"/>
    <w:rsid w:val="008E4702"/>
    <w:rsid w:val="008E69AA"/>
    <w:rsid w:val="008E707B"/>
    <w:rsid w:val="008F4F1C"/>
    <w:rsid w:val="00922764"/>
    <w:rsid w:val="00922DCC"/>
    <w:rsid w:val="00925FF3"/>
    <w:rsid w:val="00926D5E"/>
    <w:rsid w:val="00932377"/>
    <w:rsid w:val="00935380"/>
    <w:rsid w:val="00937AFA"/>
    <w:rsid w:val="009408EA"/>
    <w:rsid w:val="00943102"/>
    <w:rsid w:val="009433D3"/>
    <w:rsid w:val="00943C79"/>
    <w:rsid w:val="0094523D"/>
    <w:rsid w:val="009559E6"/>
    <w:rsid w:val="0095600B"/>
    <w:rsid w:val="00956103"/>
    <w:rsid w:val="00970CC8"/>
    <w:rsid w:val="00976A63"/>
    <w:rsid w:val="00983419"/>
    <w:rsid w:val="00994821"/>
    <w:rsid w:val="00997CA4"/>
    <w:rsid w:val="009B1938"/>
    <w:rsid w:val="009B2A52"/>
    <w:rsid w:val="009B301A"/>
    <w:rsid w:val="009C3431"/>
    <w:rsid w:val="009C5989"/>
    <w:rsid w:val="009D08DA"/>
    <w:rsid w:val="009E414E"/>
    <w:rsid w:val="009F4464"/>
    <w:rsid w:val="00A00FA5"/>
    <w:rsid w:val="00A02C15"/>
    <w:rsid w:val="00A03BA3"/>
    <w:rsid w:val="00A06554"/>
    <w:rsid w:val="00A06860"/>
    <w:rsid w:val="00A136F5"/>
    <w:rsid w:val="00A14B95"/>
    <w:rsid w:val="00A231E2"/>
    <w:rsid w:val="00A2550D"/>
    <w:rsid w:val="00A3072B"/>
    <w:rsid w:val="00A4169B"/>
    <w:rsid w:val="00A41C88"/>
    <w:rsid w:val="00A445F2"/>
    <w:rsid w:val="00A50D55"/>
    <w:rsid w:val="00A5165B"/>
    <w:rsid w:val="00A52FDA"/>
    <w:rsid w:val="00A60595"/>
    <w:rsid w:val="00A64912"/>
    <w:rsid w:val="00A67BEF"/>
    <w:rsid w:val="00A70A74"/>
    <w:rsid w:val="00A90EA8"/>
    <w:rsid w:val="00AA0343"/>
    <w:rsid w:val="00AA0E83"/>
    <w:rsid w:val="00AA2A5C"/>
    <w:rsid w:val="00AA511D"/>
    <w:rsid w:val="00AB31BE"/>
    <w:rsid w:val="00AB7474"/>
    <w:rsid w:val="00AB78E9"/>
    <w:rsid w:val="00AD3467"/>
    <w:rsid w:val="00AD5641"/>
    <w:rsid w:val="00AD7252"/>
    <w:rsid w:val="00AE0F9B"/>
    <w:rsid w:val="00AE2DF3"/>
    <w:rsid w:val="00AF32A3"/>
    <w:rsid w:val="00AF55FF"/>
    <w:rsid w:val="00B032D8"/>
    <w:rsid w:val="00B14883"/>
    <w:rsid w:val="00B233D9"/>
    <w:rsid w:val="00B26FEB"/>
    <w:rsid w:val="00B304A8"/>
    <w:rsid w:val="00B33B3C"/>
    <w:rsid w:val="00B34A7D"/>
    <w:rsid w:val="00B374C0"/>
    <w:rsid w:val="00B40D74"/>
    <w:rsid w:val="00B41EAC"/>
    <w:rsid w:val="00B42B1F"/>
    <w:rsid w:val="00B52663"/>
    <w:rsid w:val="00B563E8"/>
    <w:rsid w:val="00B56DCB"/>
    <w:rsid w:val="00B64391"/>
    <w:rsid w:val="00B770D2"/>
    <w:rsid w:val="00B94AB8"/>
    <w:rsid w:val="00B94F68"/>
    <w:rsid w:val="00BA2265"/>
    <w:rsid w:val="00BA47A3"/>
    <w:rsid w:val="00BA5026"/>
    <w:rsid w:val="00BA5F4F"/>
    <w:rsid w:val="00BB1057"/>
    <w:rsid w:val="00BB6E79"/>
    <w:rsid w:val="00BD098E"/>
    <w:rsid w:val="00BE3B31"/>
    <w:rsid w:val="00BE40B1"/>
    <w:rsid w:val="00BE4EB6"/>
    <w:rsid w:val="00BE719A"/>
    <w:rsid w:val="00BE720A"/>
    <w:rsid w:val="00BF231D"/>
    <w:rsid w:val="00BF34FE"/>
    <w:rsid w:val="00BF6650"/>
    <w:rsid w:val="00C04DA5"/>
    <w:rsid w:val="00C05F5B"/>
    <w:rsid w:val="00C067E5"/>
    <w:rsid w:val="00C07C36"/>
    <w:rsid w:val="00C11EA4"/>
    <w:rsid w:val="00C12532"/>
    <w:rsid w:val="00C164CA"/>
    <w:rsid w:val="00C212EF"/>
    <w:rsid w:val="00C27096"/>
    <w:rsid w:val="00C3002F"/>
    <w:rsid w:val="00C42BF8"/>
    <w:rsid w:val="00C43E1C"/>
    <w:rsid w:val="00C460AE"/>
    <w:rsid w:val="00C50043"/>
    <w:rsid w:val="00C50A0F"/>
    <w:rsid w:val="00C524E8"/>
    <w:rsid w:val="00C52E0C"/>
    <w:rsid w:val="00C54C00"/>
    <w:rsid w:val="00C7573B"/>
    <w:rsid w:val="00C76CF3"/>
    <w:rsid w:val="00C84594"/>
    <w:rsid w:val="00C9767B"/>
    <w:rsid w:val="00CA32FA"/>
    <w:rsid w:val="00CA65A2"/>
    <w:rsid w:val="00CA7844"/>
    <w:rsid w:val="00CB58EF"/>
    <w:rsid w:val="00CD06BF"/>
    <w:rsid w:val="00CE6C00"/>
    <w:rsid w:val="00CE7D64"/>
    <w:rsid w:val="00CF0BB2"/>
    <w:rsid w:val="00CF5C58"/>
    <w:rsid w:val="00CF6AC1"/>
    <w:rsid w:val="00D125A2"/>
    <w:rsid w:val="00D13441"/>
    <w:rsid w:val="00D16AF4"/>
    <w:rsid w:val="00D16E77"/>
    <w:rsid w:val="00D20665"/>
    <w:rsid w:val="00D243A3"/>
    <w:rsid w:val="00D3200B"/>
    <w:rsid w:val="00D32784"/>
    <w:rsid w:val="00D33440"/>
    <w:rsid w:val="00D52EFE"/>
    <w:rsid w:val="00D54B5E"/>
    <w:rsid w:val="00D56A0D"/>
    <w:rsid w:val="00D5767F"/>
    <w:rsid w:val="00D63EF6"/>
    <w:rsid w:val="00D66518"/>
    <w:rsid w:val="00D70DFB"/>
    <w:rsid w:val="00D71EEA"/>
    <w:rsid w:val="00D735CD"/>
    <w:rsid w:val="00D766DF"/>
    <w:rsid w:val="00D81C7D"/>
    <w:rsid w:val="00D95891"/>
    <w:rsid w:val="00DA467C"/>
    <w:rsid w:val="00DB2B05"/>
    <w:rsid w:val="00DB5CB4"/>
    <w:rsid w:val="00DB6F4A"/>
    <w:rsid w:val="00DD3886"/>
    <w:rsid w:val="00DE149E"/>
    <w:rsid w:val="00DF5073"/>
    <w:rsid w:val="00DF55EF"/>
    <w:rsid w:val="00DF5E3D"/>
    <w:rsid w:val="00E047AB"/>
    <w:rsid w:val="00E05704"/>
    <w:rsid w:val="00E05FF5"/>
    <w:rsid w:val="00E12F1A"/>
    <w:rsid w:val="00E15561"/>
    <w:rsid w:val="00E21CFB"/>
    <w:rsid w:val="00E22935"/>
    <w:rsid w:val="00E2530C"/>
    <w:rsid w:val="00E35948"/>
    <w:rsid w:val="00E41ECD"/>
    <w:rsid w:val="00E472AA"/>
    <w:rsid w:val="00E51195"/>
    <w:rsid w:val="00E54292"/>
    <w:rsid w:val="00E60191"/>
    <w:rsid w:val="00E61005"/>
    <w:rsid w:val="00E65855"/>
    <w:rsid w:val="00E73047"/>
    <w:rsid w:val="00E74DC7"/>
    <w:rsid w:val="00E75B9E"/>
    <w:rsid w:val="00E811F8"/>
    <w:rsid w:val="00E87699"/>
    <w:rsid w:val="00E91AD8"/>
    <w:rsid w:val="00E92E27"/>
    <w:rsid w:val="00E9586B"/>
    <w:rsid w:val="00E97334"/>
    <w:rsid w:val="00EA0D36"/>
    <w:rsid w:val="00EA3EF5"/>
    <w:rsid w:val="00EC2B95"/>
    <w:rsid w:val="00EC6BAC"/>
    <w:rsid w:val="00ED0B2D"/>
    <w:rsid w:val="00ED4348"/>
    <w:rsid w:val="00ED4928"/>
    <w:rsid w:val="00EE3749"/>
    <w:rsid w:val="00EE6190"/>
    <w:rsid w:val="00EF2E3A"/>
    <w:rsid w:val="00EF6402"/>
    <w:rsid w:val="00F025DF"/>
    <w:rsid w:val="00F047E2"/>
    <w:rsid w:val="00F04D57"/>
    <w:rsid w:val="00F078DC"/>
    <w:rsid w:val="00F11163"/>
    <w:rsid w:val="00F13E86"/>
    <w:rsid w:val="00F14EE5"/>
    <w:rsid w:val="00F235EA"/>
    <w:rsid w:val="00F32FCB"/>
    <w:rsid w:val="00F43A5C"/>
    <w:rsid w:val="00F452CB"/>
    <w:rsid w:val="00F630C8"/>
    <w:rsid w:val="00F6474E"/>
    <w:rsid w:val="00F6709F"/>
    <w:rsid w:val="00F6721A"/>
    <w:rsid w:val="00F677A9"/>
    <w:rsid w:val="00F723BD"/>
    <w:rsid w:val="00F732EA"/>
    <w:rsid w:val="00F73F84"/>
    <w:rsid w:val="00F8175C"/>
    <w:rsid w:val="00F82BAC"/>
    <w:rsid w:val="00F84CF5"/>
    <w:rsid w:val="00F8612E"/>
    <w:rsid w:val="00F8629E"/>
    <w:rsid w:val="00F9083E"/>
    <w:rsid w:val="00FA1D0E"/>
    <w:rsid w:val="00FA420B"/>
    <w:rsid w:val="00FA514B"/>
    <w:rsid w:val="00FC482A"/>
    <w:rsid w:val="00FC5DD4"/>
    <w:rsid w:val="00FC6FDA"/>
    <w:rsid w:val="00FD28ED"/>
    <w:rsid w:val="00FE0781"/>
    <w:rsid w:val="00FF39DE"/>
    <w:rsid w:val="00FF425B"/>
    <w:rsid w:val="00FF5F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A32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0345CA"/>
    <w:pPr>
      <w:spacing w:line="260" w:lineRule="atLeast"/>
    </w:pPr>
    <w:rPr>
      <w:sz w:val="22"/>
    </w:rPr>
  </w:style>
  <w:style w:type="paragraph" w:styleId="Heading1">
    <w:name w:val="heading 1"/>
    <w:basedOn w:val="Normal"/>
    <w:next w:val="Normal"/>
    <w:link w:val="Heading1Char"/>
    <w:uiPriority w:val="9"/>
    <w:qFormat/>
    <w:rsid w:val="000345CA"/>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45CA"/>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45CA"/>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45CA"/>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345CA"/>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345CA"/>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345CA"/>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45CA"/>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345CA"/>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345CA"/>
  </w:style>
  <w:style w:type="paragraph" w:customStyle="1" w:styleId="OPCParaBase">
    <w:name w:val="OPCParaBase"/>
    <w:link w:val="OPCParaBaseChar"/>
    <w:qFormat/>
    <w:rsid w:val="000345CA"/>
    <w:pPr>
      <w:spacing w:line="260" w:lineRule="atLeast"/>
    </w:pPr>
    <w:rPr>
      <w:rFonts w:eastAsia="Times New Roman" w:cs="Times New Roman"/>
      <w:sz w:val="22"/>
      <w:lang w:eastAsia="en-AU"/>
    </w:rPr>
  </w:style>
  <w:style w:type="paragraph" w:customStyle="1" w:styleId="ShortT">
    <w:name w:val="ShortT"/>
    <w:basedOn w:val="OPCParaBase"/>
    <w:next w:val="Normal"/>
    <w:qFormat/>
    <w:rsid w:val="000345CA"/>
    <w:pPr>
      <w:spacing w:line="240" w:lineRule="auto"/>
    </w:pPr>
    <w:rPr>
      <w:b/>
      <w:sz w:val="40"/>
    </w:rPr>
  </w:style>
  <w:style w:type="paragraph" w:customStyle="1" w:styleId="ActHead1">
    <w:name w:val="ActHead 1"/>
    <w:aliases w:val="c"/>
    <w:basedOn w:val="OPCParaBase"/>
    <w:next w:val="Normal"/>
    <w:qFormat/>
    <w:rsid w:val="000345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345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345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345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345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345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345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345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345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345CA"/>
  </w:style>
  <w:style w:type="paragraph" w:customStyle="1" w:styleId="Blocks">
    <w:name w:val="Blocks"/>
    <w:aliases w:val="bb"/>
    <w:basedOn w:val="OPCParaBase"/>
    <w:qFormat/>
    <w:rsid w:val="000345CA"/>
    <w:pPr>
      <w:spacing w:line="240" w:lineRule="auto"/>
    </w:pPr>
    <w:rPr>
      <w:sz w:val="24"/>
    </w:rPr>
  </w:style>
  <w:style w:type="paragraph" w:customStyle="1" w:styleId="BoxText">
    <w:name w:val="BoxText"/>
    <w:aliases w:val="bt"/>
    <w:basedOn w:val="OPCParaBase"/>
    <w:qFormat/>
    <w:rsid w:val="000345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345CA"/>
    <w:rPr>
      <w:b/>
    </w:rPr>
  </w:style>
  <w:style w:type="paragraph" w:customStyle="1" w:styleId="BoxHeadItalic">
    <w:name w:val="BoxHeadItalic"/>
    <w:aliases w:val="bhi"/>
    <w:basedOn w:val="BoxText"/>
    <w:next w:val="BoxStep"/>
    <w:qFormat/>
    <w:rsid w:val="000345CA"/>
    <w:rPr>
      <w:i/>
    </w:rPr>
  </w:style>
  <w:style w:type="paragraph" w:customStyle="1" w:styleId="BoxList">
    <w:name w:val="BoxList"/>
    <w:aliases w:val="bl"/>
    <w:basedOn w:val="BoxText"/>
    <w:qFormat/>
    <w:rsid w:val="000345CA"/>
    <w:pPr>
      <w:ind w:left="1559" w:hanging="425"/>
    </w:pPr>
  </w:style>
  <w:style w:type="paragraph" w:customStyle="1" w:styleId="BoxNote">
    <w:name w:val="BoxNote"/>
    <w:aliases w:val="bn"/>
    <w:basedOn w:val="BoxText"/>
    <w:qFormat/>
    <w:rsid w:val="000345CA"/>
    <w:pPr>
      <w:tabs>
        <w:tab w:val="left" w:pos="1985"/>
      </w:tabs>
      <w:spacing w:before="122" w:line="198" w:lineRule="exact"/>
      <w:ind w:left="2948" w:hanging="1814"/>
    </w:pPr>
    <w:rPr>
      <w:sz w:val="18"/>
    </w:rPr>
  </w:style>
  <w:style w:type="paragraph" w:customStyle="1" w:styleId="BoxPara">
    <w:name w:val="BoxPara"/>
    <w:aliases w:val="bp"/>
    <w:basedOn w:val="BoxText"/>
    <w:qFormat/>
    <w:rsid w:val="000345CA"/>
    <w:pPr>
      <w:tabs>
        <w:tab w:val="right" w:pos="2268"/>
      </w:tabs>
      <w:ind w:left="2552" w:hanging="1418"/>
    </w:pPr>
  </w:style>
  <w:style w:type="paragraph" w:customStyle="1" w:styleId="BoxStep">
    <w:name w:val="BoxStep"/>
    <w:aliases w:val="bs"/>
    <w:basedOn w:val="BoxText"/>
    <w:qFormat/>
    <w:rsid w:val="000345CA"/>
    <w:pPr>
      <w:ind w:left="1985" w:hanging="851"/>
    </w:pPr>
  </w:style>
  <w:style w:type="character" w:customStyle="1" w:styleId="CharAmPartNo">
    <w:name w:val="CharAmPartNo"/>
    <w:basedOn w:val="OPCCharBase"/>
    <w:qFormat/>
    <w:rsid w:val="000345CA"/>
  </w:style>
  <w:style w:type="character" w:customStyle="1" w:styleId="CharAmPartText">
    <w:name w:val="CharAmPartText"/>
    <w:basedOn w:val="OPCCharBase"/>
    <w:qFormat/>
    <w:rsid w:val="000345CA"/>
  </w:style>
  <w:style w:type="character" w:customStyle="1" w:styleId="CharAmSchNo">
    <w:name w:val="CharAmSchNo"/>
    <w:basedOn w:val="OPCCharBase"/>
    <w:qFormat/>
    <w:rsid w:val="000345CA"/>
  </w:style>
  <w:style w:type="character" w:customStyle="1" w:styleId="CharAmSchText">
    <w:name w:val="CharAmSchText"/>
    <w:basedOn w:val="OPCCharBase"/>
    <w:qFormat/>
    <w:rsid w:val="000345CA"/>
  </w:style>
  <w:style w:type="character" w:customStyle="1" w:styleId="CharBoldItalic">
    <w:name w:val="CharBoldItalic"/>
    <w:basedOn w:val="OPCCharBase"/>
    <w:uiPriority w:val="1"/>
    <w:qFormat/>
    <w:rsid w:val="000345CA"/>
    <w:rPr>
      <w:b/>
      <w:i/>
    </w:rPr>
  </w:style>
  <w:style w:type="character" w:customStyle="1" w:styleId="CharChapNo">
    <w:name w:val="CharChapNo"/>
    <w:basedOn w:val="OPCCharBase"/>
    <w:uiPriority w:val="1"/>
    <w:qFormat/>
    <w:rsid w:val="000345CA"/>
  </w:style>
  <w:style w:type="character" w:customStyle="1" w:styleId="CharChapText">
    <w:name w:val="CharChapText"/>
    <w:basedOn w:val="OPCCharBase"/>
    <w:uiPriority w:val="1"/>
    <w:qFormat/>
    <w:rsid w:val="000345CA"/>
  </w:style>
  <w:style w:type="character" w:customStyle="1" w:styleId="CharDivNo">
    <w:name w:val="CharDivNo"/>
    <w:basedOn w:val="OPCCharBase"/>
    <w:uiPriority w:val="1"/>
    <w:qFormat/>
    <w:rsid w:val="000345CA"/>
  </w:style>
  <w:style w:type="character" w:customStyle="1" w:styleId="CharDivText">
    <w:name w:val="CharDivText"/>
    <w:basedOn w:val="OPCCharBase"/>
    <w:uiPriority w:val="1"/>
    <w:qFormat/>
    <w:rsid w:val="000345CA"/>
  </w:style>
  <w:style w:type="character" w:customStyle="1" w:styleId="CharItalic">
    <w:name w:val="CharItalic"/>
    <w:basedOn w:val="OPCCharBase"/>
    <w:uiPriority w:val="1"/>
    <w:qFormat/>
    <w:rsid w:val="000345CA"/>
    <w:rPr>
      <w:i/>
    </w:rPr>
  </w:style>
  <w:style w:type="character" w:customStyle="1" w:styleId="CharPartNo">
    <w:name w:val="CharPartNo"/>
    <w:basedOn w:val="OPCCharBase"/>
    <w:uiPriority w:val="1"/>
    <w:qFormat/>
    <w:rsid w:val="000345CA"/>
  </w:style>
  <w:style w:type="character" w:customStyle="1" w:styleId="CharPartText">
    <w:name w:val="CharPartText"/>
    <w:basedOn w:val="OPCCharBase"/>
    <w:uiPriority w:val="1"/>
    <w:qFormat/>
    <w:rsid w:val="000345CA"/>
  </w:style>
  <w:style w:type="character" w:customStyle="1" w:styleId="CharSectno">
    <w:name w:val="CharSectno"/>
    <w:basedOn w:val="OPCCharBase"/>
    <w:qFormat/>
    <w:rsid w:val="000345CA"/>
  </w:style>
  <w:style w:type="character" w:customStyle="1" w:styleId="CharSubdNo">
    <w:name w:val="CharSubdNo"/>
    <w:basedOn w:val="OPCCharBase"/>
    <w:uiPriority w:val="1"/>
    <w:qFormat/>
    <w:rsid w:val="000345CA"/>
  </w:style>
  <w:style w:type="character" w:customStyle="1" w:styleId="CharSubdText">
    <w:name w:val="CharSubdText"/>
    <w:basedOn w:val="OPCCharBase"/>
    <w:uiPriority w:val="1"/>
    <w:qFormat/>
    <w:rsid w:val="000345CA"/>
  </w:style>
  <w:style w:type="paragraph" w:customStyle="1" w:styleId="CTA--">
    <w:name w:val="CTA --"/>
    <w:basedOn w:val="OPCParaBase"/>
    <w:next w:val="Normal"/>
    <w:rsid w:val="000345CA"/>
    <w:pPr>
      <w:spacing w:before="60" w:line="240" w:lineRule="atLeast"/>
      <w:ind w:left="142" w:hanging="142"/>
    </w:pPr>
    <w:rPr>
      <w:sz w:val="20"/>
    </w:rPr>
  </w:style>
  <w:style w:type="paragraph" w:customStyle="1" w:styleId="CTA-">
    <w:name w:val="CTA -"/>
    <w:basedOn w:val="OPCParaBase"/>
    <w:rsid w:val="000345CA"/>
    <w:pPr>
      <w:spacing w:before="60" w:line="240" w:lineRule="atLeast"/>
      <w:ind w:left="85" w:hanging="85"/>
    </w:pPr>
    <w:rPr>
      <w:sz w:val="20"/>
    </w:rPr>
  </w:style>
  <w:style w:type="paragraph" w:customStyle="1" w:styleId="CTA---">
    <w:name w:val="CTA ---"/>
    <w:basedOn w:val="OPCParaBase"/>
    <w:next w:val="Normal"/>
    <w:rsid w:val="000345CA"/>
    <w:pPr>
      <w:spacing w:before="60" w:line="240" w:lineRule="atLeast"/>
      <w:ind w:left="198" w:hanging="198"/>
    </w:pPr>
    <w:rPr>
      <w:sz w:val="20"/>
    </w:rPr>
  </w:style>
  <w:style w:type="paragraph" w:customStyle="1" w:styleId="CTA----">
    <w:name w:val="CTA ----"/>
    <w:basedOn w:val="OPCParaBase"/>
    <w:next w:val="Normal"/>
    <w:rsid w:val="000345CA"/>
    <w:pPr>
      <w:spacing w:before="60" w:line="240" w:lineRule="atLeast"/>
      <w:ind w:left="255" w:hanging="255"/>
    </w:pPr>
    <w:rPr>
      <w:sz w:val="20"/>
    </w:rPr>
  </w:style>
  <w:style w:type="paragraph" w:customStyle="1" w:styleId="CTA1a">
    <w:name w:val="CTA 1(a)"/>
    <w:basedOn w:val="OPCParaBase"/>
    <w:rsid w:val="000345CA"/>
    <w:pPr>
      <w:tabs>
        <w:tab w:val="right" w:pos="414"/>
      </w:tabs>
      <w:spacing w:before="40" w:line="240" w:lineRule="atLeast"/>
      <w:ind w:left="675" w:hanging="675"/>
    </w:pPr>
    <w:rPr>
      <w:sz w:val="20"/>
    </w:rPr>
  </w:style>
  <w:style w:type="paragraph" w:customStyle="1" w:styleId="CTA1ai">
    <w:name w:val="CTA 1(a)(i)"/>
    <w:basedOn w:val="OPCParaBase"/>
    <w:rsid w:val="000345CA"/>
    <w:pPr>
      <w:tabs>
        <w:tab w:val="right" w:pos="1004"/>
      </w:tabs>
      <w:spacing w:before="40" w:line="240" w:lineRule="atLeast"/>
      <w:ind w:left="1253" w:hanging="1253"/>
    </w:pPr>
    <w:rPr>
      <w:sz w:val="20"/>
    </w:rPr>
  </w:style>
  <w:style w:type="paragraph" w:customStyle="1" w:styleId="CTA2a">
    <w:name w:val="CTA 2(a)"/>
    <w:basedOn w:val="OPCParaBase"/>
    <w:rsid w:val="000345CA"/>
    <w:pPr>
      <w:tabs>
        <w:tab w:val="right" w:pos="482"/>
      </w:tabs>
      <w:spacing w:before="40" w:line="240" w:lineRule="atLeast"/>
      <w:ind w:left="748" w:hanging="748"/>
    </w:pPr>
    <w:rPr>
      <w:sz w:val="20"/>
    </w:rPr>
  </w:style>
  <w:style w:type="paragraph" w:customStyle="1" w:styleId="CTA2ai">
    <w:name w:val="CTA 2(a)(i)"/>
    <w:basedOn w:val="OPCParaBase"/>
    <w:rsid w:val="000345CA"/>
    <w:pPr>
      <w:tabs>
        <w:tab w:val="right" w:pos="1089"/>
      </w:tabs>
      <w:spacing w:before="40" w:line="240" w:lineRule="atLeast"/>
      <w:ind w:left="1327" w:hanging="1327"/>
    </w:pPr>
    <w:rPr>
      <w:sz w:val="20"/>
    </w:rPr>
  </w:style>
  <w:style w:type="paragraph" w:customStyle="1" w:styleId="CTA3a">
    <w:name w:val="CTA 3(a)"/>
    <w:basedOn w:val="OPCParaBase"/>
    <w:rsid w:val="000345CA"/>
    <w:pPr>
      <w:tabs>
        <w:tab w:val="right" w:pos="556"/>
      </w:tabs>
      <w:spacing w:before="40" w:line="240" w:lineRule="atLeast"/>
      <w:ind w:left="805" w:hanging="805"/>
    </w:pPr>
    <w:rPr>
      <w:sz w:val="20"/>
    </w:rPr>
  </w:style>
  <w:style w:type="paragraph" w:customStyle="1" w:styleId="CTA3ai">
    <w:name w:val="CTA 3(a)(i)"/>
    <w:basedOn w:val="OPCParaBase"/>
    <w:rsid w:val="000345CA"/>
    <w:pPr>
      <w:tabs>
        <w:tab w:val="right" w:pos="1140"/>
      </w:tabs>
      <w:spacing w:before="40" w:line="240" w:lineRule="atLeast"/>
      <w:ind w:left="1361" w:hanging="1361"/>
    </w:pPr>
    <w:rPr>
      <w:sz w:val="20"/>
    </w:rPr>
  </w:style>
  <w:style w:type="paragraph" w:customStyle="1" w:styleId="CTA4a">
    <w:name w:val="CTA 4(a)"/>
    <w:basedOn w:val="OPCParaBase"/>
    <w:rsid w:val="000345CA"/>
    <w:pPr>
      <w:tabs>
        <w:tab w:val="right" w:pos="624"/>
      </w:tabs>
      <w:spacing w:before="40" w:line="240" w:lineRule="atLeast"/>
      <w:ind w:left="873" w:hanging="873"/>
    </w:pPr>
    <w:rPr>
      <w:sz w:val="20"/>
    </w:rPr>
  </w:style>
  <w:style w:type="paragraph" w:customStyle="1" w:styleId="CTA4ai">
    <w:name w:val="CTA 4(a)(i)"/>
    <w:basedOn w:val="OPCParaBase"/>
    <w:rsid w:val="000345CA"/>
    <w:pPr>
      <w:tabs>
        <w:tab w:val="right" w:pos="1213"/>
      </w:tabs>
      <w:spacing w:before="40" w:line="240" w:lineRule="atLeast"/>
      <w:ind w:left="1452" w:hanging="1452"/>
    </w:pPr>
    <w:rPr>
      <w:sz w:val="20"/>
    </w:rPr>
  </w:style>
  <w:style w:type="paragraph" w:customStyle="1" w:styleId="CTACAPS">
    <w:name w:val="CTA CAPS"/>
    <w:basedOn w:val="OPCParaBase"/>
    <w:rsid w:val="000345CA"/>
    <w:pPr>
      <w:spacing w:before="60" w:line="240" w:lineRule="atLeast"/>
    </w:pPr>
    <w:rPr>
      <w:sz w:val="20"/>
    </w:rPr>
  </w:style>
  <w:style w:type="paragraph" w:customStyle="1" w:styleId="CTAright">
    <w:name w:val="CTA right"/>
    <w:basedOn w:val="OPCParaBase"/>
    <w:rsid w:val="000345CA"/>
    <w:pPr>
      <w:spacing w:before="60" w:line="240" w:lineRule="auto"/>
      <w:jc w:val="right"/>
    </w:pPr>
    <w:rPr>
      <w:sz w:val="20"/>
    </w:rPr>
  </w:style>
  <w:style w:type="paragraph" w:customStyle="1" w:styleId="subsection">
    <w:name w:val="subsection"/>
    <w:aliases w:val="ss,Subsection"/>
    <w:basedOn w:val="OPCParaBase"/>
    <w:link w:val="subsectionChar"/>
    <w:rsid w:val="000345CA"/>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345CA"/>
    <w:pPr>
      <w:spacing w:before="180" w:line="240" w:lineRule="auto"/>
      <w:ind w:left="1134"/>
    </w:pPr>
  </w:style>
  <w:style w:type="paragraph" w:customStyle="1" w:styleId="ETAsubitem">
    <w:name w:val="ETA(subitem)"/>
    <w:basedOn w:val="OPCParaBase"/>
    <w:rsid w:val="000345CA"/>
    <w:pPr>
      <w:tabs>
        <w:tab w:val="right" w:pos="340"/>
      </w:tabs>
      <w:spacing w:before="60" w:line="240" w:lineRule="auto"/>
      <w:ind w:left="454" w:hanging="454"/>
    </w:pPr>
    <w:rPr>
      <w:sz w:val="20"/>
    </w:rPr>
  </w:style>
  <w:style w:type="paragraph" w:customStyle="1" w:styleId="ETApara">
    <w:name w:val="ETA(para)"/>
    <w:basedOn w:val="OPCParaBase"/>
    <w:rsid w:val="000345CA"/>
    <w:pPr>
      <w:tabs>
        <w:tab w:val="right" w:pos="754"/>
      </w:tabs>
      <w:spacing w:before="60" w:line="240" w:lineRule="auto"/>
      <w:ind w:left="828" w:hanging="828"/>
    </w:pPr>
    <w:rPr>
      <w:sz w:val="20"/>
    </w:rPr>
  </w:style>
  <w:style w:type="paragraph" w:customStyle="1" w:styleId="ETAsubpara">
    <w:name w:val="ETA(subpara)"/>
    <w:basedOn w:val="OPCParaBase"/>
    <w:rsid w:val="000345CA"/>
    <w:pPr>
      <w:tabs>
        <w:tab w:val="right" w:pos="1083"/>
      </w:tabs>
      <w:spacing w:before="60" w:line="240" w:lineRule="auto"/>
      <w:ind w:left="1191" w:hanging="1191"/>
    </w:pPr>
    <w:rPr>
      <w:sz w:val="20"/>
    </w:rPr>
  </w:style>
  <w:style w:type="paragraph" w:customStyle="1" w:styleId="ETAsub-subpara">
    <w:name w:val="ETA(sub-subpara)"/>
    <w:basedOn w:val="OPCParaBase"/>
    <w:rsid w:val="000345CA"/>
    <w:pPr>
      <w:tabs>
        <w:tab w:val="right" w:pos="1412"/>
      </w:tabs>
      <w:spacing w:before="60" w:line="240" w:lineRule="auto"/>
      <w:ind w:left="1525" w:hanging="1525"/>
    </w:pPr>
    <w:rPr>
      <w:sz w:val="20"/>
    </w:rPr>
  </w:style>
  <w:style w:type="paragraph" w:customStyle="1" w:styleId="Formula">
    <w:name w:val="Formula"/>
    <w:basedOn w:val="OPCParaBase"/>
    <w:rsid w:val="000345CA"/>
    <w:pPr>
      <w:spacing w:line="240" w:lineRule="auto"/>
      <w:ind w:left="1134"/>
    </w:pPr>
    <w:rPr>
      <w:sz w:val="20"/>
    </w:rPr>
  </w:style>
  <w:style w:type="paragraph" w:styleId="Header">
    <w:name w:val="header"/>
    <w:basedOn w:val="OPCParaBase"/>
    <w:link w:val="HeaderChar"/>
    <w:unhideWhenUsed/>
    <w:rsid w:val="000345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345CA"/>
    <w:rPr>
      <w:rFonts w:eastAsia="Times New Roman" w:cs="Times New Roman"/>
      <w:sz w:val="16"/>
      <w:lang w:eastAsia="en-AU"/>
    </w:rPr>
  </w:style>
  <w:style w:type="paragraph" w:customStyle="1" w:styleId="House">
    <w:name w:val="House"/>
    <w:basedOn w:val="OPCParaBase"/>
    <w:rsid w:val="000345CA"/>
    <w:pPr>
      <w:spacing w:line="240" w:lineRule="auto"/>
    </w:pPr>
    <w:rPr>
      <w:sz w:val="28"/>
    </w:rPr>
  </w:style>
  <w:style w:type="paragraph" w:customStyle="1" w:styleId="Item">
    <w:name w:val="Item"/>
    <w:aliases w:val="i"/>
    <w:basedOn w:val="OPCParaBase"/>
    <w:next w:val="ItemHead"/>
    <w:rsid w:val="000345CA"/>
    <w:pPr>
      <w:keepLines/>
      <w:spacing w:before="80" w:line="240" w:lineRule="auto"/>
      <w:ind w:left="709"/>
    </w:pPr>
  </w:style>
  <w:style w:type="paragraph" w:customStyle="1" w:styleId="ItemHead">
    <w:name w:val="ItemHead"/>
    <w:aliases w:val="ih"/>
    <w:basedOn w:val="OPCParaBase"/>
    <w:next w:val="Item"/>
    <w:rsid w:val="000345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345CA"/>
    <w:pPr>
      <w:spacing w:line="240" w:lineRule="auto"/>
    </w:pPr>
    <w:rPr>
      <w:b/>
      <w:sz w:val="32"/>
    </w:rPr>
  </w:style>
  <w:style w:type="paragraph" w:customStyle="1" w:styleId="notedraft">
    <w:name w:val="note(draft)"/>
    <w:aliases w:val="nd"/>
    <w:basedOn w:val="OPCParaBase"/>
    <w:rsid w:val="000345CA"/>
    <w:pPr>
      <w:spacing w:before="240" w:line="240" w:lineRule="auto"/>
      <w:ind w:left="284" w:hanging="284"/>
    </w:pPr>
    <w:rPr>
      <w:i/>
      <w:sz w:val="24"/>
    </w:rPr>
  </w:style>
  <w:style w:type="paragraph" w:customStyle="1" w:styleId="notemargin">
    <w:name w:val="note(margin)"/>
    <w:aliases w:val="nm"/>
    <w:basedOn w:val="OPCParaBase"/>
    <w:rsid w:val="000345CA"/>
    <w:pPr>
      <w:tabs>
        <w:tab w:val="left" w:pos="709"/>
      </w:tabs>
      <w:spacing w:before="122" w:line="198" w:lineRule="exact"/>
      <w:ind w:left="709" w:hanging="709"/>
    </w:pPr>
    <w:rPr>
      <w:sz w:val="18"/>
    </w:rPr>
  </w:style>
  <w:style w:type="paragraph" w:customStyle="1" w:styleId="noteToPara">
    <w:name w:val="noteToPara"/>
    <w:aliases w:val="ntp"/>
    <w:basedOn w:val="OPCParaBase"/>
    <w:rsid w:val="000345CA"/>
    <w:pPr>
      <w:spacing w:before="122" w:line="198" w:lineRule="exact"/>
      <w:ind w:left="2353" w:hanging="709"/>
    </w:pPr>
    <w:rPr>
      <w:sz w:val="18"/>
    </w:rPr>
  </w:style>
  <w:style w:type="paragraph" w:customStyle="1" w:styleId="noteParlAmend">
    <w:name w:val="note(ParlAmend)"/>
    <w:aliases w:val="npp"/>
    <w:basedOn w:val="OPCParaBase"/>
    <w:next w:val="ParlAmend"/>
    <w:rsid w:val="000345CA"/>
    <w:pPr>
      <w:spacing w:line="240" w:lineRule="auto"/>
      <w:jc w:val="right"/>
    </w:pPr>
    <w:rPr>
      <w:rFonts w:ascii="Arial" w:hAnsi="Arial"/>
      <w:b/>
      <w:i/>
    </w:rPr>
  </w:style>
  <w:style w:type="paragraph" w:customStyle="1" w:styleId="Page1">
    <w:name w:val="Page1"/>
    <w:basedOn w:val="OPCParaBase"/>
    <w:rsid w:val="000345CA"/>
    <w:pPr>
      <w:spacing w:before="5600" w:line="240" w:lineRule="auto"/>
    </w:pPr>
    <w:rPr>
      <w:b/>
      <w:sz w:val="32"/>
    </w:rPr>
  </w:style>
  <w:style w:type="paragraph" w:customStyle="1" w:styleId="PageBreak">
    <w:name w:val="PageBreak"/>
    <w:aliases w:val="pb"/>
    <w:basedOn w:val="OPCParaBase"/>
    <w:rsid w:val="000345CA"/>
    <w:pPr>
      <w:spacing w:line="240" w:lineRule="auto"/>
    </w:pPr>
    <w:rPr>
      <w:sz w:val="20"/>
    </w:rPr>
  </w:style>
  <w:style w:type="paragraph" w:customStyle="1" w:styleId="paragraphsub">
    <w:name w:val="paragraph(sub)"/>
    <w:aliases w:val="aa"/>
    <w:basedOn w:val="OPCParaBase"/>
    <w:rsid w:val="000345CA"/>
    <w:pPr>
      <w:tabs>
        <w:tab w:val="right" w:pos="1985"/>
      </w:tabs>
      <w:spacing w:before="40" w:line="240" w:lineRule="auto"/>
      <w:ind w:left="2098" w:hanging="2098"/>
    </w:pPr>
  </w:style>
  <w:style w:type="paragraph" w:customStyle="1" w:styleId="paragraphsub-sub">
    <w:name w:val="paragraph(sub-sub)"/>
    <w:aliases w:val="aaa"/>
    <w:basedOn w:val="OPCParaBase"/>
    <w:rsid w:val="000345CA"/>
    <w:pPr>
      <w:tabs>
        <w:tab w:val="right" w:pos="2722"/>
      </w:tabs>
      <w:spacing w:before="40" w:line="240" w:lineRule="auto"/>
      <w:ind w:left="2835" w:hanging="2835"/>
    </w:pPr>
  </w:style>
  <w:style w:type="paragraph" w:customStyle="1" w:styleId="paragraph">
    <w:name w:val="paragraph"/>
    <w:aliases w:val="a"/>
    <w:basedOn w:val="OPCParaBase"/>
    <w:link w:val="paragraphChar"/>
    <w:rsid w:val="000345CA"/>
    <w:pPr>
      <w:tabs>
        <w:tab w:val="right" w:pos="1531"/>
      </w:tabs>
      <w:spacing w:before="40" w:line="240" w:lineRule="auto"/>
      <w:ind w:left="1644" w:hanging="1644"/>
    </w:pPr>
  </w:style>
  <w:style w:type="paragraph" w:customStyle="1" w:styleId="ParlAmend">
    <w:name w:val="ParlAmend"/>
    <w:aliases w:val="pp"/>
    <w:basedOn w:val="OPCParaBase"/>
    <w:rsid w:val="000345CA"/>
    <w:pPr>
      <w:spacing w:before="240" w:line="240" w:lineRule="atLeast"/>
      <w:ind w:hanging="567"/>
    </w:pPr>
    <w:rPr>
      <w:sz w:val="24"/>
    </w:rPr>
  </w:style>
  <w:style w:type="paragraph" w:customStyle="1" w:styleId="Penalty">
    <w:name w:val="Penalty"/>
    <w:basedOn w:val="OPCParaBase"/>
    <w:rsid w:val="000345CA"/>
    <w:pPr>
      <w:tabs>
        <w:tab w:val="left" w:pos="2977"/>
      </w:tabs>
      <w:spacing w:before="180" w:line="240" w:lineRule="auto"/>
      <w:ind w:left="1985" w:hanging="851"/>
    </w:pPr>
  </w:style>
  <w:style w:type="paragraph" w:customStyle="1" w:styleId="Portfolio">
    <w:name w:val="Portfolio"/>
    <w:basedOn w:val="OPCParaBase"/>
    <w:rsid w:val="000345CA"/>
    <w:pPr>
      <w:spacing w:line="240" w:lineRule="auto"/>
    </w:pPr>
    <w:rPr>
      <w:i/>
      <w:sz w:val="20"/>
    </w:rPr>
  </w:style>
  <w:style w:type="paragraph" w:customStyle="1" w:styleId="Preamble">
    <w:name w:val="Preamble"/>
    <w:basedOn w:val="OPCParaBase"/>
    <w:next w:val="Normal"/>
    <w:rsid w:val="000345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345CA"/>
    <w:pPr>
      <w:spacing w:line="240" w:lineRule="auto"/>
    </w:pPr>
    <w:rPr>
      <w:i/>
      <w:sz w:val="20"/>
    </w:rPr>
  </w:style>
  <w:style w:type="paragraph" w:customStyle="1" w:styleId="Session">
    <w:name w:val="Session"/>
    <w:basedOn w:val="OPCParaBase"/>
    <w:rsid w:val="000345CA"/>
    <w:pPr>
      <w:spacing w:line="240" w:lineRule="auto"/>
    </w:pPr>
    <w:rPr>
      <w:sz w:val="28"/>
    </w:rPr>
  </w:style>
  <w:style w:type="paragraph" w:customStyle="1" w:styleId="Sponsor">
    <w:name w:val="Sponsor"/>
    <w:basedOn w:val="OPCParaBase"/>
    <w:rsid w:val="000345CA"/>
    <w:pPr>
      <w:spacing w:line="240" w:lineRule="auto"/>
    </w:pPr>
    <w:rPr>
      <w:i/>
    </w:rPr>
  </w:style>
  <w:style w:type="paragraph" w:customStyle="1" w:styleId="Subitem">
    <w:name w:val="Subitem"/>
    <w:aliases w:val="iss"/>
    <w:basedOn w:val="OPCParaBase"/>
    <w:rsid w:val="000345CA"/>
    <w:pPr>
      <w:spacing w:before="180" w:line="240" w:lineRule="auto"/>
      <w:ind w:left="709" w:hanging="709"/>
    </w:pPr>
  </w:style>
  <w:style w:type="paragraph" w:customStyle="1" w:styleId="SubitemHead">
    <w:name w:val="SubitemHead"/>
    <w:aliases w:val="issh"/>
    <w:basedOn w:val="OPCParaBase"/>
    <w:rsid w:val="000345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345CA"/>
    <w:pPr>
      <w:spacing w:before="40" w:line="240" w:lineRule="auto"/>
      <w:ind w:left="1134"/>
    </w:pPr>
  </w:style>
  <w:style w:type="paragraph" w:customStyle="1" w:styleId="SubsectionHead">
    <w:name w:val="SubsectionHead"/>
    <w:aliases w:val="ssh"/>
    <w:basedOn w:val="OPCParaBase"/>
    <w:next w:val="subsection"/>
    <w:rsid w:val="000345CA"/>
    <w:pPr>
      <w:keepNext/>
      <w:keepLines/>
      <w:spacing w:before="240" w:line="240" w:lineRule="auto"/>
      <w:ind w:left="1134"/>
    </w:pPr>
    <w:rPr>
      <w:i/>
    </w:rPr>
  </w:style>
  <w:style w:type="paragraph" w:customStyle="1" w:styleId="Tablea">
    <w:name w:val="Table(a)"/>
    <w:aliases w:val="ta"/>
    <w:basedOn w:val="OPCParaBase"/>
    <w:rsid w:val="000345CA"/>
    <w:pPr>
      <w:spacing w:before="60" w:line="240" w:lineRule="auto"/>
      <w:ind w:left="284" w:hanging="284"/>
    </w:pPr>
    <w:rPr>
      <w:sz w:val="20"/>
    </w:rPr>
  </w:style>
  <w:style w:type="paragraph" w:customStyle="1" w:styleId="TableAA">
    <w:name w:val="Table(AA)"/>
    <w:aliases w:val="taaa"/>
    <w:basedOn w:val="OPCParaBase"/>
    <w:rsid w:val="000345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345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345CA"/>
    <w:pPr>
      <w:spacing w:before="60" w:line="240" w:lineRule="atLeast"/>
    </w:pPr>
    <w:rPr>
      <w:sz w:val="20"/>
    </w:rPr>
  </w:style>
  <w:style w:type="paragraph" w:customStyle="1" w:styleId="TLPBoxTextnote">
    <w:name w:val="TLPBoxText(note"/>
    <w:aliases w:val="right)"/>
    <w:basedOn w:val="OPCParaBase"/>
    <w:rsid w:val="000345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345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345CA"/>
    <w:pPr>
      <w:spacing w:before="122" w:line="198" w:lineRule="exact"/>
      <w:ind w:left="1985" w:hanging="851"/>
      <w:jc w:val="right"/>
    </w:pPr>
    <w:rPr>
      <w:sz w:val="18"/>
    </w:rPr>
  </w:style>
  <w:style w:type="paragraph" w:customStyle="1" w:styleId="TLPTableBullet">
    <w:name w:val="TLPTableBullet"/>
    <w:aliases w:val="ttb"/>
    <w:basedOn w:val="OPCParaBase"/>
    <w:rsid w:val="000345CA"/>
    <w:pPr>
      <w:spacing w:line="240" w:lineRule="exact"/>
      <w:ind w:left="284" w:hanging="284"/>
    </w:pPr>
    <w:rPr>
      <w:sz w:val="20"/>
    </w:rPr>
  </w:style>
  <w:style w:type="paragraph" w:styleId="TOC1">
    <w:name w:val="toc 1"/>
    <w:basedOn w:val="Normal"/>
    <w:next w:val="Normal"/>
    <w:uiPriority w:val="39"/>
    <w:unhideWhenUsed/>
    <w:rsid w:val="000345CA"/>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345CA"/>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345CA"/>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345CA"/>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345CA"/>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345CA"/>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345CA"/>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345CA"/>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345CA"/>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345CA"/>
    <w:pPr>
      <w:keepLines/>
      <w:spacing w:before="240" w:after="120" w:line="240" w:lineRule="auto"/>
      <w:ind w:left="794"/>
    </w:pPr>
    <w:rPr>
      <w:b/>
      <w:kern w:val="28"/>
      <w:sz w:val="20"/>
    </w:rPr>
  </w:style>
  <w:style w:type="paragraph" w:customStyle="1" w:styleId="TofSectsHeading">
    <w:name w:val="TofSects(Heading)"/>
    <w:basedOn w:val="OPCParaBase"/>
    <w:rsid w:val="000345CA"/>
    <w:pPr>
      <w:spacing w:before="240" w:after="120" w:line="240" w:lineRule="auto"/>
    </w:pPr>
    <w:rPr>
      <w:b/>
      <w:sz w:val="24"/>
    </w:rPr>
  </w:style>
  <w:style w:type="paragraph" w:customStyle="1" w:styleId="TofSectsSection">
    <w:name w:val="TofSects(Section)"/>
    <w:basedOn w:val="OPCParaBase"/>
    <w:rsid w:val="000345CA"/>
    <w:pPr>
      <w:keepLines/>
      <w:spacing w:before="40" w:line="240" w:lineRule="auto"/>
      <w:ind w:left="1588" w:hanging="794"/>
    </w:pPr>
    <w:rPr>
      <w:kern w:val="28"/>
      <w:sz w:val="18"/>
    </w:rPr>
  </w:style>
  <w:style w:type="paragraph" w:customStyle="1" w:styleId="TofSectsSubdiv">
    <w:name w:val="TofSects(Subdiv)"/>
    <w:basedOn w:val="OPCParaBase"/>
    <w:rsid w:val="000345CA"/>
    <w:pPr>
      <w:keepLines/>
      <w:spacing w:before="80" w:line="240" w:lineRule="auto"/>
      <w:ind w:left="1588" w:hanging="794"/>
    </w:pPr>
    <w:rPr>
      <w:kern w:val="28"/>
    </w:rPr>
  </w:style>
  <w:style w:type="paragraph" w:customStyle="1" w:styleId="WRStyle">
    <w:name w:val="WR Style"/>
    <w:aliases w:val="WR"/>
    <w:basedOn w:val="OPCParaBase"/>
    <w:rsid w:val="000345CA"/>
    <w:pPr>
      <w:spacing w:before="240" w:line="240" w:lineRule="auto"/>
      <w:ind w:left="284" w:hanging="284"/>
    </w:pPr>
    <w:rPr>
      <w:b/>
      <w:i/>
      <w:kern w:val="28"/>
      <w:sz w:val="24"/>
    </w:rPr>
  </w:style>
  <w:style w:type="paragraph" w:customStyle="1" w:styleId="notepara">
    <w:name w:val="note(para)"/>
    <w:aliases w:val="na"/>
    <w:basedOn w:val="OPCParaBase"/>
    <w:rsid w:val="000345CA"/>
    <w:pPr>
      <w:spacing w:before="40" w:line="198" w:lineRule="exact"/>
      <w:ind w:left="2354" w:hanging="369"/>
    </w:pPr>
    <w:rPr>
      <w:sz w:val="18"/>
    </w:rPr>
  </w:style>
  <w:style w:type="paragraph" w:styleId="Footer">
    <w:name w:val="footer"/>
    <w:link w:val="FooterChar"/>
    <w:rsid w:val="000345CA"/>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345CA"/>
    <w:rPr>
      <w:rFonts w:eastAsia="Times New Roman" w:cs="Times New Roman"/>
      <w:sz w:val="22"/>
      <w:szCs w:val="24"/>
      <w:lang w:eastAsia="en-AU"/>
    </w:rPr>
  </w:style>
  <w:style w:type="character" w:styleId="LineNumber">
    <w:name w:val="line number"/>
    <w:basedOn w:val="OPCCharBase"/>
    <w:uiPriority w:val="99"/>
    <w:unhideWhenUsed/>
    <w:rsid w:val="000345CA"/>
    <w:rPr>
      <w:sz w:val="16"/>
    </w:rPr>
  </w:style>
  <w:style w:type="table" w:customStyle="1" w:styleId="CFlag">
    <w:name w:val="CFlag"/>
    <w:basedOn w:val="TableNormal"/>
    <w:uiPriority w:val="99"/>
    <w:rsid w:val="000345CA"/>
    <w:rPr>
      <w:rFonts w:eastAsia="Times New Roman" w:cs="Times New Roman"/>
      <w:lang w:eastAsia="en-AU"/>
    </w:rPr>
    <w:tblPr/>
  </w:style>
  <w:style w:type="paragraph" w:styleId="BalloonText">
    <w:name w:val="Balloon Text"/>
    <w:basedOn w:val="Normal"/>
    <w:link w:val="BalloonTextChar"/>
    <w:uiPriority w:val="99"/>
    <w:unhideWhenUsed/>
    <w:rsid w:val="000345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345CA"/>
    <w:rPr>
      <w:rFonts w:ascii="Tahoma" w:hAnsi="Tahoma" w:cs="Tahoma"/>
      <w:sz w:val="16"/>
      <w:szCs w:val="16"/>
    </w:rPr>
  </w:style>
  <w:style w:type="table" w:styleId="TableGrid">
    <w:name w:val="Table Grid"/>
    <w:basedOn w:val="TableNormal"/>
    <w:uiPriority w:val="59"/>
    <w:rsid w:val="00034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345CA"/>
    <w:rPr>
      <w:b/>
      <w:sz w:val="28"/>
      <w:szCs w:val="32"/>
    </w:rPr>
  </w:style>
  <w:style w:type="paragraph" w:customStyle="1" w:styleId="LegislationMadeUnder">
    <w:name w:val="LegislationMadeUnder"/>
    <w:basedOn w:val="OPCParaBase"/>
    <w:next w:val="Normal"/>
    <w:rsid w:val="000345CA"/>
    <w:rPr>
      <w:i/>
      <w:sz w:val="32"/>
      <w:szCs w:val="32"/>
    </w:rPr>
  </w:style>
  <w:style w:type="paragraph" w:customStyle="1" w:styleId="SignCoverPageEnd">
    <w:name w:val="SignCoverPageEnd"/>
    <w:basedOn w:val="OPCParaBase"/>
    <w:next w:val="Normal"/>
    <w:rsid w:val="000345CA"/>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345CA"/>
    <w:pPr>
      <w:pBdr>
        <w:top w:val="single" w:sz="4" w:space="1" w:color="auto"/>
      </w:pBdr>
      <w:spacing w:before="360"/>
      <w:ind w:right="397"/>
      <w:jc w:val="both"/>
    </w:pPr>
  </w:style>
  <w:style w:type="paragraph" w:customStyle="1" w:styleId="NotesHeading1">
    <w:name w:val="NotesHeading 1"/>
    <w:basedOn w:val="OPCParaBase"/>
    <w:next w:val="Normal"/>
    <w:rsid w:val="000345CA"/>
    <w:rPr>
      <w:b/>
      <w:sz w:val="28"/>
      <w:szCs w:val="28"/>
    </w:rPr>
  </w:style>
  <w:style w:type="paragraph" w:customStyle="1" w:styleId="NotesHeading2">
    <w:name w:val="NotesHeading 2"/>
    <w:basedOn w:val="OPCParaBase"/>
    <w:next w:val="Normal"/>
    <w:rsid w:val="000345CA"/>
    <w:rPr>
      <w:b/>
      <w:sz w:val="28"/>
      <w:szCs w:val="28"/>
    </w:rPr>
  </w:style>
  <w:style w:type="paragraph" w:customStyle="1" w:styleId="ENotesText">
    <w:name w:val="ENotesText"/>
    <w:aliases w:val="Ent"/>
    <w:basedOn w:val="OPCParaBase"/>
    <w:next w:val="Normal"/>
    <w:rsid w:val="000345CA"/>
    <w:pPr>
      <w:spacing w:before="120"/>
    </w:pPr>
  </w:style>
  <w:style w:type="paragraph" w:customStyle="1" w:styleId="CompiledActNo">
    <w:name w:val="CompiledActNo"/>
    <w:basedOn w:val="OPCParaBase"/>
    <w:next w:val="Normal"/>
    <w:rsid w:val="000345CA"/>
    <w:rPr>
      <w:b/>
      <w:sz w:val="24"/>
      <w:szCs w:val="24"/>
    </w:rPr>
  </w:style>
  <w:style w:type="paragraph" w:customStyle="1" w:styleId="CompiledMadeUnder">
    <w:name w:val="CompiledMadeUnder"/>
    <w:basedOn w:val="OPCParaBase"/>
    <w:next w:val="Normal"/>
    <w:rsid w:val="000345CA"/>
    <w:rPr>
      <w:i/>
      <w:sz w:val="24"/>
      <w:szCs w:val="24"/>
    </w:rPr>
  </w:style>
  <w:style w:type="paragraph" w:customStyle="1" w:styleId="Paragraphsub-sub-sub">
    <w:name w:val="Paragraph(sub-sub-sub)"/>
    <w:aliases w:val="aaaa"/>
    <w:basedOn w:val="OPCParaBase"/>
    <w:rsid w:val="000345CA"/>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345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345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345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345CA"/>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345CA"/>
    <w:pPr>
      <w:spacing w:before="60" w:line="240" w:lineRule="auto"/>
    </w:pPr>
    <w:rPr>
      <w:rFonts w:cs="Arial"/>
      <w:sz w:val="20"/>
      <w:szCs w:val="22"/>
    </w:rPr>
  </w:style>
  <w:style w:type="paragraph" w:customStyle="1" w:styleId="NoteToSubpara">
    <w:name w:val="NoteToSubpara"/>
    <w:aliases w:val="nts"/>
    <w:basedOn w:val="OPCParaBase"/>
    <w:rsid w:val="000345CA"/>
    <w:pPr>
      <w:spacing w:before="40" w:line="198" w:lineRule="exact"/>
      <w:ind w:left="2835" w:hanging="709"/>
    </w:pPr>
    <w:rPr>
      <w:sz w:val="18"/>
    </w:rPr>
  </w:style>
  <w:style w:type="paragraph" w:customStyle="1" w:styleId="ENoteTableHeading">
    <w:name w:val="ENoteTableHeading"/>
    <w:aliases w:val="enth"/>
    <w:basedOn w:val="OPCParaBase"/>
    <w:rsid w:val="000345CA"/>
    <w:pPr>
      <w:keepNext/>
      <w:spacing w:before="60" w:line="240" w:lineRule="atLeast"/>
    </w:pPr>
    <w:rPr>
      <w:rFonts w:ascii="Arial" w:hAnsi="Arial"/>
      <w:b/>
      <w:sz w:val="16"/>
    </w:rPr>
  </w:style>
  <w:style w:type="paragraph" w:customStyle="1" w:styleId="ENoteTTi">
    <w:name w:val="ENoteTTi"/>
    <w:aliases w:val="entti"/>
    <w:basedOn w:val="OPCParaBase"/>
    <w:rsid w:val="000345CA"/>
    <w:pPr>
      <w:keepNext/>
      <w:spacing w:before="60" w:line="240" w:lineRule="atLeast"/>
      <w:ind w:left="170"/>
    </w:pPr>
    <w:rPr>
      <w:sz w:val="16"/>
    </w:rPr>
  </w:style>
  <w:style w:type="paragraph" w:customStyle="1" w:styleId="ENotesHeading1">
    <w:name w:val="ENotesHeading 1"/>
    <w:aliases w:val="Enh1"/>
    <w:basedOn w:val="OPCParaBase"/>
    <w:next w:val="Normal"/>
    <w:rsid w:val="000345CA"/>
    <w:pPr>
      <w:spacing w:before="120"/>
      <w:outlineLvl w:val="1"/>
    </w:pPr>
    <w:rPr>
      <w:b/>
      <w:sz w:val="28"/>
      <w:szCs w:val="28"/>
    </w:rPr>
  </w:style>
  <w:style w:type="paragraph" w:customStyle="1" w:styleId="ENotesHeading2">
    <w:name w:val="ENotesHeading 2"/>
    <w:aliases w:val="Enh2"/>
    <w:basedOn w:val="OPCParaBase"/>
    <w:next w:val="Normal"/>
    <w:rsid w:val="000345CA"/>
    <w:pPr>
      <w:spacing w:before="120" w:after="120"/>
      <w:outlineLvl w:val="2"/>
    </w:pPr>
    <w:rPr>
      <w:b/>
      <w:sz w:val="24"/>
      <w:szCs w:val="28"/>
    </w:rPr>
  </w:style>
  <w:style w:type="paragraph" w:customStyle="1" w:styleId="ENoteTTIndentHeading">
    <w:name w:val="ENoteTTIndentHeading"/>
    <w:aliases w:val="enTTHi"/>
    <w:basedOn w:val="OPCParaBase"/>
    <w:rsid w:val="000345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345CA"/>
    <w:pPr>
      <w:spacing w:before="60" w:line="240" w:lineRule="atLeast"/>
    </w:pPr>
    <w:rPr>
      <w:sz w:val="16"/>
    </w:rPr>
  </w:style>
  <w:style w:type="paragraph" w:customStyle="1" w:styleId="MadeunderText">
    <w:name w:val="MadeunderText"/>
    <w:basedOn w:val="OPCParaBase"/>
    <w:next w:val="Normal"/>
    <w:rsid w:val="000345CA"/>
    <w:pPr>
      <w:spacing w:before="240"/>
    </w:pPr>
    <w:rPr>
      <w:sz w:val="24"/>
      <w:szCs w:val="24"/>
    </w:rPr>
  </w:style>
  <w:style w:type="paragraph" w:customStyle="1" w:styleId="ENotesHeading3">
    <w:name w:val="ENotesHeading 3"/>
    <w:aliases w:val="Enh3"/>
    <w:basedOn w:val="OPCParaBase"/>
    <w:next w:val="Normal"/>
    <w:rsid w:val="000345CA"/>
    <w:pPr>
      <w:keepNext/>
      <w:spacing w:before="120" w:line="240" w:lineRule="auto"/>
      <w:outlineLvl w:val="4"/>
    </w:pPr>
    <w:rPr>
      <w:b/>
      <w:szCs w:val="24"/>
    </w:rPr>
  </w:style>
  <w:style w:type="character" w:customStyle="1" w:styleId="CharSubPartTextCASA">
    <w:name w:val="CharSubPartText(CASA)"/>
    <w:basedOn w:val="OPCCharBase"/>
    <w:uiPriority w:val="1"/>
    <w:rsid w:val="000345CA"/>
  </w:style>
  <w:style w:type="character" w:customStyle="1" w:styleId="CharSubPartNoCASA">
    <w:name w:val="CharSubPartNo(CASA)"/>
    <w:basedOn w:val="OPCCharBase"/>
    <w:uiPriority w:val="1"/>
    <w:rsid w:val="000345CA"/>
  </w:style>
  <w:style w:type="paragraph" w:customStyle="1" w:styleId="ENoteTTIndentHeadingSub">
    <w:name w:val="ENoteTTIndentHeadingSub"/>
    <w:aliases w:val="enTTHis"/>
    <w:basedOn w:val="OPCParaBase"/>
    <w:rsid w:val="000345CA"/>
    <w:pPr>
      <w:keepNext/>
      <w:spacing w:before="60" w:line="240" w:lineRule="atLeast"/>
      <w:ind w:left="340"/>
    </w:pPr>
    <w:rPr>
      <w:b/>
      <w:sz w:val="16"/>
    </w:rPr>
  </w:style>
  <w:style w:type="paragraph" w:customStyle="1" w:styleId="ENoteTTiSub">
    <w:name w:val="ENoteTTiSub"/>
    <w:aliases w:val="enttis"/>
    <w:basedOn w:val="OPCParaBase"/>
    <w:rsid w:val="000345CA"/>
    <w:pPr>
      <w:keepNext/>
      <w:spacing w:before="60" w:line="240" w:lineRule="atLeast"/>
      <w:ind w:left="340"/>
    </w:pPr>
    <w:rPr>
      <w:sz w:val="16"/>
    </w:rPr>
  </w:style>
  <w:style w:type="paragraph" w:customStyle="1" w:styleId="SubDivisionMigration">
    <w:name w:val="SubDivisionMigration"/>
    <w:aliases w:val="sdm"/>
    <w:basedOn w:val="OPCParaBase"/>
    <w:rsid w:val="000345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345CA"/>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345CA"/>
    <w:pPr>
      <w:spacing w:before="122" w:line="240" w:lineRule="auto"/>
      <w:ind w:left="1985" w:hanging="851"/>
    </w:pPr>
    <w:rPr>
      <w:sz w:val="18"/>
    </w:rPr>
  </w:style>
  <w:style w:type="paragraph" w:customStyle="1" w:styleId="FreeForm">
    <w:name w:val="FreeForm"/>
    <w:rsid w:val="000345CA"/>
    <w:rPr>
      <w:rFonts w:ascii="Arial" w:hAnsi="Arial"/>
      <w:sz w:val="22"/>
    </w:rPr>
  </w:style>
  <w:style w:type="paragraph" w:customStyle="1" w:styleId="SOText">
    <w:name w:val="SO Text"/>
    <w:aliases w:val="sot"/>
    <w:link w:val="SOTextChar"/>
    <w:rsid w:val="000345CA"/>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345CA"/>
    <w:rPr>
      <w:sz w:val="22"/>
    </w:rPr>
  </w:style>
  <w:style w:type="paragraph" w:customStyle="1" w:styleId="SOTextNote">
    <w:name w:val="SO TextNote"/>
    <w:aliases w:val="sont"/>
    <w:basedOn w:val="SOText"/>
    <w:qFormat/>
    <w:rsid w:val="000345CA"/>
    <w:pPr>
      <w:spacing w:before="122" w:line="198" w:lineRule="exact"/>
      <w:ind w:left="1843" w:hanging="709"/>
    </w:pPr>
    <w:rPr>
      <w:sz w:val="18"/>
    </w:rPr>
  </w:style>
  <w:style w:type="paragraph" w:customStyle="1" w:styleId="SOPara">
    <w:name w:val="SO Para"/>
    <w:aliases w:val="soa"/>
    <w:basedOn w:val="SOText"/>
    <w:link w:val="SOParaChar"/>
    <w:qFormat/>
    <w:rsid w:val="000345CA"/>
    <w:pPr>
      <w:tabs>
        <w:tab w:val="right" w:pos="1786"/>
      </w:tabs>
      <w:spacing w:before="40"/>
      <w:ind w:left="2070" w:hanging="936"/>
    </w:pPr>
  </w:style>
  <w:style w:type="character" w:customStyle="1" w:styleId="SOParaChar">
    <w:name w:val="SO Para Char"/>
    <w:aliases w:val="soa Char"/>
    <w:basedOn w:val="DefaultParagraphFont"/>
    <w:link w:val="SOPara"/>
    <w:rsid w:val="000345CA"/>
    <w:rPr>
      <w:sz w:val="22"/>
    </w:rPr>
  </w:style>
  <w:style w:type="paragraph" w:customStyle="1" w:styleId="FileName">
    <w:name w:val="FileName"/>
    <w:basedOn w:val="Normal"/>
    <w:rsid w:val="000345CA"/>
  </w:style>
  <w:style w:type="paragraph" w:customStyle="1" w:styleId="TableHeading">
    <w:name w:val="TableHeading"/>
    <w:aliases w:val="th"/>
    <w:basedOn w:val="OPCParaBase"/>
    <w:next w:val="Tabletext"/>
    <w:rsid w:val="000345CA"/>
    <w:pPr>
      <w:keepNext/>
      <w:spacing w:before="60" w:line="240" w:lineRule="atLeast"/>
    </w:pPr>
    <w:rPr>
      <w:b/>
      <w:sz w:val="20"/>
    </w:rPr>
  </w:style>
  <w:style w:type="paragraph" w:customStyle="1" w:styleId="SOHeadBold">
    <w:name w:val="SO HeadBold"/>
    <w:aliases w:val="sohb"/>
    <w:basedOn w:val="SOText"/>
    <w:next w:val="SOText"/>
    <w:link w:val="SOHeadBoldChar"/>
    <w:qFormat/>
    <w:rsid w:val="000345CA"/>
    <w:rPr>
      <w:b/>
    </w:rPr>
  </w:style>
  <w:style w:type="character" w:customStyle="1" w:styleId="SOHeadBoldChar">
    <w:name w:val="SO HeadBold Char"/>
    <w:aliases w:val="sohb Char"/>
    <w:basedOn w:val="DefaultParagraphFont"/>
    <w:link w:val="SOHeadBold"/>
    <w:rsid w:val="000345CA"/>
    <w:rPr>
      <w:b/>
      <w:sz w:val="22"/>
    </w:rPr>
  </w:style>
  <w:style w:type="paragraph" w:customStyle="1" w:styleId="SOHeadItalic">
    <w:name w:val="SO HeadItalic"/>
    <w:aliases w:val="sohi"/>
    <w:basedOn w:val="SOText"/>
    <w:next w:val="SOText"/>
    <w:link w:val="SOHeadItalicChar"/>
    <w:qFormat/>
    <w:rsid w:val="000345CA"/>
    <w:rPr>
      <w:i/>
    </w:rPr>
  </w:style>
  <w:style w:type="character" w:customStyle="1" w:styleId="SOHeadItalicChar">
    <w:name w:val="SO HeadItalic Char"/>
    <w:aliases w:val="sohi Char"/>
    <w:basedOn w:val="DefaultParagraphFont"/>
    <w:link w:val="SOHeadItalic"/>
    <w:rsid w:val="000345CA"/>
    <w:rPr>
      <w:i/>
      <w:sz w:val="22"/>
    </w:rPr>
  </w:style>
  <w:style w:type="paragraph" w:customStyle="1" w:styleId="SOBullet">
    <w:name w:val="SO Bullet"/>
    <w:aliases w:val="sotb"/>
    <w:basedOn w:val="SOText"/>
    <w:link w:val="SOBulletChar"/>
    <w:qFormat/>
    <w:rsid w:val="000345CA"/>
    <w:pPr>
      <w:ind w:left="1559" w:hanging="425"/>
    </w:pPr>
  </w:style>
  <w:style w:type="character" w:customStyle="1" w:styleId="SOBulletChar">
    <w:name w:val="SO Bullet Char"/>
    <w:aliases w:val="sotb Char"/>
    <w:basedOn w:val="DefaultParagraphFont"/>
    <w:link w:val="SOBullet"/>
    <w:rsid w:val="000345CA"/>
    <w:rPr>
      <w:sz w:val="22"/>
    </w:rPr>
  </w:style>
  <w:style w:type="paragraph" w:customStyle="1" w:styleId="SOBulletNote">
    <w:name w:val="SO BulletNote"/>
    <w:aliases w:val="sonb"/>
    <w:basedOn w:val="SOTextNote"/>
    <w:link w:val="SOBulletNoteChar"/>
    <w:qFormat/>
    <w:rsid w:val="000345CA"/>
    <w:pPr>
      <w:tabs>
        <w:tab w:val="left" w:pos="1560"/>
      </w:tabs>
      <w:ind w:left="2268" w:hanging="1134"/>
    </w:pPr>
  </w:style>
  <w:style w:type="character" w:customStyle="1" w:styleId="SOBulletNoteChar">
    <w:name w:val="SO BulletNote Char"/>
    <w:aliases w:val="sonb Char"/>
    <w:basedOn w:val="DefaultParagraphFont"/>
    <w:link w:val="SOBulletNote"/>
    <w:rsid w:val="000345CA"/>
    <w:rPr>
      <w:sz w:val="18"/>
    </w:rPr>
  </w:style>
  <w:style w:type="paragraph" w:customStyle="1" w:styleId="SOText2">
    <w:name w:val="SO Text2"/>
    <w:aliases w:val="sot2"/>
    <w:basedOn w:val="Normal"/>
    <w:next w:val="SOText"/>
    <w:link w:val="SOText2Char"/>
    <w:rsid w:val="000345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345CA"/>
    <w:rPr>
      <w:sz w:val="22"/>
    </w:rPr>
  </w:style>
  <w:style w:type="paragraph" w:customStyle="1" w:styleId="SubPartCASA">
    <w:name w:val="SubPart(CASA)"/>
    <w:aliases w:val="csp"/>
    <w:basedOn w:val="OPCParaBase"/>
    <w:next w:val="ActHead3"/>
    <w:rsid w:val="000345CA"/>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345CA"/>
    <w:rPr>
      <w:rFonts w:eastAsia="Times New Roman" w:cs="Times New Roman"/>
      <w:sz w:val="22"/>
      <w:lang w:eastAsia="en-AU"/>
    </w:rPr>
  </w:style>
  <w:style w:type="character" w:customStyle="1" w:styleId="notetextChar">
    <w:name w:val="note(text) Char"/>
    <w:aliases w:val="n Char"/>
    <w:basedOn w:val="DefaultParagraphFont"/>
    <w:link w:val="notetext"/>
    <w:rsid w:val="000345CA"/>
    <w:rPr>
      <w:rFonts w:eastAsia="Times New Roman" w:cs="Times New Roman"/>
      <w:sz w:val="18"/>
      <w:lang w:eastAsia="en-AU"/>
    </w:rPr>
  </w:style>
  <w:style w:type="character" w:customStyle="1" w:styleId="Heading1Char">
    <w:name w:val="Heading 1 Char"/>
    <w:basedOn w:val="DefaultParagraphFont"/>
    <w:link w:val="Heading1"/>
    <w:uiPriority w:val="9"/>
    <w:rsid w:val="000345C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45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45C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345C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345C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345C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345C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345C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345CA"/>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0345CA"/>
  </w:style>
  <w:style w:type="character" w:customStyle="1" w:styleId="charlegsubtitle1">
    <w:name w:val="charlegsubtitle1"/>
    <w:basedOn w:val="DefaultParagraphFont"/>
    <w:rsid w:val="000345CA"/>
    <w:rPr>
      <w:rFonts w:ascii="Arial" w:hAnsi="Arial" w:cs="Arial" w:hint="default"/>
      <w:b/>
      <w:bCs/>
      <w:sz w:val="28"/>
      <w:szCs w:val="28"/>
    </w:rPr>
  </w:style>
  <w:style w:type="paragraph" w:styleId="Index1">
    <w:name w:val="index 1"/>
    <w:basedOn w:val="Normal"/>
    <w:next w:val="Normal"/>
    <w:autoRedefine/>
    <w:rsid w:val="000345CA"/>
    <w:pPr>
      <w:ind w:left="240" w:hanging="240"/>
    </w:pPr>
  </w:style>
  <w:style w:type="paragraph" w:styleId="Index2">
    <w:name w:val="index 2"/>
    <w:basedOn w:val="Normal"/>
    <w:next w:val="Normal"/>
    <w:autoRedefine/>
    <w:rsid w:val="000345CA"/>
    <w:pPr>
      <w:ind w:left="480" w:hanging="240"/>
    </w:pPr>
  </w:style>
  <w:style w:type="paragraph" w:styleId="Index3">
    <w:name w:val="index 3"/>
    <w:basedOn w:val="Normal"/>
    <w:next w:val="Normal"/>
    <w:autoRedefine/>
    <w:rsid w:val="000345CA"/>
    <w:pPr>
      <w:ind w:left="720" w:hanging="240"/>
    </w:pPr>
  </w:style>
  <w:style w:type="paragraph" w:styleId="Index4">
    <w:name w:val="index 4"/>
    <w:basedOn w:val="Normal"/>
    <w:next w:val="Normal"/>
    <w:autoRedefine/>
    <w:rsid w:val="000345CA"/>
    <w:pPr>
      <w:ind w:left="960" w:hanging="240"/>
    </w:pPr>
  </w:style>
  <w:style w:type="paragraph" w:styleId="Index5">
    <w:name w:val="index 5"/>
    <w:basedOn w:val="Normal"/>
    <w:next w:val="Normal"/>
    <w:autoRedefine/>
    <w:rsid w:val="000345CA"/>
    <w:pPr>
      <w:ind w:left="1200" w:hanging="240"/>
    </w:pPr>
  </w:style>
  <w:style w:type="paragraph" w:styleId="Index6">
    <w:name w:val="index 6"/>
    <w:basedOn w:val="Normal"/>
    <w:next w:val="Normal"/>
    <w:autoRedefine/>
    <w:rsid w:val="000345CA"/>
    <w:pPr>
      <w:ind w:left="1440" w:hanging="240"/>
    </w:pPr>
  </w:style>
  <w:style w:type="paragraph" w:styleId="Index7">
    <w:name w:val="index 7"/>
    <w:basedOn w:val="Normal"/>
    <w:next w:val="Normal"/>
    <w:autoRedefine/>
    <w:rsid w:val="000345CA"/>
    <w:pPr>
      <w:ind w:left="1680" w:hanging="240"/>
    </w:pPr>
  </w:style>
  <w:style w:type="paragraph" w:styleId="Index8">
    <w:name w:val="index 8"/>
    <w:basedOn w:val="Normal"/>
    <w:next w:val="Normal"/>
    <w:autoRedefine/>
    <w:rsid w:val="000345CA"/>
    <w:pPr>
      <w:ind w:left="1920" w:hanging="240"/>
    </w:pPr>
  </w:style>
  <w:style w:type="paragraph" w:styleId="Index9">
    <w:name w:val="index 9"/>
    <w:basedOn w:val="Normal"/>
    <w:next w:val="Normal"/>
    <w:autoRedefine/>
    <w:rsid w:val="000345CA"/>
    <w:pPr>
      <w:ind w:left="2160" w:hanging="240"/>
    </w:pPr>
  </w:style>
  <w:style w:type="paragraph" w:styleId="NormalIndent">
    <w:name w:val="Normal Indent"/>
    <w:basedOn w:val="Normal"/>
    <w:rsid w:val="000345CA"/>
    <w:pPr>
      <w:ind w:left="720"/>
    </w:pPr>
  </w:style>
  <w:style w:type="paragraph" w:styleId="FootnoteText">
    <w:name w:val="footnote text"/>
    <w:basedOn w:val="Normal"/>
    <w:link w:val="FootnoteTextChar"/>
    <w:rsid w:val="000345CA"/>
    <w:rPr>
      <w:sz w:val="20"/>
    </w:rPr>
  </w:style>
  <w:style w:type="character" w:customStyle="1" w:styleId="FootnoteTextChar">
    <w:name w:val="Footnote Text Char"/>
    <w:basedOn w:val="DefaultParagraphFont"/>
    <w:link w:val="FootnoteText"/>
    <w:rsid w:val="000345CA"/>
  </w:style>
  <w:style w:type="paragraph" w:styleId="CommentText">
    <w:name w:val="annotation text"/>
    <w:basedOn w:val="Normal"/>
    <w:link w:val="CommentTextChar"/>
    <w:rsid w:val="000345CA"/>
    <w:rPr>
      <w:sz w:val="20"/>
    </w:rPr>
  </w:style>
  <w:style w:type="character" w:customStyle="1" w:styleId="CommentTextChar">
    <w:name w:val="Comment Text Char"/>
    <w:basedOn w:val="DefaultParagraphFont"/>
    <w:link w:val="CommentText"/>
    <w:rsid w:val="000345CA"/>
  </w:style>
  <w:style w:type="paragraph" w:styleId="IndexHeading">
    <w:name w:val="index heading"/>
    <w:basedOn w:val="Normal"/>
    <w:next w:val="Index1"/>
    <w:rsid w:val="000345CA"/>
    <w:rPr>
      <w:rFonts w:ascii="Arial" w:hAnsi="Arial" w:cs="Arial"/>
      <w:b/>
      <w:bCs/>
    </w:rPr>
  </w:style>
  <w:style w:type="paragraph" w:styleId="Caption">
    <w:name w:val="caption"/>
    <w:basedOn w:val="Normal"/>
    <w:next w:val="Normal"/>
    <w:qFormat/>
    <w:rsid w:val="000345CA"/>
    <w:pPr>
      <w:spacing w:before="120" w:after="120"/>
    </w:pPr>
    <w:rPr>
      <w:b/>
      <w:bCs/>
      <w:sz w:val="20"/>
    </w:rPr>
  </w:style>
  <w:style w:type="paragraph" w:styleId="TableofFigures">
    <w:name w:val="table of figures"/>
    <w:basedOn w:val="Normal"/>
    <w:next w:val="Normal"/>
    <w:rsid w:val="000345CA"/>
    <w:pPr>
      <w:ind w:left="480" w:hanging="480"/>
    </w:pPr>
  </w:style>
  <w:style w:type="paragraph" w:styleId="EnvelopeAddress">
    <w:name w:val="envelope address"/>
    <w:basedOn w:val="Normal"/>
    <w:rsid w:val="000345C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345CA"/>
    <w:rPr>
      <w:rFonts w:ascii="Arial" w:hAnsi="Arial" w:cs="Arial"/>
      <w:sz w:val="20"/>
    </w:rPr>
  </w:style>
  <w:style w:type="character" w:styleId="FootnoteReference">
    <w:name w:val="footnote reference"/>
    <w:basedOn w:val="DefaultParagraphFont"/>
    <w:rsid w:val="000345CA"/>
    <w:rPr>
      <w:rFonts w:ascii="Times New Roman" w:hAnsi="Times New Roman"/>
      <w:sz w:val="20"/>
      <w:vertAlign w:val="superscript"/>
    </w:rPr>
  </w:style>
  <w:style w:type="character" w:styleId="CommentReference">
    <w:name w:val="annotation reference"/>
    <w:basedOn w:val="DefaultParagraphFont"/>
    <w:rsid w:val="000345CA"/>
    <w:rPr>
      <w:sz w:val="16"/>
      <w:szCs w:val="16"/>
    </w:rPr>
  </w:style>
  <w:style w:type="character" w:styleId="PageNumber">
    <w:name w:val="page number"/>
    <w:basedOn w:val="DefaultParagraphFont"/>
    <w:rsid w:val="000345CA"/>
  </w:style>
  <w:style w:type="character" w:styleId="EndnoteReference">
    <w:name w:val="endnote reference"/>
    <w:basedOn w:val="DefaultParagraphFont"/>
    <w:rsid w:val="000345CA"/>
    <w:rPr>
      <w:vertAlign w:val="superscript"/>
    </w:rPr>
  </w:style>
  <w:style w:type="paragraph" w:styleId="EndnoteText">
    <w:name w:val="endnote text"/>
    <w:basedOn w:val="Normal"/>
    <w:link w:val="EndnoteTextChar"/>
    <w:rsid w:val="000345CA"/>
    <w:rPr>
      <w:sz w:val="20"/>
    </w:rPr>
  </w:style>
  <w:style w:type="character" w:customStyle="1" w:styleId="EndnoteTextChar">
    <w:name w:val="Endnote Text Char"/>
    <w:basedOn w:val="DefaultParagraphFont"/>
    <w:link w:val="EndnoteText"/>
    <w:rsid w:val="000345CA"/>
  </w:style>
  <w:style w:type="paragraph" w:styleId="TableofAuthorities">
    <w:name w:val="table of authorities"/>
    <w:basedOn w:val="Normal"/>
    <w:next w:val="Normal"/>
    <w:rsid w:val="000345CA"/>
    <w:pPr>
      <w:ind w:left="240" w:hanging="240"/>
    </w:pPr>
  </w:style>
  <w:style w:type="paragraph" w:styleId="MacroText">
    <w:name w:val="macro"/>
    <w:link w:val="MacroTextChar"/>
    <w:rsid w:val="000345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345CA"/>
    <w:rPr>
      <w:rFonts w:ascii="Courier New" w:eastAsia="Times New Roman" w:hAnsi="Courier New" w:cs="Courier New"/>
      <w:lang w:eastAsia="en-AU"/>
    </w:rPr>
  </w:style>
  <w:style w:type="paragraph" w:styleId="TOAHeading">
    <w:name w:val="toa heading"/>
    <w:basedOn w:val="Normal"/>
    <w:next w:val="Normal"/>
    <w:rsid w:val="000345CA"/>
    <w:pPr>
      <w:spacing w:before="120"/>
    </w:pPr>
    <w:rPr>
      <w:rFonts w:ascii="Arial" w:hAnsi="Arial" w:cs="Arial"/>
      <w:b/>
      <w:bCs/>
    </w:rPr>
  </w:style>
  <w:style w:type="paragraph" w:styleId="List">
    <w:name w:val="List"/>
    <w:basedOn w:val="Normal"/>
    <w:rsid w:val="000345CA"/>
    <w:pPr>
      <w:ind w:left="283" w:hanging="283"/>
    </w:pPr>
  </w:style>
  <w:style w:type="paragraph" w:styleId="ListBullet">
    <w:name w:val="List Bullet"/>
    <w:basedOn w:val="Normal"/>
    <w:autoRedefine/>
    <w:rsid w:val="000345CA"/>
    <w:pPr>
      <w:tabs>
        <w:tab w:val="num" w:pos="360"/>
      </w:tabs>
      <w:ind w:left="360" w:hanging="360"/>
    </w:pPr>
  </w:style>
  <w:style w:type="paragraph" w:styleId="ListNumber">
    <w:name w:val="List Number"/>
    <w:basedOn w:val="Normal"/>
    <w:rsid w:val="000345CA"/>
    <w:pPr>
      <w:tabs>
        <w:tab w:val="num" w:pos="360"/>
      </w:tabs>
      <w:ind w:left="360" w:hanging="360"/>
    </w:pPr>
  </w:style>
  <w:style w:type="paragraph" w:styleId="List2">
    <w:name w:val="List 2"/>
    <w:basedOn w:val="Normal"/>
    <w:rsid w:val="000345CA"/>
    <w:pPr>
      <w:ind w:left="566" w:hanging="283"/>
    </w:pPr>
  </w:style>
  <w:style w:type="paragraph" w:styleId="List3">
    <w:name w:val="List 3"/>
    <w:basedOn w:val="Normal"/>
    <w:rsid w:val="000345CA"/>
    <w:pPr>
      <w:ind w:left="849" w:hanging="283"/>
    </w:pPr>
  </w:style>
  <w:style w:type="paragraph" w:styleId="List4">
    <w:name w:val="List 4"/>
    <w:basedOn w:val="Normal"/>
    <w:rsid w:val="000345CA"/>
    <w:pPr>
      <w:ind w:left="1132" w:hanging="283"/>
    </w:pPr>
  </w:style>
  <w:style w:type="paragraph" w:styleId="List5">
    <w:name w:val="List 5"/>
    <w:basedOn w:val="Normal"/>
    <w:rsid w:val="000345CA"/>
    <w:pPr>
      <w:ind w:left="1415" w:hanging="283"/>
    </w:pPr>
  </w:style>
  <w:style w:type="paragraph" w:styleId="ListBullet2">
    <w:name w:val="List Bullet 2"/>
    <w:basedOn w:val="Normal"/>
    <w:autoRedefine/>
    <w:rsid w:val="000345CA"/>
    <w:pPr>
      <w:tabs>
        <w:tab w:val="num" w:pos="360"/>
      </w:tabs>
    </w:pPr>
  </w:style>
  <w:style w:type="paragraph" w:styleId="ListBullet3">
    <w:name w:val="List Bullet 3"/>
    <w:basedOn w:val="Normal"/>
    <w:autoRedefine/>
    <w:rsid w:val="000345CA"/>
    <w:pPr>
      <w:tabs>
        <w:tab w:val="num" w:pos="926"/>
      </w:tabs>
      <w:ind w:left="926" w:hanging="360"/>
    </w:pPr>
  </w:style>
  <w:style w:type="paragraph" w:styleId="ListBullet4">
    <w:name w:val="List Bullet 4"/>
    <w:basedOn w:val="Normal"/>
    <w:autoRedefine/>
    <w:rsid w:val="000345CA"/>
    <w:pPr>
      <w:tabs>
        <w:tab w:val="num" w:pos="1209"/>
      </w:tabs>
      <w:ind w:left="1209" w:hanging="360"/>
    </w:pPr>
  </w:style>
  <w:style w:type="paragraph" w:styleId="ListBullet5">
    <w:name w:val="List Bullet 5"/>
    <w:basedOn w:val="Normal"/>
    <w:autoRedefine/>
    <w:rsid w:val="000345CA"/>
    <w:pPr>
      <w:tabs>
        <w:tab w:val="num" w:pos="1492"/>
      </w:tabs>
      <w:ind w:left="1492" w:hanging="360"/>
    </w:pPr>
  </w:style>
  <w:style w:type="paragraph" w:styleId="ListNumber2">
    <w:name w:val="List Number 2"/>
    <w:basedOn w:val="Normal"/>
    <w:rsid w:val="000345CA"/>
    <w:pPr>
      <w:tabs>
        <w:tab w:val="num" w:pos="643"/>
      </w:tabs>
      <w:ind w:left="643" w:hanging="360"/>
    </w:pPr>
  </w:style>
  <w:style w:type="paragraph" w:styleId="ListNumber3">
    <w:name w:val="List Number 3"/>
    <w:basedOn w:val="Normal"/>
    <w:rsid w:val="000345CA"/>
    <w:pPr>
      <w:tabs>
        <w:tab w:val="num" w:pos="926"/>
      </w:tabs>
      <w:ind w:left="926" w:hanging="360"/>
    </w:pPr>
  </w:style>
  <w:style w:type="paragraph" w:styleId="ListNumber4">
    <w:name w:val="List Number 4"/>
    <w:basedOn w:val="Normal"/>
    <w:rsid w:val="000345CA"/>
    <w:pPr>
      <w:tabs>
        <w:tab w:val="num" w:pos="1209"/>
      </w:tabs>
      <w:ind w:left="1209" w:hanging="360"/>
    </w:pPr>
  </w:style>
  <w:style w:type="paragraph" w:styleId="ListNumber5">
    <w:name w:val="List Number 5"/>
    <w:basedOn w:val="Normal"/>
    <w:rsid w:val="000345CA"/>
    <w:pPr>
      <w:tabs>
        <w:tab w:val="num" w:pos="1492"/>
      </w:tabs>
      <w:ind w:left="1492" w:hanging="360"/>
    </w:pPr>
  </w:style>
  <w:style w:type="paragraph" w:styleId="Title">
    <w:name w:val="Title"/>
    <w:basedOn w:val="Normal"/>
    <w:link w:val="TitleChar"/>
    <w:qFormat/>
    <w:rsid w:val="000345CA"/>
    <w:pPr>
      <w:spacing w:before="240" w:after="60"/>
    </w:pPr>
    <w:rPr>
      <w:rFonts w:ascii="Arial" w:hAnsi="Arial" w:cs="Arial"/>
      <w:b/>
      <w:bCs/>
      <w:sz w:val="40"/>
      <w:szCs w:val="40"/>
    </w:rPr>
  </w:style>
  <w:style w:type="character" w:customStyle="1" w:styleId="TitleChar">
    <w:name w:val="Title Char"/>
    <w:basedOn w:val="DefaultParagraphFont"/>
    <w:link w:val="Title"/>
    <w:rsid w:val="000345CA"/>
    <w:rPr>
      <w:rFonts w:ascii="Arial" w:hAnsi="Arial" w:cs="Arial"/>
      <w:b/>
      <w:bCs/>
      <w:sz w:val="40"/>
      <w:szCs w:val="40"/>
    </w:rPr>
  </w:style>
  <w:style w:type="paragraph" w:styleId="Closing">
    <w:name w:val="Closing"/>
    <w:basedOn w:val="Normal"/>
    <w:link w:val="ClosingChar"/>
    <w:rsid w:val="000345CA"/>
    <w:pPr>
      <w:ind w:left="4252"/>
    </w:pPr>
  </w:style>
  <w:style w:type="character" w:customStyle="1" w:styleId="ClosingChar">
    <w:name w:val="Closing Char"/>
    <w:basedOn w:val="DefaultParagraphFont"/>
    <w:link w:val="Closing"/>
    <w:rsid w:val="000345CA"/>
    <w:rPr>
      <w:sz w:val="22"/>
    </w:rPr>
  </w:style>
  <w:style w:type="paragraph" w:styleId="Signature">
    <w:name w:val="Signature"/>
    <w:basedOn w:val="Normal"/>
    <w:link w:val="SignatureChar"/>
    <w:rsid w:val="000345CA"/>
    <w:pPr>
      <w:ind w:left="4252"/>
    </w:pPr>
  </w:style>
  <w:style w:type="character" w:customStyle="1" w:styleId="SignatureChar">
    <w:name w:val="Signature Char"/>
    <w:basedOn w:val="DefaultParagraphFont"/>
    <w:link w:val="Signature"/>
    <w:rsid w:val="000345CA"/>
    <w:rPr>
      <w:sz w:val="22"/>
    </w:rPr>
  </w:style>
  <w:style w:type="paragraph" w:styleId="BodyText">
    <w:name w:val="Body Text"/>
    <w:basedOn w:val="Normal"/>
    <w:link w:val="BodyTextChar"/>
    <w:rsid w:val="000345CA"/>
    <w:pPr>
      <w:spacing w:after="120"/>
    </w:pPr>
  </w:style>
  <w:style w:type="character" w:customStyle="1" w:styleId="BodyTextChar">
    <w:name w:val="Body Text Char"/>
    <w:basedOn w:val="DefaultParagraphFont"/>
    <w:link w:val="BodyText"/>
    <w:rsid w:val="000345CA"/>
    <w:rPr>
      <w:sz w:val="22"/>
    </w:rPr>
  </w:style>
  <w:style w:type="paragraph" w:styleId="BodyTextIndent">
    <w:name w:val="Body Text Indent"/>
    <w:basedOn w:val="Normal"/>
    <w:link w:val="BodyTextIndentChar"/>
    <w:rsid w:val="000345CA"/>
    <w:pPr>
      <w:spacing w:after="120"/>
      <w:ind w:left="283"/>
    </w:pPr>
  </w:style>
  <w:style w:type="character" w:customStyle="1" w:styleId="BodyTextIndentChar">
    <w:name w:val="Body Text Indent Char"/>
    <w:basedOn w:val="DefaultParagraphFont"/>
    <w:link w:val="BodyTextIndent"/>
    <w:rsid w:val="000345CA"/>
    <w:rPr>
      <w:sz w:val="22"/>
    </w:rPr>
  </w:style>
  <w:style w:type="paragraph" w:styleId="ListContinue">
    <w:name w:val="List Continue"/>
    <w:basedOn w:val="Normal"/>
    <w:rsid w:val="000345CA"/>
    <w:pPr>
      <w:spacing w:after="120"/>
      <w:ind w:left="283"/>
    </w:pPr>
  </w:style>
  <w:style w:type="paragraph" w:styleId="ListContinue2">
    <w:name w:val="List Continue 2"/>
    <w:basedOn w:val="Normal"/>
    <w:rsid w:val="000345CA"/>
    <w:pPr>
      <w:spacing w:after="120"/>
      <w:ind w:left="566"/>
    </w:pPr>
  </w:style>
  <w:style w:type="paragraph" w:styleId="ListContinue3">
    <w:name w:val="List Continue 3"/>
    <w:basedOn w:val="Normal"/>
    <w:rsid w:val="000345CA"/>
    <w:pPr>
      <w:spacing w:after="120"/>
      <w:ind w:left="849"/>
    </w:pPr>
  </w:style>
  <w:style w:type="paragraph" w:styleId="ListContinue4">
    <w:name w:val="List Continue 4"/>
    <w:basedOn w:val="Normal"/>
    <w:rsid w:val="000345CA"/>
    <w:pPr>
      <w:spacing w:after="120"/>
      <w:ind w:left="1132"/>
    </w:pPr>
  </w:style>
  <w:style w:type="paragraph" w:styleId="ListContinue5">
    <w:name w:val="List Continue 5"/>
    <w:basedOn w:val="Normal"/>
    <w:rsid w:val="000345CA"/>
    <w:pPr>
      <w:spacing w:after="120"/>
      <w:ind w:left="1415"/>
    </w:pPr>
  </w:style>
  <w:style w:type="paragraph" w:styleId="MessageHeader">
    <w:name w:val="Message Header"/>
    <w:basedOn w:val="Normal"/>
    <w:link w:val="MessageHeaderChar"/>
    <w:rsid w:val="000345C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345CA"/>
    <w:rPr>
      <w:rFonts w:ascii="Arial" w:hAnsi="Arial" w:cs="Arial"/>
      <w:sz w:val="22"/>
      <w:shd w:val="pct20" w:color="auto" w:fill="auto"/>
    </w:rPr>
  </w:style>
  <w:style w:type="paragraph" w:styleId="Subtitle">
    <w:name w:val="Subtitle"/>
    <w:basedOn w:val="Normal"/>
    <w:link w:val="SubtitleChar"/>
    <w:qFormat/>
    <w:rsid w:val="000345CA"/>
    <w:pPr>
      <w:spacing w:after="60"/>
      <w:jc w:val="center"/>
      <w:outlineLvl w:val="1"/>
    </w:pPr>
    <w:rPr>
      <w:rFonts w:ascii="Arial" w:hAnsi="Arial" w:cs="Arial"/>
    </w:rPr>
  </w:style>
  <w:style w:type="character" w:customStyle="1" w:styleId="SubtitleChar">
    <w:name w:val="Subtitle Char"/>
    <w:basedOn w:val="DefaultParagraphFont"/>
    <w:link w:val="Subtitle"/>
    <w:rsid w:val="000345CA"/>
    <w:rPr>
      <w:rFonts w:ascii="Arial" w:hAnsi="Arial" w:cs="Arial"/>
      <w:sz w:val="22"/>
    </w:rPr>
  </w:style>
  <w:style w:type="paragraph" w:styleId="Salutation">
    <w:name w:val="Salutation"/>
    <w:basedOn w:val="Normal"/>
    <w:next w:val="Normal"/>
    <w:link w:val="SalutationChar"/>
    <w:rsid w:val="000345CA"/>
  </w:style>
  <w:style w:type="character" w:customStyle="1" w:styleId="SalutationChar">
    <w:name w:val="Salutation Char"/>
    <w:basedOn w:val="DefaultParagraphFont"/>
    <w:link w:val="Salutation"/>
    <w:rsid w:val="000345CA"/>
    <w:rPr>
      <w:sz w:val="22"/>
    </w:rPr>
  </w:style>
  <w:style w:type="paragraph" w:styleId="Date">
    <w:name w:val="Date"/>
    <w:basedOn w:val="Normal"/>
    <w:next w:val="Normal"/>
    <w:link w:val="DateChar"/>
    <w:rsid w:val="000345CA"/>
  </w:style>
  <w:style w:type="character" w:customStyle="1" w:styleId="DateChar">
    <w:name w:val="Date Char"/>
    <w:basedOn w:val="DefaultParagraphFont"/>
    <w:link w:val="Date"/>
    <w:rsid w:val="000345CA"/>
    <w:rPr>
      <w:sz w:val="22"/>
    </w:rPr>
  </w:style>
  <w:style w:type="paragraph" w:styleId="BodyTextFirstIndent">
    <w:name w:val="Body Text First Indent"/>
    <w:basedOn w:val="BodyText"/>
    <w:link w:val="BodyTextFirstIndentChar"/>
    <w:rsid w:val="000345CA"/>
    <w:pPr>
      <w:ind w:firstLine="210"/>
    </w:pPr>
  </w:style>
  <w:style w:type="character" w:customStyle="1" w:styleId="BodyTextFirstIndentChar">
    <w:name w:val="Body Text First Indent Char"/>
    <w:basedOn w:val="BodyTextChar"/>
    <w:link w:val="BodyTextFirstIndent"/>
    <w:rsid w:val="000345CA"/>
    <w:rPr>
      <w:sz w:val="22"/>
    </w:rPr>
  </w:style>
  <w:style w:type="paragraph" w:styleId="BodyTextFirstIndent2">
    <w:name w:val="Body Text First Indent 2"/>
    <w:basedOn w:val="BodyTextIndent"/>
    <w:link w:val="BodyTextFirstIndent2Char"/>
    <w:rsid w:val="000345CA"/>
    <w:pPr>
      <w:ind w:firstLine="210"/>
    </w:pPr>
  </w:style>
  <w:style w:type="character" w:customStyle="1" w:styleId="BodyTextFirstIndent2Char">
    <w:name w:val="Body Text First Indent 2 Char"/>
    <w:basedOn w:val="BodyTextIndentChar"/>
    <w:link w:val="BodyTextFirstIndent2"/>
    <w:rsid w:val="000345CA"/>
    <w:rPr>
      <w:sz w:val="22"/>
    </w:rPr>
  </w:style>
  <w:style w:type="paragraph" w:styleId="BodyText2">
    <w:name w:val="Body Text 2"/>
    <w:basedOn w:val="Normal"/>
    <w:link w:val="BodyText2Char"/>
    <w:rsid w:val="000345CA"/>
    <w:pPr>
      <w:spacing w:after="120" w:line="480" w:lineRule="auto"/>
    </w:pPr>
  </w:style>
  <w:style w:type="character" w:customStyle="1" w:styleId="BodyText2Char">
    <w:name w:val="Body Text 2 Char"/>
    <w:basedOn w:val="DefaultParagraphFont"/>
    <w:link w:val="BodyText2"/>
    <w:rsid w:val="000345CA"/>
    <w:rPr>
      <w:sz w:val="22"/>
    </w:rPr>
  </w:style>
  <w:style w:type="paragraph" w:styleId="BodyText3">
    <w:name w:val="Body Text 3"/>
    <w:basedOn w:val="Normal"/>
    <w:link w:val="BodyText3Char"/>
    <w:rsid w:val="000345CA"/>
    <w:pPr>
      <w:spacing w:after="120"/>
    </w:pPr>
    <w:rPr>
      <w:sz w:val="16"/>
      <w:szCs w:val="16"/>
    </w:rPr>
  </w:style>
  <w:style w:type="character" w:customStyle="1" w:styleId="BodyText3Char">
    <w:name w:val="Body Text 3 Char"/>
    <w:basedOn w:val="DefaultParagraphFont"/>
    <w:link w:val="BodyText3"/>
    <w:rsid w:val="000345CA"/>
    <w:rPr>
      <w:sz w:val="16"/>
      <w:szCs w:val="16"/>
    </w:rPr>
  </w:style>
  <w:style w:type="paragraph" w:styleId="BodyTextIndent2">
    <w:name w:val="Body Text Indent 2"/>
    <w:basedOn w:val="Normal"/>
    <w:link w:val="BodyTextIndent2Char"/>
    <w:rsid w:val="000345CA"/>
    <w:pPr>
      <w:spacing w:after="120" w:line="480" w:lineRule="auto"/>
      <w:ind w:left="283"/>
    </w:pPr>
  </w:style>
  <w:style w:type="character" w:customStyle="1" w:styleId="BodyTextIndent2Char">
    <w:name w:val="Body Text Indent 2 Char"/>
    <w:basedOn w:val="DefaultParagraphFont"/>
    <w:link w:val="BodyTextIndent2"/>
    <w:rsid w:val="000345CA"/>
    <w:rPr>
      <w:sz w:val="22"/>
    </w:rPr>
  </w:style>
  <w:style w:type="paragraph" w:styleId="BodyTextIndent3">
    <w:name w:val="Body Text Indent 3"/>
    <w:basedOn w:val="Normal"/>
    <w:link w:val="BodyTextIndent3Char"/>
    <w:rsid w:val="000345CA"/>
    <w:pPr>
      <w:spacing w:after="120"/>
      <w:ind w:left="283"/>
    </w:pPr>
    <w:rPr>
      <w:sz w:val="16"/>
      <w:szCs w:val="16"/>
    </w:rPr>
  </w:style>
  <w:style w:type="character" w:customStyle="1" w:styleId="BodyTextIndent3Char">
    <w:name w:val="Body Text Indent 3 Char"/>
    <w:basedOn w:val="DefaultParagraphFont"/>
    <w:link w:val="BodyTextIndent3"/>
    <w:rsid w:val="000345CA"/>
    <w:rPr>
      <w:sz w:val="16"/>
      <w:szCs w:val="16"/>
    </w:rPr>
  </w:style>
  <w:style w:type="paragraph" w:styleId="BlockText">
    <w:name w:val="Block Text"/>
    <w:basedOn w:val="Normal"/>
    <w:rsid w:val="000345CA"/>
    <w:pPr>
      <w:spacing w:after="120"/>
      <w:ind w:left="1440" w:right="1440"/>
    </w:pPr>
  </w:style>
  <w:style w:type="character" w:styleId="Hyperlink">
    <w:name w:val="Hyperlink"/>
    <w:basedOn w:val="DefaultParagraphFont"/>
    <w:rsid w:val="000345CA"/>
    <w:rPr>
      <w:color w:val="0000FF"/>
      <w:u w:val="single"/>
    </w:rPr>
  </w:style>
  <w:style w:type="character" w:styleId="FollowedHyperlink">
    <w:name w:val="FollowedHyperlink"/>
    <w:basedOn w:val="DefaultParagraphFont"/>
    <w:rsid w:val="000345CA"/>
    <w:rPr>
      <w:color w:val="800080"/>
      <w:u w:val="single"/>
    </w:rPr>
  </w:style>
  <w:style w:type="character" w:styleId="Strong">
    <w:name w:val="Strong"/>
    <w:basedOn w:val="DefaultParagraphFont"/>
    <w:qFormat/>
    <w:rsid w:val="000345CA"/>
    <w:rPr>
      <w:b/>
      <w:bCs/>
    </w:rPr>
  </w:style>
  <w:style w:type="character" w:styleId="Emphasis">
    <w:name w:val="Emphasis"/>
    <w:basedOn w:val="DefaultParagraphFont"/>
    <w:qFormat/>
    <w:rsid w:val="000345CA"/>
    <w:rPr>
      <w:i/>
      <w:iCs/>
    </w:rPr>
  </w:style>
  <w:style w:type="paragraph" w:styleId="DocumentMap">
    <w:name w:val="Document Map"/>
    <w:basedOn w:val="Normal"/>
    <w:link w:val="DocumentMapChar"/>
    <w:rsid w:val="000345CA"/>
    <w:pPr>
      <w:shd w:val="clear" w:color="auto" w:fill="000080"/>
    </w:pPr>
    <w:rPr>
      <w:rFonts w:ascii="Tahoma" w:hAnsi="Tahoma" w:cs="Tahoma"/>
    </w:rPr>
  </w:style>
  <w:style w:type="character" w:customStyle="1" w:styleId="DocumentMapChar">
    <w:name w:val="Document Map Char"/>
    <w:basedOn w:val="DefaultParagraphFont"/>
    <w:link w:val="DocumentMap"/>
    <w:rsid w:val="000345CA"/>
    <w:rPr>
      <w:rFonts w:ascii="Tahoma" w:hAnsi="Tahoma" w:cs="Tahoma"/>
      <w:sz w:val="22"/>
      <w:shd w:val="clear" w:color="auto" w:fill="000080"/>
    </w:rPr>
  </w:style>
  <w:style w:type="paragraph" w:styleId="PlainText">
    <w:name w:val="Plain Text"/>
    <w:basedOn w:val="Normal"/>
    <w:link w:val="PlainTextChar"/>
    <w:rsid w:val="000345CA"/>
    <w:rPr>
      <w:rFonts w:ascii="Courier New" w:hAnsi="Courier New" w:cs="Courier New"/>
      <w:sz w:val="20"/>
    </w:rPr>
  </w:style>
  <w:style w:type="character" w:customStyle="1" w:styleId="PlainTextChar">
    <w:name w:val="Plain Text Char"/>
    <w:basedOn w:val="DefaultParagraphFont"/>
    <w:link w:val="PlainText"/>
    <w:rsid w:val="000345CA"/>
    <w:rPr>
      <w:rFonts w:ascii="Courier New" w:hAnsi="Courier New" w:cs="Courier New"/>
    </w:rPr>
  </w:style>
  <w:style w:type="paragraph" w:styleId="E-mailSignature">
    <w:name w:val="E-mail Signature"/>
    <w:basedOn w:val="Normal"/>
    <w:link w:val="E-mailSignatureChar"/>
    <w:rsid w:val="000345CA"/>
  </w:style>
  <w:style w:type="character" w:customStyle="1" w:styleId="E-mailSignatureChar">
    <w:name w:val="E-mail Signature Char"/>
    <w:basedOn w:val="DefaultParagraphFont"/>
    <w:link w:val="E-mailSignature"/>
    <w:rsid w:val="000345CA"/>
    <w:rPr>
      <w:sz w:val="22"/>
    </w:rPr>
  </w:style>
  <w:style w:type="paragraph" w:styleId="NormalWeb">
    <w:name w:val="Normal (Web)"/>
    <w:basedOn w:val="Normal"/>
    <w:rsid w:val="000345CA"/>
  </w:style>
  <w:style w:type="character" w:styleId="HTMLAcronym">
    <w:name w:val="HTML Acronym"/>
    <w:basedOn w:val="DefaultParagraphFont"/>
    <w:rsid w:val="000345CA"/>
  </w:style>
  <w:style w:type="paragraph" w:styleId="HTMLAddress">
    <w:name w:val="HTML Address"/>
    <w:basedOn w:val="Normal"/>
    <w:link w:val="HTMLAddressChar"/>
    <w:rsid w:val="000345CA"/>
    <w:rPr>
      <w:i/>
      <w:iCs/>
    </w:rPr>
  </w:style>
  <w:style w:type="character" w:customStyle="1" w:styleId="HTMLAddressChar">
    <w:name w:val="HTML Address Char"/>
    <w:basedOn w:val="DefaultParagraphFont"/>
    <w:link w:val="HTMLAddress"/>
    <w:rsid w:val="000345CA"/>
    <w:rPr>
      <w:i/>
      <w:iCs/>
      <w:sz w:val="22"/>
    </w:rPr>
  </w:style>
  <w:style w:type="character" w:styleId="HTMLCite">
    <w:name w:val="HTML Cite"/>
    <w:basedOn w:val="DefaultParagraphFont"/>
    <w:rsid w:val="000345CA"/>
    <w:rPr>
      <w:i/>
      <w:iCs/>
    </w:rPr>
  </w:style>
  <w:style w:type="character" w:styleId="HTMLCode">
    <w:name w:val="HTML Code"/>
    <w:basedOn w:val="DefaultParagraphFont"/>
    <w:rsid w:val="000345CA"/>
    <w:rPr>
      <w:rFonts w:ascii="Courier New" w:hAnsi="Courier New" w:cs="Courier New"/>
      <w:sz w:val="20"/>
      <w:szCs w:val="20"/>
    </w:rPr>
  </w:style>
  <w:style w:type="character" w:styleId="HTMLDefinition">
    <w:name w:val="HTML Definition"/>
    <w:basedOn w:val="DefaultParagraphFont"/>
    <w:rsid w:val="000345CA"/>
    <w:rPr>
      <w:i/>
      <w:iCs/>
    </w:rPr>
  </w:style>
  <w:style w:type="character" w:styleId="HTMLKeyboard">
    <w:name w:val="HTML Keyboard"/>
    <w:basedOn w:val="DefaultParagraphFont"/>
    <w:rsid w:val="000345CA"/>
    <w:rPr>
      <w:rFonts w:ascii="Courier New" w:hAnsi="Courier New" w:cs="Courier New"/>
      <w:sz w:val="20"/>
      <w:szCs w:val="20"/>
    </w:rPr>
  </w:style>
  <w:style w:type="paragraph" w:styleId="HTMLPreformatted">
    <w:name w:val="HTML Preformatted"/>
    <w:basedOn w:val="Normal"/>
    <w:link w:val="HTMLPreformattedChar"/>
    <w:rsid w:val="000345CA"/>
    <w:rPr>
      <w:rFonts w:ascii="Courier New" w:hAnsi="Courier New" w:cs="Courier New"/>
      <w:sz w:val="20"/>
    </w:rPr>
  </w:style>
  <w:style w:type="character" w:customStyle="1" w:styleId="HTMLPreformattedChar">
    <w:name w:val="HTML Preformatted Char"/>
    <w:basedOn w:val="DefaultParagraphFont"/>
    <w:link w:val="HTMLPreformatted"/>
    <w:rsid w:val="000345CA"/>
    <w:rPr>
      <w:rFonts w:ascii="Courier New" w:hAnsi="Courier New" w:cs="Courier New"/>
    </w:rPr>
  </w:style>
  <w:style w:type="character" w:styleId="HTMLSample">
    <w:name w:val="HTML Sample"/>
    <w:basedOn w:val="DefaultParagraphFont"/>
    <w:rsid w:val="000345CA"/>
    <w:rPr>
      <w:rFonts w:ascii="Courier New" w:hAnsi="Courier New" w:cs="Courier New"/>
    </w:rPr>
  </w:style>
  <w:style w:type="character" w:styleId="HTMLTypewriter">
    <w:name w:val="HTML Typewriter"/>
    <w:basedOn w:val="DefaultParagraphFont"/>
    <w:rsid w:val="000345CA"/>
    <w:rPr>
      <w:rFonts w:ascii="Courier New" w:hAnsi="Courier New" w:cs="Courier New"/>
      <w:sz w:val="20"/>
      <w:szCs w:val="20"/>
    </w:rPr>
  </w:style>
  <w:style w:type="character" w:styleId="HTMLVariable">
    <w:name w:val="HTML Variable"/>
    <w:basedOn w:val="DefaultParagraphFont"/>
    <w:rsid w:val="000345CA"/>
    <w:rPr>
      <w:i/>
      <w:iCs/>
    </w:rPr>
  </w:style>
  <w:style w:type="paragraph" w:styleId="CommentSubject">
    <w:name w:val="annotation subject"/>
    <w:basedOn w:val="CommentText"/>
    <w:next w:val="CommentText"/>
    <w:link w:val="CommentSubjectChar"/>
    <w:rsid w:val="000345CA"/>
    <w:rPr>
      <w:b/>
      <w:bCs/>
    </w:rPr>
  </w:style>
  <w:style w:type="character" w:customStyle="1" w:styleId="CommentSubjectChar">
    <w:name w:val="Comment Subject Char"/>
    <w:basedOn w:val="CommentTextChar"/>
    <w:link w:val="CommentSubject"/>
    <w:rsid w:val="000345CA"/>
    <w:rPr>
      <w:b/>
      <w:bCs/>
    </w:rPr>
  </w:style>
  <w:style w:type="numbering" w:styleId="1ai">
    <w:name w:val="Outline List 1"/>
    <w:basedOn w:val="NoList"/>
    <w:rsid w:val="000345CA"/>
    <w:pPr>
      <w:numPr>
        <w:numId w:val="14"/>
      </w:numPr>
    </w:pPr>
  </w:style>
  <w:style w:type="numbering" w:styleId="111111">
    <w:name w:val="Outline List 2"/>
    <w:basedOn w:val="NoList"/>
    <w:rsid w:val="000345CA"/>
    <w:pPr>
      <w:numPr>
        <w:numId w:val="15"/>
      </w:numPr>
    </w:pPr>
  </w:style>
  <w:style w:type="numbering" w:styleId="ArticleSection">
    <w:name w:val="Outline List 3"/>
    <w:basedOn w:val="NoList"/>
    <w:rsid w:val="000345CA"/>
    <w:pPr>
      <w:numPr>
        <w:numId w:val="17"/>
      </w:numPr>
    </w:pPr>
  </w:style>
  <w:style w:type="table" w:styleId="TableSimple1">
    <w:name w:val="Table Simple 1"/>
    <w:basedOn w:val="TableNormal"/>
    <w:rsid w:val="000345CA"/>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345CA"/>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345C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345C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345CA"/>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345CA"/>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345CA"/>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345CA"/>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345CA"/>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345CA"/>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345CA"/>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345CA"/>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345CA"/>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345CA"/>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345CA"/>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345C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345CA"/>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345CA"/>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345CA"/>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345C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345C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345CA"/>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345CA"/>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345CA"/>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345CA"/>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345CA"/>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345CA"/>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345C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345C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345CA"/>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345CA"/>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345CA"/>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345CA"/>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345CA"/>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345CA"/>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345CA"/>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345CA"/>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345CA"/>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345CA"/>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345CA"/>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345CA"/>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345CA"/>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345CA"/>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345CA"/>
    <w:rPr>
      <w:rFonts w:eastAsia="Times New Roman" w:cs="Times New Roman"/>
      <w:b/>
      <w:kern w:val="28"/>
      <w:sz w:val="24"/>
      <w:lang w:eastAsia="en-AU"/>
    </w:rPr>
  </w:style>
  <w:style w:type="paragraph" w:customStyle="1" w:styleId="MTDisplayEquation">
    <w:name w:val="MTDisplayEquation"/>
    <w:basedOn w:val="Definition"/>
    <w:next w:val="Normal"/>
    <w:link w:val="MTDisplayEquationChar"/>
    <w:rsid w:val="001A1C8A"/>
    <w:pPr>
      <w:tabs>
        <w:tab w:val="center" w:pos="4720"/>
        <w:tab w:val="right" w:pos="8320"/>
      </w:tabs>
    </w:pPr>
  </w:style>
  <w:style w:type="character" w:customStyle="1" w:styleId="OPCParaBaseChar">
    <w:name w:val="OPCParaBase Char"/>
    <w:basedOn w:val="DefaultParagraphFont"/>
    <w:link w:val="OPCParaBase"/>
    <w:rsid w:val="001A1C8A"/>
    <w:rPr>
      <w:rFonts w:eastAsia="Times New Roman" w:cs="Times New Roman"/>
      <w:sz w:val="22"/>
      <w:lang w:eastAsia="en-AU"/>
    </w:rPr>
  </w:style>
  <w:style w:type="character" w:customStyle="1" w:styleId="DefinitionChar">
    <w:name w:val="Definition Char"/>
    <w:aliases w:val="dd Char"/>
    <w:basedOn w:val="OPCParaBaseChar"/>
    <w:link w:val="Definition"/>
    <w:rsid w:val="001A1C8A"/>
    <w:rPr>
      <w:rFonts w:eastAsia="Times New Roman" w:cs="Times New Roman"/>
      <w:sz w:val="22"/>
      <w:lang w:eastAsia="en-AU"/>
    </w:rPr>
  </w:style>
  <w:style w:type="character" w:customStyle="1" w:styleId="MTDisplayEquationChar">
    <w:name w:val="MTDisplayEquation Char"/>
    <w:basedOn w:val="DefinitionChar"/>
    <w:link w:val="MTDisplayEquation"/>
    <w:rsid w:val="001A1C8A"/>
    <w:rPr>
      <w:rFonts w:eastAsia="Times New Roman" w:cs="Times New Roman"/>
      <w:sz w:val="22"/>
      <w:lang w:eastAsia="en-AU"/>
    </w:rPr>
  </w:style>
  <w:style w:type="character" w:customStyle="1" w:styleId="paragraphChar">
    <w:name w:val="paragraph Char"/>
    <w:aliases w:val="a Char"/>
    <w:link w:val="paragraph"/>
    <w:rsid w:val="00105DC3"/>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wmf"/><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2.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wmf"/><Relationship Id="rId27" Type="http://schemas.openxmlformats.org/officeDocument/2006/relationships/footer" Target="footer6.xml"/><Relationship Id="rId30"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5FEF3-7648-4AEF-9EA4-416AE7D9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14</Pages>
  <Words>4449</Words>
  <Characters>17887</Characters>
  <Application>Microsoft Office Word</Application>
  <DocSecurity>0</DocSecurity>
  <PresentationFormat/>
  <Lines>8943</Lines>
  <Paragraphs>2791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2021-12-16T06:05:00Z</dcterms:created>
  <dcterms:modified xsi:type="dcterms:W3CDTF">2021-12-16T06:05:00Z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2021</vt:lpwstr>
  </property>
  <property fmtid="{D5CDD505-2E9C-101B-9397-08002B2CF9AE}" pid="3" name="ShortT">
    <vt:lpwstr>National Health (Pharmaceutical Benefits) Amendment (2021 Measures No. 1) Regulations 2021</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16 December 2021</vt:lpwstr>
  </property>
  <property fmtid="{D5CDD505-2E9C-101B-9397-08002B2CF9AE}" pid="10" name="ID">
    <vt:lpwstr>OPC65429</vt:lpwstr>
  </property>
  <property fmtid="{D5CDD505-2E9C-101B-9397-08002B2CF9AE}" pid="11" name="DLM">
    <vt:lpwstr> </vt:lpwstr>
  </property>
  <property fmtid="{D5CDD505-2E9C-101B-9397-08002B2CF9AE}" pid="12" name="Classification">
    <vt:lpwstr> </vt:lpwstr>
  </property>
  <property fmtid="{D5CDD505-2E9C-101B-9397-08002B2CF9AE}" pid="13" name="MTWinEqns">
    <vt:bool>true</vt:bool>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16 December 2021</vt:lpwstr>
  </property>
</Properties>
</file>