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8ECB9" w14:textId="77777777" w:rsidR="001B4A7B" w:rsidRPr="006C2E1D" w:rsidRDefault="001B4A7B" w:rsidP="001B4A7B">
      <w:pPr>
        <w:jc w:val="center"/>
        <w:rPr>
          <w:rFonts w:asciiTheme="minorHAnsi" w:hAnsiTheme="minorHAnsi" w:cstheme="minorHAnsi"/>
          <w:b/>
          <w:lang w:val="en-GB"/>
        </w:rPr>
      </w:pPr>
      <w:r w:rsidRPr="006C2E1D">
        <w:rPr>
          <w:rFonts w:asciiTheme="minorHAnsi" w:hAnsiTheme="minorHAnsi" w:cstheme="minorHAnsi"/>
          <w:b/>
          <w:lang w:val="en-GB"/>
        </w:rPr>
        <w:t>EXPLANATORY STATEMENT</w:t>
      </w:r>
    </w:p>
    <w:p w14:paraId="152E64EE" w14:textId="04824769" w:rsidR="001B4A7B" w:rsidRPr="006C2E1D" w:rsidRDefault="001B4A7B" w:rsidP="001B4A7B">
      <w:pPr>
        <w:jc w:val="center"/>
        <w:rPr>
          <w:rFonts w:asciiTheme="minorHAnsi" w:hAnsiTheme="minorHAnsi" w:cstheme="minorHAnsi"/>
          <w:i/>
          <w:lang w:val="en-GB"/>
        </w:rPr>
      </w:pPr>
      <w:r w:rsidRPr="006C2E1D">
        <w:rPr>
          <w:rFonts w:asciiTheme="minorHAnsi" w:hAnsiTheme="minorHAnsi" w:cstheme="minorHAnsi"/>
          <w:i/>
          <w:lang w:val="en-GB"/>
        </w:rPr>
        <w:t>Consumer Goods (</w:t>
      </w:r>
      <w:r w:rsidR="00FF5E3C">
        <w:rPr>
          <w:rFonts w:asciiTheme="minorHAnsi" w:hAnsiTheme="minorHAnsi" w:cstheme="minorHAnsi"/>
          <w:i/>
          <w:lang w:val="en-GB"/>
        </w:rPr>
        <w:t>Portable Non-aerosol Fire Extinguishers</w:t>
      </w:r>
      <w:r w:rsidRPr="006C2E1D">
        <w:rPr>
          <w:rFonts w:asciiTheme="minorHAnsi" w:hAnsiTheme="minorHAnsi" w:cstheme="minorHAnsi"/>
          <w:i/>
          <w:lang w:val="en-GB"/>
        </w:rPr>
        <w:t xml:space="preserve">) Safety Standard </w:t>
      </w:r>
      <w:r w:rsidR="00843980">
        <w:rPr>
          <w:rFonts w:asciiTheme="minorHAnsi" w:hAnsiTheme="minorHAnsi" w:cstheme="minorHAnsi"/>
          <w:i/>
          <w:lang w:val="en-GB"/>
        </w:rPr>
        <w:t>2021</w:t>
      </w:r>
    </w:p>
    <w:p w14:paraId="2FE2AB58" w14:textId="77777777" w:rsidR="001B4A7B" w:rsidRPr="006C2E1D" w:rsidRDefault="001B4A7B" w:rsidP="001B4A7B">
      <w:pPr>
        <w:rPr>
          <w:rFonts w:cs="Arial"/>
          <w:b/>
          <w:lang w:val="en-GB"/>
        </w:rPr>
      </w:pPr>
      <w:r w:rsidRPr="006C2E1D">
        <w:rPr>
          <w:rFonts w:cs="Arial"/>
          <w:b/>
          <w:lang w:val="en-GB"/>
        </w:rPr>
        <w:t>Overview</w:t>
      </w:r>
    </w:p>
    <w:p w14:paraId="25D4213E" w14:textId="5110C27C" w:rsidR="00820DAD" w:rsidRPr="00FF5E3C" w:rsidRDefault="00BE4609" w:rsidP="001B4A7B">
      <w:pPr>
        <w:rPr>
          <w:rFonts w:cs="Arial"/>
          <w:lang w:val="en-GB"/>
        </w:rPr>
      </w:pPr>
      <w:r w:rsidRPr="00FF5E3C">
        <w:rPr>
          <w:lang w:val="en-GB"/>
        </w:rPr>
        <w:t>The</w:t>
      </w:r>
      <w:r w:rsidR="00843980">
        <w:rPr>
          <w:lang w:val="en-GB"/>
        </w:rPr>
        <w:t xml:space="preserve"> Assistant Treasurer,</w:t>
      </w:r>
      <w:r w:rsidRPr="00FF5E3C">
        <w:rPr>
          <w:lang w:val="en-GB"/>
        </w:rPr>
        <w:t xml:space="preserve"> Minister for Housing and </w:t>
      </w:r>
      <w:r w:rsidR="00843980">
        <w:rPr>
          <w:lang w:val="en-GB"/>
        </w:rPr>
        <w:t xml:space="preserve">Minister for </w:t>
      </w:r>
      <w:r w:rsidR="00831331">
        <w:rPr>
          <w:lang w:val="en-GB"/>
        </w:rPr>
        <w:t xml:space="preserve">Homelessness, Social and Community Housing </w:t>
      </w:r>
      <w:r w:rsidRPr="00FF5E3C">
        <w:rPr>
          <w:rFonts w:cs="Arial"/>
          <w:lang w:val="en-GB"/>
        </w:rPr>
        <w:t xml:space="preserve">(the </w:t>
      </w:r>
      <w:r w:rsidRPr="00FF5E3C">
        <w:rPr>
          <w:rFonts w:cs="Arial"/>
          <w:b/>
          <w:lang w:val="en-GB"/>
        </w:rPr>
        <w:t>Minister</w:t>
      </w:r>
      <w:r w:rsidR="00644E3A" w:rsidRPr="00FF5E3C">
        <w:rPr>
          <w:rFonts w:cs="Arial"/>
          <w:lang w:val="en-GB"/>
        </w:rPr>
        <w:t xml:space="preserve">) has made </w:t>
      </w:r>
      <w:r w:rsidR="009B1B29" w:rsidRPr="00FF5E3C">
        <w:rPr>
          <w:rFonts w:cs="Arial"/>
          <w:lang w:val="en-GB"/>
        </w:rPr>
        <w:t xml:space="preserve">the </w:t>
      </w:r>
      <w:r w:rsidR="00FF5E3C" w:rsidRPr="003806B2">
        <w:rPr>
          <w:rFonts w:cs="Arial"/>
          <w:i/>
          <w:lang w:val="en-GB"/>
        </w:rPr>
        <w:t>Consumer Goods (Portable Non-aerosol Fire Extinguishers</w:t>
      </w:r>
      <w:r w:rsidR="009B1B29" w:rsidRPr="003806B2">
        <w:rPr>
          <w:rFonts w:cs="Arial"/>
          <w:i/>
          <w:lang w:val="en-GB"/>
        </w:rPr>
        <w:t xml:space="preserve">) Safety Standard </w:t>
      </w:r>
      <w:r w:rsidR="007E74E5" w:rsidRPr="003806B2">
        <w:rPr>
          <w:rFonts w:cs="Arial"/>
          <w:i/>
          <w:lang w:val="en-GB"/>
        </w:rPr>
        <w:t>2021</w:t>
      </w:r>
      <w:r w:rsidR="008B79E4" w:rsidRPr="00FF5E3C">
        <w:rPr>
          <w:rFonts w:cs="Arial"/>
          <w:lang w:val="en-GB"/>
        </w:rPr>
        <w:t xml:space="preserve"> </w:t>
      </w:r>
      <w:r w:rsidR="009B1B29" w:rsidRPr="00FF5E3C">
        <w:rPr>
          <w:rFonts w:cs="Arial"/>
          <w:lang w:val="en-GB"/>
        </w:rPr>
        <w:t>(</w:t>
      </w:r>
      <w:r w:rsidR="00903DB5" w:rsidRPr="00FF5E3C">
        <w:rPr>
          <w:rFonts w:cs="Arial"/>
          <w:lang w:val="en-GB"/>
        </w:rPr>
        <w:t xml:space="preserve">the </w:t>
      </w:r>
      <w:r w:rsidR="00094C81">
        <w:rPr>
          <w:rFonts w:cs="Arial"/>
          <w:b/>
          <w:lang w:val="en-GB"/>
        </w:rPr>
        <w:t>N</w:t>
      </w:r>
      <w:r w:rsidR="009B1B29" w:rsidRPr="00FF5E3C">
        <w:rPr>
          <w:rFonts w:cs="Arial"/>
          <w:b/>
          <w:lang w:val="en-GB"/>
        </w:rPr>
        <w:t>ew</w:t>
      </w:r>
      <w:r w:rsidR="009B1B29" w:rsidRPr="00FF5E3C">
        <w:rPr>
          <w:rFonts w:cs="Arial"/>
          <w:lang w:val="en-GB"/>
        </w:rPr>
        <w:t xml:space="preserve"> </w:t>
      </w:r>
      <w:r w:rsidR="00094C81">
        <w:rPr>
          <w:rFonts w:cs="Arial"/>
          <w:b/>
          <w:lang w:val="en-GB"/>
        </w:rPr>
        <w:t>S</w:t>
      </w:r>
      <w:r w:rsidR="009B1B29" w:rsidRPr="00FF5E3C">
        <w:rPr>
          <w:rFonts w:cs="Arial"/>
          <w:b/>
          <w:lang w:val="en-GB"/>
        </w:rPr>
        <w:t xml:space="preserve">afety </w:t>
      </w:r>
      <w:r w:rsidR="00094C81">
        <w:rPr>
          <w:rFonts w:cs="Arial"/>
          <w:b/>
          <w:lang w:val="en-GB"/>
        </w:rPr>
        <w:t>S</w:t>
      </w:r>
      <w:r w:rsidR="009B1B29" w:rsidRPr="00FF5E3C">
        <w:rPr>
          <w:rFonts w:cs="Arial"/>
          <w:b/>
          <w:lang w:val="en-GB"/>
        </w:rPr>
        <w:t>tandard</w:t>
      </w:r>
      <w:r w:rsidR="009B1B29" w:rsidRPr="00FF5E3C">
        <w:rPr>
          <w:rFonts w:cs="Arial"/>
          <w:lang w:val="en-GB"/>
        </w:rPr>
        <w:t>),</w:t>
      </w:r>
      <w:r w:rsidR="00644E3A" w:rsidRPr="00FF5E3C">
        <w:rPr>
          <w:rFonts w:cs="Arial"/>
          <w:lang w:val="en-GB"/>
        </w:rPr>
        <w:t xml:space="preserve"> pursuant to section 104</w:t>
      </w:r>
      <w:r w:rsidR="004024D9" w:rsidRPr="00FF5E3C">
        <w:rPr>
          <w:rFonts w:cs="Arial"/>
          <w:lang w:val="en-GB"/>
        </w:rPr>
        <w:t xml:space="preserve"> </w:t>
      </w:r>
      <w:r w:rsidR="00644E3A" w:rsidRPr="00FF5E3C">
        <w:rPr>
          <w:rFonts w:cs="Arial"/>
          <w:lang w:val="en-GB"/>
        </w:rPr>
        <w:t xml:space="preserve">of the Australian Consumer Law, which is Schedule 2 of the </w:t>
      </w:r>
      <w:r w:rsidR="00644E3A" w:rsidRPr="00FF5E3C">
        <w:rPr>
          <w:rFonts w:cs="Arial"/>
          <w:i/>
          <w:lang w:val="en-GB"/>
        </w:rPr>
        <w:t xml:space="preserve">Competition and Consumer Act 2010 </w:t>
      </w:r>
      <w:r w:rsidR="00644E3A" w:rsidRPr="00FF5E3C">
        <w:rPr>
          <w:rFonts w:cs="Arial"/>
          <w:lang w:val="en-GB"/>
        </w:rPr>
        <w:t>(</w:t>
      </w:r>
      <w:proofErr w:type="spellStart"/>
      <w:r w:rsidR="00644E3A" w:rsidRPr="00FF5E3C">
        <w:rPr>
          <w:rFonts w:cs="Arial"/>
          <w:lang w:val="en-GB"/>
        </w:rPr>
        <w:t>Cth</w:t>
      </w:r>
      <w:proofErr w:type="spellEnd"/>
      <w:r w:rsidR="00197372" w:rsidRPr="00FF5E3C">
        <w:rPr>
          <w:rFonts w:cs="Arial"/>
          <w:lang w:val="en-GB"/>
        </w:rPr>
        <w:t>)</w:t>
      </w:r>
      <w:r w:rsidR="00644E3A" w:rsidRPr="00FF5E3C">
        <w:rPr>
          <w:rFonts w:cs="Arial"/>
          <w:lang w:val="en-GB"/>
        </w:rPr>
        <w:t>.</w:t>
      </w:r>
    </w:p>
    <w:p w14:paraId="0CBE838D" w14:textId="4D5CEC32" w:rsidR="00BE4609" w:rsidRDefault="00BE4609" w:rsidP="00BE4609">
      <w:pPr>
        <w:rPr>
          <w:rFonts w:cs="Arial"/>
          <w:lang w:val="en-GB"/>
        </w:rPr>
      </w:pPr>
      <w:r w:rsidRPr="00FF5E3C">
        <w:rPr>
          <w:rFonts w:cs="Arial"/>
          <w:lang w:val="en-GB"/>
        </w:rPr>
        <w:t xml:space="preserve">The </w:t>
      </w:r>
      <w:r w:rsidR="00094C81">
        <w:rPr>
          <w:rFonts w:cs="Arial"/>
          <w:lang w:val="en-GB"/>
        </w:rPr>
        <w:t>N</w:t>
      </w:r>
      <w:r w:rsidRPr="00FF5E3C">
        <w:rPr>
          <w:rFonts w:cs="Arial"/>
          <w:lang w:val="en-GB"/>
        </w:rPr>
        <w:t xml:space="preserve">ew </w:t>
      </w:r>
      <w:r w:rsidR="00094C81">
        <w:rPr>
          <w:rFonts w:cs="Arial"/>
          <w:lang w:val="en-GB"/>
        </w:rPr>
        <w:t>S</w:t>
      </w:r>
      <w:r w:rsidRPr="00FF5E3C">
        <w:rPr>
          <w:rFonts w:cs="Arial"/>
          <w:lang w:val="en-GB"/>
        </w:rPr>
        <w:t xml:space="preserve">afety </w:t>
      </w:r>
      <w:r w:rsidR="00094C81">
        <w:rPr>
          <w:rFonts w:cs="Arial"/>
          <w:lang w:val="en-GB"/>
        </w:rPr>
        <w:t>S</w:t>
      </w:r>
      <w:r w:rsidRPr="00FF5E3C">
        <w:rPr>
          <w:rFonts w:cs="Arial"/>
          <w:lang w:val="en-GB"/>
        </w:rPr>
        <w:t xml:space="preserve">tandard comes into effect on the day after </w:t>
      </w:r>
      <w:r w:rsidR="00F07661" w:rsidRPr="00FF5E3C">
        <w:rPr>
          <w:rFonts w:cs="Arial"/>
          <w:lang w:val="en-GB"/>
        </w:rPr>
        <w:t>registration</w:t>
      </w:r>
      <w:r w:rsidRPr="00FF5E3C">
        <w:rPr>
          <w:rFonts w:cs="Arial"/>
          <w:lang w:val="en-GB"/>
        </w:rPr>
        <w:t xml:space="preserve"> on the Federal Register of Legislation. A transitional period of 12 months will apply during which suppliers </w:t>
      </w:r>
      <w:r w:rsidR="00A2477E" w:rsidRPr="00FF5E3C">
        <w:rPr>
          <w:rFonts w:cs="Arial"/>
          <w:lang w:val="en-GB"/>
        </w:rPr>
        <w:t>may</w:t>
      </w:r>
      <w:r w:rsidR="005C0461">
        <w:rPr>
          <w:rFonts w:cs="Arial"/>
          <w:lang w:val="en-GB"/>
        </w:rPr>
        <w:t xml:space="preserve"> either</w:t>
      </w:r>
      <w:r w:rsidR="00A2477E" w:rsidRPr="00FF5E3C">
        <w:rPr>
          <w:rFonts w:cs="Arial"/>
          <w:lang w:val="en-GB"/>
        </w:rPr>
        <w:t xml:space="preserve"> </w:t>
      </w:r>
      <w:r w:rsidR="005C0461">
        <w:rPr>
          <w:rFonts w:cs="Arial"/>
          <w:lang w:val="en-GB"/>
        </w:rPr>
        <w:t xml:space="preserve">supply portable non-aerosol fire extinguishers that </w:t>
      </w:r>
      <w:r w:rsidRPr="00FF5E3C">
        <w:rPr>
          <w:rFonts w:cs="Arial"/>
          <w:lang w:val="en-GB"/>
        </w:rPr>
        <w:t xml:space="preserve">comply with the </w:t>
      </w:r>
      <w:r w:rsidR="00094C81">
        <w:rPr>
          <w:rFonts w:cs="Arial"/>
          <w:lang w:val="en-GB"/>
        </w:rPr>
        <w:t>N</w:t>
      </w:r>
      <w:r w:rsidRPr="00FF5E3C">
        <w:rPr>
          <w:rFonts w:cs="Arial"/>
          <w:lang w:val="en-GB"/>
        </w:rPr>
        <w:t xml:space="preserve">ew </w:t>
      </w:r>
      <w:r w:rsidR="00094C81">
        <w:rPr>
          <w:rFonts w:cs="Arial"/>
          <w:lang w:val="en-GB"/>
        </w:rPr>
        <w:t>S</w:t>
      </w:r>
      <w:r w:rsidRPr="00FF5E3C">
        <w:rPr>
          <w:rFonts w:cs="Arial"/>
          <w:lang w:val="en-GB"/>
        </w:rPr>
        <w:t xml:space="preserve">afety </w:t>
      </w:r>
      <w:r w:rsidR="00094C81">
        <w:rPr>
          <w:rFonts w:cs="Arial"/>
          <w:lang w:val="en-GB"/>
        </w:rPr>
        <w:t>S</w:t>
      </w:r>
      <w:r w:rsidRPr="00FF5E3C">
        <w:rPr>
          <w:rFonts w:cs="Arial"/>
          <w:lang w:val="en-GB"/>
        </w:rPr>
        <w:t xml:space="preserve">tandard or the </w:t>
      </w:r>
      <w:r w:rsidR="00A22EB3" w:rsidRPr="00FF5E3C">
        <w:rPr>
          <w:rFonts w:cs="Arial"/>
          <w:lang w:val="en-GB"/>
        </w:rPr>
        <w:t>repealed</w:t>
      </w:r>
      <w:r w:rsidRPr="00FF5E3C">
        <w:rPr>
          <w:rFonts w:cs="Arial"/>
          <w:lang w:val="en-GB"/>
        </w:rPr>
        <w:t xml:space="preserve"> safety stan</w:t>
      </w:r>
      <w:r w:rsidR="00EF3320">
        <w:rPr>
          <w:rFonts w:cs="Arial"/>
          <w:lang w:val="en-GB"/>
        </w:rPr>
        <w:t>dard. At the end of the</w:t>
      </w:r>
      <w:r w:rsidRPr="00FF5E3C">
        <w:rPr>
          <w:rFonts w:cs="Arial"/>
          <w:lang w:val="en-GB"/>
        </w:rPr>
        <w:t xml:space="preserve"> transitional period suppliers must comply with the </w:t>
      </w:r>
      <w:r w:rsidR="00094C81">
        <w:rPr>
          <w:rFonts w:cs="Arial"/>
          <w:lang w:val="en-GB"/>
        </w:rPr>
        <w:t>N</w:t>
      </w:r>
      <w:r w:rsidRPr="00FF5E3C">
        <w:rPr>
          <w:rFonts w:cs="Arial"/>
          <w:lang w:val="en-GB"/>
        </w:rPr>
        <w:t xml:space="preserve">ew </w:t>
      </w:r>
      <w:r w:rsidR="00094C81">
        <w:rPr>
          <w:rFonts w:cs="Arial"/>
          <w:lang w:val="en-GB"/>
        </w:rPr>
        <w:t>S</w:t>
      </w:r>
      <w:r w:rsidRPr="00FF5E3C">
        <w:rPr>
          <w:rFonts w:cs="Arial"/>
          <w:lang w:val="en-GB"/>
        </w:rPr>
        <w:t xml:space="preserve">afety </w:t>
      </w:r>
      <w:r w:rsidR="00094C81">
        <w:rPr>
          <w:rFonts w:cs="Arial"/>
          <w:lang w:val="en-GB"/>
        </w:rPr>
        <w:t>S</w:t>
      </w:r>
      <w:r w:rsidRPr="00FF5E3C">
        <w:rPr>
          <w:rFonts w:cs="Arial"/>
          <w:lang w:val="en-GB"/>
        </w:rPr>
        <w:t>tandard</w:t>
      </w:r>
      <w:r w:rsidR="00632AF1" w:rsidRPr="00FF5E3C">
        <w:rPr>
          <w:rFonts w:cs="Arial"/>
          <w:lang w:val="en-GB"/>
        </w:rPr>
        <w:t xml:space="preserve"> only</w:t>
      </w:r>
      <w:r w:rsidRPr="00FF5E3C">
        <w:rPr>
          <w:rFonts w:cs="Arial"/>
          <w:lang w:val="en-GB"/>
        </w:rPr>
        <w:t>.</w:t>
      </w:r>
    </w:p>
    <w:p w14:paraId="0E0D38EA" w14:textId="27BC8B76" w:rsidR="00EF3320" w:rsidRPr="00956F0B" w:rsidRDefault="00EF3320" w:rsidP="00BE4609">
      <w:pPr>
        <w:shd w:val="clear" w:color="auto" w:fill="FFFFFF"/>
      </w:pPr>
      <w:r w:rsidRPr="00956F0B">
        <w:t xml:space="preserve">The purpose of the </w:t>
      </w:r>
      <w:r w:rsidR="00094C81">
        <w:t>N</w:t>
      </w:r>
      <w:r w:rsidRPr="00956F0B">
        <w:t xml:space="preserve">ew </w:t>
      </w:r>
      <w:r w:rsidR="00094C81">
        <w:t>S</w:t>
      </w:r>
      <w:r w:rsidRPr="00956F0B">
        <w:t xml:space="preserve">afety </w:t>
      </w:r>
      <w:r w:rsidR="00094C81">
        <w:t>S</w:t>
      </w:r>
      <w:r w:rsidRPr="00956F0B">
        <w:t xml:space="preserve">tandard is to reduce the risk of serious injury or death to users of portable non-aerosol fire extinguishers, or people </w:t>
      </w:r>
      <w:proofErr w:type="gramStart"/>
      <w:r w:rsidRPr="00956F0B">
        <w:t>in close proximity to</w:t>
      </w:r>
      <w:proofErr w:type="gramEnd"/>
      <w:r w:rsidRPr="00956F0B">
        <w:t xml:space="preserve"> a fire, from defective or incorrectly marked products. Therefore, it </w:t>
      </w:r>
      <w:r w:rsidR="00956F0B" w:rsidRPr="00956F0B">
        <w:t>sets requirements for the design, construction, performance, testing, instructions and marking</w:t>
      </w:r>
      <w:r w:rsidR="006F6DEB">
        <w:t xml:space="preserve"> of these portable non-aerosol fire extinguishers</w:t>
      </w:r>
      <w:r w:rsidR="00956F0B" w:rsidRPr="00956F0B">
        <w:t>.</w:t>
      </w:r>
    </w:p>
    <w:p w14:paraId="2ADFF06D" w14:textId="0516E86E" w:rsidR="00F5752F" w:rsidRPr="00723074" w:rsidRDefault="0088134F" w:rsidP="00F5752F">
      <w:pPr>
        <w:rPr>
          <w:rFonts w:cs="Arial"/>
          <w:b/>
          <w:lang w:val="en-GB"/>
        </w:rPr>
      </w:pPr>
      <w:r w:rsidRPr="00723074">
        <w:rPr>
          <w:rFonts w:cs="Arial"/>
          <w:b/>
          <w:lang w:val="en-GB"/>
        </w:rPr>
        <w:t xml:space="preserve">Repealed </w:t>
      </w:r>
      <w:r w:rsidR="00A22EB3" w:rsidRPr="00723074">
        <w:rPr>
          <w:rFonts w:cs="Arial"/>
          <w:b/>
          <w:lang w:val="en-GB"/>
        </w:rPr>
        <w:t>safety</w:t>
      </w:r>
      <w:r w:rsidR="00DB59BC" w:rsidRPr="00723074">
        <w:rPr>
          <w:rFonts w:cs="Arial"/>
          <w:b/>
          <w:lang w:val="en-GB"/>
        </w:rPr>
        <w:t xml:space="preserve"> </w:t>
      </w:r>
      <w:r w:rsidRPr="00723074">
        <w:rPr>
          <w:rFonts w:cs="Arial"/>
          <w:b/>
          <w:lang w:val="en-GB"/>
        </w:rPr>
        <w:t>s</w:t>
      </w:r>
      <w:r w:rsidR="00F5752F" w:rsidRPr="00723074">
        <w:rPr>
          <w:rFonts w:cs="Arial"/>
          <w:b/>
          <w:lang w:val="en-GB"/>
        </w:rPr>
        <w:t>tandard</w:t>
      </w:r>
    </w:p>
    <w:p w14:paraId="44E8347D" w14:textId="069C4B5E" w:rsidR="00DB59BC" w:rsidRPr="0055742B" w:rsidRDefault="00DB59BC" w:rsidP="00DB59BC">
      <w:pPr>
        <w:rPr>
          <w:lang w:val="en-GB"/>
        </w:rPr>
      </w:pPr>
      <w:r w:rsidRPr="0055742B">
        <w:rPr>
          <w:lang w:val="en-GB"/>
        </w:rPr>
        <w:t xml:space="preserve">The </w:t>
      </w:r>
      <w:r w:rsidR="00A22EB3" w:rsidRPr="0055742B">
        <w:rPr>
          <w:lang w:val="en-GB"/>
        </w:rPr>
        <w:t>repealed</w:t>
      </w:r>
      <w:r w:rsidRPr="0055742B">
        <w:rPr>
          <w:lang w:val="en-GB"/>
        </w:rPr>
        <w:t xml:space="preserve"> </w:t>
      </w:r>
      <w:r w:rsidR="00A22EB3" w:rsidRPr="0055742B">
        <w:rPr>
          <w:lang w:val="en-GB"/>
        </w:rPr>
        <w:t>safety</w:t>
      </w:r>
      <w:r w:rsidRPr="0055742B">
        <w:rPr>
          <w:lang w:val="en-GB"/>
        </w:rPr>
        <w:t xml:space="preserve"> standard for</w:t>
      </w:r>
      <w:r w:rsidR="0055742B" w:rsidRPr="0055742B">
        <w:rPr>
          <w:lang w:val="en-GB"/>
        </w:rPr>
        <w:t xml:space="preserve"> portable non-aerosol fire extinguishers</w:t>
      </w:r>
      <w:r w:rsidR="00A2477E" w:rsidRPr="0055742B">
        <w:rPr>
          <w:lang w:val="en-GB"/>
        </w:rPr>
        <w:t xml:space="preserve"> </w:t>
      </w:r>
      <w:r w:rsidRPr="0055742B">
        <w:rPr>
          <w:lang w:val="en-GB"/>
        </w:rPr>
        <w:t xml:space="preserve">was </w:t>
      </w:r>
      <w:r w:rsidR="00420048" w:rsidRPr="0055742B">
        <w:rPr>
          <w:lang w:val="en-GB"/>
        </w:rPr>
        <w:t xml:space="preserve">the </w:t>
      </w:r>
      <w:r w:rsidRPr="0055742B">
        <w:rPr>
          <w:rFonts w:cs="Arial"/>
          <w:i/>
        </w:rPr>
        <w:t>C</w:t>
      </w:r>
      <w:r w:rsidR="0055742B" w:rsidRPr="0055742B">
        <w:rPr>
          <w:rFonts w:cs="Arial"/>
          <w:i/>
        </w:rPr>
        <w:t>onsumer Protection Notice No. 3 of 2004</w:t>
      </w:r>
      <w:r w:rsidRPr="0055742B">
        <w:rPr>
          <w:rFonts w:cs="Arial"/>
        </w:rPr>
        <w:t xml:space="preserve"> (Consumer Product Safety Standard</w:t>
      </w:r>
      <w:r w:rsidR="00F41785" w:rsidRPr="0055742B">
        <w:rPr>
          <w:rFonts w:cs="Arial"/>
        </w:rPr>
        <w:t>:</w:t>
      </w:r>
      <w:r w:rsidR="0055742B" w:rsidRPr="0055742B">
        <w:rPr>
          <w:rFonts w:cs="Arial"/>
        </w:rPr>
        <w:t xml:space="preserve"> Portable Fire Extinguishers</w:t>
      </w:r>
      <w:r w:rsidRPr="0055742B">
        <w:rPr>
          <w:rFonts w:cs="Arial"/>
        </w:rPr>
        <w:t>)</w:t>
      </w:r>
      <w:r w:rsidR="00632AF1" w:rsidRPr="0055742B">
        <w:rPr>
          <w:rFonts w:cs="Arial"/>
        </w:rPr>
        <w:t xml:space="preserve"> (Federal R</w:t>
      </w:r>
      <w:r w:rsidR="0055742B" w:rsidRPr="0055742B">
        <w:rPr>
          <w:rFonts w:cs="Arial"/>
        </w:rPr>
        <w:t>egister of Legislation No. F2005B01048</w:t>
      </w:r>
      <w:r w:rsidR="00632AF1" w:rsidRPr="0055742B">
        <w:rPr>
          <w:rFonts w:cs="Arial"/>
        </w:rPr>
        <w:t>)</w:t>
      </w:r>
      <w:r w:rsidR="007C6DA7">
        <w:rPr>
          <w:rFonts w:cs="Arial"/>
        </w:rPr>
        <w:t xml:space="preserve">, (the </w:t>
      </w:r>
      <w:r w:rsidR="007C6DA7" w:rsidRPr="003D6A8A">
        <w:rPr>
          <w:rFonts w:cs="Arial"/>
          <w:b/>
          <w:bCs/>
        </w:rPr>
        <w:t>Repealed Safety Standard</w:t>
      </w:r>
      <w:r w:rsidR="007C6DA7">
        <w:rPr>
          <w:rFonts w:cs="Arial"/>
        </w:rPr>
        <w:t>)</w:t>
      </w:r>
      <w:r w:rsidRPr="0055742B">
        <w:rPr>
          <w:rFonts w:cs="Arial"/>
        </w:rPr>
        <w:t>.</w:t>
      </w:r>
    </w:p>
    <w:p w14:paraId="2A22D13A" w14:textId="28BABD20" w:rsidR="008C5FAA" w:rsidRPr="00723074" w:rsidRDefault="008C5FAA" w:rsidP="008C5FAA">
      <w:pPr>
        <w:rPr>
          <w:rFonts w:cs="Arial"/>
          <w:lang w:val="en-GB"/>
        </w:rPr>
      </w:pPr>
      <w:r w:rsidRPr="00723074">
        <w:rPr>
          <w:rFonts w:cs="Arial"/>
          <w:lang w:val="en-GB"/>
        </w:rPr>
        <w:t xml:space="preserve">Under subsection 33(3) of the </w:t>
      </w:r>
      <w:r w:rsidRPr="00723074">
        <w:rPr>
          <w:rFonts w:cs="Arial"/>
          <w:i/>
          <w:lang w:val="en-GB"/>
        </w:rPr>
        <w:t>Acts Interpretation Act 1901</w:t>
      </w:r>
      <w:r w:rsidR="001F01A9" w:rsidRPr="00723074">
        <w:rPr>
          <w:rFonts w:cs="Arial"/>
          <w:i/>
          <w:lang w:val="en-GB"/>
        </w:rPr>
        <w:t xml:space="preserve"> </w:t>
      </w:r>
      <w:r w:rsidR="001F01A9" w:rsidRPr="00723074">
        <w:rPr>
          <w:rFonts w:cs="Arial"/>
          <w:lang w:val="en-GB"/>
        </w:rPr>
        <w:t>(</w:t>
      </w:r>
      <w:proofErr w:type="spellStart"/>
      <w:r w:rsidR="001F01A9" w:rsidRPr="00723074">
        <w:rPr>
          <w:rFonts w:cs="Arial"/>
          <w:lang w:val="en-GB"/>
        </w:rPr>
        <w:t>Cth</w:t>
      </w:r>
      <w:proofErr w:type="spellEnd"/>
      <w:r w:rsidR="001F01A9" w:rsidRPr="00723074">
        <w:rPr>
          <w:rFonts w:cs="Arial"/>
          <w:lang w:val="en-GB"/>
        </w:rPr>
        <w:t>)</w:t>
      </w:r>
      <w:r w:rsidRPr="00723074">
        <w:rPr>
          <w:rFonts w:cs="Arial"/>
          <w:lang w:val="en-GB"/>
        </w:rPr>
        <w:t xml:space="preserve">, where an Act confers a power to make, grant or issue any instrument of a legislative or administrative character (including rules, </w:t>
      </w:r>
      <w:proofErr w:type="gramStart"/>
      <w:r w:rsidRPr="00723074">
        <w:rPr>
          <w:rFonts w:cs="Arial"/>
          <w:lang w:val="en-GB"/>
        </w:rPr>
        <w:t>regulations</w:t>
      </w:r>
      <w:proofErr w:type="gramEnd"/>
      <w:r w:rsidRPr="00723074">
        <w:rPr>
          <w:rFonts w:cs="Arial"/>
          <w:lang w:val="en-GB"/>
        </w:rPr>
        <w:t xml:space="preserve"> or by-laws), the power shall be construed as including a power exercisable in the like manner and subject to the like conditions (if any) to repeal, rescind, revoke, amend, or vary any such instrument.</w:t>
      </w:r>
    </w:p>
    <w:p w14:paraId="14C1640F" w14:textId="1FCD5F2D" w:rsidR="001B4A7B" w:rsidRPr="0055742B" w:rsidRDefault="001B4A7B" w:rsidP="001B4A7B">
      <w:pPr>
        <w:rPr>
          <w:rFonts w:cs="Arial"/>
          <w:b/>
          <w:lang w:val="en-GB"/>
        </w:rPr>
      </w:pPr>
      <w:r w:rsidRPr="0055742B">
        <w:rPr>
          <w:rFonts w:cs="Arial"/>
          <w:b/>
          <w:lang w:val="en-GB"/>
        </w:rPr>
        <w:t xml:space="preserve">Requirements </w:t>
      </w:r>
      <w:r w:rsidR="007A502D" w:rsidRPr="0055742B">
        <w:rPr>
          <w:rFonts w:cs="Arial"/>
          <w:b/>
          <w:lang w:val="en-GB"/>
        </w:rPr>
        <w:t xml:space="preserve">of </w:t>
      </w:r>
      <w:r w:rsidRPr="0055742B">
        <w:rPr>
          <w:rFonts w:cs="Arial"/>
          <w:b/>
          <w:lang w:val="en-GB"/>
        </w:rPr>
        <w:t xml:space="preserve">the </w:t>
      </w:r>
      <w:r w:rsidR="00094C81">
        <w:rPr>
          <w:rFonts w:cs="Arial"/>
          <w:b/>
          <w:lang w:val="en-GB"/>
        </w:rPr>
        <w:t>N</w:t>
      </w:r>
      <w:r w:rsidR="00DB59BC" w:rsidRPr="0055742B">
        <w:rPr>
          <w:rFonts w:cs="Arial"/>
          <w:b/>
          <w:lang w:val="en-GB"/>
        </w:rPr>
        <w:t xml:space="preserve">ew </w:t>
      </w:r>
      <w:r w:rsidR="00094C81">
        <w:rPr>
          <w:rFonts w:cs="Arial"/>
          <w:b/>
          <w:lang w:val="en-GB"/>
        </w:rPr>
        <w:t>S</w:t>
      </w:r>
      <w:r w:rsidR="00A22EB3" w:rsidRPr="0055742B">
        <w:rPr>
          <w:rFonts w:cs="Arial"/>
          <w:b/>
          <w:lang w:val="en-GB"/>
        </w:rPr>
        <w:t>afety</w:t>
      </w:r>
      <w:r w:rsidRPr="0055742B">
        <w:rPr>
          <w:rFonts w:cs="Arial"/>
          <w:b/>
          <w:lang w:val="en-GB"/>
        </w:rPr>
        <w:t xml:space="preserve"> </w:t>
      </w:r>
      <w:r w:rsidR="00094C81">
        <w:rPr>
          <w:rFonts w:cs="Arial"/>
          <w:b/>
          <w:lang w:val="en-GB"/>
        </w:rPr>
        <w:t>S</w:t>
      </w:r>
      <w:r w:rsidRPr="0055742B">
        <w:rPr>
          <w:rFonts w:cs="Arial"/>
          <w:b/>
          <w:lang w:val="en-GB"/>
        </w:rPr>
        <w:t>tandard</w:t>
      </w:r>
    </w:p>
    <w:p w14:paraId="60BFC0A0" w14:textId="158C500E" w:rsidR="009E7F04" w:rsidRPr="0099455C" w:rsidRDefault="00A22EB3" w:rsidP="00B9628B">
      <w:pPr>
        <w:rPr>
          <w:rFonts w:cs="Arial"/>
          <w:lang w:val="en-GB"/>
        </w:rPr>
      </w:pPr>
      <w:r w:rsidRPr="0099455C">
        <w:rPr>
          <w:rFonts w:cs="Arial"/>
          <w:lang w:val="en-GB"/>
        </w:rPr>
        <w:t xml:space="preserve">The </w:t>
      </w:r>
      <w:r w:rsidR="00094C81">
        <w:rPr>
          <w:rFonts w:cs="Arial"/>
          <w:lang w:val="en-GB"/>
        </w:rPr>
        <w:t>N</w:t>
      </w:r>
      <w:r w:rsidRPr="0099455C">
        <w:rPr>
          <w:rFonts w:cs="Arial"/>
          <w:lang w:val="en-GB"/>
        </w:rPr>
        <w:t>ew</w:t>
      </w:r>
      <w:r w:rsidR="00B9628B" w:rsidRPr="0099455C">
        <w:rPr>
          <w:rFonts w:cs="Arial"/>
          <w:lang w:val="en-GB"/>
        </w:rPr>
        <w:t xml:space="preserve"> </w:t>
      </w:r>
      <w:r w:rsidR="00094C81">
        <w:rPr>
          <w:rFonts w:cs="Arial"/>
          <w:lang w:val="en-GB"/>
        </w:rPr>
        <w:t>S</w:t>
      </w:r>
      <w:r w:rsidR="00EC754B" w:rsidRPr="0099455C">
        <w:rPr>
          <w:rFonts w:cs="Arial"/>
          <w:lang w:val="en-GB"/>
        </w:rPr>
        <w:t xml:space="preserve">afety </w:t>
      </w:r>
      <w:r w:rsidR="00094C81">
        <w:rPr>
          <w:rFonts w:cs="Arial"/>
          <w:lang w:val="en-GB"/>
        </w:rPr>
        <w:t>S</w:t>
      </w:r>
      <w:r w:rsidR="0055742B" w:rsidRPr="0099455C">
        <w:rPr>
          <w:rFonts w:cs="Arial"/>
          <w:lang w:val="en-GB"/>
        </w:rPr>
        <w:t>tandard applies to portable non-aerosol fire extinguishers</w:t>
      </w:r>
      <w:r w:rsidR="00A53CC6" w:rsidRPr="0099455C">
        <w:rPr>
          <w:rFonts w:cs="Arial"/>
          <w:lang w:val="en-GB"/>
        </w:rPr>
        <w:t>. A</w:t>
      </w:r>
      <w:r w:rsidR="0099455C" w:rsidRPr="0099455C">
        <w:rPr>
          <w:rFonts w:cs="Arial"/>
          <w:lang w:val="en-GB"/>
        </w:rPr>
        <w:t xml:space="preserve"> </w:t>
      </w:r>
      <w:r w:rsidR="0099455C" w:rsidRPr="00734F03">
        <w:rPr>
          <w:rFonts w:cs="Arial"/>
          <w:b/>
          <w:lang w:val="en-GB"/>
        </w:rPr>
        <w:t xml:space="preserve">portable non-aerosol </w:t>
      </w:r>
      <w:r w:rsidR="0055742B" w:rsidRPr="00734F03">
        <w:rPr>
          <w:rFonts w:cs="Arial"/>
          <w:b/>
          <w:lang w:val="en-GB"/>
        </w:rPr>
        <w:t>fire extinguisher</w:t>
      </w:r>
      <w:r w:rsidR="0055742B" w:rsidRPr="0099455C">
        <w:rPr>
          <w:rFonts w:cs="Arial"/>
          <w:lang w:val="en-GB"/>
        </w:rPr>
        <w:t xml:space="preserve"> is </w:t>
      </w:r>
      <w:r w:rsidR="00A53CC6" w:rsidRPr="0099455C">
        <w:rPr>
          <w:rFonts w:cs="Arial"/>
          <w:lang w:val="en-GB"/>
        </w:rPr>
        <w:t xml:space="preserve">defined in the </w:t>
      </w:r>
      <w:r w:rsidR="00094C81">
        <w:rPr>
          <w:rFonts w:cs="Arial"/>
          <w:lang w:val="en-GB"/>
        </w:rPr>
        <w:t>N</w:t>
      </w:r>
      <w:r w:rsidR="00A53CC6" w:rsidRPr="0099455C">
        <w:rPr>
          <w:rFonts w:cs="Arial"/>
          <w:lang w:val="en-GB"/>
        </w:rPr>
        <w:t xml:space="preserve">ew </w:t>
      </w:r>
      <w:r w:rsidR="00094C81">
        <w:rPr>
          <w:rFonts w:cs="Arial"/>
          <w:lang w:val="en-GB"/>
        </w:rPr>
        <w:t>S</w:t>
      </w:r>
      <w:r w:rsidR="00A53CC6" w:rsidRPr="0099455C">
        <w:rPr>
          <w:rFonts w:cs="Arial"/>
          <w:lang w:val="en-GB"/>
        </w:rPr>
        <w:t xml:space="preserve">afety </w:t>
      </w:r>
      <w:r w:rsidR="00094C81">
        <w:rPr>
          <w:rFonts w:cs="Arial"/>
          <w:lang w:val="en-GB"/>
        </w:rPr>
        <w:t>S</w:t>
      </w:r>
      <w:r w:rsidR="00A53CC6" w:rsidRPr="0099455C">
        <w:rPr>
          <w:rFonts w:cs="Arial"/>
          <w:lang w:val="en-GB"/>
        </w:rPr>
        <w:t>tandard as a</w:t>
      </w:r>
      <w:r w:rsidR="0099455C" w:rsidRPr="0099455C">
        <w:rPr>
          <w:rFonts w:cs="Arial"/>
          <w:lang w:val="en-GB"/>
        </w:rPr>
        <w:t>n appliance that is</w:t>
      </w:r>
      <w:r w:rsidR="00E747EC" w:rsidRPr="0099455C">
        <w:rPr>
          <w:rFonts w:cs="Arial"/>
          <w:lang w:val="en-GB"/>
        </w:rPr>
        <w:t>:</w:t>
      </w:r>
    </w:p>
    <w:p w14:paraId="56414340" w14:textId="4AAF9F8F" w:rsidR="00B04D1B" w:rsidRPr="0099455C" w:rsidRDefault="0099455C" w:rsidP="009E7F04">
      <w:pPr>
        <w:pStyle w:val="ListParagraph"/>
        <w:numPr>
          <w:ilvl w:val="0"/>
          <w:numId w:val="40"/>
        </w:numPr>
        <w:rPr>
          <w:rFonts w:cs="Arial"/>
          <w:lang w:val="en-GB"/>
        </w:rPr>
      </w:pPr>
      <w:r w:rsidRPr="0099455C">
        <w:rPr>
          <w:rFonts w:cs="Arial"/>
          <w:lang w:val="en-GB"/>
        </w:rPr>
        <w:t>a portable fire extinguisher; and</w:t>
      </w:r>
    </w:p>
    <w:p w14:paraId="68076EE7" w14:textId="153AC811" w:rsidR="004957D5" w:rsidRPr="0099455C" w:rsidRDefault="0099455C" w:rsidP="009E7F04">
      <w:pPr>
        <w:pStyle w:val="ListParagraph"/>
        <w:numPr>
          <w:ilvl w:val="0"/>
          <w:numId w:val="40"/>
        </w:numPr>
        <w:rPr>
          <w:rFonts w:cs="Arial"/>
          <w:lang w:val="en-GB"/>
        </w:rPr>
      </w:pPr>
      <w:r w:rsidRPr="0099455C">
        <w:rPr>
          <w:rFonts w:cs="Arial"/>
          <w:lang w:val="en-GB"/>
        </w:rPr>
        <w:t>not an aerosol fire extinguisher.</w:t>
      </w:r>
    </w:p>
    <w:p w14:paraId="7F7CD10C" w14:textId="7CA4F05C" w:rsidR="00B50C79" w:rsidRPr="00B50C79" w:rsidRDefault="00B50C79" w:rsidP="00B50C79">
      <w:pPr>
        <w:rPr>
          <w:rFonts w:asciiTheme="minorHAnsi" w:hAnsiTheme="minorHAnsi" w:cstheme="minorHAnsi"/>
          <w:lang w:val="en-GB"/>
        </w:rPr>
      </w:pPr>
      <w:r w:rsidRPr="00B50C79">
        <w:rPr>
          <w:rFonts w:asciiTheme="minorHAnsi" w:hAnsiTheme="minorHAnsi" w:cstheme="minorHAnsi"/>
          <w:lang w:val="en-GB"/>
        </w:rPr>
        <w:t xml:space="preserve">The </w:t>
      </w:r>
      <w:r w:rsidR="00094C81">
        <w:rPr>
          <w:rFonts w:asciiTheme="minorHAnsi" w:hAnsiTheme="minorHAnsi" w:cstheme="minorHAnsi"/>
          <w:lang w:val="en-GB"/>
        </w:rPr>
        <w:t>N</w:t>
      </w:r>
      <w:r w:rsidRPr="00B50C79">
        <w:rPr>
          <w:rFonts w:asciiTheme="minorHAnsi" w:hAnsiTheme="minorHAnsi" w:cstheme="minorHAnsi"/>
          <w:lang w:val="en-GB"/>
        </w:rPr>
        <w:t xml:space="preserve">ew </w:t>
      </w:r>
      <w:r w:rsidR="00094C81">
        <w:rPr>
          <w:rFonts w:asciiTheme="minorHAnsi" w:hAnsiTheme="minorHAnsi" w:cstheme="minorHAnsi"/>
          <w:lang w:val="en-GB"/>
        </w:rPr>
        <w:t>S</w:t>
      </w:r>
      <w:r w:rsidRPr="00B50C79">
        <w:rPr>
          <w:rFonts w:asciiTheme="minorHAnsi" w:hAnsiTheme="minorHAnsi" w:cstheme="minorHAnsi"/>
          <w:lang w:val="en-GB"/>
        </w:rPr>
        <w:t xml:space="preserve">afety </w:t>
      </w:r>
      <w:r w:rsidR="00094C81">
        <w:rPr>
          <w:rFonts w:asciiTheme="minorHAnsi" w:hAnsiTheme="minorHAnsi" w:cstheme="minorHAnsi"/>
          <w:lang w:val="en-GB"/>
        </w:rPr>
        <w:t>S</w:t>
      </w:r>
      <w:r w:rsidRPr="00B50C79">
        <w:rPr>
          <w:rFonts w:asciiTheme="minorHAnsi" w:hAnsiTheme="minorHAnsi" w:cstheme="minorHAnsi"/>
          <w:lang w:val="en-GB"/>
        </w:rPr>
        <w:t>tandard requires the supply of portable non-aerosol fire extinguisher</w:t>
      </w:r>
      <w:r w:rsidR="002A312E">
        <w:rPr>
          <w:rFonts w:asciiTheme="minorHAnsi" w:hAnsiTheme="minorHAnsi" w:cstheme="minorHAnsi"/>
          <w:lang w:val="en-GB"/>
        </w:rPr>
        <w:t>s</w:t>
      </w:r>
      <w:r w:rsidRPr="00B50C79">
        <w:rPr>
          <w:rFonts w:asciiTheme="minorHAnsi" w:hAnsiTheme="minorHAnsi" w:cstheme="minorHAnsi"/>
          <w:lang w:val="en-GB"/>
        </w:rPr>
        <w:t xml:space="preserve"> to comply with the latest voluntary Australian/New Zealand standard AS/NZS 1841.1:2007 (with variations), and AS/NZS 1841:2007 </w:t>
      </w:r>
      <w:r w:rsidR="00DC7BC3">
        <w:rPr>
          <w:rFonts w:asciiTheme="minorHAnsi" w:hAnsiTheme="minorHAnsi" w:cstheme="minorHAnsi"/>
          <w:lang w:val="en-GB"/>
        </w:rPr>
        <w:t>Parts 2 to 8</w:t>
      </w:r>
      <w:r w:rsidR="00AA227E">
        <w:rPr>
          <w:rFonts w:asciiTheme="minorHAnsi" w:hAnsiTheme="minorHAnsi" w:cstheme="minorHAnsi"/>
          <w:lang w:val="en-GB"/>
        </w:rPr>
        <w:t>,</w:t>
      </w:r>
      <w:r w:rsidRPr="00B50C79">
        <w:rPr>
          <w:rFonts w:asciiTheme="minorHAnsi" w:hAnsiTheme="minorHAnsi" w:cstheme="minorHAnsi"/>
          <w:lang w:val="en-GB"/>
        </w:rPr>
        <w:t xml:space="preserve"> as particularised in the instrument and to the extent that they apply to the fire extinguisher being supplied.</w:t>
      </w:r>
    </w:p>
    <w:p w14:paraId="0C73F022" w14:textId="310B6BBE" w:rsidR="00010009" w:rsidRDefault="00B50C79" w:rsidP="00010009">
      <w:pPr>
        <w:pStyle w:val="Numberedparagraph11"/>
        <w:numPr>
          <w:ilvl w:val="0"/>
          <w:numId w:val="0"/>
        </w:numPr>
        <w:rPr>
          <w:rFonts w:asciiTheme="minorHAnsi" w:hAnsiTheme="minorHAnsi" w:cstheme="minorHAnsi"/>
          <w:lang w:val="en-GB"/>
        </w:rPr>
      </w:pPr>
      <w:r w:rsidRPr="00A86F70">
        <w:rPr>
          <w:rFonts w:asciiTheme="minorHAnsi" w:hAnsiTheme="minorHAnsi" w:cstheme="minorHAnsi"/>
          <w:lang w:val="en-GB"/>
        </w:rPr>
        <w:t xml:space="preserve">The </w:t>
      </w:r>
      <w:r w:rsidR="00094C81">
        <w:rPr>
          <w:rFonts w:asciiTheme="minorHAnsi" w:hAnsiTheme="minorHAnsi" w:cstheme="minorHAnsi"/>
          <w:lang w:val="en-GB"/>
        </w:rPr>
        <w:t>N</w:t>
      </w:r>
      <w:r w:rsidRPr="00A86F70">
        <w:rPr>
          <w:rFonts w:asciiTheme="minorHAnsi" w:hAnsiTheme="minorHAnsi" w:cstheme="minorHAnsi"/>
          <w:lang w:val="en-GB"/>
        </w:rPr>
        <w:t xml:space="preserve">ew </w:t>
      </w:r>
      <w:r w:rsidR="00094C81">
        <w:rPr>
          <w:rFonts w:asciiTheme="minorHAnsi" w:hAnsiTheme="minorHAnsi" w:cstheme="minorHAnsi"/>
          <w:lang w:val="en-GB"/>
        </w:rPr>
        <w:t>S</w:t>
      </w:r>
      <w:r w:rsidRPr="00A86F70">
        <w:rPr>
          <w:rFonts w:asciiTheme="minorHAnsi" w:hAnsiTheme="minorHAnsi" w:cstheme="minorHAnsi"/>
          <w:lang w:val="en-GB"/>
        </w:rPr>
        <w:t xml:space="preserve">afety </w:t>
      </w:r>
      <w:r w:rsidR="00094C81">
        <w:rPr>
          <w:rFonts w:asciiTheme="minorHAnsi" w:hAnsiTheme="minorHAnsi" w:cstheme="minorHAnsi"/>
          <w:lang w:val="en-GB"/>
        </w:rPr>
        <w:t>S</w:t>
      </w:r>
      <w:r w:rsidRPr="00A86F70">
        <w:rPr>
          <w:rFonts w:asciiTheme="minorHAnsi" w:hAnsiTheme="minorHAnsi" w:cstheme="minorHAnsi"/>
          <w:lang w:val="en-GB"/>
        </w:rPr>
        <w:t xml:space="preserve">tandard continues to address the same hazards as the </w:t>
      </w:r>
      <w:r w:rsidR="007C6DA7">
        <w:rPr>
          <w:rFonts w:asciiTheme="minorHAnsi" w:hAnsiTheme="minorHAnsi" w:cstheme="minorHAnsi"/>
          <w:lang w:val="en-GB"/>
        </w:rPr>
        <w:t>R</w:t>
      </w:r>
      <w:r w:rsidRPr="00A86F70">
        <w:rPr>
          <w:rFonts w:asciiTheme="minorHAnsi" w:hAnsiTheme="minorHAnsi" w:cstheme="minorHAnsi"/>
          <w:lang w:val="en-GB"/>
        </w:rPr>
        <w:t xml:space="preserve">epealed </w:t>
      </w:r>
      <w:r w:rsidR="007C6DA7">
        <w:rPr>
          <w:rFonts w:asciiTheme="minorHAnsi" w:hAnsiTheme="minorHAnsi" w:cstheme="minorHAnsi"/>
          <w:lang w:val="en-GB"/>
        </w:rPr>
        <w:t>S</w:t>
      </w:r>
      <w:r w:rsidRPr="00A86F70">
        <w:rPr>
          <w:rFonts w:asciiTheme="minorHAnsi" w:hAnsiTheme="minorHAnsi" w:cstheme="minorHAnsi"/>
          <w:lang w:val="en-GB"/>
        </w:rPr>
        <w:t xml:space="preserve">afety </w:t>
      </w:r>
      <w:r w:rsidR="007C6DA7">
        <w:rPr>
          <w:rFonts w:asciiTheme="minorHAnsi" w:hAnsiTheme="minorHAnsi" w:cstheme="minorHAnsi"/>
          <w:lang w:val="en-GB"/>
        </w:rPr>
        <w:t>S</w:t>
      </w:r>
      <w:r w:rsidRPr="00A86F70">
        <w:rPr>
          <w:rFonts w:asciiTheme="minorHAnsi" w:hAnsiTheme="minorHAnsi" w:cstheme="minorHAnsi"/>
          <w:lang w:val="en-GB"/>
        </w:rPr>
        <w:t xml:space="preserve">tandard </w:t>
      </w:r>
      <w:r w:rsidR="002A312E">
        <w:rPr>
          <w:rFonts w:asciiTheme="minorHAnsi" w:hAnsiTheme="minorHAnsi" w:cstheme="minorHAnsi"/>
          <w:lang w:val="en-GB"/>
        </w:rPr>
        <w:t>and</w:t>
      </w:r>
      <w:r w:rsidR="002A312E" w:rsidRPr="00A86F70">
        <w:rPr>
          <w:rFonts w:asciiTheme="minorHAnsi" w:hAnsiTheme="minorHAnsi" w:cstheme="minorHAnsi"/>
          <w:lang w:val="en-GB"/>
        </w:rPr>
        <w:t xml:space="preserve"> </w:t>
      </w:r>
      <w:r w:rsidRPr="00A86F70">
        <w:rPr>
          <w:rFonts w:asciiTheme="minorHAnsi" w:hAnsiTheme="minorHAnsi" w:cstheme="minorHAnsi"/>
          <w:lang w:val="en-GB"/>
        </w:rPr>
        <w:t>includes updated requirements to better account for industry practices. It also includes a new scope of supply</w:t>
      </w:r>
      <w:r w:rsidR="00010009">
        <w:rPr>
          <w:rFonts w:asciiTheme="minorHAnsi" w:hAnsiTheme="minorHAnsi" w:cstheme="minorHAnsi"/>
          <w:lang w:val="en-GB"/>
        </w:rPr>
        <w:t xml:space="preserve"> in </w:t>
      </w:r>
      <w:r w:rsidR="00010009" w:rsidRPr="00A95CC0">
        <w:rPr>
          <w:rFonts w:asciiTheme="minorHAnsi" w:hAnsiTheme="minorHAnsi" w:cstheme="minorHAnsi"/>
          <w:lang w:val="en-GB"/>
        </w:rPr>
        <w:t>section 6</w:t>
      </w:r>
      <w:r w:rsidR="000F248E">
        <w:rPr>
          <w:rFonts w:asciiTheme="minorHAnsi" w:hAnsiTheme="minorHAnsi" w:cstheme="minorHAnsi"/>
          <w:lang w:val="en-GB"/>
        </w:rPr>
        <w:t xml:space="preserve"> which sets out that the </w:t>
      </w:r>
      <w:r w:rsidR="00347222">
        <w:rPr>
          <w:rFonts w:asciiTheme="minorHAnsi" w:hAnsiTheme="minorHAnsi" w:cstheme="minorHAnsi"/>
          <w:lang w:val="en-GB"/>
        </w:rPr>
        <w:t>standard</w:t>
      </w:r>
      <w:r w:rsidR="000F248E">
        <w:rPr>
          <w:rFonts w:asciiTheme="minorHAnsi" w:hAnsiTheme="minorHAnsi" w:cstheme="minorHAnsi"/>
          <w:lang w:val="en-GB"/>
        </w:rPr>
        <w:t xml:space="preserve"> does not apply to second-hand portable non-aerosol fire extinguisher</w:t>
      </w:r>
      <w:r w:rsidR="002A312E">
        <w:rPr>
          <w:rFonts w:asciiTheme="minorHAnsi" w:hAnsiTheme="minorHAnsi" w:cstheme="minorHAnsi"/>
          <w:lang w:val="en-GB"/>
        </w:rPr>
        <w:t>s</w:t>
      </w:r>
      <w:r w:rsidR="000F248E">
        <w:rPr>
          <w:rFonts w:asciiTheme="minorHAnsi" w:hAnsiTheme="minorHAnsi" w:cstheme="minorHAnsi"/>
          <w:lang w:val="en-GB"/>
        </w:rPr>
        <w:t xml:space="preserve"> unless</w:t>
      </w:r>
      <w:r w:rsidR="00010009">
        <w:rPr>
          <w:rFonts w:asciiTheme="minorHAnsi" w:hAnsiTheme="minorHAnsi" w:cstheme="minorHAnsi"/>
          <w:lang w:val="en-GB"/>
        </w:rPr>
        <w:t>:</w:t>
      </w:r>
    </w:p>
    <w:p w14:paraId="3A3DA31D" w14:textId="5EA5FAE5" w:rsidR="00010009" w:rsidRPr="0099455C" w:rsidRDefault="000F248E" w:rsidP="00010009">
      <w:pPr>
        <w:pStyle w:val="ListParagraph"/>
        <w:numPr>
          <w:ilvl w:val="0"/>
          <w:numId w:val="40"/>
        </w:numPr>
        <w:rPr>
          <w:rFonts w:cs="Arial"/>
          <w:lang w:val="en-GB"/>
        </w:rPr>
      </w:pPr>
      <w:r>
        <w:rPr>
          <w:rFonts w:cs="Arial"/>
          <w:lang w:val="en-GB"/>
        </w:rPr>
        <w:t>the fire extinguisher has been imported into Australia; and</w:t>
      </w:r>
    </w:p>
    <w:p w14:paraId="15333F82" w14:textId="20971E9A" w:rsidR="00010009" w:rsidRPr="00010009" w:rsidRDefault="000F248E" w:rsidP="00010009">
      <w:pPr>
        <w:pStyle w:val="ListParagraph"/>
        <w:numPr>
          <w:ilvl w:val="0"/>
          <w:numId w:val="40"/>
        </w:numPr>
        <w:rPr>
          <w:rFonts w:cs="Arial"/>
          <w:lang w:val="en-GB"/>
        </w:rPr>
      </w:pPr>
      <w:r>
        <w:rPr>
          <w:rFonts w:cs="Arial"/>
          <w:lang w:val="en-GB"/>
        </w:rPr>
        <w:lastRenderedPageBreak/>
        <w:t>the fire extinguisher is being supplied, or offered for supply, to a person or persons within Australia for the first time after being imported.</w:t>
      </w:r>
    </w:p>
    <w:p w14:paraId="726CA87A" w14:textId="4E891F05" w:rsidR="00B50C79" w:rsidRDefault="00010009" w:rsidP="00B50C79">
      <w:pPr>
        <w:pStyle w:val="Numberedparagraph11"/>
        <w:numPr>
          <w:ilvl w:val="0"/>
          <w:numId w:val="0"/>
        </w:numPr>
        <w:rPr>
          <w:rFonts w:eastAsiaTheme="minorHAnsi"/>
        </w:rPr>
      </w:pPr>
      <w:r>
        <w:rPr>
          <w:rFonts w:asciiTheme="minorHAnsi" w:hAnsiTheme="minorHAnsi" w:cstheme="minorHAnsi"/>
          <w:lang w:val="en-GB"/>
        </w:rPr>
        <w:t>This</w:t>
      </w:r>
      <w:r w:rsidR="00B50C79" w:rsidRPr="00A86F70">
        <w:rPr>
          <w:rFonts w:asciiTheme="minorHAnsi" w:hAnsiTheme="minorHAnsi" w:cstheme="minorHAnsi"/>
          <w:lang w:val="en-GB"/>
        </w:rPr>
        <w:t xml:space="preserve"> is intended to reduce the regulatory burden on suppliers that</w:t>
      </w:r>
      <w:r w:rsidR="00347222">
        <w:rPr>
          <w:rFonts w:asciiTheme="minorHAnsi" w:hAnsiTheme="minorHAnsi" w:cstheme="minorHAnsi"/>
          <w:lang w:val="en-GB"/>
        </w:rPr>
        <w:t xml:space="preserve"> previously</w:t>
      </w:r>
      <w:r w:rsidR="00B50C79" w:rsidRPr="00A86F70">
        <w:rPr>
          <w:rFonts w:asciiTheme="minorHAnsi" w:hAnsiTheme="minorHAnsi" w:cstheme="minorHAnsi"/>
          <w:lang w:val="en-GB"/>
        </w:rPr>
        <w:t xml:space="preserve"> ha</w:t>
      </w:r>
      <w:r w:rsidR="00347222">
        <w:rPr>
          <w:rFonts w:asciiTheme="minorHAnsi" w:hAnsiTheme="minorHAnsi" w:cstheme="minorHAnsi"/>
          <w:lang w:val="en-GB"/>
        </w:rPr>
        <w:t>d</w:t>
      </w:r>
      <w:r w:rsidR="00B50C79" w:rsidRPr="00A86F70">
        <w:rPr>
          <w:rFonts w:asciiTheme="minorHAnsi" w:hAnsiTheme="minorHAnsi" w:cstheme="minorHAnsi"/>
          <w:lang w:val="en-GB"/>
        </w:rPr>
        <w:t xml:space="preserve"> to test to the safety standard multiple times</w:t>
      </w:r>
      <w:r w:rsidR="000F248E">
        <w:rPr>
          <w:rFonts w:asciiTheme="minorHAnsi" w:hAnsiTheme="minorHAnsi" w:cstheme="minorHAnsi"/>
          <w:lang w:val="en-GB"/>
        </w:rPr>
        <w:t xml:space="preserve"> after first supply to the Australian market</w:t>
      </w:r>
      <w:r w:rsidR="00B50C79" w:rsidRPr="00A86F70">
        <w:rPr>
          <w:rFonts w:asciiTheme="minorHAnsi" w:hAnsiTheme="minorHAnsi" w:cstheme="minorHAnsi"/>
          <w:lang w:val="en-GB"/>
        </w:rPr>
        <w:t xml:space="preserve"> </w:t>
      </w:r>
      <w:r w:rsidR="00B50C79">
        <w:rPr>
          <w:rFonts w:eastAsiaTheme="minorHAnsi"/>
        </w:rPr>
        <w:t>without</w:t>
      </w:r>
      <w:r w:rsidR="00B50C79" w:rsidRPr="00A86F70">
        <w:rPr>
          <w:rFonts w:eastAsiaTheme="minorHAnsi"/>
        </w:rPr>
        <w:t xml:space="preserve"> </w:t>
      </w:r>
      <w:r w:rsidR="00E07F9C">
        <w:rPr>
          <w:rFonts w:eastAsiaTheme="minorHAnsi"/>
        </w:rPr>
        <w:t xml:space="preserve">a </w:t>
      </w:r>
      <w:r w:rsidR="00B50C79" w:rsidRPr="00A86F70">
        <w:rPr>
          <w:rFonts w:eastAsiaTheme="minorHAnsi"/>
        </w:rPr>
        <w:t>corresponding benefit.</w:t>
      </w:r>
      <w:r w:rsidR="000F248E">
        <w:rPr>
          <w:rFonts w:eastAsiaTheme="minorHAnsi"/>
        </w:rPr>
        <w:t xml:space="preserve"> The safety standard continues to apply to new portable non-aerosol fire extinguisher</w:t>
      </w:r>
      <w:r w:rsidR="00E07F9C">
        <w:rPr>
          <w:rFonts w:eastAsiaTheme="minorHAnsi"/>
        </w:rPr>
        <w:t>s</w:t>
      </w:r>
      <w:r w:rsidR="000F248E">
        <w:rPr>
          <w:rFonts w:eastAsiaTheme="minorHAnsi"/>
        </w:rPr>
        <w:t xml:space="preserve"> supplied to Australia for the first time.</w:t>
      </w:r>
    </w:p>
    <w:p w14:paraId="37883598" w14:textId="11281485" w:rsidR="00B50C79" w:rsidRPr="00B50C79" w:rsidRDefault="00B50C79" w:rsidP="00B50C79">
      <w:pPr>
        <w:pStyle w:val="Numberedparagraph11"/>
        <w:numPr>
          <w:ilvl w:val="0"/>
          <w:numId w:val="0"/>
        </w:numPr>
        <w:rPr>
          <w:rFonts w:eastAsiaTheme="minorHAnsi"/>
        </w:rPr>
      </w:pPr>
      <w:r w:rsidRPr="00EA254D">
        <w:rPr>
          <w:rFonts w:eastAsiaTheme="minorHAnsi"/>
        </w:rPr>
        <w:t xml:space="preserve">The safety standard </w:t>
      </w:r>
      <w:r w:rsidR="000F248E">
        <w:rPr>
          <w:rFonts w:eastAsiaTheme="minorHAnsi"/>
        </w:rPr>
        <w:t xml:space="preserve">also </w:t>
      </w:r>
      <w:r w:rsidRPr="00EA254D">
        <w:rPr>
          <w:rFonts w:eastAsiaTheme="minorHAnsi"/>
        </w:rPr>
        <w:t>only applies to portable non-aerosol fire extinguishers that are ‘</w:t>
      </w:r>
      <w:r w:rsidRPr="00EA254D">
        <w:rPr>
          <w:rFonts w:eastAsiaTheme="minorHAnsi"/>
          <w:i/>
        </w:rPr>
        <w:t>consumer goods</w:t>
      </w:r>
      <w:r w:rsidRPr="00EA254D">
        <w:rPr>
          <w:rFonts w:eastAsiaTheme="minorHAnsi"/>
        </w:rPr>
        <w:t>’ within the meaning provided by section 2 of the Australian Consumer Law</w:t>
      </w:r>
      <w:r w:rsidR="00E07F9C">
        <w:rPr>
          <w:rFonts w:eastAsiaTheme="minorHAnsi"/>
        </w:rPr>
        <w:t xml:space="preserve"> (ACL)</w:t>
      </w:r>
      <w:r w:rsidRPr="00EA254D">
        <w:rPr>
          <w:rFonts w:eastAsiaTheme="minorHAnsi"/>
        </w:rPr>
        <w:t>. If you are uncertain whether the product</w:t>
      </w:r>
      <w:r w:rsidR="00E07F9C">
        <w:rPr>
          <w:rFonts w:eastAsiaTheme="minorHAnsi"/>
        </w:rPr>
        <w:t>s</w:t>
      </w:r>
      <w:r w:rsidRPr="00EA254D">
        <w:rPr>
          <w:rFonts w:eastAsiaTheme="minorHAnsi"/>
        </w:rPr>
        <w:t xml:space="preserve"> you intend to supply are required to comply with the </w:t>
      </w:r>
      <w:r w:rsidR="00094C81">
        <w:rPr>
          <w:rFonts w:eastAsiaTheme="minorHAnsi"/>
        </w:rPr>
        <w:t>N</w:t>
      </w:r>
      <w:r w:rsidRPr="00EA254D">
        <w:rPr>
          <w:rFonts w:eastAsiaTheme="minorHAnsi"/>
        </w:rPr>
        <w:t xml:space="preserve">ew </w:t>
      </w:r>
      <w:r w:rsidR="00094C81">
        <w:rPr>
          <w:rFonts w:eastAsiaTheme="minorHAnsi"/>
        </w:rPr>
        <w:t>S</w:t>
      </w:r>
      <w:r w:rsidRPr="00EA254D">
        <w:rPr>
          <w:rFonts w:eastAsiaTheme="minorHAnsi"/>
        </w:rPr>
        <w:t xml:space="preserve">afety </w:t>
      </w:r>
      <w:r w:rsidR="00094C81">
        <w:rPr>
          <w:rFonts w:eastAsiaTheme="minorHAnsi"/>
        </w:rPr>
        <w:t>S</w:t>
      </w:r>
      <w:r w:rsidRPr="00EA254D">
        <w:rPr>
          <w:rFonts w:eastAsiaTheme="minorHAnsi"/>
        </w:rPr>
        <w:t xml:space="preserve">tandard, you </w:t>
      </w:r>
      <w:r w:rsidR="00E07F9C">
        <w:rPr>
          <w:rFonts w:eastAsiaTheme="minorHAnsi"/>
        </w:rPr>
        <w:t xml:space="preserve">should </w:t>
      </w:r>
      <w:r w:rsidRPr="00EA254D">
        <w:rPr>
          <w:rFonts w:eastAsiaTheme="minorHAnsi"/>
        </w:rPr>
        <w:t>obtain independent legal advice.</w:t>
      </w:r>
    </w:p>
    <w:p w14:paraId="54D68602" w14:textId="14A9A513" w:rsidR="00634102" w:rsidRPr="0099455C" w:rsidRDefault="00634102" w:rsidP="00CD69CA">
      <w:pPr>
        <w:spacing w:after="240"/>
        <w:rPr>
          <w:rFonts w:cs="Arial"/>
          <w:lang w:val="en-GB"/>
        </w:rPr>
      </w:pPr>
      <w:r w:rsidRPr="0099455C">
        <w:rPr>
          <w:rFonts w:cs="Arial"/>
          <w:lang w:val="en-GB"/>
        </w:rPr>
        <w:t>The</w:t>
      </w:r>
      <w:r w:rsidR="00A22EB3" w:rsidRPr="0099455C">
        <w:rPr>
          <w:rFonts w:cs="Arial"/>
          <w:lang w:val="en-GB"/>
        </w:rPr>
        <w:t xml:space="preserve"> </w:t>
      </w:r>
      <w:r w:rsidR="00094C81">
        <w:rPr>
          <w:rFonts w:cs="Arial"/>
          <w:lang w:val="en-GB"/>
        </w:rPr>
        <w:t>N</w:t>
      </w:r>
      <w:r w:rsidR="00A22EB3" w:rsidRPr="0099455C">
        <w:rPr>
          <w:rFonts w:cs="Arial"/>
          <w:lang w:val="en-GB"/>
        </w:rPr>
        <w:t>ew</w:t>
      </w:r>
      <w:r w:rsidRPr="0099455C">
        <w:rPr>
          <w:rFonts w:cs="Arial"/>
          <w:lang w:val="en-GB"/>
        </w:rPr>
        <w:t xml:space="preserve"> </w:t>
      </w:r>
      <w:r w:rsidR="00094C81">
        <w:rPr>
          <w:rFonts w:cs="Arial"/>
          <w:lang w:val="en-GB"/>
        </w:rPr>
        <w:t>S</w:t>
      </w:r>
      <w:r w:rsidRPr="0099455C">
        <w:rPr>
          <w:rFonts w:cs="Arial"/>
          <w:lang w:val="en-GB"/>
        </w:rPr>
        <w:t xml:space="preserve">afety </w:t>
      </w:r>
      <w:r w:rsidR="00094C81">
        <w:rPr>
          <w:rFonts w:cs="Arial"/>
          <w:lang w:val="en-GB"/>
        </w:rPr>
        <w:t>S</w:t>
      </w:r>
      <w:r w:rsidRPr="0099455C">
        <w:rPr>
          <w:rFonts w:cs="Arial"/>
          <w:lang w:val="en-GB"/>
        </w:rPr>
        <w:t>tandard includes the following</w:t>
      </w:r>
      <w:r w:rsidR="00F07661" w:rsidRPr="0099455C">
        <w:rPr>
          <w:rFonts w:cs="Arial"/>
          <w:lang w:val="en-GB"/>
        </w:rPr>
        <w:t xml:space="preserve"> additional</w:t>
      </w:r>
      <w:r w:rsidRPr="0099455C">
        <w:rPr>
          <w:rFonts w:cs="Arial"/>
          <w:lang w:val="en-GB"/>
        </w:rPr>
        <w:t xml:space="preserve"> definition</w:t>
      </w:r>
      <w:r w:rsidR="005D4A09" w:rsidRPr="0099455C">
        <w:rPr>
          <w:rFonts w:cs="Arial"/>
          <w:lang w:val="en-GB"/>
        </w:rPr>
        <w:t>s:</w:t>
      </w:r>
    </w:p>
    <w:p w14:paraId="5456110C" w14:textId="0B1D7947" w:rsidR="0099455C" w:rsidRPr="009255B3" w:rsidRDefault="002D2826" w:rsidP="00CD69CA">
      <w:pPr>
        <w:spacing w:after="240"/>
        <w:rPr>
          <w:rFonts w:cs="Arial"/>
          <w:lang w:val="en-GB"/>
        </w:rPr>
      </w:pPr>
      <w:r>
        <w:rPr>
          <w:rFonts w:cs="Arial"/>
          <w:b/>
          <w:i/>
          <w:lang w:val="en-GB"/>
        </w:rPr>
        <w:t>a</w:t>
      </w:r>
      <w:r w:rsidR="0099455C" w:rsidRPr="009255B3">
        <w:rPr>
          <w:rFonts w:cs="Arial"/>
          <w:b/>
          <w:i/>
          <w:lang w:val="en-GB"/>
        </w:rPr>
        <w:t>erosol fire extinguisher</w:t>
      </w:r>
      <w:r w:rsidR="009255B3" w:rsidRPr="009255B3">
        <w:rPr>
          <w:rFonts w:cs="Arial"/>
          <w:lang w:val="en-GB"/>
        </w:rPr>
        <w:t xml:space="preserve"> has the same</w:t>
      </w:r>
      <w:r w:rsidR="007E559E">
        <w:rPr>
          <w:rFonts w:cs="Arial"/>
          <w:lang w:val="en-GB"/>
        </w:rPr>
        <w:t xml:space="preserve"> meaning as in AS/NZS 4353:1995.</w:t>
      </w:r>
    </w:p>
    <w:p w14:paraId="16AF15CC" w14:textId="362167EA" w:rsidR="009255B3" w:rsidRPr="009255B3" w:rsidRDefault="009255B3" w:rsidP="005052F2">
      <w:pPr>
        <w:rPr>
          <w:rFonts w:asciiTheme="minorHAnsi" w:hAnsiTheme="minorHAnsi" w:cstheme="minorHAnsi"/>
          <w:b/>
          <w:i/>
          <w:lang w:val="en-GB"/>
        </w:rPr>
      </w:pPr>
      <w:r w:rsidRPr="009255B3">
        <w:rPr>
          <w:rFonts w:asciiTheme="minorHAnsi" w:hAnsiTheme="minorHAnsi" w:cstheme="minorHAnsi"/>
          <w:b/>
          <w:i/>
          <w:lang w:val="en-GB"/>
        </w:rPr>
        <w:t>AS/NZS</w:t>
      </w:r>
      <w:r w:rsidRPr="009255B3">
        <w:rPr>
          <w:b/>
          <w:i/>
        </w:rPr>
        <w:t xml:space="preserve"> 1841.1:2007</w:t>
      </w:r>
      <w:r w:rsidRPr="009255B3">
        <w:rPr>
          <w:rFonts w:asciiTheme="minorHAnsi" w:hAnsiTheme="minorHAnsi" w:cstheme="minorHAnsi"/>
          <w:b/>
          <w:i/>
          <w:lang w:val="en-GB"/>
        </w:rPr>
        <w:t xml:space="preserve"> </w:t>
      </w:r>
      <w:r w:rsidRPr="009255B3">
        <w:t xml:space="preserve">means the Australian/New Zealand Standard AS/NZS 1841.1:2007 </w:t>
      </w:r>
      <w:r w:rsidRPr="009255B3">
        <w:rPr>
          <w:i/>
        </w:rPr>
        <w:t>Portable fire extinguishers Part 1: General requirements</w:t>
      </w:r>
      <w:r w:rsidRPr="009255B3">
        <w:t>, published jointly by, or on behalf of, Standards Australia and Standards New Zealand.</w:t>
      </w:r>
    </w:p>
    <w:p w14:paraId="16A824C5" w14:textId="204FF9FB" w:rsidR="009255B3" w:rsidRPr="009255B3" w:rsidRDefault="009255B3" w:rsidP="005052F2">
      <w:pPr>
        <w:rPr>
          <w:rFonts w:asciiTheme="minorHAnsi" w:hAnsiTheme="minorHAnsi" w:cstheme="minorHAnsi"/>
          <w:b/>
          <w:i/>
          <w:lang w:val="en-GB"/>
        </w:rPr>
      </w:pPr>
      <w:r w:rsidRPr="009255B3">
        <w:rPr>
          <w:b/>
          <w:i/>
        </w:rPr>
        <w:t>AS/NZS 1841.2:2007</w:t>
      </w:r>
      <w:r w:rsidRPr="009255B3">
        <w:rPr>
          <w:i/>
        </w:rPr>
        <w:t xml:space="preserve"> </w:t>
      </w:r>
      <w:r w:rsidRPr="009255B3">
        <w:t xml:space="preserve">means the Australian/New Zealand Standard AS/NZS 1841.2:2007 </w:t>
      </w:r>
      <w:r w:rsidRPr="009255B3">
        <w:rPr>
          <w:i/>
        </w:rPr>
        <w:t>Portable fire extinguishers Part 2: Specific requirements for water type extinguishers</w:t>
      </w:r>
      <w:r w:rsidRPr="009255B3">
        <w:t>, published jointly by, or on behalf of, Standards Australia and Standards New Zealand.</w:t>
      </w:r>
    </w:p>
    <w:p w14:paraId="2D6CE694" w14:textId="0FE94030" w:rsidR="009255B3" w:rsidRPr="009255B3" w:rsidRDefault="009255B3" w:rsidP="005052F2">
      <w:pPr>
        <w:rPr>
          <w:rFonts w:asciiTheme="minorHAnsi" w:hAnsiTheme="minorHAnsi" w:cstheme="minorHAnsi"/>
          <w:b/>
          <w:i/>
          <w:lang w:val="en-GB"/>
        </w:rPr>
      </w:pPr>
      <w:r w:rsidRPr="009255B3">
        <w:rPr>
          <w:rFonts w:asciiTheme="minorHAnsi" w:hAnsiTheme="minorHAnsi" w:cstheme="minorHAnsi"/>
          <w:b/>
          <w:i/>
          <w:lang w:val="en-GB"/>
        </w:rPr>
        <w:t>AS/</w:t>
      </w:r>
      <w:r w:rsidRPr="009255B3">
        <w:rPr>
          <w:b/>
          <w:i/>
        </w:rPr>
        <w:t>NZS 1841.3:2007</w:t>
      </w:r>
      <w:r w:rsidRPr="009255B3">
        <w:rPr>
          <w:i/>
        </w:rPr>
        <w:t xml:space="preserve"> </w:t>
      </w:r>
      <w:r w:rsidRPr="009255B3">
        <w:t xml:space="preserve">means the Australian/New Zealand Standard AS/NZS 1841.3:2007 </w:t>
      </w:r>
      <w:r w:rsidRPr="009255B3">
        <w:rPr>
          <w:i/>
        </w:rPr>
        <w:t>Portable fire extinguishers Part 3: Specific requirements for wet chemical type extinguishers</w:t>
      </w:r>
      <w:r w:rsidRPr="009255B3">
        <w:t>, published jointly by, or on behalf of, Standards Australia and Standards New Zealand.</w:t>
      </w:r>
    </w:p>
    <w:p w14:paraId="1140F4D4" w14:textId="740EBC94" w:rsidR="009255B3" w:rsidRPr="009255B3" w:rsidRDefault="009255B3" w:rsidP="005052F2">
      <w:pPr>
        <w:rPr>
          <w:rFonts w:asciiTheme="minorHAnsi" w:hAnsiTheme="minorHAnsi" w:cstheme="minorHAnsi"/>
          <w:b/>
          <w:i/>
          <w:lang w:val="en-GB"/>
        </w:rPr>
      </w:pPr>
      <w:r w:rsidRPr="009255B3">
        <w:rPr>
          <w:rFonts w:asciiTheme="minorHAnsi" w:hAnsiTheme="minorHAnsi" w:cstheme="minorHAnsi"/>
          <w:b/>
          <w:i/>
          <w:lang w:val="en-GB"/>
        </w:rPr>
        <w:t>AS/</w:t>
      </w:r>
      <w:r w:rsidRPr="009255B3">
        <w:rPr>
          <w:b/>
          <w:i/>
        </w:rPr>
        <w:t>NZS 1841.4:2007</w:t>
      </w:r>
      <w:r w:rsidRPr="009255B3">
        <w:rPr>
          <w:i/>
        </w:rPr>
        <w:t xml:space="preserve"> </w:t>
      </w:r>
      <w:r w:rsidRPr="009255B3">
        <w:t xml:space="preserve">means the Australian/New Zealand Standard AS/NZS 1841.4:2007 </w:t>
      </w:r>
      <w:r w:rsidRPr="009255B3">
        <w:rPr>
          <w:i/>
        </w:rPr>
        <w:t>Portable fire extinguishers Part 4: Specific requirements for foam type extinguishers</w:t>
      </w:r>
      <w:r w:rsidRPr="009255B3">
        <w:t>, published jointly by, or on behalf of, Standards Australia and Standards New Zealand.</w:t>
      </w:r>
    </w:p>
    <w:p w14:paraId="182E002F" w14:textId="6B3C09BF" w:rsidR="009255B3" w:rsidRPr="009255B3" w:rsidRDefault="009255B3" w:rsidP="005052F2">
      <w:pPr>
        <w:rPr>
          <w:rFonts w:asciiTheme="minorHAnsi" w:hAnsiTheme="minorHAnsi" w:cstheme="minorHAnsi"/>
          <w:b/>
          <w:i/>
          <w:lang w:val="en-GB"/>
        </w:rPr>
      </w:pPr>
      <w:r w:rsidRPr="009255B3">
        <w:rPr>
          <w:rFonts w:asciiTheme="minorHAnsi" w:hAnsiTheme="minorHAnsi" w:cstheme="minorHAnsi"/>
          <w:b/>
          <w:i/>
          <w:lang w:val="en-GB"/>
        </w:rPr>
        <w:t>AS/</w:t>
      </w:r>
      <w:r w:rsidRPr="009255B3">
        <w:rPr>
          <w:b/>
          <w:i/>
        </w:rPr>
        <w:t>NZS 1841.5:2007</w:t>
      </w:r>
      <w:r w:rsidRPr="009255B3">
        <w:rPr>
          <w:i/>
        </w:rPr>
        <w:t xml:space="preserve"> </w:t>
      </w:r>
      <w:r w:rsidRPr="009255B3">
        <w:t xml:space="preserve">means the Australian/New Zealand Standard AS/NZS 1841.5:2007 </w:t>
      </w:r>
      <w:r w:rsidRPr="009255B3">
        <w:rPr>
          <w:i/>
        </w:rPr>
        <w:t>Portable fire extinguishers Part 5: Specific requirements for powder type extinguishers</w:t>
      </w:r>
      <w:r w:rsidRPr="009255B3">
        <w:t>, published jointly by, or on behalf of, Standards Australia and Standards New Zealand.</w:t>
      </w:r>
    </w:p>
    <w:p w14:paraId="6FB28532" w14:textId="1E27BD29" w:rsidR="009255B3" w:rsidRPr="009255B3" w:rsidRDefault="009255B3" w:rsidP="005052F2">
      <w:pPr>
        <w:rPr>
          <w:rFonts w:asciiTheme="minorHAnsi" w:hAnsiTheme="minorHAnsi" w:cstheme="minorHAnsi"/>
          <w:b/>
          <w:i/>
          <w:lang w:val="en-GB"/>
        </w:rPr>
      </w:pPr>
      <w:r w:rsidRPr="009255B3">
        <w:rPr>
          <w:rFonts w:asciiTheme="minorHAnsi" w:hAnsiTheme="minorHAnsi" w:cstheme="minorHAnsi"/>
          <w:b/>
          <w:i/>
          <w:lang w:val="en-GB"/>
        </w:rPr>
        <w:t>AS/</w:t>
      </w:r>
      <w:r w:rsidRPr="009255B3">
        <w:rPr>
          <w:b/>
          <w:i/>
        </w:rPr>
        <w:t>NZS 1841.6:2007</w:t>
      </w:r>
      <w:r w:rsidRPr="009255B3">
        <w:rPr>
          <w:i/>
        </w:rPr>
        <w:t xml:space="preserve"> </w:t>
      </w:r>
      <w:r w:rsidRPr="009255B3">
        <w:t xml:space="preserve">means the Australian/New Zealand Standard AS/NZS 1841.6:2007 </w:t>
      </w:r>
      <w:r w:rsidRPr="009255B3">
        <w:rPr>
          <w:i/>
        </w:rPr>
        <w:t>Portable fire extinguishers Part 6: Specific requirements for carbon dioxide type extinguishers</w:t>
      </w:r>
      <w:r w:rsidRPr="009255B3">
        <w:t>, published jointly by, or on behalf of, Standards Australia and Standards New Zealand.</w:t>
      </w:r>
    </w:p>
    <w:p w14:paraId="42A99240" w14:textId="22C22869" w:rsidR="009255B3" w:rsidRPr="009255B3" w:rsidRDefault="009255B3" w:rsidP="005052F2">
      <w:pPr>
        <w:rPr>
          <w:rFonts w:asciiTheme="minorHAnsi" w:hAnsiTheme="minorHAnsi" w:cstheme="minorHAnsi"/>
          <w:b/>
          <w:i/>
          <w:lang w:val="en-GB"/>
        </w:rPr>
      </w:pPr>
      <w:r w:rsidRPr="009255B3">
        <w:rPr>
          <w:rFonts w:asciiTheme="minorHAnsi" w:hAnsiTheme="minorHAnsi" w:cstheme="minorHAnsi"/>
          <w:b/>
          <w:i/>
          <w:lang w:val="en-GB"/>
        </w:rPr>
        <w:t>AS/</w:t>
      </w:r>
      <w:r w:rsidRPr="009255B3">
        <w:rPr>
          <w:b/>
          <w:i/>
        </w:rPr>
        <w:t>NZS 1841.7:2007</w:t>
      </w:r>
      <w:r w:rsidRPr="009255B3">
        <w:rPr>
          <w:i/>
        </w:rPr>
        <w:t xml:space="preserve"> </w:t>
      </w:r>
      <w:r w:rsidRPr="009255B3">
        <w:t xml:space="preserve">means the Australian/New Zealand Standard AS/NZS 1841.7:2007 </w:t>
      </w:r>
      <w:r w:rsidRPr="009255B3">
        <w:rPr>
          <w:i/>
        </w:rPr>
        <w:t>Portable fire extinguishers Part 7: Specific requirements for vaporizing liquid type extinguishers</w:t>
      </w:r>
      <w:r w:rsidRPr="009255B3">
        <w:t>, published jointly by, or on behalf of, Standards Aust</w:t>
      </w:r>
      <w:r w:rsidR="007E559E">
        <w:t>ralia and Standards New Zealand.</w:t>
      </w:r>
    </w:p>
    <w:p w14:paraId="18D34B54" w14:textId="0D950B2E" w:rsidR="009255B3" w:rsidRPr="009255B3" w:rsidRDefault="009255B3" w:rsidP="005052F2">
      <w:pPr>
        <w:rPr>
          <w:rFonts w:asciiTheme="minorHAnsi" w:hAnsiTheme="minorHAnsi" w:cstheme="minorHAnsi"/>
          <w:b/>
          <w:i/>
          <w:lang w:val="en-GB"/>
        </w:rPr>
      </w:pPr>
      <w:r w:rsidRPr="009255B3">
        <w:rPr>
          <w:rFonts w:asciiTheme="minorHAnsi" w:hAnsiTheme="minorHAnsi" w:cstheme="minorHAnsi"/>
          <w:b/>
          <w:i/>
          <w:lang w:val="en-GB"/>
        </w:rPr>
        <w:t>AS/</w:t>
      </w:r>
      <w:r w:rsidRPr="009255B3">
        <w:rPr>
          <w:b/>
          <w:i/>
        </w:rPr>
        <w:t>NZS 1841.8:2007</w:t>
      </w:r>
      <w:r w:rsidRPr="009255B3">
        <w:rPr>
          <w:i/>
        </w:rPr>
        <w:t xml:space="preserve"> </w:t>
      </w:r>
      <w:r w:rsidRPr="009255B3">
        <w:t xml:space="preserve">means the Australian/New Zealand Standard AS/NZS 1841.8:2007 </w:t>
      </w:r>
      <w:r w:rsidRPr="009255B3">
        <w:rPr>
          <w:i/>
        </w:rPr>
        <w:t>Portable fire extinguishers Part 8: Specific requirements for non</w:t>
      </w:r>
      <w:r w:rsidRPr="009255B3">
        <w:rPr>
          <w:i/>
        </w:rPr>
        <w:noBreakHyphen/>
        <w:t>rechargeable type extinguishers</w:t>
      </w:r>
      <w:r w:rsidRPr="009255B3">
        <w:t>, published jointly by, or on behalf of, Standards Aust</w:t>
      </w:r>
      <w:r w:rsidR="007E559E">
        <w:t>ralia and Standards New Zealand.</w:t>
      </w:r>
    </w:p>
    <w:p w14:paraId="6F146CF5" w14:textId="3B195A07" w:rsidR="009255B3" w:rsidRDefault="009255B3" w:rsidP="005052F2">
      <w:r w:rsidRPr="00DF0A3F">
        <w:rPr>
          <w:rFonts w:asciiTheme="minorHAnsi" w:hAnsiTheme="minorHAnsi" w:cstheme="minorHAnsi"/>
          <w:b/>
          <w:i/>
          <w:lang w:val="en-GB"/>
        </w:rPr>
        <w:t>AS/</w:t>
      </w:r>
      <w:r w:rsidRPr="00DF0A3F">
        <w:rPr>
          <w:b/>
          <w:i/>
        </w:rPr>
        <w:t>NZS 4353:1995</w:t>
      </w:r>
      <w:r w:rsidRPr="00DF0A3F">
        <w:rPr>
          <w:i/>
        </w:rPr>
        <w:t xml:space="preserve"> </w:t>
      </w:r>
      <w:r w:rsidRPr="00DF0A3F">
        <w:t xml:space="preserve">means the Australian/New Zealand Standard AS/NZS 4353:1995 </w:t>
      </w:r>
      <w:r w:rsidRPr="00D36EA3">
        <w:rPr>
          <w:i/>
        </w:rPr>
        <w:t>Portable</w:t>
      </w:r>
      <w:r w:rsidRPr="00DF0A3F">
        <w:rPr>
          <w:i/>
        </w:rPr>
        <w:t xml:space="preserve"> fire extinguishers—Aerosol type</w:t>
      </w:r>
      <w:r w:rsidRPr="00DF0A3F">
        <w:t xml:space="preserve">, published jointly by, or on behalf of, Standards Australia </w:t>
      </w:r>
      <w:r w:rsidR="007E559E">
        <w:t>and Standards New Zealand.</w:t>
      </w:r>
    </w:p>
    <w:p w14:paraId="569F94C9" w14:textId="1E311DC9" w:rsidR="00D36EA3" w:rsidRPr="00DF0A3F" w:rsidRDefault="00734F03" w:rsidP="005052F2">
      <w:pPr>
        <w:rPr>
          <w:rFonts w:asciiTheme="minorHAnsi" w:hAnsiTheme="minorHAnsi" w:cstheme="minorHAnsi"/>
          <w:b/>
          <w:i/>
          <w:lang w:val="en-GB"/>
        </w:rPr>
      </w:pPr>
      <w:r>
        <w:rPr>
          <w:rFonts w:asciiTheme="minorHAnsi" w:hAnsiTheme="minorHAnsi" w:cstheme="minorHAnsi"/>
          <w:b/>
          <w:i/>
          <w:lang w:val="en-GB"/>
        </w:rPr>
        <w:t>i</w:t>
      </w:r>
      <w:r w:rsidR="00D36EA3">
        <w:rPr>
          <w:rFonts w:asciiTheme="minorHAnsi" w:hAnsiTheme="minorHAnsi" w:cstheme="minorHAnsi"/>
          <w:b/>
          <w:i/>
          <w:lang w:val="en-GB"/>
        </w:rPr>
        <w:t xml:space="preserve">ncorporated </w:t>
      </w:r>
      <w:r w:rsidR="00D36EA3">
        <w:rPr>
          <w:rFonts w:asciiTheme="minorHAnsi" w:hAnsiTheme="minorHAnsi" w:cstheme="minorHAnsi"/>
          <w:lang w:val="en-GB"/>
        </w:rPr>
        <w:t xml:space="preserve">has the </w:t>
      </w:r>
      <w:r w:rsidR="005D5D8A">
        <w:rPr>
          <w:rFonts w:asciiTheme="minorHAnsi" w:hAnsiTheme="minorHAnsi" w:cstheme="minorHAnsi"/>
          <w:lang w:val="en-GB"/>
        </w:rPr>
        <w:t xml:space="preserve">meaning given by </w:t>
      </w:r>
      <w:r w:rsidR="005D5D8A" w:rsidRPr="00A95CC0">
        <w:rPr>
          <w:rFonts w:asciiTheme="minorHAnsi" w:hAnsiTheme="minorHAnsi" w:cstheme="minorHAnsi"/>
          <w:lang w:val="en-GB"/>
        </w:rPr>
        <w:t>subsection 7(2).</w:t>
      </w:r>
    </w:p>
    <w:p w14:paraId="764539FB" w14:textId="474CA676" w:rsidR="00DF0A3F" w:rsidRPr="00DF0A3F" w:rsidRDefault="002D2826" w:rsidP="005052F2">
      <w:pPr>
        <w:rPr>
          <w:rFonts w:asciiTheme="minorHAnsi" w:hAnsiTheme="minorHAnsi" w:cstheme="minorHAnsi"/>
          <w:lang w:val="en-GB"/>
        </w:rPr>
      </w:pPr>
      <w:r>
        <w:rPr>
          <w:rFonts w:asciiTheme="minorHAnsi" w:hAnsiTheme="minorHAnsi" w:cstheme="minorHAnsi"/>
          <w:b/>
          <w:i/>
          <w:lang w:val="en-GB"/>
        </w:rPr>
        <w:lastRenderedPageBreak/>
        <w:t>p</w:t>
      </w:r>
      <w:r w:rsidR="0099455C" w:rsidRPr="00DF0A3F">
        <w:rPr>
          <w:rFonts w:asciiTheme="minorHAnsi" w:hAnsiTheme="minorHAnsi" w:cstheme="minorHAnsi"/>
          <w:b/>
          <w:i/>
          <w:lang w:val="en-GB"/>
        </w:rPr>
        <w:t>ortable fire extinguisher</w:t>
      </w:r>
      <w:r w:rsidR="0099455C" w:rsidRPr="00DF0A3F">
        <w:rPr>
          <w:rFonts w:asciiTheme="minorHAnsi" w:hAnsiTheme="minorHAnsi" w:cstheme="minorHAnsi"/>
          <w:lang w:val="en-GB"/>
        </w:rPr>
        <w:t xml:space="preserve"> means</w:t>
      </w:r>
      <w:r w:rsidR="00DF0A3F" w:rsidRPr="00DF0A3F">
        <w:rPr>
          <w:rFonts w:asciiTheme="minorHAnsi" w:hAnsiTheme="minorHAnsi" w:cstheme="minorHAnsi"/>
          <w:lang w:val="en-GB"/>
        </w:rPr>
        <w:t xml:space="preserve"> an appliance that:</w:t>
      </w:r>
    </w:p>
    <w:p w14:paraId="548E47DC" w14:textId="15C2630E" w:rsidR="0099455C" w:rsidRPr="00DF0A3F" w:rsidRDefault="00DF0A3F" w:rsidP="009E7F04">
      <w:pPr>
        <w:pStyle w:val="ListParagraph"/>
        <w:numPr>
          <w:ilvl w:val="0"/>
          <w:numId w:val="41"/>
        </w:numPr>
        <w:rPr>
          <w:rFonts w:asciiTheme="minorHAnsi" w:hAnsiTheme="minorHAnsi" w:cstheme="minorHAnsi"/>
          <w:lang w:val="en-GB"/>
        </w:rPr>
      </w:pPr>
      <w:r w:rsidRPr="00DF0A3F">
        <w:t>contains an extinguishant that can be discharged onto a fire by the action of internal pressure; and</w:t>
      </w:r>
    </w:p>
    <w:p w14:paraId="5D5ECA14" w14:textId="30F0B004" w:rsidR="00DF0A3F" w:rsidRPr="00DF0A3F" w:rsidRDefault="00DF0A3F" w:rsidP="009E7F04">
      <w:pPr>
        <w:pStyle w:val="ListParagraph"/>
        <w:numPr>
          <w:ilvl w:val="0"/>
          <w:numId w:val="41"/>
        </w:numPr>
        <w:rPr>
          <w:rFonts w:asciiTheme="minorHAnsi" w:hAnsiTheme="minorHAnsi" w:cstheme="minorHAnsi"/>
          <w:lang w:val="en-GB"/>
        </w:rPr>
      </w:pPr>
      <w:r w:rsidRPr="00DF0A3F">
        <w:t>is designed to be carried and operated by hand; and</w:t>
      </w:r>
    </w:p>
    <w:p w14:paraId="1C9D68D7" w14:textId="25C1D2A4" w:rsidR="00DF0A3F" w:rsidRPr="00734F03" w:rsidRDefault="00DF0A3F" w:rsidP="009E7F04">
      <w:pPr>
        <w:pStyle w:val="ListParagraph"/>
        <w:numPr>
          <w:ilvl w:val="0"/>
          <w:numId w:val="41"/>
        </w:numPr>
        <w:rPr>
          <w:rFonts w:asciiTheme="minorHAnsi" w:hAnsiTheme="minorHAnsi" w:cstheme="minorHAnsi"/>
          <w:lang w:val="en-GB"/>
        </w:rPr>
      </w:pPr>
      <w:r w:rsidRPr="00DF0A3F">
        <w:t>is designed to have a gross mass of not more than 23 kilograms.</w:t>
      </w:r>
    </w:p>
    <w:p w14:paraId="17BA9C25" w14:textId="7F46DEF0" w:rsidR="00734F03" w:rsidRPr="00734F03" w:rsidRDefault="00734F03" w:rsidP="00734F03">
      <w:pPr>
        <w:rPr>
          <w:rFonts w:asciiTheme="minorHAnsi" w:hAnsiTheme="minorHAnsi" w:cstheme="minorHAnsi"/>
          <w:lang w:val="en-GB"/>
        </w:rPr>
      </w:pPr>
      <w:r w:rsidRPr="00734F03">
        <w:rPr>
          <w:rFonts w:asciiTheme="minorHAnsi" w:hAnsiTheme="minorHAnsi" w:cstheme="minorHAnsi"/>
          <w:b/>
          <w:i/>
          <w:lang w:val="en-GB"/>
        </w:rPr>
        <w:t>transitional period</w:t>
      </w:r>
      <w:r>
        <w:rPr>
          <w:rFonts w:asciiTheme="minorHAnsi" w:hAnsiTheme="minorHAnsi" w:cstheme="minorHAnsi"/>
          <w:lang w:val="en-GB"/>
        </w:rPr>
        <w:t xml:space="preserve"> means the period of 12 months beginning on the day this instrument commences.</w:t>
      </w:r>
    </w:p>
    <w:p w14:paraId="2E4338E6" w14:textId="5BCE202C" w:rsidR="00DE77D9" w:rsidRPr="00DF0A3F" w:rsidRDefault="00FF5E3C" w:rsidP="00DE77D9">
      <w:pPr>
        <w:rPr>
          <w:rFonts w:cs="Arial"/>
          <w:b/>
          <w:lang w:val="en-GB"/>
        </w:rPr>
      </w:pPr>
      <w:r w:rsidRPr="00DF0A3F">
        <w:rPr>
          <w:rFonts w:cs="Arial"/>
          <w:b/>
          <w:lang w:val="en-GB"/>
        </w:rPr>
        <w:t>Port</w:t>
      </w:r>
      <w:r w:rsidR="00CA7BDE">
        <w:rPr>
          <w:rFonts w:cs="Arial"/>
          <w:b/>
          <w:lang w:val="en-GB"/>
        </w:rPr>
        <w:t>able aerosol fire extinguishers</w:t>
      </w:r>
    </w:p>
    <w:p w14:paraId="270963B7" w14:textId="23F3460F" w:rsidR="00DE77D9" w:rsidRDefault="00301483" w:rsidP="00DE77D9">
      <w:r>
        <w:t xml:space="preserve">Portable aerosol fire extinguishers are a separate product class not covered by the </w:t>
      </w:r>
      <w:r w:rsidR="00094C81">
        <w:t>N</w:t>
      </w:r>
      <w:r>
        <w:t xml:space="preserve">ew </w:t>
      </w:r>
      <w:r w:rsidR="00094C81">
        <w:t>S</w:t>
      </w:r>
      <w:r>
        <w:t xml:space="preserve">afety </w:t>
      </w:r>
      <w:r w:rsidR="00094C81">
        <w:t>S</w:t>
      </w:r>
      <w:r>
        <w:t>tandard. Instead, s</w:t>
      </w:r>
      <w:r w:rsidR="00FF5E3C" w:rsidRPr="00DF0A3F">
        <w:t>uppliers of portable aerosol fire ex</w:t>
      </w:r>
      <w:r w:rsidR="0099455C" w:rsidRPr="00DF0A3F">
        <w:t>tinguishers must comply with a</w:t>
      </w:r>
      <w:r w:rsidR="00FF5E3C" w:rsidRPr="00DF0A3F">
        <w:t xml:space="preserve"> separate mandatory safety standard, the</w:t>
      </w:r>
      <w:r w:rsidR="00DF0A3F" w:rsidRPr="00DF0A3F">
        <w:t xml:space="preserve"> Consumer Protection Notice No. 9 of 2004 (Consumer Product Safety Standard: Portable Fire Extinguishers: Aerosol Type) (Federal Register of Legislation No. F2005B01049).</w:t>
      </w:r>
    </w:p>
    <w:p w14:paraId="4CC1AE4C" w14:textId="629AE085" w:rsidR="00474CC5" w:rsidRPr="00FF5E3C" w:rsidRDefault="00474CC5" w:rsidP="00474CC5">
      <w:pPr>
        <w:rPr>
          <w:rFonts w:cs="Arial"/>
          <w:b/>
          <w:lang w:val="en-GB"/>
        </w:rPr>
      </w:pPr>
      <w:r w:rsidRPr="00FF5E3C">
        <w:rPr>
          <w:rFonts w:cs="Arial"/>
          <w:b/>
          <w:lang w:val="en-GB"/>
        </w:rPr>
        <w:t>Access</w:t>
      </w:r>
      <w:r w:rsidR="00FF5E3C" w:rsidRPr="00FF5E3C">
        <w:rPr>
          <w:rFonts w:cs="Arial"/>
          <w:b/>
          <w:lang w:val="en-GB"/>
        </w:rPr>
        <w:t xml:space="preserve"> to the voluntary Australian/New Zealand stan</w:t>
      </w:r>
      <w:r w:rsidR="00FF5E3C" w:rsidRPr="00400009">
        <w:rPr>
          <w:rFonts w:cs="Arial"/>
          <w:b/>
          <w:lang w:val="en-GB"/>
        </w:rPr>
        <w:t>dard</w:t>
      </w:r>
      <w:r w:rsidR="002D2826" w:rsidRPr="00400009">
        <w:rPr>
          <w:rFonts w:cs="Arial"/>
          <w:b/>
          <w:lang w:val="en-GB"/>
        </w:rPr>
        <w:t>s</w:t>
      </w:r>
    </w:p>
    <w:p w14:paraId="2EDEB1A5" w14:textId="2CEFD0A8" w:rsidR="00F26F71" w:rsidRPr="00FF5E3C" w:rsidRDefault="00474CC5" w:rsidP="00474CC5">
      <w:pPr>
        <w:rPr>
          <w:iCs/>
        </w:rPr>
      </w:pPr>
      <w:r w:rsidRPr="00FF5E3C">
        <w:rPr>
          <w:iCs/>
        </w:rPr>
        <w:t xml:space="preserve">Where practicable, product safety legislative instruments only reference extrinsic material that is readily accessible for free </w:t>
      </w:r>
      <w:r w:rsidR="0017777B">
        <w:rPr>
          <w:iCs/>
        </w:rPr>
        <w:t>to</w:t>
      </w:r>
      <w:r w:rsidRPr="00FF5E3C">
        <w:rPr>
          <w:iCs/>
        </w:rPr>
        <w:t xml:space="preserve"> the public. However, as in the current case, many product safety legislative instruments need to incorporate extrinsic technical standards over which certain bodies have copyright.</w:t>
      </w:r>
    </w:p>
    <w:p w14:paraId="0C70C6AF" w14:textId="5767B29D" w:rsidR="00F26F71" w:rsidRPr="00DF0A3F" w:rsidRDefault="00E07F9C" w:rsidP="00474CC5">
      <w:pPr>
        <w:rPr>
          <w:iCs/>
        </w:rPr>
      </w:pPr>
      <w:r>
        <w:rPr>
          <w:iCs/>
        </w:rPr>
        <w:t>T</w:t>
      </w:r>
      <w:r w:rsidR="00474CC5" w:rsidRPr="009D3185">
        <w:rPr>
          <w:iCs/>
        </w:rPr>
        <w:t>he</w:t>
      </w:r>
      <w:r w:rsidR="003A38F1" w:rsidRPr="00DF0A3F">
        <w:rPr>
          <w:iCs/>
        </w:rPr>
        <w:t xml:space="preserve"> </w:t>
      </w:r>
      <w:r w:rsidR="00474CC5" w:rsidRPr="00DF0A3F">
        <w:rPr>
          <w:iCs/>
        </w:rPr>
        <w:t>Australian</w:t>
      </w:r>
      <w:r w:rsidR="00F26F71" w:rsidRPr="00DF0A3F">
        <w:rPr>
          <w:iCs/>
        </w:rPr>
        <w:t>/New Zealand</w:t>
      </w:r>
      <w:r w:rsidR="007159D7" w:rsidRPr="00DF0A3F">
        <w:rPr>
          <w:iCs/>
        </w:rPr>
        <w:t xml:space="preserve"> Standard</w:t>
      </w:r>
      <w:r w:rsidR="0099455C" w:rsidRPr="00DF0A3F">
        <w:rPr>
          <w:iCs/>
        </w:rPr>
        <w:t>s</w:t>
      </w:r>
      <w:r w:rsidR="00DF0A3F" w:rsidRPr="00DF0A3F">
        <w:rPr>
          <w:iCs/>
        </w:rPr>
        <w:t xml:space="preserve"> </w:t>
      </w:r>
      <w:r w:rsidR="00D22586" w:rsidRPr="00DF0A3F">
        <w:rPr>
          <w:iCs/>
        </w:rPr>
        <w:t xml:space="preserve">referenced in this instrument </w:t>
      </w:r>
      <w:r w:rsidR="00A1493E" w:rsidRPr="00DF0A3F">
        <w:rPr>
          <w:iCs/>
        </w:rPr>
        <w:t>are</w:t>
      </w:r>
      <w:r w:rsidR="00474CC5" w:rsidRPr="00DF0A3F">
        <w:rPr>
          <w:iCs/>
        </w:rPr>
        <w:t xml:space="preserve"> available for purchase at SAI </w:t>
      </w:r>
      <w:proofErr w:type="spellStart"/>
      <w:r w:rsidR="00474CC5" w:rsidRPr="00DF0A3F">
        <w:rPr>
          <w:iCs/>
        </w:rPr>
        <w:t>Global’s</w:t>
      </w:r>
      <w:proofErr w:type="spellEnd"/>
      <w:r w:rsidR="00474CC5" w:rsidRPr="00DF0A3F">
        <w:rPr>
          <w:iCs/>
        </w:rPr>
        <w:t xml:space="preserve"> website (</w:t>
      </w:r>
      <w:hyperlink r:id="rId9" w:history="1">
        <w:r w:rsidR="00474CC5" w:rsidRPr="00DF0A3F">
          <w:rPr>
            <w:rStyle w:val="Hyperlink"/>
            <w:iCs/>
          </w:rPr>
          <w:t>https://www.saiglobal.com</w:t>
        </w:r>
      </w:hyperlink>
      <w:r w:rsidR="00474CC5" w:rsidRPr="00DF0A3F">
        <w:rPr>
          <w:iCs/>
        </w:rPr>
        <w:t>)</w:t>
      </w:r>
      <w:r w:rsidR="0099455C" w:rsidRPr="00DF0A3F">
        <w:rPr>
          <w:iCs/>
        </w:rPr>
        <w:t xml:space="preserve"> or at </w:t>
      </w:r>
      <w:proofErr w:type="spellStart"/>
      <w:r w:rsidR="0099455C" w:rsidRPr="00DF0A3F">
        <w:rPr>
          <w:iCs/>
        </w:rPr>
        <w:t>Techstreet’s</w:t>
      </w:r>
      <w:proofErr w:type="spellEnd"/>
      <w:r w:rsidR="0099455C" w:rsidRPr="00DF0A3F">
        <w:rPr>
          <w:iCs/>
        </w:rPr>
        <w:t xml:space="preserve"> website (</w:t>
      </w:r>
      <w:hyperlink r:id="rId10" w:history="1">
        <w:r w:rsidR="00DF0A3F" w:rsidRPr="00DF0A3F">
          <w:rPr>
            <w:rStyle w:val="Hyperlink"/>
            <w:iCs/>
          </w:rPr>
          <w:t>https://www.techstreet.com</w:t>
        </w:r>
      </w:hyperlink>
      <w:r w:rsidR="00DF0A3F" w:rsidRPr="00DF0A3F">
        <w:rPr>
          <w:iCs/>
        </w:rPr>
        <w:t>)</w:t>
      </w:r>
      <w:r w:rsidR="00F26F71" w:rsidRPr="00DF0A3F">
        <w:rPr>
          <w:iCs/>
        </w:rPr>
        <w:t>.</w:t>
      </w:r>
    </w:p>
    <w:p w14:paraId="2A71A447" w14:textId="11466C90" w:rsidR="00F26F71" w:rsidRPr="00FF5E3C" w:rsidRDefault="00F26F71" w:rsidP="00F26F71">
      <w:pPr>
        <w:rPr>
          <w:rFonts w:cs="Arial"/>
          <w:lang w:val="en-GB"/>
        </w:rPr>
      </w:pPr>
      <w:r w:rsidRPr="00FF5E3C">
        <w:rPr>
          <w:iCs/>
        </w:rPr>
        <w:t>The Australian Competition and Consumer Commission (</w:t>
      </w:r>
      <w:r w:rsidRPr="00FF5E3C">
        <w:rPr>
          <w:b/>
          <w:iCs/>
        </w:rPr>
        <w:t>ACCC</w:t>
      </w:r>
      <w:r w:rsidR="009D3185">
        <w:rPr>
          <w:iCs/>
        </w:rPr>
        <w:t xml:space="preserve">) can make a copy of the </w:t>
      </w:r>
      <w:r w:rsidRPr="00FF5E3C">
        <w:rPr>
          <w:iCs/>
        </w:rPr>
        <w:t>standards</w:t>
      </w:r>
      <w:r w:rsidR="009D3185">
        <w:rPr>
          <w:iCs/>
        </w:rPr>
        <w:t xml:space="preserve"> referenced in this instrument</w:t>
      </w:r>
      <w:r w:rsidRPr="00FF5E3C">
        <w:rPr>
          <w:iCs/>
        </w:rPr>
        <w:t xml:space="preserve"> available for viewing at one of its offices, subject to licensing conditions.</w:t>
      </w:r>
    </w:p>
    <w:p w14:paraId="36BB417B" w14:textId="77777777" w:rsidR="007A502D" w:rsidRPr="0099455C" w:rsidRDefault="007A502D" w:rsidP="00CA7BDE">
      <w:pPr>
        <w:rPr>
          <w:rFonts w:cs="Arial"/>
          <w:b/>
          <w:lang w:val="en-GB"/>
        </w:rPr>
      </w:pPr>
      <w:r w:rsidRPr="0099455C">
        <w:rPr>
          <w:rFonts w:cs="Arial"/>
          <w:b/>
          <w:lang w:val="en-GB"/>
        </w:rPr>
        <w:t>Transitional arrangements</w:t>
      </w:r>
    </w:p>
    <w:p w14:paraId="48CBD32A" w14:textId="01C3FC7F" w:rsidR="00820DAD" w:rsidRPr="0099455C" w:rsidRDefault="00820DAD" w:rsidP="00820DAD">
      <w:pPr>
        <w:rPr>
          <w:rFonts w:cs="Arial"/>
          <w:lang w:val="en-GB"/>
        </w:rPr>
      </w:pPr>
      <w:r w:rsidRPr="0099455C">
        <w:rPr>
          <w:rFonts w:cs="Arial"/>
          <w:lang w:val="en-GB"/>
        </w:rPr>
        <w:t xml:space="preserve">The instrument provides a transitional period of </w:t>
      </w:r>
      <w:r w:rsidR="00146119" w:rsidRPr="0099455C">
        <w:rPr>
          <w:rFonts w:cs="Arial"/>
          <w:lang w:val="en-GB"/>
        </w:rPr>
        <w:t>12</w:t>
      </w:r>
      <w:r w:rsidRPr="0099455C">
        <w:rPr>
          <w:rFonts w:cs="Arial"/>
          <w:lang w:val="en-GB"/>
        </w:rPr>
        <w:t xml:space="preserve"> months beginning on the day this instrument commences. During the transitional period</w:t>
      </w:r>
      <w:r w:rsidR="009F0946" w:rsidRPr="0099455C">
        <w:rPr>
          <w:rFonts w:cs="Arial"/>
          <w:lang w:val="en-GB"/>
        </w:rPr>
        <w:t>,</w:t>
      </w:r>
      <w:r w:rsidRPr="0099455C">
        <w:rPr>
          <w:rFonts w:cs="Arial"/>
          <w:lang w:val="en-GB"/>
        </w:rPr>
        <w:t xml:space="preserve"> suppliers must meet the requirements of either:</w:t>
      </w:r>
    </w:p>
    <w:p w14:paraId="05EA3598" w14:textId="02210EDC" w:rsidR="00FD565B" w:rsidRPr="00BF25D7" w:rsidRDefault="008B79E4" w:rsidP="009E7F04">
      <w:pPr>
        <w:pStyle w:val="ListParagraph"/>
        <w:numPr>
          <w:ilvl w:val="0"/>
          <w:numId w:val="42"/>
        </w:numPr>
        <w:rPr>
          <w:rFonts w:cs="Arial"/>
          <w:lang w:val="en-GB"/>
        </w:rPr>
      </w:pPr>
      <w:r w:rsidRPr="00BF25D7">
        <w:rPr>
          <w:rFonts w:cs="Arial"/>
          <w:lang w:val="en-GB"/>
        </w:rPr>
        <w:t>the</w:t>
      </w:r>
      <w:r w:rsidRPr="00BF25D7">
        <w:rPr>
          <w:rFonts w:cs="Arial"/>
          <w:i/>
          <w:lang w:val="en-GB"/>
        </w:rPr>
        <w:t xml:space="preserve"> </w:t>
      </w:r>
      <w:r w:rsidR="00910BBA" w:rsidRPr="00BF25D7">
        <w:rPr>
          <w:rFonts w:cs="Arial"/>
          <w:i/>
          <w:lang w:val="en-GB"/>
        </w:rPr>
        <w:t>Consumer Goods (</w:t>
      </w:r>
      <w:r w:rsidR="00BF25D7" w:rsidRPr="00BF25D7">
        <w:rPr>
          <w:rFonts w:cs="Arial"/>
          <w:i/>
          <w:lang w:val="en-GB"/>
        </w:rPr>
        <w:t>Portable Non-aerosol Fire Extinguishers</w:t>
      </w:r>
      <w:r w:rsidR="005052F2" w:rsidRPr="00BF25D7">
        <w:rPr>
          <w:rFonts w:cs="Arial"/>
          <w:i/>
          <w:lang w:val="en-GB"/>
        </w:rPr>
        <w:t xml:space="preserve">) Safety Standard </w:t>
      </w:r>
      <w:r w:rsidRPr="00BF25D7">
        <w:rPr>
          <w:rFonts w:cs="Arial"/>
          <w:i/>
          <w:lang w:val="en-GB"/>
        </w:rPr>
        <w:t>202</w:t>
      </w:r>
      <w:r w:rsidR="007E74E5">
        <w:rPr>
          <w:rFonts w:cs="Arial"/>
          <w:i/>
          <w:lang w:val="en-GB"/>
        </w:rPr>
        <w:t>1</w:t>
      </w:r>
      <w:r w:rsidR="005052F2" w:rsidRPr="00BF25D7">
        <w:rPr>
          <w:rFonts w:cs="Arial"/>
          <w:lang w:val="en-GB"/>
        </w:rPr>
        <w:t>,</w:t>
      </w:r>
      <w:r w:rsidR="00FC590E" w:rsidRPr="00BF25D7">
        <w:rPr>
          <w:rFonts w:cs="Arial"/>
          <w:i/>
          <w:lang w:val="en-GB"/>
        </w:rPr>
        <w:t xml:space="preserve"> </w:t>
      </w:r>
      <w:r w:rsidR="00FC590E" w:rsidRPr="00BF25D7">
        <w:rPr>
          <w:rFonts w:cs="Arial"/>
          <w:lang w:val="en-GB"/>
        </w:rPr>
        <w:t>or</w:t>
      </w:r>
    </w:p>
    <w:p w14:paraId="52D83C98" w14:textId="6048662B" w:rsidR="00FD565B" w:rsidRPr="00BF25D7" w:rsidRDefault="008B79E4" w:rsidP="009E7F04">
      <w:pPr>
        <w:pStyle w:val="ListParagraph"/>
        <w:numPr>
          <w:ilvl w:val="0"/>
          <w:numId w:val="42"/>
        </w:numPr>
        <w:rPr>
          <w:rFonts w:cs="Arial"/>
          <w:i/>
          <w:lang w:val="en-GB"/>
        </w:rPr>
      </w:pPr>
      <w:r w:rsidRPr="00BF25D7">
        <w:rPr>
          <w:rFonts w:cs="Arial"/>
          <w:lang w:val="en-GB"/>
        </w:rPr>
        <w:t>the</w:t>
      </w:r>
      <w:r w:rsidRPr="00BF25D7">
        <w:rPr>
          <w:rFonts w:cs="Arial"/>
          <w:i/>
          <w:lang w:val="en-GB"/>
        </w:rPr>
        <w:t xml:space="preserve"> </w:t>
      </w:r>
      <w:r w:rsidR="00C9542C" w:rsidRPr="00BF25D7">
        <w:rPr>
          <w:rFonts w:cs="Arial"/>
          <w:i/>
          <w:lang w:val="en-GB"/>
        </w:rPr>
        <w:t>C</w:t>
      </w:r>
      <w:r w:rsidR="00910BBA" w:rsidRPr="00BF25D7">
        <w:rPr>
          <w:rFonts w:cs="Arial"/>
          <w:i/>
          <w:lang w:val="en-GB"/>
        </w:rPr>
        <w:t xml:space="preserve">onsumer </w:t>
      </w:r>
      <w:r w:rsidR="00BF25D7" w:rsidRPr="00BF25D7">
        <w:rPr>
          <w:rFonts w:cs="Arial"/>
          <w:i/>
          <w:lang w:val="en-GB"/>
        </w:rPr>
        <w:t>Protection Notice No. 3 of 2004</w:t>
      </w:r>
      <w:r w:rsidR="00C9542C" w:rsidRPr="00BF25D7">
        <w:rPr>
          <w:rFonts w:cs="Arial"/>
          <w:i/>
          <w:lang w:val="en-GB"/>
        </w:rPr>
        <w:t xml:space="preserve"> (Consumer Product Saf</w:t>
      </w:r>
      <w:r w:rsidR="00BF25D7" w:rsidRPr="00BF25D7">
        <w:rPr>
          <w:rFonts w:cs="Arial"/>
          <w:i/>
          <w:lang w:val="en-GB"/>
        </w:rPr>
        <w:t>ety Standard for Portable Fire Extinguishers</w:t>
      </w:r>
      <w:r w:rsidR="00C9542C" w:rsidRPr="00BF25D7">
        <w:rPr>
          <w:rFonts w:cs="Arial"/>
          <w:i/>
          <w:lang w:val="en-GB"/>
        </w:rPr>
        <w:t>).</w:t>
      </w:r>
    </w:p>
    <w:p w14:paraId="5AE2A58A" w14:textId="2F340785" w:rsidR="007A502D" w:rsidRPr="0099455C" w:rsidRDefault="00820DAD" w:rsidP="00FD565B">
      <w:pPr>
        <w:rPr>
          <w:rFonts w:cs="Arial"/>
          <w:lang w:val="en-GB"/>
        </w:rPr>
      </w:pPr>
      <w:r w:rsidRPr="0099455C">
        <w:rPr>
          <w:rFonts w:cs="Arial"/>
          <w:lang w:val="en-GB"/>
        </w:rPr>
        <w:t>After the transitional period</w:t>
      </w:r>
      <w:r w:rsidR="009F0946" w:rsidRPr="0099455C">
        <w:rPr>
          <w:rFonts w:cs="Arial"/>
          <w:lang w:val="en-GB"/>
        </w:rPr>
        <w:t>,</w:t>
      </w:r>
      <w:r w:rsidRPr="0099455C">
        <w:rPr>
          <w:rFonts w:cs="Arial"/>
          <w:lang w:val="en-GB"/>
        </w:rPr>
        <w:t xml:space="preserve"> </w:t>
      </w:r>
      <w:r w:rsidR="002345C4" w:rsidRPr="0099455C">
        <w:rPr>
          <w:rFonts w:cs="Arial"/>
          <w:lang w:val="en-GB"/>
        </w:rPr>
        <w:t>suppliers must</w:t>
      </w:r>
      <w:r w:rsidR="00BD7474" w:rsidRPr="0099455C">
        <w:rPr>
          <w:rFonts w:cs="Arial"/>
          <w:lang w:val="en-GB"/>
        </w:rPr>
        <w:t xml:space="preserve"> </w:t>
      </w:r>
      <w:r w:rsidR="00FC590E" w:rsidRPr="0099455C">
        <w:rPr>
          <w:rFonts w:cs="Arial"/>
          <w:lang w:val="en-GB"/>
        </w:rPr>
        <w:t xml:space="preserve">meet the requirements of </w:t>
      </w:r>
      <w:r w:rsidR="00CA22ED" w:rsidRPr="0099455C">
        <w:rPr>
          <w:rFonts w:cs="Arial"/>
          <w:lang w:val="en-GB"/>
        </w:rPr>
        <w:t xml:space="preserve">the </w:t>
      </w:r>
      <w:r w:rsidR="00FC590E" w:rsidRPr="0099455C">
        <w:rPr>
          <w:rFonts w:asciiTheme="minorHAnsi" w:hAnsiTheme="minorHAnsi" w:cstheme="minorHAnsi"/>
          <w:i/>
          <w:lang w:val="en-GB"/>
        </w:rPr>
        <w:t>Consumer Goods (</w:t>
      </w:r>
      <w:r w:rsidR="0099455C" w:rsidRPr="0099455C">
        <w:rPr>
          <w:rFonts w:asciiTheme="minorHAnsi" w:hAnsiTheme="minorHAnsi" w:cstheme="minorHAnsi"/>
          <w:i/>
          <w:lang w:val="en-GB"/>
        </w:rPr>
        <w:t>Portable Non-aerosol Fire Extinguishers</w:t>
      </w:r>
      <w:r w:rsidR="00FC590E" w:rsidRPr="0099455C">
        <w:rPr>
          <w:rFonts w:asciiTheme="minorHAnsi" w:hAnsiTheme="minorHAnsi" w:cstheme="minorHAnsi"/>
          <w:i/>
          <w:lang w:val="en-GB"/>
        </w:rPr>
        <w:t xml:space="preserve">) Safety Standard </w:t>
      </w:r>
      <w:r w:rsidR="007E74E5">
        <w:rPr>
          <w:rFonts w:asciiTheme="minorHAnsi" w:hAnsiTheme="minorHAnsi" w:cstheme="minorHAnsi"/>
          <w:i/>
          <w:lang w:val="en-GB"/>
        </w:rPr>
        <w:t>2021</w:t>
      </w:r>
      <w:r w:rsidR="00FC590E" w:rsidRPr="0099455C">
        <w:rPr>
          <w:rFonts w:asciiTheme="minorHAnsi" w:hAnsiTheme="minorHAnsi" w:cstheme="minorHAnsi"/>
          <w:i/>
          <w:lang w:val="en-GB"/>
        </w:rPr>
        <w:t>.</w:t>
      </w:r>
    </w:p>
    <w:p w14:paraId="3402E688" w14:textId="77777777" w:rsidR="00B8378D" w:rsidRPr="00BF25D7" w:rsidRDefault="001B4A7B" w:rsidP="00B8378D">
      <w:pPr>
        <w:rPr>
          <w:rFonts w:cs="Arial"/>
          <w:lang w:val="en-GB"/>
        </w:rPr>
      </w:pPr>
      <w:r w:rsidRPr="00BF25D7">
        <w:rPr>
          <w:rFonts w:cs="Arial"/>
          <w:b/>
          <w:lang w:val="en-GB"/>
        </w:rPr>
        <w:t>Consultation</w:t>
      </w:r>
    </w:p>
    <w:p w14:paraId="3BE3D1FB" w14:textId="0642A5BB" w:rsidR="00D03B3C" w:rsidRPr="00BF25D7" w:rsidRDefault="000F119E" w:rsidP="00B8378D">
      <w:pPr>
        <w:rPr>
          <w:rFonts w:cs="Arial"/>
          <w:lang w:val="en-GB"/>
        </w:rPr>
      </w:pPr>
      <w:r w:rsidRPr="00BF25D7">
        <w:rPr>
          <w:rFonts w:cs="Arial"/>
          <w:lang w:val="en-GB"/>
        </w:rPr>
        <w:t xml:space="preserve">The </w:t>
      </w:r>
      <w:r w:rsidR="00B8378D" w:rsidRPr="00BF25D7">
        <w:rPr>
          <w:rFonts w:cs="Arial"/>
          <w:lang w:val="en-GB"/>
        </w:rPr>
        <w:t>ACCC</w:t>
      </w:r>
      <w:r w:rsidR="00D03B3C" w:rsidRPr="00BF25D7">
        <w:rPr>
          <w:rFonts w:cs="Arial"/>
          <w:lang w:val="en-GB"/>
        </w:rPr>
        <w:t xml:space="preserve"> published a</w:t>
      </w:r>
      <w:r w:rsidR="00BF25D7" w:rsidRPr="00BF25D7">
        <w:rPr>
          <w:rFonts w:cs="Arial"/>
          <w:lang w:val="en-GB"/>
        </w:rPr>
        <w:t xml:space="preserve"> consultation paper</w:t>
      </w:r>
      <w:r w:rsidR="00D03B3C" w:rsidRPr="00BF25D7">
        <w:rPr>
          <w:rFonts w:cs="Arial"/>
          <w:lang w:val="en-GB"/>
        </w:rPr>
        <w:t xml:space="preserve"> </w:t>
      </w:r>
      <w:r w:rsidR="00BF25D7" w:rsidRPr="00BF25D7">
        <w:t>in September 2019 and detailed the following policy options:</w:t>
      </w:r>
    </w:p>
    <w:p w14:paraId="2DFB6C7E" w14:textId="01369D4F" w:rsidR="00D03B3C" w:rsidRPr="00E07F9C" w:rsidRDefault="00D03B3C" w:rsidP="00E07F9C">
      <w:pPr>
        <w:pStyle w:val="ListParagraph"/>
        <w:numPr>
          <w:ilvl w:val="0"/>
          <w:numId w:val="41"/>
        </w:numPr>
      </w:pPr>
      <w:r w:rsidRPr="00E07F9C">
        <w:t xml:space="preserve">Option 1 </w:t>
      </w:r>
      <w:r w:rsidR="008B79E4" w:rsidRPr="00E07F9C">
        <w:t xml:space="preserve">– </w:t>
      </w:r>
      <w:r w:rsidR="00BF25D7" w:rsidRPr="00BF25D7">
        <w:t>Maintain the current mandatory standards (status quo)</w:t>
      </w:r>
    </w:p>
    <w:p w14:paraId="207265B0" w14:textId="2123866E" w:rsidR="0017777B" w:rsidRPr="00E07F9C" w:rsidRDefault="00D03B3C" w:rsidP="00E07F9C">
      <w:pPr>
        <w:pStyle w:val="ListParagraph"/>
        <w:numPr>
          <w:ilvl w:val="0"/>
          <w:numId w:val="41"/>
        </w:numPr>
      </w:pPr>
      <w:r w:rsidRPr="00E07F9C">
        <w:t xml:space="preserve">Option 2 </w:t>
      </w:r>
      <w:r w:rsidR="005B5C2D" w:rsidRPr="00E07F9C">
        <w:t>–</w:t>
      </w:r>
      <w:r w:rsidRPr="00E07F9C">
        <w:t xml:space="preserve"> </w:t>
      </w:r>
      <w:r w:rsidR="00BF25D7" w:rsidRPr="00BF25D7">
        <w:t>Make a new mandatory standard for non-aerosol fire extinguishers and</w:t>
      </w:r>
      <w:r w:rsidR="0017777B">
        <w:t xml:space="preserve"> </w:t>
      </w:r>
      <w:r w:rsidR="00BF25D7" w:rsidRPr="00BF25D7">
        <w:t>maintain the current mandatory standard for aerosol fire extinguishers</w:t>
      </w:r>
    </w:p>
    <w:p w14:paraId="79012185" w14:textId="631877BE" w:rsidR="00BF25D7" w:rsidRPr="00E07F9C" w:rsidRDefault="00603C54" w:rsidP="00E07F9C">
      <w:pPr>
        <w:pStyle w:val="ListParagraph"/>
        <w:numPr>
          <w:ilvl w:val="0"/>
          <w:numId w:val="41"/>
        </w:numPr>
      </w:pPr>
      <w:r w:rsidRPr="00BF25D7">
        <w:t xml:space="preserve">Option 3 – </w:t>
      </w:r>
      <w:r w:rsidR="00BF25D7" w:rsidRPr="00BF25D7">
        <w:t>Revoke the mandatory standards.</w:t>
      </w:r>
    </w:p>
    <w:p w14:paraId="7A48692F" w14:textId="07EE02F2" w:rsidR="00B27728" w:rsidRPr="00BF25D7" w:rsidRDefault="00565A20" w:rsidP="00BF25D7">
      <w:pPr>
        <w:pStyle w:val="Numberedparagraph11"/>
        <w:numPr>
          <w:ilvl w:val="0"/>
          <w:numId w:val="0"/>
        </w:numPr>
        <w:spacing w:before="120"/>
      </w:pPr>
      <w:r w:rsidRPr="00BF25D7">
        <w:rPr>
          <w:lang w:val="en-GB"/>
        </w:rPr>
        <w:lastRenderedPageBreak/>
        <w:t>The ACCC’s preliminary posi</w:t>
      </w:r>
      <w:r w:rsidR="00B8378D" w:rsidRPr="00BF25D7">
        <w:rPr>
          <w:lang w:val="en-GB"/>
        </w:rPr>
        <w:t>tion o</w:t>
      </w:r>
      <w:r w:rsidR="009D3185">
        <w:rPr>
          <w:lang w:val="en-GB"/>
        </w:rPr>
        <w:t>utlined in the</w:t>
      </w:r>
      <w:r w:rsidR="008041AD" w:rsidRPr="008041AD">
        <w:rPr>
          <w:lang w:val="en-GB"/>
        </w:rPr>
        <w:t xml:space="preserve"> </w:t>
      </w:r>
      <w:r w:rsidR="008041AD" w:rsidRPr="00BF25D7">
        <w:rPr>
          <w:lang w:val="en-GB"/>
        </w:rPr>
        <w:t>consultation</w:t>
      </w:r>
      <w:r w:rsidR="009D3185">
        <w:rPr>
          <w:lang w:val="en-GB"/>
        </w:rPr>
        <w:t xml:space="preserve"> paper supported o</w:t>
      </w:r>
      <w:r w:rsidR="00BF25D7" w:rsidRPr="00BF25D7">
        <w:rPr>
          <w:lang w:val="en-GB"/>
        </w:rPr>
        <w:t>ption 2</w:t>
      </w:r>
      <w:r w:rsidR="00990ED8" w:rsidRPr="00BF25D7">
        <w:rPr>
          <w:lang w:val="en-GB"/>
        </w:rPr>
        <w:t xml:space="preserve"> as</w:t>
      </w:r>
      <w:r w:rsidR="005B5C2D" w:rsidRPr="00BF25D7">
        <w:rPr>
          <w:lang w:val="en-GB"/>
        </w:rPr>
        <w:t xml:space="preserve"> </w:t>
      </w:r>
      <w:r w:rsidR="00990ED8" w:rsidRPr="00BF25D7">
        <w:rPr>
          <w:lang w:val="en-GB"/>
        </w:rPr>
        <w:t>t</w:t>
      </w:r>
      <w:r w:rsidRPr="00BF25D7">
        <w:rPr>
          <w:lang w:val="en-GB"/>
        </w:rPr>
        <w:t xml:space="preserve">his option would provide the greatest benefit for consumers, </w:t>
      </w:r>
      <w:proofErr w:type="gramStart"/>
      <w:r w:rsidRPr="00BF25D7">
        <w:rPr>
          <w:lang w:val="en-GB"/>
        </w:rPr>
        <w:t>suppliers</w:t>
      </w:r>
      <w:proofErr w:type="gramEnd"/>
      <w:r w:rsidRPr="00BF25D7">
        <w:rPr>
          <w:lang w:val="en-GB"/>
        </w:rPr>
        <w:t xml:space="preserve"> and regulators</w:t>
      </w:r>
      <w:r w:rsidR="00A22EB3" w:rsidRPr="00BF25D7">
        <w:rPr>
          <w:lang w:val="en-GB"/>
        </w:rPr>
        <w:t>.</w:t>
      </w:r>
    </w:p>
    <w:p w14:paraId="0617EA39" w14:textId="2C5B3107" w:rsidR="00BF25D7" w:rsidRPr="00BF25D7" w:rsidRDefault="00BF25D7" w:rsidP="00565A20">
      <w:pPr>
        <w:rPr>
          <w:rFonts w:cs="Arial"/>
          <w:lang w:val="en-GB"/>
        </w:rPr>
      </w:pPr>
      <w:r w:rsidRPr="00BF25D7">
        <w:rPr>
          <w:rFonts w:eastAsiaTheme="majorEastAsia" w:cs="Arial"/>
          <w:szCs w:val="26"/>
        </w:rPr>
        <w:t xml:space="preserve">The ACCC </w:t>
      </w:r>
      <w:r w:rsidR="00B13B41">
        <w:rPr>
          <w:lang w:val="en-GB"/>
        </w:rPr>
        <w:t>received 8</w:t>
      </w:r>
      <w:r w:rsidRPr="00BF25D7">
        <w:rPr>
          <w:lang w:val="en-GB"/>
        </w:rPr>
        <w:t xml:space="preserve"> submissions </w:t>
      </w:r>
      <w:r w:rsidR="00B13B41">
        <w:rPr>
          <w:lang w:val="en-GB"/>
        </w:rPr>
        <w:t>from 5</w:t>
      </w:r>
      <w:r w:rsidRPr="00BF25D7">
        <w:rPr>
          <w:lang w:val="en-GB"/>
        </w:rPr>
        <w:t xml:space="preserve"> suppliers, one industry representative, one government agency and one international standards-setting body. Seven were in favour of updati</w:t>
      </w:r>
      <w:r>
        <w:rPr>
          <w:lang w:val="en-GB"/>
        </w:rPr>
        <w:t>ng the safety</w:t>
      </w:r>
      <w:r w:rsidRPr="00BF25D7">
        <w:rPr>
          <w:lang w:val="en-GB"/>
        </w:rPr>
        <w:t xml:space="preserve"> standard</w:t>
      </w:r>
      <w:r>
        <w:rPr>
          <w:lang w:val="en-GB"/>
        </w:rPr>
        <w:t xml:space="preserve"> for portable non-aerosol fire extinguishers</w:t>
      </w:r>
      <w:r w:rsidRPr="00BF25D7">
        <w:rPr>
          <w:lang w:val="en-GB"/>
        </w:rPr>
        <w:t xml:space="preserve"> to reference the latest voluntary Australian/New Zealand standards. One supplier supported the status quo.</w:t>
      </w:r>
    </w:p>
    <w:p w14:paraId="6C31E82C" w14:textId="6722CB60" w:rsidR="00FA0D56" w:rsidRPr="00BF25D7" w:rsidRDefault="00565A20" w:rsidP="001B4A7B">
      <w:pPr>
        <w:rPr>
          <w:rFonts w:cs="Arial"/>
          <w:lang w:val="en-GB"/>
        </w:rPr>
      </w:pPr>
      <w:r w:rsidRPr="00BF25D7">
        <w:rPr>
          <w:rFonts w:cs="Arial"/>
          <w:lang w:val="en-GB"/>
        </w:rPr>
        <w:t xml:space="preserve">Following the submission process </w:t>
      </w:r>
      <w:r w:rsidR="00990ED8" w:rsidRPr="00BF25D7">
        <w:rPr>
          <w:rFonts w:cs="Arial"/>
          <w:lang w:val="en-GB"/>
        </w:rPr>
        <w:t>the ACCC undertook</w:t>
      </w:r>
      <w:r w:rsidR="00DD4E1C" w:rsidRPr="00BF25D7">
        <w:rPr>
          <w:rFonts w:cs="Arial"/>
          <w:lang w:val="en-GB"/>
        </w:rPr>
        <w:t xml:space="preserve"> </w:t>
      </w:r>
      <w:r w:rsidR="00990ED8" w:rsidRPr="00BF25D7">
        <w:rPr>
          <w:rFonts w:cs="Arial"/>
          <w:lang w:val="en-GB"/>
        </w:rPr>
        <w:t>additional consultation, analysis and</w:t>
      </w:r>
      <w:r w:rsidRPr="00BF25D7">
        <w:rPr>
          <w:rFonts w:cs="Arial"/>
          <w:lang w:val="en-GB"/>
        </w:rPr>
        <w:t xml:space="preserve"> </w:t>
      </w:r>
      <w:r w:rsidR="00603C54" w:rsidRPr="00BF25D7">
        <w:rPr>
          <w:rFonts w:cs="Arial"/>
          <w:lang w:val="en-GB"/>
        </w:rPr>
        <w:t>scrutiny and</w:t>
      </w:r>
      <w:r w:rsidR="00990ED8" w:rsidRPr="00BF25D7">
        <w:rPr>
          <w:rFonts w:cs="Arial"/>
          <w:lang w:val="en-GB"/>
        </w:rPr>
        <w:t xml:space="preserve"> </w:t>
      </w:r>
      <w:r w:rsidR="00B27728" w:rsidRPr="00BF25D7">
        <w:rPr>
          <w:rFonts w:cs="Arial"/>
          <w:lang w:val="en-GB"/>
        </w:rPr>
        <w:t>reaffirmed</w:t>
      </w:r>
      <w:r w:rsidR="00990ED8" w:rsidRPr="00BF25D7">
        <w:rPr>
          <w:rFonts w:cs="Arial"/>
          <w:lang w:val="en-GB"/>
        </w:rPr>
        <w:t xml:space="preserve"> that</w:t>
      </w:r>
      <w:r w:rsidR="009D3185">
        <w:rPr>
          <w:rFonts w:cs="Arial"/>
          <w:lang w:val="en-GB"/>
        </w:rPr>
        <w:t xml:space="preserve"> o</w:t>
      </w:r>
      <w:r w:rsidR="00DD4E1C" w:rsidRPr="00BF25D7">
        <w:rPr>
          <w:rFonts w:cs="Arial"/>
          <w:lang w:val="en-GB"/>
        </w:rPr>
        <w:t xml:space="preserve">ption </w:t>
      </w:r>
      <w:r w:rsidR="00BF25D7" w:rsidRPr="00BF25D7">
        <w:rPr>
          <w:rFonts w:cs="Arial"/>
          <w:lang w:val="en-GB"/>
        </w:rPr>
        <w:t>2</w:t>
      </w:r>
      <w:r w:rsidR="00BF25D7">
        <w:rPr>
          <w:rFonts w:cs="Arial"/>
          <w:lang w:val="en-GB"/>
        </w:rPr>
        <w:t xml:space="preserve"> </w:t>
      </w:r>
      <w:r w:rsidR="00990ED8" w:rsidRPr="00BF25D7">
        <w:rPr>
          <w:rFonts w:cs="Arial"/>
          <w:lang w:val="en-GB"/>
        </w:rPr>
        <w:t>is</w:t>
      </w:r>
      <w:r w:rsidR="00DD4E1C" w:rsidRPr="00BF25D7">
        <w:rPr>
          <w:rFonts w:cs="Arial"/>
          <w:lang w:val="en-GB"/>
        </w:rPr>
        <w:t xml:space="preserve"> </w:t>
      </w:r>
      <w:r w:rsidR="00990ED8" w:rsidRPr="00BF25D7">
        <w:rPr>
          <w:rFonts w:cs="Arial"/>
          <w:lang w:val="en-GB"/>
        </w:rPr>
        <w:t>likely to have the greatest net benefit to the Australian community.</w:t>
      </w:r>
    </w:p>
    <w:p w14:paraId="51A4E069" w14:textId="77777777" w:rsidR="001B4A7B" w:rsidRPr="00FF5E3C" w:rsidRDefault="001B4A7B" w:rsidP="000F27EA">
      <w:pPr>
        <w:rPr>
          <w:rFonts w:cs="Arial"/>
          <w:b/>
        </w:rPr>
      </w:pPr>
      <w:r w:rsidRPr="00FF5E3C">
        <w:rPr>
          <w:rFonts w:cs="Arial"/>
          <w:b/>
        </w:rPr>
        <w:t>Disallowance</w:t>
      </w:r>
    </w:p>
    <w:p w14:paraId="5C7CEE6A" w14:textId="2E5F5188" w:rsidR="007B6504" w:rsidRDefault="007B6504" w:rsidP="007B6504">
      <w:r>
        <w:t xml:space="preserve">The </w:t>
      </w:r>
      <w:r>
        <w:rPr>
          <w:i/>
          <w:iCs/>
        </w:rPr>
        <w:t>Consumer Goods (Portable Non-aerosol Fire Extinguishers) Safety Standard 2021</w:t>
      </w:r>
      <w:r>
        <w:t xml:space="preserve"> is a legislative instrument for the purposes of the </w:t>
      </w:r>
      <w:r>
        <w:rPr>
          <w:i/>
          <w:iCs/>
        </w:rPr>
        <w:t xml:space="preserve">Legislation Act 2003 </w:t>
      </w:r>
      <w:r>
        <w:t>(</w:t>
      </w:r>
      <w:proofErr w:type="spellStart"/>
      <w:r>
        <w:t>Cth</w:t>
      </w:r>
      <w:proofErr w:type="spellEnd"/>
      <w:r>
        <w:t>).</w:t>
      </w:r>
      <w:r w:rsidR="008D45E3">
        <w:t xml:space="preserve"> </w:t>
      </w:r>
      <w:r>
        <w:t xml:space="preserve">In accordance with the Australian Consumer Law, which is Schedule 2 of the </w:t>
      </w:r>
      <w:r>
        <w:rPr>
          <w:i/>
          <w:iCs/>
        </w:rPr>
        <w:t xml:space="preserve">Competition and Consumer Act 2010 </w:t>
      </w:r>
      <w:r>
        <w:t>(</w:t>
      </w:r>
      <w:proofErr w:type="spellStart"/>
      <w:r>
        <w:t>Cth</w:t>
      </w:r>
      <w:proofErr w:type="spellEnd"/>
      <w:r>
        <w:t xml:space="preserve">), the </w:t>
      </w:r>
      <w:r>
        <w:rPr>
          <w:i/>
          <w:iCs/>
        </w:rPr>
        <w:t>Consumer Goods (Portable Non-aerosol Fire Extinguishers) Safety Standard 2021</w:t>
      </w:r>
      <w:r>
        <w:t xml:space="preserve"> is not subject to disallowance or sunsetting under the </w:t>
      </w:r>
      <w:r>
        <w:rPr>
          <w:i/>
          <w:iCs/>
        </w:rPr>
        <w:t xml:space="preserve">Legislation Act 2003 </w:t>
      </w:r>
      <w:r>
        <w:t>(</w:t>
      </w:r>
      <w:proofErr w:type="spellStart"/>
      <w:r>
        <w:t>Cth</w:t>
      </w:r>
      <w:proofErr w:type="spellEnd"/>
      <w:r>
        <w:t>) on the grounds that the standard is part of an intergovernmental scheme and gives effect to agreements between the Commonwealth and each of the States, the Australian Capital Territory and the Northern Territory to create a single national consumer law for Australia, including a national product safety law. The making of this legislative instrument is authorised under the Australian Consumer Law. It is consistent with the purpose of s</w:t>
      </w:r>
      <w:r w:rsidR="008D45E3">
        <w:t xml:space="preserve">ection </w:t>
      </w:r>
      <w:r>
        <w:t xml:space="preserve">44(1) in the </w:t>
      </w:r>
      <w:r>
        <w:rPr>
          <w:i/>
          <w:iCs/>
        </w:rPr>
        <w:t xml:space="preserve">Legislation Act 2003 </w:t>
      </w:r>
      <w:r>
        <w:t>(</w:t>
      </w:r>
      <w:proofErr w:type="spellStart"/>
      <w:r>
        <w:t>Cth</w:t>
      </w:r>
      <w:proofErr w:type="spellEnd"/>
      <w:r>
        <w:t>) that an instrument giving effect to a multilateral scheme is not subject to unilateral disallowance. To make it so would frustrate the importance of uniform product safety standards in reducing the supply of unsafe goods and related services for Australian consumers, which is a key part of the Australian Consumer Law as an intergovernmental scheme involving the Commonwealth and the States and Territories.</w:t>
      </w:r>
    </w:p>
    <w:p w14:paraId="2874FFFA" w14:textId="77777777" w:rsidR="001B4A7B" w:rsidRPr="00FF5E3C" w:rsidRDefault="001B4A7B" w:rsidP="001B4A7B">
      <w:pPr>
        <w:rPr>
          <w:rFonts w:cs="Arial"/>
          <w:b/>
          <w:lang w:val="en-GB"/>
        </w:rPr>
      </w:pPr>
      <w:r w:rsidRPr="00FF5E3C">
        <w:rPr>
          <w:rFonts w:cs="Arial"/>
          <w:b/>
          <w:lang w:val="en-GB"/>
        </w:rPr>
        <w:t xml:space="preserve">Commencement </w:t>
      </w:r>
    </w:p>
    <w:p w14:paraId="2B8CE0EE" w14:textId="77777777" w:rsidR="001B4A7B" w:rsidRPr="00FF5E3C" w:rsidRDefault="00F960D1" w:rsidP="001B4A7B">
      <w:pPr>
        <w:rPr>
          <w:rFonts w:cs="Arial"/>
          <w:lang w:val="en-GB"/>
        </w:rPr>
      </w:pPr>
      <w:r w:rsidRPr="00FF5E3C">
        <w:rPr>
          <w:rFonts w:cs="Arial"/>
          <w:lang w:val="en-GB"/>
        </w:rPr>
        <w:t xml:space="preserve">The </w:t>
      </w:r>
      <w:r w:rsidR="001B4A7B" w:rsidRPr="00FF5E3C">
        <w:rPr>
          <w:rFonts w:cs="Arial"/>
          <w:lang w:val="en-GB"/>
        </w:rPr>
        <w:t>legislative instrument commences on the day after it is registered on the Federal Register of Legislation.</w:t>
      </w:r>
    </w:p>
    <w:p w14:paraId="569DCC66" w14:textId="77777777" w:rsidR="001B4A7B" w:rsidRPr="00FF5E3C" w:rsidRDefault="001B4A7B" w:rsidP="000F27EA">
      <w:pPr>
        <w:rPr>
          <w:rFonts w:cs="Arial"/>
          <w:b/>
        </w:rPr>
      </w:pPr>
      <w:r w:rsidRPr="00FF5E3C">
        <w:rPr>
          <w:rFonts w:cs="Arial"/>
          <w:b/>
        </w:rPr>
        <w:t>Sunsetting</w:t>
      </w:r>
    </w:p>
    <w:p w14:paraId="7EB738E5" w14:textId="2C2AB69A" w:rsidR="001B4A7B" w:rsidRPr="00FF5E3C" w:rsidRDefault="008F6FE8" w:rsidP="000F27EA">
      <w:pPr>
        <w:rPr>
          <w:rFonts w:cs="Arial"/>
          <w:i/>
        </w:rPr>
      </w:pPr>
      <w:r w:rsidRPr="00FF5E3C">
        <w:rPr>
          <w:rFonts w:cs="Arial"/>
        </w:rPr>
        <w:t xml:space="preserve">This legislative instrument is not subject to sunsetting due to section 54 of the </w:t>
      </w:r>
      <w:r w:rsidRPr="00FF5E3C">
        <w:rPr>
          <w:rFonts w:cs="Arial"/>
          <w:i/>
        </w:rPr>
        <w:t>Legislation Act 2003</w:t>
      </w:r>
      <w:r w:rsidRPr="00FF5E3C">
        <w:rPr>
          <w:rFonts w:cs="Arial"/>
        </w:rPr>
        <w:t xml:space="preserve"> (</w:t>
      </w:r>
      <w:proofErr w:type="spellStart"/>
      <w:r w:rsidRPr="00FF5E3C">
        <w:rPr>
          <w:rFonts w:cs="Arial"/>
        </w:rPr>
        <w:t>Cth</w:t>
      </w:r>
      <w:proofErr w:type="spellEnd"/>
      <w:r w:rsidRPr="00FF5E3C">
        <w:rPr>
          <w:rFonts w:cs="Arial"/>
        </w:rPr>
        <w:t>).</w:t>
      </w:r>
    </w:p>
    <w:p w14:paraId="6F01635C" w14:textId="77777777" w:rsidR="00FF4CDB" w:rsidRPr="00FF5E3C" w:rsidRDefault="00FF4CDB" w:rsidP="00E07F9C">
      <w:pPr>
        <w:rPr>
          <w:rFonts w:cs="Arial"/>
          <w:b/>
          <w:lang w:val="en-GB"/>
        </w:rPr>
      </w:pPr>
      <w:r w:rsidRPr="00FF5E3C">
        <w:rPr>
          <w:rFonts w:cs="Arial"/>
          <w:b/>
          <w:lang w:val="en-GB"/>
        </w:rPr>
        <w:t>Regulation impact assessment</w:t>
      </w:r>
    </w:p>
    <w:p w14:paraId="03D00D99" w14:textId="75C6AF79" w:rsidR="00820DAD" w:rsidRPr="00AD05A8" w:rsidRDefault="00FF4CDB" w:rsidP="001B4A7B">
      <w:pPr>
        <w:rPr>
          <w:iCs/>
        </w:rPr>
      </w:pPr>
      <w:r w:rsidRPr="00FF5E3C">
        <w:rPr>
          <w:iCs/>
        </w:rPr>
        <w:t xml:space="preserve">The Office of Best Practice Regulation advised that </w:t>
      </w:r>
      <w:r w:rsidR="00F63E15" w:rsidRPr="00FF5E3C">
        <w:rPr>
          <w:iCs/>
        </w:rPr>
        <w:t xml:space="preserve">a </w:t>
      </w:r>
      <w:r w:rsidRPr="00FF5E3C">
        <w:rPr>
          <w:iCs/>
        </w:rPr>
        <w:t>Regulation Impact Statement</w:t>
      </w:r>
      <w:r w:rsidR="00D37A62" w:rsidRPr="00FF5E3C">
        <w:rPr>
          <w:iCs/>
        </w:rPr>
        <w:t xml:space="preserve"> was not r</w:t>
      </w:r>
      <w:r w:rsidR="0057208F" w:rsidRPr="00FF5E3C">
        <w:rPr>
          <w:iCs/>
        </w:rPr>
        <w:t xml:space="preserve">equired </w:t>
      </w:r>
      <w:r w:rsidR="0057208F" w:rsidRPr="00654CF1">
        <w:rPr>
          <w:iCs/>
        </w:rPr>
        <w:t xml:space="preserve">(OBPR reference ID </w:t>
      </w:r>
      <w:r w:rsidR="00654CF1" w:rsidRPr="00654CF1">
        <w:rPr>
          <w:iCs/>
        </w:rPr>
        <w:t>43998</w:t>
      </w:r>
      <w:r w:rsidR="00D37A62" w:rsidRPr="00654CF1">
        <w:rPr>
          <w:iCs/>
        </w:rPr>
        <w:t>).</w:t>
      </w:r>
    </w:p>
    <w:sectPr w:rsidR="00820DAD" w:rsidRPr="00AD05A8" w:rsidSect="003B6396">
      <w:footerReference w:type="first" r:id="rId11"/>
      <w:pgSz w:w="11906" w:h="16838" w:code="9"/>
      <w:pgMar w:top="1134" w:right="1559"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23712" w14:textId="77777777" w:rsidR="00C457E8" w:rsidRDefault="00C457E8" w:rsidP="004B4412">
      <w:pPr>
        <w:spacing w:before="0"/>
      </w:pPr>
      <w:r>
        <w:separator/>
      </w:r>
    </w:p>
  </w:endnote>
  <w:endnote w:type="continuationSeparator" w:id="0">
    <w:p w14:paraId="60B3171C" w14:textId="77777777" w:rsidR="00C457E8" w:rsidRDefault="00C457E8"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5884594"/>
      <w:docPartObj>
        <w:docPartGallery w:val="Page Numbers (Bottom of Page)"/>
        <w:docPartUnique/>
      </w:docPartObj>
    </w:sdtPr>
    <w:sdtEndPr>
      <w:rPr>
        <w:noProof/>
      </w:rPr>
    </w:sdtEndPr>
    <w:sdtContent>
      <w:p w14:paraId="6D16C491" w14:textId="77777777"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14:paraId="1D7FF16E"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A9DA9" w14:textId="77777777" w:rsidR="00C457E8" w:rsidRDefault="00C457E8" w:rsidP="004B4412">
      <w:pPr>
        <w:spacing w:before="0"/>
      </w:pPr>
      <w:r>
        <w:separator/>
      </w:r>
    </w:p>
  </w:footnote>
  <w:footnote w:type="continuationSeparator" w:id="0">
    <w:p w14:paraId="7719CFEC" w14:textId="77777777" w:rsidR="00C457E8" w:rsidRDefault="00C457E8" w:rsidP="004B441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AD646C"/>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FBF3983"/>
    <w:multiLevelType w:val="multilevel"/>
    <w:tmpl w:val="30CC6D56"/>
    <w:lvl w:ilvl="0">
      <w:start w:val="1"/>
      <w:numFmt w:val="decimal"/>
      <w:lvlText w:val="%1."/>
      <w:lvlJc w:val="left"/>
      <w:pPr>
        <w:ind w:left="432" w:hanging="432"/>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268735D6"/>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6" w15:restartNumberingAfterBreak="0">
    <w:nsid w:val="33A1607F"/>
    <w:multiLevelType w:val="hybridMultilevel"/>
    <w:tmpl w:val="8C005AE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7"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364404BD"/>
    <w:multiLevelType w:val="hybridMultilevel"/>
    <w:tmpl w:val="00C84FE4"/>
    <w:lvl w:ilvl="0" w:tplc="8C5C48C6">
      <w:start w:val="1"/>
      <w:numFmt w:val="bullet"/>
      <w:lvlText w:val=""/>
      <w:lvlJc w:val="left"/>
      <w:pPr>
        <w:ind w:left="70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9"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15:restartNumberingAfterBreak="0">
    <w:nsid w:val="468A5C55"/>
    <w:multiLevelType w:val="hybridMultilevel"/>
    <w:tmpl w:val="FBF69B80"/>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3" w15:restartNumberingAfterBreak="0">
    <w:nsid w:val="49C43566"/>
    <w:multiLevelType w:val="hybridMultilevel"/>
    <w:tmpl w:val="76C4AA1C"/>
    <w:lvl w:ilvl="0" w:tplc="A142D57C">
      <w:start w:val="1"/>
      <w:numFmt w:val="bullet"/>
      <w:lvlText w:val=""/>
      <w:lvlJc w:val="left"/>
      <w:pPr>
        <w:ind w:left="700" w:hanging="360"/>
      </w:pPr>
      <w:rPr>
        <w:rFonts w:ascii="Symbol" w:hAnsi="Symbol" w:hint="default"/>
      </w:rPr>
    </w:lvl>
    <w:lvl w:ilvl="1" w:tplc="0C090003" w:tentative="1">
      <w:start w:val="1"/>
      <w:numFmt w:val="bullet"/>
      <w:lvlText w:val="o"/>
      <w:lvlJc w:val="left"/>
      <w:pPr>
        <w:ind w:left="1844" w:hanging="360"/>
      </w:pPr>
      <w:rPr>
        <w:rFonts w:ascii="Courier New" w:hAnsi="Courier New" w:cs="Courier New" w:hint="default"/>
      </w:rPr>
    </w:lvl>
    <w:lvl w:ilvl="2" w:tplc="0C090005" w:tentative="1">
      <w:start w:val="1"/>
      <w:numFmt w:val="bullet"/>
      <w:lvlText w:val=""/>
      <w:lvlJc w:val="left"/>
      <w:pPr>
        <w:ind w:left="2564" w:hanging="360"/>
      </w:pPr>
      <w:rPr>
        <w:rFonts w:ascii="Wingdings" w:hAnsi="Wingdings" w:hint="default"/>
      </w:rPr>
    </w:lvl>
    <w:lvl w:ilvl="3" w:tplc="0C090001" w:tentative="1">
      <w:start w:val="1"/>
      <w:numFmt w:val="bullet"/>
      <w:lvlText w:val=""/>
      <w:lvlJc w:val="left"/>
      <w:pPr>
        <w:ind w:left="3284" w:hanging="360"/>
      </w:pPr>
      <w:rPr>
        <w:rFonts w:ascii="Symbol" w:hAnsi="Symbol" w:hint="default"/>
      </w:rPr>
    </w:lvl>
    <w:lvl w:ilvl="4" w:tplc="0C090003" w:tentative="1">
      <w:start w:val="1"/>
      <w:numFmt w:val="bullet"/>
      <w:lvlText w:val="o"/>
      <w:lvlJc w:val="left"/>
      <w:pPr>
        <w:ind w:left="4004" w:hanging="360"/>
      </w:pPr>
      <w:rPr>
        <w:rFonts w:ascii="Courier New" w:hAnsi="Courier New" w:cs="Courier New" w:hint="default"/>
      </w:rPr>
    </w:lvl>
    <w:lvl w:ilvl="5" w:tplc="0C090005" w:tentative="1">
      <w:start w:val="1"/>
      <w:numFmt w:val="bullet"/>
      <w:lvlText w:val=""/>
      <w:lvlJc w:val="left"/>
      <w:pPr>
        <w:ind w:left="4724" w:hanging="360"/>
      </w:pPr>
      <w:rPr>
        <w:rFonts w:ascii="Wingdings" w:hAnsi="Wingdings" w:hint="default"/>
      </w:rPr>
    </w:lvl>
    <w:lvl w:ilvl="6" w:tplc="0C090001" w:tentative="1">
      <w:start w:val="1"/>
      <w:numFmt w:val="bullet"/>
      <w:lvlText w:val=""/>
      <w:lvlJc w:val="left"/>
      <w:pPr>
        <w:ind w:left="5444" w:hanging="360"/>
      </w:pPr>
      <w:rPr>
        <w:rFonts w:ascii="Symbol" w:hAnsi="Symbol" w:hint="default"/>
      </w:rPr>
    </w:lvl>
    <w:lvl w:ilvl="7" w:tplc="0C090003" w:tentative="1">
      <w:start w:val="1"/>
      <w:numFmt w:val="bullet"/>
      <w:lvlText w:val="o"/>
      <w:lvlJc w:val="left"/>
      <w:pPr>
        <w:ind w:left="6164" w:hanging="360"/>
      </w:pPr>
      <w:rPr>
        <w:rFonts w:ascii="Courier New" w:hAnsi="Courier New" w:cs="Courier New" w:hint="default"/>
      </w:rPr>
    </w:lvl>
    <w:lvl w:ilvl="8" w:tplc="0C090005" w:tentative="1">
      <w:start w:val="1"/>
      <w:numFmt w:val="bullet"/>
      <w:lvlText w:val=""/>
      <w:lvlJc w:val="left"/>
      <w:pPr>
        <w:ind w:left="6884" w:hanging="360"/>
      </w:pPr>
      <w:rPr>
        <w:rFonts w:ascii="Wingdings" w:hAnsi="Wingdings" w:hint="default"/>
      </w:rPr>
    </w:lvl>
  </w:abstractNum>
  <w:abstractNum w:abstractNumId="24"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0E31BB"/>
    <w:multiLevelType w:val="hybridMultilevel"/>
    <w:tmpl w:val="03D8D49A"/>
    <w:lvl w:ilvl="0" w:tplc="406AAC1E">
      <w:start w:val="1"/>
      <w:numFmt w:val="bullet"/>
      <w:lvlText w:val=""/>
      <w:lvlJc w:val="left"/>
      <w:pPr>
        <w:ind w:left="1040" w:hanging="70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15:restartNumberingAfterBreak="0">
    <w:nsid w:val="5855761E"/>
    <w:multiLevelType w:val="hybridMultilevel"/>
    <w:tmpl w:val="4BFC52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15:restartNumberingAfterBreak="0">
    <w:nsid w:val="69AD65DF"/>
    <w:multiLevelType w:val="multilevel"/>
    <w:tmpl w:val="AD02C00E"/>
    <w:lvl w:ilvl="0">
      <w:start w:val="1"/>
      <w:numFmt w:val="decimal"/>
      <w:lvlText w:val="%1."/>
      <w:lvlJc w:val="left"/>
      <w:pPr>
        <w:ind w:left="432" w:hanging="432"/>
      </w:pPr>
      <w:rPr>
        <w:rFonts w:ascii="Arial" w:hAnsi="Arial" w:cs="Arial" w:hint="default"/>
      </w:rPr>
    </w:lvl>
    <w:lvl w:ilvl="1">
      <w:start w:val="1"/>
      <w:numFmt w:val="decimal"/>
      <w:lvlText w:val="%1.%2."/>
      <w:lvlJc w:val="left"/>
      <w:pPr>
        <w:ind w:left="720" w:hanging="720"/>
      </w:pPr>
      <w:rPr>
        <w:rFonts w:ascii="Arial" w:hAnsi="Arial" w:cs="Aria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32" w15:restartNumberingAfterBreak="0">
    <w:nsid w:val="6B014D4C"/>
    <w:multiLevelType w:val="hybridMultilevel"/>
    <w:tmpl w:val="2C701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6D12F1"/>
    <w:multiLevelType w:val="multilevel"/>
    <w:tmpl w:val="22E4DD16"/>
    <w:lvl w:ilvl="0">
      <w:start w:val="1"/>
      <w:numFmt w:val="bullet"/>
      <w:lvlText w:val=""/>
      <w:lvlJc w:val="left"/>
      <w:pPr>
        <w:ind w:left="772" w:hanging="772"/>
      </w:pPr>
      <w:rPr>
        <w:rFonts w:ascii="Symbol" w:hAnsi="Symbol" w:hint="default"/>
      </w:rPr>
    </w:lvl>
    <w:lvl w:ilvl="1">
      <w:start w:val="1"/>
      <w:numFmt w:val="bullet"/>
      <w:lvlText w:val=""/>
      <w:lvlJc w:val="left"/>
      <w:pPr>
        <w:ind w:left="1060" w:hanging="720"/>
      </w:pPr>
      <w:rPr>
        <w:rFonts w:ascii="Symbol" w:hAnsi="Symbol" w:hint="default"/>
      </w:rPr>
    </w:lvl>
    <w:lvl w:ilvl="2">
      <w:start w:val="1"/>
      <w:numFmt w:val="bullet"/>
      <w:lvlText w:val=""/>
      <w:lvlJc w:val="left"/>
      <w:pPr>
        <w:ind w:left="1060" w:hanging="720"/>
      </w:pPr>
      <w:rPr>
        <w:rFonts w:ascii="Symbol" w:hAnsi="Symbol" w:hint="default"/>
      </w:rPr>
    </w:lvl>
    <w:lvl w:ilvl="3">
      <w:start w:val="1"/>
      <w:numFmt w:val="decimal"/>
      <w:lvlText w:val="%1.%2.%3.%4."/>
      <w:lvlJc w:val="left"/>
      <w:pPr>
        <w:ind w:left="1420" w:hanging="1080"/>
      </w:pPr>
      <w:rPr>
        <w:rFonts w:ascii="Arial" w:hAnsi="Arial" w:cs="Arial" w:hint="default"/>
      </w:rPr>
    </w:lvl>
    <w:lvl w:ilvl="4">
      <w:start w:val="1"/>
      <w:numFmt w:val="decimal"/>
      <w:lvlText w:val="%1.%2.%3.%4.%5."/>
      <w:lvlJc w:val="left"/>
      <w:pPr>
        <w:ind w:left="1420" w:hanging="1080"/>
      </w:pPr>
      <w:rPr>
        <w:rFonts w:ascii="Arial" w:hAnsi="Arial" w:cs="Arial" w:hint="default"/>
      </w:rPr>
    </w:lvl>
    <w:lvl w:ilvl="5">
      <w:start w:val="1"/>
      <w:numFmt w:val="decimal"/>
      <w:lvlText w:val="%1.%2.%3.%4.%5.%6."/>
      <w:lvlJc w:val="left"/>
      <w:pPr>
        <w:ind w:left="1780" w:hanging="1440"/>
      </w:pPr>
      <w:rPr>
        <w:rFonts w:ascii="Arial" w:hAnsi="Arial" w:cs="Arial" w:hint="default"/>
      </w:rPr>
    </w:lvl>
    <w:lvl w:ilvl="6">
      <w:start w:val="1"/>
      <w:numFmt w:val="decimal"/>
      <w:lvlText w:val="%1.%2.%3.%4.%5.%6.%7."/>
      <w:lvlJc w:val="left"/>
      <w:pPr>
        <w:ind w:left="2140" w:hanging="1800"/>
      </w:pPr>
      <w:rPr>
        <w:rFonts w:ascii="Arial" w:hAnsi="Arial" w:cs="Arial" w:hint="default"/>
      </w:rPr>
    </w:lvl>
    <w:lvl w:ilvl="7">
      <w:start w:val="1"/>
      <w:numFmt w:val="decimal"/>
      <w:lvlText w:val="%1.%2.%3.%4.%5.%6.%7.%8."/>
      <w:lvlJc w:val="left"/>
      <w:pPr>
        <w:ind w:left="2140" w:hanging="1800"/>
      </w:pPr>
      <w:rPr>
        <w:rFonts w:ascii="Arial" w:hAnsi="Arial" w:cs="Arial" w:hint="default"/>
      </w:rPr>
    </w:lvl>
    <w:lvl w:ilvl="8">
      <w:start w:val="1"/>
      <w:numFmt w:val="decimal"/>
      <w:lvlText w:val="%1.%2.%3.%4.%5.%6.%7.%8.%9."/>
      <w:lvlJc w:val="left"/>
      <w:pPr>
        <w:ind w:left="2500" w:hanging="2160"/>
      </w:pPr>
      <w:rPr>
        <w:rFonts w:ascii="Arial" w:hAnsi="Arial" w:cs="Arial" w:hint="default"/>
      </w:rPr>
    </w:lvl>
  </w:abstractNum>
  <w:abstractNum w:abstractNumId="34" w15:restartNumberingAfterBreak="0">
    <w:nsid w:val="70D02CA1"/>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35"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6" w15:restartNumberingAfterBreak="0">
    <w:nsid w:val="71DC5197"/>
    <w:multiLevelType w:val="multilevel"/>
    <w:tmpl w:val="A7B42DFE"/>
    <w:lvl w:ilvl="0">
      <w:start w:val="1"/>
      <w:numFmt w:val="bullet"/>
      <w:lvlText w:val=""/>
      <w:lvlJc w:val="left"/>
      <w:pPr>
        <w:ind w:left="432" w:hanging="432"/>
      </w:pPr>
      <w:rPr>
        <w:rFonts w:ascii="Symbol" w:hAnsi="Symbol" w:hint="default"/>
      </w:rPr>
    </w:lvl>
    <w:lvl w:ilvl="1">
      <w:start w:val="1"/>
      <w:numFmt w:val="bullet"/>
      <w:lvlText w:val=""/>
      <w:lvlJc w:val="left"/>
      <w:pPr>
        <w:ind w:left="720" w:hanging="72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37"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8"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9" w15:restartNumberingAfterBreak="0">
    <w:nsid w:val="78A53688"/>
    <w:multiLevelType w:val="hybridMultilevel"/>
    <w:tmpl w:val="B6428DE8"/>
    <w:lvl w:ilvl="0" w:tplc="DBB4220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1"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1"/>
  </w:num>
  <w:num w:numId="8">
    <w:abstractNumId w:val="0"/>
  </w:num>
  <w:num w:numId="9">
    <w:abstractNumId w:val="30"/>
  </w:num>
  <w:num w:numId="10">
    <w:abstractNumId w:val="20"/>
  </w:num>
  <w:num w:numId="11">
    <w:abstractNumId w:val="10"/>
  </w:num>
  <w:num w:numId="12">
    <w:abstractNumId w:val="14"/>
  </w:num>
  <w:num w:numId="13">
    <w:abstractNumId w:val="19"/>
  </w:num>
  <w:num w:numId="14">
    <w:abstractNumId w:val="2"/>
  </w:num>
  <w:num w:numId="15">
    <w:abstractNumId w:val="35"/>
  </w:num>
  <w:num w:numId="16">
    <w:abstractNumId w:val="40"/>
  </w:num>
  <w:num w:numId="17">
    <w:abstractNumId w:val="38"/>
  </w:num>
  <w:num w:numId="18">
    <w:abstractNumId w:val="27"/>
  </w:num>
  <w:num w:numId="19">
    <w:abstractNumId w:val="17"/>
  </w:num>
  <w:num w:numId="20">
    <w:abstractNumId w:val="21"/>
  </w:num>
  <w:num w:numId="21">
    <w:abstractNumId w:val="37"/>
  </w:num>
  <w:num w:numId="22">
    <w:abstractNumId w:val="28"/>
  </w:num>
  <w:num w:numId="23">
    <w:abstractNumId w:val="8"/>
  </w:num>
  <w:num w:numId="24">
    <w:abstractNumId w:val="3"/>
  </w:num>
  <w:num w:numId="25">
    <w:abstractNumId w:val="24"/>
  </w:num>
  <w:num w:numId="26">
    <w:abstractNumId w:val="13"/>
  </w:num>
  <w:num w:numId="27">
    <w:abstractNumId w:val="29"/>
  </w:num>
  <w:num w:numId="28">
    <w:abstractNumId w:val="22"/>
  </w:num>
  <w:num w:numId="29">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9"/>
  </w:num>
  <w:num w:numId="32">
    <w:abstractNumId w:val="34"/>
  </w:num>
  <w:num w:numId="33">
    <w:abstractNumId w:val="15"/>
  </w:num>
  <w:num w:numId="34">
    <w:abstractNumId w:val="33"/>
  </w:num>
  <w:num w:numId="35">
    <w:abstractNumId w:val="11"/>
  </w:num>
  <w:num w:numId="36">
    <w:abstractNumId w:val="10"/>
  </w:num>
  <w:num w:numId="37">
    <w:abstractNumId w:val="39"/>
  </w:num>
  <w:num w:numId="38">
    <w:abstractNumId w:val="32"/>
  </w:num>
  <w:num w:numId="39">
    <w:abstractNumId w:val="16"/>
  </w:num>
  <w:num w:numId="40">
    <w:abstractNumId w:val="25"/>
  </w:num>
  <w:num w:numId="41">
    <w:abstractNumId w:val="23"/>
  </w:num>
  <w:num w:numId="42">
    <w:abstractNumId w:val="18"/>
  </w:num>
  <w:num w:numId="43">
    <w:abstractNumId w:val="26"/>
  </w:num>
  <w:num w:numId="4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rrentname" w:val="H:\trimdata\TRIM\TEMP\HPTRIM.3920\D17 23987  CPS - SP - Trolley jacks - Explanatory statement - 2017.DOCX"/>
  </w:docVars>
  <w:rsids>
    <w:rsidRoot w:val="001B4A7B"/>
    <w:rsid w:val="00007C46"/>
    <w:rsid w:val="00010009"/>
    <w:rsid w:val="0002115F"/>
    <w:rsid w:val="00021202"/>
    <w:rsid w:val="000225C4"/>
    <w:rsid w:val="0003578C"/>
    <w:rsid w:val="00042971"/>
    <w:rsid w:val="00044BE7"/>
    <w:rsid w:val="00045B25"/>
    <w:rsid w:val="00050BE3"/>
    <w:rsid w:val="00061003"/>
    <w:rsid w:val="00063247"/>
    <w:rsid w:val="00065A07"/>
    <w:rsid w:val="00070F9F"/>
    <w:rsid w:val="0007137B"/>
    <w:rsid w:val="00085663"/>
    <w:rsid w:val="00085EBF"/>
    <w:rsid w:val="00094C81"/>
    <w:rsid w:val="000A02AD"/>
    <w:rsid w:val="000A062F"/>
    <w:rsid w:val="000B779C"/>
    <w:rsid w:val="000C1578"/>
    <w:rsid w:val="000C4511"/>
    <w:rsid w:val="000D0C9D"/>
    <w:rsid w:val="000D122C"/>
    <w:rsid w:val="000D48CE"/>
    <w:rsid w:val="000D5A29"/>
    <w:rsid w:val="000E1819"/>
    <w:rsid w:val="000E1BC4"/>
    <w:rsid w:val="000E230E"/>
    <w:rsid w:val="000E3CA1"/>
    <w:rsid w:val="000E6C72"/>
    <w:rsid w:val="000E70CC"/>
    <w:rsid w:val="000F119E"/>
    <w:rsid w:val="000F1F79"/>
    <w:rsid w:val="000F2368"/>
    <w:rsid w:val="000F248E"/>
    <w:rsid w:val="000F27EA"/>
    <w:rsid w:val="000F5226"/>
    <w:rsid w:val="000F7A89"/>
    <w:rsid w:val="0010399E"/>
    <w:rsid w:val="001059B1"/>
    <w:rsid w:val="0010762E"/>
    <w:rsid w:val="00116EB2"/>
    <w:rsid w:val="00124609"/>
    <w:rsid w:val="001265CE"/>
    <w:rsid w:val="00127FD6"/>
    <w:rsid w:val="00140C59"/>
    <w:rsid w:val="001426C5"/>
    <w:rsid w:val="0014398F"/>
    <w:rsid w:val="00146119"/>
    <w:rsid w:val="001573E4"/>
    <w:rsid w:val="00160756"/>
    <w:rsid w:val="00162F93"/>
    <w:rsid w:val="0017181A"/>
    <w:rsid w:val="0017232E"/>
    <w:rsid w:val="00174102"/>
    <w:rsid w:val="00175E01"/>
    <w:rsid w:val="00176BBC"/>
    <w:rsid w:val="0017777B"/>
    <w:rsid w:val="00180157"/>
    <w:rsid w:val="00181223"/>
    <w:rsid w:val="00183627"/>
    <w:rsid w:val="0018500C"/>
    <w:rsid w:val="00186F77"/>
    <w:rsid w:val="00190D23"/>
    <w:rsid w:val="001926A4"/>
    <w:rsid w:val="0019659C"/>
    <w:rsid w:val="00196801"/>
    <w:rsid w:val="00197372"/>
    <w:rsid w:val="001A04D9"/>
    <w:rsid w:val="001A30A4"/>
    <w:rsid w:val="001A3A19"/>
    <w:rsid w:val="001B246B"/>
    <w:rsid w:val="001B45A0"/>
    <w:rsid w:val="001B4A7B"/>
    <w:rsid w:val="001C18EE"/>
    <w:rsid w:val="001C6433"/>
    <w:rsid w:val="001D055E"/>
    <w:rsid w:val="001D7724"/>
    <w:rsid w:val="001E0BC0"/>
    <w:rsid w:val="001F01A9"/>
    <w:rsid w:val="001F492E"/>
    <w:rsid w:val="001F4C58"/>
    <w:rsid w:val="001F6DA3"/>
    <w:rsid w:val="002004E3"/>
    <w:rsid w:val="002030FB"/>
    <w:rsid w:val="00205378"/>
    <w:rsid w:val="00211C6F"/>
    <w:rsid w:val="00212737"/>
    <w:rsid w:val="002128E0"/>
    <w:rsid w:val="00216111"/>
    <w:rsid w:val="00224DB9"/>
    <w:rsid w:val="002345C4"/>
    <w:rsid w:val="00235815"/>
    <w:rsid w:val="0024178C"/>
    <w:rsid w:val="00241D74"/>
    <w:rsid w:val="00242671"/>
    <w:rsid w:val="00247C27"/>
    <w:rsid w:val="00251745"/>
    <w:rsid w:val="00251AA2"/>
    <w:rsid w:val="00257D1A"/>
    <w:rsid w:val="00263AC0"/>
    <w:rsid w:val="0026772D"/>
    <w:rsid w:val="00286874"/>
    <w:rsid w:val="00293F07"/>
    <w:rsid w:val="00296B65"/>
    <w:rsid w:val="002A312E"/>
    <w:rsid w:val="002A6EF6"/>
    <w:rsid w:val="002A7DEF"/>
    <w:rsid w:val="002B14FE"/>
    <w:rsid w:val="002B17A9"/>
    <w:rsid w:val="002B24FE"/>
    <w:rsid w:val="002B60C9"/>
    <w:rsid w:val="002C07B6"/>
    <w:rsid w:val="002C7257"/>
    <w:rsid w:val="002D2826"/>
    <w:rsid w:val="002E3109"/>
    <w:rsid w:val="002F6062"/>
    <w:rsid w:val="002F6A17"/>
    <w:rsid w:val="002F7986"/>
    <w:rsid w:val="00301483"/>
    <w:rsid w:val="00303C4A"/>
    <w:rsid w:val="003046B6"/>
    <w:rsid w:val="0030488E"/>
    <w:rsid w:val="00307F6D"/>
    <w:rsid w:val="00314977"/>
    <w:rsid w:val="003177A2"/>
    <w:rsid w:val="00320408"/>
    <w:rsid w:val="00321028"/>
    <w:rsid w:val="003271B5"/>
    <w:rsid w:val="003301BA"/>
    <w:rsid w:val="00330CA0"/>
    <w:rsid w:val="00331264"/>
    <w:rsid w:val="00332C56"/>
    <w:rsid w:val="0033341C"/>
    <w:rsid w:val="00334C8D"/>
    <w:rsid w:val="00340655"/>
    <w:rsid w:val="003459E6"/>
    <w:rsid w:val="00347222"/>
    <w:rsid w:val="00347964"/>
    <w:rsid w:val="003518B3"/>
    <w:rsid w:val="00352B50"/>
    <w:rsid w:val="00354E4B"/>
    <w:rsid w:val="003636FA"/>
    <w:rsid w:val="00365954"/>
    <w:rsid w:val="0037078F"/>
    <w:rsid w:val="00371641"/>
    <w:rsid w:val="00372AF2"/>
    <w:rsid w:val="00373486"/>
    <w:rsid w:val="003806B2"/>
    <w:rsid w:val="00383C29"/>
    <w:rsid w:val="003846F1"/>
    <w:rsid w:val="00387AFB"/>
    <w:rsid w:val="00390056"/>
    <w:rsid w:val="0039290A"/>
    <w:rsid w:val="003A38F1"/>
    <w:rsid w:val="003A673F"/>
    <w:rsid w:val="003B093B"/>
    <w:rsid w:val="003B0CD8"/>
    <w:rsid w:val="003B21A7"/>
    <w:rsid w:val="003B3529"/>
    <w:rsid w:val="003B5A70"/>
    <w:rsid w:val="003B6396"/>
    <w:rsid w:val="003C1789"/>
    <w:rsid w:val="003D6A8A"/>
    <w:rsid w:val="003E3149"/>
    <w:rsid w:val="003F008A"/>
    <w:rsid w:val="003F3DCD"/>
    <w:rsid w:val="003F5A41"/>
    <w:rsid w:val="00400009"/>
    <w:rsid w:val="004024D9"/>
    <w:rsid w:val="004142D7"/>
    <w:rsid w:val="00420048"/>
    <w:rsid w:val="004219B3"/>
    <w:rsid w:val="0044129F"/>
    <w:rsid w:val="0044351B"/>
    <w:rsid w:val="004454B6"/>
    <w:rsid w:val="00454DDE"/>
    <w:rsid w:val="00460786"/>
    <w:rsid w:val="00474CC5"/>
    <w:rsid w:val="00475DDE"/>
    <w:rsid w:val="00480B4B"/>
    <w:rsid w:val="00483832"/>
    <w:rsid w:val="00485DC4"/>
    <w:rsid w:val="0049090A"/>
    <w:rsid w:val="004957D5"/>
    <w:rsid w:val="004B2959"/>
    <w:rsid w:val="004B3CD5"/>
    <w:rsid w:val="004B4412"/>
    <w:rsid w:val="004B6617"/>
    <w:rsid w:val="004C348C"/>
    <w:rsid w:val="004D312D"/>
    <w:rsid w:val="004D506D"/>
    <w:rsid w:val="004D55BA"/>
    <w:rsid w:val="004F3861"/>
    <w:rsid w:val="005018F9"/>
    <w:rsid w:val="005038DB"/>
    <w:rsid w:val="005052F2"/>
    <w:rsid w:val="005061E7"/>
    <w:rsid w:val="005215FD"/>
    <w:rsid w:val="0052379B"/>
    <w:rsid w:val="00530091"/>
    <w:rsid w:val="00530128"/>
    <w:rsid w:val="00532467"/>
    <w:rsid w:val="00544F0D"/>
    <w:rsid w:val="00547BA2"/>
    <w:rsid w:val="00547CCF"/>
    <w:rsid w:val="0055742B"/>
    <w:rsid w:val="005624EE"/>
    <w:rsid w:val="00562C0C"/>
    <w:rsid w:val="00564A4D"/>
    <w:rsid w:val="00565A20"/>
    <w:rsid w:val="00567053"/>
    <w:rsid w:val="00567DB7"/>
    <w:rsid w:val="00571B35"/>
    <w:rsid w:val="00571C9F"/>
    <w:rsid w:val="0057208F"/>
    <w:rsid w:val="00577A09"/>
    <w:rsid w:val="00580B78"/>
    <w:rsid w:val="00581715"/>
    <w:rsid w:val="00584D8F"/>
    <w:rsid w:val="00586DD2"/>
    <w:rsid w:val="00596D42"/>
    <w:rsid w:val="00597A5A"/>
    <w:rsid w:val="005A404D"/>
    <w:rsid w:val="005B1E3C"/>
    <w:rsid w:val="005B5C2D"/>
    <w:rsid w:val="005C0461"/>
    <w:rsid w:val="005C24AC"/>
    <w:rsid w:val="005C26CC"/>
    <w:rsid w:val="005D4A09"/>
    <w:rsid w:val="005D5D8A"/>
    <w:rsid w:val="005D6AFC"/>
    <w:rsid w:val="005D7E09"/>
    <w:rsid w:val="005E6C0E"/>
    <w:rsid w:val="005F19BA"/>
    <w:rsid w:val="00600EC0"/>
    <w:rsid w:val="00603C54"/>
    <w:rsid w:val="0060463D"/>
    <w:rsid w:val="0060505E"/>
    <w:rsid w:val="00612ADC"/>
    <w:rsid w:val="00614F1F"/>
    <w:rsid w:val="006150AE"/>
    <w:rsid w:val="00615C6B"/>
    <w:rsid w:val="0062508F"/>
    <w:rsid w:val="006274B3"/>
    <w:rsid w:val="00632AF1"/>
    <w:rsid w:val="00632D6D"/>
    <w:rsid w:val="00634102"/>
    <w:rsid w:val="00642C3E"/>
    <w:rsid w:val="00644E3A"/>
    <w:rsid w:val="00646025"/>
    <w:rsid w:val="006479A1"/>
    <w:rsid w:val="00654CF1"/>
    <w:rsid w:val="00663DAD"/>
    <w:rsid w:val="00676679"/>
    <w:rsid w:val="006808CA"/>
    <w:rsid w:val="00686D33"/>
    <w:rsid w:val="00690157"/>
    <w:rsid w:val="00691616"/>
    <w:rsid w:val="00692E2E"/>
    <w:rsid w:val="00693CA2"/>
    <w:rsid w:val="006A1A2B"/>
    <w:rsid w:val="006A1EC8"/>
    <w:rsid w:val="006A5E88"/>
    <w:rsid w:val="006B361C"/>
    <w:rsid w:val="006B4CF9"/>
    <w:rsid w:val="006B7AC8"/>
    <w:rsid w:val="006C1317"/>
    <w:rsid w:val="006C2E1D"/>
    <w:rsid w:val="006C588D"/>
    <w:rsid w:val="006D40F3"/>
    <w:rsid w:val="006D550F"/>
    <w:rsid w:val="006D75F6"/>
    <w:rsid w:val="006D761B"/>
    <w:rsid w:val="006D77F3"/>
    <w:rsid w:val="006F615F"/>
    <w:rsid w:val="006F6DEB"/>
    <w:rsid w:val="00701CAB"/>
    <w:rsid w:val="0070632B"/>
    <w:rsid w:val="00707563"/>
    <w:rsid w:val="007159D7"/>
    <w:rsid w:val="00723074"/>
    <w:rsid w:val="0072348C"/>
    <w:rsid w:val="007249B6"/>
    <w:rsid w:val="00724A37"/>
    <w:rsid w:val="007303C3"/>
    <w:rsid w:val="00734F03"/>
    <w:rsid w:val="00743223"/>
    <w:rsid w:val="00746E01"/>
    <w:rsid w:val="00763E5D"/>
    <w:rsid w:val="00767740"/>
    <w:rsid w:val="0077733B"/>
    <w:rsid w:val="00777EE6"/>
    <w:rsid w:val="00782EEA"/>
    <w:rsid w:val="007A1FD7"/>
    <w:rsid w:val="007A3192"/>
    <w:rsid w:val="007A502D"/>
    <w:rsid w:val="007A7BE6"/>
    <w:rsid w:val="007B2C72"/>
    <w:rsid w:val="007B6504"/>
    <w:rsid w:val="007B699F"/>
    <w:rsid w:val="007B6CB9"/>
    <w:rsid w:val="007C1C53"/>
    <w:rsid w:val="007C6DA7"/>
    <w:rsid w:val="007E26A9"/>
    <w:rsid w:val="007E4904"/>
    <w:rsid w:val="007E4A75"/>
    <w:rsid w:val="007E4CB5"/>
    <w:rsid w:val="007E559E"/>
    <w:rsid w:val="007E74E5"/>
    <w:rsid w:val="007F066B"/>
    <w:rsid w:val="008033C4"/>
    <w:rsid w:val="008041AD"/>
    <w:rsid w:val="0080425E"/>
    <w:rsid w:val="00806C88"/>
    <w:rsid w:val="0081034E"/>
    <w:rsid w:val="0082019F"/>
    <w:rsid w:val="00820DAD"/>
    <w:rsid w:val="00831331"/>
    <w:rsid w:val="008344F6"/>
    <w:rsid w:val="0083510F"/>
    <w:rsid w:val="00843980"/>
    <w:rsid w:val="00844F80"/>
    <w:rsid w:val="0084628F"/>
    <w:rsid w:val="00851209"/>
    <w:rsid w:val="00852C8E"/>
    <w:rsid w:val="00853240"/>
    <w:rsid w:val="008558C5"/>
    <w:rsid w:val="00856FA0"/>
    <w:rsid w:val="00866F6C"/>
    <w:rsid w:val="00867D17"/>
    <w:rsid w:val="0088007E"/>
    <w:rsid w:val="0088134F"/>
    <w:rsid w:val="008837AC"/>
    <w:rsid w:val="00884D6C"/>
    <w:rsid w:val="008852B3"/>
    <w:rsid w:val="008945B4"/>
    <w:rsid w:val="00895586"/>
    <w:rsid w:val="008A587D"/>
    <w:rsid w:val="008A5A1D"/>
    <w:rsid w:val="008B01E0"/>
    <w:rsid w:val="008B08E6"/>
    <w:rsid w:val="008B1C1B"/>
    <w:rsid w:val="008B4EEA"/>
    <w:rsid w:val="008B726D"/>
    <w:rsid w:val="008B79E4"/>
    <w:rsid w:val="008C5209"/>
    <w:rsid w:val="008C5486"/>
    <w:rsid w:val="008C5FAA"/>
    <w:rsid w:val="008D2431"/>
    <w:rsid w:val="008D45E3"/>
    <w:rsid w:val="008D7B3C"/>
    <w:rsid w:val="008D7F99"/>
    <w:rsid w:val="008E3847"/>
    <w:rsid w:val="008E7031"/>
    <w:rsid w:val="008F6FE8"/>
    <w:rsid w:val="00903DB5"/>
    <w:rsid w:val="00910BBA"/>
    <w:rsid w:val="0091775F"/>
    <w:rsid w:val="00922C95"/>
    <w:rsid w:val="009233EE"/>
    <w:rsid w:val="00923A21"/>
    <w:rsid w:val="009255B3"/>
    <w:rsid w:val="00925D12"/>
    <w:rsid w:val="00926885"/>
    <w:rsid w:val="009467E3"/>
    <w:rsid w:val="009514B0"/>
    <w:rsid w:val="00956584"/>
    <w:rsid w:val="00956F0B"/>
    <w:rsid w:val="0096385B"/>
    <w:rsid w:val="00963BED"/>
    <w:rsid w:val="00963F85"/>
    <w:rsid w:val="009661DE"/>
    <w:rsid w:val="00973980"/>
    <w:rsid w:val="00975CEF"/>
    <w:rsid w:val="00982246"/>
    <w:rsid w:val="00984225"/>
    <w:rsid w:val="009856B7"/>
    <w:rsid w:val="00985AE4"/>
    <w:rsid w:val="0098602B"/>
    <w:rsid w:val="00990ED8"/>
    <w:rsid w:val="00991B3B"/>
    <w:rsid w:val="0099455C"/>
    <w:rsid w:val="00995370"/>
    <w:rsid w:val="009962BA"/>
    <w:rsid w:val="009A0618"/>
    <w:rsid w:val="009A0FB2"/>
    <w:rsid w:val="009A3AE9"/>
    <w:rsid w:val="009B1B29"/>
    <w:rsid w:val="009B507F"/>
    <w:rsid w:val="009B74B0"/>
    <w:rsid w:val="009B796D"/>
    <w:rsid w:val="009C7EB9"/>
    <w:rsid w:val="009D3185"/>
    <w:rsid w:val="009D4414"/>
    <w:rsid w:val="009D6B46"/>
    <w:rsid w:val="009E304C"/>
    <w:rsid w:val="009E6D2B"/>
    <w:rsid w:val="009E7F04"/>
    <w:rsid w:val="009F0946"/>
    <w:rsid w:val="009F4940"/>
    <w:rsid w:val="00A1493E"/>
    <w:rsid w:val="00A1665B"/>
    <w:rsid w:val="00A22EB3"/>
    <w:rsid w:val="00A2477E"/>
    <w:rsid w:val="00A31A03"/>
    <w:rsid w:val="00A4478A"/>
    <w:rsid w:val="00A44852"/>
    <w:rsid w:val="00A508CC"/>
    <w:rsid w:val="00A53CC6"/>
    <w:rsid w:val="00A57D04"/>
    <w:rsid w:val="00A60A26"/>
    <w:rsid w:val="00A61598"/>
    <w:rsid w:val="00A61D81"/>
    <w:rsid w:val="00A624C1"/>
    <w:rsid w:val="00A64B37"/>
    <w:rsid w:val="00A675EF"/>
    <w:rsid w:val="00A71F5F"/>
    <w:rsid w:val="00A7241C"/>
    <w:rsid w:val="00A74ECB"/>
    <w:rsid w:val="00A7581D"/>
    <w:rsid w:val="00A75A7D"/>
    <w:rsid w:val="00A84F46"/>
    <w:rsid w:val="00A86D26"/>
    <w:rsid w:val="00A86F70"/>
    <w:rsid w:val="00A871F4"/>
    <w:rsid w:val="00A92840"/>
    <w:rsid w:val="00A95CC0"/>
    <w:rsid w:val="00AA227E"/>
    <w:rsid w:val="00AB36CB"/>
    <w:rsid w:val="00AC1B2C"/>
    <w:rsid w:val="00AC3264"/>
    <w:rsid w:val="00AC51F5"/>
    <w:rsid w:val="00AC6AE0"/>
    <w:rsid w:val="00AC6F01"/>
    <w:rsid w:val="00AD050D"/>
    <w:rsid w:val="00AD05A8"/>
    <w:rsid w:val="00AD26AA"/>
    <w:rsid w:val="00AE0FE2"/>
    <w:rsid w:val="00AE1694"/>
    <w:rsid w:val="00AE1BF1"/>
    <w:rsid w:val="00AE3231"/>
    <w:rsid w:val="00AE4373"/>
    <w:rsid w:val="00AE56C0"/>
    <w:rsid w:val="00AF0DD2"/>
    <w:rsid w:val="00B04D1B"/>
    <w:rsid w:val="00B10314"/>
    <w:rsid w:val="00B13048"/>
    <w:rsid w:val="00B13B41"/>
    <w:rsid w:val="00B15998"/>
    <w:rsid w:val="00B1716D"/>
    <w:rsid w:val="00B17482"/>
    <w:rsid w:val="00B17A1D"/>
    <w:rsid w:val="00B207A0"/>
    <w:rsid w:val="00B27728"/>
    <w:rsid w:val="00B32FD7"/>
    <w:rsid w:val="00B44060"/>
    <w:rsid w:val="00B47C2D"/>
    <w:rsid w:val="00B50BAE"/>
    <w:rsid w:val="00B50C79"/>
    <w:rsid w:val="00B56E03"/>
    <w:rsid w:val="00B60F5D"/>
    <w:rsid w:val="00B61E83"/>
    <w:rsid w:val="00B67E91"/>
    <w:rsid w:val="00B80787"/>
    <w:rsid w:val="00B8080B"/>
    <w:rsid w:val="00B8378D"/>
    <w:rsid w:val="00B87C39"/>
    <w:rsid w:val="00B91A95"/>
    <w:rsid w:val="00B9628B"/>
    <w:rsid w:val="00BA4665"/>
    <w:rsid w:val="00BB2FB2"/>
    <w:rsid w:val="00BB3304"/>
    <w:rsid w:val="00BD3446"/>
    <w:rsid w:val="00BD7474"/>
    <w:rsid w:val="00BE1F1B"/>
    <w:rsid w:val="00BE4609"/>
    <w:rsid w:val="00BE47B5"/>
    <w:rsid w:val="00BE4C99"/>
    <w:rsid w:val="00BE55C6"/>
    <w:rsid w:val="00BF14B6"/>
    <w:rsid w:val="00BF25D7"/>
    <w:rsid w:val="00C04DEF"/>
    <w:rsid w:val="00C058AB"/>
    <w:rsid w:val="00C06739"/>
    <w:rsid w:val="00C12FCF"/>
    <w:rsid w:val="00C257F1"/>
    <w:rsid w:val="00C35963"/>
    <w:rsid w:val="00C35F47"/>
    <w:rsid w:val="00C457E8"/>
    <w:rsid w:val="00C50BD2"/>
    <w:rsid w:val="00C50FC9"/>
    <w:rsid w:val="00C538A9"/>
    <w:rsid w:val="00C53B5A"/>
    <w:rsid w:val="00C54F5A"/>
    <w:rsid w:val="00C64DB3"/>
    <w:rsid w:val="00C64FC8"/>
    <w:rsid w:val="00C65185"/>
    <w:rsid w:val="00C755AD"/>
    <w:rsid w:val="00C83A4E"/>
    <w:rsid w:val="00C86679"/>
    <w:rsid w:val="00C920FF"/>
    <w:rsid w:val="00C9542C"/>
    <w:rsid w:val="00CA22ED"/>
    <w:rsid w:val="00CA3582"/>
    <w:rsid w:val="00CA6396"/>
    <w:rsid w:val="00CA7BDE"/>
    <w:rsid w:val="00CB666B"/>
    <w:rsid w:val="00CC3175"/>
    <w:rsid w:val="00CC6FE1"/>
    <w:rsid w:val="00CD3F48"/>
    <w:rsid w:val="00CD5755"/>
    <w:rsid w:val="00CD69CA"/>
    <w:rsid w:val="00CF0530"/>
    <w:rsid w:val="00CF4B39"/>
    <w:rsid w:val="00CF799E"/>
    <w:rsid w:val="00D01CF0"/>
    <w:rsid w:val="00D03B3C"/>
    <w:rsid w:val="00D0442A"/>
    <w:rsid w:val="00D10C2E"/>
    <w:rsid w:val="00D203E1"/>
    <w:rsid w:val="00D22586"/>
    <w:rsid w:val="00D241D2"/>
    <w:rsid w:val="00D308CC"/>
    <w:rsid w:val="00D36EA3"/>
    <w:rsid w:val="00D37A62"/>
    <w:rsid w:val="00D40355"/>
    <w:rsid w:val="00D47F69"/>
    <w:rsid w:val="00D535DE"/>
    <w:rsid w:val="00D544B8"/>
    <w:rsid w:val="00D61388"/>
    <w:rsid w:val="00D61A54"/>
    <w:rsid w:val="00D62CFD"/>
    <w:rsid w:val="00D64DEA"/>
    <w:rsid w:val="00D666D8"/>
    <w:rsid w:val="00D73912"/>
    <w:rsid w:val="00D80893"/>
    <w:rsid w:val="00D84002"/>
    <w:rsid w:val="00D87C84"/>
    <w:rsid w:val="00D921E5"/>
    <w:rsid w:val="00D92CF1"/>
    <w:rsid w:val="00D92D38"/>
    <w:rsid w:val="00D950F5"/>
    <w:rsid w:val="00DB0F93"/>
    <w:rsid w:val="00DB59BC"/>
    <w:rsid w:val="00DC079C"/>
    <w:rsid w:val="00DC129E"/>
    <w:rsid w:val="00DC4EDE"/>
    <w:rsid w:val="00DC542F"/>
    <w:rsid w:val="00DC62DD"/>
    <w:rsid w:val="00DC7981"/>
    <w:rsid w:val="00DC7BC3"/>
    <w:rsid w:val="00DD4E1C"/>
    <w:rsid w:val="00DE1007"/>
    <w:rsid w:val="00DE4EFA"/>
    <w:rsid w:val="00DE5520"/>
    <w:rsid w:val="00DE77D9"/>
    <w:rsid w:val="00DF0A3F"/>
    <w:rsid w:val="00DF45FF"/>
    <w:rsid w:val="00DF6158"/>
    <w:rsid w:val="00DF6FE8"/>
    <w:rsid w:val="00E011CC"/>
    <w:rsid w:val="00E04818"/>
    <w:rsid w:val="00E0502D"/>
    <w:rsid w:val="00E06442"/>
    <w:rsid w:val="00E07F9C"/>
    <w:rsid w:val="00E10BF4"/>
    <w:rsid w:val="00E1358F"/>
    <w:rsid w:val="00E20DD1"/>
    <w:rsid w:val="00E23993"/>
    <w:rsid w:val="00E25B8C"/>
    <w:rsid w:val="00E27BF7"/>
    <w:rsid w:val="00E36DC2"/>
    <w:rsid w:val="00E426EE"/>
    <w:rsid w:val="00E444C4"/>
    <w:rsid w:val="00E4674F"/>
    <w:rsid w:val="00E53F2F"/>
    <w:rsid w:val="00E6426C"/>
    <w:rsid w:val="00E65C85"/>
    <w:rsid w:val="00E66199"/>
    <w:rsid w:val="00E7033E"/>
    <w:rsid w:val="00E74328"/>
    <w:rsid w:val="00E747EC"/>
    <w:rsid w:val="00E755EC"/>
    <w:rsid w:val="00E7624D"/>
    <w:rsid w:val="00E766EE"/>
    <w:rsid w:val="00E77AF0"/>
    <w:rsid w:val="00E81A2A"/>
    <w:rsid w:val="00E87D83"/>
    <w:rsid w:val="00E91FE0"/>
    <w:rsid w:val="00E97A3E"/>
    <w:rsid w:val="00EA254D"/>
    <w:rsid w:val="00EA3D42"/>
    <w:rsid w:val="00EA6B1B"/>
    <w:rsid w:val="00EB1465"/>
    <w:rsid w:val="00EC754B"/>
    <w:rsid w:val="00ED46F2"/>
    <w:rsid w:val="00EE24AB"/>
    <w:rsid w:val="00EE28F3"/>
    <w:rsid w:val="00EE620E"/>
    <w:rsid w:val="00EF3320"/>
    <w:rsid w:val="00EF5110"/>
    <w:rsid w:val="00F07661"/>
    <w:rsid w:val="00F15882"/>
    <w:rsid w:val="00F20BD3"/>
    <w:rsid w:val="00F24562"/>
    <w:rsid w:val="00F26F71"/>
    <w:rsid w:val="00F27715"/>
    <w:rsid w:val="00F32C0D"/>
    <w:rsid w:val="00F3706C"/>
    <w:rsid w:val="00F373A5"/>
    <w:rsid w:val="00F41785"/>
    <w:rsid w:val="00F461D6"/>
    <w:rsid w:val="00F47559"/>
    <w:rsid w:val="00F5752F"/>
    <w:rsid w:val="00F60BE4"/>
    <w:rsid w:val="00F61B84"/>
    <w:rsid w:val="00F63E15"/>
    <w:rsid w:val="00F64C7B"/>
    <w:rsid w:val="00F676DD"/>
    <w:rsid w:val="00F701C2"/>
    <w:rsid w:val="00F75A26"/>
    <w:rsid w:val="00F76FA1"/>
    <w:rsid w:val="00F778EE"/>
    <w:rsid w:val="00F83FAD"/>
    <w:rsid w:val="00F904CD"/>
    <w:rsid w:val="00F91102"/>
    <w:rsid w:val="00F91DC6"/>
    <w:rsid w:val="00F952A0"/>
    <w:rsid w:val="00F960D1"/>
    <w:rsid w:val="00FA0D2F"/>
    <w:rsid w:val="00FA0D56"/>
    <w:rsid w:val="00FA3C7F"/>
    <w:rsid w:val="00FA42AD"/>
    <w:rsid w:val="00FA45FE"/>
    <w:rsid w:val="00FA64A4"/>
    <w:rsid w:val="00FB27DA"/>
    <w:rsid w:val="00FB52D7"/>
    <w:rsid w:val="00FB74E2"/>
    <w:rsid w:val="00FC2348"/>
    <w:rsid w:val="00FC590E"/>
    <w:rsid w:val="00FD5614"/>
    <w:rsid w:val="00FD565B"/>
    <w:rsid w:val="00FE0BE1"/>
    <w:rsid w:val="00FE1DE9"/>
    <w:rsid w:val="00FE39C2"/>
    <w:rsid w:val="00FE64AE"/>
    <w:rsid w:val="00FF4C08"/>
    <w:rsid w:val="00FF4CDB"/>
    <w:rsid w:val="00FF5E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C622"/>
  <w15:docId w15:val="{EEB9386D-C98D-4167-9D4E-AD757D45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CommentText">
    <w:name w:val="annotation text"/>
    <w:basedOn w:val="Normal"/>
    <w:link w:val="CommentTextChar"/>
    <w:uiPriority w:val="99"/>
    <w:unhideWhenUsed/>
    <w:rsid w:val="001B4A7B"/>
    <w:pPr>
      <w:spacing w:before="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B4A7B"/>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B4A7B"/>
    <w:rPr>
      <w:sz w:val="16"/>
      <w:szCs w:val="16"/>
    </w:rPr>
  </w:style>
  <w:style w:type="paragraph" w:customStyle="1" w:styleId="R2">
    <w:name w:val="R2"/>
    <w:aliases w:val="(2)"/>
    <w:basedOn w:val="Normal"/>
    <w:rsid w:val="00CC3175"/>
    <w:pPr>
      <w:tabs>
        <w:tab w:val="right" w:pos="794"/>
      </w:tabs>
      <w:spacing w:before="18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R2"/>
    <w:rsid w:val="00CC3175"/>
    <w:pPr>
      <w:keepNext/>
      <w:spacing w:before="300"/>
      <w:ind w:left="964"/>
    </w:pPr>
    <w:rPr>
      <w:rFonts w:eastAsia="Times New Roman" w:cs="Times New Roman"/>
      <w:i/>
      <w:sz w:val="24"/>
      <w:szCs w:val="24"/>
    </w:rPr>
  </w:style>
  <w:style w:type="paragraph" w:customStyle="1" w:styleId="P1">
    <w:name w:val="P1"/>
    <w:aliases w:val="(a)"/>
    <w:basedOn w:val="Normal"/>
    <w:rsid w:val="00CC3175"/>
    <w:pPr>
      <w:tabs>
        <w:tab w:val="right" w:pos="1191"/>
      </w:tabs>
      <w:spacing w:before="60" w:line="260" w:lineRule="exact"/>
      <w:ind w:left="1418" w:hanging="1418"/>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34102"/>
    <w:pPr>
      <w:spacing w:before="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34102"/>
    <w:rPr>
      <w:rFonts w:ascii="Arial" w:eastAsia="Times New Roman" w:hAnsi="Arial" w:cs="Times New Roman"/>
      <w:b/>
      <w:bCs/>
      <w:sz w:val="20"/>
      <w:szCs w:val="20"/>
      <w:lang w:eastAsia="en-AU"/>
    </w:rPr>
  </w:style>
  <w:style w:type="paragraph" w:customStyle="1" w:styleId="Definition">
    <w:name w:val="Definition"/>
    <w:aliases w:val="dd"/>
    <w:basedOn w:val="Normal"/>
    <w:rsid w:val="00567DB7"/>
    <w:pPr>
      <w:spacing w:before="180"/>
      <w:ind w:left="1134"/>
    </w:pPr>
    <w:rPr>
      <w:rFonts w:ascii="Times New Roman" w:eastAsia="Times New Roman" w:hAnsi="Times New Roman" w:cs="Times New Roman"/>
      <w:szCs w:val="20"/>
      <w:lang w:eastAsia="en-AU"/>
    </w:rPr>
  </w:style>
  <w:style w:type="character" w:customStyle="1" w:styleId="legsubtitle1">
    <w:name w:val="legsubtitle1"/>
    <w:basedOn w:val="DefaultParagraphFont"/>
    <w:rsid w:val="000F7A89"/>
    <w:rPr>
      <w:b/>
      <w:bCs/>
    </w:rPr>
  </w:style>
  <w:style w:type="paragraph" w:customStyle="1" w:styleId="Default">
    <w:name w:val="Default"/>
    <w:rsid w:val="00D666D8"/>
    <w:pPr>
      <w:autoSpaceDE w:val="0"/>
      <w:autoSpaceDN w:val="0"/>
      <w:adjustRightInd w:val="0"/>
      <w:spacing w:before="0"/>
    </w:pPr>
    <w:rPr>
      <w:rFonts w:ascii="Lucida Fax" w:hAnsi="Lucida Fax" w:cs="Lucida Fax"/>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07711">
      <w:bodyDiv w:val="1"/>
      <w:marLeft w:val="0"/>
      <w:marRight w:val="0"/>
      <w:marTop w:val="0"/>
      <w:marBottom w:val="0"/>
      <w:divBdr>
        <w:top w:val="none" w:sz="0" w:space="0" w:color="auto"/>
        <w:left w:val="none" w:sz="0" w:space="0" w:color="auto"/>
        <w:bottom w:val="none" w:sz="0" w:space="0" w:color="auto"/>
        <w:right w:val="none" w:sz="0" w:space="0" w:color="auto"/>
      </w:divBdr>
    </w:div>
    <w:div w:id="329531737">
      <w:bodyDiv w:val="1"/>
      <w:marLeft w:val="0"/>
      <w:marRight w:val="0"/>
      <w:marTop w:val="0"/>
      <w:marBottom w:val="0"/>
      <w:divBdr>
        <w:top w:val="none" w:sz="0" w:space="0" w:color="auto"/>
        <w:left w:val="none" w:sz="0" w:space="0" w:color="auto"/>
        <w:bottom w:val="none" w:sz="0" w:space="0" w:color="auto"/>
        <w:right w:val="none" w:sz="0" w:space="0" w:color="auto"/>
      </w:divBdr>
    </w:div>
    <w:div w:id="487207939">
      <w:bodyDiv w:val="1"/>
      <w:marLeft w:val="0"/>
      <w:marRight w:val="0"/>
      <w:marTop w:val="0"/>
      <w:marBottom w:val="0"/>
      <w:divBdr>
        <w:top w:val="none" w:sz="0" w:space="0" w:color="auto"/>
        <w:left w:val="none" w:sz="0" w:space="0" w:color="auto"/>
        <w:bottom w:val="none" w:sz="0" w:space="0" w:color="auto"/>
        <w:right w:val="none" w:sz="0" w:space="0" w:color="auto"/>
      </w:divBdr>
    </w:div>
    <w:div w:id="88725595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8998188">
      <w:bodyDiv w:val="1"/>
      <w:marLeft w:val="0"/>
      <w:marRight w:val="0"/>
      <w:marTop w:val="0"/>
      <w:marBottom w:val="0"/>
      <w:divBdr>
        <w:top w:val="none" w:sz="0" w:space="0" w:color="auto"/>
        <w:left w:val="none" w:sz="0" w:space="0" w:color="auto"/>
        <w:bottom w:val="none" w:sz="0" w:space="0" w:color="auto"/>
        <w:right w:val="none" w:sz="0" w:space="0" w:color="auto"/>
      </w:divBdr>
      <w:divsChild>
        <w:div w:id="1436636625">
          <w:marLeft w:val="0"/>
          <w:marRight w:val="0"/>
          <w:marTop w:val="0"/>
          <w:marBottom w:val="0"/>
          <w:divBdr>
            <w:top w:val="none" w:sz="0" w:space="0" w:color="auto"/>
            <w:left w:val="none" w:sz="0" w:space="0" w:color="auto"/>
            <w:bottom w:val="none" w:sz="0" w:space="0" w:color="auto"/>
            <w:right w:val="none" w:sz="0" w:space="0" w:color="auto"/>
          </w:divBdr>
          <w:divsChild>
            <w:div w:id="418333503">
              <w:marLeft w:val="0"/>
              <w:marRight w:val="0"/>
              <w:marTop w:val="0"/>
              <w:marBottom w:val="0"/>
              <w:divBdr>
                <w:top w:val="none" w:sz="0" w:space="0" w:color="auto"/>
                <w:left w:val="none" w:sz="0" w:space="0" w:color="auto"/>
                <w:bottom w:val="none" w:sz="0" w:space="0" w:color="auto"/>
                <w:right w:val="none" w:sz="0" w:space="0" w:color="auto"/>
              </w:divBdr>
              <w:divsChild>
                <w:div w:id="779836960">
                  <w:marLeft w:val="0"/>
                  <w:marRight w:val="0"/>
                  <w:marTop w:val="0"/>
                  <w:marBottom w:val="0"/>
                  <w:divBdr>
                    <w:top w:val="none" w:sz="0" w:space="0" w:color="auto"/>
                    <w:left w:val="none" w:sz="0" w:space="0" w:color="auto"/>
                    <w:bottom w:val="none" w:sz="0" w:space="0" w:color="auto"/>
                    <w:right w:val="none" w:sz="0" w:space="0" w:color="auto"/>
                  </w:divBdr>
                  <w:divsChild>
                    <w:div w:id="1120685753">
                      <w:marLeft w:val="0"/>
                      <w:marRight w:val="0"/>
                      <w:marTop w:val="0"/>
                      <w:marBottom w:val="0"/>
                      <w:divBdr>
                        <w:top w:val="none" w:sz="0" w:space="0" w:color="auto"/>
                        <w:left w:val="none" w:sz="0" w:space="0" w:color="auto"/>
                        <w:bottom w:val="none" w:sz="0" w:space="0" w:color="auto"/>
                        <w:right w:val="none" w:sz="0" w:space="0" w:color="auto"/>
                      </w:divBdr>
                      <w:divsChild>
                        <w:div w:id="494301247">
                          <w:marLeft w:val="0"/>
                          <w:marRight w:val="0"/>
                          <w:marTop w:val="0"/>
                          <w:marBottom w:val="0"/>
                          <w:divBdr>
                            <w:top w:val="none" w:sz="0" w:space="0" w:color="auto"/>
                            <w:left w:val="none" w:sz="0" w:space="0" w:color="auto"/>
                            <w:bottom w:val="none" w:sz="0" w:space="0" w:color="auto"/>
                            <w:right w:val="none" w:sz="0" w:space="0" w:color="auto"/>
                          </w:divBdr>
                          <w:divsChild>
                            <w:div w:id="1390615818">
                              <w:marLeft w:val="0"/>
                              <w:marRight w:val="0"/>
                              <w:marTop w:val="0"/>
                              <w:marBottom w:val="0"/>
                              <w:divBdr>
                                <w:top w:val="none" w:sz="0" w:space="0" w:color="auto"/>
                                <w:left w:val="none" w:sz="0" w:space="0" w:color="auto"/>
                                <w:bottom w:val="none" w:sz="0" w:space="0" w:color="auto"/>
                                <w:right w:val="none" w:sz="0" w:space="0" w:color="auto"/>
                              </w:divBdr>
                              <w:divsChild>
                                <w:div w:id="1693847802">
                                  <w:marLeft w:val="-225"/>
                                  <w:marRight w:val="-225"/>
                                  <w:marTop w:val="0"/>
                                  <w:marBottom w:val="0"/>
                                  <w:divBdr>
                                    <w:top w:val="none" w:sz="0" w:space="0" w:color="auto"/>
                                    <w:left w:val="none" w:sz="0" w:space="0" w:color="auto"/>
                                    <w:bottom w:val="none" w:sz="0" w:space="0" w:color="auto"/>
                                    <w:right w:val="none" w:sz="0" w:space="0" w:color="auto"/>
                                  </w:divBdr>
                                  <w:divsChild>
                                    <w:div w:id="1679115882">
                                      <w:marLeft w:val="0"/>
                                      <w:marRight w:val="0"/>
                                      <w:marTop w:val="0"/>
                                      <w:marBottom w:val="0"/>
                                      <w:divBdr>
                                        <w:top w:val="none" w:sz="0" w:space="0" w:color="auto"/>
                                        <w:left w:val="none" w:sz="0" w:space="0" w:color="auto"/>
                                        <w:bottom w:val="none" w:sz="0" w:space="0" w:color="auto"/>
                                        <w:right w:val="none" w:sz="0" w:space="0" w:color="auto"/>
                                      </w:divBdr>
                                      <w:divsChild>
                                        <w:div w:id="745230508">
                                          <w:marLeft w:val="0"/>
                                          <w:marRight w:val="0"/>
                                          <w:marTop w:val="0"/>
                                          <w:marBottom w:val="0"/>
                                          <w:divBdr>
                                            <w:top w:val="none" w:sz="0" w:space="0" w:color="auto"/>
                                            <w:left w:val="none" w:sz="0" w:space="0" w:color="auto"/>
                                            <w:bottom w:val="none" w:sz="0" w:space="0" w:color="auto"/>
                                            <w:right w:val="none" w:sz="0" w:space="0" w:color="auto"/>
                                          </w:divBdr>
                                          <w:divsChild>
                                            <w:div w:id="1723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9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techstreet.com" TargetMode="External"/><Relationship Id="rId4" Type="http://schemas.openxmlformats.org/officeDocument/2006/relationships/styles" Target="styles.xml"/><Relationship Id="rId9" Type="http://schemas.openxmlformats.org/officeDocument/2006/relationships/hyperlink" Target="https://www.saiglobal.co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0CBF3D-F36C-4571-8382-363DFC5B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Charlotte Marshall</dc:creator>
  <cp:lastModifiedBy>Ip Hee Wai, Maureen</cp:lastModifiedBy>
  <cp:revision>2</cp:revision>
  <cp:lastPrinted>2020-01-07T23:19:00Z</cp:lastPrinted>
  <dcterms:created xsi:type="dcterms:W3CDTF">2021-12-10T03:38:00Z</dcterms:created>
  <dcterms:modified xsi:type="dcterms:W3CDTF">2021-12-10T03:38:00Z</dcterms:modified>
</cp:coreProperties>
</file>