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A3ACD" w14:textId="77777777" w:rsidR="00FF6E25" w:rsidRDefault="00FF6E25" w:rsidP="00FF6E25">
      <w:pPr>
        <w:jc w:val="center"/>
        <w:rPr>
          <w:rFonts w:asciiTheme="minorHAnsi" w:hAnsiTheme="minorHAnsi" w:cstheme="minorHAnsi"/>
          <w:b/>
          <w:szCs w:val="24"/>
          <w:highlight w:val="yellow"/>
          <w:u w:val="single"/>
        </w:rPr>
      </w:pPr>
      <w:r w:rsidRPr="00FB518B">
        <w:rPr>
          <w:rFonts w:asciiTheme="minorHAnsi" w:hAnsiTheme="minorHAnsi" w:cstheme="minorHAnsi"/>
          <w:b/>
          <w:szCs w:val="24"/>
          <w:u w:val="single"/>
        </w:rPr>
        <w:t>EXPLANATORY STATEMENT</w:t>
      </w:r>
    </w:p>
    <w:p w14:paraId="145EC655" w14:textId="39ECF9E8" w:rsidR="0088497A" w:rsidRPr="0088497A" w:rsidRDefault="0088497A" w:rsidP="00FF6E25">
      <w:pPr>
        <w:jc w:val="center"/>
        <w:rPr>
          <w:rFonts w:asciiTheme="minorHAnsi" w:hAnsiTheme="minorHAnsi" w:cstheme="minorHAnsi"/>
          <w:szCs w:val="24"/>
          <w:highlight w:val="yellow"/>
          <w:u w:val="single"/>
        </w:rPr>
      </w:pPr>
      <w:r w:rsidRPr="0088497A">
        <w:rPr>
          <w:rFonts w:asciiTheme="minorHAnsi" w:hAnsiTheme="minorHAnsi" w:cstheme="minorHAnsi"/>
          <w:szCs w:val="24"/>
          <w:u w:val="single"/>
        </w:rPr>
        <w:t>Issued by the authority of</w:t>
      </w:r>
      <w:r w:rsidR="00FB518B">
        <w:rPr>
          <w:rFonts w:asciiTheme="minorHAnsi" w:hAnsiTheme="minorHAnsi" w:cstheme="minorHAnsi"/>
          <w:szCs w:val="24"/>
          <w:u w:val="single"/>
        </w:rPr>
        <w:t xml:space="preserve"> the </w:t>
      </w:r>
      <w:r w:rsidR="00374840" w:rsidRPr="00374840">
        <w:rPr>
          <w:rFonts w:asciiTheme="minorHAnsi" w:hAnsiTheme="minorHAnsi" w:cstheme="minorHAnsi"/>
          <w:szCs w:val="24"/>
          <w:u w:val="single"/>
        </w:rPr>
        <w:t>Minister for Employment, Workforce, Skills, Small and Family Business</w:t>
      </w:r>
    </w:p>
    <w:p w14:paraId="12EB6806" w14:textId="5C1F5311" w:rsidR="00455C2A" w:rsidRPr="0088497A" w:rsidRDefault="00FB518B" w:rsidP="00FF6E25">
      <w:pPr>
        <w:jc w:val="center"/>
        <w:rPr>
          <w:rFonts w:asciiTheme="minorHAnsi" w:hAnsiTheme="minorHAnsi" w:cstheme="minorHAnsi"/>
          <w:b/>
          <w:i/>
          <w:szCs w:val="24"/>
          <w:highlight w:val="yellow"/>
        </w:rPr>
      </w:pPr>
      <w:r w:rsidRPr="00FB518B">
        <w:rPr>
          <w:rFonts w:asciiTheme="minorHAnsi" w:hAnsiTheme="minorHAnsi" w:cstheme="minorHAnsi"/>
          <w:b/>
          <w:i/>
          <w:szCs w:val="24"/>
        </w:rPr>
        <w:t>Education Services for Overseas Students (TPS Levies) Act 2012</w:t>
      </w:r>
    </w:p>
    <w:p w14:paraId="6C026A0C" w14:textId="288E94E8" w:rsidR="00503218" w:rsidRPr="0088497A" w:rsidRDefault="00FB518B" w:rsidP="00DA552F">
      <w:pPr>
        <w:jc w:val="center"/>
        <w:rPr>
          <w:rFonts w:asciiTheme="minorHAnsi" w:hAnsiTheme="minorHAnsi" w:cstheme="minorHAnsi"/>
          <w:b/>
          <w:i/>
          <w:szCs w:val="24"/>
        </w:rPr>
      </w:pPr>
      <w:r w:rsidRPr="00FB518B">
        <w:rPr>
          <w:rFonts w:asciiTheme="minorHAnsi" w:hAnsiTheme="minorHAnsi" w:cstheme="minorHAnsi"/>
          <w:b/>
          <w:i/>
          <w:szCs w:val="24"/>
        </w:rPr>
        <w:t>Education Services for Overseas Students (TPS Levies) (Administrative and Base Fees) Determination 2021</w:t>
      </w:r>
    </w:p>
    <w:p w14:paraId="33AB2D38" w14:textId="77777777" w:rsidR="00455C2A" w:rsidRDefault="00144950" w:rsidP="00F513EB">
      <w:pPr>
        <w:pStyle w:val="Heading2"/>
        <w:rPr>
          <w:rFonts w:asciiTheme="minorHAnsi" w:hAnsiTheme="minorHAnsi" w:cstheme="minorHAnsi"/>
          <w:color w:val="auto"/>
        </w:rPr>
      </w:pPr>
      <w:bookmarkStart w:id="0" w:name="_Toc23942238"/>
      <w:bookmarkStart w:id="1" w:name="_Toc34293358"/>
      <w:r>
        <w:rPr>
          <w:rFonts w:asciiTheme="minorHAnsi" w:hAnsiTheme="minorHAnsi" w:cstheme="minorHAnsi"/>
          <w:color w:val="auto"/>
        </w:rPr>
        <w:t>AUTHORITY</w:t>
      </w:r>
    </w:p>
    <w:p w14:paraId="1E2E92C3" w14:textId="6117891E" w:rsidR="00F0748D" w:rsidRPr="00F0748D" w:rsidRDefault="00F0748D" w:rsidP="00F0748D">
      <w:pPr>
        <w:pStyle w:val="Heading2"/>
        <w:spacing w:after="240"/>
        <w:rPr>
          <w:rFonts w:asciiTheme="minorHAnsi" w:hAnsiTheme="minorHAnsi" w:cstheme="minorHAnsi"/>
          <w:b w:val="0"/>
          <w:iCs/>
          <w:color w:val="auto"/>
        </w:rPr>
      </w:pPr>
      <w:r w:rsidRPr="00F0748D">
        <w:rPr>
          <w:rFonts w:asciiTheme="minorHAnsi" w:hAnsiTheme="minorHAnsi" w:cstheme="minorHAnsi"/>
          <w:b w:val="0"/>
          <w:iCs/>
          <w:color w:val="auto"/>
        </w:rPr>
        <w:t xml:space="preserve">Section 7A of the </w:t>
      </w:r>
      <w:r w:rsidRPr="00F0748D">
        <w:rPr>
          <w:rFonts w:asciiTheme="minorHAnsi" w:hAnsiTheme="minorHAnsi" w:cstheme="minorHAnsi"/>
          <w:b w:val="0"/>
          <w:i/>
          <w:color w:val="auto"/>
        </w:rPr>
        <w:t>Education Services for Overseas Students (TPS Levies) Act 2012</w:t>
      </w:r>
      <w:r w:rsidRPr="00F0748D">
        <w:rPr>
          <w:rFonts w:asciiTheme="minorHAnsi" w:hAnsiTheme="minorHAnsi" w:cstheme="minorHAnsi"/>
          <w:b w:val="0"/>
          <w:iCs/>
          <w:color w:val="auto"/>
        </w:rPr>
        <w:t xml:space="preserve"> (the Act)</w:t>
      </w:r>
      <w:r>
        <w:rPr>
          <w:rFonts w:asciiTheme="minorHAnsi" w:hAnsiTheme="minorHAnsi" w:cstheme="minorHAnsi"/>
          <w:b w:val="0"/>
          <w:iCs/>
          <w:color w:val="auto"/>
        </w:rPr>
        <w:t xml:space="preserve"> </w:t>
      </w:r>
      <w:r w:rsidRPr="00F0748D">
        <w:rPr>
          <w:rFonts w:asciiTheme="minorHAnsi" w:hAnsiTheme="minorHAnsi" w:cstheme="minorHAnsi"/>
          <w:b w:val="0"/>
          <w:iCs/>
          <w:color w:val="auto"/>
        </w:rPr>
        <w:t xml:space="preserve">allows the Minister to determine the administrative and base fee components of the </w:t>
      </w:r>
      <w:r>
        <w:rPr>
          <w:rFonts w:asciiTheme="minorHAnsi" w:hAnsiTheme="minorHAnsi" w:cstheme="minorHAnsi"/>
          <w:b w:val="0"/>
          <w:iCs/>
          <w:color w:val="auto"/>
        </w:rPr>
        <w:t xml:space="preserve">Tuition </w:t>
      </w:r>
      <w:r w:rsidRPr="00F0748D">
        <w:rPr>
          <w:rFonts w:asciiTheme="minorHAnsi" w:hAnsiTheme="minorHAnsi" w:cstheme="minorHAnsi"/>
          <w:b w:val="0"/>
          <w:iCs/>
          <w:color w:val="auto"/>
        </w:rPr>
        <w:t>P</w:t>
      </w:r>
      <w:r>
        <w:rPr>
          <w:rFonts w:asciiTheme="minorHAnsi" w:hAnsiTheme="minorHAnsi" w:cstheme="minorHAnsi"/>
          <w:b w:val="0"/>
          <w:iCs/>
          <w:color w:val="auto"/>
        </w:rPr>
        <w:t xml:space="preserve">rotection </w:t>
      </w:r>
      <w:r w:rsidRPr="00F0748D">
        <w:rPr>
          <w:rFonts w:asciiTheme="minorHAnsi" w:hAnsiTheme="minorHAnsi" w:cstheme="minorHAnsi"/>
          <w:b w:val="0"/>
          <w:iCs/>
          <w:color w:val="auto"/>
        </w:rPr>
        <w:t>S</w:t>
      </w:r>
      <w:r>
        <w:rPr>
          <w:rFonts w:asciiTheme="minorHAnsi" w:hAnsiTheme="minorHAnsi" w:cstheme="minorHAnsi"/>
          <w:b w:val="0"/>
          <w:iCs/>
          <w:color w:val="auto"/>
        </w:rPr>
        <w:t>ervice (TPS) </w:t>
      </w:r>
      <w:r w:rsidRPr="00F0748D">
        <w:rPr>
          <w:rFonts w:asciiTheme="minorHAnsi" w:hAnsiTheme="minorHAnsi" w:cstheme="minorHAnsi"/>
          <w:b w:val="0"/>
          <w:iCs/>
          <w:color w:val="auto"/>
        </w:rPr>
        <w:t xml:space="preserve">levy by legislative instrument. </w:t>
      </w:r>
    </w:p>
    <w:p w14:paraId="39C6B8C6" w14:textId="517CF75B" w:rsidR="00F0748D" w:rsidRPr="00F0748D" w:rsidRDefault="00F0748D" w:rsidP="00F0748D">
      <w:pPr>
        <w:pStyle w:val="Heading2"/>
        <w:spacing w:after="240"/>
        <w:rPr>
          <w:rFonts w:asciiTheme="minorHAnsi" w:hAnsiTheme="minorHAnsi" w:cstheme="minorHAnsi"/>
          <w:b w:val="0"/>
          <w:iCs/>
          <w:color w:val="auto"/>
        </w:rPr>
      </w:pPr>
      <w:r w:rsidRPr="00F0748D">
        <w:rPr>
          <w:rFonts w:asciiTheme="minorHAnsi" w:hAnsiTheme="minorHAnsi" w:cstheme="minorHAnsi"/>
          <w:b w:val="0"/>
          <w:iCs/>
          <w:color w:val="auto"/>
        </w:rPr>
        <w:t>The Minister may, by legislative instrument before 1 January 202</w:t>
      </w:r>
      <w:r>
        <w:rPr>
          <w:rFonts w:asciiTheme="minorHAnsi" w:hAnsiTheme="minorHAnsi" w:cstheme="minorHAnsi"/>
          <w:b w:val="0"/>
          <w:iCs/>
          <w:color w:val="auto"/>
        </w:rPr>
        <w:t>2</w:t>
      </w:r>
      <w:r w:rsidRPr="00F0748D">
        <w:rPr>
          <w:rFonts w:asciiTheme="minorHAnsi" w:hAnsiTheme="minorHAnsi" w:cstheme="minorHAnsi"/>
          <w:b w:val="0"/>
          <w:iCs/>
          <w:color w:val="auto"/>
        </w:rPr>
        <w:t>, determine amounts for the purposes of paragraphs 6(a), 6(b), 7(a) and (7(b) of the Act for the administrative and base fee components of the 202</w:t>
      </w:r>
      <w:r>
        <w:rPr>
          <w:rFonts w:asciiTheme="minorHAnsi" w:hAnsiTheme="minorHAnsi" w:cstheme="minorHAnsi"/>
          <w:b w:val="0"/>
          <w:iCs/>
          <w:color w:val="auto"/>
        </w:rPr>
        <w:t>2</w:t>
      </w:r>
      <w:r w:rsidRPr="00F0748D">
        <w:rPr>
          <w:rFonts w:asciiTheme="minorHAnsi" w:hAnsiTheme="minorHAnsi" w:cstheme="minorHAnsi"/>
          <w:b w:val="0"/>
          <w:iCs/>
          <w:color w:val="auto"/>
        </w:rPr>
        <w:t xml:space="preserve"> TPS levy (subsection 7A(2) of the Act). Under subsection</w:t>
      </w:r>
      <w:r>
        <w:rPr>
          <w:rFonts w:asciiTheme="minorHAnsi" w:hAnsiTheme="minorHAnsi" w:cstheme="minorHAnsi"/>
          <w:b w:val="0"/>
          <w:iCs/>
          <w:color w:val="auto"/>
        </w:rPr>
        <w:t> </w:t>
      </w:r>
      <w:r w:rsidRPr="00F0748D">
        <w:rPr>
          <w:rFonts w:asciiTheme="minorHAnsi" w:hAnsiTheme="minorHAnsi" w:cstheme="minorHAnsi"/>
          <w:b w:val="0"/>
          <w:iCs/>
          <w:color w:val="auto"/>
        </w:rPr>
        <w:t>7A(2) of the Act, the Minister may choose to make a</w:t>
      </w:r>
      <w:r>
        <w:rPr>
          <w:rFonts w:asciiTheme="minorHAnsi" w:hAnsiTheme="minorHAnsi" w:cstheme="minorHAnsi"/>
          <w:b w:val="0"/>
          <w:iCs/>
          <w:color w:val="auto"/>
        </w:rPr>
        <w:t xml:space="preserve"> new</w:t>
      </w:r>
      <w:r w:rsidRPr="00F0748D">
        <w:rPr>
          <w:rFonts w:asciiTheme="minorHAnsi" w:hAnsiTheme="minorHAnsi" w:cstheme="minorHAnsi"/>
          <w:b w:val="0"/>
          <w:iCs/>
          <w:color w:val="auto"/>
        </w:rPr>
        <w:t xml:space="preserve"> legislative instrument for following calendar years (i.e. for 202</w:t>
      </w:r>
      <w:r>
        <w:rPr>
          <w:rFonts w:asciiTheme="minorHAnsi" w:hAnsiTheme="minorHAnsi" w:cstheme="minorHAnsi"/>
          <w:b w:val="0"/>
          <w:iCs/>
          <w:color w:val="auto"/>
        </w:rPr>
        <w:t>3</w:t>
      </w:r>
      <w:r w:rsidRPr="00F0748D">
        <w:rPr>
          <w:rFonts w:asciiTheme="minorHAnsi" w:hAnsiTheme="minorHAnsi" w:cstheme="minorHAnsi"/>
          <w:b w:val="0"/>
          <w:iCs/>
          <w:color w:val="auto"/>
        </w:rPr>
        <w:t xml:space="preserve"> onwards).</w:t>
      </w:r>
    </w:p>
    <w:p w14:paraId="21987E81" w14:textId="69AC38D8" w:rsidR="00F0748D" w:rsidRPr="00F0748D" w:rsidRDefault="00F0748D" w:rsidP="00F0748D">
      <w:pPr>
        <w:pStyle w:val="Heading2"/>
        <w:spacing w:after="240"/>
        <w:rPr>
          <w:rFonts w:asciiTheme="minorHAnsi" w:hAnsiTheme="minorHAnsi" w:cstheme="minorHAnsi"/>
          <w:b w:val="0"/>
          <w:iCs/>
          <w:color w:val="auto"/>
        </w:rPr>
      </w:pPr>
      <w:r w:rsidRPr="00F0748D">
        <w:rPr>
          <w:rFonts w:asciiTheme="minorHAnsi" w:hAnsiTheme="minorHAnsi" w:cstheme="minorHAnsi"/>
          <w:b w:val="0"/>
          <w:iCs/>
          <w:color w:val="auto"/>
        </w:rPr>
        <w:t>However, if the Minister does not make a new instrument for the following calendar years, this Instrument will continue to apply but with annual indexation in accordance with section</w:t>
      </w:r>
      <w:r>
        <w:rPr>
          <w:rFonts w:asciiTheme="minorHAnsi" w:hAnsiTheme="minorHAnsi" w:cstheme="minorHAnsi"/>
          <w:b w:val="0"/>
          <w:iCs/>
          <w:color w:val="auto"/>
        </w:rPr>
        <w:t> </w:t>
      </w:r>
      <w:r w:rsidRPr="00F0748D">
        <w:rPr>
          <w:rFonts w:asciiTheme="minorHAnsi" w:hAnsiTheme="minorHAnsi" w:cstheme="minorHAnsi"/>
          <w:b w:val="0"/>
          <w:iCs/>
          <w:color w:val="auto"/>
        </w:rPr>
        <w:t>8 of the Act, until the Minister makes a new instrument.</w:t>
      </w:r>
    </w:p>
    <w:p w14:paraId="2F65A900" w14:textId="16E1D7DE" w:rsidR="00F0748D" w:rsidRDefault="00F0748D" w:rsidP="00F0748D">
      <w:pPr>
        <w:pStyle w:val="Heading2"/>
        <w:spacing w:after="240"/>
        <w:rPr>
          <w:rFonts w:asciiTheme="minorHAnsi" w:hAnsiTheme="minorHAnsi" w:cstheme="minorHAnsi"/>
          <w:b w:val="0"/>
          <w:iCs/>
          <w:color w:val="auto"/>
        </w:rPr>
      </w:pPr>
      <w:r w:rsidRPr="00F0748D">
        <w:rPr>
          <w:rFonts w:asciiTheme="minorHAnsi" w:hAnsiTheme="minorHAnsi" w:cstheme="minorHAnsi"/>
          <w:b w:val="0"/>
          <w:iCs/>
          <w:color w:val="auto"/>
        </w:rPr>
        <w:t xml:space="preserve">The Minister cannot exceed the ‘upper limits’ set out under subsection 7A(3) of the Act in determining the amounts for the administrative and base fee components of the TPS levy. The Minister must also have regard to the sustainability of the </w:t>
      </w:r>
      <w:r w:rsidR="00FC5DBA" w:rsidRPr="00FC5DBA">
        <w:rPr>
          <w:rFonts w:asciiTheme="minorHAnsi" w:hAnsiTheme="minorHAnsi" w:cstheme="minorHAnsi"/>
          <w:b w:val="0"/>
          <w:iCs/>
          <w:color w:val="auto"/>
        </w:rPr>
        <w:t>Overseas Student Tuition Fund (the Fund)</w:t>
      </w:r>
      <w:r w:rsidRPr="00F0748D">
        <w:rPr>
          <w:rFonts w:asciiTheme="minorHAnsi" w:hAnsiTheme="minorHAnsi" w:cstheme="minorHAnsi"/>
          <w:b w:val="0"/>
          <w:iCs/>
          <w:color w:val="auto"/>
        </w:rPr>
        <w:t xml:space="preserve">, and any other matter the Minister considers appropriate, in determining such amounts. </w:t>
      </w:r>
    </w:p>
    <w:p w14:paraId="03968E7A" w14:textId="71231F09" w:rsidR="007F360E" w:rsidRDefault="007F360E" w:rsidP="007F360E">
      <w:pPr>
        <w:rPr>
          <w:rFonts w:asciiTheme="minorHAnsi" w:eastAsiaTheme="majorEastAsia" w:hAnsiTheme="minorHAnsi" w:cstheme="minorHAnsi"/>
          <w:iCs/>
          <w:szCs w:val="26"/>
        </w:rPr>
      </w:pPr>
      <w:r w:rsidRPr="007F360E">
        <w:rPr>
          <w:rFonts w:asciiTheme="minorHAnsi" w:eastAsiaTheme="majorEastAsia" w:hAnsiTheme="minorHAnsi" w:cstheme="minorHAnsi"/>
          <w:iCs/>
          <w:szCs w:val="26"/>
        </w:rPr>
        <w:t xml:space="preserve">Section 12 of the Act permits the Minister, by legislative instrument, to exempt one or more classes of registered providers from paying </w:t>
      </w:r>
      <w:r>
        <w:rPr>
          <w:rFonts w:asciiTheme="minorHAnsi" w:eastAsiaTheme="majorEastAsia" w:hAnsiTheme="minorHAnsi" w:cstheme="minorHAnsi"/>
          <w:iCs/>
          <w:szCs w:val="26"/>
        </w:rPr>
        <w:t xml:space="preserve">the base fee </w:t>
      </w:r>
      <w:r w:rsidR="00207D7E" w:rsidRPr="00207D7E">
        <w:rPr>
          <w:rFonts w:asciiTheme="minorHAnsi" w:eastAsiaTheme="majorEastAsia" w:hAnsiTheme="minorHAnsi" w:cstheme="minorHAnsi"/>
          <w:iCs/>
          <w:szCs w:val="26"/>
        </w:rPr>
        <w:t>component (or paragraph 7(a) of the base fee component)</w:t>
      </w:r>
      <w:r w:rsidR="00207D7E">
        <w:rPr>
          <w:rFonts w:asciiTheme="minorHAnsi" w:eastAsiaTheme="majorEastAsia" w:hAnsiTheme="minorHAnsi" w:cstheme="minorHAnsi"/>
          <w:iCs/>
          <w:szCs w:val="26"/>
        </w:rPr>
        <w:t xml:space="preserve"> </w:t>
      </w:r>
      <w:r>
        <w:rPr>
          <w:rFonts w:asciiTheme="minorHAnsi" w:eastAsiaTheme="majorEastAsia" w:hAnsiTheme="minorHAnsi" w:cstheme="minorHAnsi"/>
          <w:iCs/>
          <w:szCs w:val="26"/>
        </w:rPr>
        <w:t>and risk rated premium</w:t>
      </w:r>
      <w:r w:rsidRPr="007F360E">
        <w:rPr>
          <w:rFonts w:asciiTheme="minorHAnsi" w:eastAsiaTheme="majorEastAsia" w:hAnsiTheme="minorHAnsi" w:cstheme="minorHAnsi"/>
          <w:iCs/>
          <w:szCs w:val="26"/>
        </w:rPr>
        <w:t xml:space="preserve"> component of the TPS Levy.</w:t>
      </w:r>
      <w:r>
        <w:rPr>
          <w:rFonts w:asciiTheme="minorHAnsi" w:eastAsiaTheme="majorEastAsia" w:hAnsiTheme="minorHAnsi" w:cstheme="minorHAnsi"/>
          <w:iCs/>
          <w:szCs w:val="26"/>
        </w:rPr>
        <w:t xml:space="preserve"> </w:t>
      </w:r>
    </w:p>
    <w:p w14:paraId="3370A10B" w14:textId="6B6A8FBB" w:rsidR="00F0748D" w:rsidRPr="007F360E" w:rsidRDefault="00F0748D" w:rsidP="007F360E">
      <w:pPr>
        <w:rPr>
          <w:rFonts w:asciiTheme="minorHAnsi" w:hAnsiTheme="minorHAnsi" w:cstheme="minorHAnsi"/>
          <w:iCs/>
        </w:rPr>
      </w:pPr>
      <w:r w:rsidRPr="007F360E">
        <w:rPr>
          <w:rFonts w:asciiTheme="minorHAnsi" w:hAnsiTheme="minorHAnsi" w:cstheme="minorHAnsi"/>
          <w:iCs/>
        </w:rPr>
        <w:t xml:space="preserve">Under subsection 33(3) of the </w:t>
      </w:r>
      <w:r w:rsidRPr="007F360E">
        <w:rPr>
          <w:rFonts w:asciiTheme="minorHAnsi" w:hAnsiTheme="minorHAnsi" w:cstheme="minorHAnsi"/>
          <w:i/>
        </w:rPr>
        <w:t>Acts Interpretation Act 1901</w:t>
      </w:r>
      <w:r w:rsidRPr="007F360E">
        <w:rPr>
          <w:rFonts w:asciiTheme="minorHAnsi" w:hAnsiTheme="minorHAnsi" w:cstheme="minorHAnsi"/>
          <w:iCs/>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The repeal of the </w:t>
      </w:r>
      <w:r w:rsidRPr="007F360E">
        <w:rPr>
          <w:rFonts w:asciiTheme="minorHAnsi" w:hAnsiTheme="minorHAnsi" w:cstheme="minorHAnsi"/>
          <w:i/>
        </w:rPr>
        <w:t xml:space="preserve">Education Services for Overseas Students (TPS Levies) (Administrative and Base Fees) Determination 2020 </w:t>
      </w:r>
      <w:r w:rsidR="007F360E" w:rsidRPr="007F360E">
        <w:rPr>
          <w:rFonts w:asciiTheme="minorHAnsi" w:hAnsiTheme="minorHAnsi" w:cstheme="minorHAnsi"/>
          <w:iCs/>
        </w:rPr>
        <w:t>(</w:t>
      </w:r>
      <w:r w:rsidR="0070533F" w:rsidRPr="0070533F">
        <w:rPr>
          <w:rFonts w:asciiTheme="minorHAnsi" w:hAnsiTheme="minorHAnsi" w:cstheme="minorHAnsi"/>
          <w:iCs/>
          <w:szCs w:val="24"/>
        </w:rPr>
        <w:t>F2020L01638</w:t>
      </w:r>
      <w:r w:rsidR="007F360E" w:rsidRPr="007F360E">
        <w:rPr>
          <w:rFonts w:asciiTheme="minorHAnsi" w:hAnsiTheme="minorHAnsi" w:cstheme="minorHAnsi"/>
          <w:iCs/>
        </w:rPr>
        <w:t xml:space="preserve">) </w:t>
      </w:r>
      <w:r w:rsidRPr="007F360E">
        <w:rPr>
          <w:rFonts w:asciiTheme="minorHAnsi" w:hAnsiTheme="minorHAnsi" w:cstheme="minorHAnsi"/>
          <w:iCs/>
        </w:rPr>
        <w:t>(the former instrument)</w:t>
      </w:r>
      <w:r w:rsidR="007F360E" w:rsidRPr="007F360E">
        <w:rPr>
          <w:rFonts w:asciiTheme="minorHAnsi" w:hAnsiTheme="minorHAnsi" w:cstheme="minorHAnsi"/>
          <w:iCs/>
        </w:rPr>
        <w:t xml:space="preserve"> and the </w:t>
      </w:r>
      <w:r w:rsidR="007F360E" w:rsidRPr="007F360E">
        <w:rPr>
          <w:rFonts w:asciiTheme="minorHAnsi" w:hAnsiTheme="minorHAnsi" w:cstheme="minorHAnsi"/>
          <w:i/>
        </w:rPr>
        <w:t>Education Services for Overseas Students (TPS Levies) Act 2012 (Levy exemptions) Determination 2012 (No. 1)</w:t>
      </w:r>
      <w:r w:rsidR="00353D3E">
        <w:rPr>
          <w:rFonts w:asciiTheme="minorHAnsi" w:hAnsiTheme="minorHAnsi" w:cstheme="minorHAnsi"/>
          <w:i/>
        </w:rPr>
        <w:t xml:space="preserve"> </w:t>
      </w:r>
      <w:r w:rsidR="00353D3E">
        <w:rPr>
          <w:rFonts w:asciiTheme="minorHAnsi" w:hAnsiTheme="minorHAnsi" w:cstheme="minorHAnsi"/>
          <w:iCs/>
        </w:rPr>
        <w:t>(</w:t>
      </w:r>
      <w:r w:rsidR="00353D3E" w:rsidRPr="00353D3E">
        <w:rPr>
          <w:rFonts w:asciiTheme="minorHAnsi" w:hAnsiTheme="minorHAnsi" w:cstheme="minorHAnsi"/>
          <w:iCs/>
        </w:rPr>
        <w:t>F2012L01382</w:t>
      </w:r>
      <w:r w:rsidR="00353D3E">
        <w:rPr>
          <w:rFonts w:asciiTheme="minorHAnsi" w:hAnsiTheme="minorHAnsi" w:cstheme="minorHAnsi"/>
          <w:iCs/>
        </w:rPr>
        <w:t>)</w:t>
      </w:r>
      <w:r w:rsidR="00353D3E" w:rsidRPr="00353D3E">
        <w:rPr>
          <w:rFonts w:asciiTheme="minorHAnsi" w:hAnsiTheme="minorHAnsi" w:cstheme="minorHAnsi"/>
          <w:iCs/>
        </w:rPr>
        <w:t xml:space="preserve"> </w:t>
      </w:r>
      <w:r w:rsidR="007F360E" w:rsidRPr="007F360E">
        <w:rPr>
          <w:rFonts w:asciiTheme="minorHAnsi" w:hAnsiTheme="minorHAnsi" w:cstheme="minorHAnsi"/>
          <w:iCs/>
        </w:rPr>
        <w:t>(the exemption instrument)</w:t>
      </w:r>
      <w:r w:rsidRPr="007F360E">
        <w:rPr>
          <w:rFonts w:asciiTheme="minorHAnsi" w:hAnsiTheme="minorHAnsi" w:cstheme="minorHAnsi"/>
          <w:iCs/>
        </w:rPr>
        <w:t xml:space="preserve"> in Schedule 1 to this instrument relies on this provision.</w:t>
      </w:r>
    </w:p>
    <w:bookmarkEnd w:id="0"/>
    <w:bookmarkEnd w:id="1"/>
    <w:p w14:paraId="56CDA376" w14:textId="77777777" w:rsidR="00DA552F" w:rsidRPr="008134D5" w:rsidRDefault="00144950" w:rsidP="00F513EB">
      <w:pPr>
        <w:pStyle w:val="Heading2"/>
        <w:rPr>
          <w:rFonts w:asciiTheme="minorHAnsi" w:hAnsiTheme="minorHAnsi" w:cstheme="minorHAnsi"/>
          <w:color w:val="auto"/>
        </w:rPr>
      </w:pPr>
      <w:r>
        <w:rPr>
          <w:rFonts w:asciiTheme="minorHAnsi" w:hAnsiTheme="minorHAnsi" w:cstheme="minorHAnsi"/>
          <w:color w:val="auto"/>
        </w:rPr>
        <w:lastRenderedPageBreak/>
        <w:t>PURPOSE AND OPERATION</w:t>
      </w:r>
    </w:p>
    <w:p w14:paraId="3D35B8B4" w14:textId="4F0CEEA6" w:rsidR="00F0748D" w:rsidRPr="00FE18E2" w:rsidRDefault="00F0748D" w:rsidP="00FE18E2">
      <w:pPr>
        <w:spacing w:before="120" w:after="120"/>
        <w:rPr>
          <w:rFonts w:asciiTheme="minorHAnsi" w:hAnsiTheme="minorHAnsi" w:cstheme="minorHAnsi"/>
          <w:szCs w:val="24"/>
        </w:rPr>
      </w:pPr>
      <w:r w:rsidRPr="00FE18E2">
        <w:rPr>
          <w:rFonts w:asciiTheme="minorHAnsi" w:hAnsiTheme="minorHAnsi" w:cstheme="minorHAnsi"/>
          <w:szCs w:val="24"/>
        </w:rPr>
        <w:t>The TPS arrangements, including the TPS levy, commenced on 1 July 2012 and are designed to establish a universal tuition protection framework</w:t>
      </w:r>
      <w:r w:rsidR="002F2492" w:rsidRPr="00FE18E2">
        <w:rPr>
          <w:rFonts w:asciiTheme="minorHAnsi" w:hAnsiTheme="minorHAnsi" w:cstheme="minorHAnsi"/>
          <w:szCs w:val="24"/>
        </w:rPr>
        <w:t xml:space="preserve"> in respect of overseas students</w:t>
      </w:r>
      <w:r w:rsidRPr="00FE18E2">
        <w:rPr>
          <w:rFonts w:asciiTheme="minorHAnsi" w:hAnsiTheme="minorHAnsi" w:cstheme="minorHAnsi"/>
          <w:szCs w:val="24"/>
        </w:rPr>
        <w:t xml:space="preserve">. This framework benefits overseas students affected by a provider default, by providing students with placement options or refunds where placement is not available. The arrangements are also designed to protect the considerable investment international students make in an Australian education, and to protect and enhance Australia’s reputation as a destination of choice for international students.  </w:t>
      </w:r>
    </w:p>
    <w:p w14:paraId="50FB9F17" w14:textId="77777777" w:rsidR="00F0748D" w:rsidRPr="00310B9F" w:rsidRDefault="00F0748D" w:rsidP="00F0748D">
      <w:pPr>
        <w:rPr>
          <w:rFonts w:asciiTheme="minorHAnsi" w:hAnsiTheme="minorHAnsi" w:cstheme="minorHAnsi"/>
        </w:rPr>
      </w:pPr>
      <w:r w:rsidRPr="00310B9F">
        <w:rPr>
          <w:rFonts w:asciiTheme="minorHAnsi" w:hAnsiTheme="minorHAnsi" w:cstheme="minorHAnsi"/>
        </w:rPr>
        <w:t>Under Part 2 of the</w:t>
      </w:r>
      <w:r w:rsidRPr="00310B9F">
        <w:rPr>
          <w:rFonts w:asciiTheme="minorHAnsi" w:hAnsiTheme="minorHAnsi" w:cstheme="minorHAnsi"/>
          <w:iCs/>
        </w:rPr>
        <w:t xml:space="preserve"> Act</w:t>
      </w:r>
      <w:r w:rsidRPr="00310B9F">
        <w:rPr>
          <w:rFonts w:asciiTheme="minorHAnsi" w:hAnsiTheme="minorHAnsi" w:cstheme="minorHAnsi"/>
        </w:rPr>
        <w:t xml:space="preserve">, all </w:t>
      </w:r>
      <w:r>
        <w:rPr>
          <w:rFonts w:asciiTheme="minorHAnsi" w:hAnsiTheme="minorHAnsi" w:cstheme="minorHAnsi"/>
        </w:rPr>
        <w:t xml:space="preserve">providers registered on the </w:t>
      </w:r>
      <w:r w:rsidRPr="00436A9A">
        <w:rPr>
          <w:rFonts w:asciiTheme="minorHAnsi" w:hAnsiTheme="minorHAnsi" w:cstheme="minorHAnsi"/>
        </w:rPr>
        <w:t>Commonwealth Register of Institutions and Courses for Overseas Students (CRICOS)</w:t>
      </w:r>
      <w:r>
        <w:rPr>
          <w:rFonts w:asciiTheme="minorHAnsi" w:hAnsiTheme="minorHAnsi" w:cstheme="minorHAnsi"/>
        </w:rPr>
        <w:t xml:space="preserve"> </w:t>
      </w:r>
      <w:r w:rsidRPr="00310B9F">
        <w:rPr>
          <w:rFonts w:asciiTheme="minorHAnsi" w:hAnsiTheme="minorHAnsi" w:cstheme="minorHAnsi"/>
        </w:rPr>
        <w:t>on 1</w:t>
      </w:r>
      <w:r>
        <w:rPr>
          <w:rFonts w:asciiTheme="minorHAnsi" w:hAnsiTheme="minorHAnsi" w:cstheme="minorHAnsi"/>
        </w:rPr>
        <w:t> </w:t>
      </w:r>
      <w:r w:rsidRPr="00310B9F">
        <w:rPr>
          <w:rFonts w:asciiTheme="minorHAnsi" w:hAnsiTheme="minorHAnsi" w:cstheme="minorHAnsi"/>
        </w:rPr>
        <w:t>January of a year are liable to pay a TPS levy for the year. The amount of the TPS levy payable is the sum of</w:t>
      </w:r>
      <w:r>
        <w:rPr>
          <w:rFonts w:asciiTheme="minorHAnsi" w:hAnsiTheme="minorHAnsi" w:cstheme="minorHAnsi"/>
        </w:rPr>
        <w:t xml:space="preserve"> a provider’s</w:t>
      </w:r>
      <w:r w:rsidRPr="00310B9F">
        <w:rPr>
          <w:rFonts w:asciiTheme="minorHAnsi" w:hAnsiTheme="minorHAnsi" w:cstheme="minorHAnsi"/>
        </w:rPr>
        <w:t>:</w:t>
      </w:r>
    </w:p>
    <w:p w14:paraId="60131D0E" w14:textId="77777777" w:rsidR="00F0748D" w:rsidRPr="00310B9F" w:rsidRDefault="00F0748D" w:rsidP="00202BF0">
      <w:pPr>
        <w:pStyle w:val="ListParagraph"/>
        <w:numPr>
          <w:ilvl w:val="0"/>
          <w:numId w:val="2"/>
        </w:numPr>
        <w:spacing w:after="0"/>
        <w:rPr>
          <w:rFonts w:asciiTheme="minorHAnsi" w:hAnsiTheme="minorHAnsi" w:cstheme="minorHAnsi"/>
        </w:rPr>
      </w:pPr>
      <w:r w:rsidRPr="00310B9F">
        <w:rPr>
          <w:rFonts w:asciiTheme="minorHAnsi" w:hAnsiTheme="minorHAnsi" w:cstheme="minorHAnsi"/>
        </w:rPr>
        <w:t>administrative fee component (section 6 of the</w:t>
      </w:r>
      <w:r w:rsidRPr="00310B9F">
        <w:rPr>
          <w:rFonts w:asciiTheme="minorHAnsi" w:hAnsiTheme="minorHAnsi" w:cstheme="minorHAnsi"/>
          <w:iCs/>
        </w:rPr>
        <w:t xml:space="preserve"> Act);</w:t>
      </w:r>
    </w:p>
    <w:p w14:paraId="584E8AE9" w14:textId="77777777" w:rsidR="00F0748D" w:rsidRPr="00310B9F" w:rsidRDefault="00F0748D" w:rsidP="00202BF0">
      <w:pPr>
        <w:pStyle w:val="ListParagraph"/>
        <w:numPr>
          <w:ilvl w:val="0"/>
          <w:numId w:val="2"/>
        </w:numPr>
        <w:spacing w:after="0"/>
        <w:rPr>
          <w:rFonts w:asciiTheme="minorHAnsi" w:hAnsiTheme="minorHAnsi" w:cstheme="minorHAnsi"/>
        </w:rPr>
      </w:pPr>
      <w:r w:rsidRPr="00310B9F">
        <w:rPr>
          <w:rFonts w:asciiTheme="minorHAnsi" w:hAnsiTheme="minorHAnsi" w:cstheme="minorHAnsi"/>
        </w:rPr>
        <w:t xml:space="preserve">base fee component (section 7 of the </w:t>
      </w:r>
      <w:r w:rsidRPr="00310B9F">
        <w:rPr>
          <w:rFonts w:asciiTheme="minorHAnsi" w:hAnsiTheme="minorHAnsi" w:cstheme="minorHAnsi"/>
          <w:iCs/>
        </w:rPr>
        <w:t>Act);</w:t>
      </w:r>
      <w:r w:rsidRPr="00310B9F">
        <w:rPr>
          <w:rFonts w:asciiTheme="minorHAnsi" w:hAnsiTheme="minorHAnsi" w:cstheme="minorHAnsi"/>
        </w:rPr>
        <w:t xml:space="preserve"> </w:t>
      </w:r>
    </w:p>
    <w:p w14:paraId="5833EAE7" w14:textId="77777777" w:rsidR="00F0748D" w:rsidRPr="00310B9F" w:rsidRDefault="00F0748D" w:rsidP="00202BF0">
      <w:pPr>
        <w:pStyle w:val="ListParagraph"/>
        <w:numPr>
          <w:ilvl w:val="0"/>
          <w:numId w:val="2"/>
        </w:numPr>
        <w:spacing w:after="0"/>
        <w:rPr>
          <w:rFonts w:asciiTheme="minorHAnsi" w:hAnsiTheme="minorHAnsi" w:cstheme="minorHAnsi"/>
        </w:rPr>
      </w:pPr>
      <w:r w:rsidRPr="00310B9F">
        <w:rPr>
          <w:rFonts w:asciiTheme="minorHAnsi" w:hAnsiTheme="minorHAnsi" w:cstheme="minorHAnsi"/>
        </w:rPr>
        <w:t>risk rated premium component (section</w:t>
      </w:r>
      <w:r>
        <w:rPr>
          <w:rFonts w:asciiTheme="minorHAnsi" w:hAnsiTheme="minorHAnsi" w:cstheme="minorHAnsi"/>
        </w:rPr>
        <w:t> </w:t>
      </w:r>
      <w:r w:rsidRPr="00310B9F">
        <w:rPr>
          <w:rFonts w:asciiTheme="minorHAnsi" w:hAnsiTheme="minorHAnsi" w:cstheme="minorHAnsi"/>
        </w:rPr>
        <w:t xml:space="preserve">9 of the </w:t>
      </w:r>
      <w:r w:rsidRPr="00310B9F">
        <w:rPr>
          <w:rFonts w:asciiTheme="minorHAnsi" w:hAnsiTheme="minorHAnsi" w:cstheme="minorHAnsi"/>
          <w:iCs/>
        </w:rPr>
        <w:t>Act);</w:t>
      </w:r>
      <w:r w:rsidRPr="00310B9F">
        <w:rPr>
          <w:rFonts w:asciiTheme="minorHAnsi" w:hAnsiTheme="minorHAnsi" w:cstheme="minorHAnsi"/>
        </w:rPr>
        <w:t xml:space="preserve"> and</w:t>
      </w:r>
    </w:p>
    <w:p w14:paraId="5AC78D16" w14:textId="77777777" w:rsidR="00F0748D" w:rsidRPr="00310B9F" w:rsidRDefault="00F0748D" w:rsidP="00202BF0">
      <w:pPr>
        <w:pStyle w:val="ListParagraph"/>
        <w:numPr>
          <w:ilvl w:val="0"/>
          <w:numId w:val="2"/>
        </w:numPr>
        <w:rPr>
          <w:rFonts w:asciiTheme="minorHAnsi" w:hAnsiTheme="minorHAnsi" w:cstheme="minorHAnsi"/>
        </w:rPr>
      </w:pPr>
      <w:r w:rsidRPr="00310B9F">
        <w:rPr>
          <w:rFonts w:asciiTheme="minorHAnsi" w:hAnsiTheme="minorHAnsi" w:cstheme="minorHAnsi"/>
        </w:rPr>
        <w:t xml:space="preserve">special tuition protection component (section 10 of the Act). </w:t>
      </w:r>
    </w:p>
    <w:p w14:paraId="1C276370" w14:textId="1AD7D955" w:rsidR="00F0748D" w:rsidRDefault="00F0748D" w:rsidP="00F0748D">
      <w:pPr>
        <w:spacing w:before="120" w:after="120"/>
        <w:rPr>
          <w:rFonts w:asciiTheme="minorHAnsi" w:hAnsiTheme="minorHAnsi" w:cstheme="minorHAnsi"/>
          <w:iCs/>
          <w:szCs w:val="24"/>
        </w:rPr>
      </w:pPr>
      <w:r w:rsidRPr="00F0748D">
        <w:rPr>
          <w:rFonts w:asciiTheme="minorHAnsi" w:hAnsiTheme="minorHAnsi" w:cstheme="minorHAnsi"/>
          <w:iCs/>
          <w:szCs w:val="24"/>
        </w:rPr>
        <w:t xml:space="preserve">The purpose of the </w:t>
      </w:r>
      <w:r w:rsidRPr="00F0748D">
        <w:rPr>
          <w:rFonts w:asciiTheme="minorHAnsi" w:hAnsiTheme="minorHAnsi" w:cstheme="minorHAnsi"/>
          <w:i/>
          <w:szCs w:val="24"/>
        </w:rPr>
        <w:t>Education Services for Overseas Students (TPS Levies) (Administrative and Base Fees) Determination 202</w:t>
      </w:r>
      <w:r>
        <w:rPr>
          <w:rFonts w:asciiTheme="minorHAnsi" w:hAnsiTheme="minorHAnsi" w:cstheme="minorHAnsi"/>
          <w:i/>
          <w:szCs w:val="24"/>
        </w:rPr>
        <w:t>1</w:t>
      </w:r>
      <w:r w:rsidRPr="00F0748D">
        <w:rPr>
          <w:rFonts w:asciiTheme="minorHAnsi" w:hAnsiTheme="minorHAnsi" w:cstheme="minorHAnsi"/>
          <w:iCs/>
          <w:szCs w:val="24"/>
        </w:rPr>
        <w:t xml:space="preserve"> (the Instrument) is to specify the dollar amounts payable by all non-exempt CRICOS registered providers for the purpose of working out the administrative and base fee components of the TPS levy under sections 6 and 7 of the</w:t>
      </w:r>
      <w:r>
        <w:rPr>
          <w:rFonts w:asciiTheme="minorHAnsi" w:hAnsiTheme="minorHAnsi" w:cstheme="minorHAnsi"/>
          <w:iCs/>
          <w:szCs w:val="24"/>
        </w:rPr>
        <w:t xml:space="preserve"> Act.</w:t>
      </w:r>
    </w:p>
    <w:p w14:paraId="26E90DDA" w14:textId="75B321B0" w:rsidR="00FB518B" w:rsidRPr="001119C6" w:rsidRDefault="00FB518B" w:rsidP="00FB518B">
      <w:pPr>
        <w:rPr>
          <w:rFonts w:asciiTheme="minorHAnsi" w:hAnsiTheme="minorHAnsi" w:cstheme="minorHAnsi"/>
        </w:rPr>
      </w:pPr>
      <w:r w:rsidRPr="001119C6">
        <w:rPr>
          <w:rFonts w:asciiTheme="minorHAnsi" w:hAnsiTheme="minorHAnsi" w:cstheme="minorHAnsi"/>
        </w:rPr>
        <w:t>In 20</w:t>
      </w:r>
      <w:r>
        <w:rPr>
          <w:rFonts w:asciiTheme="minorHAnsi" w:hAnsiTheme="minorHAnsi" w:cstheme="minorHAnsi"/>
        </w:rPr>
        <w:t>20</w:t>
      </w:r>
      <w:r w:rsidRPr="001119C6">
        <w:rPr>
          <w:rFonts w:asciiTheme="minorHAnsi" w:hAnsiTheme="minorHAnsi" w:cstheme="minorHAnsi"/>
        </w:rPr>
        <w:t xml:space="preserve">, the Minister made the </w:t>
      </w:r>
      <w:r>
        <w:rPr>
          <w:rFonts w:asciiTheme="minorHAnsi" w:hAnsiTheme="minorHAnsi" w:cstheme="minorHAnsi"/>
        </w:rPr>
        <w:t>former instrument</w:t>
      </w:r>
      <w:r w:rsidRPr="001119C6">
        <w:rPr>
          <w:rFonts w:asciiTheme="minorHAnsi" w:hAnsiTheme="minorHAnsi" w:cstheme="minorHAnsi"/>
        </w:rPr>
        <w:t xml:space="preserve"> under subsection 7A(1) of the Act which determined the amounts for the administrative and base fee components of the TPS levy for the calendar year beginning on 1 January 20</w:t>
      </w:r>
      <w:r>
        <w:rPr>
          <w:rFonts w:asciiTheme="minorHAnsi" w:hAnsiTheme="minorHAnsi" w:cstheme="minorHAnsi"/>
        </w:rPr>
        <w:t>21</w:t>
      </w:r>
      <w:r w:rsidRPr="001119C6">
        <w:rPr>
          <w:rFonts w:asciiTheme="minorHAnsi" w:hAnsiTheme="minorHAnsi" w:cstheme="minorHAnsi"/>
        </w:rPr>
        <w:t>.</w:t>
      </w:r>
      <w:r>
        <w:rPr>
          <w:rFonts w:asciiTheme="minorHAnsi" w:hAnsiTheme="minorHAnsi" w:cstheme="minorHAnsi"/>
        </w:rPr>
        <w:t xml:space="preserve"> The former instrument </w:t>
      </w:r>
      <w:r w:rsidRPr="00FB518B">
        <w:rPr>
          <w:rFonts w:asciiTheme="minorHAnsi" w:hAnsiTheme="minorHAnsi" w:cstheme="minorHAnsi"/>
        </w:rPr>
        <w:t>reduce</w:t>
      </w:r>
      <w:r>
        <w:rPr>
          <w:rFonts w:asciiTheme="minorHAnsi" w:hAnsiTheme="minorHAnsi" w:cstheme="minorHAnsi"/>
        </w:rPr>
        <w:t>d</w:t>
      </w:r>
      <w:r w:rsidRPr="00FB518B">
        <w:rPr>
          <w:rFonts w:asciiTheme="minorHAnsi" w:hAnsiTheme="minorHAnsi" w:cstheme="minorHAnsi"/>
        </w:rPr>
        <w:t xml:space="preserve"> the fixed fee and per enrolment components of the administrative and base fee components by 20</w:t>
      </w:r>
      <w:r>
        <w:rPr>
          <w:rFonts w:asciiTheme="minorHAnsi" w:hAnsiTheme="minorHAnsi" w:cstheme="minorHAnsi"/>
        </w:rPr>
        <w:t> </w:t>
      </w:r>
      <w:r w:rsidRPr="00FB518B">
        <w:rPr>
          <w:rFonts w:asciiTheme="minorHAnsi" w:hAnsiTheme="minorHAnsi" w:cstheme="minorHAnsi"/>
        </w:rPr>
        <w:t>per cent (compared to the fees collected in 2020).</w:t>
      </w:r>
    </w:p>
    <w:p w14:paraId="55C52BC0" w14:textId="77777777" w:rsidR="00FB518B" w:rsidRPr="001119C6" w:rsidRDefault="00FB518B" w:rsidP="00FB518B">
      <w:pPr>
        <w:rPr>
          <w:rFonts w:asciiTheme="minorHAnsi" w:hAnsiTheme="minorHAnsi" w:cstheme="minorHAnsi"/>
        </w:rPr>
      </w:pPr>
      <w:r w:rsidRPr="001119C6">
        <w:rPr>
          <w:rFonts w:asciiTheme="minorHAnsi" w:hAnsiTheme="minorHAnsi" w:cstheme="minorHAnsi"/>
        </w:rPr>
        <w:t xml:space="preserve">In recognition of the significant </w:t>
      </w:r>
      <w:r>
        <w:rPr>
          <w:rFonts w:asciiTheme="minorHAnsi" w:hAnsiTheme="minorHAnsi" w:cstheme="minorHAnsi"/>
        </w:rPr>
        <w:t xml:space="preserve">ongoing </w:t>
      </w:r>
      <w:r w:rsidRPr="001119C6">
        <w:rPr>
          <w:rFonts w:asciiTheme="minorHAnsi" w:hAnsiTheme="minorHAnsi" w:cstheme="minorHAnsi"/>
        </w:rPr>
        <w:t xml:space="preserve">impact of the COVID-19 pandemic on the sector, the Minister has agreed that the administrative and base fee components be </w:t>
      </w:r>
      <w:r>
        <w:rPr>
          <w:rFonts w:asciiTheme="minorHAnsi" w:hAnsiTheme="minorHAnsi" w:cstheme="minorHAnsi"/>
        </w:rPr>
        <w:t>further reduced</w:t>
      </w:r>
      <w:r w:rsidRPr="001119C6">
        <w:rPr>
          <w:rFonts w:asciiTheme="minorHAnsi" w:hAnsiTheme="minorHAnsi" w:cstheme="minorHAnsi"/>
        </w:rPr>
        <w:t xml:space="preserve"> to </w:t>
      </w:r>
      <w:r>
        <w:rPr>
          <w:rFonts w:asciiTheme="minorHAnsi" w:hAnsiTheme="minorHAnsi" w:cstheme="minorHAnsi"/>
        </w:rPr>
        <w:t>effectively waive</w:t>
      </w:r>
      <w:r w:rsidRPr="001119C6">
        <w:rPr>
          <w:rFonts w:asciiTheme="minorHAnsi" w:hAnsiTheme="minorHAnsi" w:cstheme="minorHAnsi"/>
        </w:rPr>
        <w:t xml:space="preserve"> the </w:t>
      </w:r>
      <w:r w:rsidRPr="002B1E0F">
        <w:rPr>
          <w:rFonts w:asciiTheme="minorHAnsi" w:hAnsiTheme="minorHAnsi" w:cstheme="minorHAnsi"/>
        </w:rPr>
        <w:t>collection amount for the 2022 TPS levy. The Australian Government Actuary (AGA) has advised the balance of the Fund is likely to remain within the Fund target range of $35 million to $60 million. This recommendation has been endorsed by the TPS Advisory Board.</w:t>
      </w:r>
    </w:p>
    <w:p w14:paraId="73FF5EE9" w14:textId="74206514" w:rsidR="00FB518B" w:rsidRPr="00FB518B" w:rsidRDefault="00FB518B" w:rsidP="00F0748D">
      <w:pPr>
        <w:rPr>
          <w:rFonts w:asciiTheme="minorHAnsi" w:hAnsiTheme="minorHAnsi" w:cstheme="minorHAnsi"/>
        </w:rPr>
      </w:pPr>
      <w:r w:rsidRPr="001119C6">
        <w:rPr>
          <w:rFonts w:asciiTheme="minorHAnsi" w:hAnsiTheme="minorHAnsi" w:cstheme="minorHAnsi"/>
        </w:rPr>
        <w:t xml:space="preserve">The Minister is making a determination to </w:t>
      </w:r>
      <w:r>
        <w:rPr>
          <w:rFonts w:asciiTheme="minorHAnsi" w:hAnsiTheme="minorHAnsi" w:cstheme="minorHAnsi"/>
        </w:rPr>
        <w:t>set</w:t>
      </w:r>
      <w:r w:rsidRPr="001119C6">
        <w:rPr>
          <w:rFonts w:asciiTheme="minorHAnsi" w:hAnsiTheme="minorHAnsi" w:cstheme="minorHAnsi"/>
        </w:rPr>
        <w:t xml:space="preserve"> the fixed fee and per enrolment components of the administrative and base fee components </w:t>
      </w:r>
      <w:r>
        <w:rPr>
          <w:rFonts w:asciiTheme="minorHAnsi" w:hAnsiTheme="minorHAnsi" w:cstheme="minorHAnsi"/>
        </w:rPr>
        <w:t>to zero</w:t>
      </w:r>
      <w:r w:rsidRPr="001119C6">
        <w:rPr>
          <w:rFonts w:asciiTheme="minorHAnsi" w:hAnsiTheme="minorHAnsi" w:cstheme="minorHAnsi"/>
        </w:rPr>
        <w:t>. It is anticipated that this reduction will be a one-off reduction to the Fund and the Minister will reconsider the fee settings for the 202</w:t>
      </w:r>
      <w:r>
        <w:rPr>
          <w:rFonts w:asciiTheme="minorHAnsi" w:hAnsiTheme="minorHAnsi" w:cstheme="minorHAnsi"/>
        </w:rPr>
        <w:t>3</w:t>
      </w:r>
      <w:r w:rsidRPr="001119C6">
        <w:rPr>
          <w:rFonts w:asciiTheme="minorHAnsi" w:hAnsiTheme="minorHAnsi" w:cstheme="minorHAnsi"/>
        </w:rPr>
        <w:t xml:space="preserve"> TPS levy collection next year.</w:t>
      </w:r>
    </w:p>
    <w:p w14:paraId="2B6E43CC" w14:textId="2510071C" w:rsidR="00F0748D" w:rsidRPr="00436A9A" w:rsidRDefault="00F0748D" w:rsidP="00F0748D">
      <w:pPr>
        <w:rPr>
          <w:rFonts w:asciiTheme="minorHAnsi" w:hAnsiTheme="minorHAnsi" w:cstheme="minorHAnsi"/>
        </w:rPr>
      </w:pPr>
      <w:r>
        <w:rPr>
          <w:rFonts w:asciiTheme="minorHAnsi" w:hAnsiTheme="minorHAnsi" w:cstheme="minorHAnsi"/>
        </w:rPr>
        <w:t xml:space="preserve">The </w:t>
      </w:r>
      <w:r w:rsidRPr="00436A9A">
        <w:rPr>
          <w:rFonts w:asciiTheme="minorHAnsi" w:hAnsiTheme="minorHAnsi" w:cstheme="minorHAnsi"/>
        </w:rPr>
        <w:t>risk rated premium and special tuition protection components of the TPS levy</w:t>
      </w:r>
      <w:r>
        <w:rPr>
          <w:rFonts w:asciiTheme="minorHAnsi" w:hAnsiTheme="minorHAnsi" w:cstheme="minorHAnsi"/>
        </w:rPr>
        <w:t xml:space="preserve"> are determined in a legislative instrument made by the TPS Director and are not dealt with in this Instrument.</w:t>
      </w:r>
    </w:p>
    <w:p w14:paraId="555DB762" w14:textId="77777777" w:rsidR="00F0748D" w:rsidRPr="00436A9A" w:rsidRDefault="00F0748D" w:rsidP="00F0748D">
      <w:pPr>
        <w:rPr>
          <w:rFonts w:asciiTheme="minorHAnsi" w:hAnsiTheme="minorHAnsi" w:cstheme="minorHAnsi"/>
          <w:i/>
          <w:iCs/>
        </w:rPr>
      </w:pPr>
      <w:r>
        <w:rPr>
          <w:rFonts w:asciiTheme="minorHAnsi" w:hAnsiTheme="minorHAnsi" w:cstheme="minorHAnsi"/>
          <w:i/>
          <w:iCs/>
        </w:rPr>
        <w:lastRenderedPageBreak/>
        <w:t xml:space="preserve">The </w:t>
      </w:r>
      <w:r w:rsidRPr="00436A9A">
        <w:rPr>
          <w:rFonts w:asciiTheme="minorHAnsi" w:hAnsiTheme="minorHAnsi" w:cstheme="minorHAnsi"/>
          <w:i/>
          <w:iCs/>
        </w:rPr>
        <w:t>Overseas Student Tuition Fund</w:t>
      </w:r>
    </w:p>
    <w:p w14:paraId="0751014C" w14:textId="5E085AE0" w:rsidR="00F0748D" w:rsidRDefault="00F0748D" w:rsidP="00F0748D">
      <w:pPr>
        <w:rPr>
          <w:rFonts w:asciiTheme="minorHAnsi" w:hAnsiTheme="minorHAnsi" w:cstheme="minorHAnsi"/>
          <w:i/>
          <w:iCs/>
        </w:rPr>
      </w:pPr>
      <w:r w:rsidRPr="00310B9F">
        <w:rPr>
          <w:rFonts w:asciiTheme="minorHAnsi" w:hAnsiTheme="minorHAnsi" w:cstheme="minorHAnsi"/>
        </w:rPr>
        <w:t xml:space="preserve">The TPS levy is payable into the Fund, which is established under section 52A of the </w:t>
      </w:r>
      <w:r w:rsidRPr="004058C0">
        <w:rPr>
          <w:rFonts w:asciiTheme="minorHAnsi" w:hAnsiTheme="minorHAnsi" w:cstheme="minorHAnsi"/>
          <w:i/>
        </w:rPr>
        <w:t>Education Services for Overseas Students Act 2000</w:t>
      </w:r>
      <w:r w:rsidRPr="00310B9F">
        <w:rPr>
          <w:rFonts w:asciiTheme="minorHAnsi" w:hAnsiTheme="minorHAnsi" w:cstheme="minorHAnsi"/>
          <w:iCs/>
        </w:rPr>
        <w:t>.</w:t>
      </w:r>
      <w:r w:rsidRPr="00310B9F">
        <w:rPr>
          <w:rFonts w:asciiTheme="minorHAnsi" w:hAnsiTheme="minorHAnsi" w:cstheme="minorHAnsi"/>
        </w:rPr>
        <w:t xml:space="preserve"> The Fund is a special account for the purposes of the </w:t>
      </w:r>
      <w:r w:rsidRPr="00310B9F">
        <w:rPr>
          <w:rFonts w:asciiTheme="minorHAnsi" w:hAnsiTheme="minorHAnsi" w:cstheme="minorHAnsi"/>
          <w:i/>
        </w:rPr>
        <w:t>Public</w:t>
      </w:r>
      <w:r w:rsidRPr="00310B9F">
        <w:rPr>
          <w:rFonts w:asciiTheme="minorHAnsi" w:hAnsiTheme="minorHAnsi" w:cstheme="minorHAnsi"/>
          <w:i/>
          <w:iCs/>
        </w:rPr>
        <w:t xml:space="preserve"> Governance, Performance and Accountability Act 2013.</w:t>
      </w:r>
    </w:p>
    <w:p w14:paraId="626F1531" w14:textId="77777777" w:rsidR="00350779" w:rsidRPr="00350779" w:rsidRDefault="00144950" w:rsidP="00350779">
      <w:pPr>
        <w:pStyle w:val="Heading2"/>
        <w:rPr>
          <w:rFonts w:asciiTheme="minorHAnsi" w:hAnsiTheme="minorHAnsi" w:cstheme="minorHAnsi"/>
          <w:color w:val="auto"/>
        </w:rPr>
      </w:pPr>
      <w:r>
        <w:rPr>
          <w:rFonts w:asciiTheme="minorHAnsi" w:hAnsiTheme="minorHAnsi" w:cstheme="minorHAnsi"/>
          <w:color w:val="auto"/>
        </w:rPr>
        <w:t>REGULATORY IMPACT</w:t>
      </w:r>
    </w:p>
    <w:p w14:paraId="083CB608" w14:textId="61905C47" w:rsidR="001119C6" w:rsidRDefault="001119C6" w:rsidP="001119C6">
      <w:pPr>
        <w:spacing w:before="120" w:after="120"/>
        <w:rPr>
          <w:rFonts w:asciiTheme="minorHAnsi" w:hAnsiTheme="minorHAnsi" w:cstheme="minorHAnsi"/>
          <w:szCs w:val="24"/>
        </w:rPr>
      </w:pPr>
      <w:r w:rsidRPr="00292653">
        <w:rPr>
          <w:rFonts w:asciiTheme="minorHAnsi" w:hAnsiTheme="minorHAnsi" w:cstheme="minorHAnsi"/>
          <w:szCs w:val="24"/>
        </w:rPr>
        <w:t xml:space="preserve">The Office of Best </w:t>
      </w:r>
      <w:r w:rsidRPr="003F61F2">
        <w:rPr>
          <w:rFonts w:asciiTheme="minorHAnsi" w:hAnsiTheme="minorHAnsi" w:cstheme="minorHAnsi"/>
          <w:szCs w:val="24"/>
        </w:rPr>
        <w:t xml:space="preserve">Practice Regulation (OBPR) </w:t>
      </w:r>
      <w:r w:rsidR="00292653" w:rsidRPr="003F61F2">
        <w:rPr>
          <w:rFonts w:asciiTheme="minorHAnsi" w:hAnsiTheme="minorHAnsi" w:cstheme="minorHAnsi"/>
          <w:szCs w:val="24"/>
        </w:rPr>
        <w:t>has assessed the reduction of the TPS levy as having a minor regulatory impact (OBPR ID:</w:t>
      </w:r>
      <w:r w:rsidR="003F61F2" w:rsidRPr="003F61F2">
        <w:rPr>
          <w:rFonts w:asciiTheme="minorHAnsi" w:hAnsiTheme="minorHAnsi" w:cstheme="minorHAnsi"/>
          <w:szCs w:val="24"/>
        </w:rPr>
        <w:t xml:space="preserve"> 43871</w:t>
      </w:r>
      <w:r w:rsidR="00292653" w:rsidRPr="003F61F2">
        <w:rPr>
          <w:rFonts w:asciiTheme="minorHAnsi" w:hAnsiTheme="minorHAnsi" w:cstheme="minorHAnsi"/>
          <w:szCs w:val="24"/>
        </w:rPr>
        <w:t xml:space="preserve">). The Regulatory Impact Statement is at Attachment A. </w:t>
      </w:r>
    </w:p>
    <w:p w14:paraId="3BF260FB" w14:textId="155308B1" w:rsidR="001119C6" w:rsidRPr="001119C6" w:rsidRDefault="001119C6" w:rsidP="001119C6">
      <w:pPr>
        <w:pStyle w:val="Heading2"/>
        <w:rPr>
          <w:rFonts w:asciiTheme="minorHAnsi" w:hAnsiTheme="minorHAnsi" w:cstheme="minorHAnsi"/>
          <w:color w:val="auto"/>
        </w:rPr>
      </w:pPr>
      <w:r w:rsidRPr="001119C6">
        <w:rPr>
          <w:rFonts w:asciiTheme="minorHAnsi" w:hAnsiTheme="minorHAnsi" w:cstheme="minorHAnsi"/>
          <w:color w:val="auto"/>
        </w:rPr>
        <w:t xml:space="preserve">FINANCIAL IMPACT STATEMENT </w:t>
      </w:r>
    </w:p>
    <w:p w14:paraId="1D6B0525" w14:textId="770D22D5" w:rsidR="001119C6" w:rsidRPr="001119C6" w:rsidRDefault="001119C6" w:rsidP="001119C6">
      <w:pPr>
        <w:spacing w:before="120" w:after="120"/>
        <w:rPr>
          <w:rFonts w:asciiTheme="minorHAnsi" w:hAnsiTheme="minorHAnsi" w:cstheme="minorHAnsi"/>
          <w:szCs w:val="24"/>
        </w:rPr>
      </w:pPr>
      <w:r w:rsidRPr="001119C6">
        <w:rPr>
          <w:rFonts w:asciiTheme="minorHAnsi" w:hAnsiTheme="minorHAnsi" w:cstheme="minorHAnsi"/>
          <w:szCs w:val="24"/>
        </w:rPr>
        <w:t xml:space="preserve">This Instrument will </w:t>
      </w:r>
      <w:r w:rsidR="00D60475">
        <w:rPr>
          <w:rFonts w:asciiTheme="minorHAnsi" w:hAnsiTheme="minorHAnsi" w:cstheme="minorHAnsi"/>
          <w:szCs w:val="24"/>
        </w:rPr>
        <w:t xml:space="preserve">not result in any revenue in 2022 </w:t>
      </w:r>
      <w:r w:rsidRPr="002B1E0F">
        <w:rPr>
          <w:rFonts w:asciiTheme="minorHAnsi" w:hAnsiTheme="minorHAnsi" w:cstheme="minorHAnsi"/>
          <w:szCs w:val="24"/>
        </w:rPr>
        <w:t>for the</w:t>
      </w:r>
      <w:r w:rsidRPr="001119C6">
        <w:rPr>
          <w:rFonts w:asciiTheme="minorHAnsi" w:hAnsiTheme="minorHAnsi" w:cstheme="minorHAnsi"/>
          <w:szCs w:val="24"/>
        </w:rPr>
        <w:t xml:space="preserve"> administrative and base fee components of the TPS levy.</w:t>
      </w:r>
    </w:p>
    <w:p w14:paraId="54D36F6B" w14:textId="721277FF" w:rsidR="001119C6" w:rsidRDefault="001119C6" w:rsidP="001119C6">
      <w:pPr>
        <w:spacing w:before="120" w:after="120"/>
        <w:rPr>
          <w:rFonts w:asciiTheme="minorHAnsi" w:hAnsiTheme="minorHAnsi" w:cstheme="minorHAnsi"/>
          <w:szCs w:val="24"/>
        </w:rPr>
      </w:pPr>
      <w:r w:rsidRPr="001119C6">
        <w:rPr>
          <w:rFonts w:asciiTheme="minorHAnsi" w:hAnsiTheme="minorHAnsi" w:cstheme="minorHAnsi"/>
          <w:szCs w:val="24"/>
        </w:rPr>
        <w:t>In determining the matters relevant to the calculation of the administrative and base fee components of the TPS levy, the Minister considered not only the sustainability of the Fund, but also the reality of the economy-wide ramifications and impact of the COVID-19 pandemic on businesses and education in Australia. The Minister’s focus and intention in determining those matters was on supporting Australian businesses.</w:t>
      </w:r>
    </w:p>
    <w:p w14:paraId="4818CCF0" w14:textId="77777777" w:rsidR="00696CF0" w:rsidRPr="0088497A" w:rsidRDefault="00144950" w:rsidP="0088497A">
      <w:pPr>
        <w:pStyle w:val="Heading2"/>
        <w:rPr>
          <w:rFonts w:asciiTheme="minorHAnsi" w:hAnsiTheme="minorHAnsi" w:cstheme="minorHAnsi"/>
          <w:color w:val="auto"/>
        </w:rPr>
      </w:pPr>
      <w:r w:rsidRPr="0088497A">
        <w:rPr>
          <w:rFonts w:asciiTheme="minorHAnsi" w:hAnsiTheme="minorHAnsi" w:cstheme="minorHAnsi"/>
          <w:color w:val="auto"/>
        </w:rPr>
        <w:t>COMMENC</w:t>
      </w:r>
      <w:r>
        <w:rPr>
          <w:rFonts w:asciiTheme="minorHAnsi" w:hAnsiTheme="minorHAnsi" w:cstheme="minorHAnsi"/>
          <w:color w:val="auto"/>
        </w:rPr>
        <w:t>E</w:t>
      </w:r>
      <w:r w:rsidRPr="0088497A">
        <w:rPr>
          <w:rFonts w:asciiTheme="minorHAnsi" w:hAnsiTheme="minorHAnsi" w:cstheme="minorHAnsi"/>
          <w:color w:val="auto"/>
        </w:rPr>
        <w:t>MENT</w:t>
      </w:r>
    </w:p>
    <w:p w14:paraId="5681AE47" w14:textId="4128C567" w:rsidR="00F0748D" w:rsidRPr="00F0748D" w:rsidRDefault="00F0748D" w:rsidP="00F0748D">
      <w:pPr>
        <w:spacing w:before="120" w:after="120"/>
        <w:rPr>
          <w:rFonts w:asciiTheme="minorHAnsi" w:hAnsiTheme="minorHAnsi" w:cstheme="minorHAnsi"/>
          <w:iCs/>
          <w:szCs w:val="24"/>
        </w:rPr>
      </w:pPr>
      <w:r w:rsidRPr="00F0748D">
        <w:rPr>
          <w:rFonts w:asciiTheme="minorHAnsi" w:hAnsiTheme="minorHAnsi" w:cstheme="minorHAnsi"/>
          <w:iCs/>
          <w:szCs w:val="24"/>
        </w:rPr>
        <w:t>Sections 1 to 7 of the Instrument commence on 31 December 202</w:t>
      </w:r>
      <w:r>
        <w:rPr>
          <w:rFonts w:asciiTheme="minorHAnsi" w:hAnsiTheme="minorHAnsi" w:cstheme="minorHAnsi"/>
          <w:iCs/>
          <w:szCs w:val="24"/>
        </w:rPr>
        <w:t>1</w:t>
      </w:r>
      <w:r w:rsidRPr="00F0748D">
        <w:rPr>
          <w:rFonts w:asciiTheme="minorHAnsi" w:hAnsiTheme="minorHAnsi" w:cstheme="minorHAnsi"/>
          <w:iCs/>
          <w:szCs w:val="24"/>
        </w:rPr>
        <w:t xml:space="preserve"> and Schedule 1 to the Instrument</w:t>
      </w:r>
      <w:r w:rsidR="007F360E">
        <w:rPr>
          <w:rFonts w:asciiTheme="minorHAnsi" w:hAnsiTheme="minorHAnsi" w:cstheme="minorHAnsi"/>
          <w:iCs/>
          <w:szCs w:val="24"/>
        </w:rPr>
        <w:t>,</w:t>
      </w:r>
      <w:r w:rsidRPr="00F0748D">
        <w:rPr>
          <w:rFonts w:asciiTheme="minorHAnsi" w:hAnsiTheme="minorHAnsi" w:cstheme="minorHAnsi"/>
          <w:iCs/>
          <w:szCs w:val="24"/>
        </w:rPr>
        <w:t xml:space="preserve"> which repeals the </w:t>
      </w:r>
      <w:r>
        <w:rPr>
          <w:rFonts w:asciiTheme="minorHAnsi" w:hAnsiTheme="minorHAnsi" w:cstheme="minorHAnsi"/>
          <w:iCs/>
          <w:szCs w:val="24"/>
        </w:rPr>
        <w:t>former instrument</w:t>
      </w:r>
      <w:r w:rsidRPr="00F0748D">
        <w:rPr>
          <w:rFonts w:asciiTheme="minorHAnsi" w:hAnsiTheme="minorHAnsi" w:cstheme="minorHAnsi"/>
          <w:iCs/>
          <w:szCs w:val="24"/>
        </w:rPr>
        <w:t xml:space="preserve"> </w:t>
      </w:r>
      <w:r w:rsidR="007F360E">
        <w:rPr>
          <w:rFonts w:asciiTheme="minorHAnsi" w:hAnsiTheme="minorHAnsi" w:cstheme="minorHAnsi"/>
          <w:iCs/>
          <w:szCs w:val="24"/>
        </w:rPr>
        <w:t xml:space="preserve">and </w:t>
      </w:r>
      <w:r w:rsidR="007F360E">
        <w:rPr>
          <w:rFonts w:asciiTheme="minorHAnsi" w:hAnsiTheme="minorHAnsi" w:cstheme="minorHAnsi"/>
          <w:iCs/>
        </w:rPr>
        <w:t xml:space="preserve">the exemption instrument, </w:t>
      </w:r>
      <w:r w:rsidRPr="00F0748D">
        <w:rPr>
          <w:rFonts w:asciiTheme="minorHAnsi" w:hAnsiTheme="minorHAnsi" w:cstheme="minorHAnsi"/>
          <w:iCs/>
          <w:szCs w:val="24"/>
        </w:rPr>
        <w:t>commences on 1 January 202</w:t>
      </w:r>
      <w:r w:rsidR="002B1E0F">
        <w:rPr>
          <w:rFonts w:asciiTheme="minorHAnsi" w:hAnsiTheme="minorHAnsi" w:cstheme="minorHAnsi"/>
          <w:iCs/>
          <w:szCs w:val="24"/>
        </w:rPr>
        <w:t>2</w:t>
      </w:r>
      <w:r w:rsidRPr="00F0748D">
        <w:rPr>
          <w:rFonts w:asciiTheme="minorHAnsi" w:hAnsiTheme="minorHAnsi" w:cstheme="minorHAnsi"/>
          <w:iCs/>
          <w:szCs w:val="24"/>
        </w:rPr>
        <w:t>.</w:t>
      </w:r>
    </w:p>
    <w:p w14:paraId="59906F74" w14:textId="77777777" w:rsidR="00696CF0" w:rsidRPr="008134D5" w:rsidRDefault="00144950" w:rsidP="00696CF0">
      <w:pPr>
        <w:pStyle w:val="Heading2"/>
        <w:rPr>
          <w:rFonts w:asciiTheme="minorHAnsi" w:hAnsiTheme="minorHAnsi" w:cstheme="minorHAnsi"/>
          <w:color w:val="auto"/>
        </w:rPr>
      </w:pPr>
      <w:bookmarkStart w:id="2" w:name="_Toc34293360"/>
      <w:r w:rsidRPr="008134D5">
        <w:rPr>
          <w:rFonts w:asciiTheme="minorHAnsi" w:hAnsiTheme="minorHAnsi" w:cstheme="minorHAnsi"/>
          <w:color w:val="auto"/>
        </w:rPr>
        <w:t>CONSULTATION</w:t>
      </w:r>
      <w:bookmarkEnd w:id="2"/>
    </w:p>
    <w:p w14:paraId="4D6DE398" w14:textId="64B26721" w:rsidR="00F0748D" w:rsidRPr="00F0748D" w:rsidRDefault="00F0748D" w:rsidP="00696CF0">
      <w:pPr>
        <w:spacing w:before="120" w:after="120"/>
        <w:rPr>
          <w:rFonts w:asciiTheme="minorHAnsi" w:hAnsiTheme="minorHAnsi" w:cstheme="minorHAnsi"/>
          <w:iCs/>
        </w:rPr>
      </w:pPr>
      <w:r w:rsidRPr="00F0748D">
        <w:rPr>
          <w:rFonts w:asciiTheme="minorHAnsi" w:hAnsiTheme="minorHAnsi" w:cstheme="minorHAnsi"/>
          <w:iCs/>
        </w:rPr>
        <w:t>The department has consulted the TPS Director</w:t>
      </w:r>
      <w:r w:rsidR="002B1E0F">
        <w:rPr>
          <w:rFonts w:asciiTheme="minorHAnsi" w:hAnsiTheme="minorHAnsi" w:cstheme="minorHAnsi"/>
          <w:iCs/>
        </w:rPr>
        <w:t xml:space="preserve"> </w:t>
      </w:r>
      <w:r w:rsidRPr="00F0748D">
        <w:rPr>
          <w:rFonts w:asciiTheme="minorHAnsi" w:hAnsiTheme="minorHAnsi" w:cstheme="minorHAnsi"/>
          <w:iCs/>
        </w:rPr>
        <w:t>prior to the reduction of the administrative and base fee components of the TPS levy through this Instrument.</w:t>
      </w:r>
    </w:p>
    <w:p w14:paraId="3A6EE0A5" w14:textId="77777777"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023D52E" w14:textId="77777777" w:rsidR="00DA552F" w:rsidRPr="008134D5" w:rsidRDefault="00DA552F" w:rsidP="00F62708">
      <w:pPr>
        <w:pStyle w:val="Heading2"/>
        <w:jc w:val="center"/>
        <w:rPr>
          <w:rFonts w:asciiTheme="minorHAnsi" w:hAnsiTheme="minorHAnsi" w:cstheme="minorHAnsi"/>
          <w:color w:val="auto"/>
        </w:rPr>
      </w:pPr>
      <w:bookmarkStart w:id="3" w:name="_Toc23942241"/>
      <w:bookmarkStart w:id="4" w:name="_Toc34293362"/>
      <w:r w:rsidRPr="008134D5">
        <w:rPr>
          <w:rFonts w:asciiTheme="minorHAnsi" w:hAnsiTheme="minorHAnsi" w:cstheme="minorHAnsi"/>
          <w:color w:val="auto"/>
        </w:rPr>
        <w:lastRenderedPageBreak/>
        <w:t>STATEMENT OF COMPATIBILITY WITH HUMAN RIGHTS</w:t>
      </w:r>
      <w:bookmarkEnd w:id="3"/>
      <w:bookmarkEnd w:id="4"/>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12BA7DFB" w:rsidR="00DA552F" w:rsidRPr="00FE2B2E" w:rsidRDefault="00FB518B" w:rsidP="00DA552F">
      <w:pPr>
        <w:spacing w:before="120" w:after="120"/>
        <w:jc w:val="center"/>
        <w:rPr>
          <w:rFonts w:asciiTheme="minorHAnsi" w:hAnsiTheme="minorHAnsi" w:cstheme="minorHAnsi"/>
          <w:b/>
          <w:bCs/>
          <w:i/>
          <w:iCs/>
          <w:szCs w:val="24"/>
        </w:rPr>
      </w:pPr>
      <w:r w:rsidRPr="00FE2B2E">
        <w:rPr>
          <w:rFonts w:asciiTheme="minorHAnsi" w:hAnsiTheme="minorHAnsi" w:cstheme="minorHAnsi"/>
          <w:b/>
          <w:bCs/>
          <w:i/>
          <w:iCs/>
          <w:szCs w:val="24"/>
        </w:rPr>
        <w:t>Education Services for Overseas Students (TPS Levies) (Administrative and Base Fees) Determination 2021</w:t>
      </w:r>
    </w:p>
    <w:p w14:paraId="65F6CFAB" w14:textId="1CC34756"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The</w:t>
      </w:r>
      <w:r w:rsidR="00FB518B">
        <w:rPr>
          <w:rFonts w:asciiTheme="minorHAnsi" w:hAnsiTheme="minorHAnsi" w:cstheme="minorHAnsi"/>
          <w:szCs w:val="24"/>
        </w:rPr>
        <w:t xml:space="preserve"> </w:t>
      </w:r>
      <w:r w:rsidR="00FB518B" w:rsidRPr="00FB518B">
        <w:rPr>
          <w:rFonts w:asciiTheme="minorHAnsi" w:hAnsiTheme="minorHAnsi" w:cstheme="minorHAnsi"/>
          <w:i/>
          <w:iCs/>
          <w:szCs w:val="24"/>
        </w:rPr>
        <w:t>Education Services for Overseas Students (TPS Levies) (Administrative and Base Fees) Determination 2021</w:t>
      </w:r>
      <w:r w:rsidR="001E52EB">
        <w:rPr>
          <w:rFonts w:asciiTheme="minorHAnsi" w:hAnsiTheme="minorHAnsi" w:cstheme="minorHAnsi"/>
          <w:szCs w:val="24"/>
        </w:rPr>
        <w:t xml:space="preserve"> (the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sidR="002C40FB">
        <w:rPr>
          <w:rFonts w:asciiTheme="minorHAnsi" w:hAnsiTheme="minorHAnsi" w:cstheme="minorHAnsi"/>
          <w:b/>
          <w:szCs w:val="24"/>
        </w:rPr>
        <w:t>Legislative Instrument</w:t>
      </w:r>
    </w:p>
    <w:p w14:paraId="5D6B0A0B" w14:textId="1A276F91" w:rsidR="00FE2B2E" w:rsidRPr="00310B9F" w:rsidRDefault="00FE2B2E" w:rsidP="00FE2B2E">
      <w:pPr>
        <w:rPr>
          <w:rFonts w:asciiTheme="minorHAnsi" w:hAnsiTheme="minorHAnsi" w:cstheme="minorHAnsi"/>
        </w:rPr>
      </w:pPr>
      <w:r w:rsidRPr="00310B9F">
        <w:rPr>
          <w:rFonts w:asciiTheme="minorHAnsi" w:hAnsiTheme="minorHAnsi" w:cstheme="minorHAnsi"/>
        </w:rPr>
        <w:t>The T</w:t>
      </w:r>
      <w:r>
        <w:rPr>
          <w:rFonts w:asciiTheme="minorHAnsi" w:hAnsiTheme="minorHAnsi" w:cstheme="minorHAnsi"/>
        </w:rPr>
        <w:t xml:space="preserve">uition </w:t>
      </w:r>
      <w:r w:rsidRPr="00310B9F">
        <w:rPr>
          <w:rFonts w:asciiTheme="minorHAnsi" w:hAnsiTheme="minorHAnsi" w:cstheme="minorHAnsi"/>
        </w:rPr>
        <w:t>P</w:t>
      </w:r>
      <w:r>
        <w:rPr>
          <w:rFonts w:asciiTheme="minorHAnsi" w:hAnsiTheme="minorHAnsi" w:cstheme="minorHAnsi"/>
        </w:rPr>
        <w:t xml:space="preserve">rotection </w:t>
      </w:r>
      <w:r w:rsidRPr="00310B9F">
        <w:rPr>
          <w:rFonts w:asciiTheme="minorHAnsi" w:hAnsiTheme="minorHAnsi" w:cstheme="minorHAnsi"/>
        </w:rPr>
        <w:t>S</w:t>
      </w:r>
      <w:r>
        <w:rPr>
          <w:rFonts w:asciiTheme="minorHAnsi" w:hAnsiTheme="minorHAnsi" w:cstheme="minorHAnsi"/>
        </w:rPr>
        <w:t>ervice (TPS)</w:t>
      </w:r>
      <w:r w:rsidRPr="00310B9F">
        <w:rPr>
          <w:rFonts w:asciiTheme="minorHAnsi" w:hAnsiTheme="minorHAnsi" w:cstheme="minorHAnsi"/>
        </w:rPr>
        <w:t xml:space="preserve"> arrangements</w:t>
      </w:r>
      <w:r>
        <w:rPr>
          <w:rFonts w:asciiTheme="minorHAnsi" w:hAnsiTheme="minorHAnsi" w:cstheme="minorHAnsi"/>
        </w:rPr>
        <w:t>, including the TPS levy,</w:t>
      </w:r>
      <w:r w:rsidRPr="00310B9F">
        <w:rPr>
          <w:rFonts w:asciiTheme="minorHAnsi" w:hAnsiTheme="minorHAnsi" w:cstheme="minorHAnsi"/>
        </w:rPr>
        <w:t xml:space="preserve"> commenced on 1</w:t>
      </w:r>
      <w:r>
        <w:rPr>
          <w:rFonts w:asciiTheme="minorHAnsi" w:hAnsiTheme="minorHAnsi" w:cstheme="minorHAnsi"/>
        </w:rPr>
        <w:t> </w:t>
      </w:r>
      <w:r w:rsidRPr="00310B9F">
        <w:rPr>
          <w:rFonts w:asciiTheme="minorHAnsi" w:hAnsiTheme="minorHAnsi" w:cstheme="minorHAnsi"/>
        </w:rPr>
        <w:t>July 2012 and are designed to establish a universal tuition protection framework</w:t>
      </w:r>
      <w:r>
        <w:rPr>
          <w:rFonts w:asciiTheme="minorHAnsi" w:hAnsiTheme="minorHAnsi" w:cstheme="minorHAnsi"/>
        </w:rPr>
        <w:t xml:space="preserve"> in respect of overseas students</w:t>
      </w:r>
      <w:r w:rsidRPr="00310B9F">
        <w:rPr>
          <w:rFonts w:asciiTheme="minorHAnsi" w:hAnsiTheme="minorHAnsi" w:cstheme="minorHAnsi"/>
        </w:rPr>
        <w:t xml:space="preserve">. This framework benefits overseas students affected by a provider default, by providing students with placement options or refunds where placement is not available. The arrangements are also designed to protect the considerable investment international students make in an Australian education, and to protect and enhance Australia’s reputation as a destination of choice for international students.  </w:t>
      </w:r>
    </w:p>
    <w:p w14:paraId="6E6D32C4" w14:textId="72FAF1A6" w:rsidR="00FE2B2E" w:rsidRPr="00310B9F" w:rsidRDefault="00FE2B2E" w:rsidP="00FE2B2E">
      <w:pPr>
        <w:rPr>
          <w:rFonts w:asciiTheme="minorHAnsi" w:hAnsiTheme="minorHAnsi" w:cstheme="minorHAnsi"/>
        </w:rPr>
      </w:pPr>
      <w:r w:rsidRPr="00310B9F">
        <w:rPr>
          <w:rFonts w:asciiTheme="minorHAnsi" w:hAnsiTheme="minorHAnsi" w:cstheme="minorHAnsi"/>
        </w:rPr>
        <w:t>Under Part 2 of the</w:t>
      </w:r>
      <w:r w:rsidRPr="00310B9F">
        <w:rPr>
          <w:rFonts w:asciiTheme="minorHAnsi" w:hAnsiTheme="minorHAnsi" w:cstheme="minorHAnsi"/>
          <w:iCs/>
        </w:rPr>
        <w:t xml:space="preserve"> </w:t>
      </w:r>
      <w:r w:rsidRPr="00F0748D">
        <w:rPr>
          <w:rFonts w:asciiTheme="minorHAnsi" w:hAnsiTheme="minorHAnsi" w:cstheme="minorHAnsi"/>
          <w:i/>
        </w:rPr>
        <w:t>Education Services for Overseas Students (TPS Levies) Act 2012</w:t>
      </w:r>
      <w:r w:rsidRPr="00F0748D">
        <w:rPr>
          <w:rFonts w:asciiTheme="minorHAnsi" w:hAnsiTheme="minorHAnsi" w:cstheme="minorHAnsi"/>
          <w:iCs/>
        </w:rPr>
        <w:t xml:space="preserve"> (the Act)</w:t>
      </w:r>
      <w:r w:rsidRPr="00310B9F">
        <w:rPr>
          <w:rFonts w:asciiTheme="minorHAnsi" w:hAnsiTheme="minorHAnsi" w:cstheme="minorHAnsi"/>
        </w:rPr>
        <w:t xml:space="preserve">, all </w:t>
      </w:r>
      <w:r>
        <w:rPr>
          <w:rFonts w:asciiTheme="minorHAnsi" w:hAnsiTheme="minorHAnsi" w:cstheme="minorHAnsi"/>
        </w:rPr>
        <w:t xml:space="preserve">providers registered on the </w:t>
      </w:r>
      <w:r w:rsidRPr="00436A9A">
        <w:rPr>
          <w:rFonts w:asciiTheme="minorHAnsi" w:hAnsiTheme="minorHAnsi" w:cstheme="minorHAnsi"/>
        </w:rPr>
        <w:t>Commonwealth Register of Institutions and Courses for Overseas Students (CRICOS)</w:t>
      </w:r>
      <w:r>
        <w:rPr>
          <w:rFonts w:asciiTheme="minorHAnsi" w:hAnsiTheme="minorHAnsi" w:cstheme="minorHAnsi"/>
        </w:rPr>
        <w:t xml:space="preserve"> </w:t>
      </w:r>
      <w:r w:rsidRPr="00310B9F">
        <w:rPr>
          <w:rFonts w:asciiTheme="minorHAnsi" w:hAnsiTheme="minorHAnsi" w:cstheme="minorHAnsi"/>
        </w:rPr>
        <w:t>on 1</w:t>
      </w:r>
      <w:r>
        <w:rPr>
          <w:rFonts w:asciiTheme="minorHAnsi" w:hAnsiTheme="minorHAnsi" w:cstheme="minorHAnsi"/>
        </w:rPr>
        <w:t> </w:t>
      </w:r>
      <w:r w:rsidRPr="00310B9F">
        <w:rPr>
          <w:rFonts w:asciiTheme="minorHAnsi" w:hAnsiTheme="minorHAnsi" w:cstheme="minorHAnsi"/>
        </w:rPr>
        <w:t>January of a year are liable to pay a TPS levy for the year. The amount of the TPS levy payable is the sum of</w:t>
      </w:r>
      <w:r>
        <w:rPr>
          <w:rFonts w:asciiTheme="minorHAnsi" w:hAnsiTheme="minorHAnsi" w:cstheme="minorHAnsi"/>
        </w:rPr>
        <w:t xml:space="preserve"> a provider’s</w:t>
      </w:r>
      <w:r w:rsidRPr="00310B9F">
        <w:rPr>
          <w:rFonts w:asciiTheme="minorHAnsi" w:hAnsiTheme="minorHAnsi" w:cstheme="minorHAnsi"/>
        </w:rPr>
        <w:t>:</w:t>
      </w:r>
    </w:p>
    <w:p w14:paraId="6E41832F" w14:textId="77777777" w:rsidR="00FE2B2E" w:rsidRPr="00310B9F" w:rsidRDefault="00FE2B2E" w:rsidP="00FE2B2E">
      <w:pPr>
        <w:pStyle w:val="ListParagraph"/>
        <w:numPr>
          <w:ilvl w:val="0"/>
          <w:numId w:val="2"/>
        </w:numPr>
        <w:spacing w:after="0"/>
        <w:rPr>
          <w:rFonts w:asciiTheme="minorHAnsi" w:hAnsiTheme="minorHAnsi" w:cstheme="minorHAnsi"/>
        </w:rPr>
      </w:pPr>
      <w:r w:rsidRPr="00310B9F">
        <w:rPr>
          <w:rFonts w:asciiTheme="minorHAnsi" w:hAnsiTheme="minorHAnsi" w:cstheme="minorHAnsi"/>
        </w:rPr>
        <w:t>administrative fee component (section 6 of the</w:t>
      </w:r>
      <w:r w:rsidRPr="00310B9F">
        <w:rPr>
          <w:rFonts w:asciiTheme="minorHAnsi" w:hAnsiTheme="minorHAnsi" w:cstheme="minorHAnsi"/>
          <w:iCs/>
        </w:rPr>
        <w:t xml:space="preserve"> Act);</w:t>
      </w:r>
    </w:p>
    <w:p w14:paraId="6252972F" w14:textId="77777777" w:rsidR="00FE2B2E" w:rsidRPr="00310B9F" w:rsidRDefault="00FE2B2E" w:rsidP="00FE2B2E">
      <w:pPr>
        <w:pStyle w:val="ListParagraph"/>
        <w:numPr>
          <w:ilvl w:val="0"/>
          <w:numId w:val="2"/>
        </w:numPr>
        <w:spacing w:after="0"/>
        <w:rPr>
          <w:rFonts w:asciiTheme="minorHAnsi" w:hAnsiTheme="minorHAnsi" w:cstheme="minorHAnsi"/>
        </w:rPr>
      </w:pPr>
      <w:r w:rsidRPr="00310B9F">
        <w:rPr>
          <w:rFonts w:asciiTheme="minorHAnsi" w:hAnsiTheme="minorHAnsi" w:cstheme="minorHAnsi"/>
        </w:rPr>
        <w:t xml:space="preserve">base fee component (section 7 of the </w:t>
      </w:r>
      <w:r w:rsidRPr="00310B9F">
        <w:rPr>
          <w:rFonts w:asciiTheme="minorHAnsi" w:hAnsiTheme="minorHAnsi" w:cstheme="minorHAnsi"/>
          <w:iCs/>
        </w:rPr>
        <w:t>Act);</w:t>
      </w:r>
      <w:r w:rsidRPr="00310B9F">
        <w:rPr>
          <w:rFonts w:asciiTheme="minorHAnsi" w:hAnsiTheme="minorHAnsi" w:cstheme="minorHAnsi"/>
        </w:rPr>
        <w:t xml:space="preserve"> </w:t>
      </w:r>
    </w:p>
    <w:p w14:paraId="157EE2AF" w14:textId="77777777" w:rsidR="00FE2B2E" w:rsidRPr="00310B9F" w:rsidRDefault="00FE2B2E" w:rsidP="00FE2B2E">
      <w:pPr>
        <w:pStyle w:val="ListParagraph"/>
        <w:numPr>
          <w:ilvl w:val="0"/>
          <w:numId w:val="2"/>
        </w:numPr>
        <w:spacing w:after="0"/>
        <w:rPr>
          <w:rFonts w:asciiTheme="minorHAnsi" w:hAnsiTheme="minorHAnsi" w:cstheme="minorHAnsi"/>
        </w:rPr>
      </w:pPr>
      <w:r w:rsidRPr="00310B9F">
        <w:rPr>
          <w:rFonts w:asciiTheme="minorHAnsi" w:hAnsiTheme="minorHAnsi" w:cstheme="minorHAnsi"/>
        </w:rPr>
        <w:t>risk rated premium component (section</w:t>
      </w:r>
      <w:r>
        <w:rPr>
          <w:rFonts w:asciiTheme="minorHAnsi" w:hAnsiTheme="minorHAnsi" w:cstheme="minorHAnsi"/>
        </w:rPr>
        <w:t> </w:t>
      </w:r>
      <w:r w:rsidRPr="00310B9F">
        <w:rPr>
          <w:rFonts w:asciiTheme="minorHAnsi" w:hAnsiTheme="minorHAnsi" w:cstheme="minorHAnsi"/>
        </w:rPr>
        <w:t xml:space="preserve">9 of the </w:t>
      </w:r>
      <w:r w:rsidRPr="00310B9F">
        <w:rPr>
          <w:rFonts w:asciiTheme="minorHAnsi" w:hAnsiTheme="minorHAnsi" w:cstheme="minorHAnsi"/>
          <w:iCs/>
        </w:rPr>
        <w:t>Act);</w:t>
      </w:r>
      <w:r w:rsidRPr="00310B9F">
        <w:rPr>
          <w:rFonts w:asciiTheme="minorHAnsi" w:hAnsiTheme="minorHAnsi" w:cstheme="minorHAnsi"/>
        </w:rPr>
        <w:t xml:space="preserve"> and</w:t>
      </w:r>
    </w:p>
    <w:p w14:paraId="3FCB09AC" w14:textId="77777777" w:rsidR="00FE2B2E" w:rsidRPr="00310B9F" w:rsidRDefault="00FE2B2E" w:rsidP="00FE2B2E">
      <w:pPr>
        <w:pStyle w:val="ListParagraph"/>
        <w:numPr>
          <w:ilvl w:val="0"/>
          <w:numId w:val="2"/>
        </w:numPr>
        <w:rPr>
          <w:rFonts w:asciiTheme="minorHAnsi" w:hAnsiTheme="minorHAnsi" w:cstheme="minorHAnsi"/>
        </w:rPr>
      </w:pPr>
      <w:r w:rsidRPr="00310B9F">
        <w:rPr>
          <w:rFonts w:asciiTheme="minorHAnsi" w:hAnsiTheme="minorHAnsi" w:cstheme="minorHAnsi"/>
        </w:rPr>
        <w:t xml:space="preserve">special tuition protection component (section 10 of the Act). </w:t>
      </w:r>
    </w:p>
    <w:p w14:paraId="6B3EEADE" w14:textId="373608CF" w:rsidR="00FE2B2E" w:rsidRDefault="00FE2B2E" w:rsidP="00FE2B2E">
      <w:pPr>
        <w:spacing w:before="120" w:after="120"/>
        <w:rPr>
          <w:rFonts w:asciiTheme="minorHAnsi" w:hAnsiTheme="minorHAnsi" w:cstheme="minorHAnsi"/>
          <w:iCs/>
          <w:szCs w:val="24"/>
        </w:rPr>
      </w:pPr>
      <w:r w:rsidRPr="00F0748D">
        <w:rPr>
          <w:rFonts w:asciiTheme="minorHAnsi" w:hAnsiTheme="minorHAnsi" w:cstheme="minorHAnsi"/>
          <w:iCs/>
          <w:szCs w:val="24"/>
        </w:rPr>
        <w:t>The purpose of the</w:t>
      </w:r>
      <w:r w:rsidR="00E4476D">
        <w:rPr>
          <w:rFonts w:asciiTheme="minorHAnsi" w:hAnsiTheme="minorHAnsi" w:cstheme="minorHAnsi"/>
          <w:iCs/>
          <w:szCs w:val="24"/>
        </w:rPr>
        <w:t xml:space="preserve"> Instrument </w:t>
      </w:r>
      <w:r w:rsidRPr="00F0748D">
        <w:rPr>
          <w:rFonts w:asciiTheme="minorHAnsi" w:hAnsiTheme="minorHAnsi" w:cstheme="minorHAnsi"/>
          <w:iCs/>
          <w:szCs w:val="24"/>
        </w:rPr>
        <w:t>is to specify the dollar amounts payable by all non-exempt CRICOS registered providers for the purpose of working out the administrative and base fee components of the TPS levy under sections 6 and 7 of the</w:t>
      </w:r>
      <w:r>
        <w:rPr>
          <w:rFonts w:asciiTheme="minorHAnsi" w:hAnsiTheme="minorHAnsi" w:cstheme="minorHAnsi"/>
          <w:iCs/>
          <w:szCs w:val="24"/>
        </w:rPr>
        <w:t xml:space="preserve"> Act.</w:t>
      </w:r>
    </w:p>
    <w:p w14:paraId="67C52941" w14:textId="77777777" w:rsidR="00FE2B2E" w:rsidRPr="001119C6" w:rsidRDefault="00FE2B2E" w:rsidP="00FE2B2E">
      <w:pPr>
        <w:rPr>
          <w:rFonts w:asciiTheme="minorHAnsi" w:hAnsiTheme="minorHAnsi" w:cstheme="minorHAnsi"/>
        </w:rPr>
      </w:pPr>
      <w:r w:rsidRPr="001119C6">
        <w:rPr>
          <w:rFonts w:asciiTheme="minorHAnsi" w:hAnsiTheme="minorHAnsi" w:cstheme="minorHAnsi"/>
        </w:rPr>
        <w:t>In 20</w:t>
      </w:r>
      <w:r>
        <w:rPr>
          <w:rFonts w:asciiTheme="minorHAnsi" w:hAnsiTheme="minorHAnsi" w:cstheme="minorHAnsi"/>
        </w:rPr>
        <w:t>20</w:t>
      </w:r>
      <w:r w:rsidRPr="001119C6">
        <w:rPr>
          <w:rFonts w:asciiTheme="minorHAnsi" w:hAnsiTheme="minorHAnsi" w:cstheme="minorHAnsi"/>
        </w:rPr>
        <w:t xml:space="preserve">, the Minister made the </w:t>
      </w:r>
      <w:r>
        <w:rPr>
          <w:rFonts w:asciiTheme="minorHAnsi" w:hAnsiTheme="minorHAnsi" w:cstheme="minorHAnsi"/>
        </w:rPr>
        <w:t>former instrument</w:t>
      </w:r>
      <w:r w:rsidRPr="001119C6">
        <w:rPr>
          <w:rFonts w:asciiTheme="minorHAnsi" w:hAnsiTheme="minorHAnsi" w:cstheme="minorHAnsi"/>
        </w:rPr>
        <w:t xml:space="preserve"> under subsection 7A(1) of the Act which determined the amounts for the administrative and base fee components of the TPS levy for the calendar year beginning on 1 January 20</w:t>
      </w:r>
      <w:r>
        <w:rPr>
          <w:rFonts w:asciiTheme="minorHAnsi" w:hAnsiTheme="minorHAnsi" w:cstheme="minorHAnsi"/>
        </w:rPr>
        <w:t>21</w:t>
      </w:r>
      <w:r w:rsidRPr="001119C6">
        <w:rPr>
          <w:rFonts w:asciiTheme="minorHAnsi" w:hAnsiTheme="minorHAnsi" w:cstheme="minorHAnsi"/>
        </w:rPr>
        <w:t>.</w:t>
      </w:r>
      <w:r>
        <w:rPr>
          <w:rFonts w:asciiTheme="minorHAnsi" w:hAnsiTheme="minorHAnsi" w:cstheme="minorHAnsi"/>
        </w:rPr>
        <w:t xml:space="preserve"> The former instrument </w:t>
      </w:r>
      <w:r w:rsidRPr="00FB518B">
        <w:rPr>
          <w:rFonts w:asciiTheme="minorHAnsi" w:hAnsiTheme="minorHAnsi" w:cstheme="minorHAnsi"/>
        </w:rPr>
        <w:t>reduce</w:t>
      </w:r>
      <w:r>
        <w:rPr>
          <w:rFonts w:asciiTheme="minorHAnsi" w:hAnsiTheme="minorHAnsi" w:cstheme="minorHAnsi"/>
        </w:rPr>
        <w:t>d</w:t>
      </w:r>
      <w:r w:rsidRPr="00FB518B">
        <w:rPr>
          <w:rFonts w:asciiTheme="minorHAnsi" w:hAnsiTheme="minorHAnsi" w:cstheme="minorHAnsi"/>
        </w:rPr>
        <w:t xml:space="preserve"> the fixed fee and per enrolment components of the administrative and base fee components by 20</w:t>
      </w:r>
      <w:r>
        <w:rPr>
          <w:rFonts w:asciiTheme="minorHAnsi" w:hAnsiTheme="minorHAnsi" w:cstheme="minorHAnsi"/>
        </w:rPr>
        <w:t> </w:t>
      </w:r>
      <w:r w:rsidRPr="00FB518B">
        <w:rPr>
          <w:rFonts w:asciiTheme="minorHAnsi" w:hAnsiTheme="minorHAnsi" w:cstheme="minorHAnsi"/>
        </w:rPr>
        <w:t>per cent (compared to the fees collected in 2020).</w:t>
      </w:r>
    </w:p>
    <w:p w14:paraId="11CC7DF4" w14:textId="77777777" w:rsidR="00FE2B2E" w:rsidRPr="001119C6" w:rsidRDefault="00FE2B2E" w:rsidP="00FE2B2E">
      <w:pPr>
        <w:rPr>
          <w:rFonts w:asciiTheme="minorHAnsi" w:hAnsiTheme="minorHAnsi" w:cstheme="minorHAnsi"/>
        </w:rPr>
      </w:pPr>
      <w:r w:rsidRPr="001119C6">
        <w:rPr>
          <w:rFonts w:asciiTheme="minorHAnsi" w:hAnsiTheme="minorHAnsi" w:cstheme="minorHAnsi"/>
        </w:rPr>
        <w:t xml:space="preserve">In recognition of the significant </w:t>
      </w:r>
      <w:r>
        <w:rPr>
          <w:rFonts w:asciiTheme="minorHAnsi" w:hAnsiTheme="minorHAnsi" w:cstheme="minorHAnsi"/>
        </w:rPr>
        <w:t xml:space="preserve">ongoing </w:t>
      </w:r>
      <w:r w:rsidRPr="001119C6">
        <w:rPr>
          <w:rFonts w:asciiTheme="minorHAnsi" w:hAnsiTheme="minorHAnsi" w:cstheme="minorHAnsi"/>
        </w:rPr>
        <w:t xml:space="preserve">impact of the COVID-19 pandemic on the sector, the Minister has agreed that the administrative and base fee components be </w:t>
      </w:r>
      <w:r>
        <w:rPr>
          <w:rFonts w:asciiTheme="minorHAnsi" w:hAnsiTheme="minorHAnsi" w:cstheme="minorHAnsi"/>
        </w:rPr>
        <w:t>further reduced</w:t>
      </w:r>
      <w:r w:rsidRPr="001119C6">
        <w:rPr>
          <w:rFonts w:asciiTheme="minorHAnsi" w:hAnsiTheme="minorHAnsi" w:cstheme="minorHAnsi"/>
        </w:rPr>
        <w:t xml:space="preserve"> to </w:t>
      </w:r>
      <w:r>
        <w:rPr>
          <w:rFonts w:asciiTheme="minorHAnsi" w:hAnsiTheme="minorHAnsi" w:cstheme="minorHAnsi"/>
        </w:rPr>
        <w:t>effectively waive</w:t>
      </w:r>
      <w:r w:rsidRPr="001119C6">
        <w:rPr>
          <w:rFonts w:asciiTheme="minorHAnsi" w:hAnsiTheme="minorHAnsi" w:cstheme="minorHAnsi"/>
        </w:rPr>
        <w:t xml:space="preserve"> the </w:t>
      </w:r>
      <w:r w:rsidRPr="002B1E0F">
        <w:rPr>
          <w:rFonts w:asciiTheme="minorHAnsi" w:hAnsiTheme="minorHAnsi" w:cstheme="minorHAnsi"/>
        </w:rPr>
        <w:t xml:space="preserve">collection amount for the 2022 TPS levy. The Australian Government Actuary (AGA) has advised the balance of the Fund is likely to remain within </w:t>
      </w:r>
      <w:r w:rsidRPr="002B1E0F">
        <w:rPr>
          <w:rFonts w:asciiTheme="minorHAnsi" w:hAnsiTheme="minorHAnsi" w:cstheme="minorHAnsi"/>
        </w:rPr>
        <w:lastRenderedPageBreak/>
        <w:t>the Fund target range of $35 million to $60 million. This recommendation has been endorsed by the TPS Advisory Board.</w:t>
      </w:r>
    </w:p>
    <w:p w14:paraId="6D08BD39" w14:textId="77777777" w:rsidR="00FE2B2E" w:rsidRPr="00FB518B" w:rsidRDefault="00FE2B2E" w:rsidP="00FE2B2E">
      <w:pPr>
        <w:rPr>
          <w:rFonts w:asciiTheme="minorHAnsi" w:hAnsiTheme="minorHAnsi" w:cstheme="minorHAnsi"/>
        </w:rPr>
      </w:pPr>
      <w:r w:rsidRPr="001119C6">
        <w:rPr>
          <w:rFonts w:asciiTheme="minorHAnsi" w:hAnsiTheme="minorHAnsi" w:cstheme="minorHAnsi"/>
        </w:rPr>
        <w:t xml:space="preserve">The Minister is making a determination to </w:t>
      </w:r>
      <w:r>
        <w:rPr>
          <w:rFonts w:asciiTheme="minorHAnsi" w:hAnsiTheme="minorHAnsi" w:cstheme="minorHAnsi"/>
        </w:rPr>
        <w:t>set</w:t>
      </w:r>
      <w:r w:rsidRPr="001119C6">
        <w:rPr>
          <w:rFonts w:asciiTheme="minorHAnsi" w:hAnsiTheme="minorHAnsi" w:cstheme="minorHAnsi"/>
        </w:rPr>
        <w:t xml:space="preserve"> the fixed fee and per enrolment components of the administrative and base fee components </w:t>
      </w:r>
      <w:r>
        <w:rPr>
          <w:rFonts w:asciiTheme="minorHAnsi" w:hAnsiTheme="minorHAnsi" w:cstheme="minorHAnsi"/>
        </w:rPr>
        <w:t>to zero</w:t>
      </w:r>
      <w:r w:rsidRPr="001119C6">
        <w:rPr>
          <w:rFonts w:asciiTheme="minorHAnsi" w:hAnsiTheme="minorHAnsi" w:cstheme="minorHAnsi"/>
        </w:rPr>
        <w:t>. It is anticipated that this reduction will be a one-off reduction to the Fund and the Minister will reconsider the fee settings for the 202</w:t>
      </w:r>
      <w:r>
        <w:rPr>
          <w:rFonts w:asciiTheme="minorHAnsi" w:hAnsiTheme="minorHAnsi" w:cstheme="minorHAnsi"/>
        </w:rPr>
        <w:t>3</w:t>
      </w:r>
      <w:r w:rsidRPr="001119C6">
        <w:rPr>
          <w:rFonts w:asciiTheme="minorHAnsi" w:hAnsiTheme="minorHAnsi" w:cstheme="minorHAnsi"/>
        </w:rPr>
        <w:t xml:space="preserve"> TPS levy collection next year.</w:t>
      </w:r>
    </w:p>
    <w:p w14:paraId="29AFC95B" w14:textId="2015530F" w:rsidR="00E8671C" w:rsidRPr="00FE2B2E" w:rsidRDefault="00FE2B2E" w:rsidP="00FE2B2E">
      <w:pPr>
        <w:rPr>
          <w:rFonts w:asciiTheme="minorHAnsi" w:hAnsiTheme="minorHAnsi" w:cstheme="minorHAnsi"/>
        </w:rPr>
      </w:pPr>
      <w:r>
        <w:rPr>
          <w:rFonts w:asciiTheme="minorHAnsi" w:hAnsiTheme="minorHAnsi" w:cstheme="minorHAnsi"/>
        </w:rPr>
        <w:t xml:space="preserve">The </w:t>
      </w:r>
      <w:r w:rsidRPr="00436A9A">
        <w:rPr>
          <w:rFonts w:asciiTheme="minorHAnsi" w:hAnsiTheme="minorHAnsi" w:cstheme="minorHAnsi"/>
        </w:rPr>
        <w:t>risk rated premium and special tuition protection components of the TPS levy</w:t>
      </w:r>
      <w:r>
        <w:rPr>
          <w:rFonts w:asciiTheme="minorHAnsi" w:hAnsiTheme="minorHAnsi" w:cstheme="minorHAnsi"/>
        </w:rPr>
        <w:t xml:space="preserve"> are determined in a legislative instrument made by the TPS Director and are not dealt with in this Instrument.</w:t>
      </w:r>
    </w:p>
    <w:p w14:paraId="57CC71C9" w14:textId="77777777"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034A227A" w14:textId="77777777" w:rsidR="00FB518B" w:rsidRPr="00D00701" w:rsidRDefault="00FB518B" w:rsidP="00FB518B">
      <w:pPr>
        <w:spacing w:before="120" w:after="120"/>
        <w:rPr>
          <w:rFonts w:asciiTheme="minorHAnsi" w:hAnsiTheme="minorHAnsi" w:cstheme="minorHAnsi"/>
          <w:szCs w:val="24"/>
        </w:rPr>
      </w:pPr>
      <w:r w:rsidRPr="00D00701">
        <w:rPr>
          <w:rFonts w:asciiTheme="minorHAnsi" w:hAnsiTheme="minorHAnsi" w:cstheme="minorHAnsi"/>
          <w:szCs w:val="24"/>
        </w:rPr>
        <w:t xml:space="preserve">The Instrument engages the right to education. </w:t>
      </w:r>
    </w:p>
    <w:p w14:paraId="4E19623C" w14:textId="77777777" w:rsidR="00FB518B" w:rsidRPr="001E52EB" w:rsidRDefault="00FB518B" w:rsidP="00FB518B">
      <w:pPr>
        <w:spacing w:before="120" w:after="120"/>
        <w:rPr>
          <w:rFonts w:asciiTheme="minorHAnsi" w:hAnsiTheme="minorHAnsi" w:cstheme="minorHAnsi"/>
          <w:szCs w:val="24"/>
          <w:u w:val="single"/>
        </w:rPr>
      </w:pPr>
      <w:r w:rsidRPr="00D00701">
        <w:rPr>
          <w:rFonts w:asciiTheme="minorHAnsi" w:hAnsiTheme="minorHAnsi" w:cstheme="minorHAnsi"/>
          <w:szCs w:val="24"/>
          <w:u w:val="single"/>
        </w:rPr>
        <w:t>Right to education</w:t>
      </w:r>
    </w:p>
    <w:p w14:paraId="3EDA6F51" w14:textId="00246730" w:rsidR="00FB518B" w:rsidRPr="00D00701" w:rsidRDefault="00FB518B" w:rsidP="00FB518B">
      <w:pPr>
        <w:widowControl w:val="0"/>
        <w:shd w:val="clear" w:color="auto" w:fill="FFFFFF"/>
        <w:spacing w:before="100" w:beforeAutospacing="1" w:after="100" w:afterAutospacing="1"/>
        <w:rPr>
          <w:rFonts w:asciiTheme="minorHAnsi" w:hAnsiTheme="minorHAnsi" w:cstheme="minorHAnsi"/>
        </w:rPr>
      </w:pPr>
      <w:r w:rsidRPr="00D00701">
        <w:rPr>
          <w:rFonts w:asciiTheme="minorHAnsi" w:hAnsiTheme="minorHAnsi" w:cstheme="minorHAnsi"/>
        </w:rPr>
        <w:t>Th</w:t>
      </w:r>
      <w:r>
        <w:rPr>
          <w:rFonts w:asciiTheme="minorHAnsi" w:hAnsiTheme="minorHAnsi" w:cstheme="minorHAnsi"/>
        </w:rPr>
        <w:t>e</w:t>
      </w:r>
      <w:r w:rsidRPr="00D00701">
        <w:rPr>
          <w:rFonts w:asciiTheme="minorHAnsi" w:hAnsiTheme="minorHAnsi" w:cstheme="minorHAnsi"/>
        </w:rPr>
        <w:t xml:space="preserve"> Instrument engages the right to education, contained in Article 13 of </w:t>
      </w:r>
      <w:r w:rsidRPr="00D00701">
        <w:rPr>
          <w:rFonts w:asciiTheme="minorHAnsi" w:hAnsiTheme="minorHAnsi" w:cstheme="minorHAnsi"/>
          <w:i/>
        </w:rPr>
        <w:t>the International Covenant on Economic, Social, and Cultural Rights</w:t>
      </w:r>
      <w:r w:rsidRPr="00D00701">
        <w:rPr>
          <w:rFonts w:asciiTheme="minorHAnsi" w:hAnsiTheme="minorHAnsi" w:cstheme="minorHAnsi"/>
        </w:rPr>
        <w:t>, insofar as it relates to the provision of high</w:t>
      </w:r>
      <w:r w:rsidR="007F360E">
        <w:rPr>
          <w:rFonts w:asciiTheme="minorHAnsi" w:hAnsiTheme="minorHAnsi" w:cstheme="minorHAnsi"/>
        </w:rPr>
        <w:t>-</w:t>
      </w:r>
      <w:r w:rsidRPr="00D00701">
        <w:rPr>
          <w:rFonts w:asciiTheme="minorHAnsi" w:hAnsiTheme="minorHAnsi" w:cstheme="minorHAnsi"/>
        </w:rPr>
        <w:t xml:space="preserve">quality education services to international students by education service providers registered under the </w:t>
      </w:r>
      <w:r w:rsidRPr="00D00701">
        <w:rPr>
          <w:rFonts w:asciiTheme="minorHAnsi" w:hAnsiTheme="minorHAnsi" w:cstheme="minorHAnsi"/>
          <w:i/>
        </w:rPr>
        <w:t>Education Services for Overseas Students Act 2000</w:t>
      </w:r>
      <w:r w:rsidRPr="00D00701">
        <w:rPr>
          <w:rFonts w:asciiTheme="minorHAnsi" w:hAnsiTheme="minorHAnsi" w:cstheme="minorHAnsi"/>
        </w:rPr>
        <w:t xml:space="preserve">. </w:t>
      </w:r>
    </w:p>
    <w:p w14:paraId="5CED46E6" w14:textId="77777777" w:rsidR="00FB518B" w:rsidRPr="00D00701" w:rsidRDefault="00FB518B" w:rsidP="00FB518B">
      <w:pPr>
        <w:keepNext/>
        <w:keepLines/>
        <w:autoSpaceDE w:val="0"/>
        <w:autoSpaceDN w:val="0"/>
        <w:adjustRightInd w:val="0"/>
        <w:rPr>
          <w:rFonts w:asciiTheme="minorHAnsi" w:hAnsiTheme="minorHAnsi" w:cstheme="minorHAnsi"/>
        </w:rPr>
      </w:pPr>
      <w:r w:rsidRPr="00D00701">
        <w:rPr>
          <w:rFonts w:asciiTheme="minorHAnsi" w:hAnsiTheme="minorHAnsi" w:cstheme="minorHAnsi"/>
        </w:rPr>
        <w:t>To the extent that the right to education is engaged, this right is promoted by the Instrument.</w:t>
      </w:r>
    </w:p>
    <w:p w14:paraId="64A9ACC5" w14:textId="54E6E8FB" w:rsidR="00FB518B" w:rsidRPr="00FB518B" w:rsidRDefault="00FB518B" w:rsidP="002B1E0F">
      <w:pPr>
        <w:widowControl w:val="0"/>
        <w:shd w:val="clear" w:color="auto" w:fill="FFFFFF"/>
        <w:spacing w:before="100" w:beforeAutospacing="1" w:after="100" w:afterAutospacing="1"/>
        <w:rPr>
          <w:rFonts w:asciiTheme="minorHAnsi" w:hAnsiTheme="minorHAnsi" w:cstheme="minorHAnsi"/>
        </w:rPr>
      </w:pPr>
      <w:r w:rsidRPr="00D00701">
        <w:rPr>
          <w:rFonts w:asciiTheme="minorHAnsi" w:hAnsiTheme="minorHAnsi" w:cstheme="minorHAnsi"/>
        </w:rPr>
        <w:t xml:space="preserve">The Australian Government has overarching responsibility for protecting the reputation of Australia’s education and training industry and supports the capacity of the international education industry to provide high quality education and training services. </w:t>
      </w:r>
      <w:r w:rsidRPr="00FB518B">
        <w:rPr>
          <w:rFonts w:asciiTheme="minorHAnsi" w:hAnsiTheme="minorHAnsi" w:cstheme="minorHAnsi"/>
        </w:rPr>
        <w:t xml:space="preserve">The TPS delivers assistance to </w:t>
      </w:r>
      <w:r w:rsidR="003D2BB8">
        <w:rPr>
          <w:rFonts w:asciiTheme="minorHAnsi" w:hAnsiTheme="minorHAnsi" w:cstheme="minorHAnsi"/>
        </w:rPr>
        <w:t xml:space="preserve">international </w:t>
      </w:r>
      <w:r w:rsidRPr="00FB518B">
        <w:rPr>
          <w:rFonts w:asciiTheme="minorHAnsi" w:hAnsiTheme="minorHAnsi" w:cstheme="minorHAnsi"/>
        </w:rPr>
        <w:t>students by placing students in an alternative course of study or refunds them where there is no suitable alternative course.</w:t>
      </w:r>
    </w:p>
    <w:p w14:paraId="494DC395" w14:textId="3984BE33" w:rsidR="00FB518B" w:rsidRPr="00D00701" w:rsidRDefault="00FB518B" w:rsidP="00FB518B">
      <w:pPr>
        <w:rPr>
          <w:rFonts w:asciiTheme="minorHAnsi" w:hAnsiTheme="minorHAnsi" w:cstheme="minorHAnsi"/>
        </w:rPr>
      </w:pPr>
      <w:bookmarkStart w:id="5" w:name="_Hlk88659075"/>
      <w:r w:rsidRPr="00FB518B">
        <w:rPr>
          <w:rFonts w:asciiTheme="minorHAnsi" w:hAnsiTheme="minorHAnsi" w:cstheme="minorHAnsi"/>
        </w:rPr>
        <w:t xml:space="preserve">The Instrument will </w:t>
      </w:r>
      <w:r w:rsidR="000F5A02">
        <w:rPr>
          <w:rFonts w:asciiTheme="minorHAnsi" w:hAnsiTheme="minorHAnsi" w:cstheme="minorHAnsi"/>
        </w:rPr>
        <w:t>remove the tuition protection levies payable by international education provider</w:t>
      </w:r>
      <w:r w:rsidR="003D2BB8">
        <w:rPr>
          <w:rFonts w:asciiTheme="minorHAnsi" w:hAnsiTheme="minorHAnsi" w:cstheme="minorHAnsi"/>
        </w:rPr>
        <w:t>s</w:t>
      </w:r>
      <w:r w:rsidR="00C879E5">
        <w:rPr>
          <w:rFonts w:asciiTheme="minorHAnsi" w:hAnsiTheme="minorHAnsi" w:cstheme="minorHAnsi"/>
        </w:rPr>
        <w:t xml:space="preserve"> to</w:t>
      </w:r>
      <w:r w:rsidR="009A2C26">
        <w:rPr>
          <w:rFonts w:asciiTheme="minorHAnsi" w:hAnsiTheme="minorHAnsi" w:cstheme="minorHAnsi"/>
        </w:rPr>
        <w:t xml:space="preserve"> help them manage the financial impacts of the COVID-19 pandemic and international border closures</w:t>
      </w:r>
      <w:r w:rsidR="002B1E0F">
        <w:rPr>
          <w:rFonts w:asciiTheme="minorHAnsi" w:hAnsiTheme="minorHAnsi" w:cstheme="minorHAnsi"/>
        </w:rPr>
        <w:t>. This will enable providers to continue operating to provide education to overseas students</w:t>
      </w:r>
      <w:r w:rsidR="00C879E5">
        <w:rPr>
          <w:rFonts w:asciiTheme="minorHAnsi" w:hAnsiTheme="minorHAnsi" w:cstheme="minorHAnsi"/>
        </w:rPr>
        <w:t>.</w:t>
      </w:r>
    </w:p>
    <w:bookmarkEnd w:id="5"/>
    <w:p w14:paraId="47550917" w14:textId="77777777" w:rsidR="00FB518B" w:rsidRPr="00D00701" w:rsidRDefault="00FB518B" w:rsidP="00FB518B">
      <w:pPr>
        <w:shd w:val="clear" w:color="auto" w:fill="FFFFFF"/>
        <w:spacing w:before="100" w:beforeAutospacing="1" w:after="100" w:afterAutospacing="1"/>
        <w:rPr>
          <w:rFonts w:asciiTheme="minorHAnsi" w:hAnsiTheme="minorHAnsi" w:cstheme="minorHAnsi"/>
        </w:rPr>
      </w:pPr>
      <w:r w:rsidRPr="00D00701">
        <w:rPr>
          <w:rFonts w:asciiTheme="minorHAnsi" w:hAnsiTheme="minorHAnsi" w:cstheme="minorHAnsi"/>
        </w:rPr>
        <w:t xml:space="preserve">The Instrument is compatible with the right to education. </w:t>
      </w:r>
    </w:p>
    <w:p w14:paraId="244A88A8" w14:textId="77777777" w:rsidR="00FB518B" w:rsidRPr="008134D5" w:rsidRDefault="00FB518B" w:rsidP="00FB518B">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5A694B94" w14:textId="77777777" w:rsidR="00FB518B" w:rsidRPr="008134D5" w:rsidRDefault="00FB518B" w:rsidP="00FB518B">
      <w:pPr>
        <w:spacing w:before="120" w:after="120"/>
        <w:rPr>
          <w:rFonts w:asciiTheme="minorHAnsi" w:hAnsiTheme="minorHAnsi" w:cstheme="minorHAnsi"/>
          <w:szCs w:val="24"/>
        </w:rPr>
      </w:pPr>
      <w:r w:rsidRPr="00D00701">
        <w:rPr>
          <w:rFonts w:asciiTheme="minorHAnsi" w:hAnsiTheme="minorHAnsi" w:cstheme="minorHAnsi"/>
          <w:szCs w:val="24"/>
        </w:rPr>
        <w:t>The Instrument is compatible with human rights because it promotes the protection of human rights.</w:t>
      </w:r>
      <w:r w:rsidRPr="008134D5">
        <w:rPr>
          <w:rFonts w:asciiTheme="minorHAnsi" w:hAnsiTheme="minorHAnsi" w:cstheme="minorHAnsi"/>
          <w:szCs w:val="24"/>
        </w:rPr>
        <w:t xml:space="preserve"> </w:t>
      </w:r>
    </w:p>
    <w:p w14:paraId="1EC89B8A" w14:textId="7A7E6093"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w:t>
      </w:r>
      <w:r w:rsidRPr="0085622D">
        <w:rPr>
          <w:rFonts w:asciiTheme="minorHAnsi" w:hAnsiTheme="minorHAnsi" w:cstheme="minorHAnsi"/>
          <w:b/>
          <w:szCs w:val="24"/>
        </w:rPr>
        <w:t>for</w:t>
      </w:r>
      <w:r w:rsidR="0085622D" w:rsidRPr="0085622D">
        <w:rPr>
          <w:rStyle w:val="Strong"/>
          <w:rFonts w:asciiTheme="minorHAnsi" w:hAnsiTheme="minorHAnsi" w:cstheme="minorHAnsi"/>
          <w:b w:val="0"/>
          <w:color w:val="333333"/>
          <w:shd w:val="clear" w:color="auto" w:fill="FFFFFF"/>
        </w:rPr>
        <w:t xml:space="preserve"> </w:t>
      </w:r>
      <w:r w:rsidR="0085622D" w:rsidRPr="0085622D">
        <w:rPr>
          <w:rStyle w:val="Strong"/>
          <w:rFonts w:asciiTheme="minorHAnsi" w:hAnsiTheme="minorHAnsi" w:cstheme="minorHAnsi"/>
          <w:bCs w:val="0"/>
          <w:color w:val="333333"/>
          <w:shd w:val="clear" w:color="auto" w:fill="FFFFFF"/>
        </w:rPr>
        <w:t>Employment, Workforce, Skills, Small and Family Business</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footerReference w:type="default" r:id="rId11"/>
          <w:pgSz w:w="11906" w:h="16838"/>
          <w:pgMar w:top="1440" w:right="1440" w:bottom="1440" w:left="1440" w:header="708" w:footer="708" w:gutter="0"/>
          <w:pgNumType w:start="1"/>
          <w:cols w:space="708"/>
          <w:docGrid w:linePitch="360"/>
        </w:sectPr>
      </w:pPr>
    </w:p>
    <w:p w14:paraId="192B2E5C" w14:textId="628B49AD" w:rsidR="00DA552F" w:rsidRPr="001E52EB" w:rsidRDefault="00CA6074" w:rsidP="001E52EB">
      <w:pPr>
        <w:jc w:val="center"/>
        <w:rPr>
          <w:rFonts w:asciiTheme="minorHAnsi" w:hAnsiTheme="minorHAnsi" w:cstheme="minorHAnsi"/>
          <w:b/>
          <w:szCs w:val="24"/>
          <w:highlight w:val="yellow"/>
        </w:rPr>
      </w:pPr>
      <w:r w:rsidRPr="00CA6074">
        <w:rPr>
          <w:rFonts w:asciiTheme="minorHAnsi" w:hAnsiTheme="minorHAnsi" w:cstheme="minorHAnsi"/>
          <w:b/>
          <w:szCs w:val="24"/>
        </w:rPr>
        <w:lastRenderedPageBreak/>
        <w:t>EDUCATION SERVICES FOR OVERSEAS STUDENTS (TPS LEVIES) (ADMINISTRATIVE AND BASE FEES) DETERMINATION 2021</w:t>
      </w:r>
    </w:p>
    <w:p w14:paraId="289E50B9" w14:textId="77777777" w:rsidR="00DA552F" w:rsidRPr="008134D5" w:rsidRDefault="00DB6247">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744B16CC" w14:textId="77777777" w:rsidR="00CA6074" w:rsidRPr="008134D5" w:rsidRDefault="00CA6074" w:rsidP="00CA6074">
      <w:pPr>
        <w:keepNext/>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1: </w:t>
      </w:r>
      <w:r>
        <w:rPr>
          <w:rFonts w:asciiTheme="minorHAnsi" w:hAnsiTheme="minorHAnsi" w:cstheme="minorHAnsi"/>
          <w:b/>
          <w:u w:val="single"/>
        </w:rPr>
        <w:t>Name</w:t>
      </w:r>
    </w:p>
    <w:p w14:paraId="7FB6799B" w14:textId="3243C7DD" w:rsidR="00CA6074" w:rsidRPr="00EF4ACB" w:rsidRDefault="00CA6074" w:rsidP="00202BF0">
      <w:pPr>
        <w:pStyle w:val="ListParagraph"/>
        <w:numPr>
          <w:ilvl w:val="0"/>
          <w:numId w:val="3"/>
        </w:numPr>
        <w:spacing w:before="360" w:after="120"/>
        <w:rPr>
          <w:rFonts w:asciiTheme="minorHAnsi" w:hAnsiTheme="minorHAnsi" w:cstheme="minorHAnsi"/>
          <w:szCs w:val="24"/>
        </w:rPr>
      </w:pPr>
      <w:r>
        <w:rPr>
          <w:rFonts w:asciiTheme="minorHAnsi" w:hAnsiTheme="minorHAnsi" w:cstheme="minorHAnsi"/>
          <w:szCs w:val="24"/>
        </w:rPr>
        <w:t xml:space="preserve">This section specifies the name of the instrument as the </w:t>
      </w:r>
      <w:r w:rsidR="00E77F9E" w:rsidRPr="00E77F9E">
        <w:rPr>
          <w:rFonts w:asciiTheme="minorHAnsi" w:hAnsiTheme="minorHAnsi" w:cstheme="minorHAnsi"/>
          <w:i/>
          <w:iCs/>
          <w:szCs w:val="24"/>
        </w:rPr>
        <w:t xml:space="preserve">Education Services </w:t>
      </w:r>
      <w:r w:rsidR="00E77F9E">
        <w:rPr>
          <w:rFonts w:asciiTheme="minorHAnsi" w:hAnsiTheme="minorHAnsi" w:cstheme="minorHAnsi"/>
          <w:i/>
          <w:iCs/>
          <w:szCs w:val="24"/>
        </w:rPr>
        <w:t>f</w:t>
      </w:r>
      <w:r w:rsidR="00E77F9E" w:rsidRPr="00E77F9E">
        <w:rPr>
          <w:rFonts w:asciiTheme="minorHAnsi" w:hAnsiTheme="minorHAnsi" w:cstheme="minorHAnsi"/>
          <w:i/>
          <w:iCs/>
          <w:szCs w:val="24"/>
        </w:rPr>
        <w:t>or Overseas Students (T</w:t>
      </w:r>
      <w:r w:rsidR="00E77F9E">
        <w:rPr>
          <w:rFonts w:asciiTheme="minorHAnsi" w:hAnsiTheme="minorHAnsi" w:cstheme="minorHAnsi"/>
          <w:i/>
          <w:iCs/>
          <w:szCs w:val="24"/>
        </w:rPr>
        <w:t>PS</w:t>
      </w:r>
      <w:r w:rsidR="00E77F9E" w:rsidRPr="00E77F9E">
        <w:rPr>
          <w:rFonts w:asciiTheme="minorHAnsi" w:hAnsiTheme="minorHAnsi" w:cstheme="minorHAnsi"/>
          <w:i/>
          <w:iCs/>
          <w:szCs w:val="24"/>
        </w:rPr>
        <w:t xml:space="preserve"> Levies) (Administrative </w:t>
      </w:r>
      <w:r w:rsidR="00E77F9E">
        <w:rPr>
          <w:rFonts w:asciiTheme="minorHAnsi" w:hAnsiTheme="minorHAnsi" w:cstheme="minorHAnsi"/>
          <w:i/>
          <w:iCs/>
          <w:szCs w:val="24"/>
        </w:rPr>
        <w:t>a</w:t>
      </w:r>
      <w:r w:rsidR="00E77F9E" w:rsidRPr="00E77F9E">
        <w:rPr>
          <w:rFonts w:asciiTheme="minorHAnsi" w:hAnsiTheme="minorHAnsi" w:cstheme="minorHAnsi"/>
          <w:i/>
          <w:iCs/>
          <w:szCs w:val="24"/>
        </w:rPr>
        <w:t>nd Base Fees) Determination 2021</w:t>
      </w:r>
      <w:r w:rsidR="00E77F9E">
        <w:rPr>
          <w:rFonts w:asciiTheme="minorHAnsi" w:hAnsiTheme="minorHAnsi" w:cstheme="minorHAnsi"/>
          <w:i/>
          <w:iCs/>
          <w:szCs w:val="24"/>
        </w:rPr>
        <w:t xml:space="preserve"> </w:t>
      </w:r>
      <w:r>
        <w:rPr>
          <w:rFonts w:asciiTheme="minorHAnsi" w:hAnsiTheme="minorHAnsi" w:cstheme="minorHAnsi"/>
          <w:szCs w:val="24"/>
        </w:rPr>
        <w:t>(the Instrument)</w:t>
      </w:r>
      <w:r w:rsidRPr="00EF4ACB">
        <w:rPr>
          <w:rFonts w:asciiTheme="minorHAnsi" w:hAnsiTheme="minorHAnsi" w:cstheme="minorHAnsi"/>
          <w:szCs w:val="24"/>
        </w:rPr>
        <w:t>.</w:t>
      </w:r>
    </w:p>
    <w:p w14:paraId="166425EC" w14:textId="77777777" w:rsidR="00CA6074" w:rsidRPr="008134D5" w:rsidRDefault="00CA6074" w:rsidP="00CA6074">
      <w:pPr>
        <w:keepNext/>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2: Commencement</w:t>
      </w:r>
    </w:p>
    <w:p w14:paraId="6ABA036E" w14:textId="77777777" w:rsidR="00E77F9E" w:rsidRPr="00E77F9E" w:rsidRDefault="00CA6074" w:rsidP="00202BF0">
      <w:pPr>
        <w:pStyle w:val="ListParagraph"/>
        <w:keepNext/>
        <w:numPr>
          <w:ilvl w:val="0"/>
          <w:numId w:val="3"/>
        </w:numPr>
        <w:rPr>
          <w:rFonts w:asciiTheme="minorHAnsi" w:hAnsiTheme="minorHAnsi" w:cstheme="minorHAnsi"/>
          <w:b/>
          <w:u w:val="single"/>
        </w:rPr>
      </w:pPr>
      <w:r w:rsidRPr="00E77F9E">
        <w:rPr>
          <w:rFonts w:asciiTheme="minorHAnsi" w:hAnsiTheme="minorHAnsi" w:cstheme="minorHAnsi"/>
          <w:iCs/>
        </w:rPr>
        <w:t xml:space="preserve">This section sets out the commencement dates of the Instrument. </w:t>
      </w:r>
    </w:p>
    <w:p w14:paraId="5547C8BA" w14:textId="0F9752CC" w:rsidR="00E77F9E" w:rsidRDefault="00E77F9E" w:rsidP="00202BF0">
      <w:pPr>
        <w:pStyle w:val="ListParagraph"/>
        <w:keepNext/>
        <w:numPr>
          <w:ilvl w:val="0"/>
          <w:numId w:val="3"/>
        </w:numPr>
        <w:rPr>
          <w:rFonts w:asciiTheme="minorHAnsi" w:hAnsiTheme="minorHAnsi" w:cstheme="minorHAnsi"/>
          <w:b/>
          <w:u w:val="single"/>
        </w:rPr>
      </w:pPr>
      <w:r w:rsidRPr="00E77F9E">
        <w:rPr>
          <w:rFonts w:asciiTheme="minorHAnsi" w:hAnsiTheme="minorHAnsi" w:cstheme="minorHAnsi"/>
          <w:iCs/>
        </w:rPr>
        <w:t>Sections 1 to 7 of the Instrument commence on 31 December 2021 and Schedule 1 to the Instrument</w:t>
      </w:r>
      <w:r>
        <w:rPr>
          <w:rFonts w:asciiTheme="minorHAnsi" w:hAnsiTheme="minorHAnsi" w:cstheme="minorHAnsi"/>
          <w:iCs/>
        </w:rPr>
        <w:t>,</w:t>
      </w:r>
      <w:r w:rsidRPr="00E77F9E">
        <w:rPr>
          <w:rFonts w:asciiTheme="minorHAnsi" w:hAnsiTheme="minorHAnsi" w:cstheme="minorHAnsi"/>
          <w:iCs/>
        </w:rPr>
        <w:t xml:space="preserve"> which repeals the</w:t>
      </w:r>
      <w:r w:rsidRPr="00E77F9E">
        <w:rPr>
          <w:rFonts w:asciiTheme="minorHAnsi" w:hAnsiTheme="minorHAnsi" w:cstheme="minorHAnsi"/>
          <w:i/>
          <w:iCs/>
          <w:szCs w:val="24"/>
        </w:rPr>
        <w:t xml:space="preserve"> Education Services </w:t>
      </w:r>
      <w:r>
        <w:rPr>
          <w:rFonts w:asciiTheme="minorHAnsi" w:hAnsiTheme="minorHAnsi" w:cstheme="minorHAnsi"/>
          <w:i/>
          <w:iCs/>
          <w:szCs w:val="24"/>
        </w:rPr>
        <w:t>f</w:t>
      </w:r>
      <w:r w:rsidRPr="00E77F9E">
        <w:rPr>
          <w:rFonts w:asciiTheme="minorHAnsi" w:hAnsiTheme="minorHAnsi" w:cstheme="minorHAnsi"/>
          <w:i/>
          <w:iCs/>
          <w:szCs w:val="24"/>
        </w:rPr>
        <w:t>or Overseas Students (T</w:t>
      </w:r>
      <w:r>
        <w:rPr>
          <w:rFonts w:asciiTheme="minorHAnsi" w:hAnsiTheme="minorHAnsi" w:cstheme="minorHAnsi"/>
          <w:i/>
          <w:iCs/>
          <w:szCs w:val="24"/>
        </w:rPr>
        <w:t>PS</w:t>
      </w:r>
      <w:r w:rsidRPr="00E77F9E">
        <w:rPr>
          <w:rFonts w:asciiTheme="minorHAnsi" w:hAnsiTheme="minorHAnsi" w:cstheme="minorHAnsi"/>
          <w:i/>
          <w:iCs/>
          <w:szCs w:val="24"/>
        </w:rPr>
        <w:t xml:space="preserve"> Levies) (Administrative </w:t>
      </w:r>
      <w:r>
        <w:rPr>
          <w:rFonts w:asciiTheme="minorHAnsi" w:hAnsiTheme="minorHAnsi" w:cstheme="minorHAnsi"/>
          <w:i/>
          <w:iCs/>
          <w:szCs w:val="24"/>
        </w:rPr>
        <w:t>a</w:t>
      </w:r>
      <w:r w:rsidRPr="00E77F9E">
        <w:rPr>
          <w:rFonts w:asciiTheme="minorHAnsi" w:hAnsiTheme="minorHAnsi" w:cstheme="minorHAnsi"/>
          <w:i/>
          <w:iCs/>
          <w:szCs w:val="24"/>
        </w:rPr>
        <w:t>nd Base Fees) Determination 202</w:t>
      </w:r>
      <w:r>
        <w:rPr>
          <w:rFonts w:asciiTheme="minorHAnsi" w:hAnsiTheme="minorHAnsi" w:cstheme="minorHAnsi"/>
          <w:i/>
          <w:iCs/>
          <w:szCs w:val="24"/>
        </w:rPr>
        <w:t>0</w:t>
      </w:r>
      <w:r w:rsidRPr="00E77F9E">
        <w:rPr>
          <w:rFonts w:asciiTheme="minorHAnsi" w:hAnsiTheme="minorHAnsi" w:cstheme="minorHAnsi"/>
          <w:iCs/>
        </w:rPr>
        <w:t xml:space="preserve"> (</w:t>
      </w:r>
      <w:r w:rsidR="000A56E3" w:rsidRPr="000A56E3">
        <w:rPr>
          <w:rFonts w:asciiTheme="minorHAnsi" w:hAnsiTheme="minorHAnsi" w:cstheme="minorHAnsi"/>
          <w:iCs/>
        </w:rPr>
        <w:t>F2020L01638</w:t>
      </w:r>
      <w:r w:rsidRPr="00E77F9E">
        <w:rPr>
          <w:rFonts w:asciiTheme="minorHAnsi" w:hAnsiTheme="minorHAnsi" w:cstheme="minorHAnsi"/>
          <w:iCs/>
        </w:rPr>
        <w:t xml:space="preserve">) </w:t>
      </w:r>
      <w:r>
        <w:rPr>
          <w:rFonts w:asciiTheme="minorHAnsi" w:hAnsiTheme="minorHAnsi" w:cstheme="minorHAnsi"/>
          <w:iCs/>
        </w:rPr>
        <w:t xml:space="preserve">(the </w:t>
      </w:r>
      <w:r w:rsidRPr="00E77F9E">
        <w:rPr>
          <w:rFonts w:asciiTheme="minorHAnsi" w:hAnsiTheme="minorHAnsi" w:cstheme="minorHAnsi"/>
          <w:iCs/>
        </w:rPr>
        <w:t>former instrument</w:t>
      </w:r>
      <w:r>
        <w:rPr>
          <w:rFonts w:asciiTheme="minorHAnsi" w:hAnsiTheme="minorHAnsi" w:cstheme="minorHAnsi"/>
          <w:iCs/>
        </w:rPr>
        <w:t>)</w:t>
      </w:r>
      <w:r w:rsidRPr="00E77F9E">
        <w:rPr>
          <w:rFonts w:asciiTheme="minorHAnsi" w:hAnsiTheme="minorHAnsi" w:cstheme="minorHAnsi"/>
          <w:iCs/>
        </w:rPr>
        <w:t xml:space="preserve"> and the </w:t>
      </w:r>
      <w:r w:rsidR="007F360E" w:rsidRPr="007F360E">
        <w:rPr>
          <w:rFonts w:asciiTheme="minorHAnsi" w:hAnsiTheme="minorHAnsi" w:cstheme="minorHAnsi"/>
          <w:i/>
        </w:rPr>
        <w:t>Education Services for Overseas Students (TPS Levies) Act 2012 (Levy exemptions) Determination 2012 (No. 1)</w:t>
      </w:r>
      <w:r w:rsidR="007F360E">
        <w:rPr>
          <w:rFonts w:asciiTheme="minorHAnsi" w:hAnsiTheme="minorHAnsi" w:cstheme="minorHAnsi"/>
          <w:i/>
        </w:rPr>
        <w:t xml:space="preserve"> </w:t>
      </w:r>
      <w:r w:rsidR="00353D3E">
        <w:rPr>
          <w:rFonts w:asciiTheme="minorHAnsi" w:hAnsiTheme="minorHAnsi" w:cstheme="minorHAnsi"/>
          <w:iCs/>
        </w:rPr>
        <w:t>(</w:t>
      </w:r>
      <w:r w:rsidR="00353D3E" w:rsidRPr="00353D3E">
        <w:rPr>
          <w:rFonts w:asciiTheme="minorHAnsi" w:hAnsiTheme="minorHAnsi" w:cstheme="minorHAnsi"/>
          <w:iCs/>
        </w:rPr>
        <w:t>F2012L01382</w:t>
      </w:r>
      <w:r w:rsidR="00353D3E">
        <w:rPr>
          <w:rFonts w:asciiTheme="minorHAnsi" w:hAnsiTheme="minorHAnsi" w:cstheme="minorHAnsi"/>
          <w:iCs/>
        </w:rPr>
        <w:t>)</w:t>
      </w:r>
      <w:r w:rsidR="00353D3E" w:rsidRPr="00353D3E">
        <w:rPr>
          <w:rFonts w:asciiTheme="minorHAnsi" w:hAnsiTheme="minorHAnsi" w:cstheme="minorHAnsi"/>
          <w:iCs/>
        </w:rPr>
        <w:t xml:space="preserve"> </w:t>
      </w:r>
      <w:r w:rsidR="007F360E">
        <w:rPr>
          <w:rFonts w:asciiTheme="minorHAnsi" w:hAnsiTheme="minorHAnsi" w:cstheme="minorHAnsi"/>
          <w:iCs/>
        </w:rPr>
        <w:t>(the exemption instrument)</w:t>
      </w:r>
      <w:r w:rsidRPr="007F360E">
        <w:rPr>
          <w:rFonts w:asciiTheme="minorHAnsi" w:hAnsiTheme="minorHAnsi" w:cstheme="minorHAnsi"/>
          <w:iCs/>
        </w:rPr>
        <w:t>,</w:t>
      </w:r>
      <w:r w:rsidRPr="007F360E">
        <w:rPr>
          <w:rFonts w:asciiTheme="minorHAnsi" w:hAnsiTheme="minorHAnsi" w:cstheme="minorHAnsi"/>
          <w:i/>
        </w:rPr>
        <w:t xml:space="preserve"> </w:t>
      </w:r>
      <w:r w:rsidRPr="00E77F9E">
        <w:rPr>
          <w:rFonts w:asciiTheme="minorHAnsi" w:hAnsiTheme="minorHAnsi" w:cstheme="minorHAnsi"/>
          <w:iCs/>
        </w:rPr>
        <w:t>commences on 1 January 202</w:t>
      </w:r>
      <w:r w:rsidR="003F61F2">
        <w:rPr>
          <w:rFonts w:asciiTheme="minorHAnsi" w:hAnsiTheme="minorHAnsi" w:cstheme="minorHAnsi"/>
          <w:iCs/>
        </w:rPr>
        <w:t>2</w:t>
      </w:r>
      <w:r w:rsidRPr="00E77F9E">
        <w:rPr>
          <w:rFonts w:asciiTheme="minorHAnsi" w:hAnsiTheme="minorHAnsi" w:cstheme="minorHAnsi"/>
          <w:iCs/>
        </w:rPr>
        <w:t>.</w:t>
      </w:r>
    </w:p>
    <w:p w14:paraId="3287C071" w14:textId="680CFCB6" w:rsidR="00E631F9" w:rsidRPr="00E77F9E" w:rsidRDefault="00E631F9" w:rsidP="00E77F9E">
      <w:pPr>
        <w:keepNext/>
        <w:rPr>
          <w:rFonts w:asciiTheme="minorHAnsi" w:hAnsiTheme="minorHAnsi" w:cstheme="minorHAnsi"/>
          <w:b/>
          <w:u w:val="single"/>
        </w:rPr>
      </w:pPr>
      <w:r w:rsidRPr="00E77F9E">
        <w:rPr>
          <w:rFonts w:asciiTheme="minorHAnsi" w:hAnsiTheme="minorHAnsi" w:cstheme="minorHAnsi"/>
          <w:b/>
          <w:u w:val="single"/>
        </w:rPr>
        <w:t>Section 3: Authority</w:t>
      </w:r>
    </w:p>
    <w:p w14:paraId="1CEE71F7" w14:textId="26D71851" w:rsidR="00E631F9" w:rsidRPr="00E77F9E" w:rsidRDefault="00E77F9E" w:rsidP="00202BF0">
      <w:pPr>
        <w:pStyle w:val="ListParagraph"/>
        <w:keepNext/>
        <w:numPr>
          <w:ilvl w:val="0"/>
          <w:numId w:val="3"/>
        </w:numPr>
        <w:spacing w:before="360" w:after="120"/>
        <w:rPr>
          <w:rFonts w:asciiTheme="minorHAnsi" w:hAnsiTheme="minorHAnsi" w:cstheme="minorHAnsi"/>
          <w:i/>
        </w:rPr>
      </w:pPr>
      <w:r w:rsidRPr="00E77F9E">
        <w:rPr>
          <w:rFonts w:asciiTheme="minorHAnsi" w:hAnsiTheme="minorHAnsi" w:cstheme="minorHAnsi"/>
          <w:iCs/>
        </w:rPr>
        <w:t xml:space="preserve">The Instrument is made by the Minister under section 7A of the </w:t>
      </w:r>
      <w:r w:rsidRPr="00E77F9E">
        <w:rPr>
          <w:rFonts w:asciiTheme="minorHAnsi" w:hAnsiTheme="minorHAnsi" w:cstheme="minorHAnsi"/>
          <w:i/>
        </w:rPr>
        <w:t>Education Services for Overseas Students (TPS Levies) Act 2012</w:t>
      </w:r>
      <w:r w:rsidRPr="00E77F9E">
        <w:rPr>
          <w:rFonts w:asciiTheme="minorHAnsi" w:hAnsiTheme="minorHAnsi" w:cstheme="minorHAnsi"/>
          <w:iCs/>
        </w:rPr>
        <w:t xml:space="preserve"> (the Act).</w:t>
      </w:r>
    </w:p>
    <w:p w14:paraId="3FDA9C6C" w14:textId="77777777" w:rsidR="00E77F9E" w:rsidRPr="00E631F9" w:rsidRDefault="00E77F9E" w:rsidP="00E77F9E">
      <w:pPr>
        <w:keepNext/>
        <w:spacing w:before="360" w:after="120"/>
        <w:rPr>
          <w:rFonts w:asciiTheme="minorHAnsi" w:hAnsiTheme="minorHAnsi" w:cstheme="minorHAnsi"/>
        </w:rPr>
      </w:pPr>
      <w:r>
        <w:rPr>
          <w:rFonts w:asciiTheme="minorHAnsi" w:hAnsiTheme="minorHAnsi" w:cstheme="minorHAnsi"/>
          <w:b/>
          <w:u w:val="single"/>
        </w:rPr>
        <w:t>Section 4: Schedules</w:t>
      </w:r>
    </w:p>
    <w:p w14:paraId="40AFA005" w14:textId="3B5012B6" w:rsidR="00E77F9E" w:rsidRDefault="00E77F9E" w:rsidP="00202BF0">
      <w:pPr>
        <w:pStyle w:val="ListParagraph"/>
        <w:numPr>
          <w:ilvl w:val="0"/>
          <w:numId w:val="3"/>
        </w:numPr>
        <w:spacing w:before="360" w:after="120"/>
        <w:rPr>
          <w:rFonts w:asciiTheme="minorHAnsi" w:hAnsiTheme="minorHAnsi" w:cstheme="minorHAnsi"/>
          <w:iCs/>
          <w:szCs w:val="24"/>
        </w:rPr>
      </w:pPr>
      <w:r>
        <w:rPr>
          <w:rFonts w:asciiTheme="minorHAnsi" w:hAnsiTheme="minorHAnsi" w:cstheme="minorHAnsi"/>
          <w:iCs/>
          <w:szCs w:val="24"/>
        </w:rPr>
        <w:t>This section clarifies that Schedule 1 is effective on its terms. That is, to repeal the</w:t>
      </w:r>
      <w:r>
        <w:rPr>
          <w:rFonts w:asciiTheme="minorHAnsi" w:hAnsiTheme="minorHAnsi" w:cstheme="minorHAnsi"/>
          <w:szCs w:val="24"/>
        </w:rPr>
        <w:t xml:space="preserve"> former instrument</w:t>
      </w:r>
      <w:r>
        <w:rPr>
          <w:rFonts w:asciiTheme="minorHAnsi" w:hAnsiTheme="minorHAnsi" w:cstheme="minorHAnsi"/>
          <w:iCs/>
          <w:szCs w:val="24"/>
        </w:rPr>
        <w:t xml:space="preserve"> and the </w:t>
      </w:r>
      <w:r w:rsidR="007F360E">
        <w:rPr>
          <w:rFonts w:asciiTheme="minorHAnsi" w:hAnsiTheme="minorHAnsi" w:cstheme="minorHAnsi"/>
          <w:iCs/>
          <w:szCs w:val="24"/>
        </w:rPr>
        <w:t>exemption instrument</w:t>
      </w:r>
      <w:r>
        <w:rPr>
          <w:rFonts w:asciiTheme="minorHAnsi" w:hAnsiTheme="minorHAnsi" w:cstheme="minorHAnsi"/>
          <w:iCs/>
          <w:szCs w:val="24"/>
        </w:rPr>
        <w:t xml:space="preserve">. </w:t>
      </w:r>
    </w:p>
    <w:p w14:paraId="485A9339" w14:textId="77777777" w:rsidR="00E77F9E" w:rsidRDefault="00E77F9E" w:rsidP="00E77F9E">
      <w:pPr>
        <w:spacing w:before="360" w:after="120"/>
        <w:rPr>
          <w:rFonts w:asciiTheme="minorHAnsi" w:hAnsiTheme="minorHAnsi" w:cstheme="minorHAnsi"/>
          <w:b/>
          <w:u w:val="single"/>
        </w:rPr>
      </w:pPr>
      <w:r w:rsidRPr="005454BF">
        <w:rPr>
          <w:rFonts w:asciiTheme="minorHAnsi" w:hAnsiTheme="minorHAnsi" w:cstheme="minorHAnsi"/>
          <w:b/>
          <w:u w:val="single"/>
        </w:rPr>
        <w:t xml:space="preserve">Section </w:t>
      </w:r>
      <w:r>
        <w:rPr>
          <w:rFonts w:asciiTheme="minorHAnsi" w:hAnsiTheme="minorHAnsi" w:cstheme="minorHAnsi"/>
          <w:b/>
          <w:u w:val="single"/>
        </w:rPr>
        <w:t>5: Definitions</w:t>
      </w:r>
    </w:p>
    <w:p w14:paraId="55CEDDC1" w14:textId="6FD34350" w:rsidR="00E77F9E" w:rsidRDefault="00E77F9E" w:rsidP="00202BF0">
      <w:pPr>
        <w:pStyle w:val="ListParagraph"/>
        <w:numPr>
          <w:ilvl w:val="0"/>
          <w:numId w:val="3"/>
        </w:numPr>
        <w:spacing w:before="360" w:after="120"/>
        <w:rPr>
          <w:rFonts w:asciiTheme="minorHAnsi" w:hAnsiTheme="minorHAnsi" w:cstheme="minorHAnsi"/>
        </w:rPr>
      </w:pPr>
      <w:r>
        <w:rPr>
          <w:rFonts w:asciiTheme="minorHAnsi" w:hAnsiTheme="minorHAnsi" w:cstheme="minorHAnsi"/>
        </w:rPr>
        <w:t>This section provides definitions for terms used in the Instrument.</w:t>
      </w:r>
    </w:p>
    <w:p w14:paraId="1BFAA745" w14:textId="3DAD8D9C" w:rsidR="00FE2B2E" w:rsidRDefault="00FE2B2E" w:rsidP="00202BF0">
      <w:pPr>
        <w:pStyle w:val="ListParagraph"/>
        <w:numPr>
          <w:ilvl w:val="0"/>
          <w:numId w:val="3"/>
        </w:numPr>
        <w:spacing w:before="360" w:after="120"/>
        <w:rPr>
          <w:rFonts w:asciiTheme="minorHAnsi" w:hAnsiTheme="minorHAnsi" w:cstheme="minorHAnsi"/>
        </w:rPr>
      </w:pPr>
      <w:r>
        <w:rPr>
          <w:rFonts w:asciiTheme="minorHAnsi" w:hAnsiTheme="minorHAnsi" w:cstheme="minorHAnsi"/>
        </w:rPr>
        <w:t xml:space="preserve">In section 4 of the </w:t>
      </w:r>
      <w:r w:rsidRPr="00FE2B2E">
        <w:rPr>
          <w:rFonts w:asciiTheme="minorHAnsi" w:hAnsiTheme="minorHAnsi" w:cstheme="minorHAnsi"/>
          <w:i/>
          <w:iCs/>
        </w:rPr>
        <w:t>Schools Assistance (Learning Together – Achievement Through Choice and Opportunity) Act 2004</w:t>
      </w:r>
      <w:r w:rsidRPr="00FE2B2E">
        <w:rPr>
          <w:rFonts w:asciiTheme="minorHAnsi" w:hAnsiTheme="minorHAnsi" w:cstheme="minorHAnsi"/>
        </w:rPr>
        <w:t xml:space="preserve">, </w:t>
      </w:r>
      <w:r>
        <w:rPr>
          <w:rFonts w:asciiTheme="minorHAnsi" w:hAnsiTheme="minorHAnsi" w:cstheme="minorHAnsi"/>
        </w:rPr>
        <w:t xml:space="preserve">‘government school’ </w:t>
      </w:r>
      <w:r w:rsidRPr="00FE2B2E">
        <w:rPr>
          <w:rFonts w:asciiTheme="minorHAnsi" w:hAnsiTheme="minorHAnsi" w:cstheme="minorHAnsi"/>
        </w:rPr>
        <w:t>in relation to a State, means a school in the State that is conducted by or on behalf of the Government of the State.</w:t>
      </w:r>
    </w:p>
    <w:p w14:paraId="29B46181" w14:textId="289E6706" w:rsidR="00FE2B2E" w:rsidRDefault="00FE2B2E" w:rsidP="00202BF0">
      <w:pPr>
        <w:pStyle w:val="ListParagraph"/>
        <w:numPr>
          <w:ilvl w:val="0"/>
          <w:numId w:val="3"/>
        </w:numPr>
        <w:spacing w:before="360" w:after="120"/>
        <w:rPr>
          <w:rFonts w:asciiTheme="minorHAnsi" w:hAnsiTheme="minorHAnsi" w:cstheme="minorHAnsi"/>
        </w:rPr>
      </w:pPr>
      <w:r>
        <w:rPr>
          <w:rFonts w:asciiTheme="minorHAnsi" w:hAnsiTheme="minorHAnsi" w:cstheme="minorHAnsi"/>
        </w:rPr>
        <w:t xml:space="preserve">In section 4 of the </w:t>
      </w:r>
      <w:r w:rsidRPr="00FE2B2E">
        <w:rPr>
          <w:rFonts w:asciiTheme="minorHAnsi" w:hAnsiTheme="minorHAnsi" w:cstheme="minorHAnsi"/>
          <w:i/>
          <w:iCs/>
        </w:rPr>
        <w:t>Schools Assistance (Learning Together – Achievement Through Choice and Opportunity) Act 2004</w:t>
      </w:r>
      <w:r w:rsidRPr="00FE2B2E">
        <w:rPr>
          <w:rFonts w:asciiTheme="minorHAnsi" w:hAnsiTheme="minorHAnsi" w:cstheme="minorHAnsi"/>
        </w:rPr>
        <w:t>,</w:t>
      </w:r>
      <w:r>
        <w:rPr>
          <w:rFonts w:asciiTheme="minorHAnsi" w:hAnsiTheme="minorHAnsi" w:cstheme="minorHAnsi"/>
        </w:rPr>
        <w:t xml:space="preserve"> ‘non-government school’</w:t>
      </w:r>
      <w:r w:rsidRPr="00FE2B2E">
        <w:t xml:space="preserve"> </w:t>
      </w:r>
      <w:r w:rsidRPr="00FE2B2E">
        <w:rPr>
          <w:rFonts w:asciiTheme="minorHAnsi" w:hAnsiTheme="minorHAnsi" w:cstheme="minorHAnsi"/>
        </w:rPr>
        <w:t>means a school in a State that is not conducted by or on behalf of the Government of a State, but does not include a school conducted for profit.</w:t>
      </w:r>
    </w:p>
    <w:p w14:paraId="24467C45" w14:textId="77777777" w:rsidR="004C05DC" w:rsidRDefault="004C05DC" w:rsidP="004C05DC">
      <w:pPr>
        <w:pStyle w:val="ListParagraph"/>
        <w:numPr>
          <w:ilvl w:val="0"/>
          <w:numId w:val="3"/>
        </w:numPr>
        <w:spacing w:before="360" w:after="120"/>
        <w:rPr>
          <w:rFonts w:asciiTheme="minorHAnsi" w:hAnsiTheme="minorHAnsi" w:cstheme="minorHAnsi"/>
        </w:rPr>
      </w:pPr>
      <w:r>
        <w:rPr>
          <w:rFonts w:asciiTheme="minorHAnsi" w:hAnsiTheme="minorHAnsi" w:cstheme="minorHAnsi"/>
        </w:rPr>
        <w:lastRenderedPageBreak/>
        <w:t xml:space="preserve">In section 5 of the </w:t>
      </w:r>
      <w:r w:rsidRPr="00FE2B2E">
        <w:rPr>
          <w:rFonts w:asciiTheme="minorHAnsi" w:hAnsiTheme="minorHAnsi" w:cstheme="minorHAnsi"/>
          <w:i/>
          <w:iCs/>
        </w:rPr>
        <w:t>Education Services for Overseas Students Act 2000</w:t>
      </w:r>
      <w:r>
        <w:rPr>
          <w:rFonts w:asciiTheme="minorHAnsi" w:hAnsiTheme="minorHAnsi" w:cstheme="minorHAnsi"/>
        </w:rPr>
        <w:t>, ‘</w:t>
      </w:r>
      <w:r w:rsidRPr="00FE2B2E">
        <w:rPr>
          <w:rFonts w:asciiTheme="minorHAnsi" w:hAnsiTheme="minorHAnsi" w:cstheme="minorHAnsi"/>
        </w:rPr>
        <w:t>registered provider</w:t>
      </w:r>
      <w:r>
        <w:rPr>
          <w:rFonts w:asciiTheme="minorHAnsi" w:hAnsiTheme="minorHAnsi" w:cstheme="minorHAnsi"/>
        </w:rPr>
        <w:t>’</w:t>
      </w:r>
      <w:r w:rsidRPr="00FE2B2E">
        <w:rPr>
          <w:rFonts w:asciiTheme="minorHAnsi" w:hAnsiTheme="minorHAnsi" w:cstheme="minorHAnsi"/>
        </w:rPr>
        <w:t xml:space="preserve"> for a course for a location means a provider that is registered to provide the course at the location.</w:t>
      </w:r>
    </w:p>
    <w:p w14:paraId="5FE3228D" w14:textId="1B5C69FB" w:rsidR="00FE2B2E" w:rsidRPr="004C05DC" w:rsidRDefault="00FE2B2E" w:rsidP="004C05DC">
      <w:pPr>
        <w:pStyle w:val="ListParagraph"/>
        <w:numPr>
          <w:ilvl w:val="0"/>
          <w:numId w:val="3"/>
        </w:numPr>
        <w:spacing w:before="360" w:after="120"/>
        <w:rPr>
          <w:rFonts w:asciiTheme="minorHAnsi" w:hAnsiTheme="minorHAnsi" w:cstheme="minorHAnsi"/>
        </w:rPr>
      </w:pPr>
      <w:r>
        <w:rPr>
          <w:rFonts w:asciiTheme="minorHAnsi" w:hAnsiTheme="minorHAnsi" w:cstheme="minorHAnsi"/>
        </w:rPr>
        <w:t xml:space="preserve">Section 16-15 of the </w:t>
      </w:r>
      <w:r>
        <w:rPr>
          <w:rFonts w:asciiTheme="minorHAnsi" w:hAnsiTheme="minorHAnsi" w:cstheme="minorHAnsi"/>
          <w:i/>
          <w:iCs/>
        </w:rPr>
        <w:t>Higher Education Support Act 2003</w:t>
      </w:r>
      <w:r>
        <w:rPr>
          <w:rFonts w:asciiTheme="minorHAnsi" w:hAnsiTheme="minorHAnsi" w:cstheme="minorHAnsi"/>
        </w:rPr>
        <w:t xml:space="preserve"> lists providers which are Table A providers. </w:t>
      </w:r>
    </w:p>
    <w:p w14:paraId="27CFDF3B" w14:textId="77777777" w:rsidR="00E77F9E" w:rsidRPr="00E77F9E" w:rsidRDefault="00E77F9E" w:rsidP="00E77F9E">
      <w:pPr>
        <w:spacing w:before="360" w:after="120"/>
        <w:rPr>
          <w:rFonts w:asciiTheme="minorHAnsi" w:hAnsiTheme="minorHAnsi" w:cstheme="minorHAnsi"/>
          <w:b/>
          <w:u w:val="single"/>
        </w:rPr>
      </w:pPr>
      <w:r w:rsidRPr="00E77F9E">
        <w:rPr>
          <w:rFonts w:asciiTheme="minorHAnsi" w:hAnsiTheme="minorHAnsi" w:cstheme="minorHAnsi"/>
          <w:b/>
          <w:u w:val="single"/>
        </w:rPr>
        <w:t>Section 6: Determination of administrative fee component</w:t>
      </w:r>
    </w:p>
    <w:p w14:paraId="6CB3A369" w14:textId="1AE9D942" w:rsidR="00E77F9E" w:rsidRPr="00E77F9E" w:rsidRDefault="00E77F9E" w:rsidP="00202BF0">
      <w:pPr>
        <w:pStyle w:val="ListParagraph"/>
        <w:numPr>
          <w:ilvl w:val="0"/>
          <w:numId w:val="3"/>
        </w:numPr>
        <w:spacing w:after="160" w:line="259" w:lineRule="auto"/>
        <w:rPr>
          <w:rFonts w:asciiTheme="minorHAnsi" w:hAnsiTheme="minorHAnsi" w:cstheme="minorHAnsi"/>
        </w:rPr>
      </w:pPr>
      <w:r w:rsidRPr="00E77F9E">
        <w:rPr>
          <w:rFonts w:asciiTheme="minorHAnsi" w:hAnsiTheme="minorHAnsi" w:cstheme="minorHAnsi"/>
        </w:rPr>
        <w:t>Section 6 sets the dollar amount</w:t>
      </w:r>
      <w:r w:rsidR="003F61F2">
        <w:rPr>
          <w:rFonts w:asciiTheme="minorHAnsi" w:hAnsiTheme="minorHAnsi" w:cstheme="minorHAnsi"/>
        </w:rPr>
        <w:t xml:space="preserve"> at zero</w:t>
      </w:r>
      <w:r w:rsidRPr="00E77F9E">
        <w:rPr>
          <w:rFonts w:asciiTheme="minorHAnsi" w:hAnsiTheme="minorHAnsi" w:cstheme="minorHAnsi"/>
        </w:rPr>
        <w:t xml:space="preserve"> for the administrative fee component of the TPS levy for the calendar year beginning on 1 January 202</w:t>
      </w:r>
      <w:r>
        <w:rPr>
          <w:rFonts w:asciiTheme="minorHAnsi" w:hAnsiTheme="minorHAnsi" w:cstheme="minorHAnsi"/>
        </w:rPr>
        <w:t>2</w:t>
      </w:r>
      <w:r w:rsidRPr="00E77F9E">
        <w:rPr>
          <w:rFonts w:asciiTheme="minorHAnsi" w:hAnsiTheme="minorHAnsi" w:cstheme="minorHAnsi"/>
        </w:rPr>
        <w:t xml:space="preserve">. Section 6 determines the amounts for the purposes of paragraphs 6(a) and (b) of the Act. </w:t>
      </w:r>
    </w:p>
    <w:p w14:paraId="4290F033" w14:textId="77777777" w:rsidR="00E77F9E" w:rsidRPr="00E77F9E" w:rsidRDefault="00E77F9E" w:rsidP="00202BF0">
      <w:pPr>
        <w:pStyle w:val="ListParagraph"/>
        <w:numPr>
          <w:ilvl w:val="0"/>
          <w:numId w:val="3"/>
        </w:numPr>
        <w:spacing w:after="160" w:line="259" w:lineRule="auto"/>
        <w:rPr>
          <w:rFonts w:asciiTheme="minorHAnsi" w:hAnsiTheme="minorHAnsi" w:cstheme="minorHAnsi"/>
        </w:rPr>
      </w:pPr>
      <w:r w:rsidRPr="00E77F9E">
        <w:rPr>
          <w:rFonts w:asciiTheme="minorHAnsi" w:hAnsiTheme="minorHAnsi" w:cstheme="minorHAnsi"/>
        </w:rPr>
        <w:t xml:space="preserve">The Minister retains the ability to increase these amounts (for future years), up to the upper limits set out in subsection 7A(3) of the Act, to ensure adequate tuition protection for students should a spate of large provider closures occur (which would affect the ongoing administration costs of the tuition protection arrangements). </w:t>
      </w:r>
    </w:p>
    <w:p w14:paraId="4D5BB483" w14:textId="5CE03D28" w:rsidR="00E77F9E" w:rsidRPr="00E77F9E" w:rsidRDefault="00E77F9E" w:rsidP="00202BF0">
      <w:pPr>
        <w:pStyle w:val="ListParagraph"/>
        <w:numPr>
          <w:ilvl w:val="0"/>
          <w:numId w:val="3"/>
        </w:numPr>
        <w:spacing w:after="160" w:line="259" w:lineRule="auto"/>
        <w:rPr>
          <w:rFonts w:asciiTheme="minorHAnsi" w:hAnsiTheme="minorHAnsi" w:cstheme="minorHAnsi"/>
        </w:rPr>
      </w:pPr>
      <w:r w:rsidRPr="00E77F9E">
        <w:rPr>
          <w:rFonts w:asciiTheme="minorHAnsi" w:hAnsiTheme="minorHAnsi" w:cstheme="minorHAnsi"/>
        </w:rPr>
        <w:t>The Minister has considered the sustainability of the Overseas Students Tuition Protection Fund in setting these amounts and had regard to other matters</w:t>
      </w:r>
      <w:r>
        <w:rPr>
          <w:rFonts w:asciiTheme="minorHAnsi" w:hAnsiTheme="minorHAnsi" w:cstheme="minorHAnsi"/>
        </w:rPr>
        <w:t>,</w:t>
      </w:r>
      <w:r w:rsidRPr="00E77F9E">
        <w:rPr>
          <w:rFonts w:asciiTheme="minorHAnsi" w:hAnsiTheme="minorHAnsi" w:cstheme="minorHAnsi"/>
        </w:rPr>
        <w:t xml:space="preserve"> such as the impact of the COVID-19 pandemic on the sector.</w:t>
      </w:r>
    </w:p>
    <w:p w14:paraId="271CC411" w14:textId="77777777" w:rsidR="00E77F9E" w:rsidRPr="00E77F9E" w:rsidRDefault="00E77F9E" w:rsidP="00E77F9E">
      <w:pPr>
        <w:spacing w:before="360" w:after="120"/>
        <w:rPr>
          <w:rFonts w:asciiTheme="minorHAnsi" w:hAnsiTheme="minorHAnsi" w:cstheme="minorHAnsi"/>
          <w:b/>
          <w:u w:val="single"/>
        </w:rPr>
      </w:pPr>
      <w:r w:rsidRPr="00E77F9E">
        <w:rPr>
          <w:rFonts w:asciiTheme="minorHAnsi" w:hAnsiTheme="minorHAnsi" w:cstheme="minorHAnsi"/>
          <w:b/>
          <w:u w:val="single"/>
        </w:rPr>
        <w:t xml:space="preserve">Section 7: Determination of base fee component </w:t>
      </w:r>
    </w:p>
    <w:p w14:paraId="159A77B4" w14:textId="7B666D55" w:rsidR="00E77F9E" w:rsidRPr="00E77F9E" w:rsidRDefault="00E77F9E" w:rsidP="00202BF0">
      <w:pPr>
        <w:pStyle w:val="ListParagraph"/>
        <w:numPr>
          <w:ilvl w:val="0"/>
          <w:numId w:val="3"/>
        </w:numPr>
        <w:spacing w:after="160" w:line="259" w:lineRule="auto"/>
        <w:rPr>
          <w:rFonts w:asciiTheme="minorHAnsi" w:hAnsiTheme="minorHAnsi" w:cstheme="minorHAnsi"/>
        </w:rPr>
      </w:pPr>
      <w:r w:rsidRPr="00E77F9E">
        <w:rPr>
          <w:rFonts w:asciiTheme="minorHAnsi" w:hAnsiTheme="minorHAnsi" w:cstheme="minorHAnsi"/>
        </w:rPr>
        <w:t>Section 7 sets the dollar amount</w:t>
      </w:r>
      <w:r w:rsidR="003F61F2">
        <w:rPr>
          <w:rFonts w:asciiTheme="minorHAnsi" w:hAnsiTheme="minorHAnsi" w:cstheme="minorHAnsi"/>
        </w:rPr>
        <w:t xml:space="preserve"> at zero</w:t>
      </w:r>
      <w:r w:rsidRPr="00E77F9E">
        <w:rPr>
          <w:rFonts w:asciiTheme="minorHAnsi" w:hAnsiTheme="minorHAnsi" w:cstheme="minorHAnsi"/>
        </w:rPr>
        <w:t xml:space="preserve"> for the base fee component for the calendar year beginning on 1 January 202</w:t>
      </w:r>
      <w:r>
        <w:rPr>
          <w:rFonts w:asciiTheme="minorHAnsi" w:hAnsiTheme="minorHAnsi" w:cstheme="minorHAnsi"/>
        </w:rPr>
        <w:t>2</w:t>
      </w:r>
      <w:r w:rsidRPr="00E77F9E">
        <w:rPr>
          <w:rFonts w:asciiTheme="minorHAnsi" w:hAnsiTheme="minorHAnsi" w:cstheme="minorHAnsi"/>
        </w:rPr>
        <w:t xml:space="preserve">. Section 7 determines the amounts for the purposes of paragraphs 7(a) and (b) of the Act. </w:t>
      </w:r>
    </w:p>
    <w:p w14:paraId="61EEEF5C" w14:textId="77777777" w:rsidR="00E77F9E" w:rsidRPr="00E77F9E" w:rsidRDefault="00E77F9E" w:rsidP="00202BF0">
      <w:pPr>
        <w:pStyle w:val="ListParagraph"/>
        <w:numPr>
          <w:ilvl w:val="0"/>
          <w:numId w:val="3"/>
        </w:numPr>
        <w:spacing w:after="160" w:line="259" w:lineRule="auto"/>
        <w:rPr>
          <w:rFonts w:asciiTheme="minorHAnsi" w:hAnsiTheme="minorHAnsi" w:cstheme="minorHAnsi"/>
        </w:rPr>
      </w:pPr>
      <w:r w:rsidRPr="00E77F9E">
        <w:rPr>
          <w:rFonts w:asciiTheme="minorHAnsi" w:hAnsiTheme="minorHAnsi" w:cstheme="minorHAnsi"/>
        </w:rPr>
        <w:t xml:space="preserve">The Minister retains the ability to increase these amounts (for future years), up to the upper limits set out in subsection 7A(3) of the Act, to ensure adequate tuition protection for students should a spate of large provider closures occur (which would affect the ongoing administration costs of the tuition protection arrangements). </w:t>
      </w:r>
    </w:p>
    <w:p w14:paraId="26617464" w14:textId="2CEE9A8A" w:rsidR="00E77F9E" w:rsidRPr="00E77F9E" w:rsidRDefault="00E77F9E" w:rsidP="00202BF0">
      <w:pPr>
        <w:pStyle w:val="ListParagraph"/>
        <w:numPr>
          <w:ilvl w:val="0"/>
          <w:numId w:val="3"/>
        </w:numPr>
        <w:spacing w:after="160" w:line="259" w:lineRule="auto"/>
        <w:rPr>
          <w:rFonts w:asciiTheme="minorHAnsi" w:hAnsiTheme="minorHAnsi" w:cstheme="minorHAnsi"/>
        </w:rPr>
      </w:pPr>
      <w:r w:rsidRPr="00E77F9E">
        <w:rPr>
          <w:rFonts w:asciiTheme="minorHAnsi" w:hAnsiTheme="minorHAnsi" w:cstheme="minorHAnsi"/>
        </w:rPr>
        <w:t>The Minister has considered the sustainability of the Overseas Students Tuition Protection Fund in setting these amounts and had regard to other matters</w:t>
      </w:r>
      <w:r>
        <w:rPr>
          <w:rFonts w:asciiTheme="minorHAnsi" w:hAnsiTheme="minorHAnsi" w:cstheme="minorHAnsi"/>
        </w:rPr>
        <w:t>,</w:t>
      </w:r>
      <w:r w:rsidRPr="00E77F9E">
        <w:rPr>
          <w:rFonts w:asciiTheme="minorHAnsi" w:hAnsiTheme="minorHAnsi" w:cstheme="minorHAnsi"/>
        </w:rPr>
        <w:t xml:space="preserve"> such as the impact of the COVID-19 pandemic on the sector. </w:t>
      </w:r>
    </w:p>
    <w:p w14:paraId="21567FE1" w14:textId="77777777" w:rsidR="00E77F9E" w:rsidRDefault="00E77F9E" w:rsidP="00812B64">
      <w:pPr>
        <w:rPr>
          <w:rFonts w:asciiTheme="minorHAnsi" w:hAnsiTheme="minorHAnsi" w:cstheme="minorHAnsi"/>
          <w:b/>
        </w:rPr>
      </w:pPr>
      <w:r w:rsidRPr="005454BF">
        <w:rPr>
          <w:rFonts w:asciiTheme="minorHAnsi" w:hAnsiTheme="minorHAnsi" w:cstheme="minorHAnsi"/>
          <w:b/>
        </w:rPr>
        <w:t>SCHEDULE 1—</w:t>
      </w:r>
      <w:r>
        <w:rPr>
          <w:rFonts w:asciiTheme="minorHAnsi" w:hAnsiTheme="minorHAnsi" w:cstheme="minorHAnsi"/>
          <w:b/>
        </w:rPr>
        <w:t>REPEALS</w:t>
      </w:r>
    </w:p>
    <w:p w14:paraId="0E74994F" w14:textId="7650332D" w:rsidR="00E77F9E" w:rsidRPr="00D2539C" w:rsidRDefault="00E77F9E" w:rsidP="00812B64">
      <w:pPr>
        <w:rPr>
          <w:rFonts w:asciiTheme="minorHAnsi" w:hAnsiTheme="minorHAnsi" w:cstheme="minorHAnsi"/>
          <w:b/>
          <w:u w:val="single"/>
        </w:rPr>
      </w:pPr>
      <w:r w:rsidRPr="00D2539C">
        <w:rPr>
          <w:rFonts w:asciiTheme="minorHAnsi" w:hAnsiTheme="minorHAnsi" w:cstheme="minorHAnsi"/>
          <w:b/>
          <w:u w:val="single"/>
        </w:rPr>
        <w:t xml:space="preserve">Item 1: </w:t>
      </w:r>
      <w:r w:rsidR="007F360E">
        <w:rPr>
          <w:rFonts w:asciiTheme="minorHAnsi" w:hAnsiTheme="minorHAnsi" w:cstheme="minorHAnsi"/>
          <w:b/>
          <w:u w:val="single"/>
        </w:rPr>
        <w:t>T</w:t>
      </w:r>
      <w:r w:rsidRPr="00D2539C">
        <w:rPr>
          <w:rFonts w:asciiTheme="minorHAnsi" w:hAnsiTheme="minorHAnsi" w:cstheme="minorHAnsi"/>
          <w:b/>
          <w:u w:val="single"/>
        </w:rPr>
        <w:t>he whole of the instrument</w:t>
      </w:r>
    </w:p>
    <w:p w14:paraId="2A2A1284" w14:textId="5A22EDC1" w:rsidR="00E77F9E" w:rsidRPr="00E77F9E" w:rsidRDefault="00E77F9E" w:rsidP="00812B64">
      <w:pPr>
        <w:pStyle w:val="ListParagraph"/>
        <w:numPr>
          <w:ilvl w:val="0"/>
          <w:numId w:val="3"/>
        </w:numPr>
        <w:rPr>
          <w:rFonts w:asciiTheme="minorHAnsi" w:hAnsiTheme="minorHAnsi" w:cstheme="minorHAnsi"/>
          <w:b/>
        </w:rPr>
      </w:pPr>
      <w:r>
        <w:rPr>
          <w:rFonts w:asciiTheme="minorHAnsi" w:hAnsiTheme="minorHAnsi" w:cstheme="minorHAnsi"/>
          <w:iCs/>
          <w:szCs w:val="24"/>
        </w:rPr>
        <w:t xml:space="preserve">This item </w:t>
      </w:r>
      <w:r w:rsidRPr="00D2539C">
        <w:rPr>
          <w:rFonts w:asciiTheme="minorHAnsi" w:hAnsiTheme="minorHAnsi" w:cstheme="minorHAnsi"/>
          <w:iCs/>
          <w:szCs w:val="24"/>
        </w:rPr>
        <w:t>repeals the former instrument from 1 January 2022.</w:t>
      </w:r>
    </w:p>
    <w:p w14:paraId="0907EAF2" w14:textId="05BF73CE" w:rsidR="00E77F9E" w:rsidRPr="007F360E" w:rsidRDefault="00E77F9E" w:rsidP="00812B64">
      <w:pPr>
        <w:rPr>
          <w:rFonts w:asciiTheme="minorHAnsi" w:hAnsiTheme="minorHAnsi" w:cstheme="minorHAnsi"/>
          <w:b/>
          <w:u w:val="single"/>
        </w:rPr>
      </w:pPr>
      <w:r w:rsidRPr="007F360E">
        <w:rPr>
          <w:rFonts w:asciiTheme="minorHAnsi" w:hAnsiTheme="minorHAnsi" w:cstheme="minorHAnsi"/>
          <w:b/>
          <w:u w:val="single"/>
        </w:rPr>
        <w:t xml:space="preserve">Item 2: </w:t>
      </w:r>
      <w:r w:rsidR="007F360E" w:rsidRPr="007F360E">
        <w:rPr>
          <w:rFonts w:asciiTheme="minorHAnsi" w:hAnsiTheme="minorHAnsi" w:cstheme="minorHAnsi"/>
          <w:b/>
          <w:u w:val="single"/>
        </w:rPr>
        <w:t>T</w:t>
      </w:r>
      <w:r w:rsidRPr="007F360E">
        <w:rPr>
          <w:rFonts w:asciiTheme="minorHAnsi" w:hAnsiTheme="minorHAnsi" w:cstheme="minorHAnsi"/>
          <w:b/>
          <w:u w:val="single"/>
        </w:rPr>
        <w:t>he whole of the instrument</w:t>
      </w:r>
    </w:p>
    <w:p w14:paraId="3153428E" w14:textId="32695C55" w:rsidR="00E77F9E" w:rsidRPr="00E77F9E" w:rsidRDefault="00E77F9E" w:rsidP="00812B64">
      <w:pPr>
        <w:pStyle w:val="ListParagraph"/>
        <w:numPr>
          <w:ilvl w:val="0"/>
          <w:numId w:val="3"/>
        </w:numPr>
        <w:rPr>
          <w:rFonts w:asciiTheme="minorHAnsi" w:hAnsiTheme="minorHAnsi" w:cstheme="minorHAnsi"/>
          <w:b/>
        </w:rPr>
      </w:pPr>
      <w:r>
        <w:rPr>
          <w:rFonts w:asciiTheme="minorHAnsi" w:hAnsiTheme="minorHAnsi" w:cstheme="minorHAnsi"/>
          <w:iCs/>
          <w:szCs w:val="24"/>
        </w:rPr>
        <w:t xml:space="preserve">This item </w:t>
      </w:r>
      <w:r w:rsidRPr="00D2539C">
        <w:rPr>
          <w:rFonts w:asciiTheme="minorHAnsi" w:hAnsiTheme="minorHAnsi" w:cstheme="minorHAnsi"/>
          <w:iCs/>
          <w:szCs w:val="24"/>
        </w:rPr>
        <w:t xml:space="preserve">repeals the </w:t>
      </w:r>
      <w:r w:rsidR="007F360E">
        <w:rPr>
          <w:rFonts w:asciiTheme="minorHAnsi" w:hAnsiTheme="minorHAnsi" w:cstheme="minorHAnsi"/>
          <w:iCs/>
          <w:szCs w:val="24"/>
        </w:rPr>
        <w:t xml:space="preserve">exemption instrument </w:t>
      </w:r>
      <w:r w:rsidRPr="00D2539C">
        <w:rPr>
          <w:rFonts w:asciiTheme="minorHAnsi" w:hAnsiTheme="minorHAnsi" w:cstheme="minorHAnsi"/>
          <w:iCs/>
          <w:szCs w:val="24"/>
        </w:rPr>
        <w:t>from 1 January 2022</w:t>
      </w:r>
      <w:r>
        <w:rPr>
          <w:rFonts w:asciiTheme="minorHAnsi" w:hAnsiTheme="minorHAnsi" w:cstheme="minorHAnsi"/>
          <w:iCs/>
          <w:szCs w:val="24"/>
        </w:rPr>
        <w:t xml:space="preserve">, ahead of </w:t>
      </w:r>
      <w:r w:rsidR="007F360E">
        <w:rPr>
          <w:rFonts w:asciiTheme="minorHAnsi" w:hAnsiTheme="minorHAnsi" w:cstheme="minorHAnsi"/>
          <w:iCs/>
          <w:szCs w:val="24"/>
        </w:rPr>
        <w:t xml:space="preserve">it </w:t>
      </w:r>
      <w:r>
        <w:rPr>
          <w:rFonts w:asciiTheme="minorHAnsi" w:hAnsiTheme="minorHAnsi" w:cstheme="minorHAnsi"/>
          <w:iCs/>
          <w:szCs w:val="24"/>
        </w:rPr>
        <w:t>sunsetting on 1 April 2022.</w:t>
      </w:r>
    </w:p>
    <w:p w14:paraId="06AC3622" w14:textId="29730F56" w:rsidR="00E77F9E" w:rsidRPr="00E77F9E" w:rsidRDefault="00E77F9E" w:rsidP="00812B64">
      <w:pPr>
        <w:pStyle w:val="ListParagraph"/>
        <w:numPr>
          <w:ilvl w:val="0"/>
          <w:numId w:val="3"/>
        </w:numPr>
        <w:rPr>
          <w:rFonts w:asciiTheme="minorHAnsi" w:hAnsiTheme="minorHAnsi" w:cstheme="minorHAnsi"/>
          <w:b/>
        </w:rPr>
      </w:pPr>
      <w:r>
        <w:rPr>
          <w:rFonts w:asciiTheme="minorHAnsi" w:hAnsiTheme="minorHAnsi" w:cstheme="minorHAnsi"/>
          <w:iCs/>
          <w:szCs w:val="24"/>
        </w:rPr>
        <w:t xml:space="preserve">Given the components of the TPS levy have been set at zero, there is no need to remake the exemption instrument to exempt certain providers from the requirement to pay the TPS levy in 2022. </w:t>
      </w:r>
    </w:p>
    <w:p w14:paraId="2CC37215" w14:textId="44EBD8DD" w:rsidR="00E77F9E" w:rsidRDefault="003F61F2" w:rsidP="00E77F9E">
      <w:pPr>
        <w:spacing w:after="160" w:line="259" w:lineRule="auto"/>
        <w:rPr>
          <w:rFonts w:asciiTheme="minorHAnsi" w:hAnsiTheme="minorHAnsi" w:cstheme="minorHAnsi"/>
          <w:b/>
          <w:bCs/>
        </w:rPr>
      </w:pPr>
      <w:r>
        <w:rPr>
          <w:rFonts w:asciiTheme="minorHAnsi" w:hAnsiTheme="minorHAnsi" w:cstheme="minorHAnsi"/>
          <w:b/>
          <w:bCs/>
        </w:rPr>
        <w:lastRenderedPageBreak/>
        <w:t>ATTACHMENT A</w:t>
      </w:r>
    </w:p>
    <w:p w14:paraId="22733E66" w14:textId="77777777" w:rsidR="003F61F2" w:rsidRPr="003F61F2" w:rsidRDefault="003F61F2" w:rsidP="003F61F2">
      <w:pPr>
        <w:keepNext/>
        <w:keepLines/>
        <w:spacing w:before="480" w:after="240" w:line="264" w:lineRule="auto"/>
        <w:outlineLvl w:val="1"/>
        <w:rPr>
          <w:rFonts w:ascii="Century Gothic" w:eastAsia="Times New Roman" w:hAnsi="Century Gothic" w:cs="Times New Roman"/>
          <w:b/>
          <w:color w:val="014463"/>
          <w:sz w:val="40"/>
          <w:szCs w:val="40"/>
        </w:rPr>
      </w:pPr>
      <w:r w:rsidRPr="003F61F2">
        <w:rPr>
          <w:rFonts w:ascii="Century Gothic" w:eastAsia="Times New Roman" w:hAnsi="Century Gothic" w:cs="Times New Roman"/>
          <w:b/>
          <w:color w:val="014463"/>
          <w:sz w:val="40"/>
          <w:szCs w:val="40"/>
        </w:rPr>
        <w:t xml:space="preserve">Minor Regulation Impact Statement </w:t>
      </w:r>
    </w:p>
    <w:p w14:paraId="3A2D9C02" w14:textId="77777777" w:rsidR="003F61F2" w:rsidRPr="003F61F2" w:rsidRDefault="003F61F2" w:rsidP="003F61F2">
      <w:pPr>
        <w:keepNext/>
        <w:keepLines/>
        <w:spacing w:before="240" w:after="160" w:line="240" w:lineRule="auto"/>
        <w:outlineLvl w:val="2"/>
        <w:rPr>
          <w:rFonts w:ascii="Century Gothic" w:eastAsia="Times New Roman" w:hAnsi="Century Gothic" w:cs="Times New Roman"/>
          <w:color w:val="014463"/>
          <w:sz w:val="30"/>
          <w:szCs w:val="30"/>
        </w:rPr>
      </w:pPr>
      <w:r w:rsidRPr="003F61F2">
        <w:rPr>
          <w:rFonts w:ascii="Century Gothic" w:eastAsia="Times New Roman" w:hAnsi="Century Gothic" w:cs="Times New Roman"/>
          <w:color w:val="014463"/>
          <w:sz w:val="30"/>
          <w:szCs w:val="30"/>
        </w:rPr>
        <w:t xml:space="preserve">Regulatory charges relief for Australia’s international education sector </w:t>
      </w:r>
    </w:p>
    <w:p w14:paraId="02C6C11D" w14:textId="77777777" w:rsidR="003F61F2" w:rsidRPr="003F61F2" w:rsidRDefault="003F61F2" w:rsidP="003F61F2">
      <w:pPr>
        <w:keepNext/>
        <w:keepLines/>
        <w:spacing w:before="240" w:after="160" w:line="240" w:lineRule="auto"/>
        <w:outlineLvl w:val="2"/>
        <w:rPr>
          <w:rFonts w:ascii="Century Gothic" w:eastAsia="Times New Roman" w:hAnsi="Century Gothic" w:cs="Times New Roman"/>
          <w:color w:val="014463"/>
          <w:szCs w:val="30"/>
        </w:rPr>
      </w:pPr>
      <w:r w:rsidRPr="003F61F2">
        <w:rPr>
          <w:rFonts w:ascii="Century Gothic" w:eastAsia="Times New Roman" w:hAnsi="Century Gothic" w:cs="Times New Roman"/>
          <w:color w:val="014463"/>
          <w:szCs w:val="30"/>
        </w:rPr>
        <w:t>Department of Education Skills and Employment</w:t>
      </w:r>
    </w:p>
    <w:p w14:paraId="1DEB147C" w14:textId="77777777" w:rsidR="003F61F2" w:rsidRPr="003F61F2" w:rsidRDefault="003F61F2" w:rsidP="003F61F2">
      <w:pPr>
        <w:keepNext/>
        <w:keepLines/>
        <w:spacing w:before="240" w:after="160" w:line="240" w:lineRule="auto"/>
        <w:outlineLvl w:val="2"/>
        <w:rPr>
          <w:rFonts w:ascii="Century Gothic" w:eastAsia="Times New Roman" w:hAnsi="Century Gothic" w:cs="Times New Roman"/>
          <w:color w:val="014463"/>
          <w:szCs w:val="30"/>
        </w:rPr>
      </w:pPr>
      <w:r w:rsidRPr="003F61F2">
        <w:rPr>
          <w:rFonts w:ascii="Century Gothic" w:eastAsia="Times New Roman" w:hAnsi="Century Gothic" w:cs="Times New Roman"/>
          <w:color w:val="014463"/>
          <w:szCs w:val="30"/>
        </w:rPr>
        <w:t>OBPR Reference number:  43871</w:t>
      </w:r>
    </w:p>
    <w:p w14:paraId="5E7D8D33" w14:textId="77777777" w:rsidR="003F61F2" w:rsidRPr="003F61F2" w:rsidRDefault="003F61F2" w:rsidP="003F61F2">
      <w:pPr>
        <w:keepNext/>
        <w:keepLines/>
        <w:spacing w:before="240" w:after="160" w:line="240" w:lineRule="auto"/>
        <w:outlineLvl w:val="2"/>
        <w:rPr>
          <w:rFonts w:ascii="Century Gothic" w:eastAsia="Times New Roman" w:hAnsi="Century Gothic" w:cs="Times New Roman"/>
          <w:color w:val="014463"/>
          <w:szCs w:val="30"/>
        </w:rPr>
      </w:pPr>
      <w:r w:rsidRPr="003F61F2">
        <w:rPr>
          <w:rFonts w:ascii="Century Gothic" w:eastAsia="Times New Roman" w:hAnsi="Century Gothic" w:cs="Times New Roman"/>
          <w:color w:val="014463"/>
          <w:szCs w:val="30"/>
        </w:rPr>
        <w:t>Summary of the proposed policy and any options considered:</w:t>
      </w:r>
    </w:p>
    <w:p w14:paraId="119EB832" w14:textId="77777777" w:rsidR="003F61F2" w:rsidRPr="003F61F2" w:rsidRDefault="003F61F2" w:rsidP="003F61F2">
      <w:pPr>
        <w:spacing w:after="120" w:line="264" w:lineRule="auto"/>
        <w:rPr>
          <w:rFonts w:ascii="Calibri" w:eastAsia="Calibri" w:hAnsi="Calibri" w:cs="Times New Roman"/>
          <w:color w:val="262626"/>
          <w:sz w:val="20"/>
          <w:szCs w:val="20"/>
        </w:rPr>
      </w:pPr>
      <w:r w:rsidRPr="003F61F2">
        <w:rPr>
          <w:rFonts w:ascii="Calibri" w:eastAsia="Calibri" w:hAnsi="Calibri" w:cs="Times New Roman"/>
          <w:color w:val="262626"/>
          <w:sz w:val="20"/>
          <w:szCs w:val="20"/>
        </w:rPr>
        <w:t xml:space="preserve">The proposal targets education providers facing continued COVID-19 related revenue loss from the downturn in student numbers. </w:t>
      </w:r>
    </w:p>
    <w:p w14:paraId="110D0167" w14:textId="77777777" w:rsidR="003F61F2" w:rsidRPr="003F61F2" w:rsidRDefault="003F61F2" w:rsidP="003F61F2">
      <w:pPr>
        <w:spacing w:after="120" w:line="264" w:lineRule="auto"/>
        <w:rPr>
          <w:rFonts w:ascii="Calibri" w:eastAsia="Calibri" w:hAnsi="Calibri" w:cs="Times New Roman"/>
          <w:color w:val="262626"/>
          <w:sz w:val="20"/>
          <w:szCs w:val="20"/>
        </w:rPr>
      </w:pPr>
      <w:r w:rsidRPr="003F61F2">
        <w:rPr>
          <w:rFonts w:ascii="Calibri" w:eastAsia="Calibri" w:hAnsi="Calibri" w:cs="Times New Roman"/>
          <w:color w:val="262626"/>
          <w:sz w:val="20"/>
          <w:szCs w:val="20"/>
        </w:rPr>
        <w:t xml:space="preserve">The measures seek to: </w:t>
      </w:r>
    </w:p>
    <w:p w14:paraId="3AFB787A" w14:textId="77777777" w:rsidR="003F61F2" w:rsidRPr="003F61F2" w:rsidRDefault="003F61F2" w:rsidP="003F61F2">
      <w:pPr>
        <w:numPr>
          <w:ilvl w:val="0"/>
          <w:numId w:val="4"/>
        </w:numPr>
        <w:spacing w:after="120" w:line="264" w:lineRule="auto"/>
        <w:rPr>
          <w:rFonts w:ascii="Calibri" w:eastAsia="Calibri" w:hAnsi="Calibri" w:cs="Times New Roman"/>
          <w:color w:val="262626"/>
          <w:sz w:val="20"/>
          <w:szCs w:val="20"/>
        </w:rPr>
      </w:pPr>
      <w:r w:rsidRPr="003F61F2">
        <w:rPr>
          <w:rFonts w:ascii="Calibri" w:eastAsia="Calibri" w:hAnsi="Calibri" w:cs="Times New Roman"/>
          <w:color w:val="262626"/>
          <w:sz w:val="20"/>
          <w:szCs w:val="20"/>
        </w:rPr>
        <w:t xml:space="preserve">provide broad based support for a short period, supporting retention of staff by providers  </w:t>
      </w:r>
    </w:p>
    <w:p w14:paraId="5C49B2AA" w14:textId="77777777" w:rsidR="003F61F2" w:rsidRPr="003F61F2" w:rsidRDefault="003F61F2" w:rsidP="003F61F2">
      <w:pPr>
        <w:numPr>
          <w:ilvl w:val="0"/>
          <w:numId w:val="4"/>
        </w:numPr>
        <w:spacing w:after="120" w:line="264" w:lineRule="auto"/>
        <w:rPr>
          <w:rFonts w:ascii="Calibri" w:eastAsia="Calibri" w:hAnsi="Calibri" w:cs="Times New Roman"/>
          <w:color w:val="262626"/>
          <w:sz w:val="20"/>
          <w:szCs w:val="20"/>
        </w:rPr>
      </w:pPr>
      <w:r w:rsidRPr="003F61F2">
        <w:rPr>
          <w:rFonts w:ascii="Calibri" w:eastAsia="Calibri" w:hAnsi="Calibri" w:cs="Times New Roman"/>
          <w:color w:val="262626"/>
          <w:sz w:val="20"/>
          <w:szCs w:val="20"/>
        </w:rPr>
        <w:t xml:space="preserve">reduce costs associated with staying in business and free up provider resources to grow online and offshore enrolments and expand domestic operations; and  </w:t>
      </w:r>
    </w:p>
    <w:p w14:paraId="12581581" w14:textId="77777777" w:rsidR="003F61F2" w:rsidRPr="003F61F2" w:rsidRDefault="003F61F2" w:rsidP="003F61F2">
      <w:pPr>
        <w:numPr>
          <w:ilvl w:val="0"/>
          <w:numId w:val="4"/>
        </w:numPr>
        <w:spacing w:after="120" w:line="264" w:lineRule="auto"/>
        <w:rPr>
          <w:rFonts w:ascii="Calibri" w:eastAsia="Calibri" w:hAnsi="Calibri" w:cs="Times New Roman"/>
          <w:color w:val="262626"/>
          <w:sz w:val="20"/>
          <w:szCs w:val="20"/>
        </w:rPr>
      </w:pPr>
      <w:r w:rsidRPr="003F61F2">
        <w:rPr>
          <w:rFonts w:ascii="Calibri" w:eastAsia="Calibri" w:hAnsi="Calibri" w:cs="Times New Roman"/>
          <w:color w:val="262626"/>
          <w:sz w:val="20"/>
          <w:szCs w:val="20"/>
        </w:rPr>
        <w:t xml:space="preserve">preserve future choice and diversity within the sector to position Australia to compete against key overseas competitors, and ensure the sector is well-placed to recommence when borders open. </w:t>
      </w:r>
    </w:p>
    <w:p w14:paraId="583D9EFF" w14:textId="77777777" w:rsidR="003F61F2" w:rsidRPr="003F61F2" w:rsidRDefault="003F61F2" w:rsidP="003F61F2">
      <w:pPr>
        <w:spacing w:after="120" w:line="264" w:lineRule="auto"/>
        <w:rPr>
          <w:rFonts w:ascii="Calibri" w:eastAsia="Calibri" w:hAnsi="Calibri" w:cs="Times New Roman"/>
          <w:sz w:val="20"/>
          <w:szCs w:val="20"/>
        </w:rPr>
      </w:pPr>
      <w:r w:rsidRPr="003F61F2">
        <w:rPr>
          <w:rFonts w:ascii="Calibri" w:eastAsia="Calibri" w:hAnsi="Calibri" w:cs="Times New Roman"/>
          <w:sz w:val="20"/>
          <w:szCs w:val="20"/>
        </w:rPr>
        <w:t xml:space="preserve">Waiving or substantially reducing the 2022 Tuition Protection Service (TPS) international levy aims to provide financial relief to international education providers. </w:t>
      </w:r>
    </w:p>
    <w:p w14:paraId="4F099220" w14:textId="77777777" w:rsidR="003F61F2" w:rsidRPr="003F61F2" w:rsidRDefault="003F61F2" w:rsidP="003F61F2">
      <w:pPr>
        <w:keepNext/>
        <w:keepLines/>
        <w:spacing w:before="240" w:after="160" w:line="240" w:lineRule="auto"/>
        <w:outlineLvl w:val="2"/>
        <w:rPr>
          <w:rFonts w:ascii="Century Gothic" w:eastAsia="Times New Roman" w:hAnsi="Century Gothic" w:cs="Times New Roman"/>
          <w:szCs w:val="24"/>
        </w:rPr>
      </w:pPr>
      <w:r w:rsidRPr="003F61F2">
        <w:rPr>
          <w:rFonts w:ascii="Century Gothic" w:eastAsia="Times New Roman" w:hAnsi="Century Gothic" w:cs="Times New Roman"/>
          <w:szCs w:val="24"/>
        </w:rPr>
        <w:t xml:space="preserve">What are the regulatory impacts associated with this proposal? Explain.  </w:t>
      </w:r>
    </w:p>
    <w:p w14:paraId="3D37A845" w14:textId="77777777" w:rsidR="003F61F2" w:rsidRPr="003F61F2" w:rsidRDefault="003F61F2" w:rsidP="003F61F2">
      <w:pPr>
        <w:spacing w:after="120" w:line="264" w:lineRule="auto"/>
        <w:rPr>
          <w:rFonts w:ascii="Calibri" w:eastAsia="Calibri" w:hAnsi="Calibri" w:cs="Times New Roman"/>
          <w:sz w:val="20"/>
          <w:szCs w:val="20"/>
        </w:rPr>
      </w:pPr>
      <w:r w:rsidRPr="003F61F2">
        <w:rPr>
          <w:rFonts w:ascii="Calibri" w:eastAsia="Calibri" w:hAnsi="Calibri" w:cs="Times New Roman"/>
          <w:sz w:val="20"/>
          <w:szCs w:val="20"/>
        </w:rPr>
        <w:t>There will be a regulatory saving for businesses as they will not be required to pay the annual TPS levy in 2022.</w:t>
      </w:r>
    </w:p>
    <w:p w14:paraId="1B3F4652" w14:textId="77777777" w:rsidR="003F61F2" w:rsidRPr="003F61F2" w:rsidRDefault="003F61F2" w:rsidP="003F61F2">
      <w:pPr>
        <w:keepNext/>
        <w:keepLines/>
        <w:spacing w:before="240" w:after="160" w:line="240" w:lineRule="auto"/>
        <w:outlineLvl w:val="2"/>
        <w:rPr>
          <w:rFonts w:ascii="Century Gothic" w:eastAsia="Times New Roman" w:hAnsi="Century Gothic" w:cs="Times New Roman"/>
          <w:szCs w:val="24"/>
        </w:rPr>
      </w:pPr>
      <w:r w:rsidRPr="003F61F2">
        <w:rPr>
          <w:rFonts w:ascii="Century Gothic" w:eastAsia="Times New Roman" w:hAnsi="Century Gothic" w:cs="Times New Roman"/>
          <w:szCs w:val="24"/>
        </w:rPr>
        <w:t xml:space="preserve">What are the regulatory costs/savings associated with this proposal? Explain and quantify. Have offsets been identified for increases in regulatory costs? If not, why? </w:t>
      </w:r>
    </w:p>
    <w:p w14:paraId="657976CD" w14:textId="77777777" w:rsidR="003F61F2" w:rsidRPr="003F61F2" w:rsidRDefault="003F61F2" w:rsidP="003F61F2">
      <w:pPr>
        <w:spacing w:after="120" w:line="264" w:lineRule="auto"/>
        <w:rPr>
          <w:rFonts w:ascii="Calibri" w:eastAsia="Calibri" w:hAnsi="Calibri" w:cs="Times New Roman"/>
          <w:sz w:val="20"/>
          <w:szCs w:val="20"/>
        </w:rPr>
      </w:pPr>
      <w:r w:rsidRPr="003F61F2">
        <w:rPr>
          <w:rFonts w:ascii="Calibri" w:eastAsia="Calibri" w:hAnsi="Calibri" w:cs="Times New Roman"/>
          <w:sz w:val="20"/>
          <w:szCs w:val="20"/>
        </w:rPr>
        <w:t>As there are no regulatory costs associated with the TPS levy waiver, no offsets need to be identified. The TPS levy waiver will cost the Government and save providers an estimated $3.5 million in 2021-22.</w:t>
      </w:r>
    </w:p>
    <w:p w14:paraId="7FCF8D75" w14:textId="77777777" w:rsidR="003F61F2" w:rsidRPr="003F61F2" w:rsidRDefault="003F61F2" w:rsidP="003F61F2">
      <w:pPr>
        <w:spacing w:before="240" w:after="120" w:line="264" w:lineRule="auto"/>
        <w:outlineLvl w:val="3"/>
        <w:rPr>
          <w:rFonts w:ascii="Century Gothic" w:eastAsia="Calibri" w:hAnsi="Century Gothic" w:cs="Times New Roman"/>
          <w:color w:val="014463"/>
          <w:szCs w:val="24"/>
        </w:rPr>
      </w:pPr>
      <w:r w:rsidRPr="003F61F2">
        <w:rPr>
          <w:rFonts w:ascii="Century Gothic" w:eastAsia="Calibri" w:hAnsi="Century Gothic" w:cs="Times New Roman"/>
          <w:color w:val="014463"/>
          <w:szCs w:val="24"/>
        </w:rPr>
        <w:t>Regulatory burden estimate (RBE) table</w:t>
      </w:r>
    </w:p>
    <w:tbl>
      <w:tblPr>
        <w:tblStyle w:val="PMCTableStyle2"/>
        <w:tblW w:w="0" w:type="auto"/>
        <w:tblInd w:w="0" w:type="dxa"/>
        <w:tblLook w:val="0660" w:firstRow="1" w:lastRow="1" w:firstColumn="0" w:lastColumn="0" w:noHBand="1" w:noVBand="1"/>
      </w:tblPr>
      <w:tblGrid>
        <w:gridCol w:w="2110"/>
        <w:gridCol w:w="1482"/>
        <w:gridCol w:w="1401"/>
        <w:gridCol w:w="2232"/>
        <w:gridCol w:w="1791"/>
      </w:tblGrid>
      <w:tr w:rsidR="003F61F2" w:rsidRPr="003F61F2" w14:paraId="424DB33B" w14:textId="77777777" w:rsidTr="003F61F2">
        <w:trPr>
          <w:cnfStyle w:val="100000000000" w:firstRow="1" w:lastRow="0" w:firstColumn="0" w:lastColumn="0" w:oddVBand="0" w:evenVBand="0" w:oddHBand="0" w:evenHBand="0" w:firstRowFirstColumn="0" w:firstRowLastColumn="0" w:lastRowFirstColumn="0" w:lastRowLastColumn="0"/>
          <w:trHeight w:val="350"/>
        </w:trPr>
        <w:tc>
          <w:tcPr>
            <w:tcW w:w="9016" w:type="dxa"/>
            <w:gridSpan w:val="5"/>
            <w:hideMark/>
          </w:tcPr>
          <w:p w14:paraId="5872AC6D" w14:textId="77777777" w:rsidR="003F61F2" w:rsidRPr="003F61F2" w:rsidRDefault="003F61F2" w:rsidP="003F61F2">
            <w:pPr>
              <w:spacing w:after="60" w:line="264" w:lineRule="auto"/>
              <w:rPr>
                <w:bCs/>
              </w:rPr>
            </w:pPr>
            <w:r w:rsidRPr="003F61F2">
              <w:rPr>
                <w:bCs/>
              </w:rPr>
              <w:t>Average annual regulatory costs</w:t>
            </w:r>
          </w:p>
        </w:tc>
      </w:tr>
      <w:tr w:rsidR="003F61F2" w:rsidRPr="003F61F2" w14:paraId="1251D640" w14:textId="77777777" w:rsidTr="003F61F2">
        <w:trPr>
          <w:trHeight w:val="350"/>
        </w:trPr>
        <w:tc>
          <w:tcPr>
            <w:tcW w:w="2111" w:type="dxa"/>
            <w:hideMark/>
          </w:tcPr>
          <w:p w14:paraId="39E1ABE9" w14:textId="77777777" w:rsidR="003F61F2" w:rsidRPr="003F61F2" w:rsidRDefault="003F61F2" w:rsidP="003F61F2">
            <w:pPr>
              <w:spacing w:before="40" w:after="40" w:line="264" w:lineRule="auto"/>
              <w:rPr>
                <w:sz w:val="18"/>
              </w:rPr>
            </w:pPr>
            <w:r w:rsidRPr="003F61F2">
              <w:rPr>
                <w:sz w:val="18"/>
              </w:rPr>
              <w:t>Change in costs ($ million)</w:t>
            </w:r>
          </w:p>
        </w:tc>
        <w:tc>
          <w:tcPr>
            <w:tcW w:w="1482" w:type="dxa"/>
            <w:hideMark/>
          </w:tcPr>
          <w:p w14:paraId="218CDC71" w14:textId="77777777" w:rsidR="003F61F2" w:rsidRPr="003F61F2" w:rsidRDefault="003F61F2" w:rsidP="003F61F2">
            <w:pPr>
              <w:spacing w:before="40" w:after="40" w:line="264" w:lineRule="auto"/>
              <w:rPr>
                <w:sz w:val="18"/>
              </w:rPr>
            </w:pPr>
            <w:r w:rsidRPr="003F61F2">
              <w:rPr>
                <w:sz w:val="18"/>
              </w:rPr>
              <w:t>Individuals</w:t>
            </w:r>
          </w:p>
        </w:tc>
        <w:tc>
          <w:tcPr>
            <w:tcW w:w="1401" w:type="dxa"/>
            <w:hideMark/>
          </w:tcPr>
          <w:p w14:paraId="33F1A9E0" w14:textId="77777777" w:rsidR="003F61F2" w:rsidRPr="003F61F2" w:rsidRDefault="003F61F2" w:rsidP="003F61F2">
            <w:pPr>
              <w:tabs>
                <w:tab w:val="left" w:pos="720"/>
              </w:tabs>
              <w:spacing w:before="40" w:after="40" w:line="264" w:lineRule="auto"/>
              <w:ind w:left="19"/>
              <w:rPr>
                <w:sz w:val="18"/>
              </w:rPr>
            </w:pPr>
            <w:r w:rsidRPr="003F61F2">
              <w:rPr>
                <w:sz w:val="18"/>
              </w:rPr>
              <w:t xml:space="preserve">Business </w:t>
            </w:r>
          </w:p>
        </w:tc>
        <w:tc>
          <w:tcPr>
            <w:tcW w:w="2232" w:type="dxa"/>
            <w:hideMark/>
          </w:tcPr>
          <w:p w14:paraId="590ED382" w14:textId="77777777" w:rsidR="003F61F2" w:rsidRPr="003F61F2" w:rsidRDefault="003F61F2" w:rsidP="003F61F2">
            <w:pPr>
              <w:spacing w:before="40" w:after="40" w:line="264" w:lineRule="auto"/>
              <w:rPr>
                <w:sz w:val="18"/>
              </w:rPr>
            </w:pPr>
            <w:r w:rsidRPr="003F61F2">
              <w:rPr>
                <w:sz w:val="18"/>
              </w:rPr>
              <w:t>Community organisations</w:t>
            </w:r>
          </w:p>
        </w:tc>
        <w:tc>
          <w:tcPr>
            <w:tcW w:w="1790" w:type="dxa"/>
            <w:hideMark/>
          </w:tcPr>
          <w:p w14:paraId="28D519F7" w14:textId="77777777" w:rsidR="003F61F2" w:rsidRPr="003F61F2" w:rsidRDefault="003F61F2" w:rsidP="003F61F2">
            <w:pPr>
              <w:spacing w:before="40" w:after="40" w:line="240" w:lineRule="auto"/>
              <w:rPr>
                <w:sz w:val="18"/>
              </w:rPr>
            </w:pPr>
            <w:r w:rsidRPr="003F61F2">
              <w:rPr>
                <w:sz w:val="18"/>
              </w:rPr>
              <w:t>Total change in cost</w:t>
            </w:r>
          </w:p>
        </w:tc>
      </w:tr>
      <w:tr w:rsidR="003F61F2" w:rsidRPr="003F61F2" w14:paraId="2C209E1F" w14:textId="77777777" w:rsidTr="003F61F2">
        <w:trPr>
          <w:cnfStyle w:val="010000000000" w:firstRow="0" w:lastRow="1" w:firstColumn="0" w:lastColumn="0" w:oddVBand="0" w:evenVBand="0" w:oddHBand="0" w:evenHBand="0" w:firstRowFirstColumn="0" w:firstRowLastColumn="0" w:lastRowFirstColumn="0" w:lastRowLastColumn="0"/>
          <w:trHeight w:val="350"/>
        </w:trPr>
        <w:tc>
          <w:tcPr>
            <w:tcW w:w="2111" w:type="dxa"/>
            <w:hideMark/>
          </w:tcPr>
          <w:p w14:paraId="68950D98" w14:textId="77777777" w:rsidR="003F61F2" w:rsidRPr="003F61F2" w:rsidRDefault="003F61F2" w:rsidP="003F61F2">
            <w:pPr>
              <w:spacing w:before="40" w:after="40" w:line="264" w:lineRule="auto"/>
              <w:rPr>
                <w:sz w:val="18"/>
              </w:rPr>
            </w:pPr>
            <w:r w:rsidRPr="003F61F2">
              <w:rPr>
                <w:sz w:val="18"/>
              </w:rPr>
              <w:t>Total, by sector</w:t>
            </w:r>
          </w:p>
        </w:tc>
        <w:tc>
          <w:tcPr>
            <w:tcW w:w="1482" w:type="dxa"/>
            <w:hideMark/>
          </w:tcPr>
          <w:p w14:paraId="393770D6" w14:textId="77777777" w:rsidR="003F61F2" w:rsidRPr="003F61F2" w:rsidRDefault="003F61F2" w:rsidP="003F61F2">
            <w:pPr>
              <w:spacing w:before="40" w:after="40" w:line="264" w:lineRule="auto"/>
              <w:rPr>
                <w:sz w:val="18"/>
              </w:rPr>
            </w:pPr>
            <w:r w:rsidRPr="003F61F2">
              <w:rPr>
                <w:sz w:val="18"/>
              </w:rPr>
              <w:t>$0</w:t>
            </w:r>
          </w:p>
        </w:tc>
        <w:tc>
          <w:tcPr>
            <w:tcW w:w="1401" w:type="dxa"/>
            <w:hideMark/>
          </w:tcPr>
          <w:p w14:paraId="1EF09BCF" w14:textId="77777777" w:rsidR="003F61F2" w:rsidRPr="003F61F2" w:rsidRDefault="003F61F2" w:rsidP="003F61F2">
            <w:pPr>
              <w:tabs>
                <w:tab w:val="left" w:pos="720"/>
              </w:tabs>
              <w:spacing w:before="40" w:after="40" w:line="264" w:lineRule="auto"/>
              <w:rPr>
                <w:sz w:val="18"/>
              </w:rPr>
            </w:pPr>
            <w:r w:rsidRPr="003F61F2">
              <w:rPr>
                <w:sz w:val="18"/>
              </w:rPr>
              <w:t>$0</w:t>
            </w:r>
          </w:p>
        </w:tc>
        <w:tc>
          <w:tcPr>
            <w:tcW w:w="2231" w:type="dxa"/>
            <w:hideMark/>
          </w:tcPr>
          <w:p w14:paraId="0F96146B" w14:textId="77777777" w:rsidR="003F61F2" w:rsidRPr="003F61F2" w:rsidRDefault="003F61F2" w:rsidP="003F61F2">
            <w:pPr>
              <w:spacing w:before="40" w:after="40" w:line="240" w:lineRule="auto"/>
              <w:ind w:left="284" w:hanging="284"/>
              <w:rPr>
                <w:sz w:val="18"/>
              </w:rPr>
            </w:pPr>
            <w:r w:rsidRPr="003F61F2">
              <w:rPr>
                <w:sz w:val="18"/>
              </w:rPr>
              <w:t>$0</w:t>
            </w:r>
          </w:p>
        </w:tc>
        <w:tc>
          <w:tcPr>
            <w:tcW w:w="1791" w:type="dxa"/>
            <w:hideMark/>
          </w:tcPr>
          <w:p w14:paraId="0B99F38A" w14:textId="77777777" w:rsidR="003F61F2" w:rsidRPr="003F61F2" w:rsidRDefault="003F61F2" w:rsidP="003F61F2">
            <w:pPr>
              <w:spacing w:before="40" w:after="40" w:line="240" w:lineRule="auto"/>
              <w:ind w:left="284" w:hanging="284"/>
              <w:rPr>
                <w:sz w:val="18"/>
              </w:rPr>
            </w:pPr>
            <w:r w:rsidRPr="003F61F2">
              <w:rPr>
                <w:sz w:val="18"/>
              </w:rPr>
              <w:t>$0</w:t>
            </w:r>
          </w:p>
        </w:tc>
      </w:tr>
    </w:tbl>
    <w:p w14:paraId="26EB7BF7" w14:textId="77777777" w:rsidR="003F61F2" w:rsidRPr="003F61F2" w:rsidRDefault="003F61F2" w:rsidP="00E77F9E">
      <w:pPr>
        <w:spacing w:after="160" w:line="259" w:lineRule="auto"/>
        <w:rPr>
          <w:rFonts w:asciiTheme="minorHAnsi" w:hAnsiTheme="minorHAnsi" w:cstheme="minorHAnsi"/>
          <w:b/>
          <w:bCs/>
        </w:rPr>
      </w:pPr>
    </w:p>
    <w:sectPr w:rsidR="003F61F2" w:rsidRPr="003F61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80A8C" w14:textId="77777777" w:rsidR="007F67BB" w:rsidRDefault="007F67BB" w:rsidP="00783FAB">
      <w:pPr>
        <w:spacing w:after="0" w:line="240" w:lineRule="auto"/>
      </w:pPr>
      <w:r>
        <w:separator/>
      </w:r>
    </w:p>
  </w:endnote>
  <w:endnote w:type="continuationSeparator" w:id="0">
    <w:p w14:paraId="53E9FD02" w14:textId="77777777" w:rsidR="007F67BB" w:rsidRDefault="007F67BB" w:rsidP="00783FAB">
      <w:pPr>
        <w:spacing w:after="0" w:line="240" w:lineRule="auto"/>
      </w:pPr>
      <w:r>
        <w:continuationSeparator/>
      </w:r>
    </w:p>
  </w:endnote>
  <w:endnote w:type="continuationNotice" w:id="1">
    <w:p w14:paraId="498F2E05" w14:textId="77777777" w:rsidR="007F67BB" w:rsidRDefault="007F67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0DD8A" w14:textId="77777777" w:rsidR="007F67BB" w:rsidRDefault="007F67BB" w:rsidP="00783FAB">
      <w:pPr>
        <w:spacing w:after="0" w:line="240" w:lineRule="auto"/>
      </w:pPr>
      <w:r>
        <w:separator/>
      </w:r>
    </w:p>
  </w:footnote>
  <w:footnote w:type="continuationSeparator" w:id="0">
    <w:p w14:paraId="632517B0" w14:textId="77777777" w:rsidR="007F67BB" w:rsidRDefault="007F67BB" w:rsidP="00783FAB">
      <w:pPr>
        <w:spacing w:after="0" w:line="240" w:lineRule="auto"/>
      </w:pPr>
      <w:r>
        <w:continuationSeparator/>
      </w:r>
    </w:p>
  </w:footnote>
  <w:footnote w:type="continuationNotice" w:id="1">
    <w:p w14:paraId="31785FBF" w14:textId="77777777" w:rsidR="007F67BB" w:rsidRDefault="007F67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455EE"/>
    <w:multiLevelType w:val="hybridMultilevel"/>
    <w:tmpl w:val="01F43170"/>
    <w:lvl w:ilvl="0" w:tplc="F56253A2">
      <w:start w:val="1"/>
      <w:numFmt w:val="decimal"/>
      <w:suff w:val="space"/>
      <w:lvlText w:val="%1."/>
      <w:lvlJc w:val="left"/>
      <w:pPr>
        <w:ind w:left="720" w:hanging="360"/>
      </w:pPr>
      <w:rPr>
        <w:rFonts w:hint="default"/>
        <w:b w:val="0"/>
        <w:bCs/>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6C95D35"/>
    <w:multiLevelType w:val="hybridMultilevel"/>
    <w:tmpl w:val="2E840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F3D51CD"/>
    <w:multiLevelType w:val="hybridMultilevel"/>
    <w:tmpl w:val="BB0E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30472"/>
    <w:rsid w:val="000305EA"/>
    <w:rsid w:val="00031E3C"/>
    <w:rsid w:val="00032CB3"/>
    <w:rsid w:val="00036FAE"/>
    <w:rsid w:val="00044508"/>
    <w:rsid w:val="00047668"/>
    <w:rsid w:val="00047A2A"/>
    <w:rsid w:val="0005020B"/>
    <w:rsid w:val="00057815"/>
    <w:rsid w:val="00057A1E"/>
    <w:rsid w:val="000614A1"/>
    <w:rsid w:val="00062794"/>
    <w:rsid w:val="0006484E"/>
    <w:rsid w:val="000668B0"/>
    <w:rsid w:val="00076E76"/>
    <w:rsid w:val="00083F41"/>
    <w:rsid w:val="000846B7"/>
    <w:rsid w:val="000A2A28"/>
    <w:rsid w:val="000A2D3A"/>
    <w:rsid w:val="000A3124"/>
    <w:rsid w:val="000A35D6"/>
    <w:rsid w:val="000A56E3"/>
    <w:rsid w:val="000B1BE1"/>
    <w:rsid w:val="000B3914"/>
    <w:rsid w:val="000B6430"/>
    <w:rsid w:val="000C224C"/>
    <w:rsid w:val="000C34FD"/>
    <w:rsid w:val="000C4D6B"/>
    <w:rsid w:val="000D1472"/>
    <w:rsid w:val="000D5E6D"/>
    <w:rsid w:val="000E3516"/>
    <w:rsid w:val="000E57DB"/>
    <w:rsid w:val="000E6FD6"/>
    <w:rsid w:val="000F1811"/>
    <w:rsid w:val="000F5A02"/>
    <w:rsid w:val="000F7A8C"/>
    <w:rsid w:val="00103015"/>
    <w:rsid w:val="00103253"/>
    <w:rsid w:val="001042BA"/>
    <w:rsid w:val="001119C6"/>
    <w:rsid w:val="00120A34"/>
    <w:rsid w:val="00124260"/>
    <w:rsid w:val="00125A8E"/>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7006A"/>
    <w:rsid w:val="00173A64"/>
    <w:rsid w:val="00173E0C"/>
    <w:rsid w:val="00185491"/>
    <w:rsid w:val="00195030"/>
    <w:rsid w:val="00197C3F"/>
    <w:rsid w:val="001A2FE9"/>
    <w:rsid w:val="001A4389"/>
    <w:rsid w:val="001B3C7A"/>
    <w:rsid w:val="001D00E3"/>
    <w:rsid w:val="001D0AF3"/>
    <w:rsid w:val="001D1D8A"/>
    <w:rsid w:val="001D36EE"/>
    <w:rsid w:val="001E07CE"/>
    <w:rsid w:val="001E52EB"/>
    <w:rsid w:val="001E5A0B"/>
    <w:rsid w:val="001F127D"/>
    <w:rsid w:val="001F3626"/>
    <w:rsid w:val="001F7336"/>
    <w:rsid w:val="00200358"/>
    <w:rsid w:val="002005CD"/>
    <w:rsid w:val="00201F75"/>
    <w:rsid w:val="00202BF0"/>
    <w:rsid w:val="00202EC1"/>
    <w:rsid w:val="00204283"/>
    <w:rsid w:val="00204EEF"/>
    <w:rsid w:val="00205DBD"/>
    <w:rsid w:val="00207297"/>
    <w:rsid w:val="00207D7E"/>
    <w:rsid w:val="0021337D"/>
    <w:rsid w:val="00216A1C"/>
    <w:rsid w:val="00223F82"/>
    <w:rsid w:val="00224C52"/>
    <w:rsid w:val="00232304"/>
    <w:rsid w:val="002378EE"/>
    <w:rsid w:val="002445E3"/>
    <w:rsid w:val="00247EBF"/>
    <w:rsid w:val="00261499"/>
    <w:rsid w:val="002672A4"/>
    <w:rsid w:val="00270392"/>
    <w:rsid w:val="002747E8"/>
    <w:rsid w:val="00274EEA"/>
    <w:rsid w:val="0027686D"/>
    <w:rsid w:val="002808A9"/>
    <w:rsid w:val="00284C9D"/>
    <w:rsid w:val="00292653"/>
    <w:rsid w:val="00292863"/>
    <w:rsid w:val="00294430"/>
    <w:rsid w:val="00296CA7"/>
    <w:rsid w:val="00296FAF"/>
    <w:rsid w:val="00297EAB"/>
    <w:rsid w:val="002A15F1"/>
    <w:rsid w:val="002A4961"/>
    <w:rsid w:val="002B1E0F"/>
    <w:rsid w:val="002B313C"/>
    <w:rsid w:val="002B5C28"/>
    <w:rsid w:val="002C1F84"/>
    <w:rsid w:val="002C40FB"/>
    <w:rsid w:val="002D1504"/>
    <w:rsid w:val="002D564A"/>
    <w:rsid w:val="002E12E6"/>
    <w:rsid w:val="002F1B99"/>
    <w:rsid w:val="002F2492"/>
    <w:rsid w:val="002F76C6"/>
    <w:rsid w:val="00304A88"/>
    <w:rsid w:val="00304E64"/>
    <w:rsid w:val="00307358"/>
    <w:rsid w:val="0031070C"/>
    <w:rsid w:val="00313612"/>
    <w:rsid w:val="00316053"/>
    <w:rsid w:val="003170AC"/>
    <w:rsid w:val="00326C24"/>
    <w:rsid w:val="0033070E"/>
    <w:rsid w:val="003440C7"/>
    <w:rsid w:val="00350779"/>
    <w:rsid w:val="00353D3E"/>
    <w:rsid w:val="00353D81"/>
    <w:rsid w:val="00354743"/>
    <w:rsid w:val="00365D2C"/>
    <w:rsid w:val="00367C2D"/>
    <w:rsid w:val="0037028F"/>
    <w:rsid w:val="003719BF"/>
    <w:rsid w:val="00374840"/>
    <w:rsid w:val="00375010"/>
    <w:rsid w:val="0037728A"/>
    <w:rsid w:val="00377427"/>
    <w:rsid w:val="00386B68"/>
    <w:rsid w:val="00386E17"/>
    <w:rsid w:val="0038758C"/>
    <w:rsid w:val="003913F1"/>
    <w:rsid w:val="00393A61"/>
    <w:rsid w:val="00394454"/>
    <w:rsid w:val="00395655"/>
    <w:rsid w:val="003A0965"/>
    <w:rsid w:val="003A373E"/>
    <w:rsid w:val="003A3D0E"/>
    <w:rsid w:val="003A4424"/>
    <w:rsid w:val="003A530C"/>
    <w:rsid w:val="003A5841"/>
    <w:rsid w:val="003A59FF"/>
    <w:rsid w:val="003A7B17"/>
    <w:rsid w:val="003B29B0"/>
    <w:rsid w:val="003B2DA8"/>
    <w:rsid w:val="003B3044"/>
    <w:rsid w:val="003B6C2D"/>
    <w:rsid w:val="003C0D20"/>
    <w:rsid w:val="003C16A9"/>
    <w:rsid w:val="003C202D"/>
    <w:rsid w:val="003D2BB8"/>
    <w:rsid w:val="003D47C4"/>
    <w:rsid w:val="003D7CE2"/>
    <w:rsid w:val="003E4413"/>
    <w:rsid w:val="003E5B26"/>
    <w:rsid w:val="003F09F7"/>
    <w:rsid w:val="003F1AA1"/>
    <w:rsid w:val="003F24BC"/>
    <w:rsid w:val="003F61F2"/>
    <w:rsid w:val="003F69E2"/>
    <w:rsid w:val="00402CC7"/>
    <w:rsid w:val="00402D70"/>
    <w:rsid w:val="00403CE4"/>
    <w:rsid w:val="004075A3"/>
    <w:rsid w:val="00410A3F"/>
    <w:rsid w:val="0041144F"/>
    <w:rsid w:val="004143B1"/>
    <w:rsid w:val="00415A55"/>
    <w:rsid w:val="00425A1E"/>
    <w:rsid w:val="00425FCB"/>
    <w:rsid w:val="00430F1B"/>
    <w:rsid w:val="004327E1"/>
    <w:rsid w:val="00434240"/>
    <w:rsid w:val="00434641"/>
    <w:rsid w:val="00434CDD"/>
    <w:rsid w:val="004355D0"/>
    <w:rsid w:val="004355E8"/>
    <w:rsid w:val="00436435"/>
    <w:rsid w:val="00445460"/>
    <w:rsid w:val="00446B03"/>
    <w:rsid w:val="0044797F"/>
    <w:rsid w:val="00455C2A"/>
    <w:rsid w:val="00472F61"/>
    <w:rsid w:val="00481DE1"/>
    <w:rsid w:val="00484DBC"/>
    <w:rsid w:val="00490BA0"/>
    <w:rsid w:val="00494834"/>
    <w:rsid w:val="0049486C"/>
    <w:rsid w:val="004A2F70"/>
    <w:rsid w:val="004A409F"/>
    <w:rsid w:val="004A48D9"/>
    <w:rsid w:val="004A6B2D"/>
    <w:rsid w:val="004B2C3F"/>
    <w:rsid w:val="004C05DC"/>
    <w:rsid w:val="004D5695"/>
    <w:rsid w:val="004D665B"/>
    <w:rsid w:val="004D7B86"/>
    <w:rsid w:val="004F53E6"/>
    <w:rsid w:val="004F54FF"/>
    <w:rsid w:val="00503218"/>
    <w:rsid w:val="00505873"/>
    <w:rsid w:val="00506F28"/>
    <w:rsid w:val="005146EC"/>
    <w:rsid w:val="00515BBE"/>
    <w:rsid w:val="005169CB"/>
    <w:rsid w:val="00517337"/>
    <w:rsid w:val="005173FC"/>
    <w:rsid w:val="00524226"/>
    <w:rsid w:val="00527330"/>
    <w:rsid w:val="00536596"/>
    <w:rsid w:val="005366FF"/>
    <w:rsid w:val="00537A32"/>
    <w:rsid w:val="0054602B"/>
    <w:rsid w:val="00546375"/>
    <w:rsid w:val="005620CA"/>
    <w:rsid w:val="00572401"/>
    <w:rsid w:val="005732E6"/>
    <w:rsid w:val="00577AE7"/>
    <w:rsid w:val="00577C30"/>
    <w:rsid w:val="005812FF"/>
    <w:rsid w:val="005819C8"/>
    <w:rsid w:val="0058422E"/>
    <w:rsid w:val="00584B84"/>
    <w:rsid w:val="005905A0"/>
    <w:rsid w:val="00591EC0"/>
    <w:rsid w:val="00597535"/>
    <w:rsid w:val="005A54B4"/>
    <w:rsid w:val="005A7050"/>
    <w:rsid w:val="005B3CBC"/>
    <w:rsid w:val="005B510A"/>
    <w:rsid w:val="005C0740"/>
    <w:rsid w:val="005C18D0"/>
    <w:rsid w:val="005E2026"/>
    <w:rsid w:val="005F4914"/>
    <w:rsid w:val="005F5DF6"/>
    <w:rsid w:val="005F5FA1"/>
    <w:rsid w:val="005F7D42"/>
    <w:rsid w:val="0060088C"/>
    <w:rsid w:val="00604F05"/>
    <w:rsid w:val="00611D31"/>
    <w:rsid w:val="006202A1"/>
    <w:rsid w:val="0062319E"/>
    <w:rsid w:val="00625432"/>
    <w:rsid w:val="00626E42"/>
    <w:rsid w:val="00627EDA"/>
    <w:rsid w:val="0063357F"/>
    <w:rsid w:val="00636200"/>
    <w:rsid w:val="00645DC7"/>
    <w:rsid w:val="0064724F"/>
    <w:rsid w:val="006507CB"/>
    <w:rsid w:val="00651D68"/>
    <w:rsid w:val="00652D30"/>
    <w:rsid w:val="00656314"/>
    <w:rsid w:val="00661BE8"/>
    <w:rsid w:val="00667B6F"/>
    <w:rsid w:val="00667F82"/>
    <w:rsid w:val="006700AA"/>
    <w:rsid w:val="00677A0D"/>
    <w:rsid w:val="00683087"/>
    <w:rsid w:val="00685653"/>
    <w:rsid w:val="006930D1"/>
    <w:rsid w:val="006931AD"/>
    <w:rsid w:val="006940BB"/>
    <w:rsid w:val="00696CF0"/>
    <w:rsid w:val="00697001"/>
    <w:rsid w:val="006A1788"/>
    <w:rsid w:val="006A666D"/>
    <w:rsid w:val="006B2D99"/>
    <w:rsid w:val="006B6E38"/>
    <w:rsid w:val="006D58E2"/>
    <w:rsid w:val="006D7B6B"/>
    <w:rsid w:val="006E3838"/>
    <w:rsid w:val="006E3C40"/>
    <w:rsid w:val="006E7699"/>
    <w:rsid w:val="006F27AC"/>
    <w:rsid w:val="006F3E5C"/>
    <w:rsid w:val="006F627D"/>
    <w:rsid w:val="006F773E"/>
    <w:rsid w:val="00701CB8"/>
    <w:rsid w:val="00701E47"/>
    <w:rsid w:val="0070533F"/>
    <w:rsid w:val="00707E57"/>
    <w:rsid w:val="00707F49"/>
    <w:rsid w:val="007103B5"/>
    <w:rsid w:val="007213BB"/>
    <w:rsid w:val="0072758F"/>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72715"/>
    <w:rsid w:val="0077536C"/>
    <w:rsid w:val="00782538"/>
    <w:rsid w:val="007828DD"/>
    <w:rsid w:val="00783FAB"/>
    <w:rsid w:val="00785B13"/>
    <w:rsid w:val="00791AAC"/>
    <w:rsid w:val="00795969"/>
    <w:rsid w:val="007A6AF0"/>
    <w:rsid w:val="007B44CD"/>
    <w:rsid w:val="007B4836"/>
    <w:rsid w:val="007C5020"/>
    <w:rsid w:val="007D12B2"/>
    <w:rsid w:val="007D1F16"/>
    <w:rsid w:val="007D4E08"/>
    <w:rsid w:val="007E00A8"/>
    <w:rsid w:val="007E16D6"/>
    <w:rsid w:val="007E2197"/>
    <w:rsid w:val="007E3446"/>
    <w:rsid w:val="007E3447"/>
    <w:rsid w:val="007E36E5"/>
    <w:rsid w:val="007E6EC6"/>
    <w:rsid w:val="007F360E"/>
    <w:rsid w:val="007F563E"/>
    <w:rsid w:val="007F67BB"/>
    <w:rsid w:val="00803447"/>
    <w:rsid w:val="008035CF"/>
    <w:rsid w:val="0080584E"/>
    <w:rsid w:val="00805FEB"/>
    <w:rsid w:val="00811E34"/>
    <w:rsid w:val="00812B64"/>
    <w:rsid w:val="00812C37"/>
    <w:rsid w:val="008134D5"/>
    <w:rsid w:val="00813A38"/>
    <w:rsid w:val="00823B66"/>
    <w:rsid w:val="00824A98"/>
    <w:rsid w:val="008310AA"/>
    <w:rsid w:val="00834114"/>
    <w:rsid w:val="00844D23"/>
    <w:rsid w:val="008517D8"/>
    <w:rsid w:val="00855239"/>
    <w:rsid w:val="0085622D"/>
    <w:rsid w:val="00856BC4"/>
    <w:rsid w:val="00867101"/>
    <w:rsid w:val="008755D8"/>
    <w:rsid w:val="0088497A"/>
    <w:rsid w:val="008A1F97"/>
    <w:rsid w:val="008A6224"/>
    <w:rsid w:val="008B478B"/>
    <w:rsid w:val="008B61B7"/>
    <w:rsid w:val="008C48EF"/>
    <w:rsid w:val="008C497B"/>
    <w:rsid w:val="008C76FD"/>
    <w:rsid w:val="008D72EA"/>
    <w:rsid w:val="008D7625"/>
    <w:rsid w:val="008E30D6"/>
    <w:rsid w:val="008E30D9"/>
    <w:rsid w:val="008E68D3"/>
    <w:rsid w:val="008E79DF"/>
    <w:rsid w:val="008F002D"/>
    <w:rsid w:val="008F43E8"/>
    <w:rsid w:val="00902A26"/>
    <w:rsid w:val="00903257"/>
    <w:rsid w:val="009048A2"/>
    <w:rsid w:val="00905C61"/>
    <w:rsid w:val="00907D61"/>
    <w:rsid w:val="00910064"/>
    <w:rsid w:val="009114DC"/>
    <w:rsid w:val="00911D92"/>
    <w:rsid w:val="009121D3"/>
    <w:rsid w:val="009176F5"/>
    <w:rsid w:val="00927DC6"/>
    <w:rsid w:val="00933AD6"/>
    <w:rsid w:val="009421AA"/>
    <w:rsid w:val="0094476A"/>
    <w:rsid w:val="0094774B"/>
    <w:rsid w:val="00970AAB"/>
    <w:rsid w:val="00974504"/>
    <w:rsid w:val="00975A4A"/>
    <w:rsid w:val="00976413"/>
    <w:rsid w:val="009767B4"/>
    <w:rsid w:val="00977D37"/>
    <w:rsid w:val="009807AE"/>
    <w:rsid w:val="00990334"/>
    <w:rsid w:val="00991158"/>
    <w:rsid w:val="0099199E"/>
    <w:rsid w:val="00995C44"/>
    <w:rsid w:val="009A04A5"/>
    <w:rsid w:val="009A2C26"/>
    <w:rsid w:val="009A35A0"/>
    <w:rsid w:val="009A7CFA"/>
    <w:rsid w:val="009B0C51"/>
    <w:rsid w:val="009B2183"/>
    <w:rsid w:val="009B29AC"/>
    <w:rsid w:val="009B4B7F"/>
    <w:rsid w:val="009C0F35"/>
    <w:rsid w:val="009C10C1"/>
    <w:rsid w:val="009C4F55"/>
    <w:rsid w:val="009C5E5D"/>
    <w:rsid w:val="009D23FB"/>
    <w:rsid w:val="009D7562"/>
    <w:rsid w:val="009E0803"/>
    <w:rsid w:val="009E5185"/>
    <w:rsid w:val="009E7C1C"/>
    <w:rsid w:val="009F13BF"/>
    <w:rsid w:val="009F1D34"/>
    <w:rsid w:val="009F4C47"/>
    <w:rsid w:val="009F528F"/>
    <w:rsid w:val="009F6AC9"/>
    <w:rsid w:val="00A105DA"/>
    <w:rsid w:val="00A20031"/>
    <w:rsid w:val="00A202D5"/>
    <w:rsid w:val="00A23CDC"/>
    <w:rsid w:val="00A24596"/>
    <w:rsid w:val="00A24B24"/>
    <w:rsid w:val="00A25E6C"/>
    <w:rsid w:val="00A40E3D"/>
    <w:rsid w:val="00A40EA6"/>
    <w:rsid w:val="00A47C4E"/>
    <w:rsid w:val="00A52753"/>
    <w:rsid w:val="00A550E8"/>
    <w:rsid w:val="00A556D1"/>
    <w:rsid w:val="00A56E8B"/>
    <w:rsid w:val="00A71133"/>
    <w:rsid w:val="00A7209C"/>
    <w:rsid w:val="00A761C7"/>
    <w:rsid w:val="00A77D42"/>
    <w:rsid w:val="00A818E4"/>
    <w:rsid w:val="00A82E17"/>
    <w:rsid w:val="00A85075"/>
    <w:rsid w:val="00A90245"/>
    <w:rsid w:val="00A93F1F"/>
    <w:rsid w:val="00AA12F7"/>
    <w:rsid w:val="00AA3173"/>
    <w:rsid w:val="00AA3A3E"/>
    <w:rsid w:val="00AB19B6"/>
    <w:rsid w:val="00AC6ABA"/>
    <w:rsid w:val="00AD1C80"/>
    <w:rsid w:val="00AD2E24"/>
    <w:rsid w:val="00AD5627"/>
    <w:rsid w:val="00AD65C9"/>
    <w:rsid w:val="00AD6639"/>
    <w:rsid w:val="00AD7983"/>
    <w:rsid w:val="00AE4A25"/>
    <w:rsid w:val="00AE5CCB"/>
    <w:rsid w:val="00AE7179"/>
    <w:rsid w:val="00AF58D0"/>
    <w:rsid w:val="00AF6215"/>
    <w:rsid w:val="00AF6F6E"/>
    <w:rsid w:val="00B00A18"/>
    <w:rsid w:val="00B11323"/>
    <w:rsid w:val="00B13A2F"/>
    <w:rsid w:val="00B145D2"/>
    <w:rsid w:val="00B178D3"/>
    <w:rsid w:val="00B22F73"/>
    <w:rsid w:val="00B339F8"/>
    <w:rsid w:val="00B4065C"/>
    <w:rsid w:val="00B43512"/>
    <w:rsid w:val="00B52CD8"/>
    <w:rsid w:val="00B604EB"/>
    <w:rsid w:val="00B6108C"/>
    <w:rsid w:val="00B67F7B"/>
    <w:rsid w:val="00B739E2"/>
    <w:rsid w:val="00B8151D"/>
    <w:rsid w:val="00B819AA"/>
    <w:rsid w:val="00BA54AA"/>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F2A9B"/>
    <w:rsid w:val="00BF3DAE"/>
    <w:rsid w:val="00C02595"/>
    <w:rsid w:val="00C12197"/>
    <w:rsid w:val="00C1330A"/>
    <w:rsid w:val="00C145EB"/>
    <w:rsid w:val="00C2416A"/>
    <w:rsid w:val="00C30E45"/>
    <w:rsid w:val="00C325A5"/>
    <w:rsid w:val="00C36A15"/>
    <w:rsid w:val="00C3701B"/>
    <w:rsid w:val="00C37043"/>
    <w:rsid w:val="00C4300F"/>
    <w:rsid w:val="00C45661"/>
    <w:rsid w:val="00C5010C"/>
    <w:rsid w:val="00C62BC1"/>
    <w:rsid w:val="00C64879"/>
    <w:rsid w:val="00C66953"/>
    <w:rsid w:val="00C73133"/>
    <w:rsid w:val="00C731FA"/>
    <w:rsid w:val="00C7617C"/>
    <w:rsid w:val="00C82C91"/>
    <w:rsid w:val="00C846A2"/>
    <w:rsid w:val="00C879E5"/>
    <w:rsid w:val="00C90EFC"/>
    <w:rsid w:val="00C90FC4"/>
    <w:rsid w:val="00C954B7"/>
    <w:rsid w:val="00C9591A"/>
    <w:rsid w:val="00CA46AC"/>
    <w:rsid w:val="00CA4F71"/>
    <w:rsid w:val="00CA6074"/>
    <w:rsid w:val="00CB337B"/>
    <w:rsid w:val="00CB45D5"/>
    <w:rsid w:val="00CB7A83"/>
    <w:rsid w:val="00CC3AE0"/>
    <w:rsid w:val="00CC3C0B"/>
    <w:rsid w:val="00CC3CD3"/>
    <w:rsid w:val="00CC4C6D"/>
    <w:rsid w:val="00CD20F8"/>
    <w:rsid w:val="00CD3705"/>
    <w:rsid w:val="00CD6E72"/>
    <w:rsid w:val="00CE3EA5"/>
    <w:rsid w:val="00CF1C96"/>
    <w:rsid w:val="00CF5A8C"/>
    <w:rsid w:val="00D010D3"/>
    <w:rsid w:val="00D05A8C"/>
    <w:rsid w:val="00D119DD"/>
    <w:rsid w:val="00D14A9D"/>
    <w:rsid w:val="00D17A67"/>
    <w:rsid w:val="00D17FC6"/>
    <w:rsid w:val="00D217D1"/>
    <w:rsid w:val="00D2517F"/>
    <w:rsid w:val="00D3758C"/>
    <w:rsid w:val="00D46134"/>
    <w:rsid w:val="00D468A9"/>
    <w:rsid w:val="00D50946"/>
    <w:rsid w:val="00D5387E"/>
    <w:rsid w:val="00D56A3B"/>
    <w:rsid w:val="00D60475"/>
    <w:rsid w:val="00D61A73"/>
    <w:rsid w:val="00D63270"/>
    <w:rsid w:val="00D63CDD"/>
    <w:rsid w:val="00D66B65"/>
    <w:rsid w:val="00D70EAE"/>
    <w:rsid w:val="00D727AB"/>
    <w:rsid w:val="00D73415"/>
    <w:rsid w:val="00D74B9B"/>
    <w:rsid w:val="00D768BB"/>
    <w:rsid w:val="00D773CB"/>
    <w:rsid w:val="00D8103E"/>
    <w:rsid w:val="00D818BA"/>
    <w:rsid w:val="00D842A2"/>
    <w:rsid w:val="00D84946"/>
    <w:rsid w:val="00D93741"/>
    <w:rsid w:val="00DA552F"/>
    <w:rsid w:val="00DB1C9E"/>
    <w:rsid w:val="00DB2434"/>
    <w:rsid w:val="00DB461B"/>
    <w:rsid w:val="00DB4D35"/>
    <w:rsid w:val="00DB6247"/>
    <w:rsid w:val="00DC3E8C"/>
    <w:rsid w:val="00DC4B5E"/>
    <w:rsid w:val="00DD1234"/>
    <w:rsid w:val="00DD408F"/>
    <w:rsid w:val="00DD5F43"/>
    <w:rsid w:val="00DD651A"/>
    <w:rsid w:val="00DD7496"/>
    <w:rsid w:val="00DD7B03"/>
    <w:rsid w:val="00DE02BB"/>
    <w:rsid w:val="00DE5F92"/>
    <w:rsid w:val="00DE715E"/>
    <w:rsid w:val="00DE7C37"/>
    <w:rsid w:val="00DF13F3"/>
    <w:rsid w:val="00DF3683"/>
    <w:rsid w:val="00DF46B2"/>
    <w:rsid w:val="00DF6004"/>
    <w:rsid w:val="00DF61B7"/>
    <w:rsid w:val="00E01C32"/>
    <w:rsid w:val="00E01F85"/>
    <w:rsid w:val="00E02903"/>
    <w:rsid w:val="00E1257E"/>
    <w:rsid w:val="00E24E50"/>
    <w:rsid w:val="00E251EE"/>
    <w:rsid w:val="00E302D5"/>
    <w:rsid w:val="00E33927"/>
    <w:rsid w:val="00E33FED"/>
    <w:rsid w:val="00E43542"/>
    <w:rsid w:val="00E4476D"/>
    <w:rsid w:val="00E5541C"/>
    <w:rsid w:val="00E55D04"/>
    <w:rsid w:val="00E60A2A"/>
    <w:rsid w:val="00E62C51"/>
    <w:rsid w:val="00E631F9"/>
    <w:rsid w:val="00E662FD"/>
    <w:rsid w:val="00E72FD0"/>
    <w:rsid w:val="00E757D0"/>
    <w:rsid w:val="00E767BE"/>
    <w:rsid w:val="00E77F9E"/>
    <w:rsid w:val="00E8671C"/>
    <w:rsid w:val="00E90298"/>
    <w:rsid w:val="00E916A2"/>
    <w:rsid w:val="00E91930"/>
    <w:rsid w:val="00EA6D4F"/>
    <w:rsid w:val="00EA716A"/>
    <w:rsid w:val="00EA7EA8"/>
    <w:rsid w:val="00EC0A15"/>
    <w:rsid w:val="00EE412B"/>
    <w:rsid w:val="00EF4ACB"/>
    <w:rsid w:val="00F00674"/>
    <w:rsid w:val="00F03635"/>
    <w:rsid w:val="00F0455E"/>
    <w:rsid w:val="00F0609A"/>
    <w:rsid w:val="00F0748D"/>
    <w:rsid w:val="00F1230D"/>
    <w:rsid w:val="00F14BCE"/>
    <w:rsid w:val="00F21042"/>
    <w:rsid w:val="00F21FAC"/>
    <w:rsid w:val="00F3264E"/>
    <w:rsid w:val="00F36014"/>
    <w:rsid w:val="00F36E18"/>
    <w:rsid w:val="00F37BC2"/>
    <w:rsid w:val="00F4087E"/>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5B48"/>
    <w:rsid w:val="00F861AE"/>
    <w:rsid w:val="00F871D7"/>
    <w:rsid w:val="00F87FB6"/>
    <w:rsid w:val="00F90098"/>
    <w:rsid w:val="00F9205E"/>
    <w:rsid w:val="00F92FA5"/>
    <w:rsid w:val="00F935BD"/>
    <w:rsid w:val="00F96889"/>
    <w:rsid w:val="00FA6309"/>
    <w:rsid w:val="00FA6319"/>
    <w:rsid w:val="00FB14CA"/>
    <w:rsid w:val="00FB46DD"/>
    <w:rsid w:val="00FB518B"/>
    <w:rsid w:val="00FB656A"/>
    <w:rsid w:val="00FB7019"/>
    <w:rsid w:val="00FC522B"/>
    <w:rsid w:val="00FC5DBA"/>
    <w:rsid w:val="00FD0A30"/>
    <w:rsid w:val="00FD1A80"/>
    <w:rsid w:val="00FE18E2"/>
    <w:rsid w:val="00FE2B2E"/>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List Paragraph2"/>
    <w:basedOn w:val="Normal"/>
    <w:link w:val="ListParagraphChar"/>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1"/>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1"/>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1"/>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1"/>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1"/>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customStyle="1" w:styleId="ListParagraphChar">
    <w:name w:val="List Paragraph Char"/>
    <w:aliases w:val="Recommendation Char,L Char,List Paragraph1 Char,List Paragraph11 Char,List Paragraph2 Char"/>
    <w:basedOn w:val="DefaultParagraphFont"/>
    <w:link w:val="ListParagraph"/>
    <w:uiPriority w:val="34"/>
    <w:rsid w:val="00F0748D"/>
  </w:style>
  <w:style w:type="table" w:customStyle="1" w:styleId="PMCTableStyle2">
    <w:name w:val="PMC Table Style 2"/>
    <w:basedOn w:val="TableNormal"/>
    <w:uiPriority w:val="99"/>
    <w:rsid w:val="003F61F2"/>
    <w:pPr>
      <w:spacing w:before="60" w:after="60" w:line="264" w:lineRule="auto"/>
    </w:pPr>
    <w:rPr>
      <w:rFonts w:ascii="Calibri" w:eastAsia="Calibri" w:hAnsi="Calibri" w:cs="Times New Roman"/>
      <w:color w:val="262626"/>
      <w:sz w:val="20"/>
      <w:szCs w:val="20"/>
    </w:rPr>
    <w:tblPr>
      <w:tblStyleRowBandSize w:val="1"/>
      <w:tblInd w:w="0" w:type="nil"/>
      <w:tblBorders>
        <w:top w:val="single" w:sz="4" w:space="0" w:color="E4E9EE"/>
        <w:left w:val="single" w:sz="4" w:space="0" w:color="E4E9EE"/>
        <w:bottom w:val="single" w:sz="18" w:space="0" w:color="D5F1FE"/>
        <w:right w:val="single" w:sz="4" w:space="0" w:color="E4E9EE"/>
        <w:insideH w:val="single" w:sz="4" w:space="0" w:color="E4E9EE"/>
        <w:insideV w:val="single" w:sz="4" w:space="0" w:color="E4E9EE"/>
      </w:tblBorders>
      <w:tblCellMar>
        <w:left w:w="284" w:type="dxa"/>
        <w:right w:w="284" w:type="dxa"/>
      </w:tblCellMar>
    </w:tblPr>
    <w:tcPr>
      <w:shd w:val="clear" w:color="auto" w:fill="FFFFFF"/>
    </w:tcPr>
    <w:tblStylePr w:type="firstRow">
      <w:rPr>
        <w:rFonts w:ascii="Century Gothic" w:hAnsi="Century Gothic" w:hint="default"/>
        <w:b/>
        <w:color w:val="FFFFFF"/>
        <w:sz w:val="18"/>
        <w:szCs w:val="18"/>
      </w:rPr>
      <w:tblPr/>
      <w:tcPr>
        <w:shd w:val="clear" w:color="auto" w:fill="014463"/>
      </w:tcPr>
    </w:tblStylePr>
    <w:tblStylePr w:type="lastRow">
      <w:tblPr/>
      <w:tcPr>
        <w:shd w:val="clear" w:color="auto" w:fill="E6E6E6"/>
      </w:tcPr>
    </w:tblStylePr>
    <w:tblStylePr w:type="band1Horz">
      <w:rPr>
        <w:color w:val="262626"/>
      </w:rPr>
    </w:tblStylePr>
    <w:tblStylePr w:type="band2Horz">
      <w:rPr>
        <w:rFonts w:ascii="Calibri" w:hAnsi="Calibri" w:cs="Calibri" w:hint="default"/>
        <w:b w:val="0"/>
        <w:color w:val="262626"/>
      </w:rPr>
      <w:tblPr/>
      <w:tcPr>
        <w:shd w:val="clear" w:color="auto" w:fill="FFFFFF"/>
      </w:tcPr>
    </w:tblStylePr>
  </w:style>
  <w:style w:type="character" w:styleId="Strong">
    <w:name w:val="Strong"/>
    <w:basedOn w:val="DefaultParagraphFont"/>
    <w:uiPriority w:val="22"/>
    <w:qFormat/>
    <w:rsid w:val="003748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52846">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91374901">
      <w:bodyDiv w:val="1"/>
      <w:marLeft w:val="0"/>
      <w:marRight w:val="0"/>
      <w:marTop w:val="0"/>
      <w:marBottom w:val="0"/>
      <w:divBdr>
        <w:top w:val="none" w:sz="0" w:space="0" w:color="auto"/>
        <w:left w:val="none" w:sz="0" w:space="0" w:color="auto"/>
        <w:bottom w:val="none" w:sz="0" w:space="0" w:color="auto"/>
        <w:right w:val="none" w:sz="0" w:space="0" w:color="auto"/>
      </w:divBdr>
    </w:div>
    <w:div w:id="697320820">
      <w:bodyDiv w:val="1"/>
      <w:marLeft w:val="0"/>
      <w:marRight w:val="0"/>
      <w:marTop w:val="0"/>
      <w:marBottom w:val="0"/>
      <w:divBdr>
        <w:top w:val="none" w:sz="0" w:space="0" w:color="auto"/>
        <w:left w:val="none" w:sz="0" w:space="0" w:color="auto"/>
        <w:bottom w:val="none" w:sz="0" w:space="0" w:color="auto"/>
        <w:right w:val="none" w:sz="0" w:space="0" w:color="auto"/>
      </w:divBdr>
    </w:div>
    <w:div w:id="1029532468">
      <w:bodyDiv w:val="1"/>
      <w:marLeft w:val="0"/>
      <w:marRight w:val="0"/>
      <w:marTop w:val="0"/>
      <w:marBottom w:val="0"/>
      <w:divBdr>
        <w:top w:val="none" w:sz="0" w:space="0" w:color="auto"/>
        <w:left w:val="none" w:sz="0" w:space="0" w:color="auto"/>
        <w:bottom w:val="none" w:sz="0" w:space="0" w:color="auto"/>
        <w:right w:val="none" w:sz="0" w:space="0" w:color="auto"/>
      </w:divBdr>
    </w:div>
    <w:div w:id="1409569909">
      <w:bodyDiv w:val="1"/>
      <w:marLeft w:val="0"/>
      <w:marRight w:val="0"/>
      <w:marTop w:val="0"/>
      <w:marBottom w:val="0"/>
      <w:divBdr>
        <w:top w:val="none" w:sz="0" w:space="0" w:color="auto"/>
        <w:left w:val="none" w:sz="0" w:space="0" w:color="auto"/>
        <w:bottom w:val="none" w:sz="0" w:space="0" w:color="auto"/>
        <w:right w:val="none" w:sz="0" w:space="0" w:color="auto"/>
      </w:divBdr>
    </w:div>
    <w:div w:id="1482229141">
      <w:bodyDiv w:val="1"/>
      <w:marLeft w:val="0"/>
      <w:marRight w:val="0"/>
      <w:marTop w:val="0"/>
      <w:marBottom w:val="0"/>
      <w:divBdr>
        <w:top w:val="none" w:sz="0" w:space="0" w:color="auto"/>
        <w:left w:val="none" w:sz="0" w:space="0" w:color="auto"/>
        <w:bottom w:val="none" w:sz="0" w:space="0" w:color="auto"/>
        <w:right w:val="none" w:sz="0" w:space="0" w:color="auto"/>
      </w:divBdr>
    </w:div>
    <w:div w:id="2091535966">
      <w:bodyDiv w:val="1"/>
      <w:marLeft w:val="0"/>
      <w:marRight w:val="0"/>
      <w:marTop w:val="0"/>
      <w:marBottom w:val="0"/>
      <w:divBdr>
        <w:top w:val="none" w:sz="0" w:space="0" w:color="auto"/>
        <w:left w:val="none" w:sz="0" w:space="0" w:color="auto"/>
        <w:bottom w:val="none" w:sz="0" w:space="0" w:color="auto"/>
        <w:right w:val="none" w:sz="0" w:space="0" w:color="auto"/>
      </w:divBdr>
    </w:div>
    <w:div w:id="211092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CCEFB8A-43A4-4461-A392-BF585A3082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3F4A5B8B247DA42A90616C93A3546DA" ma:contentTypeVersion="" ma:contentTypeDescription="PDMS Document Site Content Type" ma:contentTypeScope="" ma:versionID="212853c33fe57c45f8a38b116981ede7">
  <xsd:schema xmlns:xsd="http://www.w3.org/2001/XMLSchema" xmlns:xs="http://www.w3.org/2001/XMLSchema" xmlns:p="http://schemas.microsoft.com/office/2006/metadata/properties" xmlns:ns2="ACCEFB8A-43A4-4461-A392-BF585A308207" targetNamespace="http://schemas.microsoft.com/office/2006/metadata/properties" ma:root="true" ma:fieldsID="8cb2ff2d3d21c4e4e45643d3aff4ae41" ns2:_="">
    <xsd:import namespace="ACCEFB8A-43A4-4461-A392-BF585A30820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EFB8A-43A4-4461-A392-BF585A30820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EB42F429-4198-4ECD-8E59-23F01B09005A}">
  <ds:schemaRef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ACCEFB8A-43A4-4461-A392-BF585A308207"/>
    <ds:schemaRef ds:uri="http://www.w3.org/XML/1998/namespace"/>
    <ds:schemaRef ds:uri="http://purl.org/dc/terms/"/>
  </ds:schemaRefs>
</ds:datastoreItem>
</file>

<file path=customXml/itemProps4.xml><?xml version="1.0" encoding="utf-8"?>
<ds:datastoreItem xmlns:ds="http://schemas.openxmlformats.org/officeDocument/2006/customXml" ds:itemID="{29A2F80E-5E57-4D72-87E2-5453CAEA7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EFB8A-43A4-4461-A392-BF585A308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2638</Words>
  <Characters>15041</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Johanna</cp:lastModifiedBy>
  <cp:revision>2</cp:revision>
  <cp:lastPrinted>2019-11-17T23:12:00Z</cp:lastPrinted>
  <dcterms:created xsi:type="dcterms:W3CDTF">2021-12-17T05:24:00Z</dcterms:created>
  <dcterms:modified xsi:type="dcterms:W3CDTF">2021-12-17T05:24:00Z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0x010100266966F133664895A6EE3632470D45F50013F4A5B8B247DA42A90616C93A3546DA</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