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6CD9E" w14:textId="77777777" w:rsidR="00C56FD6" w:rsidRPr="004A5917" w:rsidRDefault="00C56FD6" w:rsidP="00C56FD6">
      <w:pPr>
        <w:spacing w:after="0" w:line="240" w:lineRule="auto"/>
        <w:jc w:val="center"/>
        <w:rPr>
          <w:b/>
        </w:rPr>
      </w:pPr>
      <w:r w:rsidRPr="004A5917">
        <w:rPr>
          <w:b/>
        </w:rPr>
        <w:t>EXPLANATORY STATEMENT</w:t>
      </w:r>
    </w:p>
    <w:p w14:paraId="0E9AE5A4" w14:textId="77777777" w:rsidR="00C56FD6" w:rsidRPr="004A5917" w:rsidRDefault="00C56FD6" w:rsidP="00C56FD6">
      <w:pPr>
        <w:spacing w:after="0" w:line="240" w:lineRule="auto"/>
        <w:jc w:val="center"/>
        <w:rPr>
          <w:b/>
        </w:rPr>
      </w:pPr>
    </w:p>
    <w:p w14:paraId="676883BE" w14:textId="77777777" w:rsidR="00C56FD6" w:rsidRPr="004A5917" w:rsidRDefault="00C56FD6" w:rsidP="00C56FD6">
      <w:pPr>
        <w:spacing w:after="0" w:line="240" w:lineRule="auto"/>
        <w:jc w:val="center"/>
        <w:rPr>
          <w:b/>
          <w:i/>
        </w:rPr>
      </w:pPr>
      <w:r w:rsidRPr="004A5917">
        <w:rPr>
          <w:b/>
          <w:i/>
        </w:rPr>
        <w:t>HEALTH INSURANCE ACT 1973</w:t>
      </w:r>
    </w:p>
    <w:p w14:paraId="2F92EE96" w14:textId="77777777" w:rsidR="00C56FD6" w:rsidRPr="004A5917" w:rsidRDefault="00C56FD6" w:rsidP="00C56FD6">
      <w:pPr>
        <w:spacing w:after="0" w:line="240" w:lineRule="auto"/>
        <w:jc w:val="center"/>
        <w:rPr>
          <w:b/>
        </w:rPr>
      </w:pPr>
    </w:p>
    <w:p w14:paraId="185A1409" w14:textId="20FD8648" w:rsidR="009F6B8D" w:rsidRPr="004A5917" w:rsidRDefault="009140C0" w:rsidP="009C7623">
      <w:pPr>
        <w:spacing w:after="0" w:line="240" w:lineRule="auto"/>
        <w:jc w:val="center"/>
        <w:rPr>
          <w:b/>
          <w:i/>
        </w:rPr>
      </w:pPr>
      <w:bookmarkStart w:id="0" w:name="_Hlk86053712"/>
      <w:r w:rsidRPr="004A5917">
        <w:rPr>
          <w:b/>
          <w:i/>
        </w:rPr>
        <w:t>Health Insurance (Accredited Pathology Laboratories—Approval) Amendment</w:t>
      </w:r>
    </w:p>
    <w:p w14:paraId="4A9E896E" w14:textId="1F503D83" w:rsidR="009F6B8D" w:rsidRPr="004A5917" w:rsidRDefault="009140C0" w:rsidP="009C7623">
      <w:pPr>
        <w:spacing w:after="240" w:line="240" w:lineRule="auto"/>
        <w:jc w:val="center"/>
        <w:rPr>
          <w:rFonts w:cs="Times New Roman"/>
          <w:b/>
          <w:szCs w:val="24"/>
        </w:rPr>
      </w:pPr>
      <w:r w:rsidRPr="004A5917">
        <w:rPr>
          <w:b/>
          <w:i/>
        </w:rPr>
        <w:t>(Relevant Standards) Principles (No.2) 2021</w:t>
      </w:r>
      <w:bookmarkEnd w:id="0"/>
    </w:p>
    <w:p w14:paraId="17122760" w14:textId="6924FA2D" w:rsidR="00C56FD6" w:rsidRPr="004A5917" w:rsidRDefault="00C56FD6" w:rsidP="00C56FD6">
      <w:pPr>
        <w:spacing w:after="240" w:line="240" w:lineRule="auto"/>
        <w:jc w:val="both"/>
        <w:rPr>
          <w:rFonts w:cs="Times New Roman"/>
          <w:b/>
          <w:szCs w:val="24"/>
        </w:rPr>
      </w:pPr>
      <w:r w:rsidRPr="004A5917">
        <w:rPr>
          <w:rFonts w:cs="Times New Roman"/>
          <w:b/>
          <w:szCs w:val="24"/>
        </w:rPr>
        <w:t xml:space="preserve">Authority </w:t>
      </w:r>
    </w:p>
    <w:p w14:paraId="2E7D39DC" w14:textId="1A0EB22A" w:rsidR="00C56FD6" w:rsidRPr="004A5917" w:rsidRDefault="00C56FD6" w:rsidP="00C56FD6">
      <w:pPr>
        <w:spacing w:after="240" w:line="240" w:lineRule="auto"/>
        <w:rPr>
          <w:rFonts w:cs="Times New Roman"/>
          <w:szCs w:val="24"/>
        </w:rPr>
      </w:pPr>
      <w:r w:rsidRPr="004A5917">
        <w:rPr>
          <w:rFonts w:cs="Times New Roman"/>
          <w:szCs w:val="24"/>
        </w:rPr>
        <w:t xml:space="preserve">Section 23DNA of the </w:t>
      </w:r>
      <w:r w:rsidRPr="004A5917">
        <w:rPr>
          <w:rFonts w:cs="Times New Roman"/>
          <w:i/>
          <w:szCs w:val="24"/>
        </w:rPr>
        <w:t>Health Insurance Act 1973</w:t>
      </w:r>
      <w:r w:rsidRPr="004A5917">
        <w:rPr>
          <w:rFonts w:cs="Times New Roman"/>
          <w:szCs w:val="24"/>
        </w:rPr>
        <w:t xml:space="preserve"> (the Act) provides for the Minister for Health to determine the principles to be applied in exercising his or her powers under section 23DN of the Act to approve in principle, or refuse to approve, premises as an accredited pathology laboratory. The current principles determined under section 23DNA are the </w:t>
      </w:r>
      <w:r w:rsidRPr="004A5917">
        <w:rPr>
          <w:rFonts w:cs="Times New Roman"/>
          <w:i/>
          <w:szCs w:val="24"/>
        </w:rPr>
        <w:t xml:space="preserve">Health Insurance (Accredited Pathology Laboratories – Approval) Principles 2017 </w:t>
      </w:r>
      <w:r w:rsidRPr="004A5917">
        <w:rPr>
          <w:rFonts w:cs="Times New Roman"/>
          <w:szCs w:val="24"/>
        </w:rPr>
        <w:t xml:space="preserve">(the Principles).  </w:t>
      </w:r>
    </w:p>
    <w:p w14:paraId="4980CB39" w14:textId="77777777" w:rsidR="00EE4EB2" w:rsidRPr="004A5917" w:rsidRDefault="00EE4EB2" w:rsidP="006B0093">
      <w:pPr>
        <w:shd w:val="clear" w:color="auto" w:fill="FFFFFF"/>
        <w:spacing w:line="240" w:lineRule="auto"/>
        <w:rPr>
          <w:szCs w:val="24"/>
        </w:rPr>
      </w:pPr>
      <w:r w:rsidRPr="004A5917">
        <w:rPr>
          <w:szCs w:val="24"/>
        </w:rPr>
        <w:t>Under subsection 33(3) of the </w:t>
      </w:r>
      <w:r w:rsidRPr="004A5917">
        <w:rPr>
          <w:i/>
          <w:iCs/>
          <w:szCs w:val="24"/>
        </w:rPr>
        <w:t>Acts Interpretation Act 1901</w:t>
      </w:r>
      <w:r w:rsidRPr="004A5917">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718D3F" w14:textId="77777777" w:rsidR="007F3893" w:rsidRPr="004A5917" w:rsidRDefault="001671A6" w:rsidP="007F3893">
      <w:pPr>
        <w:spacing w:after="240" w:line="240" w:lineRule="auto"/>
        <w:rPr>
          <w:rFonts w:cs="Times New Roman"/>
          <w:b/>
          <w:bCs/>
          <w:szCs w:val="24"/>
        </w:rPr>
      </w:pPr>
      <w:r w:rsidRPr="004A5917">
        <w:rPr>
          <w:rFonts w:cs="Times New Roman"/>
          <w:b/>
          <w:bCs/>
          <w:szCs w:val="24"/>
        </w:rPr>
        <w:t>Purpose</w:t>
      </w:r>
    </w:p>
    <w:p w14:paraId="02682AED" w14:textId="19C4C7E9" w:rsidR="00406816" w:rsidRPr="004A5917" w:rsidRDefault="00406816" w:rsidP="009F6B8D">
      <w:pPr>
        <w:spacing w:after="120" w:line="240" w:lineRule="auto"/>
        <w:rPr>
          <w:szCs w:val="24"/>
        </w:rPr>
      </w:pPr>
      <w:r w:rsidRPr="004A5917">
        <w:rPr>
          <w:szCs w:val="24"/>
        </w:rPr>
        <w:t xml:space="preserve">The purpose of the </w:t>
      </w:r>
      <w:r w:rsidR="009140C0" w:rsidRPr="004A5917">
        <w:rPr>
          <w:i/>
          <w:iCs/>
          <w:szCs w:val="24"/>
        </w:rPr>
        <w:t>Health Insurance (Accredited Pathology Laboratories—Approval) Amendment (Relevant Standards) Principles (No.2) 2021</w:t>
      </w:r>
      <w:r w:rsidR="009140C0" w:rsidRPr="004A5917">
        <w:rPr>
          <w:i/>
          <w:szCs w:val="24"/>
        </w:rPr>
        <w:t xml:space="preserve"> </w:t>
      </w:r>
      <w:r w:rsidRPr="004A5917">
        <w:rPr>
          <w:szCs w:val="24"/>
        </w:rPr>
        <w:t xml:space="preserve">(the Amending </w:t>
      </w:r>
      <w:r w:rsidR="00ED4D59" w:rsidRPr="004A5917">
        <w:rPr>
          <w:szCs w:val="24"/>
        </w:rPr>
        <w:t>Instrument</w:t>
      </w:r>
      <w:r w:rsidRPr="004A5917">
        <w:rPr>
          <w:szCs w:val="24"/>
        </w:rPr>
        <w:t>) is to amend the Principles to incorporate the following revised and new accreditation standards:</w:t>
      </w:r>
    </w:p>
    <w:p w14:paraId="418C5B05" w14:textId="77777777" w:rsidR="00ED4D59" w:rsidRPr="004A5917" w:rsidRDefault="00ED4D59" w:rsidP="009F6B8D">
      <w:pPr>
        <w:widowControl w:val="0"/>
        <w:numPr>
          <w:ilvl w:val="1"/>
          <w:numId w:val="13"/>
        </w:numPr>
        <w:adjustRightInd w:val="0"/>
        <w:spacing w:before="120" w:after="120" w:line="240" w:lineRule="auto"/>
        <w:textAlignment w:val="baseline"/>
      </w:pPr>
      <w:r w:rsidRPr="004A5917">
        <w:t>Requirements for Use of Digital Images as an Alternative to Direct Microscopy (First Edition 2021)</w:t>
      </w:r>
    </w:p>
    <w:p w14:paraId="03D9BB3B" w14:textId="30C0069F" w:rsidR="00DD2612" w:rsidRPr="004A5917" w:rsidRDefault="00ED4D59" w:rsidP="009F6B8D">
      <w:pPr>
        <w:widowControl w:val="0"/>
        <w:numPr>
          <w:ilvl w:val="1"/>
          <w:numId w:val="13"/>
        </w:numPr>
        <w:adjustRightInd w:val="0"/>
        <w:spacing w:before="120" w:after="120" w:line="240" w:lineRule="auto"/>
        <w:textAlignment w:val="baseline"/>
      </w:pPr>
      <w:r w:rsidRPr="004A5917">
        <w:t>Requirements for Procedures related to the Collection, Processing, Storage and Issue of Human Haemopoietic Progenitor Cells (Sixth Edition 2021)</w:t>
      </w:r>
    </w:p>
    <w:p w14:paraId="51CAC8B8" w14:textId="1EC43B55" w:rsidR="009F6B8D" w:rsidRPr="004A5917" w:rsidRDefault="009F6B8D" w:rsidP="009F6B8D">
      <w:pPr>
        <w:widowControl w:val="0"/>
        <w:numPr>
          <w:ilvl w:val="1"/>
          <w:numId w:val="13"/>
        </w:numPr>
        <w:adjustRightInd w:val="0"/>
        <w:spacing w:before="120" w:after="120" w:line="240" w:lineRule="auto"/>
        <w:textAlignment w:val="baseline"/>
      </w:pPr>
      <w:r w:rsidRPr="004A5917">
        <w:t>Requirements for Point of Care Testing (Second Edition 2021).</w:t>
      </w:r>
    </w:p>
    <w:p w14:paraId="0BB8971B" w14:textId="74901179" w:rsidR="00081F5C" w:rsidRPr="004A5917" w:rsidRDefault="00081F5C" w:rsidP="00A73EF8">
      <w:pPr>
        <w:spacing w:after="0" w:line="240" w:lineRule="auto"/>
      </w:pPr>
      <w:r w:rsidRPr="004A5917">
        <w:t xml:space="preserve">In accordance with s 14 of the </w:t>
      </w:r>
      <w:r w:rsidRPr="004A5917">
        <w:rPr>
          <w:i/>
          <w:iCs/>
        </w:rPr>
        <w:t>Legislation Act 2003</w:t>
      </w:r>
      <w:r w:rsidRPr="004A5917">
        <w:t>, the revised and new accreditation standards are not to be incorporated from time to time, but at the time of commencement of this instrument</w:t>
      </w:r>
      <w:r w:rsidR="009B1C28" w:rsidRPr="004A5917">
        <w:t xml:space="preserve"> on the specified dates</w:t>
      </w:r>
      <w:r w:rsidRPr="004A5917">
        <w:t>.</w:t>
      </w:r>
    </w:p>
    <w:p w14:paraId="347DD367" w14:textId="77777777" w:rsidR="009F6B8D" w:rsidRPr="004A5917" w:rsidRDefault="009F6B8D" w:rsidP="00A73EF8">
      <w:pPr>
        <w:spacing w:after="0" w:line="240" w:lineRule="auto"/>
      </w:pPr>
    </w:p>
    <w:p w14:paraId="4B07ED8E" w14:textId="10C25EB9" w:rsidR="00A73EF8" w:rsidRPr="004A5917" w:rsidRDefault="00A73EF8" w:rsidP="00A73EF8">
      <w:pPr>
        <w:spacing w:after="0" w:line="240" w:lineRule="auto"/>
      </w:pPr>
      <w:r w:rsidRPr="004A5917">
        <w:t xml:space="preserve">With the exception of some basic tests conducted by some medical practitioners within their own medical practice, </w:t>
      </w:r>
      <w:r w:rsidR="00DF201C" w:rsidRPr="004A5917">
        <w:t>M</w:t>
      </w:r>
      <w:r w:rsidRPr="004A5917">
        <w:t>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A312B11" w14:textId="77777777" w:rsidR="00A73EF8" w:rsidRPr="004A5917" w:rsidRDefault="00A73EF8" w:rsidP="00A73EF8">
      <w:pPr>
        <w:spacing w:after="0" w:line="240" w:lineRule="auto"/>
      </w:pPr>
    </w:p>
    <w:p w14:paraId="1B4DF3C9" w14:textId="77777777" w:rsidR="00A73EF8" w:rsidRPr="004A5917" w:rsidRDefault="00A73EF8" w:rsidP="00A73EF8">
      <w:pPr>
        <w:spacing w:after="0" w:line="240" w:lineRule="auto"/>
      </w:pPr>
      <w:r w:rsidRPr="004A5917">
        <w:t>The Principles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Principles include promoting the delivery of reliable test results and reducing the risk of misdiagnosis in the provision of pathology services.</w:t>
      </w:r>
    </w:p>
    <w:p w14:paraId="188E19DF" w14:textId="77777777" w:rsidR="00A73EF8" w:rsidRPr="004A5917" w:rsidRDefault="00A73EF8" w:rsidP="00A73EF8">
      <w:pPr>
        <w:spacing w:after="0" w:line="240" w:lineRule="auto"/>
      </w:pPr>
    </w:p>
    <w:p w14:paraId="1E834E2A" w14:textId="36D9ED5E" w:rsidR="00A73EF8" w:rsidRPr="004A5917" w:rsidRDefault="00A73EF8" w:rsidP="00A73EF8">
      <w:pPr>
        <w:spacing w:after="0" w:line="240" w:lineRule="auto"/>
      </w:pPr>
      <w:r w:rsidRPr="004A5917">
        <w:lastRenderedPageBreak/>
        <w:t>The Schedule to the Principles specifies accreditation materials that set out relevant standards against which applicants for accreditation are to be assessed. These documents are developed and maintained by the</w:t>
      </w:r>
      <w:r w:rsidRPr="004A5917">
        <w:rPr>
          <w:szCs w:val="24"/>
        </w:rPr>
        <w:t xml:space="preserve"> National Pathology Accreditation Advisory Council (NPAAC) or endorsed by NPAAC as supplementary accreditation materials</w:t>
      </w:r>
      <w:r w:rsidRPr="004A5917">
        <w:t>. The accreditation process of pathology laboratories is administered by the Services</w:t>
      </w:r>
      <w:r w:rsidR="00DA5830" w:rsidRPr="004A5917">
        <w:t xml:space="preserve"> Australia</w:t>
      </w:r>
      <w:r w:rsidRPr="004A5917">
        <w:t>, while the National Association of Testing Authorities (NATA) is the current independent assessment body that conducts the accreditation assessment of pathology laboratories, in conjunction with the Royal College of Pathologists of Australasia, in accordance with the specified accreditation standards.</w:t>
      </w:r>
    </w:p>
    <w:p w14:paraId="246B7F86" w14:textId="77777777" w:rsidR="00A73EF8" w:rsidRPr="004A5917" w:rsidRDefault="00A73EF8" w:rsidP="00406816">
      <w:pPr>
        <w:spacing w:after="0" w:line="240" w:lineRule="auto"/>
        <w:rPr>
          <w:szCs w:val="24"/>
        </w:rPr>
      </w:pPr>
    </w:p>
    <w:p w14:paraId="1BC2EC19" w14:textId="2347CFEC" w:rsidR="00260F41" w:rsidRPr="004A5917" w:rsidRDefault="00406816" w:rsidP="00406816">
      <w:pPr>
        <w:spacing w:after="0" w:line="240" w:lineRule="auto"/>
        <w:rPr>
          <w:szCs w:val="24"/>
        </w:rPr>
      </w:pPr>
      <w:r w:rsidRPr="004A5917">
        <w:rPr>
          <w:szCs w:val="24"/>
        </w:rPr>
        <w:t>The</w:t>
      </w:r>
      <w:r w:rsidR="000D2747" w:rsidRPr="004A5917">
        <w:rPr>
          <w:szCs w:val="24"/>
        </w:rPr>
        <w:t xml:space="preserve"> revised and new accreditation standards follow from </w:t>
      </w:r>
      <w:r w:rsidR="002D5ABF" w:rsidRPr="004A5917">
        <w:rPr>
          <w:szCs w:val="24"/>
        </w:rPr>
        <w:t>NPAAC</w:t>
      </w:r>
      <w:r w:rsidR="000D2747" w:rsidRPr="004A5917">
        <w:rPr>
          <w:szCs w:val="24"/>
        </w:rPr>
        <w:t>’s</w:t>
      </w:r>
      <w:r w:rsidR="002D5ABF" w:rsidRPr="004A5917">
        <w:rPr>
          <w:szCs w:val="24"/>
        </w:rPr>
        <w:t xml:space="preserve"> </w:t>
      </w:r>
      <w:r w:rsidR="000D2747" w:rsidRPr="004A5917">
        <w:rPr>
          <w:szCs w:val="24"/>
        </w:rPr>
        <w:t xml:space="preserve">consideration of </w:t>
      </w:r>
      <w:r w:rsidR="00260F41" w:rsidRPr="004A5917">
        <w:rPr>
          <w:szCs w:val="24"/>
        </w:rPr>
        <w:t xml:space="preserve">standards that would support the therapeutics regulatory framework or as a result of the ongoing refinement of the pathology requirements that are aimed at ensuring best pathology practice. They should be read in conjunction with the pathology overarching standard titled the </w:t>
      </w:r>
      <w:r w:rsidR="00260F41" w:rsidRPr="004A5917">
        <w:rPr>
          <w:i/>
          <w:szCs w:val="24"/>
        </w:rPr>
        <w:t>Requirements for Medical Pathology Services</w:t>
      </w:r>
      <w:r w:rsidR="00260F41" w:rsidRPr="004A5917">
        <w:rPr>
          <w:szCs w:val="24"/>
        </w:rPr>
        <w:t>, which sets out the core elements of good laboratory practice, in additional to other materials that form the national pathology accreditation framework. This assists with the assurance of the quality of Australian pathology services.</w:t>
      </w:r>
    </w:p>
    <w:p w14:paraId="2D9BE417" w14:textId="42A491D9" w:rsidR="00260F41" w:rsidRPr="004A5917" w:rsidRDefault="00260F41" w:rsidP="00406816">
      <w:pPr>
        <w:spacing w:after="0" w:line="240" w:lineRule="auto"/>
        <w:rPr>
          <w:szCs w:val="24"/>
        </w:rPr>
      </w:pPr>
    </w:p>
    <w:p w14:paraId="3734BE87" w14:textId="77777777" w:rsidR="009F6B8D" w:rsidRPr="004A5917" w:rsidRDefault="009F6B8D" w:rsidP="009F6B8D">
      <w:pPr>
        <w:spacing w:after="0" w:line="240" w:lineRule="auto"/>
        <w:rPr>
          <w:rFonts w:cs="Times New Roman"/>
          <w:b/>
          <w:bCs/>
          <w:i/>
          <w:iCs/>
          <w:szCs w:val="24"/>
        </w:rPr>
      </w:pPr>
      <w:r w:rsidRPr="004A5917">
        <w:rPr>
          <w:rFonts w:cs="Times New Roman"/>
          <w:b/>
          <w:bCs/>
          <w:i/>
          <w:iCs/>
          <w:szCs w:val="24"/>
        </w:rPr>
        <w:t>Requirements for the Use of Digital Images as an Alternative to Direct Microscopy (First Edition 2021)</w:t>
      </w:r>
    </w:p>
    <w:p w14:paraId="7D7E1F26" w14:textId="77777777" w:rsidR="009F6B8D" w:rsidRPr="004A5917" w:rsidRDefault="009F6B8D" w:rsidP="009F6B8D">
      <w:pPr>
        <w:tabs>
          <w:tab w:val="left" w:pos="3261"/>
        </w:tabs>
        <w:spacing w:after="240" w:line="240" w:lineRule="auto"/>
        <w:rPr>
          <w:rFonts w:cs="Times New Roman"/>
          <w:szCs w:val="24"/>
        </w:rPr>
      </w:pPr>
      <w:r w:rsidRPr="004A5917">
        <w:rPr>
          <w:rFonts w:cs="Times New Roman"/>
          <w:szCs w:val="24"/>
        </w:rPr>
        <w:t xml:space="preserve">The </w:t>
      </w:r>
      <w:r w:rsidRPr="004A5917">
        <w:rPr>
          <w:bCs/>
          <w:i/>
        </w:rPr>
        <w:t>Requirements for Use of Digital Images as an Alternative to Direct Microscopy (First Edition 2021)</w:t>
      </w:r>
      <w:r w:rsidRPr="004A5917">
        <w:rPr>
          <w:bCs/>
        </w:rPr>
        <w:t xml:space="preserve"> </w:t>
      </w:r>
      <w:r w:rsidRPr="004A5917">
        <w:rPr>
          <w:rFonts w:cs="Times New Roman"/>
          <w:szCs w:val="24"/>
        </w:rPr>
        <w:t>is a new pathology accreditation standard that provides minimum best practice standards for laboratories using digital technology for primary morphological diagnosis and second opinions. This primarily concerns the use of whole slide imaging but also encompasses use of telepathology where digital cameras, operated manually or remotely, transmit images.</w:t>
      </w:r>
    </w:p>
    <w:p w14:paraId="6A7DFA66" w14:textId="77777777" w:rsidR="009F6B8D" w:rsidRPr="004A5917" w:rsidRDefault="009F6B8D" w:rsidP="009F6B8D">
      <w:pPr>
        <w:spacing w:after="240" w:line="240" w:lineRule="auto"/>
        <w:rPr>
          <w:rFonts w:cs="Times New Roman"/>
          <w:szCs w:val="24"/>
        </w:rPr>
      </w:pPr>
      <w:r w:rsidRPr="004A5917">
        <w:rPr>
          <w:rFonts w:cs="Times New Roman"/>
          <w:szCs w:val="24"/>
        </w:rPr>
        <w:t>The Requirements cover the use of digital microscopy in anatomical pathology, cytopathology, haematology morphology and microscopy in microbiology.</w:t>
      </w:r>
    </w:p>
    <w:p w14:paraId="1E95E366" w14:textId="5F4379E0" w:rsidR="00260F41" w:rsidRPr="004A5917" w:rsidRDefault="00797289" w:rsidP="00260F41">
      <w:pPr>
        <w:spacing w:after="0" w:line="240" w:lineRule="auto"/>
        <w:rPr>
          <w:rFonts w:cs="Times New Roman"/>
          <w:b/>
          <w:bCs/>
          <w:i/>
          <w:iCs/>
          <w:szCs w:val="24"/>
        </w:rPr>
      </w:pPr>
      <w:r w:rsidRPr="004A5917">
        <w:rPr>
          <w:rFonts w:cs="Times New Roman"/>
          <w:b/>
          <w:bCs/>
          <w:i/>
          <w:iCs/>
          <w:szCs w:val="24"/>
        </w:rPr>
        <w:t xml:space="preserve">Requirements for </w:t>
      </w:r>
      <w:r w:rsidR="00260F41" w:rsidRPr="004A5917">
        <w:rPr>
          <w:rFonts w:cs="Times New Roman"/>
          <w:b/>
          <w:bCs/>
          <w:i/>
          <w:iCs/>
          <w:szCs w:val="24"/>
        </w:rPr>
        <w:t>Procedures related to the Collection, Processing, Storage and Issue of Human Haemopoietic Progenitor Cells</w:t>
      </w:r>
      <w:r w:rsidRPr="004A5917">
        <w:rPr>
          <w:rFonts w:cs="Times New Roman"/>
          <w:b/>
          <w:bCs/>
          <w:i/>
          <w:iCs/>
          <w:szCs w:val="24"/>
        </w:rPr>
        <w:t xml:space="preserve"> (</w:t>
      </w:r>
      <w:r w:rsidR="00260F41" w:rsidRPr="004A5917">
        <w:rPr>
          <w:rFonts w:cs="Times New Roman"/>
          <w:b/>
          <w:bCs/>
          <w:i/>
          <w:iCs/>
          <w:szCs w:val="24"/>
        </w:rPr>
        <w:t>Sixth</w:t>
      </w:r>
      <w:r w:rsidRPr="004A5917">
        <w:rPr>
          <w:rFonts w:cs="Times New Roman"/>
          <w:b/>
          <w:bCs/>
          <w:i/>
          <w:iCs/>
          <w:szCs w:val="24"/>
        </w:rPr>
        <w:t xml:space="preserve"> Edition 2021)</w:t>
      </w:r>
    </w:p>
    <w:p w14:paraId="67F8471C" w14:textId="77777777" w:rsidR="000933E0" w:rsidRPr="004A5917" w:rsidRDefault="00832727" w:rsidP="000933E0">
      <w:pPr>
        <w:spacing w:after="120"/>
        <w:rPr>
          <w:rFonts w:eastAsia="Arial Unicode MS"/>
        </w:rPr>
      </w:pPr>
      <w:r w:rsidRPr="004A5917">
        <w:rPr>
          <w:rFonts w:cs="Times New Roman"/>
          <w:szCs w:val="24"/>
        </w:rPr>
        <w:t xml:space="preserve">The </w:t>
      </w:r>
      <w:r w:rsidR="00260F41" w:rsidRPr="004A5917">
        <w:rPr>
          <w:i/>
          <w:iCs/>
        </w:rPr>
        <w:t>Requirements for Procedures related to the Collection, Processing, Storage and Issue of Human Haemopoietic Progenitor Cells (Sixth Edition 2021)</w:t>
      </w:r>
      <w:r w:rsidRPr="004A5917">
        <w:rPr>
          <w:rFonts w:cs="Times New Roman"/>
          <w:i/>
          <w:iCs/>
          <w:szCs w:val="24"/>
        </w:rPr>
        <w:t xml:space="preserve"> </w:t>
      </w:r>
      <w:r w:rsidRPr="004A5917">
        <w:rPr>
          <w:rFonts w:cs="Times New Roman"/>
          <w:szCs w:val="24"/>
        </w:rPr>
        <w:t xml:space="preserve">sets out the minimum standards for </w:t>
      </w:r>
      <w:r w:rsidR="000933E0" w:rsidRPr="004A5917">
        <w:rPr>
          <w:rFonts w:cs="Times New Roman"/>
          <w:szCs w:val="24"/>
        </w:rPr>
        <w:t xml:space="preserve">facilities involved in donor selection, collection, processing, storage </w:t>
      </w:r>
      <w:r w:rsidR="000933E0" w:rsidRPr="004A5917">
        <w:rPr>
          <w:rFonts w:eastAsia="Arial Unicode MS"/>
        </w:rPr>
        <w:t>or disposal of directed minimally manipulated:</w:t>
      </w:r>
    </w:p>
    <w:p w14:paraId="3ACCFEA6" w14:textId="77777777" w:rsidR="000933E0" w:rsidRPr="004A5917" w:rsidRDefault="000933E0" w:rsidP="000933E0">
      <w:pPr>
        <w:pStyle w:val="ListParagraph"/>
        <w:numPr>
          <w:ilvl w:val="0"/>
          <w:numId w:val="9"/>
        </w:numPr>
        <w:spacing w:after="0" w:line="240" w:lineRule="auto"/>
        <w:ind w:left="782" w:hanging="357"/>
        <w:rPr>
          <w:rFonts w:eastAsia="Arial Unicode MS"/>
        </w:rPr>
      </w:pPr>
      <w:r w:rsidRPr="004A5917">
        <w:rPr>
          <w:rFonts w:eastAsia="Arial Unicode MS"/>
        </w:rPr>
        <w:t xml:space="preserve">haemopoietic progenitor cells (HPC) </w:t>
      </w:r>
    </w:p>
    <w:p w14:paraId="6551FB59" w14:textId="77777777" w:rsidR="000933E0" w:rsidRPr="004A5917" w:rsidRDefault="000933E0" w:rsidP="000933E0">
      <w:pPr>
        <w:pStyle w:val="ListParagraph"/>
        <w:numPr>
          <w:ilvl w:val="0"/>
          <w:numId w:val="9"/>
        </w:numPr>
        <w:spacing w:after="0" w:line="240" w:lineRule="auto"/>
        <w:rPr>
          <w:rFonts w:eastAsia="Arial Unicode MS"/>
        </w:rPr>
      </w:pPr>
      <w:r w:rsidRPr="004A5917">
        <w:rPr>
          <w:rFonts w:eastAsia="Arial Unicode MS"/>
        </w:rPr>
        <w:t xml:space="preserve">cord blood; and </w:t>
      </w:r>
    </w:p>
    <w:p w14:paraId="15246565" w14:textId="77777777" w:rsidR="000933E0" w:rsidRPr="004A5917" w:rsidRDefault="000933E0" w:rsidP="000933E0">
      <w:pPr>
        <w:pStyle w:val="ListParagraph"/>
        <w:numPr>
          <w:ilvl w:val="0"/>
          <w:numId w:val="9"/>
        </w:numPr>
        <w:tabs>
          <w:tab w:val="left" w:pos="851"/>
        </w:tabs>
        <w:autoSpaceDE w:val="0"/>
        <w:autoSpaceDN w:val="0"/>
        <w:adjustRightInd w:val="0"/>
        <w:spacing w:after="0" w:line="240" w:lineRule="auto"/>
        <w:rPr>
          <w:bCs/>
          <w:color w:val="000000"/>
          <w:sz w:val="23"/>
          <w:szCs w:val="23"/>
          <w:lang w:eastAsia="en-AU"/>
        </w:rPr>
      </w:pPr>
      <w:r w:rsidRPr="004A5917">
        <w:rPr>
          <w:rFonts w:eastAsia="Arial Unicode MS"/>
        </w:rPr>
        <w:t>donor lymphocytes which are used for haemopoietic reconstitution</w:t>
      </w:r>
      <w:r w:rsidRPr="004A5917">
        <w:rPr>
          <w:color w:val="000000"/>
          <w:sz w:val="23"/>
          <w:szCs w:val="23"/>
          <w:lang w:eastAsia="en-AU"/>
        </w:rPr>
        <w:t xml:space="preserve">; </w:t>
      </w:r>
      <w:r w:rsidRPr="004A5917">
        <w:rPr>
          <w:bCs/>
          <w:color w:val="000000"/>
          <w:sz w:val="23"/>
          <w:szCs w:val="23"/>
          <w:lang w:eastAsia="en-AU"/>
        </w:rPr>
        <w:t xml:space="preserve">and </w:t>
      </w:r>
    </w:p>
    <w:p w14:paraId="305281EC" w14:textId="77777777" w:rsidR="000933E0" w:rsidRPr="004A5917" w:rsidRDefault="000933E0" w:rsidP="000933E0">
      <w:pPr>
        <w:pStyle w:val="ListParagraph"/>
        <w:numPr>
          <w:ilvl w:val="0"/>
          <w:numId w:val="9"/>
        </w:numPr>
        <w:tabs>
          <w:tab w:val="left" w:pos="851"/>
        </w:tabs>
        <w:autoSpaceDE w:val="0"/>
        <w:autoSpaceDN w:val="0"/>
        <w:adjustRightInd w:val="0"/>
        <w:spacing w:after="0" w:line="240" w:lineRule="auto"/>
        <w:rPr>
          <w:bCs/>
          <w:color w:val="000000"/>
          <w:sz w:val="23"/>
          <w:szCs w:val="23"/>
          <w:lang w:eastAsia="en-AU"/>
        </w:rPr>
      </w:pPr>
      <w:r w:rsidRPr="004A5917">
        <w:rPr>
          <w:bCs/>
          <w:color w:val="000000"/>
          <w:sz w:val="23"/>
          <w:szCs w:val="23"/>
          <w:lang w:eastAsia="en-AU"/>
        </w:rPr>
        <w:t xml:space="preserve">donor lymphocytes which are issued for subsequent manufacture of a TGA approved product or under an approved clinical trial. </w:t>
      </w:r>
    </w:p>
    <w:p w14:paraId="7AB5E5F4" w14:textId="35322A04" w:rsidR="00832727" w:rsidRPr="004A5917" w:rsidRDefault="00832727" w:rsidP="00797289">
      <w:pPr>
        <w:spacing w:after="0" w:line="240" w:lineRule="auto"/>
        <w:rPr>
          <w:rFonts w:cs="Times New Roman"/>
          <w:szCs w:val="24"/>
        </w:rPr>
      </w:pPr>
    </w:p>
    <w:p w14:paraId="044D9CDD" w14:textId="264EB493" w:rsidR="00260F41" w:rsidRPr="004A5917" w:rsidRDefault="00D5015B" w:rsidP="00260F41">
      <w:pPr>
        <w:spacing w:after="0" w:line="240" w:lineRule="auto"/>
        <w:rPr>
          <w:rFonts w:cs="Times New Roman"/>
          <w:szCs w:val="24"/>
        </w:rPr>
      </w:pPr>
      <w:r w:rsidRPr="004A5917">
        <w:t xml:space="preserve">CAR-T cells are novel therapies for some leukaemia and lymphoma patients who would otherwise currently have limited other treatment options. </w:t>
      </w:r>
      <w:r w:rsidR="00050E92" w:rsidRPr="004A5917">
        <w:rPr>
          <w:rFonts w:cs="Times New Roman"/>
          <w:szCs w:val="24"/>
        </w:rPr>
        <w:t>T</w:t>
      </w:r>
      <w:r w:rsidR="000933E0" w:rsidRPr="004A5917">
        <w:rPr>
          <w:rFonts w:cs="Times New Roman"/>
          <w:szCs w:val="24"/>
        </w:rPr>
        <w:t>he Therapeutic Goods Administration</w:t>
      </w:r>
      <w:r w:rsidR="00050E92" w:rsidRPr="004A5917">
        <w:rPr>
          <w:rFonts w:cs="Times New Roman"/>
          <w:szCs w:val="24"/>
        </w:rPr>
        <w:t xml:space="preserve"> raised concerns</w:t>
      </w:r>
      <w:r w:rsidR="000933E0" w:rsidRPr="004A5917">
        <w:rPr>
          <w:rFonts w:cs="Times New Roman"/>
          <w:szCs w:val="24"/>
        </w:rPr>
        <w:t xml:space="preserve"> about the</w:t>
      </w:r>
      <w:r w:rsidRPr="004A5917">
        <w:rPr>
          <w:rFonts w:cs="Times New Roman"/>
          <w:szCs w:val="24"/>
        </w:rPr>
        <w:t xml:space="preserve"> manufacture of </w:t>
      </w:r>
      <w:r w:rsidR="000933E0" w:rsidRPr="004A5917">
        <w:rPr>
          <w:rFonts w:cs="Times New Roman"/>
          <w:szCs w:val="24"/>
        </w:rPr>
        <w:t>CAR-T cell for genetic modification and cell expansion in the treatment of infusion patients</w:t>
      </w:r>
      <w:r w:rsidR="0092396D" w:rsidRPr="004A5917">
        <w:rPr>
          <w:rFonts w:cs="Times New Roman"/>
          <w:szCs w:val="24"/>
        </w:rPr>
        <w:t xml:space="preserve"> that falls outside of the regulatory framework. In response, </w:t>
      </w:r>
      <w:r w:rsidR="000933E0" w:rsidRPr="004A5917">
        <w:rPr>
          <w:rFonts w:cs="Times New Roman"/>
          <w:szCs w:val="24"/>
        </w:rPr>
        <w:t>NPAAC revised t</w:t>
      </w:r>
      <w:r w:rsidR="00260F41" w:rsidRPr="004A5917">
        <w:rPr>
          <w:rFonts w:cs="Times New Roman"/>
          <w:szCs w:val="24"/>
        </w:rPr>
        <w:t xml:space="preserve">he scope of the Requirements </w:t>
      </w:r>
      <w:r w:rsidR="000933E0" w:rsidRPr="004A5917">
        <w:rPr>
          <w:rFonts w:cs="Times New Roman"/>
          <w:szCs w:val="24"/>
        </w:rPr>
        <w:t>to</w:t>
      </w:r>
      <w:r w:rsidRPr="004A5917">
        <w:rPr>
          <w:rFonts w:cs="Times New Roman"/>
          <w:szCs w:val="24"/>
        </w:rPr>
        <w:t xml:space="preserve"> include donor lymphocytes used for haemopoietic reconstitution and donor lymphocytes w</w:t>
      </w:r>
      <w:r w:rsidR="009F6B8D" w:rsidRPr="004A5917">
        <w:rPr>
          <w:rFonts w:cs="Times New Roman"/>
          <w:szCs w:val="24"/>
        </w:rPr>
        <w:t>hich</w:t>
      </w:r>
      <w:r w:rsidRPr="004A5917">
        <w:rPr>
          <w:rFonts w:cs="Times New Roman"/>
          <w:szCs w:val="24"/>
        </w:rPr>
        <w:t xml:space="preserve"> are </w:t>
      </w:r>
      <w:r w:rsidRPr="004A5917">
        <w:rPr>
          <w:rFonts w:cs="Times New Roman"/>
          <w:szCs w:val="24"/>
        </w:rPr>
        <w:lastRenderedPageBreak/>
        <w:t>issued for manufacture of a TGA approved product or under an approved clinical trial. This revision to the scope of the document ensures that CAR-T cells</w:t>
      </w:r>
      <w:r w:rsidR="0092396D" w:rsidRPr="004A5917">
        <w:rPr>
          <w:rFonts w:cs="Times New Roman"/>
          <w:szCs w:val="24"/>
        </w:rPr>
        <w:t xml:space="preserve"> are addressed under the pathology accreditation framework.</w:t>
      </w:r>
    </w:p>
    <w:p w14:paraId="6BA06B9F" w14:textId="77777777" w:rsidR="00260F41" w:rsidRPr="004A5917" w:rsidRDefault="00260F41" w:rsidP="00797289">
      <w:pPr>
        <w:spacing w:after="0" w:line="240" w:lineRule="auto"/>
        <w:rPr>
          <w:rFonts w:cs="Times New Roman"/>
          <w:szCs w:val="24"/>
        </w:rPr>
      </w:pPr>
    </w:p>
    <w:p w14:paraId="458B568A" w14:textId="5736FF16" w:rsidR="00D605D3" w:rsidRPr="004A5917" w:rsidRDefault="00D605D3" w:rsidP="00D605D3">
      <w:pPr>
        <w:spacing w:after="0" w:line="240" w:lineRule="auto"/>
        <w:rPr>
          <w:rFonts w:cs="Times New Roman"/>
          <w:b/>
          <w:bCs/>
          <w:i/>
          <w:iCs/>
          <w:szCs w:val="24"/>
        </w:rPr>
      </w:pPr>
      <w:r w:rsidRPr="004A5917">
        <w:rPr>
          <w:rFonts w:cs="Times New Roman"/>
          <w:b/>
          <w:bCs/>
          <w:i/>
          <w:iCs/>
          <w:szCs w:val="24"/>
        </w:rPr>
        <w:t xml:space="preserve">Requirements for </w:t>
      </w:r>
      <w:r w:rsidR="006403C6" w:rsidRPr="004A5917">
        <w:rPr>
          <w:rFonts w:cs="Times New Roman"/>
          <w:b/>
          <w:bCs/>
          <w:i/>
          <w:iCs/>
          <w:szCs w:val="24"/>
        </w:rPr>
        <w:t>Point of Care Testing</w:t>
      </w:r>
      <w:r w:rsidRPr="004A5917">
        <w:rPr>
          <w:rFonts w:cs="Times New Roman"/>
          <w:b/>
          <w:bCs/>
          <w:i/>
          <w:iCs/>
          <w:szCs w:val="24"/>
        </w:rPr>
        <w:t xml:space="preserve"> (F</w:t>
      </w:r>
      <w:r w:rsidR="006403C6" w:rsidRPr="004A5917">
        <w:rPr>
          <w:rFonts w:cs="Times New Roman"/>
          <w:b/>
          <w:bCs/>
          <w:i/>
          <w:iCs/>
          <w:szCs w:val="24"/>
        </w:rPr>
        <w:t>irst</w:t>
      </w:r>
      <w:r w:rsidRPr="004A5917">
        <w:rPr>
          <w:rFonts w:cs="Times New Roman"/>
          <w:b/>
          <w:bCs/>
          <w:i/>
          <w:iCs/>
          <w:szCs w:val="24"/>
        </w:rPr>
        <w:t xml:space="preserve"> Edition 202</w:t>
      </w:r>
      <w:r w:rsidR="006403C6" w:rsidRPr="004A5917">
        <w:rPr>
          <w:rFonts w:cs="Times New Roman"/>
          <w:b/>
          <w:bCs/>
          <w:i/>
          <w:iCs/>
          <w:szCs w:val="24"/>
        </w:rPr>
        <w:t>1</w:t>
      </w:r>
      <w:r w:rsidRPr="004A5917">
        <w:rPr>
          <w:rFonts w:cs="Times New Roman"/>
          <w:b/>
          <w:bCs/>
          <w:i/>
          <w:iCs/>
          <w:szCs w:val="24"/>
        </w:rPr>
        <w:t>)</w:t>
      </w:r>
    </w:p>
    <w:p w14:paraId="06E9F9CC" w14:textId="0D4EFE3C" w:rsidR="009F4535" w:rsidRPr="004A5917" w:rsidRDefault="006403C6" w:rsidP="009F4535">
      <w:pPr>
        <w:spacing w:before="120" w:line="240" w:lineRule="auto"/>
      </w:pPr>
      <w:r w:rsidRPr="004A5917">
        <w:rPr>
          <w:rFonts w:cs="Times New Roman"/>
          <w:szCs w:val="24"/>
        </w:rPr>
        <w:t xml:space="preserve">NPAAC published </w:t>
      </w:r>
      <w:r w:rsidR="00905FD3" w:rsidRPr="004A5917">
        <w:rPr>
          <w:rFonts w:cs="Times New Roman"/>
          <w:i/>
          <w:iCs/>
          <w:szCs w:val="24"/>
        </w:rPr>
        <w:t>Guidelines for Point of Care Testing</w:t>
      </w:r>
      <w:r w:rsidR="00905FD3" w:rsidRPr="004A5917">
        <w:rPr>
          <w:rFonts w:cs="Times New Roman"/>
          <w:szCs w:val="24"/>
        </w:rPr>
        <w:t xml:space="preserve"> </w:t>
      </w:r>
      <w:r w:rsidR="009F4535" w:rsidRPr="004A5917">
        <w:rPr>
          <w:rFonts w:cs="Times New Roman"/>
          <w:szCs w:val="24"/>
        </w:rPr>
        <w:t xml:space="preserve">(PoCT) </w:t>
      </w:r>
      <w:r w:rsidR="00905FD3" w:rsidRPr="004A5917">
        <w:rPr>
          <w:rFonts w:cs="Times New Roman"/>
          <w:szCs w:val="24"/>
        </w:rPr>
        <w:t xml:space="preserve">in 2015. </w:t>
      </w:r>
      <w:r w:rsidR="009F4535" w:rsidRPr="004A5917">
        <w:t>The Guidelines were developed with the aim of providing a quality framework for the performance of PoCT that focussed on a laboratory setting, but also provided guidance for other healthcare settings.</w:t>
      </w:r>
    </w:p>
    <w:p w14:paraId="2BF4DFA1" w14:textId="3B64C679" w:rsidR="009F4535" w:rsidRPr="004A5917" w:rsidRDefault="009F4535" w:rsidP="009F4535">
      <w:pPr>
        <w:spacing w:before="120" w:line="240" w:lineRule="auto"/>
      </w:pPr>
      <w:r w:rsidRPr="004A5917">
        <w:t>As part of the document review, NPAAC considered the audiences for the accreditation standards, the quality framework for PoCT and potential risks for patients, and the comprehensiveness of the standards in consideration of the PoCT standards and healthcare standards more generally.</w:t>
      </w:r>
    </w:p>
    <w:p w14:paraId="5BCB55D4" w14:textId="3F0A991A" w:rsidR="001B464E" w:rsidRPr="004A5917" w:rsidRDefault="00DE3CC8" w:rsidP="002761E0">
      <w:pPr>
        <w:spacing w:after="240" w:line="240" w:lineRule="auto"/>
        <w:rPr>
          <w:rFonts w:cs="Times New Roman"/>
          <w:szCs w:val="24"/>
        </w:rPr>
      </w:pPr>
      <w:r w:rsidRPr="004A5917">
        <w:rPr>
          <w:rFonts w:cs="Times New Roman"/>
          <w:szCs w:val="24"/>
        </w:rPr>
        <w:t xml:space="preserve">NPAAC and the </w:t>
      </w:r>
      <w:r w:rsidR="00593F54" w:rsidRPr="004A5917">
        <w:rPr>
          <w:rFonts w:cs="Times New Roman"/>
          <w:szCs w:val="24"/>
        </w:rPr>
        <w:t>Royal Australian College of General Practitioners</w:t>
      </w:r>
      <w:r w:rsidRPr="004A5917">
        <w:rPr>
          <w:rFonts w:cs="Times New Roman"/>
          <w:szCs w:val="24"/>
        </w:rPr>
        <w:t xml:space="preserve"> have agreed on the incorporation of the </w:t>
      </w:r>
      <w:r w:rsidR="00593F54" w:rsidRPr="004A5917">
        <w:rPr>
          <w:rFonts w:cs="Times New Roman"/>
          <w:szCs w:val="24"/>
        </w:rPr>
        <w:t>General Practice Point of Care Standards</w:t>
      </w:r>
      <w:r w:rsidR="006E4BC6" w:rsidRPr="004A5917">
        <w:rPr>
          <w:rFonts w:cs="Times New Roman"/>
          <w:szCs w:val="24"/>
        </w:rPr>
        <w:t xml:space="preserve"> into the </w:t>
      </w:r>
      <w:r w:rsidRPr="004A5917">
        <w:rPr>
          <w:rFonts w:cs="Times New Roman"/>
          <w:szCs w:val="24"/>
        </w:rPr>
        <w:t>new accreditation standard titled</w:t>
      </w:r>
      <w:r w:rsidR="00DA55A6" w:rsidRPr="004A5917">
        <w:rPr>
          <w:rFonts w:cs="Times New Roman"/>
          <w:szCs w:val="24"/>
        </w:rPr>
        <w:t xml:space="preserve"> </w:t>
      </w:r>
      <w:r w:rsidR="00DA55A6" w:rsidRPr="004A5917">
        <w:rPr>
          <w:rFonts w:cs="Times New Roman"/>
          <w:i/>
          <w:iCs/>
          <w:szCs w:val="24"/>
        </w:rPr>
        <w:t xml:space="preserve">Requirements </w:t>
      </w:r>
      <w:r w:rsidR="00905FD3" w:rsidRPr="004A5917">
        <w:rPr>
          <w:rFonts w:cs="Times New Roman"/>
          <w:i/>
          <w:iCs/>
          <w:szCs w:val="24"/>
        </w:rPr>
        <w:t>Point of Care Testing</w:t>
      </w:r>
      <w:r w:rsidR="00DA55A6" w:rsidRPr="004A5917">
        <w:rPr>
          <w:rFonts w:cs="Times New Roman"/>
          <w:i/>
          <w:iCs/>
          <w:szCs w:val="24"/>
        </w:rPr>
        <w:t xml:space="preserve"> (</w:t>
      </w:r>
      <w:r w:rsidR="008A3D31" w:rsidRPr="004A5917">
        <w:rPr>
          <w:rFonts w:cs="Times New Roman"/>
          <w:i/>
          <w:iCs/>
          <w:szCs w:val="24"/>
        </w:rPr>
        <w:t>Second</w:t>
      </w:r>
      <w:r w:rsidR="00DA55A6" w:rsidRPr="004A5917">
        <w:rPr>
          <w:rFonts w:cs="Times New Roman"/>
          <w:i/>
          <w:iCs/>
          <w:szCs w:val="24"/>
        </w:rPr>
        <w:t xml:space="preserve"> Edition 202</w:t>
      </w:r>
      <w:r w:rsidR="008A3D31" w:rsidRPr="004A5917">
        <w:rPr>
          <w:rFonts w:cs="Times New Roman"/>
          <w:i/>
          <w:iCs/>
          <w:szCs w:val="24"/>
        </w:rPr>
        <w:t>1</w:t>
      </w:r>
      <w:r w:rsidR="00DA55A6" w:rsidRPr="004A5917">
        <w:rPr>
          <w:rFonts w:cs="Times New Roman"/>
          <w:i/>
          <w:iCs/>
          <w:szCs w:val="24"/>
        </w:rPr>
        <w:t>)</w:t>
      </w:r>
      <w:r w:rsidR="00DA55A6" w:rsidRPr="004A5917">
        <w:rPr>
          <w:rFonts w:cs="Times New Roman"/>
          <w:szCs w:val="24"/>
        </w:rPr>
        <w:t xml:space="preserve">. The revised Requirements outline best practice </w:t>
      </w:r>
      <w:r w:rsidR="001B464E" w:rsidRPr="004A5917">
        <w:rPr>
          <w:rFonts w:cs="Times New Roman"/>
          <w:szCs w:val="24"/>
        </w:rPr>
        <w:t>standards</w:t>
      </w:r>
      <w:r w:rsidR="00DA55A6" w:rsidRPr="004A5917">
        <w:rPr>
          <w:rFonts w:cs="Times New Roman"/>
          <w:szCs w:val="24"/>
        </w:rPr>
        <w:t xml:space="preserve"> </w:t>
      </w:r>
      <w:r w:rsidR="00256BDC" w:rsidRPr="004A5917">
        <w:rPr>
          <w:rFonts w:cs="Times New Roman"/>
          <w:szCs w:val="24"/>
        </w:rPr>
        <w:t>for point of care tests used in all health care settings. The document describes the key steps to ensure users of PoCT technology provide safe, quality-assured testing, especially when the results are to be used for patient’s healthcare management.</w:t>
      </w:r>
    </w:p>
    <w:p w14:paraId="34B884AC" w14:textId="4EDBBE53" w:rsidR="002761E0" w:rsidRPr="004A5917" w:rsidRDefault="002761E0" w:rsidP="002761E0">
      <w:pPr>
        <w:spacing w:after="240" w:line="240" w:lineRule="auto"/>
        <w:rPr>
          <w:iCs/>
        </w:rPr>
      </w:pPr>
      <w:r w:rsidRPr="004A5917">
        <w:t xml:space="preserve">The aforementioned pathology standards are incorporated by the </w:t>
      </w:r>
      <w:r w:rsidRPr="004A5917">
        <w:rPr>
          <w:i/>
        </w:rPr>
        <w:t xml:space="preserve">Health Insurance (Accredited Pathology Laboratories – Approval) Principles 2017. </w:t>
      </w:r>
      <w:r w:rsidRPr="004A5917">
        <w:rPr>
          <w:iCs/>
        </w:rPr>
        <w:t xml:space="preserve">The </w:t>
      </w:r>
      <w:r w:rsidRPr="004A5917">
        <w:rPr>
          <w:i/>
          <w:iCs/>
        </w:rPr>
        <w:t>Requirements for Procedures related to the Collection, Processing, Storage and Issue of Human Haemopoietic Progenitor Cells (Sixth Edition 2021)</w:t>
      </w:r>
      <w:r w:rsidRPr="004A5917">
        <w:rPr>
          <w:rFonts w:cs="Times New Roman"/>
          <w:i/>
          <w:iCs/>
          <w:szCs w:val="24"/>
        </w:rPr>
        <w:t xml:space="preserve"> </w:t>
      </w:r>
      <w:r w:rsidRPr="004A5917">
        <w:rPr>
          <w:rFonts w:cs="Times New Roman"/>
          <w:szCs w:val="24"/>
        </w:rPr>
        <w:t xml:space="preserve">and </w:t>
      </w:r>
      <w:r w:rsidRPr="004A5917">
        <w:rPr>
          <w:iCs/>
        </w:rPr>
        <w:t xml:space="preserve">the </w:t>
      </w:r>
      <w:r w:rsidRPr="004A5917">
        <w:rPr>
          <w:rFonts w:cs="Times New Roman"/>
          <w:i/>
          <w:iCs/>
          <w:szCs w:val="24"/>
        </w:rPr>
        <w:t xml:space="preserve">Requirements Point of Care Testing (Second Edition 2021) </w:t>
      </w:r>
      <w:r w:rsidRPr="004A5917">
        <w:rPr>
          <w:rFonts w:cs="Times New Roman"/>
          <w:szCs w:val="24"/>
        </w:rPr>
        <w:t xml:space="preserve">are proposed to come into effect on 1 January 2022. The new </w:t>
      </w:r>
      <w:r w:rsidRPr="004A5917">
        <w:rPr>
          <w:bCs/>
          <w:i/>
        </w:rPr>
        <w:t>Requirements for Use of Digital Images as an Alternative to Direct Microscopy (First Edition 2021)</w:t>
      </w:r>
      <w:r w:rsidRPr="004A5917">
        <w:rPr>
          <w:bCs/>
        </w:rPr>
        <w:t xml:space="preserve"> </w:t>
      </w:r>
      <w:r w:rsidRPr="004A5917">
        <w:rPr>
          <w:iCs/>
        </w:rPr>
        <w:t xml:space="preserve">is proposed to come into effect on 1 February 2022. </w:t>
      </w:r>
    </w:p>
    <w:p w14:paraId="25C698AC" w14:textId="77777777" w:rsidR="002761E0" w:rsidRPr="004A5917" w:rsidRDefault="002761E0" w:rsidP="002761E0">
      <w:pPr>
        <w:spacing w:line="240" w:lineRule="auto"/>
      </w:pPr>
      <w:r w:rsidRPr="004A5917">
        <w:t>Any subsequent changes or replacement to the above standards documents will not apply unless further amendments are made to the Principles.</w:t>
      </w:r>
    </w:p>
    <w:p w14:paraId="161EBB45" w14:textId="4C7CACB3" w:rsidR="00797289" w:rsidRPr="004A5917" w:rsidRDefault="00797289" w:rsidP="00797289">
      <w:pPr>
        <w:spacing w:after="0" w:line="240" w:lineRule="auto"/>
        <w:rPr>
          <w:szCs w:val="24"/>
        </w:rPr>
      </w:pPr>
      <w:r w:rsidRPr="004A5917">
        <w:rPr>
          <w:szCs w:val="24"/>
        </w:rPr>
        <w:t>Copies of pathology accreditation materials listed in the Schedule to the Principles are published on the NPAAC website and can be accessed</w:t>
      </w:r>
      <w:r w:rsidR="006A1145" w:rsidRPr="004A5917">
        <w:rPr>
          <w:szCs w:val="24"/>
        </w:rPr>
        <w:t xml:space="preserve"> </w:t>
      </w:r>
      <w:r w:rsidR="008A3D31" w:rsidRPr="004A5917">
        <w:rPr>
          <w:szCs w:val="24"/>
        </w:rPr>
        <w:t xml:space="preserve">readily and </w:t>
      </w:r>
      <w:r w:rsidR="006A1145" w:rsidRPr="004A5917">
        <w:rPr>
          <w:szCs w:val="24"/>
        </w:rPr>
        <w:t>free of charge</w:t>
      </w:r>
      <w:r w:rsidRPr="004A5917">
        <w:rPr>
          <w:szCs w:val="24"/>
        </w:rPr>
        <w:t xml:space="preserve"> from -</w:t>
      </w:r>
      <w:hyperlink r:id="rId5" w:history="1">
        <w:r w:rsidRPr="004A5917">
          <w:rPr>
            <w:rStyle w:val="Hyperlink"/>
            <w:szCs w:val="24"/>
          </w:rPr>
          <w:t>http://www.health.gov.au/internet/main/publishing.nsf/ Content/health-npaac-publication.htm</w:t>
        </w:r>
      </w:hyperlink>
      <w:r w:rsidRPr="004A5917">
        <w:rPr>
          <w:szCs w:val="24"/>
        </w:rPr>
        <w:t xml:space="preserve">. </w:t>
      </w:r>
    </w:p>
    <w:p w14:paraId="3403078E" w14:textId="77777777" w:rsidR="00797289" w:rsidRPr="004A5917" w:rsidRDefault="00797289" w:rsidP="00797289">
      <w:pPr>
        <w:spacing w:after="0" w:line="240" w:lineRule="auto"/>
      </w:pPr>
    </w:p>
    <w:p w14:paraId="21DB2E5E" w14:textId="77777777" w:rsidR="00C56FD6" w:rsidRPr="004A5917" w:rsidRDefault="00C56FD6" w:rsidP="00C56FD6">
      <w:pPr>
        <w:jc w:val="both"/>
        <w:rPr>
          <w:rFonts w:cs="Times New Roman"/>
          <w:b/>
          <w:bCs/>
          <w:szCs w:val="24"/>
        </w:rPr>
      </w:pPr>
      <w:r w:rsidRPr="004A5917">
        <w:rPr>
          <w:rFonts w:cs="Times New Roman"/>
          <w:b/>
          <w:bCs/>
          <w:szCs w:val="24"/>
        </w:rPr>
        <w:t>Consultation</w:t>
      </w:r>
    </w:p>
    <w:p w14:paraId="5EB8A174" w14:textId="7AEA604D" w:rsidR="0021697A" w:rsidRPr="004A5917" w:rsidRDefault="00797289" w:rsidP="0021697A">
      <w:pPr>
        <w:spacing w:after="0" w:line="240" w:lineRule="auto"/>
      </w:pPr>
      <w:r w:rsidRPr="004A5917">
        <w:t xml:space="preserve">As part of the accreditation standards development process, </w:t>
      </w:r>
      <w:r w:rsidR="00040528" w:rsidRPr="004A5917">
        <w:t xml:space="preserve">all three accreditation standards were released for a public consultation phase to inform the finalisation of the </w:t>
      </w:r>
      <w:r w:rsidR="006C4AF4" w:rsidRPr="004A5917">
        <w:t>accreditation standards</w:t>
      </w:r>
      <w:r w:rsidRPr="004A5917">
        <w:t>.</w:t>
      </w:r>
      <w:r w:rsidR="0021697A" w:rsidRPr="004A5917">
        <w:t xml:space="preserve"> </w:t>
      </w:r>
      <w:r w:rsidR="00E805D2" w:rsidRPr="004A5917">
        <w:t>A</w:t>
      </w:r>
      <w:r w:rsidR="0021697A" w:rsidRPr="004A5917">
        <w:t xml:space="preserve"> broad range of stakeholders, including all pathology laboratories, peak pathology bod</w:t>
      </w:r>
      <w:r w:rsidR="00DF201C" w:rsidRPr="004A5917">
        <w:t>i</w:t>
      </w:r>
      <w:r w:rsidR="0021697A" w:rsidRPr="004A5917">
        <w:t>es, consumers, other relevant organisations with an interest in pathology</w:t>
      </w:r>
      <w:r w:rsidR="007B17B6" w:rsidRPr="004A5917">
        <w:t xml:space="preserve"> were consulted on the on the new and revised standards</w:t>
      </w:r>
      <w:r w:rsidR="0021697A" w:rsidRPr="004A5917">
        <w:t>.</w:t>
      </w:r>
      <w:r w:rsidR="00190B26" w:rsidRPr="004A5917">
        <w:t xml:space="preserve"> There was overall support for the accreditation standard</w:t>
      </w:r>
      <w:r w:rsidR="007B17B6" w:rsidRPr="004A5917">
        <w:t>s</w:t>
      </w:r>
      <w:r w:rsidR="00190B26" w:rsidRPr="004A5917">
        <w:t xml:space="preserve"> and feedback was considered in the finalisation of the standards.</w:t>
      </w:r>
    </w:p>
    <w:p w14:paraId="3F8F5DAC" w14:textId="77777777" w:rsidR="0021697A" w:rsidRPr="004A5917" w:rsidRDefault="0021697A" w:rsidP="0021697A">
      <w:pPr>
        <w:spacing w:after="0" w:line="240" w:lineRule="auto"/>
      </w:pPr>
    </w:p>
    <w:p w14:paraId="14547048" w14:textId="032305E7" w:rsidR="00FE5744" w:rsidRPr="004A5917" w:rsidRDefault="00190B26" w:rsidP="0021697A">
      <w:pPr>
        <w:spacing w:after="0" w:line="240" w:lineRule="auto"/>
      </w:pPr>
      <w:r w:rsidRPr="004A5917">
        <w:t xml:space="preserve">Peak pathology organisations and relevant pathology </w:t>
      </w:r>
      <w:r w:rsidR="00E805D2" w:rsidRPr="004A5917">
        <w:t>laboratories</w:t>
      </w:r>
      <w:r w:rsidRPr="004A5917">
        <w:t xml:space="preserve"> were consulted on the revised Supervision Requirements and Retention Requirements</w:t>
      </w:r>
      <w:r w:rsidR="00797289" w:rsidRPr="004A5917">
        <w:t>. There was overall support for the revised documents and the final versions take into consideration comments received from the consultation process.</w:t>
      </w:r>
    </w:p>
    <w:p w14:paraId="29CE2F1E" w14:textId="77777777" w:rsidR="00DF201C" w:rsidRPr="004A5917" w:rsidRDefault="00DF201C" w:rsidP="00797289">
      <w:pPr>
        <w:spacing w:after="0" w:line="240" w:lineRule="auto"/>
        <w:rPr>
          <w:rFonts w:cs="Times New Roman"/>
          <w:szCs w:val="24"/>
        </w:rPr>
      </w:pPr>
    </w:p>
    <w:p w14:paraId="3007961E" w14:textId="77777777" w:rsidR="00797289" w:rsidRPr="004A5917" w:rsidRDefault="00797289" w:rsidP="00797289">
      <w:pPr>
        <w:spacing w:after="0" w:line="240" w:lineRule="auto"/>
      </w:pPr>
      <w:r w:rsidRPr="004A5917">
        <w:t xml:space="preserve">The Amendment Instrument is a legislative instrument for the purposes of the </w:t>
      </w:r>
      <w:r w:rsidRPr="004A5917">
        <w:rPr>
          <w:i/>
        </w:rPr>
        <w:t>Legislative Instruments Act 2003</w:t>
      </w:r>
      <w:r w:rsidRPr="004A5917">
        <w:t>.</w:t>
      </w:r>
    </w:p>
    <w:p w14:paraId="2E16CCB3" w14:textId="77777777" w:rsidR="00797289" w:rsidRPr="004A5917" w:rsidRDefault="00797289" w:rsidP="00797289">
      <w:pPr>
        <w:spacing w:after="0" w:line="240" w:lineRule="auto"/>
      </w:pPr>
    </w:p>
    <w:p w14:paraId="3BB7B3AA" w14:textId="77777777" w:rsidR="00797289" w:rsidRPr="004A5917" w:rsidRDefault="00797289" w:rsidP="00797289">
      <w:pPr>
        <w:spacing w:after="0" w:line="240" w:lineRule="auto"/>
        <w:rPr>
          <w:i/>
        </w:rPr>
      </w:pPr>
      <w:r w:rsidRPr="004A5917">
        <w:t xml:space="preserve">Details of the legislative instrument are set out in </w:t>
      </w:r>
      <w:r w:rsidRPr="004A5917">
        <w:rPr>
          <w:u w:val="single"/>
        </w:rPr>
        <w:t>Attachment A</w:t>
      </w:r>
      <w:r w:rsidRPr="004A5917">
        <w:t xml:space="preserve">. </w:t>
      </w:r>
    </w:p>
    <w:p w14:paraId="117442EC" w14:textId="77777777" w:rsidR="00797289" w:rsidRPr="004A5917" w:rsidRDefault="00797289" w:rsidP="00797289">
      <w:pPr>
        <w:spacing w:after="0" w:line="240" w:lineRule="auto"/>
      </w:pPr>
    </w:p>
    <w:p w14:paraId="74598018" w14:textId="77777777" w:rsidR="00C56FD6" w:rsidRPr="004A5917" w:rsidRDefault="00C56FD6" w:rsidP="00C56FD6">
      <w:pPr>
        <w:spacing w:after="0" w:line="240" w:lineRule="auto"/>
        <w:rPr>
          <w:rFonts w:cs="Times New Roman"/>
          <w:szCs w:val="24"/>
        </w:rPr>
      </w:pPr>
    </w:p>
    <w:p w14:paraId="2894110E" w14:textId="2FD953CF" w:rsidR="00C56FD6" w:rsidRPr="004A5917" w:rsidRDefault="00C56FD6" w:rsidP="00C56FD6">
      <w:pPr>
        <w:spacing w:line="240" w:lineRule="auto"/>
        <w:jc w:val="right"/>
        <w:rPr>
          <w:rFonts w:cs="Times New Roman"/>
          <w:b/>
          <w:szCs w:val="24"/>
        </w:rPr>
      </w:pPr>
      <w:r w:rsidRPr="004A5917">
        <w:rPr>
          <w:rFonts w:cs="Times New Roman"/>
          <w:szCs w:val="24"/>
        </w:rPr>
        <w:br w:type="page"/>
      </w:r>
      <w:r w:rsidRPr="004A5917">
        <w:rPr>
          <w:rFonts w:cs="Times New Roman"/>
          <w:b/>
          <w:szCs w:val="24"/>
        </w:rPr>
        <w:lastRenderedPageBreak/>
        <w:t>ATTACHMENT</w:t>
      </w:r>
      <w:r w:rsidR="00591687" w:rsidRPr="004A5917">
        <w:rPr>
          <w:rFonts w:cs="Times New Roman"/>
          <w:b/>
          <w:szCs w:val="24"/>
        </w:rPr>
        <w:t xml:space="preserve"> A</w:t>
      </w:r>
    </w:p>
    <w:p w14:paraId="16CCC2CC" w14:textId="5F888487" w:rsidR="0066581F" w:rsidRPr="004A5917" w:rsidRDefault="0066581F" w:rsidP="00C56FD6">
      <w:pPr>
        <w:spacing w:after="0" w:line="240" w:lineRule="auto"/>
        <w:rPr>
          <w:rFonts w:cs="Times New Roman"/>
          <w:b/>
          <w:i/>
          <w:szCs w:val="24"/>
        </w:rPr>
      </w:pPr>
      <w:r w:rsidRPr="004A5917">
        <w:rPr>
          <w:rFonts w:cs="Times New Roman"/>
          <w:b/>
          <w:i/>
          <w:szCs w:val="24"/>
        </w:rPr>
        <w:t>Health Insurance (Accredited Pathology Laboratories—Approval) Amendment (Relevant Standards) Principles (No.2) 2021</w:t>
      </w:r>
    </w:p>
    <w:p w14:paraId="4A9818FD" w14:textId="77777777" w:rsidR="00D605D3" w:rsidRPr="004A5917" w:rsidRDefault="00D605D3" w:rsidP="00C56FD6">
      <w:pPr>
        <w:spacing w:after="0" w:line="240" w:lineRule="auto"/>
        <w:rPr>
          <w:rFonts w:cs="Times New Roman"/>
          <w:b/>
          <w:i/>
          <w:color w:val="C00000"/>
          <w:szCs w:val="24"/>
        </w:rPr>
      </w:pPr>
    </w:p>
    <w:p w14:paraId="39EC6BEB" w14:textId="77777777" w:rsidR="00492691" w:rsidRPr="004A5917" w:rsidRDefault="00492691" w:rsidP="00492691">
      <w:pPr>
        <w:spacing w:after="0" w:line="240" w:lineRule="auto"/>
        <w:rPr>
          <w:b/>
        </w:rPr>
      </w:pPr>
      <w:r w:rsidRPr="004A5917">
        <w:rPr>
          <w:b/>
        </w:rPr>
        <w:t>1.  Name of legislative instrument</w:t>
      </w:r>
    </w:p>
    <w:p w14:paraId="3DF4E067" w14:textId="77777777" w:rsidR="00492691" w:rsidRPr="004A5917" w:rsidRDefault="00492691" w:rsidP="00492691">
      <w:pPr>
        <w:spacing w:after="0" w:line="240" w:lineRule="auto"/>
      </w:pPr>
    </w:p>
    <w:p w14:paraId="76519493" w14:textId="29859584" w:rsidR="00492691" w:rsidRPr="004A5917" w:rsidRDefault="00492691" w:rsidP="00492691">
      <w:pPr>
        <w:spacing w:after="0" w:line="240" w:lineRule="auto"/>
        <w:rPr>
          <w:i/>
        </w:rPr>
      </w:pPr>
      <w:r w:rsidRPr="004A5917">
        <w:t xml:space="preserve">Section 1 provides that the title of the legislative instrument is the </w:t>
      </w:r>
      <w:r w:rsidR="0066581F" w:rsidRPr="004A5917">
        <w:rPr>
          <w:bCs/>
          <w:i/>
        </w:rPr>
        <w:t xml:space="preserve">Health Insurance (Accredited Pathology Laboratories—Approval) Amendment (Relevant Standards) Principles (No.2) 2021 </w:t>
      </w:r>
      <w:r w:rsidRPr="004A5917">
        <w:t>(the Amending Instrument)</w:t>
      </w:r>
      <w:r w:rsidRPr="004A5917">
        <w:rPr>
          <w:i/>
        </w:rPr>
        <w:t>.</w:t>
      </w:r>
    </w:p>
    <w:p w14:paraId="32BDBE58" w14:textId="77777777" w:rsidR="00492691" w:rsidRPr="004A5917" w:rsidRDefault="00492691" w:rsidP="00492691">
      <w:pPr>
        <w:spacing w:after="0" w:line="240" w:lineRule="auto"/>
        <w:rPr>
          <w:i/>
          <w:color w:val="C00000"/>
        </w:rPr>
      </w:pPr>
    </w:p>
    <w:p w14:paraId="343C0206" w14:textId="77777777" w:rsidR="00492691" w:rsidRPr="004A5917" w:rsidRDefault="00492691" w:rsidP="00492691">
      <w:pPr>
        <w:spacing w:after="0" w:line="240" w:lineRule="auto"/>
        <w:rPr>
          <w:b/>
        </w:rPr>
      </w:pPr>
      <w:r w:rsidRPr="004A5917">
        <w:rPr>
          <w:b/>
        </w:rPr>
        <w:t>2.  Commencement</w:t>
      </w:r>
    </w:p>
    <w:p w14:paraId="7D2661AA" w14:textId="77777777" w:rsidR="00492691" w:rsidRPr="004A5917" w:rsidRDefault="00492691" w:rsidP="00492691">
      <w:pPr>
        <w:spacing w:after="0" w:line="240" w:lineRule="auto"/>
      </w:pPr>
    </w:p>
    <w:p w14:paraId="447DAD85" w14:textId="74DC3D6E" w:rsidR="00492691" w:rsidRPr="004A5917" w:rsidRDefault="00492691" w:rsidP="00492691">
      <w:pPr>
        <w:spacing w:after="0" w:line="240" w:lineRule="auto"/>
      </w:pPr>
      <w:r w:rsidRPr="004A5917">
        <w:t xml:space="preserve">Subsection 2(1) provides for commencement date of each of the provisions specified in Column 1 of the table, in accordance with Column 2 of the table. Schedule 1 to the Amendment Instrument commences on </w:t>
      </w:r>
      <w:r w:rsidR="00FC2C8D" w:rsidRPr="004A5917">
        <w:t>the specified dates</w:t>
      </w:r>
      <w:r w:rsidRPr="004A5917">
        <w:t>.</w:t>
      </w:r>
    </w:p>
    <w:p w14:paraId="24769D69" w14:textId="77777777" w:rsidR="00492691" w:rsidRPr="004A5917" w:rsidRDefault="00492691" w:rsidP="00492691">
      <w:pPr>
        <w:spacing w:after="0" w:line="240" w:lineRule="auto"/>
        <w:rPr>
          <w:b/>
        </w:rPr>
      </w:pPr>
    </w:p>
    <w:p w14:paraId="758193AB" w14:textId="77777777" w:rsidR="00492691" w:rsidRPr="004A5917" w:rsidRDefault="00492691" w:rsidP="00492691">
      <w:pPr>
        <w:spacing w:after="0" w:line="240" w:lineRule="auto"/>
        <w:rPr>
          <w:b/>
        </w:rPr>
      </w:pPr>
      <w:r w:rsidRPr="004A5917">
        <w:rPr>
          <w:b/>
        </w:rPr>
        <w:t>3.  Authority</w:t>
      </w:r>
    </w:p>
    <w:p w14:paraId="070AEEC0" w14:textId="77777777" w:rsidR="00492691" w:rsidRPr="004A5917" w:rsidRDefault="00492691" w:rsidP="00492691">
      <w:pPr>
        <w:spacing w:after="0" w:line="240" w:lineRule="auto"/>
      </w:pPr>
    </w:p>
    <w:p w14:paraId="4975F751" w14:textId="77777777" w:rsidR="00492691" w:rsidRPr="004A5917" w:rsidRDefault="00492691" w:rsidP="00492691">
      <w:pPr>
        <w:spacing w:after="0" w:line="240" w:lineRule="auto"/>
      </w:pPr>
      <w:r w:rsidRPr="004A5917">
        <w:t xml:space="preserve">Section 3 provides for the authority for the Amendment Instrument and that it is made under subsection 23DNA(1) of the </w:t>
      </w:r>
      <w:r w:rsidRPr="004A5917">
        <w:rPr>
          <w:i/>
        </w:rPr>
        <w:t xml:space="preserve">Health Insurance Act 1973 </w:t>
      </w:r>
      <w:r w:rsidRPr="004A5917">
        <w:t>(the Act).</w:t>
      </w:r>
    </w:p>
    <w:p w14:paraId="4D9DC7C6" w14:textId="77777777" w:rsidR="00492691" w:rsidRPr="004A5917" w:rsidRDefault="00492691" w:rsidP="00492691">
      <w:pPr>
        <w:spacing w:after="0" w:line="240" w:lineRule="auto"/>
      </w:pPr>
    </w:p>
    <w:p w14:paraId="3905DF9B" w14:textId="77777777" w:rsidR="00492691" w:rsidRPr="004A5917" w:rsidRDefault="00492691" w:rsidP="00492691">
      <w:pPr>
        <w:spacing w:after="0" w:line="240" w:lineRule="auto"/>
      </w:pPr>
      <w:r w:rsidRPr="004A5917">
        <w:t xml:space="preserve">Subsection 33(3) of the </w:t>
      </w:r>
      <w:r w:rsidRPr="004A5917">
        <w:rPr>
          <w:i/>
        </w:rPr>
        <w:t xml:space="preserve">Acts Interpretation Act 1901 </w:t>
      </w:r>
      <w:r w:rsidRPr="004A591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4A5917">
        <w:br/>
      </w:r>
    </w:p>
    <w:p w14:paraId="31600DA2" w14:textId="3F4F1193" w:rsidR="00492691" w:rsidRPr="004A5917" w:rsidRDefault="00492691" w:rsidP="00492691">
      <w:pPr>
        <w:spacing w:after="0" w:line="240" w:lineRule="auto"/>
        <w:rPr>
          <w:b/>
        </w:rPr>
      </w:pPr>
      <w:r w:rsidRPr="004A5917">
        <w:rPr>
          <w:b/>
        </w:rPr>
        <w:t>4.  Schedules</w:t>
      </w:r>
    </w:p>
    <w:p w14:paraId="4CF7CEE7" w14:textId="77777777" w:rsidR="00492691" w:rsidRPr="004A5917" w:rsidRDefault="00492691" w:rsidP="00492691">
      <w:pPr>
        <w:spacing w:after="0" w:line="240" w:lineRule="auto"/>
      </w:pPr>
    </w:p>
    <w:p w14:paraId="59C93F98" w14:textId="77777777" w:rsidR="00492691" w:rsidRPr="004A5917" w:rsidRDefault="00492691" w:rsidP="00492691">
      <w:pPr>
        <w:spacing w:after="0" w:line="240" w:lineRule="auto"/>
      </w:pPr>
      <w:r w:rsidRPr="004A5917">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18999598" w14:textId="77777777" w:rsidR="00492691" w:rsidRPr="004A5917" w:rsidRDefault="00492691" w:rsidP="00492691">
      <w:pPr>
        <w:spacing w:after="0" w:line="240" w:lineRule="auto"/>
      </w:pPr>
    </w:p>
    <w:p w14:paraId="570CA6DC" w14:textId="11736697" w:rsidR="00492691" w:rsidRPr="004A5917" w:rsidRDefault="00492691" w:rsidP="00492691">
      <w:pPr>
        <w:spacing w:after="0" w:line="240" w:lineRule="auto"/>
      </w:pPr>
      <w:r w:rsidRPr="004A5917">
        <w:t xml:space="preserve">There is one Schedule in the instrument. This Schedule provides for the amendments to the Principles commencing on 1 </w:t>
      </w:r>
      <w:r w:rsidR="005F6624" w:rsidRPr="004A5917">
        <w:t xml:space="preserve">January 2022 and </w:t>
      </w:r>
      <w:r w:rsidR="000E0ED1" w:rsidRPr="004A5917">
        <w:t>1 February 2022</w:t>
      </w:r>
      <w:r w:rsidRPr="004A5917">
        <w:t>.</w:t>
      </w:r>
    </w:p>
    <w:p w14:paraId="1B6A1A12" w14:textId="77777777" w:rsidR="00492691" w:rsidRPr="004A5917" w:rsidRDefault="00492691" w:rsidP="00492691">
      <w:pPr>
        <w:spacing w:after="0" w:line="240" w:lineRule="auto"/>
      </w:pPr>
    </w:p>
    <w:p w14:paraId="7A300449" w14:textId="231CFECB" w:rsidR="00492691" w:rsidRPr="004A5917" w:rsidRDefault="00492691" w:rsidP="00492691">
      <w:pPr>
        <w:spacing w:after="0" w:line="240" w:lineRule="auto"/>
      </w:pPr>
      <w:r w:rsidRPr="004A5917">
        <w:rPr>
          <w:b/>
        </w:rPr>
        <w:t xml:space="preserve">Schedule 1 – Amendments commencing on 1 </w:t>
      </w:r>
      <w:r w:rsidR="000E0ED1" w:rsidRPr="004A5917">
        <w:rPr>
          <w:b/>
        </w:rPr>
        <w:t>January 2022</w:t>
      </w:r>
    </w:p>
    <w:p w14:paraId="1F216300" w14:textId="77777777" w:rsidR="00492691" w:rsidRPr="004A5917" w:rsidRDefault="00492691" w:rsidP="00492691">
      <w:pPr>
        <w:spacing w:after="0" w:line="240" w:lineRule="auto"/>
        <w:rPr>
          <w:i/>
        </w:rPr>
      </w:pPr>
    </w:p>
    <w:p w14:paraId="5EDFC1DA" w14:textId="77777777" w:rsidR="00492691" w:rsidRPr="004A5917" w:rsidRDefault="00492691" w:rsidP="00492691">
      <w:pPr>
        <w:spacing w:after="0" w:line="240" w:lineRule="auto"/>
        <w:rPr>
          <w:i/>
        </w:rPr>
      </w:pPr>
      <w:r w:rsidRPr="004A5917">
        <w:rPr>
          <w:i/>
        </w:rPr>
        <w:t xml:space="preserve">Health Insurance (Accredited Pathology Laboratories – Approval) Principles 2017 </w:t>
      </w:r>
      <w:r w:rsidRPr="004A5917">
        <w:t>(the current Principles)</w:t>
      </w:r>
      <w:r w:rsidRPr="004A5917">
        <w:rPr>
          <w:i/>
        </w:rPr>
        <w:t xml:space="preserve"> </w:t>
      </w:r>
    </w:p>
    <w:p w14:paraId="491CB3A4" w14:textId="77777777" w:rsidR="00492691" w:rsidRPr="004A5917" w:rsidRDefault="00492691" w:rsidP="00492691">
      <w:pPr>
        <w:spacing w:after="0" w:line="240" w:lineRule="auto"/>
      </w:pPr>
    </w:p>
    <w:p w14:paraId="6D24868C" w14:textId="77777777" w:rsidR="00492691" w:rsidRPr="004A5917" w:rsidRDefault="00492691" w:rsidP="00492691">
      <w:pPr>
        <w:spacing w:after="0" w:line="240" w:lineRule="auto"/>
        <w:rPr>
          <w:b/>
        </w:rPr>
      </w:pPr>
      <w:r w:rsidRPr="004A5917">
        <w:rPr>
          <w:b/>
        </w:rPr>
        <w:t>Item 1</w:t>
      </w:r>
    </w:p>
    <w:p w14:paraId="2D4A9F3F" w14:textId="77777777" w:rsidR="00492691" w:rsidRPr="004A5917" w:rsidRDefault="00492691" w:rsidP="00492691">
      <w:pPr>
        <w:spacing w:after="0" w:line="240" w:lineRule="auto"/>
        <w:rPr>
          <w:b/>
        </w:rPr>
      </w:pPr>
    </w:p>
    <w:p w14:paraId="22CC0D6E" w14:textId="5655407C" w:rsidR="00492691" w:rsidRPr="004A5917" w:rsidRDefault="00492691" w:rsidP="00492691">
      <w:pPr>
        <w:spacing w:after="0" w:line="240" w:lineRule="auto"/>
      </w:pPr>
      <w:r w:rsidRPr="004A5917">
        <w:t xml:space="preserve">Item 1 repeals the standard listed in Item 12 of the Table and substitutes it with a new standard </w:t>
      </w:r>
      <w:r w:rsidR="005360FE" w:rsidRPr="004A5917">
        <w:t>for the collection, processing, storage and issue of human haemopoietic progenitor cells</w:t>
      </w:r>
      <w:r w:rsidRPr="004A5917">
        <w:t xml:space="preserve"> titled “</w:t>
      </w:r>
      <w:r w:rsidRPr="004A5917">
        <w:rPr>
          <w:i/>
        </w:rPr>
        <w:t xml:space="preserve">Requirements for </w:t>
      </w:r>
      <w:r w:rsidR="005360FE" w:rsidRPr="004A5917">
        <w:rPr>
          <w:i/>
        </w:rPr>
        <w:t>Procedures related to the Collection, Processing, Storage and Issue of Human Haemopoietic Progenitor Cells</w:t>
      </w:r>
      <w:r w:rsidRPr="004A5917">
        <w:rPr>
          <w:i/>
        </w:rPr>
        <w:t xml:space="preserve"> (S</w:t>
      </w:r>
      <w:r w:rsidR="005360FE" w:rsidRPr="004A5917">
        <w:rPr>
          <w:i/>
        </w:rPr>
        <w:t xml:space="preserve">ixth </w:t>
      </w:r>
      <w:r w:rsidRPr="004A5917">
        <w:rPr>
          <w:i/>
        </w:rPr>
        <w:t>Edition 20</w:t>
      </w:r>
      <w:r w:rsidR="005360FE" w:rsidRPr="004A5917">
        <w:rPr>
          <w:i/>
        </w:rPr>
        <w:t>21</w:t>
      </w:r>
      <w:r w:rsidRPr="004A5917">
        <w:rPr>
          <w:i/>
        </w:rPr>
        <w:t>)”.</w:t>
      </w:r>
    </w:p>
    <w:p w14:paraId="092BEAC3" w14:textId="1F97BCC0" w:rsidR="005360FE" w:rsidRPr="004A5917" w:rsidRDefault="005360FE">
      <w:pPr>
        <w:spacing w:after="160" w:line="259" w:lineRule="auto"/>
        <w:rPr>
          <w:b/>
        </w:rPr>
      </w:pPr>
      <w:r w:rsidRPr="004A5917">
        <w:rPr>
          <w:b/>
        </w:rPr>
        <w:br w:type="page"/>
      </w:r>
    </w:p>
    <w:p w14:paraId="1CC54EA8" w14:textId="77777777" w:rsidR="000E0ED1" w:rsidRPr="004A5917" w:rsidRDefault="000E0ED1" w:rsidP="000E0ED1">
      <w:pPr>
        <w:spacing w:after="0" w:line="240" w:lineRule="auto"/>
        <w:rPr>
          <w:b/>
        </w:rPr>
      </w:pPr>
      <w:r w:rsidRPr="004A5917">
        <w:rPr>
          <w:b/>
        </w:rPr>
        <w:lastRenderedPageBreak/>
        <w:t>Item 2</w:t>
      </w:r>
    </w:p>
    <w:p w14:paraId="58674CC2" w14:textId="77777777" w:rsidR="000E0ED1" w:rsidRPr="004A5917" w:rsidRDefault="000E0ED1" w:rsidP="000E0ED1">
      <w:pPr>
        <w:spacing w:after="0" w:line="240" w:lineRule="auto"/>
        <w:rPr>
          <w:b/>
        </w:rPr>
      </w:pPr>
    </w:p>
    <w:p w14:paraId="0DF8A47E" w14:textId="6BA763D0" w:rsidR="000E0ED1" w:rsidRPr="004A5917" w:rsidRDefault="000E0ED1" w:rsidP="000E0ED1">
      <w:pPr>
        <w:spacing w:after="0" w:line="240" w:lineRule="auto"/>
        <w:rPr>
          <w:rFonts w:cs="Times New Roman"/>
          <w:b/>
          <w:i/>
          <w:szCs w:val="24"/>
        </w:rPr>
      </w:pPr>
      <w:r w:rsidRPr="004A5917">
        <w:t>Item 2 amends Schedule 1 to the current Principles by adding a new item 23 to the list of standards in the Table. The new standard is titled “</w:t>
      </w:r>
      <w:r w:rsidRPr="004A5917">
        <w:rPr>
          <w:rFonts w:cs="Times New Roman"/>
          <w:i/>
          <w:szCs w:val="24"/>
        </w:rPr>
        <w:t>Requirements for Point of Care Testing (Second Edition 2021).”</w:t>
      </w:r>
    </w:p>
    <w:p w14:paraId="41B37611" w14:textId="77777777" w:rsidR="000E0ED1" w:rsidRPr="004A5917" w:rsidRDefault="000E0ED1" w:rsidP="000E0ED1">
      <w:pPr>
        <w:spacing w:after="0" w:line="240" w:lineRule="auto"/>
        <w:rPr>
          <w:b/>
        </w:rPr>
      </w:pPr>
    </w:p>
    <w:p w14:paraId="18C8A734" w14:textId="696ACFD1" w:rsidR="000E0ED1" w:rsidRPr="004A5917" w:rsidRDefault="000E0ED1" w:rsidP="000E0ED1">
      <w:pPr>
        <w:spacing w:after="0" w:line="240" w:lineRule="auto"/>
      </w:pPr>
      <w:r w:rsidRPr="004A5917">
        <w:rPr>
          <w:b/>
        </w:rPr>
        <w:t>Schedule 1 – Amendments commencing on 1 February 2022</w:t>
      </w:r>
    </w:p>
    <w:p w14:paraId="257C9E31" w14:textId="77777777" w:rsidR="002761E0" w:rsidRPr="004A5917" w:rsidRDefault="002761E0" w:rsidP="00492691">
      <w:pPr>
        <w:spacing w:after="0" w:line="240" w:lineRule="auto"/>
        <w:rPr>
          <w:b/>
        </w:rPr>
      </w:pPr>
    </w:p>
    <w:p w14:paraId="69FF8F6B" w14:textId="7599B9DF" w:rsidR="00492691" w:rsidRPr="004A5917" w:rsidRDefault="00492691" w:rsidP="00492691">
      <w:pPr>
        <w:spacing w:after="0" w:line="240" w:lineRule="auto"/>
        <w:rPr>
          <w:b/>
        </w:rPr>
      </w:pPr>
      <w:r w:rsidRPr="004A5917">
        <w:rPr>
          <w:b/>
        </w:rPr>
        <w:t xml:space="preserve">Item </w:t>
      </w:r>
      <w:r w:rsidR="000E0ED1" w:rsidRPr="004A5917">
        <w:rPr>
          <w:b/>
        </w:rPr>
        <w:t>3</w:t>
      </w:r>
    </w:p>
    <w:p w14:paraId="0C2DFC14" w14:textId="77777777" w:rsidR="00492691" w:rsidRPr="004A5917" w:rsidRDefault="00492691" w:rsidP="00492691">
      <w:pPr>
        <w:spacing w:after="0" w:line="240" w:lineRule="auto"/>
      </w:pPr>
    </w:p>
    <w:p w14:paraId="4A367ECB" w14:textId="7FE20D88" w:rsidR="00492691" w:rsidRPr="004A5917" w:rsidRDefault="005360FE" w:rsidP="00492691">
      <w:pPr>
        <w:spacing w:after="0" w:line="240" w:lineRule="auto"/>
        <w:rPr>
          <w:b/>
        </w:rPr>
      </w:pPr>
      <w:r w:rsidRPr="004A5917">
        <w:t xml:space="preserve">Item </w:t>
      </w:r>
      <w:r w:rsidR="000E0ED1" w:rsidRPr="004A5917">
        <w:t>3</w:t>
      </w:r>
      <w:r w:rsidRPr="004A5917">
        <w:t xml:space="preserve"> amends Schedule 1 to the current Principles by adding a new item 2</w:t>
      </w:r>
      <w:r w:rsidR="000E0ED1" w:rsidRPr="004A5917">
        <w:t>4</w:t>
      </w:r>
      <w:r w:rsidRPr="004A5917">
        <w:t xml:space="preserve"> to the list of standards in the Table. The new standard is titled “</w:t>
      </w:r>
      <w:r w:rsidRPr="004A5917">
        <w:rPr>
          <w:shd w:val="clear" w:color="auto" w:fill="FFFFFF"/>
        </w:rPr>
        <w:t>Requirements for the Use of Digital Images as an Alternative to Direct Microscopy (First Edition 2021).”</w:t>
      </w:r>
    </w:p>
    <w:p w14:paraId="4B2D89CD" w14:textId="77777777" w:rsidR="005360FE" w:rsidRPr="004A5917" w:rsidRDefault="005360FE" w:rsidP="00492691">
      <w:pPr>
        <w:spacing w:after="0" w:line="240" w:lineRule="auto"/>
        <w:rPr>
          <w:b/>
        </w:rPr>
      </w:pPr>
    </w:p>
    <w:p w14:paraId="3D96C66D" w14:textId="5C472202" w:rsidR="00334103" w:rsidRPr="004A5917" w:rsidRDefault="00334103" w:rsidP="00334103">
      <w:pPr>
        <w:spacing w:after="0" w:line="240" w:lineRule="auto"/>
        <w:rPr>
          <w:b/>
        </w:rPr>
      </w:pPr>
    </w:p>
    <w:p w14:paraId="34BE0550" w14:textId="77777777" w:rsidR="00C56FD6" w:rsidRPr="004A5917" w:rsidRDefault="00C56FD6" w:rsidP="00C56FD6">
      <w:pPr>
        <w:spacing w:after="0" w:line="240" w:lineRule="auto"/>
        <w:rPr>
          <w:rFonts w:cs="Times New Roman"/>
          <w:szCs w:val="24"/>
        </w:rPr>
      </w:pPr>
    </w:p>
    <w:p w14:paraId="4290EE8B" w14:textId="77777777" w:rsidR="000733C3" w:rsidRPr="004A5917" w:rsidRDefault="000733C3">
      <w:pPr>
        <w:spacing w:after="160" w:line="259" w:lineRule="auto"/>
        <w:rPr>
          <w:rFonts w:cs="Times New Roman"/>
          <w:b/>
          <w:szCs w:val="24"/>
        </w:rPr>
      </w:pPr>
      <w:r w:rsidRPr="004A5917">
        <w:rPr>
          <w:rFonts w:cs="Times New Roman"/>
          <w:b/>
          <w:szCs w:val="24"/>
        </w:rPr>
        <w:br w:type="page"/>
      </w:r>
    </w:p>
    <w:p w14:paraId="39825ED4" w14:textId="503CABA0" w:rsidR="00C56FD6" w:rsidRPr="004A5917" w:rsidRDefault="00C56FD6" w:rsidP="00C56FD6">
      <w:pPr>
        <w:spacing w:before="360" w:after="120"/>
        <w:jc w:val="center"/>
        <w:rPr>
          <w:rFonts w:cs="Times New Roman"/>
          <w:b/>
          <w:szCs w:val="24"/>
        </w:rPr>
      </w:pPr>
      <w:r w:rsidRPr="004A5917">
        <w:rPr>
          <w:rFonts w:cs="Times New Roman"/>
          <w:b/>
          <w:szCs w:val="24"/>
        </w:rPr>
        <w:lastRenderedPageBreak/>
        <w:t>Statement of Compatibility with Human Rights</w:t>
      </w:r>
    </w:p>
    <w:p w14:paraId="597CD0B1" w14:textId="77777777" w:rsidR="00C56FD6" w:rsidRPr="004A5917" w:rsidRDefault="00C56FD6" w:rsidP="00C56FD6">
      <w:pPr>
        <w:spacing w:after="0" w:line="240" w:lineRule="auto"/>
        <w:jc w:val="center"/>
        <w:rPr>
          <w:rFonts w:cs="Times New Roman"/>
          <w:i/>
          <w:szCs w:val="24"/>
        </w:rPr>
      </w:pPr>
      <w:r w:rsidRPr="004A5917">
        <w:rPr>
          <w:rFonts w:cs="Times New Roman"/>
          <w:i/>
          <w:szCs w:val="24"/>
        </w:rPr>
        <w:t xml:space="preserve">Prepared in accordance with Part 3 of the </w:t>
      </w:r>
    </w:p>
    <w:p w14:paraId="245F02CD" w14:textId="77777777" w:rsidR="00C56FD6" w:rsidRPr="004A5917" w:rsidRDefault="00C56FD6" w:rsidP="00C56FD6">
      <w:pPr>
        <w:spacing w:after="0" w:line="240" w:lineRule="auto"/>
        <w:jc w:val="center"/>
        <w:rPr>
          <w:rFonts w:cs="Times New Roman"/>
          <w:szCs w:val="24"/>
        </w:rPr>
      </w:pPr>
      <w:r w:rsidRPr="004A5917">
        <w:rPr>
          <w:rFonts w:cs="Times New Roman"/>
          <w:i/>
          <w:szCs w:val="24"/>
        </w:rPr>
        <w:t>Human Rights (Parliamentary Scrutiny) Act 2011</w:t>
      </w:r>
      <w:r w:rsidRPr="004A5917">
        <w:rPr>
          <w:rFonts w:cs="Times New Roman"/>
          <w:i/>
          <w:szCs w:val="24"/>
        </w:rPr>
        <w:br/>
      </w:r>
    </w:p>
    <w:p w14:paraId="1DB7B402" w14:textId="36E14F75" w:rsidR="0066581F" w:rsidRPr="004A5917" w:rsidRDefault="0066581F" w:rsidP="00C56FD6">
      <w:pPr>
        <w:spacing w:before="120" w:after="120" w:line="240" w:lineRule="auto"/>
        <w:jc w:val="center"/>
        <w:rPr>
          <w:b/>
          <w:i/>
          <w:iCs/>
        </w:rPr>
      </w:pPr>
      <w:r w:rsidRPr="004A5917">
        <w:rPr>
          <w:rFonts w:cs="Times New Roman"/>
          <w:b/>
          <w:i/>
          <w:iCs/>
          <w:szCs w:val="24"/>
        </w:rPr>
        <w:t>Health Insurance (Accredited Pathology Laboratories—Approval) Amendment (Relevant Standards) Principles (No.2) 2021</w:t>
      </w:r>
    </w:p>
    <w:p w14:paraId="1D02ABEB" w14:textId="6C0853EC" w:rsidR="00C56FD6" w:rsidRPr="004A5917" w:rsidRDefault="00C56FD6" w:rsidP="00C56FD6">
      <w:pPr>
        <w:spacing w:before="120" w:after="120" w:line="240" w:lineRule="auto"/>
        <w:jc w:val="center"/>
        <w:rPr>
          <w:rFonts w:cs="Times New Roman"/>
          <w:szCs w:val="24"/>
        </w:rPr>
      </w:pPr>
      <w:r w:rsidRPr="004A5917">
        <w:rPr>
          <w:rFonts w:cs="Times New Roman"/>
          <w:szCs w:val="24"/>
        </w:rPr>
        <w:t xml:space="preserve">This Legislative Instrument is compatible with the human rights and freedoms recognised or declared in the international instruments listed in section 3 of the </w:t>
      </w:r>
      <w:r w:rsidRPr="004A5917">
        <w:rPr>
          <w:rFonts w:cs="Times New Roman"/>
          <w:i/>
          <w:szCs w:val="24"/>
        </w:rPr>
        <w:t>Human Rights (Parliamentary Scrutiny) Act 2011</w:t>
      </w:r>
      <w:r w:rsidRPr="004A5917">
        <w:rPr>
          <w:rFonts w:cs="Times New Roman"/>
          <w:szCs w:val="24"/>
        </w:rPr>
        <w:t>.</w:t>
      </w:r>
    </w:p>
    <w:p w14:paraId="0A8A0EF2" w14:textId="77777777" w:rsidR="00C56FD6" w:rsidRPr="004A5917" w:rsidRDefault="00C56FD6" w:rsidP="00C56FD6">
      <w:pPr>
        <w:spacing w:after="120"/>
        <w:jc w:val="both"/>
        <w:rPr>
          <w:rFonts w:cs="Times New Roman"/>
          <w:b/>
          <w:szCs w:val="24"/>
        </w:rPr>
      </w:pPr>
      <w:r w:rsidRPr="004A5917">
        <w:rPr>
          <w:rFonts w:cs="Times New Roman"/>
          <w:b/>
          <w:szCs w:val="24"/>
        </w:rPr>
        <w:t>Overview of the Legislative Instrument</w:t>
      </w:r>
    </w:p>
    <w:p w14:paraId="63E5CFE8" w14:textId="3F168B9A" w:rsidR="000E010D" w:rsidRPr="004A5917" w:rsidRDefault="000E010D" w:rsidP="000E010D">
      <w:pPr>
        <w:spacing w:before="120" w:after="120" w:line="240" w:lineRule="auto"/>
      </w:pPr>
      <w:r w:rsidRPr="004A5917">
        <w:t xml:space="preserve">This Legislative Instrument makes amendments to the </w:t>
      </w:r>
      <w:r w:rsidRPr="004A5917">
        <w:rPr>
          <w:i/>
        </w:rPr>
        <w:t xml:space="preserve">Health Insurance (Accredited Pathology Laboratories – Approval) Principles 2017 </w:t>
      </w:r>
      <w:r w:rsidRPr="004A5917">
        <w:rPr>
          <w:iCs/>
        </w:rPr>
        <w:t>(</w:t>
      </w:r>
      <w:r w:rsidRPr="004A5917">
        <w:t>‘Principles’) to incorporate</w:t>
      </w:r>
      <w:r w:rsidR="005360FE" w:rsidRPr="004A5917">
        <w:t xml:space="preserve"> two</w:t>
      </w:r>
      <w:r w:rsidRPr="004A5917">
        <w:t xml:space="preserve"> new pathology accreditation standard</w:t>
      </w:r>
      <w:r w:rsidR="005360FE" w:rsidRPr="004A5917">
        <w:t>s</w:t>
      </w:r>
      <w:r w:rsidRPr="004A5917">
        <w:t xml:space="preserve"> and </w:t>
      </w:r>
      <w:r w:rsidR="005360FE" w:rsidRPr="004A5917">
        <w:t>one</w:t>
      </w:r>
      <w:r w:rsidRPr="004A5917">
        <w:t xml:space="preserve"> revised version of </w:t>
      </w:r>
      <w:r w:rsidR="00AF01C7" w:rsidRPr="004A5917">
        <w:t xml:space="preserve">National Pathology Accreditation Advisory Council (NPAAC) </w:t>
      </w:r>
      <w:r w:rsidRPr="004A5917">
        <w:t>accreditation standards currently listed in Schedule 1 of the Principles, namely the -</w:t>
      </w:r>
    </w:p>
    <w:p w14:paraId="1DF9128E" w14:textId="77777777" w:rsidR="005360FE" w:rsidRPr="004A5917" w:rsidRDefault="005360FE" w:rsidP="005360FE">
      <w:pPr>
        <w:widowControl w:val="0"/>
        <w:numPr>
          <w:ilvl w:val="1"/>
          <w:numId w:val="10"/>
        </w:numPr>
        <w:tabs>
          <w:tab w:val="left" w:pos="1134"/>
        </w:tabs>
        <w:adjustRightInd w:val="0"/>
        <w:spacing w:before="120" w:after="0" w:line="240" w:lineRule="auto"/>
        <w:ind w:left="1134" w:hanging="567"/>
        <w:textAlignment w:val="baseline"/>
      </w:pPr>
      <w:r w:rsidRPr="004A5917">
        <w:t>Requirements for Use of Digital Images as an Alternative to Direct Microscopy (First Edition 2021)</w:t>
      </w:r>
    </w:p>
    <w:p w14:paraId="7BF4E56B" w14:textId="77777777" w:rsidR="00955133" w:rsidRPr="004A5917" w:rsidRDefault="005360FE" w:rsidP="005360FE">
      <w:pPr>
        <w:widowControl w:val="0"/>
        <w:numPr>
          <w:ilvl w:val="1"/>
          <w:numId w:val="10"/>
        </w:numPr>
        <w:tabs>
          <w:tab w:val="left" w:pos="1134"/>
        </w:tabs>
        <w:adjustRightInd w:val="0"/>
        <w:spacing w:before="120" w:after="0" w:line="240" w:lineRule="auto"/>
        <w:ind w:left="1134" w:hanging="567"/>
        <w:textAlignment w:val="baseline"/>
      </w:pPr>
      <w:r w:rsidRPr="004A5917">
        <w:t>Requirements for Procedures related to the Collection, Processing, Storage and Issue of Human Haemopoietic Progenitor Cells (Sixth Edition 2021)</w:t>
      </w:r>
    </w:p>
    <w:p w14:paraId="77498835" w14:textId="39D6E669" w:rsidR="005360FE" w:rsidRPr="004A5917" w:rsidRDefault="00955133" w:rsidP="00955133">
      <w:pPr>
        <w:widowControl w:val="0"/>
        <w:numPr>
          <w:ilvl w:val="1"/>
          <w:numId w:val="10"/>
        </w:numPr>
        <w:tabs>
          <w:tab w:val="left" w:pos="1134"/>
        </w:tabs>
        <w:adjustRightInd w:val="0"/>
        <w:spacing w:before="120" w:after="0" w:line="240" w:lineRule="auto"/>
        <w:ind w:left="1134" w:hanging="567"/>
        <w:textAlignment w:val="baseline"/>
      </w:pPr>
      <w:r w:rsidRPr="004A5917">
        <w:t>Requirements for Point of Care Testing (Second Edition 2021)</w:t>
      </w:r>
      <w:r w:rsidR="005360FE" w:rsidRPr="004A5917">
        <w:t>.</w:t>
      </w:r>
    </w:p>
    <w:p w14:paraId="7C7919B2" w14:textId="77777777" w:rsidR="005360FE" w:rsidRPr="004A5917" w:rsidRDefault="005360FE" w:rsidP="005360FE">
      <w:pPr>
        <w:widowControl w:val="0"/>
        <w:tabs>
          <w:tab w:val="left" w:pos="1134"/>
        </w:tabs>
        <w:adjustRightInd w:val="0"/>
        <w:spacing w:before="120" w:after="0" w:line="240" w:lineRule="auto"/>
        <w:ind w:left="1134"/>
        <w:textAlignment w:val="baseline"/>
      </w:pPr>
    </w:p>
    <w:p w14:paraId="405A30EC" w14:textId="5565C1D9" w:rsidR="00422D6D" w:rsidRPr="004A5917" w:rsidRDefault="00422D6D" w:rsidP="00422D6D">
      <w:pPr>
        <w:spacing w:line="240" w:lineRule="auto"/>
      </w:pPr>
      <w:r w:rsidRPr="004A5917">
        <w:t xml:space="preserve">The </w:t>
      </w:r>
      <w:r w:rsidR="00FE214D" w:rsidRPr="004A5917">
        <w:t xml:space="preserve">Principles are made by the </w:t>
      </w:r>
      <w:r w:rsidRPr="004A5917">
        <w:t xml:space="preserve">Minister under section 23DN of the Act </w:t>
      </w:r>
      <w:r w:rsidR="00FE214D" w:rsidRPr="004A5917">
        <w:t xml:space="preserve">and applied in exercising the Minister’s powers </w:t>
      </w:r>
      <w:r w:rsidRPr="004A5917">
        <w:t xml:space="preserve">to approve in principle, or refuse to approve, premises as an accredited pathology laboratory. </w:t>
      </w:r>
    </w:p>
    <w:p w14:paraId="5F139716" w14:textId="77777777" w:rsidR="00422D6D" w:rsidRPr="004A5917" w:rsidRDefault="00422D6D" w:rsidP="00422D6D">
      <w:pPr>
        <w:spacing w:line="240" w:lineRule="auto"/>
      </w:pPr>
      <w:r w:rsidRPr="004A5917">
        <w:t>With the exception of some basic tests conducted by some medical practitioners within their own medical practice, Medicare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D982087" w14:textId="77777777" w:rsidR="00422D6D" w:rsidRPr="004A5917" w:rsidRDefault="00422D6D" w:rsidP="00422D6D">
      <w:pPr>
        <w:spacing w:line="240" w:lineRule="auto"/>
      </w:pPr>
      <w:r w:rsidRPr="004A5917">
        <w:t>The Principles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Principles include promoting the delivery of reliable test results and reducing the risk of misdiagnosis in the provision of pathology services.</w:t>
      </w:r>
    </w:p>
    <w:p w14:paraId="2024A659" w14:textId="4AF75E47" w:rsidR="00422D6D" w:rsidRPr="004A5917" w:rsidRDefault="00422D6D" w:rsidP="00422D6D">
      <w:pPr>
        <w:spacing w:line="240" w:lineRule="auto"/>
      </w:pPr>
      <w:r w:rsidRPr="004A5917">
        <w:t>The Schedule to the Principles specifies accreditation materials that set out relevant standards against which applicants for accreditation are to be assessed. These documents are developed and maintained by NPAAC or endorsed by NPAAC as supplementary accreditation materials. The accreditation process of pathology laboratories is administered by the Department of Human Services, while the National Association of Testing Authorities (NATA) is the currently recognised independent assessment body that conducts the accreditation assessment of pathology laboratories, in conjunction with the Royal College of Pathologists of Australasia.</w:t>
      </w:r>
    </w:p>
    <w:p w14:paraId="7D3C3D34" w14:textId="07031E24" w:rsidR="004C3152" w:rsidRPr="004A5917" w:rsidRDefault="004C3152" w:rsidP="00C56FD6">
      <w:pPr>
        <w:spacing w:line="240" w:lineRule="auto"/>
        <w:rPr>
          <w:rFonts w:cs="Times New Roman"/>
          <w:szCs w:val="24"/>
        </w:rPr>
      </w:pPr>
      <w:r w:rsidRPr="004A5917">
        <w:lastRenderedPageBreak/>
        <w:t xml:space="preserve">The review of these pathology accreditation standards is part of the ongoing process of refining the pathology accreditation requirements to maintain their currency and to ensure they reflect contemporary clinical best practice. They should be read in conjunction with the NPAAC overarching document, the </w:t>
      </w:r>
      <w:r w:rsidRPr="004A5917">
        <w:rPr>
          <w:i/>
        </w:rPr>
        <w:t xml:space="preserve">Requirements for Medical Pathology Services, </w:t>
      </w:r>
      <w:r w:rsidRPr="004A5917">
        <w:t xml:space="preserve">which sets out the core elements of good laboratory practice, in addition to the other materials that form the national pathology accreditation framework. Copies of the pathology accreditation materials are published on the NPAAC website and can be </w:t>
      </w:r>
      <w:r w:rsidR="00955133" w:rsidRPr="004A5917">
        <w:t xml:space="preserve">freely </w:t>
      </w:r>
      <w:r w:rsidRPr="004A5917">
        <w:t xml:space="preserve">accessed from - </w:t>
      </w:r>
      <w:hyperlink r:id="rId6" w:history="1">
        <w:r w:rsidRPr="004A5917">
          <w:rPr>
            <w:rStyle w:val="Hyperlink"/>
          </w:rPr>
          <w:t>http://www.health.gov.au/internet/main/publishing.nsf/Content/health-npaac-publication.htm</w:t>
        </w:r>
      </w:hyperlink>
      <w:r w:rsidRPr="004A5917">
        <w:t>.</w:t>
      </w:r>
    </w:p>
    <w:p w14:paraId="7BB41ACB" w14:textId="60AF504C" w:rsidR="00C56FD6" w:rsidRPr="004A5917" w:rsidRDefault="00C56FD6" w:rsidP="00C56FD6">
      <w:pPr>
        <w:spacing w:line="240" w:lineRule="auto"/>
        <w:rPr>
          <w:rFonts w:cs="Times New Roman"/>
          <w:szCs w:val="24"/>
        </w:rPr>
      </w:pPr>
      <w:r w:rsidRPr="004A5917">
        <w:rPr>
          <w:rFonts w:cs="Times New Roman"/>
          <w:szCs w:val="24"/>
        </w:rPr>
        <w:t>The pathology accreditation standards are aimed at assuring the quality of Australian pathology services.</w:t>
      </w:r>
    </w:p>
    <w:p w14:paraId="4774E00C" w14:textId="77777777" w:rsidR="00C56FD6" w:rsidRPr="004A5917" w:rsidRDefault="00C56FD6" w:rsidP="00C56FD6">
      <w:pPr>
        <w:spacing w:line="240" w:lineRule="auto"/>
        <w:rPr>
          <w:rFonts w:cs="Times New Roman"/>
          <w:szCs w:val="24"/>
        </w:rPr>
      </w:pPr>
      <w:r w:rsidRPr="004A5917">
        <w:rPr>
          <w:rFonts w:cs="Times New Roman"/>
          <w:b/>
          <w:szCs w:val="24"/>
        </w:rPr>
        <w:t>Human rights implications</w:t>
      </w:r>
    </w:p>
    <w:p w14:paraId="72BC9D5C" w14:textId="3078A8E1" w:rsidR="00E40343" w:rsidRPr="004A5917" w:rsidRDefault="00E40343" w:rsidP="004C3152">
      <w:pPr>
        <w:spacing w:before="120" w:line="240" w:lineRule="auto"/>
        <w:rPr>
          <w:color w:val="000000"/>
          <w:shd w:val="clear" w:color="auto" w:fill="FFFFFF"/>
        </w:rPr>
      </w:pPr>
      <w:r w:rsidRPr="004A5917">
        <w:rPr>
          <w:color w:val="000000"/>
          <w:shd w:val="clear" w:color="auto" w:fill="FFFFFF"/>
        </w:rPr>
        <w:t>This instrument engages Articles 9 and 12 of the International Covenant on Economic Social and Cultural Rights (ICESCR), specifically the rights to health and social security.</w:t>
      </w:r>
    </w:p>
    <w:p w14:paraId="62E17873" w14:textId="77777777" w:rsidR="00E40343" w:rsidRPr="004A5917" w:rsidRDefault="00E40343" w:rsidP="00E40343">
      <w:pPr>
        <w:shd w:val="clear" w:color="auto" w:fill="FFFFFF"/>
        <w:spacing w:before="120" w:after="120" w:line="240" w:lineRule="auto"/>
        <w:rPr>
          <w:rFonts w:eastAsia="Times New Roman" w:cs="Times New Roman"/>
          <w:color w:val="000000"/>
          <w:szCs w:val="24"/>
          <w:lang w:eastAsia="en-AU"/>
        </w:rPr>
      </w:pPr>
      <w:r w:rsidRPr="004A5917">
        <w:rPr>
          <w:rFonts w:eastAsia="Times New Roman" w:cs="Times New Roman"/>
          <w:i/>
          <w:iCs/>
          <w:color w:val="000000"/>
          <w:szCs w:val="24"/>
          <w:lang w:eastAsia="en-AU"/>
        </w:rPr>
        <w:t>The Right to Health</w:t>
      </w:r>
    </w:p>
    <w:p w14:paraId="7ED6C238" w14:textId="77777777" w:rsidR="00E40343" w:rsidRPr="004A5917" w:rsidRDefault="00E40343" w:rsidP="00E40343">
      <w:pPr>
        <w:shd w:val="clear" w:color="auto" w:fill="FFFFFF"/>
        <w:spacing w:before="120" w:after="120" w:line="240" w:lineRule="auto"/>
        <w:rPr>
          <w:rFonts w:eastAsia="Times New Roman" w:cs="Times New Roman"/>
          <w:color w:val="000000"/>
          <w:szCs w:val="24"/>
          <w:lang w:eastAsia="en-AU"/>
        </w:rPr>
      </w:pPr>
      <w:r w:rsidRPr="004A5917">
        <w:rPr>
          <w:rFonts w:eastAsia="Times New Roman" w:cs="Times New Roman"/>
          <w:color w:val="000000"/>
          <w:szCs w:val="24"/>
          <w:lang w:eastAsia="en-AU"/>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0FE5D482" w14:textId="77777777" w:rsidR="00E40343" w:rsidRPr="004A5917" w:rsidRDefault="00E40343" w:rsidP="00E40343">
      <w:pPr>
        <w:shd w:val="clear" w:color="auto" w:fill="FFFFFF"/>
        <w:spacing w:before="120" w:after="120" w:line="240" w:lineRule="auto"/>
        <w:rPr>
          <w:rFonts w:eastAsia="Times New Roman" w:cs="Times New Roman"/>
          <w:color w:val="000000"/>
          <w:szCs w:val="24"/>
          <w:lang w:eastAsia="en-AU"/>
        </w:rPr>
      </w:pPr>
      <w:r w:rsidRPr="004A5917">
        <w:rPr>
          <w:rFonts w:eastAsia="Times New Roman" w:cs="Times New Roman"/>
          <w:color w:val="000000"/>
          <w:szCs w:val="24"/>
          <w:lang w:eastAsia="en-AU"/>
        </w:rPr>
        <w:t>The Committee reports that the </w:t>
      </w:r>
      <w:r w:rsidRPr="004A5917">
        <w:rPr>
          <w:rFonts w:eastAsia="Times New Roman" w:cs="Times New Roman"/>
          <w:i/>
          <w:iCs/>
          <w:color w:val="000000"/>
          <w:szCs w:val="24"/>
          <w:lang w:eastAsia="en-AU"/>
        </w:rPr>
        <w:t>‘highest attainable standard of health’</w:t>
      </w:r>
      <w:r w:rsidRPr="004A5917">
        <w:rPr>
          <w:rFonts w:eastAsia="Times New Roman" w:cs="Times New Roman"/>
          <w:color w:val="000000"/>
          <w:szCs w:val="24"/>
          <w:lang w:eastAsia="en-AU"/>
        </w:rPr>
        <w:t>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F1643EF" w14:textId="77777777" w:rsidR="00E40343" w:rsidRPr="004A5917" w:rsidRDefault="00E40343" w:rsidP="00E40343">
      <w:pPr>
        <w:shd w:val="clear" w:color="auto" w:fill="FFFFFF"/>
        <w:spacing w:before="120" w:after="120" w:line="240" w:lineRule="auto"/>
        <w:rPr>
          <w:rFonts w:eastAsia="Times New Roman" w:cs="Times New Roman"/>
          <w:color w:val="000000"/>
          <w:szCs w:val="24"/>
          <w:lang w:eastAsia="en-AU"/>
        </w:rPr>
      </w:pPr>
      <w:r w:rsidRPr="004A5917">
        <w:rPr>
          <w:rFonts w:eastAsia="Times New Roman" w:cs="Times New Roman"/>
          <w:i/>
          <w:iCs/>
          <w:color w:val="000000"/>
          <w:szCs w:val="24"/>
          <w:lang w:eastAsia="en-AU"/>
        </w:rPr>
        <w:t>The Right to Social Security</w:t>
      </w:r>
    </w:p>
    <w:p w14:paraId="14391752" w14:textId="77777777" w:rsidR="00E40343" w:rsidRPr="004A5917" w:rsidRDefault="00E40343" w:rsidP="00E40343">
      <w:pPr>
        <w:shd w:val="clear" w:color="auto" w:fill="FFFFFF"/>
        <w:spacing w:before="120" w:after="120" w:line="240" w:lineRule="auto"/>
        <w:rPr>
          <w:rFonts w:eastAsia="Times New Roman" w:cs="Times New Roman"/>
          <w:color w:val="000000"/>
          <w:szCs w:val="24"/>
          <w:lang w:eastAsia="en-AU"/>
        </w:rPr>
      </w:pPr>
      <w:r w:rsidRPr="004A5917">
        <w:rPr>
          <w:rFonts w:eastAsia="Times New Roman" w:cs="Times New Roman"/>
          <w:color w:val="000000"/>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D40630D" w14:textId="77777777" w:rsidR="00E40343" w:rsidRPr="004A5917" w:rsidRDefault="00E40343" w:rsidP="00E40343">
      <w:pPr>
        <w:shd w:val="clear" w:color="auto" w:fill="FFFFFF"/>
        <w:spacing w:before="120" w:after="120" w:line="240" w:lineRule="auto"/>
        <w:rPr>
          <w:rFonts w:eastAsia="Times New Roman" w:cs="Times New Roman"/>
          <w:color w:val="000000"/>
          <w:szCs w:val="24"/>
          <w:lang w:eastAsia="en-AU"/>
        </w:rPr>
      </w:pPr>
      <w:r w:rsidRPr="004A5917">
        <w:rPr>
          <w:rFonts w:eastAsia="Times New Roman" w:cs="Times New Roman"/>
          <w:color w:val="000000"/>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BE76BCC" w14:textId="6BBAD70C" w:rsidR="00E40343" w:rsidRPr="004A5917" w:rsidRDefault="00E40343" w:rsidP="004C3152">
      <w:pPr>
        <w:spacing w:before="120" w:line="240" w:lineRule="auto"/>
      </w:pPr>
      <w:r w:rsidRPr="004A5917">
        <w:rPr>
          <w:i/>
          <w:iCs/>
        </w:rPr>
        <w:t xml:space="preserve">Analysis </w:t>
      </w:r>
    </w:p>
    <w:p w14:paraId="27C1FB03" w14:textId="42DF5D31" w:rsidR="004C3152" w:rsidRPr="004A5917" w:rsidRDefault="004C3152" w:rsidP="004C3152">
      <w:pPr>
        <w:spacing w:before="120" w:line="240" w:lineRule="auto"/>
      </w:pPr>
      <w:r w:rsidRPr="004A5917">
        <w:t xml:space="preserve">The Legislative Instrument </w:t>
      </w:r>
      <w:r w:rsidR="00E40343" w:rsidRPr="004A5917">
        <w:t xml:space="preserve">advances the right to health and the right to social security by ensuring appropriate accreditation </w:t>
      </w:r>
      <w:r w:rsidR="005812A0" w:rsidRPr="004A5917">
        <w:t>requirements</w:t>
      </w:r>
      <w:r w:rsidR="00E40343" w:rsidRPr="004A5917">
        <w:t xml:space="preserve"> </w:t>
      </w:r>
      <w:r w:rsidR="005812A0" w:rsidRPr="004A5917">
        <w:t>are in place to</w:t>
      </w:r>
      <w:r w:rsidR="00E40343" w:rsidRPr="004A5917">
        <w:t xml:space="preserve"> </w:t>
      </w:r>
      <w:r w:rsidRPr="004A5917">
        <w:t>maintain access quality, safe, clinically relevant and cost-effective Medicare eligible pathology services.</w:t>
      </w:r>
    </w:p>
    <w:p w14:paraId="1BD56CEA" w14:textId="3F3F7E83" w:rsidR="003B6A0D" w:rsidRPr="004A5917" w:rsidRDefault="003B6A0D" w:rsidP="003B6A0D">
      <w:pPr>
        <w:spacing w:before="120" w:line="240" w:lineRule="auto"/>
      </w:pPr>
      <w:r w:rsidRPr="004A5917">
        <w:rPr>
          <w:rFonts w:cs="Times New Roman"/>
          <w:szCs w:val="24"/>
        </w:rPr>
        <w:t xml:space="preserve">The revised </w:t>
      </w:r>
      <w:r w:rsidR="007A2AD5" w:rsidRPr="004A5917">
        <w:rPr>
          <w:iCs/>
        </w:rPr>
        <w:t>and new accreditation standards set out minimum acceptable standards for good laboratory practice,</w:t>
      </w:r>
      <w:r w:rsidRPr="004A5917">
        <w:rPr>
          <w:rFonts w:cs="Times New Roman"/>
          <w:szCs w:val="24"/>
        </w:rPr>
        <w:t xml:space="preserve"> so that patient access is not affected whilst still maintaining appropriate </w:t>
      </w:r>
      <w:r w:rsidRPr="004A5917">
        <w:rPr>
          <w:rFonts w:cs="Times New Roman"/>
          <w:szCs w:val="24"/>
        </w:rPr>
        <w:lastRenderedPageBreak/>
        <w:t xml:space="preserve">requirements for </w:t>
      </w:r>
      <w:r w:rsidRPr="004A5917">
        <w:t xml:space="preserve">quality, safe, clinically relevant and cost-effective Medicare eligible pathology services.  </w:t>
      </w:r>
    </w:p>
    <w:p w14:paraId="57C75D35" w14:textId="5B7DC9B0" w:rsidR="004C3152" w:rsidRPr="004A5917" w:rsidRDefault="004C3152" w:rsidP="004C3152">
      <w:pPr>
        <w:spacing w:line="240" w:lineRule="auto"/>
      </w:pPr>
      <w:r w:rsidRPr="004A5917">
        <w:t xml:space="preserve">The revision or development of pathology accreditation standards is part of the ongoing process of refining accreditation requirements to maintain their currency and to ensure they reflect contemporary clinical best practice and with a comprehensive format. This helps assure the quality of Australian pathology services. </w:t>
      </w:r>
    </w:p>
    <w:p w14:paraId="57860BB8" w14:textId="77777777" w:rsidR="00C56FD6" w:rsidRPr="004A5917" w:rsidRDefault="00C56FD6" w:rsidP="00C56FD6">
      <w:pPr>
        <w:spacing w:line="240" w:lineRule="auto"/>
        <w:rPr>
          <w:rFonts w:cs="Times New Roman"/>
          <w:b/>
          <w:szCs w:val="24"/>
        </w:rPr>
      </w:pPr>
      <w:r w:rsidRPr="004A5917">
        <w:rPr>
          <w:rFonts w:cs="Times New Roman"/>
          <w:b/>
          <w:szCs w:val="24"/>
        </w:rPr>
        <w:t>Conclusion</w:t>
      </w:r>
    </w:p>
    <w:p w14:paraId="4C7C6C35" w14:textId="4C33B062" w:rsidR="00C56FD6" w:rsidRPr="004A5917" w:rsidRDefault="00C56FD6" w:rsidP="00C56FD6">
      <w:pPr>
        <w:spacing w:line="240" w:lineRule="auto"/>
        <w:rPr>
          <w:rFonts w:cs="Times New Roman"/>
          <w:szCs w:val="24"/>
        </w:rPr>
      </w:pPr>
      <w:r w:rsidRPr="004A5917">
        <w:rPr>
          <w:rFonts w:cs="Times New Roman"/>
          <w:szCs w:val="24"/>
        </w:rPr>
        <w:t xml:space="preserve">This Legislative Instrument is compatible with human rights as it </w:t>
      </w:r>
      <w:r w:rsidR="00E40343" w:rsidRPr="004A5917">
        <w:rPr>
          <w:rFonts w:cs="Times New Roman"/>
          <w:szCs w:val="24"/>
        </w:rPr>
        <w:t xml:space="preserve">advances the right to health and the right to social security. </w:t>
      </w:r>
    </w:p>
    <w:p w14:paraId="76026A74" w14:textId="77777777" w:rsidR="009F6C4E" w:rsidRPr="004A5917" w:rsidRDefault="009F6C4E" w:rsidP="00C56FD6">
      <w:pPr>
        <w:spacing w:line="240" w:lineRule="auto"/>
        <w:rPr>
          <w:rFonts w:cs="Times New Roman"/>
          <w:szCs w:val="24"/>
        </w:rPr>
      </w:pPr>
    </w:p>
    <w:p w14:paraId="05833184" w14:textId="52831D23" w:rsidR="00C56FD6" w:rsidRPr="004A5917" w:rsidRDefault="00955133" w:rsidP="00C56FD6">
      <w:pPr>
        <w:spacing w:after="0" w:line="240" w:lineRule="auto"/>
        <w:jc w:val="center"/>
        <w:rPr>
          <w:rFonts w:cs="Times New Roman"/>
          <w:b/>
          <w:szCs w:val="24"/>
        </w:rPr>
      </w:pPr>
      <w:r w:rsidRPr="004A5917">
        <w:rPr>
          <w:rFonts w:cs="Times New Roman"/>
          <w:b/>
          <w:szCs w:val="24"/>
        </w:rPr>
        <w:t>Michael Ryan</w:t>
      </w:r>
    </w:p>
    <w:p w14:paraId="150F3F71" w14:textId="3251AE2E" w:rsidR="00C56FD6" w:rsidRPr="004A5917" w:rsidRDefault="00955133" w:rsidP="00C56FD6">
      <w:pPr>
        <w:spacing w:after="0" w:line="240" w:lineRule="auto"/>
        <w:jc w:val="center"/>
        <w:rPr>
          <w:rFonts w:cs="Times New Roman"/>
          <w:b/>
          <w:szCs w:val="24"/>
        </w:rPr>
      </w:pPr>
      <w:r w:rsidRPr="004A5917">
        <w:rPr>
          <w:rFonts w:cs="Times New Roman"/>
          <w:b/>
          <w:szCs w:val="24"/>
        </w:rPr>
        <w:t xml:space="preserve">Acting </w:t>
      </w:r>
      <w:r w:rsidR="00C56FD6" w:rsidRPr="004A5917">
        <w:rPr>
          <w:rFonts w:cs="Times New Roman"/>
          <w:b/>
          <w:szCs w:val="24"/>
        </w:rPr>
        <w:t>Assistant Secretary</w:t>
      </w:r>
    </w:p>
    <w:p w14:paraId="265DFE5D" w14:textId="03A01D10" w:rsidR="00C56FD6" w:rsidRPr="004A5917" w:rsidRDefault="00C56FD6" w:rsidP="00C56FD6">
      <w:pPr>
        <w:spacing w:after="0" w:line="240" w:lineRule="auto"/>
        <w:jc w:val="center"/>
        <w:rPr>
          <w:rFonts w:cs="Times New Roman"/>
          <w:b/>
          <w:szCs w:val="24"/>
        </w:rPr>
      </w:pPr>
      <w:r w:rsidRPr="004A5917">
        <w:rPr>
          <w:rFonts w:cs="Times New Roman"/>
          <w:b/>
          <w:szCs w:val="24"/>
        </w:rPr>
        <w:t>Medical Benefits Division</w:t>
      </w:r>
    </w:p>
    <w:p w14:paraId="714DBE38" w14:textId="7EA3F2EA" w:rsidR="00280050" w:rsidRPr="0062020B" w:rsidRDefault="004C3152" w:rsidP="0062020B">
      <w:pPr>
        <w:spacing w:after="0" w:line="240" w:lineRule="auto"/>
        <w:jc w:val="center"/>
        <w:rPr>
          <w:rFonts w:cs="Times New Roman"/>
          <w:szCs w:val="24"/>
        </w:rPr>
      </w:pPr>
      <w:r w:rsidRPr="004A5917">
        <w:rPr>
          <w:rFonts w:cs="Times New Roman"/>
          <w:b/>
          <w:szCs w:val="24"/>
        </w:rPr>
        <w:t>Department of Health</w:t>
      </w:r>
      <w:r>
        <w:rPr>
          <w:rFonts w:cs="Times New Roman"/>
          <w:b/>
          <w:szCs w:val="24"/>
        </w:rPr>
        <w:t xml:space="preserve"> </w:t>
      </w:r>
    </w:p>
    <w:sectPr w:rsidR="00280050" w:rsidRPr="00620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436E"/>
    <w:multiLevelType w:val="hybridMultilevel"/>
    <w:tmpl w:val="2D8238CA"/>
    <w:lvl w:ilvl="0" w:tplc="343097AC">
      <w:start w:val="1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54A45"/>
    <w:multiLevelType w:val="multilevel"/>
    <w:tmpl w:val="082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1418"/>
        </w:tabs>
        <w:ind w:left="709"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23250B58"/>
    <w:multiLevelType w:val="hybridMultilevel"/>
    <w:tmpl w:val="CE089B1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81CB6"/>
    <w:multiLevelType w:val="hybridMultilevel"/>
    <w:tmpl w:val="599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DA7148"/>
    <w:multiLevelType w:val="multilevel"/>
    <w:tmpl w:val="4C3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C4A14"/>
    <w:multiLevelType w:val="hybridMultilevel"/>
    <w:tmpl w:val="39EE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A5E92"/>
    <w:multiLevelType w:val="multilevel"/>
    <w:tmpl w:val="AB9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93B82"/>
    <w:multiLevelType w:val="hybridMultilevel"/>
    <w:tmpl w:val="98B4D3A4"/>
    <w:lvl w:ilvl="0" w:tplc="0C090001">
      <w:start w:val="1"/>
      <w:numFmt w:val="bullet"/>
      <w:lvlText w:val=""/>
      <w:lvlJc w:val="left"/>
      <w:pPr>
        <w:ind w:left="783" w:hanging="360"/>
      </w:pPr>
      <w:rPr>
        <w:rFonts w:ascii="Symbol" w:hAnsi="Symbol" w:hint="default"/>
      </w:rPr>
    </w:lvl>
    <w:lvl w:ilvl="1" w:tplc="C414B8A6">
      <w:numFmt w:val="bullet"/>
      <w:lvlText w:val="•"/>
      <w:lvlJc w:val="left"/>
      <w:pPr>
        <w:ind w:left="1563" w:hanging="420"/>
      </w:pPr>
      <w:rPr>
        <w:rFonts w:ascii="Times New Roman" w:eastAsia="Times New Roman" w:hAnsi="Times New Roman" w:cs="Times New Roman"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5E367970"/>
    <w:multiLevelType w:val="hybridMultilevel"/>
    <w:tmpl w:val="2608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FB6607"/>
    <w:multiLevelType w:val="hybridMultilevel"/>
    <w:tmpl w:val="16040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3A2BE7"/>
    <w:multiLevelType w:val="hybridMultilevel"/>
    <w:tmpl w:val="088E77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D22F43"/>
    <w:multiLevelType w:val="hybridMultilevel"/>
    <w:tmpl w:val="CE1E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516729"/>
    <w:multiLevelType w:val="hybridMultilevel"/>
    <w:tmpl w:val="121639EC"/>
    <w:lvl w:ilvl="0" w:tplc="0C090001">
      <w:start w:val="1"/>
      <w:numFmt w:val="bullet"/>
      <w:lvlText w:val=""/>
      <w:lvlJc w:val="left"/>
      <w:pPr>
        <w:ind w:left="720" w:hanging="36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2"/>
  </w:num>
  <w:num w:numId="5">
    <w:abstractNumId w:val="4"/>
  </w:num>
  <w:num w:numId="6">
    <w:abstractNumId w:val="12"/>
  </w:num>
  <w:num w:numId="7">
    <w:abstractNumId w:val="9"/>
  </w:num>
  <w:num w:numId="8">
    <w:abstractNumId w:val="13"/>
  </w:num>
  <w:num w:numId="9">
    <w:abstractNumId w:val="8"/>
  </w:num>
  <w:num w:numId="10">
    <w:abstractNumId w:val="3"/>
  </w:num>
  <w:num w:numId="11">
    <w:abstractNumId w:val="7"/>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D6"/>
    <w:rsid w:val="0002326F"/>
    <w:rsid w:val="00023F5B"/>
    <w:rsid w:val="00031BED"/>
    <w:rsid w:val="00040528"/>
    <w:rsid w:val="00050E92"/>
    <w:rsid w:val="00056231"/>
    <w:rsid w:val="00063C43"/>
    <w:rsid w:val="000715BA"/>
    <w:rsid w:val="000733C3"/>
    <w:rsid w:val="00081F5C"/>
    <w:rsid w:val="000878B6"/>
    <w:rsid w:val="000933E0"/>
    <w:rsid w:val="000A13F5"/>
    <w:rsid w:val="000B0D63"/>
    <w:rsid w:val="000B6E07"/>
    <w:rsid w:val="000D0D53"/>
    <w:rsid w:val="000D2747"/>
    <w:rsid w:val="000E010D"/>
    <w:rsid w:val="000E0ED1"/>
    <w:rsid w:val="000E7D1A"/>
    <w:rsid w:val="000F3EAB"/>
    <w:rsid w:val="000F76F1"/>
    <w:rsid w:val="0010125A"/>
    <w:rsid w:val="00133EE4"/>
    <w:rsid w:val="001671A6"/>
    <w:rsid w:val="001827E4"/>
    <w:rsid w:val="00184AE6"/>
    <w:rsid w:val="00190B26"/>
    <w:rsid w:val="001B464E"/>
    <w:rsid w:val="001D79E6"/>
    <w:rsid w:val="001E478D"/>
    <w:rsid w:val="001F1537"/>
    <w:rsid w:val="0021697A"/>
    <w:rsid w:val="0022383D"/>
    <w:rsid w:val="00256BDC"/>
    <w:rsid w:val="00260F41"/>
    <w:rsid w:val="002709B1"/>
    <w:rsid w:val="002761E0"/>
    <w:rsid w:val="00280050"/>
    <w:rsid w:val="002A01C4"/>
    <w:rsid w:val="002A6959"/>
    <w:rsid w:val="002C74DF"/>
    <w:rsid w:val="002D213C"/>
    <w:rsid w:val="002D5ABF"/>
    <w:rsid w:val="00304932"/>
    <w:rsid w:val="003212F1"/>
    <w:rsid w:val="003230D4"/>
    <w:rsid w:val="00325B07"/>
    <w:rsid w:val="00334103"/>
    <w:rsid w:val="00334868"/>
    <w:rsid w:val="0034227D"/>
    <w:rsid w:val="003603DA"/>
    <w:rsid w:val="00364677"/>
    <w:rsid w:val="00365B0C"/>
    <w:rsid w:val="00367DBB"/>
    <w:rsid w:val="0039348C"/>
    <w:rsid w:val="003A01DC"/>
    <w:rsid w:val="003A5493"/>
    <w:rsid w:val="003A5F2E"/>
    <w:rsid w:val="003B6A0D"/>
    <w:rsid w:val="003C5CB2"/>
    <w:rsid w:val="003E1A42"/>
    <w:rsid w:val="00406816"/>
    <w:rsid w:val="00422D6D"/>
    <w:rsid w:val="00492691"/>
    <w:rsid w:val="004A5917"/>
    <w:rsid w:val="004C3152"/>
    <w:rsid w:val="005201CC"/>
    <w:rsid w:val="00525573"/>
    <w:rsid w:val="005360FE"/>
    <w:rsid w:val="00542E7D"/>
    <w:rsid w:val="00546F1C"/>
    <w:rsid w:val="005812A0"/>
    <w:rsid w:val="005826B2"/>
    <w:rsid w:val="00591687"/>
    <w:rsid w:val="00593F54"/>
    <w:rsid w:val="005A25E3"/>
    <w:rsid w:val="005C5608"/>
    <w:rsid w:val="005D2883"/>
    <w:rsid w:val="005D30C7"/>
    <w:rsid w:val="005F25C2"/>
    <w:rsid w:val="005F6624"/>
    <w:rsid w:val="006024AF"/>
    <w:rsid w:val="0062020B"/>
    <w:rsid w:val="00621240"/>
    <w:rsid w:val="00630FE7"/>
    <w:rsid w:val="00636E96"/>
    <w:rsid w:val="006403C6"/>
    <w:rsid w:val="0065530F"/>
    <w:rsid w:val="0066581F"/>
    <w:rsid w:val="0068534C"/>
    <w:rsid w:val="006A1145"/>
    <w:rsid w:val="006B0093"/>
    <w:rsid w:val="006C4AF4"/>
    <w:rsid w:val="006E4BC6"/>
    <w:rsid w:val="006E5542"/>
    <w:rsid w:val="00704B69"/>
    <w:rsid w:val="00710E0C"/>
    <w:rsid w:val="007469FE"/>
    <w:rsid w:val="00753817"/>
    <w:rsid w:val="00762D04"/>
    <w:rsid w:val="00775A5E"/>
    <w:rsid w:val="007847F1"/>
    <w:rsid w:val="00797289"/>
    <w:rsid w:val="007A2AD5"/>
    <w:rsid w:val="007A69AB"/>
    <w:rsid w:val="007B17B6"/>
    <w:rsid w:val="007B626F"/>
    <w:rsid w:val="007C3CF1"/>
    <w:rsid w:val="007D298C"/>
    <w:rsid w:val="007D7D1A"/>
    <w:rsid w:val="007E7784"/>
    <w:rsid w:val="007F3893"/>
    <w:rsid w:val="00832727"/>
    <w:rsid w:val="0086631A"/>
    <w:rsid w:val="008937B1"/>
    <w:rsid w:val="008A3D31"/>
    <w:rsid w:val="008D2D41"/>
    <w:rsid w:val="008D5668"/>
    <w:rsid w:val="008D779F"/>
    <w:rsid w:val="008F2272"/>
    <w:rsid w:val="009026F6"/>
    <w:rsid w:val="00903BC2"/>
    <w:rsid w:val="00905FD3"/>
    <w:rsid w:val="009140C0"/>
    <w:rsid w:val="0092396D"/>
    <w:rsid w:val="00955133"/>
    <w:rsid w:val="00986929"/>
    <w:rsid w:val="0099275F"/>
    <w:rsid w:val="009971FE"/>
    <w:rsid w:val="009A3298"/>
    <w:rsid w:val="009B1C28"/>
    <w:rsid w:val="009C431A"/>
    <w:rsid w:val="009C7623"/>
    <w:rsid w:val="009D2843"/>
    <w:rsid w:val="009E1758"/>
    <w:rsid w:val="009F4535"/>
    <w:rsid w:val="009F6B8D"/>
    <w:rsid w:val="009F6C4E"/>
    <w:rsid w:val="009F6FA6"/>
    <w:rsid w:val="00A02818"/>
    <w:rsid w:val="00A20250"/>
    <w:rsid w:val="00A30B21"/>
    <w:rsid w:val="00A40A00"/>
    <w:rsid w:val="00A43D53"/>
    <w:rsid w:val="00A4737C"/>
    <w:rsid w:val="00A51604"/>
    <w:rsid w:val="00A51FDC"/>
    <w:rsid w:val="00A5250B"/>
    <w:rsid w:val="00A72267"/>
    <w:rsid w:val="00A73EF8"/>
    <w:rsid w:val="00AB5EE6"/>
    <w:rsid w:val="00AF01C7"/>
    <w:rsid w:val="00AF150D"/>
    <w:rsid w:val="00B13349"/>
    <w:rsid w:val="00B25D15"/>
    <w:rsid w:val="00B51C8F"/>
    <w:rsid w:val="00B54247"/>
    <w:rsid w:val="00B61323"/>
    <w:rsid w:val="00B82B37"/>
    <w:rsid w:val="00B9356F"/>
    <w:rsid w:val="00BD1B86"/>
    <w:rsid w:val="00BF14DC"/>
    <w:rsid w:val="00C01BDE"/>
    <w:rsid w:val="00C56FD6"/>
    <w:rsid w:val="00C94FDE"/>
    <w:rsid w:val="00CC6F87"/>
    <w:rsid w:val="00CD3CD8"/>
    <w:rsid w:val="00CD79B8"/>
    <w:rsid w:val="00CF04B1"/>
    <w:rsid w:val="00CF3E5F"/>
    <w:rsid w:val="00D02263"/>
    <w:rsid w:val="00D029D7"/>
    <w:rsid w:val="00D04455"/>
    <w:rsid w:val="00D07DD4"/>
    <w:rsid w:val="00D46FBC"/>
    <w:rsid w:val="00D5015B"/>
    <w:rsid w:val="00D605D3"/>
    <w:rsid w:val="00DA55A6"/>
    <w:rsid w:val="00DA5830"/>
    <w:rsid w:val="00DB0C20"/>
    <w:rsid w:val="00DC37AA"/>
    <w:rsid w:val="00DC3CFA"/>
    <w:rsid w:val="00DD228D"/>
    <w:rsid w:val="00DD2612"/>
    <w:rsid w:val="00DD44E0"/>
    <w:rsid w:val="00DE3CC8"/>
    <w:rsid w:val="00DF201C"/>
    <w:rsid w:val="00DF26C0"/>
    <w:rsid w:val="00DF5F4B"/>
    <w:rsid w:val="00E05941"/>
    <w:rsid w:val="00E117AA"/>
    <w:rsid w:val="00E21429"/>
    <w:rsid w:val="00E26423"/>
    <w:rsid w:val="00E31C29"/>
    <w:rsid w:val="00E40343"/>
    <w:rsid w:val="00E62E6F"/>
    <w:rsid w:val="00E75263"/>
    <w:rsid w:val="00E805D2"/>
    <w:rsid w:val="00E9702E"/>
    <w:rsid w:val="00EC26F2"/>
    <w:rsid w:val="00EC2ECA"/>
    <w:rsid w:val="00ED1EF3"/>
    <w:rsid w:val="00ED4D59"/>
    <w:rsid w:val="00EE4EB2"/>
    <w:rsid w:val="00EF2215"/>
    <w:rsid w:val="00F0710D"/>
    <w:rsid w:val="00F14D6C"/>
    <w:rsid w:val="00F33020"/>
    <w:rsid w:val="00F335C3"/>
    <w:rsid w:val="00F46F48"/>
    <w:rsid w:val="00F70CDF"/>
    <w:rsid w:val="00F75F79"/>
    <w:rsid w:val="00F9408E"/>
    <w:rsid w:val="00FA3159"/>
    <w:rsid w:val="00FA40F7"/>
    <w:rsid w:val="00FA4F4A"/>
    <w:rsid w:val="00FB3C4A"/>
    <w:rsid w:val="00FC2C8D"/>
    <w:rsid w:val="00FC3105"/>
    <w:rsid w:val="00FD0ACC"/>
    <w:rsid w:val="00FE214D"/>
    <w:rsid w:val="00FE5744"/>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4866"/>
  <w15:chartTrackingRefBased/>
  <w15:docId w15:val="{33787ADB-9F85-4441-8622-7792492A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D6"/>
    <w:pPr>
      <w:spacing w:after="200" w:line="276" w:lineRule="auto"/>
    </w:pPr>
    <w:rPr>
      <w:rFonts w:cstheme="minorBidi"/>
      <w:szCs w:val="22"/>
    </w:rPr>
  </w:style>
  <w:style w:type="paragraph" w:styleId="Heading4">
    <w:name w:val="heading 4"/>
    <w:basedOn w:val="Normal"/>
    <w:link w:val="Heading4Char"/>
    <w:uiPriority w:val="9"/>
    <w:qFormat/>
    <w:rsid w:val="006E5542"/>
    <w:pPr>
      <w:spacing w:before="100" w:beforeAutospacing="1" w:after="100" w:afterAutospacing="1" w:line="240" w:lineRule="auto"/>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
    <w:basedOn w:val="Normal"/>
    <w:qFormat/>
    <w:rsid w:val="00C56FD6"/>
    <w:pPr>
      <w:ind w:left="720"/>
      <w:contextualSpacing/>
    </w:pPr>
  </w:style>
  <w:style w:type="character" w:styleId="Hyperlink">
    <w:name w:val="Hyperlink"/>
    <w:basedOn w:val="DefaultParagraphFont"/>
    <w:uiPriority w:val="99"/>
    <w:unhideWhenUsed/>
    <w:rsid w:val="00C56FD6"/>
    <w:rPr>
      <w:color w:val="0563C1" w:themeColor="hyperlink"/>
      <w:u w:val="single"/>
    </w:rPr>
  </w:style>
  <w:style w:type="paragraph" w:styleId="Header">
    <w:name w:val="header"/>
    <w:basedOn w:val="Normal"/>
    <w:link w:val="HeaderChar"/>
    <w:uiPriority w:val="99"/>
    <w:unhideWhenUsed/>
    <w:rsid w:val="00406816"/>
    <w:pPr>
      <w:tabs>
        <w:tab w:val="center" w:pos="4320"/>
        <w:tab w:val="right" w:pos="8640"/>
      </w:tabs>
      <w:spacing w:line="240" w:lineRule="auto"/>
    </w:pPr>
    <w:rPr>
      <w:rFonts w:eastAsiaTheme="minorEastAsia"/>
      <w:szCs w:val="24"/>
    </w:rPr>
  </w:style>
  <w:style w:type="character" w:customStyle="1" w:styleId="HeaderChar">
    <w:name w:val="Header Char"/>
    <w:basedOn w:val="DefaultParagraphFont"/>
    <w:link w:val="Header"/>
    <w:uiPriority w:val="99"/>
    <w:rsid w:val="00406816"/>
    <w:rPr>
      <w:rFonts w:eastAsiaTheme="minorEastAsia" w:cstheme="minorBidi"/>
    </w:rPr>
  </w:style>
  <w:style w:type="paragraph" w:customStyle="1" w:styleId="NumberLevel1">
    <w:name w:val="Number Level 1"/>
    <w:aliases w:val="N1,hea Level 1"/>
    <w:basedOn w:val="Normal"/>
    <w:link w:val="NumberLevel1Char"/>
    <w:qFormat/>
    <w:rsid w:val="008937B1"/>
    <w:pPr>
      <w:numPr>
        <w:numId w:val="4"/>
      </w:numPr>
      <w:spacing w:before="140" w:after="140" w:line="280" w:lineRule="atLeast"/>
    </w:pPr>
    <w:rPr>
      <w:rFonts w:ascii="Arial" w:eastAsia="Times New Roman" w:hAnsi="Arial" w:cs="Arial"/>
      <w:sz w:val="22"/>
      <w:lang w:eastAsia="en-AU"/>
    </w:rPr>
  </w:style>
  <w:style w:type="paragraph" w:customStyle="1" w:styleId="NumberLevel2">
    <w:name w:val="Number Level 2"/>
    <w:aliases w:val="N2"/>
    <w:basedOn w:val="Normal"/>
    <w:qFormat/>
    <w:rsid w:val="008937B1"/>
    <w:pPr>
      <w:numPr>
        <w:ilvl w:val="1"/>
        <w:numId w:val="4"/>
      </w:numPr>
      <w:spacing w:before="140" w:after="140" w:line="280" w:lineRule="atLeast"/>
    </w:pPr>
    <w:rPr>
      <w:rFonts w:ascii="Arial" w:eastAsia="Times New Roman" w:hAnsi="Arial" w:cs="Arial"/>
      <w:sz w:val="22"/>
      <w:lang w:eastAsia="en-AU"/>
    </w:rPr>
  </w:style>
  <w:style w:type="paragraph" w:customStyle="1" w:styleId="NumberLevel3">
    <w:name w:val="Number Level 3"/>
    <w:aliases w:val="N3"/>
    <w:basedOn w:val="Normal"/>
    <w:qFormat/>
    <w:rsid w:val="008937B1"/>
    <w:pPr>
      <w:numPr>
        <w:ilvl w:val="2"/>
        <w:numId w:val="4"/>
      </w:numPr>
      <w:spacing w:before="140" w:after="140" w:line="280" w:lineRule="atLeast"/>
    </w:pPr>
    <w:rPr>
      <w:rFonts w:ascii="Arial" w:eastAsia="Times New Roman" w:hAnsi="Arial" w:cs="Arial"/>
      <w:sz w:val="22"/>
      <w:lang w:eastAsia="en-AU"/>
    </w:rPr>
  </w:style>
  <w:style w:type="paragraph" w:customStyle="1" w:styleId="NumberLevel4">
    <w:name w:val="Number Level 4"/>
    <w:aliases w:val="N4"/>
    <w:basedOn w:val="Normal"/>
    <w:qFormat/>
    <w:rsid w:val="008937B1"/>
    <w:pPr>
      <w:numPr>
        <w:ilvl w:val="3"/>
        <w:numId w:val="4"/>
      </w:numPr>
      <w:spacing w:after="140" w:line="280" w:lineRule="atLeast"/>
    </w:pPr>
    <w:rPr>
      <w:rFonts w:ascii="Arial" w:eastAsia="Times New Roman" w:hAnsi="Arial" w:cs="Arial"/>
      <w:sz w:val="22"/>
      <w:lang w:eastAsia="en-AU"/>
    </w:rPr>
  </w:style>
  <w:style w:type="paragraph" w:customStyle="1" w:styleId="NumberLevel5">
    <w:name w:val="Number Level 5"/>
    <w:aliases w:val="N5"/>
    <w:basedOn w:val="Normal"/>
    <w:rsid w:val="008937B1"/>
    <w:pPr>
      <w:numPr>
        <w:ilvl w:val="4"/>
        <w:numId w:val="4"/>
      </w:numPr>
      <w:spacing w:after="140" w:line="280" w:lineRule="atLeast"/>
    </w:pPr>
    <w:rPr>
      <w:rFonts w:ascii="Arial" w:eastAsia="Times New Roman" w:hAnsi="Arial" w:cs="Arial"/>
      <w:sz w:val="22"/>
      <w:lang w:eastAsia="en-AU"/>
    </w:rPr>
  </w:style>
  <w:style w:type="paragraph" w:customStyle="1" w:styleId="NumberLevel6">
    <w:name w:val="Number Level 6"/>
    <w:basedOn w:val="NumberLevel5"/>
    <w:rsid w:val="008937B1"/>
    <w:pPr>
      <w:numPr>
        <w:ilvl w:val="5"/>
      </w:numPr>
    </w:pPr>
  </w:style>
  <w:style w:type="paragraph" w:customStyle="1" w:styleId="NumberLevel7">
    <w:name w:val="Number Level 7"/>
    <w:basedOn w:val="NumberLevel6"/>
    <w:rsid w:val="008937B1"/>
    <w:pPr>
      <w:numPr>
        <w:ilvl w:val="6"/>
      </w:numPr>
    </w:pPr>
  </w:style>
  <w:style w:type="paragraph" w:customStyle="1" w:styleId="NumberLevel8">
    <w:name w:val="Number Level 8"/>
    <w:basedOn w:val="NumberLevel7"/>
    <w:rsid w:val="008937B1"/>
    <w:pPr>
      <w:numPr>
        <w:ilvl w:val="7"/>
      </w:numPr>
    </w:pPr>
  </w:style>
  <w:style w:type="paragraph" w:customStyle="1" w:styleId="NumberLevel9">
    <w:name w:val="Number Level 9"/>
    <w:basedOn w:val="NumberLevel8"/>
    <w:rsid w:val="008937B1"/>
    <w:pPr>
      <w:numPr>
        <w:ilvl w:val="8"/>
      </w:numPr>
    </w:pPr>
  </w:style>
  <w:style w:type="character" w:customStyle="1" w:styleId="NumberLevel1Char">
    <w:name w:val="Number Level 1 Char"/>
    <w:link w:val="NumberLevel1"/>
    <w:locked/>
    <w:rsid w:val="008937B1"/>
    <w:rPr>
      <w:rFonts w:ascii="Arial" w:eastAsia="Times New Roman" w:hAnsi="Arial" w:cs="Arial"/>
      <w:sz w:val="22"/>
      <w:szCs w:val="22"/>
      <w:lang w:eastAsia="en-AU"/>
    </w:rPr>
  </w:style>
  <w:style w:type="paragraph" w:styleId="BalloonText">
    <w:name w:val="Balloon Text"/>
    <w:basedOn w:val="Normal"/>
    <w:link w:val="BalloonTextChar"/>
    <w:uiPriority w:val="99"/>
    <w:semiHidden/>
    <w:unhideWhenUsed/>
    <w:rsid w:val="009C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1A"/>
    <w:rPr>
      <w:rFonts w:ascii="Segoe UI" w:hAnsi="Segoe UI" w:cs="Segoe UI"/>
      <w:sz w:val="18"/>
      <w:szCs w:val="18"/>
    </w:rPr>
  </w:style>
  <w:style w:type="paragraph" w:customStyle="1" w:styleId="CharCharCharChar">
    <w:name w:val="Char Char Char Char"/>
    <w:basedOn w:val="Normal"/>
    <w:rsid w:val="00EE4EB2"/>
    <w:pPr>
      <w:spacing w:after="0" w:line="240" w:lineRule="auto"/>
    </w:pPr>
    <w:rPr>
      <w:rFonts w:ascii="Arial" w:eastAsia="Times New Roman" w:hAnsi="Arial" w:cs="Arial"/>
      <w:sz w:val="22"/>
    </w:rPr>
  </w:style>
  <w:style w:type="character" w:styleId="CommentReference">
    <w:name w:val="annotation reference"/>
    <w:basedOn w:val="DefaultParagraphFont"/>
    <w:uiPriority w:val="99"/>
    <w:semiHidden/>
    <w:unhideWhenUsed/>
    <w:rsid w:val="007847F1"/>
    <w:rPr>
      <w:sz w:val="16"/>
      <w:szCs w:val="16"/>
    </w:rPr>
  </w:style>
  <w:style w:type="paragraph" w:styleId="CommentText">
    <w:name w:val="annotation text"/>
    <w:basedOn w:val="Normal"/>
    <w:link w:val="CommentTextChar"/>
    <w:uiPriority w:val="99"/>
    <w:semiHidden/>
    <w:unhideWhenUsed/>
    <w:rsid w:val="007847F1"/>
    <w:pPr>
      <w:spacing w:line="240" w:lineRule="auto"/>
    </w:pPr>
    <w:rPr>
      <w:sz w:val="20"/>
      <w:szCs w:val="20"/>
    </w:rPr>
  </w:style>
  <w:style w:type="character" w:customStyle="1" w:styleId="CommentTextChar">
    <w:name w:val="Comment Text Char"/>
    <w:basedOn w:val="DefaultParagraphFont"/>
    <w:link w:val="CommentText"/>
    <w:uiPriority w:val="99"/>
    <w:semiHidden/>
    <w:rsid w:val="007847F1"/>
    <w:rPr>
      <w:rFonts w:cstheme="minorBidi"/>
      <w:sz w:val="20"/>
      <w:szCs w:val="20"/>
    </w:rPr>
  </w:style>
  <w:style w:type="paragraph" w:styleId="CommentSubject">
    <w:name w:val="annotation subject"/>
    <w:basedOn w:val="CommentText"/>
    <w:next w:val="CommentText"/>
    <w:link w:val="CommentSubjectChar"/>
    <w:uiPriority w:val="99"/>
    <w:semiHidden/>
    <w:unhideWhenUsed/>
    <w:rsid w:val="007847F1"/>
    <w:rPr>
      <w:b/>
      <w:bCs/>
    </w:rPr>
  </w:style>
  <w:style w:type="character" w:customStyle="1" w:styleId="CommentSubjectChar">
    <w:name w:val="Comment Subject Char"/>
    <w:basedOn w:val="CommentTextChar"/>
    <w:link w:val="CommentSubject"/>
    <w:uiPriority w:val="99"/>
    <w:semiHidden/>
    <w:rsid w:val="007847F1"/>
    <w:rPr>
      <w:rFonts w:cstheme="minorBidi"/>
      <w:b/>
      <w:bCs/>
      <w:sz w:val="20"/>
      <w:szCs w:val="20"/>
    </w:rPr>
  </w:style>
  <w:style w:type="character" w:styleId="UnresolvedMention">
    <w:name w:val="Unresolved Mention"/>
    <w:basedOn w:val="DefaultParagraphFont"/>
    <w:uiPriority w:val="99"/>
    <w:semiHidden/>
    <w:unhideWhenUsed/>
    <w:rsid w:val="009026F6"/>
    <w:rPr>
      <w:color w:val="605E5C"/>
      <w:shd w:val="clear" w:color="auto" w:fill="E1DFDD"/>
    </w:rPr>
  </w:style>
  <w:style w:type="character" w:styleId="FollowedHyperlink">
    <w:name w:val="FollowedHyperlink"/>
    <w:basedOn w:val="DefaultParagraphFont"/>
    <w:uiPriority w:val="99"/>
    <w:semiHidden/>
    <w:unhideWhenUsed/>
    <w:rsid w:val="00B54247"/>
    <w:rPr>
      <w:color w:val="954F72" w:themeColor="followedHyperlink"/>
      <w:u w:val="single"/>
    </w:rPr>
  </w:style>
  <w:style w:type="character" w:customStyle="1" w:styleId="Heading4Char">
    <w:name w:val="Heading 4 Char"/>
    <w:basedOn w:val="DefaultParagraphFont"/>
    <w:link w:val="Heading4"/>
    <w:uiPriority w:val="9"/>
    <w:rsid w:val="006E5542"/>
    <w:rPr>
      <w:rFonts w:eastAsia="Times New Roman"/>
      <w:b/>
      <w:bCs/>
      <w:lang w:eastAsia="en-AU"/>
    </w:rPr>
  </w:style>
  <w:style w:type="character" w:styleId="Emphasis">
    <w:name w:val="Emphasis"/>
    <w:basedOn w:val="DefaultParagraphFont"/>
    <w:uiPriority w:val="20"/>
    <w:qFormat/>
    <w:rsid w:val="006E5542"/>
    <w:rPr>
      <w:i/>
      <w:iCs/>
    </w:rPr>
  </w:style>
  <w:style w:type="paragraph" w:styleId="NormalWeb">
    <w:name w:val="Normal (Web)"/>
    <w:basedOn w:val="Normal"/>
    <w:uiPriority w:val="99"/>
    <w:semiHidden/>
    <w:unhideWhenUsed/>
    <w:rsid w:val="006E5542"/>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424">
      <w:bodyDiv w:val="1"/>
      <w:marLeft w:val="0"/>
      <w:marRight w:val="0"/>
      <w:marTop w:val="0"/>
      <w:marBottom w:val="0"/>
      <w:divBdr>
        <w:top w:val="none" w:sz="0" w:space="0" w:color="auto"/>
        <w:left w:val="none" w:sz="0" w:space="0" w:color="auto"/>
        <w:bottom w:val="none" w:sz="0" w:space="0" w:color="auto"/>
        <w:right w:val="none" w:sz="0" w:space="0" w:color="auto"/>
      </w:divBdr>
    </w:div>
    <w:div w:id="1093360164">
      <w:bodyDiv w:val="1"/>
      <w:marLeft w:val="0"/>
      <w:marRight w:val="0"/>
      <w:marTop w:val="0"/>
      <w:marBottom w:val="0"/>
      <w:divBdr>
        <w:top w:val="none" w:sz="0" w:space="0" w:color="auto"/>
        <w:left w:val="none" w:sz="0" w:space="0" w:color="auto"/>
        <w:bottom w:val="none" w:sz="0" w:space="0" w:color="auto"/>
        <w:right w:val="none" w:sz="0" w:space="0" w:color="auto"/>
      </w:divBdr>
    </w:div>
    <w:div w:id="1305697001">
      <w:bodyDiv w:val="1"/>
      <w:marLeft w:val="0"/>
      <w:marRight w:val="0"/>
      <w:marTop w:val="0"/>
      <w:marBottom w:val="0"/>
      <w:divBdr>
        <w:top w:val="none" w:sz="0" w:space="0" w:color="auto"/>
        <w:left w:val="none" w:sz="0" w:space="0" w:color="auto"/>
        <w:bottom w:val="none" w:sz="0" w:space="0" w:color="auto"/>
        <w:right w:val="none" w:sz="0" w:space="0" w:color="auto"/>
      </w:divBdr>
    </w:div>
    <w:div w:id="1650085705">
      <w:bodyDiv w:val="1"/>
      <w:marLeft w:val="0"/>
      <w:marRight w:val="0"/>
      <w:marTop w:val="0"/>
      <w:marBottom w:val="0"/>
      <w:divBdr>
        <w:top w:val="none" w:sz="0" w:space="0" w:color="auto"/>
        <w:left w:val="none" w:sz="0" w:space="0" w:color="auto"/>
        <w:bottom w:val="none" w:sz="0" w:space="0" w:color="auto"/>
        <w:right w:val="none" w:sz="0" w:space="0" w:color="auto"/>
      </w:divBdr>
    </w:div>
    <w:div w:id="172537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au/internet/main/publishing.nsf/Content/health-npaac-publication.htm" TargetMode="External"/><Relationship Id="rId5" Type="http://schemas.openxmlformats.org/officeDocument/2006/relationships/hyperlink" Target="http://www.health.gov.au/internet/main/publishing.nsf/%20Content/health-npaac-publica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Suzanne</dc:creator>
  <cp:keywords/>
  <dc:description/>
  <cp:lastModifiedBy>GOLKOWSKI, Izabel</cp:lastModifiedBy>
  <cp:revision>3</cp:revision>
  <cp:lastPrinted>2021-12-15T22:14:00Z</cp:lastPrinted>
  <dcterms:created xsi:type="dcterms:W3CDTF">2021-12-16T04:39:00Z</dcterms:created>
  <dcterms:modified xsi:type="dcterms:W3CDTF">2021-12-16T04:44:00Z</dcterms:modified>
</cp:coreProperties>
</file>