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C6DC" w14:textId="62FD6B5A" w:rsidR="00F5638C" w:rsidRPr="00FA7EED" w:rsidRDefault="00F5638C" w:rsidP="00777FFB">
      <w:pPr>
        <w:rPr>
          <w:sz w:val="28"/>
        </w:rPr>
      </w:pPr>
      <w:r w:rsidRPr="00FA7EED">
        <w:rPr>
          <w:noProof/>
          <w:lang w:eastAsia="en-AU"/>
        </w:rPr>
        <w:drawing>
          <wp:inline distT="0" distB="0" distL="0" distR="0" wp14:anchorId="5D2869C9" wp14:editId="420E8384">
            <wp:extent cx="1503328" cy="1105200"/>
            <wp:effectExtent l="0" t="0" r="1905" b="0"/>
            <wp:docPr id="1" name="Picture 1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DB2E" w14:textId="77777777" w:rsidR="00F5638C" w:rsidRPr="00FA7EED" w:rsidRDefault="00F5638C" w:rsidP="00777FFB">
      <w:pPr>
        <w:rPr>
          <w:sz w:val="19"/>
        </w:rPr>
      </w:pPr>
    </w:p>
    <w:p w14:paraId="10064964" w14:textId="1A2D6C4F" w:rsidR="00EA057E" w:rsidRPr="00FA7EED" w:rsidRDefault="00495E6F" w:rsidP="00777FFB">
      <w:pPr>
        <w:pStyle w:val="ShortT"/>
      </w:pPr>
      <w:bookmarkStart w:id="0" w:name="_GoBack"/>
      <w:r>
        <w:t>Treasury Laws Amendment (Miscellaneous Amendments) Rules</w:t>
      </w:r>
      <w:r w:rsidR="00EA057E" w:rsidRPr="00FA7EED">
        <w:t xml:space="preserve"> 2021</w:t>
      </w:r>
    </w:p>
    <w:bookmarkEnd w:id="0"/>
    <w:p w14:paraId="5C3A3361" w14:textId="77777777" w:rsidR="00EA057E" w:rsidRPr="00FA7EED" w:rsidRDefault="00EA057E" w:rsidP="00777FFB">
      <w:pPr>
        <w:pStyle w:val="SignCoverPageStart"/>
        <w:spacing w:before="240"/>
        <w:rPr>
          <w:szCs w:val="22"/>
        </w:rPr>
      </w:pPr>
      <w:r w:rsidRPr="00FA7EED">
        <w:rPr>
          <w:szCs w:val="22"/>
        </w:rPr>
        <w:t xml:space="preserve">I, Josh </w:t>
      </w:r>
      <w:proofErr w:type="spellStart"/>
      <w:r w:rsidRPr="00FA7EED">
        <w:rPr>
          <w:szCs w:val="22"/>
        </w:rPr>
        <w:t>Frydenberg</w:t>
      </w:r>
      <w:proofErr w:type="spellEnd"/>
      <w:r w:rsidRPr="00FA7EED">
        <w:rPr>
          <w:szCs w:val="22"/>
        </w:rPr>
        <w:t>, Treasurer, make the following rules.</w:t>
      </w:r>
    </w:p>
    <w:p w14:paraId="3FD1F6F7" w14:textId="0B362323" w:rsidR="00EA057E" w:rsidRPr="00FA7EED" w:rsidRDefault="00EA057E" w:rsidP="00777FFB">
      <w:pPr>
        <w:keepNext/>
        <w:spacing w:before="720" w:line="240" w:lineRule="atLeast"/>
        <w:ind w:right="397"/>
        <w:jc w:val="both"/>
        <w:rPr>
          <w:szCs w:val="22"/>
        </w:rPr>
      </w:pPr>
      <w:r w:rsidRPr="00FA7EED">
        <w:rPr>
          <w:szCs w:val="22"/>
        </w:rPr>
        <w:t xml:space="preserve">Dated </w:t>
      </w:r>
      <w:r w:rsidRPr="00FA7EED">
        <w:rPr>
          <w:szCs w:val="22"/>
        </w:rPr>
        <w:tab/>
      </w:r>
      <w:r w:rsidRPr="00FA7EED">
        <w:rPr>
          <w:szCs w:val="22"/>
        </w:rPr>
        <w:tab/>
      </w:r>
      <w:r w:rsidR="00437766">
        <w:rPr>
          <w:szCs w:val="22"/>
        </w:rPr>
        <w:t xml:space="preserve">17 December </w:t>
      </w:r>
      <w:r w:rsidRPr="00FA7EED">
        <w:rPr>
          <w:szCs w:val="22"/>
        </w:rPr>
        <w:t>2021</w:t>
      </w:r>
    </w:p>
    <w:p w14:paraId="74FC3CB1" w14:textId="77777777" w:rsidR="00EA057E" w:rsidRPr="00FA7EED" w:rsidRDefault="00EA057E" w:rsidP="00777FF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BB13FC6" w14:textId="28F768F9" w:rsidR="00EA057E" w:rsidRPr="00FA7EED" w:rsidRDefault="00EA057E" w:rsidP="00777FF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7EED">
        <w:rPr>
          <w:szCs w:val="22"/>
        </w:rPr>
        <w:t xml:space="preserve">Josh </w:t>
      </w:r>
      <w:proofErr w:type="spellStart"/>
      <w:r w:rsidRPr="00FA7EED">
        <w:rPr>
          <w:szCs w:val="22"/>
        </w:rPr>
        <w:t>Frydenberg</w:t>
      </w:r>
      <w:proofErr w:type="spellEnd"/>
    </w:p>
    <w:p w14:paraId="29E850F1" w14:textId="77777777" w:rsidR="00EA057E" w:rsidRPr="00FA7EED" w:rsidRDefault="00EA057E" w:rsidP="00777FFB">
      <w:pPr>
        <w:pStyle w:val="SignCoverPageEnd"/>
        <w:rPr>
          <w:szCs w:val="22"/>
        </w:rPr>
      </w:pPr>
      <w:r w:rsidRPr="00FA7EED">
        <w:rPr>
          <w:szCs w:val="22"/>
        </w:rPr>
        <w:t>Treasurer</w:t>
      </w:r>
    </w:p>
    <w:p w14:paraId="5076085D" w14:textId="77777777" w:rsidR="00EA057E" w:rsidRPr="00FA7EED" w:rsidRDefault="00EA057E" w:rsidP="00777FFB"/>
    <w:p w14:paraId="5B2BB751" w14:textId="1E1FD60D" w:rsidR="00EA057E" w:rsidRDefault="00EA057E" w:rsidP="00777FFB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 w:rsidRPr="00FA7EED">
        <w:rPr>
          <w:rStyle w:val="CharAmSchNo"/>
        </w:rPr>
        <w:t xml:space="preserve"> </w:t>
      </w:r>
      <w:r w:rsidRPr="00FA7EED">
        <w:rPr>
          <w:rStyle w:val="CharAmSchText"/>
        </w:rPr>
        <w:t xml:space="preserve"> </w:t>
      </w:r>
    </w:p>
    <w:p w14:paraId="4663628D" w14:textId="6719C801" w:rsidR="00CE466C" w:rsidRPr="00FA7EED" w:rsidRDefault="00CE466C" w:rsidP="00777FFB">
      <w:pPr>
        <w:pStyle w:val="Header"/>
        <w:tabs>
          <w:tab w:val="clear" w:pos="4150"/>
          <w:tab w:val="clear" w:pos="8307"/>
        </w:tabs>
      </w:pPr>
      <w:r>
        <w:rPr>
          <w:rStyle w:val="CharAmSchText"/>
        </w:rPr>
        <w:t xml:space="preserve">  </w:t>
      </w:r>
    </w:p>
    <w:p w14:paraId="37248EF8" w14:textId="77777777" w:rsidR="00EA057E" w:rsidRPr="00FA7EED" w:rsidRDefault="00EA057E" w:rsidP="00777FFB">
      <w:pPr>
        <w:pStyle w:val="Header"/>
        <w:tabs>
          <w:tab w:val="clear" w:pos="4150"/>
          <w:tab w:val="clear" w:pos="8307"/>
        </w:tabs>
      </w:pPr>
      <w:r w:rsidRPr="00FA7EED">
        <w:rPr>
          <w:rStyle w:val="CharAmPartNo"/>
        </w:rPr>
        <w:t xml:space="preserve"> </w:t>
      </w:r>
      <w:r w:rsidRPr="00FA7EED">
        <w:rPr>
          <w:rStyle w:val="CharAmPartText"/>
        </w:rPr>
        <w:t xml:space="preserve"> </w:t>
      </w:r>
    </w:p>
    <w:p w14:paraId="3AB58AC9" w14:textId="77777777" w:rsidR="00F5638C" w:rsidRPr="00FA7EED" w:rsidRDefault="00F5638C" w:rsidP="00777FFB">
      <w:pPr>
        <w:sectPr w:rsidR="00F5638C" w:rsidRPr="00FA7EED" w:rsidSect="005477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9A08CD" w14:textId="77777777" w:rsidR="00F5638C" w:rsidRPr="00FA7EED" w:rsidRDefault="00F5638C" w:rsidP="00777FFB">
      <w:pPr>
        <w:rPr>
          <w:sz w:val="36"/>
        </w:rPr>
      </w:pPr>
      <w:r w:rsidRPr="00FA7EED">
        <w:rPr>
          <w:sz w:val="36"/>
        </w:rPr>
        <w:lastRenderedPageBreak/>
        <w:t>Contents</w:t>
      </w:r>
    </w:p>
    <w:p w14:paraId="6B2C0CE1" w14:textId="53608CD0" w:rsidR="004D56C5" w:rsidRDefault="00F5638C" w:rsidP="00777F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EED">
        <w:fldChar w:fldCharType="begin"/>
      </w:r>
      <w:r w:rsidRPr="00FA7EED">
        <w:instrText xml:space="preserve"> TOC \o "1-9" </w:instrText>
      </w:r>
      <w:r w:rsidRPr="00FA7EED">
        <w:fldChar w:fldCharType="separate"/>
      </w:r>
      <w:r w:rsidR="004D56C5">
        <w:rPr>
          <w:noProof/>
        </w:rPr>
        <w:t>1  Name</w:t>
      </w:r>
      <w:r w:rsidR="004D56C5">
        <w:rPr>
          <w:noProof/>
        </w:rPr>
        <w:tab/>
      </w:r>
      <w:r w:rsidR="004D56C5">
        <w:rPr>
          <w:noProof/>
        </w:rPr>
        <w:tab/>
      </w:r>
      <w:r w:rsidR="004D56C5">
        <w:rPr>
          <w:noProof/>
        </w:rPr>
        <w:fldChar w:fldCharType="begin"/>
      </w:r>
      <w:r w:rsidR="004D56C5">
        <w:rPr>
          <w:noProof/>
        </w:rPr>
        <w:instrText xml:space="preserve"> PAGEREF _Toc89353630 \h </w:instrText>
      </w:r>
      <w:r w:rsidR="004D56C5">
        <w:rPr>
          <w:noProof/>
        </w:rPr>
      </w:r>
      <w:r w:rsidR="004D56C5">
        <w:rPr>
          <w:noProof/>
        </w:rPr>
        <w:fldChar w:fldCharType="separate"/>
      </w:r>
      <w:r w:rsidR="00AA7F76">
        <w:rPr>
          <w:noProof/>
        </w:rPr>
        <w:t>1</w:t>
      </w:r>
      <w:r w:rsidR="004D56C5">
        <w:rPr>
          <w:noProof/>
        </w:rPr>
        <w:fldChar w:fldCharType="end"/>
      </w:r>
    </w:p>
    <w:p w14:paraId="13F70AE1" w14:textId="34A8E21A" w:rsidR="004D56C5" w:rsidRDefault="004D56C5" w:rsidP="00777F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_Toc89353631 \h </w:instrText>
      </w:r>
      <w:r>
        <w:rPr>
          <w:noProof/>
        </w:rPr>
      </w:r>
      <w:r>
        <w:rPr>
          <w:noProof/>
        </w:rPr>
        <w:fldChar w:fldCharType="separate"/>
      </w:r>
      <w:r w:rsidR="00AA7F76">
        <w:rPr>
          <w:noProof/>
        </w:rPr>
        <w:t>1</w:t>
      </w:r>
      <w:r>
        <w:rPr>
          <w:noProof/>
        </w:rPr>
        <w:fldChar w:fldCharType="end"/>
      </w:r>
    </w:p>
    <w:p w14:paraId="07690606" w14:textId="0E0F6454" w:rsidR="004D56C5" w:rsidRDefault="004D56C5" w:rsidP="00777F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_Toc89353632 \h </w:instrText>
      </w:r>
      <w:r>
        <w:rPr>
          <w:noProof/>
        </w:rPr>
      </w:r>
      <w:r>
        <w:rPr>
          <w:noProof/>
        </w:rPr>
        <w:fldChar w:fldCharType="separate"/>
      </w:r>
      <w:r w:rsidR="00AA7F76">
        <w:rPr>
          <w:noProof/>
        </w:rPr>
        <w:t>1</w:t>
      </w:r>
      <w:r>
        <w:rPr>
          <w:noProof/>
        </w:rPr>
        <w:fldChar w:fldCharType="end"/>
      </w:r>
    </w:p>
    <w:p w14:paraId="6318D511" w14:textId="39E22B43" w:rsidR="004D56C5" w:rsidRDefault="004D56C5" w:rsidP="00777F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_Toc89353633 \h </w:instrText>
      </w:r>
      <w:r>
        <w:rPr>
          <w:noProof/>
        </w:rPr>
      </w:r>
      <w:r>
        <w:rPr>
          <w:noProof/>
        </w:rPr>
        <w:fldChar w:fldCharType="separate"/>
      </w:r>
      <w:r w:rsidR="00AA7F76">
        <w:rPr>
          <w:noProof/>
        </w:rPr>
        <w:t>1</w:t>
      </w:r>
      <w:r>
        <w:rPr>
          <w:noProof/>
        </w:rPr>
        <w:fldChar w:fldCharType="end"/>
      </w:r>
    </w:p>
    <w:p w14:paraId="4AB2D28E" w14:textId="57AC631C" w:rsidR="004D56C5" w:rsidRDefault="004D56C5" w:rsidP="00777F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4D56C5">
        <w:rPr>
          <w:b w:val="0"/>
          <w:noProof/>
          <w:sz w:val="18"/>
        </w:rPr>
        <w:fldChar w:fldCharType="begin"/>
      </w:r>
      <w:r w:rsidRPr="004D56C5">
        <w:rPr>
          <w:b w:val="0"/>
          <w:noProof/>
          <w:sz w:val="18"/>
        </w:rPr>
        <w:instrText xml:space="preserve"> PAGEREF _Toc89353634 \h </w:instrText>
      </w:r>
      <w:r w:rsidRPr="004D56C5">
        <w:rPr>
          <w:b w:val="0"/>
          <w:noProof/>
          <w:sz w:val="18"/>
        </w:rPr>
      </w:r>
      <w:r w:rsidRPr="004D56C5">
        <w:rPr>
          <w:b w:val="0"/>
          <w:noProof/>
          <w:sz w:val="18"/>
        </w:rPr>
        <w:fldChar w:fldCharType="separate"/>
      </w:r>
      <w:r w:rsidR="00AA7F76">
        <w:rPr>
          <w:b w:val="0"/>
          <w:noProof/>
          <w:sz w:val="18"/>
        </w:rPr>
        <w:t>2</w:t>
      </w:r>
      <w:r w:rsidRPr="004D56C5">
        <w:rPr>
          <w:b w:val="0"/>
          <w:noProof/>
          <w:sz w:val="18"/>
        </w:rPr>
        <w:fldChar w:fldCharType="end"/>
      </w:r>
    </w:p>
    <w:p w14:paraId="49446235" w14:textId="70AB196E" w:rsidR="004D56C5" w:rsidRDefault="004D56C5" w:rsidP="00777F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>
        <w:rPr>
          <w:noProof/>
        </w:rPr>
        <w:tab/>
      </w:r>
      <w:r w:rsidRPr="004D56C5">
        <w:rPr>
          <w:i w:val="0"/>
          <w:noProof/>
          <w:sz w:val="18"/>
        </w:rPr>
        <w:fldChar w:fldCharType="begin"/>
      </w:r>
      <w:r w:rsidRPr="004D56C5">
        <w:rPr>
          <w:i w:val="0"/>
          <w:noProof/>
          <w:sz w:val="18"/>
        </w:rPr>
        <w:instrText xml:space="preserve"> PAGEREF _Toc89353635 \h </w:instrText>
      </w:r>
      <w:r w:rsidRPr="004D56C5">
        <w:rPr>
          <w:i w:val="0"/>
          <w:noProof/>
          <w:sz w:val="18"/>
        </w:rPr>
      </w:r>
      <w:r w:rsidRPr="004D56C5">
        <w:rPr>
          <w:i w:val="0"/>
          <w:noProof/>
          <w:sz w:val="18"/>
        </w:rPr>
        <w:fldChar w:fldCharType="separate"/>
      </w:r>
      <w:r w:rsidR="00AA7F76">
        <w:rPr>
          <w:i w:val="0"/>
          <w:noProof/>
          <w:sz w:val="18"/>
        </w:rPr>
        <w:t>2</w:t>
      </w:r>
      <w:r w:rsidRPr="004D56C5">
        <w:rPr>
          <w:i w:val="0"/>
          <w:noProof/>
          <w:sz w:val="18"/>
        </w:rPr>
        <w:fldChar w:fldCharType="end"/>
      </w:r>
    </w:p>
    <w:p w14:paraId="4F7B4252" w14:textId="5F78762D" w:rsidR="00F5638C" w:rsidRPr="00FA7EED" w:rsidRDefault="00F5638C" w:rsidP="00777FFB">
      <w:r w:rsidRPr="00FA7EED">
        <w:fldChar w:fldCharType="end"/>
      </w:r>
    </w:p>
    <w:p w14:paraId="46AC2EA3" w14:textId="77777777" w:rsidR="00F5638C" w:rsidRPr="00FA7EED" w:rsidRDefault="00F5638C" w:rsidP="00777FFB"/>
    <w:p w14:paraId="5685FDCD" w14:textId="77777777" w:rsidR="00F5638C" w:rsidRPr="00FA7EED" w:rsidRDefault="00F5638C" w:rsidP="00777FFB">
      <w:pPr>
        <w:sectPr w:rsidR="00F5638C" w:rsidRPr="00FA7EED" w:rsidSect="005477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669276" w14:textId="77777777" w:rsidR="00F5638C" w:rsidRPr="00FA7EED" w:rsidRDefault="00F5638C" w:rsidP="00777FFB">
      <w:pPr>
        <w:pStyle w:val="ActHead5"/>
      </w:pPr>
      <w:bookmarkStart w:id="17" w:name="_Toc89353630"/>
      <w:proofErr w:type="gramStart"/>
      <w:r w:rsidRPr="00FA7EED">
        <w:rPr>
          <w:rStyle w:val="CharSectno"/>
        </w:rPr>
        <w:lastRenderedPageBreak/>
        <w:t>1</w:t>
      </w:r>
      <w:r w:rsidRPr="00FA7EED">
        <w:t xml:space="preserve">  Name</w:t>
      </w:r>
      <w:bookmarkEnd w:id="17"/>
      <w:proofErr w:type="gramEnd"/>
    </w:p>
    <w:p w14:paraId="130DB5C7" w14:textId="64BFB6E7" w:rsidR="00F5638C" w:rsidRPr="00FA7EED" w:rsidRDefault="00F5638C" w:rsidP="00777FFB">
      <w:pPr>
        <w:pStyle w:val="subsection"/>
      </w:pPr>
      <w:r w:rsidRPr="00FA7EED">
        <w:tab/>
      </w:r>
      <w:r w:rsidRPr="00FA7EED">
        <w:tab/>
        <w:t xml:space="preserve">This instrument is the </w:t>
      </w:r>
      <w:r w:rsidR="00495E6F" w:rsidRPr="00495E6F">
        <w:rPr>
          <w:i/>
          <w:noProof/>
        </w:rPr>
        <w:t>Treasury Laws Amendment (Miscellaneous Amendments) Rules 2021</w:t>
      </w:r>
      <w:r w:rsidR="0032164A" w:rsidRPr="00FA7EED">
        <w:t>.</w:t>
      </w:r>
    </w:p>
    <w:p w14:paraId="10033EFB" w14:textId="77777777" w:rsidR="00F5638C" w:rsidRPr="00FA7EED" w:rsidRDefault="00F5638C" w:rsidP="00777FFB">
      <w:pPr>
        <w:pStyle w:val="ActHead5"/>
      </w:pPr>
      <w:bookmarkStart w:id="18" w:name="_Toc89353631"/>
      <w:proofErr w:type="gramStart"/>
      <w:r w:rsidRPr="00FA7EED">
        <w:rPr>
          <w:rStyle w:val="CharSectno"/>
        </w:rPr>
        <w:t>2</w:t>
      </w:r>
      <w:r w:rsidRPr="00FA7EED">
        <w:t xml:space="preserve">  Commencement</w:t>
      </w:r>
      <w:bookmarkEnd w:id="18"/>
      <w:proofErr w:type="gramEnd"/>
    </w:p>
    <w:p w14:paraId="6793D2B0" w14:textId="77777777" w:rsidR="00F5638C" w:rsidRPr="00FA7EED" w:rsidRDefault="00F5638C" w:rsidP="00777FFB">
      <w:pPr>
        <w:pStyle w:val="subsection"/>
      </w:pPr>
      <w:r w:rsidRPr="00FA7EED">
        <w:tab/>
        <w:t>(1)</w:t>
      </w:r>
      <w:r w:rsidRPr="00FA7EE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0689EC" w14:textId="77777777" w:rsidR="00F5638C" w:rsidRPr="00FA7EED" w:rsidRDefault="00F5638C" w:rsidP="00777FFB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FA7EED" w14:paraId="0642DA28" w14:textId="77777777" w:rsidTr="00CE466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E5F05C" w14:textId="77777777" w:rsidR="00F5638C" w:rsidRPr="00FA7EED" w:rsidRDefault="00F5638C" w:rsidP="00777FFB">
            <w:pPr>
              <w:pStyle w:val="TableHeading"/>
            </w:pPr>
            <w:r w:rsidRPr="00FA7EED">
              <w:t>Commencement information</w:t>
            </w:r>
          </w:p>
        </w:tc>
      </w:tr>
      <w:tr w:rsidR="00F5638C" w:rsidRPr="00FA7EED" w14:paraId="56DC738C" w14:textId="77777777" w:rsidTr="00CE46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B7F730" w14:textId="77777777" w:rsidR="00F5638C" w:rsidRPr="00FA7EED" w:rsidRDefault="00F5638C" w:rsidP="00777FFB">
            <w:pPr>
              <w:pStyle w:val="TableHeading"/>
            </w:pPr>
            <w:r w:rsidRPr="00FA7E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92D14B" w14:textId="77777777" w:rsidR="00F5638C" w:rsidRPr="00FA7EED" w:rsidRDefault="00F5638C" w:rsidP="00777FFB">
            <w:pPr>
              <w:pStyle w:val="TableHeading"/>
            </w:pPr>
            <w:r w:rsidRPr="00FA7E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73F075" w14:textId="77777777" w:rsidR="00F5638C" w:rsidRPr="00FA7EED" w:rsidRDefault="00F5638C" w:rsidP="00777FFB">
            <w:pPr>
              <w:pStyle w:val="TableHeading"/>
            </w:pPr>
            <w:r w:rsidRPr="00FA7EED">
              <w:t>Column 3</w:t>
            </w:r>
          </w:p>
        </w:tc>
      </w:tr>
      <w:tr w:rsidR="00F5638C" w:rsidRPr="00FA7EED" w14:paraId="5C0F6BE2" w14:textId="77777777" w:rsidTr="00CE46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49A0CB" w14:textId="77777777" w:rsidR="00F5638C" w:rsidRPr="00FA7EED" w:rsidRDefault="00F5638C" w:rsidP="00777FFB">
            <w:pPr>
              <w:pStyle w:val="TableHeading"/>
            </w:pPr>
            <w:r w:rsidRPr="00FA7E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AA6AE8" w14:textId="77777777" w:rsidR="00F5638C" w:rsidRPr="00FA7EED" w:rsidRDefault="00F5638C" w:rsidP="00777FFB">
            <w:pPr>
              <w:pStyle w:val="TableHeading"/>
            </w:pPr>
            <w:r w:rsidRPr="00FA7E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413FB" w14:textId="77777777" w:rsidR="00F5638C" w:rsidRPr="00FA7EED" w:rsidRDefault="00F5638C" w:rsidP="00777FFB">
            <w:pPr>
              <w:pStyle w:val="TableHeading"/>
            </w:pPr>
            <w:r w:rsidRPr="00FA7EED">
              <w:t>Date/Details</w:t>
            </w:r>
          </w:p>
        </w:tc>
      </w:tr>
      <w:tr w:rsidR="00F5638C" w:rsidRPr="00FA7EED" w14:paraId="15B01EF0" w14:textId="77777777" w:rsidTr="00CE466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AAA5ED" w14:textId="04419E92" w:rsidR="00F5638C" w:rsidRPr="00FA7EED" w:rsidRDefault="00F5638C" w:rsidP="00777FFB">
            <w:pPr>
              <w:pStyle w:val="Tabletext"/>
            </w:pPr>
            <w:r w:rsidRPr="00FA7EED">
              <w:t xml:space="preserve">1.  </w:t>
            </w:r>
            <w:r w:rsidR="00837E6B" w:rsidRPr="00FA7EE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AC535B" w14:textId="77777777" w:rsidR="00F5638C" w:rsidRPr="00FA7EED" w:rsidRDefault="00F5638C" w:rsidP="00777FFB">
            <w:pPr>
              <w:pStyle w:val="Tabletext"/>
            </w:pPr>
            <w:r w:rsidRPr="00FA7EE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6B73B" w14:textId="77777777" w:rsidR="00F5638C" w:rsidRPr="00FA7EED" w:rsidRDefault="00F5638C" w:rsidP="00777FFB">
            <w:pPr>
              <w:pStyle w:val="Tabletext"/>
            </w:pPr>
          </w:p>
        </w:tc>
      </w:tr>
    </w:tbl>
    <w:p w14:paraId="620E101E" w14:textId="77777777" w:rsidR="00F5638C" w:rsidRPr="00FA7EED" w:rsidRDefault="00F5638C" w:rsidP="00777FFB">
      <w:pPr>
        <w:pStyle w:val="notetext"/>
      </w:pPr>
      <w:r w:rsidRPr="00FA7EED">
        <w:rPr>
          <w:snapToGrid w:val="0"/>
          <w:lang w:eastAsia="en-US"/>
        </w:rPr>
        <w:t>Note:</w:t>
      </w:r>
      <w:r w:rsidRPr="00FA7EED">
        <w:rPr>
          <w:snapToGrid w:val="0"/>
          <w:lang w:eastAsia="en-US"/>
        </w:rPr>
        <w:tab/>
        <w:t xml:space="preserve">This table relates only to the provisions of this </w:t>
      </w:r>
      <w:r w:rsidRPr="00FA7EED">
        <w:t xml:space="preserve">instrument </w:t>
      </w:r>
      <w:r w:rsidRPr="00FA7EED">
        <w:rPr>
          <w:snapToGrid w:val="0"/>
          <w:lang w:eastAsia="en-US"/>
        </w:rPr>
        <w:t xml:space="preserve">as originally made. It will not be amended to deal with any later amendments of this </w:t>
      </w:r>
      <w:r w:rsidRPr="00FA7EED">
        <w:t>instrument</w:t>
      </w:r>
      <w:r w:rsidRPr="00FA7EED">
        <w:rPr>
          <w:snapToGrid w:val="0"/>
          <w:lang w:eastAsia="en-US"/>
        </w:rPr>
        <w:t>.</w:t>
      </w:r>
    </w:p>
    <w:p w14:paraId="508D3A32" w14:textId="77777777" w:rsidR="00F5638C" w:rsidRPr="00FA7EED" w:rsidRDefault="00F5638C" w:rsidP="00777FFB">
      <w:pPr>
        <w:pStyle w:val="subsection"/>
      </w:pPr>
      <w:r w:rsidRPr="00FA7EED">
        <w:tab/>
        <w:t>(2)</w:t>
      </w:r>
      <w:r w:rsidRPr="00FA7EE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FD672CB" w14:textId="77777777" w:rsidR="00F5638C" w:rsidRPr="00FA7EED" w:rsidRDefault="00F5638C" w:rsidP="00777FFB">
      <w:pPr>
        <w:pStyle w:val="ActHead5"/>
      </w:pPr>
      <w:bookmarkStart w:id="19" w:name="_Toc89353632"/>
      <w:proofErr w:type="gramStart"/>
      <w:r w:rsidRPr="00FA7EED">
        <w:t>3  Authority</w:t>
      </w:r>
      <w:bookmarkEnd w:id="19"/>
      <w:proofErr w:type="gramEnd"/>
    </w:p>
    <w:p w14:paraId="20FEAE8A" w14:textId="41AE2F3E" w:rsidR="00F5638C" w:rsidRPr="00FA7EED" w:rsidRDefault="00F5638C" w:rsidP="00777FFB">
      <w:pPr>
        <w:pStyle w:val="subsection"/>
      </w:pPr>
      <w:r w:rsidRPr="00FA7EED">
        <w:tab/>
      </w:r>
      <w:r w:rsidRPr="00FA7EED">
        <w:tab/>
        <w:t xml:space="preserve">This instrument is made under the </w:t>
      </w:r>
      <w:r w:rsidR="00C13C32" w:rsidRPr="00FA7EED">
        <w:rPr>
          <w:i/>
        </w:rPr>
        <w:t>Coronavirus Economic Response Package (Payments and Benefits) Act 2020.</w:t>
      </w:r>
    </w:p>
    <w:p w14:paraId="657AA0F9" w14:textId="77777777" w:rsidR="00F5638C" w:rsidRPr="00FA7EED" w:rsidRDefault="00F5638C" w:rsidP="00777FFB">
      <w:pPr>
        <w:pStyle w:val="ActHead5"/>
      </w:pPr>
      <w:bookmarkStart w:id="20" w:name="_Toc89353633"/>
      <w:proofErr w:type="gramStart"/>
      <w:r w:rsidRPr="00FA7EED">
        <w:t>4  Schedules</w:t>
      </w:r>
      <w:bookmarkEnd w:id="20"/>
      <w:proofErr w:type="gramEnd"/>
    </w:p>
    <w:p w14:paraId="2C7E5D2E" w14:textId="77777777" w:rsidR="00F5638C" w:rsidRPr="00FA7EED" w:rsidRDefault="00F5638C" w:rsidP="00777FFB">
      <w:pPr>
        <w:pStyle w:val="subsection"/>
      </w:pPr>
      <w:r w:rsidRPr="00FA7EED">
        <w:tab/>
      </w:r>
      <w:r w:rsidRPr="00FA7EE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C976B2" w14:textId="0E33FC7E" w:rsidR="00F5638C" w:rsidRPr="00FA7EED" w:rsidRDefault="00F5638C" w:rsidP="00777FFB">
      <w:pPr>
        <w:pStyle w:val="ActHead6"/>
        <w:pageBreakBefore/>
      </w:pPr>
      <w:bookmarkStart w:id="21" w:name="_Toc89353634"/>
      <w:r w:rsidRPr="00FA7EED">
        <w:rPr>
          <w:rStyle w:val="CharAmSchNo"/>
        </w:rPr>
        <w:lastRenderedPageBreak/>
        <w:t>Schedule</w:t>
      </w:r>
      <w:r w:rsidR="00FA7EED" w:rsidRPr="00FA7EED">
        <w:rPr>
          <w:rStyle w:val="CharAmSchNo"/>
        </w:rPr>
        <w:t> </w:t>
      </w:r>
      <w:r w:rsidRPr="00FA7EED">
        <w:rPr>
          <w:rStyle w:val="CharAmSchNo"/>
        </w:rPr>
        <w:t>1</w:t>
      </w:r>
      <w:r w:rsidRPr="00FA7EED">
        <w:t>—</w:t>
      </w:r>
      <w:r w:rsidRPr="00FA7EED">
        <w:rPr>
          <w:rStyle w:val="CharAmSchText"/>
        </w:rPr>
        <w:t>Amendments</w:t>
      </w:r>
      <w:bookmarkEnd w:id="21"/>
    </w:p>
    <w:p w14:paraId="79DB3AFD" w14:textId="77777777" w:rsidR="00F5638C" w:rsidRPr="00FA7EED" w:rsidRDefault="00F5638C" w:rsidP="00777FFB">
      <w:pPr>
        <w:pStyle w:val="Header"/>
      </w:pPr>
      <w:r w:rsidRPr="00FA7EED">
        <w:t xml:space="preserve">  </w:t>
      </w:r>
    </w:p>
    <w:p w14:paraId="71D39F7A" w14:textId="0678C1E2" w:rsidR="00CE466C" w:rsidRPr="00CE466C" w:rsidRDefault="00CE466C" w:rsidP="00777FFB">
      <w:pPr>
        <w:pStyle w:val="ActHead9"/>
      </w:pPr>
      <w:bookmarkStart w:id="22" w:name="_Toc89353635"/>
      <w:r w:rsidRPr="00CE466C">
        <w:t xml:space="preserve">Coronavirus Economic Response Package (Payments and Benefits) </w:t>
      </w:r>
      <w:r w:rsidR="00E53FBE">
        <w:t>Rules</w:t>
      </w:r>
      <w:r w:rsidR="00AD1C68">
        <w:t> </w:t>
      </w:r>
      <w:r w:rsidRPr="00CE466C">
        <w:t>2020</w:t>
      </w:r>
      <w:bookmarkEnd w:id="22"/>
    </w:p>
    <w:p w14:paraId="1F7CDE75" w14:textId="20EE522F" w:rsidR="00B54014" w:rsidRPr="00FA7EED" w:rsidRDefault="00B54014" w:rsidP="00777FFB">
      <w:pPr>
        <w:pStyle w:val="ItemHead"/>
      </w:pPr>
      <w:proofErr w:type="gramStart"/>
      <w:r w:rsidRPr="00FA7EED">
        <w:t>1</w:t>
      </w:r>
      <w:r w:rsidR="00D6248D" w:rsidRPr="00FA7EED">
        <w:t xml:space="preserve">  </w:t>
      </w:r>
      <w:r w:rsidR="00CB1938" w:rsidRPr="00FA7EED">
        <w:t>Subsection</w:t>
      </w:r>
      <w:proofErr w:type="gramEnd"/>
      <w:r w:rsidR="00FA7EED" w:rsidRPr="00FA7EED">
        <w:t> </w:t>
      </w:r>
      <w:r w:rsidR="00D6248D" w:rsidRPr="00FA7EED">
        <w:t>4</w:t>
      </w:r>
      <w:r w:rsidR="00CB1938" w:rsidRPr="00FA7EED">
        <w:t>(1)</w:t>
      </w:r>
    </w:p>
    <w:p w14:paraId="627F4295" w14:textId="707DC417" w:rsidR="00D6248D" w:rsidRPr="00FA7EED" w:rsidRDefault="00D6248D" w:rsidP="00777FFB">
      <w:pPr>
        <w:pStyle w:val="Item"/>
      </w:pPr>
      <w:r w:rsidRPr="00FA7EED">
        <w:t>In</w:t>
      </w:r>
      <w:r w:rsidR="00CB1938" w:rsidRPr="00FA7EED">
        <w:t>sert</w:t>
      </w:r>
      <w:r w:rsidR="000860C2" w:rsidRPr="00FA7EED">
        <w:t>:</w:t>
      </w:r>
    </w:p>
    <w:p w14:paraId="24571AD8" w14:textId="3FF49522" w:rsidR="00E43622" w:rsidRPr="00FA7EED" w:rsidRDefault="00E43622" w:rsidP="00777FFB">
      <w:pPr>
        <w:pStyle w:val="Definition"/>
        <w:rPr>
          <w:shd w:val="clear" w:color="auto" w:fill="FFFFFF"/>
        </w:rPr>
      </w:pPr>
      <w:proofErr w:type="gramStart"/>
      <w:r w:rsidRPr="00FA7EED">
        <w:rPr>
          <w:b/>
          <w:bCs/>
          <w:i/>
          <w:iCs/>
        </w:rPr>
        <w:t>objection</w:t>
      </w:r>
      <w:proofErr w:type="gramEnd"/>
      <w:r w:rsidRPr="00FA7EED">
        <w:rPr>
          <w:b/>
          <w:bCs/>
          <w:i/>
          <w:iCs/>
        </w:rPr>
        <w:t xml:space="preserve"> decision</w:t>
      </w:r>
      <w:r w:rsidRPr="00FA7EED">
        <w:rPr>
          <w:b/>
          <w:bCs/>
        </w:rPr>
        <w:t xml:space="preserve"> </w:t>
      </w:r>
      <w:r w:rsidRPr="00FA7EED">
        <w:rPr>
          <w:shd w:val="clear" w:color="auto" w:fill="FFFFFF"/>
        </w:rPr>
        <w:t>has the same meaning as in section</w:t>
      </w:r>
      <w:r w:rsidR="00FA7EED" w:rsidRPr="00FA7EED">
        <w:rPr>
          <w:shd w:val="clear" w:color="auto" w:fill="FFFFFF"/>
        </w:rPr>
        <w:t> </w:t>
      </w:r>
      <w:r w:rsidRPr="00FA7EED">
        <w:rPr>
          <w:shd w:val="clear" w:color="auto" w:fill="FFFFFF"/>
        </w:rPr>
        <w:t xml:space="preserve">14ZY of the </w:t>
      </w:r>
      <w:r w:rsidRPr="00FA7EED">
        <w:rPr>
          <w:i/>
          <w:iCs/>
          <w:shd w:val="clear" w:color="auto" w:fill="FFFFFF"/>
        </w:rPr>
        <w:t>Taxation Administration Act 1953</w:t>
      </w:r>
      <w:r w:rsidRPr="00FA7EED">
        <w:rPr>
          <w:shd w:val="clear" w:color="auto" w:fill="FFFFFF"/>
        </w:rPr>
        <w:t>.</w:t>
      </w:r>
    </w:p>
    <w:p w14:paraId="3CAD9B9F" w14:textId="0B8133A7" w:rsidR="00E43622" w:rsidRPr="00FA7EED" w:rsidRDefault="00E43622" w:rsidP="00777FFB">
      <w:pPr>
        <w:pStyle w:val="Definition"/>
        <w:rPr>
          <w:shd w:val="clear" w:color="auto" w:fill="FFFFFF"/>
        </w:rPr>
      </w:pPr>
      <w:proofErr w:type="gramStart"/>
      <w:r w:rsidRPr="00FA7EED">
        <w:rPr>
          <w:b/>
          <w:bCs/>
          <w:i/>
          <w:iCs/>
        </w:rPr>
        <w:t>taxation</w:t>
      </w:r>
      <w:proofErr w:type="gramEnd"/>
      <w:r w:rsidRPr="00FA7EED">
        <w:rPr>
          <w:b/>
          <w:bCs/>
          <w:i/>
          <w:iCs/>
        </w:rPr>
        <w:t xml:space="preserve"> objection</w:t>
      </w:r>
      <w:r w:rsidRPr="00FA7EED">
        <w:rPr>
          <w:b/>
          <w:bCs/>
        </w:rPr>
        <w:t xml:space="preserve"> </w:t>
      </w:r>
      <w:r w:rsidRPr="00FA7EED">
        <w:rPr>
          <w:shd w:val="clear" w:color="auto" w:fill="FFFFFF"/>
        </w:rPr>
        <w:t>has the same meaning as in section</w:t>
      </w:r>
      <w:r w:rsidR="00FA7EED" w:rsidRPr="00FA7EED">
        <w:rPr>
          <w:shd w:val="clear" w:color="auto" w:fill="FFFFFF"/>
        </w:rPr>
        <w:t> </w:t>
      </w:r>
      <w:r w:rsidRPr="00FA7EED">
        <w:rPr>
          <w:shd w:val="clear" w:color="auto" w:fill="FFFFFF"/>
        </w:rPr>
        <w:t xml:space="preserve">14ZL of the </w:t>
      </w:r>
      <w:r w:rsidRPr="00FA7EED">
        <w:rPr>
          <w:i/>
          <w:iCs/>
          <w:shd w:val="clear" w:color="auto" w:fill="FFFFFF"/>
        </w:rPr>
        <w:t>Taxation Administration Act 1953</w:t>
      </w:r>
      <w:r w:rsidRPr="00FA7EED">
        <w:rPr>
          <w:shd w:val="clear" w:color="auto" w:fill="FFFFFF"/>
        </w:rPr>
        <w:t>.</w:t>
      </w:r>
    </w:p>
    <w:p w14:paraId="6A73022E" w14:textId="0AABAC69" w:rsidR="00F5638C" w:rsidRPr="00FA7EED" w:rsidRDefault="0057232F" w:rsidP="00777FFB">
      <w:pPr>
        <w:pStyle w:val="ItemHead"/>
      </w:pPr>
      <w:proofErr w:type="gramStart"/>
      <w:r w:rsidRPr="00FA7EED">
        <w:t>2</w:t>
      </w:r>
      <w:r w:rsidR="00F5638C" w:rsidRPr="00FA7EED">
        <w:t xml:space="preserve">  </w:t>
      </w:r>
      <w:r w:rsidR="000240A2" w:rsidRPr="00FA7EED">
        <w:t>Section</w:t>
      </w:r>
      <w:proofErr w:type="gramEnd"/>
      <w:r w:rsidR="00FA7EED" w:rsidRPr="00FA7EED">
        <w:t> </w:t>
      </w:r>
      <w:r w:rsidR="000240A2" w:rsidRPr="00FA7EED">
        <w:t>19</w:t>
      </w:r>
    </w:p>
    <w:p w14:paraId="00E3172F" w14:textId="351E9503" w:rsidR="0057232F" w:rsidRPr="00FA7EED" w:rsidRDefault="0057232F" w:rsidP="00777FFB">
      <w:pPr>
        <w:pStyle w:val="Item"/>
      </w:pPr>
      <w:r w:rsidRPr="00FA7EED">
        <w:t>Omit “Despite anything in this Part:</w:t>
      </w:r>
      <w:proofErr w:type="gramStart"/>
      <w:r w:rsidRPr="00FA7EED">
        <w:t>”,</w:t>
      </w:r>
      <w:proofErr w:type="gramEnd"/>
      <w:r w:rsidRPr="00FA7EED">
        <w:t xml:space="preserve"> substitute:</w:t>
      </w:r>
    </w:p>
    <w:p w14:paraId="070989D1" w14:textId="0974E95A" w:rsidR="0068482D" w:rsidRPr="00FA7EED" w:rsidRDefault="0024097C" w:rsidP="00777FFB">
      <w:pPr>
        <w:pStyle w:val="subsection"/>
      </w:pPr>
      <w:r>
        <w:tab/>
      </w:r>
      <w:r w:rsidR="005538BC" w:rsidRPr="00FA7EED">
        <w:t>(1)</w:t>
      </w:r>
      <w:r w:rsidR="00E22A13" w:rsidRPr="00FA7EED">
        <w:tab/>
      </w:r>
      <w:r w:rsidR="005B7B5E" w:rsidRPr="00FA7EED">
        <w:t xml:space="preserve">Subject to </w:t>
      </w:r>
      <w:r w:rsidR="00FA7EED" w:rsidRPr="00FA7EED">
        <w:t>subsection (</w:t>
      </w:r>
      <w:r w:rsidR="005B7B5E" w:rsidRPr="00FA7EED">
        <w:t>2), d</w:t>
      </w:r>
      <w:r w:rsidR="00757391" w:rsidRPr="00FA7EED">
        <w:t>espite anything in this Part</w:t>
      </w:r>
      <w:r w:rsidR="00AC5941" w:rsidRPr="00FA7EED">
        <w:t>:”</w:t>
      </w:r>
    </w:p>
    <w:p w14:paraId="27F30155" w14:textId="1D6E9ED2" w:rsidR="00F15412" w:rsidRPr="00FA7EED" w:rsidRDefault="001E67FF" w:rsidP="00777FFB">
      <w:pPr>
        <w:pStyle w:val="ItemHead"/>
      </w:pPr>
      <w:proofErr w:type="gramStart"/>
      <w:r w:rsidRPr="00FA7EED">
        <w:t>3</w:t>
      </w:r>
      <w:r w:rsidR="00F15412" w:rsidRPr="00FA7EED">
        <w:t xml:space="preserve">  </w:t>
      </w:r>
      <w:r w:rsidR="00E743C5" w:rsidRPr="00FA7EED">
        <w:t>At</w:t>
      </w:r>
      <w:proofErr w:type="gramEnd"/>
      <w:r w:rsidR="00E743C5" w:rsidRPr="00FA7EED">
        <w:t xml:space="preserve"> the end of s</w:t>
      </w:r>
      <w:r w:rsidR="00BD03F8" w:rsidRPr="00FA7EED">
        <w:t>ection</w:t>
      </w:r>
      <w:r w:rsidR="00FA7EED" w:rsidRPr="00FA7EED">
        <w:t> </w:t>
      </w:r>
      <w:r w:rsidR="00BD03F8" w:rsidRPr="00FA7EED">
        <w:t>19</w:t>
      </w:r>
    </w:p>
    <w:p w14:paraId="1F2B6923" w14:textId="6FA69463" w:rsidR="005A7385" w:rsidRPr="00FA7EED" w:rsidRDefault="005A7385" w:rsidP="00777FFB">
      <w:pPr>
        <w:pStyle w:val="Item"/>
      </w:pPr>
      <w:r w:rsidRPr="00FA7EED">
        <w:t>Add:</w:t>
      </w:r>
    </w:p>
    <w:p w14:paraId="6371EA88" w14:textId="0077A150" w:rsidR="005538BC" w:rsidRPr="00FA7EED" w:rsidRDefault="0024097C" w:rsidP="00777FFB">
      <w:pPr>
        <w:pStyle w:val="subsection"/>
      </w:pPr>
      <w:r>
        <w:tab/>
      </w:r>
      <w:r w:rsidR="005538BC" w:rsidRPr="00FA7EED">
        <w:t>(2</w:t>
      </w:r>
      <w:r w:rsidR="005A7385" w:rsidRPr="00FA7EED">
        <w:t>)</w:t>
      </w:r>
      <w:r>
        <w:tab/>
      </w:r>
      <w:r w:rsidR="00FA7EED" w:rsidRPr="0024097C">
        <w:t>Subsection</w:t>
      </w:r>
      <w:r w:rsidR="00FA7EED" w:rsidRPr="00FA7EED">
        <w:t> (</w:t>
      </w:r>
      <w:r w:rsidR="005538BC" w:rsidRPr="00FA7EED">
        <w:t>1) does not apply to a payment that is required to give effect to:</w:t>
      </w:r>
    </w:p>
    <w:p w14:paraId="243F536D" w14:textId="0DA0178D" w:rsidR="005538BC" w:rsidRPr="00FA7EED" w:rsidRDefault="00E22A13" w:rsidP="00777FFB">
      <w:pPr>
        <w:pStyle w:val="paragraph"/>
      </w:pPr>
      <w:r w:rsidRPr="00FA7EED">
        <w:tab/>
      </w:r>
      <w:r w:rsidR="005538BC" w:rsidRPr="00FA7EED">
        <w:t xml:space="preserve">(a) </w:t>
      </w:r>
      <w:r w:rsidR="005538BC" w:rsidRPr="00FA7EED">
        <w:tab/>
      </w:r>
      <w:proofErr w:type="gramStart"/>
      <w:r w:rsidR="005538BC" w:rsidRPr="00FA7EED">
        <w:t>an</w:t>
      </w:r>
      <w:proofErr w:type="gramEnd"/>
      <w:r w:rsidR="005538BC" w:rsidRPr="00FA7EED">
        <w:t xml:space="preserve"> objection decision;</w:t>
      </w:r>
      <w:r w:rsidR="0024097C">
        <w:t xml:space="preserve"> or</w:t>
      </w:r>
    </w:p>
    <w:p w14:paraId="2C704548" w14:textId="308DE415" w:rsidR="005538BC" w:rsidRPr="00FA7EED" w:rsidRDefault="00993810" w:rsidP="00777FFB">
      <w:pPr>
        <w:pStyle w:val="paragraph"/>
      </w:pPr>
      <w:r w:rsidRPr="00FA7EED">
        <w:tab/>
      </w:r>
      <w:r w:rsidR="005538BC" w:rsidRPr="00FA7EED">
        <w:t xml:space="preserve">(b) </w:t>
      </w:r>
      <w:r w:rsidR="005538BC" w:rsidRPr="00FA7EED">
        <w:tab/>
      </w:r>
      <w:proofErr w:type="gramStart"/>
      <w:r w:rsidR="00AF2220" w:rsidRPr="00FA7EED">
        <w:t>if</w:t>
      </w:r>
      <w:proofErr w:type="gramEnd"/>
      <w:r w:rsidR="00AF2220" w:rsidRPr="00FA7EED">
        <w:t xml:space="preserve"> a decision of the AAT on the review of an objection decision has become final for the purposes of subsection</w:t>
      </w:r>
      <w:r w:rsidR="00FA7EED" w:rsidRPr="00FA7EED">
        <w:t> </w:t>
      </w:r>
      <w:r w:rsidR="00AF2220" w:rsidRPr="00FA7EED">
        <w:t xml:space="preserve">14ZZL(1) of the </w:t>
      </w:r>
      <w:r w:rsidR="00AF2220" w:rsidRPr="00FA7EED">
        <w:rPr>
          <w:i/>
          <w:iCs/>
        </w:rPr>
        <w:t>Taxation Administration Act 1953</w:t>
      </w:r>
      <w:r w:rsidR="00AF2220" w:rsidRPr="00FA7EED">
        <w:t>—the decision of the AAT</w:t>
      </w:r>
      <w:r w:rsidR="005538BC" w:rsidRPr="00FA7EED">
        <w:t>; or</w:t>
      </w:r>
    </w:p>
    <w:p w14:paraId="6A1E95F9" w14:textId="4D592AB2" w:rsidR="005538BC" w:rsidRPr="00FA7EED" w:rsidRDefault="00993810" w:rsidP="00777FFB">
      <w:pPr>
        <w:pStyle w:val="paragraph"/>
        <w:rPr>
          <w:color w:val="000000"/>
          <w:szCs w:val="22"/>
        </w:rPr>
      </w:pPr>
      <w:r w:rsidRPr="00FA7EED">
        <w:rPr>
          <w:color w:val="000000"/>
          <w:szCs w:val="22"/>
        </w:rPr>
        <w:tab/>
      </w:r>
      <w:r w:rsidR="005538BC" w:rsidRPr="00FA7EED">
        <w:rPr>
          <w:color w:val="000000"/>
          <w:szCs w:val="22"/>
        </w:rPr>
        <w:t>(c)</w:t>
      </w:r>
      <w:r w:rsidR="005538BC" w:rsidRPr="00FA7EED">
        <w:rPr>
          <w:color w:val="000000"/>
          <w:szCs w:val="22"/>
        </w:rPr>
        <w:tab/>
      </w:r>
      <w:proofErr w:type="gramStart"/>
      <w:r w:rsidR="008068FF" w:rsidRPr="00FA7EED">
        <w:rPr>
          <w:color w:val="000000"/>
          <w:szCs w:val="22"/>
        </w:rPr>
        <w:t>if</w:t>
      </w:r>
      <w:proofErr w:type="gramEnd"/>
      <w:r w:rsidR="008068FF" w:rsidRPr="00FA7EED">
        <w:rPr>
          <w:color w:val="000000"/>
          <w:szCs w:val="22"/>
        </w:rPr>
        <w:t xml:space="preserve"> an order of a court on an appeal against an objection decision has become final for the purposes of subsection</w:t>
      </w:r>
      <w:r w:rsidR="00FA7EED" w:rsidRPr="00FA7EED">
        <w:rPr>
          <w:color w:val="000000"/>
          <w:szCs w:val="22"/>
        </w:rPr>
        <w:t> </w:t>
      </w:r>
      <w:r w:rsidR="008068FF" w:rsidRPr="00FA7EED">
        <w:rPr>
          <w:color w:val="000000"/>
          <w:szCs w:val="22"/>
        </w:rPr>
        <w:t xml:space="preserve">14ZZQ(1) of the </w:t>
      </w:r>
      <w:r w:rsidR="008068FF" w:rsidRPr="00FA7EED">
        <w:rPr>
          <w:i/>
          <w:iCs/>
          <w:color w:val="000000"/>
          <w:szCs w:val="22"/>
        </w:rPr>
        <w:t>Taxation Administration Act 1953</w:t>
      </w:r>
      <w:r w:rsidR="008068FF" w:rsidRPr="00FA7EED">
        <w:rPr>
          <w:color w:val="000000"/>
          <w:szCs w:val="22"/>
        </w:rPr>
        <w:t>—the order of the court</w:t>
      </w:r>
      <w:r w:rsidR="005538BC" w:rsidRPr="00FA7EED">
        <w:rPr>
          <w:color w:val="000000"/>
          <w:szCs w:val="22"/>
        </w:rPr>
        <w:t>;</w:t>
      </w:r>
    </w:p>
    <w:p w14:paraId="3490C743" w14:textId="1631902D" w:rsidR="004D2FC7" w:rsidRPr="00FA7EED" w:rsidRDefault="0024097C" w:rsidP="00777FFB">
      <w:pPr>
        <w:pStyle w:val="subsection2"/>
      </w:pPr>
      <w:proofErr w:type="gramStart"/>
      <w:r>
        <w:t>if</w:t>
      </w:r>
      <w:proofErr w:type="gramEnd"/>
      <w:r w:rsidR="005538BC" w:rsidRPr="00FA7EED">
        <w:t xml:space="preserve"> the taxation objection </w:t>
      </w:r>
      <w:r w:rsidR="00A42443" w:rsidRPr="00FA7EED">
        <w:t>related</w:t>
      </w:r>
      <w:r w:rsidR="002077A5" w:rsidRPr="00FA7EED">
        <w:t xml:space="preserve"> to the </w:t>
      </w:r>
      <w:r w:rsidR="00B6424A">
        <w:t xml:space="preserve">relevant </w:t>
      </w:r>
      <w:r w:rsidR="002077A5" w:rsidRPr="00FA7EED">
        <w:t xml:space="preserve">objection decision </w:t>
      </w:r>
      <w:r w:rsidR="005538BC" w:rsidRPr="00FA7EED">
        <w:t xml:space="preserve">was lodged with the Commissioner on or before </w:t>
      </w:r>
      <w:r w:rsidR="00B33BDB">
        <w:t>3</w:t>
      </w:r>
      <w:r w:rsidR="00B35E65">
        <w:t>0</w:t>
      </w:r>
      <w:r w:rsidR="00B33BDB">
        <w:t xml:space="preserve"> </w:t>
      </w:r>
      <w:r w:rsidR="00B35E65">
        <w:t>November</w:t>
      </w:r>
      <w:r w:rsidR="00B33BDB">
        <w:t xml:space="preserve"> 2021</w:t>
      </w:r>
      <w:r w:rsidR="005E7805">
        <w:t xml:space="preserve"> (disregarding any effect of subsection 14ZX(3)</w:t>
      </w:r>
      <w:r w:rsidR="003F77D0">
        <w:t xml:space="preserve"> of the </w:t>
      </w:r>
      <w:r w:rsidR="003F77D0" w:rsidRPr="00FA7EED">
        <w:rPr>
          <w:i/>
          <w:iCs/>
          <w:color w:val="000000"/>
          <w:szCs w:val="22"/>
        </w:rPr>
        <w:t>Taxation Administration Act 1953</w:t>
      </w:r>
      <w:r w:rsidR="00E67860">
        <w:rPr>
          <w:color w:val="000000"/>
          <w:szCs w:val="22"/>
        </w:rPr>
        <w:t>)</w:t>
      </w:r>
      <w:r w:rsidR="008068FF" w:rsidRPr="00FA7EED">
        <w:t>.</w:t>
      </w:r>
    </w:p>
    <w:sectPr w:rsidR="004D2FC7" w:rsidRPr="00FA7EED" w:rsidSect="005477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C60E" w14:textId="77777777" w:rsidR="0046412C" w:rsidRDefault="0046412C" w:rsidP="00F5638C">
      <w:pPr>
        <w:spacing w:line="240" w:lineRule="auto"/>
      </w:pPr>
      <w:r>
        <w:separator/>
      </w:r>
    </w:p>
  </w:endnote>
  <w:endnote w:type="continuationSeparator" w:id="0">
    <w:p w14:paraId="6247332E" w14:textId="77777777" w:rsidR="0046412C" w:rsidRDefault="0046412C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551F" w14:textId="4E5DBAAB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17A2" w14:textId="2D60B342" w:rsidR="00F5638C" w:rsidRDefault="00F5638C" w:rsidP="00E97334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28C4DC73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8D96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DF02" w14:textId="172042E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8E00B3B" w14:textId="77777777" w:rsidTr="00B642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A08F9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7099C" w14:textId="00900E94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Treasury Laws Amendment (Miscellaneous Amendments) Rules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F84E49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4D07281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A178" w14:textId="5AC02E6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87223D6" w14:textId="77777777" w:rsidTr="00B6424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38620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5232D" w14:textId="34AD497B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Treasury Laws Amendment (Miscellaneous Amendments) Rules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F32227" w14:textId="5BA2E50A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003AA833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F034" w14:textId="4EB38345" w:rsidR="00A136F5" w:rsidRPr="00E33C1C" w:rsidRDefault="004641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AF82946" w14:textId="77777777" w:rsidTr="00B642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4EDE8" w14:textId="09893035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97B03B" w14:textId="16D3BF5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Treasury Laws Amendment (Miscellaneous Amendments) Rules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507DD6" w14:textId="77777777" w:rsidR="00A136F5" w:rsidRDefault="0046412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11119E" w14:textId="77777777" w:rsidR="00A136F5" w:rsidRPr="00ED79B6" w:rsidRDefault="0046412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3581" w14:textId="2ABBAC27" w:rsidR="007A6863" w:rsidRPr="00E33C1C" w:rsidRDefault="004641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6F2AF7F" w14:textId="77777777" w:rsidTr="00B642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E952B" w14:textId="77777777" w:rsidR="007A6863" w:rsidRDefault="0046412C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CD5D67" w14:textId="6BB44F42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Treasury Laws Amendment (Miscellaneous Amendments) Rules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4F689" w14:textId="77443B7D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7F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471C5DEC" w14:textId="77777777" w:rsidR="007A6863" w:rsidRPr="00ED79B6" w:rsidRDefault="0046412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11A5" w14:textId="77777777" w:rsidR="00A136F5" w:rsidRPr="00E33C1C" w:rsidRDefault="004641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10E1A2A" w14:textId="77777777" w:rsidTr="00B642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ACA728" w14:textId="77777777" w:rsidR="00A136F5" w:rsidRDefault="0046412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95768F" w14:textId="45B5BDB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7F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F21B4D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2783A6F4" w14:textId="77777777" w:rsidR="00A136F5" w:rsidRPr="00ED79B6" w:rsidRDefault="0046412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F5C4" w14:textId="77777777" w:rsidR="0046412C" w:rsidRDefault="0046412C" w:rsidP="00F5638C">
      <w:pPr>
        <w:spacing w:line="240" w:lineRule="auto"/>
      </w:pPr>
      <w:r>
        <w:separator/>
      </w:r>
    </w:p>
  </w:footnote>
  <w:footnote w:type="continuationSeparator" w:id="0">
    <w:p w14:paraId="328D951B" w14:textId="77777777" w:rsidR="0046412C" w:rsidRDefault="0046412C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D4C2" w14:textId="6C309E32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2A85" w14:textId="01233A0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38A2A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FF7A" w14:textId="66FF5B88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70C0" w14:textId="2DFB3C84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10FF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53A8" w14:textId="180DA1BD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A7F76">
      <w:rPr>
        <w:b/>
        <w:sz w:val="20"/>
      </w:rPr>
      <w:fldChar w:fldCharType="separate"/>
    </w:r>
    <w:r w:rsidR="00AA7F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A7F76">
      <w:rPr>
        <w:sz w:val="20"/>
      </w:rPr>
      <w:fldChar w:fldCharType="separate"/>
    </w:r>
    <w:r w:rsidR="00AA7F76">
      <w:rPr>
        <w:noProof/>
        <w:sz w:val="20"/>
      </w:rPr>
      <w:t>Amendments</w:t>
    </w:r>
    <w:r>
      <w:rPr>
        <w:sz w:val="20"/>
      </w:rPr>
      <w:fldChar w:fldCharType="end"/>
    </w:r>
  </w:p>
  <w:p w14:paraId="33332362" w14:textId="5A7A42E5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E127CA" w14:textId="77777777" w:rsidR="0048364F" w:rsidRPr="00A961C4" w:rsidRDefault="0046412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47147C91" w14:textId="0AC80CFF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7FBB318" w14:textId="79055CF2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E12998E" w14:textId="77777777" w:rsidR="0048364F" w:rsidRPr="00A961C4" w:rsidRDefault="0046412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07BE" w14:textId="77777777" w:rsidR="0048364F" w:rsidRPr="00A961C4" w:rsidRDefault="0046412C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E6F9A"/>
    <w:multiLevelType w:val="hybridMultilevel"/>
    <w:tmpl w:val="8E3E57F8"/>
    <w:lvl w:ilvl="0" w:tplc="CAEAF0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D3208"/>
    <w:multiLevelType w:val="hybridMultilevel"/>
    <w:tmpl w:val="950C855C"/>
    <w:lvl w:ilvl="0" w:tplc="6A2A445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40F4E91"/>
    <w:multiLevelType w:val="hybridMultilevel"/>
    <w:tmpl w:val="FE303BA2"/>
    <w:lvl w:ilvl="0" w:tplc="CC7C427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B"/>
    <w:rsid w:val="000240A2"/>
    <w:rsid w:val="00042AC9"/>
    <w:rsid w:val="00044F93"/>
    <w:rsid w:val="000860C2"/>
    <w:rsid w:val="000C1187"/>
    <w:rsid w:val="000C6A68"/>
    <w:rsid w:val="001761B5"/>
    <w:rsid w:val="001E4455"/>
    <w:rsid w:val="001E67FF"/>
    <w:rsid w:val="002077A5"/>
    <w:rsid w:val="0024097C"/>
    <w:rsid w:val="0026608E"/>
    <w:rsid w:val="0029033B"/>
    <w:rsid w:val="0032164A"/>
    <w:rsid w:val="00335E39"/>
    <w:rsid w:val="003A2959"/>
    <w:rsid w:val="003C1503"/>
    <w:rsid w:val="003D5887"/>
    <w:rsid w:val="003F77D0"/>
    <w:rsid w:val="00405912"/>
    <w:rsid w:val="0042487F"/>
    <w:rsid w:val="00431164"/>
    <w:rsid w:val="00437766"/>
    <w:rsid w:val="0046412C"/>
    <w:rsid w:val="004825AA"/>
    <w:rsid w:val="00495E6F"/>
    <w:rsid w:val="004A5B21"/>
    <w:rsid w:val="004D2FC7"/>
    <w:rsid w:val="004D56C5"/>
    <w:rsid w:val="00535127"/>
    <w:rsid w:val="005477EC"/>
    <w:rsid w:val="005538BC"/>
    <w:rsid w:val="0057232F"/>
    <w:rsid w:val="00594AB5"/>
    <w:rsid w:val="005A7385"/>
    <w:rsid w:val="005B7B5E"/>
    <w:rsid w:val="005E7805"/>
    <w:rsid w:val="00682F87"/>
    <w:rsid w:val="0068482D"/>
    <w:rsid w:val="006D55A9"/>
    <w:rsid w:val="00744466"/>
    <w:rsid w:val="00757391"/>
    <w:rsid w:val="0076494B"/>
    <w:rsid w:val="00777FFB"/>
    <w:rsid w:val="007809FB"/>
    <w:rsid w:val="00787EA3"/>
    <w:rsid w:val="007B7DDD"/>
    <w:rsid w:val="007D5F2A"/>
    <w:rsid w:val="008068FF"/>
    <w:rsid w:val="00837E6B"/>
    <w:rsid w:val="008808C9"/>
    <w:rsid w:val="008C1E2D"/>
    <w:rsid w:val="008F502E"/>
    <w:rsid w:val="0090706F"/>
    <w:rsid w:val="00907DE5"/>
    <w:rsid w:val="00993810"/>
    <w:rsid w:val="009B4B5F"/>
    <w:rsid w:val="009F646D"/>
    <w:rsid w:val="00A17114"/>
    <w:rsid w:val="00A42443"/>
    <w:rsid w:val="00A94A4E"/>
    <w:rsid w:val="00AA7F76"/>
    <w:rsid w:val="00AC51CD"/>
    <w:rsid w:val="00AC5941"/>
    <w:rsid w:val="00AD1C68"/>
    <w:rsid w:val="00AD4F48"/>
    <w:rsid w:val="00AF2220"/>
    <w:rsid w:val="00AF7A98"/>
    <w:rsid w:val="00B33BDB"/>
    <w:rsid w:val="00B35E65"/>
    <w:rsid w:val="00B54014"/>
    <w:rsid w:val="00B6424A"/>
    <w:rsid w:val="00BD03F8"/>
    <w:rsid w:val="00BD76E0"/>
    <w:rsid w:val="00BF1F44"/>
    <w:rsid w:val="00C13C32"/>
    <w:rsid w:val="00C16ED9"/>
    <w:rsid w:val="00C37DB4"/>
    <w:rsid w:val="00C9209D"/>
    <w:rsid w:val="00C9500F"/>
    <w:rsid w:val="00CB1938"/>
    <w:rsid w:val="00CE466C"/>
    <w:rsid w:val="00D012F3"/>
    <w:rsid w:val="00D6248D"/>
    <w:rsid w:val="00DF0B8F"/>
    <w:rsid w:val="00E22A13"/>
    <w:rsid w:val="00E43622"/>
    <w:rsid w:val="00E53FBE"/>
    <w:rsid w:val="00E649DB"/>
    <w:rsid w:val="00E67860"/>
    <w:rsid w:val="00E743C5"/>
    <w:rsid w:val="00EA057E"/>
    <w:rsid w:val="00EE13C1"/>
    <w:rsid w:val="00F15412"/>
    <w:rsid w:val="00F5638C"/>
    <w:rsid w:val="00F82ACB"/>
    <w:rsid w:val="00FA7EED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C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7EE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E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E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E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E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E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E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E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EED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EED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EED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EED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EE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E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7EED"/>
  </w:style>
  <w:style w:type="paragraph" w:customStyle="1" w:styleId="OPCParaBase">
    <w:name w:val="OPCParaBase"/>
    <w:qFormat/>
    <w:rsid w:val="00FA7EED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7E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7E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7E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7E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7E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7E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7E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7E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7E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7E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7EED"/>
  </w:style>
  <w:style w:type="paragraph" w:customStyle="1" w:styleId="Blocks">
    <w:name w:val="Blocks"/>
    <w:aliases w:val="bb"/>
    <w:basedOn w:val="OPCParaBase"/>
    <w:qFormat/>
    <w:rsid w:val="00FA7E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7E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7E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7EED"/>
    <w:rPr>
      <w:i/>
    </w:rPr>
  </w:style>
  <w:style w:type="paragraph" w:customStyle="1" w:styleId="BoxList">
    <w:name w:val="BoxList"/>
    <w:aliases w:val="bl"/>
    <w:basedOn w:val="BoxText"/>
    <w:qFormat/>
    <w:rsid w:val="00FA7E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7E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7E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7EED"/>
    <w:pPr>
      <w:ind w:left="1985" w:hanging="851"/>
    </w:pPr>
  </w:style>
  <w:style w:type="character" w:customStyle="1" w:styleId="CharAmPartNo">
    <w:name w:val="CharAmPartNo"/>
    <w:basedOn w:val="OPCCharBase"/>
    <w:qFormat/>
    <w:rsid w:val="00FA7EED"/>
  </w:style>
  <w:style w:type="character" w:customStyle="1" w:styleId="CharAmPartText">
    <w:name w:val="CharAmPartText"/>
    <w:basedOn w:val="OPCCharBase"/>
    <w:qFormat/>
    <w:rsid w:val="00FA7EED"/>
  </w:style>
  <w:style w:type="character" w:customStyle="1" w:styleId="CharAmSchNo">
    <w:name w:val="CharAmSchNo"/>
    <w:basedOn w:val="OPCCharBase"/>
    <w:qFormat/>
    <w:rsid w:val="00FA7EED"/>
  </w:style>
  <w:style w:type="character" w:customStyle="1" w:styleId="CharAmSchText">
    <w:name w:val="CharAmSchText"/>
    <w:basedOn w:val="OPCCharBase"/>
    <w:qFormat/>
    <w:rsid w:val="00FA7EED"/>
  </w:style>
  <w:style w:type="character" w:customStyle="1" w:styleId="CharBoldItalic">
    <w:name w:val="CharBoldItalic"/>
    <w:basedOn w:val="OPCCharBase"/>
    <w:uiPriority w:val="1"/>
    <w:qFormat/>
    <w:rsid w:val="00FA7E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7EED"/>
  </w:style>
  <w:style w:type="character" w:customStyle="1" w:styleId="CharChapText">
    <w:name w:val="CharChapText"/>
    <w:basedOn w:val="OPCCharBase"/>
    <w:uiPriority w:val="1"/>
    <w:qFormat/>
    <w:rsid w:val="00FA7EED"/>
  </w:style>
  <w:style w:type="character" w:customStyle="1" w:styleId="CharDivNo">
    <w:name w:val="CharDivNo"/>
    <w:basedOn w:val="OPCCharBase"/>
    <w:uiPriority w:val="1"/>
    <w:qFormat/>
    <w:rsid w:val="00FA7EED"/>
  </w:style>
  <w:style w:type="character" w:customStyle="1" w:styleId="CharDivText">
    <w:name w:val="CharDivText"/>
    <w:basedOn w:val="OPCCharBase"/>
    <w:uiPriority w:val="1"/>
    <w:qFormat/>
    <w:rsid w:val="00FA7EED"/>
  </w:style>
  <w:style w:type="character" w:customStyle="1" w:styleId="CharItalic">
    <w:name w:val="CharItalic"/>
    <w:basedOn w:val="OPCCharBase"/>
    <w:uiPriority w:val="1"/>
    <w:qFormat/>
    <w:rsid w:val="00FA7EED"/>
    <w:rPr>
      <w:i/>
    </w:rPr>
  </w:style>
  <w:style w:type="character" w:customStyle="1" w:styleId="CharPartNo">
    <w:name w:val="CharPartNo"/>
    <w:basedOn w:val="OPCCharBase"/>
    <w:uiPriority w:val="1"/>
    <w:qFormat/>
    <w:rsid w:val="00FA7EED"/>
  </w:style>
  <w:style w:type="character" w:customStyle="1" w:styleId="CharPartText">
    <w:name w:val="CharPartText"/>
    <w:basedOn w:val="OPCCharBase"/>
    <w:uiPriority w:val="1"/>
    <w:qFormat/>
    <w:rsid w:val="00FA7EED"/>
  </w:style>
  <w:style w:type="character" w:customStyle="1" w:styleId="CharSectno">
    <w:name w:val="CharSectno"/>
    <w:basedOn w:val="OPCCharBase"/>
    <w:qFormat/>
    <w:rsid w:val="00FA7EED"/>
  </w:style>
  <w:style w:type="character" w:customStyle="1" w:styleId="CharSubdNo">
    <w:name w:val="CharSubdNo"/>
    <w:basedOn w:val="OPCCharBase"/>
    <w:uiPriority w:val="1"/>
    <w:qFormat/>
    <w:rsid w:val="00FA7EED"/>
  </w:style>
  <w:style w:type="character" w:customStyle="1" w:styleId="CharSubdText">
    <w:name w:val="CharSubdText"/>
    <w:basedOn w:val="OPCCharBase"/>
    <w:uiPriority w:val="1"/>
    <w:qFormat/>
    <w:rsid w:val="00FA7EED"/>
  </w:style>
  <w:style w:type="paragraph" w:customStyle="1" w:styleId="CTA--">
    <w:name w:val="CTA --"/>
    <w:basedOn w:val="OPCParaBase"/>
    <w:next w:val="Normal"/>
    <w:rsid w:val="00FA7E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7E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7E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7E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7E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7E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7E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7E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7E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7E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7E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7E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7E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7E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7E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7E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7E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7E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7E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7E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7E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7E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7EE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7E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7E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7E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7E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7E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7E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7E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7E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7E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7E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7E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7E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7E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7E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7E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7E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7E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7E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7E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7E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7E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7E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7E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7E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7E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7E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7E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7E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7E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7E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7E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7E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7E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7E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7E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7EE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7E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7EE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7EE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7EE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7EE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7E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7E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7E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7E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7E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7E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7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7EED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7EED"/>
    <w:rPr>
      <w:sz w:val="16"/>
    </w:rPr>
  </w:style>
  <w:style w:type="table" w:customStyle="1" w:styleId="CFlag">
    <w:name w:val="CFlag"/>
    <w:basedOn w:val="TableNormal"/>
    <w:uiPriority w:val="99"/>
    <w:rsid w:val="00FA7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7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EE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7E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7E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7E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7E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7E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7E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7EED"/>
    <w:pPr>
      <w:spacing w:before="120"/>
    </w:pPr>
  </w:style>
  <w:style w:type="paragraph" w:customStyle="1" w:styleId="CompiledActNo">
    <w:name w:val="CompiledActNo"/>
    <w:basedOn w:val="OPCParaBase"/>
    <w:next w:val="Normal"/>
    <w:rsid w:val="00FA7E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7E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7E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7E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7E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7E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7E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7E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7E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7E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7E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7E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7E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7E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7E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7E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7E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7EED"/>
  </w:style>
  <w:style w:type="character" w:customStyle="1" w:styleId="CharSubPartNoCASA">
    <w:name w:val="CharSubPartNo(CASA)"/>
    <w:basedOn w:val="OPCCharBase"/>
    <w:uiPriority w:val="1"/>
    <w:rsid w:val="00FA7EED"/>
  </w:style>
  <w:style w:type="paragraph" w:customStyle="1" w:styleId="ENoteTTIndentHeadingSub">
    <w:name w:val="ENoteTTIndentHeadingSub"/>
    <w:aliases w:val="enTTHis"/>
    <w:basedOn w:val="OPCParaBase"/>
    <w:rsid w:val="00FA7E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7E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7E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7E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7E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7E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7EED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7E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7E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7EED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7EED"/>
  </w:style>
  <w:style w:type="paragraph" w:customStyle="1" w:styleId="TableHeading">
    <w:name w:val="TableHeading"/>
    <w:aliases w:val="th"/>
    <w:basedOn w:val="OPCParaBase"/>
    <w:next w:val="Tabletext"/>
    <w:rsid w:val="00FA7E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7E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7EED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7E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7EED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7E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7EED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7E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7EED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7E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7EED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7E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7EE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7EED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0157-F09E-4901-A3BA-809EB22E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2021-12-19T23:45:00Z</dcterms:created>
  <dcterms:modified xsi:type="dcterms:W3CDTF">2021-12-19T23:53:00Z</dcterms:modified>
</cp:coreProperties>
</file>